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AF" w:rsidRPr="00F45102" w:rsidRDefault="001601AF" w:rsidP="001601AF">
      <w:pPr>
        <w:pStyle w:val="af3"/>
        <w:rPr>
          <w:color w:val="000000"/>
        </w:rPr>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F45102">
        <w:rPr>
          <w:rFonts w:hint="eastAsia"/>
          <w:color w:val="000000"/>
        </w:rPr>
        <w:t>糾正案文</w:t>
      </w:r>
    </w:p>
    <w:p w:rsidR="001601AF" w:rsidRPr="00F45102" w:rsidRDefault="001601AF" w:rsidP="00CB466A">
      <w:pPr>
        <w:pStyle w:val="1"/>
        <w:rPr>
          <w:color w:val="000000"/>
        </w:rPr>
      </w:pPr>
      <w:r w:rsidRPr="00F45102">
        <w:rPr>
          <w:rFonts w:hint="eastAsia"/>
          <w:color w:val="000000"/>
        </w:rPr>
        <w:t>被糾正機關：</w:t>
      </w:r>
      <w:r w:rsidR="00591C3B" w:rsidRPr="00F45102">
        <w:rPr>
          <w:rFonts w:hint="eastAsia"/>
          <w:color w:val="000000"/>
        </w:rPr>
        <w:t>內政部營建署</w:t>
      </w:r>
      <w:r w:rsidRPr="00F45102">
        <w:rPr>
          <w:rFonts w:hint="eastAsia"/>
          <w:color w:val="000000"/>
        </w:rPr>
        <w:t>。</w:t>
      </w:r>
    </w:p>
    <w:p w:rsidR="001601AF" w:rsidRPr="00A41CB1" w:rsidRDefault="001601AF" w:rsidP="00387A7B">
      <w:pPr>
        <w:pStyle w:val="1"/>
      </w:pPr>
      <w:r w:rsidRPr="00A41CB1">
        <w:rPr>
          <w:rFonts w:hint="eastAsia"/>
        </w:rPr>
        <w:t>案　　　由：</w:t>
      </w:r>
      <w:r w:rsidR="00591C3B" w:rsidRPr="00591C3B">
        <w:rPr>
          <w:rFonts w:hint="eastAsia"/>
        </w:rPr>
        <w:t>內政部營建署未能切實督導各直轄市、縣（市）政府依都市計畫法第26條規定落實都市計畫</w:t>
      </w:r>
      <w:r w:rsidR="007B1893">
        <w:rPr>
          <w:rFonts w:hint="eastAsia"/>
        </w:rPr>
        <w:t>通盤檢討</w:t>
      </w:r>
      <w:r w:rsidR="00591C3B" w:rsidRPr="00591C3B">
        <w:rPr>
          <w:rFonts w:hint="eastAsia"/>
        </w:rPr>
        <w:t>，各縣市政府超過5年以上未辦理通盤檢討合計86處，有違都市計畫法第26條機關每5年內至少「應」通盤檢討1次之規定</w:t>
      </w:r>
      <w:r w:rsidR="00387A7B">
        <w:rPr>
          <w:rFonts w:hint="eastAsia"/>
        </w:rPr>
        <w:t>。有關通盤檢討辦理天數，由</w:t>
      </w:r>
      <w:r w:rsidR="00591C3B" w:rsidRPr="00591C3B">
        <w:rPr>
          <w:rFonts w:hint="eastAsia"/>
        </w:rPr>
        <w:t>100年的平均辦理天數1,335天遞增至107年的2,336天（6.4年），已超過或近都市計畫法每5</w:t>
      </w:r>
      <w:r w:rsidR="00387A7B">
        <w:rPr>
          <w:rFonts w:hint="eastAsia"/>
        </w:rPr>
        <w:t>年定期通盤檢討時程，</w:t>
      </w:r>
      <w:r w:rsidR="00591C3B" w:rsidRPr="00591C3B">
        <w:rPr>
          <w:rFonts w:hint="eastAsia"/>
        </w:rPr>
        <w:t>時程延宕效能不彰。</w:t>
      </w:r>
      <w:r w:rsidR="00461CE8" w:rsidRPr="00F45102">
        <w:rPr>
          <w:rFonts w:hint="eastAsia"/>
          <w:color w:val="000000"/>
        </w:rPr>
        <w:t>主要計畫「個案變更」平均件數</w:t>
      </w:r>
      <w:r w:rsidR="00591C3B" w:rsidRPr="00F45102">
        <w:rPr>
          <w:rFonts w:hint="eastAsia"/>
          <w:color w:val="000000"/>
        </w:rPr>
        <w:t>102.4件為通盤檢討平均件數之1.39倍。</w:t>
      </w:r>
      <w:r w:rsidR="00461CE8" w:rsidRPr="00F45102">
        <w:rPr>
          <w:rFonts w:hint="eastAsia"/>
          <w:color w:val="000000"/>
        </w:rPr>
        <w:t>細部計畫「個案變更」平均件數</w:t>
      </w:r>
      <w:r w:rsidR="00591C3B" w:rsidRPr="00F45102">
        <w:rPr>
          <w:rFonts w:hint="eastAsia"/>
          <w:color w:val="000000"/>
        </w:rPr>
        <w:t>67.8</w:t>
      </w:r>
      <w:r w:rsidR="00387A7B" w:rsidRPr="00F45102">
        <w:rPr>
          <w:rFonts w:hint="eastAsia"/>
          <w:color w:val="000000"/>
        </w:rPr>
        <w:t>件</w:t>
      </w:r>
      <w:r w:rsidR="00591C3B" w:rsidRPr="00F45102">
        <w:rPr>
          <w:rFonts w:hint="eastAsia"/>
          <w:color w:val="000000"/>
        </w:rPr>
        <w:t>為通盤檢討平均件數之2.14</w:t>
      </w:r>
      <w:r w:rsidR="00FF7529" w:rsidRPr="00F45102">
        <w:rPr>
          <w:rFonts w:hint="eastAsia"/>
          <w:color w:val="000000"/>
        </w:rPr>
        <w:t>倍，</w:t>
      </w:r>
      <w:r w:rsidR="004B48E5" w:rsidRPr="000475A5">
        <w:rPr>
          <w:rFonts w:hAnsi="標楷體" w:hint="eastAsia"/>
        </w:rPr>
        <w:t>都市計畫個案變更過於浮濫</w:t>
      </w:r>
      <w:r w:rsidR="00FF7529" w:rsidRPr="00F45102">
        <w:rPr>
          <w:rFonts w:hint="eastAsia"/>
          <w:color w:val="000000"/>
        </w:rPr>
        <w:t>。關於</w:t>
      </w:r>
      <w:r w:rsidR="00FF7529" w:rsidRPr="00FF7529">
        <w:rPr>
          <w:rFonts w:hAnsi="標楷體" w:hint="eastAsia"/>
          <w:color w:val="000000"/>
        </w:rPr>
        <w:t>都市計畫通盤檢討相關標準難以因應未來高齡化、少子化、環境氣候變遷、低碳節能城市等新興問題與目標，另各式獎勵容積以及「容積總量」等統計管控，理應明確納入都市計畫通盤檢討實施，並回歸都市計畫相關規定，制度面與執行面均有待檢討改進。</w:t>
      </w:r>
      <w:r w:rsidR="00FF7529">
        <w:rPr>
          <w:rFonts w:hAnsi="標楷體" w:hint="eastAsia"/>
        </w:rPr>
        <w:t>有關</w:t>
      </w:r>
      <w:r w:rsidR="00FF7529" w:rsidRPr="00FF7529">
        <w:rPr>
          <w:rFonts w:hAnsi="標楷體" w:hint="eastAsia"/>
        </w:rPr>
        <w:t>各直轄市、縣市政府辦理都市計畫通盤檢討作業之困境，內政部允應積極協助各直轄市、縣（市）政府解決，強化相關人力組織，依法落實都市計畫通盤檢討</w:t>
      </w:r>
      <w:r w:rsidR="00825702" w:rsidRPr="00A41CB1">
        <w:rPr>
          <w:rFonts w:hint="eastAsia"/>
        </w:rPr>
        <w:t>，</w:t>
      </w:r>
      <w:r w:rsidR="007D5D9F" w:rsidRPr="00A41CB1">
        <w:rPr>
          <w:rFonts w:hint="eastAsia"/>
        </w:rPr>
        <w:t>均</w:t>
      </w:r>
      <w:r w:rsidR="00825702" w:rsidRPr="00A41CB1">
        <w:rPr>
          <w:rFonts w:hint="eastAsia"/>
        </w:rPr>
        <w:t>有疏失</w:t>
      </w:r>
      <w:r w:rsidRPr="00A41CB1">
        <w:rPr>
          <w:rFonts w:hAnsi="標楷體" w:hint="eastAsia"/>
        </w:rPr>
        <w:t>，</w:t>
      </w:r>
      <w:r w:rsidRPr="00A41CB1">
        <w:rPr>
          <w:rFonts w:hint="eastAsia"/>
        </w:rPr>
        <w:t>爰依法提案糾正。</w:t>
      </w:r>
    </w:p>
    <w:p w:rsidR="001601AF" w:rsidRPr="00F45102" w:rsidRDefault="001601AF" w:rsidP="001601AF">
      <w:pPr>
        <w:pStyle w:val="1"/>
        <w:kinsoku/>
        <w:ind w:left="2722" w:hanging="2722"/>
        <w:rPr>
          <w:color w:val="000000"/>
        </w:rPr>
      </w:pPr>
      <w:bookmarkStart w:id="24" w:name="_Toc524892370"/>
      <w:bookmarkStart w:id="25" w:name="_Toc524895640"/>
      <w:bookmarkStart w:id="26" w:name="_Toc524896186"/>
      <w:bookmarkStart w:id="27" w:name="_Toc524896216"/>
      <w:bookmarkStart w:id="28" w:name="_Toc524902722"/>
      <w:bookmarkStart w:id="29" w:name="_Toc525066141"/>
      <w:bookmarkStart w:id="30" w:name="_Toc525070831"/>
      <w:bookmarkStart w:id="31" w:name="_Toc525938371"/>
      <w:bookmarkStart w:id="32" w:name="_Toc525939219"/>
      <w:bookmarkStart w:id="33" w:name="_Toc525939724"/>
      <w:bookmarkStart w:id="34" w:name="_Toc529218258"/>
      <w:bookmarkStart w:id="35" w:name="_Toc529222681"/>
      <w:bookmarkStart w:id="36" w:name="_Toc529223103"/>
      <w:bookmarkStart w:id="37" w:name="_Toc529223854"/>
      <w:bookmarkStart w:id="38" w:name="_Toc529228250"/>
      <w:bookmarkStart w:id="39" w:name="_Toc2400386"/>
      <w:bookmarkStart w:id="40" w:name="_Toc4316181"/>
      <w:bookmarkStart w:id="41" w:name="_Toc4473322"/>
      <w:bookmarkStart w:id="42" w:name="_Toc69556889"/>
      <w:bookmarkStart w:id="43" w:name="_Toc69556938"/>
      <w:bookmarkStart w:id="44" w:name="_Toc69609812"/>
      <w:bookmarkStart w:id="45" w:name="_Toc70241808"/>
      <w:bookmarkStart w:id="46" w:name="_Toc70242197"/>
      <w:bookmarkStart w:id="47" w:name="_Toc421794867"/>
      <w:bookmarkStart w:id="48" w:name="_Toc422728949"/>
      <w:r w:rsidRPr="00F45102">
        <w:rPr>
          <w:rFonts w:hint="eastAsia"/>
          <w:color w:val="000000"/>
        </w:rPr>
        <w:t>事實與理由：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91C3B" w:rsidRPr="001B766A" w:rsidRDefault="004B48E5" w:rsidP="00591C3B">
      <w:pPr>
        <w:pStyle w:val="2"/>
        <w:wordWrap w:val="0"/>
        <w:overflowPunct/>
        <w:ind w:left="1045" w:hanging="697"/>
      </w:pPr>
      <w:bookmarkStart w:id="49" w:name="_Toc524895641"/>
      <w:bookmarkStart w:id="50" w:name="_Toc524896187"/>
      <w:bookmarkStart w:id="51" w:name="_Toc524896217"/>
      <w:bookmarkStart w:id="52" w:name="_Toc525066142"/>
      <w:bookmarkStart w:id="53" w:name="_Toc4316182"/>
      <w:bookmarkStart w:id="54" w:name="_Toc4473323"/>
      <w:bookmarkStart w:id="55" w:name="_Toc69556890"/>
      <w:bookmarkStart w:id="56" w:name="_Toc69556939"/>
      <w:bookmarkStart w:id="57" w:name="_Toc69609813"/>
      <w:bookmarkStart w:id="58" w:name="_Toc70241809"/>
      <w:bookmarkStart w:id="59" w:name="_Toc525070834"/>
      <w:bookmarkStart w:id="60" w:name="_Toc525938374"/>
      <w:bookmarkStart w:id="61" w:name="_Toc525939222"/>
      <w:bookmarkStart w:id="62" w:name="_Toc525939727"/>
      <w:bookmarkStart w:id="63" w:name="_Toc525066144"/>
      <w:bookmarkStart w:id="64" w:name="_Toc524892372"/>
      <w:bookmarkEnd w:id="49"/>
      <w:bookmarkEnd w:id="50"/>
      <w:bookmarkEnd w:id="51"/>
      <w:bookmarkEnd w:id="52"/>
      <w:bookmarkEnd w:id="53"/>
      <w:bookmarkEnd w:id="54"/>
      <w:bookmarkEnd w:id="55"/>
      <w:bookmarkEnd w:id="56"/>
      <w:bookmarkEnd w:id="57"/>
      <w:bookmarkEnd w:id="58"/>
      <w:r w:rsidRPr="000475A5">
        <w:rPr>
          <w:rFonts w:hint="eastAsia"/>
          <w:b/>
        </w:rPr>
        <w:t>我國「都市計畫法」立法目的在於「為改善居民生活環境，並促進市、鎮、鄉街有計畫之均衡發展」，並透</w:t>
      </w:r>
      <w:r w:rsidRPr="000475A5">
        <w:rPr>
          <w:rFonts w:hint="eastAsia"/>
          <w:b/>
        </w:rPr>
        <w:lastRenderedPageBreak/>
        <w:t>過都市計畫通盤檢討等「手段」，以都市未來發展目標、人口與產業、建築容積以及公共設施容受力等為基礎，檢討土地使用分區與空間機能等，做為通盤檢討之依據，使都市計畫之規劃更能滿足都市實質發展需求，形塑市民認同之都市景觀意象，提昇都市整體環境品質。</w:t>
      </w:r>
      <w:r w:rsidRPr="000475A5">
        <w:rPr>
          <w:rFonts w:hAnsi="標楷體" w:hint="eastAsia"/>
          <w:b/>
        </w:rPr>
        <w:t>內政部營建署未能切實督導各直轄市、縣（市）政府依都市計畫法第26條規定落實都市計畫</w:t>
      </w:r>
      <w:r>
        <w:rPr>
          <w:rFonts w:hAnsi="標楷體" w:hint="eastAsia"/>
          <w:b/>
        </w:rPr>
        <w:t>通盤檢討</w:t>
      </w:r>
      <w:r w:rsidRPr="000475A5">
        <w:rPr>
          <w:rFonts w:hAnsi="標楷體" w:hint="eastAsia"/>
          <w:b/>
        </w:rPr>
        <w:t>。至107年底全國419處都市計畫中超過5年以上未辦理通盤檢討合計86處，有違都市計畫法第26條擬訂計畫機關5年內至少「應」通盤檢討1次之規定，有待檢討改進。通盤檢討辦理天數，由100年的1,335天遞增至107年的2,336天（6.4年），全國平均辦理天數為1759.6天（4.8年），已超過或近都市計畫法每5年定期通盤檢討時程，顯見各縣市政府未依法落實通盤檢討，規劃及審議制度失能失靈，內政部制度修正與督導功能顯有不周，殊值徹底檢討改進</w:t>
      </w:r>
      <w:r w:rsidR="00E769F5" w:rsidRPr="000C37F1">
        <w:rPr>
          <w:rFonts w:hAnsi="標楷體" w:hint="eastAsia"/>
          <w:b/>
        </w:rPr>
        <w:t>。</w:t>
      </w:r>
    </w:p>
    <w:p w:rsidR="00591C3B" w:rsidRPr="001B766A" w:rsidRDefault="00591C3B" w:rsidP="00591C3B">
      <w:pPr>
        <w:pStyle w:val="3"/>
        <w:wordWrap w:val="0"/>
        <w:overflowPunct/>
        <w:ind w:left="1360" w:hanging="680"/>
        <w:rPr>
          <w:rFonts w:hAnsi="標楷體"/>
        </w:rPr>
      </w:pPr>
      <w:r w:rsidRPr="001B766A">
        <w:rPr>
          <w:rFonts w:hAnsi="標楷體" w:hint="eastAsia"/>
        </w:rPr>
        <w:t>按都市計畫法第1條：「為改善居民生活環境，並促進市、鎮、鄉街有計畫之均衡發展，特制定本法。」、第26條：「都市計畫經發布實施後，不得隨時任意變更。但擬定計畫之機關每3年內或5年內至少應通盤檢討一次，依據發展情況，並參考人民建議作必要之變更。對於非必要之公共設施用地，應變更其使用。前項都市計畫定期通盤檢討之辦理機關、作業方法及檢討基準等事項之實施辦法，由內政部定之。」、都市計畫法第86條：「都市計畫經發布實施後，其實施狀況，當地直轄市、縣(市)(局)政府或鄉、鎮、縣轄市公所應於每年終了一個月內編列報告，分別層報內政部或縣(市)(局)政府備查。」。次按都市計畫定期通盤檢討實施辦法第4條：「都市計畫通盤檢討時，應視實際情形分期分區就本法</w:t>
      </w:r>
      <w:r w:rsidRPr="001B766A">
        <w:rPr>
          <w:rFonts w:hAnsi="標楷體" w:hint="eastAsia"/>
        </w:rPr>
        <w:lastRenderedPageBreak/>
        <w:t>第15條或第22條規定之事項全部或部分辦理。但都市計畫發布實施已屆滿計畫年限或25年者，</w:t>
      </w:r>
      <w:r w:rsidRPr="001B766A">
        <w:rPr>
          <w:rFonts w:hAnsi="標楷體" w:hint="eastAsia"/>
          <w:b/>
        </w:rPr>
        <w:t>應</w:t>
      </w:r>
      <w:r w:rsidRPr="001B766A">
        <w:rPr>
          <w:rFonts w:hAnsi="標楷體" w:hint="eastAsia"/>
        </w:rPr>
        <w:t>予全面通盤檢討。」、都市計畫定期通盤檢討實施辦法第14條：「都市計畫發布實施後有下列情形之一者，應即辦理通盤檢討：一、都市計畫依本法第二十七條之規定辦理變更致原計畫無法配合者。二、區域計畫公告實施後，原已發布實施之都市計畫不能配合者。三、都市計畫實施地區之行政界線重新調整，而原計畫無法配合者。四、經內政部指示為配合都市計畫地區實際發展需要應即辦理通盤檢討者。五、依第三條規定，合併辦理通盤檢討者。六、依第四條規定，辦理細部計畫通盤檢討時，涉及主要計畫部分需一併檢討者。」，</w:t>
      </w:r>
      <w:r w:rsidRPr="001B766A">
        <w:rPr>
          <w:rFonts w:hAnsi="標楷體" w:hint="eastAsia"/>
          <w:b/>
        </w:rPr>
        <w:t>顯見依都市計畫法第26條檢討每3年內或5年內至少「應」通盤檢討一次，或依</w:t>
      </w:r>
      <w:r w:rsidRPr="001B766A">
        <w:rPr>
          <w:rFonts w:hAnsi="標楷體" w:hint="eastAsia"/>
        </w:rPr>
        <w:t>都市計畫定期通盤檢討實施辦法第4條都市計畫發布實施已屆滿計畫年限或25年者，</w:t>
      </w:r>
      <w:r w:rsidRPr="001B766A">
        <w:rPr>
          <w:rFonts w:hAnsi="標楷體" w:hint="eastAsia"/>
          <w:b/>
        </w:rPr>
        <w:t>「應」</w:t>
      </w:r>
      <w:r w:rsidRPr="001B766A">
        <w:rPr>
          <w:rFonts w:hAnsi="標楷體" w:hint="eastAsia"/>
        </w:rPr>
        <w:t>予全面通盤檢討</w:t>
      </w:r>
      <w:r w:rsidRPr="001B766A">
        <w:rPr>
          <w:rFonts w:hAnsi="標楷體" w:hint="eastAsia"/>
          <w:b/>
        </w:rPr>
        <w:t>，惟查相關規定並無未辦理通盤檢討之罰</w:t>
      </w:r>
      <w:r w:rsidR="007B1893">
        <w:rPr>
          <w:rFonts w:hAnsi="標楷體" w:hint="eastAsia"/>
          <w:b/>
        </w:rPr>
        <w:t>責</w:t>
      </w:r>
      <w:r w:rsidRPr="001B766A">
        <w:rPr>
          <w:rFonts w:hAnsi="標楷體" w:hint="eastAsia"/>
          <w:b/>
        </w:rPr>
        <w:t>規定</w:t>
      </w:r>
      <w:r w:rsidRPr="001B766A">
        <w:rPr>
          <w:rFonts w:hAnsi="標楷體" w:hint="eastAsia"/>
        </w:rPr>
        <w:t>。</w:t>
      </w:r>
    </w:p>
    <w:p w:rsidR="00591C3B" w:rsidRDefault="00591C3B" w:rsidP="00591C3B">
      <w:pPr>
        <w:pStyle w:val="3"/>
        <w:wordWrap w:val="0"/>
        <w:overflowPunct/>
        <w:ind w:left="1360" w:hanging="680"/>
      </w:pPr>
      <w:r>
        <w:rPr>
          <w:rFonts w:hint="eastAsia"/>
        </w:rPr>
        <w:t>再查，</w:t>
      </w:r>
      <w:r w:rsidRPr="008A6631">
        <w:rPr>
          <w:rFonts w:hint="eastAsia"/>
        </w:rPr>
        <w:t>我國「都市計畫法」立法目的在於「為改善居民生活環境，並促進市、鎮、鄉街有計畫之均衡發展」，並透過都市計畫通盤檢討等「手段」，以都市未來發展目標</w:t>
      </w:r>
      <w:r>
        <w:rPr>
          <w:rFonts w:hint="eastAsia"/>
        </w:rPr>
        <w:t>、</w:t>
      </w:r>
      <w:r w:rsidRPr="008A6631">
        <w:rPr>
          <w:rFonts w:hint="eastAsia"/>
        </w:rPr>
        <w:t>人口與產業</w:t>
      </w:r>
      <w:r>
        <w:rPr>
          <w:rFonts w:hint="eastAsia"/>
        </w:rPr>
        <w:t>活動</w:t>
      </w:r>
      <w:r w:rsidRPr="008A6631">
        <w:rPr>
          <w:rFonts w:hint="eastAsia"/>
        </w:rPr>
        <w:t>、建築容積以及公共設施容受力</w:t>
      </w:r>
      <w:r>
        <w:rPr>
          <w:rFonts w:hint="eastAsia"/>
        </w:rPr>
        <w:t>及開放空間</w:t>
      </w:r>
      <w:r w:rsidRPr="008A6631">
        <w:rPr>
          <w:rFonts w:hint="eastAsia"/>
        </w:rPr>
        <w:t>等為基礎，檢討土地使用分區與空間機能等，做為通盤檢討之依據</w:t>
      </w:r>
      <w:r>
        <w:rPr>
          <w:rFonts w:hint="eastAsia"/>
        </w:rPr>
        <w:t>，</w:t>
      </w:r>
      <w:r w:rsidRPr="008A6631">
        <w:rPr>
          <w:rFonts w:hint="eastAsia"/>
        </w:rPr>
        <w:t>以使都市計畫之規劃更能滿足都市實質發展需求</w:t>
      </w:r>
      <w:r>
        <w:rPr>
          <w:rFonts w:hint="eastAsia"/>
        </w:rPr>
        <w:t>，形</w:t>
      </w:r>
      <w:r w:rsidRPr="008A6631">
        <w:rPr>
          <w:rFonts w:hAnsi="標楷體" w:hint="eastAsia"/>
        </w:rPr>
        <w:t>塑市民認同之都市景觀意象，提昇都市環境品質，求塑造出自明性、可及性、可居性、都市風格與活力之都市風貌特色。</w:t>
      </w:r>
    </w:p>
    <w:p w:rsidR="00591C3B" w:rsidRPr="001B766A" w:rsidRDefault="007B1893" w:rsidP="00591C3B">
      <w:pPr>
        <w:pStyle w:val="3"/>
        <w:overflowPunct/>
        <w:ind w:left="1360" w:hanging="680"/>
        <w:rPr>
          <w:rFonts w:hAnsi="標楷體"/>
        </w:rPr>
      </w:pPr>
      <w:r>
        <w:rPr>
          <w:rFonts w:hAnsi="標楷體" w:hint="eastAsia"/>
        </w:rPr>
        <w:t>經查，有關我國都市計畫辦理定期通盤檢討</w:t>
      </w:r>
      <w:r w:rsidR="00591C3B" w:rsidRPr="001B766A">
        <w:rPr>
          <w:rFonts w:hAnsi="標楷體" w:hint="eastAsia"/>
        </w:rPr>
        <w:t>情形，據營建署於108年3月15日函請各直轄市、縣（市）</w:t>
      </w:r>
      <w:r w:rsidR="00591C3B" w:rsidRPr="001B766A">
        <w:rPr>
          <w:rFonts w:hAnsi="標楷體" w:hint="eastAsia"/>
        </w:rPr>
        <w:lastRenderedPageBreak/>
        <w:t>政府查報轄內各都市計畫辦理通盤檢討情形（如下表），現行全國419處都市計畫中，辦理通盤檢討中（調查時間至107年12月底）之都市計畫案計194處，其中於內政部都市計畫委員會審議階段計92處，在地方政府辦理階段計102處。另，其中超過</w:t>
      </w:r>
      <w:r w:rsidR="00591C3B">
        <w:rPr>
          <w:rFonts w:hAnsi="標楷體" w:hint="eastAsia"/>
        </w:rPr>
        <w:t>2</w:t>
      </w:r>
      <w:r w:rsidR="00591C3B" w:rsidRPr="001B766A">
        <w:rPr>
          <w:rFonts w:hAnsi="標楷體" w:hint="eastAsia"/>
        </w:rPr>
        <w:t>5年未辦理通盤檢討</w:t>
      </w:r>
      <w:r w:rsidR="00591C3B">
        <w:rPr>
          <w:rFonts w:hAnsi="標楷體" w:hint="eastAsia"/>
        </w:rPr>
        <w:t>為彰化縣政府1</w:t>
      </w:r>
      <w:r w:rsidR="00591C3B" w:rsidRPr="001B766A">
        <w:rPr>
          <w:rFonts w:hAnsi="標楷體" w:hint="eastAsia"/>
        </w:rPr>
        <w:t>處</w:t>
      </w:r>
      <w:r w:rsidR="00591C3B">
        <w:rPr>
          <w:rFonts w:hAnsi="標楷體" w:hint="eastAsia"/>
        </w:rPr>
        <w:t>，各縣市政府</w:t>
      </w:r>
      <w:r w:rsidR="00591C3B" w:rsidRPr="001B766A">
        <w:rPr>
          <w:rFonts w:hAnsi="標楷體" w:hint="eastAsia"/>
        </w:rPr>
        <w:t>超過5年未辦理通盤檢討計86處，顯見各縣市政府未能依法落實通盤檢討。</w:t>
      </w:r>
    </w:p>
    <w:p w:rsidR="00591C3B" w:rsidRPr="001B766A" w:rsidRDefault="00591C3B" w:rsidP="00591C3B">
      <w:pPr>
        <w:pStyle w:val="ab"/>
        <w:adjustRightInd w:val="0"/>
        <w:snapToGrid w:val="0"/>
        <w:spacing w:before="0" w:afterLines="50" w:after="228" w:line="500" w:lineRule="exact"/>
        <w:ind w:left="0" w:firstLine="0"/>
        <w:jc w:val="left"/>
        <w:rPr>
          <w:rFonts w:hAnsi="標楷體"/>
          <w:noProof/>
          <w:color w:val="000000"/>
          <w:sz w:val="28"/>
          <w:szCs w:val="28"/>
        </w:rPr>
      </w:pPr>
      <w:r w:rsidRPr="001B766A">
        <w:rPr>
          <w:rFonts w:hAnsi="標楷體" w:hint="eastAsia"/>
          <w:noProof/>
          <w:color w:val="000000"/>
          <w:sz w:val="28"/>
          <w:szCs w:val="28"/>
        </w:rPr>
        <w:t>表1全國都市計畫辦理定期通盤檢討處數統計</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909"/>
        <w:gridCol w:w="907"/>
        <w:gridCol w:w="1205"/>
        <w:gridCol w:w="1209"/>
        <w:gridCol w:w="1355"/>
        <w:gridCol w:w="1361"/>
        <w:gridCol w:w="1354"/>
      </w:tblGrid>
      <w:tr w:rsidR="00591C3B" w:rsidRPr="00C1273F" w:rsidTr="009F7569">
        <w:trPr>
          <w:trHeight w:val="397"/>
        </w:trPr>
        <w:tc>
          <w:tcPr>
            <w:tcW w:w="634" w:type="pct"/>
            <w:vMerge w:val="restar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行政區</w:t>
            </w:r>
          </w:p>
        </w:tc>
        <w:tc>
          <w:tcPr>
            <w:tcW w:w="478" w:type="pct"/>
            <w:vMerge w:val="restar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主要計畫處數</w:t>
            </w:r>
          </w:p>
        </w:tc>
        <w:tc>
          <w:tcPr>
            <w:tcW w:w="1747" w:type="pct"/>
            <w:gridSpan w:val="3"/>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辦理定期通盤檢討中處數</w:t>
            </w:r>
          </w:p>
        </w:tc>
        <w:tc>
          <w:tcPr>
            <w:tcW w:w="1429" w:type="pct"/>
            <w:gridSpan w:val="2"/>
            <w:shd w:val="clear" w:color="auto" w:fill="auto"/>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hint="eastAsia"/>
                <w:noProof/>
                <w:color w:val="000000"/>
                <w:sz w:val="28"/>
                <w:szCs w:val="28"/>
              </w:rPr>
              <w:t>超過</w:t>
            </w:r>
            <w:r w:rsidRPr="004827D0">
              <w:rPr>
                <w:rFonts w:ascii="Times New Roman" w:hAnsi="標楷體" w:hint="eastAsia"/>
                <w:noProof/>
                <w:color w:val="000000"/>
                <w:sz w:val="28"/>
                <w:szCs w:val="28"/>
              </w:rPr>
              <w:t>5</w:t>
            </w:r>
            <w:r w:rsidRPr="004827D0">
              <w:rPr>
                <w:rFonts w:ascii="Times New Roman" w:hAnsi="標楷體" w:hint="eastAsia"/>
                <w:noProof/>
                <w:color w:val="000000"/>
                <w:sz w:val="28"/>
                <w:szCs w:val="28"/>
              </w:rPr>
              <w:t>年</w:t>
            </w:r>
            <w:r w:rsidRPr="004827D0">
              <w:rPr>
                <w:rFonts w:ascii="Times New Roman" w:hAnsi="標楷體"/>
                <w:noProof/>
                <w:color w:val="000000"/>
                <w:sz w:val="28"/>
                <w:szCs w:val="28"/>
              </w:rPr>
              <w:t>未</w:t>
            </w:r>
            <w:r w:rsidRPr="004827D0">
              <w:rPr>
                <w:rFonts w:ascii="Times New Roman" w:hAnsi="標楷體" w:hint="eastAsia"/>
                <w:noProof/>
                <w:color w:val="000000"/>
                <w:sz w:val="28"/>
                <w:szCs w:val="28"/>
              </w:rPr>
              <w:t>辦理</w:t>
            </w:r>
            <w:r w:rsidRPr="004827D0">
              <w:rPr>
                <w:rFonts w:ascii="Times New Roman" w:hAnsi="標楷體"/>
                <w:noProof/>
                <w:color w:val="000000"/>
                <w:sz w:val="28"/>
                <w:szCs w:val="28"/>
              </w:rPr>
              <w:t>通盤檢討</w:t>
            </w:r>
            <w:r w:rsidRPr="004827D0">
              <w:rPr>
                <w:rFonts w:ascii="Times New Roman" w:hAnsi="標楷體" w:hint="eastAsia"/>
                <w:noProof/>
                <w:color w:val="000000"/>
                <w:sz w:val="28"/>
                <w:szCs w:val="28"/>
              </w:rPr>
              <w:t>處數</w:t>
            </w:r>
          </w:p>
        </w:tc>
        <w:tc>
          <w:tcPr>
            <w:tcW w:w="713" w:type="pct"/>
            <w:vMerge w:val="restart"/>
            <w:shd w:val="clear" w:color="auto" w:fill="FFFF00"/>
          </w:tcPr>
          <w:p w:rsidR="00591C3B" w:rsidRPr="004827D0" w:rsidRDefault="00591C3B" w:rsidP="009F7569">
            <w:pPr>
              <w:pStyle w:val="ab"/>
              <w:adjustRightInd w:val="0"/>
              <w:snapToGrid w:val="0"/>
              <w:spacing w:before="0"/>
              <w:ind w:left="0" w:firstLine="0"/>
              <w:jc w:val="center"/>
              <w:rPr>
                <w:rFonts w:ascii="Times New Roman" w:hAnsi="標楷體"/>
                <w:noProof/>
                <w:color w:val="000000"/>
                <w:sz w:val="24"/>
                <w:szCs w:val="24"/>
              </w:rPr>
            </w:pPr>
            <w:r w:rsidRPr="004827D0">
              <w:rPr>
                <w:rFonts w:ascii="Times New Roman" w:hAnsi="標楷體" w:hint="eastAsia"/>
                <w:noProof/>
                <w:color w:val="000000"/>
                <w:sz w:val="24"/>
                <w:szCs w:val="24"/>
              </w:rPr>
              <w:t>超過</w:t>
            </w:r>
            <w:r w:rsidRPr="004827D0">
              <w:rPr>
                <w:rFonts w:ascii="Times New Roman" w:hAnsi="標楷體" w:hint="eastAsia"/>
                <w:noProof/>
                <w:color w:val="000000"/>
                <w:sz w:val="24"/>
                <w:szCs w:val="24"/>
              </w:rPr>
              <w:t>25</w:t>
            </w:r>
            <w:r w:rsidRPr="004827D0">
              <w:rPr>
                <w:rFonts w:ascii="Times New Roman" w:hAnsi="標楷體" w:hint="eastAsia"/>
                <w:noProof/>
                <w:color w:val="000000"/>
                <w:sz w:val="24"/>
                <w:szCs w:val="24"/>
              </w:rPr>
              <w:t>年（</w:t>
            </w:r>
            <w:r w:rsidRPr="004827D0">
              <w:rPr>
                <w:rFonts w:ascii="Times New Roman" w:hAnsi="標楷體" w:hint="eastAsia"/>
                <w:noProof/>
                <w:color w:val="000000"/>
                <w:sz w:val="24"/>
                <w:szCs w:val="24"/>
              </w:rPr>
              <w:t>83</w:t>
            </w:r>
            <w:r w:rsidRPr="004827D0">
              <w:rPr>
                <w:rFonts w:ascii="Times New Roman" w:hAnsi="標楷體" w:hint="eastAsia"/>
                <w:noProof/>
                <w:color w:val="000000"/>
                <w:sz w:val="24"/>
                <w:szCs w:val="24"/>
              </w:rPr>
              <w:t>年迄今）未辦理通盤檢討處數</w:t>
            </w:r>
          </w:p>
        </w:tc>
      </w:tr>
      <w:tr w:rsidR="00591C3B" w:rsidRPr="00C1273F" w:rsidTr="009F7569">
        <w:trPr>
          <w:trHeight w:val="397"/>
        </w:trPr>
        <w:tc>
          <w:tcPr>
            <w:tcW w:w="634" w:type="pct"/>
            <w:vMerge/>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p>
        </w:tc>
        <w:tc>
          <w:tcPr>
            <w:tcW w:w="478" w:type="pct"/>
            <w:vMerge/>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小計</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部階段</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地方政府</w:t>
            </w:r>
            <w:r w:rsidRPr="004827D0">
              <w:rPr>
                <w:rFonts w:ascii="Times New Roman" w:hAnsi="標楷體"/>
                <w:noProof/>
                <w:color w:val="000000"/>
                <w:sz w:val="28"/>
                <w:szCs w:val="28"/>
              </w:rPr>
              <w:t>階段</w:t>
            </w:r>
          </w:p>
        </w:tc>
        <w:tc>
          <w:tcPr>
            <w:tcW w:w="713" w:type="pct"/>
            <w:shd w:val="clear" w:color="auto" w:fill="auto"/>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10</w:t>
            </w:r>
            <w:r w:rsidRPr="004827D0">
              <w:rPr>
                <w:rFonts w:ascii="Times New Roman" w:hAnsi="Calibri" w:hint="eastAsia"/>
                <w:noProof/>
                <w:color w:val="000000"/>
                <w:sz w:val="28"/>
                <w:szCs w:val="28"/>
              </w:rPr>
              <w:t>3</w:t>
            </w:r>
            <w:r w:rsidRPr="004827D0">
              <w:rPr>
                <w:rFonts w:ascii="Times New Roman" w:hAnsi="標楷體"/>
                <w:noProof/>
                <w:color w:val="000000"/>
                <w:sz w:val="28"/>
                <w:szCs w:val="28"/>
              </w:rPr>
              <w:t>年以後發布實施</w:t>
            </w:r>
          </w:p>
        </w:tc>
        <w:tc>
          <w:tcPr>
            <w:tcW w:w="716" w:type="pct"/>
            <w:shd w:val="clear" w:color="auto" w:fill="auto"/>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10</w:t>
            </w:r>
            <w:r w:rsidRPr="004827D0">
              <w:rPr>
                <w:rFonts w:ascii="Times New Roman" w:hAnsi="Calibri" w:hint="eastAsia"/>
                <w:noProof/>
                <w:color w:val="000000"/>
                <w:sz w:val="28"/>
                <w:szCs w:val="28"/>
              </w:rPr>
              <w:t>3</w:t>
            </w:r>
            <w:r w:rsidRPr="004827D0">
              <w:rPr>
                <w:rFonts w:ascii="Times New Roman" w:hAnsi="標楷體"/>
                <w:noProof/>
                <w:color w:val="000000"/>
                <w:sz w:val="28"/>
                <w:szCs w:val="28"/>
              </w:rPr>
              <w:t>年以前發布實施</w:t>
            </w:r>
          </w:p>
        </w:tc>
        <w:tc>
          <w:tcPr>
            <w:tcW w:w="714" w:type="pct"/>
            <w:vMerge/>
            <w:shd w:val="clear" w:color="auto" w:fill="FFFF00"/>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新北市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45</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30</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r w:rsidRPr="004827D0">
              <w:rPr>
                <w:rFonts w:ascii="Times New Roman" w:hAnsi="Calibri" w:hint="eastAsia"/>
                <w:noProof/>
                <w:color w:val="000000"/>
                <w:sz w:val="28"/>
                <w:szCs w:val="28"/>
              </w:rPr>
              <w:t>2</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18</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5</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臺北市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桃園市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32</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22</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11</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11</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2</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臺中市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28</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12</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5</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7</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13</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3</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臺南市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41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24</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17</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7</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10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7</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高雄市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31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2</w:t>
            </w:r>
            <w:r w:rsidRPr="004827D0">
              <w:rPr>
                <w:rFonts w:hint="eastAsia"/>
                <w:color w:val="000000"/>
                <w:sz w:val="28"/>
                <w:szCs w:val="28"/>
              </w:rPr>
              <w:t>3</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2</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宜蘭縣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20</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12</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9</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4</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4</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新竹縣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16</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5</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5</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5</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苗栗縣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20</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9</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7</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11</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彰化縣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31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14</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8</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9</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1(溪州)</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南投縣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20</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5</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7</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雲林縣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25</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11</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8</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6</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嘉義縣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28</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10</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4</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屏東縣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30</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12</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7</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5</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8</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花蓮縣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19</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4</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2</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13</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2</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臺東縣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17</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9</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6</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5</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3</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基隆市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新竹市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1</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lastRenderedPageBreak/>
              <w:t>嘉義市</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澎湖縣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6</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4</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3</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1</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2</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金門縣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w:t>
            </w:r>
          </w:p>
        </w:tc>
        <w:tc>
          <w:tcPr>
            <w:tcW w:w="713"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6" w:type="pct"/>
            <w:shd w:val="clear" w:color="auto" w:fill="auto"/>
            <w:vAlign w:val="center"/>
          </w:tcPr>
          <w:p w:rsidR="00591C3B" w:rsidRPr="004827D0" w:rsidRDefault="00591C3B" w:rsidP="009F7569">
            <w:pPr>
              <w:jc w:val="center"/>
              <w:rPr>
                <w:color w:val="000000"/>
                <w:sz w:val="28"/>
                <w:szCs w:val="28"/>
              </w:rPr>
            </w:pPr>
            <w:r w:rsidRPr="004827D0">
              <w:rPr>
                <w:color w:val="000000"/>
                <w:sz w:val="28"/>
                <w:szCs w:val="28"/>
              </w:rPr>
              <w:t>0</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456"/>
        </w:trPr>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連江縣</w:t>
            </w:r>
          </w:p>
        </w:tc>
        <w:tc>
          <w:tcPr>
            <w:tcW w:w="478"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5</w:t>
            </w:r>
          </w:p>
        </w:tc>
        <w:tc>
          <w:tcPr>
            <w:tcW w:w="477"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4"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635" w:type="pct"/>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0</w:t>
            </w:r>
          </w:p>
        </w:tc>
        <w:tc>
          <w:tcPr>
            <w:tcW w:w="713"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2</w:t>
            </w:r>
          </w:p>
        </w:tc>
        <w:tc>
          <w:tcPr>
            <w:tcW w:w="716" w:type="pct"/>
            <w:shd w:val="clear" w:color="auto" w:fill="auto"/>
            <w:vAlign w:val="center"/>
          </w:tcPr>
          <w:p w:rsidR="00591C3B" w:rsidRPr="004827D0" w:rsidRDefault="00591C3B" w:rsidP="009F7569">
            <w:pPr>
              <w:jc w:val="center"/>
              <w:rPr>
                <w:color w:val="000000"/>
                <w:sz w:val="28"/>
                <w:szCs w:val="28"/>
              </w:rPr>
            </w:pPr>
            <w:r w:rsidRPr="004827D0">
              <w:rPr>
                <w:rFonts w:hint="eastAsia"/>
                <w:color w:val="000000"/>
                <w:sz w:val="28"/>
                <w:szCs w:val="28"/>
              </w:rPr>
              <w:t>3</w:t>
            </w:r>
          </w:p>
        </w:tc>
        <w:tc>
          <w:tcPr>
            <w:tcW w:w="714" w:type="pct"/>
            <w:shd w:val="clear" w:color="auto" w:fill="FFFF00"/>
          </w:tcPr>
          <w:p w:rsidR="00591C3B" w:rsidRPr="004827D0" w:rsidRDefault="00591C3B" w:rsidP="009F7569">
            <w:pPr>
              <w:jc w:val="center"/>
              <w:rPr>
                <w:color w:val="000000"/>
                <w:sz w:val="28"/>
                <w:szCs w:val="28"/>
              </w:rPr>
            </w:pPr>
            <w:r w:rsidRPr="004827D0">
              <w:rPr>
                <w:rFonts w:hint="eastAsia"/>
                <w:color w:val="000000"/>
                <w:sz w:val="28"/>
                <w:szCs w:val="28"/>
              </w:rPr>
              <w:t>0</w:t>
            </w:r>
          </w:p>
        </w:tc>
      </w:tr>
      <w:tr w:rsidR="00591C3B" w:rsidRPr="00C1273F" w:rsidTr="009F7569">
        <w:trPr>
          <w:trHeight w:val="397"/>
        </w:trPr>
        <w:tc>
          <w:tcPr>
            <w:tcW w:w="634"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標楷體"/>
                <w:noProof/>
                <w:color w:val="000000"/>
                <w:sz w:val="28"/>
                <w:szCs w:val="28"/>
              </w:rPr>
              <w:t>合計</w:t>
            </w:r>
          </w:p>
        </w:tc>
        <w:tc>
          <w:tcPr>
            <w:tcW w:w="478"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419</w:t>
            </w:r>
          </w:p>
        </w:tc>
        <w:tc>
          <w:tcPr>
            <w:tcW w:w="477"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194</w:t>
            </w:r>
          </w:p>
        </w:tc>
        <w:tc>
          <w:tcPr>
            <w:tcW w:w="634"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92</w:t>
            </w:r>
          </w:p>
        </w:tc>
        <w:tc>
          <w:tcPr>
            <w:tcW w:w="635"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102</w:t>
            </w:r>
          </w:p>
        </w:tc>
        <w:tc>
          <w:tcPr>
            <w:tcW w:w="713"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139</w:t>
            </w:r>
          </w:p>
        </w:tc>
        <w:tc>
          <w:tcPr>
            <w:tcW w:w="716" w:type="pct"/>
            <w:tcBorders>
              <w:bottom w:val="single" w:sz="4" w:space="0" w:color="auto"/>
            </w:tcBorders>
            <w:shd w:val="clear" w:color="auto" w:fill="auto"/>
            <w:vAlign w:val="center"/>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noProof/>
                <w:color w:val="000000"/>
                <w:sz w:val="28"/>
                <w:szCs w:val="28"/>
              </w:rPr>
              <w:t>86</w:t>
            </w:r>
          </w:p>
        </w:tc>
        <w:tc>
          <w:tcPr>
            <w:tcW w:w="714" w:type="pct"/>
            <w:tcBorders>
              <w:bottom w:val="single" w:sz="4" w:space="0" w:color="auto"/>
            </w:tcBorders>
            <w:shd w:val="clear" w:color="auto" w:fill="FFFF00"/>
          </w:tcPr>
          <w:p w:rsidR="00591C3B" w:rsidRPr="004827D0" w:rsidRDefault="00591C3B" w:rsidP="009F7569">
            <w:pPr>
              <w:pStyle w:val="ab"/>
              <w:adjustRightInd w:val="0"/>
              <w:snapToGrid w:val="0"/>
              <w:spacing w:before="0"/>
              <w:ind w:left="0" w:firstLine="0"/>
              <w:jc w:val="center"/>
              <w:rPr>
                <w:rFonts w:ascii="Times New Roman" w:hAnsi="Calibri"/>
                <w:noProof/>
                <w:color w:val="000000"/>
                <w:sz w:val="28"/>
                <w:szCs w:val="28"/>
              </w:rPr>
            </w:pPr>
            <w:r w:rsidRPr="004827D0">
              <w:rPr>
                <w:rFonts w:ascii="Times New Roman" w:hAnsi="Calibri" w:hint="eastAsia"/>
                <w:noProof/>
                <w:color w:val="000000"/>
                <w:sz w:val="28"/>
                <w:szCs w:val="28"/>
              </w:rPr>
              <w:t>0</w:t>
            </w:r>
          </w:p>
        </w:tc>
      </w:tr>
      <w:tr w:rsidR="00591C3B" w:rsidRPr="00C1273F" w:rsidTr="009F7569">
        <w:trPr>
          <w:trHeight w:val="397"/>
        </w:trPr>
        <w:tc>
          <w:tcPr>
            <w:tcW w:w="1" w:type="pct"/>
            <w:gridSpan w:val="8"/>
            <w:shd w:val="clear" w:color="auto" w:fill="auto"/>
            <w:vAlign w:val="center"/>
          </w:tcPr>
          <w:p w:rsidR="00591C3B" w:rsidRPr="004827D0" w:rsidRDefault="00591C3B" w:rsidP="009F7569">
            <w:pPr>
              <w:pStyle w:val="ab"/>
              <w:adjustRightInd w:val="0"/>
              <w:snapToGrid w:val="0"/>
              <w:spacing w:before="0"/>
              <w:ind w:left="0" w:firstLine="0"/>
              <w:rPr>
                <w:rFonts w:ascii="Times New Roman" w:hAnsi="Calibri"/>
                <w:noProof/>
                <w:color w:val="000000"/>
                <w:sz w:val="24"/>
                <w:szCs w:val="24"/>
              </w:rPr>
            </w:pPr>
            <w:r w:rsidRPr="004827D0">
              <w:rPr>
                <w:rFonts w:ascii="Times New Roman" w:hAnsi="標楷體"/>
                <w:noProof/>
                <w:color w:val="000000"/>
                <w:sz w:val="24"/>
                <w:szCs w:val="24"/>
              </w:rPr>
              <w:t>備註：</w:t>
            </w:r>
          </w:p>
          <w:p w:rsidR="00591C3B" w:rsidRPr="004827D0" w:rsidRDefault="00591C3B" w:rsidP="009F7569">
            <w:pPr>
              <w:pStyle w:val="ab"/>
              <w:adjustRightInd w:val="0"/>
              <w:snapToGrid w:val="0"/>
              <w:spacing w:before="0"/>
              <w:ind w:left="0" w:firstLine="0"/>
              <w:rPr>
                <w:rFonts w:ascii="Times New Roman" w:hAnsi="標楷體"/>
                <w:noProof/>
                <w:color w:val="000000"/>
                <w:sz w:val="24"/>
                <w:szCs w:val="24"/>
              </w:rPr>
            </w:pPr>
            <w:r w:rsidRPr="004827D0">
              <w:rPr>
                <w:rFonts w:ascii="Times New Roman" w:hAnsi="標楷體"/>
                <w:noProof/>
                <w:color w:val="000000"/>
                <w:sz w:val="24"/>
                <w:szCs w:val="24"/>
              </w:rPr>
              <w:t>林口、東北角、龍壽迴龍、嘉義交流道、仁義潭等</w:t>
            </w:r>
            <w:r w:rsidRPr="004827D0">
              <w:rPr>
                <w:rFonts w:ascii="Times New Roman" w:hAnsi="Calibri"/>
                <w:noProof/>
                <w:color w:val="000000"/>
                <w:sz w:val="24"/>
                <w:szCs w:val="24"/>
              </w:rPr>
              <w:t>5</w:t>
            </w:r>
            <w:r w:rsidRPr="004827D0">
              <w:rPr>
                <w:rFonts w:ascii="Times New Roman" w:hAnsi="標楷體"/>
                <w:noProof/>
                <w:color w:val="000000"/>
                <w:sz w:val="24"/>
                <w:szCs w:val="24"/>
              </w:rPr>
              <w:t>處都市計畫因跨直轄市、縣（市）轄區，僅計入新北市（林口、東北角）、桃園市（龍壽迴龍）、嘉義縣（嘉義交流道、仁義潭）。</w:t>
            </w:r>
          </w:p>
        </w:tc>
      </w:tr>
    </w:tbl>
    <w:p w:rsidR="00591C3B" w:rsidRPr="001B766A" w:rsidRDefault="00591C3B" w:rsidP="00591C3B">
      <w:pPr>
        <w:pStyle w:val="ab"/>
        <w:adjustRightInd w:val="0"/>
        <w:snapToGrid w:val="0"/>
        <w:spacing w:before="0"/>
        <w:ind w:left="0" w:firstLine="0"/>
        <w:rPr>
          <w:rFonts w:hAnsi="標楷體"/>
          <w:noProof/>
          <w:color w:val="000000"/>
          <w:sz w:val="24"/>
          <w:szCs w:val="24"/>
        </w:rPr>
      </w:pPr>
      <w:r w:rsidRPr="001B766A">
        <w:rPr>
          <w:rFonts w:hAnsi="標楷體" w:hint="eastAsia"/>
          <w:noProof/>
          <w:color w:val="000000"/>
          <w:sz w:val="24"/>
          <w:szCs w:val="24"/>
        </w:rPr>
        <w:t>註：</w:t>
      </w:r>
      <w:r>
        <w:rPr>
          <w:rFonts w:hAnsi="標楷體" w:hint="eastAsia"/>
          <w:noProof/>
          <w:color w:val="000000"/>
          <w:sz w:val="24"/>
          <w:szCs w:val="24"/>
        </w:rPr>
        <w:t>營建署</w:t>
      </w:r>
      <w:r w:rsidRPr="001B766A">
        <w:rPr>
          <w:rFonts w:hAnsi="標楷體" w:hint="eastAsia"/>
          <w:noProof/>
          <w:color w:val="000000"/>
          <w:sz w:val="24"/>
          <w:szCs w:val="24"/>
        </w:rPr>
        <w:t>統計至107年12月底</w:t>
      </w:r>
      <w:r>
        <w:rPr>
          <w:rFonts w:hAnsi="標楷體" w:hint="eastAsia"/>
          <w:noProof/>
          <w:color w:val="000000"/>
          <w:sz w:val="24"/>
          <w:szCs w:val="24"/>
        </w:rPr>
        <w:t>（108年9月更新）。</w:t>
      </w:r>
    </w:p>
    <w:p w:rsidR="00591C3B" w:rsidRPr="001B766A" w:rsidRDefault="00591C3B" w:rsidP="00591C3B">
      <w:pPr>
        <w:pStyle w:val="3"/>
        <w:wordWrap w:val="0"/>
        <w:overflowPunct/>
        <w:ind w:left="1360" w:hanging="680"/>
        <w:rPr>
          <w:rFonts w:hAnsi="標楷體"/>
        </w:rPr>
      </w:pPr>
      <w:r w:rsidRPr="001B766A">
        <w:rPr>
          <w:rFonts w:hAnsi="標楷體" w:hint="eastAsia"/>
        </w:rPr>
        <w:t>次查，有關各直轄市、縣（市）政府</w:t>
      </w:r>
      <w:r w:rsidRPr="001B766A">
        <w:rPr>
          <w:rFonts w:hAnsi="標楷體"/>
        </w:rPr>
        <w:t>100</w:t>
      </w:r>
      <w:r w:rsidRPr="001B766A">
        <w:rPr>
          <w:rFonts w:hAnsi="標楷體" w:hint="eastAsia"/>
        </w:rPr>
        <w:t>年至</w:t>
      </w:r>
      <w:r w:rsidRPr="001B766A">
        <w:rPr>
          <w:rFonts w:hAnsi="標楷體"/>
        </w:rPr>
        <w:t>107</w:t>
      </w:r>
      <w:r w:rsidRPr="001B766A">
        <w:rPr>
          <w:rFonts w:hAnsi="標楷體" w:hint="eastAsia"/>
        </w:rPr>
        <w:t>年度主要計畫案之通盤檢討辦理天數（如下表），平均辦理天數</w:t>
      </w:r>
      <w:r w:rsidRPr="001B766A">
        <w:rPr>
          <w:rFonts w:hAnsi="標楷體"/>
        </w:rPr>
        <w:t>1,</w:t>
      </w:r>
      <w:r w:rsidRPr="001B766A">
        <w:rPr>
          <w:rFonts w:hAnsi="標楷體" w:hint="eastAsia"/>
        </w:rPr>
        <w:t>759.6天（約4.8年），個案變更平均辦理天數</w:t>
      </w:r>
      <w:r w:rsidRPr="001B766A">
        <w:rPr>
          <w:rFonts w:hAnsi="標楷體"/>
        </w:rPr>
        <w:t>64</w:t>
      </w:r>
      <w:r w:rsidRPr="001B766A">
        <w:rPr>
          <w:rFonts w:hAnsi="標楷體" w:hint="eastAsia"/>
        </w:rPr>
        <w:t>8.9天（約</w:t>
      </w:r>
      <w:r w:rsidRPr="001B766A">
        <w:rPr>
          <w:rFonts w:hAnsi="標楷體"/>
        </w:rPr>
        <w:t>1</w:t>
      </w:r>
      <w:r w:rsidRPr="001B766A">
        <w:rPr>
          <w:rFonts w:hAnsi="標楷體" w:hint="eastAsia"/>
        </w:rPr>
        <w:t>年</w:t>
      </w:r>
      <w:r w:rsidRPr="001B766A">
        <w:rPr>
          <w:rFonts w:hAnsi="標楷體"/>
        </w:rPr>
        <w:t>7</w:t>
      </w:r>
      <w:r w:rsidRPr="001B766A">
        <w:rPr>
          <w:rFonts w:hAnsi="標楷體" w:hint="eastAsia"/>
        </w:rPr>
        <w:t>個月）。細部計畫案之通盤檢討平均辦理天數913天（約</w:t>
      </w:r>
      <w:r w:rsidRPr="001B766A">
        <w:rPr>
          <w:rFonts w:hAnsi="標楷體"/>
        </w:rPr>
        <w:t>2</w:t>
      </w:r>
      <w:r w:rsidRPr="001B766A">
        <w:rPr>
          <w:rFonts w:hAnsi="標楷體" w:hint="eastAsia"/>
        </w:rPr>
        <w:t>.5年），個案變更平均辦理天數</w:t>
      </w:r>
      <w:r w:rsidRPr="001B766A">
        <w:rPr>
          <w:rFonts w:hAnsi="標楷體"/>
        </w:rPr>
        <w:t>42</w:t>
      </w:r>
      <w:r w:rsidRPr="001B766A">
        <w:rPr>
          <w:rFonts w:hAnsi="標楷體" w:hint="eastAsia"/>
        </w:rPr>
        <w:t>8天（約</w:t>
      </w:r>
      <w:r w:rsidRPr="001B766A">
        <w:rPr>
          <w:rFonts w:hAnsi="標楷體"/>
        </w:rPr>
        <w:t>1</w:t>
      </w:r>
      <w:r w:rsidRPr="001B766A">
        <w:rPr>
          <w:rFonts w:hAnsi="標楷體" w:hint="eastAsia"/>
        </w:rPr>
        <w:t>.17年）均有待檢討改進。</w:t>
      </w:r>
    </w:p>
    <w:p w:rsidR="00591C3B" w:rsidRPr="001B766A" w:rsidRDefault="00591C3B" w:rsidP="00591C3B">
      <w:pPr>
        <w:pStyle w:val="ab"/>
        <w:adjustRightInd w:val="0"/>
        <w:snapToGrid w:val="0"/>
        <w:spacing w:beforeLines="50" w:before="228" w:line="500" w:lineRule="exact"/>
        <w:ind w:left="960" w:hangingChars="300" w:hanging="960"/>
        <w:jc w:val="center"/>
        <w:rPr>
          <w:rFonts w:hAnsi="標楷體"/>
          <w:noProof/>
          <w:color w:val="000000"/>
          <w:sz w:val="28"/>
          <w:szCs w:val="28"/>
        </w:rPr>
      </w:pPr>
      <w:r w:rsidRPr="001B766A">
        <w:rPr>
          <w:rFonts w:hAnsi="標楷體" w:hint="eastAsia"/>
          <w:noProof/>
          <w:color w:val="000000"/>
          <w:sz w:val="28"/>
          <w:szCs w:val="28"/>
        </w:rPr>
        <w:t>表2  100年至107年</w:t>
      </w:r>
      <w:r w:rsidRPr="001B766A">
        <w:rPr>
          <w:rFonts w:hAnsi="標楷體" w:hint="eastAsia"/>
          <w:b/>
          <w:noProof/>
          <w:color w:val="000000"/>
          <w:sz w:val="28"/>
          <w:szCs w:val="28"/>
        </w:rPr>
        <w:t>主要計畫</w:t>
      </w:r>
      <w:r w:rsidRPr="001B766A">
        <w:rPr>
          <w:rFonts w:hAnsi="標楷體" w:hint="eastAsia"/>
          <w:noProof/>
          <w:color w:val="000000"/>
          <w:sz w:val="28"/>
          <w:szCs w:val="28"/>
        </w:rPr>
        <w:t>發布實施都市計畫案件數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13"/>
        <w:gridCol w:w="2025"/>
        <w:gridCol w:w="2025"/>
        <w:gridCol w:w="2025"/>
      </w:tblGrid>
      <w:tr w:rsidR="00591C3B" w:rsidRPr="001B766A" w:rsidTr="009F7569">
        <w:trPr>
          <w:jc w:val="center"/>
        </w:trPr>
        <w:tc>
          <w:tcPr>
            <w:tcW w:w="648" w:type="pct"/>
            <w:vMerge w:val="restart"/>
            <w:tcBorders>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r w:rsidRPr="001B766A">
              <w:rPr>
                <w:rFonts w:hAnsi="標楷體" w:hint="eastAsia"/>
                <w:noProof/>
                <w:color w:val="000000"/>
                <w:sz w:val="28"/>
                <w:szCs w:val="28"/>
              </w:rPr>
              <w:t>項目</w:t>
            </w:r>
          </w:p>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p>
          <w:p w:rsidR="00591C3B" w:rsidRPr="001B766A" w:rsidRDefault="00591C3B" w:rsidP="009F7569">
            <w:pPr>
              <w:pStyle w:val="ab"/>
              <w:adjustRightInd w:val="0"/>
              <w:snapToGrid w:val="0"/>
              <w:spacing w:before="0"/>
              <w:ind w:left="0" w:firstLine="0"/>
              <w:jc w:val="left"/>
              <w:rPr>
                <w:rFonts w:hAnsi="標楷體"/>
                <w:noProof/>
                <w:color w:val="000000"/>
                <w:sz w:val="28"/>
                <w:szCs w:val="28"/>
              </w:rPr>
            </w:pPr>
            <w:r w:rsidRPr="001B766A">
              <w:rPr>
                <w:rFonts w:hAnsi="標楷體" w:hint="eastAsia"/>
                <w:noProof/>
                <w:color w:val="000000"/>
                <w:sz w:val="28"/>
                <w:szCs w:val="28"/>
              </w:rPr>
              <w:t>年度</w:t>
            </w:r>
          </w:p>
        </w:tc>
        <w:tc>
          <w:tcPr>
            <w:tcW w:w="913" w:type="pct"/>
            <w:vMerge w:val="restar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平均辦理天數</w:t>
            </w: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擬定/擴大</w:t>
            </w: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通盤檢討</w:t>
            </w: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個案變更</w:t>
            </w:r>
          </w:p>
        </w:tc>
      </w:tr>
      <w:tr w:rsidR="00591C3B" w:rsidRPr="001B766A" w:rsidTr="009F7569">
        <w:trPr>
          <w:jc w:val="center"/>
        </w:trPr>
        <w:tc>
          <w:tcPr>
            <w:tcW w:w="648" w:type="pct"/>
            <w:vMerge/>
            <w:tcBorders>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p>
        </w:tc>
        <w:tc>
          <w:tcPr>
            <w:tcW w:w="913" w:type="pct"/>
            <w:vMerge/>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c>
          <w:tcPr>
            <w:tcW w:w="1146"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830</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1335</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462</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101</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871</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1407</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479</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102</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997</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4341</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1623</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671</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103</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1001</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1853</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1678</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871</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104</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996</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1968</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1419</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511</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105</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1062</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1408</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1908</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740</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106</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1398</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2371</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706</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107</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1513</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2336</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751</w:t>
            </w:r>
          </w:p>
        </w:tc>
      </w:tr>
      <w:tr w:rsidR="00591C3B" w:rsidRPr="001B766A" w:rsidTr="009F7569">
        <w:trPr>
          <w:jc w:val="center"/>
        </w:trPr>
        <w:tc>
          <w:tcPr>
            <w:tcW w:w="648"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4"/>
                <w:szCs w:val="24"/>
              </w:rPr>
              <w:t>100-107平均值</w:t>
            </w:r>
          </w:p>
        </w:tc>
        <w:tc>
          <w:tcPr>
            <w:tcW w:w="91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1083.5</w:t>
            </w:r>
            <w:r w:rsidRPr="001B766A">
              <w:rPr>
                <w:rFonts w:hAnsi="標楷體"/>
                <w:noProof/>
                <w:color w:val="000000"/>
                <w:sz w:val="28"/>
                <w:szCs w:val="28"/>
              </w:rPr>
              <w:tab/>
            </w:r>
            <w:r w:rsidRPr="001B766A">
              <w:rPr>
                <w:rFonts w:hAnsi="標楷體"/>
                <w:noProof/>
                <w:color w:val="000000"/>
                <w:sz w:val="28"/>
                <w:szCs w:val="28"/>
              </w:rPr>
              <w:tab/>
            </w:r>
            <w:r w:rsidRPr="001B766A">
              <w:rPr>
                <w:rFonts w:hAnsi="標楷體"/>
                <w:noProof/>
                <w:color w:val="000000"/>
                <w:sz w:val="28"/>
                <w:szCs w:val="28"/>
              </w:rPr>
              <w:tab/>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1196.</w:t>
            </w:r>
            <w:r w:rsidRPr="001B766A">
              <w:rPr>
                <w:rFonts w:hAnsi="標楷體" w:hint="eastAsia"/>
                <w:noProof/>
                <w:color w:val="000000"/>
                <w:sz w:val="28"/>
                <w:szCs w:val="28"/>
              </w:rPr>
              <w:t>3</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shd w:val="pct15" w:color="auto" w:fill="FFFFFF"/>
              </w:rPr>
              <w:t>1759.6</w:t>
            </w:r>
          </w:p>
        </w:tc>
        <w:tc>
          <w:tcPr>
            <w:tcW w:w="1146"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648.</w:t>
            </w:r>
            <w:r w:rsidRPr="001B766A">
              <w:rPr>
                <w:rFonts w:hAnsi="標楷體" w:hint="eastAsia"/>
                <w:noProof/>
                <w:color w:val="000000"/>
                <w:sz w:val="28"/>
                <w:szCs w:val="28"/>
              </w:rPr>
              <w:t>9</w:t>
            </w:r>
          </w:p>
        </w:tc>
      </w:tr>
    </w:tbl>
    <w:p w:rsidR="00591C3B" w:rsidRPr="001B766A" w:rsidRDefault="00591C3B" w:rsidP="00591C3B">
      <w:pPr>
        <w:pStyle w:val="ab"/>
        <w:adjustRightInd w:val="0"/>
        <w:snapToGrid w:val="0"/>
        <w:spacing w:before="0"/>
        <w:ind w:left="0" w:firstLine="0"/>
        <w:rPr>
          <w:rFonts w:hAnsi="標楷體"/>
          <w:noProof/>
          <w:color w:val="000000"/>
          <w:sz w:val="24"/>
          <w:szCs w:val="24"/>
        </w:rPr>
      </w:pPr>
      <w:r w:rsidRPr="001B766A">
        <w:rPr>
          <w:rFonts w:hAnsi="標楷體" w:hint="eastAsia"/>
          <w:noProof/>
          <w:color w:val="000000"/>
          <w:sz w:val="24"/>
          <w:szCs w:val="24"/>
        </w:rPr>
        <w:t>資料來源：內政部彙整直轄市、縣（市）政府函報資料；統計至107年12月底</w:t>
      </w:r>
      <w:r>
        <w:rPr>
          <w:rFonts w:hAnsi="標楷體" w:hint="eastAsia"/>
          <w:noProof/>
          <w:color w:val="000000"/>
          <w:sz w:val="24"/>
          <w:szCs w:val="24"/>
        </w:rPr>
        <w:t>（108年9月更新）。</w:t>
      </w:r>
    </w:p>
    <w:p w:rsidR="00591C3B" w:rsidRPr="001B766A" w:rsidRDefault="00591C3B" w:rsidP="00591C3B">
      <w:pPr>
        <w:pStyle w:val="ab"/>
        <w:adjustRightInd w:val="0"/>
        <w:snapToGrid w:val="0"/>
        <w:spacing w:beforeLines="50" w:before="228" w:line="500" w:lineRule="exact"/>
        <w:ind w:left="960" w:hangingChars="300" w:hanging="960"/>
        <w:jc w:val="center"/>
        <w:rPr>
          <w:rFonts w:hAnsi="標楷體"/>
          <w:noProof/>
          <w:color w:val="000000"/>
          <w:sz w:val="28"/>
          <w:szCs w:val="28"/>
        </w:rPr>
      </w:pPr>
      <w:r w:rsidRPr="001B766A">
        <w:rPr>
          <w:rFonts w:hAnsi="標楷體" w:hint="eastAsia"/>
          <w:noProof/>
          <w:color w:val="000000"/>
          <w:sz w:val="28"/>
          <w:szCs w:val="28"/>
        </w:rPr>
        <w:t>表3  100年至107年</w:t>
      </w:r>
      <w:r w:rsidRPr="001B766A">
        <w:rPr>
          <w:rFonts w:hAnsi="標楷體" w:hint="eastAsia"/>
          <w:b/>
          <w:noProof/>
          <w:color w:val="000000"/>
          <w:sz w:val="28"/>
          <w:szCs w:val="28"/>
        </w:rPr>
        <w:t>細部計畫</w:t>
      </w:r>
      <w:r w:rsidRPr="001B766A">
        <w:rPr>
          <w:rFonts w:hAnsi="標楷體" w:hint="eastAsia"/>
          <w:noProof/>
          <w:color w:val="000000"/>
          <w:sz w:val="28"/>
          <w:szCs w:val="28"/>
        </w:rPr>
        <w:t>發布實施都市計畫案件數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617"/>
        <w:gridCol w:w="2055"/>
        <w:gridCol w:w="2060"/>
        <w:gridCol w:w="1963"/>
      </w:tblGrid>
      <w:tr w:rsidR="00591C3B" w:rsidRPr="001B766A" w:rsidTr="009F7569">
        <w:trPr>
          <w:jc w:val="center"/>
        </w:trPr>
        <w:tc>
          <w:tcPr>
            <w:tcW w:w="645"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r w:rsidRPr="001B766A">
              <w:rPr>
                <w:rFonts w:hAnsi="標楷體" w:hint="eastAsia"/>
                <w:noProof/>
                <w:color w:val="000000"/>
                <w:sz w:val="28"/>
                <w:szCs w:val="28"/>
              </w:rPr>
              <w:t>項目</w:t>
            </w:r>
          </w:p>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p>
          <w:p w:rsidR="00591C3B" w:rsidRPr="001B766A" w:rsidRDefault="00591C3B" w:rsidP="009F7569">
            <w:pPr>
              <w:pStyle w:val="ab"/>
              <w:adjustRightInd w:val="0"/>
              <w:snapToGrid w:val="0"/>
              <w:spacing w:before="0"/>
              <w:ind w:left="0" w:firstLine="0"/>
              <w:jc w:val="left"/>
              <w:rPr>
                <w:rFonts w:hAnsi="標楷體"/>
                <w:noProof/>
                <w:color w:val="000000"/>
                <w:sz w:val="28"/>
                <w:szCs w:val="28"/>
              </w:rPr>
            </w:pPr>
            <w:r w:rsidRPr="001B766A">
              <w:rPr>
                <w:rFonts w:hAnsi="標楷體" w:hint="eastAsia"/>
                <w:noProof/>
                <w:color w:val="000000"/>
                <w:sz w:val="28"/>
                <w:szCs w:val="28"/>
              </w:rPr>
              <w:t>年度</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lastRenderedPageBreak/>
              <w:t>平均辦理</w:t>
            </w:r>
            <w:r w:rsidRPr="001B766A">
              <w:rPr>
                <w:rFonts w:hAnsi="標楷體" w:hint="eastAsia"/>
                <w:noProof/>
                <w:color w:val="000000"/>
                <w:sz w:val="28"/>
                <w:szCs w:val="28"/>
              </w:rPr>
              <w:lastRenderedPageBreak/>
              <w:t>天數</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lastRenderedPageBreak/>
              <w:t>擬定/擴大</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通盤檢討</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個案變更</w:t>
            </w:r>
          </w:p>
        </w:tc>
      </w:tr>
      <w:tr w:rsidR="00591C3B" w:rsidRPr="001B766A" w:rsidTr="009F7569">
        <w:trPr>
          <w:jc w:val="center"/>
        </w:trPr>
        <w:tc>
          <w:tcPr>
            <w:tcW w:w="645" w:type="pct"/>
            <w:vMerge/>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p>
        </w:tc>
        <w:tc>
          <w:tcPr>
            <w:tcW w:w="915" w:type="pct"/>
            <w:vMerge/>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平均辦理</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天數</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637</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721</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563</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101</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565</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634</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891</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445</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102</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586</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1183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949</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260</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103</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672</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1156</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1147</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510</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104</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702</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1103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729</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355</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105</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783</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1079</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1403</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539</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106</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557</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931</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607</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404</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107</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645</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1108</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857</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351</w:t>
            </w:r>
          </w:p>
        </w:tc>
      </w:tr>
      <w:tr w:rsidR="00591C3B" w:rsidRPr="001B766A" w:rsidTr="009F7569">
        <w:trPr>
          <w:jc w:val="center"/>
        </w:trPr>
        <w:tc>
          <w:tcPr>
            <w:tcW w:w="64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4"/>
                <w:szCs w:val="24"/>
              </w:rPr>
              <w:t>100-107平均值</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643.</w:t>
            </w:r>
            <w:r w:rsidRPr="001B766A">
              <w:rPr>
                <w:rFonts w:hAnsi="標楷體" w:hint="eastAsia"/>
                <w:noProof/>
                <w:color w:val="000000"/>
                <w:sz w:val="28"/>
                <w:szCs w:val="28"/>
              </w:rPr>
              <w:t>4</w:t>
            </w:r>
            <w:r w:rsidRPr="001B766A">
              <w:rPr>
                <w:rFonts w:hAnsi="標楷體"/>
                <w:noProof/>
                <w:color w:val="000000"/>
                <w:sz w:val="28"/>
                <w:szCs w:val="28"/>
              </w:rPr>
              <w:tab/>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rPr>
              <w:t>899.</w:t>
            </w:r>
            <w:r w:rsidRPr="001B766A">
              <w:rPr>
                <w:rFonts w:hAnsi="標楷體" w:hint="eastAsia"/>
                <w:noProof/>
                <w:color w:val="000000"/>
                <w:sz w:val="28"/>
                <w:szCs w:val="28"/>
              </w:rPr>
              <w:t>3</w:t>
            </w:r>
          </w:p>
        </w:tc>
        <w:tc>
          <w:tcPr>
            <w:tcW w:w="1166"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shd w:val="pct15" w:color="auto" w:fill="FFFFFF"/>
              </w:rPr>
              <w:t>913</w:t>
            </w:r>
          </w:p>
        </w:tc>
        <w:tc>
          <w:tcPr>
            <w:tcW w:w="1111"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noProof/>
                <w:color w:val="000000"/>
                <w:sz w:val="28"/>
                <w:szCs w:val="28"/>
                <w:shd w:val="pct15" w:color="auto" w:fill="FFFFFF"/>
              </w:rPr>
              <w:t>428.</w:t>
            </w:r>
            <w:r w:rsidRPr="001B766A">
              <w:rPr>
                <w:rFonts w:hAnsi="標楷體" w:hint="eastAsia"/>
                <w:noProof/>
                <w:color w:val="000000"/>
                <w:sz w:val="28"/>
                <w:szCs w:val="28"/>
                <w:shd w:val="pct15" w:color="auto" w:fill="FFFFFF"/>
              </w:rPr>
              <w:t>4</w:t>
            </w:r>
          </w:p>
        </w:tc>
      </w:tr>
    </w:tbl>
    <w:p w:rsidR="00591C3B" w:rsidRPr="001B766A" w:rsidRDefault="00591C3B" w:rsidP="00591C3B">
      <w:pPr>
        <w:pStyle w:val="ab"/>
        <w:adjustRightInd w:val="0"/>
        <w:snapToGrid w:val="0"/>
        <w:spacing w:before="0"/>
        <w:ind w:left="0" w:firstLine="0"/>
        <w:rPr>
          <w:rFonts w:hAnsi="標楷體"/>
          <w:noProof/>
          <w:color w:val="000000"/>
          <w:sz w:val="24"/>
          <w:szCs w:val="24"/>
        </w:rPr>
      </w:pPr>
      <w:r w:rsidRPr="001B766A">
        <w:rPr>
          <w:rFonts w:hAnsi="標楷體" w:hint="eastAsia"/>
          <w:noProof/>
          <w:color w:val="000000"/>
          <w:sz w:val="24"/>
          <w:szCs w:val="24"/>
        </w:rPr>
        <w:t>資料來源：內政部彙整直轄市、縣（市）政府函報資料；統計至107年12月底</w:t>
      </w:r>
      <w:r>
        <w:rPr>
          <w:rFonts w:hAnsi="標楷體" w:hint="eastAsia"/>
          <w:noProof/>
          <w:color w:val="000000"/>
          <w:sz w:val="24"/>
          <w:szCs w:val="24"/>
        </w:rPr>
        <w:t>（108年9月更新）。</w:t>
      </w:r>
    </w:p>
    <w:p w:rsidR="00591C3B" w:rsidRPr="001B766A" w:rsidRDefault="00591C3B" w:rsidP="00591C3B">
      <w:pPr>
        <w:pStyle w:val="3"/>
        <w:overflowPunct/>
        <w:ind w:left="1360" w:hanging="680"/>
        <w:rPr>
          <w:rFonts w:hAnsi="標楷體"/>
        </w:rPr>
      </w:pPr>
      <w:r w:rsidRPr="001B766A">
        <w:rPr>
          <w:rFonts w:hAnsi="標楷體" w:hint="eastAsia"/>
        </w:rPr>
        <w:t>關於內政部營建署督導與考核各直轄市、縣市政府都市計畫通盤檢討辦理情形，據復：該部分別於</w:t>
      </w:r>
      <w:r w:rsidRPr="001B766A">
        <w:rPr>
          <w:rFonts w:hAnsi="標楷體" w:hint="eastAsia"/>
          <w:b/>
        </w:rPr>
        <w:t>101年12月25日、102年5月28日內政部都市計畫委員會第795次、第804次報告清查各直轄市、縣（市）都市計畫通盤檢討辦理情形</w:t>
      </w:r>
      <w:r w:rsidRPr="001B766A">
        <w:rPr>
          <w:rFonts w:hAnsi="標楷體" w:hint="eastAsia"/>
        </w:rPr>
        <w:t>，提出改善各直轄市、縣（市）都市計畫通盤檢討辦理情形之短期方法及中長期策略。以及為持續瞭解各都市計畫發布實施案件情形，自101年度起，該部營建署每年度函請地方政府填報前一年度「發布都市計畫主要計畫案件統計表」、「發布實施都市計畫細部計畫案件統計表」及「發布實施都市計畫案件統計表」，盤點清查主要計畫及細部計畫發布實施案件情形，以利掌握各地方政府及該部營建署都市計畫發布實施情形等語。顯見，內政部僅於</w:t>
      </w:r>
      <w:r w:rsidRPr="001B766A">
        <w:rPr>
          <w:rFonts w:hAnsi="標楷體" w:hint="eastAsia"/>
          <w:b/>
        </w:rPr>
        <w:t>101年12月25日、102年5月28日內政部都市計畫委員會第795次、第804次報告清查各直轄市、縣（市）都市計畫通盤檢討辦理情形以及填報相關統計表，對於</w:t>
      </w:r>
      <w:r w:rsidRPr="001B766A">
        <w:rPr>
          <w:rFonts w:hAnsi="標楷體" w:hint="eastAsia"/>
        </w:rPr>
        <w:t>未能切實檢討各縣市政府辦理都市計畫</w:t>
      </w:r>
      <w:r w:rsidR="007B1893">
        <w:rPr>
          <w:rFonts w:hAnsi="標楷體" w:hint="eastAsia"/>
        </w:rPr>
        <w:t>通盤檢討</w:t>
      </w:r>
      <w:r w:rsidRPr="001B766A">
        <w:rPr>
          <w:rFonts w:hAnsi="標楷體" w:hint="eastAsia"/>
        </w:rPr>
        <w:t>情形，制度流於形式，顯有疏失。</w:t>
      </w:r>
    </w:p>
    <w:p w:rsidR="00591C3B" w:rsidRPr="000163D9" w:rsidRDefault="00591C3B" w:rsidP="00591C3B">
      <w:pPr>
        <w:pStyle w:val="3"/>
        <w:wordWrap w:val="0"/>
        <w:overflowPunct/>
        <w:ind w:left="1360" w:hanging="680"/>
        <w:rPr>
          <w:rFonts w:hAnsi="標楷體"/>
        </w:rPr>
      </w:pPr>
      <w:r w:rsidRPr="001B766A">
        <w:rPr>
          <w:rFonts w:hAnsi="標楷體" w:hint="eastAsia"/>
        </w:rPr>
        <w:lastRenderedPageBreak/>
        <w:t>綜上，</w:t>
      </w:r>
      <w:r w:rsidR="004B48E5" w:rsidRPr="000163D9">
        <w:rPr>
          <w:rFonts w:hint="eastAsia"/>
        </w:rPr>
        <w:t>我國「都市計畫法」立法目的在於「為</w:t>
      </w:r>
      <w:r w:rsidR="004B48E5" w:rsidRPr="000475A5">
        <w:rPr>
          <w:rFonts w:hAnsi="標楷體" w:hint="eastAsia"/>
        </w:rPr>
        <w:t>改善</w:t>
      </w:r>
      <w:r w:rsidR="004B48E5" w:rsidRPr="000163D9">
        <w:rPr>
          <w:rFonts w:hint="eastAsia"/>
        </w:rPr>
        <w:t>居民生活環境，並促進市、鎮、鄉街有計畫之均衡發展」，並透過都市計畫通盤檢討等「手段」，以都市未來發展目標、人口與產業、建築容積以及公共設施容受力等為基礎，檢討土地使用分區與空間機能等，做為通盤檢討之依據，使都市計畫之規劃更能滿足都市實質發展需求，形塑市民認同之都市景觀意象，提昇都市整體環境品質。</w:t>
      </w:r>
      <w:r w:rsidR="004B48E5" w:rsidRPr="000475A5">
        <w:rPr>
          <w:rFonts w:hAnsi="標楷體" w:hint="eastAsia"/>
        </w:rPr>
        <w:t>一、我國「都市計畫法」立法目的在於「為改善居民生活環境，並促進市、鎮、鄉街有計畫之均衡發展」，並透過都市計畫通盤檢討等「手段」，以都市未來發展目標、人口與產業、建築容積以及公共設施容受力等為基礎，檢討土地使用分區與空間機能等，做為通盤檢討之依據，使都市計畫之規劃更能滿足都市實質發展需求，形塑市民認同之都市景觀意象，提昇都市整體環境品質。內政部營建署未能切實督導各直轄市、縣（市）政府依都市計畫法第26條規定落實都市計畫</w:t>
      </w:r>
      <w:r w:rsidR="004B48E5">
        <w:rPr>
          <w:rFonts w:hAnsi="標楷體" w:hint="eastAsia"/>
        </w:rPr>
        <w:t>通</w:t>
      </w:r>
      <w:r w:rsidR="004B48E5" w:rsidRPr="000475A5">
        <w:rPr>
          <w:rFonts w:hAnsi="標楷體" w:hint="eastAsia"/>
        </w:rPr>
        <w:t>盤檢討。至107年底全國419處都市計畫中超過5年以上未辦理通盤檢討合計86處，有違都市計畫法第26條擬訂計畫機關5年內至少「應」通盤檢討1次之規定，有待檢討改進。通盤檢討辦理天數，由100年的1,335天遞增至107年的2,336天（6.4年），全國平均辦理天數為1759.6天（4.8年），已超過或近都市計畫法每5年定期通盤檢討時程，顯見各縣市政府未依法落實通盤檢討，規劃及審議制度失能失靈，內政部制度修正與督導功能顯有不周，殊值徹底檢討改進</w:t>
      </w:r>
      <w:r w:rsidR="00E769F5" w:rsidRPr="00E769F5">
        <w:rPr>
          <w:rFonts w:hAnsi="標楷體" w:hint="eastAsia"/>
        </w:rPr>
        <w:t>。</w:t>
      </w:r>
    </w:p>
    <w:p w:rsidR="00591C3B" w:rsidRPr="001B766A" w:rsidRDefault="004B48E5" w:rsidP="00591C3B">
      <w:pPr>
        <w:pStyle w:val="2"/>
        <w:ind w:left="1043" w:hanging="697"/>
        <w:rPr>
          <w:color w:val="000000"/>
        </w:rPr>
      </w:pPr>
      <w:r w:rsidRPr="000475A5">
        <w:rPr>
          <w:rFonts w:hint="eastAsia"/>
          <w:b/>
        </w:rPr>
        <w:t>各直轄市、縣（市）政府都市計畫個案變更件數由100年統計至107年底主要計畫通盤檢討平均件數為73.5件，主要計畫「個案變更」平均件數為102.4件，個案</w:t>
      </w:r>
      <w:r w:rsidRPr="000475A5">
        <w:rPr>
          <w:rFonts w:hint="eastAsia"/>
          <w:b/>
        </w:rPr>
        <w:lastRenderedPageBreak/>
        <w:t>變更件數為通盤檢討平均件數之1.39倍。100年至107年細部計畫發布實施都市計畫案平均件數為31.6件，細部計畫「個案變更」平均件數為67.8件，個案變更件數為通盤檢討平均件數之2.14倍。顯見無論主要計畫或細部計畫之個案變更件數均大於都市計畫通盤件數，都市計畫個案變更過於浮濫，內政部營建署未能切實檢討制度及督導各直轄市、縣（市）政府依都市計畫法落實都市計畫通盤檢討，放任個案變更浮濫，均待檢討改進</w:t>
      </w:r>
      <w:r w:rsidR="00591C3B" w:rsidRPr="001B766A">
        <w:rPr>
          <w:rFonts w:hint="eastAsia"/>
          <w:color w:val="000000"/>
        </w:rPr>
        <w:t>。</w:t>
      </w:r>
    </w:p>
    <w:p w:rsidR="00591C3B" w:rsidRPr="001B766A" w:rsidRDefault="00591C3B" w:rsidP="00591C3B">
      <w:pPr>
        <w:pStyle w:val="3"/>
        <w:wordWrap w:val="0"/>
        <w:overflowPunct/>
        <w:ind w:left="1360" w:hanging="680"/>
      </w:pPr>
      <w:r>
        <w:rPr>
          <w:rFonts w:hint="eastAsia"/>
        </w:rPr>
        <w:t>按</w:t>
      </w:r>
      <w:r w:rsidRPr="001B766A">
        <w:rPr>
          <w:rFonts w:hint="eastAsia"/>
        </w:rPr>
        <w:t>都市計畫法第27條：「都市計畫經發布實施後，遇有左列情事之一時，當地直轄市、縣（市）（局）政府或鄉、鎮、縣轄市公所，應視實際情況迅行變更：一、因戰爭、地震、水災、風災、火災或其他重大事變遭受損壞時。二、為避免重大災害之發生時。三、為適應國防或經濟發展之需要時。四、為配合中央、直轄市或縣（市）興建之重大設施時。前項都市計畫之變更，內政部或縣（市）（局）政府得指定各該原擬定之機關限期為之，必要時，</w:t>
      </w:r>
      <w:r w:rsidRPr="001B766A">
        <w:rPr>
          <w:rFonts w:hint="eastAsia"/>
          <w:b/>
        </w:rPr>
        <w:t>並得逕為變更</w:t>
      </w:r>
      <w:r w:rsidRPr="001B766A">
        <w:rPr>
          <w:rFonts w:hint="eastAsia"/>
        </w:rPr>
        <w:t>。」</w:t>
      </w:r>
      <w:r>
        <w:rPr>
          <w:rFonts w:hint="eastAsia"/>
        </w:rPr>
        <w:t>另，</w:t>
      </w:r>
      <w:r w:rsidRPr="001B766A">
        <w:rPr>
          <w:rFonts w:hAnsi="標楷體" w:hint="eastAsia"/>
        </w:rPr>
        <w:t>都市計畫定期通盤檢討實施辦法第15條：「都市計畫發布實施未滿2年，除有前條規定之情事外，不得藉故通盤檢討，辦理變更。」、</w:t>
      </w:r>
      <w:r w:rsidRPr="003C0300">
        <w:rPr>
          <w:rFonts w:hAnsi="標楷體" w:hint="eastAsia"/>
          <w:b/>
        </w:rPr>
        <w:t>都市計畫定期通盤檢討實施辦法第16條：「都市計畫發布實施後，人民申請變更都市計畫或建議，除有本法第24條規定之情事外，應彙集作為通盤檢討之參考，不得個案辦理，零星變更。」</w:t>
      </w:r>
      <w:r>
        <w:rPr>
          <w:rFonts w:hint="eastAsia"/>
        </w:rPr>
        <w:t>，</w:t>
      </w:r>
      <w:r w:rsidRPr="003C0300">
        <w:rPr>
          <w:rFonts w:hint="eastAsia"/>
          <w:b/>
        </w:rPr>
        <w:t>由</w:t>
      </w:r>
      <w:r>
        <w:rPr>
          <w:rFonts w:hint="eastAsia"/>
          <w:b/>
        </w:rPr>
        <w:t>此觀之，</w:t>
      </w:r>
      <w:r w:rsidRPr="003C0300">
        <w:rPr>
          <w:rFonts w:hint="eastAsia"/>
          <w:b/>
        </w:rPr>
        <w:t>都市計畫發布實施後不得隨時任意變更，除了於辦理定期通盤檢討時可以修正或變更都市計畫的內容外，另依都市計畫法第27條規定之4種情況時都市計畫得迅行辦理變更，以通盤檢討為主，例外情況</w:t>
      </w:r>
      <w:r>
        <w:rPr>
          <w:rFonts w:hint="eastAsia"/>
          <w:b/>
        </w:rPr>
        <w:t>（個案變更）</w:t>
      </w:r>
      <w:r w:rsidRPr="003C0300">
        <w:rPr>
          <w:rFonts w:hint="eastAsia"/>
          <w:b/>
        </w:rPr>
        <w:t>為輔</w:t>
      </w:r>
      <w:r>
        <w:rPr>
          <w:rFonts w:hint="eastAsia"/>
        </w:rPr>
        <w:t>，然各縣市目前辦理「都市計畫</w:t>
      </w:r>
      <w:r w:rsidRPr="00E40455">
        <w:rPr>
          <w:rFonts w:hAnsi="標楷體" w:hint="eastAsia"/>
        </w:rPr>
        <w:t>個案</w:t>
      </w:r>
      <w:r w:rsidRPr="00E40455">
        <w:rPr>
          <w:rFonts w:hAnsi="標楷體" w:hint="eastAsia"/>
        </w:rPr>
        <w:lastRenderedPageBreak/>
        <w:t>變更</w:t>
      </w:r>
      <w:r>
        <w:rPr>
          <w:rFonts w:hAnsi="標楷體" w:hint="eastAsia"/>
        </w:rPr>
        <w:t>」大部分採</w:t>
      </w:r>
      <w:r w:rsidRPr="00E40455">
        <w:rPr>
          <w:rFonts w:hint="eastAsia"/>
        </w:rPr>
        <w:t>都市計畫法第</w:t>
      </w:r>
      <w:r>
        <w:rPr>
          <w:rFonts w:hint="eastAsia"/>
        </w:rPr>
        <w:t>27條</w:t>
      </w:r>
      <w:r w:rsidRPr="00E40455">
        <w:rPr>
          <w:rFonts w:hAnsi="標楷體" w:hint="eastAsia"/>
        </w:rPr>
        <w:t>配合上述情況，所辦理都市計畫內容的局部修正或變更</w:t>
      </w:r>
      <w:r>
        <w:rPr>
          <w:rFonts w:hAnsi="標楷體" w:hint="eastAsia"/>
        </w:rPr>
        <w:t>，先予敘明</w:t>
      </w:r>
      <w:r w:rsidRPr="00E40455">
        <w:rPr>
          <w:rFonts w:hAnsi="標楷體" w:hint="eastAsia"/>
        </w:rPr>
        <w:t>。</w:t>
      </w:r>
    </w:p>
    <w:p w:rsidR="00591C3B" w:rsidRPr="001B766A" w:rsidRDefault="00591C3B" w:rsidP="00591C3B">
      <w:pPr>
        <w:pStyle w:val="3"/>
        <w:wordWrap w:val="0"/>
        <w:overflowPunct/>
        <w:ind w:left="1360" w:hanging="680"/>
      </w:pPr>
      <w:r>
        <w:rPr>
          <w:rFonts w:hint="eastAsia"/>
        </w:rPr>
        <w:t>經查，營建署函復，</w:t>
      </w:r>
      <w:r w:rsidRPr="001B766A">
        <w:rPr>
          <w:rFonts w:hint="eastAsia"/>
        </w:rPr>
        <w:t>依據各地方政府函報100年至107年發布實施都市計畫案件數，分別統計主要計畫及細部計畫個案變更數如表</w:t>
      </w:r>
      <w:r w:rsidR="00566F42">
        <w:rPr>
          <w:rFonts w:hint="eastAsia"/>
        </w:rPr>
        <w:t>4、</w:t>
      </w:r>
      <w:r w:rsidRPr="001B766A">
        <w:rPr>
          <w:rFonts w:hint="eastAsia"/>
        </w:rPr>
        <w:t>5，</w:t>
      </w:r>
      <w:r w:rsidRPr="003C0300">
        <w:rPr>
          <w:rFonts w:hint="eastAsia"/>
        </w:rPr>
        <w:t>各直轄市、縣（市）政府都市計畫個案變更件數由100年統計至107年底主要計畫通盤檢討平均件數為73.5件，主要計畫「個案變更」平均件數為102.4件，個案變更件數為通盤檢討平均件數之1.39倍</w:t>
      </w:r>
      <w:r>
        <w:rPr>
          <w:rFonts w:hint="eastAsia"/>
        </w:rPr>
        <w:t>，其中，102年之主要計畫</w:t>
      </w:r>
      <w:r w:rsidRPr="00EC3769">
        <w:rPr>
          <w:rFonts w:hAnsi="標楷體" w:hint="eastAsia"/>
        </w:rPr>
        <w:t>變更</w:t>
      </w:r>
      <w:r>
        <w:rPr>
          <w:rFonts w:hAnsi="標楷體" w:hint="eastAsia"/>
        </w:rPr>
        <w:t>件數為</w:t>
      </w:r>
      <w:r w:rsidRPr="00EC3769">
        <w:rPr>
          <w:rFonts w:hAnsi="標楷體" w:hint="eastAsia"/>
        </w:rPr>
        <w:t>通盤檢討件數之</w:t>
      </w:r>
      <w:r>
        <w:rPr>
          <w:rFonts w:hAnsi="標楷體" w:hint="eastAsia"/>
        </w:rPr>
        <w:t>2.1倍，</w:t>
      </w:r>
      <w:r>
        <w:rPr>
          <w:rFonts w:hint="eastAsia"/>
        </w:rPr>
        <w:t>105年之主要計畫</w:t>
      </w:r>
      <w:r w:rsidRPr="00EC3769">
        <w:rPr>
          <w:rFonts w:hAnsi="標楷體" w:hint="eastAsia"/>
        </w:rPr>
        <w:t>變更</w:t>
      </w:r>
      <w:r>
        <w:rPr>
          <w:rFonts w:hAnsi="標楷體" w:hint="eastAsia"/>
        </w:rPr>
        <w:t>件數為</w:t>
      </w:r>
      <w:r w:rsidRPr="00EC3769">
        <w:rPr>
          <w:rFonts w:hAnsi="標楷體" w:hint="eastAsia"/>
        </w:rPr>
        <w:t>通盤檢討件數之</w:t>
      </w:r>
      <w:r>
        <w:rPr>
          <w:rFonts w:hAnsi="標楷體" w:hint="eastAsia"/>
        </w:rPr>
        <w:t>2.165倍</w:t>
      </w:r>
      <w:r w:rsidRPr="003C0300">
        <w:rPr>
          <w:rFonts w:hint="eastAsia"/>
        </w:rPr>
        <w:t>。再查，100年至107年細部計畫發布實施都市計畫案平均件數為31.6件，細部計畫「個案變更」平均件數為67.8件，個案變更件數為通盤檢討平均件數之2.14倍</w:t>
      </w:r>
      <w:r>
        <w:rPr>
          <w:rFonts w:hint="eastAsia"/>
        </w:rPr>
        <w:t>，其中，102年之細部計畫</w:t>
      </w:r>
      <w:r w:rsidRPr="00EC3769">
        <w:rPr>
          <w:rFonts w:hAnsi="標楷體" w:hint="eastAsia"/>
        </w:rPr>
        <w:t>變更</w:t>
      </w:r>
      <w:r>
        <w:rPr>
          <w:rFonts w:hAnsi="標楷體" w:hint="eastAsia"/>
        </w:rPr>
        <w:t>件數為</w:t>
      </w:r>
      <w:r w:rsidRPr="00EC3769">
        <w:rPr>
          <w:rFonts w:hAnsi="標楷體" w:hint="eastAsia"/>
        </w:rPr>
        <w:t>通盤檢討件數之</w:t>
      </w:r>
      <w:r>
        <w:rPr>
          <w:rFonts w:hAnsi="標楷體" w:hint="eastAsia"/>
        </w:rPr>
        <w:t>2.1倍，</w:t>
      </w:r>
      <w:r>
        <w:rPr>
          <w:rFonts w:hint="eastAsia"/>
        </w:rPr>
        <w:t>105年之細部計畫</w:t>
      </w:r>
      <w:r w:rsidRPr="00EC3769">
        <w:rPr>
          <w:rFonts w:hAnsi="標楷體" w:hint="eastAsia"/>
        </w:rPr>
        <w:t>變更</w:t>
      </w:r>
      <w:r>
        <w:rPr>
          <w:rFonts w:hAnsi="標楷體" w:hint="eastAsia"/>
        </w:rPr>
        <w:t>件數為</w:t>
      </w:r>
      <w:r w:rsidRPr="00EC3769">
        <w:rPr>
          <w:rFonts w:hAnsi="標楷體" w:hint="eastAsia"/>
        </w:rPr>
        <w:t>通盤檢討件數之</w:t>
      </w:r>
      <w:r>
        <w:rPr>
          <w:rFonts w:hAnsi="標楷體" w:hint="eastAsia"/>
        </w:rPr>
        <w:t>2.65倍</w:t>
      </w:r>
      <w:r w:rsidRPr="003C0300">
        <w:rPr>
          <w:rFonts w:hint="eastAsia"/>
        </w:rPr>
        <w:t>。</w:t>
      </w:r>
      <w:r w:rsidRPr="00EC3769">
        <w:rPr>
          <w:rFonts w:hint="eastAsia"/>
        </w:rPr>
        <w:t>據此顯見</w:t>
      </w:r>
      <w:r>
        <w:rPr>
          <w:rFonts w:hint="eastAsia"/>
        </w:rPr>
        <w:t>，</w:t>
      </w:r>
      <w:r w:rsidRPr="00EC3769">
        <w:rPr>
          <w:rFonts w:hint="eastAsia"/>
        </w:rPr>
        <w:t>無論主要計畫或細部計畫之個案變更件數</w:t>
      </w:r>
      <w:r>
        <w:rPr>
          <w:rFonts w:hint="eastAsia"/>
        </w:rPr>
        <w:t>，</w:t>
      </w:r>
      <w:r w:rsidRPr="00EC3769">
        <w:rPr>
          <w:rFonts w:hint="eastAsia"/>
        </w:rPr>
        <w:t>均大於都市計畫通盤件數</w:t>
      </w:r>
      <w:r>
        <w:rPr>
          <w:rFonts w:hint="eastAsia"/>
        </w:rPr>
        <w:t>，都市計畫檢討淪為個案變更。</w:t>
      </w:r>
    </w:p>
    <w:p w:rsidR="00591C3B" w:rsidRPr="001B766A" w:rsidRDefault="00591C3B" w:rsidP="00591C3B">
      <w:pPr>
        <w:pStyle w:val="ab"/>
        <w:adjustRightInd w:val="0"/>
        <w:snapToGrid w:val="0"/>
        <w:spacing w:beforeLines="50" w:before="228" w:line="500" w:lineRule="exact"/>
        <w:ind w:left="960" w:hangingChars="300" w:hanging="960"/>
        <w:jc w:val="center"/>
        <w:rPr>
          <w:rFonts w:hAnsi="標楷體"/>
          <w:noProof/>
          <w:color w:val="000000"/>
          <w:sz w:val="28"/>
          <w:szCs w:val="28"/>
        </w:rPr>
      </w:pPr>
      <w:r w:rsidRPr="001B766A">
        <w:rPr>
          <w:rFonts w:hAnsi="標楷體" w:hint="eastAsia"/>
          <w:noProof/>
          <w:color w:val="000000"/>
          <w:sz w:val="28"/>
          <w:szCs w:val="28"/>
        </w:rPr>
        <w:t>表</w:t>
      </w:r>
      <w:r w:rsidR="00566F42">
        <w:rPr>
          <w:rFonts w:hAnsi="標楷體" w:hint="eastAsia"/>
          <w:noProof/>
          <w:color w:val="000000"/>
          <w:sz w:val="28"/>
          <w:szCs w:val="28"/>
        </w:rPr>
        <w:t>4</w:t>
      </w:r>
      <w:r w:rsidRPr="001B766A">
        <w:rPr>
          <w:rFonts w:hAnsi="標楷體" w:hint="eastAsia"/>
          <w:noProof/>
          <w:color w:val="000000"/>
          <w:sz w:val="28"/>
          <w:szCs w:val="28"/>
        </w:rPr>
        <w:t xml:space="preserve">  100年至107年</w:t>
      </w:r>
      <w:r w:rsidRPr="001B766A">
        <w:rPr>
          <w:rFonts w:hAnsi="標楷體" w:hint="eastAsia"/>
          <w:b/>
          <w:noProof/>
          <w:color w:val="000000"/>
          <w:sz w:val="28"/>
          <w:szCs w:val="28"/>
        </w:rPr>
        <w:t>主要計畫</w:t>
      </w:r>
      <w:r w:rsidRPr="001B766A">
        <w:rPr>
          <w:rFonts w:hAnsi="標楷體" w:hint="eastAsia"/>
          <w:noProof/>
          <w:color w:val="000000"/>
          <w:sz w:val="28"/>
          <w:szCs w:val="28"/>
        </w:rPr>
        <w:t>發布實施都市計畫案件數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473"/>
        <w:gridCol w:w="1472"/>
        <w:gridCol w:w="1472"/>
        <w:gridCol w:w="1472"/>
        <w:gridCol w:w="1472"/>
      </w:tblGrid>
      <w:tr w:rsidR="00591C3B" w:rsidRPr="001B766A" w:rsidTr="009F7569">
        <w:trPr>
          <w:trHeight w:val="738"/>
          <w:jc w:val="center"/>
        </w:trPr>
        <w:tc>
          <w:tcPr>
            <w:tcW w:w="833" w:type="pct"/>
            <w:tcBorders>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r w:rsidRPr="001B766A">
              <w:rPr>
                <w:rFonts w:hAnsi="標楷體" w:hint="eastAsia"/>
                <w:noProof/>
                <w:color w:val="000000"/>
                <w:sz w:val="28"/>
                <w:szCs w:val="28"/>
              </w:rPr>
              <w:t>項目</w:t>
            </w:r>
          </w:p>
          <w:p w:rsidR="00591C3B" w:rsidRPr="001B766A" w:rsidRDefault="00591C3B" w:rsidP="009F7569">
            <w:pPr>
              <w:pStyle w:val="ab"/>
              <w:adjustRightInd w:val="0"/>
              <w:snapToGrid w:val="0"/>
              <w:spacing w:before="0"/>
              <w:ind w:left="0" w:firstLine="0"/>
              <w:jc w:val="left"/>
              <w:rPr>
                <w:rFonts w:hAnsi="標楷體"/>
                <w:noProof/>
                <w:color w:val="000000"/>
                <w:sz w:val="28"/>
                <w:szCs w:val="28"/>
              </w:rPr>
            </w:pPr>
            <w:r w:rsidRPr="001B766A">
              <w:rPr>
                <w:rFonts w:hAnsi="標楷體" w:hint="eastAsia"/>
                <w:noProof/>
                <w:color w:val="000000"/>
                <w:sz w:val="28"/>
                <w:szCs w:val="28"/>
              </w:rPr>
              <w:t>年度</w:t>
            </w:r>
          </w:p>
        </w:tc>
        <w:tc>
          <w:tcPr>
            <w:tcW w:w="833"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總件數</w:t>
            </w:r>
          </w:p>
        </w:tc>
        <w:tc>
          <w:tcPr>
            <w:tcW w:w="833"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擬定/擴大件數</w:t>
            </w:r>
          </w:p>
        </w:tc>
        <w:tc>
          <w:tcPr>
            <w:tcW w:w="833"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通盤檢討件數</w:t>
            </w:r>
          </w:p>
        </w:tc>
        <w:tc>
          <w:tcPr>
            <w:tcW w:w="833" w:type="pct"/>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個案變更件數</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個案變更/</w:t>
            </w:r>
            <w:r w:rsidRPr="00D416F6">
              <w:rPr>
                <w:rFonts w:hAnsi="標楷體" w:hint="eastAsia"/>
                <w:noProof/>
                <w:color w:val="000000"/>
                <w:sz w:val="28"/>
                <w:szCs w:val="28"/>
              </w:rPr>
              <w:t>通盤檢討</w:t>
            </w:r>
            <w:r>
              <w:rPr>
                <w:rFonts w:hAnsi="標楷體" w:hint="eastAsia"/>
                <w:noProof/>
                <w:color w:val="000000"/>
                <w:sz w:val="28"/>
                <w:szCs w:val="28"/>
              </w:rPr>
              <w:t>件數之比</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210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98</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123</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1.26</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101</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180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76</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104</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1.37</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102</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169</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54</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114</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EC3769">
              <w:rPr>
                <w:rFonts w:hAnsi="標楷體" w:hint="eastAsia"/>
                <w:noProof/>
                <w:color w:val="000000"/>
                <w:sz w:val="28"/>
                <w:szCs w:val="28"/>
                <w:shd w:val="pct15" w:color="auto" w:fill="FFFFFF"/>
              </w:rPr>
              <w:t>2.1</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103</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190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74</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114</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1.54</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104</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196</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92</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0.92</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105</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141</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37</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98</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EC3769">
              <w:rPr>
                <w:rFonts w:hAnsi="標楷體" w:hint="eastAsia"/>
                <w:noProof/>
                <w:color w:val="000000"/>
                <w:sz w:val="28"/>
                <w:szCs w:val="28"/>
                <w:shd w:val="pct15" w:color="auto" w:fill="FFFFFF"/>
              </w:rPr>
              <w:t>2.65</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lastRenderedPageBreak/>
              <w:t>106</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142</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62</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80</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1.29</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107</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181</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87</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94</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1.08</w:t>
            </w:r>
          </w:p>
        </w:tc>
      </w:tr>
      <w:tr w:rsidR="00591C3B" w:rsidRPr="001B766A" w:rsidTr="009F7569">
        <w:trPr>
          <w:jc w:val="center"/>
        </w:trPr>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4"/>
                <w:szCs w:val="24"/>
              </w:rPr>
            </w:pPr>
            <w:r w:rsidRPr="001B766A">
              <w:rPr>
                <w:rFonts w:hAnsi="標楷體" w:hint="eastAsia"/>
                <w:noProof/>
                <w:color w:val="000000"/>
                <w:sz w:val="24"/>
                <w:szCs w:val="24"/>
              </w:rPr>
              <w:t>100-107</w:t>
            </w:r>
          </w:p>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4"/>
                <w:szCs w:val="24"/>
              </w:rPr>
              <w:t>平均值</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176.1</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1.5</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shd w:val="pct15" w:color="auto" w:fill="FFFFFF"/>
              </w:rPr>
            </w:pPr>
            <w:r w:rsidRPr="001B766A">
              <w:rPr>
                <w:rFonts w:hAnsi="標楷體" w:hint="eastAsia"/>
                <w:noProof/>
                <w:color w:val="000000"/>
                <w:sz w:val="28"/>
                <w:szCs w:val="28"/>
                <w:shd w:val="pct15" w:color="auto" w:fill="FFFFFF"/>
              </w:rPr>
              <w:t>73.5</w:t>
            </w:r>
          </w:p>
        </w:tc>
        <w:tc>
          <w:tcPr>
            <w:tcW w:w="833" w:type="pct"/>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shd w:val="pct15" w:color="auto" w:fill="FFFFFF"/>
              </w:rPr>
            </w:pPr>
            <w:r w:rsidRPr="001B766A">
              <w:rPr>
                <w:rFonts w:hAnsi="標楷體" w:hint="eastAsia"/>
                <w:noProof/>
                <w:color w:val="000000"/>
                <w:sz w:val="28"/>
                <w:szCs w:val="28"/>
                <w:shd w:val="pct15" w:color="auto" w:fill="FFFFFF"/>
              </w:rPr>
              <w:t>102.4</w:t>
            </w:r>
          </w:p>
        </w:tc>
        <w:tc>
          <w:tcPr>
            <w:tcW w:w="833" w:type="pct"/>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1.39</w:t>
            </w:r>
          </w:p>
        </w:tc>
      </w:tr>
    </w:tbl>
    <w:p w:rsidR="00591C3B" w:rsidRPr="001B766A" w:rsidRDefault="00591C3B" w:rsidP="00591C3B">
      <w:pPr>
        <w:pStyle w:val="ab"/>
        <w:adjustRightInd w:val="0"/>
        <w:snapToGrid w:val="0"/>
        <w:spacing w:before="0" w:afterLines="50" w:after="228"/>
        <w:ind w:left="0" w:firstLine="0"/>
        <w:rPr>
          <w:rFonts w:hAnsi="標楷體"/>
          <w:noProof/>
          <w:color w:val="000000"/>
          <w:sz w:val="28"/>
          <w:szCs w:val="28"/>
        </w:rPr>
      </w:pPr>
      <w:r w:rsidRPr="001B766A">
        <w:rPr>
          <w:rFonts w:hAnsi="標楷體" w:hint="eastAsia"/>
          <w:noProof/>
          <w:color w:val="000000"/>
          <w:sz w:val="24"/>
          <w:szCs w:val="24"/>
        </w:rPr>
        <w:t>資料來源：內政部彙整直轄市、縣（市）政府函報資料；統計至107年12月底</w:t>
      </w:r>
      <w:r>
        <w:rPr>
          <w:rFonts w:hAnsi="標楷體" w:hint="eastAsia"/>
          <w:noProof/>
          <w:color w:val="000000"/>
          <w:sz w:val="24"/>
          <w:szCs w:val="24"/>
        </w:rPr>
        <w:t>（108年9月更新）。</w:t>
      </w:r>
    </w:p>
    <w:p w:rsidR="00591C3B" w:rsidRPr="001B766A" w:rsidRDefault="00591C3B" w:rsidP="00591C3B">
      <w:pPr>
        <w:pStyle w:val="ab"/>
        <w:adjustRightInd w:val="0"/>
        <w:snapToGrid w:val="0"/>
        <w:spacing w:beforeLines="50" w:before="228" w:line="500" w:lineRule="exact"/>
        <w:ind w:left="960" w:hangingChars="300" w:hanging="960"/>
        <w:jc w:val="center"/>
        <w:rPr>
          <w:rFonts w:hAnsi="標楷體"/>
          <w:noProof/>
          <w:color w:val="000000"/>
          <w:sz w:val="28"/>
          <w:szCs w:val="28"/>
        </w:rPr>
      </w:pPr>
      <w:r w:rsidRPr="001B766A">
        <w:rPr>
          <w:rFonts w:hAnsi="標楷體" w:hint="eastAsia"/>
          <w:noProof/>
          <w:color w:val="000000"/>
          <w:sz w:val="28"/>
          <w:szCs w:val="28"/>
        </w:rPr>
        <w:t>表</w:t>
      </w:r>
      <w:r w:rsidR="00566F42">
        <w:rPr>
          <w:rFonts w:hAnsi="標楷體" w:hint="eastAsia"/>
          <w:noProof/>
          <w:color w:val="000000"/>
          <w:sz w:val="28"/>
          <w:szCs w:val="28"/>
        </w:rPr>
        <w:t>5</w:t>
      </w:r>
      <w:r w:rsidRPr="001B766A">
        <w:rPr>
          <w:rFonts w:hAnsi="標楷體" w:hint="eastAsia"/>
          <w:noProof/>
          <w:color w:val="000000"/>
          <w:sz w:val="28"/>
          <w:szCs w:val="28"/>
        </w:rPr>
        <w:t xml:space="preserve">  100年至107年</w:t>
      </w:r>
      <w:r w:rsidRPr="001B766A">
        <w:rPr>
          <w:rFonts w:hAnsi="標楷體" w:hint="eastAsia"/>
          <w:b/>
          <w:noProof/>
          <w:color w:val="000000"/>
          <w:sz w:val="28"/>
          <w:szCs w:val="28"/>
        </w:rPr>
        <w:t>細部計畫</w:t>
      </w:r>
      <w:r w:rsidRPr="001B766A">
        <w:rPr>
          <w:rFonts w:hAnsi="標楷體" w:hint="eastAsia"/>
          <w:noProof/>
          <w:color w:val="000000"/>
          <w:sz w:val="28"/>
          <w:szCs w:val="28"/>
        </w:rPr>
        <w:t>發布實施都市計畫案件數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472"/>
        <w:gridCol w:w="1472"/>
        <w:gridCol w:w="1472"/>
        <w:gridCol w:w="1403"/>
        <w:gridCol w:w="1542"/>
      </w:tblGrid>
      <w:tr w:rsidR="00591C3B" w:rsidRPr="001B766A" w:rsidTr="009F7569">
        <w:trPr>
          <w:trHeight w:val="738"/>
          <w:jc w:val="center"/>
        </w:trPr>
        <w:tc>
          <w:tcPr>
            <w:tcW w:w="833"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591C3B" w:rsidRPr="001B766A" w:rsidRDefault="00591C3B" w:rsidP="009F7569">
            <w:pPr>
              <w:pStyle w:val="ab"/>
              <w:adjustRightInd w:val="0"/>
              <w:snapToGrid w:val="0"/>
              <w:spacing w:before="0"/>
              <w:ind w:left="0" w:firstLine="0"/>
              <w:jc w:val="right"/>
              <w:rPr>
                <w:rFonts w:hAnsi="標楷體"/>
                <w:noProof/>
                <w:color w:val="000000"/>
                <w:sz w:val="28"/>
                <w:szCs w:val="28"/>
              </w:rPr>
            </w:pPr>
            <w:r w:rsidRPr="001B766A">
              <w:rPr>
                <w:rFonts w:hAnsi="標楷體" w:hint="eastAsia"/>
                <w:noProof/>
                <w:color w:val="000000"/>
                <w:sz w:val="28"/>
                <w:szCs w:val="28"/>
              </w:rPr>
              <w:t>項目</w:t>
            </w:r>
          </w:p>
          <w:p w:rsidR="00591C3B" w:rsidRPr="001B766A" w:rsidRDefault="00591C3B" w:rsidP="009F7569">
            <w:pPr>
              <w:pStyle w:val="ab"/>
              <w:adjustRightInd w:val="0"/>
              <w:snapToGrid w:val="0"/>
              <w:spacing w:before="0"/>
              <w:ind w:left="0" w:firstLine="0"/>
              <w:jc w:val="left"/>
              <w:rPr>
                <w:rFonts w:hAnsi="標楷體"/>
                <w:noProof/>
                <w:color w:val="000000"/>
                <w:sz w:val="28"/>
                <w:szCs w:val="28"/>
              </w:rPr>
            </w:pPr>
            <w:r w:rsidRPr="001B766A">
              <w:rPr>
                <w:rFonts w:hAnsi="標楷體" w:hint="eastAsia"/>
                <w:noProof/>
                <w:color w:val="000000"/>
                <w:sz w:val="28"/>
                <w:szCs w:val="28"/>
              </w:rPr>
              <w:t>年度</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總件數</w:t>
            </w:r>
          </w:p>
        </w:tc>
        <w:tc>
          <w:tcPr>
            <w:tcW w:w="833" w:type="pct"/>
            <w:tcBorders>
              <w:top w:val="single" w:sz="4" w:space="0" w:color="auto"/>
              <w:left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擬定/擴大件數</w:t>
            </w:r>
          </w:p>
        </w:tc>
        <w:tc>
          <w:tcPr>
            <w:tcW w:w="833" w:type="pct"/>
            <w:tcBorders>
              <w:top w:val="single" w:sz="4" w:space="0" w:color="auto"/>
              <w:left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通盤檢討件數</w:t>
            </w:r>
          </w:p>
        </w:tc>
        <w:tc>
          <w:tcPr>
            <w:tcW w:w="794" w:type="pct"/>
            <w:tcBorders>
              <w:top w:val="single" w:sz="4" w:space="0" w:color="auto"/>
              <w:left w:val="single" w:sz="4" w:space="0" w:color="auto"/>
              <w:right w:val="single" w:sz="4" w:space="0" w:color="auto"/>
            </w:tcBorders>
            <w:shd w:val="clear" w:color="auto" w:fill="auto"/>
            <w:vAlign w:val="center"/>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個案變更件數</w:t>
            </w:r>
          </w:p>
        </w:tc>
        <w:tc>
          <w:tcPr>
            <w:tcW w:w="873" w:type="pct"/>
            <w:tcBorders>
              <w:top w:val="single" w:sz="4" w:space="0" w:color="auto"/>
              <w:left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個案變更/</w:t>
            </w:r>
            <w:r w:rsidRPr="00D416F6">
              <w:rPr>
                <w:rFonts w:hAnsi="標楷體" w:hint="eastAsia"/>
                <w:noProof/>
                <w:color w:val="000000"/>
                <w:sz w:val="28"/>
                <w:szCs w:val="28"/>
              </w:rPr>
              <w:t>通盤檢討</w:t>
            </w:r>
            <w:r>
              <w:rPr>
                <w:rFonts w:hAnsi="標楷體" w:hint="eastAsia"/>
                <w:noProof/>
                <w:color w:val="000000"/>
                <w:sz w:val="28"/>
                <w:szCs w:val="28"/>
              </w:rPr>
              <w:t>件數之比</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100</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83</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0</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45</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48</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1.07</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101</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92</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23</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65</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EC3769">
              <w:rPr>
                <w:rFonts w:hAnsi="標楷體" w:hint="eastAsia"/>
                <w:noProof/>
                <w:color w:val="000000"/>
                <w:sz w:val="28"/>
                <w:szCs w:val="28"/>
              </w:rPr>
              <w:t>2.83</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102</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136</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33</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20</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83</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EC3769">
              <w:rPr>
                <w:rFonts w:hAnsi="標楷體" w:hint="eastAsia"/>
                <w:noProof/>
                <w:color w:val="000000"/>
                <w:sz w:val="28"/>
                <w:szCs w:val="28"/>
                <w:shd w:val="pct15" w:color="auto" w:fill="FFFFFF"/>
              </w:rPr>
              <w:t>4.15</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103</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165</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41</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33</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89</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2.70</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104</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98</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30</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30</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38</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1.27</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105</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124</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19</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25</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80</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EC3769">
              <w:rPr>
                <w:rFonts w:hAnsi="標楷體" w:hint="eastAsia"/>
                <w:noProof/>
                <w:color w:val="000000"/>
                <w:sz w:val="28"/>
                <w:szCs w:val="28"/>
                <w:shd w:val="pct15" w:color="auto" w:fill="FFFFFF"/>
              </w:rPr>
              <w:t>3.2</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106</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95</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14</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24</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58</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2.42</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107</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160</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26</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53</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81</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Pr>
                <w:rFonts w:hAnsi="標楷體" w:hint="eastAsia"/>
                <w:noProof/>
                <w:color w:val="000000"/>
                <w:sz w:val="28"/>
                <w:szCs w:val="28"/>
              </w:rPr>
              <w:t>1.53</w:t>
            </w:r>
          </w:p>
        </w:tc>
      </w:tr>
      <w:tr w:rsidR="00591C3B" w:rsidRPr="001B766A" w:rsidTr="009F7569">
        <w:trPr>
          <w:jc w:val="center"/>
        </w:trPr>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4"/>
                <w:szCs w:val="24"/>
              </w:rPr>
            </w:pPr>
            <w:r w:rsidRPr="001B766A">
              <w:rPr>
                <w:rFonts w:hAnsi="標楷體" w:hint="eastAsia"/>
                <w:noProof/>
                <w:color w:val="000000"/>
                <w:sz w:val="24"/>
                <w:szCs w:val="24"/>
              </w:rPr>
              <w:t>100-107</w:t>
            </w:r>
          </w:p>
          <w:p w:rsidR="00591C3B" w:rsidRPr="001B766A" w:rsidRDefault="00591C3B" w:rsidP="009F7569">
            <w:pPr>
              <w:pStyle w:val="ab"/>
              <w:adjustRightInd w:val="0"/>
              <w:snapToGrid w:val="0"/>
              <w:spacing w:before="0"/>
              <w:ind w:left="0" w:firstLine="0"/>
              <w:jc w:val="center"/>
              <w:rPr>
                <w:rFonts w:hAnsi="標楷體"/>
                <w:noProof/>
                <w:color w:val="000000"/>
                <w:sz w:val="24"/>
                <w:szCs w:val="24"/>
              </w:rPr>
            </w:pPr>
            <w:r w:rsidRPr="001B766A">
              <w:rPr>
                <w:rFonts w:hAnsi="標楷體" w:hint="eastAsia"/>
                <w:noProof/>
                <w:color w:val="000000"/>
                <w:sz w:val="24"/>
                <w:szCs w:val="24"/>
              </w:rPr>
              <w:t>平均值</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119.1</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rPr>
            </w:pPr>
            <w:r w:rsidRPr="001B766A">
              <w:rPr>
                <w:rFonts w:hAnsi="標楷體" w:hint="eastAsia"/>
                <w:noProof/>
                <w:color w:val="000000"/>
                <w:sz w:val="28"/>
                <w:szCs w:val="28"/>
              </w:rPr>
              <w:t>20.9</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shd w:val="pct15" w:color="auto" w:fill="FFFFFF"/>
              </w:rPr>
            </w:pPr>
            <w:r w:rsidRPr="001B766A">
              <w:rPr>
                <w:rFonts w:hAnsi="標楷體" w:hint="eastAsia"/>
                <w:noProof/>
                <w:color w:val="000000"/>
                <w:sz w:val="28"/>
                <w:szCs w:val="28"/>
                <w:shd w:val="pct15" w:color="auto" w:fill="FFFFFF"/>
              </w:rPr>
              <w:t>31.6</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591C3B" w:rsidRPr="001B766A" w:rsidRDefault="00591C3B" w:rsidP="009F7569">
            <w:pPr>
              <w:pStyle w:val="ab"/>
              <w:adjustRightInd w:val="0"/>
              <w:snapToGrid w:val="0"/>
              <w:spacing w:before="0"/>
              <w:ind w:left="0" w:firstLine="0"/>
              <w:jc w:val="center"/>
              <w:rPr>
                <w:rFonts w:hAnsi="標楷體"/>
                <w:noProof/>
                <w:color w:val="000000"/>
                <w:sz w:val="28"/>
                <w:szCs w:val="28"/>
                <w:shd w:val="pct15" w:color="auto" w:fill="FFFFFF"/>
              </w:rPr>
            </w:pPr>
            <w:r w:rsidRPr="001B766A">
              <w:rPr>
                <w:rFonts w:hAnsi="標楷體" w:hint="eastAsia"/>
                <w:noProof/>
                <w:color w:val="000000"/>
                <w:sz w:val="28"/>
                <w:szCs w:val="28"/>
                <w:shd w:val="pct15" w:color="auto" w:fill="FFFFFF"/>
              </w:rPr>
              <w:t>67.8</w:t>
            </w:r>
          </w:p>
        </w:tc>
        <w:tc>
          <w:tcPr>
            <w:tcW w:w="873" w:type="pct"/>
            <w:tcBorders>
              <w:top w:val="single" w:sz="4" w:space="0" w:color="auto"/>
              <w:left w:val="single" w:sz="4" w:space="0" w:color="auto"/>
              <w:bottom w:val="single" w:sz="4" w:space="0" w:color="auto"/>
              <w:right w:val="single" w:sz="4" w:space="0" w:color="auto"/>
            </w:tcBorders>
          </w:tcPr>
          <w:p w:rsidR="00591C3B" w:rsidRPr="001B766A" w:rsidRDefault="00591C3B" w:rsidP="009F7569">
            <w:pPr>
              <w:pStyle w:val="ab"/>
              <w:adjustRightInd w:val="0"/>
              <w:snapToGrid w:val="0"/>
              <w:spacing w:before="0"/>
              <w:ind w:left="0" w:firstLine="0"/>
              <w:jc w:val="center"/>
              <w:rPr>
                <w:rFonts w:hAnsi="標楷體"/>
                <w:noProof/>
                <w:color w:val="000000"/>
                <w:sz w:val="28"/>
                <w:szCs w:val="28"/>
                <w:shd w:val="pct15" w:color="auto" w:fill="FFFFFF"/>
              </w:rPr>
            </w:pPr>
            <w:r>
              <w:rPr>
                <w:rFonts w:hAnsi="標楷體" w:hint="eastAsia"/>
                <w:noProof/>
                <w:color w:val="000000"/>
                <w:sz w:val="28"/>
                <w:szCs w:val="28"/>
                <w:shd w:val="pct15" w:color="auto" w:fill="FFFFFF"/>
              </w:rPr>
              <w:t>2.14</w:t>
            </w:r>
          </w:p>
        </w:tc>
      </w:tr>
    </w:tbl>
    <w:p w:rsidR="00591C3B" w:rsidRPr="001B766A" w:rsidRDefault="00591C3B" w:rsidP="00591C3B">
      <w:pPr>
        <w:pStyle w:val="3"/>
        <w:numPr>
          <w:ilvl w:val="0"/>
          <w:numId w:val="0"/>
        </w:numPr>
        <w:rPr>
          <w:rFonts w:hAnsi="標楷體"/>
        </w:rPr>
      </w:pPr>
      <w:r w:rsidRPr="001B766A">
        <w:rPr>
          <w:rFonts w:hAnsi="標楷體" w:hint="eastAsia"/>
          <w:noProof/>
          <w:color w:val="000000"/>
          <w:sz w:val="24"/>
          <w:szCs w:val="24"/>
        </w:rPr>
        <w:t>資料來源：內政部彙整直轄市、縣（市）政府函報資料；統計至107年12月底</w:t>
      </w:r>
      <w:r>
        <w:rPr>
          <w:rFonts w:hAnsi="標楷體" w:hint="eastAsia"/>
          <w:noProof/>
          <w:color w:val="000000"/>
          <w:sz w:val="24"/>
          <w:szCs w:val="24"/>
        </w:rPr>
        <w:t>（108年9月更新）。</w:t>
      </w:r>
    </w:p>
    <w:p w:rsidR="00591C3B" w:rsidRPr="0080043D" w:rsidRDefault="00591C3B" w:rsidP="00591C3B">
      <w:pPr>
        <w:pStyle w:val="3"/>
        <w:wordWrap w:val="0"/>
        <w:overflowPunct/>
        <w:ind w:left="1360" w:hanging="680"/>
        <w:rPr>
          <w:rFonts w:hAnsi="標楷體"/>
          <w:b/>
          <w:color w:val="000000"/>
        </w:rPr>
      </w:pPr>
      <w:r w:rsidRPr="0080043D">
        <w:rPr>
          <w:rFonts w:hAnsi="標楷體" w:hint="eastAsia"/>
        </w:rPr>
        <w:t>都市計畫法、都市計畫通盤檢討實施辦法、都市更新條例、都市危險及老舊建築物加速重建條例等，對於都市計畫通盤檢討之影響，</w:t>
      </w:r>
      <w:r w:rsidR="007B1893">
        <w:rPr>
          <w:rFonts w:hAnsi="標楷體" w:hint="eastAsia"/>
        </w:rPr>
        <w:t>以及</w:t>
      </w:r>
      <w:r w:rsidRPr="0080043D">
        <w:rPr>
          <w:rFonts w:hAnsi="標楷體" w:hint="eastAsia"/>
        </w:rPr>
        <w:t>通盤檢討是否將相關因子列入乙節，</w:t>
      </w:r>
      <w:r w:rsidR="007B1893" w:rsidRPr="0080043D">
        <w:rPr>
          <w:rFonts w:hAnsi="標楷體" w:hint="eastAsia"/>
        </w:rPr>
        <w:t>據內政部稱</w:t>
      </w:r>
      <w:r w:rsidRPr="0080043D">
        <w:rPr>
          <w:rFonts w:hAnsi="標楷體" w:hint="eastAsia"/>
        </w:rPr>
        <w:t>，依都市計畫事業包括舊市區更新之實質建設事業，為都市計畫法第7條所明定，及同法訂有舊市區之更新專章，得據以辦理。其中第63條明文，各地方政府對於窳陋或髒亂地區認為有必要時，得視細部計畫劃定地區範圍，訂定更新計畫實施之。然而，都市計畫法第六章舊市區之更新僅為原則性規定，無法適應實際推</w:t>
      </w:r>
      <w:r w:rsidRPr="0080043D">
        <w:rPr>
          <w:rFonts w:hAnsi="標楷體" w:hint="eastAsia"/>
        </w:rPr>
        <w:lastRenderedPageBreak/>
        <w:t>動之需要。為建立一套完備的法規，指引都市更新應遵循之基本方式與途徑，都市更新條例於87年11月公布施行，以有效推動都市更新。都市更新條例第3條第1款規定，都市更新係指依該條例所定程序，在都市計畫範圍內，實施重建、整建或維護措施。惟，各縣市辦理都市計畫定期通盤檢討時，應將有關之都市更新實施策略予以納入考量。都市計畫定期通盤檢討實施辦法已有相關規定；</w:t>
      </w:r>
      <w:r w:rsidR="007B1893">
        <w:rPr>
          <w:rFonts w:hAnsi="標楷體" w:hint="eastAsia"/>
        </w:rPr>
        <w:t>如</w:t>
      </w:r>
      <w:r w:rsidRPr="0080043D">
        <w:rPr>
          <w:rFonts w:hAnsi="標楷體" w:hint="eastAsia"/>
        </w:rPr>
        <w:t>第5條規定通盤檢討前應先進行計畫地區之建築密度分布、產業結構及發展、土地利用等基本調查，研擬發展課題、對策及願景，作為檢討之依據；</w:t>
      </w:r>
      <w:r w:rsidR="007B1893">
        <w:rPr>
          <w:rFonts w:hAnsi="標楷體" w:hint="eastAsia"/>
        </w:rPr>
        <w:t>又</w:t>
      </w:r>
      <w:r w:rsidRPr="0080043D">
        <w:rPr>
          <w:rFonts w:hAnsi="標楷體" w:hint="eastAsia"/>
        </w:rPr>
        <w:t>第12條規定，都市計畫辦理通盤檢討時，可考量針對舊有建築物密集、畸零破舊，有礙觀瞻、影響公共安全，必須拆除重建，就地整建或特別加以維護之地區，進行全面調查分析，劃定都市更新地區範圍，研訂更新基本方針，納入計畫書規定，相關標準、是否回歸都市計畫檢討，不無疑問，均有待檢討。</w:t>
      </w:r>
    </w:p>
    <w:p w:rsidR="00591C3B" w:rsidRPr="00BA5327" w:rsidRDefault="00591C3B" w:rsidP="00591C3B">
      <w:pPr>
        <w:pStyle w:val="3"/>
        <w:wordWrap w:val="0"/>
        <w:overflowPunct/>
        <w:ind w:left="1360" w:hanging="680"/>
      </w:pPr>
      <w:r>
        <w:rPr>
          <w:rFonts w:hint="eastAsia"/>
        </w:rPr>
        <w:t>再據，本院</w:t>
      </w:r>
      <w:r w:rsidRPr="00BA5327">
        <w:rPr>
          <w:rFonts w:hint="eastAsia"/>
        </w:rPr>
        <w:t>諮詢</w:t>
      </w:r>
      <w:r>
        <w:rPr>
          <w:rFonts w:hint="eastAsia"/>
        </w:rPr>
        <w:t>會議專家學者亦指出，政府應落實</w:t>
      </w:r>
      <w:r w:rsidRPr="00BA5327">
        <w:rPr>
          <w:rFonts w:hint="eastAsia"/>
        </w:rPr>
        <w:t>定期</w:t>
      </w:r>
      <w:r>
        <w:rPr>
          <w:rFonts w:hint="eastAsia"/>
        </w:rPr>
        <w:t>通盤檢討</w:t>
      </w:r>
      <w:r w:rsidRPr="00BA5327">
        <w:rPr>
          <w:rFonts w:hint="eastAsia"/>
        </w:rPr>
        <w:t>機制，地方政府既然有辦理個案變更之途徑，當然對於需要耗費大量資源與處理大量人民團體陳情意見之通盤檢討能拖則拖，加上內政部一向不願意也無能力督導，且從寬認定得個案變更之標準，於是，地方政府樂於以個案變更取代通盤檢討；此不僅嚴重破壞計畫之完整性，且讓都市計畫無法因應社會經濟與環境變遷與發展需要作必要之變更，以及且違反土地變更之公平正義原則</w:t>
      </w:r>
      <w:r>
        <w:rPr>
          <w:rFonts w:hint="eastAsia"/>
        </w:rPr>
        <w:t>，應</w:t>
      </w:r>
      <w:r w:rsidRPr="00BA5327">
        <w:rPr>
          <w:rFonts w:hAnsi="標楷體" w:hint="eastAsia"/>
          <w:color w:val="000000"/>
        </w:rPr>
        <w:t>從嚴認定得個案變更之標準，關閉以個案變更取代通盤檢討之巧門</w:t>
      </w:r>
      <w:r>
        <w:rPr>
          <w:rFonts w:hAnsi="標楷體" w:hint="eastAsia"/>
          <w:color w:val="000000"/>
        </w:rPr>
        <w:t>，以及</w:t>
      </w:r>
      <w:r w:rsidRPr="00CB4864">
        <w:rPr>
          <w:rFonts w:hAnsi="標楷體" w:hint="eastAsia"/>
          <w:color w:val="000000"/>
        </w:rPr>
        <w:t>落實定期通盤檢討之機制，以因應社會、經濟、環境與氣候變遷之衝擊以及未來發展需要，定期做必要之變更</w:t>
      </w:r>
      <w:r>
        <w:rPr>
          <w:rFonts w:hint="eastAsia"/>
        </w:rPr>
        <w:t>等語</w:t>
      </w:r>
      <w:r w:rsidRPr="00BA5327">
        <w:rPr>
          <w:rFonts w:hint="eastAsia"/>
        </w:rPr>
        <w:t>。</w:t>
      </w:r>
    </w:p>
    <w:p w:rsidR="00591C3B" w:rsidRDefault="00591C3B" w:rsidP="00591C3B">
      <w:pPr>
        <w:pStyle w:val="3"/>
        <w:wordWrap w:val="0"/>
        <w:overflowPunct/>
        <w:ind w:left="1360" w:hanging="680"/>
        <w:rPr>
          <w:rFonts w:hAnsi="標楷體"/>
          <w:color w:val="000000"/>
        </w:rPr>
      </w:pPr>
      <w:r w:rsidRPr="001B766A">
        <w:rPr>
          <w:rFonts w:hAnsi="標楷體" w:hint="eastAsia"/>
        </w:rPr>
        <w:lastRenderedPageBreak/>
        <w:t>綜上，</w:t>
      </w:r>
      <w:r w:rsidR="004B48E5" w:rsidRPr="000475A5">
        <w:rPr>
          <w:rFonts w:hAnsi="標楷體" w:hint="eastAsia"/>
        </w:rPr>
        <w:t>各直轄市、縣（市）政府都市計畫個案變更件數由100年統計至107年底主要計畫通盤檢討平均件數為73.5件，主要計畫「個案變更」平均件數為102.4件，個案變更件數為通盤檢討平均件數之1.39倍。100年至107年細部計畫發布實施都市計畫案平均件數為31.6件，細部計畫「個案變更」平均件數為67.8件，個案變更件數為通盤檢討平均件數之2.14倍。顯見無論主要計畫或細部計畫之個案變更件數均大於都市計畫通盤件數，都市計畫個案變更過於浮濫，內政部營建署未能切實檢討制度及督導各直轄市、縣（市）政府依都市計畫法落實都市計畫通盤檢討，放任個案變更浮濫，均待檢討改進</w:t>
      </w:r>
      <w:r w:rsidRPr="001B766A">
        <w:rPr>
          <w:rFonts w:hAnsi="標楷體" w:hint="eastAsia"/>
          <w:color w:val="000000"/>
        </w:rPr>
        <w:t>。</w:t>
      </w:r>
    </w:p>
    <w:p w:rsidR="00E769F5" w:rsidRPr="001B766A" w:rsidRDefault="00E769F5" w:rsidP="00E769F5">
      <w:pPr>
        <w:pStyle w:val="2"/>
        <w:wordWrap w:val="0"/>
        <w:overflowPunct/>
        <w:ind w:left="1045" w:hanging="697"/>
        <w:rPr>
          <w:rFonts w:hAnsi="標楷體"/>
          <w:b/>
          <w:color w:val="000000"/>
        </w:rPr>
      </w:pPr>
      <w:r w:rsidRPr="000C37F1">
        <w:rPr>
          <w:rFonts w:hAnsi="標楷體" w:hint="eastAsia"/>
          <w:b/>
          <w:color w:val="000000"/>
        </w:rPr>
        <w:t>關於都市計畫通盤檢討相關標準難以因應</w:t>
      </w:r>
      <w:r w:rsidRPr="008F1E97">
        <w:rPr>
          <w:rFonts w:hAnsi="標楷體" w:hint="eastAsia"/>
          <w:b/>
          <w:color w:val="C00000"/>
        </w:rPr>
        <w:t>目前及</w:t>
      </w:r>
      <w:r w:rsidRPr="000C37F1">
        <w:rPr>
          <w:rFonts w:hAnsi="標楷體" w:hint="eastAsia"/>
          <w:b/>
          <w:color w:val="000000"/>
        </w:rPr>
        <w:t>未來高齡化、少子化、環境</w:t>
      </w:r>
      <w:r w:rsidRPr="008F1E97">
        <w:rPr>
          <w:rFonts w:hAnsi="標楷體" w:hint="eastAsia"/>
          <w:b/>
          <w:color w:val="C00000"/>
        </w:rPr>
        <w:t>生態保育、</w:t>
      </w:r>
      <w:r w:rsidRPr="000C37F1">
        <w:rPr>
          <w:rFonts w:hAnsi="標楷體" w:hint="eastAsia"/>
          <w:b/>
          <w:color w:val="000000"/>
        </w:rPr>
        <w:t>氣候變遷、低碳節能城市等</w:t>
      </w:r>
      <w:r w:rsidRPr="008F1E97">
        <w:rPr>
          <w:rFonts w:hAnsi="標楷體" w:hint="eastAsia"/>
          <w:b/>
          <w:color w:val="C00000"/>
        </w:rPr>
        <w:t>重大</w:t>
      </w:r>
      <w:r w:rsidRPr="000C37F1">
        <w:rPr>
          <w:rFonts w:hAnsi="標楷體" w:hint="eastAsia"/>
          <w:b/>
          <w:color w:val="000000"/>
        </w:rPr>
        <w:t>問題與目標，理應明確納入都市計畫通盤檢討</w:t>
      </w:r>
      <w:r w:rsidRPr="008F1E97">
        <w:rPr>
          <w:rFonts w:hAnsi="標楷體" w:hint="eastAsia"/>
          <w:b/>
          <w:color w:val="C00000"/>
        </w:rPr>
        <w:t>內容並</w:t>
      </w:r>
      <w:r>
        <w:rPr>
          <w:rFonts w:hAnsi="標楷體" w:hint="eastAsia"/>
          <w:b/>
          <w:color w:val="000000"/>
        </w:rPr>
        <w:t>實施，</w:t>
      </w:r>
      <w:r w:rsidRPr="000C37F1">
        <w:rPr>
          <w:rFonts w:hAnsi="標楷體" w:hint="eastAsia"/>
          <w:b/>
          <w:color w:val="000000"/>
        </w:rPr>
        <w:t>制度面與執行面均有待檢討改進</w:t>
      </w:r>
      <w:r w:rsidRPr="001B766A">
        <w:rPr>
          <w:rFonts w:hAnsi="標楷體" w:hint="eastAsia"/>
          <w:b/>
          <w:color w:val="000000"/>
        </w:rPr>
        <w:t>。</w:t>
      </w:r>
    </w:p>
    <w:p w:rsidR="00E769F5" w:rsidRPr="008F1E97" w:rsidRDefault="00E769F5" w:rsidP="00E769F5">
      <w:pPr>
        <w:pStyle w:val="3"/>
        <w:wordWrap w:val="0"/>
        <w:overflowPunct/>
        <w:ind w:left="1360" w:hanging="680"/>
        <w:rPr>
          <w:rFonts w:hAnsi="標楷體"/>
          <w:color w:val="000000" w:themeColor="text1"/>
        </w:rPr>
      </w:pPr>
      <w:r w:rsidRPr="0080043D">
        <w:rPr>
          <w:rFonts w:hAnsi="標楷體" w:hint="eastAsia"/>
          <w:color w:val="000000"/>
        </w:rPr>
        <w:t>按都市計畫法第26條第2項規定：「都市計畫定期通盤檢討之辦理機關、作業方法及檢討基準等事項之實施辦法，由內政部定之」</w:t>
      </w:r>
      <w:r>
        <w:rPr>
          <w:rFonts w:hAnsi="標楷體" w:hint="eastAsia"/>
          <w:color w:val="000000"/>
        </w:rPr>
        <w:t>、</w:t>
      </w:r>
      <w:r w:rsidRPr="0080043D">
        <w:rPr>
          <w:rFonts w:hAnsi="標楷體" w:hint="eastAsia"/>
          <w:color w:val="000000"/>
        </w:rPr>
        <w:t>都市計畫法第27條之1規定：「土地權利關係人依第24條規定自行擬定或變更細部計畫，或擬定計畫機關依第26條或第27條規定辦理都市計畫變更時，主管機關得要求土地權利關係人</w:t>
      </w:r>
      <w:r w:rsidRPr="0080043D">
        <w:rPr>
          <w:rFonts w:hAnsi="標楷體" w:hint="eastAsia"/>
          <w:b/>
          <w:color w:val="000000"/>
        </w:rPr>
        <w:t>提供或捐贈都市計畫變更範圍內之公共設施用地，可建築土地、樓地板面積或一定金額予當地直轄市、縣（市）（局）政府或鄉、鎮、縣轄市公所。前項土地權利關係人提供或捐贈之項目、比例、計算方式、作業方法、辦理程序及應備書件等事項，由內政部於審議規範或處理原則中定之。</w:t>
      </w:r>
      <w:r w:rsidRPr="0080043D">
        <w:rPr>
          <w:rFonts w:hAnsi="標楷體" w:hint="eastAsia"/>
          <w:color w:val="000000"/>
        </w:rPr>
        <w:t>」，據此，內政部訂頒「都市計畫工業區檢討變更審議規</w:t>
      </w:r>
      <w:r w:rsidRPr="0080043D">
        <w:rPr>
          <w:rFonts w:hAnsi="標楷體" w:hint="eastAsia"/>
          <w:color w:val="000000"/>
        </w:rPr>
        <w:lastRenderedPageBreak/>
        <w:t>範」、「都市計畫農業區變更使用審議規範」、「都市計畫工商綜合專用區審議規範」、「都市計畫農業區保護區變更為醫療專用區回饋處理原則」、「都市計畫工業區毗鄰土地變更處理原則」及「都市計畫公共設施保留地檢討變更作業原則」等審議規範或處理原則，作為各級都市計畫委員會審議之參據。</w:t>
      </w:r>
      <w:r w:rsidRPr="0080043D">
        <w:rPr>
          <w:rFonts w:hAnsi="標楷體" w:hint="eastAsia"/>
        </w:rPr>
        <w:t>另，各直轄市、縣（市）政府依據都市計畫法第</w:t>
      </w:r>
      <w:r w:rsidRPr="0080043D">
        <w:rPr>
          <w:rFonts w:hAnsi="標楷體"/>
        </w:rPr>
        <w:t>27</w:t>
      </w:r>
      <w:r w:rsidRPr="0080043D">
        <w:rPr>
          <w:rFonts w:hAnsi="標楷體" w:hint="eastAsia"/>
        </w:rPr>
        <w:t>條之</w:t>
      </w:r>
      <w:r w:rsidRPr="0080043D">
        <w:rPr>
          <w:rFonts w:hAnsi="標楷體"/>
        </w:rPr>
        <w:t>1</w:t>
      </w:r>
      <w:r w:rsidRPr="0080043D">
        <w:rPr>
          <w:rFonts w:hAnsi="標楷體" w:hint="eastAsia"/>
        </w:rPr>
        <w:t>規定，亦訂有</w:t>
      </w:r>
      <w:r w:rsidRPr="00A05F76">
        <w:rPr>
          <w:rFonts w:hAnsi="標楷體" w:hint="eastAsia"/>
          <w:b/>
        </w:rPr>
        <w:t>變更回饋原則</w:t>
      </w:r>
      <w:r w:rsidRPr="0080043D">
        <w:rPr>
          <w:rFonts w:hAnsi="標楷體" w:hint="eastAsia"/>
        </w:rPr>
        <w:t>規定，例如：嘉義縣都市計畫土地變更回饋審議原則、臺南市都市計畫區土地變更負擔公共設施審議原則、屏東縣都市計畫變更案件捐贈原則表；以及土地使用分區變更審</w:t>
      </w:r>
      <w:r w:rsidRPr="008F1E97">
        <w:rPr>
          <w:rFonts w:hAnsi="標楷體" w:hint="eastAsia"/>
          <w:color w:val="000000" w:themeColor="text1"/>
        </w:rPr>
        <w:t>議通案原則之規定，例如：南投縣都市計畫宗教專用區檢討變更處理原則、基隆市都市計畫倉儲區變更使用審議規範、桃園市都市計畫宗教專用區檢討變更審議原則等規定，作為辦理都市計畫</w:t>
      </w:r>
      <w:r w:rsidRPr="008F1E97">
        <w:rPr>
          <w:rFonts w:hAnsi="標楷體" w:hint="eastAsia"/>
          <w:b/>
          <w:color w:val="000000" w:themeColor="text1"/>
        </w:rPr>
        <w:t>變更</w:t>
      </w:r>
      <w:r w:rsidRPr="008F1E97">
        <w:rPr>
          <w:rFonts w:hAnsi="標楷體" w:hint="eastAsia"/>
          <w:color w:val="000000" w:themeColor="text1"/>
        </w:rPr>
        <w:t>審議之參考。</w:t>
      </w:r>
    </w:p>
    <w:p w:rsidR="00E769F5" w:rsidRPr="008F1E97" w:rsidRDefault="00E769F5" w:rsidP="00E769F5">
      <w:pPr>
        <w:pStyle w:val="3"/>
        <w:wordWrap w:val="0"/>
        <w:overflowPunct/>
        <w:ind w:left="1360" w:hanging="680"/>
        <w:rPr>
          <w:rFonts w:hAnsi="標楷體"/>
          <w:color w:val="000000" w:themeColor="text1"/>
        </w:rPr>
      </w:pPr>
      <w:r w:rsidRPr="008F1E97">
        <w:rPr>
          <w:rFonts w:hint="eastAsia"/>
          <w:color w:val="000000" w:themeColor="text1"/>
        </w:rPr>
        <w:t>次</w:t>
      </w:r>
      <w:r w:rsidRPr="008F1E97">
        <w:rPr>
          <w:rFonts w:hAnsi="標楷體" w:hint="eastAsia"/>
          <w:color w:val="000000" w:themeColor="text1"/>
        </w:rPr>
        <w:t>按，都市計畫定期通盤檢討實施辦法第5條：「都市計畫通盤檢討前應先進行計畫地區之基本調查及分析推計，作為通盤檢討之基礎，其內容至少應包括下列各款：一、自然生態環境、自然及人文景觀資源、可供再生利用資源。二、災害發生歷史及特性、災害潛勢情形。三、人口規模、成長及組成、人口密度分布。四、建築密度分布、產業結構及發展、土地利用、住宅供需。五、公共設施容受力。六、交通運輸。都市計畫通盤檢討時，應依據前項基本調查及分析推計，研擬發展課題、對策及願景，作為檢討之依據。」、第6條：「都市計畫通盤檢討時，應依據都市災害發生歷史、特性及災害潛勢情形，就都市防災避難場所及設施、流域型蓄洪及滯洪設施、救災路線、火災延燒防止地帶等事項進行</w:t>
      </w:r>
      <w:r w:rsidRPr="008F1E97">
        <w:rPr>
          <w:rFonts w:hAnsi="標楷體" w:hint="eastAsia"/>
          <w:color w:val="000000" w:themeColor="text1"/>
        </w:rPr>
        <w:lastRenderedPageBreak/>
        <w:t>規劃及檢討，並調整土地使用分區或使用管制。」、第7條；「辦理主要計畫通盤檢討時，應視實際需要擬定下列各款生態都市發展策略：一、自然及景觀資源之管理維護策略或計畫。二、公共施設用地及其他開放空間之水與綠網絡發展策略或計畫。三、都市發展歷史之空間紋理、名勝、古蹟及具有紀念性或藝術價值應予保存建築之風貌發展策略或計畫。四、大眾運輸導向、人本交通環境及綠色運輸之都市發展模式土地使用配置策略或計畫。五、都市水資源及其他各種資源之再利用土地使用發展策略或計畫。」、第8條：「辦理細部計畫通盤檢討時，應視實際需要擬定下列各款生態都市規劃原則：一、水與綠網絡系統串聯規劃設計原則。二、雨水下滲、貯留之規劃設計原則。三、計畫區內既有重要水資源及綠色資源管理維護原則。四、地區風貌發展及管制原則。五、地區人行步道及自行車道之建置原則。」、第9條：「都市計畫通盤檢討時，下列地區應辦理都市設計，納入細部計畫：一、新市鎮。二、新市區建設地區：都市中心、副都市中心、實施大規模整體開發之新市區。三、舊市區更新地區。四、名勝、古蹟及具有紀念性或藝術價值應予保存建築物之周圍地區。五、位於高速鐵路、高速公路及區域計畫指定景觀道路二側一公里範圍內之地區。六、其他經主要計畫指定應辦理都市設計之地區。（第二項）都市設計之內容視實際需要，表明下列事項：一、公共開放空間系統配置及其綠化、保水事項。二、人行空間、步道或自行車道系統動線配置事項。三、交通運輸系統、汽車、機車與自行車之停車空間及出入動線配置事項。四、建築基地細分規模及地下室開挖之限制事項。五、建築量體</w:t>
      </w:r>
      <w:r w:rsidRPr="008F1E97">
        <w:rPr>
          <w:rFonts w:hAnsi="標楷體" w:hint="eastAsia"/>
          <w:color w:val="000000" w:themeColor="text1"/>
        </w:rPr>
        <w:lastRenderedPageBreak/>
        <w:t>配置、高度、造型、色彩、風格、綠建材及水資源回收再利用之事項。六、環境保護設施及資源再利用設施配置事項。七、景觀計畫。八、防災、救災空間及設施配置事項。九、管理維護計畫。」、第12條：「都市計畫通盤檢討時，應針對舊有建築物密集、畸零破舊，有礙觀瞻、影響公共安全，必須拆除重建，就地整建或特別加以維護之地區，進行全面調查分析，劃定都市更新地區範圍，研訂更新基本方針，納入計畫書規定。」、第14條：「都市計畫發布實施後有下列情形之一者，應即辦理通盤檢討：一、都市計畫依本法第二十七條之規定辦理變更致原計畫無法配合者。二、區域計畫公告實施後，原已發布實施之都市計畫不能配合者。」、第25條：「已劃設而未取得之公共設施用地，應全面清查檢討實際需要，有保留必要者，應策訂其取得策略，擬具可行之事業及財務計畫，納入計畫書規定，並考量與新市區建設地區併同辦理市地重劃或區段徵收，或舊市區地區併同辦理整體開發，以加速公共設施用地之取得開闢。」對於都市計畫辦理通盤檢討之作業程序及方法、公共設施用地及土地使用分區檢討基準等訂有規定。</w:t>
      </w:r>
    </w:p>
    <w:p w:rsidR="00E769F5" w:rsidRPr="008F1E97" w:rsidRDefault="00E769F5" w:rsidP="00E769F5">
      <w:pPr>
        <w:pStyle w:val="3"/>
        <w:wordWrap w:val="0"/>
        <w:overflowPunct/>
        <w:ind w:left="1360" w:hanging="680"/>
        <w:rPr>
          <w:color w:val="000000" w:themeColor="text1"/>
        </w:rPr>
      </w:pPr>
      <w:r w:rsidRPr="008F1E97">
        <w:rPr>
          <w:rFonts w:hint="eastAsia"/>
          <w:color w:val="000000" w:themeColor="text1"/>
        </w:rPr>
        <w:t>惟查，我國都市計畫通盤檢討辦理情形如前所述，據本院</w:t>
      </w:r>
      <w:r w:rsidRPr="008F1E97">
        <w:rPr>
          <w:rFonts w:hAnsi="標楷體" w:hint="eastAsia"/>
          <w:color w:val="000000" w:themeColor="text1"/>
        </w:rPr>
        <w:t>諮詢會議專家學者指出，都市計畫通盤檢討功能不彰原因，如下：</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通盤檢討範疇、檢討原則、準則與標</w:t>
      </w:r>
      <w:r>
        <w:rPr>
          <w:rFonts w:hint="eastAsia"/>
          <w:color w:val="000000" w:themeColor="text1"/>
        </w:rPr>
        <w:t>準不夠周延：通盤檢討著重在土地使用之檢討，忽視計畫發展目標達成</w:t>
      </w:r>
      <w:r w:rsidRPr="008F1E97">
        <w:rPr>
          <w:rFonts w:hint="eastAsia"/>
          <w:color w:val="000000" w:themeColor="text1"/>
        </w:rPr>
        <w:t>、計畫功能</w:t>
      </w:r>
      <w:r w:rsidRPr="008F1E97">
        <w:rPr>
          <w:rFonts w:hint="eastAsia"/>
          <w:color w:val="C00000"/>
        </w:rPr>
        <w:t>發揮</w:t>
      </w:r>
      <w:r w:rsidRPr="008F1E97">
        <w:rPr>
          <w:rFonts w:hint="eastAsia"/>
          <w:color w:val="000000" w:themeColor="text1"/>
        </w:rPr>
        <w:t>、實際發展與計畫脫鉤（計畫人口與實際人口、土地開發、公共設施取得與建設、防災安全、環境保護、人口密度、鄰里密度等）</w:t>
      </w:r>
      <w:r w:rsidRPr="008F1E97">
        <w:rPr>
          <w:rFonts w:hint="eastAsia"/>
          <w:color w:val="C00000"/>
        </w:rPr>
        <w:t>實質</w:t>
      </w:r>
      <w:r w:rsidRPr="008F1E97">
        <w:rPr>
          <w:rFonts w:hint="eastAsia"/>
          <w:color w:val="000000" w:themeColor="text1"/>
        </w:rPr>
        <w:t>之檢討，通盤檢討之原則、準則</w:t>
      </w:r>
      <w:r w:rsidRPr="008F1E97">
        <w:rPr>
          <w:rFonts w:hint="eastAsia"/>
          <w:color w:val="000000" w:themeColor="text1"/>
        </w:rPr>
        <w:lastRenderedPageBreak/>
        <w:t>與標準亦不夠周延。</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未能落實「都市計畫定期通盤檢討實施辦法」之規定，尤其是下列條文：</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5條：「都市計畫通盤檢討前應先進行計畫地區之基本調查及分析推計，作為通盤檢討之基礎，其內容至少應包括下列各款：……五、公共設施容受力。……。都市計畫通盤檢討時，應依據前項基本調查及分析推計，研擬發展課題、對策及願景，作為檢討之依據。」之公共設施容受力。</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6條：「都市計畫通盤檢討時，應依據都市災害發生歷史、特性及災害潛勢情形，就都市防災避難場所及設施、流域型蓄洪及滯洪設施、救災路線、火災延燒防止地帶等事項進行規劃及檢討，並調整土地使用分區或使用管制。」，尤其是流域型蓄洪及滯洪設施。</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7條；「辦理主要計畫通盤檢討時，應視實際需要擬定下列各款生態都市發展策略：一、自然及景觀資源之管理維護策略或計畫。二、公共施設用地及其他開放空間之水與綠網絡發展策略或計畫。三、都市發展歷史之空間紋理、名勝、古蹟及具有紀念性或藝術價值應予保存建築之風貌發展策略或計畫。四、大眾運輸導向、人本交通環境及綠色運輸之都市發展模式土地使用配置策略或計畫。五、都市水資源及其他各種資源之再利用土地使用發展策略或計畫。」之生態都市發展策略部分。</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第8條：「辦理細部計畫通盤檢討時，應視實際需要擬定下列各款生態都市規劃原則：一、水與綠網絡系統串聯規劃設計原則。二、雨水下</w:t>
      </w:r>
      <w:r w:rsidRPr="008F1E97">
        <w:rPr>
          <w:rFonts w:hAnsi="標楷體" w:hint="eastAsia"/>
          <w:color w:val="000000" w:themeColor="text1"/>
        </w:rPr>
        <w:lastRenderedPageBreak/>
        <w:t>滲、貯留之規劃設計原則。三、計畫區內既有重要水資源及綠色資源管理維護原則。四、地區風貌發展及管制原則。五、地區人行步道及自行車道之建置原則。」之生態都市規劃原則。</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第9條：「都市計畫通盤檢討時，下列地區應辦理都市設計，納入細部計畫：一、新市鎮。二、新市區建設地區：都市中心、副都市中心、實施大規模整體開發之新市區。三、舊市區更新地區。五、位於</w:t>
      </w:r>
      <w:r>
        <w:rPr>
          <w:rFonts w:hAnsi="標楷體" w:hint="eastAsia"/>
          <w:color w:val="000000" w:themeColor="text1"/>
        </w:rPr>
        <w:t>高速鐵路、高速公路及區域計畫指定景觀道路二側一公里範圍內之地區</w:t>
      </w:r>
      <w:r w:rsidRPr="008F1E97">
        <w:rPr>
          <w:rFonts w:hAnsi="標楷體" w:hint="eastAsia"/>
          <w:color w:val="000000" w:themeColor="text1"/>
        </w:rPr>
        <w:t>」，關於新市區建設地區、舊市區更新地區、指定景觀道路二側一公里範圍內之地區等。</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12條：「都市計畫通盤檢討時，應針對舊有建築物密集、畸零破舊，有礙觀瞻、影響公共安全，必須拆除重建，就地整建或特別加以維護之地區，進行全面調查分析，劃定都市更新地區範圍，研訂更新基本方針，納入計畫書規定。」之劃定都市更新地區範圍，研訂更新基本方針，納入計畫書規定。</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14條：「都市計畫發布實施後有下列情形之一者，應即辦理通盤檢討：一、都市計畫依本法第二十七條之規定辦理變更致原計畫無法配合者。二、區域計畫公告實施後，原已發布實施之都市計畫不能配合者。」之應即辦理通盤檢討事項。</w:t>
      </w:r>
    </w:p>
    <w:p w:rsidR="00E769F5" w:rsidRPr="008F1E97" w:rsidRDefault="00E769F5" w:rsidP="00E769F5">
      <w:pPr>
        <w:pStyle w:val="5"/>
        <w:wordWrap w:val="0"/>
        <w:overflowPunct/>
        <w:ind w:left="2095" w:hanging="700"/>
        <w:rPr>
          <w:color w:val="000000" w:themeColor="text1"/>
        </w:rPr>
      </w:pPr>
      <w:r w:rsidRPr="008F1E97">
        <w:rPr>
          <w:rFonts w:hAnsi="標楷體" w:hint="eastAsia"/>
          <w:color w:val="000000" w:themeColor="text1"/>
        </w:rPr>
        <w:t>第25條：「已劃設而未取得之公共設施用地，應全面清查檢討實際需要，有保留必要者，應策訂其取得策略，擬具可行之事業及財務計畫，納入計畫書規定，並考量與新市區建設地區</w:t>
      </w:r>
      <w:r w:rsidRPr="008F1E97">
        <w:rPr>
          <w:rFonts w:hAnsi="標楷體" w:hint="eastAsia"/>
          <w:color w:val="000000" w:themeColor="text1"/>
        </w:rPr>
        <w:lastRenderedPageBreak/>
        <w:t>併同辦理市地重劃或區段徵收，或舊市區地區併同辦理整體開發，以加速公共設施用地之取得開闢」。</w:t>
      </w:r>
    </w:p>
    <w:p w:rsidR="00E769F5" w:rsidRPr="008F1E97" w:rsidRDefault="00E769F5" w:rsidP="00E769F5">
      <w:pPr>
        <w:pStyle w:val="3"/>
        <w:wordWrap w:val="0"/>
        <w:overflowPunct/>
        <w:ind w:left="1360" w:hanging="680"/>
        <w:rPr>
          <w:color w:val="000000" w:themeColor="text1"/>
        </w:rPr>
      </w:pPr>
      <w:r w:rsidRPr="008F1E97">
        <w:rPr>
          <w:rFonts w:hint="eastAsia"/>
          <w:color w:val="000000" w:themeColor="text1"/>
        </w:rPr>
        <w:t>再據</w:t>
      </w:r>
      <w:r w:rsidRPr="008F1E97">
        <w:rPr>
          <w:rFonts w:hAnsi="標楷體" w:hint="eastAsia"/>
          <w:color w:val="000000" w:themeColor="text1"/>
        </w:rPr>
        <w:t>本院諮詢會議專家學者提出，</w:t>
      </w:r>
      <w:r w:rsidRPr="008F1E97">
        <w:rPr>
          <w:rFonts w:hint="eastAsia"/>
          <w:color w:val="000000" w:themeColor="text1"/>
        </w:rPr>
        <w:t>各地方都市計畫通盤檢討相關問題，如下：</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都市計畫法第26與27條，第26條規定都市計畫不得隨時任意變更，但每3年內或5年內至少應通盤檢討1次，作必要之變更；而第27條第1項第3、4款規定地方政府為適應經濟發展之需要，或為配合中央、直轄市或縣（市）興建之重大設施時，得迅即辦理個案變更。</w:t>
      </w:r>
      <w:r w:rsidRPr="008F1E97">
        <w:rPr>
          <w:rFonts w:hint="eastAsia"/>
          <w:b/>
          <w:color w:val="000000" w:themeColor="text1"/>
        </w:rPr>
        <w:t>地方政府既然有辦理個案變更之途徑，當然對於需要耗費大量資源與處理大量人民團體陳情意見之通盤檢討能拖則拖</w:t>
      </w:r>
      <w:r w:rsidRPr="008F1E97">
        <w:rPr>
          <w:rFonts w:hint="eastAsia"/>
          <w:color w:val="000000" w:themeColor="text1"/>
        </w:rPr>
        <w:t>。</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地方政府行政怠惰，中央主管機關督導不力。內政部應督導地方政府提出都市計畫通盤檢討計畫。</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通盤檢討制度不完備，檢討程序冗長、民眾參與不足、人民陳請層出不窮，檢討時程無法掌握。</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缺乏土地使用變更利益平衡機制，變更利益歸私、特別犧牲補償不合理。</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提高都市計畫主管單位層級，建議縣市政府成立「都市及國土發展處」專責單位，主管國土、都市、都更、以及住宅業務。</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建議內政部建置「都市計畫通盤檢討十年促進方案」，由中央編列預算補助縣市政府辦理通盤檢討所需經費，並負起對地方政府都計通檢之督導(列管)責任。</w:t>
      </w:r>
    </w:p>
    <w:p w:rsidR="00E769F5" w:rsidRPr="008F1E97" w:rsidRDefault="00E769F5" w:rsidP="00E769F5">
      <w:pPr>
        <w:pStyle w:val="4"/>
        <w:kinsoku/>
        <w:wordWrap w:val="0"/>
        <w:overflowPunct/>
        <w:ind w:left="1741" w:hanging="698"/>
        <w:rPr>
          <w:color w:val="000000" w:themeColor="text1"/>
        </w:rPr>
      </w:pPr>
      <w:r w:rsidRPr="008F1E97">
        <w:rPr>
          <w:rFonts w:hint="eastAsia"/>
          <w:color w:val="000000" w:themeColor="text1"/>
        </w:rPr>
        <w:t>通盤檢討不宜按主要計畫區、或按行政區、或按分區或用地用地(如:公共設施用地、商業區、工業區、保護區等)單獨做通盤檢討，建議至少每10年或15年應該辦理一次全市或全縣(市)之通盤檢</w:t>
      </w:r>
      <w:r w:rsidRPr="008F1E97">
        <w:rPr>
          <w:rFonts w:hint="eastAsia"/>
          <w:color w:val="000000" w:themeColor="text1"/>
        </w:rPr>
        <w:lastRenderedPageBreak/>
        <w:t>討。</w:t>
      </w:r>
    </w:p>
    <w:p w:rsidR="00E769F5" w:rsidRPr="00D82FF2" w:rsidRDefault="00E769F5" w:rsidP="00E769F5">
      <w:pPr>
        <w:pStyle w:val="4"/>
        <w:kinsoku/>
        <w:wordWrap w:val="0"/>
        <w:overflowPunct/>
        <w:ind w:left="1741" w:hanging="698"/>
      </w:pPr>
      <w:r w:rsidRPr="00D82FF2">
        <w:rPr>
          <w:rFonts w:hint="eastAsia"/>
        </w:rPr>
        <w:t>對都</w:t>
      </w:r>
      <w:r>
        <w:rPr>
          <w:rFonts w:hint="eastAsia"/>
        </w:rPr>
        <w:t>市</w:t>
      </w:r>
      <w:r w:rsidRPr="00D82FF2">
        <w:rPr>
          <w:rFonts w:hint="eastAsia"/>
        </w:rPr>
        <w:t>計</w:t>
      </w:r>
      <w:r>
        <w:rPr>
          <w:rFonts w:hint="eastAsia"/>
        </w:rPr>
        <w:t>畫</w:t>
      </w:r>
      <w:r w:rsidRPr="00D82FF2">
        <w:rPr>
          <w:rFonts w:hint="eastAsia"/>
        </w:rPr>
        <w:t>法</w:t>
      </w:r>
      <w:r>
        <w:rPr>
          <w:rFonts w:hint="eastAsia"/>
        </w:rPr>
        <w:t>第27</w:t>
      </w:r>
      <w:r w:rsidRPr="00D82FF2">
        <w:rPr>
          <w:rFonts w:hint="eastAsia"/>
        </w:rPr>
        <w:t>條允許個案變更之條件做明確與嚴謹之規定。</w:t>
      </w:r>
    </w:p>
    <w:p w:rsidR="00E769F5" w:rsidRPr="00D82FF2" w:rsidRDefault="00E769F5" w:rsidP="00E769F5">
      <w:pPr>
        <w:pStyle w:val="4"/>
        <w:kinsoku/>
        <w:wordWrap w:val="0"/>
        <w:overflowPunct/>
        <w:ind w:left="1741" w:hanging="698"/>
      </w:pPr>
      <w:r w:rsidRPr="00D82FF2">
        <w:rPr>
          <w:rFonts w:hint="eastAsia"/>
        </w:rPr>
        <w:t>通盤檢討計畫應表明內容，建議增列因應氣候變遷、能源政策、國際經貿情勢等之計畫內容。</w:t>
      </w:r>
    </w:p>
    <w:p w:rsidR="00E769F5" w:rsidRPr="00D82FF2" w:rsidRDefault="00E769F5" w:rsidP="00E769F5">
      <w:pPr>
        <w:pStyle w:val="4"/>
        <w:kinsoku/>
        <w:wordWrap w:val="0"/>
        <w:overflowPunct/>
        <w:ind w:left="1741" w:hanging="698"/>
      </w:pPr>
      <w:r w:rsidRPr="00D82FF2">
        <w:rPr>
          <w:rFonts w:hint="eastAsia"/>
        </w:rPr>
        <w:t>細部計畫通盤檢討時，應將都市更新地區劃設與更新計畫之推動納入檢討。</w:t>
      </w:r>
    </w:p>
    <w:p w:rsidR="00E769F5" w:rsidRPr="00D82FF2" w:rsidRDefault="00E769F5" w:rsidP="00E769F5">
      <w:pPr>
        <w:pStyle w:val="4"/>
        <w:kinsoku/>
        <w:wordWrap w:val="0"/>
        <w:overflowPunct/>
        <w:ind w:left="1741" w:hanging="698"/>
      </w:pPr>
      <w:r w:rsidRPr="00D82FF2">
        <w:rPr>
          <w:rFonts w:hint="eastAsia"/>
        </w:rPr>
        <w:t>因應司法院大法官會議742號決議之衝擊，強化通盤檢討之民眾參與、建立計畫審議之民眾陳情處理原則。</w:t>
      </w:r>
    </w:p>
    <w:p w:rsidR="00E769F5" w:rsidRPr="00D82FF2" w:rsidRDefault="00E769F5" w:rsidP="00E769F5">
      <w:pPr>
        <w:pStyle w:val="4"/>
        <w:kinsoku/>
        <w:wordWrap w:val="0"/>
        <w:overflowPunct/>
        <w:ind w:left="1741" w:hanging="698"/>
      </w:pPr>
      <w:r w:rsidRPr="00D82FF2">
        <w:rPr>
          <w:rFonts w:hint="eastAsia"/>
        </w:rPr>
        <w:t>通盤檢討分2階段辦理: 第一階段辦理發展現況、計畫目標與策略、計畫發展課題與對策、發展總量與調配策略等之檢討。第2階段辦理空間規劃(含土地使用之調整)。</w:t>
      </w:r>
    </w:p>
    <w:p w:rsidR="00E769F5" w:rsidRPr="001B766A" w:rsidRDefault="00E769F5" w:rsidP="00E769F5">
      <w:pPr>
        <w:pStyle w:val="4"/>
        <w:kinsoku/>
        <w:wordWrap w:val="0"/>
        <w:overflowPunct/>
        <w:ind w:left="1741" w:hanging="698"/>
      </w:pPr>
      <w:r w:rsidRPr="00D82FF2">
        <w:rPr>
          <w:rFonts w:hint="eastAsia"/>
        </w:rPr>
        <w:t>中央主管機關檢討修正通盤檢討辦法，務實修正有矛盾、競合、衝突、以及不合時宜之規定，以及增補有關韌性城市、縮收城市、綠色基盤、以及健康城市等可操作之規定。</w:t>
      </w:r>
    </w:p>
    <w:p w:rsidR="00E769F5" w:rsidRPr="0088135A" w:rsidRDefault="00E769F5" w:rsidP="00E769F5">
      <w:pPr>
        <w:pStyle w:val="3"/>
        <w:wordWrap w:val="0"/>
        <w:overflowPunct/>
        <w:ind w:left="1360" w:hanging="680"/>
        <w:rPr>
          <w:rFonts w:hAnsi="標楷體"/>
          <w:color w:val="000000"/>
        </w:rPr>
      </w:pPr>
      <w:r>
        <w:rPr>
          <w:rFonts w:hAnsi="標楷體" w:hint="eastAsia"/>
        </w:rPr>
        <w:t>再</w:t>
      </w:r>
      <w:r w:rsidRPr="0088135A">
        <w:rPr>
          <w:rFonts w:hAnsi="標楷體" w:hint="eastAsia"/>
        </w:rPr>
        <w:t>據國家發展委員會105年8月「中華民國人口推估（105至150年）」報告，指出人口為國家構成的基本要素之一，人口數量及年齡結構的變化為決定國家發展的重要關鍵。報告中說明未來人口成長將持續趨緩，以高、中、低推估之人口零成長，分別出現在114年、113年及110年，預估114年人口零成長（人口自然增加率零成長之時點最早將於109年發生，最晚則為112年，如加以考量每年約1.2萬人之社會增加人數影響，總人口零成長時點將較自然零成長延後1至2年發生）。另</w:t>
      </w:r>
      <w:r>
        <w:rPr>
          <w:rFonts w:hAnsi="標楷體" w:hint="eastAsia"/>
        </w:rPr>
        <w:t>，</w:t>
      </w:r>
      <w:r w:rsidRPr="0088135A">
        <w:rPr>
          <w:rFonts w:hAnsi="標楷體" w:hint="eastAsia"/>
        </w:rPr>
        <w:t>詢據營建署有關都市計畫地區之計畫人口推估部分，該署稱：實務上多以現況人口、人口結構、人口成長趨勢、商業區及工業區</w:t>
      </w:r>
      <w:r w:rsidRPr="0088135A">
        <w:rPr>
          <w:rFonts w:hAnsi="標楷體" w:hint="eastAsia"/>
        </w:rPr>
        <w:lastRenderedPageBreak/>
        <w:t>等產業吸引因素，以及以全國區域計畫之人口總量分派各直轄市、縣（市）人口數等綜合分析多種條件後，予以推估。另，土地供需存量部分，查現行都市計畫並無土地供需存量等標準規定，目前依據都市計畫定期通盤檢討實施辦法第三章公共設施用地之檢討基準及第四章土地使用分區之檢討基準規定予以檢討，第30條規定住宅區之檢討，應依據都市發展之特性、地理環境及計畫目標等，區分成不同發展性質及使用強度之住宅區，其面積標準應依據未來25年內計畫人口居住需求預估數計算</w:t>
      </w:r>
      <w:r>
        <w:rPr>
          <w:rFonts w:hAnsi="標楷體" w:hint="eastAsia"/>
        </w:rPr>
        <w:t>等語</w:t>
      </w:r>
      <w:r w:rsidRPr="0088135A">
        <w:rPr>
          <w:rFonts w:hAnsi="標楷體" w:hint="eastAsia"/>
          <w:color w:val="000000"/>
        </w:rPr>
        <w:t>。</w:t>
      </w:r>
      <w:r w:rsidRPr="0080043D">
        <w:rPr>
          <w:rFonts w:hAnsi="標楷體" w:hint="eastAsia"/>
          <w:b/>
        </w:rPr>
        <w:t>是以，</w:t>
      </w:r>
      <w:r w:rsidRPr="0088135A">
        <w:rPr>
          <w:rFonts w:hAnsi="標楷體" w:hint="eastAsia"/>
          <w:b/>
        </w:rPr>
        <w:t>如何順應人口發展趨勢</w:t>
      </w:r>
      <w:r>
        <w:rPr>
          <w:rFonts w:hAnsi="標楷體" w:hint="eastAsia"/>
          <w:b/>
        </w:rPr>
        <w:t>，例如少子化、高齡化之議題</w:t>
      </w:r>
      <w:r w:rsidRPr="0088135A">
        <w:rPr>
          <w:rFonts w:hAnsi="標楷體" w:hint="eastAsia"/>
          <w:b/>
        </w:rPr>
        <w:t>，相關產業發展轉型</w:t>
      </w:r>
      <w:r>
        <w:rPr>
          <w:rFonts w:hAnsi="標楷體" w:hint="eastAsia"/>
          <w:b/>
        </w:rPr>
        <w:t>、氣候變遷之影響</w:t>
      </w:r>
      <w:r w:rsidRPr="0088135A">
        <w:rPr>
          <w:rFonts w:hAnsi="標楷體" w:hint="eastAsia"/>
          <w:b/>
        </w:rPr>
        <w:t>、都市</w:t>
      </w:r>
      <w:r>
        <w:rPr>
          <w:rFonts w:hAnsi="標楷體" w:hint="eastAsia"/>
          <w:b/>
        </w:rPr>
        <w:t>未來</w:t>
      </w:r>
      <w:r w:rsidRPr="0088135A">
        <w:rPr>
          <w:rFonts w:hAnsi="標楷體" w:hint="eastAsia"/>
          <w:b/>
        </w:rPr>
        <w:t>發展</w:t>
      </w:r>
      <w:r>
        <w:rPr>
          <w:rFonts w:hAnsi="標楷體" w:hint="eastAsia"/>
          <w:b/>
        </w:rPr>
        <w:t>、低碳節能</w:t>
      </w:r>
      <w:r w:rsidRPr="0088135A">
        <w:rPr>
          <w:rFonts w:hAnsi="標楷體" w:hint="eastAsia"/>
          <w:b/>
        </w:rPr>
        <w:t>、社會及醫療服務等政策皆應及早規劃</w:t>
      </w:r>
      <w:r>
        <w:rPr>
          <w:rFonts w:hAnsi="標楷體" w:hint="eastAsia"/>
          <w:b/>
        </w:rPr>
        <w:t>，以符合未來都市發展需求。</w:t>
      </w:r>
    </w:p>
    <w:p w:rsidR="00E769F5" w:rsidRPr="001B766A" w:rsidRDefault="00E769F5" w:rsidP="00E769F5">
      <w:pPr>
        <w:pStyle w:val="3"/>
        <w:wordWrap w:val="0"/>
        <w:overflowPunct/>
        <w:ind w:left="1360" w:hanging="680"/>
        <w:rPr>
          <w:rFonts w:hAnsi="標楷體"/>
          <w:color w:val="000000"/>
        </w:rPr>
      </w:pPr>
      <w:r w:rsidRPr="001B766A">
        <w:rPr>
          <w:rFonts w:hAnsi="標楷體" w:hint="eastAsia"/>
          <w:color w:val="000000"/>
        </w:rPr>
        <w:t>綜上，</w:t>
      </w:r>
      <w:r w:rsidRPr="008F1E97">
        <w:rPr>
          <w:rFonts w:hAnsi="標楷體" w:hint="eastAsia"/>
          <w:color w:val="000000"/>
        </w:rPr>
        <w:t>關於都市計畫通盤檢討相關標準難以因應</w:t>
      </w:r>
      <w:r w:rsidRPr="008F1E97">
        <w:rPr>
          <w:rFonts w:hAnsi="標楷體" w:hint="eastAsia"/>
          <w:color w:val="C00000"/>
        </w:rPr>
        <w:t>目前及</w:t>
      </w:r>
      <w:r w:rsidRPr="008F1E97">
        <w:rPr>
          <w:rFonts w:hAnsi="標楷體" w:hint="eastAsia"/>
          <w:color w:val="000000"/>
        </w:rPr>
        <w:t>未來高齡化、少子化、環境</w:t>
      </w:r>
      <w:r w:rsidRPr="008F1E97">
        <w:rPr>
          <w:rFonts w:hAnsi="標楷體" w:hint="eastAsia"/>
          <w:color w:val="C00000"/>
        </w:rPr>
        <w:t>生態保育、</w:t>
      </w:r>
      <w:r w:rsidRPr="008F1E97">
        <w:rPr>
          <w:rFonts w:hAnsi="標楷體" w:hint="eastAsia"/>
          <w:color w:val="000000"/>
        </w:rPr>
        <w:t>氣候變遷、低碳節能城市等</w:t>
      </w:r>
      <w:r w:rsidRPr="008F1E97">
        <w:rPr>
          <w:rFonts w:hAnsi="標楷體" w:hint="eastAsia"/>
          <w:color w:val="C00000"/>
        </w:rPr>
        <w:t>重大</w:t>
      </w:r>
      <w:r w:rsidRPr="008F1E97">
        <w:rPr>
          <w:rFonts w:hAnsi="標楷體" w:hint="eastAsia"/>
          <w:color w:val="000000"/>
        </w:rPr>
        <w:t>問題與目標，理應明確納入都市計畫通盤檢討</w:t>
      </w:r>
      <w:r w:rsidRPr="008F1E97">
        <w:rPr>
          <w:rFonts w:hAnsi="標楷體" w:hint="eastAsia"/>
          <w:color w:val="C00000"/>
        </w:rPr>
        <w:t>內容並</w:t>
      </w:r>
      <w:r w:rsidRPr="008F1E97">
        <w:rPr>
          <w:rFonts w:hAnsi="標楷體" w:hint="eastAsia"/>
          <w:color w:val="000000"/>
        </w:rPr>
        <w:t>實施，制度面與執行面均有待檢討改進</w:t>
      </w:r>
      <w:r w:rsidRPr="001B766A">
        <w:rPr>
          <w:rFonts w:hAnsi="標楷體" w:hint="eastAsia"/>
          <w:color w:val="000000"/>
        </w:rPr>
        <w:t>。</w:t>
      </w:r>
    </w:p>
    <w:p w:rsidR="00100477" w:rsidRPr="00100477" w:rsidRDefault="00100477" w:rsidP="00100477">
      <w:pPr>
        <w:pStyle w:val="2"/>
        <w:wordWrap w:val="0"/>
        <w:overflowPunct/>
        <w:ind w:left="1045" w:hanging="697"/>
        <w:rPr>
          <w:rFonts w:hAnsi="標楷體"/>
          <w:b/>
          <w:color w:val="000000" w:themeColor="text1"/>
        </w:rPr>
      </w:pPr>
      <w:r w:rsidRPr="00E06200">
        <w:rPr>
          <w:rFonts w:hint="eastAsia"/>
          <w:b/>
          <w:color w:val="000000" w:themeColor="text1"/>
        </w:rPr>
        <w:t>關於各式獎勵容積以及「容積總量」等統計管控，理</w:t>
      </w:r>
      <w:r w:rsidRPr="00100477">
        <w:rPr>
          <w:rFonts w:hint="eastAsia"/>
          <w:b/>
          <w:color w:val="000000" w:themeColor="text1"/>
        </w:rPr>
        <w:t>應明確納入都市計畫通盤檢討內容並實施都市計畫容積獎勵規定與其他法令容積獎勵規定應併同檢討，回歸都市計畫相關規定，據以有效控管建築量體、高度、棟距等</w:t>
      </w:r>
      <w:r w:rsidRPr="00100477">
        <w:rPr>
          <w:rFonts w:hAnsi="標楷體" w:hint="eastAsia"/>
          <w:b/>
          <w:color w:val="000000" w:themeColor="text1"/>
        </w:rPr>
        <w:t>居住</w:t>
      </w:r>
      <w:r w:rsidRPr="00100477">
        <w:rPr>
          <w:rFonts w:hint="eastAsia"/>
          <w:b/>
          <w:color w:val="000000" w:themeColor="text1"/>
        </w:rPr>
        <w:t>品質，達成都市計畫法立法之目的，制度面與執行面均待檢討改進</w:t>
      </w:r>
      <w:r w:rsidRPr="00100477">
        <w:rPr>
          <w:rFonts w:hAnsi="標楷體" w:hint="eastAsia"/>
          <w:b/>
          <w:color w:val="000000" w:themeColor="text1"/>
        </w:rPr>
        <w:t>。</w:t>
      </w:r>
    </w:p>
    <w:p w:rsidR="00100477" w:rsidRPr="00100477" w:rsidRDefault="00100477" w:rsidP="00100477">
      <w:pPr>
        <w:pStyle w:val="3"/>
        <w:wordWrap w:val="0"/>
        <w:overflowPunct/>
        <w:ind w:left="1360" w:hanging="680"/>
        <w:rPr>
          <w:rFonts w:hAnsi="標楷體"/>
          <w:color w:val="000000" w:themeColor="text1"/>
        </w:rPr>
      </w:pPr>
      <w:r w:rsidRPr="00100477">
        <w:rPr>
          <w:rFonts w:hAnsi="標楷體" w:hint="eastAsia"/>
          <w:color w:val="000000" w:themeColor="text1"/>
        </w:rPr>
        <w:t>按都市計畫定期通盤檢討實施辦法第5條、第6條、第7條、第8條、第9條、第12條、第14條、第25條如前所述，另同法</w:t>
      </w:r>
      <w:r w:rsidRPr="00100477">
        <w:rPr>
          <w:rFonts w:hAnsi="標楷體" w:hint="eastAsia"/>
          <w:b/>
          <w:color w:val="000000" w:themeColor="text1"/>
        </w:rPr>
        <w:t>第35條：「都市計畫通盤檢討時，應檢討都市計畫容積總量；都市計畫容積獎勵規定與其他法令容積獎勵規定應併同檢討」</w:t>
      </w:r>
      <w:r w:rsidRPr="00100477">
        <w:rPr>
          <w:rFonts w:hAnsi="標楷體" w:hint="eastAsia"/>
          <w:color w:val="000000" w:themeColor="text1"/>
        </w:rPr>
        <w:t>，對於都市計</w:t>
      </w:r>
      <w:r w:rsidRPr="00100477">
        <w:rPr>
          <w:rFonts w:hAnsi="標楷體" w:hint="eastAsia"/>
          <w:color w:val="000000" w:themeColor="text1"/>
        </w:rPr>
        <w:lastRenderedPageBreak/>
        <w:t>畫容積總量，以及容積獎勵規定與其他法令容積獎勵規定應併同檢討，</w:t>
      </w:r>
      <w:r w:rsidRPr="00100477">
        <w:rPr>
          <w:rFonts w:hAnsi="標楷體"/>
          <w:color w:val="000000" w:themeColor="text1"/>
        </w:rPr>
        <w:t>均有明訂</w:t>
      </w:r>
      <w:r w:rsidRPr="00100477">
        <w:rPr>
          <w:rFonts w:hAnsi="標楷體" w:hint="eastAsia"/>
          <w:color w:val="000000" w:themeColor="text1"/>
        </w:rPr>
        <w:t>。</w:t>
      </w:r>
    </w:p>
    <w:p w:rsidR="00100477" w:rsidRPr="00100477" w:rsidRDefault="00100477" w:rsidP="00100477">
      <w:pPr>
        <w:pStyle w:val="3"/>
        <w:wordWrap w:val="0"/>
        <w:overflowPunct/>
        <w:ind w:left="1360" w:hanging="680"/>
        <w:rPr>
          <w:color w:val="000000" w:themeColor="text1"/>
        </w:rPr>
      </w:pPr>
      <w:r w:rsidRPr="00100477">
        <w:rPr>
          <w:rFonts w:hint="eastAsia"/>
          <w:color w:val="000000" w:themeColor="text1"/>
        </w:rPr>
        <w:t>次按，有關容積規定，據都市計畫法第39條規定：「對於都市計畫各</w:t>
      </w:r>
      <w:r w:rsidRPr="00100477">
        <w:rPr>
          <w:rFonts w:hAnsi="標楷體" w:hint="eastAsia"/>
          <w:color w:val="000000" w:themeColor="text1"/>
        </w:rPr>
        <w:t>使用</w:t>
      </w:r>
      <w:r w:rsidRPr="00100477">
        <w:rPr>
          <w:rFonts w:hint="eastAsia"/>
          <w:color w:val="000000" w:themeColor="text1"/>
        </w:rPr>
        <w:t>區及特定專用區內土地及建築物之使用、基地面積或基地內應保留空地之比率、</w:t>
      </w:r>
      <w:r w:rsidRPr="00100477">
        <w:rPr>
          <w:rFonts w:hint="eastAsia"/>
          <w:b/>
          <w:color w:val="000000" w:themeColor="text1"/>
        </w:rPr>
        <w:t>容積率</w:t>
      </w:r>
      <w:r w:rsidRPr="00100477">
        <w:rPr>
          <w:rFonts w:hint="eastAsia"/>
          <w:color w:val="000000" w:themeColor="text1"/>
        </w:rPr>
        <w:t>、基地內前後側院之深度及寬度、停車場及建築物之高度，以及有關交通、景觀或防火等事項，內政部或直轄市政府得依據地方實際情況，於本法施行細則中作必要之規定。」，</w:t>
      </w:r>
      <w:r w:rsidRPr="00100477">
        <w:rPr>
          <w:rFonts w:hint="eastAsia"/>
          <w:b/>
          <w:color w:val="000000" w:themeColor="text1"/>
        </w:rPr>
        <w:t>有關容積法源，係明文規定於都市計畫法中，至於各使用區之容積率則授權內政部或直轄市政府得依據地方實際情況訂定。</w:t>
      </w:r>
      <w:r w:rsidRPr="00100477">
        <w:rPr>
          <w:rFonts w:hint="eastAsia"/>
          <w:color w:val="000000" w:themeColor="text1"/>
        </w:rPr>
        <w:t>再按，第40條規定都市計畫經發布實施後，應依建築法之規定實施建築管理。故有關土地使用強度（容積率、建蔽率）等相關規定與管制，皆定明於土地使用分區管制規則或各縣市都市計畫之細部計畫說明書中。另，我國容積獎勵的種類很多，其結果</w:t>
      </w:r>
      <w:r w:rsidRPr="00100477">
        <w:rPr>
          <w:color w:val="000000" w:themeColor="text1"/>
        </w:rPr>
        <w:t>均為獎勵容積</w:t>
      </w:r>
      <w:r w:rsidRPr="00100477">
        <w:rPr>
          <w:rFonts w:hint="eastAsia"/>
          <w:color w:val="000000" w:themeColor="text1"/>
        </w:rPr>
        <w:t>，</w:t>
      </w:r>
      <w:r w:rsidRPr="00100477">
        <w:rPr>
          <w:color w:val="000000" w:themeColor="text1"/>
        </w:rPr>
        <w:t>但政策目的均有不同</w:t>
      </w:r>
      <w:r w:rsidRPr="00100477">
        <w:rPr>
          <w:rFonts w:hint="eastAsia"/>
          <w:color w:val="000000" w:themeColor="text1"/>
        </w:rPr>
        <w:t>，例如都市更新容積獎勵、綜合設計容積獎勵、大眾捷運聯合開發容積獎勵、大規模基地合併開發容積獎勵、配合都市開發時程容積獎勵、建築提供公益性設施之容積獎勵、建築空地綠化的容積獎勵、捷運車站附近地區或大眾運輸導向（TOD）允許容積增加等。相關法令依據有所不同，部分規定於都市計畫法系內（如都市更新容積獎勵、大規模基地合併開發容積獎勵、配合都市開發時程容積獎勵、建築提供公益性設施之容積獎勵、建築空地綠化的容積獎勵），或是加速都市計畫範圍內危險及老舊瀕危建築物之</w:t>
      </w:r>
      <w:r w:rsidRPr="00100477">
        <w:rPr>
          <w:color w:val="000000" w:themeColor="text1"/>
        </w:rPr>
        <w:t>都市危險及老舊建築物加速重建條例</w:t>
      </w:r>
      <w:r w:rsidRPr="00100477">
        <w:rPr>
          <w:rFonts w:hint="eastAsia"/>
          <w:color w:val="000000" w:themeColor="text1"/>
        </w:rPr>
        <w:t>，或其他法令之容積獎勵如大眾捷運聯合開發容積獎勵等，</w:t>
      </w:r>
      <w:r w:rsidRPr="00100477">
        <w:rPr>
          <w:color w:val="000000" w:themeColor="text1"/>
        </w:rPr>
        <w:t>其</w:t>
      </w:r>
      <w:r w:rsidRPr="00100477">
        <w:rPr>
          <w:rFonts w:hint="eastAsia"/>
          <w:color w:val="000000" w:themeColor="text1"/>
        </w:rPr>
        <w:t>時效、</w:t>
      </w:r>
      <w:r w:rsidRPr="00100477">
        <w:rPr>
          <w:color w:val="000000" w:themeColor="text1"/>
        </w:rPr>
        <w:t>目的、手段、</w:t>
      </w:r>
      <w:r w:rsidRPr="00100477">
        <w:rPr>
          <w:rFonts w:hint="eastAsia"/>
          <w:color w:val="000000" w:themeColor="text1"/>
        </w:rPr>
        <w:t>必要性與公益性</w:t>
      </w:r>
      <w:r w:rsidRPr="00100477">
        <w:rPr>
          <w:color w:val="000000" w:themeColor="text1"/>
        </w:rPr>
        <w:t>等</w:t>
      </w:r>
      <w:r w:rsidRPr="00100477">
        <w:rPr>
          <w:rFonts w:hint="eastAsia"/>
          <w:color w:val="000000" w:themeColor="text1"/>
        </w:rPr>
        <w:t>是否衡平</w:t>
      </w:r>
      <w:r w:rsidRPr="00100477">
        <w:rPr>
          <w:color w:val="000000" w:themeColor="text1"/>
        </w:rPr>
        <w:lastRenderedPageBreak/>
        <w:t>不無疑義</w:t>
      </w:r>
      <w:r w:rsidRPr="00100477">
        <w:rPr>
          <w:rFonts w:hint="eastAsia"/>
          <w:color w:val="000000" w:themeColor="text1"/>
        </w:rPr>
        <w:t>。有關都市計畫與容積制度議題，本院諮詢會議專家學者認為：</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有關都市計畫體系差異，我國都市計畫依內容層次區分主要、細部計畫；日本僅擬訂主要計畫無細部計畫，但實施新市街開發及市街地更新事業則須擬訂地區計畫。我國與日本均實施土地使用分區管制，我國採不同使用分區搭配不同容積率規定，日本則採相同分區搭配不同容積率規定。</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首要落實通盤檢討辦法之規定，尤其要落實通盤檢討辦法第35條之規定:都市計畫通盤檢討時，應檢討都市計畫容積總量；都市計畫容積獎勵規定與其他法令容積獎勵規定應併同檢討，回到都市計畫裡面都市計畫審議功能，以及我認為都更條例本身就是都市計畫法制的違章建築，建議要檢核不當容積獎勵，並有以下幾個原則：1.涉及法定義務是否仍納入獎勵。2.獎勵範圍是否超出母法授權。3.獎勵項目是否不一致或重覆。4.獎勵額度是否違反比例原則。</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建立都市容受容積總量管制制度。</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容獎與容移應該要有公平合理的對價關係，為避免這些疑慮之持續存在，除依賴審議制度之把關外，制度設計上，亦應同步考慮業者取得容積獎勵額度相對義務之比例關係，以使制度更趨公平合理。再者，容積移轉從沒有基準容積依附的公共設施用地上（如道路用地、河川用地），核算出之容積量往往創造可觀之鉅額可建築樓地板面積，不僅為業者創造財富，也為當地居民增添環境、設施外部性之負擔，但現行制度上，對於移入容積之增量所對應之紓解外部性相對義務之比例關係，亦缺少公平合理之對價關係之制度設</w:t>
      </w:r>
      <w:r w:rsidRPr="00100477">
        <w:rPr>
          <w:rFonts w:hint="eastAsia"/>
          <w:color w:val="000000" w:themeColor="text1"/>
        </w:rPr>
        <w:lastRenderedPageBreak/>
        <w:t>計，故應一併改善以符合公平正義原則。</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容積獎勵措施被視為土地開發市場的利多政策，同時具有提供特定公共設施的功能，但最為人詬病的是建築容積大量增加所可能衍生的負面外部性。當前我國各都市之公共設施容受力皆無法提供適量之服務水準，以致任何人口成長或產業活動之增量都容易產生排擠效應，降低空間品質。因而在容積政策所釋出的容積增量過大而難以調控之情況下，未來審議機制應發揮把關之功能，妥適評估申請容積移入或獎勵地區之容受力，考量開發地區公共設施擴充之可能性，以確保生活品質與產業機能之穩定性。</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容積政策應符合公平合理之社會期待容積移轉政策之實施，本意在於紓解政府財政問題，協助處理公共設施保留地長久未能徵收所造成之公平問題；容積獎勵政策則企圖促進土地利用，獲取公益設施及開放空間之目的。但在實施策略上，卻未能有計畫地因地制宜，以致政策效果互相抵銷，政策目的未能達成，反而造成政策之公平性、合理性問題，徒增都市空間壓力，降低公共設施服務水準、破壞都市景觀，招致民眾之不滿與抗議。</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容積政策應有助於都市發展之吸引力與競爭力。</w:t>
      </w:r>
    </w:p>
    <w:p w:rsidR="00100477" w:rsidRPr="00100477" w:rsidRDefault="00100477" w:rsidP="00100477">
      <w:pPr>
        <w:pStyle w:val="4"/>
        <w:kinsoku/>
        <w:wordWrap w:val="0"/>
        <w:overflowPunct/>
        <w:ind w:left="1741" w:hanging="698"/>
        <w:rPr>
          <w:color w:val="000000" w:themeColor="text1"/>
        </w:rPr>
      </w:pPr>
      <w:r w:rsidRPr="00100477">
        <w:rPr>
          <w:rFonts w:hint="eastAsia"/>
          <w:color w:val="000000" w:themeColor="text1"/>
        </w:rPr>
        <w:t>容積制度設計應營造公共利益之對價關係。</w:t>
      </w:r>
    </w:p>
    <w:p w:rsidR="00100477" w:rsidRPr="00100477" w:rsidRDefault="00100477" w:rsidP="00100477">
      <w:pPr>
        <w:pStyle w:val="3"/>
        <w:wordWrap w:val="0"/>
        <w:overflowPunct/>
        <w:ind w:left="1360" w:hanging="680"/>
        <w:rPr>
          <w:rFonts w:hAnsi="標楷體"/>
          <w:color w:val="000000" w:themeColor="text1"/>
        </w:rPr>
      </w:pPr>
      <w:r w:rsidRPr="00100477">
        <w:rPr>
          <w:rFonts w:hAnsi="標楷體" w:hint="eastAsia"/>
          <w:color w:val="000000" w:themeColor="text1"/>
        </w:rPr>
        <w:t>另有學者撰文</w:t>
      </w:r>
      <w:r w:rsidRPr="00100477">
        <w:rPr>
          <w:rStyle w:val="aff0"/>
          <w:rFonts w:hAnsi="標楷體"/>
          <w:color w:val="000000" w:themeColor="text1"/>
        </w:rPr>
        <w:footnoteReference w:id="1"/>
      </w:r>
      <w:r w:rsidRPr="00100477">
        <w:rPr>
          <w:rFonts w:hAnsi="標楷體" w:hint="eastAsia"/>
          <w:color w:val="000000" w:themeColor="text1"/>
        </w:rPr>
        <w:t>指出：</w:t>
      </w:r>
      <w:r w:rsidRPr="00100477">
        <w:rPr>
          <w:rFonts w:hint="eastAsia"/>
          <w:color w:val="000000" w:themeColor="text1"/>
        </w:rPr>
        <w:t>政府號稱為因應潛在災害風險，於1</w:t>
      </w:r>
      <w:r w:rsidRPr="00100477">
        <w:rPr>
          <w:color w:val="000000" w:themeColor="text1"/>
        </w:rPr>
        <w:t>06</w:t>
      </w:r>
      <w:r w:rsidRPr="00100477">
        <w:rPr>
          <w:rFonts w:hint="eastAsia"/>
          <w:color w:val="000000" w:themeColor="text1"/>
        </w:rPr>
        <w:t>年通過「都市危險及老舊建築物加速重建獎</w:t>
      </w:r>
      <w:r w:rsidRPr="00100477">
        <w:rPr>
          <w:rFonts w:hint="eastAsia"/>
          <w:color w:val="000000" w:themeColor="text1"/>
        </w:rPr>
        <w:lastRenderedPageBreak/>
        <w:t>勵條例」。惟該條例共僅13條，其中最重要規定，即第6條容積獎勵及第8條減免稅捐規定。然若屬危險地區，實不宜增加容積及建蔽率，阻礙防災計畫之實施，且點狀開發，無法解決巷弄狹小及土壤液化問題，任憑恣意重建，日後都市更新反而更為不易，並有更大災害之風險。該條例不但造成公共設施之不足，居住環境品質降低、交通壅塞、消防不易、租稅不公及助長房價推升等，還助長民眾圖容積獎勵「公共財」的貪心……惟該條例當初立法理由即為鼓勵「個別」「危險及老舊建築物」重建，故給予大量容積獎勵，現在卻又說修法係因重建有5成5未達5</w:t>
      </w:r>
      <w:r w:rsidRPr="00100477">
        <w:rPr>
          <w:color w:val="000000" w:themeColor="text1"/>
        </w:rPr>
        <w:t>00</w:t>
      </w:r>
      <w:r w:rsidRPr="00100477">
        <w:rPr>
          <w:rFonts w:hint="eastAsia"/>
          <w:color w:val="000000" w:themeColor="text1"/>
        </w:rPr>
        <w:t>平方公尺，且小規模申請案愈來愈多，不僅與該條例立法目的相悖，亦無法解釋該條例與都更條例之區別。……國家設置各級法制單位，本為健全法治必須；不料現在卻如同擺設，主事者對（內政部法規）委員提問，不是答非所問就是置若罔聞，還指責委員態度不佳。……如今再修法延長且擴大實施範圍，則修正公布的都市更新條例，不僅無用武之地，還成了危老修法的幌子等語。</w:t>
      </w:r>
      <w:r w:rsidRPr="00100477">
        <w:rPr>
          <w:rFonts w:hAnsi="標楷體" w:hint="eastAsia"/>
          <w:color w:val="000000" w:themeColor="text1"/>
        </w:rPr>
        <w:t>對此，基於不同立法政策所涉及容積相關議題，</w:t>
      </w:r>
      <w:r w:rsidRPr="00100477">
        <w:rPr>
          <w:color w:val="000000" w:themeColor="text1"/>
        </w:rPr>
        <w:t>其</w:t>
      </w:r>
      <w:r w:rsidRPr="00100477">
        <w:rPr>
          <w:rFonts w:hint="eastAsia"/>
          <w:color w:val="000000" w:themeColor="text1"/>
        </w:rPr>
        <w:t>時效、</w:t>
      </w:r>
      <w:r w:rsidRPr="00100477">
        <w:rPr>
          <w:color w:val="000000" w:themeColor="text1"/>
        </w:rPr>
        <w:t>目的、手段、</w:t>
      </w:r>
      <w:r w:rsidRPr="00100477">
        <w:rPr>
          <w:rFonts w:hint="eastAsia"/>
          <w:color w:val="000000" w:themeColor="text1"/>
        </w:rPr>
        <w:t>必要性與公益性</w:t>
      </w:r>
      <w:r w:rsidRPr="00100477">
        <w:rPr>
          <w:color w:val="000000" w:themeColor="text1"/>
        </w:rPr>
        <w:t>等</w:t>
      </w:r>
      <w:r w:rsidRPr="00100477">
        <w:rPr>
          <w:rFonts w:hint="eastAsia"/>
          <w:color w:val="000000" w:themeColor="text1"/>
        </w:rPr>
        <w:t>是否衡平，是否遵循相關原理原則，對於：1.涉及法定義務是否仍納入獎勵。2.獎勵範圍是否超出母法授權。3.獎勵項目是否不一致或重覆。4.獎勵額度是否違反比例原則等，另政策目的是否矛盾未能達成，反而造成政策之公平性、合理性問題，徒增都市空間壓力，降低公共設施服務水準等議題，均應衡平考量，落實通盤檢討辦法第35條之規定:都市計畫通盤檢討時，應檢討都市計畫容積總量；都市計畫容積獎勵規定與其他法令容積獎勵規定應併同檢討，回到都市計畫</w:t>
      </w:r>
      <w:r w:rsidRPr="00100477">
        <w:rPr>
          <w:rFonts w:hint="eastAsia"/>
          <w:color w:val="000000" w:themeColor="text1"/>
        </w:rPr>
        <w:lastRenderedPageBreak/>
        <w:t>裡面都市計畫審議功能，檢討各式獎勵容積累加以及「容積總量」，都市計畫應落實容積總量管制及後端統計管控，建立都市容受容積總量管制制度，並營造公共利益之對價關係</w:t>
      </w:r>
      <w:r w:rsidRPr="00100477">
        <w:rPr>
          <w:rFonts w:hAnsi="標楷體" w:hint="eastAsia"/>
          <w:color w:val="000000" w:themeColor="text1"/>
        </w:rPr>
        <w:t>，</w:t>
      </w:r>
      <w:r w:rsidRPr="00100477">
        <w:rPr>
          <w:rFonts w:hint="eastAsia"/>
          <w:color w:val="000000" w:themeColor="text1"/>
        </w:rPr>
        <w:t>據以有效控管建築量體、高度、棟距等</w:t>
      </w:r>
      <w:r w:rsidRPr="00100477">
        <w:rPr>
          <w:rFonts w:hAnsi="標楷體" w:hint="eastAsia"/>
          <w:color w:val="000000" w:themeColor="text1"/>
        </w:rPr>
        <w:t>居住</w:t>
      </w:r>
      <w:r w:rsidRPr="00100477">
        <w:rPr>
          <w:rFonts w:hint="eastAsia"/>
          <w:color w:val="000000" w:themeColor="text1"/>
        </w:rPr>
        <w:t>品質，達成都市計畫法立法之目的，以</w:t>
      </w:r>
      <w:r w:rsidRPr="00100477">
        <w:rPr>
          <w:rFonts w:hAnsi="標楷體" w:hint="eastAsia"/>
          <w:color w:val="000000" w:themeColor="text1"/>
        </w:rPr>
        <w:t>符合各縣市未來都市發展實際需求。</w:t>
      </w:r>
    </w:p>
    <w:p w:rsidR="00100477" w:rsidRPr="009F7569" w:rsidRDefault="00100477" w:rsidP="00100477">
      <w:pPr>
        <w:pStyle w:val="3"/>
        <w:rPr>
          <w:color w:val="FF0000"/>
        </w:rPr>
      </w:pPr>
      <w:r w:rsidRPr="00100477">
        <w:rPr>
          <w:rFonts w:hint="eastAsia"/>
          <w:color w:val="000000" w:themeColor="text1"/>
        </w:rPr>
        <w:t>綜上，關於各式獎勵容積以及「容積總量」等統計管控，理應明確納入都市計畫通盤檢討內容並實施都市計畫容積獎勵規定與其他法令容積獎勵規定應併同檢討，回歸都市計畫相關規定，據以有效控管建築量體、高度、棟距等</w:t>
      </w:r>
      <w:r w:rsidRPr="00100477">
        <w:rPr>
          <w:rFonts w:hAnsi="標楷體" w:hint="eastAsia"/>
          <w:color w:val="000000" w:themeColor="text1"/>
        </w:rPr>
        <w:t>居住</w:t>
      </w:r>
      <w:r w:rsidRPr="00100477">
        <w:rPr>
          <w:rFonts w:hint="eastAsia"/>
          <w:color w:val="000000" w:themeColor="text1"/>
        </w:rPr>
        <w:t>品質，達成都市計畫法立法之目的，制度面與執行面均待檢討改進。</w:t>
      </w:r>
    </w:p>
    <w:p w:rsidR="003042CD" w:rsidRPr="001B766A" w:rsidRDefault="003042CD" w:rsidP="003042CD">
      <w:pPr>
        <w:pStyle w:val="2"/>
        <w:wordWrap w:val="0"/>
        <w:overflowPunct/>
        <w:ind w:left="1020" w:hanging="680"/>
        <w:rPr>
          <w:rFonts w:hAnsi="標楷體"/>
          <w:b/>
        </w:rPr>
      </w:pPr>
      <w:r w:rsidRPr="001B766A">
        <w:rPr>
          <w:rFonts w:hAnsi="標楷體" w:hint="eastAsia"/>
          <w:b/>
        </w:rPr>
        <w:t>關於各直轄市、縣市政府辦理都市計畫通盤檢討作業之困境，內政部允應積極協助各直轄市、縣（市）政府解決，強化相關人力組織，依法落實都市計畫通盤檢討。</w:t>
      </w:r>
    </w:p>
    <w:p w:rsidR="003042CD" w:rsidRPr="001B766A" w:rsidRDefault="003042CD" w:rsidP="003042CD">
      <w:pPr>
        <w:pStyle w:val="3"/>
        <w:wordWrap w:val="0"/>
        <w:overflowPunct/>
        <w:ind w:left="1360" w:hanging="680"/>
      </w:pPr>
      <w:r w:rsidRPr="001B766A">
        <w:rPr>
          <w:rFonts w:hint="eastAsia"/>
        </w:rPr>
        <w:t>依國土計畫法第1條：「為因應氣候變遷，確保國土安全，保育自然環境與人文資產，促進資源與產業合理配置，強化國土整合管理機制，並復育環境敏感與國土破壞地區，追求國家永續發展，特制定本法。」、第15條：「全國國土計畫公告實施後，直轄市、縣（市）主管機關應依中央主管機關規定期限，辦理直轄市、縣（市）國土計畫之擬訂或變更。但其全部行政轄區均已發布實施都市計畫或國家公園計畫者，得免擬訂直轄市、縣（市）國土計畫。直轄市、縣（市）主管機關未依前項規定期限辦理直轄市、縣（市）國土計畫之擬訂或變更者，中央主管機關得逕為擬訂或變更，並準用第11條至第13條規定程序辦理。</w:t>
      </w:r>
      <w:r w:rsidRPr="001B766A">
        <w:rPr>
          <w:rFonts w:hint="eastAsia"/>
          <w:b/>
        </w:rPr>
        <w:t>國土計畫公告實施後，擬訂計畫之機關應視實際發展情況，全國國土計畫每10年通</w:t>
      </w:r>
      <w:r w:rsidRPr="001B766A">
        <w:rPr>
          <w:rFonts w:hint="eastAsia"/>
          <w:b/>
        </w:rPr>
        <w:lastRenderedPageBreak/>
        <w:t>盤檢討一次，直轄市、縣（市）國土計畫每5年通盤檢討一次，並作必要之變更。</w:t>
      </w:r>
      <w:r w:rsidRPr="001B766A">
        <w:rPr>
          <w:rFonts w:hint="eastAsia"/>
        </w:rPr>
        <w:t>但有下列情事之一者，得適時檢討變更之：一、因戰爭、地震、水災、風災、火災或其他重大事變遭受損壞。二、為加強資源保育或避免重大災害之發生。三、政府興辦國防、重大之公共設施或公用事業計畫。四、其屬全國國土計畫者，為擬訂、變更都會區域或特定區域之計畫內容。五、其屬直轄市、縣（市）國土計畫者，為配合全國國土計畫之指示事項。前項第一款、第二款及第三款適時檢討變更之計畫內容及辦理程序得予以簡化；其簡化之辦法，由中央主管機關定之。」、第16條：「直轄市、縣（市）國土計畫公告實施後，應由直轄市、縣（市）主管機關通知當地都市計畫主管機關按國土計畫之指導，辦理都市計畫之擬訂或變更。前項都市計畫之擬訂或變更，中央主管機關或直轄市、縣（市）主管機關得指定各該擬定機關限期</w:t>
      </w:r>
      <w:r>
        <w:rPr>
          <w:rFonts w:hint="eastAsia"/>
        </w:rPr>
        <w:t>為之，必要時並得逕為擬定或變更。」，據此顯見各直轄市、縣市政府</w:t>
      </w:r>
      <w:r w:rsidRPr="001B766A">
        <w:rPr>
          <w:rFonts w:hint="eastAsia"/>
        </w:rPr>
        <w:t>應依國土計畫法辦理檢討，內政部本應督促所屬落實辦理</w:t>
      </w:r>
      <w:r>
        <w:rPr>
          <w:rFonts w:hint="eastAsia"/>
        </w:rPr>
        <w:t>，先予敘明</w:t>
      </w:r>
      <w:r w:rsidRPr="001B766A">
        <w:rPr>
          <w:rFonts w:hint="eastAsia"/>
        </w:rPr>
        <w:t>。</w:t>
      </w:r>
    </w:p>
    <w:p w:rsidR="003042CD" w:rsidRPr="001B766A" w:rsidRDefault="003042CD" w:rsidP="003042CD">
      <w:pPr>
        <w:pStyle w:val="3"/>
        <w:wordWrap w:val="0"/>
        <w:overflowPunct/>
        <w:ind w:left="1360" w:hanging="680"/>
      </w:pPr>
      <w:r w:rsidRPr="001B766A">
        <w:rPr>
          <w:rFonts w:hint="eastAsia"/>
        </w:rPr>
        <w:t>經查，有關</w:t>
      </w:r>
      <w:r>
        <w:rPr>
          <w:rFonts w:hint="eastAsia"/>
        </w:rPr>
        <w:t>我國</w:t>
      </w:r>
      <w:r w:rsidRPr="001B766A">
        <w:rPr>
          <w:rFonts w:hint="eastAsia"/>
        </w:rPr>
        <w:t>都市計畫法</w:t>
      </w:r>
      <w:r>
        <w:rPr>
          <w:rFonts w:hint="eastAsia"/>
        </w:rPr>
        <w:t>如何</w:t>
      </w:r>
      <w:r w:rsidRPr="001B766A">
        <w:rPr>
          <w:rFonts w:hint="eastAsia"/>
        </w:rPr>
        <w:t>銜接國土計畫法</w:t>
      </w:r>
      <w:r>
        <w:rPr>
          <w:rFonts w:hint="eastAsia"/>
        </w:rPr>
        <w:t>一節，內政部督導辦理情形</w:t>
      </w:r>
      <w:r w:rsidRPr="001B766A">
        <w:rPr>
          <w:rFonts w:hint="eastAsia"/>
        </w:rPr>
        <w:t>，據</w:t>
      </w:r>
      <w:r>
        <w:rPr>
          <w:rFonts w:hint="eastAsia"/>
        </w:rPr>
        <w:t>復</w:t>
      </w:r>
      <w:r w:rsidRPr="001B766A">
        <w:rPr>
          <w:rFonts w:hint="eastAsia"/>
        </w:rPr>
        <w:t>：</w:t>
      </w:r>
    </w:p>
    <w:p w:rsidR="003042CD" w:rsidRPr="001B766A" w:rsidRDefault="003042CD" w:rsidP="003042CD">
      <w:pPr>
        <w:pStyle w:val="4"/>
        <w:kinsoku/>
        <w:wordWrap w:val="0"/>
        <w:overflowPunct/>
        <w:ind w:left="1741" w:hanging="698"/>
      </w:pPr>
      <w:r w:rsidRPr="001B766A">
        <w:rPr>
          <w:rFonts w:hint="eastAsia"/>
        </w:rPr>
        <w:t>內政部於</w:t>
      </w:r>
      <w:r w:rsidRPr="001B766A">
        <w:t>107</w:t>
      </w:r>
      <w:r w:rsidRPr="001B766A">
        <w:rPr>
          <w:rFonts w:hint="eastAsia"/>
        </w:rPr>
        <w:t>年</w:t>
      </w:r>
      <w:r w:rsidRPr="001B766A">
        <w:t>4</w:t>
      </w:r>
      <w:r w:rsidRPr="001B766A">
        <w:rPr>
          <w:rFonts w:hint="eastAsia"/>
        </w:rPr>
        <w:t>月</w:t>
      </w:r>
      <w:r w:rsidRPr="001B766A">
        <w:t>30</w:t>
      </w:r>
      <w:r w:rsidRPr="001B766A">
        <w:rPr>
          <w:rFonts w:hint="eastAsia"/>
        </w:rPr>
        <w:t>日公告實施之全國國土計畫，都市計畫地區後續得依據該計畫國土功能分區，於各該直轄市、縣</w:t>
      </w:r>
      <w:r w:rsidRPr="001B766A">
        <w:t>(</w:t>
      </w:r>
      <w:r w:rsidRPr="001B766A">
        <w:rPr>
          <w:rFonts w:hint="eastAsia"/>
        </w:rPr>
        <w:t>市</w:t>
      </w:r>
      <w:r w:rsidRPr="001B766A">
        <w:t>)</w:t>
      </w:r>
      <w:r w:rsidRPr="001B766A">
        <w:rPr>
          <w:rFonts w:hint="eastAsia"/>
        </w:rPr>
        <w:t>國土計畫劃設為｢國土保育用地</w:t>
      </w:r>
      <w:r w:rsidRPr="001B766A">
        <w:t>(</w:t>
      </w:r>
      <w:r w:rsidRPr="001B766A">
        <w:rPr>
          <w:rFonts w:hint="eastAsia"/>
        </w:rPr>
        <w:t>第四類</w:t>
      </w:r>
      <w:r w:rsidRPr="001B766A">
        <w:t>)</w:t>
      </w:r>
      <w:r w:rsidRPr="001B766A">
        <w:rPr>
          <w:rFonts w:hint="eastAsia"/>
        </w:rPr>
        <w:t>｣、｢農業發展地區</w:t>
      </w:r>
      <w:r w:rsidRPr="001B766A">
        <w:t>(</w:t>
      </w:r>
      <w:r w:rsidRPr="001B766A">
        <w:rPr>
          <w:rFonts w:hint="eastAsia"/>
        </w:rPr>
        <w:t>第五類</w:t>
      </w:r>
      <w:r w:rsidRPr="001B766A">
        <w:t>)</w:t>
      </w:r>
      <w:r w:rsidRPr="001B766A">
        <w:rPr>
          <w:rFonts w:hint="eastAsia"/>
        </w:rPr>
        <w:t>｣及｢城鄉發展地區</w:t>
      </w:r>
      <w:r w:rsidRPr="001B766A">
        <w:t>(</w:t>
      </w:r>
      <w:r w:rsidRPr="001B766A">
        <w:rPr>
          <w:rFonts w:hint="eastAsia"/>
        </w:rPr>
        <w:t>第一類</w:t>
      </w:r>
      <w:r w:rsidRPr="001B766A">
        <w:t>)</w:t>
      </w:r>
      <w:r w:rsidRPr="001B766A">
        <w:rPr>
          <w:rFonts w:hint="eastAsia"/>
        </w:rPr>
        <w:t>｣。</w:t>
      </w:r>
    </w:p>
    <w:p w:rsidR="003042CD" w:rsidRPr="001B766A" w:rsidRDefault="003042CD" w:rsidP="003042CD">
      <w:pPr>
        <w:pStyle w:val="4"/>
        <w:kinsoku/>
        <w:wordWrap w:val="0"/>
        <w:overflowPunct/>
        <w:ind w:leftChars="300" w:left="1700" w:hangingChars="200" w:hanging="680"/>
        <w:rPr>
          <w:rFonts w:hAnsi="標楷體"/>
        </w:rPr>
      </w:pPr>
      <w:r w:rsidRPr="001B766A">
        <w:rPr>
          <w:rFonts w:hAnsi="標楷體" w:hint="eastAsia"/>
        </w:rPr>
        <w:t>前開各分類之土地使用指導事項如下：</w:t>
      </w:r>
    </w:p>
    <w:p w:rsidR="003042CD" w:rsidRPr="001B766A" w:rsidRDefault="003042CD" w:rsidP="003042CD">
      <w:pPr>
        <w:pStyle w:val="5"/>
        <w:wordWrap w:val="0"/>
        <w:overflowPunct/>
        <w:ind w:left="2095" w:hanging="700"/>
        <w:rPr>
          <w:rFonts w:hAnsi="標楷體"/>
        </w:rPr>
      </w:pPr>
      <w:r w:rsidRPr="001B766A">
        <w:rPr>
          <w:rFonts w:hAnsi="標楷體" w:hint="eastAsia"/>
        </w:rPr>
        <w:t>國土保育地區第四類：本地區係實施都市計畫地區，依都市計畫法及其相關法規實施管制</w:t>
      </w:r>
      <w:r w:rsidRPr="001B766A">
        <w:rPr>
          <w:rFonts w:hAnsi="標楷體" w:hint="eastAsia"/>
        </w:rPr>
        <w:lastRenderedPageBreak/>
        <w:t>。惟都市計畫主管機關應配合辦理下列事項：</w:t>
      </w:r>
    </w:p>
    <w:p w:rsidR="003042CD" w:rsidRPr="001B766A" w:rsidRDefault="003042CD" w:rsidP="003042CD">
      <w:pPr>
        <w:pStyle w:val="6"/>
        <w:wordWrap w:val="0"/>
        <w:overflowPunct/>
        <w:ind w:left="2444" w:hanging="715"/>
        <w:rPr>
          <w:rFonts w:hAnsi="標楷體"/>
        </w:rPr>
      </w:pPr>
      <w:r w:rsidRPr="001B766A">
        <w:rPr>
          <w:rFonts w:hAnsi="標楷體" w:hint="eastAsia"/>
        </w:rPr>
        <w:t>遵循本計畫國土保育地區第一類土地使用指導原則，檢討本地區土地使用分區、土地使用管制規定。</w:t>
      </w:r>
    </w:p>
    <w:p w:rsidR="003042CD" w:rsidRPr="001B766A" w:rsidRDefault="003042CD" w:rsidP="003042CD">
      <w:pPr>
        <w:pStyle w:val="6"/>
        <w:wordWrap w:val="0"/>
        <w:overflowPunct/>
        <w:ind w:left="2444" w:hanging="715"/>
        <w:rPr>
          <w:rFonts w:hAnsi="標楷體"/>
        </w:rPr>
      </w:pPr>
      <w:r w:rsidRPr="001B766A">
        <w:rPr>
          <w:rFonts w:hAnsi="標楷體" w:hint="eastAsia"/>
        </w:rPr>
        <w:t>如有檢討變更為保護或保育以外相關分區或用地需要時，除國防、重大之公共設施或公用事業外，應將國土功能分區檢討變更為城鄉發展地區。</w:t>
      </w:r>
    </w:p>
    <w:p w:rsidR="003042CD" w:rsidRPr="001B766A" w:rsidRDefault="003042CD" w:rsidP="003042CD">
      <w:pPr>
        <w:pStyle w:val="5"/>
        <w:wordWrap w:val="0"/>
        <w:overflowPunct/>
        <w:ind w:left="2095" w:hanging="700"/>
        <w:rPr>
          <w:rFonts w:hAnsi="標楷體"/>
        </w:rPr>
      </w:pPr>
      <w:r w:rsidRPr="001B766A">
        <w:rPr>
          <w:rFonts w:hAnsi="標楷體" w:hint="eastAsia"/>
        </w:rPr>
        <w:t>農業發展地區第五類：本地區係實施都市計畫地區，依都市計畫法及其相關法規實施管制。惟都市計畫主管機關應配合辦理下列事項：</w:t>
      </w:r>
    </w:p>
    <w:p w:rsidR="003042CD" w:rsidRPr="001B766A" w:rsidRDefault="003042CD" w:rsidP="003042CD">
      <w:pPr>
        <w:pStyle w:val="6"/>
        <w:wordWrap w:val="0"/>
        <w:overflowPunct/>
        <w:ind w:left="2444" w:hanging="715"/>
        <w:rPr>
          <w:rFonts w:hAnsi="標楷體"/>
        </w:rPr>
      </w:pPr>
      <w:r w:rsidRPr="001B766A">
        <w:rPr>
          <w:rFonts w:hAnsi="標楷體" w:hint="eastAsia"/>
        </w:rPr>
        <w:t>遵循本計畫農業發展地區第一類土地使用指導原則檢討修正本地區土地使用分區、土地使用管制規定。</w:t>
      </w:r>
    </w:p>
    <w:p w:rsidR="003042CD" w:rsidRPr="001B766A" w:rsidRDefault="003042CD" w:rsidP="003042CD">
      <w:pPr>
        <w:pStyle w:val="6"/>
        <w:wordWrap w:val="0"/>
        <w:overflowPunct/>
        <w:ind w:left="2444" w:hanging="715"/>
        <w:rPr>
          <w:rFonts w:hAnsi="標楷體"/>
        </w:rPr>
      </w:pPr>
      <w:r w:rsidRPr="001B766A">
        <w:rPr>
          <w:rFonts w:hAnsi="標楷體" w:hint="eastAsia"/>
        </w:rPr>
        <w:t>如有檢討變更為農業區以外之分區需要時，除國防、重大之公共設施或公用事業外，應先將國土功能分區檢討變更為城鄉發展地區。</w:t>
      </w:r>
    </w:p>
    <w:p w:rsidR="003042CD" w:rsidRPr="001B766A" w:rsidRDefault="003042CD" w:rsidP="003042CD">
      <w:pPr>
        <w:pStyle w:val="5"/>
        <w:wordWrap w:val="0"/>
        <w:overflowPunct/>
        <w:ind w:left="2095" w:hanging="700"/>
        <w:rPr>
          <w:rFonts w:hAnsi="標楷體"/>
        </w:rPr>
      </w:pPr>
      <w:r w:rsidRPr="001B766A">
        <w:rPr>
          <w:rFonts w:hAnsi="標楷體" w:hint="eastAsia"/>
        </w:rPr>
        <w:t>城鄉發展地區第一類：本地區係實施都市計畫地區，依都市計畫法及其相關法規實施管制，並配合本計畫指導事項進行必要之檢討。</w:t>
      </w:r>
    </w:p>
    <w:p w:rsidR="003042CD" w:rsidRPr="001B766A" w:rsidRDefault="003042CD" w:rsidP="003042CD">
      <w:pPr>
        <w:pStyle w:val="4"/>
        <w:kinsoku/>
        <w:wordWrap w:val="0"/>
        <w:overflowPunct/>
        <w:ind w:leftChars="300" w:left="1700" w:hangingChars="200" w:hanging="680"/>
        <w:rPr>
          <w:rFonts w:hAnsi="標楷體"/>
        </w:rPr>
      </w:pPr>
      <w:r w:rsidRPr="001B766A">
        <w:rPr>
          <w:rFonts w:hAnsi="標楷體" w:hint="eastAsia"/>
        </w:rPr>
        <w:t>土地行政作業指導原則之都市計畫配合事項如下：</w:t>
      </w:r>
    </w:p>
    <w:p w:rsidR="003042CD" w:rsidRPr="001B766A" w:rsidRDefault="003042CD" w:rsidP="003042CD">
      <w:pPr>
        <w:pStyle w:val="5"/>
        <w:wordWrap w:val="0"/>
        <w:overflowPunct/>
        <w:ind w:left="2095" w:hanging="700"/>
        <w:rPr>
          <w:rFonts w:hAnsi="標楷體"/>
        </w:rPr>
      </w:pPr>
      <w:r w:rsidRPr="001B766A">
        <w:rPr>
          <w:rFonts w:hAnsi="標楷體" w:hint="eastAsia"/>
        </w:rPr>
        <w:t>基於整體規劃需要，對於不可避免夾雜之零星小面積環境敏感地區土地，規劃為保護或保育等相關分區或公共設施用地為原則。</w:t>
      </w:r>
    </w:p>
    <w:p w:rsidR="003042CD" w:rsidRPr="001B766A" w:rsidRDefault="003042CD" w:rsidP="003042CD">
      <w:pPr>
        <w:pStyle w:val="5"/>
        <w:wordWrap w:val="0"/>
        <w:overflowPunct/>
        <w:ind w:left="2095" w:hanging="700"/>
        <w:rPr>
          <w:rFonts w:hAnsi="標楷體"/>
        </w:rPr>
      </w:pPr>
      <w:r w:rsidRPr="001B766A">
        <w:rPr>
          <w:rFonts w:hAnsi="標楷體" w:hint="eastAsia"/>
        </w:rPr>
        <w:t>為因應自然或社會環境之變遷，都市計畫擬定機關於通盤檢討時，對計畫內容作適度修正或調整，以因應發展需要；對於已無取得計畫或使用需求之公共設施保留地，評估檢討變更，以適應都市發展實際需要。</w:t>
      </w:r>
    </w:p>
    <w:p w:rsidR="003042CD" w:rsidRPr="001B766A" w:rsidRDefault="003042CD" w:rsidP="003042CD">
      <w:pPr>
        <w:pStyle w:val="5"/>
        <w:wordWrap w:val="0"/>
        <w:overflowPunct/>
        <w:ind w:left="2095" w:hanging="700"/>
        <w:rPr>
          <w:rFonts w:hAnsi="標楷體"/>
        </w:rPr>
      </w:pPr>
      <w:r w:rsidRPr="001B766A">
        <w:rPr>
          <w:rFonts w:hAnsi="標楷體" w:hint="eastAsia"/>
        </w:rPr>
        <w:lastRenderedPageBreak/>
        <w:t>為避免都市計畫工業區流失，及避免個案變更對都市發展造成衝擊，直轄市、縣（市）國土計畫應就全市（縣）產業政策、工業區變更之定位、目標、方向、轉型策略等研擬整體產業構想，以為都市計畫工業區指導原則。</w:t>
      </w:r>
    </w:p>
    <w:p w:rsidR="003042CD" w:rsidRPr="001B766A" w:rsidRDefault="003042CD" w:rsidP="003042CD">
      <w:pPr>
        <w:pStyle w:val="5"/>
        <w:wordWrap w:val="0"/>
        <w:overflowPunct/>
        <w:ind w:left="2095" w:hanging="700"/>
        <w:rPr>
          <w:rFonts w:hAnsi="標楷體"/>
        </w:rPr>
      </w:pPr>
      <w:r w:rsidRPr="001B766A">
        <w:rPr>
          <w:rFonts w:hAnsi="標楷體" w:hint="eastAsia"/>
        </w:rPr>
        <w:t>都市計畫人口數，應優先考量環境容受力，就各該直轄市、縣（市）範圍之公共設施及資源條件評估可承載之人口數，並與人口移動與土地使用之關聯性等因素納入綜合分析後予以推估，核實檢討都市發展用地需求。</w:t>
      </w:r>
    </w:p>
    <w:p w:rsidR="003042CD" w:rsidRPr="001B766A" w:rsidRDefault="003042CD" w:rsidP="003042CD">
      <w:pPr>
        <w:pStyle w:val="5"/>
        <w:wordWrap w:val="0"/>
        <w:overflowPunct/>
        <w:ind w:left="2095" w:hanging="700"/>
        <w:rPr>
          <w:rFonts w:hAnsi="標楷體"/>
        </w:rPr>
      </w:pPr>
      <w:r w:rsidRPr="001B766A">
        <w:rPr>
          <w:rFonts w:hAnsi="標楷體" w:hint="eastAsia"/>
        </w:rPr>
        <w:t>因應氣候變遷，都市計畫通盤檢討時應依據災害潛勢資料，檢討規劃防洪及治水相關設施。</w:t>
      </w:r>
    </w:p>
    <w:p w:rsidR="003042CD" w:rsidRPr="001B766A" w:rsidRDefault="003042CD" w:rsidP="003042CD">
      <w:pPr>
        <w:pStyle w:val="5"/>
        <w:wordWrap w:val="0"/>
        <w:overflowPunct/>
        <w:ind w:left="2095" w:hanging="700"/>
        <w:rPr>
          <w:rFonts w:hAnsi="標楷體"/>
        </w:rPr>
      </w:pPr>
      <w:r w:rsidRPr="001B766A">
        <w:rPr>
          <w:rFonts w:hAnsi="標楷體" w:hint="eastAsia"/>
        </w:rPr>
        <w:t>為避免都市計畫地區容積率無限制增加，導致都市景觀惡化、公共設施服務水準下降等情況發生，都市計畫主管機關應考量未來人口成長、各區空間活動強度分布、公共設施服務水準及土地環境適宜性因素，配合大眾運輸導向發展，建立「容積總量管控機制」，納入既有都市計畫通盤檢討及新訂或擴大都市計畫作業。</w:t>
      </w:r>
    </w:p>
    <w:p w:rsidR="003042CD" w:rsidRPr="001B766A" w:rsidRDefault="003042CD" w:rsidP="003042CD">
      <w:pPr>
        <w:pStyle w:val="5"/>
        <w:wordWrap w:val="0"/>
        <w:overflowPunct/>
        <w:ind w:left="2095" w:hanging="700"/>
        <w:rPr>
          <w:rFonts w:hAnsi="標楷體"/>
        </w:rPr>
      </w:pPr>
      <w:r w:rsidRPr="001B766A">
        <w:rPr>
          <w:rFonts w:hAnsi="標楷體" w:hint="eastAsia"/>
        </w:rPr>
        <w:t>直轄市、縣（市）國土計畫應針對各該計畫範圍內之水源特定區、風景特定區之都市計畫保護（保育）相關分區（用地），依據環境敏感條件進行檢討；如經各該主管機關確認符合應加強國土保育保安者，除各該直轄市、縣（市）國土計畫另有規定者外，劃設為國土保育地區第四類，且維持為保護（保育）相關分區（用地）。</w:t>
      </w:r>
    </w:p>
    <w:p w:rsidR="003042CD" w:rsidRPr="001B766A" w:rsidRDefault="003042CD" w:rsidP="003042CD">
      <w:pPr>
        <w:pStyle w:val="5"/>
        <w:wordWrap w:val="0"/>
        <w:overflowPunct/>
        <w:ind w:left="2095" w:hanging="700"/>
        <w:rPr>
          <w:rFonts w:hAnsi="標楷體"/>
        </w:rPr>
      </w:pPr>
      <w:r w:rsidRPr="001B766A">
        <w:rPr>
          <w:rFonts w:hAnsi="標楷體" w:hint="eastAsia"/>
        </w:rPr>
        <w:t>直轄市、縣(市)國土計畫應依據農地資源條件，針對各該計畫範圍內之各都市計畫農業區</w:t>
      </w:r>
      <w:r w:rsidRPr="001B766A">
        <w:rPr>
          <w:rFonts w:hAnsi="標楷體" w:hint="eastAsia"/>
        </w:rPr>
        <w:lastRenderedPageBreak/>
        <w:t>，提出發展定位。如劃設為農業發展地區第五類者，維持為都市計畫農業區，以確實控管各直轄市、縣（市）供糧食生產之農地；至其他農業區則得依都市及產業發展需求，通盤檢討變更為其他適當使用分區。</w:t>
      </w:r>
    </w:p>
    <w:p w:rsidR="003042CD" w:rsidRPr="001B766A" w:rsidRDefault="003042CD" w:rsidP="003042CD">
      <w:pPr>
        <w:pStyle w:val="5"/>
        <w:wordWrap w:val="0"/>
        <w:overflowPunct/>
        <w:ind w:left="2095" w:hanging="700"/>
        <w:rPr>
          <w:rFonts w:hAnsi="標楷體"/>
        </w:rPr>
      </w:pPr>
      <w:r w:rsidRPr="001B766A">
        <w:rPr>
          <w:rFonts w:hAnsi="標楷體" w:hint="eastAsia"/>
        </w:rPr>
        <w:t>屬國土保育地區第四類或農業發展地區第五類範圍內之都市計畫土地，當地都市計畫擬定機關應於直轄市、縣（市）國土計畫公告實施後配合辦理完成各該都市計畫之通盤檢討或個案變更。</w:t>
      </w:r>
    </w:p>
    <w:p w:rsidR="003042CD" w:rsidRPr="001B766A" w:rsidRDefault="003042CD" w:rsidP="003042CD">
      <w:pPr>
        <w:pStyle w:val="5"/>
        <w:wordWrap w:val="0"/>
        <w:overflowPunct/>
        <w:ind w:left="2095" w:hanging="700"/>
        <w:rPr>
          <w:rFonts w:hAnsi="標楷體"/>
        </w:rPr>
      </w:pPr>
      <w:r w:rsidRPr="001B766A">
        <w:rPr>
          <w:rFonts w:hAnsi="標楷體" w:hint="eastAsia"/>
        </w:rPr>
        <w:t>都市計畫擬定機關依據本計畫及各該直轄市、縣（市）國土計畫之指導事項辦理都市計畫通盤檢討或個案變更時，應檢討土地使用分區、土地使用管制規定，或將一部或全部範圍土地劃出都市計畫範圍外，並依據修正後之都市計畫進行管制。</w:t>
      </w:r>
    </w:p>
    <w:p w:rsidR="003042CD" w:rsidRPr="001B766A" w:rsidRDefault="003042CD" w:rsidP="003042CD">
      <w:pPr>
        <w:pStyle w:val="5"/>
        <w:wordWrap w:val="0"/>
        <w:overflowPunct/>
        <w:ind w:left="2095" w:hanging="700"/>
        <w:rPr>
          <w:rFonts w:hAnsi="標楷體"/>
        </w:rPr>
      </w:pPr>
      <w:r w:rsidRPr="001B766A">
        <w:rPr>
          <w:rFonts w:hAnsi="標楷體" w:hint="eastAsia"/>
        </w:rPr>
        <w:t>都市計畫擬定機關應檢討各該都市計畫海域範圍是否有保留之必要性，如經檢討並無繼續納入都市計畫管制需要時，應辦理都市計畫檢討變更予以劃出，俾劃設為海洋資源地區進行管制；又如經評估其有配合都市發展而保留為都市計畫者，該海域範圍將劃設為城鄉發展地區，惟仍應依據本計畫「海洋資源地區」土地使用原則相關規定，檢討各該海域範圍之土地使用管制規定。</w:t>
      </w:r>
    </w:p>
    <w:p w:rsidR="003042CD" w:rsidRPr="001B766A" w:rsidRDefault="003042CD" w:rsidP="003042CD">
      <w:pPr>
        <w:pStyle w:val="5"/>
        <w:wordWrap w:val="0"/>
        <w:overflowPunct/>
        <w:ind w:left="2095" w:hanging="700"/>
        <w:rPr>
          <w:rFonts w:hAnsi="標楷體"/>
        </w:rPr>
      </w:pPr>
      <w:r w:rsidRPr="001B766A">
        <w:rPr>
          <w:rFonts w:hAnsi="標楷體" w:hint="eastAsia"/>
        </w:rPr>
        <w:t>屬國土保育地區第四類或農業發展地區第五類範圍內之都市計畫土地，都市計畫主管機關如有檢討變更為保護（保育）相關用分區（用地）或農業區以外之分區需要時，除國防、重大之公共設施或公用事業外，應先行辦理各</w:t>
      </w:r>
      <w:r w:rsidRPr="001B766A">
        <w:rPr>
          <w:rFonts w:hAnsi="標楷體" w:hint="eastAsia"/>
        </w:rPr>
        <w:lastRenderedPageBreak/>
        <w:t>該直轄市、縣（市）國土計畫及國土功能分區之檢討，並經依法將國土功能分區檢討變更為城鄉發展地區後，該等土地始得變更為保護（保育）相關用分區（用地）或農業區以外之分區。</w:t>
      </w:r>
    </w:p>
    <w:p w:rsidR="003042CD" w:rsidRPr="001B766A" w:rsidRDefault="003042CD" w:rsidP="003042CD">
      <w:pPr>
        <w:pStyle w:val="5"/>
        <w:wordWrap w:val="0"/>
        <w:overflowPunct/>
        <w:ind w:left="2095" w:hanging="700"/>
        <w:rPr>
          <w:rFonts w:hAnsi="標楷體"/>
        </w:rPr>
      </w:pPr>
      <w:r w:rsidRPr="001B766A">
        <w:rPr>
          <w:rFonts w:hAnsi="標楷體" w:hint="eastAsia"/>
        </w:rPr>
        <w:t>屬於城鄉發展地區第一類範圍內之都市計畫土地，當地都市計畫擬定機關於通盤檢討時，應參酌有關環境敏感地區主管機關意見，並配合保護、保育或防災需要，檢討土地使用計畫，變更為適當使用分區、用地，或依據環境敏感特性檢討土地使用管制規定。</w:t>
      </w:r>
    </w:p>
    <w:p w:rsidR="003042CD" w:rsidRPr="001B766A" w:rsidRDefault="003042CD" w:rsidP="003042CD">
      <w:pPr>
        <w:pStyle w:val="5"/>
        <w:wordWrap w:val="0"/>
        <w:overflowPunct/>
        <w:ind w:left="2095" w:hanging="700"/>
        <w:rPr>
          <w:rFonts w:hAnsi="標楷體"/>
        </w:rPr>
      </w:pPr>
      <w:r w:rsidRPr="001B766A">
        <w:rPr>
          <w:rFonts w:hAnsi="標楷體" w:hint="eastAsia"/>
        </w:rPr>
        <w:t>城鄉發展地區第一類屬於環境敏感地區範圍者，應考量環境敏感地區土地使用指導事項，研擬檢討變更內容及配套措施。</w:t>
      </w:r>
    </w:p>
    <w:p w:rsidR="003042CD" w:rsidRPr="001B766A" w:rsidRDefault="003042CD" w:rsidP="003042CD">
      <w:pPr>
        <w:pStyle w:val="4"/>
        <w:kinsoku/>
        <w:wordWrap w:val="0"/>
        <w:overflowPunct/>
        <w:ind w:leftChars="300" w:left="1700" w:hangingChars="200" w:hanging="680"/>
        <w:rPr>
          <w:rFonts w:hAnsi="標楷體"/>
        </w:rPr>
      </w:pPr>
      <w:r w:rsidRPr="001B766A">
        <w:rPr>
          <w:rFonts w:hAnsi="標楷體" w:hint="eastAsia"/>
        </w:rPr>
        <w:t>考量全國國土計畫業經該部公告實施，後續將督促直轄市、縣(市)政府積極辦理各該直轄市、縣(市)國土計畫，俾據以指導都市計畫配合相關檢討變更，以落實全國國土計畫政策方向等語。</w:t>
      </w:r>
    </w:p>
    <w:p w:rsidR="003042CD" w:rsidRPr="001B766A" w:rsidRDefault="003042CD" w:rsidP="003042CD">
      <w:pPr>
        <w:pStyle w:val="3"/>
        <w:wordWrap w:val="0"/>
        <w:overflowPunct/>
        <w:ind w:left="1360" w:hanging="680"/>
        <w:rPr>
          <w:rFonts w:hAnsi="標楷體"/>
        </w:rPr>
      </w:pPr>
      <w:r w:rsidRPr="001B766A">
        <w:rPr>
          <w:rFonts w:hAnsi="標楷體" w:hint="eastAsia"/>
        </w:rPr>
        <w:t>惟查，依國土計畫法第15條：「……</w:t>
      </w:r>
      <w:r w:rsidRPr="001B766A">
        <w:rPr>
          <w:rFonts w:hAnsi="標楷體" w:hint="eastAsia"/>
          <w:b/>
        </w:rPr>
        <w:t>國土計畫公告實施後，擬訂計畫之機關應視實際發展情況，全國國土計畫每10年通盤檢討一次，直轄市、縣（市）國土計畫每5年通盤檢討一次，並作必要之變更。</w:t>
      </w:r>
      <w:r w:rsidRPr="001B766A">
        <w:rPr>
          <w:rFonts w:hAnsi="標楷體" w:hint="eastAsia"/>
        </w:rPr>
        <w:t>但有下列情事之一者，得適時檢討變更之：一、因戰爭、地震、水災、風災、火災或其他重大事變遭受損壞。二、為加強資源保育或避免重大災害之發生。三、政府興辦國防、重大之公共設施或公用事業計畫。四、其屬全國國土計畫者，為擬訂、變更都會區域或特定區域之計畫內容。五、其屬直轄市、縣（市）國土計畫者，為配合全國國土計畫之指示事項。前項第一款、第二款及第三款適時檢討變更之</w:t>
      </w:r>
      <w:r w:rsidRPr="001B766A">
        <w:rPr>
          <w:rFonts w:hAnsi="標楷體" w:hint="eastAsia"/>
        </w:rPr>
        <w:lastRenderedPageBreak/>
        <w:t>計畫內容及辦理程序得予以簡化；其簡化之辦法，由中央主管機關定之。」，</w:t>
      </w:r>
      <w:r>
        <w:rPr>
          <w:rFonts w:hAnsi="標楷體" w:hint="eastAsia"/>
        </w:rPr>
        <w:t>據此，有關「通盤檢討</w:t>
      </w:r>
      <w:r w:rsidRPr="001B766A">
        <w:rPr>
          <w:rFonts w:hAnsi="標楷體" w:hint="eastAsia"/>
        </w:rPr>
        <w:t>」</w:t>
      </w:r>
      <w:r>
        <w:rPr>
          <w:rFonts w:hAnsi="標楷體" w:hint="eastAsia"/>
        </w:rPr>
        <w:t>與「個案變更</w:t>
      </w:r>
      <w:r w:rsidRPr="001B766A">
        <w:rPr>
          <w:rFonts w:hAnsi="標楷體" w:hint="eastAsia"/>
        </w:rPr>
        <w:t>」相關規定雷同於都市計畫法第26條之規定，如以現今內政部督促各直轄市、縣市政府辦理</w:t>
      </w:r>
      <w:r>
        <w:rPr>
          <w:rFonts w:hAnsi="標楷體" w:hint="eastAsia"/>
        </w:rPr>
        <w:t>「通盤檢討</w:t>
      </w:r>
      <w:r w:rsidRPr="001B766A">
        <w:rPr>
          <w:rFonts w:hAnsi="標楷體" w:hint="eastAsia"/>
        </w:rPr>
        <w:t>」</w:t>
      </w:r>
      <w:r>
        <w:rPr>
          <w:rFonts w:hAnsi="標楷體" w:hint="eastAsia"/>
        </w:rPr>
        <w:t>與「個案變更</w:t>
      </w:r>
      <w:r w:rsidRPr="001B766A">
        <w:rPr>
          <w:rFonts w:hAnsi="標楷體" w:hint="eastAsia"/>
        </w:rPr>
        <w:t>」情形</w:t>
      </w:r>
      <w:r>
        <w:rPr>
          <w:rFonts w:hAnsi="標楷體" w:hint="eastAsia"/>
        </w:rPr>
        <w:t>如前所述，由該署過往督導（列管）情形</w:t>
      </w:r>
      <w:r w:rsidRPr="001B766A">
        <w:rPr>
          <w:rFonts w:hAnsi="標楷體" w:hint="eastAsia"/>
        </w:rPr>
        <w:t>觀之，恐難以落實。</w:t>
      </w:r>
    </w:p>
    <w:p w:rsidR="003042CD" w:rsidRPr="001B766A" w:rsidRDefault="003042CD" w:rsidP="003042CD">
      <w:pPr>
        <w:pStyle w:val="3"/>
        <w:wordWrap w:val="0"/>
        <w:overflowPunct/>
        <w:ind w:left="1360" w:hanging="680"/>
        <w:rPr>
          <w:rFonts w:hAnsi="標楷體"/>
        </w:rPr>
      </w:pPr>
      <w:r>
        <w:rPr>
          <w:rFonts w:hAnsi="標楷體" w:hint="eastAsia"/>
        </w:rPr>
        <w:t>再查，詢據營建署關於</w:t>
      </w:r>
      <w:r w:rsidRPr="001B766A">
        <w:rPr>
          <w:rFonts w:hAnsi="標楷體" w:hint="eastAsia"/>
        </w:rPr>
        <w:t>各直轄市、縣（市）政府提出目前辦理都市計畫通盤檢討困難原因</w:t>
      </w:r>
      <w:r>
        <w:rPr>
          <w:rFonts w:hAnsi="標楷體" w:hint="eastAsia"/>
        </w:rPr>
        <w:t>，</w:t>
      </w:r>
      <w:r w:rsidRPr="001B766A">
        <w:rPr>
          <w:rFonts w:hAnsi="標楷體" w:hint="eastAsia"/>
        </w:rPr>
        <w:t>如下：</w:t>
      </w:r>
    </w:p>
    <w:p w:rsidR="003042CD" w:rsidRPr="001B766A" w:rsidRDefault="003042CD" w:rsidP="003042CD">
      <w:pPr>
        <w:pStyle w:val="4"/>
        <w:kinsoku/>
        <w:wordWrap w:val="0"/>
        <w:overflowPunct/>
        <w:ind w:left="1700" w:hanging="680"/>
        <w:rPr>
          <w:rFonts w:hAnsi="標楷體"/>
        </w:rPr>
      </w:pPr>
      <w:r w:rsidRPr="001B766A">
        <w:rPr>
          <w:rFonts w:hAnsi="標楷體" w:hint="eastAsia"/>
        </w:rPr>
        <w:t>圖資電腦化重製作業繁瑣：考量都市計畫發布實施多超過25年，都市計畫圖老舊且地形地物隨都市發展多有變遷，為提升計畫精度，通盤檢討時，依都市計畫定期通盤檢討實施辦法第46條規定，依據原都市計畫圖、都市計畫樁位圖、樁位成果資料及現地樁位，並參酌地籍圖，配合實地情形，展繪都市計畫線。實務執行上，樁位、地籍、地形等圖資檔案格式不同、比例尺不同，需費時校合，且後續仍須進行各種圖資套繪疑義研討，是以，通盤檢討時辦理都市計畫圖重製處理需花費較長時間。</w:t>
      </w:r>
    </w:p>
    <w:p w:rsidR="003042CD" w:rsidRPr="001B766A" w:rsidRDefault="003042CD" w:rsidP="003042CD">
      <w:pPr>
        <w:pStyle w:val="4"/>
        <w:kinsoku/>
        <w:wordWrap w:val="0"/>
        <w:overflowPunct/>
        <w:ind w:left="1700" w:hanging="680"/>
        <w:rPr>
          <w:rFonts w:hAnsi="標楷體"/>
        </w:rPr>
      </w:pPr>
      <w:r w:rsidRPr="001B766A">
        <w:rPr>
          <w:rFonts w:hAnsi="標楷體" w:hint="eastAsia"/>
        </w:rPr>
        <w:t>經費拮据：辦理通盤檢討時應先進行計畫範圍內之基本調查，包括自然環境、土地使用現況、人口發展、公共設施開闢、交通運輸等資料蒐集、分析推計，研擬發展課題、對策，需耗費相當之人力及經費，爰多以委託方式辦理，是以，限於各年度編列預算之經費額度，往往辦理之處數有限，且須視各年度通過預算編列經費情形，始得辦理通盤檢討。</w:t>
      </w:r>
    </w:p>
    <w:p w:rsidR="003042CD" w:rsidRPr="001B766A" w:rsidRDefault="003042CD" w:rsidP="003042CD">
      <w:pPr>
        <w:pStyle w:val="4"/>
        <w:kinsoku/>
        <w:wordWrap w:val="0"/>
        <w:overflowPunct/>
        <w:ind w:left="1700" w:hanging="680"/>
        <w:rPr>
          <w:rFonts w:hAnsi="標楷體"/>
        </w:rPr>
      </w:pPr>
      <w:r w:rsidRPr="001B766A">
        <w:rPr>
          <w:rFonts w:hAnsi="標楷體" w:hint="eastAsia"/>
        </w:rPr>
        <w:t>人力不足：各直轄市、縣（市）政府都市計畫主管機關業務，除辦理擬定變更都市計畫之法定程序，尚須辦理相當龐雜有關都市計畫執行業務，多有</w:t>
      </w:r>
      <w:r w:rsidRPr="001B766A">
        <w:rPr>
          <w:rFonts w:hAnsi="標楷體" w:hint="eastAsia"/>
        </w:rPr>
        <w:lastRenderedPageBreak/>
        <w:t>面臨人力不足之情形，如此業務繁重導致承辦人員調遷變動頻繁，不利業務之推動。</w:t>
      </w:r>
    </w:p>
    <w:p w:rsidR="003042CD" w:rsidRPr="001B766A" w:rsidRDefault="003042CD" w:rsidP="003042CD">
      <w:pPr>
        <w:pStyle w:val="4"/>
        <w:kinsoku/>
        <w:wordWrap w:val="0"/>
        <w:overflowPunct/>
        <w:ind w:left="1700" w:hanging="680"/>
        <w:rPr>
          <w:rFonts w:hAnsi="標楷體"/>
        </w:rPr>
      </w:pPr>
      <w:r w:rsidRPr="001B766A">
        <w:rPr>
          <w:rFonts w:hAnsi="標楷體" w:hint="eastAsia"/>
        </w:rPr>
        <w:t>涉及層面廣泛，人民陳情意見眾多，處理需花費較長時間：通盤檢討案涉及層面較為廣泛，公民及團體陳情案件數量較多，部分案件遇有民眾陳抗問題，造成各級都市計畫委員會之審議作業冗長。以地方政府函報資料中，106年2月7日發布實施「變更潭子都市計畫（第四次通盤檢討）案」為例，各級都市計畫委員會審議期間共計收到166件陳情意見；另106年9月26日發布實施「擴大及變更澄清湖特定區計畫(第三次通盤檢討)(第四階段)案」，各級都市計畫委員會審議期間共計收到305件陳情意見。</w:t>
      </w:r>
    </w:p>
    <w:p w:rsidR="003042CD" w:rsidRDefault="003042CD" w:rsidP="003042CD">
      <w:pPr>
        <w:pStyle w:val="4"/>
        <w:kinsoku/>
        <w:wordWrap w:val="0"/>
        <w:overflowPunct/>
        <w:ind w:left="1700" w:hanging="680"/>
      </w:pPr>
      <w:r>
        <w:rPr>
          <w:rFonts w:hint="eastAsia"/>
        </w:rPr>
        <w:t>另</w:t>
      </w:r>
      <w:r w:rsidRPr="00E70277">
        <w:rPr>
          <w:rFonts w:hint="eastAsia"/>
        </w:rPr>
        <w:t>查，按</w:t>
      </w:r>
      <w:r w:rsidRPr="006A5B66">
        <w:rPr>
          <w:rFonts w:hAnsi="標楷體" w:hint="eastAsia"/>
        </w:rPr>
        <w:t>內政部</w:t>
      </w:r>
      <w:r w:rsidRPr="00E70277">
        <w:rPr>
          <w:rFonts w:hint="eastAsia"/>
        </w:rPr>
        <w:t>組織法第6條規定：「內政部設營建署，掌理全國營建行政事務；其組織以法律定之。」內政部營建署組織條例第3條規定：「本署設綜合計畫組、</w:t>
      </w:r>
      <w:r w:rsidRPr="006A5B66">
        <w:rPr>
          <w:rFonts w:hint="eastAsia"/>
          <w:b/>
        </w:rPr>
        <w:t>都市計畫組</w:t>
      </w:r>
      <w:r w:rsidRPr="00E70277">
        <w:rPr>
          <w:rFonts w:hint="eastAsia"/>
        </w:rPr>
        <w:t>、國民住宅組、國家公園組、建築管理組、公共工程組，分掌前條所列事項，並得分科辦事」，惟查，有關內政部營建署都市計畫組承辦相關業務人力與經費一節，該署辦理辦理都市計畫法及相關法規（共35種）之解釋及修訂，合計5人（都市計畫組僅3人、中部辦公室僅2人負責）。有關</w:t>
      </w:r>
      <w:r w:rsidRPr="00E70277">
        <w:t>都市計畫審議、內政部都委會幕僚作業</w:t>
      </w:r>
      <w:r w:rsidRPr="00E70277">
        <w:rPr>
          <w:rFonts w:hint="eastAsia"/>
        </w:rPr>
        <w:t>僅7人負責（</w:t>
      </w:r>
      <w:r w:rsidRPr="00E70277">
        <w:t>都市計畫組</w:t>
      </w:r>
      <w:r w:rsidRPr="00E70277">
        <w:rPr>
          <w:rFonts w:hint="eastAsia"/>
        </w:rPr>
        <w:t>僅3人，中部辦公室4人負責），負責</w:t>
      </w:r>
      <w:r w:rsidRPr="00E70277">
        <w:t>特定區計畫、</w:t>
      </w:r>
      <w:r w:rsidRPr="00E70277">
        <w:rPr>
          <w:rFonts w:hint="eastAsia"/>
        </w:rPr>
        <w:t>各縣市政府都市計畫、主要計畫、細部計畫</w:t>
      </w:r>
      <w:r>
        <w:rPr>
          <w:rFonts w:hint="eastAsia"/>
        </w:rPr>
        <w:t>、</w:t>
      </w:r>
      <w:r w:rsidRPr="00E70277">
        <w:rPr>
          <w:rFonts w:hint="eastAsia"/>
        </w:rPr>
        <w:t>通盤檢討等業務。有關經費一節，該署每年編列下一年度預算概算時，為保留因應施政計畫業務需要，行政院主計總處會要求中央各部會每年業務費逐年減編10％，行政院會再額外控留5％，內政部控留5％，署裡</w:t>
      </w:r>
      <w:r w:rsidRPr="00E70277">
        <w:rPr>
          <w:rFonts w:hint="eastAsia"/>
        </w:rPr>
        <w:lastRenderedPageBreak/>
        <w:t>控留5％，合計減列25％。據此，該署都市計畫組業務費（辦理法規研修、部都委會審核、學會年費等）為例，108年度業務費預算143萬元（含審議委員出席費用）較107年度190萬元減少25％，都市計畫有關業務經費相關拮据不足。</w:t>
      </w:r>
      <w:r>
        <w:rPr>
          <w:rFonts w:hint="eastAsia"/>
        </w:rPr>
        <w:t>另，本院諮詢會議專家學者指出，政府應</w:t>
      </w:r>
      <w:r w:rsidRPr="006A5B66">
        <w:rPr>
          <w:rFonts w:hint="eastAsia"/>
        </w:rPr>
        <w:t>提高都市計畫主管單位層級，建議縣市政府成立「都市及國土發展處」專責單位，主管國土、都市、都更、以及住宅</w:t>
      </w:r>
      <w:r>
        <w:rPr>
          <w:rFonts w:hint="eastAsia"/>
        </w:rPr>
        <w:t>業務，</w:t>
      </w:r>
      <w:r w:rsidRPr="005B479E">
        <w:rPr>
          <w:rFonts w:hint="eastAsia"/>
        </w:rPr>
        <w:t>建議內政部建置「都市計畫通盤檢討</w:t>
      </w:r>
      <w:r>
        <w:rPr>
          <w:rFonts w:hint="eastAsia"/>
        </w:rPr>
        <w:t>十年促進方案」，由中央編列預算補助縣市政府辦理通盤檢討所需經費等語。均顯示中央及地方政府有關都計畫業務人力與經費均應檢討強化與落實。</w:t>
      </w:r>
    </w:p>
    <w:p w:rsidR="003042CD" w:rsidRPr="00E70277" w:rsidRDefault="003042CD" w:rsidP="003042CD">
      <w:pPr>
        <w:pStyle w:val="3"/>
        <w:wordWrap w:val="0"/>
        <w:overflowPunct/>
        <w:ind w:left="1360" w:hanging="680"/>
      </w:pPr>
      <w:r>
        <w:rPr>
          <w:rFonts w:hint="eastAsia"/>
        </w:rPr>
        <w:t>再據有關通盤檢討等統計資料業務，該署稱並無電腦統計系統可供查詢，需由該署發文給各縣市政府彙整後，方可提供該署知悉了解，顯見該署都市計畫業務管理尚待強化，欠缺整合相關圖資與統計資料研析，顯未能重視都市計畫相關業務與工具，難謂善盡督導權責，如前意見所述都市計畫統計資訊均需人工發文始能得知直轄市、縣市政府相關統計資料，曠日廢時，人力經費均有不足，遑論建置全國即時都市計畫統計資訊、容積總量統計控管、資料庫智慧化動態分析增額容積對公共設施服務水準（如道路交通系統、學校醫療設施服務水準、綠地公園</w:t>
      </w:r>
      <w:r>
        <w:t>…</w:t>
      </w:r>
      <w:r>
        <w:rPr>
          <w:rFonts w:hint="eastAsia"/>
        </w:rPr>
        <w:t>等）之影響</w:t>
      </w:r>
      <w:r>
        <w:t>…</w:t>
      </w:r>
      <w:r>
        <w:rPr>
          <w:rFonts w:hint="eastAsia"/>
        </w:rPr>
        <w:t>等督導管制作為，且達到相關訊息公開透明程度，均待檢討改進。</w:t>
      </w:r>
    </w:p>
    <w:p w:rsidR="003042CD" w:rsidRDefault="003042CD" w:rsidP="003042CD">
      <w:pPr>
        <w:pStyle w:val="3"/>
        <w:wordWrap w:val="0"/>
        <w:overflowPunct/>
        <w:ind w:left="1360" w:hanging="680"/>
        <w:rPr>
          <w:rFonts w:hAnsi="標楷體"/>
        </w:rPr>
      </w:pPr>
      <w:r w:rsidRPr="001B766A">
        <w:rPr>
          <w:rFonts w:hAnsi="標楷體" w:hint="eastAsia"/>
        </w:rPr>
        <w:t>綜上，內政部允應借鏡各直轄市、縣市政府辦理都市計畫通盤檢討作業之困境，如：圖資電腦化、經費拮据、人力不足、重製作業繁瑣、人民陳情意見眾多等問題等，積極協助各直轄市、縣（市）政府</w:t>
      </w:r>
      <w:r w:rsidRPr="001B766A">
        <w:rPr>
          <w:rFonts w:hAnsi="標楷體" w:hint="eastAsia"/>
        </w:rPr>
        <w:lastRenderedPageBreak/>
        <w:t>解決，並強化相關人力組織，依法落實都市計畫通盤檢討。</w:t>
      </w:r>
    </w:p>
    <w:p w:rsidR="00A12F8E" w:rsidRPr="00F45102" w:rsidRDefault="00A12F8E" w:rsidP="001601AF">
      <w:pPr>
        <w:pStyle w:val="10"/>
        <w:ind w:left="680" w:firstLine="680"/>
        <w:rPr>
          <w:color w:val="000000"/>
        </w:rPr>
      </w:pPr>
      <w:bookmarkStart w:id="65" w:name="_Toc524902730"/>
      <w:bookmarkEnd w:id="59"/>
      <w:bookmarkEnd w:id="60"/>
      <w:bookmarkEnd w:id="61"/>
      <w:bookmarkEnd w:id="62"/>
      <w:bookmarkEnd w:id="63"/>
      <w:bookmarkEnd w:id="64"/>
    </w:p>
    <w:p w:rsidR="001601AF" w:rsidRDefault="001601AF" w:rsidP="001601AF">
      <w:pPr>
        <w:pStyle w:val="10"/>
        <w:ind w:left="680" w:firstLine="680"/>
        <w:rPr>
          <w:color w:val="000000"/>
        </w:rPr>
      </w:pPr>
      <w:r w:rsidRPr="00F45102">
        <w:rPr>
          <w:rFonts w:hint="eastAsia"/>
          <w:color w:val="000000"/>
        </w:rPr>
        <w:t>綜上所述，</w:t>
      </w:r>
      <w:r w:rsidR="004B48E5" w:rsidRPr="00591C3B">
        <w:rPr>
          <w:rFonts w:hint="eastAsia"/>
        </w:rPr>
        <w:t>內政部營建署未能切實督導各直轄市、縣（市）政府依都市計畫法第26條規定落實都市計畫</w:t>
      </w:r>
      <w:r w:rsidR="004B48E5">
        <w:rPr>
          <w:rFonts w:hint="eastAsia"/>
        </w:rPr>
        <w:t>通盤檢討</w:t>
      </w:r>
      <w:r w:rsidR="004B48E5" w:rsidRPr="00591C3B">
        <w:rPr>
          <w:rFonts w:hint="eastAsia"/>
        </w:rPr>
        <w:t>，各縣市政府超過5年以上未辦理通盤檢討合計86處，有違都市計畫法第26條機關每5年內至少「應」通盤檢討1次之規定</w:t>
      </w:r>
      <w:r w:rsidR="004B48E5">
        <w:rPr>
          <w:rFonts w:hint="eastAsia"/>
        </w:rPr>
        <w:t>。有關通盤檢討辦理天數，由</w:t>
      </w:r>
      <w:r w:rsidR="004B48E5" w:rsidRPr="00591C3B">
        <w:rPr>
          <w:rFonts w:hint="eastAsia"/>
        </w:rPr>
        <w:t>100年的平均辦理天數1,335天遞增至107年的2,336天（6.4年），已超過或近都市計畫法每5</w:t>
      </w:r>
      <w:r w:rsidR="004B48E5">
        <w:rPr>
          <w:rFonts w:hint="eastAsia"/>
        </w:rPr>
        <w:t>年定期通盤檢討時程，</w:t>
      </w:r>
      <w:r w:rsidR="004B48E5" w:rsidRPr="00591C3B">
        <w:rPr>
          <w:rFonts w:hint="eastAsia"/>
        </w:rPr>
        <w:t>時程延宕效能不彰。</w:t>
      </w:r>
      <w:r w:rsidR="004B48E5" w:rsidRPr="00F45102">
        <w:rPr>
          <w:rFonts w:hint="eastAsia"/>
          <w:color w:val="000000"/>
        </w:rPr>
        <w:t>主要計畫「個案變更」平均件數102.4件為通盤檢討平均件數之1.39倍。細部計畫「個案變更」平均件數67.8件為通盤檢討平均件數之2.14倍，</w:t>
      </w:r>
      <w:r w:rsidR="004B48E5" w:rsidRPr="000475A5">
        <w:rPr>
          <w:rFonts w:hAnsi="標楷體" w:hint="eastAsia"/>
        </w:rPr>
        <w:t>都市計畫個案變更過於浮濫</w:t>
      </w:r>
      <w:r w:rsidR="004B48E5" w:rsidRPr="00F45102">
        <w:rPr>
          <w:rFonts w:hint="eastAsia"/>
          <w:color w:val="000000"/>
        </w:rPr>
        <w:t>。關於</w:t>
      </w:r>
      <w:r w:rsidR="004B48E5" w:rsidRPr="00FF7529">
        <w:rPr>
          <w:rFonts w:hAnsi="標楷體" w:hint="eastAsia"/>
          <w:color w:val="000000"/>
        </w:rPr>
        <w:t>都市計畫通盤檢討相關標準難以因應未來高齡化、少子化、環境氣候變遷、低碳節能城市等新興問題與目標，另各式獎勵容積以及「容積總量」等統計管控，理應明確納入都市計畫通盤檢討實施，並回歸都市計畫相關規定，制度面與執行面均有待檢討改進。</w:t>
      </w:r>
      <w:r w:rsidR="004B48E5">
        <w:rPr>
          <w:rFonts w:hAnsi="標楷體" w:hint="eastAsia"/>
        </w:rPr>
        <w:t>有關</w:t>
      </w:r>
      <w:r w:rsidR="004B48E5" w:rsidRPr="00FF7529">
        <w:rPr>
          <w:rFonts w:hAnsi="標楷體" w:hint="eastAsia"/>
        </w:rPr>
        <w:t>各直轄市、縣市政府辦理都市計畫通盤檢討作業之困境，內政部允應積極協助各直轄市、縣（市）政府解決，強化相關人力組織，依法落實都市計畫通盤檢討</w:t>
      </w:r>
      <w:r w:rsidR="00FF7529" w:rsidRPr="00A41CB1">
        <w:rPr>
          <w:rFonts w:hint="eastAsia"/>
        </w:rPr>
        <w:t>，均有疏失</w:t>
      </w:r>
      <w:r w:rsidR="0088349B" w:rsidRPr="00F45102">
        <w:rPr>
          <w:rFonts w:hint="eastAsia"/>
          <w:color w:val="000000"/>
        </w:rPr>
        <w:t>，</w:t>
      </w:r>
      <w:r w:rsidR="00F548DD" w:rsidRPr="00F45102">
        <w:rPr>
          <w:rFonts w:hint="eastAsia"/>
          <w:color w:val="000000"/>
        </w:rPr>
        <w:t>爰依監察法第24條規定提案糾正，</w:t>
      </w:r>
      <w:r w:rsidR="00CF62EE" w:rsidRPr="00F45102">
        <w:rPr>
          <w:rFonts w:hint="eastAsia"/>
          <w:color w:val="000000"/>
        </w:rPr>
        <w:t>函請</w:t>
      </w:r>
      <w:r w:rsidR="00F548DD" w:rsidRPr="00F45102">
        <w:rPr>
          <w:rFonts w:hint="eastAsia"/>
          <w:color w:val="000000"/>
        </w:rPr>
        <w:t>行政院轉飭所屬確實檢討改善見復。</w:t>
      </w:r>
    </w:p>
    <w:p w:rsidR="00D077DA" w:rsidRDefault="00D077DA" w:rsidP="001601AF">
      <w:pPr>
        <w:pStyle w:val="10"/>
        <w:ind w:left="680" w:firstLine="680"/>
        <w:rPr>
          <w:color w:val="000000"/>
        </w:rPr>
      </w:pPr>
    </w:p>
    <w:p w:rsidR="00D077DA" w:rsidRDefault="00D077DA" w:rsidP="001601AF">
      <w:pPr>
        <w:pStyle w:val="10"/>
        <w:ind w:left="680" w:firstLine="680"/>
        <w:rPr>
          <w:color w:val="000000"/>
        </w:rPr>
      </w:pPr>
      <w:r>
        <w:rPr>
          <w:rFonts w:hint="eastAsia"/>
          <w:color w:val="000000"/>
        </w:rPr>
        <w:t xml:space="preserve"> </w:t>
      </w:r>
    </w:p>
    <w:p w:rsidR="00D077DA" w:rsidRPr="00D077DA" w:rsidRDefault="00D077DA" w:rsidP="00D077DA">
      <w:pPr>
        <w:pStyle w:val="10"/>
        <w:ind w:left="680" w:firstLine="761"/>
        <w:jc w:val="center"/>
        <w:rPr>
          <w:rFonts w:hint="eastAsia"/>
          <w:b/>
          <w:color w:val="000000"/>
          <w:sz w:val="36"/>
          <w:szCs w:val="36"/>
        </w:rPr>
      </w:pPr>
      <w:bookmarkStart w:id="66" w:name="_GoBack"/>
      <w:r w:rsidRPr="00D077DA">
        <w:rPr>
          <w:rFonts w:hint="eastAsia"/>
          <w:b/>
          <w:color w:val="000000"/>
          <w:sz w:val="36"/>
          <w:szCs w:val="36"/>
        </w:rPr>
        <w:t>提案委員：林盛豐</w:t>
      </w:r>
    </w:p>
    <w:bookmarkEnd w:id="66"/>
    <w:p w:rsidR="006E545E" w:rsidRPr="00F45102" w:rsidRDefault="006E545E" w:rsidP="001601AF">
      <w:pPr>
        <w:pStyle w:val="aa"/>
        <w:spacing w:beforeLines="150" w:before="685" w:after="0"/>
        <w:ind w:leftChars="1100" w:left="3742"/>
        <w:rPr>
          <w:b w:val="0"/>
          <w:bCs/>
          <w:snapToGrid/>
          <w:color w:val="000000"/>
          <w:spacing w:val="12"/>
          <w:kern w:val="0"/>
          <w:sz w:val="4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65"/>
    <w:p w:rsidR="003C64C0" w:rsidRPr="00F45102" w:rsidRDefault="003C64C0">
      <w:pPr>
        <w:widowControl/>
        <w:kinsoku/>
        <w:overflowPunct/>
        <w:autoSpaceDE/>
        <w:autoSpaceDN/>
        <w:jc w:val="left"/>
        <w:rPr>
          <w:bCs/>
          <w:color w:val="000000"/>
          <w:kern w:val="0"/>
        </w:rPr>
      </w:pPr>
    </w:p>
    <w:sectPr w:rsidR="003C64C0" w:rsidRPr="00F45102" w:rsidSect="00C86265">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3F" w:rsidRDefault="0064063F">
      <w:r>
        <w:separator/>
      </w:r>
    </w:p>
  </w:endnote>
  <w:endnote w:type="continuationSeparator" w:id="0">
    <w:p w:rsidR="0064063F" w:rsidRDefault="0064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569" w:rsidRDefault="009F7569">
    <w:pPr>
      <w:pStyle w:val="af4"/>
      <w:jc w:val="center"/>
    </w:pPr>
    <w:r>
      <w:fldChar w:fldCharType="begin"/>
    </w:r>
    <w:r>
      <w:instrText>PAGE   \* MERGEFORMAT</w:instrText>
    </w:r>
    <w:r>
      <w:fldChar w:fldCharType="separate"/>
    </w:r>
    <w:r w:rsidR="00D077DA" w:rsidRPr="00D077DA">
      <w:rPr>
        <w:noProof/>
        <w:lang w:val="zh-TW"/>
      </w:rPr>
      <w:t>33</w:t>
    </w:r>
    <w:r>
      <w:fldChar w:fldCharType="end"/>
    </w:r>
  </w:p>
  <w:p w:rsidR="009F7569" w:rsidRDefault="009F756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3F" w:rsidRDefault="0064063F">
      <w:r>
        <w:separator/>
      </w:r>
    </w:p>
  </w:footnote>
  <w:footnote w:type="continuationSeparator" w:id="0">
    <w:p w:rsidR="0064063F" w:rsidRDefault="0064063F">
      <w:r>
        <w:continuationSeparator/>
      </w:r>
    </w:p>
  </w:footnote>
  <w:footnote w:id="1">
    <w:p w:rsidR="00100477" w:rsidRDefault="00100477" w:rsidP="00100477">
      <w:pPr>
        <w:pStyle w:val="afe"/>
        <w:ind w:left="3402" w:firstLine="680"/>
      </w:pPr>
      <w:r>
        <w:rPr>
          <w:rStyle w:val="aff0"/>
        </w:rPr>
        <w:footnoteRef/>
      </w:r>
      <w:r>
        <w:t xml:space="preserve"> </w:t>
      </w:r>
      <w:r w:rsidRPr="00875C86">
        <w:rPr>
          <w:rFonts w:hint="eastAsia"/>
        </w:rPr>
        <w:t>危老條例修法 莫像澳洲野火</w:t>
      </w:r>
      <w:r>
        <w:rPr>
          <w:rFonts w:hint="eastAsia"/>
        </w:rPr>
        <w:t xml:space="preserve"> </w:t>
      </w:r>
      <w:r>
        <w:t>2010.01.10</w:t>
      </w:r>
      <w:r w:rsidRPr="00875C86">
        <w:rPr>
          <w:rFonts w:hint="eastAsia"/>
        </w:rPr>
        <w:t>聯合報 王珍玲／逢甲大學土地管理學系副教授、內政部法規委員</w:t>
      </w:r>
    </w:p>
    <w:p w:rsidR="00100477" w:rsidRPr="00875C86" w:rsidRDefault="00100477" w:rsidP="00100477">
      <w:pPr>
        <w:pStyle w:val="afe"/>
        <w:ind w:left="3402" w:firstLine="680"/>
      </w:pPr>
      <w:r w:rsidRPr="00875C86">
        <w:t>https://udn.com/news/story/7339/4278374?from=udn_ch2cate6643sub7339_pulldownmenu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6C2D26"/>
    <w:multiLevelType w:val="hybridMultilevel"/>
    <w:tmpl w:val="E35CCC56"/>
    <w:lvl w:ilvl="0" w:tplc="0409000F">
      <w:start w:val="1"/>
      <w:numFmt w:val="decimal"/>
      <w:lvlText w:val="%1."/>
      <w:lvlJc w:val="left"/>
      <w:pPr>
        <w:ind w:left="840" w:hanging="480"/>
      </w:pPr>
      <w:rPr>
        <w:rFonts w:hint="default"/>
      </w:rPr>
    </w:lvl>
    <w:lvl w:ilvl="1" w:tplc="260C1EB8" w:tentative="1">
      <w:start w:val="1"/>
      <w:numFmt w:val="bullet"/>
      <w:lvlText w:val=""/>
      <w:lvlJc w:val="left"/>
      <w:pPr>
        <w:tabs>
          <w:tab w:val="num" w:pos="1440"/>
        </w:tabs>
        <w:ind w:left="1440" w:hanging="360"/>
      </w:pPr>
      <w:rPr>
        <w:rFonts w:ascii="Wingdings 3" w:hAnsi="Wingdings 3" w:hint="default"/>
      </w:rPr>
    </w:lvl>
    <w:lvl w:ilvl="2" w:tplc="F864B704" w:tentative="1">
      <w:start w:val="1"/>
      <w:numFmt w:val="bullet"/>
      <w:lvlText w:val=""/>
      <w:lvlJc w:val="left"/>
      <w:pPr>
        <w:tabs>
          <w:tab w:val="num" w:pos="2160"/>
        </w:tabs>
        <w:ind w:left="2160" w:hanging="360"/>
      </w:pPr>
      <w:rPr>
        <w:rFonts w:ascii="Wingdings 3" w:hAnsi="Wingdings 3" w:hint="default"/>
      </w:rPr>
    </w:lvl>
    <w:lvl w:ilvl="3" w:tplc="BACCA554" w:tentative="1">
      <w:start w:val="1"/>
      <w:numFmt w:val="bullet"/>
      <w:lvlText w:val=""/>
      <w:lvlJc w:val="left"/>
      <w:pPr>
        <w:tabs>
          <w:tab w:val="num" w:pos="2880"/>
        </w:tabs>
        <w:ind w:left="2880" w:hanging="360"/>
      </w:pPr>
      <w:rPr>
        <w:rFonts w:ascii="Wingdings 3" w:hAnsi="Wingdings 3" w:hint="default"/>
      </w:rPr>
    </w:lvl>
    <w:lvl w:ilvl="4" w:tplc="34646C6C" w:tentative="1">
      <w:start w:val="1"/>
      <w:numFmt w:val="bullet"/>
      <w:lvlText w:val=""/>
      <w:lvlJc w:val="left"/>
      <w:pPr>
        <w:tabs>
          <w:tab w:val="num" w:pos="3600"/>
        </w:tabs>
        <w:ind w:left="3600" w:hanging="360"/>
      </w:pPr>
      <w:rPr>
        <w:rFonts w:ascii="Wingdings 3" w:hAnsi="Wingdings 3" w:hint="default"/>
      </w:rPr>
    </w:lvl>
    <w:lvl w:ilvl="5" w:tplc="F760A25E" w:tentative="1">
      <w:start w:val="1"/>
      <w:numFmt w:val="bullet"/>
      <w:lvlText w:val=""/>
      <w:lvlJc w:val="left"/>
      <w:pPr>
        <w:tabs>
          <w:tab w:val="num" w:pos="4320"/>
        </w:tabs>
        <w:ind w:left="4320" w:hanging="360"/>
      </w:pPr>
      <w:rPr>
        <w:rFonts w:ascii="Wingdings 3" w:hAnsi="Wingdings 3" w:hint="default"/>
      </w:rPr>
    </w:lvl>
    <w:lvl w:ilvl="6" w:tplc="7020D372" w:tentative="1">
      <w:start w:val="1"/>
      <w:numFmt w:val="bullet"/>
      <w:lvlText w:val=""/>
      <w:lvlJc w:val="left"/>
      <w:pPr>
        <w:tabs>
          <w:tab w:val="num" w:pos="5040"/>
        </w:tabs>
        <w:ind w:left="5040" w:hanging="360"/>
      </w:pPr>
      <w:rPr>
        <w:rFonts w:ascii="Wingdings 3" w:hAnsi="Wingdings 3" w:hint="default"/>
      </w:rPr>
    </w:lvl>
    <w:lvl w:ilvl="7" w:tplc="3328D962" w:tentative="1">
      <w:start w:val="1"/>
      <w:numFmt w:val="bullet"/>
      <w:lvlText w:val=""/>
      <w:lvlJc w:val="left"/>
      <w:pPr>
        <w:tabs>
          <w:tab w:val="num" w:pos="5760"/>
        </w:tabs>
        <w:ind w:left="5760" w:hanging="360"/>
      </w:pPr>
      <w:rPr>
        <w:rFonts w:ascii="Wingdings 3" w:hAnsi="Wingdings 3" w:hint="default"/>
      </w:rPr>
    </w:lvl>
    <w:lvl w:ilvl="8" w:tplc="456ED84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40E010C"/>
    <w:multiLevelType w:val="multilevel"/>
    <w:tmpl w:val="671AC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3"/>
  </w:num>
  <w:num w:numId="11">
    <w:abstractNumId w:val="3"/>
  </w:num>
  <w:num w:numId="12">
    <w:abstractNumId w:val="2"/>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94"/>
    <w:rsid w:val="0000475D"/>
    <w:rsid w:val="000063B1"/>
    <w:rsid w:val="00006891"/>
    <w:rsid w:val="00006961"/>
    <w:rsid w:val="0000697F"/>
    <w:rsid w:val="000102BA"/>
    <w:rsid w:val="000112BF"/>
    <w:rsid w:val="00011744"/>
    <w:rsid w:val="00012233"/>
    <w:rsid w:val="00014133"/>
    <w:rsid w:val="00015644"/>
    <w:rsid w:val="00016DD9"/>
    <w:rsid w:val="00017318"/>
    <w:rsid w:val="00021D84"/>
    <w:rsid w:val="000236D6"/>
    <w:rsid w:val="000246F7"/>
    <w:rsid w:val="000258DF"/>
    <w:rsid w:val="00027265"/>
    <w:rsid w:val="000274EA"/>
    <w:rsid w:val="0003000F"/>
    <w:rsid w:val="00030440"/>
    <w:rsid w:val="0003057B"/>
    <w:rsid w:val="0003114D"/>
    <w:rsid w:val="00031488"/>
    <w:rsid w:val="00031DEC"/>
    <w:rsid w:val="00032EBC"/>
    <w:rsid w:val="00033E76"/>
    <w:rsid w:val="00034DB6"/>
    <w:rsid w:val="00034F2A"/>
    <w:rsid w:val="0003545B"/>
    <w:rsid w:val="00036D76"/>
    <w:rsid w:val="00037AE7"/>
    <w:rsid w:val="00040B6B"/>
    <w:rsid w:val="00044D72"/>
    <w:rsid w:val="00045C86"/>
    <w:rsid w:val="00047181"/>
    <w:rsid w:val="000532DB"/>
    <w:rsid w:val="00054D63"/>
    <w:rsid w:val="00057F32"/>
    <w:rsid w:val="00062A25"/>
    <w:rsid w:val="000632BC"/>
    <w:rsid w:val="000673DD"/>
    <w:rsid w:val="00067B23"/>
    <w:rsid w:val="00073CB5"/>
    <w:rsid w:val="0007425C"/>
    <w:rsid w:val="00077553"/>
    <w:rsid w:val="000775F8"/>
    <w:rsid w:val="00080644"/>
    <w:rsid w:val="00081D02"/>
    <w:rsid w:val="00084521"/>
    <w:rsid w:val="000851A2"/>
    <w:rsid w:val="00085664"/>
    <w:rsid w:val="0008571F"/>
    <w:rsid w:val="00086DD2"/>
    <w:rsid w:val="00091835"/>
    <w:rsid w:val="000930BD"/>
    <w:rsid w:val="0009352E"/>
    <w:rsid w:val="00093DCF"/>
    <w:rsid w:val="00093F0E"/>
    <w:rsid w:val="00094256"/>
    <w:rsid w:val="00094347"/>
    <w:rsid w:val="000963C1"/>
    <w:rsid w:val="00096B96"/>
    <w:rsid w:val="000A1A46"/>
    <w:rsid w:val="000A26CF"/>
    <w:rsid w:val="000A2F3F"/>
    <w:rsid w:val="000A3533"/>
    <w:rsid w:val="000A440D"/>
    <w:rsid w:val="000A4CFB"/>
    <w:rsid w:val="000A5F9C"/>
    <w:rsid w:val="000A7404"/>
    <w:rsid w:val="000B01D0"/>
    <w:rsid w:val="000B0B4A"/>
    <w:rsid w:val="000B15F3"/>
    <w:rsid w:val="000B238D"/>
    <w:rsid w:val="000B279A"/>
    <w:rsid w:val="000B3F6B"/>
    <w:rsid w:val="000B42CB"/>
    <w:rsid w:val="000B4E8C"/>
    <w:rsid w:val="000B61D2"/>
    <w:rsid w:val="000B652F"/>
    <w:rsid w:val="000B6FE1"/>
    <w:rsid w:val="000B70A7"/>
    <w:rsid w:val="000B73DD"/>
    <w:rsid w:val="000C0914"/>
    <w:rsid w:val="000C1AA2"/>
    <w:rsid w:val="000C228F"/>
    <w:rsid w:val="000C495F"/>
    <w:rsid w:val="000C5A9F"/>
    <w:rsid w:val="000C65F6"/>
    <w:rsid w:val="000C7528"/>
    <w:rsid w:val="000C76C5"/>
    <w:rsid w:val="000C779D"/>
    <w:rsid w:val="000D055F"/>
    <w:rsid w:val="000D05DC"/>
    <w:rsid w:val="000D6E04"/>
    <w:rsid w:val="000D7487"/>
    <w:rsid w:val="000E07DF"/>
    <w:rsid w:val="000E46CC"/>
    <w:rsid w:val="000E6431"/>
    <w:rsid w:val="000E7DDB"/>
    <w:rsid w:val="000E7FEE"/>
    <w:rsid w:val="000F02B3"/>
    <w:rsid w:val="000F21A5"/>
    <w:rsid w:val="000F4272"/>
    <w:rsid w:val="000F503C"/>
    <w:rsid w:val="000F5561"/>
    <w:rsid w:val="000F698F"/>
    <w:rsid w:val="000F69D8"/>
    <w:rsid w:val="001003A6"/>
    <w:rsid w:val="00100477"/>
    <w:rsid w:val="00100AC2"/>
    <w:rsid w:val="00101398"/>
    <w:rsid w:val="00102949"/>
    <w:rsid w:val="00102B9F"/>
    <w:rsid w:val="00103857"/>
    <w:rsid w:val="00105B8B"/>
    <w:rsid w:val="00111E9F"/>
    <w:rsid w:val="00112637"/>
    <w:rsid w:val="00112ABC"/>
    <w:rsid w:val="0011597B"/>
    <w:rsid w:val="00115C94"/>
    <w:rsid w:val="001163E8"/>
    <w:rsid w:val="0012001E"/>
    <w:rsid w:val="00122DA6"/>
    <w:rsid w:val="0012445C"/>
    <w:rsid w:val="001251B7"/>
    <w:rsid w:val="00126115"/>
    <w:rsid w:val="00126A55"/>
    <w:rsid w:val="00130F5D"/>
    <w:rsid w:val="00133DD7"/>
    <w:rsid w:val="00133F08"/>
    <w:rsid w:val="001345E6"/>
    <w:rsid w:val="001378B0"/>
    <w:rsid w:val="0014163E"/>
    <w:rsid w:val="00142479"/>
    <w:rsid w:val="00142E00"/>
    <w:rsid w:val="00144403"/>
    <w:rsid w:val="001444B9"/>
    <w:rsid w:val="00144949"/>
    <w:rsid w:val="00144D83"/>
    <w:rsid w:val="00146C91"/>
    <w:rsid w:val="0015098A"/>
    <w:rsid w:val="00152793"/>
    <w:rsid w:val="00153B7E"/>
    <w:rsid w:val="00153C93"/>
    <w:rsid w:val="001545A9"/>
    <w:rsid w:val="001545FB"/>
    <w:rsid w:val="001601AF"/>
    <w:rsid w:val="001605B5"/>
    <w:rsid w:val="00163741"/>
    <w:rsid w:val="001637C7"/>
    <w:rsid w:val="0016480E"/>
    <w:rsid w:val="00165397"/>
    <w:rsid w:val="0016581E"/>
    <w:rsid w:val="00165C6B"/>
    <w:rsid w:val="00167CB0"/>
    <w:rsid w:val="00167D80"/>
    <w:rsid w:val="00173282"/>
    <w:rsid w:val="00174297"/>
    <w:rsid w:val="00175EE1"/>
    <w:rsid w:val="00176C07"/>
    <w:rsid w:val="0017750D"/>
    <w:rsid w:val="001775D8"/>
    <w:rsid w:val="00180E06"/>
    <w:rsid w:val="00181117"/>
    <w:rsid w:val="001817B3"/>
    <w:rsid w:val="001826AB"/>
    <w:rsid w:val="00183014"/>
    <w:rsid w:val="00183871"/>
    <w:rsid w:val="001845AF"/>
    <w:rsid w:val="0018472E"/>
    <w:rsid w:val="00185389"/>
    <w:rsid w:val="0018551D"/>
    <w:rsid w:val="00185C0B"/>
    <w:rsid w:val="001871EB"/>
    <w:rsid w:val="00187936"/>
    <w:rsid w:val="001922EE"/>
    <w:rsid w:val="00192CCE"/>
    <w:rsid w:val="00193926"/>
    <w:rsid w:val="00195087"/>
    <w:rsid w:val="001959C2"/>
    <w:rsid w:val="00196940"/>
    <w:rsid w:val="001A06C2"/>
    <w:rsid w:val="001A0C77"/>
    <w:rsid w:val="001A22FF"/>
    <w:rsid w:val="001A25BE"/>
    <w:rsid w:val="001A3EBC"/>
    <w:rsid w:val="001A51E3"/>
    <w:rsid w:val="001A7968"/>
    <w:rsid w:val="001B0629"/>
    <w:rsid w:val="001B2E98"/>
    <w:rsid w:val="001B2F1E"/>
    <w:rsid w:val="001B3483"/>
    <w:rsid w:val="001B3C1E"/>
    <w:rsid w:val="001B4494"/>
    <w:rsid w:val="001B5D90"/>
    <w:rsid w:val="001C0D8B"/>
    <w:rsid w:val="001C0DA8"/>
    <w:rsid w:val="001C4048"/>
    <w:rsid w:val="001C6753"/>
    <w:rsid w:val="001C7565"/>
    <w:rsid w:val="001D07D4"/>
    <w:rsid w:val="001D1209"/>
    <w:rsid w:val="001D1BCF"/>
    <w:rsid w:val="001D1E29"/>
    <w:rsid w:val="001D3C6B"/>
    <w:rsid w:val="001D4AD7"/>
    <w:rsid w:val="001D54F4"/>
    <w:rsid w:val="001D6307"/>
    <w:rsid w:val="001D73B2"/>
    <w:rsid w:val="001E0D8A"/>
    <w:rsid w:val="001E0F36"/>
    <w:rsid w:val="001E2E79"/>
    <w:rsid w:val="001E3391"/>
    <w:rsid w:val="001E4392"/>
    <w:rsid w:val="001E4834"/>
    <w:rsid w:val="001E601D"/>
    <w:rsid w:val="001E67BA"/>
    <w:rsid w:val="001E74C2"/>
    <w:rsid w:val="001E78B8"/>
    <w:rsid w:val="001E7F9C"/>
    <w:rsid w:val="001F06D7"/>
    <w:rsid w:val="001F0873"/>
    <w:rsid w:val="001F29FB"/>
    <w:rsid w:val="001F4F82"/>
    <w:rsid w:val="001F5A48"/>
    <w:rsid w:val="001F6260"/>
    <w:rsid w:val="001F7761"/>
    <w:rsid w:val="001F7889"/>
    <w:rsid w:val="00200007"/>
    <w:rsid w:val="00200AF3"/>
    <w:rsid w:val="00201A6E"/>
    <w:rsid w:val="002030A5"/>
    <w:rsid w:val="00203131"/>
    <w:rsid w:val="0020744E"/>
    <w:rsid w:val="00207847"/>
    <w:rsid w:val="00210FE2"/>
    <w:rsid w:val="00211129"/>
    <w:rsid w:val="002111F6"/>
    <w:rsid w:val="00212E88"/>
    <w:rsid w:val="002135E6"/>
    <w:rsid w:val="00213C9C"/>
    <w:rsid w:val="00214491"/>
    <w:rsid w:val="002156A0"/>
    <w:rsid w:val="00215B27"/>
    <w:rsid w:val="00217A9A"/>
    <w:rsid w:val="0022009E"/>
    <w:rsid w:val="00223241"/>
    <w:rsid w:val="0022425C"/>
    <w:rsid w:val="002246DE"/>
    <w:rsid w:val="002260D7"/>
    <w:rsid w:val="0022654D"/>
    <w:rsid w:val="00227A19"/>
    <w:rsid w:val="00227FCF"/>
    <w:rsid w:val="00233946"/>
    <w:rsid w:val="00233F94"/>
    <w:rsid w:val="002357A2"/>
    <w:rsid w:val="00236ECB"/>
    <w:rsid w:val="00241DFF"/>
    <w:rsid w:val="0024296D"/>
    <w:rsid w:val="0024320F"/>
    <w:rsid w:val="00244467"/>
    <w:rsid w:val="00244CF9"/>
    <w:rsid w:val="00245F58"/>
    <w:rsid w:val="00250541"/>
    <w:rsid w:val="002516B4"/>
    <w:rsid w:val="00252BC4"/>
    <w:rsid w:val="00254014"/>
    <w:rsid w:val="00254A84"/>
    <w:rsid w:val="00254B39"/>
    <w:rsid w:val="00257667"/>
    <w:rsid w:val="0025781F"/>
    <w:rsid w:val="00261406"/>
    <w:rsid w:val="002637C3"/>
    <w:rsid w:val="0026504D"/>
    <w:rsid w:val="002670DF"/>
    <w:rsid w:val="0026736D"/>
    <w:rsid w:val="00270309"/>
    <w:rsid w:val="00270525"/>
    <w:rsid w:val="002710ED"/>
    <w:rsid w:val="00271C09"/>
    <w:rsid w:val="00271D5A"/>
    <w:rsid w:val="00272BDB"/>
    <w:rsid w:val="00273A2F"/>
    <w:rsid w:val="002752FF"/>
    <w:rsid w:val="002770FE"/>
    <w:rsid w:val="0027741F"/>
    <w:rsid w:val="00277CFC"/>
    <w:rsid w:val="00280986"/>
    <w:rsid w:val="00281ECE"/>
    <w:rsid w:val="0028309C"/>
    <w:rsid w:val="002831C7"/>
    <w:rsid w:val="002840C6"/>
    <w:rsid w:val="00284A4B"/>
    <w:rsid w:val="00284C6B"/>
    <w:rsid w:val="00285434"/>
    <w:rsid w:val="00285CFB"/>
    <w:rsid w:val="00286BCA"/>
    <w:rsid w:val="0029003A"/>
    <w:rsid w:val="00292402"/>
    <w:rsid w:val="002947A5"/>
    <w:rsid w:val="00295174"/>
    <w:rsid w:val="00296172"/>
    <w:rsid w:val="0029680E"/>
    <w:rsid w:val="00296B92"/>
    <w:rsid w:val="002A0537"/>
    <w:rsid w:val="002A0935"/>
    <w:rsid w:val="002A2C22"/>
    <w:rsid w:val="002A434B"/>
    <w:rsid w:val="002A4A2D"/>
    <w:rsid w:val="002B02EB"/>
    <w:rsid w:val="002B6F01"/>
    <w:rsid w:val="002C0602"/>
    <w:rsid w:val="002C11C4"/>
    <w:rsid w:val="002C150B"/>
    <w:rsid w:val="002C2376"/>
    <w:rsid w:val="002C4798"/>
    <w:rsid w:val="002C486D"/>
    <w:rsid w:val="002C6CA6"/>
    <w:rsid w:val="002C706A"/>
    <w:rsid w:val="002C7745"/>
    <w:rsid w:val="002D06B9"/>
    <w:rsid w:val="002D295A"/>
    <w:rsid w:val="002D2DCF"/>
    <w:rsid w:val="002D4395"/>
    <w:rsid w:val="002D4C3C"/>
    <w:rsid w:val="002D5BDC"/>
    <w:rsid w:val="002D5C16"/>
    <w:rsid w:val="002D614F"/>
    <w:rsid w:val="002D7486"/>
    <w:rsid w:val="002D752A"/>
    <w:rsid w:val="002E1146"/>
    <w:rsid w:val="002E2DC8"/>
    <w:rsid w:val="002E3299"/>
    <w:rsid w:val="002E4F8B"/>
    <w:rsid w:val="002E5911"/>
    <w:rsid w:val="002E712D"/>
    <w:rsid w:val="002E7328"/>
    <w:rsid w:val="002F2476"/>
    <w:rsid w:val="002F3DFF"/>
    <w:rsid w:val="002F48DE"/>
    <w:rsid w:val="002F5E05"/>
    <w:rsid w:val="002F68FB"/>
    <w:rsid w:val="002F7353"/>
    <w:rsid w:val="002F7580"/>
    <w:rsid w:val="002F7C46"/>
    <w:rsid w:val="002F7DDC"/>
    <w:rsid w:val="00300581"/>
    <w:rsid w:val="00301433"/>
    <w:rsid w:val="003030F0"/>
    <w:rsid w:val="00303C44"/>
    <w:rsid w:val="003042CD"/>
    <w:rsid w:val="00307A76"/>
    <w:rsid w:val="00310320"/>
    <w:rsid w:val="00310B3F"/>
    <w:rsid w:val="0031219F"/>
    <w:rsid w:val="003146B6"/>
    <w:rsid w:val="00315934"/>
    <w:rsid w:val="00315A16"/>
    <w:rsid w:val="00317053"/>
    <w:rsid w:val="0031772F"/>
    <w:rsid w:val="00317ECC"/>
    <w:rsid w:val="0032109C"/>
    <w:rsid w:val="003221A9"/>
    <w:rsid w:val="00322B45"/>
    <w:rsid w:val="00323434"/>
    <w:rsid w:val="00323809"/>
    <w:rsid w:val="00323D41"/>
    <w:rsid w:val="00324664"/>
    <w:rsid w:val="00325414"/>
    <w:rsid w:val="00325E62"/>
    <w:rsid w:val="00326347"/>
    <w:rsid w:val="00327E7E"/>
    <w:rsid w:val="003302F1"/>
    <w:rsid w:val="00330490"/>
    <w:rsid w:val="00331283"/>
    <w:rsid w:val="00331E84"/>
    <w:rsid w:val="003324CF"/>
    <w:rsid w:val="0033251D"/>
    <w:rsid w:val="0033265F"/>
    <w:rsid w:val="003337AB"/>
    <w:rsid w:val="00334516"/>
    <w:rsid w:val="00334ABC"/>
    <w:rsid w:val="003350ED"/>
    <w:rsid w:val="00335849"/>
    <w:rsid w:val="00335A84"/>
    <w:rsid w:val="003366CB"/>
    <w:rsid w:val="00336FEC"/>
    <w:rsid w:val="00337DAA"/>
    <w:rsid w:val="00340642"/>
    <w:rsid w:val="00340D7B"/>
    <w:rsid w:val="0034119C"/>
    <w:rsid w:val="003413F2"/>
    <w:rsid w:val="00341595"/>
    <w:rsid w:val="00341C51"/>
    <w:rsid w:val="00341E25"/>
    <w:rsid w:val="003429D2"/>
    <w:rsid w:val="00343974"/>
    <w:rsid w:val="003445BA"/>
    <w:rsid w:val="0034470E"/>
    <w:rsid w:val="003456C2"/>
    <w:rsid w:val="00347589"/>
    <w:rsid w:val="00352DB0"/>
    <w:rsid w:val="00352EE1"/>
    <w:rsid w:val="00354F19"/>
    <w:rsid w:val="00356275"/>
    <w:rsid w:val="00361063"/>
    <w:rsid w:val="00361F6B"/>
    <w:rsid w:val="003647A2"/>
    <w:rsid w:val="003664DF"/>
    <w:rsid w:val="003665EB"/>
    <w:rsid w:val="003675C3"/>
    <w:rsid w:val="003701B9"/>
    <w:rsid w:val="003708BD"/>
    <w:rsid w:val="0037094A"/>
    <w:rsid w:val="00370AFC"/>
    <w:rsid w:val="00371510"/>
    <w:rsid w:val="00371ED3"/>
    <w:rsid w:val="00372FFC"/>
    <w:rsid w:val="003733F4"/>
    <w:rsid w:val="00373497"/>
    <w:rsid w:val="0037728A"/>
    <w:rsid w:val="0037765C"/>
    <w:rsid w:val="003805F3"/>
    <w:rsid w:val="0038094A"/>
    <w:rsid w:val="00380B7D"/>
    <w:rsid w:val="00380E8A"/>
    <w:rsid w:val="00381A99"/>
    <w:rsid w:val="003829C2"/>
    <w:rsid w:val="00382B86"/>
    <w:rsid w:val="00382FC7"/>
    <w:rsid w:val="003830B2"/>
    <w:rsid w:val="00383D3C"/>
    <w:rsid w:val="00384724"/>
    <w:rsid w:val="00385B89"/>
    <w:rsid w:val="00386484"/>
    <w:rsid w:val="00386932"/>
    <w:rsid w:val="003871CA"/>
    <w:rsid w:val="00387A7B"/>
    <w:rsid w:val="0039033A"/>
    <w:rsid w:val="003906F7"/>
    <w:rsid w:val="00390ECC"/>
    <w:rsid w:val="00391072"/>
    <w:rsid w:val="0039128C"/>
    <w:rsid w:val="003919B7"/>
    <w:rsid w:val="00391D57"/>
    <w:rsid w:val="00392292"/>
    <w:rsid w:val="0039251F"/>
    <w:rsid w:val="00392B3F"/>
    <w:rsid w:val="00394678"/>
    <w:rsid w:val="00394C3A"/>
    <w:rsid w:val="00394F45"/>
    <w:rsid w:val="00397C8F"/>
    <w:rsid w:val="003A0B2C"/>
    <w:rsid w:val="003A15EF"/>
    <w:rsid w:val="003A5296"/>
    <w:rsid w:val="003A5927"/>
    <w:rsid w:val="003A5BD1"/>
    <w:rsid w:val="003A72A5"/>
    <w:rsid w:val="003B1017"/>
    <w:rsid w:val="003B34B0"/>
    <w:rsid w:val="003B3A0C"/>
    <w:rsid w:val="003B3C07"/>
    <w:rsid w:val="003B6081"/>
    <w:rsid w:val="003B61A2"/>
    <w:rsid w:val="003B6775"/>
    <w:rsid w:val="003B78C4"/>
    <w:rsid w:val="003C0B3F"/>
    <w:rsid w:val="003C2807"/>
    <w:rsid w:val="003C30E2"/>
    <w:rsid w:val="003C3372"/>
    <w:rsid w:val="003C3BCB"/>
    <w:rsid w:val="003C4483"/>
    <w:rsid w:val="003C4F7D"/>
    <w:rsid w:val="003C4FAE"/>
    <w:rsid w:val="003C57B4"/>
    <w:rsid w:val="003C5B22"/>
    <w:rsid w:val="003C5CCA"/>
    <w:rsid w:val="003C5DC0"/>
    <w:rsid w:val="003C5FE2"/>
    <w:rsid w:val="003C64C0"/>
    <w:rsid w:val="003C6D20"/>
    <w:rsid w:val="003D05FB"/>
    <w:rsid w:val="003D0B49"/>
    <w:rsid w:val="003D1B16"/>
    <w:rsid w:val="003D2AB2"/>
    <w:rsid w:val="003D3C06"/>
    <w:rsid w:val="003D45BF"/>
    <w:rsid w:val="003D508A"/>
    <w:rsid w:val="003D52B4"/>
    <w:rsid w:val="003D537F"/>
    <w:rsid w:val="003D7B75"/>
    <w:rsid w:val="003D7C21"/>
    <w:rsid w:val="003D7F81"/>
    <w:rsid w:val="003E0208"/>
    <w:rsid w:val="003E2A77"/>
    <w:rsid w:val="003E4B57"/>
    <w:rsid w:val="003E5756"/>
    <w:rsid w:val="003F01CD"/>
    <w:rsid w:val="003F03D7"/>
    <w:rsid w:val="003F0AD9"/>
    <w:rsid w:val="003F27E1"/>
    <w:rsid w:val="003F30AD"/>
    <w:rsid w:val="003F346A"/>
    <w:rsid w:val="003F3B85"/>
    <w:rsid w:val="003F437A"/>
    <w:rsid w:val="003F5C2B"/>
    <w:rsid w:val="003F6020"/>
    <w:rsid w:val="003F655D"/>
    <w:rsid w:val="003F695F"/>
    <w:rsid w:val="003F6F28"/>
    <w:rsid w:val="003F7223"/>
    <w:rsid w:val="00402240"/>
    <w:rsid w:val="004023E9"/>
    <w:rsid w:val="004038BB"/>
    <w:rsid w:val="00403A02"/>
    <w:rsid w:val="0040454A"/>
    <w:rsid w:val="00404DE3"/>
    <w:rsid w:val="00406F7F"/>
    <w:rsid w:val="00407F72"/>
    <w:rsid w:val="0041039D"/>
    <w:rsid w:val="00411360"/>
    <w:rsid w:val="00413015"/>
    <w:rsid w:val="00413E7A"/>
    <w:rsid w:val="00413F83"/>
    <w:rsid w:val="0041490C"/>
    <w:rsid w:val="00415749"/>
    <w:rsid w:val="00416191"/>
    <w:rsid w:val="00416721"/>
    <w:rsid w:val="00417726"/>
    <w:rsid w:val="004212B5"/>
    <w:rsid w:val="00421EF0"/>
    <w:rsid w:val="004224FA"/>
    <w:rsid w:val="00423D07"/>
    <w:rsid w:val="00424524"/>
    <w:rsid w:val="00424D66"/>
    <w:rsid w:val="004253F4"/>
    <w:rsid w:val="00425E0A"/>
    <w:rsid w:val="00427936"/>
    <w:rsid w:val="00430C22"/>
    <w:rsid w:val="00430EBB"/>
    <w:rsid w:val="00431679"/>
    <w:rsid w:val="00432A30"/>
    <w:rsid w:val="00433C54"/>
    <w:rsid w:val="00434E5B"/>
    <w:rsid w:val="00437BFF"/>
    <w:rsid w:val="00440312"/>
    <w:rsid w:val="004419C0"/>
    <w:rsid w:val="00441FDF"/>
    <w:rsid w:val="00442817"/>
    <w:rsid w:val="00442FE7"/>
    <w:rsid w:val="0044346F"/>
    <w:rsid w:val="00443568"/>
    <w:rsid w:val="00444031"/>
    <w:rsid w:val="004443A0"/>
    <w:rsid w:val="00444A69"/>
    <w:rsid w:val="00446705"/>
    <w:rsid w:val="00446769"/>
    <w:rsid w:val="004472A8"/>
    <w:rsid w:val="00447909"/>
    <w:rsid w:val="0045034D"/>
    <w:rsid w:val="00453FF6"/>
    <w:rsid w:val="00460B5B"/>
    <w:rsid w:val="00460B97"/>
    <w:rsid w:val="004611CC"/>
    <w:rsid w:val="00461CE8"/>
    <w:rsid w:val="00461EE5"/>
    <w:rsid w:val="00461F91"/>
    <w:rsid w:val="004625E5"/>
    <w:rsid w:val="004628C6"/>
    <w:rsid w:val="00462C92"/>
    <w:rsid w:val="00464730"/>
    <w:rsid w:val="0046520A"/>
    <w:rsid w:val="00466976"/>
    <w:rsid w:val="004672AB"/>
    <w:rsid w:val="004700A1"/>
    <w:rsid w:val="004700B9"/>
    <w:rsid w:val="00470BED"/>
    <w:rsid w:val="004714FE"/>
    <w:rsid w:val="00471C94"/>
    <w:rsid w:val="00476791"/>
    <w:rsid w:val="00476A0F"/>
    <w:rsid w:val="00477BAA"/>
    <w:rsid w:val="00477D05"/>
    <w:rsid w:val="00480333"/>
    <w:rsid w:val="004808E9"/>
    <w:rsid w:val="004813F7"/>
    <w:rsid w:val="00481F19"/>
    <w:rsid w:val="00483275"/>
    <w:rsid w:val="004833E5"/>
    <w:rsid w:val="00483B5B"/>
    <w:rsid w:val="00485597"/>
    <w:rsid w:val="00487CF4"/>
    <w:rsid w:val="00490FA4"/>
    <w:rsid w:val="00491135"/>
    <w:rsid w:val="004918AB"/>
    <w:rsid w:val="0049344C"/>
    <w:rsid w:val="00495053"/>
    <w:rsid w:val="004956A1"/>
    <w:rsid w:val="004963C1"/>
    <w:rsid w:val="004A1B6E"/>
    <w:rsid w:val="004A1F59"/>
    <w:rsid w:val="004A201B"/>
    <w:rsid w:val="004A29BE"/>
    <w:rsid w:val="004A3225"/>
    <w:rsid w:val="004A33EE"/>
    <w:rsid w:val="004A3AA8"/>
    <w:rsid w:val="004A3B9E"/>
    <w:rsid w:val="004A3E8A"/>
    <w:rsid w:val="004A3FAD"/>
    <w:rsid w:val="004A4DF8"/>
    <w:rsid w:val="004A5DEA"/>
    <w:rsid w:val="004A6700"/>
    <w:rsid w:val="004A674E"/>
    <w:rsid w:val="004B0202"/>
    <w:rsid w:val="004B13C7"/>
    <w:rsid w:val="004B438A"/>
    <w:rsid w:val="004B48E5"/>
    <w:rsid w:val="004B4A00"/>
    <w:rsid w:val="004B6A0B"/>
    <w:rsid w:val="004B778F"/>
    <w:rsid w:val="004B7C8D"/>
    <w:rsid w:val="004C04B5"/>
    <w:rsid w:val="004C0609"/>
    <w:rsid w:val="004C25F6"/>
    <w:rsid w:val="004C264F"/>
    <w:rsid w:val="004C47D7"/>
    <w:rsid w:val="004C5543"/>
    <w:rsid w:val="004D084B"/>
    <w:rsid w:val="004D141F"/>
    <w:rsid w:val="004D2742"/>
    <w:rsid w:val="004D32AE"/>
    <w:rsid w:val="004D361A"/>
    <w:rsid w:val="004D36A8"/>
    <w:rsid w:val="004D48AA"/>
    <w:rsid w:val="004D6310"/>
    <w:rsid w:val="004D6DF8"/>
    <w:rsid w:val="004E0062"/>
    <w:rsid w:val="004E05A1"/>
    <w:rsid w:val="004E183A"/>
    <w:rsid w:val="004E2D73"/>
    <w:rsid w:val="004E331B"/>
    <w:rsid w:val="004E354F"/>
    <w:rsid w:val="004E42F6"/>
    <w:rsid w:val="004E5C29"/>
    <w:rsid w:val="004E6230"/>
    <w:rsid w:val="004E66EC"/>
    <w:rsid w:val="004E79B9"/>
    <w:rsid w:val="004F051E"/>
    <w:rsid w:val="004F08C9"/>
    <w:rsid w:val="004F289E"/>
    <w:rsid w:val="004F472A"/>
    <w:rsid w:val="004F5E57"/>
    <w:rsid w:val="004F6710"/>
    <w:rsid w:val="004F6796"/>
    <w:rsid w:val="004F78B7"/>
    <w:rsid w:val="00500097"/>
    <w:rsid w:val="00500C3E"/>
    <w:rsid w:val="00502849"/>
    <w:rsid w:val="00503222"/>
    <w:rsid w:val="00504334"/>
    <w:rsid w:val="0050477B"/>
    <w:rsid w:val="0050498D"/>
    <w:rsid w:val="005104D7"/>
    <w:rsid w:val="00510B9E"/>
    <w:rsid w:val="00512EF8"/>
    <w:rsid w:val="00513D75"/>
    <w:rsid w:val="00514F41"/>
    <w:rsid w:val="005160AC"/>
    <w:rsid w:val="00517D7D"/>
    <w:rsid w:val="005216EB"/>
    <w:rsid w:val="00523699"/>
    <w:rsid w:val="0052379E"/>
    <w:rsid w:val="00523B24"/>
    <w:rsid w:val="00523B7C"/>
    <w:rsid w:val="00525033"/>
    <w:rsid w:val="00526CB6"/>
    <w:rsid w:val="00527E84"/>
    <w:rsid w:val="005306B8"/>
    <w:rsid w:val="00532C0F"/>
    <w:rsid w:val="0053368B"/>
    <w:rsid w:val="00533DB7"/>
    <w:rsid w:val="0053401D"/>
    <w:rsid w:val="00535B98"/>
    <w:rsid w:val="00536BC2"/>
    <w:rsid w:val="00536C87"/>
    <w:rsid w:val="00537A04"/>
    <w:rsid w:val="005402B7"/>
    <w:rsid w:val="00540906"/>
    <w:rsid w:val="005425E1"/>
    <w:rsid w:val="005427C5"/>
    <w:rsid w:val="00542CF6"/>
    <w:rsid w:val="00545586"/>
    <w:rsid w:val="00545BF9"/>
    <w:rsid w:val="00545C66"/>
    <w:rsid w:val="005472F3"/>
    <w:rsid w:val="0054782B"/>
    <w:rsid w:val="005530B0"/>
    <w:rsid w:val="00553C03"/>
    <w:rsid w:val="00553EFE"/>
    <w:rsid w:val="005541B5"/>
    <w:rsid w:val="005558FF"/>
    <w:rsid w:val="0055615F"/>
    <w:rsid w:val="00557904"/>
    <w:rsid w:val="0056004D"/>
    <w:rsid w:val="00560A96"/>
    <w:rsid w:val="0056287D"/>
    <w:rsid w:val="00563692"/>
    <w:rsid w:val="005642C5"/>
    <w:rsid w:val="00564A2B"/>
    <w:rsid w:val="00566F42"/>
    <w:rsid w:val="00571679"/>
    <w:rsid w:val="00571AA1"/>
    <w:rsid w:val="005751F8"/>
    <w:rsid w:val="00577AE6"/>
    <w:rsid w:val="00577C94"/>
    <w:rsid w:val="00582823"/>
    <w:rsid w:val="005844E7"/>
    <w:rsid w:val="005849C9"/>
    <w:rsid w:val="00585201"/>
    <w:rsid w:val="00585239"/>
    <w:rsid w:val="00585848"/>
    <w:rsid w:val="005862F8"/>
    <w:rsid w:val="00586D32"/>
    <w:rsid w:val="005908B8"/>
    <w:rsid w:val="00591C3B"/>
    <w:rsid w:val="0059512E"/>
    <w:rsid w:val="00596934"/>
    <w:rsid w:val="005A05A2"/>
    <w:rsid w:val="005A11D0"/>
    <w:rsid w:val="005A34DD"/>
    <w:rsid w:val="005A3E06"/>
    <w:rsid w:val="005A43C8"/>
    <w:rsid w:val="005A6DD2"/>
    <w:rsid w:val="005A702F"/>
    <w:rsid w:val="005A770C"/>
    <w:rsid w:val="005B2111"/>
    <w:rsid w:val="005B24BE"/>
    <w:rsid w:val="005B5BFA"/>
    <w:rsid w:val="005B5DC2"/>
    <w:rsid w:val="005B628E"/>
    <w:rsid w:val="005B62B6"/>
    <w:rsid w:val="005B73C5"/>
    <w:rsid w:val="005C0F47"/>
    <w:rsid w:val="005C1EB8"/>
    <w:rsid w:val="005C3523"/>
    <w:rsid w:val="005C385D"/>
    <w:rsid w:val="005C404B"/>
    <w:rsid w:val="005C61FD"/>
    <w:rsid w:val="005C6530"/>
    <w:rsid w:val="005C684E"/>
    <w:rsid w:val="005C7BEC"/>
    <w:rsid w:val="005D05B3"/>
    <w:rsid w:val="005D2BB6"/>
    <w:rsid w:val="005D31D7"/>
    <w:rsid w:val="005D3B20"/>
    <w:rsid w:val="005D57A5"/>
    <w:rsid w:val="005D7F83"/>
    <w:rsid w:val="005E3106"/>
    <w:rsid w:val="005E41F9"/>
    <w:rsid w:val="005E4759"/>
    <w:rsid w:val="005E5A3F"/>
    <w:rsid w:val="005E5C68"/>
    <w:rsid w:val="005E65C0"/>
    <w:rsid w:val="005E68E5"/>
    <w:rsid w:val="005F0390"/>
    <w:rsid w:val="005F1FF5"/>
    <w:rsid w:val="005F2ADC"/>
    <w:rsid w:val="005F33A6"/>
    <w:rsid w:val="005F4ED5"/>
    <w:rsid w:val="005F529E"/>
    <w:rsid w:val="006005B7"/>
    <w:rsid w:val="00601E2A"/>
    <w:rsid w:val="00605019"/>
    <w:rsid w:val="00605554"/>
    <w:rsid w:val="00606AE6"/>
    <w:rsid w:val="00606E80"/>
    <w:rsid w:val="006072CD"/>
    <w:rsid w:val="00612023"/>
    <w:rsid w:val="006134C1"/>
    <w:rsid w:val="00613C54"/>
    <w:rsid w:val="00614190"/>
    <w:rsid w:val="006143F8"/>
    <w:rsid w:val="00614C5E"/>
    <w:rsid w:val="006158EB"/>
    <w:rsid w:val="00615F39"/>
    <w:rsid w:val="006166A6"/>
    <w:rsid w:val="00622A99"/>
    <w:rsid w:val="00622E67"/>
    <w:rsid w:val="0062445A"/>
    <w:rsid w:val="00625AB6"/>
    <w:rsid w:val="00626485"/>
    <w:rsid w:val="006269B4"/>
    <w:rsid w:val="00626B57"/>
    <w:rsid w:val="00626EDC"/>
    <w:rsid w:val="006310B8"/>
    <w:rsid w:val="006319D7"/>
    <w:rsid w:val="006331A4"/>
    <w:rsid w:val="0063589F"/>
    <w:rsid w:val="00636CF3"/>
    <w:rsid w:val="006376C0"/>
    <w:rsid w:val="0064063F"/>
    <w:rsid w:val="00642688"/>
    <w:rsid w:val="00642E6A"/>
    <w:rsid w:val="0064491F"/>
    <w:rsid w:val="00645132"/>
    <w:rsid w:val="006470EC"/>
    <w:rsid w:val="006525D2"/>
    <w:rsid w:val="00653C2F"/>
    <w:rsid w:val="006542D6"/>
    <w:rsid w:val="006556B1"/>
    <w:rsid w:val="0065598E"/>
    <w:rsid w:val="00655AF2"/>
    <w:rsid w:val="00655BC5"/>
    <w:rsid w:val="006568BE"/>
    <w:rsid w:val="00657F35"/>
    <w:rsid w:val="0066025D"/>
    <w:rsid w:val="0066091A"/>
    <w:rsid w:val="00660C56"/>
    <w:rsid w:val="006619AD"/>
    <w:rsid w:val="00662839"/>
    <w:rsid w:val="00663C95"/>
    <w:rsid w:val="006648C9"/>
    <w:rsid w:val="0066505A"/>
    <w:rsid w:val="00665259"/>
    <w:rsid w:val="006657C9"/>
    <w:rsid w:val="00665A7E"/>
    <w:rsid w:val="00666616"/>
    <w:rsid w:val="0066694B"/>
    <w:rsid w:val="00671FA5"/>
    <w:rsid w:val="00672155"/>
    <w:rsid w:val="00674DD8"/>
    <w:rsid w:val="006773EC"/>
    <w:rsid w:val="00677C62"/>
    <w:rsid w:val="00680504"/>
    <w:rsid w:val="00680CF8"/>
    <w:rsid w:val="00681492"/>
    <w:rsid w:val="00681CD9"/>
    <w:rsid w:val="006822CF"/>
    <w:rsid w:val="00682BED"/>
    <w:rsid w:val="006833C9"/>
    <w:rsid w:val="00683E30"/>
    <w:rsid w:val="00684AA1"/>
    <w:rsid w:val="00684C16"/>
    <w:rsid w:val="00685114"/>
    <w:rsid w:val="00687024"/>
    <w:rsid w:val="00687C65"/>
    <w:rsid w:val="006901F9"/>
    <w:rsid w:val="006926E2"/>
    <w:rsid w:val="00693109"/>
    <w:rsid w:val="00695295"/>
    <w:rsid w:val="00695E22"/>
    <w:rsid w:val="006965DF"/>
    <w:rsid w:val="006972AF"/>
    <w:rsid w:val="006A1881"/>
    <w:rsid w:val="006A1DD1"/>
    <w:rsid w:val="006A48FF"/>
    <w:rsid w:val="006A50F8"/>
    <w:rsid w:val="006A536C"/>
    <w:rsid w:val="006A567C"/>
    <w:rsid w:val="006A6839"/>
    <w:rsid w:val="006B075B"/>
    <w:rsid w:val="006B18AA"/>
    <w:rsid w:val="006B1EEF"/>
    <w:rsid w:val="006B7093"/>
    <w:rsid w:val="006B7417"/>
    <w:rsid w:val="006B7D7C"/>
    <w:rsid w:val="006C0A11"/>
    <w:rsid w:val="006C0AED"/>
    <w:rsid w:val="006C0C06"/>
    <w:rsid w:val="006C0D51"/>
    <w:rsid w:val="006C1279"/>
    <w:rsid w:val="006C18CE"/>
    <w:rsid w:val="006C1FBB"/>
    <w:rsid w:val="006C20FD"/>
    <w:rsid w:val="006C2B31"/>
    <w:rsid w:val="006C6B8A"/>
    <w:rsid w:val="006C7920"/>
    <w:rsid w:val="006D0B71"/>
    <w:rsid w:val="006D1339"/>
    <w:rsid w:val="006D264C"/>
    <w:rsid w:val="006D3691"/>
    <w:rsid w:val="006D3FAF"/>
    <w:rsid w:val="006D492F"/>
    <w:rsid w:val="006D6ABB"/>
    <w:rsid w:val="006D7451"/>
    <w:rsid w:val="006D784E"/>
    <w:rsid w:val="006E1D36"/>
    <w:rsid w:val="006E1EFE"/>
    <w:rsid w:val="006E2C31"/>
    <w:rsid w:val="006E545E"/>
    <w:rsid w:val="006E5555"/>
    <w:rsid w:val="006E5EF0"/>
    <w:rsid w:val="006E6D53"/>
    <w:rsid w:val="006F24FA"/>
    <w:rsid w:val="006F3563"/>
    <w:rsid w:val="006F42B9"/>
    <w:rsid w:val="006F443C"/>
    <w:rsid w:val="006F4D07"/>
    <w:rsid w:val="006F5C0C"/>
    <w:rsid w:val="006F6103"/>
    <w:rsid w:val="006F65A3"/>
    <w:rsid w:val="00700C81"/>
    <w:rsid w:val="0070335F"/>
    <w:rsid w:val="0070456A"/>
    <w:rsid w:val="00704E00"/>
    <w:rsid w:val="007053B7"/>
    <w:rsid w:val="00706073"/>
    <w:rsid w:val="00706A73"/>
    <w:rsid w:val="00706BEB"/>
    <w:rsid w:val="007071AA"/>
    <w:rsid w:val="00707F58"/>
    <w:rsid w:val="007127A2"/>
    <w:rsid w:val="007143FA"/>
    <w:rsid w:val="00715196"/>
    <w:rsid w:val="00715F1F"/>
    <w:rsid w:val="00716E10"/>
    <w:rsid w:val="00716F18"/>
    <w:rsid w:val="007209E7"/>
    <w:rsid w:val="007229A1"/>
    <w:rsid w:val="00723AA3"/>
    <w:rsid w:val="00723ACC"/>
    <w:rsid w:val="00726182"/>
    <w:rsid w:val="00726F8F"/>
    <w:rsid w:val="00727571"/>
    <w:rsid w:val="00727635"/>
    <w:rsid w:val="00730681"/>
    <w:rsid w:val="00730E8B"/>
    <w:rsid w:val="00731912"/>
    <w:rsid w:val="00732329"/>
    <w:rsid w:val="007337CA"/>
    <w:rsid w:val="00734B76"/>
    <w:rsid w:val="00734CE4"/>
    <w:rsid w:val="00734E1E"/>
    <w:rsid w:val="00735123"/>
    <w:rsid w:val="007373DB"/>
    <w:rsid w:val="00740C10"/>
    <w:rsid w:val="00740D11"/>
    <w:rsid w:val="00741837"/>
    <w:rsid w:val="00742A39"/>
    <w:rsid w:val="00744852"/>
    <w:rsid w:val="007453E6"/>
    <w:rsid w:val="00746093"/>
    <w:rsid w:val="0074754E"/>
    <w:rsid w:val="00750CDE"/>
    <w:rsid w:val="00751ACF"/>
    <w:rsid w:val="00753243"/>
    <w:rsid w:val="00753B62"/>
    <w:rsid w:val="00756612"/>
    <w:rsid w:val="00757797"/>
    <w:rsid w:val="00761444"/>
    <w:rsid w:val="007634E8"/>
    <w:rsid w:val="007646BA"/>
    <w:rsid w:val="00766C87"/>
    <w:rsid w:val="00766FDC"/>
    <w:rsid w:val="007729A7"/>
    <w:rsid w:val="0077309D"/>
    <w:rsid w:val="007739F6"/>
    <w:rsid w:val="007757B6"/>
    <w:rsid w:val="0077690D"/>
    <w:rsid w:val="00776D4A"/>
    <w:rsid w:val="007774EE"/>
    <w:rsid w:val="00777998"/>
    <w:rsid w:val="00781822"/>
    <w:rsid w:val="0078196B"/>
    <w:rsid w:val="007825DD"/>
    <w:rsid w:val="00782D87"/>
    <w:rsid w:val="0078335D"/>
    <w:rsid w:val="007834A4"/>
    <w:rsid w:val="00783F21"/>
    <w:rsid w:val="007840A8"/>
    <w:rsid w:val="00785971"/>
    <w:rsid w:val="00785F57"/>
    <w:rsid w:val="00786B33"/>
    <w:rsid w:val="00787159"/>
    <w:rsid w:val="00787F77"/>
    <w:rsid w:val="0079043A"/>
    <w:rsid w:val="00791668"/>
    <w:rsid w:val="00791AA1"/>
    <w:rsid w:val="00791D2F"/>
    <w:rsid w:val="00793655"/>
    <w:rsid w:val="007941F5"/>
    <w:rsid w:val="0079663B"/>
    <w:rsid w:val="007A193E"/>
    <w:rsid w:val="007A1F1E"/>
    <w:rsid w:val="007A1FAD"/>
    <w:rsid w:val="007A3793"/>
    <w:rsid w:val="007A5798"/>
    <w:rsid w:val="007A57A2"/>
    <w:rsid w:val="007A62DD"/>
    <w:rsid w:val="007A6D38"/>
    <w:rsid w:val="007A6E71"/>
    <w:rsid w:val="007A73F2"/>
    <w:rsid w:val="007B004D"/>
    <w:rsid w:val="007B0BEE"/>
    <w:rsid w:val="007B1893"/>
    <w:rsid w:val="007B2B25"/>
    <w:rsid w:val="007B4269"/>
    <w:rsid w:val="007B4987"/>
    <w:rsid w:val="007B57C2"/>
    <w:rsid w:val="007B72A8"/>
    <w:rsid w:val="007C02F2"/>
    <w:rsid w:val="007C1BA2"/>
    <w:rsid w:val="007C2B48"/>
    <w:rsid w:val="007C32FF"/>
    <w:rsid w:val="007C4BAD"/>
    <w:rsid w:val="007C4E82"/>
    <w:rsid w:val="007C61B0"/>
    <w:rsid w:val="007C622E"/>
    <w:rsid w:val="007C69E4"/>
    <w:rsid w:val="007C7594"/>
    <w:rsid w:val="007C7CB0"/>
    <w:rsid w:val="007D00A0"/>
    <w:rsid w:val="007D1123"/>
    <w:rsid w:val="007D1207"/>
    <w:rsid w:val="007D20E9"/>
    <w:rsid w:val="007D3DF4"/>
    <w:rsid w:val="007D3F9F"/>
    <w:rsid w:val="007D5AEE"/>
    <w:rsid w:val="007D5D9F"/>
    <w:rsid w:val="007D5E64"/>
    <w:rsid w:val="007D6ED2"/>
    <w:rsid w:val="007D7683"/>
    <w:rsid w:val="007D7755"/>
    <w:rsid w:val="007D7881"/>
    <w:rsid w:val="007D7E3A"/>
    <w:rsid w:val="007E0290"/>
    <w:rsid w:val="007E0E10"/>
    <w:rsid w:val="007E1055"/>
    <w:rsid w:val="007E3CA2"/>
    <w:rsid w:val="007E4768"/>
    <w:rsid w:val="007E4863"/>
    <w:rsid w:val="007E59A1"/>
    <w:rsid w:val="007E5CDA"/>
    <w:rsid w:val="007E64C7"/>
    <w:rsid w:val="007E777B"/>
    <w:rsid w:val="007F0A45"/>
    <w:rsid w:val="007F0BD1"/>
    <w:rsid w:val="007F2070"/>
    <w:rsid w:val="007F6E30"/>
    <w:rsid w:val="007F6E83"/>
    <w:rsid w:val="007F72BF"/>
    <w:rsid w:val="00800A35"/>
    <w:rsid w:val="008017B8"/>
    <w:rsid w:val="008022FB"/>
    <w:rsid w:val="00804E1B"/>
    <w:rsid w:val="008050E9"/>
    <w:rsid w:val="008053F5"/>
    <w:rsid w:val="00805EA2"/>
    <w:rsid w:val="008066AA"/>
    <w:rsid w:val="00806CE5"/>
    <w:rsid w:val="00806F20"/>
    <w:rsid w:val="00807AF7"/>
    <w:rsid w:val="00807C93"/>
    <w:rsid w:val="00810198"/>
    <w:rsid w:val="008122E8"/>
    <w:rsid w:val="008149DF"/>
    <w:rsid w:val="00815DA8"/>
    <w:rsid w:val="00815F37"/>
    <w:rsid w:val="00817316"/>
    <w:rsid w:val="00817D79"/>
    <w:rsid w:val="00817ED9"/>
    <w:rsid w:val="008204CD"/>
    <w:rsid w:val="008214CA"/>
    <w:rsid w:val="0082194D"/>
    <w:rsid w:val="00822012"/>
    <w:rsid w:val="008221F9"/>
    <w:rsid w:val="00824EC8"/>
    <w:rsid w:val="00825162"/>
    <w:rsid w:val="00825702"/>
    <w:rsid w:val="00826333"/>
    <w:rsid w:val="00826EF5"/>
    <w:rsid w:val="008312D5"/>
    <w:rsid w:val="00831693"/>
    <w:rsid w:val="00835460"/>
    <w:rsid w:val="00837617"/>
    <w:rsid w:val="00837C78"/>
    <w:rsid w:val="00840104"/>
    <w:rsid w:val="00840C1F"/>
    <w:rsid w:val="00841FC5"/>
    <w:rsid w:val="008450D0"/>
    <w:rsid w:val="00845709"/>
    <w:rsid w:val="00847C47"/>
    <w:rsid w:val="00850556"/>
    <w:rsid w:val="0085639D"/>
    <w:rsid w:val="008570C6"/>
    <w:rsid w:val="0085729E"/>
    <w:rsid w:val="008576BD"/>
    <w:rsid w:val="00857954"/>
    <w:rsid w:val="00860463"/>
    <w:rsid w:val="00860905"/>
    <w:rsid w:val="00862611"/>
    <w:rsid w:val="00864818"/>
    <w:rsid w:val="008666EA"/>
    <w:rsid w:val="00870405"/>
    <w:rsid w:val="00870BC6"/>
    <w:rsid w:val="008733DA"/>
    <w:rsid w:val="00873C40"/>
    <w:rsid w:val="00874193"/>
    <w:rsid w:val="0087567C"/>
    <w:rsid w:val="00877288"/>
    <w:rsid w:val="008772A6"/>
    <w:rsid w:val="00880316"/>
    <w:rsid w:val="00882F55"/>
    <w:rsid w:val="008833A4"/>
    <w:rsid w:val="0088349B"/>
    <w:rsid w:val="0088366C"/>
    <w:rsid w:val="008850E4"/>
    <w:rsid w:val="00886AEA"/>
    <w:rsid w:val="00886C76"/>
    <w:rsid w:val="00887938"/>
    <w:rsid w:val="008912D0"/>
    <w:rsid w:val="008939AB"/>
    <w:rsid w:val="00893B34"/>
    <w:rsid w:val="00894F02"/>
    <w:rsid w:val="0089629F"/>
    <w:rsid w:val="00896AF6"/>
    <w:rsid w:val="008974E6"/>
    <w:rsid w:val="00897532"/>
    <w:rsid w:val="00897CDB"/>
    <w:rsid w:val="008A12B3"/>
    <w:rsid w:val="008A12F5"/>
    <w:rsid w:val="008A14E1"/>
    <w:rsid w:val="008A15D6"/>
    <w:rsid w:val="008A5E9E"/>
    <w:rsid w:val="008A66CA"/>
    <w:rsid w:val="008A7A34"/>
    <w:rsid w:val="008A7B98"/>
    <w:rsid w:val="008A7CFD"/>
    <w:rsid w:val="008B1587"/>
    <w:rsid w:val="008B1B01"/>
    <w:rsid w:val="008B3BCD"/>
    <w:rsid w:val="008B3E07"/>
    <w:rsid w:val="008B6DF8"/>
    <w:rsid w:val="008C106C"/>
    <w:rsid w:val="008C10F1"/>
    <w:rsid w:val="008C1926"/>
    <w:rsid w:val="008C1E99"/>
    <w:rsid w:val="008C2601"/>
    <w:rsid w:val="008C2DE1"/>
    <w:rsid w:val="008C3094"/>
    <w:rsid w:val="008C38BC"/>
    <w:rsid w:val="008C3F58"/>
    <w:rsid w:val="008C4A8F"/>
    <w:rsid w:val="008C5125"/>
    <w:rsid w:val="008C69BE"/>
    <w:rsid w:val="008C70A2"/>
    <w:rsid w:val="008C786C"/>
    <w:rsid w:val="008D222A"/>
    <w:rsid w:val="008D50EC"/>
    <w:rsid w:val="008D7992"/>
    <w:rsid w:val="008E0085"/>
    <w:rsid w:val="008E18DC"/>
    <w:rsid w:val="008E2AA6"/>
    <w:rsid w:val="008E311B"/>
    <w:rsid w:val="008E61BD"/>
    <w:rsid w:val="008F034B"/>
    <w:rsid w:val="008F084F"/>
    <w:rsid w:val="008F3A16"/>
    <w:rsid w:val="008F3C7A"/>
    <w:rsid w:val="008F46E7"/>
    <w:rsid w:val="008F5F52"/>
    <w:rsid w:val="008F66DC"/>
    <w:rsid w:val="008F6F0B"/>
    <w:rsid w:val="0090197F"/>
    <w:rsid w:val="0090327D"/>
    <w:rsid w:val="00903CCB"/>
    <w:rsid w:val="00905650"/>
    <w:rsid w:val="009079DE"/>
    <w:rsid w:val="00907BA7"/>
    <w:rsid w:val="0091064E"/>
    <w:rsid w:val="00911FC5"/>
    <w:rsid w:val="00912F7A"/>
    <w:rsid w:val="00913EE0"/>
    <w:rsid w:val="00914F2C"/>
    <w:rsid w:val="00917C5A"/>
    <w:rsid w:val="0092247A"/>
    <w:rsid w:val="00923FED"/>
    <w:rsid w:val="009271F6"/>
    <w:rsid w:val="00930667"/>
    <w:rsid w:val="00931953"/>
    <w:rsid w:val="00931A10"/>
    <w:rsid w:val="0093214C"/>
    <w:rsid w:val="00934BA6"/>
    <w:rsid w:val="00935571"/>
    <w:rsid w:val="009377F5"/>
    <w:rsid w:val="009419B3"/>
    <w:rsid w:val="009424AA"/>
    <w:rsid w:val="009424D5"/>
    <w:rsid w:val="00943CA6"/>
    <w:rsid w:val="00946788"/>
    <w:rsid w:val="00947967"/>
    <w:rsid w:val="009502A4"/>
    <w:rsid w:val="00950EF8"/>
    <w:rsid w:val="009510D6"/>
    <w:rsid w:val="00951CEC"/>
    <w:rsid w:val="00952BAA"/>
    <w:rsid w:val="00952D25"/>
    <w:rsid w:val="009535CA"/>
    <w:rsid w:val="00954351"/>
    <w:rsid w:val="00955201"/>
    <w:rsid w:val="009561EB"/>
    <w:rsid w:val="00956303"/>
    <w:rsid w:val="00961BFE"/>
    <w:rsid w:val="009627EB"/>
    <w:rsid w:val="00962934"/>
    <w:rsid w:val="00965200"/>
    <w:rsid w:val="009668B3"/>
    <w:rsid w:val="00967AEF"/>
    <w:rsid w:val="00967B07"/>
    <w:rsid w:val="009701BB"/>
    <w:rsid w:val="00970E61"/>
    <w:rsid w:val="00971471"/>
    <w:rsid w:val="00972204"/>
    <w:rsid w:val="00972D1F"/>
    <w:rsid w:val="009735A8"/>
    <w:rsid w:val="00974620"/>
    <w:rsid w:val="00975F2A"/>
    <w:rsid w:val="009771D4"/>
    <w:rsid w:val="009777BE"/>
    <w:rsid w:val="00977D4B"/>
    <w:rsid w:val="009827E8"/>
    <w:rsid w:val="00982A3D"/>
    <w:rsid w:val="009840D5"/>
    <w:rsid w:val="00984271"/>
    <w:rsid w:val="009843AD"/>
    <w:rsid w:val="00984815"/>
    <w:rsid w:val="009849C2"/>
    <w:rsid w:val="00984D24"/>
    <w:rsid w:val="00984FAF"/>
    <w:rsid w:val="009858EB"/>
    <w:rsid w:val="009874F6"/>
    <w:rsid w:val="00990CF4"/>
    <w:rsid w:val="00991892"/>
    <w:rsid w:val="00991D03"/>
    <w:rsid w:val="009A0901"/>
    <w:rsid w:val="009A0BB8"/>
    <w:rsid w:val="009A12C9"/>
    <w:rsid w:val="009A17F2"/>
    <w:rsid w:val="009A38BE"/>
    <w:rsid w:val="009A3F47"/>
    <w:rsid w:val="009A4B37"/>
    <w:rsid w:val="009A4FEA"/>
    <w:rsid w:val="009A74C0"/>
    <w:rsid w:val="009A7A97"/>
    <w:rsid w:val="009B0046"/>
    <w:rsid w:val="009B6C28"/>
    <w:rsid w:val="009B7264"/>
    <w:rsid w:val="009C1440"/>
    <w:rsid w:val="009C2107"/>
    <w:rsid w:val="009C4A99"/>
    <w:rsid w:val="009C4F85"/>
    <w:rsid w:val="009C5D9E"/>
    <w:rsid w:val="009D1903"/>
    <w:rsid w:val="009D1AC7"/>
    <w:rsid w:val="009D243B"/>
    <w:rsid w:val="009D2C3E"/>
    <w:rsid w:val="009D2E76"/>
    <w:rsid w:val="009D4DD3"/>
    <w:rsid w:val="009D56D7"/>
    <w:rsid w:val="009E0625"/>
    <w:rsid w:val="009E106F"/>
    <w:rsid w:val="009E1FC4"/>
    <w:rsid w:val="009E2C68"/>
    <w:rsid w:val="009E3034"/>
    <w:rsid w:val="009E376D"/>
    <w:rsid w:val="009E549F"/>
    <w:rsid w:val="009E55C0"/>
    <w:rsid w:val="009E65AB"/>
    <w:rsid w:val="009E7701"/>
    <w:rsid w:val="009F0ABD"/>
    <w:rsid w:val="009F28A8"/>
    <w:rsid w:val="009F4389"/>
    <w:rsid w:val="009F473E"/>
    <w:rsid w:val="009F682A"/>
    <w:rsid w:val="009F7569"/>
    <w:rsid w:val="00A011E2"/>
    <w:rsid w:val="00A022BE"/>
    <w:rsid w:val="00A060CD"/>
    <w:rsid w:val="00A06C01"/>
    <w:rsid w:val="00A07000"/>
    <w:rsid w:val="00A07B06"/>
    <w:rsid w:val="00A07B4B"/>
    <w:rsid w:val="00A106D0"/>
    <w:rsid w:val="00A107CD"/>
    <w:rsid w:val="00A12F8E"/>
    <w:rsid w:val="00A13424"/>
    <w:rsid w:val="00A140FB"/>
    <w:rsid w:val="00A14125"/>
    <w:rsid w:val="00A15787"/>
    <w:rsid w:val="00A17F7D"/>
    <w:rsid w:val="00A20DB2"/>
    <w:rsid w:val="00A2107E"/>
    <w:rsid w:val="00A21EA1"/>
    <w:rsid w:val="00A22A9C"/>
    <w:rsid w:val="00A22E69"/>
    <w:rsid w:val="00A235B7"/>
    <w:rsid w:val="00A23820"/>
    <w:rsid w:val="00A245D0"/>
    <w:rsid w:val="00A24C95"/>
    <w:rsid w:val="00A2599A"/>
    <w:rsid w:val="00A26094"/>
    <w:rsid w:val="00A2698D"/>
    <w:rsid w:val="00A273EF"/>
    <w:rsid w:val="00A301BF"/>
    <w:rsid w:val="00A302B2"/>
    <w:rsid w:val="00A329E0"/>
    <w:rsid w:val="00A32E5A"/>
    <w:rsid w:val="00A331B4"/>
    <w:rsid w:val="00A335AC"/>
    <w:rsid w:val="00A3484E"/>
    <w:rsid w:val="00A34A26"/>
    <w:rsid w:val="00A356D3"/>
    <w:rsid w:val="00A36690"/>
    <w:rsid w:val="00A36ADA"/>
    <w:rsid w:val="00A4128A"/>
    <w:rsid w:val="00A41CB1"/>
    <w:rsid w:val="00A42F76"/>
    <w:rsid w:val="00A438D8"/>
    <w:rsid w:val="00A43D62"/>
    <w:rsid w:val="00A44E69"/>
    <w:rsid w:val="00A46B2E"/>
    <w:rsid w:val="00A473F5"/>
    <w:rsid w:val="00A47C1F"/>
    <w:rsid w:val="00A50182"/>
    <w:rsid w:val="00A50C7A"/>
    <w:rsid w:val="00A5170A"/>
    <w:rsid w:val="00A51CFF"/>
    <w:rsid w:val="00A51F9D"/>
    <w:rsid w:val="00A5363E"/>
    <w:rsid w:val="00A5416A"/>
    <w:rsid w:val="00A544BD"/>
    <w:rsid w:val="00A57292"/>
    <w:rsid w:val="00A57F60"/>
    <w:rsid w:val="00A60CE3"/>
    <w:rsid w:val="00A639F4"/>
    <w:rsid w:val="00A657C6"/>
    <w:rsid w:val="00A658CF"/>
    <w:rsid w:val="00A675DA"/>
    <w:rsid w:val="00A70409"/>
    <w:rsid w:val="00A70BC0"/>
    <w:rsid w:val="00A70DB4"/>
    <w:rsid w:val="00A71F3C"/>
    <w:rsid w:val="00A73EA7"/>
    <w:rsid w:val="00A74585"/>
    <w:rsid w:val="00A74BA3"/>
    <w:rsid w:val="00A808A4"/>
    <w:rsid w:val="00A81A32"/>
    <w:rsid w:val="00A81E18"/>
    <w:rsid w:val="00A8312F"/>
    <w:rsid w:val="00A835BD"/>
    <w:rsid w:val="00A83868"/>
    <w:rsid w:val="00A8412E"/>
    <w:rsid w:val="00A85F15"/>
    <w:rsid w:val="00A87245"/>
    <w:rsid w:val="00A911AB"/>
    <w:rsid w:val="00A91A1A"/>
    <w:rsid w:val="00A93EB5"/>
    <w:rsid w:val="00A96496"/>
    <w:rsid w:val="00A96E68"/>
    <w:rsid w:val="00A97B15"/>
    <w:rsid w:val="00AA0837"/>
    <w:rsid w:val="00AA1C91"/>
    <w:rsid w:val="00AA2E56"/>
    <w:rsid w:val="00AA2FBA"/>
    <w:rsid w:val="00AA42D5"/>
    <w:rsid w:val="00AA45D8"/>
    <w:rsid w:val="00AA539F"/>
    <w:rsid w:val="00AA590C"/>
    <w:rsid w:val="00AA59E6"/>
    <w:rsid w:val="00AA59F3"/>
    <w:rsid w:val="00AA5EC2"/>
    <w:rsid w:val="00AA624C"/>
    <w:rsid w:val="00AB1A78"/>
    <w:rsid w:val="00AB23DC"/>
    <w:rsid w:val="00AB2FAB"/>
    <w:rsid w:val="00AB41AE"/>
    <w:rsid w:val="00AB5C14"/>
    <w:rsid w:val="00AB6601"/>
    <w:rsid w:val="00AC1EE7"/>
    <w:rsid w:val="00AC2738"/>
    <w:rsid w:val="00AC333F"/>
    <w:rsid w:val="00AC3D9A"/>
    <w:rsid w:val="00AC3F9F"/>
    <w:rsid w:val="00AC52CA"/>
    <w:rsid w:val="00AC585C"/>
    <w:rsid w:val="00AD1925"/>
    <w:rsid w:val="00AD1C84"/>
    <w:rsid w:val="00AD243A"/>
    <w:rsid w:val="00AD3FAE"/>
    <w:rsid w:val="00AD45F8"/>
    <w:rsid w:val="00AD6020"/>
    <w:rsid w:val="00AE067D"/>
    <w:rsid w:val="00AE0D8F"/>
    <w:rsid w:val="00AE3B10"/>
    <w:rsid w:val="00AE54B1"/>
    <w:rsid w:val="00AE7894"/>
    <w:rsid w:val="00AF1084"/>
    <w:rsid w:val="00AF1181"/>
    <w:rsid w:val="00AF12A8"/>
    <w:rsid w:val="00AF1EA5"/>
    <w:rsid w:val="00AF2F79"/>
    <w:rsid w:val="00AF4653"/>
    <w:rsid w:val="00AF5F9D"/>
    <w:rsid w:val="00AF7DB7"/>
    <w:rsid w:val="00B02E7E"/>
    <w:rsid w:val="00B03A25"/>
    <w:rsid w:val="00B06B7F"/>
    <w:rsid w:val="00B0702C"/>
    <w:rsid w:val="00B103FD"/>
    <w:rsid w:val="00B10D02"/>
    <w:rsid w:val="00B12BDE"/>
    <w:rsid w:val="00B1505D"/>
    <w:rsid w:val="00B15BD9"/>
    <w:rsid w:val="00B16EB5"/>
    <w:rsid w:val="00B16EE7"/>
    <w:rsid w:val="00B201E2"/>
    <w:rsid w:val="00B21680"/>
    <w:rsid w:val="00B2274A"/>
    <w:rsid w:val="00B22B26"/>
    <w:rsid w:val="00B237CF"/>
    <w:rsid w:val="00B2479C"/>
    <w:rsid w:val="00B3102E"/>
    <w:rsid w:val="00B31267"/>
    <w:rsid w:val="00B31BA9"/>
    <w:rsid w:val="00B31E03"/>
    <w:rsid w:val="00B32881"/>
    <w:rsid w:val="00B33E6E"/>
    <w:rsid w:val="00B33F3F"/>
    <w:rsid w:val="00B35CB7"/>
    <w:rsid w:val="00B36C07"/>
    <w:rsid w:val="00B37649"/>
    <w:rsid w:val="00B411BC"/>
    <w:rsid w:val="00B41DF7"/>
    <w:rsid w:val="00B443E4"/>
    <w:rsid w:val="00B459CF"/>
    <w:rsid w:val="00B4730E"/>
    <w:rsid w:val="00B47A6B"/>
    <w:rsid w:val="00B5024A"/>
    <w:rsid w:val="00B504B0"/>
    <w:rsid w:val="00B5300E"/>
    <w:rsid w:val="00B5484D"/>
    <w:rsid w:val="00B563EA"/>
    <w:rsid w:val="00B56CDF"/>
    <w:rsid w:val="00B57B81"/>
    <w:rsid w:val="00B60E51"/>
    <w:rsid w:val="00B6132F"/>
    <w:rsid w:val="00B63A54"/>
    <w:rsid w:val="00B70842"/>
    <w:rsid w:val="00B708EE"/>
    <w:rsid w:val="00B7186D"/>
    <w:rsid w:val="00B748B0"/>
    <w:rsid w:val="00B74924"/>
    <w:rsid w:val="00B76F80"/>
    <w:rsid w:val="00B77D18"/>
    <w:rsid w:val="00B8044B"/>
    <w:rsid w:val="00B82189"/>
    <w:rsid w:val="00B8313A"/>
    <w:rsid w:val="00B834EE"/>
    <w:rsid w:val="00B86257"/>
    <w:rsid w:val="00B874DB"/>
    <w:rsid w:val="00B90833"/>
    <w:rsid w:val="00B91331"/>
    <w:rsid w:val="00B93503"/>
    <w:rsid w:val="00B94819"/>
    <w:rsid w:val="00B950B3"/>
    <w:rsid w:val="00B965FD"/>
    <w:rsid w:val="00B96BA5"/>
    <w:rsid w:val="00B9742E"/>
    <w:rsid w:val="00BA1CC5"/>
    <w:rsid w:val="00BA2ED0"/>
    <w:rsid w:val="00BA31E8"/>
    <w:rsid w:val="00BA496B"/>
    <w:rsid w:val="00BA4D51"/>
    <w:rsid w:val="00BA55E0"/>
    <w:rsid w:val="00BA5C95"/>
    <w:rsid w:val="00BA6BD4"/>
    <w:rsid w:val="00BA6C7A"/>
    <w:rsid w:val="00BA73D2"/>
    <w:rsid w:val="00BA7731"/>
    <w:rsid w:val="00BA7F60"/>
    <w:rsid w:val="00BB0B2F"/>
    <w:rsid w:val="00BB17D1"/>
    <w:rsid w:val="00BB3752"/>
    <w:rsid w:val="00BB46A7"/>
    <w:rsid w:val="00BB4AEA"/>
    <w:rsid w:val="00BB50E5"/>
    <w:rsid w:val="00BB6688"/>
    <w:rsid w:val="00BC26D4"/>
    <w:rsid w:val="00BC2ACF"/>
    <w:rsid w:val="00BC4BB5"/>
    <w:rsid w:val="00BC6547"/>
    <w:rsid w:val="00BD01CC"/>
    <w:rsid w:val="00BD15D1"/>
    <w:rsid w:val="00BD2034"/>
    <w:rsid w:val="00BD262A"/>
    <w:rsid w:val="00BD3208"/>
    <w:rsid w:val="00BD41E4"/>
    <w:rsid w:val="00BE08A2"/>
    <w:rsid w:val="00BE0C80"/>
    <w:rsid w:val="00BE1524"/>
    <w:rsid w:val="00BE1CE7"/>
    <w:rsid w:val="00BE2928"/>
    <w:rsid w:val="00BE48E7"/>
    <w:rsid w:val="00BE550B"/>
    <w:rsid w:val="00BE5D70"/>
    <w:rsid w:val="00BE68D9"/>
    <w:rsid w:val="00BF1A77"/>
    <w:rsid w:val="00BF20C0"/>
    <w:rsid w:val="00BF2A42"/>
    <w:rsid w:val="00BF2B6E"/>
    <w:rsid w:val="00BF2E91"/>
    <w:rsid w:val="00BF3B72"/>
    <w:rsid w:val="00BF43A8"/>
    <w:rsid w:val="00BF53D2"/>
    <w:rsid w:val="00BF68F4"/>
    <w:rsid w:val="00BF79B0"/>
    <w:rsid w:val="00C03384"/>
    <w:rsid w:val="00C03D8C"/>
    <w:rsid w:val="00C05465"/>
    <w:rsid w:val="00C055EC"/>
    <w:rsid w:val="00C05F10"/>
    <w:rsid w:val="00C06D99"/>
    <w:rsid w:val="00C10DC9"/>
    <w:rsid w:val="00C10F0F"/>
    <w:rsid w:val="00C119C9"/>
    <w:rsid w:val="00C12FB3"/>
    <w:rsid w:val="00C13CE6"/>
    <w:rsid w:val="00C15079"/>
    <w:rsid w:val="00C15814"/>
    <w:rsid w:val="00C160FE"/>
    <w:rsid w:val="00C161AA"/>
    <w:rsid w:val="00C17341"/>
    <w:rsid w:val="00C20404"/>
    <w:rsid w:val="00C207C8"/>
    <w:rsid w:val="00C214F5"/>
    <w:rsid w:val="00C24EEF"/>
    <w:rsid w:val="00C24FCF"/>
    <w:rsid w:val="00C25CF6"/>
    <w:rsid w:val="00C268C5"/>
    <w:rsid w:val="00C269F9"/>
    <w:rsid w:val="00C26C36"/>
    <w:rsid w:val="00C30020"/>
    <w:rsid w:val="00C30421"/>
    <w:rsid w:val="00C3088B"/>
    <w:rsid w:val="00C308F8"/>
    <w:rsid w:val="00C30E8A"/>
    <w:rsid w:val="00C31316"/>
    <w:rsid w:val="00C314B8"/>
    <w:rsid w:val="00C32768"/>
    <w:rsid w:val="00C378E2"/>
    <w:rsid w:val="00C37B55"/>
    <w:rsid w:val="00C42E6B"/>
    <w:rsid w:val="00C431DF"/>
    <w:rsid w:val="00C4404E"/>
    <w:rsid w:val="00C4429B"/>
    <w:rsid w:val="00C447CB"/>
    <w:rsid w:val="00C456BD"/>
    <w:rsid w:val="00C46EF8"/>
    <w:rsid w:val="00C479A8"/>
    <w:rsid w:val="00C503C5"/>
    <w:rsid w:val="00C5056E"/>
    <w:rsid w:val="00C518DE"/>
    <w:rsid w:val="00C520C0"/>
    <w:rsid w:val="00C530DC"/>
    <w:rsid w:val="00C5350D"/>
    <w:rsid w:val="00C536AA"/>
    <w:rsid w:val="00C53CDC"/>
    <w:rsid w:val="00C54926"/>
    <w:rsid w:val="00C55C89"/>
    <w:rsid w:val="00C571EA"/>
    <w:rsid w:val="00C6123C"/>
    <w:rsid w:val="00C61528"/>
    <w:rsid w:val="00C6311A"/>
    <w:rsid w:val="00C637C3"/>
    <w:rsid w:val="00C6774D"/>
    <w:rsid w:val="00C679E5"/>
    <w:rsid w:val="00C7084D"/>
    <w:rsid w:val="00C70C9B"/>
    <w:rsid w:val="00C71362"/>
    <w:rsid w:val="00C724F2"/>
    <w:rsid w:val="00C7315E"/>
    <w:rsid w:val="00C74B8E"/>
    <w:rsid w:val="00C74D40"/>
    <w:rsid w:val="00C75446"/>
    <w:rsid w:val="00C75895"/>
    <w:rsid w:val="00C771CA"/>
    <w:rsid w:val="00C773F2"/>
    <w:rsid w:val="00C778F7"/>
    <w:rsid w:val="00C80223"/>
    <w:rsid w:val="00C802DA"/>
    <w:rsid w:val="00C827F9"/>
    <w:rsid w:val="00C83C9F"/>
    <w:rsid w:val="00C8420F"/>
    <w:rsid w:val="00C86265"/>
    <w:rsid w:val="00C87569"/>
    <w:rsid w:val="00C900D1"/>
    <w:rsid w:val="00C92A03"/>
    <w:rsid w:val="00C94840"/>
    <w:rsid w:val="00C94C70"/>
    <w:rsid w:val="00C968DF"/>
    <w:rsid w:val="00C96FD1"/>
    <w:rsid w:val="00C970B0"/>
    <w:rsid w:val="00C97B2F"/>
    <w:rsid w:val="00CA0059"/>
    <w:rsid w:val="00CA02D9"/>
    <w:rsid w:val="00CA1C6F"/>
    <w:rsid w:val="00CA3A32"/>
    <w:rsid w:val="00CA4EE3"/>
    <w:rsid w:val="00CA7E37"/>
    <w:rsid w:val="00CB024C"/>
    <w:rsid w:val="00CB027F"/>
    <w:rsid w:val="00CB0E0F"/>
    <w:rsid w:val="00CB3802"/>
    <w:rsid w:val="00CB3DA2"/>
    <w:rsid w:val="00CB466A"/>
    <w:rsid w:val="00CC0EBB"/>
    <w:rsid w:val="00CC16F7"/>
    <w:rsid w:val="00CC2242"/>
    <w:rsid w:val="00CC2B38"/>
    <w:rsid w:val="00CC515A"/>
    <w:rsid w:val="00CC5AE1"/>
    <w:rsid w:val="00CC6033"/>
    <w:rsid w:val="00CC6297"/>
    <w:rsid w:val="00CC7469"/>
    <w:rsid w:val="00CC7690"/>
    <w:rsid w:val="00CD1986"/>
    <w:rsid w:val="00CD2967"/>
    <w:rsid w:val="00CD4085"/>
    <w:rsid w:val="00CD4173"/>
    <w:rsid w:val="00CD5321"/>
    <w:rsid w:val="00CD54BF"/>
    <w:rsid w:val="00CD6F31"/>
    <w:rsid w:val="00CE12EB"/>
    <w:rsid w:val="00CE23D0"/>
    <w:rsid w:val="00CE3A82"/>
    <w:rsid w:val="00CE4C75"/>
    <w:rsid w:val="00CE4CE2"/>
    <w:rsid w:val="00CE4D5C"/>
    <w:rsid w:val="00CE552C"/>
    <w:rsid w:val="00CE5CB7"/>
    <w:rsid w:val="00CE6E08"/>
    <w:rsid w:val="00CF05DA"/>
    <w:rsid w:val="00CF0B73"/>
    <w:rsid w:val="00CF42DE"/>
    <w:rsid w:val="00CF45DB"/>
    <w:rsid w:val="00CF5850"/>
    <w:rsid w:val="00CF58EB"/>
    <w:rsid w:val="00CF62EE"/>
    <w:rsid w:val="00CF6FEC"/>
    <w:rsid w:val="00CF7429"/>
    <w:rsid w:val="00D0064F"/>
    <w:rsid w:val="00D0106E"/>
    <w:rsid w:val="00D03E68"/>
    <w:rsid w:val="00D0554D"/>
    <w:rsid w:val="00D06202"/>
    <w:rsid w:val="00D06383"/>
    <w:rsid w:val="00D069E2"/>
    <w:rsid w:val="00D077DA"/>
    <w:rsid w:val="00D107B7"/>
    <w:rsid w:val="00D10DAA"/>
    <w:rsid w:val="00D11827"/>
    <w:rsid w:val="00D12785"/>
    <w:rsid w:val="00D141E4"/>
    <w:rsid w:val="00D14708"/>
    <w:rsid w:val="00D17400"/>
    <w:rsid w:val="00D20E85"/>
    <w:rsid w:val="00D234A4"/>
    <w:rsid w:val="00D24051"/>
    <w:rsid w:val="00D2432F"/>
    <w:rsid w:val="00D2457D"/>
    <w:rsid w:val="00D24615"/>
    <w:rsid w:val="00D27348"/>
    <w:rsid w:val="00D27E4E"/>
    <w:rsid w:val="00D31358"/>
    <w:rsid w:val="00D32FBF"/>
    <w:rsid w:val="00D331B6"/>
    <w:rsid w:val="00D374AE"/>
    <w:rsid w:val="00D37842"/>
    <w:rsid w:val="00D40CDB"/>
    <w:rsid w:val="00D41F5C"/>
    <w:rsid w:val="00D42DC2"/>
    <w:rsid w:val="00D4302B"/>
    <w:rsid w:val="00D44A17"/>
    <w:rsid w:val="00D50AF0"/>
    <w:rsid w:val="00D52678"/>
    <w:rsid w:val="00D536D3"/>
    <w:rsid w:val="00D537E1"/>
    <w:rsid w:val="00D53B32"/>
    <w:rsid w:val="00D53F15"/>
    <w:rsid w:val="00D551B1"/>
    <w:rsid w:val="00D5579A"/>
    <w:rsid w:val="00D55BB2"/>
    <w:rsid w:val="00D6091A"/>
    <w:rsid w:val="00D62346"/>
    <w:rsid w:val="00D62433"/>
    <w:rsid w:val="00D63175"/>
    <w:rsid w:val="00D63D4B"/>
    <w:rsid w:val="00D650B9"/>
    <w:rsid w:val="00D6540E"/>
    <w:rsid w:val="00D65EDA"/>
    <w:rsid w:val="00D6605A"/>
    <w:rsid w:val="00D6695F"/>
    <w:rsid w:val="00D674E9"/>
    <w:rsid w:val="00D71171"/>
    <w:rsid w:val="00D71BB3"/>
    <w:rsid w:val="00D72B5B"/>
    <w:rsid w:val="00D73B0A"/>
    <w:rsid w:val="00D74EEB"/>
    <w:rsid w:val="00D75644"/>
    <w:rsid w:val="00D774CE"/>
    <w:rsid w:val="00D805F1"/>
    <w:rsid w:val="00D80D4F"/>
    <w:rsid w:val="00D81656"/>
    <w:rsid w:val="00D822FE"/>
    <w:rsid w:val="00D82B47"/>
    <w:rsid w:val="00D83D87"/>
    <w:rsid w:val="00D84A6D"/>
    <w:rsid w:val="00D84EAB"/>
    <w:rsid w:val="00D8676D"/>
    <w:rsid w:val="00D86A30"/>
    <w:rsid w:val="00D86B1D"/>
    <w:rsid w:val="00D902F1"/>
    <w:rsid w:val="00D92725"/>
    <w:rsid w:val="00D928C5"/>
    <w:rsid w:val="00D93554"/>
    <w:rsid w:val="00D94690"/>
    <w:rsid w:val="00D947FE"/>
    <w:rsid w:val="00D94C68"/>
    <w:rsid w:val="00D95A23"/>
    <w:rsid w:val="00D95A2D"/>
    <w:rsid w:val="00D95E21"/>
    <w:rsid w:val="00D97A8F"/>
    <w:rsid w:val="00D97CB4"/>
    <w:rsid w:val="00D97DD4"/>
    <w:rsid w:val="00DA08E1"/>
    <w:rsid w:val="00DA2883"/>
    <w:rsid w:val="00DA305F"/>
    <w:rsid w:val="00DA32C3"/>
    <w:rsid w:val="00DA3840"/>
    <w:rsid w:val="00DA4273"/>
    <w:rsid w:val="00DA485D"/>
    <w:rsid w:val="00DA5109"/>
    <w:rsid w:val="00DA572A"/>
    <w:rsid w:val="00DA5A8A"/>
    <w:rsid w:val="00DB0D21"/>
    <w:rsid w:val="00DB0F9E"/>
    <w:rsid w:val="00DB1170"/>
    <w:rsid w:val="00DB26CD"/>
    <w:rsid w:val="00DB32DB"/>
    <w:rsid w:val="00DB441C"/>
    <w:rsid w:val="00DB44AF"/>
    <w:rsid w:val="00DB4803"/>
    <w:rsid w:val="00DB53D5"/>
    <w:rsid w:val="00DB7E45"/>
    <w:rsid w:val="00DC126D"/>
    <w:rsid w:val="00DC1B35"/>
    <w:rsid w:val="00DC1F58"/>
    <w:rsid w:val="00DC339B"/>
    <w:rsid w:val="00DC3EA2"/>
    <w:rsid w:val="00DC5D40"/>
    <w:rsid w:val="00DC600A"/>
    <w:rsid w:val="00DC69A7"/>
    <w:rsid w:val="00DC6A2C"/>
    <w:rsid w:val="00DC7C52"/>
    <w:rsid w:val="00DD1E1B"/>
    <w:rsid w:val="00DD2F3F"/>
    <w:rsid w:val="00DD30E9"/>
    <w:rsid w:val="00DD41C4"/>
    <w:rsid w:val="00DD4F47"/>
    <w:rsid w:val="00DD62A1"/>
    <w:rsid w:val="00DD645E"/>
    <w:rsid w:val="00DD7FBB"/>
    <w:rsid w:val="00DE0B9F"/>
    <w:rsid w:val="00DE1E85"/>
    <w:rsid w:val="00DE28BB"/>
    <w:rsid w:val="00DE2A9E"/>
    <w:rsid w:val="00DE4238"/>
    <w:rsid w:val="00DE657F"/>
    <w:rsid w:val="00DE746E"/>
    <w:rsid w:val="00DF08AF"/>
    <w:rsid w:val="00DF1218"/>
    <w:rsid w:val="00DF2D56"/>
    <w:rsid w:val="00DF348C"/>
    <w:rsid w:val="00DF36D8"/>
    <w:rsid w:val="00DF3B13"/>
    <w:rsid w:val="00DF59DA"/>
    <w:rsid w:val="00DF645B"/>
    <w:rsid w:val="00DF6462"/>
    <w:rsid w:val="00DF6C25"/>
    <w:rsid w:val="00DF6DC5"/>
    <w:rsid w:val="00E02FA0"/>
    <w:rsid w:val="00E036DC"/>
    <w:rsid w:val="00E04F70"/>
    <w:rsid w:val="00E050F9"/>
    <w:rsid w:val="00E07B34"/>
    <w:rsid w:val="00E10454"/>
    <w:rsid w:val="00E1098E"/>
    <w:rsid w:val="00E112E5"/>
    <w:rsid w:val="00E1173C"/>
    <w:rsid w:val="00E11793"/>
    <w:rsid w:val="00E1219B"/>
    <w:rsid w:val="00E122D8"/>
    <w:rsid w:val="00E125E0"/>
    <w:rsid w:val="00E12CC8"/>
    <w:rsid w:val="00E12D4C"/>
    <w:rsid w:val="00E138D0"/>
    <w:rsid w:val="00E13C16"/>
    <w:rsid w:val="00E14D43"/>
    <w:rsid w:val="00E14DF6"/>
    <w:rsid w:val="00E15352"/>
    <w:rsid w:val="00E217EE"/>
    <w:rsid w:val="00E21CC7"/>
    <w:rsid w:val="00E243E6"/>
    <w:rsid w:val="00E24737"/>
    <w:rsid w:val="00E24D9E"/>
    <w:rsid w:val="00E2562F"/>
    <w:rsid w:val="00E25849"/>
    <w:rsid w:val="00E26252"/>
    <w:rsid w:val="00E26B32"/>
    <w:rsid w:val="00E26E98"/>
    <w:rsid w:val="00E305EB"/>
    <w:rsid w:val="00E316AD"/>
    <w:rsid w:val="00E3197E"/>
    <w:rsid w:val="00E342F8"/>
    <w:rsid w:val="00E351ED"/>
    <w:rsid w:val="00E35421"/>
    <w:rsid w:val="00E40594"/>
    <w:rsid w:val="00E43449"/>
    <w:rsid w:val="00E45DDA"/>
    <w:rsid w:val="00E45E8D"/>
    <w:rsid w:val="00E473D8"/>
    <w:rsid w:val="00E47EB9"/>
    <w:rsid w:val="00E51C84"/>
    <w:rsid w:val="00E52595"/>
    <w:rsid w:val="00E52D66"/>
    <w:rsid w:val="00E53C89"/>
    <w:rsid w:val="00E53CE6"/>
    <w:rsid w:val="00E54530"/>
    <w:rsid w:val="00E6034B"/>
    <w:rsid w:val="00E6144C"/>
    <w:rsid w:val="00E6517A"/>
    <w:rsid w:val="00E6549E"/>
    <w:rsid w:val="00E65EDE"/>
    <w:rsid w:val="00E6731A"/>
    <w:rsid w:val="00E6798B"/>
    <w:rsid w:val="00E67AF4"/>
    <w:rsid w:val="00E70F81"/>
    <w:rsid w:val="00E754DA"/>
    <w:rsid w:val="00E762C6"/>
    <w:rsid w:val="00E769F5"/>
    <w:rsid w:val="00E77055"/>
    <w:rsid w:val="00E7715A"/>
    <w:rsid w:val="00E77460"/>
    <w:rsid w:val="00E81AE3"/>
    <w:rsid w:val="00E83ABC"/>
    <w:rsid w:val="00E844F2"/>
    <w:rsid w:val="00E84622"/>
    <w:rsid w:val="00E8483D"/>
    <w:rsid w:val="00E8749E"/>
    <w:rsid w:val="00E90AD0"/>
    <w:rsid w:val="00E91C5B"/>
    <w:rsid w:val="00E92206"/>
    <w:rsid w:val="00E922F6"/>
    <w:rsid w:val="00E9298F"/>
    <w:rsid w:val="00E92FAF"/>
    <w:rsid w:val="00E92FCB"/>
    <w:rsid w:val="00E939EC"/>
    <w:rsid w:val="00E952CE"/>
    <w:rsid w:val="00E97026"/>
    <w:rsid w:val="00EA0CDA"/>
    <w:rsid w:val="00EA147F"/>
    <w:rsid w:val="00EA260F"/>
    <w:rsid w:val="00EA2B01"/>
    <w:rsid w:val="00EA34FD"/>
    <w:rsid w:val="00EA4A27"/>
    <w:rsid w:val="00EA4FA6"/>
    <w:rsid w:val="00EB0220"/>
    <w:rsid w:val="00EB0A22"/>
    <w:rsid w:val="00EB1A25"/>
    <w:rsid w:val="00EB1E75"/>
    <w:rsid w:val="00EB4450"/>
    <w:rsid w:val="00EB5A48"/>
    <w:rsid w:val="00EC1677"/>
    <w:rsid w:val="00EC7363"/>
    <w:rsid w:val="00ED03AB"/>
    <w:rsid w:val="00ED05BE"/>
    <w:rsid w:val="00ED1963"/>
    <w:rsid w:val="00ED1CD4"/>
    <w:rsid w:val="00ED1D2B"/>
    <w:rsid w:val="00ED2BDE"/>
    <w:rsid w:val="00ED37B5"/>
    <w:rsid w:val="00ED3919"/>
    <w:rsid w:val="00ED44F6"/>
    <w:rsid w:val="00ED4894"/>
    <w:rsid w:val="00ED55CA"/>
    <w:rsid w:val="00ED57FF"/>
    <w:rsid w:val="00ED64B5"/>
    <w:rsid w:val="00ED7795"/>
    <w:rsid w:val="00EE0578"/>
    <w:rsid w:val="00EE0810"/>
    <w:rsid w:val="00EE399E"/>
    <w:rsid w:val="00EE5FA0"/>
    <w:rsid w:val="00EE76D0"/>
    <w:rsid w:val="00EE7C66"/>
    <w:rsid w:val="00EE7CCA"/>
    <w:rsid w:val="00EF20D3"/>
    <w:rsid w:val="00EF3395"/>
    <w:rsid w:val="00EF5166"/>
    <w:rsid w:val="00EF5480"/>
    <w:rsid w:val="00EF6DE7"/>
    <w:rsid w:val="00F0317B"/>
    <w:rsid w:val="00F0386B"/>
    <w:rsid w:val="00F04B7F"/>
    <w:rsid w:val="00F07AD4"/>
    <w:rsid w:val="00F07ED2"/>
    <w:rsid w:val="00F11999"/>
    <w:rsid w:val="00F126A2"/>
    <w:rsid w:val="00F14EDE"/>
    <w:rsid w:val="00F150B4"/>
    <w:rsid w:val="00F16A14"/>
    <w:rsid w:val="00F20204"/>
    <w:rsid w:val="00F21176"/>
    <w:rsid w:val="00F21354"/>
    <w:rsid w:val="00F261AF"/>
    <w:rsid w:val="00F26438"/>
    <w:rsid w:val="00F2668E"/>
    <w:rsid w:val="00F26B2C"/>
    <w:rsid w:val="00F26B49"/>
    <w:rsid w:val="00F26DAB"/>
    <w:rsid w:val="00F32245"/>
    <w:rsid w:val="00F3292B"/>
    <w:rsid w:val="00F32A68"/>
    <w:rsid w:val="00F3342C"/>
    <w:rsid w:val="00F3363F"/>
    <w:rsid w:val="00F339E2"/>
    <w:rsid w:val="00F342F7"/>
    <w:rsid w:val="00F35FD2"/>
    <w:rsid w:val="00F362D7"/>
    <w:rsid w:val="00F37D7B"/>
    <w:rsid w:val="00F402A3"/>
    <w:rsid w:val="00F409BA"/>
    <w:rsid w:val="00F41868"/>
    <w:rsid w:val="00F41C81"/>
    <w:rsid w:val="00F4213F"/>
    <w:rsid w:val="00F4350A"/>
    <w:rsid w:val="00F444F6"/>
    <w:rsid w:val="00F44A32"/>
    <w:rsid w:val="00F45102"/>
    <w:rsid w:val="00F4595C"/>
    <w:rsid w:val="00F467B7"/>
    <w:rsid w:val="00F46A85"/>
    <w:rsid w:val="00F50EAC"/>
    <w:rsid w:val="00F511D8"/>
    <w:rsid w:val="00F514FB"/>
    <w:rsid w:val="00F5177C"/>
    <w:rsid w:val="00F518DF"/>
    <w:rsid w:val="00F5199E"/>
    <w:rsid w:val="00F52CAC"/>
    <w:rsid w:val="00F5314C"/>
    <w:rsid w:val="00F53A3B"/>
    <w:rsid w:val="00F548DD"/>
    <w:rsid w:val="00F54964"/>
    <w:rsid w:val="00F54D95"/>
    <w:rsid w:val="00F55B38"/>
    <w:rsid w:val="00F5688C"/>
    <w:rsid w:val="00F56DB0"/>
    <w:rsid w:val="00F5759B"/>
    <w:rsid w:val="00F57E7C"/>
    <w:rsid w:val="00F60048"/>
    <w:rsid w:val="00F61229"/>
    <w:rsid w:val="00F635DD"/>
    <w:rsid w:val="00F63D4B"/>
    <w:rsid w:val="00F65946"/>
    <w:rsid w:val="00F6627B"/>
    <w:rsid w:val="00F66478"/>
    <w:rsid w:val="00F67AB6"/>
    <w:rsid w:val="00F70280"/>
    <w:rsid w:val="00F70EF1"/>
    <w:rsid w:val="00F71288"/>
    <w:rsid w:val="00F72B37"/>
    <w:rsid w:val="00F7336E"/>
    <w:rsid w:val="00F734F2"/>
    <w:rsid w:val="00F73A66"/>
    <w:rsid w:val="00F7473C"/>
    <w:rsid w:val="00F7487B"/>
    <w:rsid w:val="00F75052"/>
    <w:rsid w:val="00F75B5F"/>
    <w:rsid w:val="00F76326"/>
    <w:rsid w:val="00F77CCD"/>
    <w:rsid w:val="00F80422"/>
    <w:rsid w:val="00F804D3"/>
    <w:rsid w:val="00F816CB"/>
    <w:rsid w:val="00F8170F"/>
    <w:rsid w:val="00F81C2A"/>
    <w:rsid w:val="00F81C49"/>
    <w:rsid w:val="00F81CA6"/>
    <w:rsid w:val="00F81CD2"/>
    <w:rsid w:val="00F820EB"/>
    <w:rsid w:val="00F82641"/>
    <w:rsid w:val="00F839EF"/>
    <w:rsid w:val="00F847BF"/>
    <w:rsid w:val="00F853EE"/>
    <w:rsid w:val="00F87BA0"/>
    <w:rsid w:val="00F90F18"/>
    <w:rsid w:val="00F92EAD"/>
    <w:rsid w:val="00F937E4"/>
    <w:rsid w:val="00F94C73"/>
    <w:rsid w:val="00F9543B"/>
    <w:rsid w:val="00F955D8"/>
    <w:rsid w:val="00F95EE7"/>
    <w:rsid w:val="00FA0313"/>
    <w:rsid w:val="00FA0D87"/>
    <w:rsid w:val="00FA0FA0"/>
    <w:rsid w:val="00FA21E9"/>
    <w:rsid w:val="00FA309F"/>
    <w:rsid w:val="00FA39E6"/>
    <w:rsid w:val="00FA4E1E"/>
    <w:rsid w:val="00FA529D"/>
    <w:rsid w:val="00FA5BAA"/>
    <w:rsid w:val="00FA6871"/>
    <w:rsid w:val="00FA7A5A"/>
    <w:rsid w:val="00FA7BC9"/>
    <w:rsid w:val="00FB1078"/>
    <w:rsid w:val="00FB1AFF"/>
    <w:rsid w:val="00FB2C4C"/>
    <w:rsid w:val="00FB378E"/>
    <w:rsid w:val="00FB37F1"/>
    <w:rsid w:val="00FB47C0"/>
    <w:rsid w:val="00FB501B"/>
    <w:rsid w:val="00FB575A"/>
    <w:rsid w:val="00FB7770"/>
    <w:rsid w:val="00FC29D3"/>
    <w:rsid w:val="00FC3413"/>
    <w:rsid w:val="00FC7049"/>
    <w:rsid w:val="00FC7942"/>
    <w:rsid w:val="00FC7A00"/>
    <w:rsid w:val="00FD0BAC"/>
    <w:rsid w:val="00FD1B74"/>
    <w:rsid w:val="00FD2369"/>
    <w:rsid w:val="00FD35F1"/>
    <w:rsid w:val="00FD3B91"/>
    <w:rsid w:val="00FD541D"/>
    <w:rsid w:val="00FD576B"/>
    <w:rsid w:val="00FD579E"/>
    <w:rsid w:val="00FD6845"/>
    <w:rsid w:val="00FD74A8"/>
    <w:rsid w:val="00FD7D69"/>
    <w:rsid w:val="00FE26F9"/>
    <w:rsid w:val="00FE2B20"/>
    <w:rsid w:val="00FE30E4"/>
    <w:rsid w:val="00FE35D9"/>
    <w:rsid w:val="00FE4516"/>
    <w:rsid w:val="00FE4B94"/>
    <w:rsid w:val="00FE4BB4"/>
    <w:rsid w:val="00FE64C8"/>
    <w:rsid w:val="00FE737A"/>
    <w:rsid w:val="00FE7FA0"/>
    <w:rsid w:val="00FF0315"/>
    <w:rsid w:val="00FF0503"/>
    <w:rsid w:val="00FF14EB"/>
    <w:rsid w:val="00FF1620"/>
    <w:rsid w:val="00FF18FC"/>
    <w:rsid w:val="00FF2C09"/>
    <w:rsid w:val="00FF359D"/>
    <w:rsid w:val="00FF3CBB"/>
    <w:rsid w:val="00FF4C16"/>
    <w:rsid w:val="00FF5B66"/>
    <w:rsid w:val="00FF7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A3AE33-F64D-468D-8944-2B75CB2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4128A"/>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385B89"/>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Cambria" w:eastAsia="新細明體" w:hAnsi="Cambria"/>
      <w:sz w:val="18"/>
      <w:szCs w:val="18"/>
    </w:rPr>
  </w:style>
  <w:style w:type="character" w:customStyle="1" w:styleId="afb">
    <w:name w:val="註解方塊文字 字元"/>
    <w:link w:val="afa"/>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d">
    <w:name w:val="純文字 字元"/>
    <w:link w:val="afc"/>
    <w:uiPriority w:val="99"/>
    <w:semiHidden/>
    <w:rsid w:val="004F472A"/>
    <w:rPr>
      <w:rFonts w:ascii="Calibri" w:eastAsia="標楷體" w:hAnsi="Courier New" w:cs="Courier New"/>
      <w:color w:val="244061"/>
      <w:sz w:val="28"/>
      <w:szCs w:val="24"/>
    </w:rPr>
  </w:style>
  <w:style w:type="paragraph" w:styleId="afe">
    <w:name w:val="footnote text"/>
    <w:basedOn w:val="a6"/>
    <w:link w:val="aff"/>
    <w:uiPriority w:val="99"/>
    <w:unhideWhenUsed/>
    <w:rsid w:val="006310B8"/>
    <w:pPr>
      <w:snapToGrid w:val="0"/>
      <w:jc w:val="left"/>
    </w:pPr>
    <w:rPr>
      <w:sz w:val="20"/>
    </w:rPr>
  </w:style>
  <w:style w:type="character" w:customStyle="1" w:styleId="aff">
    <w:name w:val="註腳文字 字元"/>
    <w:link w:val="afe"/>
    <w:uiPriority w:val="99"/>
    <w:rsid w:val="006310B8"/>
    <w:rPr>
      <w:rFonts w:ascii="標楷體" w:eastAsia="標楷體"/>
      <w:kern w:val="2"/>
    </w:rPr>
  </w:style>
  <w:style w:type="character" w:styleId="aff0">
    <w:name w:val="footnote reference"/>
    <w:uiPriority w:val="99"/>
    <w:semiHidden/>
    <w:unhideWhenUsed/>
    <w:rsid w:val="006310B8"/>
    <w:rPr>
      <w:vertAlign w:val="superscript"/>
    </w:rPr>
  </w:style>
  <w:style w:type="character" w:styleId="aff1">
    <w:name w:val="FollowedHyperlink"/>
    <w:uiPriority w:val="99"/>
    <w:semiHidden/>
    <w:unhideWhenUsed/>
    <w:rsid w:val="00144949"/>
    <w:rPr>
      <w:color w:val="800080"/>
      <w:u w:val="single"/>
    </w:rPr>
  </w:style>
  <w:style w:type="character" w:customStyle="1" w:styleId="af5">
    <w:name w:val="頁尾 字元"/>
    <w:link w:val="af4"/>
    <w:uiPriority w:val="99"/>
    <w:rsid w:val="006E545E"/>
    <w:rPr>
      <w:rFonts w:ascii="標楷體" w:eastAsia="標楷體"/>
      <w:kern w:val="2"/>
    </w:rPr>
  </w:style>
  <w:style w:type="character" w:customStyle="1" w:styleId="ac">
    <w:name w:val="章節附註文字 字元"/>
    <w:link w:val="ab"/>
    <w:semiHidden/>
    <w:rsid w:val="00591C3B"/>
    <w:rPr>
      <w:rFonts w:ascii="標楷體" w:eastAsia="標楷體"/>
      <w:snapToGrid w:val="0"/>
      <w:spacing w:val="10"/>
      <w:kern w:val="2"/>
      <w:sz w:val="32"/>
    </w:rPr>
  </w:style>
  <w:style w:type="character" w:customStyle="1" w:styleId="20">
    <w:name w:val="標題 2 字元"/>
    <w:link w:val="2"/>
    <w:rsid w:val="00E769F5"/>
    <w:rPr>
      <w:rFonts w:ascii="標楷體" w:eastAsia="標楷體" w:hAnsi="Arial"/>
      <w:bCs/>
      <w:kern w:val="32"/>
      <w:sz w:val="32"/>
      <w:szCs w:val="48"/>
    </w:rPr>
  </w:style>
  <w:style w:type="character" w:customStyle="1" w:styleId="30">
    <w:name w:val="標題 3 字元"/>
    <w:link w:val="3"/>
    <w:rsid w:val="00E769F5"/>
    <w:rPr>
      <w:rFonts w:ascii="標楷體" w:eastAsia="標楷體" w:hAnsi="Arial"/>
      <w:bCs/>
      <w:kern w:val="32"/>
      <w:sz w:val="32"/>
      <w:szCs w:val="36"/>
    </w:rPr>
  </w:style>
  <w:style w:type="character" w:customStyle="1" w:styleId="40">
    <w:name w:val="標題 4 字元"/>
    <w:link w:val="4"/>
    <w:rsid w:val="00E769F5"/>
    <w:rPr>
      <w:rFonts w:ascii="標楷體" w:eastAsia="標楷體" w:hAnsi="Arial"/>
      <w:kern w:val="32"/>
      <w:sz w:val="32"/>
      <w:szCs w:val="36"/>
    </w:rPr>
  </w:style>
  <w:style w:type="character" w:customStyle="1" w:styleId="50">
    <w:name w:val="標題 5 字元"/>
    <w:link w:val="5"/>
    <w:rsid w:val="00E769F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51311">
      <w:bodyDiv w:val="1"/>
      <w:marLeft w:val="0"/>
      <w:marRight w:val="0"/>
      <w:marTop w:val="0"/>
      <w:marBottom w:val="0"/>
      <w:divBdr>
        <w:top w:val="none" w:sz="0" w:space="0" w:color="auto"/>
        <w:left w:val="none" w:sz="0" w:space="0" w:color="auto"/>
        <w:bottom w:val="none" w:sz="0" w:space="0" w:color="auto"/>
        <w:right w:val="none" w:sz="0" w:space="0" w:color="auto"/>
      </w:divBdr>
    </w:div>
    <w:div w:id="312758880">
      <w:bodyDiv w:val="1"/>
      <w:marLeft w:val="0"/>
      <w:marRight w:val="0"/>
      <w:marTop w:val="0"/>
      <w:marBottom w:val="0"/>
      <w:divBdr>
        <w:top w:val="none" w:sz="0" w:space="0" w:color="auto"/>
        <w:left w:val="none" w:sz="0" w:space="0" w:color="auto"/>
        <w:bottom w:val="none" w:sz="0" w:space="0" w:color="auto"/>
        <w:right w:val="none" w:sz="0" w:space="0" w:color="auto"/>
      </w:divBdr>
    </w:div>
    <w:div w:id="412556233">
      <w:bodyDiv w:val="1"/>
      <w:marLeft w:val="0"/>
      <w:marRight w:val="0"/>
      <w:marTop w:val="0"/>
      <w:marBottom w:val="0"/>
      <w:divBdr>
        <w:top w:val="none" w:sz="0" w:space="0" w:color="auto"/>
        <w:left w:val="none" w:sz="0" w:space="0" w:color="auto"/>
        <w:bottom w:val="none" w:sz="0" w:space="0" w:color="auto"/>
        <w:right w:val="none" w:sz="0" w:space="0" w:color="auto"/>
      </w:divBdr>
    </w:div>
    <w:div w:id="596131892">
      <w:bodyDiv w:val="1"/>
      <w:marLeft w:val="0"/>
      <w:marRight w:val="0"/>
      <w:marTop w:val="0"/>
      <w:marBottom w:val="0"/>
      <w:divBdr>
        <w:top w:val="none" w:sz="0" w:space="0" w:color="auto"/>
        <w:left w:val="none" w:sz="0" w:space="0" w:color="auto"/>
        <w:bottom w:val="none" w:sz="0" w:space="0" w:color="auto"/>
        <w:right w:val="none" w:sz="0" w:space="0" w:color="auto"/>
      </w:divBdr>
    </w:div>
    <w:div w:id="7359350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8736750">
      <w:bodyDiv w:val="1"/>
      <w:marLeft w:val="0"/>
      <w:marRight w:val="0"/>
      <w:marTop w:val="0"/>
      <w:marBottom w:val="0"/>
      <w:divBdr>
        <w:top w:val="none" w:sz="0" w:space="0" w:color="auto"/>
        <w:left w:val="none" w:sz="0" w:space="0" w:color="auto"/>
        <w:bottom w:val="none" w:sz="0" w:space="0" w:color="auto"/>
        <w:right w:val="none" w:sz="0" w:space="0" w:color="auto"/>
      </w:divBdr>
      <w:divsChild>
        <w:div w:id="546835722">
          <w:marLeft w:val="0"/>
          <w:marRight w:val="0"/>
          <w:marTop w:val="0"/>
          <w:marBottom w:val="0"/>
          <w:divBdr>
            <w:top w:val="none" w:sz="0" w:space="0" w:color="auto"/>
            <w:left w:val="none" w:sz="0" w:space="0" w:color="auto"/>
            <w:bottom w:val="none" w:sz="0" w:space="0" w:color="auto"/>
            <w:right w:val="none" w:sz="0" w:space="0" w:color="auto"/>
          </w:divBdr>
          <w:divsChild>
            <w:div w:id="833181960">
              <w:marLeft w:val="0"/>
              <w:marRight w:val="0"/>
              <w:marTop w:val="100"/>
              <w:marBottom w:val="100"/>
              <w:divBdr>
                <w:top w:val="none" w:sz="0" w:space="0" w:color="auto"/>
                <w:left w:val="none" w:sz="0" w:space="0" w:color="auto"/>
                <w:bottom w:val="none" w:sz="0" w:space="0" w:color="auto"/>
                <w:right w:val="none" w:sz="0" w:space="0" w:color="auto"/>
              </w:divBdr>
              <w:divsChild>
                <w:div w:id="1570531270">
                  <w:marLeft w:val="0"/>
                  <w:marRight w:val="0"/>
                  <w:marTop w:val="45"/>
                  <w:marBottom w:val="120"/>
                  <w:divBdr>
                    <w:top w:val="none" w:sz="0" w:space="0" w:color="auto"/>
                    <w:left w:val="none" w:sz="0" w:space="0" w:color="auto"/>
                    <w:bottom w:val="none" w:sz="0" w:space="0" w:color="auto"/>
                    <w:right w:val="none" w:sz="0" w:space="0" w:color="auto"/>
                  </w:divBdr>
                  <w:divsChild>
                    <w:div w:id="443841237">
                      <w:marLeft w:val="0"/>
                      <w:marRight w:val="0"/>
                      <w:marTop w:val="0"/>
                      <w:marBottom w:val="0"/>
                      <w:divBdr>
                        <w:top w:val="none" w:sz="0" w:space="0" w:color="auto"/>
                        <w:left w:val="none" w:sz="0" w:space="0" w:color="auto"/>
                        <w:bottom w:val="none" w:sz="0" w:space="0" w:color="auto"/>
                        <w:right w:val="none" w:sz="0" w:space="0" w:color="auto"/>
                      </w:divBdr>
                      <w:divsChild>
                        <w:div w:id="715667254">
                          <w:marLeft w:val="0"/>
                          <w:marRight w:val="0"/>
                          <w:marTop w:val="0"/>
                          <w:marBottom w:val="0"/>
                          <w:divBdr>
                            <w:top w:val="none" w:sz="0" w:space="0" w:color="auto"/>
                            <w:left w:val="none" w:sz="0" w:space="0" w:color="auto"/>
                            <w:bottom w:val="none" w:sz="0" w:space="0" w:color="auto"/>
                            <w:right w:val="none" w:sz="0" w:space="0" w:color="auto"/>
                          </w:divBdr>
                          <w:divsChild>
                            <w:div w:id="1446269005">
                              <w:marLeft w:val="0"/>
                              <w:marRight w:val="0"/>
                              <w:marTop w:val="0"/>
                              <w:marBottom w:val="120"/>
                              <w:divBdr>
                                <w:top w:val="single" w:sz="12" w:space="0" w:color="4EA3E9"/>
                                <w:left w:val="none" w:sz="0" w:space="0" w:color="auto"/>
                                <w:bottom w:val="single" w:sz="12" w:space="0" w:color="4EA3E9"/>
                                <w:right w:val="none" w:sz="0" w:space="0" w:color="auto"/>
                              </w:divBdr>
                              <w:divsChild>
                                <w:div w:id="134512987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357503">
      <w:bodyDiv w:val="1"/>
      <w:marLeft w:val="0"/>
      <w:marRight w:val="0"/>
      <w:marTop w:val="0"/>
      <w:marBottom w:val="0"/>
      <w:divBdr>
        <w:top w:val="none" w:sz="0" w:space="0" w:color="auto"/>
        <w:left w:val="none" w:sz="0" w:space="0" w:color="auto"/>
        <w:bottom w:val="none" w:sz="0" w:space="0" w:color="auto"/>
        <w:right w:val="none" w:sz="0" w:space="0" w:color="auto"/>
      </w:divBdr>
      <w:divsChild>
        <w:div w:id="1803376200">
          <w:marLeft w:val="0"/>
          <w:marRight w:val="0"/>
          <w:marTop w:val="100"/>
          <w:marBottom w:val="100"/>
          <w:divBdr>
            <w:top w:val="single" w:sz="6" w:space="0" w:color="F4F4F4"/>
            <w:left w:val="single" w:sz="6" w:space="0" w:color="F4F4F4"/>
            <w:bottom w:val="single" w:sz="6" w:space="0" w:color="F4F4F4"/>
            <w:right w:val="single" w:sz="6" w:space="0" w:color="F4F4F4"/>
          </w:divBdr>
        </w:div>
      </w:divsChild>
    </w:div>
    <w:div w:id="1245451211">
      <w:bodyDiv w:val="1"/>
      <w:marLeft w:val="0"/>
      <w:marRight w:val="0"/>
      <w:marTop w:val="0"/>
      <w:marBottom w:val="0"/>
      <w:divBdr>
        <w:top w:val="none" w:sz="0" w:space="0" w:color="auto"/>
        <w:left w:val="none" w:sz="0" w:space="0" w:color="auto"/>
        <w:bottom w:val="none" w:sz="0" w:space="0" w:color="auto"/>
        <w:right w:val="none" w:sz="0" w:space="0" w:color="auto"/>
      </w:divBdr>
    </w:div>
    <w:div w:id="1260917760">
      <w:bodyDiv w:val="1"/>
      <w:marLeft w:val="0"/>
      <w:marRight w:val="0"/>
      <w:marTop w:val="0"/>
      <w:marBottom w:val="0"/>
      <w:divBdr>
        <w:top w:val="none" w:sz="0" w:space="0" w:color="auto"/>
        <w:left w:val="none" w:sz="0" w:space="0" w:color="auto"/>
        <w:bottom w:val="none" w:sz="0" w:space="0" w:color="auto"/>
        <w:right w:val="none" w:sz="0" w:space="0" w:color="auto"/>
      </w:divBdr>
    </w:div>
    <w:div w:id="1342198089">
      <w:bodyDiv w:val="1"/>
      <w:marLeft w:val="0"/>
      <w:marRight w:val="0"/>
      <w:marTop w:val="0"/>
      <w:marBottom w:val="0"/>
      <w:divBdr>
        <w:top w:val="none" w:sz="0" w:space="0" w:color="auto"/>
        <w:left w:val="none" w:sz="0" w:space="0" w:color="auto"/>
        <w:bottom w:val="none" w:sz="0" w:space="0" w:color="auto"/>
        <w:right w:val="none" w:sz="0" w:space="0" w:color="auto"/>
      </w:divBdr>
    </w:div>
    <w:div w:id="1650818660">
      <w:bodyDiv w:val="1"/>
      <w:marLeft w:val="0"/>
      <w:marRight w:val="0"/>
      <w:marTop w:val="0"/>
      <w:marBottom w:val="0"/>
      <w:divBdr>
        <w:top w:val="none" w:sz="0" w:space="0" w:color="auto"/>
        <w:left w:val="none" w:sz="0" w:space="0" w:color="auto"/>
        <w:bottom w:val="none" w:sz="0" w:space="0" w:color="auto"/>
        <w:right w:val="none" w:sz="0" w:space="0" w:color="auto"/>
      </w:divBdr>
    </w:div>
    <w:div w:id="1650984789">
      <w:bodyDiv w:val="1"/>
      <w:marLeft w:val="0"/>
      <w:marRight w:val="0"/>
      <w:marTop w:val="0"/>
      <w:marBottom w:val="0"/>
      <w:divBdr>
        <w:top w:val="none" w:sz="0" w:space="0" w:color="auto"/>
        <w:left w:val="none" w:sz="0" w:space="0" w:color="auto"/>
        <w:bottom w:val="none" w:sz="0" w:space="0" w:color="auto"/>
        <w:right w:val="none" w:sz="0" w:space="0" w:color="auto"/>
      </w:divBdr>
    </w:div>
    <w:div w:id="1653944731">
      <w:bodyDiv w:val="1"/>
      <w:marLeft w:val="0"/>
      <w:marRight w:val="0"/>
      <w:marTop w:val="0"/>
      <w:marBottom w:val="0"/>
      <w:divBdr>
        <w:top w:val="none" w:sz="0" w:space="0" w:color="auto"/>
        <w:left w:val="none" w:sz="0" w:space="0" w:color="auto"/>
        <w:bottom w:val="none" w:sz="0" w:space="0" w:color="auto"/>
        <w:right w:val="none" w:sz="0" w:space="0" w:color="auto"/>
      </w:divBdr>
    </w:div>
    <w:div w:id="1824272227">
      <w:bodyDiv w:val="1"/>
      <w:marLeft w:val="0"/>
      <w:marRight w:val="0"/>
      <w:marTop w:val="0"/>
      <w:marBottom w:val="0"/>
      <w:divBdr>
        <w:top w:val="none" w:sz="0" w:space="0" w:color="auto"/>
        <w:left w:val="none" w:sz="0" w:space="0" w:color="auto"/>
        <w:bottom w:val="none" w:sz="0" w:space="0" w:color="auto"/>
        <w:right w:val="none" w:sz="0" w:space="0" w:color="auto"/>
      </w:divBdr>
    </w:div>
    <w:div w:id="19237572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6917-36AA-404F-811B-AD8DFA5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Pages>
  <Words>3202</Words>
  <Characters>18257</Characters>
  <Application>Microsoft Office Word</Application>
  <DocSecurity>0</DocSecurity>
  <Lines>152</Lines>
  <Paragraphs>42</Paragraphs>
  <ScaleCrop>false</ScaleCrop>
  <Company>cy</Company>
  <LinksUpToDate>false</LinksUpToDate>
  <CharactersWithSpaces>21417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曾莉雯</cp:lastModifiedBy>
  <cp:revision>4</cp:revision>
  <cp:lastPrinted>2020-01-08T06:08:00Z</cp:lastPrinted>
  <dcterms:created xsi:type="dcterms:W3CDTF">2020-01-22T06:43:00Z</dcterms:created>
  <dcterms:modified xsi:type="dcterms:W3CDTF">2020-01-22T06:44:00Z</dcterms:modified>
</cp:coreProperties>
</file>