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DC73C7" w:rsidRDefault="00D75644" w:rsidP="00F37D7B">
      <w:pPr>
        <w:pStyle w:val="af2"/>
        <w:rPr>
          <w:color w:val="000000" w:themeColor="text1"/>
        </w:rPr>
      </w:pPr>
      <w:r w:rsidRPr="00DC73C7">
        <w:rPr>
          <w:rFonts w:hint="eastAsia"/>
          <w:color w:val="000000" w:themeColor="text1"/>
        </w:rPr>
        <w:t>調查報告</w:t>
      </w:r>
    </w:p>
    <w:p w:rsidR="00E25849" w:rsidRPr="00DC73C7" w:rsidRDefault="00E25849" w:rsidP="004E05A1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DC73C7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F74BF" w:rsidRPr="00DC73C7">
        <w:rPr>
          <w:rFonts w:hint="eastAsia"/>
          <w:color w:val="000000" w:themeColor="text1"/>
        </w:rPr>
        <w:t>據訴，臺灣新北地方法院拆除頂樓增建物強制執行事件，刻意曲解執行名義效力範圍，逕予執行合計66平方公尺增建物面積，損及權益等情案。</w:t>
      </w:r>
    </w:p>
    <w:p w:rsidR="00E25849" w:rsidRPr="00DC73C7" w:rsidRDefault="00861999" w:rsidP="004E05A1">
      <w:pPr>
        <w:pStyle w:val="1"/>
        <w:ind w:left="2380" w:hanging="2380"/>
        <w:rPr>
          <w:color w:val="000000" w:themeColor="text1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DC73C7">
        <w:rPr>
          <w:rFonts w:hint="eastAsia"/>
          <w:color w:val="000000" w:themeColor="text1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DC73C7" w:rsidRDefault="00F54D7D" w:rsidP="00A639F4">
      <w:pPr>
        <w:pStyle w:val="10"/>
        <w:ind w:left="680" w:firstLine="680"/>
        <w:rPr>
          <w:color w:val="000000" w:themeColor="text1"/>
        </w:rPr>
      </w:pPr>
      <w:bookmarkStart w:id="49" w:name="_Toc524902730"/>
      <w:r w:rsidRPr="00DC73C7">
        <w:rPr>
          <w:rFonts w:hint="eastAsia"/>
          <w:color w:val="000000" w:themeColor="text1"/>
        </w:rPr>
        <w:t>本案緣於民眾陳訴：</w:t>
      </w:r>
      <w:r w:rsidR="004D411E" w:rsidRPr="00DC73C7">
        <w:rPr>
          <w:rFonts w:hint="eastAsia"/>
          <w:color w:val="000000" w:themeColor="text1"/>
        </w:rPr>
        <w:t>臺灣高等法院（下稱臺高院）9</w:t>
      </w:r>
      <w:r w:rsidR="004D411E" w:rsidRPr="00DC73C7">
        <w:rPr>
          <w:color w:val="000000" w:themeColor="text1"/>
        </w:rPr>
        <w:t>3年度上字</w:t>
      </w:r>
      <w:r w:rsidR="004D411E" w:rsidRPr="00DC73C7">
        <w:rPr>
          <w:rFonts w:hint="eastAsia"/>
          <w:color w:val="000000" w:themeColor="text1"/>
        </w:rPr>
        <w:t>第1</w:t>
      </w:r>
      <w:r w:rsidR="004D411E" w:rsidRPr="00DC73C7">
        <w:rPr>
          <w:color w:val="000000" w:themeColor="text1"/>
        </w:rPr>
        <w:t>11號民事</w:t>
      </w:r>
      <w:r w:rsidR="004D411E" w:rsidRPr="00DC73C7">
        <w:rPr>
          <w:rFonts w:hint="eastAsia"/>
          <w:color w:val="000000" w:themeColor="text1"/>
        </w:rPr>
        <w:t>確定</w:t>
      </w:r>
      <w:r w:rsidR="004D411E" w:rsidRPr="00DC73C7">
        <w:rPr>
          <w:color w:val="000000" w:themeColor="text1"/>
        </w:rPr>
        <w:t>判決</w:t>
      </w:r>
      <w:r w:rsidR="004D411E" w:rsidRPr="00DC73C7">
        <w:rPr>
          <w:rFonts w:hint="eastAsia"/>
          <w:color w:val="000000" w:themeColor="text1"/>
        </w:rPr>
        <w:t>之主文明確記載系爭頂樓增建物應拆除面積為22平方公尺</w:t>
      </w:r>
      <w:r w:rsidR="004D411E" w:rsidRPr="00DC73C7">
        <w:rPr>
          <w:rFonts w:hAnsi="標楷體" w:hint="eastAsia"/>
          <w:color w:val="000000" w:themeColor="text1"/>
        </w:rPr>
        <w:t>，</w:t>
      </w:r>
      <w:r w:rsidRPr="00DC73C7">
        <w:rPr>
          <w:rFonts w:hint="eastAsia"/>
          <w:color w:val="000000" w:themeColor="text1"/>
        </w:rPr>
        <w:t>更名前臺灣板橋地方法院（下稱板橋地院；現更名為臺灣新北地方法院）</w:t>
      </w:r>
      <w:r w:rsidR="003979E4" w:rsidRPr="00DC73C7">
        <w:rPr>
          <w:rFonts w:hint="eastAsia"/>
          <w:color w:val="000000" w:themeColor="text1"/>
        </w:rPr>
        <w:t>及</w:t>
      </w:r>
      <w:r w:rsidR="004D411E" w:rsidRPr="00DC73C7">
        <w:rPr>
          <w:rFonts w:hint="eastAsia"/>
          <w:color w:val="000000" w:themeColor="text1"/>
        </w:rPr>
        <w:t>臺高</w:t>
      </w:r>
      <w:r w:rsidR="003979E4" w:rsidRPr="00DC73C7">
        <w:rPr>
          <w:rFonts w:hint="eastAsia"/>
          <w:color w:val="000000" w:themeColor="text1"/>
        </w:rPr>
        <w:t>院</w:t>
      </w:r>
      <w:r w:rsidR="004D411E" w:rsidRPr="00DC73C7">
        <w:rPr>
          <w:rFonts w:hint="eastAsia"/>
          <w:color w:val="000000" w:themeColor="text1"/>
        </w:rPr>
        <w:t>卻</w:t>
      </w:r>
      <w:r w:rsidR="003979E4" w:rsidRPr="00DC73C7">
        <w:rPr>
          <w:rFonts w:hint="eastAsia"/>
          <w:color w:val="000000" w:themeColor="text1"/>
        </w:rPr>
        <w:t>刻意曲解執行名義效力範圍，</w:t>
      </w:r>
      <w:r w:rsidR="004D411E" w:rsidRPr="00DC73C7">
        <w:rPr>
          <w:rFonts w:hint="eastAsia"/>
          <w:color w:val="000000" w:themeColor="text1"/>
        </w:rPr>
        <w:t>逕予</w:t>
      </w:r>
      <w:r w:rsidR="007A7848" w:rsidRPr="00DC73C7">
        <w:rPr>
          <w:rFonts w:hint="eastAsia"/>
          <w:color w:val="000000" w:themeColor="text1"/>
        </w:rPr>
        <w:t>執行逾越該面積</w:t>
      </w:r>
      <w:r w:rsidR="00B21C2B" w:rsidRPr="00DC73C7">
        <w:rPr>
          <w:rFonts w:hint="eastAsia"/>
          <w:color w:val="000000" w:themeColor="text1"/>
        </w:rPr>
        <w:t>之</w:t>
      </w:r>
      <w:r w:rsidR="007A7848" w:rsidRPr="00DC73C7">
        <w:rPr>
          <w:rFonts w:hint="eastAsia"/>
          <w:color w:val="000000" w:themeColor="text1"/>
        </w:rPr>
        <w:t>增</w:t>
      </w:r>
      <w:r w:rsidR="00B21C2B" w:rsidRPr="00DC73C7">
        <w:rPr>
          <w:rFonts w:hint="eastAsia"/>
          <w:color w:val="000000" w:themeColor="text1"/>
        </w:rPr>
        <w:t>建物</w:t>
      </w:r>
      <w:r w:rsidRPr="00DC73C7">
        <w:rPr>
          <w:rFonts w:hint="eastAsia"/>
          <w:color w:val="000000" w:themeColor="text1"/>
        </w:rPr>
        <w:t>，涉有違失等情。案經本院</w:t>
      </w:r>
      <w:r w:rsidR="00DB4D2B" w:rsidRPr="00DC73C7">
        <w:rPr>
          <w:rFonts w:hint="eastAsia"/>
          <w:color w:val="000000" w:themeColor="text1"/>
        </w:rPr>
        <w:t>詳查相關</w:t>
      </w:r>
      <w:r w:rsidR="00F42D06" w:rsidRPr="00DC73C7">
        <w:rPr>
          <w:rFonts w:hint="eastAsia"/>
          <w:color w:val="000000" w:themeColor="text1"/>
        </w:rPr>
        <w:t>裁判</w:t>
      </w:r>
      <w:r w:rsidRPr="00DC73C7">
        <w:rPr>
          <w:rFonts w:hAnsi="標楷體" w:hint="eastAsia"/>
          <w:color w:val="000000" w:themeColor="text1"/>
        </w:rPr>
        <w:t>，</w:t>
      </w:r>
      <w:r w:rsidR="0007791C" w:rsidRPr="00DC73C7">
        <w:rPr>
          <w:rFonts w:hAnsi="標楷體" w:hint="eastAsia"/>
          <w:color w:val="000000" w:themeColor="text1"/>
        </w:rPr>
        <w:t>並請司法院查復案</w:t>
      </w:r>
      <w:r w:rsidR="00DB4D2B" w:rsidRPr="00DC73C7">
        <w:rPr>
          <w:rFonts w:hAnsi="標楷體" w:hint="eastAsia"/>
          <w:color w:val="000000" w:themeColor="text1"/>
        </w:rPr>
        <w:t>涉疑義，</w:t>
      </w:r>
      <w:r w:rsidRPr="00DC73C7">
        <w:rPr>
          <w:rFonts w:hAnsi="標楷體" w:hint="eastAsia"/>
          <w:color w:val="000000" w:themeColor="text1"/>
        </w:rPr>
        <w:t>業</w:t>
      </w:r>
      <w:r w:rsidR="00FB501B" w:rsidRPr="00DC73C7">
        <w:rPr>
          <w:rFonts w:hint="eastAsia"/>
          <w:color w:val="000000" w:themeColor="text1"/>
        </w:rPr>
        <w:t>已調查竣</w:t>
      </w:r>
      <w:r w:rsidR="00307A76" w:rsidRPr="00DC73C7">
        <w:rPr>
          <w:rFonts w:hint="eastAsia"/>
          <w:color w:val="000000" w:themeColor="text1"/>
        </w:rPr>
        <w:t>事</w:t>
      </w:r>
      <w:r w:rsidR="00FB501B" w:rsidRPr="00DC73C7">
        <w:rPr>
          <w:rFonts w:hint="eastAsia"/>
          <w:color w:val="000000" w:themeColor="text1"/>
        </w:rPr>
        <w:t>，</w:t>
      </w:r>
      <w:r w:rsidR="00307A76" w:rsidRPr="00DC73C7">
        <w:rPr>
          <w:rFonts w:hint="eastAsia"/>
          <w:color w:val="000000" w:themeColor="text1"/>
        </w:rPr>
        <w:t>茲臚</w:t>
      </w:r>
      <w:r w:rsidR="00FB501B" w:rsidRPr="00DC73C7">
        <w:rPr>
          <w:rFonts w:hint="eastAsia"/>
          <w:color w:val="000000" w:themeColor="text1"/>
        </w:rPr>
        <w:t>列調查意見如下：</w:t>
      </w:r>
    </w:p>
    <w:p w:rsidR="00D25735" w:rsidRPr="00DC73C7" w:rsidRDefault="00D25735" w:rsidP="0055373D">
      <w:pPr>
        <w:pStyle w:val="2"/>
        <w:numPr>
          <w:ilvl w:val="1"/>
          <w:numId w:val="42"/>
        </w:numPr>
        <w:rPr>
          <w:b/>
          <w:color w:val="000000" w:themeColor="text1"/>
        </w:rPr>
      </w:pPr>
      <w:r w:rsidRPr="00DC73C7">
        <w:rPr>
          <w:rFonts w:hint="eastAsia"/>
          <w:b/>
          <w:color w:val="000000" w:themeColor="text1"/>
        </w:rPr>
        <w:t>本案臺高院93年度上字第111號民事確定判決主文「如附圖Ｂ、Ｃ部分所示，面積合計22</w:t>
      </w:r>
      <w:r w:rsidR="00CE4354" w:rsidRPr="00DC73C7">
        <w:rPr>
          <w:rFonts w:hint="eastAsia"/>
          <w:b/>
          <w:color w:val="000000" w:themeColor="text1"/>
        </w:rPr>
        <w:t>平方公尺之頂樓增建」之用語</w:t>
      </w:r>
      <w:r w:rsidR="005E3F4C" w:rsidRPr="00DC73C7">
        <w:rPr>
          <w:rFonts w:hAnsi="標楷體" w:hint="eastAsia"/>
          <w:b/>
          <w:color w:val="000000" w:themeColor="text1"/>
        </w:rPr>
        <w:t>有欠明確，</w:t>
      </w:r>
      <w:r w:rsidR="002B3583" w:rsidRPr="00DC73C7">
        <w:rPr>
          <w:rFonts w:hint="eastAsia"/>
          <w:b/>
          <w:color w:val="000000" w:themeColor="text1"/>
        </w:rPr>
        <w:t>衍生</w:t>
      </w:r>
      <w:r w:rsidR="005E3F4C" w:rsidRPr="00DC73C7">
        <w:rPr>
          <w:rFonts w:hint="eastAsia"/>
          <w:b/>
          <w:color w:val="000000" w:themeColor="text1"/>
        </w:rPr>
        <w:t>應拆除面積</w:t>
      </w:r>
      <w:r w:rsidR="002B3583" w:rsidRPr="00DC73C7">
        <w:rPr>
          <w:rFonts w:hint="eastAsia"/>
          <w:b/>
          <w:color w:val="000000" w:themeColor="text1"/>
        </w:rPr>
        <w:t>之爭議</w:t>
      </w:r>
      <w:r w:rsidR="005916F0" w:rsidRPr="00DC73C7">
        <w:rPr>
          <w:rFonts w:hAnsi="標楷體" w:hint="eastAsia"/>
          <w:b/>
          <w:color w:val="000000" w:themeColor="text1"/>
        </w:rPr>
        <w:t>，</w:t>
      </w:r>
      <w:r w:rsidR="005E3F4C" w:rsidRPr="00DC73C7">
        <w:rPr>
          <w:rFonts w:hAnsi="標楷體" w:hint="eastAsia"/>
          <w:b/>
          <w:color w:val="000000" w:themeColor="text1"/>
        </w:rPr>
        <w:t>嗣經</w:t>
      </w:r>
      <w:r w:rsidRPr="00DC73C7">
        <w:rPr>
          <w:rFonts w:hint="eastAsia"/>
          <w:b/>
          <w:color w:val="000000" w:themeColor="text1"/>
        </w:rPr>
        <w:t>執行法院參酌</w:t>
      </w:r>
      <w:r w:rsidR="005916F0" w:rsidRPr="00DC73C7">
        <w:rPr>
          <w:rFonts w:hint="eastAsia"/>
          <w:b/>
          <w:color w:val="000000" w:themeColor="text1"/>
        </w:rPr>
        <w:t>前開</w:t>
      </w:r>
      <w:r w:rsidR="00E34995" w:rsidRPr="00DC73C7">
        <w:rPr>
          <w:rFonts w:hint="eastAsia"/>
          <w:b/>
          <w:color w:val="000000" w:themeColor="text1"/>
        </w:rPr>
        <w:t>確定判決</w:t>
      </w:r>
      <w:r w:rsidR="00A327FD" w:rsidRPr="00DC73C7">
        <w:rPr>
          <w:rFonts w:hint="eastAsia"/>
          <w:b/>
          <w:color w:val="000000" w:themeColor="text1"/>
        </w:rPr>
        <w:t>事實及</w:t>
      </w:r>
      <w:r w:rsidR="00E34995" w:rsidRPr="00DC73C7">
        <w:rPr>
          <w:rFonts w:hint="eastAsia"/>
          <w:b/>
          <w:color w:val="000000" w:themeColor="text1"/>
        </w:rPr>
        <w:t>理由</w:t>
      </w:r>
      <w:r w:rsidR="00A327FD" w:rsidRPr="00DC73C7">
        <w:rPr>
          <w:rFonts w:hint="eastAsia"/>
          <w:b/>
          <w:color w:val="000000" w:themeColor="text1"/>
        </w:rPr>
        <w:t>欄內容</w:t>
      </w:r>
      <w:r w:rsidR="008E67C5" w:rsidRPr="00DC73C7">
        <w:rPr>
          <w:rFonts w:hAnsi="標楷體" w:hint="eastAsia"/>
          <w:b/>
          <w:color w:val="000000" w:themeColor="text1"/>
        </w:rPr>
        <w:t>，</w:t>
      </w:r>
      <w:r w:rsidR="000935BA" w:rsidRPr="00DC73C7">
        <w:rPr>
          <w:rFonts w:hAnsi="標楷體" w:hint="eastAsia"/>
          <w:b/>
          <w:color w:val="000000" w:themeColor="text1"/>
        </w:rPr>
        <w:t>補充</w:t>
      </w:r>
      <w:r w:rsidRPr="00DC73C7">
        <w:rPr>
          <w:rFonts w:hint="eastAsia"/>
          <w:b/>
          <w:color w:val="000000" w:themeColor="text1"/>
        </w:rPr>
        <w:t>解釋</w:t>
      </w:r>
      <w:r w:rsidR="00A80D26" w:rsidRPr="00DC73C7">
        <w:rPr>
          <w:rFonts w:hAnsi="標楷體" w:hint="eastAsia"/>
          <w:b/>
          <w:color w:val="000000" w:themeColor="text1"/>
        </w:rPr>
        <w:t>「應係以屋頂平台面積為準，凡係坐落於該屋頂平台上，如附圖B、C部分所示，面積合計22平方公尺上</w:t>
      </w:r>
      <w:r w:rsidR="00E34995" w:rsidRPr="00DC73C7">
        <w:rPr>
          <w:rFonts w:hAnsi="標楷體" w:hint="eastAsia"/>
          <w:b/>
          <w:color w:val="000000" w:themeColor="text1"/>
        </w:rPr>
        <w:t>之頂樓增建部分，無論其層數，均屬本件執行名義效力所及而應予拆除</w:t>
      </w:r>
      <w:r w:rsidR="00A80D26" w:rsidRPr="00DC73C7">
        <w:rPr>
          <w:rFonts w:hAnsi="標楷體" w:hint="eastAsia"/>
          <w:b/>
          <w:color w:val="000000" w:themeColor="text1"/>
        </w:rPr>
        <w:t>」</w:t>
      </w:r>
      <w:r w:rsidR="00E34995" w:rsidRPr="00DC73C7">
        <w:rPr>
          <w:rFonts w:hAnsi="標楷體" w:hint="eastAsia"/>
          <w:b/>
          <w:color w:val="000000" w:themeColor="text1"/>
        </w:rPr>
        <w:t>，</w:t>
      </w:r>
      <w:r w:rsidR="000935BA" w:rsidRPr="00DC73C7">
        <w:rPr>
          <w:rFonts w:hAnsi="標楷體" w:hint="eastAsia"/>
          <w:b/>
          <w:color w:val="000000" w:themeColor="text1"/>
        </w:rPr>
        <w:t>按確定判決主文</w:t>
      </w:r>
      <w:r w:rsidR="00B553B7" w:rsidRPr="00DC73C7">
        <w:rPr>
          <w:rFonts w:hAnsi="標楷體" w:hint="eastAsia"/>
          <w:b/>
          <w:color w:val="000000" w:themeColor="text1"/>
        </w:rPr>
        <w:t>，</w:t>
      </w:r>
      <w:r w:rsidR="000935BA" w:rsidRPr="00DC73C7">
        <w:rPr>
          <w:rFonts w:hAnsi="標楷體" w:hint="eastAsia"/>
          <w:b/>
          <w:color w:val="000000" w:themeColor="text1"/>
        </w:rPr>
        <w:t>為</w:t>
      </w:r>
      <w:r w:rsidR="00B553B7" w:rsidRPr="00DC73C7">
        <w:rPr>
          <w:rFonts w:hAnsi="標楷體" w:hint="eastAsia"/>
          <w:b/>
          <w:color w:val="000000" w:themeColor="text1"/>
        </w:rPr>
        <w:t>定</w:t>
      </w:r>
      <w:r w:rsidR="000935BA" w:rsidRPr="00DC73C7">
        <w:rPr>
          <w:rFonts w:hAnsi="標楷體" w:hint="eastAsia"/>
          <w:b/>
          <w:color w:val="000000" w:themeColor="text1"/>
        </w:rPr>
        <w:t>強制執行效力範圍之首要判斷依據，</w:t>
      </w:r>
      <w:r w:rsidR="005916F0" w:rsidRPr="00DC73C7">
        <w:rPr>
          <w:rFonts w:hAnsi="標楷體" w:hint="eastAsia"/>
          <w:b/>
          <w:color w:val="000000" w:themeColor="text1"/>
        </w:rPr>
        <w:t>為</w:t>
      </w:r>
      <w:r w:rsidR="00A327FD" w:rsidRPr="00DC73C7">
        <w:rPr>
          <w:rFonts w:hAnsi="標楷體" w:hint="eastAsia"/>
          <w:b/>
          <w:color w:val="000000" w:themeColor="text1"/>
        </w:rPr>
        <w:t>期</w:t>
      </w:r>
      <w:r w:rsidR="005916F0" w:rsidRPr="00DC73C7">
        <w:rPr>
          <w:rFonts w:hAnsi="標楷體" w:hint="eastAsia"/>
          <w:b/>
          <w:color w:val="000000" w:themeColor="text1"/>
        </w:rPr>
        <w:t>減少爾後再生</w:t>
      </w:r>
      <w:r w:rsidR="00B553B7" w:rsidRPr="00DC73C7">
        <w:rPr>
          <w:rFonts w:hAnsi="標楷體" w:hint="eastAsia"/>
          <w:b/>
          <w:color w:val="000000" w:themeColor="text1"/>
        </w:rPr>
        <w:t>相類</w:t>
      </w:r>
      <w:r w:rsidR="005916F0" w:rsidRPr="00DC73C7">
        <w:rPr>
          <w:rFonts w:hAnsi="標楷體" w:hint="eastAsia"/>
          <w:b/>
          <w:color w:val="000000" w:themeColor="text1"/>
        </w:rPr>
        <w:t>爭議案件，</w:t>
      </w:r>
      <w:r w:rsidR="008E67C5" w:rsidRPr="00DC73C7">
        <w:rPr>
          <w:rFonts w:hAnsi="標楷體" w:hint="eastAsia"/>
          <w:b/>
          <w:color w:val="000000" w:themeColor="text1"/>
        </w:rPr>
        <w:t>司法院宜持續研謀</w:t>
      </w:r>
      <w:r w:rsidR="00F52A69" w:rsidRPr="00DC73C7">
        <w:rPr>
          <w:rFonts w:hAnsi="標楷體" w:hint="eastAsia"/>
          <w:b/>
          <w:color w:val="000000" w:themeColor="text1"/>
        </w:rPr>
        <w:t>精進判決主文明確性</w:t>
      </w:r>
      <w:r w:rsidR="00954C8D" w:rsidRPr="00DC73C7">
        <w:rPr>
          <w:rFonts w:hAnsi="標楷體" w:hint="eastAsia"/>
          <w:b/>
          <w:color w:val="000000" w:themeColor="text1"/>
        </w:rPr>
        <w:t>之改善措施或加強教育訓練</w:t>
      </w:r>
      <w:r w:rsidR="00F52A69" w:rsidRPr="00DC73C7">
        <w:rPr>
          <w:rFonts w:hAnsi="標楷體" w:hint="eastAsia"/>
          <w:b/>
          <w:color w:val="000000" w:themeColor="text1"/>
        </w:rPr>
        <w:t>，</w:t>
      </w:r>
      <w:r w:rsidR="005916F0" w:rsidRPr="00DC73C7">
        <w:rPr>
          <w:rFonts w:hAnsi="標楷體" w:hint="eastAsia"/>
          <w:b/>
          <w:color w:val="000000" w:themeColor="text1"/>
        </w:rPr>
        <w:t>以免</w:t>
      </w:r>
      <w:r w:rsidR="00954C8D" w:rsidRPr="00DC73C7">
        <w:rPr>
          <w:rFonts w:hAnsi="標楷體" w:hint="eastAsia"/>
          <w:b/>
          <w:color w:val="000000" w:themeColor="text1"/>
        </w:rPr>
        <w:t>徒生無謂爭端，</w:t>
      </w:r>
      <w:r w:rsidR="00DC5755" w:rsidRPr="00DC73C7">
        <w:rPr>
          <w:rFonts w:hAnsi="標楷體" w:hint="eastAsia"/>
          <w:b/>
          <w:color w:val="000000" w:themeColor="text1"/>
        </w:rPr>
        <w:t>影響執行效率</w:t>
      </w:r>
      <w:r w:rsidRPr="00DC73C7">
        <w:rPr>
          <w:rFonts w:hAnsi="標楷體" w:hint="eastAsia"/>
          <w:b/>
          <w:color w:val="000000" w:themeColor="text1"/>
        </w:rPr>
        <w:t>。</w:t>
      </w:r>
    </w:p>
    <w:p w:rsidR="002D1A48" w:rsidRPr="00DC73C7" w:rsidRDefault="00132AAE" w:rsidP="00D25735">
      <w:pPr>
        <w:pStyle w:val="3"/>
        <w:rPr>
          <w:color w:val="000000" w:themeColor="text1"/>
        </w:rPr>
      </w:pPr>
      <w:r w:rsidRPr="00DC73C7">
        <w:rPr>
          <w:rFonts w:hint="eastAsia"/>
          <w:color w:val="000000" w:themeColor="text1"/>
        </w:rPr>
        <w:t>確定判決主文不僅涉及既判力問題</w:t>
      </w:r>
      <w:r w:rsidRPr="00DC73C7">
        <w:rPr>
          <w:rStyle w:val="afe"/>
          <w:color w:val="000000" w:themeColor="text1"/>
        </w:rPr>
        <w:footnoteReference w:id="1"/>
      </w:r>
      <w:r w:rsidRPr="00DC73C7">
        <w:rPr>
          <w:rFonts w:hAnsi="標楷體" w:hint="eastAsia"/>
          <w:color w:val="000000" w:themeColor="text1"/>
        </w:rPr>
        <w:t>，依</w:t>
      </w:r>
      <w:r w:rsidR="000974EC" w:rsidRPr="00DC73C7">
        <w:rPr>
          <w:rFonts w:hint="eastAsia"/>
          <w:color w:val="000000" w:themeColor="text1"/>
        </w:rPr>
        <w:t>強制執行</w:t>
      </w:r>
      <w:r w:rsidRPr="00DC73C7">
        <w:rPr>
          <w:rFonts w:hint="eastAsia"/>
          <w:color w:val="000000" w:themeColor="text1"/>
        </w:rPr>
        <w:t>法</w:t>
      </w:r>
      <w:r w:rsidRPr="00DC73C7">
        <w:rPr>
          <w:rFonts w:hint="eastAsia"/>
          <w:color w:val="000000" w:themeColor="text1"/>
        </w:rPr>
        <w:lastRenderedPageBreak/>
        <w:t>第4條第1項第1款規定</w:t>
      </w:r>
      <w:r w:rsidRPr="00DC73C7">
        <w:rPr>
          <w:rFonts w:hAnsi="標楷體" w:hint="eastAsia"/>
          <w:color w:val="000000" w:themeColor="text1"/>
        </w:rPr>
        <w:t>，確定之終局判決，得為執行名義，</w:t>
      </w:r>
      <w:r w:rsidR="00E77A9A" w:rsidRPr="00DC73C7">
        <w:rPr>
          <w:rFonts w:hAnsi="標楷體" w:hint="eastAsia"/>
          <w:color w:val="000000" w:themeColor="text1"/>
        </w:rPr>
        <w:t>按</w:t>
      </w:r>
      <w:r w:rsidRPr="00DC73C7">
        <w:rPr>
          <w:rFonts w:hAnsi="標楷體" w:hint="eastAsia"/>
          <w:color w:val="000000" w:themeColor="text1"/>
        </w:rPr>
        <w:t>強制執行</w:t>
      </w:r>
      <w:r w:rsidR="000974EC" w:rsidRPr="00DC73C7">
        <w:rPr>
          <w:rFonts w:hint="eastAsia"/>
          <w:color w:val="000000" w:themeColor="text1"/>
        </w:rPr>
        <w:t>貴在迅速</w:t>
      </w:r>
      <w:r w:rsidR="000974EC" w:rsidRPr="00DC73C7">
        <w:rPr>
          <w:rFonts w:hAnsi="標楷體" w:hint="eastAsia"/>
          <w:color w:val="000000" w:themeColor="text1"/>
        </w:rPr>
        <w:t>，</w:t>
      </w:r>
      <w:r w:rsidR="005462DF" w:rsidRPr="00DC73C7">
        <w:rPr>
          <w:rFonts w:hAnsi="標楷體" w:hint="eastAsia"/>
          <w:color w:val="000000" w:themeColor="text1"/>
        </w:rPr>
        <w:t>執行</w:t>
      </w:r>
      <w:r w:rsidR="00545B0E" w:rsidRPr="00DC73C7">
        <w:rPr>
          <w:rFonts w:hAnsi="標楷體" w:hint="eastAsia"/>
          <w:color w:val="000000" w:themeColor="text1"/>
        </w:rPr>
        <w:t>法院</w:t>
      </w:r>
      <w:r w:rsidR="005462DF" w:rsidRPr="00DC73C7">
        <w:rPr>
          <w:rFonts w:hAnsi="標楷體" w:hint="eastAsia"/>
          <w:color w:val="000000" w:themeColor="text1"/>
        </w:rPr>
        <w:t>於執行程序中原則不審查債權人之實體上權利是否存在，其執行事項</w:t>
      </w:r>
      <w:r w:rsidR="0065071C" w:rsidRPr="00DC73C7">
        <w:rPr>
          <w:rFonts w:hAnsi="標楷體" w:hint="eastAsia"/>
          <w:color w:val="000000" w:themeColor="text1"/>
        </w:rPr>
        <w:t>係以</w:t>
      </w:r>
      <w:r w:rsidR="00545B0E" w:rsidRPr="00DC73C7">
        <w:rPr>
          <w:rFonts w:hAnsi="標楷體" w:hint="eastAsia"/>
          <w:color w:val="000000" w:themeColor="text1"/>
        </w:rPr>
        <w:t>確定</w:t>
      </w:r>
      <w:r w:rsidR="005462DF" w:rsidRPr="00DC73C7">
        <w:rPr>
          <w:rFonts w:hAnsi="標楷體" w:hint="eastAsia"/>
          <w:color w:val="000000" w:themeColor="text1"/>
        </w:rPr>
        <w:t>判決主文定之，於主文不明確時，</w:t>
      </w:r>
      <w:r w:rsidR="00545B0E" w:rsidRPr="00DC73C7">
        <w:rPr>
          <w:rFonts w:hAnsi="標楷體" w:hint="eastAsia"/>
          <w:color w:val="000000" w:themeColor="text1"/>
        </w:rPr>
        <w:t>始</w:t>
      </w:r>
      <w:r w:rsidR="005462DF" w:rsidRPr="00DC73C7">
        <w:rPr>
          <w:rFonts w:hAnsi="標楷體" w:hint="eastAsia"/>
          <w:color w:val="000000" w:themeColor="text1"/>
        </w:rPr>
        <w:t>例外參酌判決理由</w:t>
      </w:r>
      <w:r w:rsidR="0065071C" w:rsidRPr="00DC73C7">
        <w:rPr>
          <w:rFonts w:hAnsi="標楷體" w:hint="eastAsia"/>
          <w:color w:val="000000" w:themeColor="text1"/>
        </w:rPr>
        <w:t>加以解釋</w:t>
      </w:r>
      <w:r w:rsidR="00545B0E" w:rsidRPr="00DC73C7">
        <w:rPr>
          <w:rFonts w:hAnsi="標楷體" w:hint="eastAsia"/>
          <w:color w:val="000000" w:themeColor="text1"/>
        </w:rPr>
        <w:t>（</w:t>
      </w:r>
      <w:r w:rsidR="0065071C" w:rsidRPr="00DC73C7">
        <w:rPr>
          <w:rFonts w:hAnsi="標楷體" w:hint="eastAsia"/>
          <w:color w:val="000000" w:themeColor="text1"/>
        </w:rPr>
        <w:t>最高法院18年抗字第210號、18年抗字第241號及19年抗字第219號民事判例意旨參照）</w:t>
      </w:r>
      <w:r w:rsidR="00E77A9A" w:rsidRPr="00DC73C7">
        <w:rPr>
          <w:rFonts w:hAnsi="標楷體" w:hint="eastAsia"/>
          <w:color w:val="000000" w:themeColor="text1"/>
        </w:rPr>
        <w:t>，</w:t>
      </w:r>
      <w:r w:rsidR="00F50F64" w:rsidRPr="00DC73C7">
        <w:rPr>
          <w:rFonts w:hAnsi="標楷體" w:hint="eastAsia"/>
          <w:color w:val="000000" w:themeColor="text1"/>
        </w:rPr>
        <w:t>是以，</w:t>
      </w:r>
      <w:r w:rsidR="0065071C" w:rsidRPr="00DC73C7">
        <w:rPr>
          <w:rFonts w:hAnsi="標楷體" w:hint="eastAsia"/>
          <w:color w:val="000000" w:themeColor="text1"/>
        </w:rPr>
        <w:t>判決主文</w:t>
      </w:r>
      <w:r w:rsidR="00E77A9A" w:rsidRPr="00DC73C7">
        <w:rPr>
          <w:rFonts w:hAnsi="標楷體" w:hint="eastAsia"/>
          <w:color w:val="000000" w:themeColor="text1"/>
        </w:rPr>
        <w:t>應</w:t>
      </w:r>
      <w:r w:rsidR="00F50F64" w:rsidRPr="00DC73C7">
        <w:rPr>
          <w:rFonts w:hAnsi="標楷體" w:hint="eastAsia"/>
          <w:color w:val="000000" w:themeColor="text1"/>
        </w:rPr>
        <w:t>力求明確，方能實現強制執行追求</w:t>
      </w:r>
      <w:r w:rsidR="0065071C" w:rsidRPr="00DC73C7">
        <w:rPr>
          <w:rFonts w:hAnsi="標楷體" w:hint="eastAsia"/>
          <w:color w:val="000000" w:themeColor="text1"/>
        </w:rPr>
        <w:t>迅速滿足實現債權人債權之</w:t>
      </w:r>
      <w:r w:rsidR="003E61E9" w:rsidRPr="00DC73C7">
        <w:rPr>
          <w:rFonts w:hAnsi="標楷體" w:hint="eastAsia"/>
          <w:color w:val="000000" w:themeColor="text1"/>
        </w:rPr>
        <w:t>理</w:t>
      </w:r>
      <w:r w:rsidR="00E77A9A" w:rsidRPr="00DC73C7">
        <w:rPr>
          <w:rFonts w:hAnsi="標楷體" w:hint="eastAsia"/>
          <w:color w:val="000000" w:themeColor="text1"/>
        </w:rPr>
        <w:t>念</w:t>
      </w:r>
      <w:r w:rsidR="0071317E" w:rsidRPr="00DC73C7">
        <w:rPr>
          <w:rFonts w:hAnsi="標楷體" w:hint="eastAsia"/>
          <w:color w:val="000000" w:themeColor="text1"/>
        </w:rPr>
        <w:t>。</w:t>
      </w:r>
    </w:p>
    <w:p w:rsidR="0071317E" w:rsidRPr="00DC73C7" w:rsidRDefault="00154523" w:rsidP="00D25735">
      <w:pPr>
        <w:pStyle w:val="3"/>
        <w:rPr>
          <w:color w:val="000000" w:themeColor="text1"/>
        </w:rPr>
      </w:pPr>
      <w:r w:rsidRPr="00DC73C7">
        <w:rPr>
          <w:rFonts w:hint="eastAsia"/>
          <w:color w:val="000000" w:themeColor="text1"/>
        </w:rPr>
        <w:t>查</w:t>
      </w:r>
      <w:r w:rsidR="0071317E" w:rsidRPr="00DC73C7">
        <w:rPr>
          <w:rFonts w:hint="eastAsia"/>
          <w:color w:val="000000" w:themeColor="text1"/>
        </w:rPr>
        <w:t>本案</w:t>
      </w:r>
      <w:r w:rsidRPr="00DC73C7">
        <w:rPr>
          <w:rFonts w:hint="eastAsia"/>
          <w:color w:val="000000" w:themeColor="text1"/>
        </w:rPr>
        <w:t>陳訴人與</w:t>
      </w:r>
      <w:r w:rsidR="0071317E" w:rsidRPr="00DC73C7">
        <w:rPr>
          <w:rFonts w:hint="eastAsia"/>
          <w:color w:val="000000" w:themeColor="text1"/>
        </w:rPr>
        <w:t>債權人同為某公寓大廈</w:t>
      </w:r>
      <w:r w:rsidR="00801557" w:rsidRPr="00DC73C7">
        <w:rPr>
          <w:rFonts w:hAnsi="標楷體" w:hint="eastAsia"/>
          <w:color w:val="000000" w:themeColor="text1"/>
        </w:rPr>
        <w:t>（</w:t>
      </w:r>
      <w:r w:rsidR="00801557" w:rsidRPr="00DC73C7">
        <w:rPr>
          <w:rFonts w:hint="eastAsia"/>
          <w:color w:val="000000" w:themeColor="text1"/>
        </w:rPr>
        <w:t>下稱系爭大廈</w:t>
      </w:r>
      <w:r w:rsidR="00801557" w:rsidRPr="00DC73C7">
        <w:rPr>
          <w:rFonts w:hAnsi="標楷體" w:hint="eastAsia"/>
          <w:color w:val="000000" w:themeColor="text1"/>
        </w:rPr>
        <w:t>）</w:t>
      </w:r>
      <w:r w:rsidR="0071317E" w:rsidRPr="00DC73C7">
        <w:rPr>
          <w:rFonts w:hint="eastAsia"/>
          <w:color w:val="000000" w:themeColor="text1"/>
        </w:rPr>
        <w:t>之住戶，</w:t>
      </w:r>
      <w:r w:rsidR="003E61E9" w:rsidRPr="00DC73C7">
        <w:rPr>
          <w:rFonts w:hint="eastAsia"/>
          <w:color w:val="000000" w:themeColor="text1"/>
        </w:rPr>
        <w:t>債權人</w:t>
      </w:r>
      <w:r w:rsidR="0071317E" w:rsidRPr="00DC73C7">
        <w:rPr>
          <w:rFonts w:hint="eastAsia"/>
          <w:color w:val="000000" w:themeColor="text1"/>
        </w:rPr>
        <w:t>以</w:t>
      </w:r>
      <w:r w:rsidR="00A327FD" w:rsidRPr="00DC73C7">
        <w:rPr>
          <w:rFonts w:hint="eastAsia"/>
          <w:color w:val="000000" w:themeColor="text1"/>
        </w:rPr>
        <w:t>陳訴人</w:t>
      </w:r>
      <w:r w:rsidR="0071317E" w:rsidRPr="00DC73C7">
        <w:rPr>
          <w:rFonts w:hint="eastAsia"/>
          <w:color w:val="000000" w:themeColor="text1"/>
        </w:rPr>
        <w:t>未經全體共有人之同意，竟占用法定空地</w:t>
      </w:r>
      <w:r w:rsidR="0071317E" w:rsidRPr="00DC73C7">
        <w:rPr>
          <w:rFonts w:hAnsi="標楷體" w:hint="eastAsia"/>
          <w:color w:val="000000" w:themeColor="text1"/>
        </w:rPr>
        <w:t>，</w:t>
      </w:r>
      <w:r w:rsidR="0071317E" w:rsidRPr="00DC73C7">
        <w:rPr>
          <w:rFonts w:hint="eastAsia"/>
          <w:color w:val="000000" w:themeColor="text1"/>
        </w:rPr>
        <w:t>並在系爭大廈屋頂突出物與屋頂平台上，放置個人物品</w:t>
      </w:r>
      <w:r w:rsidR="00A327FD" w:rsidRPr="00DC73C7">
        <w:rPr>
          <w:rFonts w:hAnsi="標楷體" w:hint="eastAsia"/>
          <w:color w:val="000000" w:themeColor="text1"/>
        </w:rPr>
        <w:t>，</w:t>
      </w:r>
      <w:r w:rsidRPr="00DC73C7">
        <w:rPr>
          <w:rFonts w:hAnsi="標楷體" w:hint="eastAsia"/>
          <w:color w:val="000000" w:themeColor="text1"/>
        </w:rPr>
        <w:t>另</w:t>
      </w:r>
      <w:r w:rsidR="003E61E9" w:rsidRPr="00DC73C7">
        <w:rPr>
          <w:rFonts w:hint="eastAsia"/>
          <w:color w:val="000000" w:themeColor="text1"/>
        </w:rPr>
        <w:t>又在該屋頂平台上搭蓋二層之違章建物，</w:t>
      </w:r>
      <w:r w:rsidR="0071317E" w:rsidRPr="00DC73C7">
        <w:rPr>
          <w:rFonts w:hint="eastAsia"/>
          <w:color w:val="000000" w:themeColor="text1"/>
        </w:rPr>
        <w:t>占用平台面積計22平方公尺為由，提起拆屋還地並給付不當得利損害金訴訟</w:t>
      </w:r>
      <w:r w:rsidR="0071317E" w:rsidRPr="00DC73C7">
        <w:rPr>
          <w:rFonts w:hAnsi="標楷體" w:hint="eastAsia"/>
          <w:color w:val="000000" w:themeColor="text1"/>
        </w:rPr>
        <w:t>，</w:t>
      </w:r>
      <w:r w:rsidR="0071317E" w:rsidRPr="00DC73C7">
        <w:rPr>
          <w:rFonts w:hint="eastAsia"/>
          <w:color w:val="000000" w:themeColor="text1"/>
        </w:rPr>
        <w:t>案經臺高院以93年度上字第111</w:t>
      </w:r>
      <w:r w:rsidR="00A327FD" w:rsidRPr="00DC73C7">
        <w:rPr>
          <w:rFonts w:hint="eastAsia"/>
          <w:color w:val="000000" w:themeColor="text1"/>
        </w:rPr>
        <w:t>號民事</w:t>
      </w:r>
      <w:r w:rsidR="00801557" w:rsidRPr="00DC73C7">
        <w:rPr>
          <w:rFonts w:hint="eastAsia"/>
          <w:color w:val="000000" w:themeColor="text1"/>
        </w:rPr>
        <w:t>確定</w:t>
      </w:r>
      <w:r w:rsidR="0071317E" w:rsidRPr="00DC73C7">
        <w:rPr>
          <w:rFonts w:hint="eastAsia"/>
          <w:color w:val="000000" w:themeColor="text1"/>
        </w:rPr>
        <w:t>判決</w:t>
      </w:r>
      <w:r w:rsidR="00A327FD" w:rsidRPr="00DC73C7">
        <w:rPr>
          <w:rFonts w:hAnsi="標楷體" w:hint="eastAsia"/>
          <w:color w:val="000000" w:themeColor="text1"/>
        </w:rPr>
        <w:t>，</w:t>
      </w:r>
      <w:r w:rsidR="00801557" w:rsidRPr="00DC73C7">
        <w:rPr>
          <w:rFonts w:hAnsi="標楷體" w:hint="eastAsia"/>
          <w:color w:val="000000" w:themeColor="text1"/>
        </w:rPr>
        <w:t>判</w:t>
      </w:r>
      <w:r w:rsidR="00A327FD" w:rsidRPr="00DC73C7">
        <w:rPr>
          <w:rFonts w:hint="eastAsia"/>
          <w:color w:val="000000" w:themeColor="text1"/>
        </w:rPr>
        <w:t>命陳訴人應將前開占用法定空地、屋頂突出物內與屋頂平台上之物品移除，並應將坐落上開建物屋頂平台上、如判決附圖Ｂ、Ｃ部分所示，面積合計22平方公尺之頂樓增建拆除，</w:t>
      </w:r>
      <w:r w:rsidR="003E61E9" w:rsidRPr="00DC73C7">
        <w:rPr>
          <w:rFonts w:hint="eastAsia"/>
          <w:color w:val="000000" w:themeColor="text1"/>
        </w:rPr>
        <w:t>暨將占用法定空地返還予全體共有人，另給付不當得利損害金</w:t>
      </w:r>
      <w:r w:rsidR="00A327FD" w:rsidRPr="00DC73C7">
        <w:rPr>
          <w:rFonts w:hAnsi="標楷體" w:hint="eastAsia"/>
          <w:color w:val="000000" w:themeColor="text1"/>
        </w:rPr>
        <w:t>。</w:t>
      </w:r>
      <w:r w:rsidR="00801557" w:rsidRPr="00DC73C7">
        <w:rPr>
          <w:rFonts w:hAnsi="標楷體" w:hint="eastAsia"/>
          <w:color w:val="000000" w:themeColor="text1"/>
        </w:rPr>
        <w:t>其後，</w:t>
      </w:r>
      <w:r w:rsidR="003E61E9" w:rsidRPr="00DC73C7">
        <w:rPr>
          <w:rFonts w:hAnsi="標楷體" w:hint="eastAsia"/>
          <w:color w:val="000000" w:themeColor="text1"/>
        </w:rPr>
        <w:t>債權人執上開確定判決為執行名義，聲請強制執行。</w:t>
      </w:r>
    </w:p>
    <w:p w:rsidR="00B020A4" w:rsidRPr="00B45191" w:rsidRDefault="00801557" w:rsidP="0055373D">
      <w:pPr>
        <w:pStyle w:val="3"/>
        <w:rPr>
          <w:color w:val="000000" w:themeColor="text1"/>
        </w:rPr>
      </w:pPr>
      <w:r w:rsidRPr="00DC73C7">
        <w:rPr>
          <w:rFonts w:hint="eastAsia"/>
          <w:color w:val="000000" w:themeColor="text1"/>
        </w:rPr>
        <w:t>經查</w:t>
      </w:r>
      <w:r w:rsidR="00D25735" w:rsidRPr="00DC73C7">
        <w:rPr>
          <w:rFonts w:hint="eastAsia"/>
          <w:color w:val="000000" w:themeColor="text1"/>
        </w:rPr>
        <w:t>本案執行名義即臺高院93年度上字第111號確定判決主文</w:t>
      </w:r>
      <w:r w:rsidR="00D25735" w:rsidRPr="00DC73C7">
        <w:rPr>
          <w:rFonts w:hAnsi="標楷體" w:hint="eastAsia"/>
          <w:color w:val="000000" w:themeColor="text1"/>
        </w:rPr>
        <w:t>，</w:t>
      </w:r>
      <w:r w:rsidR="00D25735" w:rsidRPr="00DC73C7">
        <w:rPr>
          <w:rFonts w:hint="eastAsia"/>
          <w:color w:val="000000" w:themeColor="text1"/>
        </w:rPr>
        <w:t>有關系爭大廈頂樓增建應拆除範圍載為</w:t>
      </w:r>
      <w:r w:rsidR="00D25735" w:rsidRPr="00DC73C7">
        <w:rPr>
          <w:rFonts w:hAnsi="標楷體" w:hint="eastAsia"/>
          <w:color w:val="000000" w:themeColor="text1"/>
        </w:rPr>
        <w:t>：「原判決關於(一)主文第2項命上訴人拆屋還地範圍</w:t>
      </w:r>
      <w:r w:rsidR="00D25735" w:rsidRPr="00DC73C7">
        <w:rPr>
          <w:rFonts w:hAnsi="標楷體"/>
          <w:color w:val="000000" w:themeColor="text1"/>
        </w:rPr>
        <w:t>……</w:t>
      </w:r>
      <w:r w:rsidR="00D25735" w:rsidRPr="00DC73C7">
        <w:rPr>
          <w:rFonts w:hAnsi="標楷體" w:hint="eastAsia"/>
          <w:color w:val="000000" w:themeColor="text1"/>
        </w:rPr>
        <w:t>應將坐落上開建物屋頂平台上、如附圖Ｂ、Ｃ部分所示，面積合計22平方公尺之頂樓增建</w:t>
      </w:r>
      <w:r w:rsidR="00D25735" w:rsidRPr="00DC73C7">
        <w:rPr>
          <w:rFonts w:hAnsi="標楷體" w:hint="eastAsia"/>
          <w:color w:val="000000" w:themeColor="text1"/>
        </w:rPr>
        <w:lastRenderedPageBreak/>
        <w:t>拆除」。</w:t>
      </w:r>
      <w:r w:rsidR="006865F7" w:rsidRPr="00DC73C7">
        <w:rPr>
          <w:rFonts w:hAnsi="標楷體" w:hint="eastAsia"/>
          <w:color w:val="000000" w:themeColor="text1"/>
        </w:rPr>
        <w:t>陳訴人</w:t>
      </w:r>
      <w:r w:rsidR="004E55C7" w:rsidRPr="00DC73C7">
        <w:rPr>
          <w:rFonts w:hAnsi="標楷體" w:hint="eastAsia"/>
          <w:color w:val="000000" w:themeColor="text1"/>
        </w:rPr>
        <w:t>於</w:t>
      </w:r>
      <w:r w:rsidR="006865F7" w:rsidRPr="00DC73C7">
        <w:rPr>
          <w:rFonts w:hAnsi="標楷體" w:hint="eastAsia"/>
          <w:color w:val="000000" w:themeColor="text1"/>
        </w:rPr>
        <w:t>強制執行程序中，以前開</w:t>
      </w:r>
      <w:r w:rsidR="004E55C7" w:rsidRPr="00DC73C7">
        <w:rPr>
          <w:rFonts w:hAnsi="標楷體" w:hint="eastAsia"/>
          <w:color w:val="000000" w:themeColor="text1"/>
        </w:rPr>
        <w:t>確定判決主文關於頂樓增建建物拆除之範圍，</w:t>
      </w:r>
      <w:r w:rsidR="00947D13" w:rsidRPr="00DC73C7">
        <w:rPr>
          <w:rFonts w:hAnsi="標楷體" w:hint="eastAsia"/>
          <w:color w:val="000000" w:themeColor="text1"/>
        </w:rPr>
        <w:t>係為</w:t>
      </w:r>
      <w:r w:rsidR="004E55C7" w:rsidRPr="00DC73C7">
        <w:rPr>
          <w:rFonts w:hAnsi="標楷體" w:hint="eastAsia"/>
          <w:color w:val="000000" w:themeColor="text1"/>
        </w:rPr>
        <w:t>附圖B、C所示面積共22平方公尺（B為13平方公尺、C為9平方公尺），惟B部分之實際增建面積為26平方公尺、C部分之實際增建面積為18平方公尺（B、C各有二層，每層面積各為13、9</w:t>
      </w:r>
      <w:r w:rsidR="00947D13" w:rsidRPr="00DC73C7">
        <w:rPr>
          <w:rFonts w:hAnsi="標楷體" w:hint="eastAsia"/>
          <w:color w:val="000000" w:themeColor="text1"/>
        </w:rPr>
        <w:t>平方公尺），主張</w:t>
      </w:r>
      <w:r w:rsidR="004E55C7" w:rsidRPr="00DC73C7">
        <w:rPr>
          <w:rFonts w:hAnsi="標楷體" w:hint="eastAsia"/>
          <w:color w:val="000000" w:themeColor="text1"/>
        </w:rPr>
        <w:t>執行拆除之範圍應嚴守13平方公尺及9平方公尺之界線，其餘增建</w:t>
      </w:r>
      <w:r w:rsidRPr="00DC73C7">
        <w:rPr>
          <w:rFonts w:hAnsi="標楷體" w:hint="eastAsia"/>
          <w:color w:val="000000" w:themeColor="text1"/>
        </w:rPr>
        <w:t>物</w:t>
      </w:r>
      <w:r w:rsidR="004E55C7" w:rsidRPr="00DC73C7">
        <w:rPr>
          <w:rFonts w:hAnsi="標楷體" w:hint="eastAsia"/>
          <w:color w:val="000000" w:themeColor="text1"/>
        </w:rPr>
        <w:t>非上開判決確定力所及，又上開判決未載明B、C部分應拆除之樓層係第一層或第二層等理由，</w:t>
      </w:r>
      <w:r w:rsidR="006B480B" w:rsidRPr="00DC73C7">
        <w:rPr>
          <w:rFonts w:hAnsi="標楷體" w:hint="eastAsia"/>
          <w:color w:val="000000" w:themeColor="text1"/>
        </w:rPr>
        <w:t>向執行法院</w:t>
      </w:r>
      <w:r w:rsidR="004E55C7" w:rsidRPr="00DC73C7">
        <w:rPr>
          <w:rFonts w:hAnsi="標楷體" w:hint="eastAsia"/>
          <w:color w:val="000000" w:themeColor="text1"/>
        </w:rPr>
        <w:t>聲明異議。</w:t>
      </w:r>
      <w:r w:rsidR="004E55C7" w:rsidRPr="00DC73C7">
        <w:rPr>
          <w:rFonts w:hint="eastAsia"/>
          <w:color w:val="000000" w:themeColor="text1"/>
        </w:rPr>
        <w:t>案經</w:t>
      </w:r>
      <w:r w:rsidR="00D25735" w:rsidRPr="00DC73C7">
        <w:rPr>
          <w:rFonts w:hint="eastAsia"/>
          <w:color w:val="000000" w:themeColor="text1"/>
        </w:rPr>
        <w:t>執行法院</w:t>
      </w:r>
      <w:r w:rsidR="004E55C7" w:rsidRPr="00DC73C7">
        <w:rPr>
          <w:rFonts w:hint="eastAsia"/>
          <w:color w:val="000000" w:themeColor="text1"/>
        </w:rPr>
        <w:t>即更名前板橋地院</w:t>
      </w:r>
      <w:r w:rsidR="00D25735" w:rsidRPr="00DC73C7">
        <w:rPr>
          <w:rFonts w:hint="eastAsia"/>
          <w:color w:val="000000" w:themeColor="text1"/>
        </w:rPr>
        <w:t>裁定駁回陳訴人之異議</w:t>
      </w:r>
      <w:r w:rsidR="006B480B" w:rsidRPr="00DC73C7">
        <w:rPr>
          <w:rFonts w:hAnsi="標楷體" w:hint="eastAsia"/>
          <w:color w:val="000000" w:themeColor="text1"/>
        </w:rPr>
        <w:t>，</w:t>
      </w:r>
      <w:r w:rsidRPr="00DC73C7">
        <w:rPr>
          <w:rFonts w:hAnsi="標楷體" w:hint="eastAsia"/>
          <w:color w:val="000000" w:themeColor="text1"/>
        </w:rPr>
        <w:t>嗣再</w:t>
      </w:r>
      <w:r w:rsidR="004E55C7" w:rsidRPr="00DC73C7">
        <w:rPr>
          <w:rFonts w:hint="eastAsia"/>
          <w:color w:val="000000" w:themeColor="text1"/>
        </w:rPr>
        <w:t>經臺高院裁定確定</w:t>
      </w:r>
      <w:r w:rsidR="006B480B" w:rsidRPr="00DC73C7">
        <w:rPr>
          <w:rFonts w:hAnsi="標楷體" w:hint="eastAsia"/>
          <w:color w:val="000000" w:themeColor="text1"/>
        </w:rPr>
        <w:t>，</w:t>
      </w:r>
      <w:r w:rsidR="006B480B" w:rsidRPr="00DC73C7">
        <w:rPr>
          <w:rFonts w:hint="eastAsia"/>
          <w:color w:val="000000" w:themeColor="text1"/>
        </w:rPr>
        <w:t>駁回陳訴人之抗告（參見</w:t>
      </w:r>
      <w:r w:rsidR="00B020A4" w:rsidRPr="00DC73C7">
        <w:rPr>
          <w:rFonts w:hint="eastAsia"/>
          <w:color w:val="000000" w:themeColor="text1"/>
        </w:rPr>
        <w:t>更名前板橋地院95年</w:t>
      </w:r>
      <w:r w:rsidR="00B020A4" w:rsidRPr="00B45191">
        <w:rPr>
          <w:rFonts w:hint="eastAsia"/>
          <w:color w:val="000000" w:themeColor="text1"/>
        </w:rPr>
        <w:t>度執字第50994號裁定</w:t>
      </w:r>
      <w:r w:rsidR="00B020A4" w:rsidRPr="00B45191">
        <w:rPr>
          <w:rFonts w:hAnsi="標楷體" w:hint="eastAsia"/>
          <w:color w:val="000000" w:themeColor="text1"/>
        </w:rPr>
        <w:t>、</w:t>
      </w:r>
      <w:r w:rsidR="006B480B" w:rsidRPr="00B45191">
        <w:rPr>
          <w:rFonts w:hint="eastAsia"/>
          <w:color w:val="000000" w:themeColor="text1"/>
        </w:rPr>
        <w:t>臺高院95年度抗字第767號裁定）</w:t>
      </w:r>
      <w:r w:rsidR="006B480B" w:rsidRPr="00B45191">
        <w:rPr>
          <w:rFonts w:hAnsi="標楷體" w:hint="eastAsia"/>
          <w:color w:val="000000" w:themeColor="text1"/>
        </w:rPr>
        <w:t>，本案</w:t>
      </w:r>
      <w:r w:rsidR="00947D13" w:rsidRPr="00B45191">
        <w:rPr>
          <w:rFonts w:hAnsi="標楷體" w:hint="eastAsia"/>
          <w:color w:val="000000" w:themeColor="text1"/>
        </w:rPr>
        <w:t>業</w:t>
      </w:r>
      <w:r w:rsidR="006B480B" w:rsidRPr="00B45191">
        <w:rPr>
          <w:rFonts w:hAnsi="標楷體" w:hint="eastAsia"/>
          <w:color w:val="000000" w:themeColor="text1"/>
        </w:rPr>
        <w:t>由</w:t>
      </w:r>
      <w:r w:rsidR="00CD50BB" w:rsidRPr="00B45191">
        <w:rPr>
          <w:rFonts w:hAnsi="標楷體" w:hint="eastAsia"/>
          <w:color w:val="000000" w:themeColor="text1"/>
        </w:rPr>
        <w:t>更名後之</w:t>
      </w:r>
      <w:r w:rsidR="006B480B" w:rsidRPr="00B45191">
        <w:rPr>
          <w:rFonts w:hAnsi="標楷體" w:hint="eastAsia"/>
          <w:color w:val="000000" w:themeColor="text1"/>
        </w:rPr>
        <w:t>臺灣新北地方法院</w:t>
      </w:r>
      <w:r w:rsidR="00CD50BB" w:rsidRPr="00B45191">
        <w:rPr>
          <w:rFonts w:hAnsi="標楷體" w:hint="eastAsia"/>
          <w:color w:val="000000" w:themeColor="text1"/>
        </w:rPr>
        <w:t>（下稱新北地院）</w:t>
      </w:r>
      <w:r w:rsidR="006B480B" w:rsidRPr="00B45191">
        <w:rPr>
          <w:rFonts w:hAnsi="標楷體" w:hint="eastAsia"/>
          <w:color w:val="000000" w:themeColor="text1"/>
        </w:rPr>
        <w:t>於102年7月執行拆除完畢。</w:t>
      </w:r>
    </w:p>
    <w:p w:rsidR="00D25735" w:rsidRPr="00B45191" w:rsidRDefault="00B020A4" w:rsidP="00B45191">
      <w:pPr>
        <w:pStyle w:val="3"/>
      </w:pPr>
      <w:r w:rsidRPr="00B45191">
        <w:rPr>
          <w:rFonts w:hint="eastAsia"/>
        </w:rPr>
        <w:t>有關本案執行名義效力範圍之爭議，執行法院參酌本案確定判決事實及理由欄</w:t>
      </w:r>
      <w:r w:rsidR="00BE4209" w:rsidRPr="00B45191">
        <w:rPr>
          <w:rFonts w:hint="eastAsia"/>
        </w:rPr>
        <w:t>內容</w:t>
      </w:r>
      <w:r w:rsidRPr="00B45191">
        <w:rPr>
          <w:rFonts w:hint="eastAsia"/>
        </w:rPr>
        <w:t>，</w:t>
      </w:r>
      <w:r w:rsidR="00775C26" w:rsidRPr="00B45191">
        <w:rPr>
          <w:rFonts w:hint="eastAsia"/>
        </w:rPr>
        <w:t>補充</w:t>
      </w:r>
      <w:r w:rsidR="00EE5A85" w:rsidRPr="00B45191">
        <w:rPr>
          <w:rFonts w:hint="eastAsia"/>
        </w:rPr>
        <w:t>解釋</w:t>
      </w:r>
      <w:r w:rsidR="006B480B" w:rsidRPr="00B45191">
        <w:rPr>
          <w:rFonts w:hint="eastAsia"/>
        </w:rPr>
        <w:t>：「所謂『坐落上開建物屋頂平台上，如附圖B、C部分所示，面積合計22平方公尺之頂樓增建』，應係以屋頂平台面積為準，凡係坐落於該屋頂平台上，如附圖B、C部分所示，面積合計22平方公尺上之頂樓增建部分，無論其層數，均屬本件執行名義效力所及而應予拆除」</w:t>
      </w:r>
      <w:r w:rsidRPr="00B45191">
        <w:rPr>
          <w:rFonts w:hint="eastAsia"/>
        </w:rPr>
        <w:t>（參見臺高院95年度抗字第767號裁定）</w:t>
      </w:r>
      <w:r w:rsidR="0094451E" w:rsidRPr="00B45191">
        <w:rPr>
          <w:rFonts w:hint="eastAsia"/>
        </w:rPr>
        <w:t>。按執行法院所為之補充解釋，雖使本案執行範圍</w:t>
      </w:r>
      <w:r w:rsidR="00BE4209" w:rsidRPr="00B45191">
        <w:rPr>
          <w:rFonts w:hint="eastAsia"/>
        </w:rPr>
        <w:t>更為明確，然</w:t>
      </w:r>
      <w:r w:rsidR="00B2273A" w:rsidRPr="00B45191">
        <w:rPr>
          <w:rFonts w:hint="eastAsia"/>
        </w:rPr>
        <w:t>亦</w:t>
      </w:r>
      <w:r w:rsidR="0094451E" w:rsidRPr="00B45191">
        <w:rPr>
          <w:rFonts w:hint="eastAsia"/>
        </w:rPr>
        <w:t>顯</w:t>
      </w:r>
      <w:r w:rsidR="00B2273A" w:rsidRPr="00B45191">
        <w:rPr>
          <w:rFonts w:hint="eastAsia"/>
        </w:rPr>
        <w:t>見本案確定判決主文之明確性，有檢討之餘地</w:t>
      </w:r>
      <w:r w:rsidR="006B480B" w:rsidRPr="00B45191">
        <w:rPr>
          <w:rFonts w:hint="eastAsia"/>
        </w:rPr>
        <w:t>。</w:t>
      </w:r>
      <w:r w:rsidR="00DC73C7" w:rsidRPr="00B45191">
        <w:rPr>
          <w:rFonts w:hint="eastAsia"/>
        </w:rPr>
        <w:t>經查，</w:t>
      </w:r>
      <w:r w:rsidR="00857C78" w:rsidRPr="00B45191">
        <w:rPr>
          <w:rFonts w:hint="eastAsia"/>
        </w:rPr>
        <w:t>新北地院</w:t>
      </w:r>
      <w:r w:rsidR="00DC73C7" w:rsidRPr="00B45191">
        <w:rPr>
          <w:rFonts w:hint="eastAsia"/>
        </w:rPr>
        <w:t>民事執行處人員前於102年5月21日會同新北市板橋地政事務所人員到場測量應拆除之位置，並界定拆除點，該日執行筆錄載明：「</w:t>
      </w:r>
      <w:r w:rsidR="00236182" w:rsidRPr="00B45191">
        <w:t>……</w:t>
      </w:r>
      <w:r w:rsidR="00236182" w:rsidRPr="00B45191">
        <w:rPr>
          <w:rFonts w:hint="eastAsia"/>
        </w:rPr>
        <w:t>四、債務人代理人稱應拆除僅22平方公尺，現場地政人員確認之範圍為66平方公尺，請照主文</w:t>
      </w:r>
      <w:r w:rsidR="00236182" w:rsidRPr="00B45191">
        <w:rPr>
          <w:rFonts w:hint="eastAsia"/>
        </w:rPr>
        <w:lastRenderedPageBreak/>
        <w:t>執行。」陳訴人</w:t>
      </w:r>
      <w:r w:rsidR="00B76EB7" w:rsidRPr="00B45191">
        <w:rPr>
          <w:rFonts w:hint="eastAsia"/>
        </w:rPr>
        <w:t>仍</w:t>
      </w:r>
      <w:r w:rsidR="008B12B5" w:rsidRPr="00B45191">
        <w:rPr>
          <w:rFonts w:hint="eastAsia"/>
        </w:rPr>
        <w:t>執</w:t>
      </w:r>
      <w:r w:rsidR="008E3F13" w:rsidRPr="00B45191">
        <w:rPr>
          <w:rFonts w:hint="eastAsia"/>
        </w:rPr>
        <w:t>前詞</w:t>
      </w:r>
      <w:r w:rsidR="00B76EB7" w:rsidRPr="00B45191">
        <w:rPr>
          <w:rFonts w:hint="eastAsia"/>
        </w:rPr>
        <w:t>，</w:t>
      </w:r>
      <w:r w:rsidR="008B12B5" w:rsidRPr="00B45191">
        <w:rPr>
          <w:rFonts w:hint="eastAsia"/>
        </w:rPr>
        <w:t>主張</w:t>
      </w:r>
      <w:r w:rsidR="00236182" w:rsidRPr="00B45191">
        <w:rPr>
          <w:rFonts w:hint="eastAsia"/>
        </w:rPr>
        <w:t>執行程序未能界定應</w:t>
      </w:r>
      <w:r w:rsidR="00857C78" w:rsidRPr="00B45191">
        <w:rPr>
          <w:rFonts w:hint="eastAsia"/>
        </w:rPr>
        <w:t>拆</w:t>
      </w:r>
      <w:r w:rsidR="00236182" w:rsidRPr="00B45191">
        <w:rPr>
          <w:rFonts w:hint="eastAsia"/>
        </w:rPr>
        <w:t>除範圍（22平方公尺）確定位置</w:t>
      </w:r>
      <w:r w:rsidR="008B12B5" w:rsidRPr="00B45191">
        <w:rPr>
          <w:rFonts w:hint="eastAsia"/>
        </w:rPr>
        <w:t>涉有</w:t>
      </w:r>
      <w:r w:rsidR="00236182" w:rsidRPr="00B45191">
        <w:rPr>
          <w:rFonts w:hint="eastAsia"/>
        </w:rPr>
        <w:t>違法，及債權人提出之拆除計畫預估費用顯屬浮報為由，提出異議，</w:t>
      </w:r>
      <w:r w:rsidR="00B76EB7" w:rsidRPr="00B45191">
        <w:rPr>
          <w:rFonts w:hint="eastAsia"/>
        </w:rPr>
        <w:t>雖</w:t>
      </w:r>
      <w:r w:rsidR="00236182" w:rsidRPr="00B45191">
        <w:rPr>
          <w:rFonts w:hint="eastAsia"/>
        </w:rPr>
        <w:t>經該院</w:t>
      </w:r>
      <w:r w:rsidR="00B76EB7" w:rsidRPr="00B45191">
        <w:rPr>
          <w:rFonts w:hint="eastAsia"/>
        </w:rPr>
        <w:t>民事執行處司法事務官於104年9月3日以95年度執字第50994號裁定駁回其異議，</w:t>
      </w:r>
      <w:r w:rsidR="00737486" w:rsidRPr="00B45191">
        <w:rPr>
          <w:rFonts w:hint="eastAsia"/>
        </w:rPr>
        <w:t>惟</w:t>
      </w:r>
      <w:r w:rsidR="00857C78" w:rsidRPr="00B45191">
        <w:rPr>
          <w:rFonts w:hint="eastAsia"/>
        </w:rPr>
        <w:t>查該</w:t>
      </w:r>
      <w:r w:rsidR="00B76EB7" w:rsidRPr="00B45191">
        <w:rPr>
          <w:rFonts w:hint="eastAsia"/>
        </w:rPr>
        <w:t>裁定理由，</w:t>
      </w:r>
      <w:r w:rsidR="008E3F13" w:rsidRPr="00B45191">
        <w:rPr>
          <w:rFonts w:hint="eastAsia"/>
        </w:rPr>
        <w:t>主要</w:t>
      </w:r>
      <w:r w:rsidR="00B76EB7" w:rsidRPr="00B45191">
        <w:rPr>
          <w:rFonts w:hint="eastAsia"/>
        </w:rPr>
        <w:t>係</w:t>
      </w:r>
      <w:r w:rsidR="00737486" w:rsidRPr="00B45191">
        <w:rPr>
          <w:rFonts w:hint="eastAsia"/>
        </w:rPr>
        <w:t>以</w:t>
      </w:r>
      <w:r w:rsidR="00B76EB7" w:rsidRPr="00B45191">
        <w:rPr>
          <w:rFonts w:hint="eastAsia"/>
        </w:rPr>
        <w:t>「依臺高院96年度抗字第767號民事確定裁定理由欄三，</w:t>
      </w:r>
      <w:r w:rsidR="00857C78" w:rsidRPr="00B45191">
        <w:rPr>
          <w:rFonts w:hint="eastAsia"/>
        </w:rPr>
        <w:t>所述</w:t>
      </w:r>
      <w:r w:rsidR="008E3F13" w:rsidRPr="00B45191">
        <w:rPr>
          <w:rFonts w:hint="eastAsia"/>
        </w:rPr>
        <w:t>【</w:t>
      </w:r>
      <w:r w:rsidR="00857C78" w:rsidRPr="00B45191">
        <w:rPr>
          <w:rFonts w:hint="eastAsia"/>
        </w:rPr>
        <w:t>是以所謂『坐落土地建物屋頂平台上，如附圖B、C部分所示，面積合計22平方公尺之頂樓增建』，應係以屋頂平台面積為準，凡係坐落於該屋頂平台上，如附圖B、C部分所示，面積合計22平方公尺上之頂樓增建部分，無論其層數，均屬本件執行名義效力所及而應予拆除。據以認定本件應拆除之範圍</w:t>
      </w:r>
      <w:r w:rsidR="00E44334" w:rsidRPr="00B45191">
        <w:rPr>
          <w:rFonts w:hint="eastAsia"/>
        </w:rPr>
        <w:t>】</w:t>
      </w:r>
      <w:r w:rsidR="00857C78" w:rsidRPr="00B45191">
        <w:rPr>
          <w:rFonts w:hint="eastAsia"/>
        </w:rPr>
        <w:t>，異議人對此並無其他反證提出，是以異議人之上開主張，尚乏所據，不足採信。」</w:t>
      </w:r>
      <w:r w:rsidR="00737486" w:rsidRPr="00B45191">
        <w:rPr>
          <w:rFonts w:hint="eastAsia"/>
        </w:rPr>
        <w:t>而駁回異議</w:t>
      </w:r>
      <w:r w:rsidR="00857C78" w:rsidRPr="00B45191">
        <w:rPr>
          <w:rFonts w:hint="eastAsia"/>
        </w:rPr>
        <w:t>（參見</w:t>
      </w:r>
      <w:r w:rsidR="00857C78" w:rsidRPr="00547099">
        <w:rPr>
          <w:rFonts w:hint="eastAsia"/>
          <w:spacing w:val="-20"/>
        </w:rPr>
        <w:t>新北地院</w:t>
      </w:r>
      <w:r w:rsidR="00547099" w:rsidRPr="00547099">
        <w:rPr>
          <w:rFonts w:hint="eastAsia"/>
          <w:spacing w:val="-20"/>
        </w:rPr>
        <w:t>1</w:t>
      </w:r>
      <w:r w:rsidR="00547099" w:rsidRPr="00547099">
        <w:rPr>
          <w:spacing w:val="-20"/>
        </w:rPr>
        <w:t>04</w:t>
      </w:r>
      <w:r w:rsidR="00547099">
        <w:rPr>
          <w:rFonts w:hint="eastAsia"/>
        </w:rPr>
        <w:t>年度</w:t>
      </w:r>
      <w:r w:rsidR="00857C78" w:rsidRPr="00B45191">
        <w:rPr>
          <w:rFonts w:hint="eastAsia"/>
        </w:rPr>
        <w:t>事聲字第305</w:t>
      </w:r>
      <w:r w:rsidR="00547099">
        <w:rPr>
          <w:rFonts w:hint="eastAsia"/>
        </w:rPr>
        <w:t>號</w:t>
      </w:r>
      <w:r w:rsidR="00857C78" w:rsidRPr="00B45191">
        <w:rPr>
          <w:rFonts w:hint="eastAsia"/>
        </w:rPr>
        <w:t>裁定），</w:t>
      </w:r>
      <w:r w:rsidR="008B12B5" w:rsidRPr="00B45191">
        <w:rPr>
          <w:rFonts w:hint="eastAsia"/>
        </w:rPr>
        <w:t>由此</w:t>
      </w:r>
      <w:r w:rsidR="004B4419" w:rsidRPr="00B45191">
        <w:rPr>
          <w:rFonts w:hint="eastAsia"/>
        </w:rPr>
        <w:t>可</w:t>
      </w:r>
      <w:r w:rsidR="00857C78" w:rsidRPr="00B45191">
        <w:rPr>
          <w:rFonts w:hint="eastAsia"/>
        </w:rPr>
        <w:t>見</w:t>
      </w:r>
      <w:r w:rsidR="008B12B5" w:rsidRPr="00B45191">
        <w:rPr>
          <w:rFonts w:hint="eastAsia"/>
        </w:rPr>
        <w:t>，</w:t>
      </w:r>
      <w:r w:rsidR="00737486" w:rsidRPr="00B45191">
        <w:rPr>
          <w:rFonts w:hint="eastAsia"/>
        </w:rPr>
        <w:t>本案</w:t>
      </w:r>
      <w:r w:rsidR="00857C78" w:rsidRPr="00B45191">
        <w:rPr>
          <w:rFonts w:hint="eastAsia"/>
        </w:rPr>
        <w:t>確定判決主文不明確，</w:t>
      </w:r>
      <w:r w:rsidR="00E44334" w:rsidRPr="00B45191">
        <w:rPr>
          <w:rFonts w:hint="eastAsia"/>
        </w:rPr>
        <w:t>亦</w:t>
      </w:r>
      <w:r w:rsidR="00857C78" w:rsidRPr="00B45191">
        <w:rPr>
          <w:rFonts w:hint="eastAsia"/>
        </w:rPr>
        <w:t>衍生執行費用計算正確性之爭議。</w:t>
      </w:r>
    </w:p>
    <w:p w:rsidR="00D25735" w:rsidRPr="00DC73C7" w:rsidRDefault="000D2CD7" w:rsidP="00D25735">
      <w:pPr>
        <w:pStyle w:val="3"/>
        <w:rPr>
          <w:color w:val="000000" w:themeColor="text1"/>
        </w:rPr>
      </w:pPr>
      <w:r w:rsidRPr="00DC73C7">
        <w:rPr>
          <w:rFonts w:hAnsi="標楷體" w:hint="eastAsia"/>
          <w:color w:val="000000" w:themeColor="text1"/>
        </w:rPr>
        <w:t>本案</w:t>
      </w:r>
      <w:r w:rsidR="00AB4416" w:rsidRPr="00DC73C7">
        <w:rPr>
          <w:rFonts w:hAnsi="標楷體" w:hint="eastAsia"/>
          <w:color w:val="000000" w:themeColor="text1"/>
        </w:rPr>
        <w:t>雖</w:t>
      </w:r>
      <w:r w:rsidR="00BE4209" w:rsidRPr="00DC73C7">
        <w:rPr>
          <w:rFonts w:hAnsi="標楷體" w:hint="eastAsia"/>
          <w:color w:val="000000" w:themeColor="text1"/>
        </w:rPr>
        <w:t>據</w:t>
      </w:r>
      <w:r w:rsidR="00D25735" w:rsidRPr="00DC73C7">
        <w:rPr>
          <w:rFonts w:hAnsi="標楷體" w:hint="eastAsia"/>
          <w:color w:val="000000" w:themeColor="text1"/>
        </w:rPr>
        <w:t>司法院檢附臺高院108年8月13日院彥文簡字第1080005135號函之說明，查復本院略稱：本案確定判決主文第1項係就原審即更名前板橋地院91年度訴字第2086</w:t>
      </w:r>
      <w:r w:rsidR="00AB4416" w:rsidRPr="00DC73C7">
        <w:rPr>
          <w:rFonts w:hAnsi="標楷體" w:hint="eastAsia"/>
          <w:color w:val="000000" w:themeColor="text1"/>
        </w:rPr>
        <w:t>號民事判決主文而來，並無判決主文不明確之情形云云。惟</w:t>
      </w:r>
      <w:r w:rsidR="00B2273A" w:rsidRPr="00DC73C7">
        <w:rPr>
          <w:rFonts w:hAnsi="標楷體" w:hint="eastAsia"/>
          <w:color w:val="000000" w:themeColor="text1"/>
        </w:rPr>
        <w:t>查，</w:t>
      </w:r>
      <w:r w:rsidR="00D25735" w:rsidRPr="00DC73C7">
        <w:rPr>
          <w:rFonts w:hAnsi="標楷體" w:hint="eastAsia"/>
          <w:color w:val="000000" w:themeColor="text1"/>
        </w:rPr>
        <w:t>本案</w:t>
      </w:r>
      <w:r w:rsidR="00AB4416" w:rsidRPr="00DC73C7">
        <w:rPr>
          <w:rFonts w:hAnsi="標楷體" w:hint="eastAsia"/>
          <w:color w:val="000000" w:themeColor="text1"/>
        </w:rPr>
        <w:t>確定判決</w:t>
      </w:r>
      <w:r w:rsidR="00D25735" w:rsidRPr="00DC73C7">
        <w:rPr>
          <w:rFonts w:hAnsi="標楷體" w:hint="eastAsia"/>
          <w:color w:val="000000" w:themeColor="text1"/>
        </w:rPr>
        <w:t>主文</w:t>
      </w:r>
      <w:r w:rsidR="00AB4416" w:rsidRPr="00DC73C7">
        <w:rPr>
          <w:rFonts w:hAnsi="標楷體" w:hint="eastAsia"/>
          <w:color w:val="000000" w:themeColor="text1"/>
        </w:rPr>
        <w:t>所載</w:t>
      </w:r>
      <w:r w:rsidR="00D25735" w:rsidRPr="00DC73C7">
        <w:rPr>
          <w:rFonts w:hAnsi="標楷體" w:hint="eastAsia"/>
          <w:color w:val="000000" w:themeColor="text1"/>
        </w:rPr>
        <w:t>「應將坐落上開建物屋頂平台上、如附圖Ｂ、Ｃ部分所示，面積合計22平方公尺之頂樓增建拆除」</w:t>
      </w:r>
      <w:r w:rsidR="00385582" w:rsidRPr="00DC73C7">
        <w:rPr>
          <w:rFonts w:hAnsi="標楷體" w:hint="eastAsia"/>
          <w:color w:val="000000" w:themeColor="text1"/>
        </w:rPr>
        <w:t>等</w:t>
      </w:r>
      <w:r w:rsidR="00A82754" w:rsidRPr="00DC73C7">
        <w:rPr>
          <w:rFonts w:hAnsi="標楷體" w:hint="eastAsia"/>
          <w:color w:val="000000" w:themeColor="text1"/>
        </w:rPr>
        <w:t>語</w:t>
      </w:r>
      <w:r w:rsidR="00726E28" w:rsidRPr="00DC73C7">
        <w:rPr>
          <w:rFonts w:hAnsi="標楷體" w:hint="eastAsia"/>
          <w:color w:val="000000" w:themeColor="text1"/>
        </w:rPr>
        <w:t>，</w:t>
      </w:r>
      <w:r w:rsidR="00D25735" w:rsidRPr="00DC73C7">
        <w:rPr>
          <w:rFonts w:hAnsi="標楷體" w:hint="eastAsia"/>
          <w:color w:val="000000" w:themeColor="text1"/>
        </w:rPr>
        <w:t>文義</w:t>
      </w:r>
      <w:r w:rsidR="00726E28" w:rsidRPr="00DC73C7">
        <w:rPr>
          <w:rFonts w:hAnsi="標楷體" w:hint="eastAsia"/>
          <w:color w:val="000000" w:themeColor="text1"/>
        </w:rPr>
        <w:t>上</w:t>
      </w:r>
      <w:r w:rsidR="00D25735" w:rsidRPr="00DC73C7">
        <w:rPr>
          <w:rFonts w:hAnsi="標楷體" w:hint="eastAsia"/>
          <w:color w:val="000000" w:themeColor="text1"/>
        </w:rPr>
        <w:t>確實易</w:t>
      </w:r>
      <w:r w:rsidR="00B2273A" w:rsidRPr="00DC73C7">
        <w:rPr>
          <w:rFonts w:hAnsi="標楷體" w:hint="eastAsia"/>
          <w:color w:val="000000" w:themeColor="text1"/>
        </w:rPr>
        <w:t>使</w:t>
      </w:r>
      <w:r w:rsidR="00AB4416" w:rsidRPr="00DC73C7">
        <w:rPr>
          <w:rFonts w:hAnsi="標楷體" w:hint="eastAsia"/>
          <w:color w:val="000000" w:themeColor="text1"/>
        </w:rPr>
        <w:t>一般人</w:t>
      </w:r>
      <w:r w:rsidR="00D25735" w:rsidRPr="00DC73C7">
        <w:rPr>
          <w:rFonts w:hAnsi="標楷體" w:hint="eastAsia"/>
          <w:color w:val="000000" w:themeColor="text1"/>
        </w:rPr>
        <w:t>混淆</w:t>
      </w:r>
      <w:r w:rsidR="00AB4416" w:rsidRPr="00DC73C7">
        <w:rPr>
          <w:rFonts w:hAnsi="標楷體" w:hint="eastAsia"/>
          <w:color w:val="000000" w:themeColor="text1"/>
        </w:rPr>
        <w:t>認</w:t>
      </w:r>
      <w:r w:rsidR="00A82754" w:rsidRPr="00DC73C7">
        <w:rPr>
          <w:rFonts w:hAnsi="標楷體" w:hint="eastAsia"/>
          <w:color w:val="000000" w:themeColor="text1"/>
        </w:rPr>
        <w:t>為係指</w:t>
      </w:r>
      <w:r w:rsidR="00B2273A" w:rsidRPr="00DC73C7">
        <w:rPr>
          <w:rFonts w:hAnsi="標楷體" w:hint="eastAsia"/>
          <w:color w:val="000000" w:themeColor="text1"/>
        </w:rPr>
        <w:t>應</w:t>
      </w:r>
      <w:r w:rsidR="00AB4416" w:rsidRPr="00DC73C7">
        <w:rPr>
          <w:rFonts w:hAnsi="標楷體" w:hint="eastAsia"/>
          <w:color w:val="000000" w:themeColor="text1"/>
        </w:rPr>
        <w:t>拆除增建物面積</w:t>
      </w:r>
      <w:r w:rsidR="00B2273A" w:rsidRPr="00DC73C7">
        <w:rPr>
          <w:rFonts w:hAnsi="標楷體" w:hint="eastAsia"/>
          <w:color w:val="000000" w:themeColor="text1"/>
        </w:rPr>
        <w:t>合計</w:t>
      </w:r>
      <w:r w:rsidR="00AB4416" w:rsidRPr="00DC73C7">
        <w:rPr>
          <w:rFonts w:hAnsi="標楷體" w:hint="eastAsia"/>
          <w:color w:val="000000" w:themeColor="text1"/>
        </w:rPr>
        <w:t>為22平方公尺</w:t>
      </w:r>
      <w:r w:rsidR="00D25735" w:rsidRPr="00DC73C7">
        <w:rPr>
          <w:rFonts w:hAnsi="標楷體" w:hint="eastAsia"/>
          <w:color w:val="000000" w:themeColor="text1"/>
        </w:rPr>
        <w:t>，執行法院</w:t>
      </w:r>
      <w:r w:rsidR="00385582" w:rsidRPr="00DC73C7">
        <w:rPr>
          <w:rFonts w:hAnsi="標楷體" w:hint="eastAsia"/>
          <w:color w:val="000000" w:themeColor="text1"/>
        </w:rPr>
        <w:t>爰仍</w:t>
      </w:r>
      <w:r w:rsidR="00D25735" w:rsidRPr="00DC73C7">
        <w:rPr>
          <w:rFonts w:hAnsi="標楷體" w:hint="eastAsia"/>
          <w:color w:val="000000" w:themeColor="text1"/>
        </w:rPr>
        <w:t>須參酌本案確定判決之</w:t>
      </w:r>
      <w:r w:rsidR="00A82754" w:rsidRPr="00DC73C7">
        <w:rPr>
          <w:rFonts w:hAnsi="標楷體" w:hint="eastAsia"/>
          <w:color w:val="000000" w:themeColor="text1"/>
        </w:rPr>
        <w:t>事實及</w:t>
      </w:r>
      <w:r w:rsidR="00D25735" w:rsidRPr="00DC73C7">
        <w:rPr>
          <w:rFonts w:hAnsi="標楷體" w:hint="eastAsia"/>
          <w:color w:val="000000" w:themeColor="text1"/>
        </w:rPr>
        <w:t>理由</w:t>
      </w:r>
      <w:r w:rsidR="00A82754" w:rsidRPr="00DC73C7">
        <w:rPr>
          <w:rFonts w:hAnsi="標楷體" w:hint="eastAsia"/>
          <w:color w:val="000000" w:themeColor="text1"/>
        </w:rPr>
        <w:t>欄</w:t>
      </w:r>
      <w:r w:rsidR="00D25735" w:rsidRPr="00DC73C7">
        <w:rPr>
          <w:rFonts w:hAnsi="標楷體" w:hint="eastAsia"/>
          <w:color w:val="000000" w:themeColor="text1"/>
        </w:rPr>
        <w:t>內容</w:t>
      </w:r>
      <w:r w:rsidR="00B553B7" w:rsidRPr="00DC73C7">
        <w:rPr>
          <w:rFonts w:hAnsi="標楷體" w:hint="eastAsia"/>
          <w:color w:val="000000" w:themeColor="text1"/>
        </w:rPr>
        <w:t>，</w:t>
      </w:r>
      <w:r w:rsidR="00385582" w:rsidRPr="00DC73C7">
        <w:rPr>
          <w:rFonts w:hAnsi="標楷體" w:hint="eastAsia"/>
          <w:color w:val="000000" w:themeColor="text1"/>
        </w:rPr>
        <w:t>補充</w:t>
      </w:r>
      <w:r w:rsidR="00D25735" w:rsidRPr="00DC73C7">
        <w:rPr>
          <w:rFonts w:hAnsi="標楷體" w:hint="eastAsia"/>
          <w:color w:val="000000" w:themeColor="text1"/>
        </w:rPr>
        <w:t>解釋</w:t>
      </w:r>
      <w:r w:rsidR="00B553B7" w:rsidRPr="00DC73C7">
        <w:rPr>
          <w:rFonts w:hAnsi="標楷體" w:hint="eastAsia"/>
          <w:color w:val="000000" w:themeColor="text1"/>
        </w:rPr>
        <w:t>所謂</w:t>
      </w:r>
      <w:r w:rsidR="00B2273A" w:rsidRPr="00DC73C7">
        <w:rPr>
          <w:rFonts w:hAnsi="標楷體" w:hint="eastAsia"/>
          <w:color w:val="000000" w:themeColor="text1"/>
        </w:rPr>
        <w:t>22</w:t>
      </w:r>
      <w:r w:rsidR="00A82754" w:rsidRPr="00DC73C7">
        <w:rPr>
          <w:rFonts w:hAnsi="標楷體" w:hint="eastAsia"/>
          <w:color w:val="000000" w:themeColor="text1"/>
        </w:rPr>
        <w:t>平方公尺係指屋頂平台遭占用</w:t>
      </w:r>
      <w:r w:rsidR="00B2273A" w:rsidRPr="00DC73C7">
        <w:rPr>
          <w:rFonts w:hAnsi="標楷體" w:hint="eastAsia"/>
          <w:color w:val="000000" w:themeColor="text1"/>
        </w:rPr>
        <w:t>面積</w:t>
      </w:r>
      <w:r w:rsidR="00B553B7" w:rsidRPr="00DC73C7">
        <w:rPr>
          <w:rFonts w:hAnsi="標楷體" w:hint="eastAsia"/>
          <w:color w:val="000000" w:themeColor="text1"/>
        </w:rPr>
        <w:t>。</w:t>
      </w:r>
      <w:r w:rsidR="00B2273A" w:rsidRPr="00DC73C7">
        <w:rPr>
          <w:rFonts w:hAnsi="標楷體" w:hint="eastAsia"/>
          <w:color w:val="000000" w:themeColor="text1"/>
        </w:rPr>
        <w:t>按確定判決之主文，為</w:t>
      </w:r>
      <w:r w:rsidR="00E91721" w:rsidRPr="00DC73C7">
        <w:rPr>
          <w:rFonts w:hAnsi="標楷體" w:hint="eastAsia"/>
          <w:color w:val="000000" w:themeColor="text1"/>
        </w:rPr>
        <w:t>認</w:t>
      </w:r>
      <w:r w:rsidR="00B553B7" w:rsidRPr="00DC73C7">
        <w:rPr>
          <w:rFonts w:hAnsi="標楷體" w:hint="eastAsia"/>
          <w:color w:val="000000" w:themeColor="text1"/>
        </w:rPr>
        <w:t>定</w:t>
      </w:r>
      <w:r w:rsidR="00B2273A" w:rsidRPr="00DC73C7">
        <w:rPr>
          <w:rFonts w:hAnsi="標楷體" w:hint="eastAsia"/>
          <w:color w:val="000000" w:themeColor="text1"/>
        </w:rPr>
        <w:t>執行效力範圍之首要判斷依據</w:t>
      </w:r>
      <w:r w:rsidR="00AB4416" w:rsidRPr="00DC73C7">
        <w:rPr>
          <w:rFonts w:hAnsi="標楷體" w:hint="eastAsia"/>
          <w:color w:val="000000" w:themeColor="text1"/>
        </w:rPr>
        <w:t>，</w:t>
      </w:r>
      <w:r w:rsidR="00A82754" w:rsidRPr="00DC73C7">
        <w:rPr>
          <w:rFonts w:hAnsi="標楷體" w:hint="eastAsia"/>
          <w:color w:val="000000" w:themeColor="text1"/>
        </w:rPr>
        <w:t>為期減少</w:t>
      </w:r>
      <w:r w:rsidR="00B2273A" w:rsidRPr="00DC73C7">
        <w:rPr>
          <w:rFonts w:hAnsi="標楷體" w:hint="eastAsia"/>
          <w:color w:val="000000" w:themeColor="text1"/>
        </w:rPr>
        <w:t>爾後</w:t>
      </w:r>
      <w:r w:rsidR="00B553B7" w:rsidRPr="00DC73C7">
        <w:rPr>
          <w:rFonts w:hAnsi="標楷體" w:hint="eastAsia"/>
          <w:color w:val="000000" w:themeColor="text1"/>
        </w:rPr>
        <w:t>再生相類</w:t>
      </w:r>
      <w:r w:rsidR="00AB4416" w:rsidRPr="00DC73C7">
        <w:rPr>
          <w:rFonts w:hAnsi="標楷體" w:hint="eastAsia"/>
          <w:color w:val="000000" w:themeColor="text1"/>
        </w:rPr>
        <w:t>爭議案件，司法院</w:t>
      </w:r>
      <w:r w:rsidR="00385582" w:rsidRPr="00DC73C7">
        <w:rPr>
          <w:rFonts w:hAnsi="標楷體" w:hint="eastAsia"/>
          <w:color w:val="000000" w:themeColor="text1"/>
        </w:rPr>
        <w:t>允</w:t>
      </w:r>
      <w:r w:rsidR="00AB4416" w:rsidRPr="00DC73C7">
        <w:rPr>
          <w:rFonts w:hAnsi="標楷體" w:hint="eastAsia"/>
          <w:color w:val="000000" w:themeColor="text1"/>
        </w:rPr>
        <w:t>宜持續</w:t>
      </w:r>
      <w:r w:rsidR="00AB4416" w:rsidRPr="00DC73C7">
        <w:rPr>
          <w:rFonts w:hAnsi="標楷體" w:hint="eastAsia"/>
          <w:color w:val="000000" w:themeColor="text1"/>
        </w:rPr>
        <w:lastRenderedPageBreak/>
        <w:t>研謀精進判決主文明確性</w:t>
      </w:r>
      <w:r w:rsidR="00954C8D" w:rsidRPr="00DC73C7">
        <w:rPr>
          <w:rFonts w:hAnsi="標楷體" w:hint="eastAsia"/>
          <w:color w:val="000000" w:themeColor="text1"/>
        </w:rPr>
        <w:t>之改善措施或加強教育訓練</w:t>
      </w:r>
      <w:r w:rsidR="00AB4416" w:rsidRPr="00DC73C7">
        <w:rPr>
          <w:rFonts w:hAnsi="標楷體" w:hint="eastAsia"/>
          <w:color w:val="000000" w:themeColor="text1"/>
        </w:rPr>
        <w:t>，以免</w:t>
      </w:r>
      <w:r w:rsidR="00954C8D" w:rsidRPr="00DC73C7">
        <w:rPr>
          <w:rFonts w:hAnsi="標楷體" w:hint="eastAsia"/>
          <w:color w:val="000000" w:themeColor="text1"/>
        </w:rPr>
        <w:t>徒生無謂爭端，</w:t>
      </w:r>
      <w:r w:rsidR="00AB4416" w:rsidRPr="00DC73C7">
        <w:rPr>
          <w:rFonts w:hAnsi="標楷體" w:hint="eastAsia"/>
          <w:color w:val="000000" w:themeColor="text1"/>
        </w:rPr>
        <w:t>影響執行效率。</w:t>
      </w:r>
    </w:p>
    <w:p w:rsidR="00073CB5" w:rsidRPr="00DC73C7" w:rsidRDefault="007540FB" w:rsidP="00D25735">
      <w:pPr>
        <w:pStyle w:val="2"/>
        <w:rPr>
          <w:b/>
          <w:color w:val="000000" w:themeColor="text1"/>
        </w:rPr>
      </w:pPr>
      <w:r w:rsidRPr="00DC73C7">
        <w:rPr>
          <w:rFonts w:hAnsi="標楷體" w:hint="eastAsia"/>
          <w:b/>
          <w:color w:val="000000" w:themeColor="text1"/>
        </w:rPr>
        <w:t>本案執行法院</w:t>
      </w:r>
      <w:r w:rsidR="002B3583" w:rsidRPr="00DC73C7">
        <w:rPr>
          <w:rFonts w:hAnsi="標楷體" w:hint="eastAsia"/>
          <w:b/>
          <w:color w:val="000000" w:themeColor="text1"/>
        </w:rPr>
        <w:t>裁定駁回陳訴人之聲明異議及抗告</w:t>
      </w:r>
      <w:r w:rsidR="00982B05" w:rsidRPr="00DC73C7">
        <w:rPr>
          <w:rFonts w:hAnsi="標楷體" w:hint="eastAsia"/>
          <w:b/>
          <w:color w:val="000000" w:themeColor="text1"/>
        </w:rPr>
        <w:t>，</w:t>
      </w:r>
      <w:r w:rsidR="00170E3E" w:rsidRPr="00DC73C7">
        <w:rPr>
          <w:rFonts w:hAnsi="標楷體" w:hint="eastAsia"/>
          <w:b/>
          <w:color w:val="000000" w:themeColor="text1"/>
        </w:rPr>
        <w:t>業</w:t>
      </w:r>
      <w:r w:rsidR="00DE7ABB" w:rsidRPr="00DC73C7">
        <w:rPr>
          <w:rFonts w:hAnsi="標楷體" w:hint="eastAsia"/>
          <w:b/>
          <w:color w:val="000000" w:themeColor="text1"/>
        </w:rPr>
        <w:t>已詳述</w:t>
      </w:r>
      <w:r w:rsidR="00F04C3E" w:rsidRPr="00DC73C7">
        <w:rPr>
          <w:rFonts w:hAnsi="標楷體" w:hint="eastAsia"/>
          <w:b/>
          <w:color w:val="000000" w:themeColor="text1"/>
        </w:rPr>
        <w:t>所憑</w:t>
      </w:r>
      <w:r w:rsidR="00DE7ABB" w:rsidRPr="00DC73C7">
        <w:rPr>
          <w:rFonts w:hAnsi="標楷體" w:hint="eastAsia"/>
          <w:b/>
          <w:color w:val="000000" w:themeColor="text1"/>
        </w:rPr>
        <w:t>依據</w:t>
      </w:r>
      <w:r w:rsidR="00F04C3E" w:rsidRPr="00DC73C7">
        <w:rPr>
          <w:rFonts w:hAnsi="標楷體" w:hint="eastAsia"/>
          <w:b/>
          <w:color w:val="000000" w:themeColor="text1"/>
        </w:rPr>
        <w:t>及</w:t>
      </w:r>
      <w:r w:rsidR="00170E3E" w:rsidRPr="00DC73C7">
        <w:rPr>
          <w:rFonts w:hAnsi="標楷體" w:hint="eastAsia"/>
          <w:b/>
          <w:color w:val="000000" w:themeColor="text1"/>
        </w:rPr>
        <w:t>理由</w:t>
      </w:r>
      <w:r w:rsidR="00F04C3E" w:rsidRPr="00DC73C7">
        <w:rPr>
          <w:rFonts w:hAnsi="標楷體" w:hint="eastAsia"/>
          <w:b/>
          <w:color w:val="000000" w:themeColor="text1"/>
        </w:rPr>
        <w:t>，</w:t>
      </w:r>
      <w:r w:rsidR="0066544B" w:rsidRPr="00DC73C7">
        <w:rPr>
          <w:rFonts w:hAnsi="標楷體" w:hint="eastAsia"/>
          <w:b/>
          <w:color w:val="000000" w:themeColor="text1"/>
        </w:rPr>
        <w:t>尚無陳訴人所訴</w:t>
      </w:r>
      <w:r w:rsidR="000A45D2" w:rsidRPr="00DC73C7">
        <w:rPr>
          <w:rFonts w:hAnsi="標楷體" w:hint="eastAsia"/>
          <w:b/>
          <w:color w:val="000000" w:themeColor="text1"/>
        </w:rPr>
        <w:t>刻意</w:t>
      </w:r>
      <w:r w:rsidR="005A5B59" w:rsidRPr="00DC73C7">
        <w:rPr>
          <w:rFonts w:hAnsi="標楷體" w:hint="eastAsia"/>
          <w:b/>
          <w:color w:val="000000" w:themeColor="text1"/>
        </w:rPr>
        <w:t>曲解執行名義效力範圍</w:t>
      </w:r>
      <w:r w:rsidR="00D20F13" w:rsidRPr="00DC73C7">
        <w:rPr>
          <w:rFonts w:hAnsi="標楷體" w:hint="eastAsia"/>
          <w:b/>
          <w:color w:val="000000" w:themeColor="text1"/>
        </w:rPr>
        <w:t>之</w:t>
      </w:r>
      <w:r w:rsidR="00CD4FA4" w:rsidRPr="00DC73C7">
        <w:rPr>
          <w:rFonts w:hAnsi="標楷體" w:hint="eastAsia"/>
          <w:b/>
          <w:color w:val="000000" w:themeColor="text1"/>
        </w:rPr>
        <w:t>違失</w:t>
      </w:r>
      <w:r w:rsidR="00136CE1" w:rsidRPr="00DC73C7">
        <w:rPr>
          <w:rFonts w:hAnsi="標楷體" w:hint="eastAsia"/>
          <w:b/>
          <w:color w:val="000000" w:themeColor="text1"/>
        </w:rPr>
        <w:t>。</w:t>
      </w:r>
    </w:p>
    <w:p w:rsidR="00A03BD2" w:rsidRPr="00DC73C7" w:rsidRDefault="007540FB" w:rsidP="00B45191">
      <w:pPr>
        <w:pStyle w:val="3"/>
        <w:numPr>
          <w:ilvl w:val="0"/>
          <w:numId w:val="0"/>
        </w:numPr>
        <w:ind w:left="1022" w:firstLineChars="209" w:firstLine="711"/>
        <w:rPr>
          <w:color w:val="000000" w:themeColor="text1"/>
        </w:rPr>
      </w:pPr>
      <w:r w:rsidRPr="00DC73C7">
        <w:rPr>
          <w:rFonts w:hAnsi="標楷體" w:hint="eastAsia"/>
          <w:color w:val="000000" w:themeColor="text1"/>
        </w:rPr>
        <w:t>有關</w:t>
      </w:r>
      <w:r w:rsidR="007A7848" w:rsidRPr="00DC73C7">
        <w:rPr>
          <w:rFonts w:hAnsi="標楷體" w:hint="eastAsia"/>
          <w:color w:val="000000" w:themeColor="text1"/>
        </w:rPr>
        <w:t>陳訴人</w:t>
      </w:r>
      <w:r w:rsidR="0055373D" w:rsidRPr="00DC73C7">
        <w:rPr>
          <w:rFonts w:hAnsi="標楷體" w:hint="eastAsia"/>
          <w:color w:val="000000" w:themeColor="text1"/>
        </w:rPr>
        <w:t>訴</w:t>
      </w:r>
      <w:r w:rsidR="007A7848" w:rsidRPr="00DC73C7">
        <w:rPr>
          <w:rFonts w:hAnsi="標楷體" w:hint="eastAsia"/>
          <w:color w:val="000000" w:themeColor="text1"/>
        </w:rPr>
        <w:t>稱：</w:t>
      </w:r>
      <w:r w:rsidR="0055373D" w:rsidRPr="00DC73C7">
        <w:rPr>
          <w:rFonts w:hAnsi="標楷體" w:hint="eastAsia"/>
          <w:color w:val="000000" w:themeColor="text1"/>
        </w:rPr>
        <w:t>本案臺高院93年度上字第111號民事確定判決主文明載系爭大廈頂樓增建應拆除面積僅為22</w:t>
      </w:r>
      <w:r w:rsidR="00F3365F">
        <w:rPr>
          <w:rFonts w:hAnsi="標楷體" w:hint="eastAsia"/>
          <w:color w:val="000000" w:themeColor="text1"/>
        </w:rPr>
        <w:t>平方公尺，執行法院卻刻意曲解</w:t>
      </w:r>
      <w:r w:rsidR="0055373D" w:rsidRPr="00DC73C7">
        <w:rPr>
          <w:rFonts w:hAnsi="標楷體" w:hint="eastAsia"/>
          <w:color w:val="000000" w:themeColor="text1"/>
        </w:rPr>
        <w:t>該執行名義之效力範圍，逕予拆除逾越該面積之增建物等情一節，經查本案</w:t>
      </w:r>
      <w:r w:rsidR="00DB4D2B" w:rsidRPr="00DC73C7">
        <w:rPr>
          <w:rFonts w:hAnsi="標楷體" w:hint="eastAsia"/>
          <w:color w:val="000000" w:themeColor="text1"/>
        </w:rPr>
        <w:t>臺高</w:t>
      </w:r>
      <w:r w:rsidR="002944EC" w:rsidRPr="00DC73C7">
        <w:rPr>
          <w:rFonts w:hAnsi="標楷體" w:hint="eastAsia"/>
          <w:color w:val="000000" w:themeColor="text1"/>
        </w:rPr>
        <w:t>院96年度抗字第767號</w:t>
      </w:r>
      <w:r w:rsidR="00830220" w:rsidRPr="00DC73C7">
        <w:rPr>
          <w:rFonts w:hAnsi="標楷體" w:hint="eastAsia"/>
          <w:color w:val="000000" w:themeColor="text1"/>
        </w:rPr>
        <w:t>確定</w:t>
      </w:r>
      <w:r w:rsidR="002944EC" w:rsidRPr="00DC73C7">
        <w:rPr>
          <w:rFonts w:hAnsi="標楷體" w:hint="eastAsia"/>
          <w:color w:val="000000" w:themeColor="text1"/>
        </w:rPr>
        <w:t>裁定</w:t>
      </w:r>
      <w:r w:rsidR="0055373D" w:rsidRPr="00DC73C7">
        <w:rPr>
          <w:rFonts w:hAnsi="標楷體" w:hint="eastAsia"/>
          <w:color w:val="000000" w:themeColor="text1"/>
        </w:rPr>
        <w:t>，駁回陳訴人</w:t>
      </w:r>
      <w:r w:rsidR="00396085" w:rsidRPr="00DC73C7">
        <w:rPr>
          <w:rFonts w:hAnsi="標楷體" w:hint="eastAsia"/>
          <w:color w:val="000000" w:themeColor="text1"/>
        </w:rPr>
        <w:t>之</w:t>
      </w:r>
      <w:r w:rsidR="0055373D" w:rsidRPr="00DC73C7">
        <w:rPr>
          <w:rFonts w:hAnsi="標楷體" w:hint="eastAsia"/>
          <w:color w:val="000000" w:themeColor="text1"/>
        </w:rPr>
        <w:t>抗告，已於</w:t>
      </w:r>
      <w:r w:rsidR="00396085" w:rsidRPr="00DC73C7">
        <w:rPr>
          <w:rFonts w:hAnsi="標楷體" w:hint="eastAsia"/>
          <w:color w:val="000000" w:themeColor="text1"/>
        </w:rPr>
        <w:t>裁定理由中說</w:t>
      </w:r>
      <w:r w:rsidR="0055373D" w:rsidRPr="00DC73C7">
        <w:rPr>
          <w:rFonts w:hAnsi="標楷體" w:hint="eastAsia"/>
          <w:color w:val="000000" w:themeColor="text1"/>
        </w:rPr>
        <w:t>明</w:t>
      </w:r>
      <w:r w:rsidR="002944EC" w:rsidRPr="00DC73C7">
        <w:rPr>
          <w:rFonts w:hAnsi="標楷體" w:hint="eastAsia"/>
          <w:color w:val="000000" w:themeColor="text1"/>
        </w:rPr>
        <w:t>：「</w:t>
      </w:r>
      <w:r w:rsidR="0055373D" w:rsidRPr="00DC73C7">
        <w:rPr>
          <w:rFonts w:hAnsi="標楷體" w:hint="eastAsia"/>
          <w:color w:val="000000" w:themeColor="text1"/>
        </w:rPr>
        <w:t>一、按強制執行，依左列執行名義為之：（一）確定之終局判決。強制執行法第4條第1項第1款定有明文。而執行名義為確定判決時，應以該判決之內容為根據。判決之執行，應依主文所表示，主文不明時，始得參照理由加以解釋。最高法院19年抗字第219號、18年抗字第241號判例可資參照。</w:t>
      </w:r>
      <w:r w:rsidR="0055373D" w:rsidRPr="00DC73C7">
        <w:rPr>
          <w:rFonts w:hAnsi="標楷體"/>
          <w:color w:val="000000" w:themeColor="text1"/>
        </w:rPr>
        <w:t>……</w:t>
      </w:r>
      <w:r w:rsidR="00C73BFE" w:rsidRPr="00DC73C7">
        <w:rPr>
          <w:rFonts w:hAnsi="標楷體" w:hint="eastAsia"/>
          <w:color w:val="000000" w:themeColor="text1"/>
        </w:rPr>
        <w:t>三、</w:t>
      </w:r>
      <w:r w:rsidR="002944EC" w:rsidRPr="00DC73C7">
        <w:rPr>
          <w:rFonts w:hAnsi="標楷體"/>
          <w:color w:val="000000" w:themeColor="text1"/>
        </w:rPr>
        <w:t>……</w:t>
      </w:r>
      <w:r w:rsidR="002944EC" w:rsidRPr="00DC73C7">
        <w:rPr>
          <w:rFonts w:hAnsi="標楷體" w:hint="eastAsia"/>
          <w:color w:val="000000" w:themeColor="text1"/>
        </w:rPr>
        <w:t>(二)就頂樓增建應拆除之範圍部分，參照判決事實及理由欄所載，相對人係主張抗告人在屋頂平台如附圖B、C部分加蓋違章建物使用而請求拆除，上開第二審判決並認屋頂突出物部分，雖僅登記為48點82平方公尺，但尚有突一層（二樓）、突二層（三樓）部分之面積，非屬系爭屋頂突出物登記之範圍，抗告人就屋頂突出物排他使用，並逕為增建部分（原判決附圖B、C所示之建物），枉顧其他住戶之居住安全，違反原本依法使用之目的，相對人自得本於物上請求權，請求抗告人除去之（參照該判決事實及理由五）。是以所謂『坐落上開建物屋頂平台上，如附圖B、C部分所示，面積合計22平方公尺之頂樓增建』，應係以屋頂平台面積為準，凡係坐落於該屋頂平台上，如附圖B、C部分所示，面積合計22平方公</w:t>
      </w:r>
      <w:r w:rsidR="002944EC" w:rsidRPr="00DC73C7">
        <w:rPr>
          <w:rFonts w:hAnsi="標楷體" w:hint="eastAsia"/>
          <w:color w:val="000000" w:themeColor="text1"/>
        </w:rPr>
        <w:lastRenderedPageBreak/>
        <w:t>尺上之頂樓增建部分，無論其層數，均屬本件執行名義效力所及而應予拆除。原裁定認抗告人之聲明異議為無理由，核無不合。」</w:t>
      </w:r>
      <w:r w:rsidR="00F04C3E" w:rsidRPr="00DC73C7">
        <w:rPr>
          <w:rFonts w:hAnsi="標楷體" w:hint="eastAsia"/>
          <w:color w:val="000000" w:themeColor="text1"/>
        </w:rPr>
        <w:t>業</w:t>
      </w:r>
      <w:r w:rsidR="00DE7ABB" w:rsidRPr="00DC73C7">
        <w:rPr>
          <w:rFonts w:hAnsi="標楷體" w:hint="eastAsia"/>
          <w:color w:val="000000" w:themeColor="text1"/>
        </w:rPr>
        <w:t>已詳述</w:t>
      </w:r>
      <w:r w:rsidR="00D969FF" w:rsidRPr="00DC73C7">
        <w:rPr>
          <w:rFonts w:hAnsi="標楷體" w:hint="eastAsia"/>
          <w:color w:val="000000" w:themeColor="text1"/>
        </w:rPr>
        <w:t>執行法院</w:t>
      </w:r>
      <w:r w:rsidR="00396085" w:rsidRPr="00DC73C7">
        <w:rPr>
          <w:rFonts w:hAnsi="標楷體" w:hint="eastAsia"/>
          <w:color w:val="000000" w:themeColor="text1"/>
        </w:rPr>
        <w:t>裁定駁回之依據及理由</w:t>
      </w:r>
      <w:r w:rsidR="00F04C3E" w:rsidRPr="00DC73C7">
        <w:rPr>
          <w:rFonts w:hAnsi="標楷體" w:hint="eastAsia"/>
          <w:color w:val="000000" w:themeColor="text1"/>
        </w:rPr>
        <w:t>，</w:t>
      </w:r>
      <w:r w:rsidR="00DE7ABB" w:rsidRPr="00DC73C7">
        <w:rPr>
          <w:rFonts w:hAnsi="標楷體" w:hint="eastAsia"/>
          <w:color w:val="000000" w:themeColor="text1"/>
        </w:rPr>
        <w:t>尚</w:t>
      </w:r>
      <w:r w:rsidR="003979E4" w:rsidRPr="00DC73C7">
        <w:rPr>
          <w:rFonts w:hAnsi="標楷體" w:hint="eastAsia"/>
          <w:color w:val="000000" w:themeColor="text1"/>
        </w:rPr>
        <w:t>無陳訴人所訴</w:t>
      </w:r>
      <w:r w:rsidR="00654104" w:rsidRPr="00DC73C7">
        <w:rPr>
          <w:rFonts w:hAnsi="標楷體" w:hint="eastAsia"/>
          <w:color w:val="000000" w:themeColor="text1"/>
        </w:rPr>
        <w:t>刻意曲解執行名義效力範圍</w:t>
      </w:r>
      <w:r w:rsidR="003979E4" w:rsidRPr="00DC73C7">
        <w:rPr>
          <w:rFonts w:hAnsi="標楷體" w:hint="eastAsia"/>
          <w:color w:val="000000" w:themeColor="text1"/>
        </w:rPr>
        <w:t>之</w:t>
      </w:r>
      <w:r w:rsidR="00654104" w:rsidRPr="00DC73C7">
        <w:rPr>
          <w:rFonts w:hAnsi="標楷體" w:hint="eastAsia"/>
          <w:color w:val="000000" w:themeColor="text1"/>
        </w:rPr>
        <w:t>違失</w:t>
      </w:r>
      <w:r w:rsidR="00736EDA" w:rsidRPr="00DC73C7">
        <w:rPr>
          <w:rFonts w:hAnsi="標楷體" w:hint="eastAsia"/>
          <w:color w:val="000000" w:themeColor="text1"/>
        </w:rPr>
        <w:t>。</w:t>
      </w:r>
    </w:p>
    <w:p w:rsidR="00E25849" w:rsidRPr="00DC73C7" w:rsidRDefault="00E25849" w:rsidP="004E05A1">
      <w:pPr>
        <w:pStyle w:val="1"/>
        <w:ind w:left="2380" w:hanging="2380"/>
        <w:rPr>
          <w:color w:val="000000" w:themeColor="text1"/>
        </w:rPr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bookmarkEnd w:id="49"/>
      <w:r w:rsidRPr="00DC73C7">
        <w:rPr>
          <w:rFonts w:hint="eastAsia"/>
          <w:color w:val="000000" w:themeColor="text1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FB7770" w:rsidRPr="00DC73C7" w:rsidRDefault="00553987" w:rsidP="00770453">
      <w:pPr>
        <w:pStyle w:val="2"/>
        <w:spacing w:beforeLines="25" w:before="114"/>
        <w:ind w:left="1020" w:hanging="680"/>
        <w:rPr>
          <w:color w:val="000000" w:themeColor="text1"/>
        </w:rPr>
      </w:pPr>
      <w:bookmarkStart w:id="74" w:name="_Toc524895649"/>
      <w:bookmarkStart w:id="75" w:name="_Toc524896195"/>
      <w:bookmarkStart w:id="76" w:name="_Toc524896225"/>
      <w:bookmarkStart w:id="77" w:name="_Toc70241820"/>
      <w:bookmarkStart w:id="78" w:name="_Toc70242209"/>
      <w:bookmarkStart w:id="79" w:name="_Toc421794876"/>
      <w:bookmarkStart w:id="80" w:name="_Toc421795442"/>
      <w:bookmarkStart w:id="81" w:name="_Toc421796023"/>
      <w:bookmarkStart w:id="82" w:name="_Toc422728958"/>
      <w:bookmarkStart w:id="83" w:name="_Toc422834161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4"/>
      <w:bookmarkEnd w:id="75"/>
      <w:bookmarkEnd w:id="76"/>
      <w:r w:rsidRPr="00DC73C7">
        <w:rPr>
          <w:rFonts w:hint="eastAsia"/>
          <w:color w:val="000000" w:themeColor="text1"/>
        </w:rPr>
        <w:t>調查意見一，函請司法院研處</w:t>
      </w:r>
      <w:r w:rsidR="00527FE3" w:rsidRPr="00DC73C7">
        <w:rPr>
          <w:rFonts w:hint="eastAsia"/>
          <w:color w:val="000000" w:themeColor="text1"/>
        </w:rPr>
        <w:t>見復</w:t>
      </w:r>
      <w:r w:rsidR="00FB7770" w:rsidRPr="00DC73C7">
        <w:rPr>
          <w:rFonts w:hAnsi="標楷體" w:hint="eastAsia"/>
          <w:color w:val="000000" w:themeColor="text1"/>
        </w:rPr>
        <w:t>。</w:t>
      </w:r>
      <w:bookmarkEnd w:id="77"/>
      <w:bookmarkEnd w:id="78"/>
      <w:bookmarkEnd w:id="79"/>
      <w:bookmarkEnd w:id="80"/>
      <w:bookmarkEnd w:id="81"/>
      <w:bookmarkEnd w:id="82"/>
      <w:bookmarkEnd w:id="83"/>
    </w:p>
    <w:p w:rsidR="00560DDA" w:rsidRPr="00DC73C7" w:rsidRDefault="00527FE3" w:rsidP="00560DDA">
      <w:pPr>
        <w:pStyle w:val="2"/>
        <w:rPr>
          <w:color w:val="000000" w:themeColor="text1"/>
        </w:rPr>
      </w:pPr>
      <w:bookmarkStart w:id="103" w:name="_Toc70241819"/>
      <w:bookmarkStart w:id="104" w:name="_Toc70242208"/>
      <w:bookmarkStart w:id="105" w:name="_Toc421794878"/>
      <w:bookmarkStart w:id="106" w:name="_Toc421795444"/>
      <w:bookmarkStart w:id="107" w:name="_Toc421796025"/>
      <w:bookmarkStart w:id="108" w:name="_Toc422728960"/>
      <w:bookmarkStart w:id="109" w:name="_Toc422834163"/>
      <w:bookmarkStart w:id="110" w:name="_Toc70241818"/>
      <w:bookmarkStart w:id="111" w:name="_Toc70242207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DC73C7">
        <w:rPr>
          <w:rFonts w:hint="eastAsia"/>
          <w:color w:val="000000" w:themeColor="text1"/>
        </w:rPr>
        <w:t>調查意見，</w:t>
      </w:r>
      <w:r w:rsidR="00560DDA" w:rsidRPr="00DC73C7">
        <w:rPr>
          <w:rFonts w:hint="eastAsia"/>
          <w:color w:val="000000" w:themeColor="text1"/>
        </w:rPr>
        <w:t>函復陳訴人。</w:t>
      </w:r>
      <w:bookmarkEnd w:id="103"/>
      <w:bookmarkEnd w:id="104"/>
      <w:bookmarkEnd w:id="105"/>
      <w:bookmarkEnd w:id="106"/>
      <w:bookmarkEnd w:id="107"/>
      <w:bookmarkEnd w:id="108"/>
      <w:bookmarkEnd w:id="109"/>
    </w:p>
    <w:p w:rsidR="00E25849" w:rsidRPr="00DC73C7" w:rsidRDefault="00E25849">
      <w:pPr>
        <w:pStyle w:val="2"/>
        <w:rPr>
          <w:color w:val="000000" w:themeColor="text1"/>
        </w:rPr>
      </w:pPr>
      <w:bookmarkStart w:id="112" w:name="_Toc2400397"/>
      <w:bookmarkStart w:id="113" w:name="_Toc4316191"/>
      <w:bookmarkStart w:id="114" w:name="_Toc4473332"/>
      <w:bookmarkStart w:id="115" w:name="_Toc69556901"/>
      <w:bookmarkStart w:id="116" w:name="_Toc69556950"/>
      <w:bookmarkStart w:id="117" w:name="_Toc69609824"/>
      <w:bookmarkStart w:id="118" w:name="_Toc70241822"/>
      <w:bookmarkStart w:id="119" w:name="_Toc70242211"/>
      <w:bookmarkStart w:id="120" w:name="_Toc421794881"/>
      <w:bookmarkStart w:id="121" w:name="_Toc421795447"/>
      <w:bookmarkStart w:id="122" w:name="_Toc421796028"/>
      <w:bookmarkStart w:id="123" w:name="_Toc422728963"/>
      <w:bookmarkStart w:id="124" w:name="_Toc42283416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10"/>
      <w:bookmarkEnd w:id="111"/>
      <w:r w:rsidRPr="00DC73C7">
        <w:rPr>
          <w:rFonts w:hint="eastAsia"/>
          <w:color w:val="000000" w:themeColor="text1"/>
        </w:rPr>
        <w:t>檢</w:t>
      </w:r>
      <w:r w:rsidR="00527FE3" w:rsidRPr="00DC73C7">
        <w:rPr>
          <w:rFonts w:hint="eastAsia"/>
          <w:color w:val="000000" w:themeColor="text1"/>
        </w:rPr>
        <w:t>附派查函</w:t>
      </w:r>
      <w:bookmarkStart w:id="125" w:name="_GoBack"/>
      <w:bookmarkEnd w:id="125"/>
      <w:r w:rsidR="00527FE3" w:rsidRPr="00DC73C7">
        <w:rPr>
          <w:rFonts w:hint="eastAsia"/>
          <w:color w:val="000000" w:themeColor="text1"/>
        </w:rPr>
        <w:t>及相關附件，送請司法及獄政</w:t>
      </w:r>
      <w:r w:rsidRPr="00DC73C7">
        <w:rPr>
          <w:rFonts w:hint="eastAsia"/>
          <w:color w:val="000000" w:themeColor="text1"/>
        </w:rPr>
        <w:t>委員會處理。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770453" w:rsidRPr="00DC73C7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E25849" w:rsidRPr="00DC73C7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DC73C7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6C1BD6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劉德勳</w:t>
      </w:r>
    </w:p>
    <w:p w:rsidR="00461253" w:rsidRPr="00DC73C7" w:rsidRDefault="004612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770453" w:rsidRPr="00DC73C7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E25849" w:rsidRPr="00DC73C7" w:rsidRDefault="00E25849">
      <w:pPr>
        <w:pStyle w:val="af"/>
        <w:rPr>
          <w:rFonts w:hAnsi="標楷體"/>
          <w:bCs/>
          <w:color w:val="000000" w:themeColor="text1"/>
        </w:rPr>
      </w:pPr>
      <w:r w:rsidRPr="00DC73C7">
        <w:rPr>
          <w:rFonts w:hAnsi="標楷體" w:hint="eastAsia"/>
          <w:bCs/>
          <w:color w:val="000000" w:themeColor="text1"/>
        </w:rPr>
        <w:t>中</w:t>
      </w:r>
      <w:r w:rsidR="00B5484D" w:rsidRPr="00DC73C7">
        <w:rPr>
          <w:rFonts w:hAnsi="標楷體" w:hint="eastAsia"/>
          <w:bCs/>
          <w:color w:val="000000" w:themeColor="text1"/>
        </w:rPr>
        <w:t xml:space="preserve">  </w:t>
      </w:r>
      <w:r w:rsidRPr="00DC73C7">
        <w:rPr>
          <w:rFonts w:hAnsi="標楷體" w:hint="eastAsia"/>
          <w:bCs/>
          <w:color w:val="000000" w:themeColor="text1"/>
        </w:rPr>
        <w:t>華</w:t>
      </w:r>
      <w:r w:rsidR="00B5484D" w:rsidRPr="00DC73C7">
        <w:rPr>
          <w:rFonts w:hAnsi="標楷體" w:hint="eastAsia"/>
          <w:bCs/>
          <w:color w:val="000000" w:themeColor="text1"/>
        </w:rPr>
        <w:t xml:space="preserve">  </w:t>
      </w:r>
      <w:r w:rsidRPr="00DC73C7">
        <w:rPr>
          <w:rFonts w:hAnsi="標楷體" w:hint="eastAsia"/>
          <w:bCs/>
          <w:color w:val="000000" w:themeColor="text1"/>
        </w:rPr>
        <w:t>民</w:t>
      </w:r>
      <w:r w:rsidR="00B5484D" w:rsidRPr="00DC73C7">
        <w:rPr>
          <w:rFonts w:hAnsi="標楷體" w:hint="eastAsia"/>
          <w:bCs/>
          <w:color w:val="000000" w:themeColor="text1"/>
        </w:rPr>
        <w:t xml:space="preserve">  </w:t>
      </w:r>
      <w:r w:rsidRPr="00DC73C7">
        <w:rPr>
          <w:rFonts w:hAnsi="標楷體" w:hint="eastAsia"/>
          <w:bCs/>
          <w:color w:val="000000" w:themeColor="text1"/>
        </w:rPr>
        <w:t xml:space="preserve">國　</w:t>
      </w:r>
      <w:r w:rsidR="001E74C2" w:rsidRPr="00DC73C7">
        <w:rPr>
          <w:rFonts w:hAnsi="標楷體" w:hint="eastAsia"/>
          <w:bCs/>
          <w:color w:val="000000" w:themeColor="text1"/>
        </w:rPr>
        <w:t>10</w:t>
      </w:r>
      <w:r w:rsidR="00B45191">
        <w:rPr>
          <w:rFonts w:hAnsi="標楷體" w:hint="eastAsia"/>
          <w:bCs/>
          <w:color w:val="000000" w:themeColor="text1"/>
        </w:rPr>
        <w:t>9</w:t>
      </w:r>
      <w:r w:rsidRPr="00DC73C7">
        <w:rPr>
          <w:rFonts w:hAnsi="標楷體" w:hint="eastAsia"/>
          <w:bCs/>
          <w:color w:val="000000" w:themeColor="text1"/>
        </w:rPr>
        <w:t xml:space="preserve">　年　</w:t>
      </w:r>
      <w:r w:rsidR="00B45191">
        <w:rPr>
          <w:rFonts w:hAnsi="標楷體" w:hint="eastAsia"/>
          <w:bCs/>
          <w:color w:val="000000" w:themeColor="text1"/>
        </w:rPr>
        <w:t>1</w:t>
      </w:r>
      <w:r w:rsidR="00A07B4B" w:rsidRPr="00DC73C7">
        <w:rPr>
          <w:rFonts w:hAnsi="標楷體" w:hint="eastAsia"/>
          <w:bCs/>
          <w:color w:val="000000" w:themeColor="text1"/>
        </w:rPr>
        <w:t xml:space="preserve"> </w:t>
      </w:r>
      <w:r w:rsidRPr="00DC73C7">
        <w:rPr>
          <w:rFonts w:hAnsi="標楷體" w:hint="eastAsia"/>
          <w:bCs/>
          <w:color w:val="000000" w:themeColor="text1"/>
        </w:rPr>
        <w:t xml:space="preserve">　月　　</w:t>
      </w:r>
      <w:r w:rsidR="006C1BD6">
        <w:rPr>
          <w:rFonts w:hAnsi="標楷體" w:hint="eastAsia"/>
          <w:bCs/>
          <w:color w:val="000000" w:themeColor="text1"/>
        </w:rPr>
        <w:t>15</w:t>
      </w:r>
      <w:r w:rsidR="00461253" w:rsidRPr="00DC73C7">
        <w:rPr>
          <w:rFonts w:hAnsi="標楷體" w:hint="eastAsia"/>
          <w:bCs/>
          <w:color w:val="000000" w:themeColor="text1"/>
        </w:rPr>
        <w:t xml:space="preserve">　</w:t>
      </w:r>
      <w:r w:rsidRPr="00DC73C7">
        <w:rPr>
          <w:rFonts w:hAnsi="標楷體" w:hint="eastAsia"/>
          <w:bCs/>
          <w:color w:val="000000" w:themeColor="text1"/>
        </w:rPr>
        <w:t xml:space="preserve">　日</w:t>
      </w:r>
    </w:p>
    <w:sectPr w:rsidR="00E25849" w:rsidRPr="00DC73C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37" w:rsidRDefault="00957B37">
      <w:r>
        <w:separator/>
      </w:r>
    </w:p>
  </w:endnote>
  <w:endnote w:type="continuationSeparator" w:id="0">
    <w:p w:rsidR="00957B37" w:rsidRDefault="0095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3D" w:rsidRDefault="0055373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FF4343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55373D" w:rsidRDefault="0055373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37" w:rsidRDefault="00957B37">
      <w:r>
        <w:separator/>
      </w:r>
    </w:p>
  </w:footnote>
  <w:footnote w:type="continuationSeparator" w:id="0">
    <w:p w:rsidR="00957B37" w:rsidRDefault="00957B37">
      <w:r>
        <w:continuationSeparator/>
      </w:r>
    </w:p>
  </w:footnote>
  <w:footnote w:id="1">
    <w:p w:rsidR="0055373D" w:rsidRDefault="0055373D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最高法院73年台上字第3292號判例意旨指出</w:t>
      </w:r>
      <w:r>
        <w:rPr>
          <w:rFonts w:hAnsi="標楷體" w:hint="eastAsia"/>
        </w:rPr>
        <w:t>：「</w:t>
      </w:r>
      <w:r>
        <w:rPr>
          <w:rFonts w:hint="eastAsia"/>
        </w:rPr>
        <w:t>民事訴訟法第4</w:t>
      </w:r>
      <w:r>
        <w:t>00</w:t>
      </w:r>
      <w:r>
        <w:rPr>
          <w:rFonts w:hint="eastAsia"/>
        </w:rPr>
        <w:t>條第1項規定確定判決之既判力</w:t>
      </w:r>
      <w:r>
        <w:rPr>
          <w:rFonts w:hAnsi="標楷體" w:hint="eastAsia"/>
        </w:rPr>
        <w:t>，</w:t>
      </w:r>
      <w:r>
        <w:rPr>
          <w:rFonts w:hint="eastAsia"/>
        </w:rPr>
        <w:t>惟於判決主文所判斷之訴訟標的</w:t>
      </w:r>
      <w:r>
        <w:rPr>
          <w:rFonts w:hAnsi="標楷體" w:hint="eastAsia"/>
        </w:rPr>
        <w:t>，</w:t>
      </w:r>
      <w:r>
        <w:rPr>
          <w:rFonts w:hint="eastAsia"/>
        </w:rPr>
        <w:t>始可發生</w:t>
      </w:r>
      <w:r>
        <w:rPr>
          <w:rFonts w:hAnsi="標楷體"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020CD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248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7BD"/>
    <w:rsid w:val="00006961"/>
    <w:rsid w:val="000112BF"/>
    <w:rsid w:val="00012233"/>
    <w:rsid w:val="00017318"/>
    <w:rsid w:val="000229AD"/>
    <w:rsid w:val="000233A5"/>
    <w:rsid w:val="000246F7"/>
    <w:rsid w:val="0002604D"/>
    <w:rsid w:val="0003114D"/>
    <w:rsid w:val="00036D76"/>
    <w:rsid w:val="00051E24"/>
    <w:rsid w:val="00052A4A"/>
    <w:rsid w:val="00057F32"/>
    <w:rsid w:val="00062A25"/>
    <w:rsid w:val="0006653C"/>
    <w:rsid w:val="00072B06"/>
    <w:rsid w:val="00073CB5"/>
    <w:rsid w:val="0007425C"/>
    <w:rsid w:val="000752B7"/>
    <w:rsid w:val="00077553"/>
    <w:rsid w:val="0007791C"/>
    <w:rsid w:val="00083734"/>
    <w:rsid w:val="000840B5"/>
    <w:rsid w:val="000851A2"/>
    <w:rsid w:val="0009352E"/>
    <w:rsid w:val="000935BA"/>
    <w:rsid w:val="00096B96"/>
    <w:rsid w:val="00096CDD"/>
    <w:rsid w:val="000974EC"/>
    <w:rsid w:val="000A2F3F"/>
    <w:rsid w:val="000A45D2"/>
    <w:rsid w:val="000A519C"/>
    <w:rsid w:val="000B0B4A"/>
    <w:rsid w:val="000B279A"/>
    <w:rsid w:val="000B61D2"/>
    <w:rsid w:val="000B70A7"/>
    <w:rsid w:val="000B73DD"/>
    <w:rsid w:val="000C495F"/>
    <w:rsid w:val="000D2CD7"/>
    <w:rsid w:val="000D66D9"/>
    <w:rsid w:val="000E6431"/>
    <w:rsid w:val="000F21A5"/>
    <w:rsid w:val="000F383A"/>
    <w:rsid w:val="000F74BF"/>
    <w:rsid w:val="00101411"/>
    <w:rsid w:val="00102B9F"/>
    <w:rsid w:val="001059A1"/>
    <w:rsid w:val="0011216F"/>
    <w:rsid w:val="00112637"/>
    <w:rsid w:val="00112ABC"/>
    <w:rsid w:val="00117C63"/>
    <w:rsid w:val="0012001E"/>
    <w:rsid w:val="00121E21"/>
    <w:rsid w:val="00126A55"/>
    <w:rsid w:val="00132AAE"/>
    <w:rsid w:val="00133F08"/>
    <w:rsid w:val="001345E6"/>
    <w:rsid w:val="00136CE1"/>
    <w:rsid w:val="001378B0"/>
    <w:rsid w:val="00142E00"/>
    <w:rsid w:val="00152793"/>
    <w:rsid w:val="00153B7E"/>
    <w:rsid w:val="00154523"/>
    <w:rsid w:val="001545A9"/>
    <w:rsid w:val="00162ECC"/>
    <w:rsid w:val="001637C7"/>
    <w:rsid w:val="0016480E"/>
    <w:rsid w:val="001667D3"/>
    <w:rsid w:val="00170E3E"/>
    <w:rsid w:val="00174297"/>
    <w:rsid w:val="00180E06"/>
    <w:rsid w:val="001817B3"/>
    <w:rsid w:val="00182398"/>
    <w:rsid w:val="00183014"/>
    <w:rsid w:val="001959C2"/>
    <w:rsid w:val="001A1885"/>
    <w:rsid w:val="001A51E3"/>
    <w:rsid w:val="001A5365"/>
    <w:rsid w:val="001A7968"/>
    <w:rsid w:val="001B2E98"/>
    <w:rsid w:val="001B3483"/>
    <w:rsid w:val="001B3C1E"/>
    <w:rsid w:val="001B4494"/>
    <w:rsid w:val="001C0D8B"/>
    <w:rsid w:val="001C0DA8"/>
    <w:rsid w:val="001C7D39"/>
    <w:rsid w:val="001D160C"/>
    <w:rsid w:val="001D4AD7"/>
    <w:rsid w:val="001E0D8A"/>
    <w:rsid w:val="001E67BA"/>
    <w:rsid w:val="001E74C2"/>
    <w:rsid w:val="001F20DC"/>
    <w:rsid w:val="001F4F82"/>
    <w:rsid w:val="001F5A48"/>
    <w:rsid w:val="001F6260"/>
    <w:rsid w:val="00200007"/>
    <w:rsid w:val="002030A5"/>
    <w:rsid w:val="00203131"/>
    <w:rsid w:val="00212E88"/>
    <w:rsid w:val="00213C9C"/>
    <w:rsid w:val="0021710C"/>
    <w:rsid w:val="0022009E"/>
    <w:rsid w:val="00223241"/>
    <w:rsid w:val="0022425C"/>
    <w:rsid w:val="002246DE"/>
    <w:rsid w:val="00236182"/>
    <w:rsid w:val="0024010D"/>
    <w:rsid w:val="00241557"/>
    <w:rsid w:val="002429E2"/>
    <w:rsid w:val="00252BC4"/>
    <w:rsid w:val="00254014"/>
    <w:rsid w:val="00254B39"/>
    <w:rsid w:val="00262381"/>
    <w:rsid w:val="0026504D"/>
    <w:rsid w:val="00272556"/>
    <w:rsid w:val="00273A2F"/>
    <w:rsid w:val="00276BBD"/>
    <w:rsid w:val="00277D19"/>
    <w:rsid w:val="00280986"/>
    <w:rsid w:val="00281ECE"/>
    <w:rsid w:val="002831C7"/>
    <w:rsid w:val="002840C6"/>
    <w:rsid w:val="002921B8"/>
    <w:rsid w:val="002938A9"/>
    <w:rsid w:val="002944EC"/>
    <w:rsid w:val="00295174"/>
    <w:rsid w:val="00296172"/>
    <w:rsid w:val="00296B92"/>
    <w:rsid w:val="002A2C22"/>
    <w:rsid w:val="002B02EB"/>
    <w:rsid w:val="002B1F0D"/>
    <w:rsid w:val="002B3583"/>
    <w:rsid w:val="002C0602"/>
    <w:rsid w:val="002C61B1"/>
    <w:rsid w:val="002D1A48"/>
    <w:rsid w:val="002D5C16"/>
    <w:rsid w:val="002E2A1F"/>
    <w:rsid w:val="002E4CD6"/>
    <w:rsid w:val="002F2476"/>
    <w:rsid w:val="002F3DFF"/>
    <w:rsid w:val="002F508E"/>
    <w:rsid w:val="002F5E05"/>
    <w:rsid w:val="00307A76"/>
    <w:rsid w:val="003117C0"/>
    <w:rsid w:val="0031455E"/>
    <w:rsid w:val="00315A16"/>
    <w:rsid w:val="00315F25"/>
    <w:rsid w:val="00317053"/>
    <w:rsid w:val="0032109C"/>
    <w:rsid w:val="00322B45"/>
    <w:rsid w:val="00323809"/>
    <w:rsid w:val="00323D28"/>
    <w:rsid w:val="00323D41"/>
    <w:rsid w:val="00325414"/>
    <w:rsid w:val="003302F1"/>
    <w:rsid w:val="00334525"/>
    <w:rsid w:val="00336F0F"/>
    <w:rsid w:val="0034470E"/>
    <w:rsid w:val="00352A37"/>
    <w:rsid w:val="00352DB0"/>
    <w:rsid w:val="00361063"/>
    <w:rsid w:val="0036297E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0E7"/>
    <w:rsid w:val="00384724"/>
    <w:rsid w:val="00385582"/>
    <w:rsid w:val="003919B7"/>
    <w:rsid w:val="00391D57"/>
    <w:rsid w:val="00392292"/>
    <w:rsid w:val="00392A81"/>
    <w:rsid w:val="00394F45"/>
    <w:rsid w:val="00396085"/>
    <w:rsid w:val="003979E4"/>
    <w:rsid w:val="003A5927"/>
    <w:rsid w:val="003B1017"/>
    <w:rsid w:val="003B3C07"/>
    <w:rsid w:val="003B59D8"/>
    <w:rsid w:val="003B6081"/>
    <w:rsid w:val="003B6775"/>
    <w:rsid w:val="003C2EB4"/>
    <w:rsid w:val="003C5FE2"/>
    <w:rsid w:val="003D05FB"/>
    <w:rsid w:val="003D1B16"/>
    <w:rsid w:val="003D37E3"/>
    <w:rsid w:val="003D3E71"/>
    <w:rsid w:val="003D45BF"/>
    <w:rsid w:val="003D508A"/>
    <w:rsid w:val="003D537F"/>
    <w:rsid w:val="003D7B75"/>
    <w:rsid w:val="003E0208"/>
    <w:rsid w:val="003E3B23"/>
    <w:rsid w:val="003E4B57"/>
    <w:rsid w:val="003E61E9"/>
    <w:rsid w:val="003F27E1"/>
    <w:rsid w:val="003F437A"/>
    <w:rsid w:val="003F5191"/>
    <w:rsid w:val="003F5C2B"/>
    <w:rsid w:val="00402240"/>
    <w:rsid w:val="004023E9"/>
    <w:rsid w:val="004040C9"/>
    <w:rsid w:val="0040454A"/>
    <w:rsid w:val="00413BB1"/>
    <w:rsid w:val="00413F83"/>
    <w:rsid w:val="0041490C"/>
    <w:rsid w:val="00416191"/>
    <w:rsid w:val="00416721"/>
    <w:rsid w:val="00421EF0"/>
    <w:rsid w:val="004224FA"/>
    <w:rsid w:val="00423D07"/>
    <w:rsid w:val="00427936"/>
    <w:rsid w:val="00427B79"/>
    <w:rsid w:val="00432196"/>
    <w:rsid w:val="0044346F"/>
    <w:rsid w:val="00453FF6"/>
    <w:rsid w:val="00456CC6"/>
    <w:rsid w:val="00461253"/>
    <w:rsid w:val="0046520A"/>
    <w:rsid w:val="004672AB"/>
    <w:rsid w:val="004714FE"/>
    <w:rsid w:val="00477BAA"/>
    <w:rsid w:val="00495053"/>
    <w:rsid w:val="004976D7"/>
    <w:rsid w:val="004A1F59"/>
    <w:rsid w:val="004A29BE"/>
    <w:rsid w:val="004A3225"/>
    <w:rsid w:val="004A33EE"/>
    <w:rsid w:val="004A3AA8"/>
    <w:rsid w:val="004A6A58"/>
    <w:rsid w:val="004B13C7"/>
    <w:rsid w:val="004B4419"/>
    <w:rsid w:val="004B778F"/>
    <w:rsid w:val="004C0609"/>
    <w:rsid w:val="004C5540"/>
    <w:rsid w:val="004C639F"/>
    <w:rsid w:val="004D1375"/>
    <w:rsid w:val="004D141F"/>
    <w:rsid w:val="004D2742"/>
    <w:rsid w:val="004D411E"/>
    <w:rsid w:val="004D6310"/>
    <w:rsid w:val="004E0062"/>
    <w:rsid w:val="004E05A1"/>
    <w:rsid w:val="004E55C7"/>
    <w:rsid w:val="004F472A"/>
    <w:rsid w:val="004F5E57"/>
    <w:rsid w:val="004F6710"/>
    <w:rsid w:val="00500C3E"/>
    <w:rsid w:val="00502849"/>
    <w:rsid w:val="00504334"/>
    <w:rsid w:val="0050498D"/>
    <w:rsid w:val="00504E91"/>
    <w:rsid w:val="00505EA8"/>
    <w:rsid w:val="005104D7"/>
    <w:rsid w:val="00510B9E"/>
    <w:rsid w:val="005151CA"/>
    <w:rsid w:val="005278FF"/>
    <w:rsid w:val="00527FE3"/>
    <w:rsid w:val="0053339F"/>
    <w:rsid w:val="00536BC2"/>
    <w:rsid w:val="005425E1"/>
    <w:rsid w:val="005427C5"/>
    <w:rsid w:val="00542CF6"/>
    <w:rsid w:val="00545B0E"/>
    <w:rsid w:val="005462DF"/>
    <w:rsid w:val="00547099"/>
    <w:rsid w:val="00551159"/>
    <w:rsid w:val="0055373D"/>
    <w:rsid w:val="00553987"/>
    <w:rsid w:val="00553C03"/>
    <w:rsid w:val="00555764"/>
    <w:rsid w:val="00560DDA"/>
    <w:rsid w:val="00563692"/>
    <w:rsid w:val="00571679"/>
    <w:rsid w:val="00574ABD"/>
    <w:rsid w:val="00584235"/>
    <w:rsid w:val="005844E7"/>
    <w:rsid w:val="00585523"/>
    <w:rsid w:val="005908B8"/>
    <w:rsid w:val="005916F0"/>
    <w:rsid w:val="0059512E"/>
    <w:rsid w:val="00597FBB"/>
    <w:rsid w:val="005A4A01"/>
    <w:rsid w:val="005A4BF5"/>
    <w:rsid w:val="005A5B59"/>
    <w:rsid w:val="005A6DD2"/>
    <w:rsid w:val="005B680F"/>
    <w:rsid w:val="005C385D"/>
    <w:rsid w:val="005C6603"/>
    <w:rsid w:val="005D3B20"/>
    <w:rsid w:val="005D5321"/>
    <w:rsid w:val="005D7159"/>
    <w:rsid w:val="005D71B7"/>
    <w:rsid w:val="005E3F4C"/>
    <w:rsid w:val="005E4759"/>
    <w:rsid w:val="005E5C68"/>
    <w:rsid w:val="005E5E73"/>
    <w:rsid w:val="005E65C0"/>
    <w:rsid w:val="005F0390"/>
    <w:rsid w:val="006072CD"/>
    <w:rsid w:val="00612023"/>
    <w:rsid w:val="00614190"/>
    <w:rsid w:val="00617550"/>
    <w:rsid w:val="0062074F"/>
    <w:rsid w:val="00622A99"/>
    <w:rsid w:val="00622E67"/>
    <w:rsid w:val="00624E06"/>
    <w:rsid w:val="00626B57"/>
    <w:rsid w:val="00626EDC"/>
    <w:rsid w:val="006274F8"/>
    <w:rsid w:val="00634D36"/>
    <w:rsid w:val="006452D3"/>
    <w:rsid w:val="006470EC"/>
    <w:rsid w:val="0065071C"/>
    <w:rsid w:val="006512CA"/>
    <w:rsid w:val="00654104"/>
    <w:rsid w:val="006542D6"/>
    <w:rsid w:val="0065598E"/>
    <w:rsid w:val="00655AF2"/>
    <w:rsid w:val="00655BC5"/>
    <w:rsid w:val="00655F75"/>
    <w:rsid w:val="006568BE"/>
    <w:rsid w:val="0066025D"/>
    <w:rsid w:val="0066091A"/>
    <w:rsid w:val="0066544B"/>
    <w:rsid w:val="00665C8F"/>
    <w:rsid w:val="006665C0"/>
    <w:rsid w:val="00671A72"/>
    <w:rsid w:val="006773EC"/>
    <w:rsid w:val="00680504"/>
    <w:rsid w:val="00681CD9"/>
    <w:rsid w:val="00683E30"/>
    <w:rsid w:val="006865F7"/>
    <w:rsid w:val="00687024"/>
    <w:rsid w:val="00695E22"/>
    <w:rsid w:val="006B2C83"/>
    <w:rsid w:val="006B480B"/>
    <w:rsid w:val="006B7093"/>
    <w:rsid w:val="006B7417"/>
    <w:rsid w:val="006C1BD6"/>
    <w:rsid w:val="006D31F9"/>
    <w:rsid w:val="006D3691"/>
    <w:rsid w:val="006D628E"/>
    <w:rsid w:val="006D7C18"/>
    <w:rsid w:val="006E5EF0"/>
    <w:rsid w:val="006F3563"/>
    <w:rsid w:val="006F42B9"/>
    <w:rsid w:val="006F6103"/>
    <w:rsid w:val="00704E00"/>
    <w:rsid w:val="0071317E"/>
    <w:rsid w:val="0071718A"/>
    <w:rsid w:val="007209E7"/>
    <w:rsid w:val="00726182"/>
    <w:rsid w:val="00726E28"/>
    <w:rsid w:val="00727635"/>
    <w:rsid w:val="007311AE"/>
    <w:rsid w:val="00732329"/>
    <w:rsid w:val="007337CA"/>
    <w:rsid w:val="00734CE4"/>
    <w:rsid w:val="00735123"/>
    <w:rsid w:val="00736EDA"/>
    <w:rsid w:val="00737486"/>
    <w:rsid w:val="00741837"/>
    <w:rsid w:val="007453E6"/>
    <w:rsid w:val="007477BB"/>
    <w:rsid w:val="007540FB"/>
    <w:rsid w:val="007570F0"/>
    <w:rsid w:val="00757235"/>
    <w:rsid w:val="00770453"/>
    <w:rsid w:val="0077309D"/>
    <w:rsid w:val="00775C26"/>
    <w:rsid w:val="007774EE"/>
    <w:rsid w:val="00781822"/>
    <w:rsid w:val="00783F21"/>
    <w:rsid w:val="00787159"/>
    <w:rsid w:val="0079043A"/>
    <w:rsid w:val="00791668"/>
    <w:rsid w:val="00791AA1"/>
    <w:rsid w:val="007A3793"/>
    <w:rsid w:val="007A7848"/>
    <w:rsid w:val="007A7F50"/>
    <w:rsid w:val="007C0136"/>
    <w:rsid w:val="007C1BA2"/>
    <w:rsid w:val="007C2B48"/>
    <w:rsid w:val="007C32DF"/>
    <w:rsid w:val="007D20E9"/>
    <w:rsid w:val="007D7881"/>
    <w:rsid w:val="007D7E3A"/>
    <w:rsid w:val="007E0E10"/>
    <w:rsid w:val="007E46E9"/>
    <w:rsid w:val="007E4768"/>
    <w:rsid w:val="007E777B"/>
    <w:rsid w:val="007F2070"/>
    <w:rsid w:val="007F5F7D"/>
    <w:rsid w:val="007F63C1"/>
    <w:rsid w:val="007F77B9"/>
    <w:rsid w:val="00800C79"/>
    <w:rsid w:val="00801557"/>
    <w:rsid w:val="00802494"/>
    <w:rsid w:val="008053F5"/>
    <w:rsid w:val="00807AF7"/>
    <w:rsid w:val="00810198"/>
    <w:rsid w:val="00811D00"/>
    <w:rsid w:val="00815DA8"/>
    <w:rsid w:val="00821088"/>
    <w:rsid w:val="0082194D"/>
    <w:rsid w:val="008221F9"/>
    <w:rsid w:val="00826EF5"/>
    <w:rsid w:val="00830220"/>
    <w:rsid w:val="00831693"/>
    <w:rsid w:val="00840104"/>
    <w:rsid w:val="00840C1F"/>
    <w:rsid w:val="008411C9"/>
    <w:rsid w:val="00841FC5"/>
    <w:rsid w:val="00843D0F"/>
    <w:rsid w:val="00843F64"/>
    <w:rsid w:val="00845709"/>
    <w:rsid w:val="00850B5C"/>
    <w:rsid w:val="00850C3A"/>
    <w:rsid w:val="008576BD"/>
    <w:rsid w:val="00857C78"/>
    <w:rsid w:val="00860463"/>
    <w:rsid w:val="00861999"/>
    <w:rsid w:val="008621A8"/>
    <w:rsid w:val="0086540E"/>
    <w:rsid w:val="00871139"/>
    <w:rsid w:val="008733DA"/>
    <w:rsid w:val="008850E4"/>
    <w:rsid w:val="008939AB"/>
    <w:rsid w:val="008A12F5"/>
    <w:rsid w:val="008A41B0"/>
    <w:rsid w:val="008B12B5"/>
    <w:rsid w:val="008B1587"/>
    <w:rsid w:val="008B1B01"/>
    <w:rsid w:val="008B3BCD"/>
    <w:rsid w:val="008B6DF8"/>
    <w:rsid w:val="008C106C"/>
    <w:rsid w:val="008C10F1"/>
    <w:rsid w:val="008C1926"/>
    <w:rsid w:val="008C1E99"/>
    <w:rsid w:val="008D26DA"/>
    <w:rsid w:val="008D4559"/>
    <w:rsid w:val="008D6BB3"/>
    <w:rsid w:val="008E0085"/>
    <w:rsid w:val="008E1A3C"/>
    <w:rsid w:val="008E2AA6"/>
    <w:rsid w:val="008E311B"/>
    <w:rsid w:val="008E3F13"/>
    <w:rsid w:val="008E67C5"/>
    <w:rsid w:val="008F3338"/>
    <w:rsid w:val="008F46E7"/>
    <w:rsid w:val="008F64CA"/>
    <w:rsid w:val="008F6C8C"/>
    <w:rsid w:val="008F6F0B"/>
    <w:rsid w:val="008F7E4B"/>
    <w:rsid w:val="0090152C"/>
    <w:rsid w:val="00904D13"/>
    <w:rsid w:val="00906257"/>
    <w:rsid w:val="0090658D"/>
    <w:rsid w:val="00907BA7"/>
    <w:rsid w:val="0091064E"/>
    <w:rsid w:val="009110A7"/>
    <w:rsid w:val="00911FC5"/>
    <w:rsid w:val="00931A10"/>
    <w:rsid w:val="0094451E"/>
    <w:rsid w:val="00947967"/>
    <w:rsid w:val="00947D13"/>
    <w:rsid w:val="00954C8D"/>
    <w:rsid w:val="00955201"/>
    <w:rsid w:val="00957B37"/>
    <w:rsid w:val="009637D5"/>
    <w:rsid w:val="00965200"/>
    <w:rsid w:val="009668B3"/>
    <w:rsid w:val="00971471"/>
    <w:rsid w:val="00980A77"/>
    <w:rsid w:val="00982B05"/>
    <w:rsid w:val="009849C2"/>
    <w:rsid w:val="00984D24"/>
    <w:rsid w:val="009858EB"/>
    <w:rsid w:val="00992486"/>
    <w:rsid w:val="009A15E9"/>
    <w:rsid w:val="009A3F47"/>
    <w:rsid w:val="009B0046"/>
    <w:rsid w:val="009C1440"/>
    <w:rsid w:val="009C2107"/>
    <w:rsid w:val="009C5D9E"/>
    <w:rsid w:val="009C7344"/>
    <w:rsid w:val="009D2C3E"/>
    <w:rsid w:val="009D52EA"/>
    <w:rsid w:val="009D533A"/>
    <w:rsid w:val="009D62C5"/>
    <w:rsid w:val="009E0625"/>
    <w:rsid w:val="009E1404"/>
    <w:rsid w:val="009E3034"/>
    <w:rsid w:val="009E36A1"/>
    <w:rsid w:val="009E549F"/>
    <w:rsid w:val="009F0A7C"/>
    <w:rsid w:val="009F28A8"/>
    <w:rsid w:val="009F3634"/>
    <w:rsid w:val="009F473E"/>
    <w:rsid w:val="009F5247"/>
    <w:rsid w:val="009F67C5"/>
    <w:rsid w:val="009F682A"/>
    <w:rsid w:val="00A022BE"/>
    <w:rsid w:val="00A03BD2"/>
    <w:rsid w:val="00A07B4B"/>
    <w:rsid w:val="00A24C95"/>
    <w:rsid w:val="00A2599A"/>
    <w:rsid w:val="00A26094"/>
    <w:rsid w:val="00A301BF"/>
    <w:rsid w:val="00A302B2"/>
    <w:rsid w:val="00A327FD"/>
    <w:rsid w:val="00A331B4"/>
    <w:rsid w:val="00A33D86"/>
    <w:rsid w:val="00A3484E"/>
    <w:rsid w:val="00A356D3"/>
    <w:rsid w:val="00A36ADA"/>
    <w:rsid w:val="00A37C4D"/>
    <w:rsid w:val="00A40AD9"/>
    <w:rsid w:val="00A41EC1"/>
    <w:rsid w:val="00A438D8"/>
    <w:rsid w:val="00A473F5"/>
    <w:rsid w:val="00A51F9D"/>
    <w:rsid w:val="00A526FD"/>
    <w:rsid w:val="00A5416A"/>
    <w:rsid w:val="00A639F4"/>
    <w:rsid w:val="00A65864"/>
    <w:rsid w:val="00A65FAE"/>
    <w:rsid w:val="00A70F7A"/>
    <w:rsid w:val="00A80D26"/>
    <w:rsid w:val="00A81A32"/>
    <w:rsid w:val="00A82754"/>
    <w:rsid w:val="00A835BD"/>
    <w:rsid w:val="00A90090"/>
    <w:rsid w:val="00A97B15"/>
    <w:rsid w:val="00AA42D5"/>
    <w:rsid w:val="00AB0B27"/>
    <w:rsid w:val="00AB230D"/>
    <w:rsid w:val="00AB2FAB"/>
    <w:rsid w:val="00AB4416"/>
    <w:rsid w:val="00AB5C14"/>
    <w:rsid w:val="00AB7663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020A4"/>
    <w:rsid w:val="00B10D02"/>
    <w:rsid w:val="00B201E2"/>
    <w:rsid w:val="00B21C2B"/>
    <w:rsid w:val="00B2273A"/>
    <w:rsid w:val="00B24D93"/>
    <w:rsid w:val="00B303A7"/>
    <w:rsid w:val="00B443E4"/>
    <w:rsid w:val="00B45191"/>
    <w:rsid w:val="00B5484D"/>
    <w:rsid w:val="00B5518A"/>
    <w:rsid w:val="00B553B7"/>
    <w:rsid w:val="00B563EA"/>
    <w:rsid w:val="00B56CDF"/>
    <w:rsid w:val="00B60D80"/>
    <w:rsid w:val="00B60E51"/>
    <w:rsid w:val="00B63A54"/>
    <w:rsid w:val="00B766C8"/>
    <w:rsid w:val="00B76EB7"/>
    <w:rsid w:val="00B77D18"/>
    <w:rsid w:val="00B805EF"/>
    <w:rsid w:val="00B8313A"/>
    <w:rsid w:val="00B84868"/>
    <w:rsid w:val="00B93503"/>
    <w:rsid w:val="00B949D4"/>
    <w:rsid w:val="00BA31E8"/>
    <w:rsid w:val="00BA4F43"/>
    <w:rsid w:val="00BA55E0"/>
    <w:rsid w:val="00BA6BD4"/>
    <w:rsid w:val="00BA6C7A"/>
    <w:rsid w:val="00BB17D1"/>
    <w:rsid w:val="00BB3752"/>
    <w:rsid w:val="00BB4266"/>
    <w:rsid w:val="00BB6688"/>
    <w:rsid w:val="00BC26D4"/>
    <w:rsid w:val="00BC7F98"/>
    <w:rsid w:val="00BE0C80"/>
    <w:rsid w:val="00BE4209"/>
    <w:rsid w:val="00BE612E"/>
    <w:rsid w:val="00BF2A42"/>
    <w:rsid w:val="00BF468B"/>
    <w:rsid w:val="00C02EBA"/>
    <w:rsid w:val="00C03D8C"/>
    <w:rsid w:val="00C055EC"/>
    <w:rsid w:val="00C10DC9"/>
    <w:rsid w:val="00C12FB3"/>
    <w:rsid w:val="00C17341"/>
    <w:rsid w:val="00C22500"/>
    <w:rsid w:val="00C23F4F"/>
    <w:rsid w:val="00C24EEF"/>
    <w:rsid w:val="00C25CF6"/>
    <w:rsid w:val="00C262E5"/>
    <w:rsid w:val="00C26C36"/>
    <w:rsid w:val="00C32768"/>
    <w:rsid w:val="00C370D5"/>
    <w:rsid w:val="00C41A04"/>
    <w:rsid w:val="00C431DF"/>
    <w:rsid w:val="00C456BD"/>
    <w:rsid w:val="00C460B3"/>
    <w:rsid w:val="00C46A81"/>
    <w:rsid w:val="00C530DC"/>
    <w:rsid w:val="00C5350D"/>
    <w:rsid w:val="00C57420"/>
    <w:rsid w:val="00C6123C"/>
    <w:rsid w:val="00C6311A"/>
    <w:rsid w:val="00C7084D"/>
    <w:rsid w:val="00C7315E"/>
    <w:rsid w:val="00C73BFE"/>
    <w:rsid w:val="00C75895"/>
    <w:rsid w:val="00C76F2E"/>
    <w:rsid w:val="00C83C9F"/>
    <w:rsid w:val="00C94840"/>
    <w:rsid w:val="00CA4EE3"/>
    <w:rsid w:val="00CB027F"/>
    <w:rsid w:val="00CC0EBB"/>
    <w:rsid w:val="00CC6297"/>
    <w:rsid w:val="00CC7690"/>
    <w:rsid w:val="00CD1986"/>
    <w:rsid w:val="00CD3C2F"/>
    <w:rsid w:val="00CD4FA4"/>
    <w:rsid w:val="00CD50BB"/>
    <w:rsid w:val="00CD54BF"/>
    <w:rsid w:val="00CE1478"/>
    <w:rsid w:val="00CE4354"/>
    <w:rsid w:val="00CE4D5C"/>
    <w:rsid w:val="00CE7540"/>
    <w:rsid w:val="00CF05DA"/>
    <w:rsid w:val="00CF3EED"/>
    <w:rsid w:val="00CF58EB"/>
    <w:rsid w:val="00CF6FEC"/>
    <w:rsid w:val="00D003EF"/>
    <w:rsid w:val="00D0106E"/>
    <w:rsid w:val="00D06383"/>
    <w:rsid w:val="00D12E20"/>
    <w:rsid w:val="00D20E85"/>
    <w:rsid w:val="00D20F13"/>
    <w:rsid w:val="00D24615"/>
    <w:rsid w:val="00D25735"/>
    <w:rsid w:val="00D25AD9"/>
    <w:rsid w:val="00D31954"/>
    <w:rsid w:val="00D37842"/>
    <w:rsid w:val="00D413AE"/>
    <w:rsid w:val="00D42DC2"/>
    <w:rsid w:val="00D4302B"/>
    <w:rsid w:val="00D50709"/>
    <w:rsid w:val="00D5164B"/>
    <w:rsid w:val="00D537E1"/>
    <w:rsid w:val="00D55BB2"/>
    <w:rsid w:val="00D601FE"/>
    <w:rsid w:val="00D6091A"/>
    <w:rsid w:val="00D6605A"/>
    <w:rsid w:val="00D6695F"/>
    <w:rsid w:val="00D67850"/>
    <w:rsid w:val="00D75644"/>
    <w:rsid w:val="00D81656"/>
    <w:rsid w:val="00D82F3D"/>
    <w:rsid w:val="00D839FE"/>
    <w:rsid w:val="00D83D87"/>
    <w:rsid w:val="00D84A6D"/>
    <w:rsid w:val="00D86A30"/>
    <w:rsid w:val="00D969FF"/>
    <w:rsid w:val="00D97CB4"/>
    <w:rsid w:val="00D97DD4"/>
    <w:rsid w:val="00DA2DAE"/>
    <w:rsid w:val="00DA5A8A"/>
    <w:rsid w:val="00DB1170"/>
    <w:rsid w:val="00DB26CD"/>
    <w:rsid w:val="00DB441C"/>
    <w:rsid w:val="00DB44AF"/>
    <w:rsid w:val="00DB4D2B"/>
    <w:rsid w:val="00DC1F58"/>
    <w:rsid w:val="00DC339B"/>
    <w:rsid w:val="00DC5755"/>
    <w:rsid w:val="00DC5D40"/>
    <w:rsid w:val="00DC69A7"/>
    <w:rsid w:val="00DC73C7"/>
    <w:rsid w:val="00DD30E9"/>
    <w:rsid w:val="00DD4F47"/>
    <w:rsid w:val="00DD7FBB"/>
    <w:rsid w:val="00DE0B9F"/>
    <w:rsid w:val="00DE2A9E"/>
    <w:rsid w:val="00DE4238"/>
    <w:rsid w:val="00DE657F"/>
    <w:rsid w:val="00DE7ABB"/>
    <w:rsid w:val="00DF1218"/>
    <w:rsid w:val="00DF6462"/>
    <w:rsid w:val="00E02FA0"/>
    <w:rsid w:val="00E036DC"/>
    <w:rsid w:val="00E04023"/>
    <w:rsid w:val="00E10454"/>
    <w:rsid w:val="00E112E5"/>
    <w:rsid w:val="00E122D8"/>
    <w:rsid w:val="00E12CC8"/>
    <w:rsid w:val="00E136EE"/>
    <w:rsid w:val="00E15352"/>
    <w:rsid w:val="00E21A36"/>
    <w:rsid w:val="00E21CC7"/>
    <w:rsid w:val="00E24D9E"/>
    <w:rsid w:val="00E25849"/>
    <w:rsid w:val="00E3197E"/>
    <w:rsid w:val="00E342F8"/>
    <w:rsid w:val="00E34995"/>
    <w:rsid w:val="00E351ED"/>
    <w:rsid w:val="00E360B4"/>
    <w:rsid w:val="00E36979"/>
    <w:rsid w:val="00E42B19"/>
    <w:rsid w:val="00E44334"/>
    <w:rsid w:val="00E55C36"/>
    <w:rsid w:val="00E6034B"/>
    <w:rsid w:val="00E607C5"/>
    <w:rsid w:val="00E6549E"/>
    <w:rsid w:val="00E65EDE"/>
    <w:rsid w:val="00E70F81"/>
    <w:rsid w:val="00E71FAC"/>
    <w:rsid w:val="00E758BB"/>
    <w:rsid w:val="00E77055"/>
    <w:rsid w:val="00E77460"/>
    <w:rsid w:val="00E77A9A"/>
    <w:rsid w:val="00E77BC0"/>
    <w:rsid w:val="00E83ABC"/>
    <w:rsid w:val="00E844F2"/>
    <w:rsid w:val="00E90AD0"/>
    <w:rsid w:val="00E91721"/>
    <w:rsid w:val="00E92FCB"/>
    <w:rsid w:val="00E938FE"/>
    <w:rsid w:val="00EA147F"/>
    <w:rsid w:val="00EA219B"/>
    <w:rsid w:val="00EA2DA3"/>
    <w:rsid w:val="00EA4729"/>
    <w:rsid w:val="00EA4A27"/>
    <w:rsid w:val="00EA4FA6"/>
    <w:rsid w:val="00EB1A25"/>
    <w:rsid w:val="00EC4C4C"/>
    <w:rsid w:val="00EC6F7C"/>
    <w:rsid w:val="00EC7363"/>
    <w:rsid w:val="00ED03AB"/>
    <w:rsid w:val="00ED1963"/>
    <w:rsid w:val="00ED1CD4"/>
    <w:rsid w:val="00ED1D2B"/>
    <w:rsid w:val="00ED64B5"/>
    <w:rsid w:val="00EE0EA2"/>
    <w:rsid w:val="00EE5A85"/>
    <w:rsid w:val="00EE70D3"/>
    <w:rsid w:val="00EE7CCA"/>
    <w:rsid w:val="00F02EA3"/>
    <w:rsid w:val="00F04C3E"/>
    <w:rsid w:val="00F06E53"/>
    <w:rsid w:val="00F16A14"/>
    <w:rsid w:val="00F16FCA"/>
    <w:rsid w:val="00F276FE"/>
    <w:rsid w:val="00F3365F"/>
    <w:rsid w:val="00F362D7"/>
    <w:rsid w:val="00F37295"/>
    <w:rsid w:val="00F37D7B"/>
    <w:rsid w:val="00F42D06"/>
    <w:rsid w:val="00F45B67"/>
    <w:rsid w:val="00F50F64"/>
    <w:rsid w:val="00F52A69"/>
    <w:rsid w:val="00F5314C"/>
    <w:rsid w:val="00F53DB4"/>
    <w:rsid w:val="00F54D7D"/>
    <w:rsid w:val="00F5688C"/>
    <w:rsid w:val="00F60048"/>
    <w:rsid w:val="00F635DD"/>
    <w:rsid w:val="00F6627B"/>
    <w:rsid w:val="00F7336E"/>
    <w:rsid w:val="00F734F2"/>
    <w:rsid w:val="00F75052"/>
    <w:rsid w:val="00F77F21"/>
    <w:rsid w:val="00F804D3"/>
    <w:rsid w:val="00F816CB"/>
    <w:rsid w:val="00F81CD2"/>
    <w:rsid w:val="00F82641"/>
    <w:rsid w:val="00F852C6"/>
    <w:rsid w:val="00F90F18"/>
    <w:rsid w:val="00F937E4"/>
    <w:rsid w:val="00F95162"/>
    <w:rsid w:val="00F95EE7"/>
    <w:rsid w:val="00FA39E6"/>
    <w:rsid w:val="00FA5157"/>
    <w:rsid w:val="00FA7BC9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E4516"/>
    <w:rsid w:val="00FE5435"/>
    <w:rsid w:val="00FE64C8"/>
    <w:rsid w:val="00FF15F1"/>
    <w:rsid w:val="00FF4343"/>
    <w:rsid w:val="00FF454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AC81EF-79B3-4863-9341-7097EE8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B805EF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B805EF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B80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1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9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7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9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2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58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2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3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40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1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7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9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74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9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41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6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42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0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9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39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5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4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80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84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8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53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3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4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65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1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7F33-B175-4A71-ABD6-6E3C0833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6</Pages>
  <Words>1691</Words>
  <Characters>1743</Characters>
  <Application>Microsoft Office Word</Application>
  <DocSecurity>0</DocSecurity>
  <Lines>51</Lines>
  <Paragraphs>33</Paragraphs>
  <ScaleCrop>false</ScaleCrop>
  <Company>cy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賴淑玲</cp:lastModifiedBy>
  <cp:revision>2</cp:revision>
  <cp:lastPrinted>2020-01-08T06:06:00Z</cp:lastPrinted>
  <dcterms:created xsi:type="dcterms:W3CDTF">2020-01-17T06:47:00Z</dcterms:created>
  <dcterms:modified xsi:type="dcterms:W3CDTF">2020-01-17T06:47:00Z</dcterms:modified>
</cp:coreProperties>
</file>