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2CC" w:rsidRPr="000B2A94" w:rsidRDefault="006D22CC" w:rsidP="006D22CC">
      <w:pPr>
        <w:pStyle w:val="af5"/>
        <w:spacing w:line="540" w:lineRule="exact"/>
        <w:rPr>
          <w:color w:val="000000" w:themeColor="text1"/>
          <w:sz w:val="44"/>
          <w:szCs w:val="44"/>
        </w:rPr>
      </w:pPr>
      <w:bookmarkStart w:id="0" w:name="_GoBack"/>
      <w:bookmarkEnd w:id="0"/>
      <w:r w:rsidRPr="000B2A94">
        <w:rPr>
          <w:rFonts w:hint="eastAsia"/>
          <w:color w:val="000000" w:themeColor="text1"/>
          <w:sz w:val="44"/>
          <w:szCs w:val="44"/>
        </w:rPr>
        <w:t>司法科學鑑定制度之研析通案性案件</w:t>
      </w:r>
    </w:p>
    <w:p w:rsidR="006D22CC" w:rsidRPr="000B2A94" w:rsidRDefault="006D22CC" w:rsidP="006D22CC">
      <w:pPr>
        <w:pStyle w:val="af5"/>
        <w:spacing w:line="540" w:lineRule="exact"/>
        <w:rPr>
          <w:color w:val="000000" w:themeColor="text1"/>
          <w:sz w:val="44"/>
          <w:szCs w:val="44"/>
        </w:rPr>
      </w:pPr>
      <w:r w:rsidRPr="000B2A94">
        <w:rPr>
          <w:rFonts w:hint="eastAsia"/>
          <w:color w:val="000000" w:themeColor="text1"/>
          <w:sz w:val="44"/>
          <w:szCs w:val="44"/>
        </w:rPr>
        <w:t>調查研究報告</w:t>
      </w:r>
    </w:p>
    <w:p w:rsidR="006D22CC" w:rsidRPr="000B2A94" w:rsidRDefault="006D22CC" w:rsidP="006D22CC">
      <w:pPr>
        <w:pStyle w:val="af5"/>
        <w:spacing w:beforeLines="50" w:before="228" w:line="540" w:lineRule="exact"/>
        <w:ind w:left="680"/>
        <w:rPr>
          <w:color w:val="000000" w:themeColor="text1"/>
          <w:sz w:val="42"/>
          <w:szCs w:val="42"/>
        </w:rPr>
      </w:pPr>
      <w:r w:rsidRPr="000B2A94">
        <w:rPr>
          <w:rFonts w:hint="eastAsia"/>
          <w:color w:val="000000" w:themeColor="text1"/>
          <w:sz w:val="42"/>
          <w:szCs w:val="42"/>
        </w:rPr>
        <w:t>目  次</w:t>
      </w:r>
    </w:p>
    <w:p w:rsidR="006D22CC" w:rsidRPr="000B2A94" w:rsidRDefault="006D22CC" w:rsidP="006D22CC">
      <w:pPr>
        <w:pStyle w:val="af5"/>
        <w:spacing w:beforeLines="50" w:before="228" w:line="540" w:lineRule="exact"/>
        <w:ind w:left="680"/>
        <w:rPr>
          <w:color w:val="000000" w:themeColor="text1"/>
          <w:sz w:val="42"/>
          <w:szCs w:val="42"/>
        </w:rPr>
      </w:pPr>
    </w:p>
    <w:p w:rsidR="00D338CD" w:rsidRPr="000B2A94" w:rsidRDefault="00D338CD">
      <w:pPr>
        <w:pStyle w:val="12"/>
        <w:ind w:left="1362" w:right="340" w:hanging="1362"/>
        <w:rPr>
          <w:rFonts w:asciiTheme="minorHAnsi" w:eastAsiaTheme="minorEastAsia" w:hAnsiTheme="minorHAnsi" w:cstheme="minorBidi"/>
          <w:color w:val="000000" w:themeColor="text1"/>
          <w:sz w:val="24"/>
          <w:szCs w:val="22"/>
        </w:rPr>
      </w:pPr>
      <w:r w:rsidRPr="000B2A94">
        <w:rPr>
          <w:b/>
          <w:bCs/>
          <w:color w:val="000000" w:themeColor="text1"/>
        </w:rPr>
        <w:fldChar w:fldCharType="begin"/>
      </w:r>
      <w:r w:rsidRPr="000B2A94">
        <w:rPr>
          <w:b/>
          <w:bCs/>
          <w:color w:val="000000" w:themeColor="text1"/>
        </w:rPr>
        <w:instrText xml:space="preserve"> TOC \o "1-2" \h \z \u </w:instrText>
      </w:r>
      <w:r w:rsidRPr="000B2A94">
        <w:rPr>
          <w:b/>
          <w:bCs/>
          <w:color w:val="000000" w:themeColor="text1"/>
        </w:rPr>
        <w:fldChar w:fldCharType="separate"/>
      </w:r>
      <w:hyperlink w:anchor="_Toc28606792" w:history="1">
        <w:r w:rsidRPr="000B2A94">
          <w:rPr>
            <w:rStyle w:val="af1"/>
            <w:rFonts w:hint="eastAsia"/>
            <w:color w:val="000000" w:themeColor="text1"/>
          </w:rPr>
          <w:t>壹、</w:t>
        </w:r>
        <w:r w:rsidRPr="000B2A94">
          <w:rPr>
            <w:rStyle w:val="af1"/>
            <w:rFonts w:ascii="Times New Roman" w:hint="eastAsia"/>
            <w:color w:val="000000" w:themeColor="text1"/>
          </w:rPr>
          <w:t>通案調查研究緣起與目的</w:t>
        </w:r>
        <w:r w:rsidRPr="000B2A94">
          <w:rPr>
            <w:webHidden/>
            <w:color w:val="000000" w:themeColor="text1"/>
          </w:rPr>
          <w:tab/>
        </w:r>
        <w:r w:rsidRPr="000B2A94">
          <w:rPr>
            <w:webHidden/>
            <w:color w:val="000000" w:themeColor="text1"/>
          </w:rPr>
          <w:fldChar w:fldCharType="begin"/>
        </w:r>
        <w:r w:rsidRPr="000B2A94">
          <w:rPr>
            <w:webHidden/>
            <w:color w:val="000000" w:themeColor="text1"/>
          </w:rPr>
          <w:instrText xml:space="preserve"> PAGEREF _Toc28606792 \h </w:instrText>
        </w:r>
        <w:r w:rsidRPr="000B2A94">
          <w:rPr>
            <w:webHidden/>
            <w:color w:val="000000" w:themeColor="text1"/>
          </w:rPr>
        </w:r>
        <w:r w:rsidRPr="000B2A94">
          <w:rPr>
            <w:webHidden/>
            <w:color w:val="000000" w:themeColor="text1"/>
          </w:rPr>
          <w:fldChar w:fldCharType="separate"/>
        </w:r>
        <w:r w:rsidR="00026FB3">
          <w:rPr>
            <w:webHidden/>
            <w:color w:val="000000" w:themeColor="text1"/>
          </w:rPr>
          <w:t>1</w:t>
        </w:r>
        <w:r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793" w:history="1">
        <w:r w:rsidR="00D338CD" w:rsidRPr="000B2A94">
          <w:rPr>
            <w:rStyle w:val="af1"/>
            <w:rFonts w:hint="eastAsia"/>
            <w:color w:val="000000" w:themeColor="text1"/>
          </w:rPr>
          <w:t>一、</w:t>
        </w:r>
        <w:r w:rsidR="00D338CD" w:rsidRPr="000B2A94">
          <w:rPr>
            <w:rStyle w:val="af1"/>
            <w:rFonts w:ascii="Times New Roman" w:hint="eastAsia"/>
            <w:color w:val="000000" w:themeColor="text1"/>
          </w:rPr>
          <w:t>研究緣起</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_Toc28606793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794" w:history="1">
        <w:r w:rsidR="00D338CD" w:rsidRPr="000B2A94">
          <w:rPr>
            <w:rStyle w:val="af1"/>
            <w:rFonts w:hint="eastAsia"/>
            <w:color w:val="000000" w:themeColor="text1"/>
          </w:rPr>
          <w:t>二、</w:t>
        </w:r>
        <w:r w:rsidR="00D338CD" w:rsidRPr="000B2A94">
          <w:rPr>
            <w:rStyle w:val="af1"/>
            <w:rFonts w:ascii="Times New Roman" w:hint="eastAsia"/>
            <w:color w:val="000000" w:themeColor="text1"/>
          </w:rPr>
          <w:t>研究目的</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_Toc28606794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795" w:history="1">
        <w:r w:rsidR="00D338CD" w:rsidRPr="000B2A94">
          <w:rPr>
            <w:rStyle w:val="af1"/>
            <w:rFonts w:hint="eastAsia"/>
            <w:color w:val="000000" w:themeColor="text1"/>
          </w:rPr>
          <w:t>三、</w:t>
        </w:r>
        <w:r w:rsidR="00D338CD" w:rsidRPr="000B2A94">
          <w:rPr>
            <w:rStyle w:val="af1"/>
            <w:rFonts w:ascii="Times New Roman" w:hint="eastAsia"/>
            <w:color w:val="000000" w:themeColor="text1"/>
          </w:rPr>
          <w:t>研究範疇</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_Toc28606795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w:t>
        </w:r>
        <w:r w:rsidR="00D338CD" w:rsidRPr="000B2A94">
          <w:rPr>
            <w:webHidden/>
            <w:color w:val="000000" w:themeColor="text1"/>
          </w:rPr>
          <w:fldChar w:fldCharType="end"/>
        </w:r>
      </w:hyperlink>
    </w:p>
    <w:p w:rsidR="00D338CD" w:rsidRPr="000B2A94" w:rsidRDefault="00026FB3">
      <w:pPr>
        <w:pStyle w:val="12"/>
        <w:ind w:left="1361" w:right="340" w:hanging="1361"/>
        <w:rPr>
          <w:rFonts w:asciiTheme="minorHAnsi" w:eastAsiaTheme="minorEastAsia" w:hAnsiTheme="minorHAnsi" w:cstheme="minorBidi"/>
          <w:color w:val="000000" w:themeColor="text1"/>
          <w:sz w:val="24"/>
          <w:szCs w:val="22"/>
        </w:rPr>
      </w:pPr>
      <w:hyperlink w:anchor="_Toc28606796" w:history="1">
        <w:r w:rsidR="00D338CD" w:rsidRPr="000B2A94">
          <w:rPr>
            <w:rStyle w:val="af1"/>
            <w:rFonts w:hint="eastAsia"/>
            <w:color w:val="000000" w:themeColor="text1"/>
          </w:rPr>
          <w:t>貳、</w:t>
        </w:r>
        <w:r w:rsidR="00D338CD" w:rsidRPr="000B2A94">
          <w:rPr>
            <w:rStyle w:val="af1"/>
            <w:rFonts w:ascii="Times New Roman" w:hint="eastAsia"/>
            <w:color w:val="000000" w:themeColor="text1"/>
          </w:rPr>
          <w:t>研究方法與過程</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_Toc28606796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797" w:history="1">
        <w:r w:rsidR="00D338CD" w:rsidRPr="000B2A94">
          <w:rPr>
            <w:rStyle w:val="af1"/>
            <w:rFonts w:hint="eastAsia"/>
            <w:color w:val="000000" w:themeColor="text1"/>
          </w:rPr>
          <w:t>一、</w:t>
        </w:r>
        <w:r w:rsidR="00D338CD" w:rsidRPr="000B2A94">
          <w:rPr>
            <w:rStyle w:val="af1"/>
            <w:rFonts w:ascii="Times New Roman" w:hint="eastAsia"/>
            <w:color w:val="000000" w:themeColor="text1"/>
          </w:rPr>
          <w:t>文獻蒐集與研析</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_Toc28606797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798" w:history="1">
        <w:r w:rsidR="00D338CD" w:rsidRPr="000B2A94">
          <w:rPr>
            <w:rStyle w:val="af1"/>
            <w:rFonts w:hint="eastAsia"/>
            <w:color w:val="000000" w:themeColor="text1"/>
          </w:rPr>
          <w:t>二、</w:t>
        </w:r>
        <w:r w:rsidR="00D338CD" w:rsidRPr="000B2A94">
          <w:rPr>
            <w:rStyle w:val="af1"/>
            <w:rFonts w:ascii="Times New Roman" w:hint="eastAsia"/>
            <w:color w:val="000000" w:themeColor="text1"/>
          </w:rPr>
          <w:t>函請相關機關說明</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_Toc28606798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2</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799" w:history="1">
        <w:r w:rsidR="00D338CD" w:rsidRPr="000B2A94">
          <w:rPr>
            <w:rStyle w:val="af1"/>
            <w:rFonts w:hint="eastAsia"/>
            <w:color w:val="000000" w:themeColor="text1"/>
          </w:rPr>
          <w:t>三、</w:t>
        </w:r>
        <w:r w:rsidR="00D338CD" w:rsidRPr="000B2A94">
          <w:rPr>
            <w:rStyle w:val="af1"/>
            <w:rFonts w:ascii="Times New Roman" w:hint="eastAsia"/>
            <w:color w:val="000000" w:themeColor="text1"/>
          </w:rPr>
          <w:t>專家學者諮詢</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_Toc28606799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2</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00" w:history="1">
        <w:r w:rsidR="00D338CD" w:rsidRPr="000B2A94">
          <w:rPr>
            <w:rStyle w:val="af1"/>
            <w:rFonts w:hint="eastAsia"/>
            <w:color w:val="000000" w:themeColor="text1"/>
          </w:rPr>
          <w:t>四、國內鑑定機關實地訪查</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_Toc28606800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3</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01" w:history="1">
        <w:r w:rsidR="00D338CD" w:rsidRPr="000B2A94">
          <w:rPr>
            <w:rStyle w:val="af1"/>
            <w:rFonts w:hint="eastAsia"/>
            <w:color w:val="000000" w:themeColor="text1"/>
          </w:rPr>
          <w:t>五、國外實地考察</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_Toc28606801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4</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02" w:history="1">
        <w:r w:rsidR="00D338CD" w:rsidRPr="000B2A94">
          <w:rPr>
            <w:rStyle w:val="af1"/>
            <w:rFonts w:hint="eastAsia"/>
            <w:color w:val="000000" w:themeColor="text1"/>
          </w:rPr>
          <w:t>六、機關座談</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_Toc28606802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5</w:t>
        </w:r>
        <w:r w:rsidR="00D338CD" w:rsidRPr="000B2A94">
          <w:rPr>
            <w:webHidden/>
            <w:color w:val="000000" w:themeColor="text1"/>
          </w:rPr>
          <w:fldChar w:fldCharType="end"/>
        </w:r>
      </w:hyperlink>
    </w:p>
    <w:p w:rsidR="00D338CD" w:rsidRPr="000B2A94" w:rsidRDefault="00026FB3">
      <w:pPr>
        <w:pStyle w:val="12"/>
        <w:ind w:left="1361" w:right="340" w:hanging="1361"/>
        <w:rPr>
          <w:rFonts w:asciiTheme="minorHAnsi" w:eastAsiaTheme="minorEastAsia" w:hAnsiTheme="minorHAnsi" w:cstheme="minorBidi"/>
          <w:color w:val="000000" w:themeColor="text1"/>
          <w:sz w:val="24"/>
          <w:szCs w:val="22"/>
        </w:rPr>
      </w:pPr>
      <w:hyperlink w:anchor="_Toc28606803" w:history="1">
        <w:r w:rsidR="00D338CD" w:rsidRPr="000B2A94">
          <w:rPr>
            <w:rStyle w:val="af1"/>
            <w:rFonts w:hint="eastAsia"/>
            <w:color w:val="000000" w:themeColor="text1"/>
          </w:rPr>
          <w:t>參、</w:t>
        </w:r>
        <w:r w:rsidR="00D338CD" w:rsidRPr="000B2A94">
          <w:rPr>
            <w:rStyle w:val="af1"/>
            <w:rFonts w:ascii="Times New Roman" w:hint="eastAsia"/>
            <w:color w:val="000000" w:themeColor="text1"/>
            <w:spacing w:val="-4"/>
          </w:rPr>
          <w:t>問題背景與現況分析</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_Toc28606803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9</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04" w:history="1">
        <w:r w:rsidR="00D338CD" w:rsidRPr="000B2A94">
          <w:rPr>
            <w:rStyle w:val="af1"/>
            <w:rFonts w:hint="eastAsia"/>
            <w:color w:val="000000" w:themeColor="text1"/>
          </w:rPr>
          <w:t>一、</w:t>
        </w:r>
        <w:r w:rsidR="00D338CD" w:rsidRPr="000B2A94">
          <w:rPr>
            <w:rStyle w:val="af1"/>
            <w:rFonts w:ascii="Times New Roman"/>
            <w:color w:val="000000" w:themeColor="text1"/>
          </w:rPr>
          <w:t>88</w:t>
        </w:r>
        <w:r w:rsidR="00D338CD" w:rsidRPr="000B2A94">
          <w:rPr>
            <w:rStyle w:val="af1"/>
            <w:rFonts w:ascii="Times New Roman" w:hint="eastAsia"/>
            <w:color w:val="000000" w:themeColor="text1"/>
          </w:rPr>
          <w:t>年全國司改會議科學鑑定議題之討論及決議</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_Toc28606804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9</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05" w:history="1">
        <w:r w:rsidR="00D338CD" w:rsidRPr="000B2A94">
          <w:rPr>
            <w:rStyle w:val="af1"/>
            <w:rFonts w:hint="eastAsia"/>
            <w:color w:val="000000" w:themeColor="text1"/>
          </w:rPr>
          <w:t>二、</w:t>
        </w:r>
        <w:r w:rsidR="00D338CD" w:rsidRPr="000B2A94">
          <w:rPr>
            <w:rStyle w:val="af1"/>
            <w:rFonts w:ascii="Times New Roman"/>
            <w:color w:val="000000" w:themeColor="text1"/>
          </w:rPr>
          <w:t>106</w:t>
        </w:r>
        <w:r w:rsidR="00D338CD" w:rsidRPr="000B2A94">
          <w:rPr>
            <w:rStyle w:val="af1"/>
            <w:rFonts w:ascii="Times New Roman" w:hint="eastAsia"/>
            <w:color w:val="000000" w:themeColor="text1"/>
          </w:rPr>
          <w:t>年司法改革國是會議就科學鑑定議題之討論</w:t>
        </w:r>
        <w:r w:rsidR="00D338CD" w:rsidRPr="000B2A94">
          <w:rPr>
            <w:rStyle w:val="af1"/>
            <w:rFonts w:ascii="Times New Roman" w:eastAsia="新細明體" w:hint="eastAsia"/>
            <w:color w:val="000000" w:themeColor="text1"/>
          </w:rPr>
          <w:t>、</w:t>
        </w:r>
        <w:r w:rsidR="00D338CD" w:rsidRPr="000B2A94">
          <w:rPr>
            <w:rStyle w:val="af1"/>
            <w:rFonts w:ascii="Times New Roman" w:hint="eastAsia"/>
            <w:color w:val="000000" w:themeColor="text1"/>
          </w:rPr>
          <w:t>決議及落實執行情形</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_Toc28606805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12</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06" w:history="1">
        <w:r w:rsidR="00D338CD" w:rsidRPr="000B2A94">
          <w:rPr>
            <w:rStyle w:val="af1"/>
            <w:rFonts w:hint="eastAsia"/>
            <w:color w:val="000000" w:themeColor="text1"/>
          </w:rPr>
          <w:t>三、</w:t>
        </w:r>
        <w:r w:rsidR="00D338CD" w:rsidRPr="000B2A94">
          <w:rPr>
            <w:rStyle w:val="af1"/>
            <w:rFonts w:ascii="Times New Roman" w:hint="eastAsia"/>
            <w:color w:val="000000" w:themeColor="text1"/>
          </w:rPr>
          <w:t>司法改革會議各方對於「設國家級鑑識單位」之意見彙整</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_Toc28606806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18</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07" w:history="1">
        <w:r w:rsidR="00D338CD" w:rsidRPr="000B2A94">
          <w:rPr>
            <w:rStyle w:val="af1"/>
            <w:rFonts w:hint="eastAsia"/>
            <w:color w:val="000000" w:themeColor="text1"/>
          </w:rPr>
          <w:t>四、</w:t>
        </w:r>
        <w:r w:rsidR="00D338CD" w:rsidRPr="000B2A94">
          <w:rPr>
            <w:rStyle w:val="af1"/>
            <w:rFonts w:ascii="Times New Roman" w:hint="eastAsia"/>
            <w:color w:val="000000" w:themeColor="text1"/>
          </w:rPr>
          <w:t>各類司法案件之鑑定範圍、進行程序及鑑定機構選定情形</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_Toc28606807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20</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08" w:history="1">
        <w:r w:rsidR="00D338CD" w:rsidRPr="000B2A94">
          <w:rPr>
            <w:rStyle w:val="af1"/>
            <w:rFonts w:hint="eastAsia"/>
            <w:color w:val="000000" w:themeColor="text1"/>
          </w:rPr>
          <w:t>五、現行鑑識機構簡介</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_Toc28606808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27</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09" w:history="1">
        <w:r w:rsidR="00D338CD" w:rsidRPr="000B2A94">
          <w:rPr>
            <w:rStyle w:val="af1"/>
            <w:rFonts w:hint="eastAsia"/>
            <w:color w:val="000000" w:themeColor="text1"/>
          </w:rPr>
          <w:t>六、</w:t>
        </w:r>
        <w:r w:rsidR="00D338CD" w:rsidRPr="000B2A94">
          <w:rPr>
            <w:rStyle w:val="af1"/>
            <w:rFonts w:ascii="Times New Roman" w:hint="eastAsia"/>
            <w:color w:val="000000" w:themeColor="text1"/>
          </w:rPr>
          <w:t>現行司法鑑定制度實務運作遭遇之問題及歷年改革之內容</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_Toc28606809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35</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10" w:history="1">
        <w:r w:rsidR="00D338CD" w:rsidRPr="000B2A94">
          <w:rPr>
            <w:rStyle w:val="af1"/>
            <w:rFonts w:hint="eastAsia"/>
            <w:color w:val="000000" w:themeColor="text1"/>
          </w:rPr>
          <w:t>七、</w:t>
        </w:r>
        <w:r w:rsidR="00D338CD" w:rsidRPr="000B2A94">
          <w:rPr>
            <w:rStyle w:val="af1"/>
            <w:rFonts w:ascii="Times New Roman" w:hint="eastAsia"/>
            <w:color w:val="000000" w:themeColor="text1"/>
          </w:rPr>
          <w:t>建置國家級司法科學委員會，制定並推動司法科學政策，提升總體科學證據品質，整合並推廣各級司</w:t>
        </w:r>
        <w:r w:rsidR="00D338CD" w:rsidRPr="000B2A94">
          <w:rPr>
            <w:rStyle w:val="af1"/>
            <w:rFonts w:ascii="Times New Roman" w:hint="eastAsia"/>
            <w:color w:val="000000" w:themeColor="text1"/>
          </w:rPr>
          <w:lastRenderedPageBreak/>
          <w:t>法科學教育之情形，實驗室與專家之認證規範與證照制度之研議情形</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_Toc28606810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38</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11" w:history="1">
        <w:r w:rsidR="00D338CD" w:rsidRPr="000B2A94">
          <w:rPr>
            <w:rStyle w:val="af1"/>
            <w:rFonts w:hint="eastAsia"/>
            <w:color w:val="000000" w:themeColor="text1"/>
          </w:rPr>
          <w:t>八、</w:t>
        </w:r>
        <w:r w:rsidR="00D338CD" w:rsidRPr="000B2A94">
          <w:rPr>
            <w:rStyle w:val="af1"/>
            <w:rFonts w:ascii="Times New Roman" w:hint="eastAsia"/>
            <w:color w:val="000000" w:themeColor="text1"/>
          </w:rPr>
          <w:t>完善證據法則</w:t>
        </w:r>
        <w:r w:rsidR="00D338CD" w:rsidRPr="000B2A94">
          <w:rPr>
            <w:rStyle w:val="af1"/>
            <w:rFonts w:ascii="Times New Roman" w:eastAsia="新細明體" w:hint="eastAsia"/>
            <w:color w:val="000000" w:themeColor="text1"/>
          </w:rPr>
          <w:t>、</w:t>
        </w:r>
        <w:r w:rsidR="00D338CD" w:rsidRPr="000B2A94">
          <w:rPr>
            <w:rStyle w:val="af1"/>
            <w:rFonts w:ascii="Times New Roman" w:hint="eastAsia"/>
            <w:color w:val="000000" w:themeColor="text1"/>
          </w:rPr>
          <w:t>強化以證據為核心之審判機能及完善專家證人制度情形</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_Toc28606811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39</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12" w:history="1">
        <w:r w:rsidR="00D338CD" w:rsidRPr="000B2A94">
          <w:rPr>
            <w:rStyle w:val="af1"/>
            <w:rFonts w:hint="eastAsia"/>
            <w:color w:val="000000" w:themeColor="text1"/>
          </w:rPr>
          <w:t>九、</w:t>
        </w:r>
        <w:r w:rsidR="00D338CD" w:rsidRPr="000B2A94">
          <w:rPr>
            <w:rStyle w:val="af1"/>
            <w:rFonts w:ascii="Times New Roman" w:hint="eastAsia"/>
            <w:color w:val="000000" w:themeColor="text1"/>
          </w:rPr>
          <w:t>測謊證據的施測標準流程及其證據能力問題之情形</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_Toc28606812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41</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13" w:history="1">
        <w:r w:rsidR="00D338CD" w:rsidRPr="000B2A94">
          <w:rPr>
            <w:rStyle w:val="af1"/>
            <w:rFonts w:hint="eastAsia"/>
            <w:color w:val="000000" w:themeColor="text1"/>
          </w:rPr>
          <w:t>十、</w:t>
        </w:r>
        <w:r w:rsidR="00D338CD" w:rsidRPr="000B2A94">
          <w:rPr>
            <w:rStyle w:val="af1"/>
            <w:rFonts w:ascii="Times New Roman" w:hint="eastAsia"/>
            <w:color w:val="000000" w:themeColor="text1"/>
          </w:rPr>
          <w:t>建立證據監管及判決確定後之證物保管制度之情形</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_Toc28606813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41</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14" w:history="1">
        <w:r w:rsidR="00D338CD" w:rsidRPr="000B2A94">
          <w:rPr>
            <w:rStyle w:val="af1"/>
            <w:rFonts w:hint="eastAsia"/>
            <w:color w:val="000000" w:themeColor="text1"/>
          </w:rPr>
          <w:t>十一、</w:t>
        </w:r>
        <w:r w:rsidR="00D338CD" w:rsidRPr="000B2A94">
          <w:rPr>
            <w:rStyle w:val="af1"/>
            <w:rFonts w:ascii="Times New Roman" w:hint="eastAsia"/>
            <w:color w:val="000000" w:themeColor="text1"/>
          </w:rPr>
          <w:t>他國司法鑑定之相關制度現況</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_Toc28606814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44</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15" w:history="1">
        <w:r w:rsidR="00D338CD" w:rsidRPr="000B2A94">
          <w:rPr>
            <w:rStyle w:val="af1"/>
            <w:rFonts w:hint="eastAsia"/>
            <w:color w:val="000000" w:themeColor="text1"/>
          </w:rPr>
          <w:t>十二、</w:t>
        </w:r>
        <w:r w:rsidR="00D338CD" w:rsidRPr="000B2A94">
          <w:rPr>
            <w:rStyle w:val="af1"/>
            <w:rFonts w:ascii="Times New Roman" w:hint="eastAsia"/>
            <w:color w:val="000000" w:themeColor="text1"/>
          </w:rPr>
          <w:t>本院相關前案</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_Toc28606815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57</w:t>
        </w:r>
        <w:r w:rsidR="00D338CD" w:rsidRPr="000B2A94">
          <w:rPr>
            <w:webHidden/>
            <w:color w:val="000000" w:themeColor="text1"/>
          </w:rPr>
          <w:fldChar w:fldCharType="end"/>
        </w:r>
      </w:hyperlink>
    </w:p>
    <w:p w:rsidR="00D338CD" w:rsidRPr="000B2A94" w:rsidRDefault="00026FB3">
      <w:pPr>
        <w:pStyle w:val="12"/>
        <w:ind w:left="1361" w:right="340" w:hanging="1361"/>
        <w:rPr>
          <w:rFonts w:asciiTheme="minorHAnsi" w:eastAsiaTheme="minorEastAsia" w:hAnsiTheme="minorHAnsi" w:cstheme="minorBidi"/>
          <w:color w:val="000000" w:themeColor="text1"/>
          <w:sz w:val="24"/>
          <w:szCs w:val="22"/>
        </w:rPr>
      </w:pPr>
      <w:hyperlink w:anchor="_Toc28606816" w:history="1">
        <w:r w:rsidR="00D338CD" w:rsidRPr="000B2A94">
          <w:rPr>
            <w:rStyle w:val="af1"/>
            <w:rFonts w:hint="eastAsia"/>
            <w:color w:val="000000" w:themeColor="text1"/>
          </w:rPr>
          <w:t>肆、</w:t>
        </w:r>
        <w:r w:rsidR="00D338CD" w:rsidRPr="000B2A94">
          <w:rPr>
            <w:rStyle w:val="af1"/>
            <w:rFonts w:ascii="Times New Roman" w:hint="eastAsia"/>
            <w:color w:val="000000" w:themeColor="text1"/>
          </w:rPr>
          <w:t>研究發現與分析</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_Toc28606816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102</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17" w:history="1">
        <w:r w:rsidR="00D338CD" w:rsidRPr="000B2A94">
          <w:rPr>
            <w:rStyle w:val="af1"/>
            <w:rFonts w:hint="eastAsia"/>
            <w:color w:val="000000" w:themeColor="text1"/>
          </w:rPr>
          <w:t>一、行政院對於設立獨立行使職權之國家級司法科學委員會或建立鑑定覆鑑機制，其可行性及必要性之詳細評估情形</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_Toc28606817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102</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18" w:history="1">
        <w:r w:rsidR="00D338CD" w:rsidRPr="000B2A94">
          <w:rPr>
            <w:rStyle w:val="af1"/>
            <w:rFonts w:hint="eastAsia"/>
            <w:color w:val="000000" w:themeColor="text1"/>
          </w:rPr>
          <w:t>二、各鑑定機關目前逐步推動之各項工作內容及進度</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_Toc28606818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104</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19" w:history="1">
        <w:r w:rsidR="00D338CD" w:rsidRPr="000B2A94">
          <w:rPr>
            <w:rStyle w:val="af1"/>
            <w:rFonts w:hint="eastAsia"/>
            <w:color w:val="000000" w:themeColor="text1"/>
          </w:rPr>
          <w:t>三、設立獨立行使職權之國家級司法科學委員會，該委員會未來之定位</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_Toc28606819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105</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20" w:history="1">
        <w:r w:rsidR="00D338CD" w:rsidRPr="000B2A94">
          <w:rPr>
            <w:rStyle w:val="af1"/>
            <w:rFonts w:hint="eastAsia"/>
            <w:color w:val="000000" w:themeColor="text1"/>
          </w:rPr>
          <w:t>四、行政院統合現有各鑑定機構資源之作為</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_Toc28606820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106</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21" w:history="1">
        <w:r w:rsidR="00D338CD" w:rsidRPr="000B2A94">
          <w:rPr>
            <w:rStyle w:val="af1"/>
            <w:rFonts w:hint="eastAsia"/>
            <w:color w:val="000000" w:themeColor="text1"/>
          </w:rPr>
          <w:t>五、公正、客觀之專家學者之延聘情形</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_Toc28606821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107</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22" w:history="1">
        <w:r w:rsidR="00D338CD" w:rsidRPr="000B2A94">
          <w:rPr>
            <w:rStyle w:val="af1"/>
            <w:rFonts w:hint="eastAsia"/>
            <w:color w:val="000000" w:themeColor="text1"/>
          </w:rPr>
          <w:t>六、設立司法科學委員會涉及新設立國家機關，因涉跨院、跨機關權責，須跨部會協調研議，行政院跨部會統整尚需之資源協助，以加速推動各項工作內容進度</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_Toc28606822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108</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23" w:history="1">
        <w:r w:rsidR="00D338CD" w:rsidRPr="000B2A94">
          <w:rPr>
            <w:rStyle w:val="af1"/>
            <w:rFonts w:hint="eastAsia"/>
            <w:color w:val="000000" w:themeColor="text1"/>
          </w:rPr>
          <w:t>七、</w:t>
        </w:r>
        <w:r w:rsidR="00D338CD" w:rsidRPr="000B2A94">
          <w:rPr>
            <w:rStyle w:val="af1"/>
            <w:rFonts w:ascii="Times New Roman" w:hint="eastAsia"/>
            <w:color w:val="000000" w:themeColor="text1"/>
          </w:rPr>
          <w:t>為保障被告訴訟權，司法院對於是否應落實要求鑑定人到庭接受詰問之具體意見</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_Toc28606823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108</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24" w:history="1">
        <w:r w:rsidR="00D338CD" w:rsidRPr="000B2A94">
          <w:rPr>
            <w:rStyle w:val="af1"/>
            <w:rFonts w:hint="eastAsia"/>
            <w:color w:val="000000" w:themeColor="text1"/>
          </w:rPr>
          <w:t>八、</w:t>
        </w:r>
        <w:r w:rsidR="00D338CD" w:rsidRPr="000B2A94">
          <w:rPr>
            <w:rStyle w:val="af1"/>
            <w:rFonts w:ascii="Times New Roman" w:hint="eastAsia"/>
            <w:color w:val="000000" w:themeColor="text1"/>
          </w:rPr>
          <w:t>為確保物證經由採樣、運送、鑑定及保存等過程，使呈現於法庭之證據係真實無瑕疵，建立證物監管之機制</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_Toc28606824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110</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25" w:history="1">
        <w:r w:rsidR="00D338CD" w:rsidRPr="000B2A94">
          <w:rPr>
            <w:rStyle w:val="af1"/>
            <w:rFonts w:hint="eastAsia"/>
            <w:color w:val="000000" w:themeColor="text1"/>
          </w:rPr>
          <w:t>九、</w:t>
        </w:r>
        <w:r w:rsidR="00D338CD" w:rsidRPr="000B2A94">
          <w:rPr>
            <w:rStyle w:val="af1"/>
            <w:rFonts w:ascii="Times New Roman" w:hint="eastAsia"/>
            <w:color w:val="000000" w:themeColor="text1"/>
          </w:rPr>
          <w:t>法醫鑑定實務運作現況</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_Toc28606825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112</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26" w:history="1">
        <w:r w:rsidR="00D338CD" w:rsidRPr="000B2A94">
          <w:rPr>
            <w:rStyle w:val="af1"/>
            <w:rFonts w:hint="eastAsia"/>
            <w:color w:val="000000" w:themeColor="text1"/>
          </w:rPr>
          <w:t>十、</w:t>
        </w:r>
        <w:r w:rsidR="00D338CD" w:rsidRPr="000B2A94">
          <w:rPr>
            <w:rStyle w:val="af1"/>
            <w:rFonts w:ascii="Times New Roman" w:hint="eastAsia"/>
            <w:color w:val="000000" w:themeColor="text1"/>
          </w:rPr>
          <w:t>提升司法科學鑑定品質、減少瑕疵鑑定及解決鑑定爭議</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_Toc28606826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132</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27" w:history="1">
        <w:r w:rsidR="00D338CD" w:rsidRPr="000B2A94">
          <w:rPr>
            <w:rStyle w:val="af1"/>
            <w:rFonts w:hint="eastAsia"/>
            <w:color w:val="000000" w:themeColor="text1"/>
          </w:rPr>
          <w:t>十一、</w:t>
        </w:r>
        <w:r w:rsidR="00D338CD" w:rsidRPr="000B2A94">
          <w:rPr>
            <w:rStyle w:val="af1"/>
            <w:rFonts w:ascii="Times New Roman" w:hint="eastAsia"/>
            <w:color w:val="000000" w:themeColor="text1"/>
          </w:rPr>
          <w:t>推廣各級司法科學教育</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_Toc28606827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135</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28" w:history="1">
        <w:r w:rsidR="00D338CD" w:rsidRPr="000B2A94">
          <w:rPr>
            <w:rStyle w:val="af1"/>
            <w:rFonts w:hint="eastAsia"/>
            <w:color w:val="000000" w:themeColor="text1"/>
          </w:rPr>
          <w:t>十二、</w:t>
        </w:r>
        <w:r w:rsidR="00D338CD" w:rsidRPr="000B2A94">
          <w:rPr>
            <w:rStyle w:val="af1"/>
            <w:rFonts w:ascii="Times New Roman" w:hint="eastAsia"/>
            <w:color w:val="000000" w:themeColor="text1"/>
          </w:rPr>
          <w:t>相關實驗室與專家認證規範及證照制度</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_Toc28606828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137</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29" w:history="1">
        <w:r w:rsidR="00D338CD" w:rsidRPr="000B2A94">
          <w:rPr>
            <w:rStyle w:val="af1"/>
            <w:rFonts w:hint="eastAsia"/>
            <w:color w:val="000000" w:themeColor="text1"/>
          </w:rPr>
          <w:t>十三、完善證據法則及專家證人制度</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_Toc28606829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143</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30" w:history="1">
        <w:r w:rsidR="00D338CD" w:rsidRPr="000B2A94">
          <w:rPr>
            <w:rStyle w:val="af1"/>
            <w:rFonts w:hint="eastAsia"/>
            <w:color w:val="000000" w:themeColor="text1"/>
          </w:rPr>
          <w:t>十四、測謊證據之施測標準流程及其證據能力</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_Toc28606830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144</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31" w:history="1">
        <w:r w:rsidR="00D338CD" w:rsidRPr="000B2A94">
          <w:rPr>
            <w:rStyle w:val="af1"/>
            <w:rFonts w:hint="eastAsia"/>
            <w:color w:val="000000" w:themeColor="text1"/>
          </w:rPr>
          <w:t>十五、本院諮詢學者專家意見</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_Toc28606831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149</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32" w:history="1">
        <w:r w:rsidR="00D338CD" w:rsidRPr="000B2A94">
          <w:rPr>
            <w:rStyle w:val="af1"/>
            <w:rFonts w:hint="eastAsia"/>
            <w:color w:val="000000" w:themeColor="text1"/>
          </w:rPr>
          <w:t>十六、本院與司法院、行政院座談意見</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_Toc28606832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153</w:t>
        </w:r>
        <w:r w:rsidR="00D338CD" w:rsidRPr="000B2A94">
          <w:rPr>
            <w:webHidden/>
            <w:color w:val="000000" w:themeColor="text1"/>
          </w:rPr>
          <w:fldChar w:fldCharType="end"/>
        </w:r>
      </w:hyperlink>
    </w:p>
    <w:p w:rsidR="00D338CD" w:rsidRPr="000B2A94" w:rsidRDefault="00026FB3">
      <w:pPr>
        <w:pStyle w:val="12"/>
        <w:ind w:left="1361" w:right="340" w:hanging="1361"/>
        <w:rPr>
          <w:rFonts w:asciiTheme="minorHAnsi" w:eastAsiaTheme="minorEastAsia" w:hAnsiTheme="minorHAnsi" w:cstheme="minorBidi"/>
          <w:color w:val="000000" w:themeColor="text1"/>
          <w:sz w:val="24"/>
          <w:szCs w:val="22"/>
        </w:rPr>
      </w:pPr>
      <w:hyperlink w:anchor="_Toc28606833" w:history="1">
        <w:r w:rsidR="00D338CD" w:rsidRPr="000B2A94">
          <w:rPr>
            <w:rStyle w:val="af1"/>
            <w:rFonts w:hint="eastAsia"/>
            <w:color w:val="000000" w:themeColor="text1"/>
          </w:rPr>
          <w:t>伍、</w:t>
        </w:r>
        <w:r w:rsidR="00D338CD" w:rsidRPr="000B2A94">
          <w:rPr>
            <w:rStyle w:val="af1"/>
            <w:rFonts w:ascii="Times New Roman" w:hint="eastAsia"/>
            <w:color w:val="000000" w:themeColor="text1"/>
          </w:rPr>
          <w:t>赴德國訪察相關機關紀實</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_Toc28606833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156</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34" w:history="1">
        <w:r w:rsidR="00D338CD" w:rsidRPr="000B2A94">
          <w:rPr>
            <w:rStyle w:val="af1"/>
            <w:rFonts w:hint="eastAsia"/>
            <w:color w:val="000000" w:themeColor="text1"/>
          </w:rPr>
          <w:t>一、德國巴伐利亞州刑事鑑定中心</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_Toc28606834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158</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35" w:history="1">
        <w:r w:rsidR="00D338CD" w:rsidRPr="000B2A94">
          <w:rPr>
            <w:rStyle w:val="af1"/>
            <w:rFonts w:hint="eastAsia"/>
            <w:color w:val="000000" w:themeColor="text1"/>
          </w:rPr>
          <w:t>二、德國基森</w:t>
        </w:r>
        <w:r w:rsidR="00D338CD" w:rsidRPr="000B2A94">
          <w:rPr>
            <w:rStyle w:val="af1"/>
            <w:rFonts w:ascii="Times New Roman" w:hint="eastAsia"/>
            <w:color w:val="000000" w:themeColor="text1"/>
          </w:rPr>
          <w:t>大學（</w:t>
        </w:r>
        <w:r w:rsidR="00D338CD" w:rsidRPr="000B2A94">
          <w:rPr>
            <w:rStyle w:val="af1"/>
            <w:rFonts w:ascii="Times New Roman"/>
            <w:color w:val="000000" w:themeColor="text1"/>
          </w:rPr>
          <w:t>Justus-Liebig-Universität Gießen</w:t>
        </w:r>
        <w:r w:rsidR="00D338CD" w:rsidRPr="000B2A94">
          <w:rPr>
            <w:rStyle w:val="af1"/>
            <w:rFonts w:ascii="Times New Roman" w:hint="eastAsia"/>
            <w:color w:val="000000" w:themeColor="text1"/>
          </w:rPr>
          <w:t>）、法蘭克福大學（</w:t>
        </w:r>
        <w:r w:rsidR="00D338CD" w:rsidRPr="000B2A94">
          <w:rPr>
            <w:rStyle w:val="af1"/>
            <w:rFonts w:ascii="Times New Roman"/>
            <w:color w:val="000000" w:themeColor="text1"/>
          </w:rPr>
          <w:t>Goethe-Universität Frankfurt am Main</w:t>
        </w:r>
        <w:r w:rsidR="00D338CD" w:rsidRPr="000B2A94">
          <w:rPr>
            <w:rStyle w:val="af1"/>
            <w:rFonts w:ascii="Times New Roman" w:hint="eastAsia"/>
            <w:color w:val="000000" w:themeColor="text1"/>
          </w:rPr>
          <w:t>）、慕尼黑大學（</w:t>
        </w:r>
        <w:r w:rsidR="00D338CD" w:rsidRPr="000B2A94">
          <w:rPr>
            <w:rStyle w:val="af1"/>
            <w:rFonts w:ascii="Times New Roman"/>
            <w:color w:val="000000" w:themeColor="text1"/>
          </w:rPr>
          <w:t>Ludwig-Maximilians-Universität München</w:t>
        </w:r>
        <w:r w:rsidR="00D338CD" w:rsidRPr="000B2A94">
          <w:rPr>
            <w:rStyle w:val="af1"/>
            <w:rFonts w:ascii="Times New Roman" w:hint="eastAsia"/>
            <w:color w:val="000000" w:themeColor="text1"/>
          </w:rPr>
          <w:t>）之法醫研究所</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_Toc28606835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162</w:t>
        </w:r>
        <w:r w:rsidR="00D338CD" w:rsidRPr="000B2A94">
          <w:rPr>
            <w:webHidden/>
            <w:color w:val="000000" w:themeColor="text1"/>
          </w:rPr>
          <w:fldChar w:fldCharType="end"/>
        </w:r>
      </w:hyperlink>
    </w:p>
    <w:p w:rsidR="00D338CD" w:rsidRPr="000B2A94" w:rsidRDefault="00026FB3">
      <w:pPr>
        <w:pStyle w:val="12"/>
        <w:ind w:left="1361" w:right="340" w:hanging="1361"/>
        <w:rPr>
          <w:rFonts w:asciiTheme="minorHAnsi" w:eastAsiaTheme="minorEastAsia" w:hAnsiTheme="minorHAnsi" w:cstheme="minorBidi"/>
          <w:color w:val="000000" w:themeColor="text1"/>
          <w:sz w:val="24"/>
          <w:szCs w:val="22"/>
        </w:rPr>
      </w:pPr>
      <w:hyperlink w:anchor="_Toc28606836" w:history="1">
        <w:r w:rsidR="00D338CD" w:rsidRPr="000B2A94">
          <w:rPr>
            <w:rStyle w:val="af1"/>
            <w:rFonts w:hint="eastAsia"/>
            <w:color w:val="000000" w:themeColor="text1"/>
          </w:rPr>
          <w:t>陸、</w:t>
        </w:r>
        <w:r w:rsidR="00D338CD" w:rsidRPr="000B2A94">
          <w:rPr>
            <w:rStyle w:val="af1"/>
            <w:rFonts w:ascii="Times New Roman" w:hint="eastAsia"/>
            <w:color w:val="000000" w:themeColor="text1"/>
          </w:rPr>
          <w:t>結論與建議</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_Toc28606836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166</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37" w:history="1">
        <w:r w:rsidR="00D338CD" w:rsidRPr="000B2A94">
          <w:rPr>
            <w:rStyle w:val="af1"/>
            <w:rFonts w:hint="eastAsia"/>
            <w:color w:val="000000" w:themeColor="text1"/>
          </w:rPr>
          <w:t>一、司法改革國是會議決議我國應設立獨立行使職權之國家級司法科學委員會，依目前研議之討論上多認為國家級司法科學委員會非最終鑑定機關，不做個案鑑定，而是作為找出司法科學疑問點之機構，確保鑑識單位遵循規定標準，提供意見給法院參考。就改進司法科學而言，以鑑識分析所採用之技術訂立標準、從業人員取得證照、實驗室通過認證、司法科學教育等議題，提升總體科學證據品質，是值得努力之方向。另參考法務部委託研究計畫「建立法醫鑑定與刑事鑑識複鑑機制」內所提建議方案，就目前鑑定領域擇其尚未具備三項品質要素（實驗室認證、鑑定人員資格認證、常態性準確性考核）而較需補強者，亦即對於現行鑑定之品質上較易遭受質疑之領域建立複鑑機制，而複鑑機關則可考量成立超然獨立之國家級司法科學鑑定中心辦理複鑑機制，亦值參考</w:t>
        </w:r>
        <w:r w:rsidR="00D338CD" w:rsidRPr="000B2A94">
          <w:rPr>
            <w:rStyle w:val="af1"/>
            <w:rFonts w:hAnsi="標楷體" w:hint="eastAsia"/>
            <w:color w:val="000000" w:themeColor="text1"/>
          </w:rPr>
          <w:t>。</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_Toc28606837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167</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38" w:history="1">
        <w:r w:rsidR="00D338CD" w:rsidRPr="000B2A94">
          <w:rPr>
            <w:rStyle w:val="af1"/>
            <w:rFonts w:hint="eastAsia"/>
            <w:color w:val="000000" w:themeColor="text1"/>
          </w:rPr>
          <w:t>二、有關現行法醫師人力嚴重不足之問題，影響鑑驗品質，不利於司法人權之伸張。又法醫師法之落實及</w:t>
        </w:r>
        <w:r w:rsidR="00D338CD" w:rsidRPr="000B2A94">
          <w:rPr>
            <w:rStyle w:val="af1"/>
            <w:rFonts w:hint="eastAsia"/>
            <w:color w:val="000000" w:themeColor="text1"/>
          </w:rPr>
          <w:lastRenderedPageBreak/>
          <w:t>整體法醫鑑定制度之精進強化，行政院允宜正視並督促所屬積極解決。另為充實目前法醫解剖中心設施與設備之水準，有效提升現行司法相驗制度及法醫鑑定之品質，亦應妥予評估投入資源於相關醫學中心法醫部門</w:t>
        </w:r>
        <w:r w:rsidR="005D5AE8" w:rsidRPr="000B2A94">
          <w:rPr>
            <w:rStyle w:val="af1"/>
            <w:rFonts w:hint="eastAsia"/>
            <w:color w:val="000000" w:themeColor="text1"/>
          </w:rPr>
          <w:t>，</w:t>
        </w:r>
        <w:r w:rsidR="00D338CD" w:rsidRPr="000B2A94">
          <w:rPr>
            <w:rStyle w:val="af1"/>
            <w:rFonts w:hint="eastAsia"/>
            <w:color w:val="000000" w:themeColor="text1"/>
          </w:rPr>
          <w:t>設置「具備生物安全第三等級及生物安全第三加等級法醫解剖中心」之可行性。</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_Toc28606838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180</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39" w:history="1">
        <w:r w:rsidR="00D338CD" w:rsidRPr="000B2A94">
          <w:rPr>
            <w:rStyle w:val="af1"/>
            <w:rFonts w:hint="eastAsia"/>
            <w:color w:val="000000" w:themeColor="text1"/>
          </w:rPr>
          <w:t>三、現行各地方政府警察局相關刑事勘察人力及內政部警政署刑事警察局等鑑識機關鑑定人力之擴編及訓練，實需加強檢討因應。另各相關政府鑑識機關亦應加強透過行政院科技發展計畫之申辦，培訓刑事科學鑑識人才，加強鑑識技術，完成實驗室認證，提升鑑定品質，並在組織人力及經費精簡之政策下，強化各鑑定機關物證資料庫之整合及合作。又為期審判者能正確審查鑑定意見，法官相關鑑識基本知能之訓練及進修</w:t>
        </w:r>
        <w:r w:rsidR="00D338CD" w:rsidRPr="000B2A94">
          <w:rPr>
            <w:rStyle w:val="af1"/>
            <w:rFonts w:hAnsi="標楷體" w:hint="eastAsia"/>
            <w:color w:val="000000" w:themeColor="text1"/>
          </w:rPr>
          <w:t>，</w:t>
        </w:r>
        <w:r w:rsidR="00D338CD" w:rsidRPr="000B2A94">
          <w:rPr>
            <w:rStyle w:val="af1"/>
            <w:rFonts w:hint="eastAsia"/>
            <w:color w:val="000000" w:themeColor="text1"/>
          </w:rPr>
          <w:t>實有必要予以強化，而司法機關並應考量委請鑑識單位協助建立相關司法審查之標準，以供審判實務之參考。</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_Toc28606839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192</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40" w:history="1">
        <w:r w:rsidR="00D338CD" w:rsidRPr="000B2A94">
          <w:rPr>
            <w:rStyle w:val="af1"/>
            <w:rFonts w:hint="eastAsia"/>
            <w:color w:val="000000" w:themeColor="text1"/>
          </w:rPr>
          <w:t>四、依司法院研提之刑事訴訟法修正草案第</w:t>
        </w:r>
        <w:r w:rsidR="00D338CD" w:rsidRPr="000B2A94">
          <w:rPr>
            <w:rStyle w:val="af1"/>
            <w:color w:val="000000" w:themeColor="text1"/>
          </w:rPr>
          <w:t>160</w:t>
        </w:r>
        <w:r w:rsidR="00D338CD" w:rsidRPr="000B2A94">
          <w:rPr>
            <w:rStyle w:val="af1"/>
            <w:rFonts w:hint="eastAsia"/>
            <w:color w:val="000000" w:themeColor="text1"/>
          </w:rPr>
          <w:t>條之</w:t>
        </w:r>
        <w:r w:rsidR="00D338CD" w:rsidRPr="000B2A94">
          <w:rPr>
            <w:rStyle w:val="af1"/>
            <w:color w:val="000000" w:themeColor="text1"/>
          </w:rPr>
          <w:t>1</w:t>
        </w:r>
        <w:r w:rsidR="00D338CD" w:rsidRPr="000B2A94">
          <w:rPr>
            <w:rStyle w:val="af1"/>
            <w:rFonts w:hint="eastAsia"/>
            <w:color w:val="000000" w:themeColor="text1"/>
          </w:rPr>
          <w:t>條文，以測謊之結果無證據適格，而不得作為認定犯罪事實存否之證據。然依我國最高法院現行實務、美國大部分實務及德國通說，均認為偵查程序中得於被告同意之情形下，運用測謊作為澄清被告犯罪嫌疑之辯護手段，也可作為有利於被告之證據調查方法</w:t>
        </w:r>
        <w:r w:rsidR="00D338CD" w:rsidRPr="000B2A94">
          <w:rPr>
            <w:rStyle w:val="af1"/>
            <w:rFonts w:hAnsi="標楷體" w:hint="eastAsia"/>
            <w:color w:val="000000" w:themeColor="text1"/>
          </w:rPr>
          <w:t>，</w:t>
        </w:r>
        <w:r w:rsidR="00D338CD" w:rsidRPr="000B2A94">
          <w:rPr>
            <w:rStyle w:val="af1"/>
            <w:rFonts w:hint="eastAsia"/>
            <w:color w:val="000000" w:themeColor="text1"/>
          </w:rPr>
          <w:t>偵查機關自仍得以測謊之結果作為偵查手段，藉以排除或指出偵查之方向，協助偵查。爰此，行政院仍應就測謊鑑定人員之培訓、資格認證及查核等要件研訂一致性規範，並整合研訂一致性之測謊鑑定標準作業程序，確保測謊鑑定之準確性，以維護當事人受公平對待之訴訟權</w:t>
        </w:r>
        <w:r w:rsidR="00D338CD" w:rsidRPr="000B2A94">
          <w:rPr>
            <w:rStyle w:val="af1"/>
            <w:rFonts w:hAnsi="標楷體" w:hint="eastAsia"/>
            <w:color w:val="000000" w:themeColor="text1"/>
          </w:rPr>
          <w:t>。</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_Toc28606840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199</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41" w:history="1">
        <w:r w:rsidR="00D338CD" w:rsidRPr="000B2A94">
          <w:rPr>
            <w:rStyle w:val="af1"/>
            <w:rFonts w:hint="eastAsia"/>
            <w:color w:val="000000" w:themeColor="text1"/>
          </w:rPr>
          <w:t>五、為保障當事人對於鑑定人之詰問權，於審判中應使</w:t>
        </w:r>
        <w:r w:rsidR="00D338CD" w:rsidRPr="000B2A94">
          <w:rPr>
            <w:rStyle w:val="af1"/>
            <w:rFonts w:hint="eastAsia"/>
            <w:color w:val="000000" w:themeColor="text1"/>
          </w:rPr>
          <w:lastRenderedPageBreak/>
          <w:t>實施鑑定之人到庭，透過交互詰問充分檢驗實際實施鑑定之人之資格、專業與中立性、鑑定實施之經過及其結果。惟對於鑑定機關之實際操作可能性及可負擔性，行政院及司法院亦應實應妥予研議考量，於兼顧鑑定實務運作之可行性下，落實保障當事人對於鑑定人之詰問權。</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_Toc28606841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205</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42" w:history="1">
        <w:r w:rsidR="00D338CD" w:rsidRPr="000B2A94">
          <w:rPr>
            <w:rStyle w:val="af1"/>
            <w:rFonts w:hint="eastAsia"/>
            <w:color w:val="000000" w:themeColor="text1"/>
          </w:rPr>
          <w:t>六、法庭上為確認證物之同一性，對於證物之發現取得到呈現法庭，均需一一檢驗法定權責機關或人員之監管程序，是以建立一連續性的證物監管機制，實有必要。現行法務部、法務部調查局、法醫研究所、內政部警政署及司法院等各相關機關，就證物之監管雖均定有相關規範以供遵循，惟仍應妥予檢討精進落實執行。而相關證物一旦進入司法程序，法院亦應負起審查監管紀錄完整性之責任，以排除瑕疵證據，確保證物之同一性及因此作成鑑定意見之可信性。</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_Toc28606842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215</w:t>
        </w:r>
        <w:r w:rsidR="00D338CD" w:rsidRPr="000B2A94">
          <w:rPr>
            <w:webHidden/>
            <w:color w:val="000000" w:themeColor="text1"/>
          </w:rPr>
          <w:fldChar w:fldCharType="end"/>
        </w:r>
      </w:hyperlink>
    </w:p>
    <w:p w:rsidR="00D338CD" w:rsidRPr="000B2A94" w:rsidRDefault="00026FB3">
      <w:pPr>
        <w:pStyle w:val="12"/>
        <w:ind w:left="1361" w:right="340" w:hanging="1361"/>
        <w:rPr>
          <w:rFonts w:asciiTheme="minorHAnsi" w:eastAsiaTheme="minorEastAsia" w:hAnsiTheme="minorHAnsi" w:cstheme="minorBidi"/>
          <w:color w:val="000000" w:themeColor="text1"/>
          <w:sz w:val="24"/>
          <w:szCs w:val="22"/>
        </w:rPr>
      </w:pPr>
      <w:hyperlink w:anchor="_Toc28606843" w:history="1">
        <w:r w:rsidR="00D338CD" w:rsidRPr="000B2A94">
          <w:rPr>
            <w:rStyle w:val="af1"/>
            <w:rFonts w:hint="eastAsia"/>
            <w:color w:val="000000" w:themeColor="text1"/>
          </w:rPr>
          <w:t>柒、</w:t>
        </w:r>
        <w:r w:rsidR="00D338CD" w:rsidRPr="000B2A94">
          <w:rPr>
            <w:rStyle w:val="af1"/>
            <w:rFonts w:hint="eastAsia"/>
            <w:snapToGrid w:val="0"/>
            <w:color w:val="000000" w:themeColor="text1"/>
          </w:rPr>
          <w:t>處理辦法</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_Toc28606843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223</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44" w:history="1">
        <w:r w:rsidR="00D338CD" w:rsidRPr="000B2A94">
          <w:rPr>
            <w:rStyle w:val="af1"/>
            <w:rFonts w:hint="eastAsia"/>
            <w:color w:val="000000" w:themeColor="text1"/>
          </w:rPr>
          <w:t>一、</w:t>
        </w:r>
        <w:r w:rsidR="00D338CD" w:rsidRPr="000B2A94">
          <w:rPr>
            <w:rStyle w:val="af1"/>
            <w:rFonts w:hint="eastAsia"/>
            <w:snapToGrid w:val="0"/>
            <w:color w:val="000000" w:themeColor="text1"/>
          </w:rPr>
          <w:t>本通案性案件調查研究報告送請司法院、行政院暨相關機關參處。</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_Toc28606844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223</w:t>
        </w:r>
        <w:r w:rsidR="00D338CD" w:rsidRPr="000B2A94">
          <w:rPr>
            <w:webHidden/>
            <w:color w:val="000000" w:themeColor="text1"/>
          </w:rPr>
          <w:fldChar w:fldCharType="end"/>
        </w:r>
      </w:hyperlink>
    </w:p>
    <w:p w:rsidR="00D338CD" w:rsidRPr="000B2A94" w:rsidRDefault="00026FB3">
      <w:pPr>
        <w:pStyle w:val="23"/>
        <w:rPr>
          <w:rFonts w:asciiTheme="minorHAnsi" w:eastAsiaTheme="minorEastAsia" w:hAnsiTheme="minorHAnsi" w:cstheme="minorBidi"/>
          <w:color w:val="000000" w:themeColor="text1"/>
          <w:sz w:val="24"/>
          <w:szCs w:val="22"/>
        </w:rPr>
      </w:pPr>
      <w:hyperlink w:anchor="_Toc28606845" w:history="1">
        <w:r w:rsidR="00D338CD" w:rsidRPr="000B2A94">
          <w:rPr>
            <w:rStyle w:val="af1"/>
            <w:rFonts w:hint="eastAsia"/>
            <w:color w:val="000000" w:themeColor="text1"/>
          </w:rPr>
          <w:t>二、</w:t>
        </w:r>
        <w:r w:rsidR="00D338CD" w:rsidRPr="000B2A94">
          <w:rPr>
            <w:rStyle w:val="af1"/>
            <w:rFonts w:hint="eastAsia"/>
            <w:snapToGrid w:val="0"/>
            <w:color w:val="000000" w:themeColor="text1"/>
          </w:rPr>
          <w:t>檢附派查函及相關附件，送請司法及獄政委員會處理。</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_Toc28606845 \h </w:instrText>
        </w:r>
        <w:r w:rsidR="00D338CD" w:rsidRPr="000B2A94">
          <w:rPr>
            <w:webHidden/>
            <w:color w:val="000000" w:themeColor="text1"/>
          </w:rPr>
          <w:fldChar w:fldCharType="separate"/>
        </w:r>
        <w:r>
          <w:rPr>
            <w:rFonts w:hint="eastAsia"/>
            <w:b/>
            <w:bCs/>
            <w:webHidden/>
            <w:color w:val="000000" w:themeColor="text1"/>
          </w:rPr>
          <w:t>錯誤! 尚未定義書籤。</w:t>
        </w:r>
        <w:r w:rsidR="00D338CD" w:rsidRPr="000B2A94">
          <w:rPr>
            <w:webHidden/>
            <w:color w:val="000000" w:themeColor="text1"/>
          </w:rPr>
          <w:fldChar w:fldCharType="end"/>
        </w:r>
      </w:hyperlink>
    </w:p>
    <w:p w:rsidR="00D338CD" w:rsidRPr="000B2A94" w:rsidRDefault="00026FB3" w:rsidP="000E03C2">
      <w:pPr>
        <w:pStyle w:val="23"/>
        <w:ind w:leftChars="0" w:left="0" w:firstLineChars="0" w:firstLine="0"/>
        <w:rPr>
          <w:rFonts w:asciiTheme="minorHAnsi" w:eastAsiaTheme="minorEastAsia" w:hAnsiTheme="minorHAnsi" w:cstheme="minorBidi"/>
          <w:color w:val="000000" w:themeColor="text1"/>
          <w:sz w:val="24"/>
          <w:szCs w:val="22"/>
        </w:rPr>
      </w:pPr>
      <w:hyperlink w:anchor="_Toc28606847" w:history="1">
        <w:r w:rsidR="000E03C2" w:rsidRPr="000B2A94">
          <w:rPr>
            <w:rStyle w:val="af1"/>
            <w:rFonts w:hint="eastAsia"/>
            <w:color w:val="000000" w:themeColor="text1"/>
          </w:rPr>
          <w:t>附錄</w:t>
        </w:r>
        <w:r w:rsidR="00D338CD" w:rsidRPr="000B2A94">
          <w:rPr>
            <w:rStyle w:val="af1"/>
            <w:rFonts w:hint="eastAsia"/>
            <w:b/>
            <w:color w:val="000000" w:themeColor="text1"/>
          </w:rPr>
          <w:t>、</w:t>
        </w:r>
        <w:r w:rsidR="000E03C2" w:rsidRPr="000B2A94">
          <w:rPr>
            <w:rStyle w:val="af1"/>
            <w:rFonts w:hint="eastAsia"/>
            <w:color w:val="000000" w:themeColor="text1"/>
          </w:rPr>
          <w:t>參考文獻</w:t>
        </w:r>
        <w:r w:rsidR="00D338CD" w:rsidRPr="000B2A94">
          <w:rPr>
            <w:webHidden/>
            <w:color w:val="000000" w:themeColor="text1"/>
          </w:rPr>
          <w:tab/>
        </w:r>
        <w:r w:rsidR="00D338CD" w:rsidRPr="000B2A94">
          <w:rPr>
            <w:webHidden/>
            <w:color w:val="000000" w:themeColor="text1"/>
          </w:rPr>
          <w:fldChar w:fldCharType="begin"/>
        </w:r>
        <w:r w:rsidR="00D338CD" w:rsidRPr="000B2A94">
          <w:rPr>
            <w:webHidden/>
            <w:color w:val="000000" w:themeColor="text1"/>
          </w:rPr>
          <w:instrText xml:space="preserve"> PAGEREF _Toc28606847 \h </w:instrText>
        </w:r>
        <w:r w:rsidR="00D338CD" w:rsidRPr="000B2A94">
          <w:rPr>
            <w:webHidden/>
            <w:color w:val="000000" w:themeColor="text1"/>
          </w:rPr>
        </w:r>
        <w:r w:rsidR="00D338CD" w:rsidRPr="000B2A94">
          <w:rPr>
            <w:webHidden/>
            <w:color w:val="000000" w:themeColor="text1"/>
          </w:rPr>
          <w:fldChar w:fldCharType="separate"/>
        </w:r>
        <w:r>
          <w:rPr>
            <w:webHidden/>
            <w:color w:val="000000" w:themeColor="text1"/>
          </w:rPr>
          <w:t>224</w:t>
        </w:r>
        <w:r w:rsidR="00D338CD" w:rsidRPr="000B2A94">
          <w:rPr>
            <w:webHidden/>
            <w:color w:val="000000" w:themeColor="text1"/>
          </w:rPr>
          <w:fldChar w:fldCharType="end"/>
        </w:r>
      </w:hyperlink>
    </w:p>
    <w:p w:rsidR="00E25849" w:rsidRPr="000B2A94" w:rsidRDefault="00D338CD" w:rsidP="00153B7E">
      <w:pPr>
        <w:pStyle w:val="af5"/>
        <w:rPr>
          <w:color w:val="000000" w:themeColor="text1"/>
        </w:rPr>
      </w:pPr>
      <w:r w:rsidRPr="000B2A94">
        <w:rPr>
          <w:b w:val="0"/>
          <w:bCs/>
          <w:noProof/>
          <w:color w:val="000000" w:themeColor="text1"/>
          <w:spacing w:val="0"/>
          <w:kern w:val="2"/>
          <w:sz w:val="32"/>
          <w:szCs w:val="32"/>
        </w:rPr>
        <w:fldChar w:fldCharType="end"/>
      </w:r>
      <w:r w:rsidR="00E25849" w:rsidRPr="000B2A94">
        <w:rPr>
          <w:bCs/>
          <w:color w:val="000000" w:themeColor="text1"/>
        </w:rPr>
        <w:br w:type="page"/>
      </w:r>
      <w:r w:rsidR="00E25849" w:rsidRPr="000B2A94">
        <w:rPr>
          <w:rFonts w:hint="eastAsia"/>
          <w:color w:val="000000" w:themeColor="text1"/>
        </w:rPr>
        <w:lastRenderedPageBreak/>
        <w:t>表目</w:t>
      </w:r>
      <w:r w:rsidR="00B563EA" w:rsidRPr="000B2A94">
        <w:rPr>
          <w:rFonts w:hint="eastAsia"/>
          <w:color w:val="000000" w:themeColor="text1"/>
        </w:rPr>
        <w:t>次</w:t>
      </w:r>
    </w:p>
    <w:p w:rsidR="00F659F3" w:rsidRPr="000B2A94" w:rsidRDefault="00F6627B">
      <w:pPr>
        <w:pStyle w:val="23"/>
        <w:tabs>
          <w:tab w:val="left" w:pos="1020"/>
        </w:tabs>
        <w:rPr>
          <w:rFonts w:asciiTheme="minorHAnsi" w:eastAsiaTheme="minorEastAsia" w:hAnsiTheme="minorHAnsi" w:cstheme="minorBidi"/>
          <w:color w:val="000000" w:themeColor="text1"/>
          <w:sz w:val="24"/>
          <w:szCs w:val="22"/>
        </w:rPr>
      </w:pPr>
      <w:r w:rsidRPr="000B2A94">
        <w:rPr>
          <w:bCs/>
          <w:color w:val="000000" w:themeColor="text1"/>
          <w:szCs w:val="32"/>
        </w:rPr>
        <w:fldChar w:fldCharType="begin"/>
      </w:r>
      <w:r w:rsidRPr="000B2A94">
        <w:rPr>
          <w:bCs/>
          <w:color w:val="000000" w:themeColor="text1"/>
          <w:szCs w:val="32"/>
        </w:rPr>
        <w:instrText xml:space="preserve"> TOC \h \z \t "表標題,2" </w:instrText>
      </w:r>
      <w:r w:rsidRPr="000B2A94">
        <w:rPr>
          <w:bCs/>
          <w:color w:val="000000" w:themeColor="text1"/>
          <w:szCs w:val="32"/>
        </w:rPr>
        <w:fldChar w:fldCharType="separate"/>
      </w:r>
      <w:hyperlink w:anchor="_Toc27412328" w:history="1">
        <w:r w:rsidR="00F659F3" w:rsidRPr="000B2A94">
          <w:rPr>
            <w:rStyle w:val="af1"/>
            <w:rFonts w:hint="eastAsia"/>
            <w:color w:val="000000" w:themeColor="text1"/>
          </w:rPr>
          <w:t>表1</w:t>
        </w:r>
        <w:r w:rsidR="00F659F3" w:rsidRPr="000B2A94">
          <w:rPr>
            <w:rFonts w:asciiTheme="minorHAnsi" w:eastAsiaTheme="minorEastAsia" w:hAnsiTheme="minorHAnsi" w:cstheme="minorBidi"/>
            <w:color w:val="000000" w:themeColor="text1"/>
            <w:sz w:val="24"/>
            <w:szCs w:val="22"/>
          </w:rPr>
          <w:tab/>
        </w:r>
        <w:r w:rsidR="00F659F3" w:rsidRPr="000B2A94">
          <w:rPr>
            <w:rStyle w:val="af1"/>
            <w:rFonts w:ascii="Times New Roman" w:hint="eastAsia"/>
            <w:color w:val="000000" w:themeColor="text1"/>
          </w:rPr>
          <w:t>司法改革會議各方對於「設國家級鑑識單位」之意見彙整表</w:t>
        </w:r>
        <w:r w:rsidR="00F659F3" w:rsidRPr="000B2A94">
          <w:rPr>
            <w:webHidden/>
            <w:color w:val="000000" w:themeColor="text1"/>
          </w:rPr>
          <w:tab/>
        </w:r>
        <w:r w:rsidR="00F659F3" w:rsidRPr="000B2A94">
          <w:rPr>
            <w:webHidden/>
            <w:color w:val="000000" w:themeColor="text1"/>
          </w:rPr>
          <w:fldChar w:fldCharType="begin"/>
        </w:r>
        <w:r w:rsidR="00F659F3" w:rsidRPr="000B2A94">
          <w:rPr>
            <w:webHidden/>
            <w:color w:val="000000" w:themeColor="text1"/>
          </w:rPr>
          <w:instrText xml:space="preserve"> PAGEREF _Toc27412328 \h </w:instrText>
        </w:r>
        <w:r w:rsidR="00F659F3" w:rsidRPr="000B2A94">
          <w:rPr>
            <w:webHidden/>
            <w:color w:val="000000" w:themeColor="text1"/>
          </w:rPr>
        </w:r>
        <w:r w:rsidR="00F659F3" w:rsidRPr="000B2A94">
          <w:rPr>
            <w:webHidden/>
            <w:color w:val="000000" w:themeColor="text1"/>
          </w:rPr>
          <w:fldChar w:fldCharType="separate"/>
        </w:r>
        <w:r w:rsidR="00026FB3">
          <w:rPr>
            <w:webHidden/>
            <w:color w:val="000000" w:themeColor="text1"/>
          </w:rPr>
          <w:t>18</w:t>
        </w:r>
        <w:r w:rsidR="00F659F3" w:rsidRPr="000B2A94">
          <w:rPr>
            <w:webHidden/>
            <w:color w:val="000000" w:themeColor="text1"/>
          </w:rPr>
          <w:fldChar w:fldCharType="end"/>
        </w:r>
      </w:hyperlink>
    </w:p>
    <w:p w:rsidR="00F659F3" w:rsidRPr="000B2A94" w:rsidRDefault="00026FB3">
      <w:pPr>
        <w:pStyle w:val="23"/>
        <w:tabs>
          <w:tab w:val="left" w:pos="1020"/>
        </w:tabs>
        <w:rPr>
          <w:rFonts w:asciiTheme="minorHAnsi" w:eastAsiaTheme="minorEastAsia" w:hAnsiTheme="minorHAnsi" w:cstheme="minorBidi"/>
          <w:color w:val="000000" w:themeColor="text1"/>
          <w:sz w:val="24"/>
          <w:szCs w:val="22"/>
        </w:rPr>
      </w:pPr>
      <w:hyperlink w:anchor="_Toc27412329" w:history="1">
        <w:r w:rsidR="00F659F3" w:rsidRPr="000B2A94">
          <w:rPr>
            <w:rStyle w:val="af1"/>
            <w:rFonts w:hint="eastAsia"/>
            <w:color w:val="000000" w:themeColor="text1"/>
          </w:rPr>
          <w:t>表2</w:t>
        </w:r>
        <w:r w:rsidR="00F659F3" w:rsidRPr="000B2A94">
          <w:rPr>
            <w:rFonts w:asciiTheme="minorHAnsi" w:eastAsiaTheme="minorEastAsia" w:hAnsiTheme="minorHAnsi" w:cstheme="minorBidi"/>
            <w:color w:val="000000" w:themeColor="text1"/>
            <w:sz w:val="24"/>
            <w:szCs w:val="22"/>
          </w:rPr>
          <w:tab/>
        </w:r>
        <w:r w:rsidR="00F659F3" w:rsidRPr="000B2A94">
          <w:rPr>
            <w:rStyle w:val="af1"/>
            <w:rFonts w:hint="eastAsia"/>
            <w:color w:val="000000" w:themeColor="text1"/>
          </w:rPr>
          <w:t>法醫研究所編制內法醫師與兼任研究員近</w:t>
        </w:r>
        <w:r w:rsidR="00F659F3" w:rsidRPr="000B2A94">
          <w:rPr>
            <w:rStyle w:val="af1"/>
            <w:color w:val="000000" w:themeColor="text1"/>
          </w:rPr>
          <w:t>5</w:t>
        </w:r>
        <w:r w:rsidR="00F659F3" w:rsidRPr="000B2A94">
          <w:rPr>
            <w:rStyle w:val="af1"/>
            <w:rFonts w:hint="eastAsia"/>
            <w:color w:val="000000" w:themeColor="text1"/>
          </w:rPr>
          <w:t>年解剖件數及比例</w:t>
        </w:r>
        <w:r w:rsidR="00F659F3" w:rsidRPr="000B2A94">
          <w:rPr>
            <w:webHidden/>
            <w:color w:val="000000" w:themeColor="text1"/>
          </w:rPr>
          <w:tab/>
        </w:r>
        <w:r w:rsidR="00F659F3" w:rsidRPr="000B2A94">
          <w:rPr>
            <w:webHidden/>
            <w:color w:val="000000" w:themeColor="text1"/>
          </w:rPr>
          <w:fldChar w:fldCharType="begin"/>
        </w:r>
        <w:r w:rsidR="00F659F3" w:rsidRPr="000B2A94">
          <w:rPr>
            <w:webHidden/>
            <w:color w:val="000000" w:themeColor="text1"/>
          </w:rPr>
          <w:instrText xml:space="preserve"> PAGEREF _Toc27412329 \h </w:instrText>
        </w:r>
        <w:r w:rsidR="00F659F3" w:rsidRPr="000B2A94">
          <w:rPr>
            <w:webHidden/>
            <w:color w:val="000000" w:themeColor="text1"/>
          </w:rPr>
        </w:r>
        <w:r w:rsidR="00F659F3" w:rsidRPr="000B2A94">
          <w:rPr>
            <w:webHidden/>
            <w:color w:val="000000" w:themeColor="text1"/>
          </w:rPr>
          <w:fldChar w:fldCharType="separate"/>
        </w:r>
        <w:r>
          <w:rPr>
            <w:webHidden/>
            <w:color w:val="000000" w:themeColor="text1"/>
          </w:rPr>
          <w:t>119</w:t>
        </w:r>
        <w:r w:rsidR="00F659F3" w:rsidRPr="000B2A94">
          <w:rPr>
            <w:webHidden/>
            <w:color w:val="000000" w:themeColor="text1"/>
          </w:rPr>
          <w:fldChar w:fldCharType="end"/>
        </w:r>
      </w:hyperlink>
    </w:p>
    <w:p w:rsidR="00F659F3" w:rsidRPr="000B2A94" w:rsidRDefault="00026FB3">
      <w:pPr>
        <w:pStyle w:val="23"/>
        <w:tabs>
          <w:tab w:val="left" w:pos="1020"/>
        </w:tabs>
        <w:rPr>
          <w:rFonts w:asciiTheme="minorHAnsi" w:eastAsiaTheme="minorEastAsia" w:hAnsiTheme="minorHAnsi" w:cstheme="minorBidi"/>
          <w:color w:val="000000" w:themeColor="text1"/>
          <w:sz w:val="24"/>
          <w:szCs w:val="22"/>
        </w:rPr>
      </w:pPr>
      <w:hyperlink w:anchor="_Toc27412330" w:history="1">
        <w:r w:rsidR="00F659F3" w:rsidRPr="000B2A94">
          <w:rPr>
            <w:rStyle w:val="af1"/>
            <w:rFonts w:hint="eastAsia"/>
            <w:color w:val="000000" w:themeColor="text1"/>
          </w:rPr>
          <w:t>表3</w:t>
        </w:r>
        <w:r w:rsidR="00F659F3" w:rsidRPr="000B2A94">
          <w:rPr>
            <w:rFonts w:asciiTheme="minorHAnsi" w:eastAsiaTheme="minorEastAsia" w:hAnsiTheme="minorHAnsi" w:cstheme="minorBidi"/>
            <w:color w:val="000000" w:themeColor="text1"/>
            <w:sz w:val="24"/>
            <w:szCs w:val="22"/>
          </w:rPr>
          <w:tab/>
        </w:r>
        <w:r w:rsidR="00F659F3" w:rsidRPr="000B2A94">
          <w:rPr>
            <w:rStyle w:val="af1"/>
            <w:rFonts w:hint="eastAsia"/>
            <w:color w:val="000000" w:themeColor="text1"/>
          </w:rPr>
          <w:t>法醫研究所、各地方檢察署法醫師、兼任研究員、榮譽</w:t>
        </w:r>
        <w:r w:rsidR="00F659F3" w:rsidRPr="000B2A94">
          <w:rPr>
            <w:rStyle w:val="af1"/>
            <w:color w:val="000000" w:themeColor="text1"/>
          </w:rPr>
          <w:t>/</w:t>
        </w:r>
        <w:r w:rsidR="00F659F3" w:rsidRPr="000B2A94">
          <w:rPr>
            <w:rStyle w:val="af1"/>
            <w:rFonts w:hint="eastAsia"/>
            <w:color w:val="000000" w:themeColor="text1"/>
          </w:rPr>
          <w:t>兼任法醫師人數及解剖件數統計</w:t>
        </w:r>
        <w:r w:rsidR="00F659F3" w:rsidRPr="000B2A94">
          <w:rPr>
            <w:webHidden/>
            <w:color w:val="000000" w:themeColor="text1"/>
          </w:rPr>
          <w:tab/>
        </w:r>
        <w:r w:rsidR="00F659F3" w:rsidRPr="000B2A94">
          <w:rPr>
            <w:webHidden/>
            <w:color w:val="000000" w:themeColor="text1"/>
          </w:rPr>
          <w:fldChar w:fldCharType="begin"/>
        </w:r>
        <w:r w:rsidR="00F659F3" w:rsidRPr="000B2A94">
          <w:rPr>
            <w:webHidden/>
            <w:color w:val="000000" w:themeColor="text1"/>
          </w:rPr>
          <w:instrText xml:space="preserve"> PAGEREF _Toc27412330 \h </w:instrText>
        </w:r>
        <w:r w:rsidR="00F659F3" w:rsidRPr="000B2A94">
          <w:rPr>
            <w:webHidden/>
            <w:color w:val="000000" w:themeColor="text1"/>
          </w:rPr>
        </w:r>
        <w:r w:rsidR="00F659F3" w:rsidRPr="000B2A94">
          <w:rPr>
            <w:webHidden/>
            <w:color w:val="000000" w:themeColor="text1"/>
          </w:rPr>
          <w:fldChar w:fldCharType="separate"/>
        </w:r>
        <w:r>
          <w:rPr>
            <w:webHidden/>
            <w:color w:val="000000" w:themeColor="text1"/>
          </w:rPr>
          <w:t>120</w:t>
        </w:r>
        <w:r w:rsidR="00F659F3" w:rsidRPr="000B2A94">
          <w:rPr>
            <w:webHidden/>
            <w:color w:val="000000" w:themeColor="text1"/>
          </w:rPr>
          <w:fldChar w:fldCharType="end"/>
        </w:r>
      </w:hyperlink>
    </w:p>
    <w:p w:rsidR="00F659F3" w:rsidRPr="000B2A94" w:rsidRDefault="00026FB3">
      <w:pPr>
        <w:pStyle w:val="23"/>
        <w:tabs>
          <w:tab w:val="left" w:pos="1020"/>
        </w:tabs>
        <w:rPr>
          <w:rFonts w:asciiTheme="minorHAnsi" w:eastAsiaTheme="minorEastAsia" w:hAnsiTheme="minorHAnsi" w:cstheme="minorBidi"/>
          <w:color w:val="000000" w:themeColor="text1"/>
          <w:sz w:val="24"/>
          <w:szCs w:val="22"/>
        </w:rPr>
      </w:pPr>
      <w:hyperlink w:anchor="_Toc27412331" w:history="1">
        <w:r w:rsidR="00F659F3" w:rsidRPr="000B2A94">
          <w:rPr>
            <w:rStyle w:val="af1"/>
            <w:rFonts w:hint="eastAsia"/>
            <w:color w:val="000000" w:themeColor="text1"/>
          </w:rPr>
          <w:t>表4</w:t>
        </w:r>
        <w:r w:rsidR="00F659F3" w:rsidRPr="000B2A94">
          <w:rPr>
            <w:rFonts w:asciiTheme="minorHAnsi" w:eastAsiaTheme="minorEastAsia" w:hAnsiTheme="minorHAnsi" w:cstheme="minorBidi"/>
            <w:color w:val="000000" w:themeColor="text1"/>
            <w:sz w:val="24"/>
            <w:szCs w:val="22"/>
          </w:rPr>
          <w:tab/>
        </w:r>
        <w:r w:rsidR="00F659F3" w:rsidRPr="000B2A94">
          <w:rPr>
            <w:rStyle w:val="af1"/>
            <w:color w:val="000000" w:themeColor="text1"/>
          </w:rPr>
          <w:t>95-108</w:t>
        </w:r>
        <w:r w:rsidR="00F659F3" w:rsidRPr="000B2A94">
          <w:rPr>
            <w:rStyle w:val="af1"/>
            <w:rFonts w:hint="eastAsia"/>
            <w:color w:val="000000" w:themeColor="text1"/>
          </w:rPr>
          <w:t>年</w:t>
        </w:r>
        <w:r w:rsidR="00F659F3" w:rsidRPr="000B2A94">
          <w:rPr>
            <w:rStyle w:val="af1"/>
            <w:color w:val="000000" w:themeColor="text1"/>
          </w:rPr>
          <w:t>6</w:t>
        </w:r>
        <w:r w:rsidR="00F659F3" w:rsidRPr="000B2A94">
          <w:rPr>
            <w:rStyle w:val="af1"/>
            <w:rFonts w:hint="eastAsia"/>
            <w:color w:val="000000" w:themeColor="text1"/>
          </w:rPr>
          <w:t>月解剖收案情形表</w:t>
        </w:r>
        <w:r w:rsidR="00F659F3" w:rsidRPr="000B2A94">
          <w:rPr>
            <w:webHidden/>
            <w:color w:val="000000" w:themeColor="text1"/>
          </w:rPr>
          <w:tab/>
        </w:r>
        <w:r w:rsidR="00F659F3" w:rsidRPr="000B2A94">
          <w:rPr>
            <w:webHidden/>
            <w:color w:val="000000" w:themeColor="text1"/>
          </w:rPr>
          <w:fldChar w:fldCharType="begin"/>
        </w:r>
        <w:r w:rsidR="00F659F3" w:rsidRPr="000B2A94">
          <w:rPr>
            <w:webHidden/>
            <w:color w:val="000000" w:themeColor="text1"/>
          </w:rPr>
          <w:instrText xml:space="preserve"> PAGEREF _Toc27412331 \h </w:instrText>
        </w:r>
        <w:r w:rsidR="00F659F3" w:rsidRPr="000B2A94">
          <w:rPr>
            <w:webHidden/>
            <w:color w:val="000000" w:themeColor="text1"/>
          </w:rPr>
        </w:r>
        <w:r w:rsidR="00F659F3" w:rsidRPr="000B2A94">
          <w:rPr>
            <w:webHidden/>
            <w:color w:val="000000" w:themeColor="text1"/>
          </w:rPr>
          <w:fldChar w:fldCharType="separate"/>
        </w:r>
        <w:r>
          <w:rPr>
            <w:webHidden/>
            <w:color w:val="000000" w:themeColor="text1"/>
          </w:rPr>
          <w:t>122</w:t>
        </w:r>
        <w:r w:rsidR="00F659F3" w:rsidRPr="000B2A94">
          <w:rPr>
            <w:webHidden/>
            <w:color w:val="000000" w:themeColor="text1"/>
          </w:rPr>
          <w:fldChar w:fldCharType="end"/>
        </w:r>
      </w:hyperlink>
    </w:p>
    <w:p w:rsidR="00F659F3" w:rsidRPr="000B2A94" w:rsidRDefault="00026FB3">
      <w:pPr>
        <w:pStyle w:val="23"/>
        <w:tabs>
          <w:tab w:val="left" w:pos="1020"/>
        </w:tabs>
        <w:rPr>
          <w:rFonts w:asciiTheme="minorHAnsi" w:eastAsiaTheme="minorEastAsia" w:hAnsiTheme="minorHAnsi" w:cstheme="minorBidi"/>
          <w:color w:val="000000" w:themeColor="text1"/>
          <w:sz w:val="24"/>
          <w:szCs w:val="22"/>
        </w:rPr>
      </w:pPr>
      <w:hyperlink w:anchor="_Toc27412332" w:history="1">
        <w:r w:rsidR="00F659F3" w:rsidRPr="000B2A94">
          <w:rPr>
            <w:rStyle w:val="af1"/>
            <w:rFonts w:hint="eastAsia"/>
            <w:color w:val="000000" w:themeColor="text1"/>
          </w:rPr>
          <w:t>表5</w:t>
        </w:r>
        <w:r w:rsidR="00F659F3" w:rsidRPr="000B2A94">
          <w:rPr>
            <w:rFonts w:asciiTheme="minorHAnsi" w:eastAsiaTheme="minorEastAsia" w:hAnsiTheme="minorHAnsi" w:cstheme="minorBidi"/>
            <w:color w:val="000000" w:themeColor="text1"/>
            <w:sz w:val="24"/>
            <w:szCs w:val="22"/>
          </w:rPr>
          <w:tab/>
        </w:r>
        <w:r w:rsidR="00F659F3" w:rsidRPr="000B2A94">
          <w:rPr>
            <w:rStyle w:val="af1"/>
            <w:rFonts w:ascii="Times New Roman" w:hint="eastAsia"/>
            <w:color w:val="000000" w:themeColor="text1"/>
          </w:rPr>
          <w:t>法醫研究所處理法醫相關鑑定案件類別情形</w:t>
        </w:r>
        <w:r w:rsidR="00F659F3" w:rsidRPr="000B2A94">
          <w:rPr>
            <w:webHidden/>
            <w:color w:val="000000" w:themeColor="text1"/>
          </w:rPr>
          <w:tab/>
        </w:r>
        <w:r w:rsidR="00F659F3" w:rsidRPr="000B2A94">
          <w:rPr>
            <w:webHidden/>
            <w:color w:val="000000" w:themeColor="text1"/>
          </w:rPr>
          <w:fldChar w:fldCharType="begin"/>
        </w:r>
        <w:r w:rsidR="00F659F3" w:rsidRPr="000B2A94">
          <w:rPr>
            <w:webHidden/>
            <w:color w:val="000000" w:themeColor="text1"/>
          </w:rPr>
          <w:instrText xml:space="preserve"> PAGEREF _Toc27412332 \h </w:instrText>
        </w:r>
        <w:r w:rsidR="00F659F3" w:rsidRPr="000B2A94">
          <w:rPr>
            <w:webHidden/>
            <w:color w:val="000000" w:themeColor="text1"/>
          </w:rPr>
        </w:r>
        <w:r w:rsidR="00F659F3" w:rsidRPr="000B2A94">
          <w:rPr>
            <w:webHidden/>
            <w:color w:val="000000" w:themeColor="text1"/>
          </w:rPr>
          <w:fldChar w:fldCharType="separate"/>
        </w:r>
        <w:r>
          <w:rPr>
            <w:webHidden/>
            <w:color w:val="000000" w:themeColor="text1"/>
          </w:rPr>
          <w:t>123</w:t>
        </w:r>
        <w:r w:rsidR="00F659F3" w:rsidRPr="000B2A94">
          <w:rPr>
            <w:webHidden/>
            <w:color w:val="000000" w:themeColor="text1"/>
          </w:rPr>
          <w:fldChar w:fldCharType="end"/>
        </w:r>
      </w:hyperlink>
    </w:p>
    <w:p w:rsidR="00F659F3" w:rsidRPr="000B2A94" w:rsidRDefault="00026FB3">
      <w:pPr>
        <w:pStyle w:val="23"/>
        <w:tabs>
          <w:tab w:val="left" w:pos="1020"/>
        </w:tabs>
        <w:rPr>
          <w:rFonts w:asciiTheme="minorHAnsi" w:eastAsiaTheme="minorEastAsia" w:hAnsiTheme="minorHAnsi" w:cstheme="minorBidi"/>
          <w:color w:val="000000" w:themeColor="text1"/>
          <w:sz w:val="24"/>
          <w:szCs w:val="22"/>
        </w:rPr>
      </w:pPr>
      <w:hyperlink w:anchor="_Toc27412333" w:history="1">
        <w:r w:rsidR="00F659F3" w:rsidRPr="000B2A94">
          <w:rPr>
            <w:rStyle w:val="af1"/>
            <w:rFonts w:hAnsi="標楷體" w:hint="eastAsia"/>
            <w:color w:val="000000" w:themeColor="text1"/>
            <w:lang w:bidi="th-TH"/>
          </w:rPr>
          <w:t>表6</w:t>
        </w:r>
        <w:r w:rsidR="00F659F3" w:rsidRPr="000B2A94">
          <w:rPr>
            <w:rFonts w:asciiTheme="minorHAnsi" w:eastAsiaTheme="minorEastAsia" w:hAnsiTheme="minorHAnsi" w:cstheme="minorBidi"/>
            <w:color w:val="000000" w:themeColor="text1"/>
            <w:sz w:val="24"/>
            <w:szCs w:val="22"/>
          </w:rPr>
          <w:tab/>
        </w:r>
        <w:r w:rsidR="00F659F3" w:rsidRPr="000B2A94">
          <w:rPr>
            <w:rStyle w:val="af1"/>
            <w:rFonts w:eastAsia="新細明體"/>
            <w:color w:val="000000" w:themeColor="text1"/>
            <w:lang w:bidi="th-TH"/>
          </w:rPr>
          <w:t>105</w:t>
        </w:r>
        <w:r w:rsidR="00F659F3" w:rsidRPr="000B2A94">
          <w:rPr>
            <w:rStyle w:val="af1"/>
            <w:rFonts w:hAnsi="標楷體"/>
            <w:color w:val="000000" w:themeColor="text1"/>
            <w:lang w:bidi="th-TH"/>
          </w:rPr>
          <w:t>-</w:t>
        </w:r>
        <w:r w:rsidR="00F659F3" w:rsidRPr="000B2A94">
          <w:rPr>
            <w:rStyle w:val="af1"/>
            <w:rFonts w:eastAsia="新細明體"/>
            <w:color w:val="000000" w:themeColor="text1"/>
            <w:lang w:bidi="th-TH"/>
          </w:rPr>
          <w:t>107</w:t>
        </w:r>
        <w:r w:rsidR="00F659F3" w:rsidRPr="000B2A94">
          <w:rPr>
            <w:rStyle w:val="af1"/>
            <w:rFonts w:hAnsi="標楷體" w:hint="eastAsia"/>
            <w:color w:val="000000" w:themeColor="text1"/>
            <w:lang w:bidi="th-TH"/>
          </w:rPr>
          <w:t>年度法醫所編制內、外醫師支領解剖鑑定費總額</w:t>
        </w:r>
        <w:r w:rsidR="00F659F3" w:rsidRPr="000B2A94">
          <w:rPr>
            <w:webHidden/>
            <w:color w:val="000000" w:themeColor="text1"/>
          </w:rPr>
          <w:tab/>
        </w:r>
        <w:r w:rsidR="00F659F3" w:rsidRPr="000B2A94">
          <w:rPr>
            <w:webHidden/>
            <w:color w:val="000000" w:themeColor="text1"/>
          </w:rPr>
          <w:fldChar w:fldCharType="begin"/>
        </w:r>
        <w:r w:rsidR="00F659F3" w:rsidRPr="000B2A94">
          <w:rPr>
            <w:webHidden/>
            <w:color w:val="000000" w:themeColor="text1"/>
          </w:rPr>
          <w:instrText xml:space="preserve"> PAGEREF _Toc27412333 \h </w:instrText>
        </w:r>
        <w:r w:rsidR="00F659F3" w:rsidRPr="000B2A94">
          <w:rPr>
            <w:webHidden/>
            <w:color w:val="000000" w:themeColor="text1"/>
          </w:rPr>
        </w:r>
        <w:r w:rsidR="00F659F3" w:rsidRPr="000B2A94">
          <w:rPr>
            <w:webHidden/>
            <w:color w:val="000000" w:themeColor="text1"/>
          </w:rPr>
          <w:fldChar w:fldCharType="separate"/>
        </w:r>
        <w:r>
          <w:rPr>
            <w:webHidden/>
            <w:color w:val="000000" w:themeColor="text1"/>
          </w:rPr>
          <w:t>132</w:t>
        </w:r>
        <w:r w:rsidR="00F659F3" w:rsidRPr="000B2A94">
          <w:rPr>
            <w:webHidden/>
            <w:color w:val="000000" w:themeColor="text1"/>
          </w:rPr>
          <w:fldChar w:fldCharType="end"/>
        </w:r>
      </w:hyperlink>
    </w:p>
    <w:p w:rsidR="00F659F3" w:rsidRPr="000B2A94" w:rsidRDefault="00026FB3">
      <w:pPr>
        <w:pStyle w:val="23"/>
        <w:tabs>
          <w:tab w:val="left" w:pos="1020"/>
        </w:tabs>
        <w:rPr>
          <w:rFonts w:asciiTheme="minorHAnsi" w:eastAsiaTheme="minorEastAsia" w:hAnsiTheme="minorHAnsi" w:cstheme="minorBidi"/>
          <w:color w:val="000000" w:themeColor="text1"/>
          <w:sz w:val="24"/>
          <w:szCs w:val="22"/>
        </w:rPr>
      </w:pPr>
      <w:hyperlink w:anchor="_Toc27412334" w:history="1">
        <w:r w:rsidR="00F659F3" w:rsidRPr="000B2A94">
          <w:rPr>
            <w:rStyle w:val="af1"/>
            <w:rFonts w:hint="eastAsia"/>
            <w:color w:val="000000" w:themeColor="text1"/>
          </w:rPr>
          <w:t>表7</w:t>
        </w:r>
        <w:r w:rsidR="00F659F3" w:rsidRPr="000B2A94">
          <w:rPr>
            <w:rFonts w:asciiTheme="minorHAnsi" w:eastAsiaTheme="minorEastAsia" w:hAnsiTheme="minorHAnsi" w:cstheme="minorBidi"/>
            <w:color w:val="000000" w:themeColor="text1"/>
            <w:sz w:val="24"/>
            <w:szCs w:val="22"/>
          </w:rPr>
          <w:tab/>
        </w:r>
        <w:r w:rsidR="00F659F3" w:rsidRPr="000B2A94">
          <w:rPr>
            <w:rStyle w:val="af1"/>
            <w:rFonts w:hint="eastAsia"/>
            <w:color w:val="000000" w:themeColor="text1"/>
          </w:rPr>
          <w:t>法醫所、各地方檢察署法醫師、兼任研究員、榮譽</w:t>
        </w:r>
        <w:r w:rsidR="00F659F3" w:rsidRPr="000B2A94">
          <w:rPr>
            <w:rStyle w:val="af1"/>
            <w:color w:val="000000" w:themeColor="text1"/>
          </w:rPr>
          <w:t>/</w:t>
        </w:r>
        <w:r w:rsidR="00F659F3" w:rsidRPr="000B2A94">
          <w:rPr>
            <w:rStyle w:val="af1"/>
            <w:rFonts w:hint="eastAsia"/>
            <w:color w:val="000000" w:themeColor="text1"/>
          </w:rPr>
          <w:t>兼任法醫師人數及解剖件數統計</w:t>
        </w:r>
        <w:r w:rsidR="00F659F3" w:rsidRPr="000B2A94">
          <w:rPr>
            <w:webHidden/>
            <w:color w:val="000000" w:themeColor="text1"/>
          </w:rPr>
          <w:tab/>
        </w:r>
        <w:r w:rsidR="00F659F3" w:rsidRPr="000B2A94">
          <w:rPr>
            <w:webHidden/>
            <w:color w:val="000000" w:themeColor="text1"/>
          </w:rPr>
          <w:fldChar w:fldCharType="begin"/>
        </w:r>
        <w:r w:rsidR="00F659F3" w:rsidRPr="000B2A94">
          <w:rPr>
            <w:webHidden/>
            <w:color w:val="000000" w:themeColor="text1"/>
          </w:rPr>
          <w:instrText xml:space="preserve"> PAGEREF _Toc27412334 \h </w:instrText>
        </w:r>
        <w:r w:rsidR="00F659F3" w:rsidRPr="000B2A94">
          <w:rPr>
            <w:webHidden/>
            <w:color w:val="000000" w:themeColor="text1"/>
          </w:rPr>
        </w:r>
        <w:r w:rsidR="00F659F3" w:rsidRPr="000B2A94">
          <w:rPr>
            <w:webHidden/>
            <w:color w:val="000000" w:themeColor="text1"/>
          </w:rPr>
          <w:fldChar w:fldCharType="separate"/>
        </w:r>
        <w:r>
          <w:rPr>
            <w:webHidden/>
            <w:color w:val="000000" w:themeColor="text1"/>
          </w:rPr>
          <w:t>180</w:t>
        </w:r>
        <w:r w:rsidR="00F659F3" w:rsidRPr="000B2A94">
          <w:rPr>
            <w:webHidden/>
            <w:color w:val="000000" w:themeColor="text1"/>
          </w:rPr>
          <w:fldChar w:fldCharType="end"/>
        </w:r>
      </w:hyperlink>
    </w:p>
    <w:p w:rsidR="00F659F3" w:rsidRPr="000B2A94" w:rsidRDefault="00026FB3">
      <w:pPr>
        <w:pStyle w:val="23"/>
        <w:tabs>
          <w:tab w:val="left" w:pos="1020"/>
        </w:tabs>
        <w:rPr>
          <w:rFonts w:asciiTheme="minorHAnsi" w:eastAsiaTheme="minorEastAsia" w:hAnsiTheme="minorHAnsi" w:cstheme="minorBidi"/>
          <w:color w:val="000000" w:themeColor="text1"/>
          <w:sz w:val="24"/>
          <w:szCs w:val="22"/>
        </w:rPr>
      </w:pPr>
      <w:hyperlink w:anchor="_Toc27412335" w:history="1">
        <w:r w:rsidR="00F659F3" w:rsidRPr="000B2A94">
          <w:rPr>
            <w:rStyle w:val="af1"/>
            <w:rFonts w:hint="eastAsia"/>
            <w:color w:val="000000" w:themeColor="text1"/>
          </w:rPr>
          <w:t>表8</w:t>
        </w:r>
        <w:r w:rsidR="00F659F3" w:rsidRPr="000B2A94">
          <w:rPr>
            <w:rFonts w:asciiTheme="minorHAnsi" w:eastAsiaTheme="minorEastAsia" w:hAnsiTheme="minorHAnsi" w:cstheme="minorBidi"/>
            <w:color w:val="000000" w:themeColor="text1"/>
            <w:sz w:val="24"/>
            <w:szCs w:val="22"/>
          </w:rPr>
          <w:tab/>
        </w:r>
        <w:r w:rsidR="00F659F3" w:rsidRPr="000B2A94">
          <w:rPr>
            <w:rStyle w:val="af1"/>
            <w:rFonts w:eastAsia="新細明體"/>
            <w:color w:val="000000" w:themeColor="text1"/>
            <w:lang w:bidi="th-TH"/>
          </w:rPr>
          <w:t>105</w:t>
        </w:r>
        <w:r w:rsidR="00F659F3" w:rsidRPr="000B2A94">
          <w:rPr>
            <w:rStyle w:val="af1"/>
            <w:rFonts w:hAnsi="標楷體"/>
            <w:color w:val="000000" w:themeColor="text1"/>
            <w:lang w:bidi="th-TH"/>
          </w:rPr>
          <w:t>-</w:t>
        </w:r>
        <w:r w:rsidR="00F659F3" w:rsidRPr="000B2A94">
          <w:rPr>
            <w:rStyle w:val="af1"/>
            <w:rFonts w:eastAsia="新細明體"/>
            <w:color w:val="000000" w:themeColor="text1"/>
            <w:lang w:bidi="th-TH"/>
          </w:rPr>
          <w:t>107</w:t>
        </w:r>
        <w:r w:rsidR="00F659F3" w:rsidRPr="000B2A94">
          <w:rPr>
            <w:rStyle w:val="af1"/>
            <w:rFonts w:hAnsi="標楷體" w:hint="eastAsia"/>
            <w:color w:val="000000" w:themeColor="text1"/>
            <w:lang w:bidi="th-TH"/>
          </w:rPr>
          <w:t>年度法醫所編制內、外醫師支領解剖鑑定費總額</w:t>
        </w:r>
        <w:r w:rsidR="00F659F3" w:rsidRPr="000B2A94">
          <w:rPr>
            <w:webHidden/>
            <w:color w:val="000000" w:themeColor="text1"/>
          </w:rPr>
          <w:tab/>
        </w:r>
        <w:r w:rsidR="00F659F3" w:rsidRPr="000B2A94">
          <w:rPr>
            <w:webHidden/>
            <w:color w:val="000000" w:themeColor="text1"/>
          </w:rPr>
          <w:fldChar w:fldCharType="begin"/>
        </w:r>
        <w:r w:rsidR="00F659F3" w:rsidRPr="000B2A94">
          <w:rPr>
            <w:webHidden/>
            <w:color w:val="000000" w:themeColor="text1"/>
          </w:rPr>
          <w:instrText xml:space="preserve"> PAGEREF _Toc27412335 \h </w:instrText>
        </w:r>
        <w:r w:rsidR="00F659F3" w:rsidRPr="000B2A94">
          <w:rPr>
            <w:webHidden/>
            <w:color w:val="000000" w:themeColor="text1"/>
          </w:rPr>
        </w:r>
        <w:r w:rsidR="00F659F3" w:rsidRPr="000B2A94">
          <w:rPr>
            <w:webHidden/>
            <w:color w:val="000000" w:themeColor="text1"/>
          </w:rPr>
          <w:fldChar w:fldCharType="separate"/>
        </w:r>
        <w:r>
          <w:rPr>
            <w:webHidden/>
            <w:color w:val="000000" w:themeColor="text1"/>
          </w:rPr>
          <w:t>181</w:t>
        </w:r>
        <w:r w:rsidR="00F659F3" w:rsidRPr="000B2A94">
          <w:rPr>
            <w:webHidden/>
            <w:color w:val="000000" w:themeColor="text1"/>
          </w:rPr>
          <w:fldChar w:fldCharType="end"/>
        </w:r>
      </w:hyperlink>
    </w:p>
    <w:p w:rsidR="00E25849" w:rsidRPr="000B2A94" w:rsidRDefault="00F6627B" w:rsidP="00F6627B">
      <w:pPr>
        <w:rPr>
          <w:color w:val="000000" w:themeColor="text1"/>
        </w:rPr>
      </w:pPr>
      <w:r w:rsidRPr="000B2A94">
        <w:rPr>
          <w:bCs/>
          <w:noProof/>
          <w:color w:val="000000" w:themeColor="text1"/>
          <w:szCs w:val="32"/>
        </w:rPr>
        <w:fldChar w:fldCharType="end"/>
      </w:r>
    </w:p>
    <w:p w:rsidR="00F6627B" w:rsidRPr="000B2A94" w:rsidRDefault="00F6627B" w:rsidP="00F6627B">
      <w:pPr>
        <w:rPr>
          <w:color w:val="000000" w:themeColor="text1"/>
        </w:rPr>
      </w:pPr>
    </w:p>
    <w:p w:rsidR="00017318" w:rsidRPr="000B2A94" w:rsidRDefault="00017318" w:rsidP="00017318">
      <w:pPr>
        <w:pStyle w:val="af5"/>
        <w:rPr>
          <w:color w:val="000000" w:themeColor="text1"/>
        </w:rPr>
      </w:pPr>
      <w:r w:rsidRPr="000B2A94">
        <w:rPr>
          <w:rFonts w:hint="eastAsia"/>
          <w:color w:val="000000" w:themeColor="text1"/>
        </w:rPr>
        <w:t>圖目次</w:t>
      </w:r>
    </w:p>
    <w:p w:rsidR="00F659F3" w:rsidRPr="000B2A94" w:rsidRDefault="00AA42D5">
      <w:pPr>
        <w:pStyle w:val="23"/>
        <w:tabs>
          <w:tab w:val="left" w:pos="1020"/>
        </w:tabs>
        <w:rPr>
          <w:rFonts w:asciiTheme="minorHAnsi" w:eastAsiaTheme="minorEastAsia" w:hAnsiTheme="minorHAnsi" w:cstheme="minorBidi"/>
          <w:color w:val="000000" w:themeColor="text1"/>
          <w:sz w:val="24"/>
          <w:szCs w:val="22"/>
        </w:rPr>
      </w:pPr>
      <w:r w:rsidRPr="000B2A94">
        <w:rPr>
          <w:bCs/>
          <w:color w:val="000000" w:themeColor="text1"/>
        </w:rPr>
        <w:fldChar w:fldCharType="begin"/>
      </w:r>
      <w:r w:rsidRPr="000B2A94">
        <w:rPr>
          <w:bCs/>
          <w:color w:val="000000" w:themeColor="text1"/>
        </w:rPr>
        <w:instrText xml:space="preserve"> </w:instrText>
      </w:r>
      <w:r w:rsidRPr="000B2A94">
        <w:rPr>
          <w:rFonts w:hint="eastAsia"/>
          <w:bCs/>
          <w:color w:val="000000" w:themeColor="text1"/>
        </w:rPr>
        <w:instrText>TOC \h \z \t "圖標題,2"</w:instrText>
      </w:r>
      <w:r w:rsidRPr="000B2A94">
        <w:rPr>
          <w:bCs/>
          <w:color w:val="000000" w:themeColor="text1"/>
        </w:rPr>
        <w:instrText xml:space="preserve"> </w:instrText>
      </w:r>
      <w:r w:rsidRPr="000B2A94">
        <w:rPr>
          <w:bCs/>
          <w:color w:val="000000" w:themeColor="text1"/>
        </w:rPr>
        <w:fldChar w:fldCharType="separate"/>
      </w:r>
      <w:hyperlink w:anchor="_Toc27412358" w:history="1">
        <w:r w:rsidR="00F659F3" w:rsidRPr="000B2A94">
          <w:rPr>
            <w:rStyle w:val="af1"/>
            <w:rFonts w:hint="eastAsia"/>
            <w:color w:val="000000" w:themeColor="text1"/>
          </w:rPr>
          <w:t>圖1</w:t>
        </w:r>
        <w:r w:rsidR="00F659F3" w:rsidRPr="000B2A94">
          <w:rPr>
            <w:rFonts w:asciiTheme="minorHAnsi" w:eastAsiaTheme="minorEastAsia" w:hAnsiTheme="minorHAnsi" w:cstheme="minorBidi"/>
            <w:color w:val="000000" w:themeColor="text1"/>
            <w:sz w:val="24"/>
            <w:szCs w:val="22"/>
          </w:rPr>
          <w:tab/>
        </w:r>
        <w:r w:rsidR="00F659F3" w:rsidRPr="000B2A94">
          <w:rPr>
            <w:rStyle w:val="af1"/>
            <w:rFonts w:hint="eastAsia"/>
            <w:color w:val="000000" w:themeColor="text1"/>
          </w:rPr>
          <w:t>法醫研究所法病理解剖鑑定案件流程</w:t>
        </w:r>
        <w:r w:rsidR="00F659F3" w:rsidRPr="000B2A94">
          <w:rPr>
            <w:webHidden/>
            <w:color w:val="000000" w:themeColor="text1"/>
          </w:rPr>
          <w:tab/>
        </w:r>
        <w:r w:rsidR="00F659F3" w:rsidRPr="000B2A94">
          <w:rPr>
            <w:webHidden/>
            <w:color w:val="000000" w:themeColor="text1"/>
          </w:rPr>
          <w:fldChar w:fldCharType="begin"/>
        </w:r>
        <w:r w:rsidR="00F659F3" w:rsidRPr="000B2A94">
          <w:rPr>
            <w:webHidden/>
            <w:color w:val="000000" w:themeColor="text1"/>
          </w:rPr>
          <w:instrText xml:space="preserve"> PAGEREF _Toc27412358 \h </w:instrText>
        </w:r>
        <w:r w:rsidR="00F659F3" w:rsidRPr="000B2A94">
          <w:rPr>
            <w:webHidden/>
            <w:color w:val="000000" w:themeColor="text1"/>
          </w:rPr>
        </w:r>
        <w:r w:rsidR="00F659F3" w:rsidRPr="000B2A94">
          <w:rPr>
            <w:webHidden/>
            <w:color w:val="000000" w:themeColor="text1"/>
          </w:rPr>
          <w:fldChar w:fldCharType="separate"/>
        </w:r>
        <w:r w:rsidR="00026FB3">
          <w:rPr>
            <w:webHidden/>
            <w:color w:val="000000" w:themeColor="text1"/>
          </w:rPr>
          <w:t>31</w:t>
        </w:r>
        <w:r w:rsidR="00F659F3" w:rsidRPr="000B2A94">
          <w:rPr>
            <w:webHidden/>
            <w:color w:val="000000" w:themeColor="text1"/>
          </w:rPr>
          <w:fldChar w:fldCharType="end"/>
        </w:r>
      </w:hyperlink>
    </w:p>
    <w:p w:rsidR="00F659F3" w:rsidRPr="000B2A94" w:rsidRDefault="00026FB3">
      <w:pPr>
        <w:pStyle w:val="23"/>
        <w:tabs>
          <w:tab w:val="left" w:pos="1020"/>
        </w:tabs>
        <w:rPr>
          <w:rFonts w:asciiTheme="minorHAnsi" w:eastAsiaTheme="minorEastAsia" w:hAnsiTheme="minorHAnsi" w:cstheme="minorBidi"/>
          <w:color w:val="000000" w:themeColor="text1"/>
          <w:sz w:val="24"/>
          <w:szCs w:val="22"/>
        </w:rPr>
      </w:pPr>
      <w:hyperlink w:anchor="_Toc27412359" w:history="1">
        <w:r w:rsidR="00F659F3" w:rsidRPr="000B2A94">
          <w:rPr>
            <w:rStyle w:val="af1"/>
            <w:rFonts w:hint="eastAsia"/>
            <w:color w:val="000000" w:themeColor="text1"/>
          </w:rPr>
          <w:t>圖2</w:t>
        </w:r>
        <w:r w:rsidR="00F659F3" w:rsidRPr="000B2A94">
          <w:rPr>
            <w:rFonts w:asciiTheme="minorHAnsi" w:eastAsiaTheme="minorEastAsia" w:hAnsiTheme="minorHAnsi" w:cstheme="minorBidi"/>
            <w:color w:val="000000" w:themeColor="text1"/>
            <w:sz w:val="24"/>
            <w:szCs w:val="22"/>
          </w:rPr>
          <w:tab/>
        </w:r>
        <w:r w:rsidR="00F659F3" w:rsidRPr="000B2A94">
          <w:rPr>
            <w:rStyle w:val="af1"/>
            <w:rFonts w:hint="eastAsia"/>
            <w:color w:val="000000" w:themeColor="text1"/>
          </w:rPr>
          <w:t>現行各鑑識機構架構圖</w:t>
        </w:r>
        <w:r w:rsidR="00F659F3" w:rsidRPr="000B2A94">
          <w:rPr>
            <w:webHidden/>
            <w:color w:val="000000" w:themeColor="text1"/>
          </w:rPr>
          <w:tab/>
        </w:r>
        <w:r w:rsidR="00F659F3" w:rsidRPr="000B2A94">
          <w:rPr>
            <w:webHidden/>
            <w:color w:val="000000" w:themeColor="text1"/>
          </w:rPr>
          <w:fldChar w:fldCharType="begin"/>
        </w:r>
        <w:r w:rsidR="00F659F3" w:rsidRPr="000B2A94">
          <w:rPr>
            <w:webHidden/>
            <w:color w:val="000000" w:themeColor="text1"/>
          </w:rPr>
          <w:instrText xml:space="preserve"> PAGEREF _Toc27412359 \h </w:instrText>
        </w:r>
        <w:r w:rsidR="00F659F3" w:rsidRPr="000B2A94">
          <w:rPr>
            <w:webHidden/>
            <w:color w:val="000000" w:themeColor="text1"/>
          </w:rPr>
        </w:r>
        <w:r w:rsidR="00F659F3" w:rsidRPr="000B2A94">
          <w:rPr>
            <w:webHidden/>
            <w:color w:val="000000" w:themeColor="text1"/>
          </w:rPr>
          <w:fldChar w:fldCharType="separate"/>
        </w:r>
        <w:r>
          <w:rPr>
            <w:webHidden/>
            <w:color w:val="000000" w:themeColor="text1"/>
          </w:rPr>
          <w:t>35</w:t>
        </w:r>
        <w:r w:rsidR="00F659F3" w:rsidRPr="000B2A94">
          <w:rPr>
            <w:webHidden/>
            <w:color w:val="000000" w:themeColor="text1"/>
          </w:rPr>
          <w:fldChar w:fldCharType="end"/>
        </w:r>
      </w:hyperlink>
    </w:p>
    <w:p w:rsidR="00F659F3" w:rsidRPr="000B2A94" w:rsidRDefault="00026FB3">
      <w:pPr>
        <w:pStyle w:val="23"/>
        <w:tabs>
          <w:tab w:val="left" w:pos="1020"/>
        </w:tabs>
        <w:rPr>
          <w:rFonts w:asciiTheme="minorHAnsi" w:eastAsiaTheme="minorEastAsia" w:hAnsiTheme="minorHAnsi" w:cstheme="minorBidi"/>
          <w:color w:val="000000" w:themeColor="text1"/>
          <w:sz w:val="24"/>
          <w:szCs w:val="22"/>
        </w:rPr>
      </w:pPr>
      <w:hyperlink w:anchor="_Toc27412360" w:history="1">
        <w:r w:rsidR="00F659F3" w:rsidRPr="000B2A94">
          <w:rPr>
            <w:rStyle w:val="af1"/>
            <w:rFonts w:hint="eastAsia"/>
            <w:color w:val="000000" w:themeColor="text1"/>
          </w:rPr>
          <w:t>圖3</w:t>
        </w:r>
        <w:r w:rsidR="00F659F3" w:rsidRPr="000B2A94">
          <w:rPr>
            <w:rFonts w:asciiTheme="minorHAnsi" w:eastAsiaTheme="minorEastAsia" w:hAnsiTheme="minorHAnsi" w:cstheme="minorBidi"/>
            <w:color w:val="000000" w:themeColor="text1"/>
            <w:sz w:val="24"/>
            <w:szCs w:val="22"/>
          </w:rPr>
          <w:tab/>
        </w:r>
        <w:r w:rsidR="00F659F3" w:rsidRPr="000B2A94">
          <w:rPr>
            <w:rStyle w:val="af1"/>
            <w:rFonts w:hint="eastAsia"/>
            <w:color w:val="000000" w:themeColor="text1"/>
          </w:rPr>
          <w:t>法醫研究所法醫師歷年收案數統計</w:t>
        </w:r>
        <w:r w:rsidR="00F659F3" w:rsidRPr="000B2A94">
          <w:rPr>
            <w:webHidden/>
            <w:color w:val="000000" w:themeColor="text1"/>
          </w:rPr>
          <w:tab/>
        </w:r>
        <w:r w:rsidR="00F659F3" w:rsidRPr="000B2A94">
          <w:rPr>
            <w:webHidden/>
            <w:color w:val="000000" w:themeColor="text1"/>
          </w:rPr>
          <w:fldChar w:fldCharType="begin"/>
        </w:r>
        <w:r w:rsidR="00F659F3" w:rsidRPr="000B2A94">
          <w:rPr>
            <w:webHidden/>
            <w:color w:val="000000" w:themeColor="text1"/>
          </w:rPr>
          <w:instrText xml:space="preserve"> PAGEREF _Toc27412360 \h </w:instrText>
        </w:r>
        <w:r w:rsidR="00F659F3" w:rsidRPr="000B2A94">
          <w:rPr>
            <w:webHidden/>
            <w:color w:val="000000" w:themeColor="text1"/>
          </w:rPr>
        </w:r>
        <w:r w:rsidR="00F659F3" w:rsidRPr="000B2A94">
          <w:rPr>
            <w:webHidden/>
            <w:color w:val="000000" w:themeColor="text1"/>
          </w:rPr>
          <w:fldChar w:fldCharType="separate"/>
        </w:r>
        <w:r>
          <w:rPr>
            <w:webHidden/>
            <w:color w:val="000000" w:themeColor="text1"/>
          </w:rPr>
          <w:t>122</w:t>
        </w:r>
        <w:r w:rsidR="00F659F3" w:rsidRPr="000B2A94">
          <w:rPr>
            <w:webHidden/>
            <w:color w:val="000000" w:themeColor="text1"/>
          </w:rPr>
          <w:fldChar w:fldCharType="end"/>
        </w:r>
      </w:hyperlink>
    </w:p>
    <w:p w:rsidR="00F659F3" w:rsidRPr="000B2A94" w:rsidRDefault="00026FB3">
      <w:pPr>
        <w:pStyle w:val="23"/>
        <w:tabs>
          <w:tab w:val="left" w:pos="1020"/>
        </w:tabs>
        <w:rPr>
          <w:rFonts w:asciiTheme="minorHAnsi" w:eastAsiaTheme="minorEastAsia" w:hAnsiTheme="minorHAnsi" w:cstheme="minorBidi"/>
          <w:color w:val="000000" w:themeColor="text1"/>
          <w:sz w:val="24"/>
          <w:szCs w:val="22"/>
        </w:rPr>
      </w:pPr>
      <w:hyperlink w:anchor="_Toc27412361" w:history="1">
        <w:r w:rsidR="00F659F3" w:rsidRPr="000B2A94">
          <w:rPr>
            <w:rStyle w:val="af1"/>
            <w:rFonts w:hint="eastAsia"/>
            <w:color w:val="000000" w:themeColor="text1"/>
          </w:rPr>
          <w:t>圖4</w:t>
        </w:r>
        <w:r w:rsidR="00F659F3" w:rsidRPr="000B2A94">
          <w:rPr>
            <w:rFonts w:asciiTheme="minorHAnsi" w:eastAsiaTheme="minorEastAsia" w:hAnsiTheme="minorHAnsi" w:cstheme="minorBidi"/>
            <w:color w:val="000000" w:themeColor="text1"/>
            <w:sz w:val="24"/>
            <w:szCs w:val="22"/>
          </w:rPr>
          <w:tab/>
        </w:r>
        <w:r w:rsidR="00F659F3" w:rsidRPr="000B2A94">
          <w:rPr>
            <w:rStyle w:val="af1"/>
            <w:color w:val="000000" w:themeColor="text1"/>
          </w:rPr>
          <w:t>105-107</w:t>
        </w:r>
        <w:r w:rsidR="00F659F3" w:rsidRPr="000B2A94">
          <w:rPr>
            <w:rStyle w:val="af1"/>
            <w:rFonts w:hint="eastAsia"/>
            <w:color w:val="000000" w:themeColor="text1"/>
          </w:rPr>
          <w:t>年解剖案件死亡方式統計</w:t>
        </w:r>
        <w:r w:rsidR="00F659F3" w:rsidRPr="000B2A94">
          <w:rPr>
            <w:webHidden/>
            <w:color w:val="000000" w:themeColor="text1"/>
          </w:rPr>
          <w:tab/>
        </w:r>
        <w:r w:rsidR="00F659F3" w:rsidRPr="000B2A94">
          <w:rPr>
            <w:webHidden/>
            <w:color w:val="000000" w:themeColor="text1"/>
          </w:rPr>
          <w:fldChar w:fldCharType="begin"/>
        </w:r>
        <w:r w:rsidR="00F659F3" w:rsidRPr="000B2A94">
          <w:rPr>
            <w:webHidden/>
            <w:color w:val="000000" w:themeColor="text1"/>
          </w:rPr>
          <w:instrText xml:space="preserve"> PAGEREF _Toc27412361 \h </w:instrText>
        </w:r>
        <w:r w:rsidR="00F659F3" w:rsidRPr="000B2A94">
          <w:rPr>
            <w:webHidden/>
            <w:color w:val="000000" w:themeColor="text1"/>
          </w:rPr>
        </w:r>
        <w:r w:rsidR="00F659F3" w:rsidRPr="000B2A94">
          <w:rPr>
            <w:webHidden/>
            <w:color w:val="000000" w:themeColor="text1"/>
          </w:rPr>
          <w:fldChar w:fldCharType="separate"/>
        </w:r>
        <w:r>
          <w:rPr>
            <w:webHidden/>
            <w:color w:val="000000" w:themeColor="text1"/>
          </w:rPr>
          <w:t>127</w:t>
        </w:r>
        <w:r w:rsidR="00F659F3" w:rsidRPr="000B2A94">
          <w:rPr>
            <w:webHidden/>
            <w:color w:val="000000" w:themeColor="text1"/>
          </w:rPr>
          <w:fldChar w:fldCharType="end"/>
        </w:r>
      </w:hyperlink>
    </w:p>
    <w:p w:rsidR="00E25849" w:rsidRPr="000B2A94" w:rsidRDefault="00AA42D5">
      <w:pPr>
        <w:rPr>
          <w:bCs/>
          <w:color w:val="000000" w:themeColor="text1"/>
        </w:rPr>
      </w:pPr>
      <w:r w:rsidRPr="000B2A94">
        <w:rPr>
          <w:bCs/>
          <w:color w:val="000000" w:themeColor="text1"/>
        </w:rPr>
        <w:fldChar w:fldCharType="end"/>
      </w:r>
    </w:p>
    <w:p w:rsidR="00E351ED" w:rsidRPr="000B2A94" w:rsidRDefault="00E351ED">
      <w:pPr>
        <w:rPr>
          <w:bCs/>
          <w:color w:val="000000" w:themeColor="text1"/>
        </w:rPr>
      </w:pPr>
    </w:p>
    <w:p w:rsidR="00E25849" w:rsidRPr="000B2A94" w:rsidRDefault="00E25849">
      <w:pPr>
        <w:pStyle w:val="ad"/>
        <w:spacing w:before="0"/>
        <w:ind w:left="1701" w:firstLine="0"/>
        <w:rPr>
          <w:bCs/>
          <w:color w:val="000000" w:themeColor="text1"/>
        </w:rPr>
        <w:sectPr w:rsidR="00E25849" w:rsidRPr="000B2A94" w:rsidSect="00A835BD">
          <w:footerReference w:type="default" r:id="rId10"/>
          <w:pgSz w:w="11907" w:h="16840" w:code="9"/>
          <w:pgMar w:top="1701" w:right="1418" w:bottom="1418" w:left="1418" w:header="851" w:footer="851" w:gutter="227"/>
          <w:pgNumType w:fmt="upperRoman" w:start="1"/>
          <w:cols w:space="425"/>
          <w:docGrid w:type="linesAndChars" w:linePitch="457" w:charSpace="4127"/>
        </w:sectPr>
      </w:pPr>
    </w:p>
    <w:p w:rsidR="00532E60" w:rsidRPr="000B2A94" w:rsidRDefault="00F956E8" w:rsidP="001F6F88">
      <w:pPr>
        <w:pStyle w:val="ad"/>
        <w:topLinePunct/>
        <w:autoSpaceDE w:val="0"/>
        <w:snapToGrid w:val="0"/>
        <w:spacing w:before="0" w:line="460" w:lineRule="exact"/>
        <w:jc w:val="center"/>
        <w:rPr>
          <w:rFonts w:ascii="Times New Roman"/>
          <w:b/>
          <w:color w:val="000000" w:themeColor="text1"/>
          <w:spacing w:val="-10"/>
          <w:szCs w:val="32"/>
        </w:rPr>
      </w:pPr>
      <w:bookmarkStart w:id="1" w:name="_Toc4469767"/>
      <w:bookmarkStart w:id="2" w:name="_Toc4473079"/>
      <w:bookmarkStart w:id="3" w:name="_Toc75337444"/>
      <w:bookmarkStart w:id="4" w:name="_Toc4467126"/>
      <w:r w:rsidRPr="000B2A94">
        <w:rPr>
          <w:rFonts w:ascii="Times New Roman"/>
          <w:b/>
          <w:color w:val="000000" w:themeColor="text1"/>
          <w:spacing w:val="-10"/>
          <w:szCs w:val="32"/>
        </w:rPr>
        <w:lastRenderedPageBreak/>
        <w:t>監察院</w:t>
      </w:r>
      <w:r w:rsidRPr="000B2A94">
        <w:rPr>
          <w:rFonts w:ascii="Times New Roman"/>
          <w:b/>
          <w:color w:val="000000" w:themeColor="text1"/>
          <w:spacing w:val="-10"/>
          <w:szCs w:val="32"/>
        </w:rPr>
        <w:t>1</w:t>
      </w:r>
      <w:r w:rsidRPr="000B2A94">
        <w:rPr>
          <w:rFonts w:ascii="Times New Roman"/>
          <w:b/>
          <w:bCs/>
          <w:snapToGrid/>
          <w:color w:val="000000" w:themeColor="text1"/>
          <w:spacing w:val="0"/>
          <w:kern w:val="0"/>
          <w:szCs w:val="32"/>
        </w:rPr>
        <w:t>08</w:t>
      </w:r>
      <w:r w:rsidRPr="000B2A94">
        <w:rPr>
          <w:rFonts w:ascii="Times New Roman"/>
          <w:b/>
          <w:bCs/>
          <w:snapToGrid/>
          <w:color w:val="000000" w:themeColor="text1"/>
          <w:spacing w:val="0"/>
          <w:kern w:val="0"/>
          <w:szCs w:val="32"/>
        </w:rPr>
        <w:t>年度</w:t>
      </w:r>
      <w:r w:rsidRPr="000B2A94">
        <w:rPr>
          <w:rFonts w:ascii="Times New Roman"/>
          <w:b/>
          <w:color w:val="000000" w:themeColor="text1"/>
          <w:spacing w:val="-10"/>
          <w:szCs w:val="32"/>
        </w:rPr>
        <w:t>通案性案件調查研究</w:t>
      </w:r>
    </w:p>
    <w:p w:rsidR="00F956E8" w:rsidRPr="000B2A94" w:rsidRDefault="001F6F88" w:rsidP="001F6F88">
      <w:pPr>
        <w:pStyle w:val="ad"/>
        <w:topLinePunct/>
        <w:snapToGrid w:val="0"/>
        <w:spacing w:line="460" w:lineRule="exact"/>
        <w:jc w:val="center"/>
        <w:rPr>
          <w:rFonts w:ascii="Times New Roman"/>
          <w:b/>
          <w:bCs/>
          <w:snapToGrid/>
          <w:color w:val="000000" w:themeColor="text1"/>
          <w:spacing w:val="0"/>
          <w:kern w:val="0"/>
          <w:szCs w:val="32"/>
        </w:rPr>
      </w:pPr>
      <w:r w:rsidRPr="000B2A94">
        <w:rPr>
          <w:rFonts w:ascii="Times New Roman" w:hint="eastAsia"/>
          <w:b/>
          <w:color w:val="000000" w:themeColor="text1"/>
          <w:spacing w:val="-10"/>
          <w:szCs w:val="32"/>
        </w:rPr>
        <w:t>「</w:t>
      </w:r>
      <w:r w:rsidR="00532E60" w:rsidRPr="000B2A94">
        <w:rPr>
          <w:rFonts w:ascii="Times New Roman" w:hint="eastAsia"/>
          <w:b/>
          <w:color w:val="000000" w:themeColor="text1"/>
          <w:spacing w:val="-10"/>
          <w:szCs w:val="32"/>
        </w:rPr>
        <w:t>司法科學鑑定制度之研析</w:t>
      </w:r>
      <w:r w:rsidRPr="000B2A94">
        <w:rPr>
          <w:rFonts w:ascii="Times New Roman" w:hint="eastAsia"/>
          <w:b/>
          <w:color w:val="000000" w:themeColor="text1"/>
          <w:spacing w:val="-10"/>
          <w:szCs w:val="32"/>
        </w:rPr>
        <w:t>」</w:t>
      </w:r>
      <w:r w:rsidR="00532E60" w:rsidRPr="000B2A94">
        <w:rPr>
          <w:rFonts w:ascii="Times New Roman" w:hint="eastAsia"/>
          <w:b/>
          <w:color w:val="000000" w:themeColor="text1"/>
          <w:spacing w:val="-10"/>
          <w:szCs w:val="32"/>
        </w:rPr>
        <w:t>通案性案件調查研究報告</w:t>
      </w:r>
    </w:p>
    <w:p w:rsidR="00F956E8" w:rsidRPr="000B2A94" w:rsidRDefault="00F956E8" w:rsidP="00F956E8">
      <w:pPr>
        <w:pStyle w:val="ad"/>
        <w:autoSpaceDE w:val="0"/>
        <w:snapToGrid w:val="0"/>
        <w:spacing w:before="0"/>
        <w:ind w:left="2122" w:hanging="761"/>
        <w:jc w:val="center"/>
        <w:rPr>
          <w:rFonts w:ascii="Times New Roman"/>
          <w:b/>
          <w:bCs/>
          <w:snapToGrid/>
          <w:color w:val="000000" w:themeColor="text1"/>
          <w:spacing w:val="0"/>
          <w:kern w:val="0"/>
          <w:sz w:val="36"/>
        </w:rPr>
      </w:pPr>
    </w:p>
    <w:p w:rsidR="00F956E8" w:rsidRPr="000B2A94" w:rsidRDefault="00F956E8" w:rsidP="00F956E8">
      <w:pPr>
        <w:pStyle w:val="1"/>
        <w:numPr>
          <w:ilvl w:val="0"/>
          <w:numId w:val="1"/>
        </w:numPr>
        <w:kinsoku w:val="0"/>
        <w:overflowPunct/>
        <w:autoSpaceDE/>
        <w:autoSpaceDN/>
        <w:spacing w:beforeLines="25" w:before="114"/>
        <w:ind w:left="2381" w:hanging="2381"/>
        <w:rPr>
          <w:rFonts w:ascii="Times New Roman" w:hAnsi="Times New Roman"/>
          <w:b/>
          <w:color w:val="000000" w:themeColor="text1"/>
        </w:rPr>
      </w:pPr>
      <w:bookmarkStart w:id="5" w:name="_Toc475101267"/>
      <w:bookmarkStart w:id="6" w:name="_Toc10466686"/>
      <w:bookmarkStart w:id="7" w:name="_Toc28606792"/>
      <w:bookmarkStart w:id="8" w:name="_Toc524892371"/>
      <w:bookmarkStart w:id="9" w:name="_Toc524895642"/>
      <w:bookmarkStart w:id="10" w:name="_Toc524896188"/>
      <w:bookmarkStart w:id="11" w:name="_Toc524896218"/>
      <w:bookmarkStart w:id="12" w:name="_Toc524902724"/>
      <w:bookmarkStart w:id="13" w:name="_Toc525066143"/>
      <w:bookmarkStart w:id="14" w:name="_Toc525070833"/>
      <w:bookmarkStart w:id="15" w:name="_Toc525938373"/>
      <w:bookmarkStart w:id="16" w:name="_Toc525939221"/>
      <w:bookmarkStart w:id="17" w:name="_Toc525939726"/>
      <w:bookmarkStart w:id="18" w:name="_Toc529218260"/>
      <w:bookmarkStart w:id="19" w:name="_Toc529222683"/>
      <w:bookmarkStart w:id="20" w:name="_Toc529223105"/>
      <w:bookmarkStart w:id="21" w:name="_Toc529223856"/>
      <w:bookmarkStart w:id="22" w:name="_Toc529228252"/>
      <w:bookmarkStart w:id="23" w:name="_Toc2400389"/>
      <w:bookmarkStart w:id="24" w:name="_Toc4316183"/>
      <w:bookmarkStart w:id="25" w:name="_Toc4473324"/>
      <w:bookmarkStart w:id="26" w:name="_Toc69556891"/>
      <w:bookmarkStart w:id="27" w:name="_Toc69556940"/>
      <w:bookmarkStart w:id="28" w:name="_Toc69609814"/>
      <w:bookmarkStart w:id="29" w:name="_Toc70241810"/>
      <w:bookmarkStart w:id="30" w:name="_Toc70242199"/>
      <w:r w:rsidRPr="000B2A94">
        <w:rPr>
          <w:rFonts w:ascii="Times New Roman" w:hAnsi="Times New Roman"/>
          <w:b/>
          <w:color w:val="000000" w:themeColor="text1"/>
        </w:rPr>
        <w:t>通案調查研究</w:t>
      </w:r>
      <w:bookmarkEnd w:id="5"/>
      <w:bookmarkEnd w:id="6"/>
      <w:r w:rsidRPr="000B2A94">
        <w:rPr>
          <w:rFonts w:ascii="Times New Roman" w:hAnsi="Times New Roman"/>
          <w:b/>
          <w:color w:val="000000" w:themeColor="text1"/>
        </w:rPr>
        <w:t>緣起與目的</w:t>
      </w:r>
      <w:bookmarkEnd w:id="7"/>
    </w:p>
    <w:p w:rsidR="00F956E8" w:rsidRPr="000B2A94" w:rsidRDefault="00F956E8" w:rsidP="00F956E8">
      <w:pPr>
        <w:pStyle w:val="2"/>
        <w:numPr>
          <w:ilvl w:val="1"/>
          <w:numId w:val="1"/>
        </w:numPr>
        <w:kinsoku w:val="0"/>
        <w:overflowPunct/>
        <w:autoSpaceDE/>
        <w:autoSpaceDN/>
        <w:spacing w:beforeLines="25" w:before="114"/>
        <w:ind w:left="1020" w:hanging="680"/>
        <w:rPr>
          <w:rFonts w:ascii="Times New Roman" w:hAnsi="Times New Roman"/>
          <w:b/>
          <w:bCs w:val="0"/>
          <w:color w:val="000000" w:themeColor="text1"/>
          <w:szCs w:val="36"/>
        </w:rPr>
      </w:pPr>
      <w:bookmarkStart w:id="31" w:name="_Toc10466687"/>
      <w:bookmarkStart w:id="32" w:name="_Toc28606793"/>
      <w:r w:rsidRPr="000B2A94">
        <w:rPr>
          <w:rFonts w:ascii="Times New Roman" w:hAnsi="Times New Roman"/>
          <w:b/>
          <w:bCs w:val="0"/>
          <w:color w:val="000000" w:themeColor="text1"/>
          <w:szCs w:val="36"/>
        </w:rPr>
        <w:t>研究緣起</w:t>
      </w:r>
      <w:bookmarkEnd w:id="31"/>
      <w:bookmarkEnd w:id="32"/>
    </w:p>
    <w:p w:rsidR="00F956E8" w:rsidRPr="000B2A94" w:rsidRDefault="00F956E8" w:rsidP="00F956E8">
      <w:pPr>
        <w:pStyle w:val="22"/>
        <w:ind w:left="1020" w:right="55" w:firstLine="680"/>
        <w:rPr>
          <w:rFonts w:ascii="Times New Roman"/>
          <w:b/>
          <w:bCs/>
          <w:color w:val="000000" w:themeColor="text1"/>
        </w:rPr>
      </w:pPr>
      <w:r w:rsidRPr="000B2A94">
        <w:rPr>
          <w:rFonts w:ascii="Times New Roman"/>
          <w:color w:val="000000" w:themeColor="text1"/>
          <w:szCs w:val="32"/>
        </w:rPr>
        <w:t>本案係</w:t>
      </w:r>
      <w:r w:rsidRPr="000B2A94">
        <w:rPr>
          <w:rFonts w:ascii="Times New Roman"/>
          <w:color w:val="000000" w:themeColor="text1"/>
        </w:rPr>
        <w:t>由司法及獄政委員會會議決議派査</w:t>
      </w:r>
      <w:r w:rsidRPr="000B2A94">
        <w:rPr>
          <w:rFonts w:ascii="Times New Roman"/>
          <w:color w:val="000000" w:themeColor="text1"/>
          <w:szCs w:val="32"/>
        </w:rPr>
        <w:t>。</w:t>
      </w:r>
    </w:p>
    <w:p w:rsidR="00F956E8" w:rsidRPr="000B2A94" w:rsidRDefault="00F956E8" w:rsidP="00F956E8">
      <w:pPr>
        <w:pStyle w:val="2"/>
        <w:numPr>
          <w:ilvl w:val="1"/>
          <w:numId w:val="1"/>
        </w:numPr>
        <w:kinsoku w:val="0"/>
        <w:overflowPunct/>
        <w:autoSpaceDE/>
        <w:autoSpaceDN/>
        <w:spacing w:beforeLines="25" w:before="114"/>
        <w:ind w:left="1020" w:hanging="680"/>
        <w:rPr>
          <w:rFonts w:ascii="Times New Roman" w:hAnsi="Times New Roman"/>
          <w:b/>
          <w:color w:val="000000" w:themeColor="text1"/>
        </w:rPr>
      </w:pPr>
      <w:bookmarkStart w:id="33" w:name="_Toc10466688"/>
      <w:bookmarkStart w:id="34" w:name="_Toc28606794"/>
      <w:bookmarkStart w:id="35" w:name="_Toc475101312"/>
      <w:r w:rsidRPr="000B2A94">
        <w:rPr>
          <w:rFonts w:ascii="Times New Roman" w:hAnsi="Times New Roman"/>
          <w:b/>
          <w:bCs w:val="0"/>
          <w:color w:val="000000" w:themeColor="text1"/>
          <w:szCs w:val="36"/>
        </w:rPr>
        <w:t>研究</w:t>
      </w:r>
      <w:r w:rsidRPr="000B2A94">
        <w:rPr>
          <w:rFonts w:ascii="Times New Roman" w:hAnsi="Times New Roman"/>
          <w:b/>
          <w:color w:val="000000" w:themeColor="text1"/>
        </w:rPr>
        <w:t>目的</w:t>
      </w:r>
      <w:bookmarkEnd w:id="33"/>
      <w:bookmarkEnd w:id="34"/>
    </w:p>
    <w:p w:rsidR="00F956E8" w:rsidRPr="000B2A94" w:rsidRDefault="00F956E8" w:rsidP="00F956E8">
      <w:pPr>
        <w:pStyle w:val="22"/>
        <w:ind w:left="1020" w:right="55" w:firstLine="680"/>
        <w:rPr>
          <w:rFonts w:ascii="Times New Roman"/>
          <w:b/>
          <w:color w:val="000000" w:themeColor="text1"/>
        </w:rPr>
      </w:pPr>
      <w:r w:rsidRPr="000B2A94">
        <w:rPr>
          <w:rFonts w:ascii="Times New Roman"/>
          <w:color w:val="000000" w:themeColor="text1"/>
        </w:rPr>
        <w:t>司法之目的在於追求真實的發現</w:t>
      </w:r>
      <w:r w:rsidRPr="000B2A94">
        <w:rPr>
          <w:rFonts w:ascii="Times New Roman" w:eastAsia="新細明體"/>
          <w:color w:val="000000" w:themeColor="text1"/>
        </w:rPr>
        <w:t>，</w:t>
      </w:r>
      <w:r w:rsidRPr="000B2A94">
        <w:rPr>
          <w:rFonts w:ascii="Times New Roman"/>
          <w:color w:val="000000" w:themeColor="text1"/>
        </w:rPr>
        <w:t>而發現真實的能力，有賴提升科學辦案的技術與應用。我國現行司法民</w:t>
      </w:r>
      <w:r w:rsidRPr="000B2A94">
        <w:rPr>
          <w:rFonts w:ascii="Times New Roman" w:eastAsia="新細明體"/>
          <w:color w:val="000000" w:themeColor="text1"/>
        </w:rPr>
        <w:t>、</w:t>
      </w:r>
      <w:r w:rsidRPr="000B2A94">
        <w:rPr>
          <w:rFonts w:ascii="Times New Roman"/>
          <w:color w:val="000000" w:themeColor="text1"/>
        </w:rPr>
        <w:t>刑事及行政訴訟制度設有鑑定制度輔佐審判者，期能透過本研究，對於現行司法鑑定制度相關運作情形，具專業知識之專家如何輔助審判者判定事實，作成鑑定之機構如何強化科學鑑定品質及法院如何採行鑑定意見等，為進一步之研析。以作為我國建立完善司法鑑定制度之參考，進而提昇人民對司法判決之信心。</w:t>
      </w:r>
    </w:p>
    <w:p w:rsidR="00F956E8" w:rsidRPr="000B2A94" w:rsidRDefault="00F956E8" w:rsidP="00F956E8">
      <w:pPr>
        <w:pStyle w:val="2"/>
        <w:numPr>
          <w:ilvl w:val="1"/>
          <w:numId w:val="1"/>
        </w:numPr>
        <w:kinsoku w:val="0"/>
        <w:overflowPunct/>
        <w:autoSpaceDE/>
        <w:autoSpaceDN/>
        <w:spacing w:beforeLines="25" w:before="114"/>
        <w:ind w:left="1020" w:hanging="680"/>
        <w:rPr>
          <w:rFonts w:ascii="Times New Roman" w:hAnsi="Times New Roman"/>
          <w:b/>
          <w:color w:val="000000" w:themeColor="text1"/>
        </w:rPr>
      </w:pPr>
      <w:bookmarkStart w:id="36" w:name="_Toc10466690"/>
      <w:bookmarkStart w:id="37" w:name="_Toc28606795"/>
      <w:r w:rsidRPr="000B2A94">
        <w:rPr>
          <w:rFonts w:ascii="Times New Roman" w:hAnsi="Times New Roman"/>
          <w:b/>
          <w:color w:val="000000" w:themeColor="text1"/>
        </w:rPr>
        <w:t>研究範疇</w:t>
      </w:r>
      <w:bookmarkEnd w:id="36"/>
      <w:bookmarkEnd w:id="37"/>
    </w:p>
    <w:p w:rsidR="00F956E8" w:rsidRPr="000B2A94" w:rsidRDefault="00F956E8" w:rsidP="00F956E8">
      <w:pPr>
        <w:pStyle w:val="22"/>
        <w:ind w:left="1020" w:right="55" w:firstLine="680"/>
        <w:rPr>
          <w:rFonts w:ascii="Times New Roman"/>
          <w:color w:val="000000" w:themeColor="text1"/>
        </w:rPr>
      </w:pPr>
      <w:r w:rsidRPr="000B2A94">
        <w:rPr>
          <w:rFonts w:ascii="Times New Roman"/>
          <w:color w:val="000000" w:themeColor="text1"/>
        </w:rPr>
        <w:t>本研究之題目為「司法科學鑑定制度之研析」，而司法鑑定主要涉及將證據資料如何運用於訴訟程序之一環，因此原則上側重於經由鑑識後提供作為偵查、</w:t>
      </w:r>
      <w:r w:rsidR="00DD55E2" w:rsidRPr="000B2A94">
        <w:rPr>
          <w:rFonts w:ascii="Times New Roman"/>
          <w:color w:val="000000" w:themeColor="text1"/>
        </w:rPr>
        <w:t>審判之過程，又鑑定之運作成效及如何提升鑑定之公信力，與鑑定</w:t>
      </w:r>
      <w:r w:rsidRPr="000B2A94">
        <w:rPr>
          <w:rFonts w:ascii="Times New Roman"/>
          <w:color w:val="000000" w:themeColor="text1"/>
        </w:rPr>
        <w:t>有關機構之建置、提升鑑定之專業性等，密不可分</w:t>
      </w:r>
      <w:r w:rsidRPr="000B2A94">
        <w:rPr>
          <w:rFonts w:ascii="Times New Roman" w:eastAsia="新細明體"/>
          <w:color w:val="000000" w:themeColor="text1"/>
        </w:rPr>
        <w:t>，</w:t>
      </w:r>
      <w:r w:rsidR="00DD55E2" w:rsidRPr="000B2A94">
        <w:rPr>
          <w:rFonts w:ascii="Times New Roman"/>
          <w:color w:val="000000" w:themeColor="text1"/>
        </w:rPr>
        <w:t>故相關鑑定</w:t>
      </w:r>
      <w:r w:rsidRPr="000B2A94">
        <w:rPr>
          <w:rFonts w:ascii="Times New Roman"/>
          <w:color w:val="000000" w:themeColor="text1"/>
        </w:rPr>
        <w:t>機構，其機構如何建置及制度設計等，亦為本研究之範圍。</w:t>
      </w:r>
    </w:p>
    <w:p w:rsidR="00F956E8" w:rsidRPr="000B2A94" w:rsidRDefault="00F956E8" w:rsidP="00F956E8">
      <w:pPr>
        <w:pStyle w:val="1"/>
        <w:numPr>
          <w:ilvl w:val="0"/>
          <w:numId w:val="1"/>
        </w:numPr>
        <w:kinsoku w:val="0"/>
        <w:overflowPunct/>
        <w:autoSpaceDE/>
        <w:autoSpaceDN/>
        <w:spacing w:beforeLines="25" w:before="114"/>
        <w:ind w:left="2381" w:hanging="2381"/>
        <w:rPr>
          <w:rFonts w:ascii="Times New Roman" w:hAnsi="Times New Roman"/>
          <w:b/>
          <w:color w:val="000000" w:themeColor="text1"/>
          <w:spacing w:val="-4"/>
        </w:rPr>
      </w:pPr>
      <w:bookmarkStart w:id="38" w:name="_Toc28606796"/>
      <w:bookmarkStart w:id="39" w:name="_Toc485980687"/>
      <w:bookmarkStart w:id="40" w:name="_Toc485981049"/>
      <w:bookmarkStart w:id="41" w:name="_Toc486202354"/>
      <w:bookmarkStart w:id="42" w:name="_Toc10466692"/>
      <w:bookmarkStart w:id="43" w:name="_Toc23497210"/>
      <w:bookmarkStart w:id="44" w:name="_Toc36269244"/>
      <w:bookmarkStart w:id="45" w:name="_Toc485980688"/>
      <w:bookmarkStart w:id="46" w:name="_Toc485981050"/>
      <w:r w:rsidRPr="000B2A94">
        <w:rPr>
          <w:rFonts w:ascii="Times New Roman" w:hAnsi="Times New Roman"/>
          <w:b/>
          <w:color w:val="000000" w:themeColor="text1"/>
        </w:rPr>
        <w:t>研究方法與過程</w:t>
      </w:r>
      <w:bookmarkEnd w:id="38"/>
    </w:p>
    <w:p w:rsidR="00F956E8" w:rsidRPr="000B2A94" w:rsidRDefault="00F956E8" w:rsidP="00F956E8">
      <w:pPr>
        <w:pStyle w:val="2"/>
        <w:numPr>
          <w:ilvl w:val="1"/>
          <w:numId w:val="1"/>
        </w:numPr>
        <w:kinsoku w:val="0"/>
        <w:overflowPunct/>
        <w:autoSpaceDE/>
        <w:autoSpaceDN/>
        <w:spacing w:beforeLines="25" w:before="114"/>
        <w:ind w:left="1020" w:hanging="680"/>
        <w:rPr>
          <w:rFonts w:ascii="Times New Roman" w:hAnsi="Times New Roman"/>
          <w:b/>
          <w:color w:val="000000" w:themeColor="text1"/>
          <w:spacing w:val="-4"/>
        </w:rPr>
      </w:pPr>
      <w:bookmarkStart w:id="47" w:name="_Toc486098450"/>
      <w:bookmarkStart w:id="48" w:name="_Toc486172364"/>
      <w:bookmarkStart w:id="49" w:name="_Toc486179460"/>
      <w:bookmarkStart w:id="50" w:name="_Toc486202019"/>
      <w:bookmarkStart w:id="51" w:name="_Toc486202355"/>
      <w:bookmarkStart w:id="52" w:name="_Toc10466693"/>
      <w:bookmarkStart w:id="53" w:name="_Toc28606797"/>
      <w:r w:rsidRPr="000B2A94">
        <w:rPr>
          <w:rFonts w:ascii="Times New Roman" w:hAnsi="Times New Roman"/>
          <w:b/>
          <w:color w:val="000000" w:themeColor="text1"/>
        </w:rPr>
        <w:t>文獻蒐集與研析</w:t>
      </w:r>
      <w:bookmarkEnd w:id="47"/>
      <w:bookmarkEnd w:id="48"/>
      <w:bookmarkEnd w:id="49"/>
      <w:bookmarkEnd w:id="50"/>
      <w:bookmarkEnd w:id="51"/>
      <w:bookmarkEnd w:id="52"/>
      <w:bookmarkEnd w:id="53"/>
    </w:p>
    <w:p w:rsidR="00F956E8" w:rsidRPr="000B2A94" w:rsidRDefault="00F956E8" w:rsidP="00F956E8">
      <w:pPr>
        <w:pStyle w:val="22"/>
        <w:ind w:left="1020" w:firstLine="680"/>
        <w:rPr>
          <w:rFonts w:ascii="Times New Roman"/>
          <w:color w:val="000000" w:themeColor="text1"/>
        </w:rPr>
      </w:pPr>
      <w:bookmarkStart w:id="54" w:name="_Toc475444821"/>
      <w:bookmarkStart w:id="55" w:name="_Toc475456444"/>
      <w:bookmarkStart w:id="56" w:name="_Toc475457399"/>
      <w:bookmarkStart w:id="57" w:name="_Toc475459736"/>
      <w:bookmarkStart w:id="58" w:name="_Toc485459050"/>
      <w:bookmarkStart w:id="59" w:name="_Toc485462503"/>
      <w:bookmarkStart w:id="60" w:name="_Toc485475769"/>
      <w:bookmarkStart w:id="61" w:name="_Toc485476501"/>
      <w:bookmarkStart w:id="62" w:name="_Toc485480713"/>
      <w:bookmarkStart w:id="63" w:name="_Toc485481408"/>
      <w:bookmarkStart w:id="64" w:name="_Toc485489063"/>
      <w:bookmarkStart w:id="65" w:name="_Toc485489920"/>
      <w:bookmarkStart w:id="66" w:name="_Toc485543682"/>
      <w:bookmarkStart w:id="67" w:name="_Toc485557939"/>
      <w:bookmarkStart w:id="68" w:name="_Toc485587213"/>
      <w:bookmarkStart w:id="69" w:name="_Toc485716269"/>
      <w:bookmarkStart w:id="70" w:name="_Toc485748269"/>
      <w:bookmarkStart w:id="71" w:name="_Toc486098451"/>
      <w:bookmarkStart w:id="72" w:name="_Toc486172365"/>
      <w:bookmarkStart w:id="73" w:name="_Toc486179461"/>
      <w:bookmarkStart w:id="74" w:name="_Toc486202020"/>
      <w:bookmarkStart w:id="75" w:name="_Toc486202356"/>
      <w:bookmarkStart w:id="76" w:name="_Toc516250240"/>
      <w:bookmarkStart w:id="77" w:name="_Toc10466694"/>
      <w:r w:rsidRPr="000B2A94">
        <w:rPr>
          <w:rFonts w:ascii="Times New Roman"/>
          <w:color w:val="000000" w:themeColor="text1"/>
        </w:rPr>
        <w:t>依據調查研究範</w:t>
      </w:r>
      <w:r w:rsidRPr="000B2A94">
        <w:rPr>
          <w:rFonts w:ascii="Times New Roman"/>
          <w:color w:val="000000" w:themeColor="text1"/>
          <w:kern w:val="2"/>
        </w:rPr>
        <w:t>圍及目的，</w:t>
      </w:r>
      <w:r w:rsidRPr="000B2A94">
        <w:rPr>
          <w:rFonts w:ascii="Times New Roman"/>
          <w:color w:val="000000" w:themeColor="text1"/>
        </w:rPr>
        <w:t>蒐集研閱相關書籍、期刊及論文等資料，以充實本案理論基礎並發掘問題：</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78" w:name="_Toc27399788"/>
      <w:bookmarkStart w:id="79" w:name="_Toc28606569"/>
      <w:r w:rsidRPr="000B2A94">
        <w:rPr>
          <w:rFonts w:ascii="Times New Roman" w:hAnsi="Times New Roman"/>
          <w:color w:val="000000" w:themeColor="text1"/>
        </w:rPr>
        <w:lastRenderedPageBreak/>
        <w:t>探討司法鑑定制度之相關書籍著作。</w:t>
      </w:r>
      <w:bookmarkEnd w:id="78"/>
      <w:bookmarkEnd w:id="79"/>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80" w:name="_Toc27399789"/>
      <w:bookmarkStart w:id="81" w:name="_Toc28606570"/>
      <w:r w:rsidRPr="000B2A94">
        <w:rPr>
          <w:rFonts w:ascii="Times New Roman" w:hAnsi="Times New Roman"/>
          <w:color w:val="000000" w:themeColor="text1"/>
        </w:rPr>
        <w:t>學術期刊及相關論文或研究報告。</w:t>
      </w:r>
      <w:bookmarkEnd w:id="80"/>
      <w:bookmarkEnd w:id="81"/>
    </w:p>
    <w:p w:rsidR="00F956E8" w:rsidRPr="000B2A94" w:rsidRDefault="00D6749A" w:rsidP="00F956E8">
      <w:pPr>
        <w:pStyle w:val="3"/>
        <w:numPr>
          <w:ilvl w:val="2"/>
          <w:numId w:val="1"/>
        </w:numPr>
        <w:overflowPunct/>
        <w:autoSpaceDE/>
        <w:autoSpaceDN/>
        <w:ind w:left="1393" w:hanging="697"/>
        <w:rPr>
          <w:rFonts w:ascii="Times New Roman" w:hAnsi="Times New Roman"/>
          <w:color w:val="000000" w:themeColor="text1"/>
        </w:rPr>
      </w:pPr>
      <w:bookmarkStart w:id="82" w:name="_Toc27399790"/>
      <w:bookmarkStart w:id="83" w:name="_Toc28606571"/>
      <w:r w:rsidRPr="000B2A94">
        <w:rPr>
          <w:rFonts w:ascii="Times New Roman" w:hAnsi="Times New Roman"/>
          <w:color w:val="000000" w:themeColor="text1"/>
        </w:rPr>
        <w:t>本院相關調查報告</w:t>
      </w:r>
      <w:r w:rsidR="00F956E8" w:rsidRPr="000B2A94">
        <w:rPr>
          <w:rFonts w:ascii="Times New Roman" w:hAnsi="Times New Roman"/>
          <w:color w:val="000000" w:themeColor="text1"/>
        </w:rPr>
        <w:t>及專案調查研究報告。</w:t>
      </w:r>
      <w:bookmarkEnd w:id="82"/>
      <w:bookmarkEnd w:id="83"/>
    </w:p>
    <w:p w:rsidR="00F956E8" w:rsidRPr="000B2A94" w:rsidRDefault="00F956E8" w:rsidP="00F956E8">
      <w:pPr>
        <w:pStyle w:val="2"/>
        <w:numPr>
          <w:ilvl w:val="1"/>
          <w:numId w:val="1"/>
        </w:numPr>
        <w:kinsoku w:val="0"/>
        <w:overflowPunct/>
        <w:autoSpaceDE/>
        <w:autoSpaceDN/>
        <w:spacing w:beforeLines="25" w:before="114"/>
        <w:ind w:left="1020" w:hanging="680"/>
        <w:rPr>
          <w:rFonts w:ascii="Times New Roman" w:hAnsi="Times New Roman"/>
          <w:b/>
          <w:color w:val="000000" w:themeColor="text1"/>
          <w:spacing w:val="-4"/>
        </w:rPr>
      </w:pPr>
      <w:bookmarkStart w:id="84" w:name="_Toc485462504"/>
      <w:bookmarkStart w:id="85" w:name="_Toc485475770"/>
      <w:bookmarkStart w:id="86" w:name="_Toc485476502"/>
      <w:bookmarkStart w:id="87" w:name="_Toc485480714"/>
      <w:bookmarkStart w:id="88" w:name="_Toc485481409"/>
      <w:bookmarkStart w:id="89" w:name="_Toc485489064"/>
      <w:bookmarkStart w:id="90" w:name="_Toc485489921"/>
      <w:bookmarkStart w:id="91" w:name="_Toc485543683"/>
      <w:bookmarkStart w:id="92" w:name="_Toc485557940"/>
      <w:bookmarkStart w:id="93" w:name="_Toc485587214"/>
      <w:bookmarkStart w:id="94" w:name="_Toc485716270"/>
      <w:bookmarkStart w:id="95" w:name="_Toc485748270"/>
      <w:bookmarkStart w:id="96" w:name="_Toc485980689"/>
      <w:bookmarkStart w:id="97" w:name="_Toc485981054"/>
      <w:bookmarkStart w:id="98" w:name="_Toc486098452"/>
      <w:bookmarkStart w:id="99" w:name="_Toc486172366"/>
      <w:bookmarkStart w:id="100" w:name="_Toc486179462"/>
      <w:bookmarkStart w:id="101" w:name="_Toc486202021"/>
      <w:bookmarkStart w:id="102" w:name="_Toc486202357"/>
      <w:bookmarkStart w:id="103" w:name="_Toc10466695"/>
      <w:bookmarkStart w:id="104" w:name="_Toc28606798"/>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0B2A94">
        <w:rPr>
          <w:rFonts w:ascii="Times New Roman" w:hAnsi="Times New Roman"/>
          <w:b/>
          <w:color w:val="000000" w:themeColor="text1"/>
        </w:rPr>
        <w:t>函請相關機關說明</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F956E8" w:rsidRPr="000B2A94" w:rsidRDefault="00F956E8" w:rsidP="00F956E8">
      <w:pPr>
        <w:pStyle w:val="22"/>
        <w:ind w:left="1020" w:firstLine="680"/>
        <w:rPr>
          <w:rFonts w:ascii="Times New Roman"/>
          <w:color w:val="000000" w:themeColor="text1"/>
          <w:szCs w:val="36"/>
        </w:rPr>
      </w:pPr>
      <w:bookmarkStart w:id="105" w:name="_Toc485980690"/>
      <w:bookmarkStart w:id="106" w:name="_Toc485981055"/>
      <w:bookmarkStart w:id="107" w:name="_Toc486098453"/>
      <w:bookmarkStart w:id="108" w:name="_Toc486172367"/>
      <w:bookmarkStart w:id="109" w:name="_Toc486179463"/>
      <w:bookmarkStart w:id="110" w:name="_Toc486202022"/>
      <w:bookmarkStart w:id="111" w:name="_Toc486202358"/>
      <w:bookmarkStart w:id="112" w:name="_Toc516250242"/>
      <w:bookmarkStart w:id="113" w:name="_Toc10466696"/>
      <w:r w:rsidRPr="000B2A94">
        <w:rPr>
          <w:rFonts w:ascii="Times New Roman"/>
          <w:color w:val="000000" w:themeColor="text1"/>
        </w:rPr>
        <w:t>函請司法院、法務部、內政部、國防部及外交部等相關機關就上開調查研究要旨所需相關資料提供本院參考。並依據函復資料，進行深入比較分析，瞭解相關案件之實際執行情形及面臨之問題。</w:t>
      </w:r>
      <w:bookmarkEnd w:id="105"/>
      <w:bookmarkEnd w:id="106"/>
      <w:bookmarkEnd w:id="107"/>
      <w:bookmarkEnd w:id="108"/>
      <w:bookmarkEnd w:id="109"/>
      <w:bookmarkEnd w:id="110"/>
      <w:bookmarkEnd w:id="111"/>
      <w:bookmarkEnd w:id="112"/>
      <w:bookmarkEnd w:id="113"/>
    </w:p>
    <w:p w:rsidR="00F956E8" w:rsidRPr="000B2A94" w:rsidRDefault="00DD55E2" w:rsidP="00F956E8">
      <w:pPr>
        <w:pStyle w:val="2"/>
        <w:numPr>
          <w:ilvl w:val="1"/>
          <w:numId w:val="1"/>
        </w:numPr>
        <w:kinsoku w:val="0"/>
        <w:overflowPunct/>
        <w:autoSpaceDE/>
        <w:autoSpaceDN/>
        <w:spacing w:beforeLines="25" w:before="114"/>
        <w:ind w:left="1020" w:hanging="680"/>
        <w:rPr>
          <w:rFonts w:ascii="Times New Roman" w:hAnsi="Times New Roman"/>
          <w:b/>
          <w:color w:val="000000" w:themeColor="text1"/>
          <w:spacing w:val="-4"/>
        </w:rPr>
      </w:pPr>
      <w:bookmarkStart w:id="114" w:name="_Toc485980691"/>
      <w:bookmarkStart w:id="115" w:name="_Toc485981056"/>
      <w:bookmarkStart w:id="116" w:name="_Toc486098454"/>
      <w:bookmarkStart w:id="117" w:name="_Toc486172368"/>
      <w:bookmarkStart w:id="118" w:name="_Toc486179464"/>
      <w:bookmarkStart w:id="119" w:name="_Toc486202023"/>
      <w:bookmarkStart w:id="120" w:name="_Toc486202359"/>
      <w:bookmarkStart w:id="121" w:name="_Toc10466697"/>
      <w:bookmarkStart w:id="122" w:name="_Toc28606799"/>
      <w:r w:rsidRPr="000B2A94">
        <w:rPr>
          <w:rFonts w:ascii="Times New Roman" w:hAnsi="Times New Roman" w:hint="eastAsia"/>
          <w:b/>
          <w:color w:val="000000" w:themeColor="text1"/>
        </w:rPr>
        <w:t>專家學者</w:t>
      </w:r>
      <w:r w:rsidR="00F956E8" w:rsidRPr="000B2A94">
        <w:rPr>
          <w:rFonts w:ascii="Times New Roman" w:hAnsi="Times New Roman"/>
          <w:b/>
          <w:color w:val="000000" w:themeColor="text1"/>
        </w:rPr>
        <w:t>諮詢</w:t>
      </w:r>
      <w:bookmarkEnd w:id="114"/>
      <w:bookmarkEnd w:id="115"/>
      <w:bookmarkEnd w:id="116"/>
      <w:bookmarkEnd w:id="117"/>
      <w:bookmarkEnd w:id="118"/>
      <w:bookmarkEnd w:id="119"/>
      <w:bookmarkEnd w:id="120"/>
      <w:bookmarkEnd w:id="121"/>
      <w:bookmarkEnd w:id="122"/>
    </w:p>
    <w:p w:rsidR="00F956E8" w:rsidRPr="000B2A94" w:rsidRDefault="00F956E8" w:rsidP="00F956E8">
      <w:pPr>
        <w:pStyle w:val="22"/>
        <w:ind w:left="1020" w:firstLine="680"/>
        <w:rPr>
          <w:rFonts w:ascii="Times New Roman"/>
          <w:color w:val="000000" w:themeColor="text1"/>
        </w:rPr>
      </w:pPr>
      <w:r w:rsidRPr="000B2A94">
        <w:rPr>
          <w:rFonts w:ascii="Times New Roman"/>
          <w:color w:val="000000" w:themeColor="text1"/>
        </w:rPr>
        <w:t>本院於</w:t>
      </w:r>
      <w:r w:rsidRPr="000B2A94">
        <w:rPr>
          <w:rFonts w:ascii="Times New Roman" w:hint="eastAsia"/>
          <w:color w:val="000000" w:themeColor="text1"/>
        </w:rPr>
        <w:t>民國（下同）</w:t>
      </w:r>
      <w:r w:rsidRPr="000B2A94">
        <w:rPr>
          <w:rFonts w:ascii="Times New Roman"/>
          <w:color w:val="000000" w:themeColor="text1"/>
        </w:rPr>
        <w:t>108</w:t>
      </w:r>
      <w:r w:rsidRPr="000B2A94">
        <w:rPr>
          <w:rFonts w:ascii="Times New Roman"/>
          <w:color w:val="000000" w:themeColor="text1"/>
        </w:rPr>
        <w:t>年</w:t>
      </w:r>
      <w:r w:rsidRPr="000B2A94">
        <w:rPr>
          <w:rFonts w:ascii="Times New Roman"/>
          <w:color w:val="000000" w:themeColor="text1"/>
        </w:rPr>
        <w:t>9</w:t>
      </w:r>
      <w:r w:rsidRPr="000B2A94">
        <w:rPr>
          <w:rFonts w:ascii="Times New Roman"/>
          <w:color w:val="000000" w:themeColor="text1"/>
        </w:rPr>
        <w:t>月</w:t>
      </w:r>
      <w:r w:rsidRPr="000B2A94">
        <w:rPr>
          <w:rFonts w:ascii="Times New Roman"/>
          <w:color w:val="000000" w:themeColor="text1"/>
        </w:rPr>
        <w:t>9</w:t>
      </w:r>
      <w:r w:rsidRPr="000B2A94">
        <w:rPr>
          <w:rFonts w:ascii="Times New Roman"/>
          <w:color w:val="000000" w:themeColor="text1"/>
        </w:rPr>
        <w:t>日舉辦諮詢會議，邀請臺灣警察專科學校刑事警察科李承龍副教授、中央警察大學鑑識科學學系孟憲輝教授、台灣法醫學會邱清華理事長及國立臺灣大學法醫學科暨研究所華筱玲教授與會。諮詢議題概述如下：</w:t>
      </w:r>
    </w:p>
    <w:p w:rsidR="00F956E8" w:rsidRPr="000B2A94" w:rsidRDefault="00F956E8" w:rsidP="00D1156B">
      <w:pPr>
        <w:pStyle w:val="3"/>
        <w:rPr>
          <w:color w:val="000000" w:themeColor="text1"/>
        </w:rPr>
      </w:pPr>
      <w:bookmarkStart w:id="123" w:name="_Toc27399793"/>
      <w:bookmarkStart w:id="124" w:name="_Toc28606574"/>
      <w:r w:rsidRPr="000B2A94">
        <w:rPr>
          <w:color w:val="000000" w:themeColor="text1"/>
        </w:rPr>
        <w:t>對於設立獨立行使職權之國家級司法科學委員會或建立鑑定覆議機制之建議。</w:t>
      </w:r>
      <w:bookmarkEnd w:id="123"/>
      <w:bookmarkEnd w:id="124"/>
    </w:p>
    <w:p w:rsidR="00F956E8" w:rsidRPr="000B2A94" w:rsidRDefault="00F956E8" w:rsidP="00D1156B">
      <w:pPr>
        <w:pStyle w:val="3"/>
        <w:rPr>
          <w:color w:val="000000" w:themeColor="text1"/>
        </w:rPr>
      </w:pPr>
      <w:bookmarkStart w:id="125" w:name="_Toc27399794"/>
      <w:bookmarkStart w:id="126" w:name="_Toc28606575"/>
      <w:r w:rsidRPr="000B2A94">
        <w:rPr>
          <w:color w:val="000000" w:themeColor="text1"/>
        </w:rPr>
        <w:t>有關提升司法科學鑑定品質、減少瑕疵鑑定及解決鑑定爭議之建議。</w:t>
      </w:r>
      <w:bookmarkEnd w:id="125"/>
      <w:bookmarkEnd w:id="126"/>
    </w:p>
    <w:p w:rsidR="00F956E8" w:rsidRPr="000B2A94" w:rsidRDefault="00F956E8" w:rsidP="00D1156B">
      <w:pPr>
        <w:pStyle w:val="3"/>
        <w:rPr>
          <w:color w:val="000000" w:themeColor="text1"/>
        </w:rPr>
      </w:pPr>
      <w:bookmarkStart w:id="127" w:name="_Toc27399795"/>
      <w:bookmarkStart w:id="128" w:name="_Toc28606576"/>
      <w:r w:rsidRPr="000B2A94">
        <w:rPr>
          <w:color w:val="000000" w:themeColor="text1"/>
        </w:rPr>
        <w:t>對推廣各級司法科學教育之建議。</w:t>
      </w:r>
      <w:bookmarkEnd w:id="127"/>
      <w:bookmarkEnd w:id="128"/>
    </w:p>
    <w:p w:rsidR="00F956E8" w:rsidRPr="000B2A94" w:rsidRDefault="00F956E8" w:rsidP="00D1156B">
      <w:pPr>
        <w:pStyle w:val="3"/>
        <w:rPr>
          <w:color w:val="000000" w:themeColor="text1"/>
        </w:rPr>
      </w:pPr>
      <w:bookmarkStart w:id="129" w:name="_Toc27399796"/>
      <w:bookmarkStart w:id="130" w:name="_Toc28606577"/>
      <w:r w:rsidRPr="000B2A94">
        <w:rPr>
          <w:color w:val="000000" w:themeColor="text1"/>
        </w:rPr>
        <w:t>對於相關實驗室與專家認證規範及證照制度之建議。</w:t>
      </w:r>
      <w:bookmarkEnd w:id="129"/>
      <w:bookmarkEnd w:id="130"/>
    </w:p>
    <w:p w:rsidR="00F956E8" w:rsidRPr="000B2A94" w:rsidRDefault="00F956E8" w:rsidP="00D1156B">
      <w:pPr>
        <w:pStyle w:val="3"/>
        <w:rPr>
          <w:color w:val="000000" w:themeColor="text1"/>
        </w:rPr>
      </w:pPr>
      <w:bookmarkStart w:id="131" w:name="_Toc27399797"/>
      <w:bookmarkStart w:id="132" w:name="_Toc28606578"/>
      <w:r w:rsidRPr="000B2A94">
        <w:rPr>
          <w:color w:val="000000" w:themeColor="text1"/>
        </w:rPr>
        <w:t>有關完善證據法則之建議。</w:t>
      </w:r>
      <w:bookmarkEnd w:id="131"/>
      <w:bookmarkEnd w:id="132"/>
    </w:p>
    <w:p w:rsidR="00F956E8" w:rsidRPr="000B2A94" w:rsidRDefault="00F956E8" w:rsidP="00D1156B">
      <w:pPr>
        <w:pStyle w:val="3"/>
        <w:rPr>
          <w:color w:val="000000" w:themeColor="text1"/>
        </w:rPr>
      </w:pPr>
      <w:bookmarkStart w:id="133" w:name="_Toc27399798"/>
      <w:bookmarkStart w:id="134" w:name="_Toc28606579"/>
      <w:r w:rsidRPr="000B2A94">
        <w:rPr>
          <w:color w:val="000000" w:themeColor="text1"/>
        </w:rPr>
        <w:t>有關引進專家證人制度，建立司法科學社群之建議。</w:t>
      </w:r>
      <w:bookmarkEnd w:id="133"/>
      <w:bookmarkEnd w:id="134"/>
      <w:r w:rsidRPr="000B2A94">
        <w:rPr>
          <w:color w:val="000000" w:themeColor="text1"/>
        </w:rPr>
        <w:t xml:space="preserve"> </w:t>
      </w:r>
    </w:p>
    <w:p w:rsidR="00F956E8" w:rsidRPr="000B2A94" w:rsidRDefault="00F956E8" w:rsidP="00D1156B">
      <w:pPr>
        <w:pStyle w:val="3"/>
        <w:rPr>
          <w:color w:val="000000" w:themeColor="text1"/>
        </w:rPr>
      </w:pPr>
      <w:bookmarkStart w:id="135" w:name="_Toc27399799"/>
      <w:bookmarkStart w:id="136" w:name="_Toc28606580"/>
      <w:r w:rsidRPr="000B2A94">
        <w:rPr>
          <w:color w:val="000000" w:themeColor="text1"/>
        </w:rPr>
        <w:t>有關測謊證據的施測標準流程及其證據能力之建議。</w:t>
      </w:r>
      <w:bookmarkEnd w:id="135"/>
      <w:bookmarkEnd w:id="136"/>
    </w:p>
    <w:p w:rsidR="00F956E8" w:rsidRPr="000B2A94" w:rsidRDefault="00F956E8" w:rsidP="00D1156B">
      <w:pPr>
        <w:pStyle w:val="3"/>
        <w:rPr>
          <w:color w:val="000000" w:themeColor="text1"/>
        </w:rPr>
      </w:pPr>
      <w:bookmarkStart w:id="137" w:name="_Toc27399800"/>
      <w:bookmarkStart w:id="138" w:name="_Toc28606581"/>
      <w:r w:rsidRPr="000B2A94">
        <w:rPr>
          <w:color w:val="000000" w:themeColor="text1"/>
        </w:rPr>
        <w:t>有關建立證據監管及證物保管制度之建議。</w:t>
      </w:r>
      <w:bookmarkEnd w:id="137"/>
      <w:bookmarkEnd w:id="138"/>
    </w:p>
    <w:p w:rsidR="00F956E8" w:rsidRPr="000B2A94" w:rsidRDefault="00F956E8" w:rsidP="00D1156B">
      <w:pPr>
        <w:pStyle w:val="3"/>
        <w:rPr>
          <w:color w:val="000000" w:themeColor="text1"/>
        </w:rPr>
      </w:pPr>
      <w:bookmarkStart w:id="139" w:name="_Toc27399801"/>
      <w:bookmarkStart w:id="140" w:name="_Toc28606582"/>
      <w:r w:rsidRPr="000B2A94">
        <w:rPr>
          <w:color w:val="000000" w:themeColor="text1"/>
        </w:rPr>
        <w:t>有關鑑定人不須到庭接受當事人交互詰問且鑑定報告可作為證據，對於被告訴訟權保障之建議。</w:t>
      </w:r>
      <w:bookmarkEnd w:id="139"/>
      <w:bookmarkEnd w:id="140"/>
    </w:p>
    <w:p w:rsidR="00F956E8" w:rsidRPr="000B2A94" w:rsidRDefault="00F956E8" w:rsidP="00D1156B">
      <w:pPr>
        <w:pStyle w:val="3"/>
        <w:rPr>
          <w:color w:val="000000" w:themeColor="text1"/>
        </w:rPr>
      </w:pPr>
      <w:bookmarkStart w:id="141" w:name="_Toc27399802"/>
      <w:bookmarkStart w:id="142" w:name="_Toc28606583"/>
      <w:r w:rsidRPr="000B2A94">
        <w:rPr>
          <w:color w:val="000000" w:themeColor="text1"/>
        </w:rPr>
        <w:t>司法鑑定於刑事程序鑑識、法醫領域實務運作遭遇</w:t>
      </w:r>
      <w:r w:rsidRPr="000B2A94">
        <w:rPr>
          <w:color w:val="000000" w:themeColor="text1"/>
        </w:rPr>
        <w:lastRenderedPageBreak/>
        <w:t>之問題。</w:t>
      </w:r>
      <w:bookmarkEnd w:id="141"/>
      <w:bookmarkEnd w:id="142"/>
    </w:p>
    <w:p w:rsidR="00F956E8" w:rsidRPr="000B2A94" w:rsidRDefault="00F956E8" w:rsidP="00D1156B">
      <w:pPr>
        <w:pStyle w:val="3"/>
        <w:rPr>
          <w:color w:val="000000" w:themeColor="text1"/>
        </w:rPr>
      </w:pPr>
      <w:bookmarkStart w:id="143" w:name="_Toc27399803"/>
      <w:bookmarkStart w:id="144" w:name="_Toc28606584"/>
      <w:r w:rsidRPr="000B2A94">
        <w:rPr>
          <w:color w:val="000000" w:themeColor="text1"/>
        </w:rPr>
        <w:t>有關目前法醫師養成教育、考試、訓練及任用等人才培育制度之現況及困境。</w:t>
      </w:r>
      <w:bookmarkEnd w:id="143"/>
      <w:bookmarkEnd w:id="144"/>
    </w:p>
    <w:p w:rsidR="00F956E8" w:rsidRPr="000B2A94" w:rsidRDefault="00F956E8" w:rsidP="00D1156B">
      <w:pPr>
        <w:pStyle w:val="3"/>
        <w:rPr>
          <w:color w:val="000000" w:themeColor="text1"/>
        </w:rPr>
      </w:pPr>
      <w:bookmarkStart w:id="145" w:name="_Toc27399804"/>
      <w:bookmarkStart w:id="146" w:name="_Toc28606585"/>
      <w:r w:rsidRPr="000B2A94">
        <w:rPr>
          <w:color w:val="000000" w:themeColor="text1"/>
        </w:rPr>
        <w:t>有關法醫師法施行後，不具醫師、解剖病理專科醫師或法醫病理專科醫師證書資格之法醫師，其進行解剖鑑定之能力及資格之建議。</w:t>
      </w:r>
      <w:bookmarkEnd w:id="145"/>
      <w:bookmarkEnd w:id="146"/>
    </w:p>
    <w:p w:rsidR="00F956E8" w:rsidRPr="000B2A94" w:rsidRDefault="00F956E8" w:rsidP="00D1156B">
      <w:pPr>
        <w:pStyle w:val="3"/>
        <w:rPr>
          <w:color w:val="000000" w:themeColor="text1"/>
        </w:rPr>
      </w:pPr>
      <w:bookmarkStart w:id="147" w:name="_Toc27399805"/>
      <w:bookmarkStart w:id="148" w:name="_Toc28606586"/>
      <w:r w:rsidRPr="000B2A94">
        <w:rPr>
          <w:color w:val="000000" w:themeColor="text1"/>
        </w:rPr>
        <w:t>有關先進國家法醫人才培育制度經驗分享。</w:t>
      </w:r>
      <w:bookmarkEnd w:id="147"/>
      <w:bookmarkEnd w:id="148"/>
    </w:p>
    <w:p w:rsidR="00F956E8" w:rsidRPr="000B2A94" w:rsidRDefault="00F956E8" w:rsidP="00D1156B">
      <w:pPr>
        <w:pStyle w:val="3"/>
        <w:rPr>
          <w:color w:val="000000" w:themeColor="text1"/>
        </w:rPr>
      </w:pPr>
      <w:bookmarkStart w:id="149" w:name="_Toc27399806"/>
      <w:bookmarkStart w:id="150" w:name="_Toc28606587"/>
      <w:r w:rsidRPr="000B2A94">
        <w:rPr>
          <w:color w:val="000000" w:themeColor="text1"/>
        </w:rPr>
        <w:t>其他國家司法鑑定相關制度分享</w:t>
      </w:r>
      <w:bookmarkEnd w:id="149"/>
      <w:bookmarkEnd w:id="150"/>
    </w:p>
    <w:p w:rsidR="00F956E8" w:rsidRPr="000B2A94" w:rsidRDefault="00F956E8" w:rsidP="00D1156B">
      <w:pPr>
        <w:pStyle w:val="2"/>
        <w:rPr>
          <w:b/>
          <w:color w:val="000000" w:themeColor="text1"/>
        </w:rPr>
      </w:pPr>
      <w:bookmarkStart w:id="151" w:name="_Toc462866097"/>
      <w:bookmarkStart w:id="152" w:name="_Toc10466698"/>
      <w:bookmarkStart w:id="153" w:name="_Toc28606800"/>
      <w:r w:rsidRPr="000B2A94">
        <w:rPr>
          <w:b/>
          <w:color w:val="000000" w:themeColor="text1"/>
        </w:rPr>
        <w:t>國內鑑定機關實地</w:t>
      </w:r>
      <w:bookmarkEnd w:id="151"/>
      <w:bookmarkEnd w:id="152"/>
      <w:r w:rsidRPr="000B2A94">
        <w:rPr>
          <w:b/>
          <w:color w:val="000000" w:themeColor="text1"/>
        </w:rPr>
        <w:t>訪查</w:t>
      </w:r>
      <w:bookmarkEnd w:id="153"/>
    </w:p>
    <w:p w:rsidR="00F956E8" w:rsidRPr="000B2A94" w:rsidRDefault="00F956E8" w:rsidP="00D1156B">
      <w:pPr>
        <w:pStyle w:val="22"/>
        <w:ind w:left="1020" w:firstLine="680"/>
        <w:rPr>
          <w:color w:val="000000" w:themeColor="text1"/>
        </w:rPr>
      </w:pPr>
      <w:r w:rsidRPr="000B2A94">
        <w:rPr>
          <w:color w:val="000000" w:themeColor="text1"/>
        </w:rPr>
        <w:t>本</w:t>
      </w:r>
      <w:r w:rsidR="000409E4" w:rsidRPr="000B2A94">
        <w:rPr>
          <w:rFonts w:hint="eastAsia"/>
          <w:color w:val="000000" w:themeColor="text1"/>
        </w:rPr>
        <w:t>通案性案件調查</w:t>
      </w:r>
      <w:r w:rsidRPr="000B2A94">
        <w:rPr>
          <w:color w:val="000000" w:themeColor="text1"/>
        </w:rPr>
        <w:t>研究分別於108年9月25</w:t>
      </w:r>
      <w:r w:rsidR="000409E4" w:rsidRPr="000B2A94">
        <w:rPr>
          <w:color w:val="000000" w:themeColor="text1"/>
        </w:rPr>
        <w:t>日</w:t>
      </w:r>
      <w:r w:rsidR="000409E4" w:rsidRPr="000B2A94">
        <w:rPr>
          <w:rFonts w:hint="eastAsia"/>
          <w:color w:val="000000" w:themeColor="text1"/>
        </w:rPr>
        <w:t>及</w:t>
      </w:r>
      <w:r w:rsidRPr="000B2A94">
        <w:rPr>
          <w:color w:val="000000" w:themeColor="text1"/>
        </w:rPr>
        <w:t>10月15日，分別前往法務部法醫研究所</w:t>
      </w:r>
      <w:r w:rsidR="00DD55E2" w:rsidRPr="000B2A94">
        <w:rPr>
          <w:rFonts w:hint="eastAsia"/>
          <w:color w:val="000000" w:themeColor="text1"/>
        </w:rPr>
        <w:t>（下稱法醫研究所）</w:t>
      </w:r>
      <w:r w:rsidRPr="000B2A94">
        <w:rPr>
          <w:color w:val="000000" w:themeColor="text1"/>
        </w:rPr>
        <w:t>、法務部調查局等鑑定機關進行實地訪查，針對現行實務上遭遇之問題及建議，進行廣泛意見蒐集，訪查議題摘要如下：</w:t>
      </w:r>
    </w:p>
    <w:p w:rsidR="00F956E8" w:rsidRPr="000B2A94" w:rsidRDefault="00F956E8" w:rsidP="00D1156B">
      <w:pPr>
        <w:pStyle w:val="3"/>
        <w:rPr>
          <w:color w:val="000000" w:themeColor="text1"/>
        </w:rPr>
      </w:pPr>
      <w:bookmarkStart w:id="154" w:name="_Toc27399808"/>
      <w:bookmarkStart w:id="155" w:name="_Toc28606589"/>
      <w:r w:rsidRPr="000B2A94">
        <w:rPr>
          <w:color w:val="000000" w:themeColor="text1"/>
        </w:rPr>
        <w:t>法務部調查局</w:t>
      </w:r>
      <w:bookmarkEnd w:id="154"/>
      <w:bookmarkEnd w:id="155"/>
    </w:p>
    <w:p w:rsidR="00F956E8" w:rsidRPr="000B2A94" w:rsidRDefault="00F956E8" w:rsidP="00D1156B">
      <w:pPr>
        <w:pStyle w:val="4"/>
        <w:rPr>
          <w:color w:val="000000" w:themeColor="text1"/>
        </w:rPr>
      </w:pPr>
      <w:r w:rsidRPr="000B2A94">
        <w:rPr>
          <w:color w:val="000000" w:themeColor="text1"/>
        </w:rPr>
        <w:t>調查局鑑定人力配置及鑑定業務概況介紹。</w:t>
      </w:r>
    </w:p>
    <w:p w:rsidR="00F956E8" w:rsidRPr="000B2A94" w:rsidRDefault="00F956E8" w:rsidP="00D1156B">
      <w:pPr>
        <w:pStyle w:val="4"/>
        <w:rPr>
          <w:color w:val="000000" w:themeColor="text1"/>
        </w:rPr>
      </w:pPr>
      <w:r w:rsidRPr="000B2A94">
        <w:rPr>
          <w:color w:val="000000" w:themeColor="text1"/>
        </w:rPr>
        <w:t>貴局於鑑定實務運作現況及遭遇之問題。</w:t>
      </w:r>
    </w:p>
    <w:p w:rsidR="00F956E8" w:rsidRPr="000B2A94" w:rsidRDefault="00F956E8" w:rsidP="00D1156B">
      <w:pPr>
        <w:pStyle w:val="4"/>
        <w:rPr>
          <w:color w:val="000000" w:themeColor="text1"/>
        </w:rPr>
      </w:pPr>
      <w:r w:rsidRPr="000B2A94">
        <w:rPr>
          <w:color w:val="000000" w:themeColor="text1"/>
        </w:rPr>
        <w:t>測謊鑑定施測人員之訓練及儀器介紹。</w:t>
      </w:r>
    </w:p>
    <w:p w:rsidR="00F956E8" w:rsidRPr="000B2A94" w:rsidRDefault="00F956E8" w:rsidP="00D1156B">
      <w:pPr>
        <w:pStyle w:val="4"/>
        <w:rPr>
          <w:color w:val="000000" w:themeColor="text1"/>
        </w:rPr>
      </w:pPr>
      <w:r w:rsidRPr="000B2A94">
        <w:rPr>
          <w:color w:val="000000" w:themeColor="text1"/>
        </w:rPr>
        <w:t>測謊證據之施測標準流程及其證據能力之建議。</w:t>
      </w:r>
    </w:p>
    <w:p w:rsidR="00F956E8" w:rsidRPr="000B2A94" w:rsidRDefault="00F956E8" w:rsidP="00D1156B">
      <w:pPr>
        <w:pStyle w:val="4"/>
        <w:rPr>
          <w:color w:val="000000" w:themeColor="text1"/>
        </w:rPr>
      </w:pPr>
      <w:r w:rsidRPr="000B2A94">
        <w:rPr>
          <w:color w:val="000000" w:themeColor="text1"/>
        </w:rPr>
        <w:t>貴局鑑定人員養成教育、考試、訓練等人才培育制度。</w:t>
      </w:r>
    </w:p>
    <w:p w:rsidR="00F956E8" w:rsidRPr="000B2A94" w:rsidRDefault="00F956E8" w:rsidP="00D1156B">
      <w:pPr>
        <w:pStyle w:val="4"/>
        <w:rPr>
          <w:color w:val="000000" w:themeColor="text1"/>
        </w:rPr>
      </w:pPr>
      <w:r w:rsidRPr="000B2A94">
        <w:rPr>
          <w:color w:val="000000" w:themeColor="text1"/>
        </w:rPr>
        <w:t>有關提升司法科學鑑定品質、減少瑕疵鑑定及解決鑑定爭議之現況及建議。</w:t>
      </w:r>
    </w:p>
    <w:p w:rsidR="00F956E8" w:rsidRPr="000B2A94" w:rsidRDefault="00F956E8" w:rsidP="00D1156B">
      <w:pPr>
        <w:pStyle w:val="4"/>
        <w:rPr>
          <w:color w:val="000000" w:themeColor="text1"/>
        </w:rPr>
      </w:pPr>
      <w:r w:rsidRPr="000B2A94">
        <w:rPr>
          <w:color w:val="000000" w:themeColor="text1"/>
        </w:rPr>
        <w:t>對於設立獨立行使職權之國家級司法科學委員會或建立鑑定覆議機制之建議。</w:t>
      </w:r>
    </w:p>
    <w:p w:rsidR="00F956E8" w:rsidRPr="000B2A94" w:rsidRDefault="00F956E8" w:rsidP="00D1156B">
      <w:pPr>
        <w:pStyle w:val="4"/>
        <w:rPr>
          <w:color w:val="000000" w:themeColor="text1"/>
        </w:rPr>
      </w:pPr>
      <w:r w:rsidRPr="000B2A94">
        <w:rPr>
          <w:color w:val="000000" w:themeColor="text1"/>
        </w:rPr>
        <w:t>對推廣各級司法科學教育之建議。</w:t>
      </w:r>
    </w:p>
    <w:p w:rsidR="00F956E8" w:rsidRPr="000B2A94" w:rsidRDefault="00F956E8" w:rsidP="00D1156B">
      <w:pPr>
        <w:pStyle w:val="4"/>
        <w:rPr>
          <w:color w:val="000000" w:themeColor="text1"/>
        </w:rPr>
      </w:pPr>
      <w:r w:rsidRPr="000B2A94">
        <w:rPr>
          <w:color w:val="000000" w:themeColor="text1"/>
        </w:rPr>
        <w:t>對於相關實驗室與專家認證規範及證照制度之建議。</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156" w:name="_Toc27399809"/>
      <w:bookmarkStart w:id="157" w:name="_Toc28606590"/>
      <w:r w:rsidRPr="000B2A94">
        <w:rPr>
          <w:rFonts w:ascii="Times New Roman" w:hAnsi="Times New Roman"/>
          <w:color w:val="000000" w:themeColor="text1"/>
        </w:rPr>
        <w:t>法醫研究所</w:t>
      </w:r>
      <w:bookmarkEnd w:id="156"/>
      <w:bookmarkEnd w:id="157"/>
    </w:p>
    <w:p w:rsidR="00F956E8" w:rsidRPr="000B2A94" w:rsidRDefault="00F956E8" w:rsidP="000409E4">
      <w:pPr>
        <w:pStyle w:val="4"/>
        <w:rPr>
          <w:color w:val="000000" w:themeColor="text1"/>
        </w:rPr>
      </w:pPr>
      <w:r w:rsidRPr="000B2A94">
        <w:rPr>
          <w:color w:val="000000" w:themeColor="text1"/>
        </w:rPr>
        <w:t>法醫研究所人力配置及鑑定業務概況介紹。</w:t>
      </w:r>
    </w:p>
    <w:p w:rsidR="00F956E8" w:rsidRPr="000B2A94" w:rsidRDefault="00F956E8" w:rsidP="000409E4">
      <w:pPr>
        <w:pStyle w:val="4"/>
        <w:rPr>
          <w:color w:val="000000" w:themeColor="text1"/>
        </w:rPr>
      </w:pPr>
      <w:r w:rsidRPr="000B2A94">
        <w:rPr>
          <w:color w:val="000000" w:themeColor="text1"/>
          <w:szCs w:val="32"/>
        </w:rPr>
        <w:lastRenderedPageBreak/>
        <w:t>司法鑑定於法醫領域實務運作現況及遭遇之問題。</w:t>
      </w:r>
    </w:p>
    <w:p w:rsidR="00F956E8" w:rsidRPr="000B2A94" w:rsidRDefault="00F956E8" w:rsidP="000409E4">
      <w:pPr>
        <w:pStyle w:val="4"/>
        <w:rPr>
          <w:color w:val="000000" w:themeColor="text1"/>
        </w:rPr>
      </w:pPr>
      <w:r w:rsidRPr="000B2A94">
        <w:rPr>
          <w:color w:val="000000" w:themeColor="text1"/>
          <w:szCs w:val="32"/>
        </w:rPr>
        <w:t>法醫師法施行後</w:t>
      </w:r>
      <w:r w:rsidRPr="000B2A94">
        <w:rPr>
          <w:rFonts w:eastAsia="新細明體"/>
          <w:color w:val="000000" w:themeColor="text1"/>
          <w:szCs w:val="32"/>
        </w:rPr>
        <w:t>，</w:t>
      </w:r>
      <w:r w:rsidRPr="000B2A94">
        <w:rPr>
          <w:color w:val="000000" w:themeColor="text1"/>
          <w:szCs w:val="32"/>
        </w:rPr>
        <w:t>目前法醫師養成教育、考試、訓練及任用等人才培育制度之現況及遭遇之問題。</w:t>
      </w:r>
    </w:p>
    <w:p w:rsidR="00F956E8" w:rsidRPr="000B2A94" w:rsidRDefault="00F956E8" w:rsidP="000409E4">
      <w:pPr>
        <w:pStyle w:val="4"/>
        <w:rPr>
          <w:color w:val="000000" w:themeColor="text1"/>
        </w:rPr>
      </w:pPr>
      <w:r w:rsidRPr="000B2A94">
        <w:rPr>
          <w:color w:val="000000" w:themeColor="text1"/>
        </w:rPr>
        <w:t>有關提升司法科學鑑定品質、減少瑕疵鑑定及解決鑑定爭議之</w:t>
      </w:r>
      <w:r w:rsidRPr="000B2A94">
        <w:rPr>
          <w:color w:val="000000" w:themeColor="text1"/>
          <w:szCs w:val="32"/>
        </w:rPr>
        <w:t>現況及</w:t>
      </w:r>
      <w:r w:rsidRPr="000B2A94">
        <w:rPr>
          <w:color w:val="000000" w:themeColor="text1"/>
        </w:rPr>
        <w:t>建議。</w:t>
      </w:r>
    </w:p>
    <w:p w:rsidR="00F956E8" w:rsidRPr="000B2A94" w:rsidRDefault="00F956E8" w:rsidP="000409E4">
      <w:pPr>
        <w:pStyle w:val="4"/>
        <w:rPr>
          <w:color w:val="000000" w:themeColor="text1"/>
        </w:rPr>
      </w:pPr>
      <w:r w:rsidRPr="000B2A94">
        <w:rPr>
          <w:color w:val="000000" w:themeColor="text1"/>
        </w:rPr>
        <w:t>對於設立獨立行使職權之國家級司法科學委員會或建立鑑定覆議機制之建議。</w:t>
      </w:r>
    </w:p>
    <w:p w:rsidR="00F956E8" w:rsidRPr="000B2A94" w:rsidRDefault="00F956E8" w:rsidP="000409E4">
      <w:pPr>
        <w:pStyle w:val="4"/>
        <w:rPr>
          <w:color w:val="000000" w:themeColor="text1"/>
        </w:rPr>
      </w:pPr>
      <w:r w:rsidRPr="000B2A94">
        <w:rPr>
          <w:color w:val="000000" w:themeColor="text1"/>
        </w:rPr>
        <w:t>對推廣各級司法科學教育之建議。</w:t>
      </w:r>
    </w:p>
    <w:p w:rsidR="00F956E8" w:rsidRPr="000B2A94" w:rsidRDefault="00F956E8" w:rsidP="000409E4">
      <w:pPr>
        <w:pStyle w:val="4"/>
        <w:rPr>
          <w:color w:val="000000" w:themeColor="text1"/>
        </w:rPr>
      </w:pPr>
      <w:r w:rsidRPr="000B2A94">
        <w:rPr>
          <w:color w:val="000000" w:themeColor="text1"/>
          <w:szCs w:val="32"/>
        </w:rPr>
        <w:t>對於相關實驗室與專家認證規範及證照制度之建議</w:t>
      </w:r>
      <w:r w:rsidRPr="000B2A94">
        <w:rPr>
          <w:color w:val="000000" w:themeColor="text1"/>
        </w:rPr>
        <w:t>。</w:t>
      </w:r>
    </w:p>
    <w:p w:rsidR="00F956E8" w:rsidRPr="000B2A94" w:rsidRDefault="00F956E8" w:rsidP="000409E4">
      <w:pPr>
        <w:pStyle w:val="4"/>
        <w:rPr>
          <w:color w:val="000000" w:themeColor="text1"/>
        </w:rPr>
      </w:pPr>
      <w:r w:rsidRPr="000B2A94">
        <w:rPr>
          <w:color w:val="000000" w:themeColor="text1"/>
          <w:szCs w:val="32"/>
        </w:rPr>
        <w:t>有關先進國家法醫鑑定及人才培育制度經驗分享。</w:t>
      </w:r>
    </w:p>
    <w:p w:rsidR="00F956E8" w:rsidRPr="000B2A94" w:rsidRDefault="00F956E8" w:rsidP="00D1156B">
      <w:pPr>
        <w:pStyle w:val="2"/>
        <w:rPr>
          <w:b/>
          <w:color w:val="000000" w:themeColor="text1"/>
        </w:rPr>
      </w:pPr>
      <w:bookmarkStart w:id="158" w:name="_Toc28606801"/>
      <w:r w:rsidRPr="000B2A94">
        <w:rPr>
          <w:b/>
          <w:color w:val="000000" w:themeColor="text1"/>
        </w:rPr>
        <w:t>國外實地考察</w:t>
      </w:r>
      <w:bookmarkEnd w:id="158"/>
    </w:p>
    <w:p w:rsidR="00F956E8" w:rsidRPr="000B2A94" w:rsidRDefault="00F956E8" w:rsidP="00D1156B">
      <w:pPr>
        <w:pStyle w:val="22"/>
        <w:ind w:left="1020" w:firstLine="680"/>
        <w:rPr>
          <w:color w:val="000000" w:themeColor="text1"/>
        </w:rPr>
      </w:pPr>
      <w:r w:rsidRPr="000B2A94">
        <w:rPr>
          <w:color w:val="000000" w:themeColor="text1"/>
        </w:rPr>
        <w:t>95年12月28日法醫師法施行後，不具醫師、解剖病理專科醫師及法醫病理專科醫師證書之法醫師，與刑事訴訟法規定解剖應命醫師行之有不符之處。且我國未如其他國家將醫學系學生可以兼修（或必修）法醫學，且其因無法醫師證書，不能如同其他先進國家制度為國家所任用以執行法醫解剖及死因鑑定工作，此為法醫學進步之阻礙。</w:t>
      </w:r>
    </w:p>
    <w:p w:rsidR="00F956E8" w:rsidRPr="000B2A94" w:rsidRDefault="00F956E8" w:rsidP="000409E4">
      <w:pPr>
        <w:pStyle w:val="22"/>
        <w:ind w:left="1020" w:firstLine="680"/>
        <w:rPr>
          <w:color w:val="000000" w:themeColor="text1"/>
        </w:rPr>
      </w:pPr>
      <w:r w:rsidRPr="000B2A94">
        <w:rPr>
          <w:color w:val="000000" w:themeColor="text1"/>
        </w:rPr>
        <w:t>德國之法醫司法鑑定與法醫師養成教育，係與醫學教育緊密結合，法醫研究所一方面培養高素質的法醫專科醫師及法醫學相關專業技術人才，一方面大學法醫研究所通常設有法醫鑑定機構，以供培養法醫專科醫師實習之用。本通案性調查研究為深入瞭解德國法醫鑑定制度，以作為相關建議之參考，於108年8月12日、20</w:t>
      </w:r>
      <w:r w:rsidR="00DD55E2" w:rsidRPr="000B2A94">
        <w:rPr>
          <w:color w:val="000000" w:themeColor="text1"/>
        </w:rPr>
        <w:t>日</w:t>
      </w:r>
      <w:r w:rsidRPr="000B2A94">
        <w:rPr>
          <w:color w:val="000000" w:themeColor="text1"/>
        </w:rPr>
        <w:t>前往德國</w:t>
      </w:r>
      <w:r w:rsidRPr="000B2A94">
        <w:rPr>
          <w:bCs/>
          <w:color w:val="000000" w:themeColor="text1"/>
          <w:szCs w:val="32"/>
        </w:rPr>
        <w:t>法蘭克福大學法醫研究所、德國基森大學法醫研究所、德國巴伐利亞州刑事鑑定中心</w:t>
      </w:r>
      <w:r w:rsidRPr="000B2A94">
        <w:rPr>
          <w:bCs/>
          <w:color w:val="000000" w:themeColor="text1"/>
          <w:szCs w:val="32"/>
        </w:rPr>
        <w:lastRenderedPageBreak/>
        <w:t>以及慕尼黑大學法醫研究所</w:t>
      </w:r>
      <w:r w:rsidRPr="000B2A94">
        <w:rPr>
          <w:color w:val="000000" w:themeColor="text1"/>
        </w:rPr>
        <w:t>考察法醫養成及該國刑事鑑定制度。</w:t>
      </w:r>
    </w:p>
    <w:p w:rsidR="00F956E8" w:rsidRPr="000B2A94" w:rsidRDefault="00DD55E2" w:rsidP="00D1156B">
      <w:pPr>
        <w:pStyle w:val="2"/>
        <w:rPr>
          <w:b/>
          <w:color w:val="000000" w:themeColor="text1"/>
        </w:rPr>
      </w:pPr>
      <w:bookmarkStart w:id="159" w:name="_Toc28606802"/>
      <w:r w:rsidRPr="000B2A94">
        <w:rPr>
          <w:b/>
          <w:color w:val="000000" w:themeColor="text1"/>
        </w:rPr>
        <w:t>機關</w:t>
      </w:r>
      <w:r w:rsidR="00F956E8" w:rsidRPr="000B2A94">
        <w:rPr>
          <w:b/>
          <w:color w:val="000000" w:themeColor="text1"/>
        </w:rPr>
        <w:t>座談</w:t>
      </w:r>
      <w:bookmarkEnd w:id="159"/>
    </w:p>
    <w:p w:rsidR="00F956E8" w:rsidRPr="000B2A94" w:rsidRDefault="00F956E8" w:rsidP="00DD55E2">
      <w:pPr>
        <w:pStyle w:val="22"/>
        <w:ind w:left="1020" w:firstLine="680"/>
        <w:rPr>
          <w:color w:val="000000" w:themeColor="text1"/>
        </w:rPr>
      </w:pPr>
      <w:r w:rsidRPr="000B2A94">
        <w:rPr>
          <w:color w:val="000000" w:themeColor="text1"/>
        </w:rPr>
        <w:t>本院於108年11月18日辦理機關座談會，邀請</w:t>
      </w:r>
      <w:r w:rsidR="00DD55E2" w:rsidRPr="000B2A94">
        <w:rPr>
          <w:rFonts w:hint="eastAsia"/>
          <w:color w:val="000000" w:themeColor="text1"/>
        </w:rPr>
        <w:t>司法院刑事廳吳秋宏副廳長</w:t>
      </w:r>
      <w:r w:rsidR="00F26DFF" w:rsidRPr="000B2A94">
        <w:rPr>
          <w:rFonts w:hint="eastAsia"/>
          <w:color w:val="000000" w:themeColor="text1"/>
        </w:rPr>
        <w:t>及</w:t>
      </w:r>
      <w:r w:rsidR="00DD55E2" w:rsidRPr="000B2A94">
        <w:rPr>
          <w:rFonts w:hint="eastAsia"/>
          <w:color w:val="000000" w:themeColor="text1"/>
        </w:rPr>
        <w:t>李東柏法官、行政院外交國防法務處簡美慧檢察官、法務部檢察司王俊力司長</w:t>
      </w:r>
      <w:r w:rsidR="00F26DFF" w:rsidRPr="000B2A94">
        <w:rPr>
          <w:rFonts w:hint="eastAsia"/>
          <w:color w:val="000000" w:themeColor="text1"/>
        </w:rPr>
        <w:t>及</w:t>
      </w:r>
      <w:r w:rsidR="00DD55E2" w:rsidRPr="000B2A94">
        <w:rPr>
          <w:rFonts w:hint="eastAsia"/>
          <w:color w:val="000000" w:themeColor="text1"/>
        </w:rPr>
        <w:t>陳舒怡主任檢察官、法醫研究所法醫病理組許倬憲組長、</w:t>
      </w:r>
      <w:r w:rsidR="00F26DFF" w:rsidRPr="000B2A94">
        <w:rPr>
          <w:rFonts w:hint="eastAsia"/>
          <w:color w:val="000000" w:themeColor="text1"/>
        </w:rPr>
        <w:t>該</w:t>
      </w:r>
      <w:r w:rsidR="00DD55E2" w:rsidRPr="000B2A94">
        <w:rPr>
          <w:rFonts w:hint="eastAsia"/>
          <w:color w:val="000000" w:themeColor="text1"/>
        </w:rPr>
        <w:t>所毒物化學組林棟樑組長、</w:t>
      </w:r>
      <w:r w:rsidR="00F26DFF" w:rsidRPr="000B2A94">
        <w:rPr>
          <w:rFonts w:hint="eastAsia"/>
          <w:color w:val="000000" w:themeColor="text1"/>
        </w:rPr>
        <w:t>該</w:t>
      </w:r>
      <w:r w:rsidR="00DD55E2" w:rsidRPr="000B2A94">
        <w:rPr>
          <w:rFonts w:hint="eastAsia"/>
          <w:color w:val="000000" w:themeColor="text1"/>
        </w:rPr>
        <w:t>所血清證物組林俊彥組長、法務部調查局鑑識科學處胡興勇處長、</w:t>
      </w:r>
      <w:r w:rsidR="00F26DFF" w:rsidRPr="000B2A94">
        <w:rPr>
          <w:rFonts w:hint="eastAsia"/>
          <w:color w:val="000000" w:themeColor="text1"/>
        </w:rPr>
        <w:t>該</w:t>
      </w:r>
      <w:r w:rsidR="00DD55E2" w:rsidRPr="000B2A94">
        <w:rPr>
          <w:rFonts w:hint="eastAsia"/>
          <w:color w:val="000000" w:themeColor="text1"/>
        </w:rPr>
        <w:t>局鑑識科學處張絹慧科長、</w:t>
      </w:r>
      <w:r w:rsidR="00F26DFF" w:rsidRPr="000B2A94">
        <w:rPr>
          <w:rFonts w:hint="eastAsia"/>
          <w:color w:val="000000" w:themeColor="text1"/>
        </w:rPr>
        <w:t>該</w:t>
      </w:r>
      <w:r w:rsidR="00DD55E2" w:rsidRPr="000B2A94">
        <w:rPr>
          <w:rFonts w:hint="eastAsia"/>
          <w:color w:val="000000" w:themeColor="text1"/>
        </w:rPr>
        <w:t>局資通安全處劉秉昕調查官、內政部警政署刑事警察局</w:t>
      </w:r>
      <w:r w:rsidR="00F26DFF" w:rsidRPr="000B2A94">
        <w:rPr>
          <w:rFonts w:hint="eastAsia"/>
          <w:color w:val="000000" w:themeColor="text1"/>
        </w:rPr>
        <w:t>（下稱刑事警察局）</w:t>
      </w:r>
      <w:r w:rsidR="00DD55E2" w:rsidRPr="000B2A94">
        <w:rPr>
          <w:rFonts w:hint="eastAsia"/>
          <w:color w:val="000000" w:themeColor="text1"/>
        </w:rPr>
        <w:t>莊定凱主任秘書、</w:t>
      </w:r>
      <w:r w:rsidR="00F26DFF" w:rsidRPr="000B2A94">
        <w:rPr>
          <w:rFonts w:hint="eastAsia"/>
          <w:color w:val="000000" w:themeColor="text1"/>
        </w:rPr>
        <w:t>刑事警察局</w:t>
      </w:r>
      <w:r w:rsidR="00DD55E2" w:rsidRPr="000B2A94">
        <w:rPr>
          <w:rFonts w:hint="eastAsia"/>
          <w:color w:val="000000" w:themeColor="text1"/>
        </w:rPr>
        <w:t>刑事鑑識中心黃女恩主任、</w:t>
      </w:r>
      <w:r w:rsidR="00F26DFF" w:rsidRPr="000B2A94">
        <w:rPr>
          <w:rFonts w:hint="eastAsia"/>
          <w:color w:val="000000" w:themeColor="text1"/>
        </w:rPr>
        <w:t>該</w:t>
      </w:r>
      <w:r w:rsidR="00DD55E2" w:rsidRPr="000B2A94">
        <w:rPr>
          <w:rFonts w:hint="eastAsia"/>
          <w:color w:val="000000" w:themeColor="text1"/>
        </w:rPr>
        <w:t>中心姚景岳股長、</w:t>
      </w:r>
      <w:r w:rsidR="00F26DFF" w:rsidRPr="000B2A94">
        <w:rPr>
          <w:rFonts w:hint="eastAsia"/>
          <w:color w:val="000000" w:themeColor="text1"/>
        </w:rPr>
        <w:t>該</w:t>
      </w:r>
      <w:r w:rsidR="00DD55E2" w:rsidRPr="000B2A94">
        <w:rPr>
          <w:rFonts w:hint="eastAsia"/>
          <w:color w:val="000000" w:themeColor="text1"/>
        </w:rPr>
        <w:t>中心劉素彣股長、</w:t>
      </w:r>
      <w:r w:rsidR="00F26DFF" w:rsidRPr="000B2A94">
        <w:rPr>
          <w:rFonts w:hint="eastAsia"/>
          <w:color w:val="000000" w:themeColor="text1"/>
        </w:rPr>
        <w:t>該</w:t>
      </w:r>
      <w:r w:rsidR="00DD55E2" w:rsidRPr="000B2A94">
        <w:rPr>
          <w:rFonts w:hint="eastAsia"/>
          <w:color w:val="000000" w:themeColor="text1"/>
        </w:rPr>
        <w:t>中心周茜苓股長</w:t>
      </w:r>
      <w:r w:rsidRPr="000B2A94">
        <w:rPr>
          <w:color w:val="000000" w:themeColor="text1"/>
        </w:rPr>
        <w:t>與會。座談</w:t>
      </w:r>
      <w:r w:rsidR="00D1156B" w:rsidRPr="000B2A94">
        <w:rPr>
          <w:rFonts w:hint="eastAsia"/>
          <w:color w:val="000000" w:themeColor="text1"/>
        </w:rPr>
        <w:t>題</w:t>
      </w:r>
      <w:r w:rsidRPr="000B2A94">
        <w:rPr>
          <w:color w:val="000000" w:themeColor="text1"/>
        </w:rPr>
        <w:t>綱概述如下：</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160" w:name="_Toc27399812"/>
      <w:bookmarkStart w:id="161" w:name="_Toc28606593"/>
      <w:r w:rsidRPr="000B2A94">
        <w:rPr>
          <w:rFonts w:ascii="Times New Roman" w:hAnsi="Times New Roman"/>
          <w:color w:val="000000" w:themeColor="text1"/>
        </w:rPr>
        <w:t>有關設立獨立行使職權之國家級司法科學委員會或建立鑑定覆鑑機制</w:t>
      </w:r>
      <w:bookmarkEnd w:id="160"/>
      <w:bookmarkEnd w:id="161"/>
    </w:p>
    <w:p w:rsidR="00F956E8" w:rsidRPr="000B2A94" w:rsidRDefault="00F956E8" w:rsidP="00F956E8">
      <w:pPr>
        <w:pStyle w:val="32"/>
        <w:ind w:left="1361" w:firstLine="680"/>
        <w:rPr>
          <w:rFonts w:ascii="Times New Roman"/>
          <w:color w:val="000000" w:themeColor="text1"/>
        </w:rPr>
      </w:pPr>
      <w:r w:rsidRPr="000B2A94">
        <w:rPr>
          <w:rFonts w:ascii="Times New Roman"/>
          <w:color w:val="000000" w:themeColor="text1"/>
        </w:rPr>
        <w:t>據司法改革國是會議決議序號</w:t>
      </w:r>
      <w:r w:rsidRPr="000B2A94">
        <w:rPr>
          <w:rFonts w:ascii="Times New Roman"/>
          <w:color w:val="000000" w:themeColor="text1"/>
        </w:rPr>
        <w:t>12</w:t>
      </w:r>
      <w:r w:rsidRPr="000B2A94">
        <w:rPr>
          <w:rFonts w:ascii="Times New Roman"/>
          <w:color w:val="000000" w:themeColor="text1"/>
        </w:rPr>
        <w:t>：「我國應設立獨立行使職權的國家級司法科學委員會，其成員應包含人權、心理、法律、醫學、腦科學、刑事鑑識科學等相關領域專家，專責政策、教育與認證事項，以強化司法發現真實之能力，減少冤抑：</w:t>
      </w:r>
      <w:r w:rsidRPr="000B2A94">
        <w:rPr>
          <w:rFonts w:ascii="Times New Roman"/>
          <w:color w:val="000000" w:themeColor="text1"/>
        </w:rPr>
        <w:t xml:space="preserve"> </w:t>
      </w:r>
      <w:r w:rsidRPr="000B2A94">
        <w:rPr>
          <w:rFonts w:ascii="Times New Roman"/>
          <w:color w:val="000000" w:themeColor="text1"/>
        </w:rPr>
        <w:t>一、制定並推動司法科學政策，提升總體科學證據品質；</w:t>
      </w:r>
      <w:r w:rsidRPr="000B2A94">
        <w:rPr>
          <w:rFonts w:ascii="Times New Roman"/>
          <w:color w:val="000000" w:themeColor="text1"/>
        </w:rPr>
        <w:t xml:space="preserve"> </w:t>
      </w:r>
      <w:r w:rsidRPr="000B2A94">
        <w:rPr>
          <w:rFonts w:ascii="Times New Roman"/>
          <w:color w:val="000000" w:themeColor="text1"/>
        </w:rPr>
        <w:t>二、整合並推廣各級司法科學教育；</w:t>
      </w:r>
      <w:r w:rsidRPr="000B2A94">
        <w:rPr>
          <w:rFonts w:ascii="Times New Roman"/>
          <w:color w:val="000000" w:themeColor="text1"/>
        </w:rPr>
        <w:t xml:space="preserve"> </w:t>
      </w:r>
      <w:r w:rsidRPr="000B2A94">
        <w:rPr>
          <w:rFonts w:ascii="Times New Roman"/>
          <w:color w:val="000000" w:themeColor="text1"/>
        </w:rPr>
        <w:t>三、制定並執行相關實驗室與專家之認證規範與證照制度。」及法務部</w:t>
      </w:r>
      <w:r w:rsidRPr="000B2A94">
        <w:rPr>
          <w:rFonts w:ascii="Times New Roman"/>
          <w:color w:val="000000" w:themeColor="text1"/>
        </w:rPr>
        <w:t>108</w:t>
      </w:r>
      <w:r w:rsidRPr="000B2A94">
        <w:rPr>
          <w:rFonts w:ascii="Times New Roman"/>
          <w:color w:val="000000" w:themeColor="text1"/>
        </w:rPr>
        <w:t>年</w:t>
      </w:r>
      <w:r w:rsidRPr="000B2A94">
        <w:rPr>
          <w:rFonts w:ascii="Times New Roman"/>
          <w:color w:val="000000" w:themeColor="text1"/>
        </w:rPr>
        <w:t>5</w:t>
      </w:r>
      <w:r w:rsidRPr="000B2A94">
        <w:rPr>
          <w:rFonts w:ascii="Times New Roman"/>
          <w:color w:val="000000" w:themeColor="text1"/>
        </w:rPr>
        <w:t>月</w:t>
      </w:r>
      <w:r w:rsidRPr="000B2A94">
        <w:rPr>
          <w:rFonts w:ascii="Times New Roman"/>
          <w:color w:val="000000" w:themeColor="text1"/>
        </w:rPr>
        <w:t>20</w:t>
      </w:r>
      <w:r w:rsidRPr="000B2A94">
        <w:rPr>
          <w:rFonts w:ascii="Times New Roman"/>
          <w:color w:val="000000" w:themeColor="text1"/>
        </w:rPr>
        <w:t>日法檢字第</w:t>
      </w:r>
      <w:r w:rsidRPr="000B2A94">
        <w:rPr>
          <w:rFonts w:ascii="Times New Roman"/>
          <w:color w:val="000000" w:themeColor="text1"/>
        </w:rPr>
        <w:t>10804514190</w:t>
      </w:r>
      <w:r w:rsidRPr="000B2A94">
        <w:rPr>
          <w:rFonts w:ascii="Times New Roman"/>
          <w:color w:val="000000" w:themeColor="text1"/>
        </w:rPr>
        <w:t>號函復本院略以：「法務部已於</w:t>
      </w:r>
      <w:r w:rsidRPr="000B2A94">
        <w:rPr>
          <w:rFonts w:ascii="Times New Roman"/>
          <w:color w:val="000000" w:themeColor="text1"/>
        </w:rPr>
        <w:t>107</w:t>
      </w:r>
      <w:r w:rsidRPr="000B2A94">
        <w:rPr>
          <w:rFonts w:ascii="Times New Roman"/>
          <w:color w:val="000000" w:themeColor="text1"/>
        </w:rPr>
        <w:t>年</w:t>
      </w:r>
      <w:r w:rsidR="003F4D47" w:rsidRPr="000B2A94">
        <w:rPr>
          <w:rFonts w:ascii="Times New Roman"/>
          <w:color w:val="000000" w:themeColor="text1"/>
        </w:rPr>
        <w:t>9</w:t>
      </w:r>
      <w:r w:rsidRPr="000B2A94">
        <w:rPr>
          <w:rFonts w:ascii="Times New Roman"/>
          <w:color w:val="000000" w:themeColor="text1"/>
        </w:rPr>
        <w:t>月</w:t>
      </w:r>
      <w:r w:rsidRPr="000B2A94">
        <w:rPr>
          <w:rFonts w:ascii="Times New Roman"/>
          <w:color w:val="000000" w:themeColor="text1"/>
        </w:rPr>
        <w:t>13</w:t>
      </w:r>
      <w:r w:rsidRPr="000B2A94">
        <w:rPr>
          <w:rFonts w:ascii="Times New Roman"/>
          <w:color w:val="000000" w:themeColor="text1"/>
        </w:rPr>
        <w:t>日、</w:t>
      </w:r>
      <w:r w:rsidRPr="000B2A94">
        <w:rPr>
          <w:rFonts w:ascii="Times New Roman"/>
          <w:color w:val="000000" w:themeColor="text1"/>
        </w:rPr>
        <w:t>108</w:t>
      </w:r>
      <w:r w:rsidRPr="000B2A94">
        <w:rPr>
          <w:rFonts w:ascii="Times New Roman"/>
          <w:color w:val="000000" w:themeColor="text1"/>
        </w:rPr>
        <w:t>年</w:t>
      </w:r>
      <w:r w:rsidRPr="000B2A94">
        <w:rPr>
          <w:rFonts w:ascii="Times New Roman"/>
          <w:color w:val="000000" w:themeColor="text1"/>
        </w:rPr>
        <w:t>2</w:t>
      </w:r>
      <w:r w:rsidRPr="000B2A94">
        <w:rPr>
          <w:rFonts w:ascii="Times New Roman"/>
          <w:color w:val="000000" w:themeColor="text1"/>
        </w:rPr>
        <w:t>月</w:t>
      </w:r>
      <w:r w:rsidRPr="000B2A94">
        <w:rPr>
          <w:rFonts w:ascii="Times New Roman"/>
          <w:color w:val="000000" w:themeColor="text1"/>
        </w:rPr>
        <w:t>26</w:t>
      </w:r>
      <w:r w:rsidRPr="000B2A94">
        <w:rPr>
          <w:rFonts w:ascii="Times New Roman"/>
          <w:color w:val="000000" w:themeColor="text1"/>
        </w:rPr>
        <w:t>日先後召開設立國家級司法科學委員會之可行性研商會議及司法科學制度研究委員會籌備會議，就該組織任務、功能及先期可進行的事項，徵詢相關機關意見並逐步推動各項工作，以落實國</w:t>
      </w:r>
      <w:r w:rsidRPr="000B2A94">
        <w:rPr>
          <w:rFonts w:ascii="Times New Roman"/>
          <w:color w:val="000000" w:themeColor="text1"/>
        </w:rPr>
        <w:lastRenderedPageBreak/>
        <w:t>是會議結論。」請問：</w:t>
      </w:r>
    </w:p>
    <w:p w:rsidR="00F956E8" w:rsidRPr="000B2A94" w:rsidRDefault="00F956E8" w:rsidP="00D1156B">
      <w:pPr>
        <w:pStyle w:val="4"/>
        <w:rPr>
          <w:color w:val="000000" w:themeColor="text1"/>
        </w:rPr>
      </w:pPr>
      <w:r w:rsidRPr="000B2A94">
        <w:rPr>
          <w:color w:val="000000" w:themeColor="text1"/>
        </w:rPr>
        <w:t>有關設立獨立行使職權之國家級司法科學委員會或建立鑑定覆鑑機制，其可行性及必要性之詳細評估情形為何？</w:t>
      </w:r>
    </w:p>
    <w:p w:rsidR="00F956E8" w:rsidRPr="000B2A94" w:rsidRDefault="00F956E8" w:rsidP="00D1156B">
      <w:pPr>
        <w:pStyle w:val="4"/>
        <w:rPr>
          <w:color w:val="000000" w:themeColor="text1"/>
        </w:rPr>
      </w:pPr>
      <w:r w:rsidRPr="000B2A94">
        <w:rPr>
          <w:color w:val="000000" w:themeColor="text1"/>
        </w:rPr>
        <w:t>目前逐步推動之各項工作內容及進度為何？</w:t>
      </w:r>
    </w:p>
    <w:p w:rsidR="00F956E8" w:rsidRPr="000B2A94" w:rsidRDefault="00F956E8" w:rsidP="00D1156B">
      <w:pPr>
        <w:pStyle w:val="4"/>
        <w:rPr>
          <w:color w:val="000000" w:themeColor="text1"/>
        </w:rPr>
      </w:pPr>
      <w:r w:rsidRPr="000B2A94">
        <w:rPr>
          <w:color w:val="000000" w:themeColor="text1"/>
        </w:rPr>
        <w:t>如設立獨立行使職權之國家級司法科學委員會，該委員會之定位係任務編組抑或鑑定機關？</w:t>
      </w:r>
    </w:p>
    <w:p w:rsidR="00F956E8" w:rsidRPr="000B2A94" w:rsidRDefault="00F956E8" w:rsidP="00D1156B">
      <w:pPr>
        <w:pStyle w:val="4"/>
        <w:rPr>
          <w:color w:val="000000" w:themeColor="text1"/>
        </w:rPr>
      </w:pPr>
      <w:r w:rsidRPr="000B2A94">
        <w:rPr>
          <w:color w:val="000000" w:themeColor="text1"/>
        </w:rPr>
        <w:t>又該委員會之權責是否僅包含前述一至三之權責？是否須實際進行鑑定？</w:t>
      </w:r>
    </w:p>
    <w:p w:rsidR="00F956E8" w:rsidRPr="000B2A94" w:rsidRDefault="00F956E8" w:rsidP="00D1156B">
      <w:pPr>
        <w:pStyle w:val="4"/>
        <w:rPr>
          <w:color w:val="000000" w:themeColor="text1"/>
        </w:rPr>
      </w:pPr>
      <w:r w:rsidRPr="000B2A94">
        <w:rPr>
          <w:color w:val="000000" w:themeColor="text1"/>
        </w:rPr>
        <w:t>行政院如何統合現有各鑑定機構之資源？</w:t>
      </w:r>
    </w:p>
    <w:p w:rsidR="00F956E8" w:rsidRPr="000B2A94" w:rsidRDefault="00F956E8" w:rsidP="00D1156B">
      <w:pPr>
        <w:pStyle w:val="4"/>
        <w:rPr>
          <w:color w:val="000000" w:themeColor="text1"/>
        </w:rPr>
      </w:pPr>
      <w:r w:rsidRPr="000B2A94">
        <w:rPr>
          <w:color w:val="000000" w:themeColor="text1"/>
        </w:rPr>
        <w:t xml:space="preserve">如何延聘公正、客觀之專家學者進行建置？ </w:t>
      </w:r>
    </w:p>
    <w:p w:rsidR="00F956E8" w:rsidRPr="000B2A94" w:rsidRDefault="00F956E8" w:rsidP="00D1156B">
      <w:pPr>
        <w:pStyle w:val="4"/>
        <w:rPr>
          <w:color w:val="000000" w:themeColor="text1"/>
        </w:rPr>
      </w:pPr>
      <w:r w:rsidRPr="000B2A94">
        <w:rPr>
          <w:color w:val="000000" w:themeColor="text1"/>
        </w:rPr>
        <w:t>設立司法科學委員會涉及新設立國家機關，因涉跨院、跨機關權責，須跨部會協調研議，請問跨部會統整尚須何種資源挹注，以加速推動各項工作內容進度？</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162" w:name="_Toc27399813"/>
      <w:bookmarkStart w:id="163" w:name="_Toc28606594"/>
      <w:r w:rsidRPr="000B2A94">
        <w:rPr>
          <w:rFonts w:ascii="Times New Roman" w:hAnsi="Times New Roman"/>
          <w:color w:val="000000" w:themeColor="text1"/>
          <w:szCs w:val="32"/>
        </w:rPr>
        <w:t>有關</w:t>
      </w:r>
      <w:r w:rsidRPr="000B2A94">
        <w:rPr>
          <w:rFonts w:ascii="Times New Roman" w:hAnsi="Times New Roman"/>
          <w:color w:val="000000" w:themeColor="text1"/>
        </w:rPr>
        <w:t>法醫鑑定實務運作現況</w:t>
      </w:r>
      <w:bookmarkEnd w:id="162"/>
      <w:bookmarkEnd w:id="163"/>
    </w:p>
    <w:p w:rsidR="00F956E8" w:rsidRPr="000B2A94" w:rsidRDefault="00F956E8" w:rsidP="000409E4">
      <w:pPr>
        <w:pStyle w:val="4"/>
        <w:rPr>
          <w:color w:val="000000" w:themeColor="text1"/>
        </w:rPr>
      </w:pPr>
      <w:r w:rsidRPr="000B2A94">
        <w:rPr>
          <w:color w:val="000000" w:themeColor="text1"/>
        </w:rPr>
        <w:t>目前法醫師人力是否不足，又有何策進作為？並請提供法醫研究所現職編制內法醫師、委外之兼任法醫師、各地方檢察署公職法醫師、由各地方檢察署委外之榮譽、顧問或兼任法醫師之人數，以及前述各類法醫師105-107年度受理解剖案件之件數，並說明前述各類法醫師執行解剖、死因鑑定案件之計酬費用情形。</w:t>
      </w:r>
    </w:p>
    <w:p w:rsidR="00F956E8" w:rsidRPr="000B2A94" w:rsidRDefault="00F956E8" w:rsidP="000409E4">
      <w:pPr>
        <w:pStyle w:val="4"/>
        <w:rPr>
          <w:rFonts w:ascii="Times New Roman" w:hAnsi="Times New Roman"/>
          <w:color w:val="000000" w:themeColor="text1"/>
        </w:rPr>
      </w:pPr>
      <w:r w:rsidRPr="000B2A94">
        <w:rPr>
          <w:color w:val="000000" w:themeColor="text1"/>
        </w:rPr>
        <w:t>據法務部法醫研究所出國報告指出，我國法醫解剖有法醫解剖之生物安全及法醫病理功能強化兩層面問題，前者須從建構國家級法醫解剖中心著手，且須達生物安全等三等級(BSL3)及生物安全第三</w:t>
      </w:r>
      <w:r w:rsidRPr="000B2A94">
        <w:rPr>
          <w:rFonts w:ascii="Times New Roman" w:hAnsi="Times New Roman"/>
          <w:color w:val="000000" w:themeColor="text1"/>
        </w:rPr>
        <w:t>加（</w:t>
      </w:r>
      <w:r w:rsidRPr="000B2A94">
        <w:rPr>
          <w:rFonts w:ascii="Times New Roman" w:hAnsi="Times New Roman"/>
          <w:color w:val="000000" w:themeColor="text1"/>
        </w:rPr>
        <w:t>BSL3+</w:t>
      </w:r>
      <w:r w:rsidRPr="000B2A94">
        <w:rPr>
          <w:rFonts w:ascii="Times New Roman" w:hAnsi="Times New Roman"/>
          <w:color w:val="000000" w:themeColor="text1"/>
        </w:rPr>
        <w:t>）等級，以因應法醫解剖與鑑定所面臨之困難與挑戰。請問行政院對於建構國家級</w:t>
      </w:r>
      <w:r w:rsidRPr="000B2A94">
        <w:rPr>
          <w:rFonts w:ascii="Times New Roman" w:hAnsi="Times New Roman"/>
          <w:color w:val="000000" w:themeColor="text1"/>
        </w:rPr>
        <w:t>(centralized)</w:t>
      </w:r>
      <w:r w:rsidRPr="000B2A94">
        <w:rPr>
          <w:rFonts w:ascii="Times New Roman" w:hAnsi="Times New Roman"/>
          <w:color w:val="000000" w:themeColor="text1"/>
        </w:rPr>
        <w:t>法醫解剖中心之可行性及必要</w:t>
      </w:r>
      <w:r w:rsidRPr="000B2A94">
        <w:rPr>
          <w:rFonts w:ascii="Times New Roman" w:hAnsi="Times New Roman"/>
          <w:color w:val="000000" w:themeColor="text1"/>
        </w:rPr>
        <w:lastRenderedPageBreak/>
        <w:t>性之詳細評估情形為何？</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164" w:name="_Toc27399814"/>
      <w:bookmarkStart w:id="165" w:name="_Toc28606595"/>
      <w:r w:rsidRPr="000B2A94">
        <w:rPr>
          <w:rFonts w:ascii="Times New Roman" w:hAnsi="Times New Roman"/>
          <w:color w:val="000000" w:themeColor="text1"/>
        </w:rPr>
        <w:t>有關提升司法科學鑑定品質、減少瑕疵鑑定及解決鑑定爭議</w:t>
      </w:r>
      <w:bookmarkEnd w:id="164"/>
      <w:bookmarkEnd w:id="165"/>
    </w:p>
    <w:p w:rsidR="00F956E8" w:rsidRPr="000B2A94" w:rsidRDefault="00F956E8" w:rsidP="000409E4">
      <w:pPr>
        <w:pStyle w:val="4"/>
        <w:rPr>
          <w:color w:val="000000" w:themeColor="text1"/>
        </w:rPr>
      </w:pPr>
      <w:r w:rsidRPr="000B2A94">
        <w:rPr>
          <w:color w:val="000000" w:themeColor="text1"/>
        </w:rPr>
        <w:t>本院諮詢專家學者建議，宜由超然獨立之司法科</w:t>
      </w:r>
      <w:r w:rsidR="009344B6" w:rsidRPr="000B2A94">
        <w:rPr>
          <w:color w:val="000000" w:themeColor="text1"/>
        </w:rPr>
        <w:t>學鑑定中心、公辦民營之學術單位、大學或學會團體辦理覆鑑，請問</w:t>
      </w:r>
      <w:r w:rsidRPr="000B2A94">
        <w:rPr>
          <w:color w:val="000000" w:themeColor="text1"/>
        </w:rPr>
        <w:t>對於設立覆鑑機制之具體意見為何？</w:t>
      </w:r>
    </w:p>
    <w:p w:rsidR="00F956E8" w:rsidRPr="000B2A94" w:rsidRDefault="00F956E8" w:rsidP="000409E4">
      <w:pPr>
        <w:pStyle w:val="4"/>
        <w:rPr>
          <w:color w:val="000000" w:themeColor="text1"/>
        </w:rPr>
      </w:pPr>
      <w:r w:rsidRPr="000B2A94">
        <w:rPr>
          <w:color w:val="000000" w:themeColor="text1"/>
        </w:rPr>
        <w:t>法醫研究所為改善單一法醫師鑑定疏漏問題，訂有「解剖、複驗及法醫相關鑑定事項作業要點」，該要點第7條對於該所顧問醫師之鑑定結果，訂有鑑定複核機制。各地方檢察署之公職法醫師、特約法醫師之鑑定結果，是否亦有鑑定覆核機制，以減少瑕疵鑑定及解決鑑定爭議，確保鑑定結果之正確性？</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166" w:name="_Toc27399815"/>
      <w:bookmarkStart w:id="167" w:name="_Toc28606596"/>
      <w:r w:rsidRPr="000B2A94">
        <w:rPr>
          <w:rFonts w:ascii="Times New Roman" w:hAnsi="Times New Roman"/>
          <w:color w:val="000000" w:themeColor="text1"/>
        </w:rPr>
        <w:t>有關推廣各級司法科學教育</w:t>
      </w:r>
      <w:bookmarkEnd w:id="166"/>
      <w:bookmarkEnd w:id="167"/>
    </w:p>
    <w:p w:rsidR="00F956E8" w:rsidRPr="000B2A94" w:rsidRDefault="00F956E8" w:rsidP="000409E4">
      <w:pPr>
        <w:pStyle w:val="4"/>
        <w:rPr>
          <w:color w:val="000000" w:themeColor="text1"/>
        </w:rPr>
      </w:pPr>
      <w:r w:rsidRPr="000B2A94">
        <w:rPr>
          <w:color w:val="000000" w:themeColor="text1"/>
        </w:rPr>
        <w:t>有關司法科學教育整合及推廣之目前執行進度。</w:t>
      </w:r>
    </w:p>
    <w:p w:rsidR="00F956E8" w:rsidRPr="000B2A94" w:rsidRDefault="00F956E8" w:rsidP="000409E4">
      <w:pPr>
        <w:pStyle w:val="4"/>
        <w:rPr>
          <w:color w:val="000000" w:themeColor="text1"/>
        </w:rPr>
      </w:pPr>
      <w:r w:rsidRPr="000B2A94">
        <w:rPr>
          <w:color w:val="000000" w:themeColor="text1"/>
        </w:rPr>
        <w:t>為提升司法科學鑑定品質，本院諮詢專家學者建議，首先宜加強刑案現場勘查採證能力及品質，請具體說明目前中央及各地方政府警察局（中心、科）、分局（鑑識小組）之鑑識人力是否充足，及教育訓練辦理情形。</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168" w:name="_Toc27399816"/>
      <w:bookmarkStart w:id="169" w:name="_Toc28606597"/>
      <w:r w:rsidRPr="000B2A94">
        <w:rPr>
          <w:rFonts w:ascii="Times New Roman" w:hAnsi="Times New Roman"/>
          <w:color w:val="000000" w:themeColor="text1"/>
        </w:rPr>
        <w:t>有關相關實驗室與專家認證規範及證照制度</w:t>
      </w:r>
      <w:bookmarkEnd w:id="168"/>
      <w:bookmarkEnd w:id="169"/>
    </w:p>
    <w:p w:rsidR="00F956E8" w:rsidRPr="000B2A94" w:rsidRDefault="00F956E8" w:rsidP="000409E4">
      <w:pPr>
        <w:pStyle w:val="4"/>
        <w:rPr>
          <w:color w:val="000000" w:themeColor="text1"/>
        </w:rPr>
      </w:pPr>
      <w:r w:rsidRPr="000B2A94">
        <w:rPr>
          <w:color w:val="000000" w:themeColor="text1"/>
        </w:rPr>
        <w:t>經查司法院、行政院聯合設置之「司法改革進度追蹤資訊平台」，有關1-4司法科學、鑑定機制與專家證人評估與對策部分，法務部回應協助並督導所屬加強利用行政院科技發展計畫之申辦，培訓刑事科學鑑識人才及加強鑑識技術等語。請問目前各鑑定機關（包含法務部及內政部所屬）申請行政院科技發展計畫發展鑑識技術、辦理實驗室認證或建置刑事鑑識資料庫之情形為何？</w:t>
      </w:r>
    </w:p>
    <w:p w:rsidR="00F956E8" w:rsidRPr="000B2A94" w:rsidRDefault="00F956E8" w:rsidP="000409E4">
      <w:pPr>
        <w:pStyle w:val="4"/>
        <w:rPr>
          <w:color w:val="000000" w:themeColor="text1"/>
        </w:rPr>
      </w:pPr>
      <w:r w:rsidRPr="000B2A94">
        <w:rPr>
          <w:color w:val="000000" w:themeColor="text1"/>
        </w:rPr>
        <w:lastRenderedPageBreak/>
        <w:t>在組織人力、經費精簡之政策下，目前各鑑定機關之物證資料庫整合或合作情形。</w:t>
      </w:r>
    </w:p>
    <w:p w:rsidR="00F956E8" w:rsidRPr="000B2A94" w:rsidRDefault="00F956E8" w:rsidP="000409E4">
      <w:pPr>
        <w:pStyle w:val="4"/>
        <w:rPr>
          <w:color w:val="000000" w:themeColor="text1"/>
        </w:rPr>
      </w:pPr>
      <w:r w:rsidRPr="000B2A94">
        <w:rPr>
          <w:color w:val="000000" w:themeColor="text1"/>
        </w:rPr>
        <w:t>法務部調查局於本院座談會議建議由政府委託社團法人臺灣鑑識科學學會，統合國內鑑識科學專業人員與學術機構，辦理人員教育訓練、能力試驗及鑑定</w:t>
      </w:r>
      <w:r w:rsidR="009344B6" w:rsidRPr="000B2A94">
        <w:rPr>
          <w:color w:val="000000" w:themeColor="text1"/>
        </w:rPr>
        <w:t>證照之核發，請問</w:t>
      </w:r>
      <w:r w:rsidRPr="000B2A94">
        <w:rPr>
          <w:color w:val="000000" w:themeColor="text1"/>
          <w:szCs w:val="32"/>
        </w:rPr>
        <w:t>具體</w:t>
      </w:r>
      <w:r w:rsidRPr="000B2A94">
        <w:rPr>
          <w:color w:val="000000" w:themeColor="text1"/>
        </w:rPr>
        <w:t>意見為何？</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170" w:name="_Toc27399817"/>
      <w:bookmarkStart w:id="171" w:name="_Toc28606598"/>
      <w:r w:rsidRPr="000B2A94">
        <w:rPr>
          <w:rFonts w:ascii="Times New Roman" w:hAnsi="Times New Roman"/>
          <w:color w:val="000000" w:themeColor="text1"/>
        </w:rPr>
        <w:t>有關完善證據法則及</w:t>
      </w:r>
      <w:r w:rsidRPr="000B2A94">
        <w:rPr>
          <w:rFonts w:ascii="Times New Roman" w:hAnsi="Times New Roman"/>
          <w:color w:val="000000" w:themeColor="text1"/>
          <w:szCs w:val="32"/>
        </w:rPr>
        <w:t>專家證人制度</w:t>
      </w:r>
      <w:bookmarkEnd w:id="170"/>
      <w:bookmarkEnd w:id="171"/>
    </w:p>
    <w:p w:rsidR="00F956E8" w:rsidRPr="000B2A94" w:rsidRDefault="00F956E8" w:rsidP="00F956E8">
      <w:pPr>
        <w:pStyle w:val="32"/>
        <w:ind w:left="1361" w:firstLine="680"/>
        <w:rPr>
          <w:rFonts w:ascii="Times New Roman"/>
          <w:color w:val="000000" w:themeColor="text1"/>
        </w:rPr>
      </w:pPr>
      <w:r w:rsidRPr="000B2A94">
        <w:rPr>
          <w:rFonts w:ascii="Times New Roman"/>
          <w:color w:val="000000" w:themeColor="text1"/>
        </w:rPr>
        <w:t>據司法院</w:t>
      </w:r>
      <w:r w:rsidRPr="000B2A94">
        <w:rPr>
          <w:rFonts w:ascii="Times New Roman"/>
          <w:color w:val="000000" w:themeColor="text1"/>
        </w:rPr>
        <w:t>108</w:t>
      </w:r>
      <w:r w:rsidRPr="000B2A94">
        <w:rPr>
          <w:rFonts w:ascii="Times New Roman"/>
          <w:color w:val="000000" w:themeColor="text1"/>
        </w:rPr>
        <w:t>年</w:t>
      </w:r>
      <w:r w:rsidRPr="000B2A94">
        <w:rPr>
          <w:rFonts w:ascii="Times New Roman"/>
          <w:color w:val="000000" w:themeColor="text1"/>
        </w:rPr>
        <w:t>5</w:t>
      </w:r>
      <w:r w:rsidRPr="000B2A94">
        <w:rPr>
          <w:rFonts w:ascii="Times New Roman"/>
          <w:color w:val="000000" w:themeColor="text1"/>
        </w:rPr>
        <w:t>月</w:t>
      </w:r>
      <w:r w:rsidRPr="000B2A94">
        <w:rPr>
          <w:rFonts w:ascii="Times New Roman"/>
          <w:color w:val="000000" w:themeColor="text1"/>
        </w:rPr>
        <w:t>13</w:t>
      </w:r>
      <w:r w:rsidRPr="000B2A94">
        <w:rPr>
          <w:rFonts w:ascii="Times New Roman"/>
          <w:color w:val="000000" w:themeColor="text1"/>
        </w:rPr>
        <w:t>日院台廳刑一字第</w:t>
      </w:r>
      <w:r w:rsidRPr="000B2A94">
        <w:rPr>
          <w:rFonts w:ascii="Times New Roman"/>
          <w:color w:val="000000" w:themeColor="text1"/>
        </w:rPr>
        <w:t>1080010599</w:t>
      </w:r>
      <w:r w:rsidRPr="000B2A94">
        <w:rPr>
          <w:rFonts w:ascii="Times New Roman"/>
          <w:color w:val="000000" w:themeColor="text1"/>
        </w:rPr>
        <w:t>號函復本院，民事訴訟部分，司法院已將專家證人制度列入「商業事件審理法草案初稿」之第</w:t>
      </w:r>
      <w:r w:rsidRPr="000B2A94">
        <w:rPr>
          <w:rFonts w:ascii="Times New Roman"/>
          <w:color w:val="000000" w:themeColor="text1"/>
        </w:rPr>
        <w:t>47</w:t>
      </w:r>
      <w:r w:rsidRPr="000B2A94">
        <w:rPr>
          <w:rFonts w:ascii="Times New Roman"/>
          <w:color w:val="000000" w:themeColor="text1"/>
        </w:rPr>
        <w:t>條至第</w:t>
      </w:r>
      <w:r w:rsidRPr="000B2A94">
        <w:rPr>
          <w:rFonts w:ascii="Times New Roman"/>
          <w:color w:val="000000" w:themeColor="text1"/>
        </w:rPr>
        <w:t>52</w:t>
      </w:r>
      <w:r w:rsidRPr="000B2A94">
        <w:rPr>
          <w:rFonts w:ascii="Times New Roman"/>
          <w:color w:val="000000" w:themeColor="text1"/>
        </w:rPr>
        <w:t>條，俟經司法院院會通過後函請立法院審議；行政訴訟部分，亦業以</w:t>
      </w:r>
      <w:r w:rsidRPr="000B2A94">
        <w:rPr>
          <w:rFonts w:ascii="Times New Roman"/>
          <w:color w:val="000000" w:themeColor="text1"/>
        </w:rPr>
        <w:t>107</w:t>
      </w:r>
      <w:r w:rsidRPr="000B2A94">
        <w:rPr>
          <w:rFonts w:ascii="Times New Roman"/>
          <w:color w:val="000000" w:themeColor="text1"/>
        </w:rPr>
        <w:t>年</w:t>
      </w:r>
      <w:r w:rsidRPr="000B2A94">
        <w:rPr>
          <w:rFonts w:ascii="Times New Roman"/>
          <w:color w:val="000000" w:themeColor="text1"/>
        </w:rPr>
        <w:t>8</w:t>
      </w:r>
      <w:r w:rsidRPr="000B2A94">
        <w:rPr>
          <w:rFonts w:ascii="Times New Roman"/>
          <w:color w:val="000000" w:themeColor="text1"/>
        </w:rPr>
        <w:t>月</w:t>
      </w:r>
      <w:r w:rsidRPr="000B2A94">
        <w:rPr>
          <w:rFonts w:ascii="Times New Roman"/>
          <w:color w:val="000000" w:themeColor="text1"/>
        </w:rPr>
        <w:t>23</w:t>
      </w:r>
      <w:r w:rsidRPr="000B2A94">
        <w:rPr>
          <w:rFonts w:ascii="Times New Roman"/>
          <w:color w:val="000000" w:themeColor="text1"/>
        </w:rPr>
        <w:t>日院台廳行一字第</w:t>
      </w:r>
      <w:r w:rsidRPr="000B2A94">
        <w:rPr>
          <w:rFonts w:ascii="Times New Roman"/>
          <w:color w:val="000000" w:themeColor="text1"/>
        </w:rPr>
        <w:t>1070023479</w:t>
      </w:r>
      <w:r w:rsidRPr="000B2A94">
        <w:rPr>
          <w:rFonts w:ascii="Times New Roman"/>
          <w:color w:val="000000" w:themeColor="text1"/>
        </w:rPr>
        <w:t>號函請立法院審議。請具體說明研議制定適用於刑事、民事、行政訴訟之證據法專法及專家證人制度目前規劃執行情形。</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172" w:name="_Toc27399818"/>
      <w:bookmarkStart w:id="173" w:name="_Toc28606599"/>
      <w:r w:rsidRPr="000B2A94">
        <w:rPr>
          <w:rFonts w:ascii="Times New Roman" w:hAnsi="Times New Roman"/>
          <w:color w:val="000000" w:themeColor="text1"/>
        </w:rPr>
        <w:t>有關測謊證據之施測標準流程及其證據能力</w:t>
      </w:r>
      <w:bookmarkEnd w:id="172"/>
      <w:bookmarkEnd w:id="173"/>
    </w:p>
    <w:p w:rsidR="00F956E8" w:rsidRPr="000B2A94" w:rsidRDefault="00F956E8" w:rsidP="000409E4">
      <w:pPr>
        <w:pStyle w:val="4"/>
        <w:rPr>
          <w:color w:val="000000" w:themeColor="text1"/>
        </w:rPr>
      </w:pPr>
      <w:r w:rsidRPr="000B2A94">
        <w:rPr>
          <w:color w:val="000000" w:themeColor="text1"/>
        </w:rPr>
        <w:t>測謊證據之施測標準，目前各鑑定機關是否有統一標準作業程序及版本？</w:t>
      </w:r>
    </w:p>
    <w:p w:rsidR="00F956E8" w:rsidRPr="000B2A94" w:rsidRDefault="00F956E8" w:rsidP="000409E4">
      <w:pPr>
        <w:pStyle w:val="4"/>
        <w:rPr>
          <w:color w:val="000000" w:themeColor="text1"/>
        </w:rPr>
      </w:pPr>
      <w:r w:rsidRPr="000B2A94">
        <w:rPr>
          <w:color w:val="000000" w:themeColor="text1"/>
        </w:rPr>
        <w:t>有關測謊證據能力問題，調查局於本院座談時表示，參照國外立法例，並無以法律明文禁止使用測謊，且如以法律明文禁止測謊證據使用，將限制未來相關鑑定技術之發展等語；本院諮詢專家學者亦表示，犯罪現場之證據分為「偵查證據」及「審判證據」，不宜將測謊排除在所有司法程序（包含偵查階段）之外，全然否認其證據能力並非解決之道，而係應在謹慎使用前提下，導入新科技與理論以提高測謊技術之準確性，</w:t>
      </w:r>
      <w:r w:rsidRPr="000B2A94">
        <w:rPr>
          <w:color w:val="000000" w:themeColor="text1"/>
          <w:szCs w:val="32"/>
        </w:rPr>
        <w:t>若禁用測謊，未來恐將不會有進一步的研究。</w:t>
      </w:r>
      <w:r w:rsidRPr="000B2A94">
        <w:rPr>
          <w:color w:val="000000" w:themeColor="text1"/>
        </w:rPr>
        <w:t>請問司法院於107年10月19日召開「立法明文承認或排除測謊鑑定證據能力之可行性」公聽會後，對於是</w:t>
      </w:r>
      <w:r w:rsidRPr="000B2A94">
        <w:rPr>
          <w:color w:val="000000" w:themeColor="text1"/>
        </w:rPr>
        <w:lastRenderedPageBreak/>
        <w:t xml:space="preserve">否應立法明文承認或排除測謊鑑定之證據能力，未來研議方向為何？ </w:t>
      </w:r>
    </w:p>
    <w:p w:rsidR="00F956E8" w:rsidRPr="000B2A94" w:rsidRDefault="00F956E8" w:rsidP="000409E4">
      <w:pPr>
        <w:pStyle w:val="3"/>
        <w:rPr>
          <w:color w:val="000000" w:themeColor="text1"/>
        </w:rPr>
      </w:pPr>
      <w:bookmarkStart w:id="174" w:name="_Toc27399819"/>
      <w:bookmarkStart w:id="175" w:name="_Toc28606600"/>
      <w:r w:rsidRPr="000B2A94">
        <w:rPr>
          <w:color w:val="000000" w:themeColor="text1"/>
        </w:rPr>
        <w:t>為保障被告訴訟權</w:t>
      </w:r>
      <w:r w:rsidRPr="000B2A94">
        <w:rPr>
          <w:rFonts w:eastAsia="新細明體"/>
          <w:color w:val="000000" w:themeColor="text1"/>
        </w:rPr>
        <w:t>，</w:t>
      </w:r>
      <w:r w:rsidRPr="000B2A94">
        <w:rPr>
          <w:color w:val="000000" w:themeColor="text1"/>
        </w:rPr>
        <w:t>對於是否應落實要求鑑定人到庭接受詰問之具體意見為何？</w:t>
      </w:r>
      <w:bookmarkEnd w:id="174"/>
      <w:bookmarkEnd w:id="175"/>
    </w:p>
    <w:p w:rsidR="00F956E8" w:rsidRPr="000B2A94" w:rsidRDefault="00F956E8" w:rsidP="000409E4">
      <w:pPr>
        <w:pStyle w:val="3"/>
        <w:rPr>
          <w:color w:val="000000" w:themeColor="text1"/>
        </w:rPr>
      </w:pPr>
      <w:bookmarkStart w:id="176" w:name="_Toc27399820"/>
      <w:bookmarkStart w:id="177" w:name="_Toc28606601"/>
      <w:r w:rsidRPr="000B2A94">
        <w:rPr>
          <w:color w:val="000000" w:themeColor="text1"/>
        </w:rPr>
        <w:t>為確保物證經由採樣、運送、鑑定及保存等過程，使呈現於法庭之證據係真實無瑕疵，應如何建立證物監管之機制？</w:t>
      </w:r>
      <w:bookmarkEnd w:id="176"/>
      <w:bookmarkEnd w:id="177"/>
    </w:p>
    <w:p w:rsidR="00F956E8" w:rsidRPr="000B2A94" w:rsidRDefault="00F956E8" w:rsidP="00F956E8">
      <w:pPr>
        <w:pStyle w:val="1"/>
        <w:numPr>
          <w:ilvl w:val="0"/>
          <w:numId w:val="1"/>
        </w:numPr>
        <w:kinsoku w:val="0"/>
        <w:overflowPunct/>
        <w:autoSpaceDE/>
        <w:autoSpaceDN/>
        <w:spacing w:beforeLines="25" w:before="114"/>
        <w:ind w:left="2381" w:hanging="2381"/>
        <w:rPr>
          <w:rFonts w:ascii="Times New Roman" w:hAnsi="Times New Roman"/>
          <w:b/>
          <w:color w:val="000000" w:themeColor="text1"/>
          <w:spacing w:val="-4"/>
        </w:rPr>
      </w:pPr>
      <w:bookmarkStart w:id="178" w:name="_Toc28606803"/>
      <w:r w:rsidRPr="000B2A94">
        <w:rPr>
          <w:rFonts w:ascii="Times New Roman" w:hAnsi="Times New Roman"/>
          <w:b/>
          <w:color w:val="000000" w:themeColor="text1"/>
          <w:spacing w:val="-4"/>
        </w:rPr>
        <w:t>問題背景與現況分析</w:t>
      </w:r>
      <w:bookmarkEnd w:id="178"/>
    </w:p>
    <w:p w:rsidR="00F956E8" w:rsidRPr="000B2A94" w:rsidRDefault="00F956E8" w:rsidP="00F956E8">
      <w:pPr>
        <w:pStyle w:val="11"/>
        <w:ind w:left="680" w:firstLine="680"/>
        <w:rPr>
          <w:rFonts w:ascii="Times New Roman"/>
          <w:b/>
          <w:bCs/>
          <w:color w:val="000000" w:themeColor="text1"/>
          <w:szCs w:val="36"/>
        </w:rPr>
      </w:pPr>
      <w:bookmarkStart w:id="179" w:name="_Toc486179472"/>
      <w:bookmarkStart w:id="180" w:name="_Toc486202031"/>
      <w:bookmarkStart w:id="181" w:name="_Toc486202367"/>
      <w:bookmarkStart w:id="182" w:name="_Toc516250251"/>
      <w:r w:rsidRPr="000B2A94">
        <w:rPr>
          <w:rFonts w:ascii="Times New Roman"/>
          <w:color w:val="000000" w:themeColor="text1"/>
        </w:rPr>
        <w:t>經彙整各機關</w:t>
      </w:r>
      <w:r w:rsidRPr="000B2A94">
        <w:rPr>
          <w:rStyle w:val="aff1"/>
          <w:rFonts w:ascii="Times New Roman"/>
          <w:color w:val="000000" w:themeColor="text1"/>
        </w:rPr>
        <w:footnoteReference w:id="1"/>
      </w:r>
      <w:r w:rsidRPr="000B2A94">
        <w:rPr>
          <w:rFonts w:ascii="Times New Roman"/>
          <w:color w:val="000000" w:themeColor="text1"/>
        </w:rPr>
        <w:t>與專家學者、相關機構提供之資料與卓見，並參考相關文獻資料，茲綜整臚述本調查研究初步發現如下：</w:t>
      </w:r>
      <w:bookmarkEnd w:id="179"/>
      <w:bookmarkEnd w:id="180"/>
      <w:bookmarkEnd w:id="181"/>
      <w:bookmarkEnd w:id="182"/>
    </w:p>
    <w:p w:rsidR="00F956E8" w:rsidRPr="000B2A94" w:rsidRDefault="00F956E8" w:rsidP="00F956E8">
      <w:pPr>
        <w:pStyle w:val="2"/>
        <w:numPr>
          <w:ilvl w:val="1"/>
          <w:numId w:val="1"/>
        </w:numPr>
        <w:kinsoku w:val="0"/>
        <w:overflowPunct/>
        <w:autoSpaceDE/>
        <w:autoSpaceDN/>
        <w:ind w:left="1123" w:hanging="697"/>
        <w:rPr>
          <w:rFonts w:ascii="Times New Roman" w:hAnsi="Times New Roman"/>
          <w:b/>
          <w:color w:val="000000" w:themeColor="text1"/>
        </w:rPr>
      </w:pPr>
      <w:bookmarkStart w:id="183" w:name="_Toc10466701"/>
      <w:bookmarkStart w:id="184" w:name="_Toc28606804"/>
      <w:bookmarkEnd w:id="183"/>
      <w:r w:rsidRPr="000B2A94">
        <w:rPr>
          <w:rFonts w:ascii="Times New Roman" w:hAnsi="Times New Roman"/>
          <w:b/>
          <w:color w:val="000000" w:themeColor="text1"/>
        </w:rPr>
        <w:t>88</w:t>
      </w:r>
      <w:r w:rsidRPr="000B2A94">
        <w:rPr>
          <w:rFonts w:ascii="Times New Roman" w:hAnsi="Times New Roman"/>
          <w:b/>
          <w:color w:val="000000" w:themeColor="text1"/>
        </w:rPr>
        <w:t>年全國司改會議科學鑑定議題之討論及決議</w:t>
      </w:r>
      <w:bookmarkEnd w:id="184"/>
    </w:p>
    <w:p w:rsidR="00F956E8" w:rsidRPr="000B2A94" w:rsidRDefault="00F956E8" w:rsidP="00F956E8">
      <w:pPr>
        <w:pStyle w:val="3"/>
        <w:numPr>
          <w:ilvl w:val="2"/>
          <w:numId w:val="1"/>
        </w:numPr>
        <w:kinsoku w:val="0"/>
        <w:overflowPunct/>
        <w:autoSpaceDE/>
        <w:autoSpaceDN/>
        <w:ind w:left="1393" w:hanging="697"/>
        <w:rPr>
          <w:rFonts w:ascii="Times New Roman" w:hAnsi="Times New Roman"/>
          <w:color w:val="000000" w:themeColor="text1"/>
        </w:rPr>
      </w:pPr>
      <w:bookmarkStart w:id="185" w:name="_Toc27399823"/>
      <w:bookmarkStart w:id="186" w:name="_Toc28606604"/>
      <w:r w:rsidRPr="000B2A94">
        <w:rPr>
          <w:rFonts w:ascii="Times New Roman" w:hAnsi="Times New Roman"/>
          <w:color w:val="000000" w:themeColor="text1"/>
        </w:rPr>
        <w:t>民間團體提案：提升檢、警、調之科學辦案能力，所提具體方案</w:t>
      </w:r>
      <w:bookmarkEnd w:id="185"/>
      <w:bookmarkEnd w:id="186"/>
    </w:p>
    <w:p w:rsidR="00F956E8" w:rsidRPr="000B2A94" w:rsidRDefault="00F956E8" w:rsidP="000409E4">
      <w:pPr>
        <w:pStyle w:val="4"/>
        <w:rPr>
          <w:color w:val="000000" w:themeColor="text1"/>
        </w:rPr>
      </w:pPr>
      <w:r w:rsidRPr="000B2A94">
        <w:rPr>
          <w:color w:val="000000" w:themeColor="text1"/>
        </w:rPr>
        <w:tab/>
        <w:t>於行政院下設法醫中心，亦即現行法務部法醫研究所層級再提升至直屬行政院，以有效延攬法醫人才，強化法醫訓練，檢討法醫待遇並健全法醫工作環境。</w:t>
      </w:r>
    </w:p>
    <w:p w:rsidR="00F956E8" w:rsidRPr="000B2A94" w:rsidRDefault="00F956E8" w:rsidP="000409E4">
      <w:pPr>
        <w:pStyle w:val="4"/>
        <w:rPr>
          <w:color w:val="000000" w:themeColor="text1"/>
        </w:rPr>
      </w:pPr>
      <w:r w:rsidRPr="000B2A94">
        <w:rPr>
          <w:color w:val="000000" w:themeColor="text1"/>
        </w:rPr>
        <w:tab/>
        <w:t>於行政院下設鑑識中心，工作人員可分為研究人員及技術人員兩類。研究人員之任用、待遇比照學術研究機構人員或大學教師，區分為研究員(教授級)、副研究員(副教授級)、助理研究員(助理教授級)、研究助理(講師級)，技術人員則應經過國家考試及格，依文官任用制度區分職等，另地方級鑑識單位分設於各警察局，但應獨立於偵查單位之外，其待遇、升遷亦自成一系。</w:t>
      </w:r>
    </w:p>
    <w:p w:rsidR="00F956E8" w:rsidRPr="000B2A94" w:rsidRDefault="00F956E8" w:rsidP="000409E4">
      <w:pPr>
        <w:pStyle w:val="4"/>
        <w:rPr>
          <w:color w:val="000000" w:themeColor="text1"/>
        </w:rPr>
      </w:pPr>
      <w:r w:rsidRPr="000B2A94">
        <w:rPr>
          <w:color w:val="000000" w:themeColor="text1"/>
        </w:rPr>
        <w:tab/>
        <w:t>定期舉辦檢、警、調人員科學辦案能力之在職訓</w:t>
      </w:r>
      <w:r w:rsidRPr="000B2A94">
        <w:rPr>
          <w:color w:val="000000" w:themeColor="text1"/>
        </w:rPr>
        <w:lastRenderedPageBreak/>
        <w:t>練。</w:t>
      </w:r>
    </w:p>
    <w:p w:rsidR="00F956E8" w:rsidRPr="000B2A94" w:rsidRDefault="00F956E8" w:rsidP="000409E4">
      <w:pPr>
        <w:pStyle w:val="4"/>
        <w:rPr>
          <w:color w:val="000000" w:themeColor="text1"/>
        </w:rPr>
      </w:pPr>
      <w:r w:rsidRPr="000B2A94">
        <w:rPr>
          <w:color w:val="000000" w:themeColor="text1"/>
        </w:rPr>
        <w:tab/>
        <w:t>充實科學辦案所必要之相關配備。</w:t>
      </w:r>
    </w:p>
    <w:p w:rsidR="00F956E8" w:rsidRPr="000B2A94" w:rsidRDefault="00F956E8" w:rsidP="00F956E8">
      <w:pPr>
        <w:pStyle w:val="3"/>
        <w:numPr>
          <w:ilvl w:val="2"/>
          <w:numId w:val="1"/>
        </w:numPr>
        <w:kinsoku w:val="0"/>
        <w:overflowPunct/>
        <w:autoSpaceDE/>
        <w:autoSpaceDN/>
        <w:ind w:left="1393" w:hanging="697"/>
        <w:rPr>
          <w:rFonts w:ascii="Times New Roman" w:hAnsi="Times New Roman"/>
          <w:color w:val="000000" w:themeColor="text1"/>
        </w:rPr>
      </w:pPr>
      <w:bookmarkStart w:id="187" w:name="_Toc27399824"/>
      <w:bookmarkStart w:id="188" w:name="_Toc28606605"/>
      <w:r w:rsidRPr="000B2A94">
        <w:rPr>
          <w:rFonts w:ascii="Times New Roman" w:hAnsi="Times New Roman"/>
          <w:color w:val="000000" w:themeColor="text1"/>
        </w:rPr>
        <w:t>李震山教授提案</w:t>
      </w:r>
      <w:bookmarkEnd w:id="187"/>
      <w:bookmarkEnd w:id="188"/>
    </w:p>
    <w:p w:rsidR="00F956E8" w:rsidRPr="000B2A94" w:rsidRDefault="00F956E8" w:rsidP="000409E4">
      <w:pPr>
        <w:pStyle w:val="4"/>
        <w:rPr>
          <w:color w:val="000000" w:themeColor="text1"/>
        </w:rPr>
      </w:pPr>
      <w:r w:rsidRPr="000B2A94">
        <w:rPr>
          <w:color w:val="000000" w:themeColor="text1"/>
        </w:rPr>
        <w:tab/>
        <w:t>世界先進國家(例如:美國、德國、日本)皆於警察機關中設有鑑識單位，且極重視刑事鑑識之發展，刑事鑑識人員職司刑案現場勘查及跡證鑑驗等工作，對犯罪偵查及人權保障關係重大，惟鑑識單位因組織層級低，鑑識人員職等不高等因素，致難以延攬及留任人才，例如：一般縣市警察局最高鑑識職階，僅為警正三階次職序之鑑識組長，如欲升職即須離開鑑識單位，影響留任鑑識單位意願。另因編制層級低，相對編制員額少，以目前警察機關鑑識人員編制員額，大致為3或4人之數，於縣、市遼闊之轄區，以此微薄人力，對於刑案現場根本無法充分之蒐證、鑑識，影響刑案之偵破。犯罪跡證種類極廣，舉凡指紋、槍彈、玻璃、纖維、毛髮、聲音、影像、測謊等，均有其專業領域，非尋求有興趣之人才經長期培養訓練人員，難以竟其功。惟目前全國最高警察鑑識單位之刑事警察局，尚對部分跡證鑑識缺乏專門領域人才，例如：聲紋、影像鑑識等，以致在某些刑案需該項物證鑑識時，無法適時提供偵查上重大助益。</w:t>
      </w:r>
    </w:p>
    <w:p w:rsidR="00F956E8" w:rsidRPr="000B2A94" w:rsidRDefault="00F956E8" w:rsidP="000409E4">
      <w:pPr>
        <w:pStyle w:val="4"/>
        <w:rPr>
          <w:color w:val="000000" w:themeColor="text1"/>
        </w:rPr>
      </w:pPr>
      <w:r w:rsidRPr="000B2A94">
        <w:rPr>
          <w:color w:val="000000" w:themeColor="text1"/>
        </w:rPr>
        <w:tab/>
        <w:t>目前鑑識單位因組織編制階層太低，編制員額少，經費不足等因素，致未能充分發揮應有之功能，至少應先將刑事局鑑識科提升為直隸在警政署，甚至在直屬內政部下之「科學鑑識中心」，透過相關機制之設計，使之朝科學、專業、獨立方向發展，取得人民、法院、檢察機關之充分信賴。其作法是將目前刑事警察局鑑識單位(鑑識</w:t>
      </w:r>
      <w:r w:rsidRPr="000B2A94">
        <w:rPr>
          <w:color w:val="000000" w:themeColor="text1"/>
        </w:rPr>
        <w:lastRenderedPageBreak/>
        <w:t>科、指紋室、法醫室)人員、業務移撥該中心，如此，鑑識層級提升後，人員位階相對隨之提升，可延攬較優秀人才從事高科技鑑識研究，結合鑑識實務工作，並負責訓練全國鑑識人員，必可提升我國整體刑事鑑識水準。此外，將市、縣(市)警察局刑警隊鑑識組提升位階為鑑識中心，為各該警察局內部一級單位與刑警隊同層級。如此，鑑識人員職階相對提高，可長期留任有經驗之優秀人才。增充鑑識中心基礎儀器設備成立小型研究室後，除可精進地方警察機關刑事鑑識能力外，對於現行一些由中央鑑定之玩具槍、指紋初步比對、血液型鑑驗等案件，將可由地方先行處理或鑑驗，以減少中央鑑識單位之負荷，使中央鑑識單位專責於較高難度之鑑識、複驗及研發工作，以落實專業分工，有效提升整體鑑識水準。再結合中央警察大學鑑識所、法務部調查局、醫學院所、各大學涉及刑事鑑識科學之相關院所之人才與設備，發揮關鍵性角色。</w:t>
      </w:r>
    </w:p>
    <w:p w:rsidR="00F956E8" w:rsidRPr="000B2A94" w:rsidRDefault="00F956E8" w:rsidP="000409E4">
      <w:pPr>
        <w:pStyle w:val="4"/>
        <w:rPr>
          <w:color w:val="000000" w:themeColor="text1"/>
        </w:rPr>
      </w:pPr>
      <w:r w:rsidRPr="000B2A94">
        <w:rPr>
          <w:color w:val="000000" w:themeColor="text1"/>
        </w:rPr>
        <w:tab/>
        <w:t>此次全國司法改革會議相關提案，建議「於行政院下設鑑識中心，工作人員可分為研究人員及技術人員兩類。研究人員之任用、待遇比照學術研究機構人員或大學教師，區分為研究員(教授級)、副研究員(副教授級)、助理研究員(助理教授級)、研究助理(講師級)，技術人員則應經國家考試及格，依文官任用制度區分職等。另地方級鑑識單位分設於各警察局，但應獨立於偵查單位之外，其待遇、升遷亦自成一系。」若是如此，恐要作一番整合工作，並應區隔警察之鑑識與法院鑑定，此鑑識中心若能專業、科學、獨立，又能配合治安機關、司法機關之實際需求，亦非不</w:t>
      </w:r>
      <w:r w:rsidRPr="000B2A94">
        <w:rPr>
          <w:color w:val="000000" w:themeColor="text1"/>
        </w:rPr>
        <w:lastRenderedPageBreak/>
        <w:t>可採。</w:t>
      </w:r>
    </w:p>
    <w:p w:rsidR="00F956E8" w:rsidRPr="000B2A94" w:rsidRDefault="00F956E8" w:rsidP="00F956E8">
      <w:pPr>
        <w:pStyle w:val="3"/>
        <w:numPr>
          <w:ilvl w:val="2"/>
          <w:numId w:val="1"/>
        </w:numPr>
        <w:kinsoku w:val="0"/>
        <w:overflowPunct/>
        <w:autoSpaceDE/>
        <w:autoSpaceDN/>
        <w:ind w:left="1393" w:hanging="697"/>
        <w:rPr>
          <w:rFonts w:ascii="Times New Roman" w:hAnsi="Times New Roman"/>
          <w:color w:val="000000" w:themeColor="text1"/>
        </w:rPr>
      </w:pPr>
      <w:bookmarkStart w:id="189" w:name="_Toc27399825"/>
      <w:bookmarkStart w:id="190" w:name="_Toc28606606"/>
      <w:r w:rsidRPr="000B2A94">
        <w:rPr>
          <w:rFonts w:ascii="Times New Roman" w:hAnsi="Times New Roman"/>
          <w:color w:val="000000" w:themeColor="text1"/>
        </w:rPr>
        <w:t>88</w:t>
      </w:r>
      <w:r w:rsidRPr="000B2A94">
        <w:rPr>
          <w:rFonts w:ascii="Times New Roman" w:hAnsi="Times New Roman"/>
          <w:color w:val="000000" w:themeColor="text1"/>
        </w:rPr>
        <w:t>年全國司改會議結論</w:t>
      </w:r>
      <w:bookmarkEnd w:id="189"/>
      <w:bookmarkEnd w:id="190"/>
    </w:p>
    <w:p w:rsidR="00F956E8" w:rsidRPr="000B2A94" w:rsidRDefault="00F956E8" w:rsidP="000409E4">
      <w:pPr>
        <w:pStyle w:val="4"/>
        <w:rPr>
          <w:color w:val="000000" w:themeColor="text1"/>
        </w:rPr>
      </w:pPr>
      <w:r w:rsidRPr="000B2A94">
        <w:rPr>
          <w:color w:val="000000" w:themeColor="text1"/>
        </w:rPr>
        <w:tab/>
        <w:t>法醫研究所仍維持目前隸屬法務部之建制，惟應積極規劃與各大醫學院合作，加強培訓法醫人才。並繼續檢討法醫待遇，健全法醫工作環境，以有效延攬優秀人才，提升檢警單位科學辦案能力。</w:t>
      </w:r>
    </w:p>
    <w:p w:rsidR="00F956E8" w:rsidRPr="000B2A94" w:rsidRDefault="00F956E8" w:rsidP="000409E4">
      <w:pPr>
        <w:pStyle w:val="4"/>
        <w:rPr>
          <w:color w:val="000000" w:themeColor="text1"/>
        </w:rPr>
      </w:pPr>
      <w:r w:rsidRPr="000B2A94">
        <w:rPr>
          <w:color w:val="000000" w:themeColor="text1"/>
        </w:rPr>
        <w:tab/>
        <w:t>國家編列經費，補助成立財團法人鑑識機構。</w:t>
      </w:r>
    </w:p>
    <w:p w:rsidR="00F956E8" w:rsidRPr="000B2A94" w:rsidRDefault="00F956E8" w:rsidP="000409E4">
      <w:pPr>
        <w:pStyle w:val="4"/>
        <w:rPr>
          <w:color w:val="000000" w:themeColor="text1"/>
        </w:rPr>
      </w:pPr>
      <w:r w:rsidRPr="000B2A94">
        <w:rPr>
          <w:color w:val="000000" w:themeColor="text1"/>
        </w:rPr>
        <w:tab/>
        <w:t>定期舉辦檢、警、調人員科學辦案能力之在職訓練。</w:t>
      </w:r>
    </w:p>
    <w:p w:rsidR="00F956E8" w:rsidRPr="000B2A94" w:rsidRDefault="00F956E8" w:rsidP="000409E4">
      <w:pPr>
        <w:pStyle w:val="4"/>
        <w:rPr>
          <w:color w:val="000000" w:themeColor="text1"/>
        </w:rPr>
      </w:pPr>
      <w:r w:rsidRPr="000B2A94">
        <w:rPr>
          <w:color w:val="000000" w:themeColor="text1"/>
        </w:rPr>
        <w:tab/>
        <w:t>充實科學辦案所必要之相關配備。</w:t>
      </w:r>
    </w:p>
    <w:p w:rsidR="00F956E8" w:rsidRPr="000B2A94" w:rsidRDefault="00F956E8" w:rsidP="00F956E8">
      <w:pPr>
        <w:pStyle w:val="2"/>
        <w:numPr>
          <w:ilvl w:val="1"/>
          <w:numId w:val="1"/>
        </w:numPr>
        <w:kinsoku w:val="0"/>
        <w:overflowPunct/>
        <w:autoSpaceDE/>
        <w:autoSpaceDN/>
        <w:ind w:left="1123" w:hanging="697"/>
        <w:rPr>
          <w:rFonts w:ascii="Times New Roman" w:hAnsi="Times New Roman"/>
          <w:b/>
          <w:color w:val="000000" w:themeColor="text1"/>
        </w:rPr>
      </w:pPr>
      <w:bookmarkStart w:id="191" w:name="_Toc28606805"/>
      <w:r w:rsidRPr="000B2A94">
        <w:rPr>
          <w:rFonts w:ascii="Times New Roman" w:hAnsi="Times New Roman"/>
          <w:b/>
          <w:color w:val="000000" w:themeColor="text1"/>
        </w:rPr>
        <w:t>106</w:t>
      </w:r>
      <w:r w:rsidRPr="000B2A94">
        <w:rPr>
          <w:rFonts w:ascii="Times New Roman" w:hAnsi="Times New Roman"/>
          <w:b/>
          <w:color w:val="000000" w:themeColor="text1"/>
        </w:rPr>
        <w:t>年司法改革國是會議就科學鑑定議題之討論</w:t>
      </w:r>
      <w:r w:rsidRPr="000B2A94">
        <w:rPr>
          <w:rFonts w:ascii="Times New Roman" w:eastAsia="新細明體" w:hAnsi="Times New Roman"/>
          <w:b/>
          <w:color w:val="000000" w:themeColor="text1"/>
        </w:rPr>
        <w:t>、</w:t>
      </w:r>
      <w:r w:rsidRPr="000B2A94">
        <w:rPr>
          <w:rFonts w:ascii="Times New Roman" w:hAnsi="Times New Roman"/>
          <w:b/>
          <w:color w:val="000000" w:themeColor="text1"/>
        </w:rPr>
        <w:t>決議及落實執行情形</w:t>
      </w:r>
      <w:bookmarkEnd w:id="191"/>
    </w:p>
    <w:p w:rsidR="00F956E8" w:rsidRPr="000B2A94" w:rsidRDefault="00F956E8" w:rsidP="000409E4">
      <w:pPr>
        <w:pStyle w:val="22"/>
        <w:ind w:left="1020" w:firstLine="680"/>
        <w:rPr>
          <w:color w:val="000000" w:themeColor="text1"/>
        </w:rPr>
      </w:pPr>
      <w:r w:rsidRPr="000B2A94">
        <w:rPr>
          <w:color w:val="000000" w:themeColor="text1"/>
        </w:rPr>
        <w:t>蔡英文總統在105年5月20日的就職演說宣示，將會結合社會的力量，積極推動司法改革，讓司法能夠回應人民的需求，重新贏回人民的信賴。司法改革議題經緯萬端，跨越五院與諸多機關權責，民間長年亦有全面性改革的呼聲與期待。因此，總統決定召開國是會議，廣邀各領域專家與人民一同參與，與政府合作對話，共同尋求改革方針。105年11月21日，總統府設置非法律人過半的「司法改革國是會議籌備委員會」，司法改革國是會議正式啟動。經過兩個月的「意見徵集」、40場的「分組會議」、106年8月12日的「總結會議」，歷時10個月的司法改革國是會議圓滿落幕。為落實公開、透明的價值，讓民眾能夠掌握司法改革的具體進程，與各機關維持良性、合作的對話與溝通，司法院、行政院聯合設置「司法改革進度追蹤資訊平台」，彙整各機關針對各項司法改革國是會議決議的推動計畫與落實情形。</w:t>
      </w:r>
      <w:r w:rsidRPr="000B2A94">
        <w:rPr>
          <w:b/>
          <w:color w:val="000000" w:themeColor="text1"/>
        </w:rPr>
        <w:t>其中有關司改國是會議第一分組：保護被害人與弱勢者的司法1-4.司法科學、鑑定</w:t>
      </w:r>
      <w:r w:rsidRPr="000B2A94">
        <w:rPr>
          <w:b/>
          <w:color w:val="000000" w:themeColor="text1"/>
        </w:rPr>
        <w:lastRenderedPageBreak/>
        <w:t>機制與專家證人部分如下</w:t>
      </w:r>
      <w:r w:rsidR="000409E4" w:rsidRPr="000B2A94">
        <w:rPr>
          <w:rFonts w:hint="eastAsia"/>
          <w:color w:val="000000" w:themeColor="text1"/>
        </w:rPr>
        <w:t>：</w:t>
      </w:r>
    </w:p>
    <w:p w:rsidR="00F956E8" w:rsidRPr="000B2A94" w:rsidRDefault="00F956E8" w:rsidP="00F956E8">
      <w:pPr>
        <w:pStyle w:val="3"/>
        <w:numPr>
          <w:ilvl w:val="2"/>
          <w:numId w:val="1"/>
        </w:numPr>
        <w:kinsoku w:val="0"/>
        <w:overflowPunct/>
        <w:autoSpaceDE/>
        <w:autoSpaceDN/>
        <w:ind w:left="1393" w:hanging="697"/>
        <w:rPr>
          <w:rFonts w:ascii="Times New Roman" w:hAnsi="Times New Roman"/>
          <w:color w:val="000000" w:themeColor="text1"/>
        </w:rPr>
      </w:pPr>
      <w:bookmarkStart w:id="192" w:name="_Toc27399827"/>
      <w:bookmarkStart w:id="193" w:name="_Toc28606608"/>
      <w:r w:rsidRPr="000B2A94">
        <w:rPr>
          <w:rFonts w:ascii="Times New Roman" w:hAnsi="Times New Roman"/>
          <w:color w:val="000000" w:themeColor="text1"/>
        </w:rPr>
        <w:t>決議序號</w:t>
      </w:r>
      <w:r w:rsidRPr="000B2A94">
        <w:rPr>
          <w:rFonts w:ascii="Times New Roman" w:hAnsi="Times New Roman"/>
          <w:color w:val="000000" w:themeColor="text1"/>
        </w:rPr>
        <w:t>12</w:t>
      </w:r>
      <w:bookmarkEnd w:id="192"/>
      <w:bookmarkEnd w:id="193"/>
    </w:p>
    <w:p w:rsidR="00F956E8" w:rsidRPr="000B2A94" w:rsidRDefault="00F956E8" w:rsidP="000409E4">
      <w:pPr>
        <w:pStyle w:val="4"/>
        <w:rPr>
          <w:color w:val="000000" w:themeColor="text1"/>
        </w:rPr>
      </w:pPr>
      <w:r w:rsidRPr="000B2A94">
        <w:rPr>
          <w:color w:val="000000" w:themeColor="text1"/>
        </w:rPr>
        <w:t>決議內容﹕</w:t>
      </w:r>
    </w:p>
    <w:p w:rsidR="00F956E8" w:rsidRPr="000B2A94" w:rsidRDefault="00F956E8" w:rsidP="000409E4">
      <w:pPr>
        <w:pStyle w:val="42"/>
        <w:ind w:left="1701" w:firstLine="680"/>
        <w:rPr>
          <w:color w:val="000000" w:themeColor="text1"/>
        </w:rPr>
      </w:pPr>
      <w:r w:rsidRPr="000B2A94">
        <w:rPr>
          <w:color w:val="000000" w:themeColor="text1"/>
        </w:rPr>
        <w:t>我國應設立獨立行使職權的國家級司法科學委員會，其成員應包含人權、心理、法律、醫學、腦科學、刑事鑑識科學等相關領域專家，專責政策、教育與認證事項，以強化司法發現真實之能力，減少冤抑： 一、制定並推動司法科學政策，提升總體科學證據品質； 二、整合並推廣各級司法科學教育； 三、制定並執行相關實驗室與專家之認證規範與證照制度。</w:t>
      </w:r>
    </w:p>
    <w:p w:rsidR="00F956E8" w:rsidRPr="000B2A94" w:rsidRDefault="00F956E8" w:rsidP="000409E4">
      <w:pPr>
        <w:pStyle w:val="4"/>
        <w:rPr>
          <w:color w:val="000000" w:themeColor="text1"/>
        </w:rPr>
      </w:pPr>
      <w:r w:rsidRPr="000B2A94">
        <w:rPr>
          <w:color w:val="000000" w:themeColor="text1"/>
        </w:rPr>
        <w:t>問題與背景﹕</w:t>
      </w:r>
    </w:p>
    <w:p w:rsidR="00F956E8" w:rsidRPr="000B2A94" w:rsidRDefault="00F956E8" w:rsidP="00F956E8">
      <w:pPr>
        <w:pStyle w:val="42"/>
        <w:ind w:left="1701" w:firstLine="680"/>
        <w:rPr>
          <w:rFonts w:ascii="Times New Roman"/>
          <w:color w:val="000000" w:themeColor="text1"/>
        </w:rPr>
      </w:pPr>
      <w:r w:rsidRPr="000B2A94">
        <w:rPr>
          <w:rFonts w:ascii="Times New Roman"/>
          <w:color w:val="000000" w:themeColor="text1"/>
        </w:rPr>
        <w:t>我國目前並無國家級司法科學機關，對於科學在司法領域的應用及其限制，幾乎均無現代化的規範；是以科學鑑定品質處於有賴提升的狀態。若希望提升科學辦案的技術與應用，強化司法發現真實的能力，應就此領域進行全面性的建構與改革。再者，目前我國的司法科學教育，無論是以應用為目的、針對司法實務工作者，或者以扎根為目的，針對中等以上教育體系，幾乎均有所不足。欲促進司法現代化與正確化，協助司法實務工作者認定事實、評估證據的能力，除了設立國家司法科學機關外，更應考慮從上游的教育開始解決問題。</w:t>
      </w:r>
    </w:p>
    <w:p w:rsidR="00F956E8" w:rsidRPr="000B2A94" w:rsidRDefault="00F956E8" w:rsidP="000409E4">
      <w:pPr>
        <w:pStyle w:val="4"/>
        <w:rPr>
          <w:color w:val="000000" w:themeColor="text1"/>
        </w:rPr>
      </w:pPr>
      <w:r w:rsidRPr="000B2A94">
        <w:rPr>
          <w:color w:val="000000" w:themeColor="text1"/>
        </w:rPr>
        <w:t>法務部評估與對策﹕</w:t>
      </w:r>
    </w:p>
    <w:p w:rsidR="00F956E8" w:rsidRPr="000B2A94" w:rsidRDefault="00F956E8" w:rsidP="000409E4">
      <w:pPr>
        <w:pStyle w:val="5"/>
        <w:rPr>
          <w:color w:val="000000" w:themeColor="text1"/>
        </w:rPr>
      </w:pPr>
      <w:r w:rsidRPr="000B2A94">
        <w:rPr>
          <w:color w:val="000000" w:themeColor="text1"/>
        </w:rPr>
        <w:t>設立司法科學委員會涉及新設立國家機關，並涉跨院、跨機關權責，須跨部會協調研議，該部表示尚難獨自進行。</w:t>
      </w:r>
    </w:p>
    <w:p w:rsidR="00F956E8" w:rsidRPr="000B2A94" w:rsidRDefault="00F956E8" w:rsidP="000409E4">
      <w:pPr>
        <w:pStyle w:val="5"/>
        <w:rPr>
          <w:color w:val="000000" w:themeColor="text1"/>
        </w:rPr>
      </w:pPr>
      <w:r w:rsidRPr="000B2A94">
        <w:rPr>
          <w:color w:val="000000" w:themeColor="text1"/>
        </w:rPr>
        <w:t>相關司法科學政策制訂、司法科學教育整合及推廣、實驗室及專家認證，尚待各權責機關就</w:t>
      </w:r>
      <w:r w:rsidRPr="000B2A94">
        <w:rPr>
          <w:color w:val="000000" w:themeColor="text1"/>
        </w:rPr>
        <w:lastRenderedPageBreak/>
        <w:t>其權責業務事項提出精進措施，以供日後設置司法科學委員會之參考。</w:t>
      </w:r>
    </w:p>
    <w:p w:rsidR="00F956E8" w:rsidRPr="000B2A94" w:rsidRDefault="00F956E8" w:rsidP="000409E4">
      <w:pPr>
        <w:pStyle w:val="5"/>
        <w:rPr>
          <w:color w:val="000000" w:themeColor="text1"/>
        </w:rPr>
      </w:pPr>
      <w:r w:rsidRPr="000B2A94">
        <w:rPr>
          <w:color w:val="000000" w:themeColor="text1"/>
        </w:rPr>
        <w:t xml:space="preserve">法部表示持續加強法醫與鑑識效能 : </w:t>
      </w:r>
    </w:p>
    <w:p w:rsidR="00F956E8" w:rsidRPr="000B2A94" w:rsidRDefault="00F956E8" w:rsidP="000409E4">
      <w:pPr>
        <w:pStyle w:val="6"/>
        <w:rPr>
          <w:color w:val="000000" w:themeColor="text1"/>
        </w:rPr>
      </w:pPr>
      <w:r w:rsidRPr="000B2A94">
        <w:rPr>
          <w:color w:val="000000" w:themeColor="text1"/>
        </w:rPr>
        <w:t>該部協助並督導所屬加強利用行政院科技發展計畫之申辦，培訓刑事科學鑑識人才，加強鑑識技術，完成實驗室認證，提升鑑定品質。目前調查局、法醫研究所已各有多項有關法醫病理、毒物、濫用藥物、DNA鑑識、文書鑑定等通過ISO/IEC 17025國際認證規範之實驗室，且持續運用科技發展計畫，加強鑑識技術並完成新實驗室認證增項。</w:t>
      </w:r>
    </w:p>
    <w:p w:rsidR="00F956E8" w:rsidRPr="000B2A94" w:rsidRDefault="00F956E8" w:rsidP="000409E4">
      <w:pPr>
        <w:pStyle w:val="6"/>
        <w:rPr>
          <w:color w:val="000000" w:themeColor="text1"/>
        </w:rPr>
      </w:pPr>
      <w:r w:rsidRPr="000B2A94">
        <w:rPr>
          <w:color w:val="000000" w:themeColor="text1"/>
        </w:rPr>
        <w:t>法務部法醫研究所已建置電腦斷層掃描(Computed Tomography，以下簡稱CT)1臺，以增進法醫鑑定品質及量能，並擬持續擴充CT數量，惟CT之建置牽涉層面廣泛，涉及編列預算(例如：維護費、人事費等)、相關單位（場地所有權單位、使用單位、儀器使用單位）之配合等事項，而此等事項均需跨部會協調，並有賴中央與地方縣市政府鼎力支持與配合。</w:t>
      </w:r>
    </w:p>
    <w:p w:rsidR="00F956E8" w:rsidRPr="000B2A94" w:rsidRDefault="00F956E8" w:rsidP="000409E4">
      <w:pPr>
        <w:pStyle w:val="4"/>
        <w:rPr>
          <w:color w:val="000000" w:themeColor="text1"/>
        </w:rPr>
      </w:pPr>
      <w:r w:rsidRPr="000B2A94">
        <w:rPr>
          <w:color w:val="000000" w:themeColor="text1"/>
        </w:rPr>
        <w:t>進度﹕107年9月13日法務部舉行「設立國家級司法科學委員會之可行性」研商會議，徵詢相關機關意見。</w:t>
      </w:r>
    </w:p>
    <w:p w:rsidR="00F956E8" w:rsidRPr="000B2A94" w:rsidRDefault="00F956E8" w:rsidP="00F956E8">
      <w:pPr>
        <w:pStyle w:val="3"/>
        <w:numPr>
          <w:ilvl w:val="2"/>
          <w:numId w:val="1"/>
        </w:numPr>
        <w:kinsoku w:val="0"/>
        <w:overflowPunct/>
        <w:autoSpaceDE/>
        <w:autoSpaceDN/>
        <w:ind w:left="1393" w:hanging="697"/>
        <w:rPr>
          <w:rFonts w:ascii="Times New Roman" w:hAnsi="Times New Roman"/>
          <w:color w:val="000000" w:themeColor="text1"/>
        </w:rPr>
      </w:pPr>
      <w:bookmarkStart w:id="194" w:name="_Toc27399828"/>
      <w:bookmarkStart w:id="195" w:name="_Toc28606609"/>
      <w:r w:rsidRPr="000B2A94">
        <w:rPr>
          <w:rFonts w:ascii="Times New Roman" w:hAnsi="Times New Roman"/>
          <w:color w:val="000000" w:themeColor="text1"/>
        </w:rPr>
        <w:t>決議序號</w:t>
      </w:r>
      <w:r w:rsidRPr="000B2A94">
        <w:rPr>
          <w:rFonts w:ascii="Times New Roman" w:hAnsi="Times New Roman"/>
          <w:color w:val="000000" w:themeColor="text1"/>
        </w:rPr>
        <w:t>13-1</w:t>
      </w:r>
      <w:bookmarkEnd w:id="194"/>
      <w:bookmarkEnd w:id="195"/>
    </w:p>
    <w:p w:rsidR="00F956E8" w:rsidRPr="000B2A94" w:rsidRDefault="00F956E8" w:rsidP="000409E4">
      <w:pPr>
        <w:pStyle w:val="4"/>
        <w:rPr>
          <w:color w:val="000000" w:themeColor="text1"/>
        </w:rPr>
      </w:pPr>
      <w:r w:rsidRPr="000B2A94">
        <w:rPr>
          <w:color w:val="000000" w:themeColor="text1"/>
        </w:rPr>
        <w:t>決議內容﹕</w:t>
      </w:r>
    </w:p>
    <w:p w:rsidR="00F956E8" w:rsidRPr="000B2A94" w:rsidRDefault="00F956E8" w:rsidP="00F956E8">
      <w:pPr>
        <w:pStyle w:val="42"/>
        <w:ind w:left="1701" w:firstLine="680"/>
        <w:rPr>
          <w:rFonts w:ascii="Times New Roman"/>
          <w:color w:val="000000" w:themeColor="text1"/>
        </w:rPr>
      </w:pPr>
      <w:r w:rsidRPr="000B2A94">
        <w:rPr>
          <w:rFonts w:ascii="Times New Roman"/>
          <w:color w:val="000000" w:themeColor="text1"/>
        </w:rPr>
        <w:t>建議司法院研議制定適用於刑事、民事、行政訴訟的證據法專法，完善證據法則，以促進法院正確認定事實，強化以證據為核心的審判機能。</w:t>
      </w:r>
    </w:p>
    <w:p w:rsidR="00F956E8" w:rsidRPr="000B2A94" w:rsidRDefault="00F956E8" w:rsidP="000409E4">
      <w:pPr>
        <w:pStyle w:val="4"/>
        <w:rPr>
          <w:color w:val="000000" w:themeColor="text1"/>
        </w:rPr>
      </w:pPr>
      <w:r w:rsidRPr="000B2A94">
        <w:rPr>
          <w:color w:val="000000" w:themeColor="text1"/>
        </w:rPr>
        <w:t>問題與背景﹕</w:t>
      </w:r>
    </w:p>
    <w:p w:rsidR="00F956E8" w:rsidRPr="000B2A94" w:rsidRDefault="00F956E8" w:rsidP="00F956E8">
      <w:pPr>
        <w:pStyle w:val="42"/>
        <w:ind w:left="1701" w:firstLine="680"/>
        <w:rPr>
          <w:rFonts w:ascii="Times New Roman"/>
          <w:color w:val="000000" w:themeColor="text1"/>
        </w:rPr>
      </w:pPr>
      <w:r w:rsidRPr="000B2A94">
        <w:rPr>
          <w:rFonts w:ascii="Times New Roman"/>
          <w:color w:val="000000" w:themeColor="text1"/>
        </w:rPr>
        <w:lastRenderedPageBreak/>
        <w:t>我國並無統一證據法典；有關證據法則，民事、刑事、行政各有不同，加上法院職權調查證據色彩仍相對濃厚，間接形成證據法則模糊化、公訴辯護空洞化現象，由此而作成之法院判決，引用上級法院判決判例例稿與空洞言詞者也非少見，不易提升國民理解與信服度。</w:t>
      </w:r>
    </w:p>
    <w:p w:rsidR="00F956E8" w:rsidRPr="000B2A94" w:rsidRDefault="00F956E8" w:rsidP="000409E4">
      <w:pPr>
        <w:pStyle w:val="4"/>
        <w:rPr>
          <w:color w:val="000000" w:themeColor="text1"/>
        </w:rPr>
      </w:pPr>
      <w:r w:rsidRPr="000B2A94">
        <w:rPr>
          <w:color w:val="000000" w:themeColor="text1"/>
        </w:rPr>
        <w:t>司法院評估與對策﹕</w:t>
      </w:r>
    </w:p>
    <w:p w:rsidR="00F956E8" w:rsidRPr="000B2A94" w:rsidRDefault="00F956E8" w:rsidP="00F956E8">
      <w:pPr>
        <w:pStyle w:val="42"/>
        <w:ind w:left="1701" w:firstLine="680"/>
        <w:rPr>
          <w:rFonts w:ascii="Times New Roman"/>
          <w:color w:val="000000" w:themeColor="text1"/>
        </w:rPr>
      </w:pPr>
      <w:r w:rsidRPr="000B2A94">
        <w:rPr>
          <w:rFonts w:ascii="Times New Roman"/>
          <w:color w:val="000000" w:themeColor="text1"/>
        </w:rPr>
        <w:t>我國民事、刑事及行政訴訟，有關認定事實所應遵循之法則均不相同。因此應強化各訴訟程序之證據法則，尚無訂定統一證據法必要。</w:t>
      </w:r>
    </w:p>
    <w:p w:rsidR="00F956E8" w:rsidRPr="000B2A94" w:rsidRDefault="00F956E8" w:rsidP="000409E4">
      <w:pPr>
        <w:pStyle w:val="4"/>
        <w:rPr>
          <w:color w:val="000000" w:themeColor="text1"/>
        </w:rPr>
      </w:pPr>
      <w:r w:rsidRPr="000B2A94">
        <w:rPr>
          <w:color w:val="000000" w:themeColor="text1"/>
        </w:rPr>
        <w:t>進度﹕</w:t>
      </w:r>
    </w:p>
    <w:p w:rsidR="00F956E8" w:rsidRPr="000B2A94" w:rsidRDefault="00F956E8" w:rsidP="00F956E8">
      <w:pPr>
        <w:pStyle w:val="42"/>
        <w:ind w:left="1701" w:firstLine="680"/>
        <w:rPr>
          <w:rFonts w:ascii="Times New Roman"/>
          <w:color w:val="000000" w:themeColor="text1"/>
        </w:rPr>
      </w:pPr>
      <w:r w:rsidRPr="000B2A94">
        <w:rPr>
          <w:rFonts w:ascii="Times New Roman"/>
          <w:color w:val="000000" w:themeColor="text1"/>
        </w:rPr>
        <w:t>司法院已於</w:t>
      </w:r>
      <w:r w:rsidRPr="000B2A94">
        <w:rPr>
          <w:rFonts w:ascii="Times New Roman"/>
          <w:color w:val="000000" w:themeColor="text1"/>
        </w:rPr>
        <w:t>107</w:t>
      </w:r>
      <w:r w:rsidRPr="000B2A94">
        <w:rPr>
          <w:rFonts w:ascii="Times New Roman"/>
          <w:color w:val="000000" w:themeColor="text1"/>
        </w:rPr>
        <w:t>年</w:t>
      </w:r>
      <w:r w:rsidRPr="000B2A94">
        <w:rPr>
          <w:rFonts w:ascii="Times New Roman"/>
          <w:color w:val="000000" w:themeColor="text1"/>
        </w:rPr>
        <w:t>7</w:t>
      </w:r>
      <w:r w:rsidRPr="000B2A94">
        <w:rPr>
          <w:rFonts w:ascii="Times New Roman"/>
          <w:color w:val="000000" w:themeColor="text1"/>
        </w:rPr>
        <w:t>月</w:t>
      </w:r>
      <w:r w:rsidRPr="000B2A94">
        <w:rPr>
          <w:rFonts w:ascii="Times New Roman"/>
          <w:color w:val="000000" w:themeColor="text1"/>
        </w:rPr>
        <w:t>16</w:t>
      </w:r>
      <w:r w:rsidRPr="000B2A94">
        <w:rPr>
          <w:rFonts w:ascii="Times New Roman"/>
          <w:color w:val="000000" w:themeColor="text1"/>
        </w:rPr>
        <w:t>日召開會議，就完善刑事鑑定制度等議題進行研議。</w:t>
      </w:r>
    </w:p>
    <w:p w:rsidR="00F956E8" w:rsidRPr="000B2A94" w:rsidRDefault="00F956E8" w:rsidP="00F956E8">
      <w:pPr>
        <w:pStyle w:val="3"/>
        <w:numPr>
          <w:ilvl w:val="2"/>
          <w:numId w:val="1"/>
        </w:numPr>
        <w:kinsoku w:val="0"/>
        <w:overflowPunct/>
        <w:autoSpaceDE/>
        <w:autoSpaceDN/>
        <w:ind w:left="1393" w:hanging="697"/>
        <w:rPr>
          <w:rFonts w:ascii="Times New Roman" w:hAnsi="Times New Roman"/>
          <w:color w:val="000000" w:themeColor="text1"/>
        </w:rPr>
      </w:pPr>
      <w:bookmarkStart w:id="196" w:name="_Toc27399829"/>
      <w:bookmarkStart w:id="197" w:name="_Toc28606610"/>
      <w:r w:rsidRPr="000B2A94">
        <w:rPr>
          <w:rFonts w:ascii="Times New Roman" w:hAnsi="Times New Roman"/>
          <w:color w:val="000000" w:themeColor="text1"/>
        </w:rPr>
        <w:t>決議序號</w:t>
      </w:r>
      <w:r w:rsidRPr="000B2A94">
        <w:rPr>
          <w:rFonts w:ascii="Times New Roman" w:hAnsi="Times New Roman"/>
          <w:color w:val="000000" w:themeColor="text1"/>
        </w:rPr>
        <w:t>13-2</w:t>
      </w:r>
      <w:bookmarkEnd w:id="196"/>
      <w:bookmarkEnd w:id="197"/>
    </w:p>
    <w:p w:rsidR="00F956E8" w:rsidRPr="000B2A94" w:rsidRDefault="00F956E8" w:rsidP="000409E4">
      <w:pPr>
        <w:pStyle w:val="4"/>
        <w:rPr>
          <w:color w:val="000000" w:themeColor="text1"/>
        </w:rPr>
      </w:pPr>
      <w:r w:rsidRPr="000B2A94">
        <w:rPr>
          <w:color w:val="000000" w:themeColor="text1"/>
        </w:rPr>
        <w:t>決議內容﹕</w:t>
      </w:r>
    </w:p>
    <w:p w:rsidR="00F956E8" w:rsidRPr="000B2A94" w:rsidRDefault="00F956E8" w:rsidP="00F956E8">
      <w:pPr>
        <w:pStyle w:val="42"/>
        <w:ind w:left="1701" w:firstLine="680"/>
        <w:rPr>
          <w:rFonts w:ascii="Times New Roman"/>
          <w:color w:val="000000" w:themeColor="text1"/>
        </w:rPr>
      </w:pPr>
      <w:r w:rsidRPr="000B2A94">
        <w:rPr>
          <w:rFonts w:ascii="Times New Roman"/>
          <w:color w:val="000000" w:themeColor="text1"/>
        </w:rPr>
        <w:t>建請司法院研議制定並完善專家證人制度，同時檢討現行鑑定制度功能的缺失及其存廢問題。</w:t>
      </w:r>
    </w:p>
    <w:p w:rsidR="00F956E8" w:rsidRPr="000B2A94" w:rsidRDefault="00F956E8" w:rsidP="000409E4">
      <w:pPr>
        <w:pStyle w:val="4"/>
        <w:rPr>
          <w:color w:val="000000" w:themeColor="text1"/>
        </w:rPr>
      </w:pPr>
      <w:r w:rsidRPr="000B2A94">
        <w:rPr>
          <w:color w:val="000000" w:themeColor="text1"/>
        </w:rPr>
        <w:t>問題與背景﹕</w:t>
      </w:r>
    </w:p>
    <w:p w:rsidR="00F956E8" w:rsidRPr="000B2A94" w:rsidRDefault="00F956E8" w:rsidP="000409E4">
      <w:pPr>
        <w:pStyle w:val="5"/>
        <w:rPr>
          <w:color w:val="000000" w:themeColor="text1"/>
        </w:rPr>
      </w:pPr>
      <w:r w:rsidRPr="000B2A94">
        <w:rPr>
          <w:color w:val="000000" w:themeColor="text1"/>
        </w:rPr>
        <w:t>民事廳：現行鑑定機關多設置於政府單位，欠缺機關外之專業審查，亦不利科學社群之形成。爰此，我國應引進專家證人制度，讓訴訟中的當事人能各自選任不同專家提出專業意見，其意見所立基之資料、方法及實驗過程，應盡量於法庭公開揭露，接受審查，專家亦須到庭接受詰問。由此，使得專家意見的品質得以在法庭內受到實質檢驗，強化司法科學社群內的相互檢視，以求進步。</w:t>
      </w:r>
    </w:p>
    <w:p w:rsidR="00F956E8" w:rsidRPr="000B2A94" w:rsidRDefault="00F956E8" w:rsidP="000409E4">
      <w:pPr>
        <w:pStyle w:val="5"/>
        <w:rPr>
          <w:color w:val="000000" w:themeColor="text1"/>
        </w:rPr>
      </w:pPr>
      <w:r w:rsidRPr="000B2A94">
        <w:rPr>
          <w:color w:val="000000" w:themeColor="text1"/>
        </w:rPr>
        <w:t>刑事廳：現行刑事訴訟法上的鑑定制度跟英美法系的專家證人，都是由專家提供專業意見，</w:t>
      </w:r>
      <w:r w:rsidRPr="000B2A94">
        <w:rPr>
          <w:color w:val="000000" w:themeColor="text1"/>
        </w:rPr>
        <w:lastRenderedPageBreak/>
        <w:t>以協助法官正確判斷事實。但在我國的鑑定制度下，鑑定人只能由法官或檢察官選任，且鑑定人並不一定要出庭接受當事人的交互詰問，書面的鑑定資料就具有證據能力，甚至在機關鑑定的情形，還可以不用具結擔保鑑定的公正誠實性，使得當事人無法有效質疑鑑定結果的真實性。但專家證人制度也引發訴訟不平等(有錢人才有能力聘請專家證人)及立場偏頗的疑慮，因此是否在刑事訴訟法規定專家證人制度或就相關的證據法則加以修正，讓鑑定制度更加完善，有加以討論的必要。</w:t>
      </w:r>
    </w:p>
    <w:p w:rsidR="00F956E8" w:rsidRPr="000B2A94" w:rsidRDefault="00F956E8" w:rsidP="000409E4">
      <w:pPr>
        <w:pStyle w:val="5"/>
        <w:rPr>
          <w:color w:val="000000" w:themeColor="text1"/>
        </w:rPr>
      </w:pPr>
      <w:r w:rsidRPr="000B2A94">
        <w:rPr>
          <w:color w:val="000000" w:themeColor="text1"/>
        </w:rPr>
        <w:t>行政訴訟及懲戒廳：</w:t>
      </w:r>
    </w:p>
    <w:p w:rsidR="00F956E8" w:rsidRPr="000B2A94" w:rsidRDefault="00F956E8" w:rsidP="000409E4">
      <w:pPr>
        <w:pStyle w:val="6"/>
        <w:rPr>
          <w:color w:val="000000" w:themeColor="text1"/>
        </w:rPr>
      </w:pPr>
      <w:r w:rsidRPr="000B2A94">
        <w:rPr>
          <w:color w:val="000000" w:themeColor="text1"/>
        </w:rPr>
        <w:t>鑑於向來我國法官面對專業型訴訟，多以鑑定制度為其尋求專業意見之主要途徑，惟法官於提出鑑定前，仍宜有相關諮詢專家之機制，俾利協助當事人妥適解決紛爭。此外，為檢驗鑑定結果或當事人提出專家意見之可信性，法官仍需要相當程度之專業輔助。因此，司法院研議參考日本專門委員制度之規定，強化我國之專家諮詢制度，以提供法官面對專業型訴訟時多一種利器選擇。</w:t>
      </w:r>
    </w:p>
    <w:p w:rsidR="00F956E8" w:rsidRPr="000B2A94" w:rsidRDefault="00F956E8" w:rsidP="000409E4">
      <w:pPr>
        <w:pStyle w:val="6"/>
        <w:rPr>
          <w:color w:val="000000" w:themeColor="text1"/>
        </w:rPr>
      </w:pPr>
      <w:r w:rsidRPr="000B2A94">
        <w:rPr>
          <w:color w:val="000000" w:themeColor="text1"/>
        </w:rPr>
        <w:t>有關訴訟救助制度，依行政訴訟法第101條規定，當事人無資力支出訴訟費，且非顯無勝訴之望者，得向受訴行政法院聲請，以保護人民之訴訟權。</w:t>
      </w:r>
    </w:p>
    <w:p w:rsidR="00F956E8" w:rsidRPr="000B2A94" w:rsidRDefault="00F956E8" w:rsidP="000409E4">
      <w:pPr>
        <w:pStyle w:val="4"/>
        <w:rPr>
          <w:color w:val="000000" w:themeColor="text1"/>
        </w:rPr>
      </w:pPr>
      <w:r w:rsidRPr="000B2A94">
        <w:rPr>
          <w:color w:val="000000" w:themeColor="text1"/>
        </w:rPr>
        <w:t>司法院評估與對策﹕</w:t>
      </w:r>
    </w:p>
    <w:p w:rsidR="00F956E8" w:rsidRPr="000B2A94" w:rsidRDefault="00F956E8" w:rsidP="000409E4">
      <w:pPr>
        <w:pStyle w:val="5"/>
        <w:rPr>
          <w:color w:val="000000" w:themeColor="text1"/>
        </w:rPr>
      </w:pPr>
      <w:r w:rsidRPr="000B2A94">
        <w:rPr>
          <w:color w:val="000000" w:themeColor="text1"/>
        </w:rPr>
        <w:t>民事廳：已將專家證人制度部分，列為商業事件審理法草案研議之議題。</w:t>
      </w:r>
    </w:p>
    <w:p w:rsidR="00F956E8" w:rsidRPr="000B2A94" w:rsidRDefault="00F956E8" w:rsidP="000409E4">
      <w:pPr>
        <w:pStyle w:val="5"/>
        <w:rPr>
          <w:color w:val="000000" w:themeColor="text1"/>
        </w:rPr>
      </w:pPr>
      <w:r w:rsidRPr="000B2A94">
        <w:rPr>
          <w:color w:val="000000" w:themeColor="text1"/>
        </w:rPr>
        <w:t>刑事廳：司法院「刑事程序制度研議委員會」已將決議內容納入議題，並於107年7月16日召</w:t>
      </w:r>
      <w:r w:rsidRPr="000B2A94">
        <w:rPr>
          <w:color w:val="000000" w:themeColor="text1"/>
        </w:rPr>
        <w:lastRenderedPageBreak/>
        <w:t>開會議，就完善刑事鑑定制度等議題進行研議。</w:t>
      </w:r>
    </w:p>
    <w:p w:rsidR="00F956E8" w:rsidRPr="000B2A94" w:rsidRDefault="00F956E8" w:rsidP="000409E4">
      <w:pPr>
        <w:pStyle w:val="5"/>
        <w:rPr>
          <w:color w:val="000000" w:themeColor="text1"/>
        </w:rPr>
      </w:pPr>
      <w:r w:rsidRPr="000B2A94">
        <w:rPr>
          <w:color w:val="000000" w:themeColor="text1"/>
        </w:rPr>
        <w:t>行政訴訟及懲戒廳：為增進法院於裁判上認事用法之適當性、保護訴訟當事人之利益、提升國民對司法之信賴，研議修正行政訴訟法，引進專業領域之專家輔助審判，使訴訟得以迅速進行及妥適解決。</w:t>
      </w:r>
    </w:p>
    <w:p w:rsidR="00F956E8" w:rsidRPr="000B2A94" w:rsidRDefault="00F956E8" w:rsidP="000409E4">
      <w:pPr>
        <w:pStyle w:val="4"/>
        <w:rPr>
          <w:color w:val="000000" w:themeColor="text1"/>
        </w:rPr>
      </w:pPr>
      <w:r w:rsidRPr="000B2A94">
        <w:rPr>
          <w:color w:val="000000" w:themeColor="text1"/>
        </w:rPr>
        <w:t>進度﹕</w:t>
      </w:r>
    </w:p>
    <w:p w:rsidR="00F956E8" w:rsidRPr="000B2A94" w:rsidRDefault="00F956E8" w:rsidP="000409E4">
      <w:pPr>
        <w:pStyle w:val="5"/>
        <w:rPr>
          <w:color w:val="000000" w:themeColor="text1"/>
        </w:rPr>
      </w:pPr>
      <w:r w:rsidRPr="000B2A94">
        <w:rPr>
          <w:color w:val="000000" w:themeColor="text1"/>
        </w:rPr>
        <w:t>民事廳：106年下半年完成徵詢相關行政主管機關、商業界、公司法學者、商業訴訟實務專家等各界意見，供制定相關草案參考。預計於107年12月研議完成商業事件審理法草案供各界討論。預計於108年上半年完成商業事件審理法草案初稿，提請司法院院會通過後，函請立法院審議。</w:t>
      </w:r>
    </w:p>
    <w:p w:rsidR="00F956E8" w:rsidRPr="000B2A94" w:rsidRDefault="00F956E8" w:rsidP="000409E4">
      <w:pPr>
        <w:pStyle w:val="5"/>
        <w:rPr>
          <w:color w:val="000000" w:themeColor="text1"/>
        </w:rPr>
      </w:pPr>
      <w:r w:rsidRPr="000B2A94">
        <w:rPr>
          <w:color w:val="000000" w:themeColor="text1"/>
        </w:rPr>
        <w:t xml:space="preserve">行政訴訟及懲戒廳：行政訴訟法部分條文修正草案已於107年2月14日會商行政院，而為使各界瞭解修正草案之內容並廣納意見，並於107年3月2日召開「行政訴訟新制公聽會」，俾使修法更臻完備。該草案業經行政院於107年3月19日函復同意在案，該草案業經行政院於107年3月19日函復同意在案，於檢視各界意見後，提送司法院107年6月26日院會討論通過，將於近期函請立法院審議。 </w:t>
      </w:r>
    </w:p>
    <w:p w:rsidR="00F956E8" w:rsidRPr="000B2A94" w:rsidRDefault="00F956E8" w:rsidP="000409E4">
      <w:pPr>
        <w:pStyle w:val="5"/>
        <w:rPr>
          <w:color w:val="000000" w:themeColor="text1"/>
        </w:rPr>
      </w:pPr>
      <w:r w:rsidRPr="000B2A94">
        <w:rPr>
          <w:color w:val="000000" w:themeColor="text1"/>
        </w:rPr>
        <w:t>刑事廳：於107年7月16日召開會議，就完善刑事鑑定制度等議題進行研議。</w:t>
      </w:r>
    </w:p>
    <w:p w:rsidR="00F956E8" w:rsidRPr="000B2A94" w:rsidRDefault="00F956E8" w:rsidP="000409E4">
      <w:pPr>
        <w:pStyle w:val="3"/>
        <w:rPr>
          <w:color w:val="000000" w:themeColor="text1"/>
        </w:rPr>
      </w:pPr>
      <w:bookmarkStart w:id="198" w:name="_Toc27399830"/>
      <w:bookmarkStart w:id="199" w:name="_Toc28606611"/>
      <w:r w:rsidRPr="000B2A94">
        <w:rPr>
          <w:color w:val="000000" w:themeColor="text1"/>
        </w:rPr>
        <w:t>決議序號13-3</w:t>
      </w:r>
      <w:bookmarkEnd w:id="198"/>
      <w:bookmarkEnd w:id="199"/>
    </w:p>
    <w:p w:rsidR="00F956E8" w:rsidRPr="000B2A94" w:rsidRDefault="00F956E8" w:rsidP="000409E4">
      <w:pPr>
        <w:pStyle w:val="4"/>
        <w:rPr>
          <w:color w:val="000000" w:themeColor="text1"/>
        </w:rPr>
      </w:pPr>
      <w:r w:rsidRPr="000B2A94">
        <w:rPr>
          <w:color w:val="000000" w:themeColor="text1"/>
        </w:rPr>
        <w:t>決議內容﹕</w:t>
      </w:r>
    </w:p>
    <w:p w:rsidR="00F956E8" w:rsidRPr="000B2A94" w:rsidRDefault="00F956E8" w:rsidP="000409E4">
      <w:pPr>
        <w:pStyle w:val="42"/>
        <w:ind w:left="1701" w:firstLine="680"/>
        <w:rPr>
          <w:color w:val="000000" w:themeColor="text1"/>
        </w:rPr>
      </w:pPr>
      <w:r w:rsidRPr="000B2A94">
        <w:rPr>
          <w:color w:val="000000" w:themeColor="text1"/>
        </w:rPr>
        <w:t>關於測謊證據的施測標準流程及其證據能力問題，應於前開決議事項之司法科學委員會及證據法專法一併檢討之。在司法科學委員會成立及</w:t>
      </w:r>
      <w:r w:rsidRPr="000B2A94">
        <w:rPr>
          <w:color w:val="000000" w:themeColor="text1"/>
        </w:rPr>
        <w:lastRenderedPageBreak/>
        <w:t>證據法專法制定前，測謊證據之施測及其證據適格性，應審慎考量。</w:t>
      </w:r>
    </w:p>
    <w:p w:rsidR="00F956E8" w:rsidRPr="000B2A94" w:rsidRDefault="00F956E8" w:rsidP="000409E4">
      <w:pPr>
        <w:pStyle w:val="4"/>
        <w:rPr>
          <w:color w:val="000000" w:themeColor="text1"/>
        </w:rPr>
      </w:pPr>
      <w:r w:rsidRPr="000B2A94">
        <w:rPr>
          <w:color w:val="000000" w:themeColor="text1"/>
        </w:rPr>
        <w:t>問題與背景﹕</w:t>
      </w:r>
    </w:p>
    <w:p w:rsidR="00F956E8" w:rsidRPr="000B2A94" w:rsidRDefault="00F956E8" w:rsidP="00F956E8">
      <w:pPr>
        <w:pStyle w:val="42"/>
        <w:ind w:left="1701" w:firstLine="680"/>
        <w:rPr>
          <w:rFonts w:ascii="Times New Roman"/>
          <w:color w:val="000000" w:themeColor="text1"/>
        </w:rPr>
      </w:pPr>
      <w:r w:rsidRPr="000B2A94">
        <w:rPr>
          <w:rFonts w:ascii="Times New Roman"/>
          <w:color w:val="000000" w:themeColor="text1"/>
        </w:rPr>
        <w:t>現行機關鑑定多係由法官或檢察官囑託專業機關為之，但因各專業機關對於同樣的鑑定項目</w:t>
      </w:r>
      <w:r w:rsidR="00671570" w:rsidRPr="000B2A94">
        <w:rPr>
          <w:rFonts w:ascii="Times New Roman" w:hint="eastAsia"/>
          <w:color w:val="000000" w:themeColor="text1"/>
        </w:rPr>
        <w:t>（</w:t>
      </w:r>
      <w:r w:rsidRPr="000B2A94">
        <w:rPr>
          <w:rFonts w:ascii="Times New Roman"/>
          <w:color w:val="000000" w:themeColor="text1"/>
        </w:rPr>
        <w:t>如測謊</w:t>
      </w:r>
      <w:r w:rsidR="00671570" w:rsidRPr="000B2A94">
        <w:rPr>
          <w:rFonts w:ascii="Times New Roman" w:hint="eastAsia"/>
          <w:color w:val="000000" w:themeColor="text1"/>
        </w:rPr>
        <w:t>）</w:t>
      </w:r>
      <w:r w:rsidRPr="000B2A94">
        <w:rPr>
          <w:rFonts w:ascii="Times New Roman"/>
          <w:color w:val="000000" w:themeColor="text1"/>
        </w:rPr>
        <w:t>，可能並沒有相同的標準作業流程，使得法官只能依照各該鑑定機關自行訂定的內部作業規定，而不是一般公認的標準作業流程，來檢視鑑定結果是否可以採信，如此，難免仍會遭到質疑這樣的鑑定流程是否符合該科學領域所普遍能夠接受的標準。因此，是否就各個專業領域，建立其鑑定準則與標準程序以供遵循及檢視，容有討論之必要。</w:t>
      </w:r>
    </w:p>
    <w:p w:rsidR="00F956E8" w:rsidRPr="000B2A94" w:rsidRDefault="00F956E8" w:rsidP="000409E4">
      <w:pPr>
        <w:pStyle w:val="4"/>
        <w:rPr>
          <w:color w:val="000000" w:themeColor="text1"/>
        </w:rPr>
      </w:pPr>
      <w:r w:rsidRPr="000B2A94">
        <w:rPr>
          <w:color w:val="000000" w:themeColor="text1"/>
        </w:rPr>
        <w:t>司法院評估與對策﹕</w:t>
      </w:r>
    </w:p>
    <w:p w:rsidR="00F956E8" w:rsidRPr="000B2A94" w:rsidRDefault="00F956E8" w:rsidP="00F956E8">
      <w:pPr>
        <w:pStyle w:val="42"/>
        <w:ind w:left="1701" w:firstLine="680"/>
        <w:rPr>
          <w:rFonts w:ascii="Times New Roman"/>
          <w:b/>
          <w:color w:val="000000" w:themeColor="text1"/>
        </w:rPr>
      </w:pPr>
      <w:r w:rsidRPr="000B2A94">
        <w:rPr>
          <w:rFonts w:ascii="Times New Roman"/>
          <w:color w:val="000000" w:themeColor="text1"/>
        </w:rPr>
        <w:t>法院係依據證據判斷事實，不宜參與證據如何形成之程序。</w:t>
      </w:r>
    </w:p>
    <w:p w:rsidR="00F956E8" w:rsidRPr="000B2A94" w:rsidRDefault="00F956E8" w:rsidP="00F956E8">
      <w:pPr>
        <w:pStyle w:val="2"/>
        <w:numPr>
          <w:ilvl w:val="1"/>
          <w:numId w:val="1"/>
        </w:numPr>
        <w:kinsoku w:val="0"/>
        <w:overflowPunct/>
        <w:autoSpaceDE/>
        <w:autoSpaceDN/>
        <w:ind w:left="1123" w:hanging="697"/>
        <w:rPr>
          <w:rFonts w:ascii="Times New Roman" w:hAnsi="Times New Roman"/>
          <w:color w:val="000000" w:themeColor="text1"/>
        </w:rPr>
      </w:pPr>
      <w:bookmarkStart w:id="200" w:name="_Toc28606806"/>
      <w:r w:rsidRPr="000B2A94">
        <w:rPr>
          <w:rFonts w:ascii="Times New Roman" w:hAnsi="Times New Roman"/>
          <w:b/>
          <w:color w:val="000000" w:themeColor="text1"/>
        </w:rPr>
        <w:t>司法改革會議各方對於「設國家級鑑識單位」之意見彙整</w:t>
      </w:r>
      <w:r w:rsidRPr="000B2A94">
        <w:rPr>
          <w:rStyle w:val="aff1"/>
          <w:rFonts w:ascii="Times New Roman" w:hAnsi="Times New Roman"/>
          <w:color w:val="000000" w:themeColor="text1"/>
        </w:rPr>
        <w:footnoteReference w:id="2"/>
      </w:r>
      <w:bookmarkEnd w:id="200"/>
    </w:p>
    <w:p w:rsidR="00671570" w:rsidRPr="000B2A94" w:rsidRDefault="00671570" w:rsidP="00671570">
      <w:pPr>
        <w:pStyle w:val="a4"/>
        <w:jc w:val="center"/>
        <w:rPr>
          <w:b/>
          <w:color w:val="000000" w:themeColor="text1"/>
        </w:rPr>
      </w:pPr>
      <w:bookmarkStart w:id="201" w:name="_Toc27412328"/>
      <w:r w:rsidRPr="000B2A94">
        <w:rPr>
          <w:rFonts w:ascii="Times New Roman" w:hAnsi="Times New Roman"/>
          <w:b/>
          <w:color w:val="000000" w:themeColor="text1"/>
        </w:rPr>
        <w:t>司法改革會議各方對於「設國家級鑑識單位」之意見彙整</w:t>
      </w:r>
      <w:r w:rsidRPr="000B2A94">
        <w:rPr>
          <w:rFonts w:ascii="Times New Roman" w:hAnsi="Times New Roman" w:hint="eastAsia"/>
          <w:b/>
          <w:color w:val="000000" w:themeColor="text1"/>
        </w:rPr>
        <w:t>表</w:t>
      </w:r>
      <w:bookmarkEnd w:id="2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8"/>
        <w:gridCol w:w="5867"/>
      </w:tblGrid>
      <w:tr w:rsidR="000B2A94" w:rsidRPr="000B2A94" w:rsidTr="00671570">
        <w:tc>
          <w:tcPr>
            <w:tcW w:w="880" w:type="pct"/>
            <w:shd w:val="clear" w:color="auto" w:fill="auto"/>
            <w:vAlign w:val="center"/>
            <w:hideMark/>
          </w:tcPr>
          <w:p w:rsidR="00F956E8" w:rsidRPr="000B2A94" w:rsidRDefault="00F956E8" w:rsidP="00671570">
            <w:pPr>
              <w:jc w:val="center"/>
              <w:rPr>
                <w:color w:val="000000" w:themeColor="text1"/>
                <w:sz w:val="28"/>
                <w:szCs w:val="28"/>
              </w:rPr>
            </w:pPr>
            <w:r w:rsidRPr="000B2A94">
              <w:rPr>
                <w:color w:val="000000" w:themeColor="text1"/>
                <w:sz w:val="28"/>
                <w:szCs w:val="28"/>
              </w:rPr>
              <w:t>方案</w:t>
            </w:r>
          </w:p>
        </w:tc>
        <w:tc>
          <w:tcPr>
            <w:tcW w:w="882" w:type="pct"/>
            <w:shd w:val="clear" w:color="auto" w:fill="auto"/>
            <w:hideMark/>
          </w:tcPr>
          <w:p w:rsidR="00F956E8" w:rsidRPr="000B2A94" w:rsidRDefault="00F956E8" w:rsidP="00671570">
            <w:pPr>
              <w:jc w:val="center"/>
              <w:rPr>
                <w:color w:val="000000" w:themeColor="text1"/>
                <w:sz w:val="28"/>
                <w:szCs w:val="28"/>
              </w:rPr>
            </w:pPr>
            <w:r w:rsidRPr="000B2A94">
              <w:rPr>
                <w:color w:val="000000" w:themeColor="text1"/>
                <w:sz w:val="28"/>
                <w:szCs w:val="28"/>
              </w:rPr>
              <w:t>提案方</w:t>
            </w:r>
          </w:p>
        </w:tc>
        <w:tc>
          <w:tcPr>
            <w:tcW w:w="3238" w:type="pct"/>
            <w:shd w:val="clear" w:color="auto" w:fill="auto"/>
            <w:vAlign w:val="center"/>
            <w:hideMark/>
          </w:tcPr>
          <w:p w:rsidR="00F956E8" w:rsidRPr="000B2A94" w:rsidRDefault="00F956E8" w:rsidP="00671570">
            <w:pPr>
              <w:jc w:val="center"/>
              <w:rPr>
                <w:color w:val="000000" w:themeColor="text1"/>
                <w:sz w:val="28"/>
                <w:szCs w:val="28"/>
              </w:rPr>
            </w:pPr>
            <w:r w:rsidRPr="000B2A94">
              <w:rPr>
                <w:color w:val="000000" w:themeColor="text1"/>
                <w:sz w:val="28"/>
                <w:szCs w:val="28"/>
              </w:rPr>
              <w:t>意見</w:t>
            </w:r>
          </w:p>
        </w:tc>
      </w:tr>
      <w:tr w:rsidR="000B2A94" w:rsidRPr="000B2A94" w:rsidTr="00671570">
        <w:tc>
          <w:tcPr>
            <w:tcW w:w="880" w:type="pct"/>
            <w:shd w:val="clear" w:color="auto" w:fill="auto"/>
            <w:hideMark/>
          </w:tcPr>
          <w:p w:rsidR="00F956E8" w:rsidRPr="000B2A94" w:rsidRDefault="00F956E8" w:rsidP="000409E4">
            <w:pPr>
              <w:ind w:rightChars="-31" w:right="-105"/>
              <w:jc w:val="left"/>
              <w:rPr>
                <w:color w:val="000000" w:themeColor="text1"/>
                <w:sz w:val="28"/>
                <w:szCs w:val="28"/>
              </w:rPr>
            </w:pPr>
            <w:r w:rsidRPr="000B2A94">
              <w:rPr>
                <w:color w:val="000000" w:themeColor="text1"/>
                <w:sz w:val="28"/>
                <w:szCs w:val="28"/>
              </w:rPr>
              <w:t>成立</w:t>
            </w:r>
            <w:r w:rsidRPr="000B2A94">
              <w:rPr>
                <w:bCs/>
                <w:color w:val="000000" w:themeColor="text1"/>
                <w:sz w:val="28"/>
                <w:szCs w:val="28"/>
              </w:rPr>
              <w:t>統一性</w:t>
            </w:r>
            <w:r w:rsidRPr="000B2A94">
              <w:rPr>
                <w:color w:val="000000" w:themeColor="text1"/>
                <w:sz w:val="28"/>
                <w:szCs w:val="28"/>
              </w:rPr>
              <w:t>的國家鑑識機構</w:t>
            </w:r>
          </w:p>
        </w:tc>
        <w:tc>
          <w:tcPr>
            <w:tcW w:w="882" w:type="pct"/>
            <w:shd w:val="clear" w:color="auto" w:fill="auto"/>
            <w:hideMark/>
          </w:tcPr>
          <w:p w:rsidR="00F956E8" w:rsidRPr="000B2A94" w:rsidRDefault="00F956E8" w:rsidP="00671570">
            <w:pPr>
              <w:jc w:val="center"/>
              <w:rPr>
                <w:color w:val="000000" w:themeColor="text1"/>
                <w:sz w:val="28"/>
                <w:szCs w:val="28"/>
              </w:rPr>
            </w:pPr>
            <w:r w:rsidRPr="000B2A94">
              <w:rPr>
                <w:color w:val="000000" w:themeColor="text1"/>
                <w:sz w:val="28"/>
                <w:szCs w:val="28"/>
              </w:rPr>
              <w:t>司法院</w:t>
            </w:r>
          </w:p>
        </w:tc>
        <w:tc>
          <w:tcPr>
            <w:tcW w:w="3238" w:type="pct"/>
            <w:shd w:val="clear" w:color="auto" w:fill="auto"/>
            <w:hideMark/>
          </w:tcPr>
          <w:p w:rsidR="00F956E8" w:rsidRPr="000B2A94" w:rsidRDefault="00F956E8" w:rsidP="000409E4">
            <w:pPr>
              <w:pStyle w:val="afa"/>
              <w:numPr>
                <w:ilvl w:val="0"/>
                <w:numId w:val="13"/>
              </w:numPr>
              <w:overflowPunct/>
              <w:autoSpaceDE/>
              <w:autoSpaceDN/>
              <w:ind w:leftChars="0"/>
              <w:jc w:val="left"/>
              <w:rPr>
                <w:color w:val="000000" w:themeColor="text1"/>
                <w:sz w:val="28"/>
                <w:szCs w:val="28"/>
              </w:rPr>
            </w:pPr>
            <w:r w:rsidRPr="000B2A94">
              <w:rPr>
                <w:color w:val="000000" w:themeColor="text1"/>
                <w:sz w:val="28"/>
                <w:szCs w:val="28"/>
              </w:rPr>
              <w:t>目前從事鑑識工作之機關，事權未能專一，功能亦有重疊之處，鑑定作業流程與標準也可能不同，且由警察機關內部的鑑識單位技術人員實施鑑定，也引發鑑定中立公正性的質疑。</w:t>
            </w:r>
          </w:p>
          <w:p w:rsidR="00F956E8" w:rsidRPr="000B2A94" w:rsidRDefault="00F956E8" w:rsidP="000409E4">
            <w:pPr>
              <w:pStyle w:val="afa"/>
              <w:numPr>
                <w:ilvl w:val="0"/>
                <w:numId w:val="13"/>
              </w:numPr>
              <w:overflowPunct/>
              <w:autoSpaceDE/>
              <w:autoSpaceDN/>
              <w:ind w:leftChars="0"/>
              <w:jc w:val="left"/>
              <w:rPr>
                <w:color w:val="000000" w:themeColor="text1"/>
                <w:sz w:val="28"/>
                <w:szCs w:val="28"/>
              </w:rPr>
            </w:pPr>
            <w:r w:rsidRPr="000B2A94">
              <w:rPr>
                <w:color w:val="000000" w:themeColor="text1"/>
                <w:sz w:val="28"/>
                <w:szCs w:val="28"/>
              </w:rPr>
              <w:t>可整合各鑑識單位，就其人事組織、經費等獨立於偵查機關之外，成立獨立的專業鑑識機構。也可考慮以財團法人的形式設置，以配合建立鑑定收費制度。</w:t>
            </w:r>
          </w:p>
          <w:p w:rsidR="00F956E8" w:rsidRPr="000B2A94" w:rsidRDefault="00F956E8" w:rsidP="000409E4">
            <w:pPr>
              <w:pStyle w:val="afa"/>
              <w:numPr>
                <w:ilvl w:val="0"/>
                <w:numId w:val="13"/>
              </w:numPr>
              <w:overflowPunct/>
              <w:autoSpaceDE/>
              <w:autoSpaceDN/>
              <w:ind w:leftChars="0"/>
              <w:jc w:val="left"/>
              <w:rPr>
                <w:color w:val="000000" w:themeColor="text1"/>
                <w:sz w:val="28"/>
                <w:szCs w:val="28"/>
              </w:rPr>
            </w:pPr>
            <w:r w:rsidRPr="000B2A94">
              <w:rPr>
                <w:color w:val="000000" w:themeColor="text1"/>
                <w:sz w:val="28"/>
                <w:szCs w:val="28"/>
              </w:rPr>
              <w:lastRenderedPageBreak/>
              <w:t>在前述建議落實之前，至少也應該由各鑑識單位依循一定之機制（如定期或不定期開會研商，或共同成立研究學會等），就各項科學鑑識領域，發展統一的鑑識作業流程與鑑識標準。</w:t>
            </w:r>
          </w:p>
        </w:tc>
      </w:tr>
      <w:tr w:rsidR="000B2A94" w:rsidRPr="000B2A94" w:rsidTr="00671570">
        <w:tc>
          <w:tcPr>
            <w:tcW w:w="880" w:type="pct"/>
            <w:shd w:val="clear" w:color="auto" w:fill="auto"/>
            <w:hideMark/>
          </w:tcPr>
          <w:p w:rsidR="00F956E8" w:rsidRPr="000B2A94" w:rsidRDefault="00F956E8" w:rsidP="00F956E8">
            <w:pPr>
              <w:ind w:rightChars="-31" w:right="-105"/>
              <w:rPr>
                <w:color w:val="000000" w:themeColor="text1"/>
                <w:sz w:val="28"/>
                <w:szCs w:val="28"/>
              </w:rPr>
            </w:pPr>
            <w:r w:rsidRPr="000B2A94">
              <w:rPr>
                <w:color w:val="000000" w:themeColor="text1"/>
                <w:sz w:val="28"/>
                <w:szCs w:val="28"/>
              </w:rPr>
              <w:lastRenderedPageBreak/>
              <w:t>反對設置統一性的國家級司法科學組織，建議設立鑑定「</w:t>
            </w:r>
            <w:r w:rsidRPr="000B2A94">
              <w:rPr>
                <w:bCs/>
                <w:color w:val="000000" w:themeColor="text1"/>
                <w:sz w:val="28"/>
                <w:szCs w:val="28"/>
              </w:rPr>
              <w:t>覆議機制</w:t>
            </w:r>
            <w:r w:rsidRPr="000B2A94">
              <w:rPr>
                <w:color w:val="000000" w:themeColor="text1"/>
                <w:sz w:val="28"/>
                <w:szCs w:val="28"/>
              </w:rPr>
              <w:t>」</w:t>
            </w:r>
          </w:p>
        </w:tc>
        <w:tc>
          <w:tcPr>
            <w:tcW w:w="882" w:type="pct"/>
            <w:shd w:val="clear" w:color="auto" w:fill="auto"/>
            <w:hideMark/>
          </w:tcPr>
          <w:p w:rsidR="00671570" w:rsidRPr="000B2A94" w:rsidRDefault="00F956E8" w:rsidP="00F956E8">
            <w:pPr>
              <w:ind w:rightChars="-31" w:right="-105"/>
              <w:rPr>
                <w:color w:val="000000" w:themeColor="text1"/>
                <w:sz w:val="28"/>
                <w:szCs w:val="28"/>
              </w:rPr>
            </w:pPr>
            <w:r w:rsidRPr="000B2A94">
              <w:rPr>
                <w:color w:val="000000" w:themeColor="text1"/>
                <w:sz w:val="28"/>
                <w:szCs w:val="28"/>
              </w:rPr>
              <w:t>法務部、</w:t>
            </w:r>
          </w:p>
          <w:p w:rsidR="00F956E8" w:rsidRPr="000B2A94" w:rsidRDefault="00F956E8" w:rsidP="00F956E8">
            <w:pPr>
              <w:ind w:rightChars="-31" w:right="-105"/>
              <w:rPr>
                <w:color w:val="000000" w:themeColor="text1"/>
                <w:sz w:val="28"/>
                <w:szCs w:val="28"/>
              </w:rPr>
            </w:pPr>
            <w:r w:rsidRPr="000B2A94">
              <w:rPr>
                <w:color w:val="000000" w:themeColor="text1"/>
                <w:sz w:val="28"/>
                <w:szCs w:val="28"/>
              </w:rPr>
              <w:t>刑事警察局</w:t>
            </w:r>
          </w:p>
        </w:tc>
        <w:tc>
          <w:tcPr>
            <w:tcW w:w="3238" w:type="pct"/>
            <w:shd w:val="clear" w:color="auto" w:fill="auto"/>
            <w:hideMark/>
          </w:tcPr>
          <w:p w:rsidR="00F956E8" w:rsidRPr="000B2A94" w:rsidRDefault="00F956E8" w:rsidP="00F956E8">
            <w:pPr>
              <w:rPr>
                <w:b/>
                <w:color w:val="000000" w:themeColor="text1"/>
                <w:sz w:val="28"/>
                <w:szCs w:val="28"/>
              </w:rPr>
            </w:pPr>
            <w:r w:rsidRPr="000B2A94">
              <w:rPr>
                <w:b/>
                <w:color w:val="000000" w:themeColor="text1"/>
                <w:sz w:val="28"/>
                <w:szCs w:val="28"/>
              </w:rPr>
              <w:t>法務部：</w:t>
            </w:r>
          </w:p>
          <w:p w:rsidR="00F956E8" w:rsidRPr="000B2A94" w:rsidRDefault="00F956E8" w:rsidP="000409E4">
            <w:pPr>
              <w:pStyle w:val="afa"/>
              <w:numPr>
                <w:ilvl w:val="0"/>
                <w:numId w:val="14"/>
              </w:numPr>
              <w:overflowPunct/>
              <w:autoSpaceDE/>
              <w:autoSpaceDN/>
              <w:ind w:leftChars="0"/>
              <w:jc w:val="left"/>
              <w:rPr>
                <w:color w:val="000000" w:themeColor="text1"/>
                <w:sz w:val="28"/>
                <w:szCs w:val="28"/>
              </w:rPr>
            </w:pPr>
            <w:r w:rsidRPr="000B2A94">
              <w:rPr>
                <w:color w:val="000000" w:themeColor="text1"/>
                <w:sz w:val="28"/>
                <w:szCs w:val="28"/>
              </w:rPr>
              <w:t>整併機構，無法達到整合鑑識資源的效果</w:t>
            </w:r>
          </w:p>
          <w:p w:rsidR="00F956E8" w:rsidRPr="000B2A94" w:rsidRDefault="00F956E8" w:rsidP="000409E4">
            <w:pPr>
              <w:pStyle w:val="afa"/>
              <w:numPr>
                <w:ilvl w:val="0"/>
                <w:numId w:val="14"/>
              </w:numPr>
              <w:overflowPunct/>
              <w:autoSpaceDE/>
              <w:autoSpaceDN/>
              <w:ind w:leftChars="0"/>
              <w:jc w:val="left"/>
              <w:rPr>
                <w:color w:val="000000" w:themeColor="text1"/>
                <w:sz w:val="28"/>
                <w:szCs w:val="28"/>
              </w:rPr>
            </w:pPr>
            <w:r w:rsidRPr="000B2A94">
              <w:rPr>
                <w:color w:val="000000" w:themeColor="text1"/>
                <w:sz w:val="28"/>
                <w:szCs w:val="28"/>
              </w:rPr>
              <w:t>鑑定種類繁多，單一機關（構）無法完成龐大鑑定業務</w:t>
            </w:r>
          </w:p>
          <w:p w:rsidR="00F956E8" w:rsidRPr="000B2A94" w:rsidRDefault="00F956E8" w:rsidP="000409E4">
            <w:pPr>
              <w:pStyle w:val="afa"/>
              <w:numPr>
                <w:ilvl w:val="0"/>
                <w:numId w:val="14"/>
              </w:numPr>
              <w:overflowPunct/>
              <w:autoSpaceDE/>
              <w:autoSpaceDN/>
              <w:ind w:leftChars="0"/>
              <w:jc w:val="left"/>
              <w:rPr>
                <w:color w:val="000000" w:themeColor="text1"/>
                <w:sz w:val="28"/>
                <w:szCs w:val="28"/>
              </w:rPr>
            </w:pPr>
            <w:r w:rsidRPr="000B2A94">
              <w:rPr>
                <w:color w:val="000000" w:themeColor="text1"/>
                <w:sz w:val="28"/>
                <w:szCs w:val="28"/>
              </w:rPr>
              <w:t>機關整編與人事調整存有難以克服之困難</w:t>
            </w:r>
          </w:p>
          <w:p w:rsidR="00F956E8" w:rsidRPr="000B2A94" w:rsidRDefault="00F956E8" w:rsidP="000409E4">
            <w:pPr>
              <w:pStyle w:val="afa"/>
              <w:numPr>
                <w:ilvl w:val="0"/>
                <w:numId w:val="14"/>
              </w:numPr>
              <w:overflowPunct/>
              <w:autoSpaceDE/>
              <w:autoSpaceDN/>
              <w:ind w:leftChars="0"/>
              <w:jc w:val="left"/>
              <w:rPr>
                <w:color w:val="000000" w:themeColor="text1"/>
                <w:sz w:val="28"/>
                <w:szCs w:val="28"/>
              </w:rPr>
            </w:pPr>
            <w:r w:rsidRPr="000B2A94">
              <w:rPr>
                <w:color w:val="000000" w:themeColor="text1"/>
                <w:sz w:val="28"/>
                <w:szCs w:val="28"/>
              </w:rPr>
              <w:t>鑑識科學領域不斷發展躍進，單一機關（構）無法辦理日新月異不同類別之鑑定項目</w:t>
            </w:r>
          </w:p>
          <w:p w:rsidR="00F956E8" w:rsidRPr="000B2A94" w:rsidRDefault="00F956E8" w:rsidP="000409E4">
            <w:pPr>
              <w:pStyle w:val="afa"/>
              <w:numPr>
                <w:ilvl w:val="0"/>
                <w:numId w:val="14"/>
              </w:numPr>
              <w:overflowPunct/>
              <w:autoSpaceDE/>
              <w:autoSpaceDN/>
              <w:ind w:leftChars="0"/>
              <w:jc w:val="left"/>
              <w:rPr>
                <w:color w:val="000000" w:themeColor="text1"/>
                <w:sz w:val="28"/>
                <w:szCs w:val="28"/>
              </w:rPr>
            </w:pPr>
            <w:r w:rsidRPr="000B2A94">
              <w:rPr>
                <w:color w:val="000000" w:themeColor="text1"/>
                <w:sz w:val="28"/>
                <w:szCs w:val="28"/>
              </w:rPr>
              <w:t>單一機構無法達相互印證之效果</w:t>
            </w:r>
          </w:p>
          <w:p w:rsidR="00F956E8" w:rsidRPr="000B2A94" w:rsidRDefault="00F956E8" w:rsidP="000409E4">
            <w:pPr>
              <w:pStyle w:val="afa"/>
              <w:numPr>
                <w:ilvl w:val="0"/>
                <w:numId w:val="14"/>
              </w:numPr>
              <w:overflowPunct/>
              <w:autoSpaceDE/>
              <w:autoSpaceDN/>
              <w:ind w:leftChars="0"/>
              <w:jc w:val="left"/>
              <w:rPr>
                <w:color w:val="000000" w:themeColor="text1"/>
                <w:sz w:val="28"/>
                <w:szCs w:val="28"/>
              </w:rPr>
            </w:pPr>
            <w:r w:rsidRPr="000B2A94">
              <w:rPr>
                <w:color w:val="000000" w:themeColor="text1"/>
                <w:sz w:val="28"/>
                <w:szCs w:val="28"/>
              </w:rPr>
              <w:t>世界各國國家鑑識機關（構）均非採單一機關（構）制</w:t>
            </w:r>
          </w:p>
          <w:p w:rsidR="00F956E8" w:rsidRPr="000B2A94" w:rsidRDefault="00F956E8" w:rsidP="000409E4">
            <w:pPr>
              <w:pStyle w:val="afa"/>
              <w:numPr>
                <w:ilvl w:val="0"/>
                <w:numId w:val="14"/>
              </w:numPr>
              <w:overflowPunct/>
              <w:autoSpaceDE/>
              <w:autoSpaceDN/>
              <w:ind w:leftChars="0"/>
              <w:jc w:val="left"/>
              <w:rPr>
                <w:color w:val="000000" w:themeColor="text1"/>
                <w:sz w:val="28"/>
                <w:szCs w:val="28"/>
              </w:rPr>
            </w:pPr>
            <w:r w:rsidRPr="000B2A94">
              <w:rPr>
                <w:color w:val="000000" w:themeColor="text1"/>
                <w:sz w:val="28"/>
                <w:szCs w:val="28"/>
              </w:rPr>
              <w:t>可朝建置「覆議機制」方向思考，於必要時接受司法個案「覆議」之委託</w:t>
            </w:r>
          </w:p>
          <w:p w:rsidR="00F956E8" w:rsidRPr="000B2A94" w:rsidRDefault="00F956E8" w:rsidP="00F956E8">
            <w:pPr>
              <w:rPr>
                <w:b/>
                <w:color w:val="000000" w:themeColor="text1"/>
                <w:sz w:val="28"/>
                <w:szCs w:val="28"/>
              </w:rPr>
            </w:pPr>
            <w:r w:rsidRPr="000B2A94">
              <w:rPr>
                <w:b/>
                <w:color w:val="000000" w:themeColor="text1"/>
                <w:sz w:val="28"/>
                <w:szCs w:val="28"/>
              </w:rPr>
              <w:t>刑事警察局：</w:t>
            </w:r>
          </w:p>
          <w:p w:rsidR="00F956E8" w:rsidRPr="000B2A94" w:rsidRDefault="00F956E8" w:rsidP="000409E4">
            <w:pPr>
              <w:pStyle w:val="afa"/>
              <w:numPr>
                <w:ilvl w:val="0"/>
                <w:numId w:val="15"/>
              </w:numPr>
              <w:overflowPunct/>
              <w:autoSpaceDE/>
              <w:autoSpaceDN/>
              <w:ind w:leftChars="0"/>
              <w:jc w:val="left"/>
              <w:rPr>
                <w:color w:val="000000" w:themeColor="text1"/>
                <w:sz w:val="28"/>
                <w:szCs w:val="28"/>
              </w:rPr>
            </w:pPr>
            <w:r w:rsidRPr="000B2A94">
              <w:rPr>
                <w:color w:val="000000" w:themeColor="text1"/>
                <w:sz w:val="28"/>
                <w:szCs w:val="28"/>
              </w:rPr>
              <w:t>鑑識人力與設備設施不宜轉移或整合為其他非警政機關。</w:t>
            </w:r>
          </w:p>
          <w:p w:rsidR="00F956E8" w:rsidRPr="000B2A94" w:rsidRDefault="00F956E8" w:rsidP="000409E4">
            <w:pPr>
              <w:pStyle w:val="afa"/>
              <w:numPr>
                <w:ilvl w:val="0"/>
                <w:numId w:val="15"/>
              </w:numPr>
              <w:overflowPunct/>
              <w:autoSpaceDE/>
              <w:autoSpaceDN/>
              <w:ind w:leftChars="0"/>
              <w:jc w:val="left"/>
              <w:rPr>
                <w:color w:val="000000" w:themeColor="text1"/>
                <w:sz w:val="28"/>
                <w:szCs w:val="28"/>
              </w:rPr>
            </w:pPr>
            <w:r w:rsidRPr="000B2A94">
              <w:rPr>
                <w:color w:val="000000" w:themeColor="text1"/>
                <w:sz w:val="28"/>
                <w:szCs w:val="28"/>
              </w:rPr>
              <w:t>警政系統以外之鑑識單位各有其機關組織任務，平時各自運作，若有重大事件，以互相合作支援之模式進行。</w:t>
            </w:r>
          </w:p>
          <w:p w:rsidR="00F956E8" w:rsidRPr="000B2A94" w:rsidRDefault="00F956E8" w:rsidP="000409E4">
            <w:pPr>
              <w:pStyle w:val="afa"/>
              <w:numPr>
                <w:ilvl w:val="0"/>
                <w:numId w:val="15"/>
              </w:numPr>
              <w:overflowPunct/>
              <w:autoSpaceDE/>
              <w:autoSpaceDN/>
              <w:ind w:leftChars="0"/>
              <w:jc w:val="left"/>
              <w:rPr>
                <w:color w:val="000000" w:themeColor="text1"/>
                <w:sz w:val="28"/>
                <w:szCs w:val="28"/>
              </w:rPr>
            </w:pPr>
            <w:r w:rsidRPr="000B2A94">
              <w:rPr>
                <w:color w:val="000000" w:themeColor="text1"/>
                <w:sz w:val="28"/>
                <w:szCs w:val="28"/>
              </w:rPr>
              <w:t xml:space="preserve">對於鑑定結果，院檢若認有必要，可請原鑑定單位再鑑定或送其他機關；過程若發現不同鑑識單位間有爭議性或重大不一致之鑑定結果，似可透過「委員會審核」機制釐清爭議。 </w:t>
            </w:r>
          </w:p>
        </w:tc>
      </w:tr>
      <w:tr w:rsidR="000B2A94" w:rsidRPr="000B2A94" w:rsidTr="00671570">
        <w:tc>
          <w:tcPr>
            <w:tcW w:w="880" w:type="pct"/>
            <w:shd w:val="clear" w:color="auto" w:fill="auto"/>
            <w:hideMark/>
          </w:tcPr>
          <w:p w:rsidR="00F956E8" w:rsidRPr="000B2A94" w:rsidRDefault="00F956E8" w:rsidP="00F956E8">
            <w:pPr>
              <w:ind w:rightChars="-30" w:right="-102"/>
              <w:rPr>
                <w:color w:val="000000" w:themeColor="text1"/>
                <w:sz w:val="28"/>
                <w:szCs w:val="28"/>
              </w:rPr>
            </w:pPr>
            <w:r w:rsidRPr="000B2A94">
              <w:rPr>
                <w:color w:val="000000" w:themeColor="text1"/>
                <w:sz w:val="28"/>
                <w:szCs w:val="28"/>
              </w:rPr>
              <w:t>成立國家級司法科學組織</w:t>
            </w:r>
          </w:p>
        </w:tc>
        <w:tc>
          <w:tcPr>
            <w:tcW w:w="882" w:type="pct"/>
            <w:shd w:val="clear" w:color="auto" w:fill="auto"/>
            <w:hideMark/>
          </w:tcPr>
          <w:p w:rsidR="00F956E8" w:rsidRPr="000B2A94" w:rsidRDefault="00F956E8" w:rsidP="00671570">
            <w:pPr>
              <w:rPr>
                <w:color w:val="000000" w:themeColor="text1"/>
                <w:sz w:val="28"/>
                <w:szCs w:val="28"/>
              </w:rPr>
            </w:pPr>
            <w:r w:rsidRPr="000B2A94">
              <w:rPr>
                <w:color w:val="000000" w:themeColor="text1"/>
                <w:sz w:val="28"/>
                <w:szCs w:val="28"/>
              </w:rPr>
              <w:t>李俊億委員、趙儀珊委員、黃致豪委員</w:t>
            </w:r>
          </w:p>
        </w:tc>
        <w:tc>
          <w:tcPr>
            <w:tcW w:w="3238" w:type="pct"/>
            <w:shd w:val="clear" w:color="auto" w:fill="auto"/>
            <w:hideMark/>
          </w:tcPr>
          <w:p w:rsidR="00F956E8" w:rsidRPr="000B2A94" w:rsidRDefault="00026FB3" w:rsidP="00F956E8">
            <w:pPr>
              <w:rPr>
                <w:b/>
                <w:color w:val="000000" w:themeColor="text1"/>
                <w:sz w:val="28"/>
                <w:szCs w:val="28"/>
              </w:rPr>
            </w:pPr>
            <w:hyperlink r:id="rId11" w:tgtFrame="_blank" w:history="1">
              <w:r w:rsidR="00F956E8" w:rsidRPr="000B2A94">
                <w:rPr>
                  <w:b/>
                  <w:color w:val="000000" w:themeColor="text1"/>
                  <w:sz w:val="28"/>
                  <w:szCs w:val="28"/>
                </w:rPr>
                <w:t>李俊億委員</w:t>
              </w:r>
            </w:hyperlink>
            <w:r w:rsidR="00F956E8" w:rsidRPr="000B2A94">
              <w:rPr>
                <w:b/>
                <w:color w:val="000000" w:themeColor="text1"/>
                <w:sz w:val="28"/>
                <w:szCs w:val="28"/>
              </w:rPr>
              <w:t>：</w:t>
            </w:r>
          </w:p>
          <w:p w:rsidR="00F956E8" w:rsidRPr="000B2A94" w:rsidRDefault="00F956E8" w:rsidP="000409E4">
            <w:pPr>
              <w:pStyle w:val="afa"/>
              <w:numPr>
                <w:ilvl w:val="0"/>
                <w:numId w:val="16"/>
              </w:numPr>
              <w:overflowPunct/>
              <w:autoSpaceDE/>
              <w:autoSpaceDN/>
              <w:ind w:leftChars="0"/>
              <w:jc w:val="left"/>
              <w:rPr>
                <w:color w:val="000000" w:themeColor="text1"/>
                <w:sz w:val="28"/>
                <w:szCs w:val="28"/>
              </w:rPr>
            </w:pPr>
            <w:r w:rsidRPr="000B2A94">
              <w:rPr>
                <w:color w:val="000000" w:themeColor="text1"/>
                <w:sz w:val="28"/>
                <w:szCs w:val="28"/>
              </w:rPr>
              <w:t>使用先進的檢驗科技，加強法醫與鑑識效能</w:t>
            </w:r>
          </w:p>
          <w:p w:rsidR="00F956E8" w:rsidRPr="000B2A94" w:rsidRDefault="00F956E8" w:rsidP="000409E4">
            <w:pPr>
              <w:pStyle w:val="afa"/>
              <w:numPr>
                <w:ilvl w:val="0"/>
                <w:numId w:val="16"/>
              </w:numPr>
              <w:overflowPunct/>
              <w:autoSpaceDE/>
              <w:autoSpaceDN/>
              <w:ind w:leftChars="0"/>
              <w:jc w:val="left"/>
              <w:rPr>
                <w:color w:val="000000" w:themeColor="text1"/>
                <w:sz w:val="28"/>
                <w:szCs w:val="28"/>
              </w:rPr>
            </w:pPr>
            <w:r w:rsidRPr="000B2A94">
              <w:rPr>
                <w:color w:val="000000" w:themeColor="text1"/>
                <w:sz w:val="28"/>
                <w:szCs w:val="28"/>
              </w:rPr>
              <w:t>引進專家證人制度，建立司法科學社群</w:t>
            </w:r>
          </w:p>
          <w:p w:rsidR="00F956E8" w:rsidRPr="000B2A94" w:rsidRDefault="00F956E8" w:rsidP="000409E4">
            <w:pPr>
              <w:pStyle w:val="afa"/>
              <w:numPr>
                <w:ilvl w:val="0"/>
                <w:numId w:val="16"/>
              </w:numPr>
              <w:overflowPunct/>
              <w:autoSpaceDE/>
              <w:autoSpaceDN/>
              <w:ind w:leftChars="0"/>
              <w:jc w:val="left"/>
              <w:rPr>
                <w:color w:val="000000" w:themeColor="text1"/>
                <w:sz w:val="28"/>
                <w:szCs w:val="28"/>
              </w:rPr>
            </w:pPr>
            <w:r w:rsidRPr="000B2A94">
              <w:rPr>
                <w:color w:val="000000" w:themeColor="text1"/>
                <w:sz w:val="28"/>
                <w:szCs w:val="28"/>
              </w:rPr>
              <w:t>規劃鑑定人之教育訓練與證照制度、推動實驗室認證、建立司法科學鑑定準則</w:t>
            </w:r>
            <w:r w:rsidRPr="000B2A94">
              <w:rPr>
                <w:color w:val="000000" w:themeColor="text1"/>
                <w:sz w:val="28"/>
                <w:szCs w:val="28"/>
              </w:rPr>
              <w:lastRenderedPageBreak/>
              <w:t>與標準程序、檢討瑕疵鑑定</w:t>
            </w:r>
          </w:p>
          <w:p w:rsidR="00F956E8" w:rsidRPr="000B2A94" w:rsidRDefault="00F956E8" w:rsidP="000409E4">
            <w:pPr>
              <w:pStyle w:val="afa"/>
              <w:numPr>
                <w:ilvl w:val="0"/>
                <w:numId w:val="16"/>
              </w:numPr>
              <w:overflowPunct/>
              <w:autoSpaceDE/>
              <w:autoSpaceDN/>
              <w:ind w:leftChars="0"/>
              <w:jc w:val="left"/>
              <w:rPr>
                <w:color w:val="000000" w:themeColor="text1"/>
                <w:sz w:val="28"/>
                <w:szCs w:val="28"/>
              </w:rPr>
            </w:pPr>
            <w:r w:rsidRPr="000B2A94">
              <w:rPr>
                <w:color w:val="000000" w:themeColor="text1"/>
                <w:sz w:val="28"/>
                <w:szCs w:val="28"/>
              </w:rPr>
              <w:t>推廣司法科學教育，減少司法誤判</w:t>
            </w:r>
          </w:p>
          <w:p w:rsidR="00F956E8" w:rsidRPr="000B2A94" w:rsidRDefault="00F956E8" w:rsidP="000409E4">
            <w:pPr>
              <w:pStyle w:val="afa"/>
              <w:numPr>
                <w:ilvl w:val="0"/>
                <w:numId w:val="16"/>
              </w:numPr>
              <w:overflowPunct/>
              <w:autoSpaceDE/>
              <w:autoSpaceDN/>
              <w:ind w:leftChars="0"/>
              <w:jc w:val="left"/>
              <w:rPr>
                <w:color w:val="000000" w:themeColor="text1"/>
                <w:sz w:val="28"/>
                <w:szCs w:val="28"/>
              </w:rPr>
            </w:pPr>
            <w:r w:rsidRPr="000B2A94">
              <w:rPr>
                <w:color w:val="000000" w:themeColor="text1"/>
                <w:sz w:val="28"/>
                <w:szCs w:val="28"/>
              </w:rPr>
              <w:t>制定證物保管規範</w:t>
            </w:r>
          </w:p>
          <w:p w:rsidR="00F956E8" w:rsidRPr="000B2A94" w:rsidRDefault="00F956E8" w:rsidP="000409E4">
            <w:pPr>
              <w:pStyle w:val="afa"/>
              <w:numPr>
                <w:ilvl w:val="0"/>
                <w:numId w:val="16"/>
              </w:numPr>
              <w:overflowPunct/>
              <w:autoSpaceDE/>
              <w:autoSpaceDN/>
              <w:ind w:leftChars="0"/>
              <w:jc w:val="left"/>
              <w:rPr>
                <w:color w:val="000000" w:themeColor="text1"/>
                <w:sz w:val="28"/>
                <w:szCs w:val="28"/>
              </w:rPr>
            </w:pPr>
            <w:r w:rsidRPr="000B2A94">
              <w:rPr>
                <w:color w:val="000000" w:themeColor="text1"/>
                <w:sz w:val="28"/>
                <w:szCs w:val="28"/>
              </w:rPr>
              <w:t>設立國家級司法科學組織，推動司法科學政策</w:t>
            </w:r>
          </w:p>
        </w:tc>
      </w:tr>
    </w:tbl>
    <w:p w:rsidR="00F956E8" w:rsidRPr="000B2A94" w:rsidRDefault="00D426F0" w:rsidP="00962F57">
      <w:pPr>
        <w:wordWrap w:val="0"/>
        <w:spacing w:line="240" w:lineRule="exact"/>
        <w:rPr>
          <w:color w:val="000000" w:themeColor="text1"/>
          <w:sz w:val="24"/>
          <w:szCs w:val="24"/>
        </w:rPr>
      </w:pPr>
      <w:r w:rsidRPr="000B2A94">
        <w:rPr>
          <w:rFonts w:hint="eastAsia"/>
          <w:color w:val="000000" w:themeColor="text1"/>
          <w:sz w:val="24"/>
          <w:szCs w:val="24"/>
        </w:rPr>
        <w:lastRenderedPageBreak/>
        <w:t>資料來源：財團法人民間司法改革基金會：https://www.jrf.org.tw/articles/1230，最後檢索日期：108年12月16日</w:t>
      </w:r>
    </w:p>
    <w:p w:rsidR="00D426F0" w:rsidRPr="000B2A94" w:rsidRDefault="00D426F0" w:rsidP="00962F57">
      <w:pPr>
        <w:wordWrap w:val="0"/>
        <w:spacing w:line="240" w:lineRule="exact"/>
        <w:rPr>
          <w:color w:val="000000" w:themeColor="text1"/>
          <w:sz w:val="24"/>
          <w:szCs w:val="24"/>
        </w:rPr>
      </w:pPr>
    </w:p>
    <w:p w:rsidR="00D426F0" w:rsidRPr="000B2A94" w:rsidRDefault="00D426F0" w:rsidP="00962F57">
      <w:pPr>
        <w:wordWrap w:val="0"/>
        <w:spacing w:line="240" w:lineRule="exact"/>
        <w:rPr>
          <w:color w:val="000000" w:themeColor="text1"/>
          <w:sz w:val="24"/>
          <w:szCs w:val="24"/>
        </w:rPr>
      </w:pPr>
    </w:p>
    <w:p w:rsidR="00F956E8" w:rsidRPr="000B2A94" w:rsidRDefault="00F956E8" w:rsidP="00F956E8">
      <w:pPr>
        <w:pStyle w:val="2"/>
        <w:numPr>
          <w:ilvl w:val="1"/>
          <w:numId w:val="1"/>
        </w:numPr>
        <w:kinsoku w:val="0"/>
        <w:overflowPunct/>
        <w:autoSpaceDE/>
        <w:autoSpaceDN/>
        <w:ind w:left="1123" w:hanging="697"/>
        <w:rPr>
          <w:rFonts w:ascii="Times New Roman" w:hAnsi="Times New Roman"/>
          <w:b/>
          <w:color w:val="000000" w:themeColor="text1"/>
        </w:rPr>
      </w:pPr>
      <w:bookmarkStart w:id="202" w:name="_Toc28606807"/>
      <w:r w:rsidRPr="000B2A94">
        <w:rPr>
          <w:rFonts w:ascii="Times New Roman" w:hAnsi="Times New Roman"/>
          <w:b/>
          <w:color w:val="000000" w:themeColor="text1"/>
        </w:rPr>
        <w:t>各類司法案件之鑑定範圍、進行程序及鑑定機構選定情形</w:t>
      </w:r>
      <w:bookmarkEnd w:id="202"/>
    </w:p>
    <w:p w:rsidR="00F956E8" w:rsidRPr="000B2A94" w:rsidRDefault="00F956E8" w:rsidP="00F956E8">
      <w:pPr>
        <w:pStyle w:val="3"/>
        <w:numPr>
          <w:ilvl w:val="2"/>
          <w:numId w:val="1"/>
        </w:numPr>
        <w:kinsoku w:val="0"/>
        <w:overflowPunct/>
        <w:autoSpaceDE/>
        <w:autoSpaceDN/>
        <w:ind w:left="1393" w:hanging="697"/>
        <w:rPr>
          <w:rFonts w:ascii="Times New Roman" w:hAnsi="Times New Roman"/>
          <w:color w:val="000000" w:themeColor="text1"/>
        </w:rPr>
      </w:pPr>
      <w:bookmarkStart w:id="203" w:name="_Toc27399833"/>
      <w:bookmarkStart w:id="204" w:name="_Toc28606614"/>
      <w:r w:rsidRPr="000B2A94">
        <w:rPr>
          <w:rFonts w:ascii="Times New Roman" w:hAnsi="Times New Roman"/>
          <w:color w:val="000000" w:themeColor="text1"/>
        </w:rPr>
        <w:t>刑事訴訟案件</w:t>
      </w:r>
      <w:bookmarkEnd w:id="203"/>
      <w:bookmarkEnd w:id="204"/>
    </w:p>
    <w:p w:rsidR="00F956E8" w:rsidRPr="000B2A94" w:rsidRDefault="00F956E8" w:rsidP="00F956E8">
      <w:pPr>
        <w:pStyle w:val="32"/>
        <w:ind w:left="1361" w:firstLine="680"/>
        <w:rPr>
          <w:rFonts w:ascii="Times New Roman"/>
          <w:color w:val="000000" w:themeColor="text1"/>
        </w:rPr>
      </w:pPr>
      <w:r w:rsidRPr="000B2A94">
        <w:rPr>
          <w:rFonts w:ascii="Times New Roman"/>
          <w:color w:val="000000" w:themeColor="text1"/>
        </w:rPr>
        <w:t>刑事案件需以鑑定為證據方法者，範圍極為廣泛，除一般刑案之槍彈、彈道、爆裂物、血液、毒物、生物、化學、微物、文書、影音、測謊、指纹、聲紋、</w:t>
      </w:r>
      <w:r w:rsidRPr="000B2A94">
        <w:rPr>
          <w:rFonts w:ascii="Times New Roman"/>
          <w:color w:val="000000" w:themeColor="text1"/>
        </w:rPr>
        <w:t>DNA</w:t>
      </w:r>
      <w:r w:rsidRPr="000B2A94">
        <w:rPr>
          <w:rFonts w:ascii="Times New Roman"/>
          <w:color w:val="000000" w:themeColor="text1"/>
        </w:rPr>
        <w:t>、火災、交通事故外，尚有食品藥物、水土保持、環保、醫療糾紛、電腦軟硬體、智慧財產、工程、建築、採購、性侵、勞工安全等各種專業領域。相關鑑定之法令依據規範於刑事訴訟法第一編第十二章第三節「鑑定及通譯」（第</w:t>
      </w:r>
      <w:r w:rsidRPr="000B2A94">
        <w:rPr>
          <w:rFonts w:ascii="Times New Roman"/>
          <w:color w:val="000000" w:themeColor="text1"/>
        </w:rPr>
        <w:t>197</w:t>
      </w:r>
      <w:r w:rsidRPr="000B2A94">
        <w:rPr>
          <w:rFonts w:ascii="Times New Roman"/>
          <w:color w:val="000000" w:themeColor="text1"/>
        </w:rPr>
        <w:t>條至第</w:t>
      </w:r>
      <w:r w:rsidRPr="000B2A94">
        <w:rPr>
          <w:rFonts w:ascii="Times New Roman"/>
          <w:color w:val="000000" w:themeColor="text1"/>
        </w:rPr>
        <w:t>210</w:t>
      </w:r>
      <w:r w:rsidRPr="000B2A94">
        <w:rPr>
          <w:rFonts w:ascii="Times New Roman"/>
          <w:color w:val="000000" w:themeColor="text1"/>
        </w:rPr>
        <w:t>條參照），簡要說明如下：</w:t>
      </w:r>
    </w:p>
    <w:p w:rsidR="00F956E8" w:rsidRPr="000B2A94" w:rsidRDefault="00F956E8" w:rsidP="00962F57">
      <w:pPr>
        <w:pStyle w:val="4"/>
        <w:rPr>
          <w:color w:val="000000" w:themeColor="text1"/>
        </w:rPr>
      </w:pPr>
      <w:r w:rsidRPr="000B2A94">
        <w:rPr>
          <w:color w:val="000000" w:themeColor="text1"/>
        </w:rPr>
        <w:t>鑑定之範圍：為發現真實或正確適用法律，由審判長、受命法官或檢察官依個案審酌有無送請鑑定之必要及其範圍。</w:t>
      </w:r>
    </w:p>
    <w:p w:rsidR="00F956E8" w:rsidRPr="000B2A94" w:rsidRDefault="00F956E8" w:rsidP="00962F57">
      <w:pPr>
        <w:pStyle w:val="4"/>
        <w:rPr>
          <w:color w:val="000000" w:themeColor="text1"/>
        </w:rPr>
      </w:pPr>
      <w:r w:rsidRPr="000B2A94">
        <w:rPr>
          <w:color w:val="000000" w:themeColor="text1"/>
        </w:rPr>
        <w:t>鑑定之程序：</w:t>
      </w:r>
    </w:p>
    <w:p w:rsidR="00F956E8" w:rsidRPr="000B2A94" w:rsidRDefault="00F956E8" w:rsidP="00962F57">
      <w:pPr>
        <w:pStyle w:val="5"/>
        <w:rPr>
          <w:color w:val="000000" w:themeColor="text1"/>
        </w:rPr>
      </w:pPr>
      <w:r w:rsidRPr="000B2A94">
        <w:rPr>
          <w:color w:val="000000" w:themeColor="text1"/>
        </w:rPr>
        <w:t>鑑定人之選任：鑑定人由審判長、受命法官或檢察官就下列之人選任一人或數人充之：就鑑定事項有特別知識經驗者；經政府機關委任有鑑定職務者（第198條）。</w:t>
      </w:r>
    </w:p>
    <w:p w:rsidR="00F956E8" w:rsidRPr="000B2A94" w:rsidRDefault="00F956E8" w:rsidP="00962F57">
      <w:pPr>
        <w:pStyle w:val="5"/>
        <w:rPr>
          <w:color w:val="000000" w:themeColor="text1"/>
        </w:rPr>
      </w:pPr>
      <w:r w:rsidRPr="000B2A94">
        <w:rPr>
          <w:color w:val="000000" w:themeColor="text1"/>
        </w:rPr>
        <w:t>鑑定人之傳喚、拒卻：鑑定，原則上準用人證之規定（第197條），惟鑑定人，不得拘提（第199條）。另當事人得依聲請法官迴避之原因，</w:t>
      </w:r>
      <w:r w:rsidRPr="000B2A94">
        <w:rPr>
          <w:color w:val="000000" w:themeColor="text1"/>
        </w:rPr>
        <w:lastRenderedPageBreak/>
        <w:t>拒卻鑑定人。但不得以鑑定人於該案件曾為證人或鑑定人為拒卻之原因（第200條第1項）。又拒卻鑑定人，應將拒卻之原因及該拒卻原因發生在後或知悉在後之事實加以釋明（第201條第1項）。</w:t>
      </w:r>
    </w:p>
    <w:p w:rsidR="00F956E8" w:rsidRPr="000B2A94" w:rsidRDefault="00F956E8" w:rsidP="00962F57">
      <w:pPr>
        <w:pStyle w:val="5"/>
        <w:rPr>
          <w:color w:val="000000" w:themeColor="text1"/>
        </w:rPr>
      </w:pPr>
      <w:r w:rsidRPr="000B2A94">
        <w:rPr>
          <w:color w:val="000000" w:themeColor="text1"/>
        </w:rPr>
        <w:t>鑑定人之具結：鑑定人應於鑑定前具結，其結文內應記載必為公正誠實之鑑定等語（第202條）。</w:t>
      </w:r>
    </w:p>
    <w:p w:rsidR="00F956E8" w:rsidRPr="000B2A94" w:rsidRDefault="00F956E8" w:rsidP="00962F57">
      <w:pPr>
        <w:pStyle w:val="5"/>
        <w:rPr>
          <w:color w:val="000000" w:themeColor="text1"/>
        </w:rPr>
      </w:pPr>
      <w:r w:rsidRPr="000B2A94">
        <w:rPr>
          <w:color w:val="000000" w:themeColor="text1"/>
        </w:rPr>
        <w:t>鑑定之實施及結果之報告：</w:t>
      </w:r>
    </w:p>
    <w:p w:rsidR="00F956E8" w:rsidRPr="000B2A94" w:rsidRDefault="00F956E8" w:rsidP="00962F57">
      <w:pPr>
        <w:pStyle w:val="6"/>
        <w:rPr>
          <w:color w:val="000000" w:themeColor="text1"/>
        </w:rPr>
      </w:pPr>
      <w:r w:rsidRPr="000B2A94">
        <w:rPr>
          <w:color w:val="000000" w:themeColor="text1"/>
        </w:rPr>
        <w:t>審判長、受命法官或檢察官於必要時，得使鑑定人於法院外為鑑定。於此情形，得將關於鑑定之物，交付鑑定人（第203條第1、2項）。鑑定人因鑑定之必要，得經審判長、受命法官或檢察官之許可，檢閱卷宗及證物，並得請求蒐集或調取之，且得請求訊問被告、自訴人或證人，並許其在場及直接發問（第205條）。</w:t>
      </w:r>
    </w:p>
    <w:p w:rsidR="00F956E8" w:rsidRPr="000B2A94" w:rsidRDefault="00F956E8" w:rsidP="00962F57">
      <w:pPr>
        <w:pStyle w:val="6"/>
        <w:rPr>
          <w:color w:val="000000" w:themeColor="text1"/>
        </w:rPr>
      </w:pPr>
      <w:r w:rsidRPr="000B2A94">
        <w:rPr>
          <w:color w:val="000000" w:themeColor="text1"/>
        </w:rPr>
        <w:t>應用許可書之鑑定處分：</w:t>
      </w:r>
    </w:p>
    <w:p w:rsidR="00F956E8" w:rsidRPr="000B2A94" w:rsidRDefault="00F956E8" w:rsidP="00962F57">
      <w:pPr>
        <w:pStyle w:val="7"/>
        <w:rPr>
          <w:color w:val="000000" w:themeColor="text1"/>
        </w:rPr>
      </w:pPr>
      <w:r w:rsidRPr="000B2A94">
        <w:rPr>
          <w:color w:val="000000" w:themeColor="text1"/>
        </w:rPr>
        <w:t>鑑定人因鑑定之必要，得經審判長、受命法官或檢察官之許可，檢查身體、解剖屍體、毀壞物體或進入有人住居或看守之住宅或其他處所（第204條第1項）：</w:t>
      </w:r>
    </w:p>
    <w:p w:rsidR="00F956E8" w:rsidRPr="000B2A94" w:rsidRDefault="00F956E8" w:rsidP="00962F57">
      <w:pPr>
        <w:pStyle w:val="7"/>
        <w:rPr>
          <w:color w:val="000000" w:themeColor="text1"/>
        </w:rPr>
      </w:pPr>
      <w:r w:rsidRPr="000B2A94">
        <w:rPr>
          <w:color w:val="000000" w:themeColor="text1"/>
        </w:rPr>
        <w:t>鑑定人因鑑定之必要，得經審判長、受命法官或檢察官之許可，採取分泌物、排泄物、血液、毛髮或其他出自或附著身體之物，並得採取指紋、腳印、聲調、筆跡、照相或其他相類之行為（第205條之1第1項）。</w:t>
      </w:r>
    </w:p>
    <w:p w:rsidR="00F956E8" w:rsidRPr="000B2A94" w:rsidRDefault="00F956E8" w:rsidP="00962F57">
      <w:pPr>
        <w:pStyle w:val="7"/>
        <w:rPr>
          <w:color w:val="000000" w:themeColor="text1"/>
        </w:rPr>
      </w:pPr>
      <w:r w:rsidRPr="000B2A94">
        <w:rPr>
          <w:color w:val="000000" w:themeColor="text1"/>
        </w:rPr>
        <w:t>鑑定留置：因鑑定被告心神或身體之必要，得預定7日以下之期間，以鑑定留置</w:t>
      </w:r>
      <w:r w:rsidRPr="000B2A94">
        <w:rPr>
          <w:color w:val="000000" w:themeColor="text1"/>
        </w:rPr>
        <w:lastRenderedPageBreak/>
        <w:t>票將被告送入醫院或其他適當之處所（第203條第3項、第203條之1），並由司法警察將被告送入留置處所，該處所管理人員查驗人別無誤後，應於鑑定留置票附記送入之年、月、日、時並簽名（第203條之2）。</w:t>
      </w:r>
    </w:p>
    <w:p w:rsidR="00F956E8" w:rsidRPr="000B2A94" w:rsidRDefault="00F956E8" w:rsidP="00962F57">
      <w:pPr>
        <w:pStyle w:val="7"/>
        <w:rPr>
          <w:color w:val="000000" w:themeColor="text1"/>
        </w:rPr>
      </w:pPr>
      <w:r w:rsidRPr="000B2A94">
        <w:rPr>
          <w:color w:val="000000" w:themeColor="text1"/>
        </w:rPr>
        <w:t>鑑定報告：鑑定之經過及其結果，應命鑑定人以言詞或書面報告。鑑定人有數人時，得使其共同報告之。但意見不同者，應使其各別報告。以書面報告者，於必要時得使其以言詞說明（第206條）。若鑑定有不完備者，得命增加人數或命他人繼續或另行鑑定（第207條）。</w:t>
      </w:r>
    </w:p>
    <w:p w:rsidR="00F956E8" w:rsidRPr="000B2A94" w:rsidRDefault="00F956E8" w:rsidP="00962F57">
      <w:pPr>
        <w:pStyle w:val="7"/>
        <w:rPr>
          <w:color w:val="000000" w:themeColor="text1"/>
        </w:rPr>
      </w:pPr>
      <w:r w:rsidRPr="000B2A94">
        <w:rPr>
          <w:color w:val="000000" w:themeColor="text1"/>
        </w:rPr>
        <w:t>機關、團體鑑定：法院或檢察官得囑託醫院、學校或其他相當之機關、團體為鑑定，或審查他人之鑑定，並準用第203條至第206條之1之規定；其須以言詞報告或說明時，得命實施鑑定或審查之人為之（第208條第1項）。</w:t>
      </w:r>
    </w:p>
    <w:p w:rsidR="00F956E8" w:rsidRPr="000B2A94" w:rsidRDefault="00F956E8" w:rsidP="00962F57">
      <w:pPr>
        <w:pStyle w:val="7"/>
        <w:rPr>
          <w:color w:val="000000" w:themeColor="text1"/>
        </w:rPr>
      </w:pPr>
      <w:r w:rsidRPr="000B2A94">
        <w:rPr>
          <w:color w:val="000000" w:themeColor="text1"/>
        </w:rPr>
        <w:t>檢察事務官、司法警察（官）必要之處分：檢察事務官、司法警察官或司法警察因調查犯罪情形及蒐集證據之必要，對於經拘提或逮捕到案之犯罪嫌疑人或被告，得違反犯罪嫌疑人或被告之意思，採取其指紋、掌紋、腳印，予以照相、測量身高或類似之行為；有相當理由認為採取毛髮、唾液、尿液、聲調或吐氣得作為犯罪之證據時，並得採取之（第205條之2）。</w:t>
      </w:r>
    </w:p>
    <w:p w:rsidR="00F956E8" w:rsidRPr="000B2A94" w:rsidRDefault="00F956E8" w:rsidP="00962F57">
      <w:pPr>
        <w:pStyle w:val="4"/>
        <w:rPr>
          <w:color w:val="000000" w:themeColor="text1"/>
        </w:rPr>
      </w:pPr>
      <w:r w:rsidRPr="000B2A94">
        <w:rPr>
          <w:color w:val="000000" w:themeColor="text1"/>
        </w:rPr>
        <w:t>鑑定機構之選定：</w:t>
      </w:r>
    </w:p>
    <w:p w:rsidR="00F956E8" w:rsidRPr="000B2A94" w:rsidRDefault="00F956E8" w:rsidP="00F91E85">
      <w:pPr>
        <w:pStyle w:val="5"/>
        <w:rPr>
          <w:color w:val="000000" w:themeColor="text1"/>
        </w:rPr>
      </w:pPr>
      <w:r w:rsidRPr="000B2A94">
        <w:rPr>
          <w:color w:val="000000" w:themeColor="text1"/>
        </w:rPr>
        <w:t>關於鑑定人（機構）由法院視具體個案情況選任，為協助法院順利選擇具專業鑑定能力之鑑</w:t>
      </w:r>
      <w:r w:rsidRPr="000B2A94">
        <w:rPr>
          <w:color w:val="000000" w:themeColor="text1"/>
        </w:rPr>
        <w:lastRenderedPageBreak/>
        <w:t>定人（機構），該院依各法院囑託鑑定實績而推薦陳報相關資料，彙整建置「鑑定機關參考名冊」，並每年函請法院調整更新，提供法院及當事人參考。</w:t>
      </w:r>
    </w:p>
    <w:p w:rsidR="00F956E8" w:rsidRPr="000B2A94" w:rsidRDefault="00F956E8" w:rsidP="00F91E85">
      <w:pPr>
        <w:pStyle w:val="5"/>
        <w:rPr>
          <w:color w:val="000000" w:themeColor="text1"/>
        </w:rPr>
      </w:pPr>
      <w:r w:rsidRPr="000B2A94">
        <w:rPr>
          <w:color w:val="000000" w:themeColor="text1"/>
        </w:rPr>
        <w:t>司法院於審判資訊服務網站設有「鑑定機關參考名冊」</w:t>
      </w:r>
      <w:r w:rsidRPr="000B2A94">
        <w:rPr>
          <w:rStyle w:val="aff1"/>
          <w:rFonts w:ascii="Times New Roman"/>
          <w:color w:val="000000" w:themeColor="text1"/>
        </w:rPr>
        <w:footnoteReference w:id="3"/>
      </w:r>
      <w:r w:rsidRPr="000B2A94">
        <w:rPr>
          <w:color w:val="000000" w:themeColor="text1"/>
        </w:rPr>
        <w:t>，搜集各法院所提供鑑定機關名稱及鑑定事項，依其目錄分類為醫事鑑定、毒品及尿液、鑑識、工程、土地測量鑑界、鑑價（含動產、不動產）、機械設備、交通事故、會計、槍砲彈藥刀械、其他等計十一大類。各類下再區分為全國性鑑定機關及地區性鑑定機關，供作各法院選任鑑定機關之參考。</w:t>
      </w:r>
    </w:p>
    <w:p w:rsidR="00F956E8" w:rsidRPr="000B2A94" w:rsidRDefault="00F956E8" w:rsidP="00F91E85">
      <w:pPr>
        <w:pStyle w:val="5"/>
        <w:rPr>
          <w:color w:val="000000" w:themeColor="text1"/>
        </w:rPr>
      </w:pPr>
      <w:r w:rsidRPr="000B2A94">
        <w:rPr>
          <w:color w:val="000000" w:themeColor="text1"/>
        </w:rPr>
        <w:t>實務上，法務部表示，對於司法警察機關調查中之案件，有量大或急迫等之情形時，為因應實務之現實需求，認為有鑑定之必要者，基於檢察一體之原則，得由該管檢察長對於轄區内之案件，以事前概括選任鑑定人或囑託鑑定機關（團體）之方式，俾便轄區内之司法警察官、司法警察對於調查中之此類案件，得即時送請事前已選任之鑑定人或囑託之鑑定機關（團體）實施鑑定（法務部92年9月1日法檢字第0920035083號函釋參照）</w:t>
      </w:r>
    </w:p>
    <w:p w:rsidR="00F956E8" w:rsidRPr="000B2A94" w:rsidRDefault="00F956E8" w:rsidP="00F956E8">
      <w:pPr>
        <w:pStyle w:val="3"/>
        <w:numPr>
          <w:ilvl w:val="2"/>
          <w:numId w:val="1"/>
        </w:numPr>
        <w:kinsoku w:val="0"/>
        <w:overflowPunct/>
        <w:autoSpaceDE/>
        <w:autoSpaceDN/>
        <w:ind w:left="1393" w:hanging="697"/>
        <w:rPr>
          <w:rFonts w:ascii="Times New Roman" w:hAnsi="Times New Roman"/>
          <w:color w:val="000000" w:themeColor="text1"/>
          <w:szCs w:val="32"/>
        </w:rPr>
      </w:pPr>
      <w:bookmarkStart w:id="205" w:name="_Toc27399834"/>
      <w:bookmarkStart w:id="206" w:name="_Toc28606615"/>
      <w:r w:rsidRPr="000B2A94">
        <w:rPr>
          <w:rFonts w:ascii="Times New Roman" w:hAnsi="Times New Roman"/>
          <w:color w:val="000000" w:themeColor="text1"/>
          <w:szCs w:val="32"/>
        </w:rPr>
        <w:t>民事訴訟事件</w:t>
      </w:r>
      <w:bookmarkEnd w:id="205"/>
      <w:bookmarkEnd w:id="206"/>
    </w:p>
    <w:p w:rsidR="00F956E8" w:rsidRPr="000B2A94" w:rsidRDefault="00F956E8" w:rsidP="00962F57">
      <w:pPr>
        <w:pStyle w:val="4"/>
        <w:rPr>
          <w:color w:val="000000" w:themeColor="text1"/>
        </w:rPr>
      </w:pPr>
      <w:r w:rsidRPr="000B2A94">
        <w:rPr>
          <w:color w:val="000000" w:themeColor="text1"/>
        </w:rPr>
        <w:t>關於鑑定制度，民事訴訟法第二編第一審程序訂有鑑定章節（第324條至339條參照），規範鑑定人之選任、撤換、具結義務、鑑定意見之提出方式等，規定尚屬完整。另依同法第340條規定，法院認為必要時，得囑託機關、團體或商請外國</w:t>
      </w:r>
      <w:r w:rsidRPr="000B2A94">
        <w:rPr>
          <w:color w:val="000000" w:themeColor="text1"/>
        </w:rPr>
        <w:lastRenderedPageBreak/>
        <w:t>機關、團體為鑑定或審查鑑定意見。其須說明者，由該機關或團體所指定之人為之。</w:t>
      </w:r>
    </w:p>
    <w:p w:rsidR="00F956E8" w:rsidRPr="000B2A94" w:rsidRDefault="00F956E8" w:rsidP="00962F57">
      <w:pPr>
        <w:pStyle w:val="4"/>
        <w:rPr>
          <w:color w:val="000000" w:themeColor="text1"/>
        </w:rPr>
      </w:pPr>
      <w:r w:rsidRPr="000B2A94">
        <w:rPr>
          <w:color w:val="000000" w:themeColor="text1"/>
        </w:rPr>
        <w:t>關於鑑定構機之選定部分，同刑事訴訟案件。</w:t>
      </w:r>
    </w:p>
    <w:p w:rsidR="00F956E8" w:rsidRPr="000B2A94" w:rsidRDefault="00F956E8" w:rsidP="00F956E8">
      <w:pPr>
        <w:pStyle w:val="3"/>
        <w:numPr>
          <w:ilvl w:val="2"/>
          <w:numId w:val="1"/>
        </w:numPr>
        <w:kinsoku w:val="0"/>
        <w:overflowPunct/>
        <w:autoSpaceDE/>
        <w:autoSpaceDN/>
        <w:ind w:left="1393" w:hanging="697"/>
        <w:rPr>
          <w:rFonts w:ascii="Times New Roman" w:hAnsi="Times New Roman"/>
          <w:color w:val="000000" w:themeColor="text1"/>
        </w:rPr>
      </w:pPr>
      <w:bookmarkStart w:id="207" w:name="_Toc27399835"/>
      <w:bookmarkStart w:id="208" w:name="_Toc28606616"/>
      <w:r w:rsidRPr="000B2A94">
        <w:rPr>
          <w:rFonts w:ascii="Times New Roman" w:hAnsi="Times New Roman"/>
          <w:color w:val="000000" w:themeColor="text1"/>
        </w:rPr>
        <w:t>行政訴訟事件</w:t>
      </w:r>
      <w:bookmarkEnd w:id="207"/>
      <w:bookmarkEnd w:id="208"/>
    </w:p>
    <w:p w:rsidR="00F956E8" w:rsidRPr="000B2A94" w:rsidRDefault="00F956E8" w:rsidP="00F956E8">
      <w:pPr>
        <w:pStyle w:val="32"/>
        <w:ind w:left="1361" w:firstLine="680"/>
        <w:rPr>
          <w:rFonts w:ascii="Times New Roman"/>
          <w:color w:val="000000" w:themeColor="text1"/>
        </w:rPr>
      </w:pPr>
      <w:r w:rsidRPr="000B2A94">
        <w:rPr>
          <w:rFonts w:ascii="Times New Roman"/>
          <w:color w:val="000000" w:themeColor="text1"/>
        </w:rPr>
        <w:t>相關鑑定之法令依據規範於行政訴訟法第二編第一審程序第一章第四節「證據」（第</w:t>
      </w:r>
      <w:r w:rsidRPr="000B2A94">
        <w:rPr>
          <w:rFonts w:ascii="Times New Roman"/>
          <w:color w:val="000000" w:themeColor="text1"/>
        </w:rPr>
        <w:t>133</w:t>
      </w:r>
      <w:r w:rsidRPr="000B2A94">
        <w:rPr>
          <w:rFonts w:ascii="Times New Roman"/>
          <w:color w:val="000000" w:themeColor="text1"/>
        </w:rPr>
        <w:t>條至第</w:t>
      </w:r>
      <w:r w:rsidRPr="000B2A94">
        <w:rPr>
          <w:rFonts w:ascii="Times New Roman"/>
          <w:color w:val="000000" w:themeColor="text1"/>
        </w:rPr>
        <w:t>176</w:t>
      </w:r>
      <w:r w:rsidRPr="000B2A94">
        <w:rPr>
          <w:rFonts w:ascii="Times New Roman"/>
          <w:color w:val="000000" w:themeColor="text1"/>
        </w:rPr>
        <w:t>條規定參照），摘要說明如下：</w:t>
      </w:r>
    </w:p>
    <w:p w:rsidR="00F956E8" w:rsidRPr="000B2A94" w:rsidRDefault="00F956E8" w:rsidP="00962F57">
      <w:pPr>
        <w:pStyle w:val="4"/>
        <w:rPr>
          <w:color w:val="000000" w:themeColor="text1"/>
        </w:rPr>
      </w:pPr>
      <w:r w:rsidRPr="000B2A94">
        <w:rPr>
          <w:color w:val="000000" w:themeColor="text1"/>
        </w:rPr>
        <w:t>鑑定人之選任：</w:t>
      </w:r>
    </w:p>
    <w:p w:rsidR="00F956E8" w:rsidRPr="000B2A94" w:rsidRDefault="00F956E8" w:rsidP="00F956E8">
      <w:pPr>
        <w:pStyle w:val="42"/>
        <w:ind w:left="1701" w:firstLine="680"/>
        <w:rPr>
          <w:rFonts w:ascii="Times New Roman"/>
          <w:color w:val="000000" w:themeColor="text1"/>
        </w:rPr>
      </w:pPr>
      <w:r w:rsidRPr="000B2A94">
        <w:rPr>
          <w:rFonts w:ascii="Times New Roman"/>
          <w:color w:val="000000" w:themeColor="text1"/>
        </w:rPr>
        <w:t>鑑定人由行政法院選任，於選任鑑定人前，得命當事人陳述意見；如其經當事人合意指定鑑定人者，應從其合意選任之。但行政法院認其人選顯不適當時，不在此限（第</w:t>
      </w:r>
      <w:r w:rsidRPr="000B2A94">
        <w:rPr>
          <w:rFonts w:ascii="Times New Roman"/>
          <w:color w:val="000000" w:themeColor="text1"/>
        </w:rPr>
        <w:t>176</w:t>
      </w:r>
      <w:r w:rsidRPr="000B2A94">
        <w:rPr>
          <w:rFonts w:ascii="Times New Roman"/>
          <w:color w:val="000000" w:themeColor="text1"/>
        </w:rPr>
        <w:t>條準用民事訴訟第</w:t>
      </w:r>
      <w:r w:rsidRPr="000B2A94">
        <w:rPr>
          <w:rFonts w:ascii="Times New Roman"/>
          <w:color w:val="000000" w:themeColor="text1"/>
        </w:rPr>
        <w:t>326</w:t>
      </w:r>
      <w:r w:rsidRPr="000B2A94">
        <w:rPr>
          <w:rFonts w:ascii="Times New Roman"/>
          <w:color w:val="000000" w:themeColor="text1"/>
        </w:rPr>
        <w:t>條規定）。</w:t>
      </w:r>
    </w:p>
    <w:p w:rsidR="00F956E8" w:rsidRPr="000B2A94" w:rsidRDefault="00F956E8" w:rsidP="00962F57">
      <w:pPr>
        <w:pStyle w:val="4"/>
        <w:rPr>
          <w:color w:val="000000" w:themeColor="text1"/>
        </w:rPr>
      </w:pPr>
      <w:r w:rsidRPr="000B2A94">
        <w:rPr>
          <w:color w:val="000000" w:themeColor="text1"/>
        </w:rPr>
        <w:t>鑑定義務：</w:t>
      </w:r>
    </w:p>
    <w:p w:rsidR="00F956E8" w:rsidRPr="000B2A94" w:rsidRDefault="00F956E8" w:rsidP="00F956E8">
      <w:pPr>
        <w:pStyle w:val="42"/>
        <w:ind w:left="1701" w:firstLine="680"/>
        <w:rPr>
          <w:rFonts w:ascii="Times New Roman"/>
          <w:color w:val="000000" w:themeColor="text1"/>
        </w:rPr>
      </w:pPr>
      <w:r w:rsidRPr="000B2A94">
        <w:rPr>
          <w:rFonts w:ascii="Times New Roman"/>
          <w:color w:val="000000" w:themeColor="text1"/>
        </w:rPr>
        <w:t>從事於鑑定所需之學術、技藝或職業，或經機關委任有鑑定職務者，於他人之行政訴訟有為鑑定人之義務（第</w:t>
      </w:r>
      <w:r w:rsidRPr="000B2A94">
        <w:rPr>
          <w:rFonts w:ascii="Times New Roman"/>
          <w:color w:val="000000" w:themeColor="text1"/>
        </w:rPr>
        <w:t>157</w:t>
      </w:r>
      <w:r w:rsidRPr="000B2A94">
        <w:rPr>
          <w:rFonts w:ascii="Times New Roman"/>
          <w:color w:val="000000" w:themeColor="text1"/>
        </w:rPr>
        <w:t>條規定）。</w:t>
      </w:r>
    </w:p>
    <w:p w:rsidR="00F956E8" w:rsidRPr="000B2A94" w:rsidRDefault="00F956E8" w:rsidP="00962F57">
      <w:pPr>
        <w:pStyle w:val="4"/>
        <w:rPr>
          <w:rFonts w:ascii="Times New Roman" w:hAnsi="Times New Roman"/>
          <w:color w:val="000000" w:themeColor="text1"/>
        </w:rPr>
      </w:pPr>
      <w:r w:rsidRPr="000B2A94">
        <w:rPr>
          <w:rFonts w:ascii="Times New Roman" w:hAnsi="Times New Roman"/>
          <w:color w:val="000000" w:themeColor="text1"/>
        </w:rPr>
        <w:t>囑託</w:t>
      </w:r>
      <w:r w:rsidRPr="000B2A94">
        <w:rPr>
          <w:color w:val="000000" w:themeColor="text1"/>
        </w:rPr>
        <w:t>鑑定</w:t>
      </w:r>
      <w:r w:rsidRPr="000B2A94">
        <w:rPr>
          <w:rFonts w:ascii="Times New Roman" w:hAnsi="Times New Roman"/>
          <w:color w:val="000000" w:themeColor="text1"/>
        </w:rPr>
        <w:t>：</w:t>
      </w:r>
    </w:p>
    <w:p w:rsidR="00F956E8" w:rsidRPr="000B2A94" w:rsidRDefault="00F956E8" w:rsidP="00F956E8">
      <w:pPr>
        <w:pStyle w:val="42"/>
        <w:ind w:left="1701" w:firstLine="680"/>
        <w:rPr>
          <w:rFonts w:ascii="Times New Roman"/>
          <w:color w:val="000000" w:themeColor="text1"/>
        </w:rPr>
      </w:pPr>
      <w:r w:rsidRPr="000B2A94">
        <w:rPr>
          <w:rFonts w:ascii="Times New Roman"/>
          <w:color w:val="000000" w:themeColor="text1"/>
        </w:rPr>
        <w:t>行政法院得囑託機關、學校或團體陳述鑑定意見或審查鑑定意見</w:t>
      </w:r>
      <w:r w:rsidR="000F16B2" w:rsidRPr="000B2A94">
        <w:rPr>
          <w:rFonts w:ascii="Times New Roman" w:hint="eastAsia"/>
          <w:color w:val="000000" w:themeColor="text1"/>
        </w:rPr>
        <w:t>（</w:t>
      </w:r>
      <w:r w:rsidRPr="000B2A94">
        <w:rPr>
          <w:rFonts w:ascii="Times New Roman"/>
          <w:color w:val="000000" w:themeColor="text1"/>
        </w:rPr>
        <w:t>第</w:t>
      </w:r>
      <w:r w:rsidRPr="000B2A94">
        <w:rPr>
          <w:rFonts w:ascii="Times New Roman"/>
          <w:color w:val="000000" w:themeColor="text1"/>
        </w:rPr>
        <w:t>138</w:t>
      </w:r>
      <w:r w:rsidRPr="000B2A94">
        <w:rPr>
          <w:rFonts w:ascii="Times New Roman"/>
          <w:color w:val="000000" w:themeColor="text1"/>
        </w:rPr>
        <w:t>條、第</w:t>
      </w:r>
      <w:r w:rsidRPr="000B2A94">
        <w:rPr>
          <w:rFonts w:ascii="Times New Roman"/>
          <w:color w:val="000000" w:themeColor="text1"/>
        </w:rPr>
        <w:t>161</w:t>
      </w:r>
      <w:r w:rsidRPr="000B2A94">
        <w:rPr>
          <w:rFonts w:ascii="Times New Roman"/>
          <w:color w:val="000000" w:themeColor="text1"/>
        </w:rPr>
        <w:t>條準用第</w:t>
      </w:r>
      <w:r w:rsidRPr="000B2A94">
        <w:rPr>
          <w:rFonts w:ascii="Times New Roman"/>
          <w:color w:val="000000" w:themeColor="text1"/>
        </w:rPr>
        <w:t>160</w:t>
      </w:r>
      <w:r w:rsidRPr="000B2A94">
        <w:rPr>
          <w:rFonts w:ascii="Times New Roman"/>
          <w:color w:val="000000" w:themeColor="text1"/>
        </w:rPr>
        <w:t>條及民事訴訟法第</w:t>
      </w:r>
      <w:r w:rsidRPr="000B2A94">
        <w:rPr>
          <w:rFonts w:ascii="Times New Roman"/>
          <w:color w:val="000000" w:themeColor="text1"/>
        </w:rPr>
        <w:t>335</w:t>
      </w:r>
      <w:r w:rsidRPr="000B2A94">
        <w:rPr>
          <w:rFonts w:ascii="Times New Roman"/>
          <w:color w:val="000000" w:themeColor="text1"/>
        </w:rPr>
        <w:t>條至第</w:t>
      </w:r>
      <w:r w:rsidRPr="000B2A94">
        <w:rPr>
          <w:rFonts w:ascii="Times New Roman"/>
          <w:color w:val="000000" w:themeColor="text1"/>
        </w:rPr>
        <w:t>337</w:t>
      </w:r>
      <w:r w:rsidRPr="000B2A94">
        <w:rPr>
          <w:rFonts w:ascii="Times New Roman"/>
          <w:color w:val="000000" w:themeColor="text1"/>
        </w:rPr>
        <w:t>條規定</w:t>
      </w:r>
      <w:r w:rsidR="000F16B2" w:rsidRPr="000B2A94">
        <w:rPr>
          <w:rFonts w:ascii="Times New Roman" w:hint="eastAsia"/>
          <w:color w:val="000000" w:themeColor="text1"/>
        </w:rPr>
        <w:t>）</w:t>
      </w:r>
      <w:r w:rsidRPr="000B2A94">
        <w:rPr>
          <w:rFonts w:ascii="Times New Roman"/>
          <w:color w:val="000000" w:themeColor="text1"/>
        </w:rPr>
        <w:t>。</w:t>
      </w:r>
      <w:r w:rsidRPr="000B2A94">
        <w:rPr>
          <w:rFonts w:ascii="Times New Roman"/>
          <w:color w:val="000000" w:themeColor="text1"/>
        </w:rPr>
        <w:t xml:space="preserve"> </w:t>
      </w:r>
    </w:p>
    <w:p w:rsidR="00F956E8" w:rsidRPr="000B2A94" w:rsidRDefault="00F956E8" w:rsidP="00962F57">
      <w:pPr>
        <w:pStyle w:val="4"/>
        <w:rPr>
          <w:rFonts w:ascii="Times New Roman" w:hAnsi="Times New Roman"/>
          <w:color w:val="000000" w:themeColor="text1"/>
        </w:rPr>
      </w:pPr>
      <w:r w:rsidRPr="000B2A94">
        <w:rPr>
          <w:rFonts w:ascii="Times New Roman" w:hAnsi="Times New Roman"/>
          <w:color w:val="000000" w:themeColor="text1"/>
        </w:rPr>
        <w:t>專業法律</w:t>
      </w:r>
      <w:r w:rsidRPr="000B2A94">
        <w:rPr>
          <w:color w:val="000000" w:themeColor="text1"/>
        </w:rPr>
        <w:t>問題</w:t>
      </w:r>
      <w:r w:rsidRPr="000B2A94">
        <w:rPr>
          <w:rFonts w:ascii="Times New Roman" w:hAnsi="Times New Roman"/>
          <w:color w:val="000000" w:themeColor="text1"/>
        </w:rPr>
        <w:t>之徵詢：</w:t>
      </w:r>
    </w:p>
    <w:p w:rsidR="00F956E8" w:rsidRPr="000B2A94" w:rsidRDefault="00F956E8" w:rsidP="00F956E8">
      <w:pPr>
        <w:pStyle w:val="42"/>
        <w:ind w:left="1701" w:firstLine="680"/>
        <w:rPr>
          <w:rFonts w:ascii="Times New Roman"/>
          <w:color w:val="000000" w:themeColor="text1"/>
        </w:rPr>
      </w:pPr>
      <w:r w:rsidRPr="000B2A94">
        <w:rPr>
          <w:rFonts w:ascii="Times New Roman"/>
          <w:color w:val="000000" w:themeColor="text1"/>
        </w:rPr>
        <w:t>行政法院認有必要時，得就訴訟事件之專業法律問題徵詢從事該學術研究之人，以書面或於審判期日到場陳述其法律上意見；前述意見於裁判前應告知當事人，給予辯論之機會。有關上開陳述法律上意見之人，準用鑑定人之規定；但不得令其具結</w:t>
      </w:r>
      <w:r w:rsidR="000F16B2" w:rsidRPr="000B2A94">
        <w:rPr>
          <w:rFonts w:ascii="Times New Roman" w:hint="eastAsia"/>
          <w:color w:val="000000" w:themeColor="text1"/>
        </w:rPr>
        <w:t>（</w:t>
      </w:r>
      <w:r w:rsidRPr="000B2A94">
        <w:rPr>
          <w:rFonts w:ascii="Times New Roman"/>
          <w:color w:val="000000" w:themeColor="text1"/>
        </w:rPr>
        <w:t>第</w:t>
      </w:r>
      <w:r w:rsidRPr="000B2A94">
        <w:rPr>
          <w:rFonts w:ascii="Times New Roman"/>
          <w:color w:val="000000" w:themeColor="text1"/>
        </w:rPr>
        <w:t>162</w:t>
      </w:r>
      <w:r w:rsidRPr="000B2A94">
        <w:rPr>
          <w:rFonts w:ascii="Times New Roman"/>
          <w:color w:val="000000" w:themeColor="text1"/>
        </w:rPr>
        <w:t>條規定</w:t>
      </w:r>
      <w:r w:rsidR="000F16B2" w:rsidRPr="000B2A94">
        <w:rPr>
          <w:rFonts w:ascii="Times New Roman" w:hint="eastAsia"/>
          <w:color w:val="000000" w:themeColor="text1"/>
        </w:rPr>
        <w:t>）</w:t>
      </w:r>
      <w:r w:rsidRPr="000B2A94">
        <w:rPr>
          <w:rFonts w:ascii="Times New Roman"/>
          <w:color w:val="000000" w:themeColor="text1"/>
        </w:rPr>
        <w:t>。</w:t>
      </w:r>
    </w:p>
    <w:p w:rsidR="00F956E8" w:rsidRPr="000B2A94" w:rsidRDefault="00F956E8" w:rsidP="00962F57">
      <w:pPr>
        <w:pStyle w:val="4"/>
        <w:rPr>
          <w:rFonts w:ascii="Times New Roman" w:hAnsi="Times New Roman"/>
          <w:color w:val="000000" w:themeColor="text1"/>
        </w:rPr>
      </w:pPr>
      <w:r w:rsidRPr="000B2A94">
        <w:rPr>
          <w:rFonts w:ascii="Times New Roman" w:hAnsi="Times New Roman"/>
          <w:color w:val="000000" w:themeColor="text1"/>
        </w:rPr>
        <w:t>有關行政訴訟事件之鑑定，除別有規定外，準用行政訴訟法關於人證之規定</w:t>
      </w:r>
      <w:r w:rsidR="000F16B2" w:rsidRPr="000B2A94">
        <w:rPr>
          <w:rFonts w:ascii="Times New Roman" w:hAnsi="Times New Roman" w:hint="eastAsia"/>
          <w:color w:val="000000" w:themeColor="text1"/>
        </w:rPr>
        <w:t>（</w:t>
      </w:r>
      <w:r w:rsidRPr="000B2A94">
        <w:rPr>
          <w:rFonts w:ascii="Times New Roman" w:hAnsi="Times New Roman"/>
          <w:color w:val="000000" w:themeColor="text1"/>
        </w:rPr>
        <w:t>行政訴訟法第</w:t>
      </w:r>
      <w:r w:rsidRPr="000B2A94">
        <w:rPr>
          <w:rFonts w:ascii="Times New Roman" w:hAnsi="Times New Roman"/>
          <w:color w:val="000000" w:themeColor="text1"/>
        </w:rPr>
        <w:t>156</w:t>
      </w:r>
      <w:r w:rsidRPr="000B2A94">
        <w:rPr>
          <w:rFonts w:ascii="Times New Roman" w:hAnsi="Times New Roman"/>
          <w:color w:val="000000" w:themeColor="text1"/>
        </w:rPr>
        <w:lastRenderedPageBreak/>
        <w:t>條規定</w:t>
      </w:r>
      <w:r w:rsidR="000F16B2" w:rsidRPr="000B2A94">
        <w:rPr>
          <w:rFonts w:ascii="Times New Roman" w:hAnsi="Times New Roman" w:hint="eastAsia"/>
          <w:color w:val="000000" w:themeColor="text1"/>
        </w:rPr>
        <w:t>）</w:t>
      </w:r>
      <w:r w:rsidRPr="000B2A94">
        <w:rPr>
          <w:rFonts w:ascii="Times New Roman" w:hAnsi="Times New Roman"/>
          <w:color w:val="000000" w:themeColor="text1"/>
        </w:rPr>
        <w:t>。</w:t>
      </w:r>
    </w:p>
    <w:p w:rsidR="00F956E8" w:rsidRPr="000B2A94" w:rsidRDefault="00F956E8" w:rsidP="00962F57">
      <w:pPr>
        <w:pStyle w:val="4"/>
        <w:rPr>
          <w:rFonts w:ascii="Times New Roman" w:hAnsi="Times New Roman"/>
          <w:color w:val="000000" w:themeColor="text1"/>
        </w:rPr>
      </w:pPr>
      <w:r w:rsidRPr="000B2A94">
        <w:rPr>
          <w:rFonts w:ascii="Times New Roman" w:hAnsi="Times New Roman"/>
          <w:color w:val="000000" w:themeColor="text1"/>
        </w:rPr>
        <w:t>關於鑑定構機之選定部分，同刑事訴訟案件。</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209" w:name="_Toc27399836"/>
      <w:bookmarkStart w:id="210" w:name="_Toc28606617"/>
      <w:r w:rsidRPr="000B2A94">
        <w:rPr>
          <w:rFonts w:ascii="Times New Roman" w:hAnsi="Times New Roman"/>
          <w:color w:val="000000" w:themeColor="text1"/>
        </w:rPr>
        <w:t>少年及家事事件</w:t>
      </w:r>
      <w:bookmarkEnd w:id="209"/>
      <w:bookmarkEnd w:id="210"/>
    </w:p>
    <w:p w:rsidR="00F956E8" w:rsidRPr="000B2A94" w:rsidRDefault="00396EF0" w:rsidP="00962F57">
      <w:pPr>
        <w:pStyle w:val="4"/>
        <w:rPr>
          <w:rFonts w:ascii="Times New Roman" w:hAnsi="Times New Roman"/>
          <w:color w:val="000000" w:themeColor="text1"/>
        </w:rPr>
      </w:pPr>
      <w:r w:rsidRPr="000B2A94">
        <w:rPr>
          <w:rFonts w:ascii="Times New Roman" w:hAnsi="Times New Roman"/>
          <w:color w:val="000000" w:themeColor="text1"/>
        </w:rPr>
        <w:t>法令依據</w:t>
      </w:r>
    </w:p>
    <w:p w:rsidR="00F956E8" w:rsidRPr="000B2A94" w:rsidRDefault="00396EF0" w:rsidP="00962F57">
      <w:pPr>
        <w:pStyle w:val="5"/>
        <w:rPr>
          <w:color w:val="000000" w:themeColor="text1"/>
        </w:rPr>
      </w:pPr>
      <w:r w:rsidRPr="000B2A94">
        <w:rPr>
          <w:color w:val="000000" w:themeColor="text1"/>
          <w:lang w:eastAsia="zh-HK"/>
        </w:rPr>
        <w:t>少年事件部分</w:t>
      </w:r>
    </w:p>
    <w:p w:rsidR="00F956E8" w:rsidRPr="000B2A94" w:rsidRDefault="00F956E8" w:rsidP="00962F57">
      <w:pPr>
        <w:pStyle w:val="51"/>
        <w:ind w:left="2041" w:firstLine="680"/>
        <w:rPr>
          <w:color w:val="000000" w:themeColor="text1"/>
        </w:rPr>
      </w:pPr>
      <w:r w:rsidRPr="000B2A94">
        <w:rPr>
          <w:color w:val="000000" w:themeColor="text1"/>
          <w:lang w:eastAsia="zh-HK"/>
        </w:rPr>
        <w:t>少年事件處理法第</w:t>
      </w:r>
      <w:r w:rsidRPr="000B2A94">
        <w:rPr>
          <w:color w:val="000000" w:themeColor="text1"/>
        </w:rPr>
        <w:t>1</w:t>
      </w:r>
      <w:r w:rsidRPr="000B2A94">
        <w:rPr>
          <w:color w:val="000000" w:themeColor="text1"/>
          <w:lang w:eastAsia="zh-HK"/>
        </w:rPr>
        <w:t>條之</w:t>
      </w:r>
      <w:r w:rsidRPr="000B2A94">
        <w:rPr>
          <w:color w:val="000000" w:themeColor="text1"/>
        </w:rPr>
        <w:t>1</w:t>
      </w:r>
      <w:r w:rsidRPr="000B2A94">
        <w:rPr>
          <w:rFonts w:eastAsia="新細明體"/>
          <w:color w:val="000000" w:themeColor="text1"/>
        </w:rPr>
        <w:t>、</w:t>
      </w:r>
      <w:r w:rsidRPr="000B2A94">
        <w:rPr>
          <w:color w:val="000000" w:themeColor="text1"/>
          <w:lang w:eastAsia="zh-HK"/>
        </w:rPr>
        <w:t>第</w:t>
      </w:r>
      <w:r w:rsidRPr="000B2A94">
        <w:rPr>
          <w:color w:val="000000" w:themeColor="text1"/>
        </w:rPr>
        <w:t>24</w:t>
      </w:r>
      <w:r w:rsidRPr="000B2A94">
        <w:rPr>
          <w:color w:val="000000" w:themeColor="text1"/>
          <w:lang w:eastAsia="zh-HK"/>
        </w:rPr>
        <w:t>條</w:t>
      </w:r>
      <w:r w:rsidRPr="000B2A94">
        <w:rPr>
          <w:color w:val="000000" w:themeColor="text1"/>
        </w:rPr>
        <w:t>(</w:t>
      </w:r>
      <w:r w:rsidRPr="000B2A94">
        <w:rPr>
          <w:color w:val="000000" w:themeColor="text1"/>
          <w:lang w:eastAsia="zh-HK"/>
        </w:rPr>
        <w:t>準用刑事訴訟法第</w:t>
      </w:r>
      <w:r w:rsidRPr="000B2A94">
        <w:rPr>
          <w:color w:val="000000" w:themeColor="text1"/>
        </w:rPr>
        <w:t>一</w:t>
      </w:r>
      <w:r w:rsidRPr="000B2A94">
        <w:rPr>
          <w:color w:val="000000" w:themeColor="text1"/>
          <w:lang w:eastAsia="zh-HK"/>
        </w:rPr>
        <w:t>編第</w:t>
      </w:r>
      <w:r w:rsidRPr="000B2A94">
        <w:rPr>
          <w:color w:val="000000" w:themeColor="text1"/>
        </w:rPr>
        <w:t>十二</w:t>
      </w:r>
      <w:r w:rsidRPr="000B2A94">
        <w:rPr>
          <w:color w:val="000000" w:themeColor="text1"/>
          <w:lang w:eastAsia="zh-HK"/>
        </w:rPr>
        <w:t>章「證據」</w:t>
      </w:r>
      <w:r w:rsidRPr="000B2A94">
        <w:rPr>
          <w:color w:val="000000" w:themeColor="text1"/>
        </w:rPr>
        <w:t>【</w:t>
      </w:r>
      <w:r w:rsidRPr="000B2A94">
        <w:rPr>
          <w:color w:val="000000" w:themeColor="text1"/>
          <w:lang w:eastAsia="zh-HK"/>
        </w:rPr>
        <w:t>含鑑定</w:t>
      </w:r>
      <w:r w:rsidRPr="000B2A94">
        <w:rPr>
          <w:color w:val="000000" w:themeColor="text1"/>
        </w:rPr>
        <w:t>】)</w:t>
      </w:r>
      <w:r w:rsidRPr="000B2A94">
        <w:rPr>
          <w:rFonts w:eastAsia="新細明體"/>
          <w:color w:val="000000" w:themeColor="text1"/>
          <w:lang w:eastAsia="zh-HK"/>
        </w:rPr>
        <w:t>、</w:t>
      </w:r>
      <w:r w:rsidRPr="000B2A94">
        <w:rPr>
          <w:color w:val="000000" w:themeColor="text1"/>
          <w:lang w:eastAsia="zh-HK"/>
        </w:rPr>
        <w:t>第</w:t>
      </w:r>
      <w:r w:rsidRPr="000B2A94">
        <w:rPr>
          <w:color w:val="000000" w:themeColor="text1"/>
        </w:rPr>
        <w:t>70</w:t>
      </w:r>
      <w:r w:rsidRPr="000B2A94">
        <w:rPr>
          <w:color w:val="000000" w:themeColor="text1"/>
          <w:lang w:eastAsia="zh-HK"/>
        </w:rPr>
        <w:t>條等</w:t>
      </w:r>
      <w:r w:rsidRPr="000B2A94">
        <w:rPr>
          <w:color w:val="000000" w:themeColor="text1"/>
        </w:rPr>
        <w:t>。</w:t>
      </w:r>
    </w:p>
    <w:p w:rsidR="00F956E8" w:rsidRPr="000B2A94" w:rsidRDefault="00F956E8" w:rsidP="00962F57">
      <w:pPr>
        <w:pStyle w:val="5"/>
        <w:rPr>
          <w:color w:val="000000" w:themeColor="text1"/>
        </w:rPr>
      </w:pPr>
      <w:r w:rsidRPr="000B2A94">
        <w:rPr>
          <w:color w:val="000000" w:themeColor="text1"/>
          <w:lang w:eastAsia="zh-HK"/>
        </w:rPr>
        <w:t>家事事件部分</w:t>
      </w:r>
    </w:p>
    <w:p w:rsidR="00F956E8" w:rsidRPr="000B2A94" w:rsidRDefault="00F956E8" w:rsidP="00962F57">
      <w:pPr>
        <w:pStyle w:val="51"/>
        <w:ind w:left="2041" w:firstLine="680"/>
        <w:rPr>
          <w:color w:val="000000" w:themeColor="text1"/>
        </w:rPr>
      </w:pPr>
      <w:r w:rsidRPr="000B2A94">
        <w:rPr>
          <w:color w:val="000000" w:themeColor="text1"/>
          <w:lang w:eastAsia="zh-HK"/>
        </w:rPr>
        <w:t>家事事件法第</w:t>
      </w:r>
      <w:r w:rsidRPr="000B2A94">
        <w:rPr>
          <w:color w:val="000000" w:themeColor="text1"/>
        </w:rPr>
        <w:t>51</w:t>
      </w:r>
      <w:r w:rsidRPr="000B2A94">
        <w:rPr>
          <w:color w:val="000000" w:themeColor="text1"/>
          <w:lang w:eastAsia="zh-HK"/>
        </w:rPr>
        <w:t>條</w:t>
      </w:r>
      <w:r w:rsidRPr="000B2A94">
        <w:rPr>
          <w:color w:val="000000" w:themeColor="text1"/>
        </w:rPr>
        <w:t>(</w:t>
      </w:r>
      <w:r w:rsidRPr="000B2A94">
        <w:rPr>
          <w:color w:val="000000" w:themeColor="text1"/>
          <w:lang w:eastAsia="zh-HK"/>
        </w:rPr>
        <w:t>準用民事訴訟法第</w:t>
      </w:r>
      <w:r w:rsidRPr="000B2A94">
        <w:rPr>
          <w:color w:val="000000" w:themeColor="text1"/>
        </w:rPr>
        <w:t>二</w:t>
      </w:r>
      <w:r w:rsidRPr="000B2A94">
        <w:rPr>
          <w:color w:val="000000" w:themeColor="text1"/>
          <w:lang w:eastAsia="zh-HK"/>
        </w:rPr>
        <w:t>編第</w:t>
      </w:r>
      <w:r w:rsidRPr="000B2A94">
        <w:rPr>
          <w:color w:val="000000" w:themeColor="text1"/>
        </w:rPr>
        <w:t>一</w:t>
      </w:r>
      <w:r w:rsidRPr="000B2A94">
        <w:rPr>
          <w:color w:val="000000" w:themeColor="text1"/>
          <w:lang w:eastAsia="zh-HK"/>
        </w:rPr>
        <w:t>章第</w:t>
      </w:r>
      <w:r w:rsidRPr="000B2A94">
        <w:rPr>
          <w:color w:val="000000" w:themeColor="text1"/>
        </w:rPr>
        <w:t>三</w:t>
      </w:r>
      <w:r w:rsidRPr="000B2A94">
        <w:rPr>
          <w:color w:val="000000" w:themeColor="text1"/>
          <w:lang w:eastAsia="zh-HK"/>
        </w:rPr>
        <w:t>節「證據」</w:t>
      </w:r>
      <w:r w:rsidRPr="000B2A94">
        <w:rPr>
          <w:color w:val="000000" w:themeColor="text1"/>
        </w:rPr>
        <w:t>【</w:t>
      </w:r>
      <w:r w:rsidRPr="000B2A94">
        <w:rPr>
          <w:color w:val="000000" w:themeColor="text1"/>
          <w:lang w:eastAsia="zh-HK"/>
        </w:rPr>
        <w:t>含鑑定】</w:t>
      </w:r>
      <w:r w:rsidRPr="000B2A94">
        <w:rPr>
          <w:color w:val="000000" w:themeColor="text1"/>
        </w:rPr>
        <w:t>)</w:t>
      </w:r>
      <w:r w:rsidRPr="000B2A94">
        <w:rPr>
          <w:rFonts w:eastAsia="新細明體"/>
          <w:color w:val="000000" w:themeColor="text1"/>
          <w:lang w:eastAsia="zh-HK"/>
        </w:rPr>
        <w:t>、</w:t>
      </w:r>
      <w:r w:rsidRPr="000B2A94">
        <w:rPr>
          <w:color w:val="000000" w:themeColor="text1"/>
          <w:lang w:eastAsia="zh-HK"/>
        </w:rPr>
        <w:t>第</w:t>
      </w:r>
      <w:r w:rsidRPr="000B2A94">
        <w:rPr>
          <w:color w:val="000000" w:themeColor="text1"/>
        </w:rPr>
        <w:t>68</w:t>
      </w:r>
      <w:r w:rsidRPr="000B2A94">
        <w:rPr>
          <w:color w:val="000000" w:themeColor="text1"/>
          <w:lang w:eastAsia="zh-HK"/>
        </w:rPr>
        <w:t>條、第</w:t>
      </w:r>
      <w:r w:rsidRPr="000B2A94">
        <w:rPr>
          <w:color w:val="000000" w:themeColor="text1"/>
        </w:rPr>
        <w:t>97</w:t>
      </w:r>
      <w:r w:rsidRPr="000B2A94">
        <w:rPr>
          <w:color w:val="000000" w:themeColor="text1"/>
          <w:lang w:eastAsia="zh-HK"/>
        </w:rPr>
        <w:t>條</w:t>
      </w:r>
      <w:r w:rsidRPr="000B2A94">
        <w:rPr>
          <w:color w:val="000000" w:themeColor="text1"/>
        </w:rPr>
        <w:t>(</w:t>
      </w:r>
      <w:r w:rsidRPr="000B2A94">
        <w:rPr>
          <w:color w:val="000000" w:themeColor="text1"/>
          <w:lang w:eastAsia="zh-HK"/>
        </w:rPr>
        <w:t>準用非訟事件法第</w:t>
      </w:r>
      <w:r w:rsidRPr="000B2A94">
        <w:rPr>
          <w:color w:val="000000" w:themeColor="text1"/>
        </w:rPr>
        <w:t>31</w:t>
      </w:r>
      <w:r w:rsidRPr="000B2A94">
        <w:rPr>
          <w:color w:val="000000" w:themeColor="text1"/>
          <w:lang w:eastAsia="zh-HK"/>
        </w:rPr>
        <w:t>條再準用民事訴訟法第</w:t>
      </w:r>
      <w:r w:rsidRPr="000B2A94">
        <w:rPr>
          <w:color w:val="000000" w:themeColor="text1"/>
        </w:rPr>
        <w:t>二</w:t>
      </w:r>
      <w:r w:rsidRPr="000B2A94">
        <w:rPr>
          <w:color w:val="000000" w:themeColor="text1"/>
          <w:lang w:eastAsia="zh-HK"/>
        </w:rPr>
        <w:t>編第一章第</w:t>
      </w:r>
      <w:r w:rsidRPr="000B2A94">
        <w:rPr>
          <w:color w:val="000000" w:themeColor="text1"/>
        </w:rPr>
        <w:t>三</w:t>
      </w:r>
      <w:r w:rsidRPr="000B2A94">
        <w:rPr>
          <w:color w:val="000000" w:themeColor="text1"/>
          <w:lang w:eastAsia="zh-HK"/>
        </w:rPr>
        <w:t>節「證據」</w:t>
      </w:r>
      <w:r w:rsidRPr="000B2A94">
        <w:rPr>
          <w:color w:val="000000" w:themeColor="text1"/>
        </w:rPr>
        <w:t>【</w:t>
      </w:r>
      <w:r w:rsidRPr="000B2A94">
        <w:rPr>
          <w:color w:val="000000" w:themeColor="text1"/>
          <w:lang w:eastAsia="zh-HK"/>
        </w:rPr>
        <w:t>含鑑定】</w:t>
      </w:r>
      <w:r w:rsidRPr="000B2A94">
        <w:rPr>
          <w:color w:val="000000" w:themeColor="text1"/>
        </w:rPr>
        <w:t>)</w:t>
      </w:r>
      <w:r w:rsidRPr="000B2A94">
        <w:rPr>
          <w:rFonts w:eastAsia="新細明體"/>
          <w:color w:val="000000" w:themeColor="text1"/>
          <w:lang w:eastAsia="zh-HK"/>
        </w:rPr>
        <w:t>、</w:t>
      </w:r>
      <w:r w:rsidRPr="000B2A94">
        <w:rPr>
          <w:color w:val="000000" w:themeColor="text1"/>
          <w:lang w:eastAsia="zh-HK"/>
        </w:rPr>
        <w:t>第</w:t>
      </w:r>
      <w:r w:rsidRPr="000B2A94">
        <w:rPr>
          <w:color w:val="000000" w:themeColor="text1"/>
        </w:rPr>
        <w:t>167</w:t>
      </w:r>
      <w:r w:rsidRPr="000B2A94">
        <w:rPr>
          <w:color w:val="000000" w:themeColor="text1"/>
          <w:lang w:eastAsia="zh-HK"/>
        </w:rPr>
        <w:t>條、第</w:t>
      </w:r>
      <w:r w:rsidRPr="000B2A94">
        <w:rPr>
          <w:color w:val="000000" w:themeColor="text1"/>
        </w:rPr>
        <w:t>172</w:t>
      </w:r>
      <w:r w:rsidRPr="000B2A94">
        <w:rPr>
          <w:color w:val="000000" w:themeColor="text1"/>
          <w:lang w:eastAsia="zh-HK"/>
        </w:rPr>
        <w:t>條第</w:t>
      </w:r>
      <w:r w:rsidRPr="000B2A94">
        <w:rPr>
          <w:color w:val="000000" w:themeColor="text1"/>
        </w:rPr>
        <w:t>2</w:t>
      </w:r>
      <w:r w:rsidRPr="000B2A94">
        <w:rPr>
          <w:color w:val="000000" w:themeColor="text1"/>
          <w:lang w:eastAsia="zh-HK"/>
        </w:rPr>
        <w:t>項、第</w:t>
      </w:r>
      <w:r w:rsidRPr="000B2A94">
        <w:rPr>
          <w:color w:val="000000" w:themeColor="text1"/>
        </w:rPr>
        <w:t>178</w:t>
      </w:r>
      <w:r w:rsidRPr="000B2A94">
        <w:rPr>
          <w:color w:val="000000" w:themeColor="text1"/>
          <w:lang w:eastAsia="zh-HK"/>
        </w:rPr>
        <w:t>條第</w:t>
      </w:r>
      <w:r w:rsidRPr="000B2A94">
        <w:rPr>
          <w:color w:val="000000" w:themeColor="text1"/>
        </w:rPr>
        <w:t>2</w:t>
      </w:r>
      <w:r w:rsidRPr="000B2A94">
        <w:rPr>
          <w:color w:val="000000" w:themeColor="text1"/>
          <w:lang w:eastAsia="zh-HK"/>
        </w:rPr>
        <w:t>項、第</w:t>
      </w:r>
      <w:r w:rsidRPr="000B2A94">
        <w:rPr>
          <w:color w:val="000000" w:themeColor="text1"/>
        </w:rPr>
        <w:t>180</w:t>
      </w:r>
      <w:r w:rsidRPr="000B2A94">
        <w:rPr>
          <w:color w:val="000000" w:themeColor="text1"/>
          <w:lang w:eastAsia="zh-HK"/>
        </w:rPr>
        <w:t>條第</w:t>
      </w:r>
      <w:r w:rsidRPr="000B2A94">
        <w:rPr>
          <w:color w:val="000000" w:themeColor="text1"/>
        </w:rPr>
        <w:t>6</w:t>
      </w:r>
      <w:r w:rsidRPr="000B2A94">
        <w:rPr>
          <w:color w:val="000000" w:themeColor="text1"/>
          <w:lang w:eastAsia="zh-HK"/>
        </w:rPr>
        <w:t>項等</w:t>
      </w:r>
      <w:r w:rsidRPr="000B2A94">
        <w:rPr>
          <w:color w:val="000000" w:themeColor="text1"/>
        </w:rPr>
        <w:t>。</w:t>
      </w:r>
    </w:p>
    <w:p w:rsidR="00F956E8" w:rsidRPr="000B2A94" w:rsidRDefault="00396EF0" w:rsidP="00962F57">
      <w:pPr>
        <w:pStyle w:val="4"/>
        <w:rPr>
          <w:color w:val="000000" w:themeColor="text1"/>
        </w:rPr>
      </w:pPr>
      <w:r w:rsidRPr="000B2A94">
        <w:rPr>
          <w:color w:val="000000" w:themeColor="text1"/>
        </w:rPr>
        <w:t>鑑定之範圍</w:t>
      </w:r>
    </w:p>
    <w:p w:rsidR="00F956E8" w:rsidRPr="000B2A94" w:rsidRDefault="00F956E8" w:rsidP="00962F57">
      <w:pPr>
        <w:pStyle w:val="5"/>
        <w:rPr>
          <w:color w:val="000000" w:themeColor="text1"/>
        </w:rPr>
      </w:pPr>
      <w:r w:rsidRPr="000B2A94">
        <w:rPr>
          <w:color w:val="000000" w:themeColor="text1"/>
          <w:lang w:eastAsia="zh-HK"/>
        </w:rPr>
        <w:t>少年事件</w:t>
      </w:r>
    </w:p>
    <w:p w:rsidR="00F956E8" w:rsidRPr="000B2A94" w:rsidRDefault="00F956E8" w:rsidP="00F956E8">
      <w:pPr>
        <w:pStyle w:val="51"/>
        <w:ind w:left="2041" w:firstLine="680"/>
        <w:rPr>
          <w:rFonts w:ascii="Times New Roman"/>
          <w:color w:val="000000" w:themeColor="text1"/>
        </w:rPr>
      </w:pPr>
      <w:r w:rsidRPr="000B2A94">
        <w:rPr>
          <w:rFonts w:ascii="Times New Roman"/>
          <w:color w:val="000000" w:themeColor="text1"/>
          <w:lang w:eastAsia="zh-HK"/>
        </w:rPr>
        <w:t>原則上與刑事案件所需之司法鑑定範圍相同</w:t>
      </w:r>
      <w:r w:rsidRPr="000B2A94">
        <w:rPr>
          <w:rFonts w:ascii="Times New Roman"/>
          <w:color w:val="000000" w:themeColor="text1"/>
        </w:rPr>
        <w:t>，</w:t>
      </w:r>
      <w:r w:rsidRPr="000B2A94">
        <w:rPr>
          <w:rFonts w:ascii="Times New Roman"/>
          <w:color w:val="000000" w:themeColor="text1"/>
          <w:lang w:eastAsia="zh-HK"/>
        </w:rPr>
        <w:t>包括</w:t>
      </w:r>
      <w:r w:rsidRPr="000B2A94">
        <w:rPr>
          <w:rFonts w:ascii="Times New Roman"/>
          <w:color w:val="000000" w:themeColor="text1"/>
        </w:rPr>
        <w:t>DNA</w:t>
      </w:r>
      <w:r w:rsidRPr="000B2A94">
        <w:rPr>
          <w:rFonts w:ascii="Times New Roman"/>
          <w:color w:val="000000" w:themeColor="text1"/>
        </w:rPr>
        <w:t>、</w:t>
      </w:r>
      <w:r w:rsidRPr="000B2A94">
        <w:rPr>
          <w:rFonts w:ascii="Times New Roman"/>
          <w:color w:val="000000" w:themeColor="text1"/>
          <w:lang w:eastAsia="zh-HK"/>
        </w:rPr>
        <w:t>尿液</w:t>
      </w:r>
      <w:r w:rsidRPr="000B2A94">
        <w:rPr>
          <w:rFonts w:ascii="Times New Roman"/>
          <w:color w:val="000000" w:themeColor="text1"/>
        </w:rPr>
        <w:t>、</w:t>
      </w:r>
      <w:r w:rsidRPr="000B2A94">
        <w:rPr>
          <w:rFonts w:ascii="Times New Roman"/>
          <w:color w:val="000000" w:themeColor="text1"/>
          <w:lang w:eastAsia="zh-HK"/>
        </w:rPr>
        <w:t>測謊、心智、身心障礙、毒品等</w:t>
      </w:r>
      <w:r w:rsidRPr="000B2A94">
        <w:rPr>
          <w:rFonts w:ascii="Times New Roman"/>
          <w:color w:val="000000" w:themeColor="text1"/>
        </w:rPr>
        <w:t>。</w:t>
      </w:r>
    </w:p>
    <w:p w:rsidR="00F956E8" w:rsidRPr="000B2A94" w:rsidRDefault="00F956E8" w:rsidP="00962F57">
      <w:pPr>
        <w:pStyle w:val="5"/>
        <w:rPr>
          <w:rFonts w:ascii="Times New Roman" w:hAnsi="Times New Roman"/>
          <w:color w:val="000000" w:themeColor="text1"/>
        </w:rPr>
      </w:pPr>
      <w:r w:rsidRPr="000B2A94">
        <w:rPr>
          <w:color w:val="000000" w:themeColor="text1"/>
          <w:lang w:eastAsia="zh-HK"/>
        </w:rPr>
        <w:t>家事事件</w:t>
      </w:r>
    </w:p>
    <w:p w:rsidR="00F956E8" w:rsidRPr="000B2A94" w:rsidRDefault="00F956E8" w:rsidP="00F956E8">
      <w:pPr>
        <w:pStyle w:val="51"/>
        <w:ind w:left="2041" w:firstLine="680"/>
        <w:rPr>
          <w:rFonts w:ascii="Times New Roman"/>
          <w:color w:val="000000" w:themeColor="text1"/>
        </w:rPr>
      </w:pPr>
      <w:r w:rsidRPr="000B2A94">
        <w:rPr>
          <w:rFonts w:ascii="Times New Roman"/>
          <w:color w:val="000000" w:themeColor="text1"/>
          <w:lang w:eastAsia="zh-HK"/>
        </w:rPr>
        <w:t>親子關係事件之血型、去</w:t>
      </w:r>
      <w:r w:rsidRPr="000B2A94">
        <w:rPr>
          <w:rFonts w:ascii="Times New Roman"/>
          <w:color w:val="000000" w:themeColor="text1"/>
        </w:rPr>
        <w:t>氧</w:t>
      </w:r>
      <w:r w:rsidRPr="000B2A94">
        <w:rPr>
          <w:rFonts w:ascii="Times New Roman"/>
          <w:color w:val="000000" w:themeColor="text1"/>
          <w:lang w:eastAsia="zh-HK"/>
        </w:rPr>
        <w:t>核醣核酸或其他醫學上之檢驗、監護或輔助宣告事件之精神或心智鑑定</w:t>
      </w:r>
      <w:r w:rsidRPr="000B2A94">
        <w:rPr>
          <w:rFonts w:ascii="Times New Roman"/>
          <w:color w:val="000000" w:themeColor="text1"/>
        </w:rPr>
        <w:t>；</w:t>
      </w:r>
      <w:r w:rsidRPr="000B2A94">
        <w:rPr>
          <w:rFonts w:ascii="Times New Roman"/>
          <w:color w:val="000000" w:themeColor="text1"/>
          <w:lang w:eastAsia="zh-HK"/>
        </w:rPr>
        <w:t>其他鑑定項目，原則上與民事事件所需之司法鑑定範圍相同</w:t>
      </w:r>
      <w:r w:rsidRPr="000B2A94">
        <w:rPr>
          <w:rFonts w:ascii="Times New Roman"/>
          <w:color w:val="000000" w:themeColor="text1"/>
        </w:rPr>
        <w:t>。</w:t>
      </w:r>
    </w:p>
    <w:p w:rsidR="00F956E8" w:rsidRPr="000B2A94" w:rsidRDefault="00396EF0" w:rsidP="00F956E8">
      <w:pPr>
        <w:pStyle w:val="4"/>
        <w:numPr>
          <w:ilvl w:val="3"/>
          <w:numId w:val="1"/>
        </w:numPr>
        <w:overflowPunct/>
        <w:autoSpaceDE/>
        <w:autoSpaceDN/>
        <w:ind w:left="3676" w:hanging="2542"/>
        <w:rPr>
          <w:rFonts w:ascii="Times New Roman" w:hAnsi="Times New Roman"/>
          <w:color w:val="000000" w:themeColor="text1"/>
        </w:rPr>
      </w:pPr>
      <w:r w:rsidRPr="000B2A94">
        <w:rPr>
          <w:rFonts w:ascii="Times New Roman" w:hAnsi="Times New Roman"/>
          <w:color w:val="000000" w:themeColor="text1"/>
        </w:rPr>
        <w:t>鑑定進行程序及鑑定機構之選定</w:t>
      </w:r>
    </w:p>
    <w:p w:rsidR="00396EF0" w:rsidRPr="000B2A94" w:rsidRDefault="00F956E8" w:rsidP="00396EF0">
      <w:pPr>
        <w:pStyle w:val="5"/>
        <w:rPr>
          <w:color w:val="000000" w:themeColor="text1"/>
        </w:rPr>
      </w:pPr>
      <w:r w:rsidRPr="000B2A94">
        <w:rPr>
          <w:rFonts w:ascii="Times New Roman" w:hAnsi="Times New Roman"/>
          <w:color w:val="000000" w:themeColor="text1"/>
          <w:szCs w:val="32"/>
          <w:lang w:eastAsia="zh-HK"/>
        </w:rPr>
        <w:t>少年</w:t>
      </w:r>
      <w:r w:rsidRPr="000B2A94">
        <w:rPr>
          <w:color w:val="000000" w:themeColor="text1"/>
          <w:lang w:eastAsia="zh-HK"/>
        </w:rPr>
        <w:t>事件</w:t>
      </w:r>
    </w:p>
    <w:p w:rsidR="00F956E8" w:rsidRPr="000B2A94" w:rsidRDefault="00F956E8" w:rsidP="00396EF0">
      <w:pPr>
        <w:pStyle w:val="51"/>
        <w:ind w:left="2041" w:firstLine="680"/>
        <w:rPr>
          <w:color w:val="000000" w:themeColor="text1"/>
        </w:rPr>
      </w:pPr>
      <w:r w:rsidRPr="000B2A94">
        <w:rPr>
          <w:color w:val="000000" w:themeColor="text1"/>
          <w:lang w:eastAsia="zh-HK"/>
        </w:rPr>
        <w:t>原則上與刑事案件</w:t>
      </w:r>
      <w:r w:rsidRPr="000B2A94">
        <w:rPr>
          <w:rFonts w:ascii="Times New Roman"/>
          <w:color w:val="000000" w:themeColor="text1"/>
          <w:lang w:eastAsia="zh-HK"/>
        </w:rPr>
        <w:t>相同</w:t>
      </w:r>
      <w:r w:rsidRPr="000B2A94">
        <w:rPr>
          <w:color w:val="000000" w:themeColor="text1"/>
        </w:rPr>
        <w:t>。</w:t>
      </w:r>
    </w:p>
    <w:p w:rsidR="00F956E8" w:rsidRPr="000B2A94" w:rsidRDefault="00F956E8" w:rsidP="00962F57">
      <w:pPr>
        <w:pStyle w:val="5"/>
        <w:rPr>
          <w:rFonts w:ascii="Times New Roman" w:hAnsi="Times New Roman"/>
          <w:color w:val="000000" w:themeColor="text1"/>
        </w:rPr>
      </w:pPr>
      <w:r w:rsidRPr="000B2A94">
        <w:rPr>
          <w:rFonts w:ascii="Times New Roman" w:hAnsi="Times New Roman"/>
          <w:color w:val="000000" w:themeColor="text1"/>
          <w:lang w:eastAsia="zh-HK"/>
        </w:rPr>
        <w:t>家事事件</w:t>
      </w:r>
    </w:p>
    <w:p w:rsidR="00F956E8" w:rsidRPr="000B2A94" w:rsidRDefault="00F956E8" w:rsidP="00F956E8">
      <w:pPr>
        <w:pStyle w:val="51"/>
        <w:ind w:left="2041" w:firstLine="680"/>
        <w:rPr>
          <w:rFonts w:ascii="Times New Roman"/>
          <w:color w:val="000000" w:themeColor="text1"/>
        </w:rPr>
      </w:pPr>
      <w:r w:rsidRPr="000B2A94">
        <w:rPr>
          <w:rFonts w:ascii="Times New Roman"/>
          <w:color w:val="000000" w:themeColor="text1"/>
        </w:rPr>
        <w:t>原則上與刑事案件相同，謹就家事事件法</w:t>
      </w:r>
      <w:r w:rsidRPr="000B2A94">
        <w:rPr>
          <w:rFonts w:ascii="Times New Roman"/>
          <w:color w:val="000000" w:themeColor="text1"/>
        </w:rPr>
        <w:lastRenderedPageBreak/>
        <w:t>所定親子關係事件之醫學檢驗、監護或輔助宣告事件之精神或心智鑑定說明如下：</w:t>
      </w:r>
    </w:p>
    <w:p w:rsidR="00F956E8" w:rsidRPr="000B2A94" w:rsidRDefault="00F956E8" w:rsidP="00962F57">
      <w:pPr>
        <w:pStyle w:val="6"/>
        <w:rPr>
          <w:color w:val="000000" w:themeColor="text1"/>
        </w:rPr>
      </w:pPr>
      <w:r w:rsidRPr="000B2A94">
        <w:rPr>
          <w:color w:val="000000" w:themeColor="text1"/>
          <w:lang w:eastAsia="zh-HK"/>
        </w:rPr>
        <w:t>親子關係</w:t>
      </w:r>
      <w:r w:rsidR="00396EF0" w:rsidRPr="000B2A94">
        <w:rPr>
          <w:color w:val="000000" w:themeColor="text1"/>
        </w:rPr>
        <w:t>事件之醫學檢驗</w:t>
      </w:r>
    </w:p>
    <w:p w:rsidR="00F956E8" w:rsidRPr="000B2A94" w:rsidRDefault="00F956E8" w:rsidP="00962F57">
      <w:pPr>
        <w:pStyle w:val="7"/>
        <w:rPr>
          <w:color w:val="000000" w:themeColor="text1"/>
        </w:rPr>
      </w:pPr>
      <w:r w:rsidRPr="000B2A94">
        <w:rPr>
          <w:color w:val="000000" w:themeColor="text1"/>
          <w:lang w:eastAsia="zh-HK"/>
        </w:rPr>
        <w:t>程序</w:t>
      </w:r>
      <w:r w:rsidRPr="000B2A94">
        <w:rPr>
          <w:color w:val="000000" w:themeColor="text1"/>
        </w:rPr>
        <w:t>（</w:t>
      </w:r>
      <w:r w:rsidRPr="000B2A94">
        <w:rPr>
          <w:color w:val="000000" w:themeColor="text1"/>
          <w:lang w:eastAsia="zh-HK"/>
        </w:rPr>
        <w:t>家事事件法第</w:t>
      </w:r>
      <w:r w:rsidRPr="000B2A94">
        <w:rPr>
          <w:color w:val="000000" w:themeColor="text1"/>
        </w:rPr>
        <w:t>68</w:t>
      </w:r>
      <w:r w:rsidRPr="000B2A94">
        <w:rPr>
          <w:color w:val="000000" w:themeColor="text1"/>
          <w:lang w:eastAsia="zh-HK"/>
        </w:rPr>
        <w:t>條</w:t>
      </w:r>
      <w:r w:rsidR="00396EF0" w:rsidRPr="000B2A94">
        <w:rPr>
          <w:color w:val="000000" w:themeColor="text1"/>
        </w:rPr>
        <w:t>）</w:t>
      </w:r>
    </w:p>
    <w:p w:rsidR="00F956E8" w:rsidRPr="000B2A94" w:rsidRDefault="00F956E8" w:rsidP="00962F57">
      <w:pPr>
        <w:pStyle w:val="71"/>
        <w:ind w:left="2721" w:firstLine="680"/>
        <w:rPr>
          <w:color w:val="000000" w:themeColor="text1"/>
        </w:rPr>
      </w:pPr>
      <w:r w:rsidRPr="000B2A94">
        <w:rPr>
          <w:color w:val="000000" w:themeColor="text1"/>
        </w:rPr>
        <w:t>法院認有必要時，得依聲請或依職權命當事人或關係人限期接受血型、去氣核醣核酸或其他醫學上之檢驗。但為聲請之當事人應釋明有事實足以懷疑血緣關係存否者，始得為之；其檢驗，應依醫學上認可之程序及方法行之。法院為命檢驗之裁定前，應使當事人或關係人有陳述意見之機會。</w:t>
      </w:r>
    </w:p>
    <w:p w:rsidR="00F956E8" w:rsidRPr="000B2A94" w:rsidRDefault="00396EF0" w:rsidP="00962F57">
      <w:pPr>
        <w:pStyle w:val="7"/>
        <w:rPr>
          <w:color w:val="000000" w:themeColor="text1"/>
          <w:lang w:eastAsia="zh-HK"/>
        </w:rPr>
      </w:pPr>
      <w:r w:rsidRPr="000B2A94">
        <w:rPr>
          <w:color w:val="000000" w:themeColor="text1"/>
          <w:lang w:eastAsia="zh-HK"/>
        </w:rPr>
        <w:t>鑑定機構選定</w:t>
      </w:r>
    </w:p>
    <w:p w:rsidR="00F956E8" w:rsidRPr="000B2A94" w:rsidRDefault="00F956E8" w:rsidP="00962F57">
      <w:pPr>
        <w:pStyle w:val="71"/>
        <w:ind w:left="2721" w:firstLine="680"/>
        <w:rPr>
          <w:color w:val="000000" w:themeColor="text1"/>
        </w:rPr>
      </w:pPr>
      <w:r w:rsidRPr="000B2A94">
        <w:rPr>
          <w:color w:val="000000" w:themeColor="text1"/>
          <w:lang w:eastAsia="zh-HK"/>
        </w:rPr>
        <w:t>由法院聽取當事人之意見後，選定鑑定機構，或由當事人合意鑑定機構後，聲請法院選定。其後</w:t>
      </w:r>
      <w:r w:rsidRPr="000B2A94">
        <w:rPr>
          <w:color w:val="000000" w:themeColor="text1"/>
        </w:rPr>
        <w:t>由</w:t>
      </w:r>
      <w:r w:rsidRPr="000B2A94">
        <w:rPr>
          <w:color w:val="000000" w:themeColor="text1"/>
          <w:lang w:eastAsia="zh-HK"/>
        </w:rPr>
        <w:t>法院檢送相關資料函請鑑定機構於當事人繳納鑑定費用後，進行鑑定。</w:t>
      </w:r>
    </w:p>
    <w:p w:rsidR="00F956E8" w:rsidRPr="000B2A94" w:rsidRDefault="00396EF0" w:rsidP="00962F57">
      <w:pPr>
        <w:pStyle w:val="6"/>
        <w:rPr>
          <w:color w:val="000000" w:themeColor="text1"/>
        </w:rPr>
      </w:pPr>
      <w:r w:rsidRPr="000B2A94">
        <w:rPr>
          <w:color w:val="000000" w:themeColor="text1"/>
        </w:rPr>
        <w:t>監護或輔助宣告事件之精神或心智鑑定</w:t>
      </w:r>
    </w:p>
    <w:p w:rsidR="00F956E8" w:rsidRPr="000B2A94" w:rsidRDefault="00F956E8" w:rsidP="00962F57">
      <w:pPr>
        <w:pStyle w:val="7"/>
        <w:rPr>
          <w:color w:val="000000" w:themeColor="text1"/>
        </w:rPr>
      </w:pPr>
      <w:r w:rsidRPr="000B2A94">
        <w:rPr>
          <w:color w:val="000000" w:themeColor="text1"/>
          <w:lang w:eastAsia="zh-HK"/>
        </w:rPr>
        <w:t>程序</w:t>
      </w:r>
      <w:r w:rsidRPr="000B2A94">
        <w:rPr>
          <w:color w:val="000000" w:themeColor="text1"/>
        </w:rPr>
        <w:t>（家事事件法第167條、第172條、第178條、第180</w:t>
      </w:r>
      <w:r w:rsidR="00396EF0" w:rsidRPr="000B2A94">
        <w:rPr>
          <w:color w:val="000000" w:themeColor="text1"/>
        </w:rPr>
        <w:t>條）</w:t>
      </w:r>
    </w:p>
    <w:p w:rsidR="00F956E8" w:rsidRPr="000B2A94" w:rsidRDefault="00F956E8" w:rsidP="00962F57">
      <w:pPr>
        <w:pStyle w:val="8"/>
        <w:rPr>
          <w:color w:val="000000" w:themeColor="text1"/>
        </w:rPr>
      </w:pPr>
      <w:r w:rsidRPr="000B2A94">
        <w:rPr>
          <w:color w:val="000000" w:themeColor="text1"/>
          <w:lang w:eastAsia="zh-HK"/>
        </w:rPr>
        <w:t>法院應於鑑定人前訊問應受監護</w:t>
      </w:r>
      <w:r w:rsidRPr="000B2A94">
        <w:rPr>
          <w:color w:val="000000" w:themeColor="text1"/>
        </w:rPr>
        <w:t>（輔助）宣告人。</w:t>
      </w:r>
    </w:p>
    <w:p w:rsidR="00F956E8" w:rsidRPr="000B2A94" w:rsidRDefault="00F956E8" w:rsidP="00962F57">
      <w:pPr>
        <w:pStyle w:val="8"/>
        <w:rPr>
          <w:color w:val="000000" w:themeColor="text1"/>
        </w:rPr>
      </w:pPr>
      <w:r w:rsidRPr="000B2A94">
        <w:rPr>
          <w:color w:val="000000" w:themeColor="text1"/>
        </w:rPr>
        <w:t>參酌當事人或關係人之意見，或視具體個案狀況，指定醫療院(診)所，函請醫療院(診)所安排鑑定期日。</w:t>
      </w:r>
    </w:p>
    <w:p w:rsidR="00F956E8" w:rsidRPr="000B2A94" w:rsidRDefault="00F956E8" w:rsidP="00962F57">
      <w:pPr>
        <w:pStyle w:val="8"/>
        <w:rPr>
          <w:color w:val="000000" w:themeColor="text1"/>
        </w:rPr>
      </w:pPr>
      <w:r w:rsidRPr="000B2A94">
        <w:rPr>
          <w:color w:val="000000" w:themeColor="text1"/>
        </w:rPr>
        <w:t>法官於鑑定當日，在鑑定人（即精神科醫師或具精神科經驗之醫師）面前詢問應受監護（輔助）宣</w:t>
      </w:r>
      <w:r w:rsidRPr="000B2A94">
        <w:rPr>
          <w:color w:val="000000" w:themeColor="text1"/>
          <w:lang w:eastAsia="zh-HK"/>
        </w:rPr>
        <w:t>告人，其後由鑑定人進行鑑定，再將鑑定報告函復法院。</w:t>
      </w:r>
    </w:p>
    <w:p w:rsidR="00F956E8" w:rsidRPr="000B2A94" w:rsidRDefault="00396EF0" w:rsidP="00962F57">
      <w:pPr>
        <w:pStyle w:val="7"/>
        <w:rPr>
          <w:color w:val="000000" w:themeColor="text1"/>
        </w:rPr>
      </w:pPr>
      <w:r w:rsidRPr="000B2A94">
        <w:rPr>
          <w:color w:val="000000" w:themeColor="text1"/>
        </w:rPr>
        <w:lastRenderedPageBreak/>
        <w:t>鑑定機構選定</w:t>
      </w:r>
    </w:p>
    <w:p w:rsidR="00F956E8" w:rsidRPr="000B2A94" w:rsidRDefault="00F956E8" w:rsidP="00962F57">
      <w:pPr>
        <w:pStyle w:val="8"/>
        <w:rPr>
          <w:color w:val="000000" w:themeColor="text1"/>
        </w:rPr>
      </w:pPr>
      <w:r w:rsidRPr="000B2A94">
        <w:rPr>
          <w:color w:val="000000" w:themeColor="text1"/>
          <w:lang w:eastAsia="zh-HK"/>
        </w:rPr>
        <w:t>法院參酌當事人或關係人之意見，或視具體個案狀況</w:t>
      </w:r>
      <w:r w:rsidRPr="000B2A94">
        <w:rPr>
          <w:color w:val="000000" w:themeColor="text1"/>
        </w:rPr>
        <w:t>，指定醫療院(診)所。就鑑定機構之選定，詳參前述1、（3）之說明。</w:t>
      </w:r>
    </w:p>
    <w:p w:rsidR="00F956E8" w:rsidRPr="000B2A94" w:rsidRDefault="00F956E8" w:rsidP="004F700A">
      <w:pPr>
        <w:pStyle w:val="8"/>
        <w:wordWrap w:val="0"/>
        <w:rPr>
          <w:color w:val="000000" w:themeColor="text1"/>
        </w:rPr>
      </w:pPr>
      <w:r w:rsidRPr="000B2A94">
        <w:rPr>
          <w:color w:val="000000" w:themeColor="text1"/>
        </w:rPr>
        <w:t>另該院網站已張貼各縣巿政府核定所轄醫療院所辦理監護輔助宣告精神鑑定收費基準、鑑定醫療院所參考名冊、鑑定補助一覽表，以供法院</w:t>
      </w:r>
      <w:r w:rsidRPr="000B2A94">
        <w:rPr>
          <w:color w:val="000000" w:themeColor="text1"/>
          <w:lang w:eastAsia="zh-HK"/>
        </w:rPr>
        <w:t>及</w:t>
      </w:r>
      <w:r w:rsidRPr="000B2A94">
        <w:rPr>
          <w:color w:val="000000" w:themeColor="text1"/>
        </w:rPr>
        <w:t>各</w:t>
      </w:r>
      <w:r w:rsidRPr="000B2A94">
        <w:rPr>
          <w:color w:val="000000" w:themeColor="text1"/>
          <w:lang w:eastAsia="zh-HK"/>
        </w:rPr>
        <w:t>界</w:t>
      </w:r>
      <w:r w:rsidRPr="000B2A94">
        <w:rPr>
          <w:color w:val="000000" w:themeColor="text1"/>
        </w:rPr>
        <w:t>查詢</w:t>
      </w:r>
      <w:r w:rsidRPr="000B2A94">
        <w:rPr>
          <w:color w:val="000000" w:themeColor="text1"/>
          <w:lang w:eastAsia="zh-HK"/>
        </w:rPr>
        <w:t>參考</w:t>
      </w:r>
      <w:r w:rsidRPr="000B2A94">
        <w:rPr>
          <w:color w:val="000000" w:themeColor="text1"/>
        </w:rPr>
        <w:t>（司法院全球資訊網/</w:t>
      </w:r>
      <w:r w:rsidRPr="000B2A94">
        <w:rPr>
          <w:color w:val="000000" w:themeColor="text1"/>
          <w:lang w:eastAsia="zh-HK"/>
        </w:rPr>
        <w:t>業務綜覽</w:t>
      </w:r>
      <w:r w:rsidRPr="000B2A94">
        <w:rPr>
          <w:color w:val="000000" w:themeColor="text1"/>
        </w:rPr>
        <w:t>／</w:t>
      </w:r>
      <w:r w:rsidRPr="000B2A94">
        <w:rPr>
          <w:color w:val="000000" w:themeColor="text1"/>
          <w:lang w:eastAsia="zh-HK"/>
        </w:rPr>
        <w:t>少年及家事</w:t>
      </w:r>
      <w:r w:rsidRPr="000B2A94">
        <w:rPr>
          <w:color w:val="000000" w:themeColor="text1"/>
        </w:rPr>
        <w:t>／</w:t>
      </w:r>
      <w:r w:rsidRPr="000B2A94">
        <w:rPr>
          <w:color w:val="000000" w:themeColor="text1"/>
          <w:lang w:eastAsia="zh-HK"/>
        </w:rPr>
        <w:t>家事事件</w:t>
      </w:r>
      <w:r w:rsidRPr="000B2A94">
        <w:rPr>
          <w:color w:val="000000" w:themeColor="text1"/>
        </w:rPr>
        <w:t>／</w:t>
      </w:r>
      <w:r w:rsidRPr="000B2A94">
        <w:rPr>
          <w:color w:val="000000" w:themeColor="text1"/>
          <w:lang w:eastAsia="zh-HK"/>
        </w:rPr>
        <w:t>監護</w:t>
      </w:r>
      <w:r w:rsidRPr="000B2A94">
        <w:rPr>
          <w:color w:val="000000" w:themeColor="text1"/>
        </w:rPr>
        <w:t>/</w:t>
      </w:r>
      <w:r w:rsidRPr="000B2A94">
        <w:rPr>
          <w:color w:val="000000" w:themeColor="text1"/>
          <w:lang w:eastAsia="zh-HK"/>
        </w:rPr>
        <w:t>輔助宣告</w:t>
      </w:r>
      <w:r w:rsidRPr="000B2A94">
        <w:rPr>
          <w:rFonts w:ascii="Times New Roman" w:hAnsi="Times New Roman"/>
          <w:color w:val="000000" w:themeColor="text1"/>
          <w:lang w:eastAsia="zh-HK"/>
        </w:rPr>
        <w:t>篇</w:t>
      </w:r>
      <w:r w:rsidRPr="000B2A94">
        <w:rPr>
          <w:rFonts w:ascii="Times New Roman" w:hAnsi="Times New Roman"/>
          <w:color w:val="000000" w:themeColor="text1"/>
          <w:spacing w:val="-30"/>
        </w:rPr>
        <w:t>《</w:t>
      </w:r>
      <w:r w:rsidRPr="000B2A94">
        <w:rPr>
          <w:rFonts w:ascii="Times New Roman" w:hAnsi="Times New Roman"/>
          <w:color w:val="000000" w:themeColor="text1"/>
          <w:spacing w:val="-30"/>
          <w:lang w:eastAsia="zh-HK"/>
        </w:rPr>
        <w:t>網址：</w:t>
      </w:r>
      <w:r w:rsidRPr="000B2A94">
        <w:rPr>
          <w:rFonts w:ascii="Times New Roman" w:hAnsi="Times New Roman"/>
          <w:color w:val="000000" w:themeColor="text1"/>
          <w:spacing w:val="-30"/>
          <w:lang w:eastAsia="zh-HK"/>
        </w:rPr>
        <w:t>https://www.judicial.gov.tw/work/work08-1.asp</w:t>
      </w:r>
      <w:r w:rsidRPr="000B2A94">
        <w:rPr>
          <w:rFonts w:ascii="Times New Roman" w:hAnsi="Times New Roman"/>
          <w:color w:val="000000" w:themeColor="text1"/>
          <w:spacing w:val="-30"/>
        </w:rPr>
        <w:t>》</w:t>
      </w:r>
      <w:r w:rsidRPr="000B2A94">
        <w:rPr>
          <w:rFonts w:ascii="Times New Roman" w:hAnsi="Times New Roman"/>
          <w:color w:val="000000" w:themeColor="text1"/>
        </w:rPr>
        <w:t>）。</w:t>
      </w:r>
    </w:p>
    <w:p w:rsidR="00F956E8" w:rsidRPr="000B2A94" w:rsidRDefault="00F956E8" w:rsidP="007E1CFE">
      <w:pPr>
        <w:pStyle w:val="2"/>
        <w:rPr>
          <w:b/>
          <w:color w:val="000000" w:themeColor="text1"/>
        </w:rPr>
      </w:pPr>
      <w:bookmarkStart w:id="211" w:name="_Toc28606808"/>
      <w:r w:rsidRPr="000B2A94">
        <w:rPr>
          <w:b/>
          <w:color w:val="000000" w:themeColor="text1"/>
        </w:rPr>
        <w:t>現行鑑識機構簡介</w:t>
      </w:r>
      <w:bookmarkEnd w:id="211"/>
    </w:p>
    <w:p w:rsidR="00F956E8" w:rsidRPr="000B2A94" w:rsidRDefault="00F956E8" w:rsidP="004F700A">
      <w:pPr>
        <w:pStyle w:val="3"/>
        <w:rPr>
          <w:color w:val="000000" w:themeColor="text1"/>
        </w:rPr>
      </w:pPr>
      <w:bookmarkStart w:id="212" w:name="_Toc27399838"/>
      <w:bookmarkStart w:id="213" w:name="_Toc28606619"/>
      <w:r w:rsidRPr="000B2A94">
        <w:rPr>
          <w:color w:val="000000" w:themeColor="text1"/>
        </w:rPr>
        <w:t>法務部調查局</w:t>
      </w:r>
      <w:r w:rsidRPr="000B2A94">
        <w:rPr>
          <w:rStyle w:val="aff1"/>
          <w:rFonts w:ascii="Times New Roman" w:hAnsi="Times New Roman"/>
          <w:color w:val="000000" w:themeColor="text1"/>
        </w:rPr>
        <w:footnoteReference w:id="4"/>
      </w:r>
      <w:bookmarkEnd w:id="212"/>
      <w:bookmarkEnd w:id="213"/>
    </w:p>
    <w:p w:rsidR="00F956E8" w:rsidRPr="000B2A94" w:rsidRDefault="00F956E8" w:rsidP="004F700A">
      <w:pPr>
        <w:pStyle w:val="32"/>
        <w:ind w:left="1361" w:firstLine="680"/>
        <w:rPr>
          <w:color w:val="000000" w:themeColor="text1"/>
        </w:rPr>
      </w:pPr>
      <w:r w:rsidRPr="000B2A94">
        <w:rPr>
          <w:color w:val="000000" w:themeColor="text1"/>
        </w:rPr>
        <w:t>調查局鑑識科學處掌理化學、文書、物理、生物鑑識及科技支援等事項。下設五個科，分別為化學鑑識科、文書鑑識科、物理鑑識科、生物鑑識科及科技支援科，其中「濫用藥物實驗室」（化學鑑識科）、「DNA鑑識實驗室」（生物鑑識科）及「問題文書鑑識實驗室」（文書鑑識科）等3個實驗室，分別於97年、98年及99年通過ISO/IEC 17025國際認證；該局設有資安鑑識實驗室，協助鑑識數位證據；該局另有為民服務之鑑定項目，茲依業務屬性不同，分述如下：</w:t>
      </w:r>
    </w:p>
    <w:p w:rsidR="00F956E8" w:rsidRPr="000B2A94" w:rsidRDefault="000F6481" w:rsidP="004F700A">
      <w:pPr>
        <w:pStyle w:val="4"/>
        <w:rPr>
          <w:color w:val="000000" w:themeColor="text1"/>
        </w:rPr>
      </w:pPr>
      <w:r w:rsidRPr="000B2A94">
        <w:rPr>
          <w:color w:val="000000" w:themeColor="text1"/>
        </w:rPr>
        <w:t>化學鑑識實驗室</w:t>
      </w:r>
    </w:p>
    <w:p w:rsidR="00F956E8" w:rsidRPr="000B2A94" w:rsidRDefault="00F956E8" w:rsidP="004F700A">
      <w:pPr>
        <w:pStyle w:val="42"/>
        <w:ind w:left="1701" w:firstLine="680"/>
        <w:rPr>
          <w:color w:val="000000" w:themeColor="text1"/>
        </w:rPr>
      </w:pPr>
      <w:r w:rsidRPr="000B2A94">
        <w:rPr>
          <w:color w:val="000000" w:themeColor="text1"/>
        </w:rPr>
        <w:t>97年通過「濫用藥物實驗室」ISO/IEC 17025</w:t>
      </w:r>
      <w:r w:rsidRPr="000B2A94">
        <w:rPr>
          <w:color w:val="000000" w:themeColor="text1"/>
        </w:rPr>
        <w:lastRenderedPageBreak/>
        <w:t>國際認證，係國內第一家通過ISO/IEC 17025實驗室品質認證之毒品檢驗實驗室。該實驗室工作內容包括毒藥品證物鑑定、毒品製造工廠鑑定、毒品代謝物鑑定及保育類野生動物產製品鑑定等。平均每年受託鑑定約7,000案，處理檢品數約40,000件以上。</w:t>
      </w:r>
    </w:p>
    <w:p w:rsidR="00F956E8" w:rsidRPr="000B2A94" w:rsidRDefault="000F6481" w:rsidP="004F700A">
      <w:pPr>
        <w:pStyle w:val="4"/>
        <w:rPr>
          <w:color w:val="000000" w:themeColor="text1"/>
        </w:rPr>
      </w:pPr>
      <w:r w:rsidRPr="000B2A94">
        <w:rPr>
          <w:color w:val="000000" w:themeColor="text1"/>
        </w:rPr>
        <w:t>文書鑑識實驗室</w:t>
      </w:r>
    </w:p>
    <w:p w:rsidR="00F956E8" w:rsidRPr="000B2A94" w:rsidRDefault="00F956E8" w:rsidP="004F700A">
      <w:pPr>
        <w:pStyle w:val="42"/>
        <w:ind w:left="1701" w:firstLine="680"/>
        <w:rPr>
          <w:color w:val="000000" w:themeColor="text1"/>
        </w:rPr>
      </w:pPr>
      <w:r w:rsidRPr="000B2A94">
        <w:rPr>
          <w:color w:val="000000" w:themeColor="text1"/>
        </w:rPr>
        <w:t>99年通過「問題文書鑑識實驗室」ISO/IEC 17025國際認證。文書鑑識係運用專業知識、經驗與技術，對問題文件的真偽及疑點提供合理的解釋與判斷，以解決其來源與真實性之爭議。本實驗室工作內容包括：筆跡（簽名）鑑定、印文鑑定、印刷品鑑定、變造文件鑑定與指紋鑑定等。主要接受院檢及調查單位之囑託辦理涉案證物之鑑驗，平均每年受託鑑定約1,300案，處理檢品數約15,000件以上。</w:t>
      </w:r>
    </w:p>
    <w:p w:rsidR="00F956E8" w:rsidRPr="000B2A94" w:rsidRDefault="000F6481" w:rsidP="004F700A">
      <w:pPr>
        <w:pStyle w:val="4"/>
        <w:rPr>
          <w:color w:val="000000" w:themeColor="text1"/>
        </w:rPr>
      </w:pPr>
      <w:r w:rsidRPr="000B2A94">
        <w:rPr>
          <w:color w:val="000000" w:themeColor="text1"/>
        </w:rPr>
        <w:t>物理鑑識實驗室</w:t>
      </w:r>
    </w:p>
    <w:p w:rsidR="00F956E8" w:rsidRPr="000B2A94" w:rsidRDefault="00F956E8" w:rsidP="00F956E8">
      <w:pPr>
        <w:pStyle w:val="42"/>
        <w:ind w:left="1701" w:firstLine="680"/>
        <w:rPr>
          <w:rFonts w:ascii="Times New Roman"/>
          <w:color w:val="000000" w:themeColor="text1"/>
        </w:rPr>
      </w:pPr>
      <w:r w:rsidRPr="000B2A94">
        <w:rPr>
          <w:rFonts w:ascii="Times New Roman"/>
          <w:color w:val="000000" w:themeColor="text1"/>
        </w:rPr>
        <w:t>工作內容包括：聲紋鑑定、</w:t>
      </w:r>
      <w:r w:rsidRPr="000B2A94">
        <w:rPr>
          <w:color w:val="000000" w:themeColor="text1"/>
        </w:rPr>
        <w:t>槍彈</w:t>
      </w:r>
      <w:r w:rsidRPr="000B2A94">
        <w:rPr>
          <w:rFonts w:ascii="Times New Roman"/>
          <w:color w:val="000000" w:themeColor="text1"/>
        </w:rPr>
        <w:t>鑑定、爆炸物偵檢及測謊工作等。</w:t>
      </w:r>
    </w:p>
    <w:p w:rsidR="00F956E8" w:rsidRPr="000B2A94" w:rsidRDefault="00F956E8" w:rsidP="004F700A">
      <w:pPr>
        <w:pStyle w:val="4"/>
        <w:rPr>
          <w:rFonts w:ascii="Times New Roman" w:hAnsi="Times New Roman"/>
          <w:color w:val="000000" w:themeColor="text1"/>
        </w:rPr>
      </w:pPr>
      <w:r w:rsidRPr="000B2A94">
        <w:rPr>
          <w:rFonts w:ascii="Times New Roman" w:hAnsi="Times New Roman"/>
          <w:color w:val="000000" w:themeColor="text1"/>
        </w:rPr>
        <w:t>生物鑑識</w:t>
      </w:r>
      <w:r w:rsidRPr="000B2A94">
        <w:rPr>
          <w:color w:val="000000" w:themeColor="text1"/>
        </w:rPr>
        <w:t>實驗室</w:t>
      </w:r>
    </w:p>
    <w:p w:rsidR="00F956E8" w:rsidRPr="000B2A94" w:rsidRDefault="00F956E8" w:rsidP="00F956E8">
      <w:pPr>
        <w:pStyle w:val="42"/>
        <w:ind w:left="1701" w:firstLine="680"/>
        <w:rPr>
          <w:rFonts w:ascii="Times New Roman"/>
          <w:color w:val="000000" w:themeColor="text1"/>
        </w:rPr>
      </w:pPr>
      <w:r w:rsidRPr="000B2A94">
        <w:rPr>
          <w:rFonts w:ascii="Times New Roman"/>
          <w:color w:val="000000" w:themeColor="text1"/>
        </w:rPr>
        <w:t>98</w:t>
      </w:r>
      <w:r w:rsidRPr="000B2A94">
        <w:rPr>
          <w:rFonts w:ascii="Times New Roman"/>
          <w:color w:val="000000" w:themeColor="text1"/>
        </w:rPr>
        <w:t>年通過「</w:t>
      </w:r>
      <w:r w:rsidRPr="000B2A94">
        <w:rPr>
          <w:rFonts w:ascii="Times New Roman"/>
          <w:color w:val="000000" w:themeColor="text1"/>
        </w:rPr>
        <w:t>DNA</w:t>
      </w:r>
      <w:r w:rsidRPr="000B2A94">
        <w:rPr>
          <w:rFonts w:ascii="Times New Roman"/>
          <w:color w:val="000000" w:themeColor="text1"/>
        </w:rPr>
        <w:t>鑑識實驗室」</w:t>
      </w:r>
      <w:r w:rsidRPr="000B2A94">
        <w:rPr>
          <w:rFonts w:ascii="Times New Roman"/>
          <w:color w:val="000000" w:themeColor="text1"/>
        </w:rPr>
        <w:t>ISO/IEC 17025</w:t>
      </w:r>
      <w:r w:rsidRPr="000B2A94">
        <w:rPr>
          <w:rFonts w:ascii="Times New Roman"/>
          <w:color w:val="000000" w:themeColor="text1"/>
        </w:rPr>
        <w:t>國際認證，是國內刑事鑑識界最早成立的</w:t>
      </w:r>
      <w:r w:rsidRPr="000B2A94">
        <w:rPr>
          <w:rFonts w:ascii="Times New Roman"/>
          <w:color w:val="000000" w:themeColor="text1"/>
        </w:rPr>
        <w:t>DNA</w:t>
      </w:r>
      <w:r w:rsidRPr="000B2A94">
        <w:rPr>
          <w:rFonts w:ascii="Times New Roman"/>
          <w:color w:val="000000" w:themeColor="text1"/>
        </w:rPr>
        <w:t>鑑識實驗室，也是國內鑑識科學領域第</w:t>
      </w:r>
      <w:r w:rsidR="000F6481" w:rsidRPr="000B2A94">
        <w:rPr>
          <w:rFonts w:ascii="Times New Roman" w:hint="eastAsia"/>
          <w:color w:val="000000" w:themeColor="text1"/>
        </w:rPr>
        <w:t>1</w:t>
      </w:r>
      <w:r w:rsidRPr="000B2A94">
        <w:rPr>
          <w:rFonts w:ascii="Times New Roman"/>
          <w:color w:val="000000" w:themeColor="text1"/>
        </w:rPr>
        <w:t>個通過認證的</w:t>
      </w:r>
      <w:r w:rsidRPr="000B2A94">
        <w:rPr>
          <w:rFonts w:ascii="Times New Roman"/>
          <w:color w:val="000000" w:themeColor="text1"/>
        </w:rPr>
        <w:t>DNA</w:t>
      </w:r>
      <w:r w:rsidRPr="000B2A94">
        <w:rPr>
          <w:rFonts w:ascii="Times New Roman"/>
          <w:color w:val="000000" w:themeColor="text1"/>
        </w:rPr>
        <w:t>實驗室。該實驗室</w:t>
      </w:r>
      <w:r w:rsidRPr="000B2A94">
        <w:rPr>
          <w:color w:val="000000" w:themeColor="text1"/>
        </w:rPr>
        <w:t>前身</w:t>
      </w:r>
      <w:r w:rsidRPr="000B2A94">
        <w:rPr>
          <w:rFonts w:ascii="Times New Roman"/>
          <w:color w:val="000000" w:themeColor="text1"/>
        </w:rPr>
        <w:t>為</w:t>
      </w:r>
      <w:r w:rsidRPr="000B2A94">
        <w:rPr>
          <w:rFonts w:ascii="Times New Roman"/>
          <w:color w:val="000000" w:themeColor="text1"/>
        </w:rPr>
        <w:t>47</w:t>
      </w:r>
      <w:r w:rsidRPr="000B2A94">
        <w:rPr>
          <w:rFonts w:ascii="Times New Roman"/>
          <w:color w:val="000000" w:themeColor="text1"/>
        </w:rPr>
        <w:t>年成立之法醫鑑識實驗室，接受各級法院及檢察署囑託辦理有關死因、生物性證物及親子血緣關係等檢鑑工作。</w:t>
      </w:r>
      <w:r w:rsidRPr="000B2A94">
        <w:rPr>
          <w:rFonts w:ascii="Times New Roman"/>
          <w:color w:val="000000" w:themeColor="text1"/>
        </w:rPr>
        <w:t>79</w:t>
      </w:r>
      <w:r w:rsidRPr="000B2A94">
        <w:rPr>
          <w:rFonts w:ascii="Times New Roman"/>
          <w:color w:val="000000" w:themeColor="text1"/>
        </w:rPr>
        <w:t>年起，因司法院為改建廳舍，收回調查局借用臺北市重慶南路之解剖室，遂停止辦理死因鑑定業務，由當時之高等法院檢察署成立法醫中心（現為法務部法醫研究所）接辦，其他鑑定工</w:t>
      </w:r>
      <w:r w:rsidRPr="000B2A94">
        <w:rPr>
          <w:rFonts w:ascii="Times New Roman"/>
          <w:color w:val="000000" w:themeColor="text1"/>
        </w:rPr>
        <w:lastRenderedPageBreak/>
        <w:t>作則隨時代之需要及生物科技之進步陸續增加。該實驗室工作內容包括：生物跡證鑑定、血緣關係鑑定及保育類野生動物產製品鑑定，目前鑑定項目以生物檢體之</w:t>
      </w:r>
      <w:r w:rsidRPr="000B2A94">
        <w:rPr>
          <w:rFonts w:ascii="Times New Roman"/>
          <w:color w:val="000000" w:themeColor="text1"/>
        </w:rPr>
        <w:t>DNA</w:t>
      </w:r>
      <w:r w:rsidRPr="000B2A94">
        <w:rPr>
          <w:rFonts w:ascii="Times New Roman"/>
          <w:color w:val="000000" w:themeColor="text1"/>
        </w:rPr>
        <w:t>鑑定工作為主。</w:t>
      </w:r>
    </w:p>
    <w:p w:rsidR="00F956E8" w:rsidRPr="000B2A94" w:rsidRDefault="00F956E8" w:rsidP="00F956E8">
      <w:pPr>
        <w:pStyle w:val="42"/>
        <w:ind w:left="1701" w:firstLine="680"/>
        <w:rPr>
          <w:rFonts w:ascii="Times New Roman"/>
          <w:color w:val="000000" w:themeColor="text1"/>
        </w:rPr>
      </w:pPr>
      <w:r w:rsidRPr="000B2A94">
        <w:rPr>
          <w:rFonts w:ascii="Times New Roman"/>
          <w:color w:val="000000" w:themeColor="text1"/>
        </w:rPr>
        <w:t>該實驗室為增進檢驗效率、減少人為誤差、並降低材料消耗及環境污染，隨時代科技之演進，陸續採購新式自動化</w:t>
      </w:r>
      <w:r w:rsidRPr="000B2A94">
        <w:rPr>
          <w:rFonts w:ascii="Times New Roman"/>
          <w:color w:val="000000" w:themeColor="text1"/>
        </w:rPr>
        <w:t>DNA</w:t>
      </w:r>
      <w:r w:rsidRPr="000B2A94">
        <w:rPr>
          <w:rFonts w:ascii="Times New Roman"/>
          <w:color w:val="000000" w:themeColor="text1"/>
        </w:rPr>
        <w:t>精密分析儀器，採用新式檢驗技術，並鼓勵同仁提出創新研究計畫，推動技術研發，改進工作方法，以解決困難案件、突破技術瓶頸為目標，致力提升鑑識技術水準。</w:t>
      </w:r>
    </w:p>
    <w:p w:rsidR="00F956E8" w:rsidRPr="000B2A94" w:rsidRDefault="00F956E8" w:rsidP="004F700A">
      <w:pPr>
        <w:pStyle w:val="4"/>
        <w:rPr>
          <w:rFonts w:ascii="Times New Roman" w:hAnsi="Times New Roman"/>
          <w:color w:val="000000" w:themeColor="text1"/>
        </w:rPr>
      </w:pPr>
      <w:r w:rsidRPr="000B2A94">
        <w:rPr>
          <w:rFonts w:ascii="Times New Roman" w:hAnsi="Times New Roman"/>
          <w:color w:val="000000" w:themeColor="text1"/>
        </w:rPr>
        <w:t>影像鑑識</w:t>
      </w:r>
      <w:r w:rsidRPr="000B2A94">
        <w:rPr>
          <w:color w:val="000000" w:themeColor="text1"/>
        </w:rPr>
        <w:t>實驗室</w:t>
      </w:r>
      <w:r w:rsidRPr="000B2A94">
        <w:rPr>
          <w:rFonts w:ascii="Times New Roman" w:hAnsi="Times New Roman"/>
          <w:color w:val="000000" w:themeColor="text1"/>
        </w:rPr>
        <w:t>：</w:t>
      </w:r>
    </w:p>
    <w:p w:rsidR="00F956E8" w:rsidRPr="000B2A94" w:rsidRDefault="00F956E8" w:rsidP="00F956E8">
      <w:pPr>
        <w:pStyle w:val="42"/>
        <w:ind w:left="1701" w:firstLine="680"/>
        <w:rPr>
          <w:rFonts w:ascii="Times New Roman"/>
          <w:color w:val="000000" w:themeColor="text1"/>
        </w:rPr>
      </w:pPr>
      <w:r w:rsidRPr="000B2A94">
        <w:rPr>
          <w:rFonts w:ascii="Times New Roman"/>
          <w:color w:val="000000" w:themeColor="text1"/>
        </w:rPr>
        <w:t>支援各級院、檢單位因偵審案件需要，囑託該局協助鑑定，包括路口監視錄影、或</w:t>
      </w:r>
      <w:r w:rsidRPr="000B2A94">
        <w:rPr>
          <w:rFonts w:ascii="Times New Roman"/>
          <w:color w:val="000000" w:themeColor="text1"/>
        </w:rPr>
        <w:t>ATM</w:t>
      </w:r>
      <w:r w:rsidRPr="000B2A94">
        <w:rPr>
          <w:rFonts w:ascii="Times New Roman"/>
          <w:color w:val="000000" w:themeColor="text1"/>
        </w:rPr>
        <w:t>提款機錄影影像鑑定、</w:t>
      </w:r>
      <w:r w:rsidRPr="000B2A94">
        <w:rPr>
          <w:color w:val="000000" w:themeColor="text1"/>
        </w:rPr>
        <w:t>解析</w:t>
      </w:r>
      <w:r w:rsidRPr="000B2A94">
        <w:rPr>
          <w:rFonts w:ascii="Times New Roman"/>
          <w:color w:val="000000" w:themeColor="text1"/>
        </w:rPr>
        <w:t>處理，照片偽變造</w:t>
      </w:r>
      <w:r w:rsidRPr="000B2A94">
        <w:rPr>
          <w:rFonts w:ascii="Times New Roman"/>
          <w:color w:val="000000" w:themeColor="text1"/>
        </w:rPr>
        <w:t>(</w:t>
      </w:r>
      <w:r w:rsidRPr="000B2A94">
        <w:rPr>
          <w:rFonts w:ascii="Times New Roman"/>
          <w:color w:val="000000" w:themeColor="text1"/>
        </w:rPr>
        <w:t>合成</w:t>
      </w:r>
      <w:r w:rsidRPr="000B2A94">
        <w:rPr>
          <w:rFonts w:ascii="Times New Roman"/>
          <w:color w:val="000000" w:themeColor="text1"/>
        </w:rPr>
        <w:t>)</w:t>
      </w:r>
      <w:r w:rsidRPr="000B2A94">
        <w:rPr>
          <w:rFonts w:ascii="Times New Roman"/>
          <w:color w:val="000000" w:themeColor="text1"/>
        </w:rPr>
        <w:t>鑑定，人貌比對</w:t>
      </w:r>
      <w:r w:rsidRPr="000B2A94">
        <w:rPr>
          <w:rFonts w:ascii="Times New Roman"/>
          <w:color w:val="000000" w:themeColor="text1"/>
        </w:rPr>
        <w:t>(</w:t>
      </w:r>
      <w:r w:rsidRPr="000B2A94">
        <w:rPr>
          <w:rFonts w:ascii="Times New Roman"/>
          <w:color w:val="000000" w:themeColor="text1"/>
        </w:rPr>
        <w:t>是否同屬ㄧ人</w:t>
      </w:r>
      <w:r w:rsidRPr="000B2A94">
        <w:rPr>
          <w:rFonts w:ascii="Times New Roman"/>
          <w:color w:val="000000" w:themeColor="text1"/>
        </w:rPr>
        <w:t>)</w:t>
      </w:r>
      <w:r w:rsidRPr="000B2A94">
        <w:rPr>
          <w:rFonts w:ascii="Times New Roman"/>
          <w:color w:val="000000" w:themeColor="text1"/>
        </w:rPr>
        <w:t>，保護著作權之錄影帶、影片鑑定等，平均每年受託鑑定約近</w:t>
      </w:r>
      <w:r w:rsidRPr="000B2A94">
        <w:rPr>
          <w:rFonts w:ascii="Times New Roman"/>
          <w:color w:val="000000" w:themeColor="text1"/>
        </w:rPr>
        <w:t>80</w:t>
      </w:r>
      <w:r w:rsidRPr="000B2A94">
        <w:rPr>
          <w:rFonts w:ascii="Times New Roman"/>
          <w:color w:val="000000" w:themeColor="text1"/>
        </w:rPr>
        <w:t>案。影像鑑定送驗注意事項：</w:t>
      </w:r>
    </w:p>
    <w:p w:rsidR="00F956E8" w:rsidRPr="000B2A94" w:rsidRDefault="00F956E8" w:rsidP="004F700A">
      <w:pPr>
        <w:pStyle w:val="5"/>
        <w:rPr>
          <w:color w:val="000000" w:themeColor="text1"/>
        </w:rPr>
      </w:pPr>
      <w:r w:rsidRPr="000B2A94">
        <w:rPr>
          <w:color w:val="000000" w:themeColor="text1"/>
        </w:rPr>
        <w:t>各級院、檢單位囑託公函請敘明待鑑(如：剪接、變造、或解析)之可疑時點，並請附襯墊保護待鑑錄影光碟片，妥善包裝，再裝入證物(附件)袋送鑑，可親送或郵寄送達。</w:t>
      </w:r>
    </w:p>
    <w:p w:rsidR="00F956E8" w:rsidRPr="000B2A94" w:rsidRDefault="00F956E8" w:rsidP="004F700A">
      <w:pPr>
        <w:pStyle w:val="5"/>
        <w:rPr>
          <w:rFonts w:ascii="Times New Roman" w:hAnsi="Times New Roman"/>
          <w:color w:val="000000" w:themeColor="text1"/>
        </w:rPr>
      </w:pPr>
      <w:r w:rsidRPr="000B2A94">
        <w:rPr>
          <w:rFonts w:ascii="Times New Roman" w:hAnsi="Times New Roman"/>
          <w:color w:val="000000" w:themeColor="text1"/>
        </w:rPr>
        <w:t>待鑑定、解析處理畫面至少應占全部畫面五分之一以上為佳，無戴鴨舌帽、口罩等遮掩臉部五官特徵現象；並請儘可能提供錄製該錄影光碟片之專用播放軟體或解碼程式，或提供待鑑照片原件及比對用參考照片、原始圖檔。</w:t>
      </w:r>
    </w:p>
    <w:p w:rsidR="00F956E8" w:rsidRPr="000B2A94" w:rsidRDefault="00F956E8" w:rsidP="004F700A">
      <w:pPr>
        <w:pStyle w:val="5"/>
        <w:rPr>
          <w:rFonts w:ascii="Times New Roman" w:hAnsi="Times New Roman"/>
          <w:color w:val="000000" w:themeColor="text1"/>
        </w:rPr>
      </w:pPr>
      <w:r w:rsidRPr="000B2A94">
        <w:rPr>
          <w:rFonts w:ascii="Times New Roman" w:hAnsi="Times New Roman"/>
          <w:color w:val="000000" w:themeColor="text1"/>
        </w:rPr>
        <w:t>以攝影機翻拍監視螢幕畫面易失真、模糊，請勿以攝影機翻拍監視螢幕畫面送鑑。</w:t>
      </w:r>
    </w:p>
    <w:p w:rsidR="00F956E8" w:rsidRPr="000B2A94" w:rsidRDefault="00F956E8" w:rsidP="004F700A">
      <w:pPr>
        <w:pStyle w:val="5"/>
        <w:rPr>
          <w:rFonts w:ascii="Times New Roman" w:hAnsi="Times New Roman"/>
          <w:color w:val="000000" w:themeColor="text1"/>
        </w:rPr>
      </w:pPr>
      <w:r w:rsidRPr="000B2A94">
        <w:rPr>
          <w:rFonts w:ascii="Times New Roman" w:hAnsi="Times New Roman"/>
          <w:color w:val="000000" w:themeColor="text1"/>
        </w:rPr>
        <w:t>該局受理各級院、檢單位囑託有關影像鑑定案</w:t>
      </w:r>
      <w:r w:rsidRPr="000B2A94">
        <w:rPr>
          <w:rFonts w:ascii="Times New Roman" w:hAnsi="Times New Roman"/>
          <w:color w:val="000000" w:themeColor="text1"/>
        </w:rPr>
        <w:lastRenderedPageBreak/>
        <w:t>件，均無需費用，免費支援。</w:t>
      </w:r>
    </w:p>
    <w:p w:rsidR="00F956E8" w:rsidRPr="000B2A94" w:rsidRDefault="00F956E8" w:rsidP="004F700A">
      <w:pPr>
        <w:pStyle w:val="4"/>
        <w:rPr>
          <w:rFonts w:ascii="Times New Roman" w:hAnsi="Times New Roman"/>
          <w:color w:val="000000" w:themeColor="text1"/>
        </w:rPr>
      </w:pPr>
      <w:r w:rsidRPr="000B2A94">
        <w:rPr>
          <w:color w:val="000000" w:themeColor="text1"/>
        </w:rPr>
        <w:t>調查局</w:t>
      </w:r>
      <w:r w:rsidRPr="000B2A94">
        <w:rPr>
          <w:rFonts w:ascii="Times New Roman" w:hAnsi="Times New Roman"/>
          <w:color w:val="000000" w:themeColor="text1"/>
        </w:rPr>
        <w:t>設有資安鑑識實驗室，協助該局各外勤單位偵辦案件，進行電腦及相關數位證據之搜索、扣押、鑑識，以及協助法院、檢察署辦理扣押電腦數位證物之擷取、搜尋、檔案復原、驗證、分析工作，並提供鑑識報告。</w:t>
      </w:r>
    </w:p>
    <w:p w:rsidR="00F956E8" w:rsidRPr="000B2A94" w:rsidRDefault="00F956E8" w:rsidP="004F700A">
      <w:pPr>
        <w:pStyle w:val="4"/>
        <w:rPr>
          <w:rFonts w:ascii="Times New Roman" w:hAnsi="Times New Roman"/>
          <w:color w:val="000000" w:themeColor="text1"/>
        </w:rPr>
      </w:pPr>
      <w:r w:rsidRPr="000B2A94">
        <w:rPr>
          <w:color w:val="000000" w:themeColor="text1"/>
        </w:rPr>
        <w:t>調查局</w:t>
      </w:r>
      <w:r w:rsidRPr="000B2A94">
        <w:rPr>
          <w:rFonts w:ascii="Times New Roman" w:hAnsi="Times New Roman"/>
          <w:color w:val="000000" w:themeColor="text1"/>
        </w:rPr>
        <w:t>為民服務鑑定項目：</w:t>
      </w:r>
    </w:p>
    <w:p w:rsidR="00F956E8" w:rsidRPr="000B2A94" w:rsidRDefault="00F956E8" w:rsidP="00F956E8">
      <w:pPr>
        <w:pStyle w:val="42"/>
        <w:ind w:left="1701" w:firstLine="680"/>
        <w:rPr>
          <w:rFonts w:ascii="Times New Roman"/>
          <w:color w:val="000000" w:themeColor="text1"/>
        </w:rPr>
      </w:pPr>
      <w:r w:rsidRPr="000B2A94">
        <w:rPr>
          <w:rFonts w:ascii="Times New Roman"/>
          <w:color w:val="000000" w:themeColor="text1"/>
        </w:rPr>
        <w:t>該局為民服務工作主要內容包括：污</w:t>
      </w:r>
      <w:r w:rsidR="000F6481" w:rsidRPr="000B2A94">
        <w:rPr>
          <w:rFonts w:ascii="Times New Roman" w:hint="eastAsia"/>
          <w:color w:val="000000" w:themeColor="text1"/>
        </w:rPr>
        <w:t>（</w:t>
      </w:r>
      <w:r w:rsidR="000F6481" w:rsidRPr="000B2A94">
        <w:rPr>
          <w:rFonts w:ascii="Times New Roman"/>
          <w:color w:val="000000" w:themeColor="text1"/>
        </w:rPr>
        <w:t>破</w:t>
      </w:r>
      <w:r w:rsidR="000F6481" w:rsidRPr="000B2A94">
        <w:rPr>
          <w:rFonts w:ascii="Times New Roman" w:hint="eastAsia"/>
          <w:color w:val="000000" w:themeColor="text1"/>
        </w:rPr>
        <w:t>）</w:t>
      </w:r>
      <w:r w:rsidRPr="000B2A94">
        <w:rPr>
          <w:rFonts w:ascii="Times New Roman"/>
          <w:color w:val="000000" w:themeColor="text1"/>
        </w:rPr>
        <w:t>損新臺幣鈔券鑑定、及血緣關係鑑定等兩項。</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214" w:name="_Toc27399839"/>
      <w:bookmarkStart w:id="215" w:name="_Toc28606620"/>
      <w:r w:rsidRPr="000B2A94">
        <w:rPr>
          <w:rFonts w:ascii="Times New Roman" w:hAnsi="Times New Roman"/>
          <w:color w:val="000000" w:themeColor="text1"/>
        </w:rPr>
        <w:t>法醫研究所</w:t>
      </w:r>
      <w:r w:rsidRPr="000B2A94">
        <w:rPr>
          <w:rStyle w:val="aff1"/>
          <w:rFonts w:ascii="Times New Roman" w:hAnsi="Times New Roman"/>
          <w:color w:val="000000" w:themeColor="text1"/>
        </w:rPr>
        <w:footnoteReference w:id="5"/>
      </w:r>
      <w:bookmarkEnd w:id="214"/>
      <w:bookmarkEnd w:id="215"/>
    </w:p>
    <w:p w:rsidR="00F956E8" w:rsidRPr="000B2A94" w:rsidRDefault="00F956E8" w:rsidP="00F956E8">
      <w:pPr>
        <w:pStyle w:val="32"/>
        <w:ind w:left="1361" w:firstLine="680"/>
        <w:rPr>
          <w:rFonts w:ascii="Times New Roman"/>
          <w:color w:val="000000" w:themeColor="text1"/>
        </w:rPr>
      </w:pPr>
      <w:r w:rsidRPr="000B2A94">
        <w:rPr>
          <w:rFonts w:ascii="Times New Roman"/>
          <w:color w:val="000000" w:themeColor="text1"/>
        </w:rPr>
        <w:t>法醫研究所為國內執行法醫死因偵查鑑驗工作最高研究機構，肩負全國法醫刑事鑑識工作的研究、發展、培訓及教育任務。該所並協調整合國內法醫相關鑑識單位，包括調查局、刑事警察局、中央警察大學等，以充分結合刑事法醫鑑識資源，發揮互補加乘之鑑識效能。初步共識之運作分工模式，以生體及屍體外之證物檢體由調查局支援；有急迫性、時效性之凶殺案件由刑事警察局處理；中央警察大學及各大醫學中心則支援研究、鑑定工作。該所並透過諮詢委員會，提昇國內鑑識單位鑑識能力以及加強協調分工之工作。其相關業務內容如下：</w:t>
      </w:r>
    </w:p>
    <w:p w:rsidR="00F956E8" w:rsidRPr="000B2A94" w:rsidRDefault="000F6481" w:rsidP="004D42D7">
      <w:pPr>
        <w:pStyle w:val="4"/>
        <w:rPr>
          <w:color w:val="000000" w:themeColor="text1"/>
        </w:rPr>
      </w:pPr>
      <w:r w:rsidRPr="000B2A94">
        <w:rPr>
          <w:color w:val="000000" w:themeColor="text1"/>
        </w:rPr>
        <w:t>法醫病理業務</w:t>
      </w:r>
    </w:p>
    <w:p w:rsidR="00F956E8" w:rsidRPr="000B2A94" w:rsidRDefault="00F956E8" w:rsidP="004D42D7">
      <w:pPr>
        <w:pStyle w:val="5"/>
        <w:rPr>
          <w:color w:val="000000" w:themeColor="text1"/>
        </w:rPr>
      </w:pPr>
      <w:r w:rsidRPr="000B2A94">
        <w:rPr>
          <w:color w:val="000000" w:themeColor="text1"/>
        </w:rPr>
        <w:t>法務部法醫研究所直接受理全國超過百分之八十以上之解剖死因鑑定案件，為國內執行法醫死因偵查鑑驗工作之最高研究機構，擔負全國重大刑案死因解剖鑑定工作，每年平均</w:t>
      </w:r>
      <w:r w:rsidR="000F6481" w:rsidRPr="000B2A94">
        <w:rPr>
          <w:rFonts w:hint="eastAsia"/>
          <w:color w:val="000000" w:themeColor="text1"/>
        </w:rPr>
        <w:t>4</w:t>
      </w:r>
      <w:r w:rsidR="000F6481" w:rsidRPr="000B2A94">
        <w:rPr>
          <w:color w:val="000000" w:themeColor="text1"/>
        </w:rPr>
        <w:t>,</w:t>
      </w:r>
      <w:r w:rsidR="000F6481" w:rsidRPr="000B2A94">
        <w:rPr>
          <w:rFonts w:hint="eastAsia"/>
          <w:color w:val="000000" w:themeColor="text1"/>
        </w:rPr>
        <w:t>000</w:t>
      </w:r>
      <w:r w:rsidRPr="000B2A94">
        <w:rPr>
          <w:color w:val="000000" w:themeColor="text1"/>
        </w:rPr>
        <w:t>多件之法醫死因相關鑑定案。</w:t>
      </w:r>
    </w:p>
    <w:p w:rsidR="00F956E8" w:rsidRPr="000B2A94" w:rsidRDefault="00F956E8" w:rsidP="004F700A">
      <w:pPr>
        <w:pStyle w:val="5"/>
        <w:rPr>
          <w:rFonts w:ascii="Times New Roman" w:hAnsi="Times New Roman"/>
          <w:color w:val="000000" w:themeColor="text1"/>
        </w:rPr>
      </w:pPr>
      <w:r w:rsidRPr="000B2A94">
        <w:rPr>
          <w:rFonts w:ascii="Times New Roman" w:hAnsi="Times New Roman"/>
          <w:color w:val="000000" w:themeColor="text1"/>
        </w:rPr>
        <w:lastRenderedPageBreak/>
        <w:t>辦理公職法醫師專業訓練及全國各大公私立醫院選派病理醫師至該所接受法醫病理解剖相關訓練，持續為提升全國法醫鑑驗品質目標而努力，使相驗解剖業務朝國際專業水準邁進。</w:t>
      </w:r>
    </w:p>
    <w:p w:rsidR="00F956E8" w:rsidRPr="000B2A94" w:rsidRDefault="00F956E8" w:rsidP="004F700A">
      <w:pPr>
        <w:pStyle w:val="5"/>
        <w:rPr>
          <w:rFonts w:ascii="Times New Roman" w:hAnsi="Times New Roman"/>
          <w:color w:val="000000" w:themeColor="text1"/>
        </w:rPr>
      </w:pPr>
      <w:r w:rsidRPr="000B2A94">
        <w:rPr>
          <w:rFonts w:ascii="Times New Roman" w:hAnsi="Times New Roman"/>
          <w:color w:val="000000" w:themeColor="text1"/>
        </w:rPr>
        <w:t>法病理解剖鑑定案件流程</w:t>
      </w:r>
    </w:p>
    <w:p w:rsidR="00F956E8" w:rsidRPr="000B2A94" w:rsidRDefault="00F956E8" w:rsidP="00F956E8">
      <w:pPr>
        <w:rPr>
          <w:color w:val="000000" w:themeColor="text1"/>
        </w:rPr>
      </w:pPr>
      <w:r w:rsidRPr="000B2A94">
        <w:rPr>
          <w:noProof/>
          <w:color w:val="000000" w:themeColor="text1"/>
          <w:szCs w:val="32"/>
        </w:rPr>
        <w:drawing>
          <wp:inline distT="0" distB="0" distL="0" distR="0" wp14:anchorId="6E9D8205" wp14:editId="2B91DF6C">
            <wp:extent cx="5324475" cy="4202879"/>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r="13073"/>
                    <a:stretch/>
                  </pic:blipFill>
                  <pic:spPr bwMode="auto">
                    <a:xfrm>
                      <a:off x="0" y="0"/>
                      <a:ext cx="5336956" cy="4212731"/>
                    </a:xfrm>
                    <a:prstGeom prst="rect">
                      <a:avLst/>
                    </a:prstGeom>
                    <a:noFill/>
                    <a:ln>
                      <a:noFill/>
                    </a:ln>
                    <a:extLst>
                      <a:ext uri="{53640926-AAD7-44D8-BBD7-CCE9431645EC}">
                        <a14:shadowObscured xmlns:a14="http://schemas.microsoft.com/office/drawing/2010/main"/>
                      </a:ext>
                    </a:extLst>
                  </pic:spPr>
                </pic:pic>
              </a:graphicData>
            </a:graphic>
          </wp:inline>
        </w:drawing>
      </w:r>
    </w:p>
    <w:p w:rsidR="00F956E8" w:rsidRPr="000B2A94" w:rsidRDefault="004D42D7" w:rsidP="000F6481">
      <w:pPr>
        <w:pStyle w:val="a2"/>
        <w:spacing w:line="240" w:lineRule="exact"/>
        <w:rPr>
          <w:b/>
          <w:color w:val="000000" w:themeColor="text1"/>
        </w:rPr>
      </w:pPr>
      <w:bookmarkStart w:id="216" w:name="_Toc27412358"/>
      <w:r w:rsidRPr="000B2A94">
        <w:rPr>
          <w:rFonts w:hint="eastAsia"/>
          <w:b/>
          <w:color w:val="000000" w:themeColor="text1"/>
        </w:rPr>
        <w:t>法</w:t>
      </w:r>
      <w:r w:rsidR="00F956E8" w:rsidRPr="000B2A94">
        <w:rPr>
          <w:b/>
          <w:color w:val="000000" w:themeColor="text1"/>
        </w:rPr>
        <w:t>醫研究所法病理解剖鑑定案件流程</w:t>
      </w:r>
      <w:bookmarkEnd w:id="216"/>
    </w:p>
    <w:p w:rsidR="00F956E8" w:rsidRPr="000B2A94" w:rsidRDefault="00103115" w:rsidP="000F6481">
      <w:pPr>
        <w:spacing w:line="240" w:lineRule="exact"/>
        <w:jc w:val="center"/>
        <w:rPr>
          <w:color w:val="000000" w:themeColor="text1"/>
          <w:sz w:val="24"/>
          <w:szCs w:val="24"/>
        </w:rPr>
      </w:pPr>
      <w:r w:rsidRPr="000B2A94">
        <w:rPr>
          <w:color w:val="000000" w:themeColor="text1"/>
          <w:sz w:val="24"/>
          <w:szCs w:val="24"/>
        </w:rPr>
        <w:t>資料來源：</w:t>
      </w:r>
      <w:r w:rsidR="00D63F77" w:rsidRPr="000B2A94">
        <w:rPr>
          <w:color w:val="000000" w:themeColor="text1"/>
          <w:sz w:val="24"/>
          <w:szCs w:val="24"/>
        </w:rPr>
        <w:t>法醫研究所提供資料</w:t>
      </w:r>
    </w:p>
    <w:p w:rsidR="00F956E8" w:rsidRPr="000B2A94" w:rsidRDefault="00F956E8" w:rsidP="00F956E8">
      <w:pPr>
        <w:rPr>
          <w:color w:val="000000" w:themeColor="text1"/>
        </w:rPr>
      </w:pPr>
    </w:p>
    <w:p w:rsidR="00F956E8" w:rsidRPr="000B2A94" w:rsidRDefault="00F956E8" w:rsidP="004F700A">
      <w:pPr>
        <w:pStyle w:val="4"/>
        <w:rPr>
          <w:rFonts w:ascii="Times New Roman" w:hAnsi="Times New Roman"/>
          <w:color w:val="000000" w:themeColor="text1"/>
        </w:rPr>
      </w:pPr>
      <w:r w:rsidRPr="000B2A94">
        <w:rPr>
          <w:rFonts w:ascii="Times New Roman" w:hAnsi="Times New Roman"/>
          <w:color w:val="000000" w:themeColor="text1"/>
        </w:rPr>
        <w:t>血清證物業務：</w:t>
      </w:r>
    </w:p>
    <w:p w:rsidR="00F956E8" w:rsidRPr="000B2A94" w:rsidRDefault="00F956E8" w:rsidP="004F700A">
      <w:pPr>
        <w:pStyle w:val="5"/>
        <w:rPr>
          <w:rFonts w:ascii="Times New Roman" w:hAnsi="Times New Roman"/>
          <w:color w:val="000000" w:themeColor="text1"/>
        </w:rPr>
      </w:pPr>
      <w:r w:rsidRPr="000B2A94">
        <w:rPr>
          <w:rFonts w:ascii="Times New Roman" w:hAnsi="Times New Roman"/>
          <w:color w:val="000000" w:themeColor="text1"/>
        </w:rPr>
        <w:t>法醫研究所血清證物組主要受理各級地方法院、檢察署及其他委鑑單位有關屍體相驗案件、無名屍、親緣關係及刑事證物等</w:t>
      </w:r>
      <w:r w:rsidRPr="000B2A94">
        <w:rPr>
          <w:rFonts w:ascii="Times New Roman" w:hAnsi="Times New Roman"/>
          <w:color w:val="000000" w:themeColor="text1"/>
        </w:rPr>
        <w:t>DNA</w:t>
      </w:r>
      <w:r w:rsidRPr="000B2A94">
        <w:rPr>
          <w:rFonts w:ascii="Times New Roman" w:hAnsi="Times New Roman"/>
          <w:color w:val="000000" w:themeColor="text1"/>
        </w:rPr>
        <w:t>鑑定業務。而法醫檢體之鑑驗結果常為司法審判之重要參考依據。因此，為提高血清證物鑑定品質及精準度，該所於</w:t>
      </w:r>
      <w:r w:rsidRPr="000B2A94">
        <w:rPr>
          <w:rFonts w:ascii="Times New Roman" w:hAnsi="Times New Roman"/>
          <w:color w:val="000000" w:themeColor="text1"/>
        </w:rPr>
        <w:t>98</w:t>
      </w:r>
      <w:r w:rsidRPr="000B2A94">
        <w:rPr>
          <w:rFonts w:ascii="Times New Roman" w:hAnsi="Times New Roman"/>
          <w:color w:val="000000" w:themeColor="text1"/>
        </w:rPr>
        <w:t>年李前所長俊億積極推</w:t>
      </w:r>
      <w:r w:rsidRPr="000B2A94">
        <w:rPr>
          <w:rFonts w:ascii="Times New Roman" w:hAnsi="Times New Roman"/>
          <w:color w:val="000000" w:themeColor="text1"/>
        </w:rPr>
        <w:lastRenderedPageBreak/>
        <w:t>動實驗室認證，在法務部指導及支持下，規劃於國防管理學院中和積穗園區舊址之部分校舍作為實驗室場所，耗時約</w:t>
      </w:r>
      <w:r w:rsidRPr="000B2A94">
        <w:rPr>
          <w:rFonts w:ascii="Times New Roman" w:hAnsi="Times New Roman"/>
          <w:color w:val="000000" w:themeColor="text1"/>
        </w:rPr>
        <w:t>3</w:t>
      </w:r>
      <w:r w:rsidRPr="000B2A94">
        <w:rPr>
          <w:rFonts w:ascii="Times New Roman" w:hAnsi="Times New Roman"/>
          <w:color w:val="000000" w:themeColor="text1"/>
        </w:rPr>
        <w:t>年，終於</w:t>
      </w:r>
      <w:r w:rsidRPr="000B2A94">
        <w:rPr>
          <w:rFonts w:ascii="Times New Roman" w:hAnsi="Times New Roman"/>
          <w:color w:val="000000" w:themeColor="text1"/>
        </w:rPr>
        <w:t>100</w:t>
      </w:r>
      <w:r w:rsidRPr="000B2A94">
        <w:rPr>
          <w:rFonts w:ascii="Times New Roman" w:hAnsi="Times New Roman"/>
          <w:color w:val="000000" w:themeColor="text1"/>
        </w:rPr>
        <w:t>年</w:t>
      </w:r>
      <w:r w:rsidRPr="000B2A94">
        <w:rPr>
          <w:rFonts w:ascii="Times New Roman" w:hAnsi="Times New Roman"/>
          <w:color w:val="000000" w:themeColor="text1"/>
        </w:rPr>
        <w:t>9</w:t>
      </w:r>
      <w:r w:rsidRPr="000B2A94">
        <w:rPr>
          <w:rFonts w:ascii="Times New Roman" w:hAnsi="Times New Roman"/>
          <w:color w:val="000000" w:themeColor="text1"/>
        </w:rPr>
        <w:t>月</w:t>
      </w:r>
      <w:r w:rsidRPr="000B2A94">
        <w:rPr>
          <w:rFonts w:ascii="Times New Roman" w:hAnsi="Times New Roman"/>
          <w:color w:val="000000" w:themeColor="text1"/>
        </w:rPr>
        <w:t>18</w:t>
      </w:r>
      <w:r w:rsidRPr="000B2A94">
        <w:rPr>
          <w:rFonts w:ascii="Times New Roman" w:hAnsi="Times New Roman"/>
          <w:color w:val="000000" w:themeColor="text1"/>
        </w:rPr>
        <w:t>日該所血清證物組通過經財團法人全國認證基金會（</w:t>
      </w:r>
      <w:r w:rsidR="00103115" w:rsidRPr="000B2A94">
        <w:rPr>
          <w:rFonts w:ascii="Times New Roman" w:hAnsi="Times New Roman" w:hint="eastAsia"/>
          <w:color w:val="000000" w:themeColor="text1"/>
        </w:rPr>
        <w:t>Taiwan Accreditation Foundation,</w:t>
      </w:r>
      <w:r w:rsidRPr="000B2A94">
        <w:rPr>
          <w:rFonts w:ascii="Times New Roman" w:hAnsi="Times New Roman"/>
          <w:color w:val="000000" w:themeColor="text1"/>
        </w:rPr>
        <w:t>TAF</w:t>
      </w:r>
      <w:r w:rsidRPr="000B2A94">
        <w:rPr>
          <w:rFonts w:ascii="Times New Roman" w:hAnsi="Times New Roman"/>
          <w:color w:val="000000" w:themeColor="text1"/>
        </w:rPr>
        <w:t>）評鑑通過</w:t>
      </w:r>
      <w:r w:rsidRPr="000B2A94">
        <w:rPr>
          <w:rFonts w:ascii="Times New Roman" w:hAnsi="Times New Roman"/>
          <w:color w:val="000000" w:themeColor="text1"/>
        </w:rPr>
        <w:t>ISO 17025</w:t>
      </w:r>
      <w:r w:rsidRPr="000B2A94">
        <w:rPr>
          <w:rFonts w:ascii="Times New Roman" w:hAnsi="Times New Roman"/>
          <w:color w:val="000000" w:themeColor="text1"/>
        </w:rPr>
        <w:t>與</w:t>
      </w:r>
      <w:r w:rsidRPr="000B2A94">
        <w:rPr>
          <w:rFonts w:ascii="Times New Roman" w:hAnsi="Times New Roman"/>
          <w:color w:val="000000" w:themeColor="text1"/>
        </w:rPr>
        <w:t>ILAC-G19</w:t>
      </w:r>
      <w:r w:rsidRPr="000B2A94">
        <w:rPr>
          <w:rFonts w:ascii="Times New Roman" w:hAnsi="Times New Roman"/>
          <w:color w:val="000000" w:themeColor="text1"/>
        </w:rPr>
        <w:t>國際認證規範之要求，顯示法醫所之法醫鑑定品質與技術符合國際水準，使該所</w:t>
      </w:r>
      <w:r w:rsidRPr="000B2A94">
        <w:rPr>
          <w:rFonts w:ascii="Times New Roman" w:hAnsi="Times New Roman"/>
          <w:color w:val="000000" w:themeColor="text1"/>
        </w:rPr>
        <w:t>DNA</w:t>
      </w:r>
      <w:r w:rsidRPr="000B2A94">
        <w:rPr>
          <w:rFonts w:ascii="Times New Roman" w:hAnsi="Times New Roman"/>
          <w:color w:val="000000" w:themeColor="text1"/>
        </w:rPr>
        <w:t>鑑定工作邁向新的里程碑。</w:t>
      </w:r>
    </w:p>
    <w:p w:rsidR="00F956E8" w:rsidRPr="000B2A94" w:rsidRDefault="00F956E8" w:rsidP="004F700A">
      <w:pPr>
        <w:pStyle w:val="5"/>
        <w:rPr>
          <w:rFonts w:ascii="Times New Roman" w:hAnsi="Times New Roman"/>
          <w:color w:val="000000" w:themeColor="text1"/>
        </w:rPr>
      </w:pPr>
      <w:r w:rsidRPr="000B2A94">
        <w:rPr>
          <w:rFonts w:ascii="Times New Roman" w:hAnsi="Times New Roman"/>
          <w:color w:val="000000" w:themeColor="text1"/>
        </w:rPr>
        <w:t>此外，</w:t>
      </w:r>
      <w:r w:rsidRPr="000B2A94">
        <w:rPr>
          <w:rFonts w:ascii="Times New Roman" w:hAnsi="Times New Roman"/>
          <w:color w:val="000000" w:themeColor="text1"/>
        </w:rPr>
        <w:t>DNA</w:t>
      </w:r>
      <w:r w:rsidRPr="000B2A94">
        <w:rPr>
          <w:rFonts w:ascii="Times New Roman" w:hAnsi="Times New Roman"/>
          <w:color w:val="000000" w:themeColor="text1"/>
        </w:rPr>
        <w:t>實驗室亦提供矽藻鑑定服務，矽藻鑑定為</w:t>
      </w:r>
      <w:r w:rsidRPr="000B2A94">
        <w:rPr>
          <w:color w:val="000000" w:themeColor="text1"/>
        </w:rPr>
        <w:t>死因</w:t>
      </w:r>
      <w:r w:rsidRPr="000B2A94">
        <w:rPr>
          <w:rFonts w:ascii="Times New Roman" w:hAnsi="Times New Roman"/>
          <w:color w:val="000000" w:themeColor="text1"/>
        </w:rPr>
        <w:t>鑑定中研判是否為生前溺死的主要證據之一，對於法醫師研判疑似溺水死亡案件將有極大助益。目前，該所血清證物組通過</w:t>
      </w:r>
      <w:r w:rsidRPr="000B2A94">
        <w:rPr>
          <w:rFonts w:ascii="Times New Roman" w:hAnsi="Times New Roman"/>
          <w:color w:val="000000" w:themeColor="text1"/>
        </w:rPr>
        <w:t>4</w:t>
      </w:r>
      <w:r w:rsidRPr="000B2A94">
        <w:rPr>
          <w:rFonts w:ascii="Times New Roman" w:hAnsi="Times New Roman"/>
          <w:color w:val="000000" w:themeColor="text1"/>
        </w:rPr>
        <w:t>項認證，包括</w:t>
      </w:r>
      <w:r w:rsidRPr="000B2A94">
        <w:rPr>
          <w:rFonts w:ascii="Times New Roman" w:hAnsi="Times New Roman"/>
          <w:color w:val="000000" w:themeColor="text1"/>
        </w:rPr>
        <w:t>DNA</w:t>
      </w:r>
      <w:r w:rsidRPr="000B2A94">
        <w:rPr>
          <w:rFonts w:ascii="Times New Roman" w:hAnsi="Times New Roman"/>
          <w:color w:val="000000" w:themeColor="text1"/>
        </w:rPr>
        <w:t>鑑定、親緣</w:t>
      </w:r>
      <w:r w:rsidRPr="000B2A94">
        <w:rPr>
          <w:rFonts w:ascii="Times New Roman" w:hAnsi="Times New Roman"/>
          <w:color w:val="000000" w:themeColor="text1"/>
        </w:rPr>
        <w:t>DNA</w:t>
      </w:r>
      <w:r w:rsidRPr="000B2A94">
        <w:rPr>
          <w:rFonts w:ascii="Times New Roman" w:hAnsi="Times New Roman"/>
          <w:color w:val="000000" w:themeColor="text1"/>
        </w:rPr>
        <w:t>鑑定、</w:t>
      </w:r>
      <w:r w:rsidRPr="000B2A94">
        <w:rPr>
          <w:rFonts w:ascii="Times New Roman" w:hAnsi="Times New Roman"/>
          <w:color w:val="000000" w:themeColor="text1"/>
        </w:rPr>
        <w:t>DNA</w:t>
      </w:r>
      <w:r w:rsidRPr="000B2A94">
        <w:rPr>
          <w:rFonts w:ascii="Times New Roman" w:hAnsi="Times New Roman"/>
          <w:color w:val="000000" w:themeColor="text1"/>
        </w:rPr>
        <w:t>種屬鑑定及矽藻鑑定。</w:t>
      </w:r>
    </w:p>
    <w:p w:rsidR="00F956E8" w:rsidRPr="000B2A94" w:rsidRDefault="00F956E8" w:rsidP="004F700A">
      <w:pPr>
        <w:pStyle w:val="4"/>
        <w:rPr>
          <w:rFonts w:ascii="Times New Roman" w:hAnsi="Times New Roman"/>
          <w:color w:val="000000" w:themeColor="text1"/>
        </w:rPr>
      </w:pPr>
      <w:r w:rsidRPr="000B2A94">
        <w:rPr>
          <w:rFonts w:ascii="Times New Roman" w:hAnsi="Times New Roman"/>
          <w:color w:val="000000" w:themeColor="text1"/>
        </w:rPr>
        <w:t>毒物化學業務：</w:t>
      </w:r>
    </w:p>
    <w:p w:rsidR="00F956E8" w:rsidRPr="000B2A94" w:rsidRDefault="00F956E8" w:rsidP="004F700A">
      <w:pPr>
        <w:pStyle w:val="5"/>
        <w:rPr>
          <w:rFonts w:ascii="Times New Roman" w:hAnsi="Times New Roman"/>
          <w:color w:val="000000" w:themeColor="text1"/>
        </w:rPr>
      </w:pPr>
      <w:r w:rsidRPr="000B2A94">
        <w:rPr>
          <w:rFonts w:ascii="Times New Roman" w:hAnsi="Times New Roman"/>
          <w:color w:val="000000" w:themeColor="text1"/>
        </w:rPr>
        <w:t>103</w:t>
      </w:r>
      <w:r w:rsidRPr="000B2A94">
        <w:rPr>
          <w:rFonts w:ascii="Times New Roman" w:hAnsi="Times New Roman"/>
          <w:color w:val="000000" w:themeColor="text1"/>
        </w:rPr>
        <w:t>年共受理各級院檢單位送驗之法醫毒物相關鑑驗案件，共計</w:t>
      </w:r>
      <w:r w:rsidRPr="000B2A94">
        <w:rPr>
          <w:rFonts w:ascii="Times New Roman" w:hAnsi="Times New Roman"/>
          <w:color w:val="000000" w:themeColor="text1"/>
        </w:rPr>
        <w:t>4,163</w:t>
      </w:r>
      <w:r w:rsidRPr="000B2A94">
        <w:rPr>
          <w:rFonts w:ascii="Times New Roman" w:hAnsi="Times New Roman"/>
          <w:color w:val="000000" w:themeColor="text1"/>
        </w:rPr>
        <w:t>案，總送驗檢體數共計</w:t>
      </w:r>
      <w:r w:rsidRPr="000B2A94">
        <w:rPr>
          <w:rFonts w:ascii="Times New Roman" w:hAnsi="Times New Roman"/>
          <w:color w:val="000000" w:themeColor="text1"/>
        </w:rPr>
        <w:t>8,550</w:t>
      </w:r>
      <w:r w:rsidRPr="000B2A94">
        <w:rPr>
          <w:rFonts w:ascii="Times New Roman" w:hAnsi="Times New Roman"/>
          <w:color w:val="000000" w:themeColor="text1"/>
        </w:rPr>
        <w:t>件，檢驗項目數計</w:t>
      </w:r>
      <w:r w:rsidRPr="000B2A94">
        <w:rPr>
          <w:rFonts w:ascii="Times New Roman" w:hAnsi="Times New Roman"/>
          <w:color w:val="000000" w:themeColor="text1"/>
        </w:rPr>
        <w:t>86,133</w:t>
      </w:r>
      <w:r w:rsidRPr="000B2A94">
        <w:rPr>
          <w:rFonts w:ascii="Times New Roman" w:hAnsi="Times New Roman"/>
          <w:color w:val="000000" w:themeColor="text1"/>
        </w:rPr>
        <w:t>次，平均結案工時</w:t>
      </w:r>
      <w:r w:rsidRPr="000B2A94">
        <w:rPr>
          <w:rFonts w:ascii="Times New Roman" w:hAnsi="Times New Roman"/>
          <w:color w:val="000000" w:themeColor="text1"/>
        </w:rPr>
        <w:t>12.6</w:t>
      </w:r>
      <w:r w:rsidRPr="000B2A94">
        <w:rPr>
          <w:rFonts w:ascii="Times New Roman" w:hAnsi="Times New Roman"/>
          <w:color w:val="000000" w:themeColor="text1"/>
        </w:rPr>
        <w:t>個日曆天。</w:t>
      </w:r>
    </w:p>
    <w:p w:rsidR="00F956E8" w:rsidRPr="000B2A94" w:rsidRDefault="00F956E8" w:rsidP="004F700A">
      <w:pPr>
        <w:pStyle w:val="5"/>
        <w:rPr>
          <w:rFonts w:ascii="Times New Roman" w:hAnsi="Times New Roman"/>
          <w:color w:val="000000" w:themeColor="text1"/>
        </w:rPr>
      </w:pPr>
      <w:r w:rsidRPr="000B2A94">
        <w:rPr>
          <w:rFonts w:ascii="Times New Roman" w:hAnsi="Times New Roman"/>
          <w:color w:val="000000" w:themeColor="text1"/>
        </w:rPr>
        <w:t>法醫研究所於</w:t>
      </w:r>
      <w:r w:rsidRPr="000B2A94">
        <w:rPr>
          <w:rFonts w:ascii="Times New Roman" w:hAnsi="Times New Roman"/>
          <w:color w:val="000000" w:themeColor="text1"/>
        </w:rPr>
        <w:t>100</w:t>
      </w:r>
      <w:r w:rsidRPr="000B2A94">
        <w:rPr>
          <w:rFonts w:ascii="Times New Roman" w:hAnsi="Times New Roman"/>
          <w:color w:val="000000" w:themeColor="text1"/>
        </w:rPr>
        <w:t>年</w:t>
      </w:r>
      <w:r w:rsidRPr="000B2A94">
        <w:rPr>
          <w:rFonts w:ascii="Times New Roman" w:hAnsi="Times New Roman"/>
          <w:color w:val="000000" w:themeColor="text1"/>
        </w:rPr>
        <w:t>1</w:t>
      </w:r>
      <w:r w:rsidRPr="000B2A94">
        <w:rPr>
          <w:rFonts w:ascii="Times New Roman" w:hAnsi="Times New Roman"/>
          <w:color w:val="000000" w:themeColor="text1"/>
        </w:rPr>
        <w:t>月建置完成符合國際認證標準之國家級法醫毒物實驗室，並於</w:t>
      </w:r>
      <w:r w:rsidRPr="000B2A94">
        <w:rPr>
          <w:color w:val="000000" w:themeColor="text1"/>
        </w:rPr>
        <w:t>100年1</w:t>
      </w:r>
      <w:r w:rsidRPr="000B2A94">
        <w:rPr>
          <w:rFonts w:ascii="Times New Roman" w:hAnsi="Times New Roman"/>
          <w:color w:val="000000" w:themeColor="text1"/>
        </w:rPr>
        <w:t>月申請</w:t>
      </w:r>
      <w:r w:rsidR="00A7118D" w:rsidRPr="000B2A94">
        <w:rPr>
          <w:rFonts w:ascii="Times New Roman" w:hAnsi="Times New Roman"/>
          <w:color w:val="000000" w:themeColor="text1"/>
        </w:rPr>
        <w:t>TAF</w:t>
      </w:r>
      <w:r w:rsidRPr="000B2A94">
        <w:rPr>
          <w:rFonts w:ascii="Times New Roman" w:hAnsi="Times New Roman"/>
          <w:color w:val="000000" w:themeColor="text1"/>
        </w:rPr>
        <w:t>之認證，</w:t>
      </w:r>
      <w:r w:rsidRPr="000B2A94">
        <w:rPr>
          <w:rFonts w:ascii="Times New Roman" w:hAnsi="Times New Roman"/>
          <w:color w:val="000000" w:themeColor="text1"/>
        </w:rPr>
        <w:t>100</w:t>
      </w:r>
      <w:r w:rsidRPr="000B2A94">
        <w:rPr>
          <w:rFonts w:ascii="Times New Roman" w:hAnsi="Times New Roman"/>
          <w:color w:val="000000" w:themeColor="text1"/>
        </w:rPr>
        <w:t>年</w:t>
      </w:r>
      <w:r w:rsidRPr="000B2A94">
        <w:rPr>
          <w:rFonts w:ascii="Times New Roman" w:hAnsi="Times New Roman"/>
          <w:color w:val="000000" w:themeColor="text1"/>
        </w:rPr>
        <w:t>10</w:t>
      </w:r>
      <w:r w:rsidRPr="000B2A94">
        <w:rPr>
          <w:rFonts w:ascii="Times New Roman" w:hAnsi="Times New Roman"/>
          <w:color w:val="000000" w:themeColor="text1"/>
        </w:rPr>
        <w:t>月</w:t>
      </w:r>
      <w:r w:rsidRPr="000B2A94">
        <w:rPr>
          <w:rFonts w:ascii="Times New Roman" w:hAnsi="Times New Roman"/>
          <w:color w:val="000000" w:themeColor="text1"/>
        </w:rPr>
        <w:t>8</w:t>
      </w:r>
      <w:r w:rsidRPr="000B2A94">
        <w:rPr>
          <w:rFonts w:ascii="Times New Roman" w:hAnsi="Times New Roman"/>
          <w:color w:val="000000" w:themeColor="text1"/>
        </w:rPr>
        <w:t>日通過</w:t>
      </w:r>
      <w:r w:rsidRPr="000B2A94">
        <w:rPr>
          <w:rFonts w:ascii="Times New Roman" w:hAnsi="Times New Roman"/>
          <w:color w:val="000000" w:themeColor="text1"/>
        </w:rPr>
        <w:t>TAF ISO/IEC 17025</w:t>
      </w:r>
      <w:r w:rsidRPr="000B2A94">
        <w:rPr>
          <w:rFonts w:ascii="Times New Roman" w:hAnsi="Times New Roman"/>
          <w:color w:val="000000" w:themeColor="text1"/>
        </w:rPr>
        <w:t>實驗室認證。</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217" w:name="_Toc27399840"/>
      <w:bookmarkStart w:id="218" w:name="_Toc28606621"/>
      <w:r w:rsidRPr="000B2A94">
        <w:rPr>
          <w:rFonts w:ascii="Times New Roman" w:hAnsi="Times New Roman"/>
          <w:color w:val="000000" w:themeColor="text1"/>
        </w:rPr>
        <w:t>刑事警察局</w:t>
      </w:r>
      <w:r w:rsidRPr="000B2A94">
        <w:rPr>
          <w:rStyle w:val="aff1"/>
          <w:rFonts w:ascii="Times New Roman" w:hAnsi="Times New Roman"/>
          <w:color w:val="000000" w:themeColor="text1"/>
        </w:rPr>
        <w:footnoteReference w:id="6"/>
      </w:r>
      <w:bookmarkEnd w:id="217"/>
      <w:bookmarkEnd w:id="218"/>
    </w:p>
    <w:p w:rsidR="00F956E8" w:rsidRPr="000B2A94" w:rsidRDefault="00F956E8" w:rsidP="004F700A">
      <w:pPr>
        <w:pStyle w:val="4"/>
        <w:rPr>
          <w:rFonts w:ascii="Times New Roman" w:hAnsi="Times New Roman"/>
          <w:color w:val="000000" w:themeColor="text1"/>
        </w:rPr>
      </w:pPr>
      <w:r w:rsidRPr="000B2A94">
        <w:rPr>
          <w:rFonts w:ascii="Times New Roman" w:hAnsi="Times New Roman"/>
          <w:color w:val="000000" w:themeColor="text1"/>
        </w:rPr>
        <w:t>鑑識科</w:t>
      </w:r>
    </w:p>
    <w:p w:rsidR="00F956E8" w:rsidRPr="000B2A94" w:rsidRDefault="00F956E8" w:rsidP="004F700A">
      <w:pPr>
        <w:pStyle w:val="5"/>
        <w:rPr>
          <w:color w:val="000000" w:themeColor="text1"/>
        </w:rPr>
      </w:pPr>
      <w:r w:rsidRPr="000B2A94">
        <w:rPr>
          <w:rFonts w:ascii="Times New Roman" w:hAnsi="Times New Roman"/>
          <w:color w:val="000000" w:themeColor="text1"/>
        </w:rPr>
        <w:t>刑事鑑識業務</w:t>
      </w:r>
      <w:r w:rsidRPr="000B2A94">
        <w:rPr>
          <w:color w:val="000000" w:themeColor="text1"/>
        </w:rPr>
        <w:t>規劃、執行、督導考核。</w:t>
      </w:r>
    </w:p>
    <w:p w:rsidR="00F956E8" w:rsidRPr="000B2A94" w:rsidRDefault="00F956E8" w:rsidP="004F700A">
      <w:pPr>
        <w:pStyle w:val="5"/>
        <w:rPr>
          <w:color w:val="000000" w:themeColor="text1"/>
        </w:rPr>
      </w:pPr>
      <w:r w:rsidRPr="000B2A94">
        <w:rPr>
          <w:color w:val="000000" w:themeColor="text1"/>
        </w:rPr>
        <w:t>刑事案件證物檢驗及鑑定。</w:t>
      </w:r>
    </w:p>
    <w:p w:rsidR="00F956E8" w:rsidRPr="000B2A94" w:rsidRDefault="00F956E8" w:rsidP="004F700A">
      <w:pPr>
        <w:pStyle w:val="5"/>
        <w:rPr>
          <w:color w:val="000000" w:themeColor="text1"/>
        </w:rPr>
      </w:pPr>
      <w:r w:rsidRPr="000B2A94">
        <w:rPr>
          <w:color w:val="000000" w:themeColor="text1"/>
        </w:rPr>
        <w:lastRenderedPageBreak/>
        <w:t>槍彈、化學、微物、文書、影音、測謊、行為科學等鑑識。</w:t>
      </w:r>
    </w:p>
    <w:p w:rsidR="00F956E8" w:rsidRPr="000B2A94" w:rsidRDefault="00F956E8" w:rsidP="004F700A">
      <w:pPr>
        <w:pStyle w:val="5"/>
        <w:rPr>
          <w:color w:val="000000" w:themeColor="text1"/>
        </w:rPr>
      </w:pPr>
      <w:r w:rsidRPr="000B2A94">
        <w:rPr>
          <w:color w:val="000000" w:themeColor="text1"/>
        </w:rPr>
        <w:t>支援重大、特殊刑案現場勘察、採驗。</w:t>
      </w:r>
    </w:p>
    <w:p w:rsidR="00F956E8" w:rsidRPr="000B2A94" w:rsidRDefault="00F956E8" w:rsidP="004F700A">
      <w:pPr>
        <w:pStyle w:val="5"/>
        <w:rPr>
          <w:color w:val="000000" w:themeColor="text1"/>
        </w:rPr>
      </w:pPr>
      <w:r w:rsidRPr="000B2A94">
        <w:rPr>
          <w:color w:val="000000" w:themeColor="text1"/>
        </w:rPr>
        <w:t>刑事鑑識人員之教育訓練。</w:t>
      </w:r>
    </w:p>
    <w:p w:rsidR="00F956E8" w:rsidRPr="000B2A94" w:rsidRDefault="00F956E8" w:rsidP="004F700A">
      <w:pPr>
        <w:pStyle w:val="5"/>
        <w:rPr>
          <w:color w:val="000000" w:themeColor="text1"/>
        </w:rPr>
      </w:pPr>
      <w:r w:rsidRPr="000B2A94">
        <w:rPr>
          <w:color w:val="000000" w:themeColor="text1"/>
        </w:rPr>
        <w:t>刑事鑑識設備器材之規劃、維護。</w:t>
      </w:r>
    </w:p>
    <w:p w:rsidR="00F956E8" w:rsidRPr="000B2A94" w:rsidRDefault="00F956E8" w:rsidP="004F700A">
      <w:pPr>
        <w:pStyle w:val="5"/>
        <w:rPr>
          <w:rFonts w:ascii="Times New Roman" w:hAnsi="Times New Roman"/>
          <w:color w:val="000000" w:themeColor="text1"/>
        </w:rPr>
      </w:pPr>
      <w:r w:rsidRPr="000B2A94">
        <w:rPr>
          <w:color w:val="000000" w:themeColor="text1"/>
        </w:rPr>
        <w:t>其他有關鑑識事項。</w:t>
      </w:r>
    </w:p>
    <w:p w:rsidR="00F956E8" w:rsidRPr="000B2A94" w:rsidRDefault="00F956E8" w:rsidP="004F700A">
      <w:pPr>
        <w:pStyle w:val="4"/>
        <w:rPr>
          <w:rFonts w:ascii="Times New Roman" w:hAnsi="Times New Roman"/>
          <w:color w:val="000000" w:themeColor="text1"/>
        </w:rPr>
      </w:pPr>
      <w:r w:rsidRPr="000B2A94">
        <w:rPr>
          <w:color w:val="000000" w:themeColor="text1"/>
        </w:rPr>
        <w:t>指紋</w:t>
      </w:r>
      <w:r w:rsidRPr="000B2A94">
        <w:rPr>
          <w:rFonts w:ascii="Times New Roman" w:hAnsi="Times New Roman"/>
          <w:color w:val="000000" w:themeColor="text1"/>
        </w:rPr>
        <w:t>科</w:t>
      </w:r>
    </w:p>
    <w:p w:rsidR="00F956E8" w:rsidRPr="000B2A94" w:rsidRDefault="00F956E8" w:rsidP="004F700A">
      <w:pPr>
        <w:pStyle w:val="5"/>
        <w:rPr>
          <w:color w:val="000000" w:themeColor="text1"/>
        </w:rPr>
      </w:pPr>
      <w:r w:rsidRPr="000B2A94">
        <w:rPr>
          <w:rFonts w:ascii="Times New Roman" w:hAnsi="Times New Roman"/>
          <w:color w:val="000000" w:themeColor="text1"/>
        </w:rPr>
        <w:t>刑案指紋業務</w:t>
      </w:r>
      <w:r w:rsidRPr="000B2A94">
        <w:rPr>
          <w:color w:val="000000" w:themeColor="text1"/>
        </w:rPr>
        <w:t>規劃、督導、考核。</w:t>
      </w:r>
    </w:p>
    <w:p w:rsidR="00F956E8" w:rsidRPr="000B2A94" w:rsidRDefault="00F956E8" w:rsidP="004F700A">
      <w:pPr>
        <w:pStyle w:val="5"/>
        <w:rPr>
          <w:color w:val="000000" w:themeColor="text1"/>
        </w:rPr>
      </w:pPr>
      <w:r w:rsidRPr="000B2A94">
        <w:rPr>
          <w:color w:val="000000" w:themeColor="text1"/>
        </w:rPr>
        <w:t>刑案指紋比對及鑑定。</w:t>
      </w:r>
    </w:p>
    <w:p w:rsidR="00F956E8" w:rsidRPr="000B2A94" w:rsidRDefault="00F956E8" w:rsidP="004F700A">
      <w:pPr>
        <w:pStyle w:val="5"/>
        <w:rPr>
          <w:color w:val="000000" w:themeColor="text1"/>
        </w:rPr>
      </w:pPr>
      <w:r w:rsidRPr="000B2A94">
        <w:rPr>
          <w:color w:val="000000" w:themeColor="text1"/>
        </w:rPr>
        <w:t>指紋資料之蒐集、分析、建檔、管理、運用。</w:t>
      </w:r>
    </w:p>
    <w:p w:rsidR="00F956E8" w:rsidRPr="000B2A94" w:rsidRDefault="00F956E8" w:rsidP="004F700A">
      <w:pPr>
        <w:pStyle w:val="5"/>
        <w:rPr>
          <w:color w:val="000000" w:themeColor="text1"/>
        </w:rPr>
      </w:pPr>
      <w:r w:rsidRPr="000B2A94">
        <w:rPr>
          <w:color w:val="000000" w:themeColor="text1"/>
        </w:rPr>
        <w:t>支援刑案現場之指(掌)紋採取、檢驗。</w:t>
      </w:r>
    </w:p>
    <w:p w:rsidR="00F956E8" w:rsidRPr="000B2A94" w:rsidRDefault="00F956E8" w:rsidP="004F700A">
      <w:pPr>
        <w:pStyle w:val="5"/>
        <w:rPr>
          <w:color w:val="000000" w:themeColor="text1"/>
        </w:rPr>
      </w:pPr>
      <w:r w:rsidRPr="000B2A94">
        <w:rPr>
          <w:color w:val="000000" w:themeColor="text1"/>
        </w:rPr>
        <w:t>指紋設備器材之規劃、維護。</w:t>
      </w:r>
    </w:p>
    <w:p w:rsidR="00F956E8" w:rsidRPr="000B2A94" w:rsidRDefault="00F956E8" w:rsidP="004F700A">
      <w:pPr>
        <w:pStyle w:val="5"/>
        <w:rPr>
          <w:color w:val="000000" w:themeColor="text1"/>
        </w:rPr>
      </w:pPr>
      <w:r w:rsidRPr="000B2A94">
        <w:rPr>
          <w:color w:val="000000" w:themeColor="text1"/>
        </w:rPr>
        <w:t>指紋電腦系統規劃、執行、管理。</w:t>
      </w:r>
    </w:p>
    <w:p w:rsidR="00F956E8" w:rsidRPr="000B2A94" w:rsidRDefault="00F956E8" w:rsidP="004F700A">
      <w:pPr>
        <w:pStyle w:val="5"/>
        <w:rPr>
          <w:color w:val="000000" w:themeColor="text1"/>
        </w:rPr>
      </w:pPr>
      <w:r w:rsidRPr="000B2A94">
        <w:rPr>
          <w:color w:val="000000" w:themeColor="text1"/>
        </w:rPr>
        <w:t>指紋技術之研究發展。</w:t>
      </w:r>
    </w:p>
    <w:p w:rsidR="00F956E8" w:rsidRPr="000B2A94" w:rsidRDefault="00F956E8" w:rsidP="004F700A">
      <w:pPr>
        <w:pStyle w:val="5"/>
        <w:rPr>
          <w:rFonts w:ascii="Times New Roman" w:hAnsi="Times New Roman"/>
          <w:color w:val="000000" w:themeColor="text1"/>
        </w:rPr>
      </w:pPr>
      <w:r w:rsidRPr="000B2A94">
        <w:rPr>
          <w:color w:val="000000" w:themeColor="text1"/>
        </w:rPr>
        <w:t>其他有關指紋事項。</w:t>
      </w:r>
    </w:p>
    <w:p w:rsidR="00F956E8" w:rsidRPr="000B2A94" w:rsidRDefault="00F956E8" w:rsidP="004F700A">
      <w:pPr>
        <w:pStyle w:val="4"/>
        <w:rPr>
          <w:rFonts w:ascii="Times New Roman" w:hAnsi="Times New Roman"/>
          <w:color w:val="000000" w:themeColor="text1"/>
        </w:rPr>
      </w:pPr>
      <w:r w:rsidRPr="000B2A94">
        <w:rPr>
          <w:rFonts w:ascii="Times New Roman" w:hAnsi="Times New Roman"/>
          <w:color w:val="000000" w:themeColor="text1"/>
        </w:rPr>
        <w:t>生物科</w:t>
      </w:r>
    </w:p>
    <w:p w:rsidR="00F956E8" w:rsidRPr="000B2A94" w:rsidRDefault="00F956E8" w:rsidP="004F700A">
      <w:pPr>
        <w:pStyle w:val="5"/>
        <w:rPr>
          <w:color w:val="000000" w:themeColor="text1"/>
        </w:rPr>
      </w:pPr>
      <w:r w:rsidRPr="000B2A94">
        <w:rPr>
          <w:rFonts w:ascii="Times New Roman" w:hAnsi="Times New Roman"/>
          <w:color w:val="000000" w:themeColor="text1"/>
        </w:rPr>
        <w:t>刑案現場生物跡證</w:t>
      </w:r>
      <w:r w:rsidRPr="000B2A94">
        <w:rPr>
          <w:color w:val="000000" w:themeColor="text1"/>
        </w:rPr>
        <w:t>之採證、鑑定、比對、建檔。</w:t>
      </w:r>
    </w:p>
    <w:p w:rsidR="00F956E8" w:rsidRPr="000B2A94" w:rsidRDefault="00F956E8" w:rsidP="004F700A">
      <w:pPr>
        <w:pStyle w:val="5"/>
        <w:rPr>
          <w:color w:val="000000" w:themeColor="text1"/>
        </w:rPr>
      </w:pPr>
      <w:r w:rsidRPr="000B2A94">
        <w:rPr>
          <w:color w:val="000000" w:themeColor="text1"/>
        </w:rPr>
        <w:t>去氧核醣核酸業務規劃、執行、督導考核。</w:t>
      </w:r>
    </w:p>
    <w:p w:rsidR="00F956E8" w:rsidRPr="000B2A94" w:rsidRDefault="00F956E8" w:rsidP="004F700A">
      <w:pPr>
        <w:pStyle w:val="5"/>
        <w:rPr>
          <w:color w:val="000000" w:themeColor="text1"/>
        </w:rPr>
      </w:pPr>
      <w:r w:rsidRPr="000B2A94">
        <w:rPr>
          <w:color w:val="000000" w:themeColor="text1"/>
        </w:rPr>
        <w:t>建立去氧核醣核酸型別紀錄及人口統計資料庫。</w:t>
      </w:r>
    </w:p>
    <w:p w:rsidR="00F956E8" w:rsidRPr="000B2A94" w:rsidRDefault="00F956E8" w:rsidP="004F700A">
      <w:pPr>
        <w:pStyle w:val="5"/>
        <w:rPr>
          <w:color w:val="000000" w:themeColor="text1"/>
        </w:rPr>
      </w:pPr>
      <w:r w:rsidRPr="000B2A94">
        <w:rPr>
          <w:color w:val="000000" w:themeColor="text1"/>
        </w:rPr>
        <w:t>生物跡證技術之研究發展。</w:t>
      </w:r>
    </w:p>
    <w:p w:rsidR="00F956E8" w:rsidRPr="000B2A94" w:rsidRDefault="00F956E8" w:rsidP="004F700A">
      <w:pPr>
        <w:pStyle w:val="5"/>
        <w:rPr>
          <w:rFonts w:ascii="Times New Roman" w:hAnsi="Times New Roman"/>
          <w:color w:val="000000" w:themeColor="text1"/>
        </w:rPr>
      </w:pPr>
      <w:r w:rsidRPr="000B2A94">
        <w:rPr>
          <w:color w:val="000000" w:themeColor="text1"/>
        </w:rPr>
        <w:t>其他有關生物跡證事項</w:t>
      </w:r>
      <w:r w:rsidRPr="000B2A94">
        <w:rPr>
          <w:rFonts w:ascii="Times New Roman" w:hAnsi="Times New Roman"/>
          <w:color w:val="000000" w:themeColor="text1"/>
        </w:rPr>
        <w:t>。</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219" w:name="_Toc27399841"/>
      <w:bookmarkStart w:id="220" w:name="_Toc28606622"/>
      <w:r w:rsidRPr="000B2A94">
        <w:rPr>
          <w:rFonts w:ascii="Times New Roman" w:hAnsi="Times New Roman"/>
          <w:color w:val="000000" w:themeColor="text1"/>
        </w:rPr>
        <w:t>內政部中央警察大學鑑識科學研究委員</w:t>
      </w:r>
      <w:r w:rsidRPr="000B2A94">
        <w:rPr>
          <w:rFonts w:ascii="Times New Roman" w:hAnsi="Times New Roman"/>
          <w:b/>
          <w:color w:val="000000" w:themeColor="text1"/>
        </w:rPr>
        <w:t>會</w:t>
      </w:r>
      <w:bookmarkEnd w:id="219"/>
      <w:bookmarkEnd w:id="220"/>
    </w:p>
    <w:p w:rsidR="00F956E8" w:rsidRPr="000B2A94" w:rsidRDefault="00F956E8" w:rsidP="006A0A4F">
      <w:pPr>
        <w:pStyle w:val="4"/>
        <w:rPr>
          <w:color w:val="000000" w:themeColor="text1"/>
        </w:rPr>
      </w:pPr>
      <w:r w:rsidRPr="000B2A94">
        <w:rPr>
          <w:color w:val="000000" w:themeColor="text1"/>
        </w:rPr>
        <w:t>為研究鑑識科學學術與鑑定實務，中央警察大學下設鑑識科學研究委員會，其任務如下：</w:t>
      </w:r>
    </w:p>
    <w:p w:rsidR="00F956E8" w:rsidRPr="000B2A94" w:rsidRDefault="00F956E8" w:rsidP="006A0A4F">
      <w:pPr>
        <w:pStyle w:val="5"/>
        <w:rPr>
          <w:color w:val="000000" w:themeColor="text1"/>
        </w:rPr>
      </w:pPr>
      <w:r w:rsidRPr="000B2A94">
        <w:rPr>
          <w:rFonts w:ascii="Times New Roman" w:hAnsi="Times New Roman"/>
          <w:color w:val="000000" w:themeColor="text1"/>
        </w:rPr>
        <w:t>研究鑑識科</w:t>
      </w:r>
      <w:r w:rsidRPr="000B2A94">
        <w:rPr>
          <w:color w:val="000000" w:themeColor="text1"/>
        </w:rPr>
        <w:t>學學術，並得舉辦學術活動或出版學術刊物。</w:t>
      </w:r>
    </w:p>
    <w:p w:rsidR="00F956E8" w:rsidRPr="000B2A94" w:rsidRDefault="00F956E8" w:rsidP="006A0A4F">
      <w:pPr>
        <w:pStyle w:val="5"/>
        <w:rPr>
          <w:color w:val="000000" w:themeColor="text1"/>
        </w:rPr>
      </w:pPr>
      <w:r w:rsidRPr="000B2A94">
        <w:rPr>
          <w:color w:val="000000" w:themeColor="text1"/>
        </w:rPr>
        <w:t>接受委託從事刑事案件之鑑定。</w:t>
      </w:r>
    </w:p>
    <w:p w:rsidR="00F956E8" w:rsidRPr="000B2A94" w:rsidRDefault="00F956E8" w:rsidP="006A0A4F">
      <w:pPr>
        <w:pStyle w:val="5"/>
        <w:rPr>
          <w:color w:val="000000" w:themeColor="text1"/>
        </w:rPr>
      </w:pPr>
      <w:r w:rsidRPr="000B2A94">
        <w:rPr>
          <w:color w:val="000000" w:themeColor="text1"/>
        </w:rPr>
        <w:t>接受委託研究有關鑑識業務事項。</w:t>
      </w:r>
    </w:p>
    <w:p w:rsidR="00F956E8" w:rsidRPr="000B2A94" w:rsidRDefault="00F956E8" w:rsidP="006A0A4F">
      <w:pPr>
        <w:pStyle w:val="5"/>
        <w:rPr>
          <w:color w:val="000000" w:themeColor="text1"/>
        </w:rPr>
      </w:pPr>
      <w:r w:rsidRPr="000B2A94">
        <w:rPr>
          <w:color w:val="000000" w:themeColor="text1"/>
        </w:rPr>
        <w:t xml:space="preserve">其他有關專案研究事項。 </w:t>
      </w:r>
    </w:p>
    <w:p w:rsidR="00F956E8" w:rsidRPr="000B2A94" w:rsidRDefault="00F956E8" w:rsidP="004F700A">
      <w:pPr>
        <w:pStyle w:val="4"/>
        <w:rPr>
          <w:rFonts w:ascii="Times New Roman" w:hAnsi="Times New Roman"/>
          <w:color w:val="000000" w:themeColor="text1"/>
        </w:rPr>
      </w:pPr>
      <w:r w:rsidRPr="000B2A94">
        <w:rPr>
          <w:rFonts w:ascii="Times New Roman" w:hAnsi="Times New Roman"/>
          <w:color w:val="000000" w:themeColor="text1"/>
        </w:rPr>
        <w:lastRenderedPageBreak/>
        <w:t>鑑定案件送鑑程序及收費標準</w:t>
      </w:r>
    </w:p>
    <w:p w:rsidR="00F956E8" w:rsidRPr="000B2A94" w:rsidRDefault="00F956E8" w:rsidP="004F700A">
      <w:pPr>
        <w:pStyle w:val="5"/>
        <w:rPr>
          <w:color w:val="000000" w:themeColor="text1"/>
        </w:rPr>
      </w:pPr>
      <w:r w:rsidRPr="000B2A94">
        <w:rPr>
          <w:rFonts w:ascii="Times New Roman" w:hAnsi="Times New Roman"/>
          <w:color w:val="000000" w:themeColor="text1"/>
        </w:rPr>
        <w:t>僅接受政府機關、</w:t>
      </w:r>
      <w:r w:rsidRPr="000B2A94">
        <w:rPr>
          <w:color w:val="000000" w:themeColor="text1"/>
        </w:rPr>
        <w:t>公私立學校委託刑事案件之鑑定或專案研究事項，委託須以公文為之。</w:t>
      </w:r>
    </w:p>
    <w:p w:rsidR="00F956E8" w:rsidRPr="000B2A94" w:rsidRDefault="00F956E8" w:rsidP="004F700A">
      <w:pPr>
        <w:pStyle w:val="5"/>
        <w:rPr>
          <w:color w:val="000000" w:themeColor="text1"/>
        </w:rPr>
      </w:pPr>
      <w:r w:rsidRPr="000B2A94">
        <w:rPr>
          <w:color w:val="000000" w:themeColor="text1"/>
        </w:rPr>
        <w:t>基於人力、物力及教學研究專長之限制，目前僅受理刑事案件證物鑑定之委託，收受類型共分為物理、生物、化學、交通與消防鑑定（含消防調查）共五類。</w:t>
      </w:r>
    </w:p>
    <w:p w:rsidR="00F956E8" w:rsidRPr="000B2A94" w:rsidRDefault="00F956E8" w:rsidP="004F700A">
      <w:pPr>
        <w:pStyle w:val="5"/>
        <w:rPr>
          <w:rFonts w:ascii="Times New Roman" w:hAnsi="Times New Roman"/>
          <w:color w:val="000000" w:themeColor="text1"/>
        </w:rPr>
      </w:pPr>
      <w:r w:rsidRPr="000B2A94">
        <w:rPr>
          <w:color w:val="000000" w:themeColor="text1"/>
        </w:rPr>
        <w:t>進行案件鑑定採先收費後鑑定之方式，委員會將於收受鑑定案件後，視案件情形預估所需鑑定收費等級、金額及預估鑑定所需時間，並以公文回覆之（一般情形約需</w:t>
      </w:r>
      <w:r w:rsidR="00A74581" w:rsidRPr="000B2A94">
        <w:rPr>
          <w:rFonts w:hint="eastAsia"/>
          <w:color w:val="000000" w:themeColor="text1"/>
        </w:rPr>
        <w:t>1</w:t>
      </w:r>
      <w:r w:rsidRPr="000B2A94">
        <w:rPr>
          <w:color w:val="000000" w:themeColor="text1"/>
        </w:rPr>
        <w:t>個月）。相關收費標準規定於「中</w:t>
      </w:r>
      <w:r w:rsidRPr="000B2A94">
        <w:rPr>
          <w:rFonts w:ascii="Times New Roman" w:hAnsi="Times New Roman"/>
          <w:color w:val="000000" w:themeColor="text1"/>
        </w:rPr>
        <w:t>央警察大學接受委託鑑定案件收費標準」。</w:t>
      </w:r>
    </w:p>
    <w:p w:rsidR="00F956E8" w:rsidRPr="000B2A94" w:rsidRDefault="00F956E8" w:rsidP="004F700A">
      <w:pPr>
        <w:pStyle w:val="4"/>
        <w:rPr>
          <w:rFonts w:ascii="Times New Roman" w:hAnsi="Times New Roman"/>
          <w:color w:val="000000" w:themeColor="text1"/>
        </w:rPr>
      </w:pPr>
      <w:r w:rsidRPr="000B2A94">
        <w:rPr>
          <w:rFonts w:ascii="Times New Roman" w:hAnsi="Times New Roman"/>
          <w:color w:val="000000" w:themeColor="text1"/>
        </w:rPr>
        <w:t>該校於</w:t>
      </w:r>
      <w:r w:rsidRPr="000B2A94">
        <w:rPr>
          <w:rFonts w:ascii="Times New Roman" w:hAnsi="Times New Roman"/>
          <w:color w:val="000000" w:themeColor="text1"/>
        </w:rPr>
        <w:t>108</w:t>
      </w:r>
      <w:r w:rsidRPr="000B2A94">
        <w:rPr>
          <w:rFonts w:ascii="Times New Roman" w:hAnsi="Times New Roman"/>
          <w:color w:val="000000" w:themeColor="text1"/>
        </w:rPr>
        <w:t>年</w:t>
      </w:r>
      <w:r w:rsidRPr="000B2A94">
        <w:rPr>
          <w:rFonts w:ascii="Times New Roman" w:hAnsi="Times New Roman"/>
          <w:color w:val="000000" w:themeColor="text1"/>
        </w:rPr>
        <w:t>5</w:t>
      </w:r>
      <w:r w:rsidRPr="000B2A94">
        <w:rPr>
          <w:rFonts w:ascii="Times New Roman" w:hAnsi="Times New Roman"/>
          <w:color w:val="000000" w:themeColor="text1"/>
        </w:rPr>
        <w:t>月</w:t>
      </w:r>
      <w:r w:rsidRPr="000B2A94">
        <w:rPr>
          <w:rFonts w:ascii="Times New Roman" w:hAnsi="Times New Roman"/>
          <w:color w:val="000000" w:themeColor="text1"/>
        </w:rPr>
        <w:t>21</w:t>
      </w:r>
      <w:r w:rsidRPr="000B2A94">
        <w:rPr>
          <w:rFonts w:ascii="Times New Roman" w:hAnsi="Times New Roman"/>
          <w:color w:val="000000" w:themeColor="text1"/>
        </w:rPr>
        <w:t>日公告，因交通類鑑定委員人力有限，且尚有部分案件持續進行中，目前因囑託案件甚多致受理量已達飽和，為顧及鑑定品質及避免延宕各級司法機關之偵查、審判工作，自即日起暫停交通事故鑑定案，預定於</w:t>
      </w:r>
      <w:r w:rsidRPr="000B2A94">
        <w:rPr>
          <w:rFonts w:ascii="Times New Roman" w:hAnsi="Times New Roman"/>
          <w:color w:val="000000" w:themeColor="text1"/>
        </w:rPr>
        <w:t>109</w:t>
      </w:r>
      <w:r w:rsidRPr="000B2A94">
        <w:rPr>
          <w:rFonts w:ascii="Times New Roman" w:hAnsi="Times New Roman"/>
          <w:color w:val="000000" w:themeColor="text1"/>
        </w:rPr>
        <w:t>年</w:t>
      </w:r>
      <w:r w:rsidRPr="000B2A94">
        <w:rPr>
          <w:rFonts w:ascii="Times New Roman" w:hAnsi="Times New Roman"/>
          <w:color w:val="000000" w:themeColor="text1"/>
        </w:rPr>
        <w:t>1</w:t>
      </w:r>
      <w:r w:rsidRPr="000B2A94">
        <w:rPr>
          <w:rFonts w:ascii="Times New Roman" w:hAnsi="Times New Roman"/>
          <w:color w:val="000000" w:themeColor="text1"/>
        </w:rPr>
        <w:t>月</w:t>
      </w:r>
      <w:r w:rsidRPr="000B2A94">
        <w:rPr>
          <w:rFonts w:ascii="Times New Roman" w:hAnsi="Times New Roman"/>
          <w:color w:val="000000" w:themeColor="text1"/>
        </w:rPr>
        <w:t>8</w:t>
      </w:r>
      <w:r w:rsidRPr="000B2A94">
        <w:rPr>
          <w:rFonts w:ascii="Times New Roman" w:hAnsi="Times New Roman"/>
          <w:color w:val="000000" w:themeColor="text1"/>
        </w:rPr>
        <w:t>日再行受理囑託鑑定事宜。另因該校鑑識科學研究委員會受理交通事故刑事案件之鑑定，以經各區車輛行車事故鑑定委員會及覆議委員會鑑定後，對鑑定意見仍有異議者為限。若有鑑定需要，須俟上述程序完成後，始能將全案卷證資料正本函送該校鑑定。</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221" w:name="_Toc27399842"/>
      <w:bookmarkStart w:id="222" w:name="_Toc28606623"/>
      <w:r w:rsidRPr="000B2A94">
        <w:rPr>
          <w:rFonts w:ascii="Times New Roman" w:hAnsi="Times New Roman"/>
          <w:color w:val="000000" w:themeColor="text1"/>
        </w:rPr>
        <w:t>國防部憲兵指揮部刑事鑑識中心</w:t>
      </w:r>
      <w:bookmarkEnd w:id="221"/>
      <w:bookmarkEnd w:id="222"/>
    </w:p>
    <w:p w:rsidR="00F956E8" w:rsidRPr="000B2A94" w:rsidRDefault="00F956E8" w:rsidP="00F956E8">
      <w:pPr>
        <w:pStyle w:val="32"/>
        <w:ind w:left="1361" w:firstLine="680"/>
        <w:rPr>
          <w:rFonts w:ascii="Times New Roman"/>
          <w:color w:val="000000" w:themeColor="text1"/>
          <w:szCs w:val="32"/>
        </w:rPr>
      </w:pPr>
      <w:r w:rsidRPr="000B2A94">
        <w:rPr>
          <w:rFonts w:ascii="Times New Roman"/>
          <w:color w:val="000000" w:themeColor="text1"/>
        </w:rPr>
        <w:t>國防部憲兵指揮部刑事鑑識中心（下稱</w:t>
      </w:r>
      <w:r w:rsidR="00A74581" w:rsidRPr="000B2A94">
        <w:rPr>
          <w:rFonts w:ascii="Times New Roman" w:hint="eastAsia"/>
          <w:color w:val="000000" w:themeColor="text1"/>
        </w:rPr>
        <w:t>國防部</w:t>
      </w:r>
      <w:r w:rsidRPr="000B2A94">
        <w:rPr>
          <w:rFonts w:ascii="Times New Roman"/>
          <w:color w:val="000000" w:themeColor="text1"/>
        </w:rPr>
        <w:t>刑鑑中心）</w:t>
      </w:r>
      <w:r w:rsidRPr="000B2A94">
        <w:rPr>
          <w:rFonts w:ascii="Times New Roman"/>
          <w:color w:val="000000" w:themeColor="text1"/>
          <w:szCs w:val="32"/>
        </w:rPr>
        <w:t>依據臺灣高等法院檢察署</w:t>
      </w:r>
      <w:r w:rsidR="00A74581" w:rsidRPr="000B2A94">
        <w:rPr>
          <w:rFonts w:ascii="Times New Roman"/>
          <w:color w:val="000000" w:themeColor="text1"/>
        </w:rPr>
        <w:t>（</w:t>
      </w:r>
      <w:r w:rsidRPr="000B2A94">
        <w:rPr>
          <w:rFonts w:ascii="Times New Roman"/>
          <w:color w:val="000000" w:themeColor="text1"/>
          <w:szCs w:val="32"/>
        </w:rPr>
        <w:t>現已更銜為臺灣高等檢察署</w:t>
      </w:r>
      <w:r w:rsidR="00A74581" w:rsidRPr="000B2A94">
        <w:rPr>
          <w:rFonts w:ascii="Times New Roman"/>
          <w:color w:val="000000" w:themeColor="text1"/>
        </w:rPr>
        <w:t>）</w:t>
      </w:r>
      <w:r w:rsidRPr="000B2A94">
        <w:rPr>
          <w:rFonts w:ascii="Times New Roman"/>
          <w:color w:val="000000" w:themeColor="text1"/>
          <w:szCs w:val="32"/>
        </w:rPr>
        <w:t>92</w:t>
      </w:r>
      <w:r w:rsidRPr="000B2A94">
        <w:rPr>
          <w:rFonts w:ascii="Times New Roman"/>
          <w:color w:val="000000" w:themeColor="text1"/>
          <w:szCs w:val="32"/>
        </w:rPr>
        <w:t>年</w:t>
      </w:r>
      <w:r w:rsidRPr="000B2A94">
        <w:rPr>
          <w:rFonts w:ascii="Times New Roman"/>
          <w:color w:val="000000" w:themeColor="text1"/>
          <w:szCs w:val="32"/>
        </w:rPr>
        <w:t>9</w:t>
      </w:r>
      <w:r w:rsidRPr="000B2A94">
        <w:rPr>
          <w:rFonts w:ascii="Times New Roman"/>
          <w:color w:val="000000" w:themeColor="text1"/>
          <w:szCs w:val="32"/>
        </w:rPr>
        <w:t>月</w:t>
      </w:r>
      <w:r w:rsidRPr="000B2A94">
        <w:rPr>
          <w:rFonts w:ascii="Times New Roman"/>
          <w:color w:val="000000" w:themeColor="text1"/>
          <w:szCs w:val="32"/>
        </w:rPr>
        <w:t>9</w:t>
      </w:r>
      <w:r w:rsidRPr="000B2A94">
        <w:rPr>
          <w:rFonts w:ascii="Times New Roman"/>
          <w:color w:val="000000" w:themeColor="text1"/>
          <w:szCs w:val="32"/>
        </w:rPr>
        <w:t>日檢文允字第</w:t>
      </w:r>
      <w:r w:rsidRPr="000B2A94">
        <w:rPr>
          <w:rFonts w:ascii="Times New Roman"/>
          <w:color w:val="000000" w:themeColor="text1"/>
          <w:szCs w:val="32"/>
        </w:rPr>
        <w:t>0921001203</w:t>
      </w:r>
      <w:r w:rsidRPr="000B2A94">
        <w:rPr>
          <w:rFonts w:ascii="Times New Roman"/>
          <w:color w:val="000000" w:themeColor="text1"/>
          <w:szCs w:val="32"/>
        </w:rPr>
        <w:t>號函，為各級司法審檢機關之囑託鑑定機關。</w:t>
      </w:r>
    </w:p>
    <w:p w:rsidR="00F956E8" w:rsidRPr="000B2A94" w:rsidRDefault="00A74581" w:rsidP="00F956E8">
      <w:pPr>
        <w:pStyle w:val="32"/>
        <w:ind w:left="1361" w:firstLine="680"/>
        <w:rPr>
          <w:rFonts w:ascii="Times New Roman"/>
          <w:color w:val="000000" w:themeColor="text1"/>
        </w:rPr>
      </w:pPr>
      <w:r w:rsidRPr="000B2A94">
        <w:rPr>
          <w:rFonts w:ascii="Times New Roman" w:hint="eastAsia"/>
          <w:color w:val="000000" w:themeColor="text1"/>
        </w:rPr>
        <w:lastRenderedPageBreak/>
        <w:t>國防部</w:t>
      </w:r>
      <w:r w:rsidR="00F956E8" w:rsidRPr="000B2A94">
        <w:rPr>
          <w:rFonts w:ascii="Times New Roman"/>
          <w:color w:val="000000" w:themeColor="text1"/>
        </w:rPr>
        <w:t>刑鑑中心編制下轄化學鑑識、物理鑑識、現場勘查及數位鑑識等</w:t>
      </w:r>
      <w:r w:rsidR="00F956E8" w:rsidRPr="000B2A94">
        <w:rPr>
          <w:rFonts w:ascii="Times New Roman"/>
          <w:color w:val="000000" w:themeColor="text1"/>
        </w:rPr>
        <w:t>4</w:t>
      </w:r>
      <w:r w:rsidR="00F956E8" w:rsidRPr="000B2A94">
        <w:rPr>
          <w:rFonts w:ascii="Times New Roman"/>
          <w:color w:val="000000" w:themeColor="text1"/>
        </w:rPr>
        <w:t>組，負責國軍部隊及協助司法審檢機關毒品、尿液、爆裂物、筆跡、印文、指紋、槍彈、測謊、現場勘察、數位證據等</w:t>
      </w:r>
      <w:r w:rsidR="00F956E8" w:rsidRPr="000B2A94">
        <w:rPr>
          <w:rFonts w:ascii="Times New Roman"/>
          <w:color w:val="000000" w:themeColor="text1"/>
        </w:rPr>
        <w:t>10</w:t>
      </w:r>
      <w:r w:rsidR="00F956E8" w:rsidRPr="000B2A94">
        <w:rPr>
          <w:rFonts w:ascii="Times New Roman"/>
          <w:color w:val="000000" w:themeColor="text1"/>
        </w:rPr>
        <w:t>類鑑驗。</w:t>
      </w:r>
    </w:p>
    <w:p w:rsidR="00F956E8" w:rsidRPr="000B2A94" w:rsidRDefault="00A74581" w:rsidP="00F956E8">
      <w:pPr>
        <w:pStyle w:val="32"/>
        <w:ind w:left="1361" w:firstLine="680"/>
        <w:rPr>
          <w:rFonts w:ascii="Times New Roman"/>
          <w:color w:val="000000" w:themeColor="text1"/>
        </w:rPr>
      </w:pPr>
      <w:r w:rsidRPr="000B2A94">
        <w:rPr>
          <w:rFonts w:ascii="Times New Roman" w:hint="eastAsia"/>
          <w:color w:val="000000" w:themeColor="text1"/>
        </w:rPr>
        <w:t>國防部</w:t>
      </w:r>
      <w:r w:rsidR="00F956E8" w:rsidRPr="000B2A94">
        <w:rPr>
          <w:rFonts w:ascii="Times New Roman"/>
          <w:color w:val="000000" w:themeColor="text1"/>
        </w:rPr>
        <w:t>刑鑑中心收案後，按證物類別分派各組依鑑驗項目標準作業程序完成後，並將結果以公文函覆委鑑單位辦理。</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223" w:name="_Toc27399843"/>
      <w:bookmarkStart w:id="224" w:name="_Toc28606624"/>
      <w:r w:rsidRPr="000B2A94">
        <w:rPr>
          <w:rFonts w:ascii="Times New Roman" w:hAnsi="Times New Roman"/>
          <w:color w:val="000000" w:themeColor="text1"/>
        </w:rPr>
        <w:t>六都刑事鑑識中心</w:t>
      </w:r>
      <w:bookmarkEnd w:id="223"/>
      <w:bookmarkEnd w:id="224"/>
    </w:p>
    <w:p w:rsidR="00F956E8" w:rsidRPr="000B2A94" w:rsidRDefault="00F956E8" w:rsidP="00F956E8">
      <w:pPr>
        <w:pStyle w:val="32"/>
        <w:ind w:left="1361" w:firstLine="680"/>
        <w:rPr>
          <w:rFonts w:ascii="Times New Roman"/>
          <w:color w:val="000000" w:themeColor="text1"/>
        </w:rPr>
      </w:pPr>
      <w:r w:rsidRPr="000B2A94">
        <w:rPr>
          <w:rFonts w:ascii="Times New Roman"/>
          <w:color w:val="000000" w:themeColor="text1"/>
        </w:rPr>
        <w:t>六都刑事鑑識中心皆設於該市政府警察局，主要職責係支援該轄區重大刑案現場勘察採證及重建、鑑定等工作。</w:t>
      </w:r>
    </w:p>
    <w:p w:rsidR="00F956E8" w:rsidRPr="000B2A94" w:rsidRDefault="00F956E8" w:rsidP="00F956E8">
      <w:pPr>
        <w:jc w:val="center"/>
        <w:rPr>
          <w:noProof/>
          <w:color w:val="000000" w:themeColor="text1"/>
        </w:rPr>
      </w:pPr>
      <w:r w:rsidRPr="000B2A94">
        <w:rPr>
          <w:noProof/>
          <w:color w:val="000000" w:themeColor="text1"/>
        </w:rPr>
        <w:drawing>
          <wp:inline distT="0" distB="0" distL="0" distR="0" wp14:anchorId="1634F167" wp14:editId="081DB49E">
            <wp:extent cx="4810125" cy="1809750"/>
            <wp:effectExtent l="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125" cy="1809750"/>
                    </a:xfrm>
                    <a:prstGeom prst="rect">
                      <a:avLst/>
                    </a:prstGeom>
                    <a:noFill/>
                    <a:ln>
                      <a:noFill/>
                    </a:ln>
                  </pic:spPr>
                </pic:pic>
              </a:graphicData>
            </a:graphic>
          </wp:inline>
        </w:drawing>
      </w:r>
    </w:p>
    <w:p w:rsidR="00F956E8" w:rsidRPr="000B2A94" w:rsidRDefault="00F956E8" w:rsidP="00A74581">
      <w:pPr>
        <w:pStyle w:val="a2"/>
        <w:rPr>
          <w:b/>
          <w:color w:val="000000" w:themeColor="text1"/>
        </w:rPr>
      </w:pPr>
      <w:bookmarkStart w:id="225" w:name="_Toc27412359"/>
      <w:r w:rsidRPr="000B2A94">
        <w:rPr>
          <w:b/>
          <w:color w:val="000000" w:themeColor="text1"/>
        </w:rPr>
        <w:t>現行各鑑識機構架構圖</w:t>
      </w:r>
      <w:bookmarkEnd w:id="225"/>
    </w:p>
    <w:p w:rsidR="00F956E8" w:rsidRPr="000B2A94" w:rsidRDefault="00F956E8" w:rsidP="00F956E8">
      <w:pPr>
        <w:spacing w:line="240" w:lineRule="exact"/>
        <w:ind w:left="1233" w:hangingChars="474" w:hanging="1233"/>
        <w:rPr>
          <w:color w:val="000000" w:themeColor="text1"/>
          <w:sz w:val="24"/>
          <w:szCs w:val="24"/>
        </w:rPr>
      </w:pPr>
      <w:r w:rsidRPr="000B2A94">
        <w:rPr>
          <w:color w:val="000000" w:themeColor="text1"/>
          <w:sz w:val="24"/>
          <w:szCs w:val="24"/>
        </w:rPr>
        <w:t>資料來源：蘇友辰（2014）。建置國家級「刑事鑑識科學中心」之芻議。全國律師，18:5，106-111。</w:t>
      </w:r>
    </w:p>
    <w:p w:rsidR="00F956E8" w:rsidRPr="000B2A94" w:rsidRDefault="00F956E8" w:rsidP="00F956E8">
      <w:pPr>
        <w:rPr>
          <w:color w:val="000000" w:themeColor="text1"/>
          <w:sz w:val="24"/>
          <w:szCs w:val="24"/>
        </w:rPr>
      </w:pPr>
    </w:p>
    <w:p w:rsidR="00A74581" w:rsidRPr="000B2A94" w:rsidRDefault="00A74581" w:rsidP="00F956E8">
      <w:pPr>
        <w:rPr>
          <w:color w:val="000000" w:themeColor="text1"/>
          <w:sz w:val="24"/>
          <w:szCs w:val="24"/>
        </w:rPr>
      </w:pPr>
    </w:p>
    <w:p w:rsidR="00A74581" w:rsidRPr="000B2A94" w:rsidRDefault="00A74581" w:rsidP="00F956E8">
      <w:pPr>
        <w:rPr>
          <w:color w:val="000000" w:themeColor="text1"/>
          <w:sz w:val="24"/>
          <w:szCs w:val="24"/>
        </w:rPr>
      </w:pPr>
    </w:p>
    <w:p w:rsidR="00F956E8" w:rsidRPr="000B2A94" w:rsidRDefault="00F956E8" w:rsidP="00F956E8">
      <w:pPr>
        <w:pStyle w:val="2"/>
        <w:numPr>
          <w:ilvl w:val="1"/>
          <w:numId w:val="1"/>
        </w:numPr>
        <w:kinsoku w:val="0"/>
        <w:overflowPunct/>
        <w:autoSpaceDE/>
        <w:autoSpaceDN/>
        <w:ind w:left="1123" w:hanging="697"/>
        <w:rPr>
          <w:rFonts w:ascii="Times New Roman" w:hAnsi="Times New Roman"/>
          <w:b/>
          <w:color w:val="000000" w:themeColor="text1"/>
        </w:rPr>
      </w:pPr>
      <w:bookmarkStart w:id="226" w:name="_Toc28606809"/>
      <w:r w:rsidRPr="000B2A94">
        <w:rPr>
          <w:rFonts w:ascii="Times New Roman" w:hAnsi="Times New Roman"/>
          <w:b/>
          <w:color w:val="000000" w:themeColor="text1"/>
        </w:rPr>
        <w:t>現行司法鑑定制度實務運作遭遇之問題及歷年改革之內容</w:t>
      </w:r>
      <w:bookmarkEnd w:id="226"/>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227" w:name="_Toc27399845"/>
      <w:r w:rsidRPr="000B2A94">
        <w:rPr>
          <w:rFonts w:ascii="Times New Roman" w:hAnsi="Times New Roman"/>
          <w:color w:val="000000" w:themeColor="text1"/>
        </w:rPr>
        <w:t>刑事訴訟案件</w:t>
      </w:r>
      <w:bookmarkEnd w:id="227"/>
    </w:p>
    <w:p w:rsidR="00F956E8" w:rsidRPr="000B2A94" w:rsidRDefault="00F956E8" w:rsidP="00943EB9">
      <w:pPr>
        <w:pStyle w:val="4"/>
        <w:rPr>
          <w:color w:val="000000" w:themeColor="text1"/>
        </w:rPr>
      </w:pPr>
      <w:r w:rsidRPr="000B2A94">
        <w:rPr>
          <w:color w:val="000000" w:themeColor="text1"/>
        </w:rPr>
        <w:t>現制問題</w:t>
      </w:r>
    </w:p>
    <w:p w:rsidR="00F956E8" w:rsidRPr="000B2A94" w:rsidRDefault="00F956E8" w:rsidP="004F700A">
      <w:pPr>
        <w:pStyle w:val="5"/>
        <w:rPr>
          <w:color w:val="000000" w:themeColor="text1"/>
        </w:rPr>
      </w:pPr>
      <w:r w:rsidRPr="000B2A94">
        <w:rPr>
          <w:color w:val="000000" w:themeColor="text1"/>
        </w:rPr>
        <w:t>各鑑識機構隸屬不同系統，規模與專業能力互</w:t>
      </w:r>
      <w:r w:rsidRPr="000B2A94">
        <w:rPr>
          <w:color w:val="000000" w:themeColor="text1"/>
        </w:rPr>
        <w:lastRenderedPageBreak/>
        <w:t>有差別，事權不一，部分功能重疊且鑑識資源過度集中，造成資源分配不均，人力及設備無法有效統合利用。</w:t>
      </w:r>
    </w:p>
    <w:p w:rsidR="00F956E8" w:rsidRPr="000B2A94" w:rsidRDefault="00F956E8" w:rsidP="004F700A">
      <w:pPr>
        <w:pStyle w:val="5"/>
        <w:rPr>
          <w:color w:val="000000" w:themeColor="text1"/>
        </w:rPr>
      </w:pPr>
      <w:r w:rsidRPr="000B2A94">
        <w:rPr>
          <w:color w:val="000000" w:themeColor="text1"/>
        </w:rPr>
        <w:t>各鑑識機構之鑑識方式未盡相同，所需送鑑資料或要求亦有不同，造成囑託鑑定機關之困擾。另部分鑑識機構隸屬於治安或偵查機關，並非立於第三者之超然獨立機構，其中立性、公正性易遭質疑。</w:t>
      </w:r>
    </w:p>
    <w:p w:rsidR="00F956E8" w:rsidRPr="000B2A94" w:rsidRDefault="00F956E8" w:rsidP="004F700A">
      <w:pPr>
        <w:pStyle w:val="5"/>
        <w:rPr>
          <w:color w:val="000000" w:themeColor="text1"/>
        </w:rPr>
      </w:pPr>
      <w:r w:rsidRPr="000B2A94">
        <w:rPr>
          <w:color w:val="000000" w:themeColor="text1"/>
        </w:rPr>
        <w:t>審判長、受命法官或檢察官依刑事訴訟法第193條規定，固有選任鑑定單位之職權，惟如何於多數鑑識機構中選任，審、檢、辯三方偶有不同意見。</w:t>
      </w:r>
    </w:p>
    <w:p w:rsidR="00F956E8" w:rsidRPr="000B2A94" w:rsidRDefault="00F956E8" w:rsidP="004F700A">
      <w:pPr>
        <w:pStyle w:val="5"/>
        <w:rPr>
          <w:color w:val="000000" w:themeColor="text1"/>
        </w:rPr>
      </w:pPr>
      <w:r w:rsidRPr="000B2A94">
        <w:rPr>
          <w:color w:val="000000" w:themeColor="text1"/>
        </w:rPr>
        <w:t>各鑑識機構彼此並無上下層級或隸屬關係，如不同鑑識機構就同一鑑定事項，鑑定結果歧異，法院如何取捨，不無疑問。</w:t>
      </w:r>
    </w:p>
    <w:p w:rsidR="00F956E8" w:rsidRPr="000B2A94" w:rsidRDefault="00F956E8" w:rsidP="004F700A">
      <w:pPr>
        <w:pStyle w:val="4"/>
        <w:rPr>
          <w:color w:val="000000" w:themeColor="text1"/>
        </w:rPr>
      </w:pPr>
      <w:r w:rsidRPr="000B2A94">
        <w:rPr>
          <w:color w:val="000000" w:themeColor="text1"/>
        </w:rPr>
        <w:t>改革內容：</w:t>
      </w:r>
    </w:p>
    <w:p w:rsidR="00F956E8" w:rsidRPr="000B2A94" w:rsidRDefault="00F956E8" w:rsidP="004F700A">
      <w:pPr>
        <w:pStyle w:val="5"/>
        <w:rPr>
          <w:color w:val="000000" w:themeColor="text1"/>
        </w:rPr>
      </w:pPr>
      <w:r w:rsidRPr="000B2A94">
        <w:rPr>
          <w:color w:val="000000" w:themeColor="text1"/>
        </w:rPr>
        <w:t>刑事訴訟法於92年2月間修正第一編第十二章第三節「鑑定及通譯」條文，除修正第198、200、201、203至205、208、209條外，並增訂第203條之1至第203條之4、204條之1至204條之3、第205條之1、第205條之2及第206條之1等條文。</w:t>
      </w:r>
    </w:p>
    <w:p w:rsidR="00F956E8" w:rsidRPr="000B2A94" w:rsidRDefault="00F956E8" w:rsidP="004F700A">
      <w:pPr>
        <w:pStyle w:val="5"/>
        <w:rPr>
          <w:color w:val="000000" w:themeColor="text1"/>
        </w:rPr>
      </w:pPr>
      <w:r w:rsidRPr="000B2A94">
        <w:rPr>
          <w:color w:val="000000" w:themeColor="text1"/>
        </w:rPr>
        <w:t>法務部表示責成臺灣高等檢察署於105年2月間召集各重要鑑識機關（構）徵詢意見，會中各鑑識機關（構）對建制「國家級刑事鑑識中心」持保留態度，但表示在一定範圍内，可朝建置「覆議機制」方向思考。综整各刑事鑑識機構之理由如下：</w:t>
      </w:r>
    </w:p>
    <w:p w:rsidR="00F956E8" w:rsidRPr="000B2A94" w:rsidRDefault="00F956E8" w:rsidP="004F700A">
      <w:pPr>
        <w:pStyle w:val="6"/>
        <w:rPr>
          <w:color w:val="000000" w:themeColor="text1"/>
        </w:rPr>
      </w:pPr>
      <w:r w:rsidRPr="000B2A94">
        <w:rPr>
          <w:color w:val="000000" w:themeColor="text1"/>
        </w:rPr>
        <w:t>整併機構，無法達到整合鑑識資源的效果。</w:t>
      </w:r>
    </w:p>
    <w:p w:rsidR="00F956E8" w:rsidRPr="000B2A94" w:rsidRDefault="00F956E8" w:rsidP="004F700A">
      <w:pPr>
        <w:pStyle w:val="6"/>
        <w:rPr>
          <w:color w:val="000000" w:themeColor="text1"/>
        </w:rPr>
      </w:pPr>
      <w:r w:rsidRPr="000B2A94">
        <w:rPr>
          <w:color w:val="000000" w:themeColor="text1"/>
        </w:rPr>
        <w:t>鑑定種類繁多，單一機關（構）無法完成龐大鑑定業務。</w:t>
      </w:r>
    </w:p>
    <w:p w:rsidR="00F956E8" w:rsidRPr="000B2A94" w:rsidRDefault="00F956E8" w:rsidP="004F700A">
      <w:pPr>
        <w:pStyle w:val="6"/>
        <w:rPr>
          <w:color w:val="000000" w:themeColor="text1"/>
        </w:rPr>
      </w:pPr>
      <w:r w:rsidRPr="000B2A94">
        <w:rPr>
          <w:color w:val="000000" w:themeColor="text1"/>
        </w:rPr>
        <w:lastRenderedPageBreak/>
        <w:t>機關整編與人事調整存有難以克服之困難。</w:t>
      </w:r>
    </w:p>
    <w:p w:rsidR="00F956E8" w:rsidRPr="000B2A94" w:rsidRDefault="00F956E8" w:rsidP="004F700A">
      <w:pPr>
        <w:pStyle w:val="6"/>
        <w:rPr>
          <w:color w:val="000000" w:themeColor="text1"/>
        </w:rPr>
      </w:pPr>
      <w:r w:rsidRPr="000B2A94">
        <w:rPr>
          <w:color w:val="000000" w:themeColor="text1"/>
        </w:rPr>
        <w:t>鑑識科學領域不斷發展躍進，單一機關（構）無法辦理日新月異不同類別之鑑定項目。</w:t>
      </w:r>
    </w:p>
    <w:p w:rsidR="00F956E8" w:rsidRPr="000B2A94" w:rsidRDefault="00F956E8" w:rsidP="004F700A">
      <w:pPr>
        <w:pStyle w:val="6"/>
        <w:rPr>
          <w:color w:val="000000" w:themeColor="text1"/>
        </w:rPr>
      </w:pPr>
      <w:r w:rsidRPr="000B2A94">
        <w:rPr>
          <w:color w:val="000000" w:themeColor="text1"/>
        </w:rPr>
        <w:t>單一機構無法達相互印證之效果。</w:t>
      </w:r>
    </w:p>
    <w:p w:rsidR="00F956E8" w:rsidRPr="000B2A94" w:rsidRDefault="00F956E8" w:rsidP="004F700A">
      <w:pPr>
        <w:pStyle w:val="6"/>
        <w:rPr>
          <w:color w:val="000000" w:themeColor="text1"/>
        </w:rPr>
      </w:pPr>
      <w:r w:rsidRPr="000B2A94">
        <w:rPr>
          <w:color w:val="000000" w:themeColor="text1"/>
        </w:rPr>
        <w:t>世界各國國家鑑識機關（構）均非採單一機關(構) 制。</w:t>
      </w:r>
    </w:p>
    <w:p w:rsidR="00F956E8" w:rsidRPr="000B2A94" w:rsidRDefault="00F956E8" w:rsidP="004F700A">
      <w:pPr>
        <w:pStyle w:val="5"/>
        <w:rPr>
          <w:color w:val="000000" w:themeColor="text1"/>
        </w:rPr>
      </w:pPr>
      <w:r w:rsidRPr="000B2A94">
        <w:rPr>
          <w:color w:val="000000" w:themeColor="text1"/>
        </w:rPr>
        <w:t>法務部表示，曾多次召集各鑑識機構、司法人員及學者專家就「建置國家級刑事鑑識中心」深入討論，亦曾於年度研究案委託臺灣法醫學會理事長邱清華教授主持，研議「建立法醫鑑定與刑事鑑識複鑑機制」，均未獲得「建置國家級刑事鑑識中心」可行性之共識，但建議某些領域可以建立覆議機制。</w:t>
      </w:r>
    </w:p>
    <w:p w:rsidR="00F956E8" w:rsidRPr="000B2A94" w:rsidRDefault="00F956E8" w:rsidP="004F700A">
      <w:pPr>
        <w:pStyle w:val="5"/>
        <w:rPr>
          <w:color w:val="000000" w:themeColor="text1"/>
        </w:rPr>
      </w:pPr>
      <w:r w:rsidRPr="000B2A94">
        <w:rPr>
          <w:color w:val="000000" w:themeColor="text1"/>
        </w:rPr>
        <w:t>另為落實司改國是會議決議所揭櫫「研議制訂並完善專家證人制度，同時檢討現行鑑定制度功能的缺失及其存廢問題」，該院「刑事程序制度研議委員會」已於107年7月16日至108年1月25日，召開11次會議，就我國現行鑑定制度修正之可能性與方向進行研議，並於108年2月20日召開公聽會，廣徵各界意見，作為修正刑事訴訟法之參考。</w:t>
      </w:r>
    </w:p>
    <w:p w:rsidR="00F956E8" w:rsidRPr="000B2A94" w:rsidRDefault="00F956E8" w:rsidP="004F700A">
      <w:pPr>
        <w:pStyle w:val="3"/>
        <w:rPr>
          <w:color w:val="000000" w:themeColor="text1"/>
        </w:rPr>
      </w:pPr>
      <w:bookmarkStart w:id="228" w:name="_Toc27399846"/>
      <w:r w:rsidRPr="000B2A94">
        <w:rPr>
          <w:color w:val="000000" w:themeColor="text1"/>
        </w:rPr>
        <w:t>民事訴訟事件</w:t>
      </w:r>
      <w:bookmarkEnd w:id="228"/>
    </w:p>
    <w:p w:rsidR="00F956E8" w:rsidRPr="000B2A94" w:rsidRDefault="00F956E8" w:rsidP="004F700A">
      <w:pPr>
        <w:pStyle w:val="4"/>
        <w:rPr>
          <w:color w:val="000000" w:themeColor="text1"/>
        </w:rPr>
      </w:pPr>
      <w:r w:rsidRPr="000B2A94">
        <w:rPr>
          <w:color w:val="000000" w:themeColor="text1"/>
        </w:rPr>
        <w:t>為協助法院妥適調查證據以釐清爭點，司法院擬具民事訴訟法部分條文修正草案（業於107年7月16日函請立法院審議），增設專業委員制度（草案第39條之1至39條之9），專業委員基於專業學識經驗參與民事訴訟程序，得於鑑定時協助法院確認囑託事項（草案第39條之5立法理由參照）。就鑑定人（機構）出具之鑑定意見，法院尚得依同法第340條囑託機關、團體或商請外國機關、</w:t>
      </w:r>
      <w:r w:rsidRPr="000B2A94">
        <w:rPr>
          <w:color w:val="000000" w:themeColor="text1"/>
        </w:rPr>
        <w:lastRenderedPageBreak/>
        <w:t>團體審查。</w:t>
      </w:r>
    </w:p>
    <w:p w:rsidR="00F956E8" w:rsidRPr="000B2A94" w:rsidRDefault="00F956E8" w:rsidP="004F700A">
      <w:pPr>
        <w:pStyle w:val="4"/>
        <w:rPr>
          <w:color w:val="000000" w:themeColor="text1"/>
        </w:rPr>
      </w:pPr>
      <w:r w:rsidRPr="000B2A94">
        <w:rPr>
          <w:color w:val="000000" w:themeColor="text1"/>
        </w:rPr>
        <w:t>另為針對選任不動產鑑定人之程序進行、鑑定機構選定等運作情形，訂有「地方法院民事執行處選任不動產鑑定人作業參考要點」，以促進民事強制執行事務之順利推動。</w:t>
      </w:r>
    </w:p>
    <w:p w:rsidR="00F956E8" w:rsidRPr="000B2A94" w:rsidRDefault="00F956E8" w:rsidP="00F956E8">
      <w:pPr>
        <w:pStyle w:val="2"/>
        <w:numPr>
          <w:ilvl w:val="1"/>
          <w:numId w:val="1"/>
        </w:numPr>
        <w:kinsoku w:val="0"/>
        <w:overflowPunct/>
        <w:autoSpaceDE/>
        <w:autoSpaceDN/>
        <w:ind w:left="1123" w:hanging="697"/>
        <w:rPr>
          <w:rFonts w:ascii="Times New Roman" w:hAnsi="Times New Roman"/>
          <w:b/>
          <w:color w:val="000000" w:themeColor="text1"/>
        </w:rPr>
      </w:pPr>
      <w:bookmarkStart w:id="229" w:name="_Toc28606810"/>
      <w:r w:rsidRPr="000B2A94">
        <w:rPr>
          <w:rFonts w:ascii="Times New Roman" w:hAnsi="Times New Roman"/>
          <w:b/>
          <w:color w:val="000000" w:themeColor="text1"/>
        </w:rPr>
        <w:t>建置國家級司法科學委員會，制定並推動司法科學政策，提升總體科學證據品質，整合並推廣各級司法科學教育之情形，實驗室與專家之認證規範與證照制度之研議情形</w:t>
      </w:r>
      <w:bookmarkEnd w:id="229"/>
    </w:p>
    <w:p w:rsidR="00F956E8" w:rsidRPr="000B2A94" w:rsidRDefault="00F956E8" w:rsidP="003422D0">
      <w:pPr>
        <w:pStyle w:val="3"/>
        <w:rPr>
          <w:color w:val="000000" w:themeColor="text1"/>
        </w:rPr>
      </w:pPr>
      <w:bookmarkStart w:id="230" w:name="_Toc27399848"/>
      <w:r w:rsidRPr="000B2A94">
        <w:rPr>
          <w:color w:val="000000" w:themeColor="text1"/>
        </w:rPr>
        <w:t>司法院</w:t>
      </w:r>
      <w:bookmarkEnd w:id="230"/>
    </w:p>
    <w:p w:rsidR="00F956E8" w:rsidRPr="000B2A94" w:rsidRDefault="00F956E8" w:rsidP="003422D0">
      <w:pPr>
        <w:pStyle w:val="32"/>
        <w:ind w:left="1361" w:firstLine="680"/>
        <w:rPr>
          <w:color w:val="000000" w:themeColor="text1"/>
        </w:rPr>
      </w:pPr>
      <w:r w:rsidRPr="000B2A94">
        <w:rPr>
          <w:color w:val="000000" w:themeColor="text1"/>
        </w:rPr>
        <w:t>法務部業於107年9月13日召開「設立國家級司法科學委員會之可行性」研商會議，並邀請司法院及相關機關出席與會，該院表示就設立國家級司法科學委員會乙節並無意見，惟法院係依據證據判斷事實，不宜參與證據如何形成之程序，鑑定屬證據方法之一，司法院表示不宜由該院主責設立科學委員會，免滋外界對法院中立角色之誤解。</w:t>
      </w:r>
    </w:p>
    <w:p w:rsidR="00F956E8" w:rsidRPr="000B2A94" w:rsidRDefault="00F956E8" w:rsidP="003422D0">
      <w:pPr>
        <w:pStyle w:val="3"/>
        <w:rPr>
          <w:color w:val="000000" w:themeColor="text1"/>
        </w:rPr>
      </w:pPr>
      <w:bookmarkStart w:id="231" w:name="_Toc27399849"/>
      <w:r w:rsidRPr="000B2A94">
        <w:rPr>
          <w:color w:val="000000" w:themeColor="text1"/>
        </w:rPr>
        <w:t>法務部</w:t>
      </w:r>
      <w:bookmarkEnd w:id="231"/>
    </w:p>
    <w:p w:rsidR="00F956E8" w:rsidRPr="000B2A94" w:rsidRDefault="00F956E8" w:rsidP="003422D0">
      <w:pPr>
        <w:pStyle w:val="32"/>
        <w:ind w:left="1361" w:firstLine="680"/>
        <w:rPr>
          <w:color w:val="000000" w:themeColor="text1"/>
        </w:rPr>
      </w:pPr>
      <w:r w:rsidRPr="000B2A94">
        <w:rPr>
          <w:color w:val="000000" w:themeColor="text1"/>
        </w:rPr>
        <w:t>設立獨立行使職權的國家級司法科學委員會為司法改革國是會議之決議，而設立司法科學委員會屬於含跨法務部（含法醫研究所、調查局)、内政（警政署）、國防部、科技部、衛生福利部、環保署等跨部會議題，相關司法科學政策制訂、司法科學教育整合及推廣、實驗室及專家認證，尚待各權責機關就其權責業務事項提出精進措施，且涉及新設層級甚高之機關組織，屬長程規劃事項。法務部於107年9月13日、108年2月26日先後召開設立國家級司法科學委員會之可行性研商會議、「司法科學制度研究委員會」籌備會議，就該組織任務、功能及先期可進行的事項，徵詢相關機關意見並逐步推</w:t>
      </w:r>
      <w:r w:rsidRPr="000B2A94">
        <w:rPr>
          <w:color w:val="000000" w:themeColor="text1"/>
        </w:rPr>
        <w:lastRenderedPageBreak/>
        <w:t>動各項工作，以落實國是會議結論。</w:t>
      </w:r>
    </w:p>
    <w:p w:rsidR="00F956E8" w:rsidRPr="000B2A94" w:rsidRDefault="00F956E8" w:rsidP="003422D0">
      <w:pPr>
        <w:pStyle w:val="3"/>
        <w:rPr>
          <w:color w:val="000000" w:themeColor="text1"/>
        </w:rPr>
      </w:pPr>
      <w:bookmarkStart w:id="232" w:name="_Toc27399850"/>
      <w:r w:rsidRPr="000B2A94">
        <w:rPr>
          <w:color w:val="000000" w:themeColor="text1"/>
        </w:rPr>
        <w:t>國防部</w:t>
      </w:r>
      <w:bookmarkEnd w:id="232"/>
    </w:p>
    <w:p w:rsidR="00F956E8" w:rsidRPr="000B2A94" w:rsidRDefault="00A74581" w:rsidP="00F956E8">
      <w:pPr>
        <w:pStyle w:val="32"/>
        <w:ind w:left="1361" w:firstLine="680"/>
        <w:rPr>
          <w:rFonts w:ascii="Times New Roman"/>
          <w:color w:val="000000" w:themeColor="text1"/>
        </w:rPr>
      </w:pPr>
      <w:r w:rsidRPr="000B2A94">
        <w:rPr>
          <w:rFonts w:ascii="Times New Roman" w:hint="eastAsia"/>
          <w:color w:val="000000" w:themeColor="text1"/>
          <w:szCs w:val="32"/>
        </w:rPr>
        <w:t>國防部</w:t>
      </w:r>
      <w:r w:rsidR="00F956E8" w:rsidRPr="000B2A94">
        <w:rPr>
          <w:rFonts w:ascii="Times New Roman"/>
          <w:color w:val="000000" w:themeColor="text1"/>
          <w:szCs w:val="32"/>
        </w:rPr>
        <w:t>刑鑑中心於</w:t>
      </w:r>
      <w:r w:rsidR="00F956E8" w:rsidRPr="000B2A94">
        <w:rPr>
          <w:rFonts w:ascii="Times New Roman"/>
          <w:color w:val="000000" w:themeColor="text1"/>
          <w:szCs w:val="32"/>
        </w:rPr>
        <w:t>102</w:t>
      </w:r>
      <w:r w:rsidR="00F956E8" w:rsidRPr="000B2A94">
        <w:rPr>
          <w:rFonts w:ascii="Times New Roman"/>
          <w:color w:val="000000" w:themeColor="text1"/>
          <w:szCs w:val="32"/>
        </w:rPr>
        <w:t>年起，已向</w:t>
      </w:r>
      <w:r w:rsidR="00F956E8" w:rsidRPr="000B2A94">
        <w:rPr>
          <w:rFonts w:ascii="Times New Roman"/>
          <w:color w:val="000000" w:themeColor="text1"/>
          <w:szCs w:val="32"/>
        </w:rPr>
        <w:t>TAF</w:t>
      </w:r>
      <w:r w:rsidR="00F956E8" w:rsidRPr="000B2A94">
        <w:rPr>
          <w:rFonts w:ascii="Times New Roman"/>
          <w:color w:val="000000" w:themeColor="text1"/>
          <w:szCs w:val="32"/>
        </w:rPr>
        <w:t>陸續已完成化學、物理、數位鑑識實驗室認證，未來將持續增加認證項目，以提升科學證據品質。</w:t>
      </w:r>
    </w:p>
    <w:p w:rsidR="00F956E8" w:rsidRPr="000B2A94" w:rsidRDefault="00F956E8" w:rsidP="003422D0">
      <w:pPr>
        <w:pStyle w:val="32"/>
        <w:ind w:left="1361" w:firstLine="680"/>
        <w:rPr>
          <w:color w:val="000000" w:themeColor="text1"/>
        </w:rPr>
      </w:pPr>
      <w:r w:rsidRPr="000B2A94">
        <w:rPr>
          <w:color w:val="000000" w:themeColor="text1"/>
        </w:rPr>
        <w:t>憲兵指揮部為培養憲兵隊司法警察人員具備法律及</w:t>
      </w:r>
      <w:r w:rsidR="00A74581" w:rsidRPr="000B2A94">
        <w:rPr>
          <w:color w:val="000000" w:themeColor="text1"/>
        </w:rPr>
        <w:t>專業素養，遴聘國家安全局、法務部調查局、</w:t>
      </w:r>
      <w:r w:rsidR="00A74581" w:rsidRPr="000B2A94">
        <w:rPr>
          <w:rFonts w:hint="eastAsia"/>
          <w:color w:val="000000" w:themeColor="text1"/>
        </w:rPr>
        <w:t>內政部</w:t>
      </w:r>
      <w:r w:rsidR="00A74581" w:rsidRPr="000B2A94">
        <w:rPr>
          <w:color w:val="000000" w:themeColor="text1"/>
        </w:rPr>
        <w:t>警政署、</w:t>
      </w:r>
      <w:r w:rsidR="00A74581" w:rsidRPr="000B2A94">
        <w:rPr>
          <w:rFonts w:hint="eastAsia"/>
          <w:color w:val="000000" w:themeColor="text1"/>
        </w:rPr>
        <w:t>海洋委員會海巡署（原行政院海岸巡防署）</w:t>
      </w:r>
      <w:r w:rsidR="00A74581" w:rsidRPr="000B2A94">
        <w:rPr>
          <w:color w:val="000000" w:themeColor="text1"/>
        </w:rPr>
        <w:t>、</w:t>
      </w:r>
      <w:r w:rsidR="00A74581" w:rsidRPr="000B2A94">
        <w:rPr>
          <w:rFonts w:hint="eastAsia"/>
          <w:color w:val="000000" w:themeColor="text1"/>
        </w:rPr>
        <w:t>各</w:t>
      </w:r>
      <w:r w:rsidR="00A74581" w:rsidRPr="000B2A94">
        <w:rPr>
          <w:color w:val="000000" w:themeColor="text1"/>
        </w:rPr>
        <w:t>地方</w:t>
      </w:r>
      <w:r w:rsidRPr="000B2A94">
        <w:rPr>
          <w:color w:val="000000" w:themeColor="text1"/>
        </w:rPr>
        <w:t>檢察署、</w:t>
      </w:r>
      <w:r w:rsidR="00A74581" w:rsidRPr="000B2A94">
        <w:rPr>
          <w:rFonts w:hint="eastAsia"/>
          <w:color w:val="000000" w:themeColor="text1"/>
        </w:rPr>
        <w:t>內政部</w:t>
      </w:r>
      <w:r w:rsidRPr="000B2A94">
        <w:rPr>
          <w:color w:val="000000" w:themeColor="text1"/>
        </w:rPr>
        <w:t>移民署及各專科院校等專家學者，辦理專題講座，107年度計536人次，可有效提升憲兵隊司法科學教育，俾利各項勤務工作遂行。</w:t>
      </w:r>
    </w:p>
    <w:p w:rsidR="00F956E8" w:rsidRPr="000B2A94" w:rsidRDefault="00A74581" w:rsidP="003422D0">
      <w:pPr>
        <w:pStyle w:val="32"/>
        <w:ind w:left="1361" w:firstLine="680"/>
        <w:rPr>
          <w:color w:val="000000" w:themeColor="text1"/>
        </w:rPr>
      </w:pPr>
      <w:r w:rsidRPr="000B2A94">
        <w:rPr>
          <w:rFonts w:ascii="Times New Roman" w:hint="eastAsia"/>
          <w:color w:val="000000" w:themeColor="text1"/>
          <w:szCs w:val="32"/>
        </w:rPr>
        <w:t>國防部</w:t>
      </w:r>
      <w:r w:rsidR="00F956E8" w:rsidRPr="000B2A94">
        <w:rPr>
          <w:color w:val="000000" w:themeColor="text1"/>
        </w:rPr>
        <w:t>刑鑑中心已通過TAF化學、物理、數位鑑識實驗室等3項認證，有關鑑驗人員資格及實驗室標準作業程序均接受該領域專家審查，符合認證規範要求。</w:t>
      </w:r>
    </w:p>
    <w:p w:rsidR="00F956E8" w:rsidRPr="000B2A94" w:rsidRDefault="00F956E8" w:rsidP="00F956E8">
      <w:pPr>
        <w:pStyle w:val="32"/>
        <w:ind w:left="1361" w:firstLine="680"/>
        <w:rPr>
          <w:rFonts w:ascii="Times New Roman"/>
          <w:color w:val="000000" w:themeColor="text1"/>
        </w:rPr>
      </w:pPr>
      <w:r w:rsidRPr="000B2A94">
        <w:rPr>
          <w:rFonts w:ascii="Times New Roman"/>
          <w:color w:val="000000" w:themeColor="text1"/>
        </w:rPr>
        <w:t>藉由「現場勘察鑑識訓練、部外研習、專精訓練、專題研討、論文發表及專業證照」等方式，並要求人員報考國內鑑識相關科系研究所，以取得職、業務有關碩、博士學位及相關證照，以提升鑑識學能。</w:t>
      </w:r>
    </w:p>
    <w:p w:rsidR="00F956E8" w:rsidRPr="000B2A94" w:rsidRDefault="00F956E8" w:rsidP="00F956E8">
      <w:pPr>
        <w:pStyle w:val="32"/>
        <w:ind w:left="1361" w:firstLine="680"/>
        <w:rPr>
          <w:rFonts w:ascii="Times New Roman"/>
          <w:color w:val="000000" w:themeColor="text1"/>
        </w:rPr>
      </w:pPr>
      <w:r w:rsidRPr="000B2A94">
        <w:rPr>
          <w:rFonts w:ascii="Times New Roman"/>
          <w:color w:val="000000" w:themeColor="text1"/>
        </w:rPr>
        <w:t>107</w:t>
      </w:r>
      <w:r w:rsidRPr="000B2A94">
        <w:rPr>
          <w:rFonts w:ascii="Times New Roman"/>
          <w:color w:val="000000" w:themeColor="text1"/>
        </w:rPr>
        <w:t>年度聘請專家學者蒞部專題研討課程</w:t>
      </w:r>
      <w:r w:rsidRPr="000B2A94">
        <w:rPr>
          <w:rFonts w:ascii="Times New Roman"/>
          <w:color w:val="000000" w:themeColor="text1"/>
        </w:rPr>
        <w:t>9</w:t>
      </w:r>
      <w:r w:rsidRPr="000B2A94">
        <w:rPr>
          <w:rFonts w:ascii="Times New Roman"/>
          <w:color w:val="000000" w:themeColor="text1"/>
        </w:rPr>
        <w:t>場次、計</w:t>
      </w:r>
      <w:r w:rsidRPr="000B2A94">
        <w:rPr>
          <w:rFonts w:ascii="Times New Roman"/>
          <w:color w:val="000000" w:themeColor="text1"/>
        </w:rPr>
        <w:t>30</w:t>
      </w:r>
      <w:r w:rsidRPr="000B2A94">
        <w:rPr>
          <w:rFonts w:ascii="Times New Roman"/>
          <w:color w:val="000000" w:themeColor="text1"/>
        </w:rPr>
        <w:t>小時、</w:t>
      </w:r>
      <w:r w:rsidRPr="000B2A94">
        <w:rPr>
          <w:rFonts w:ascii="Times New Roman"/>
          <w:color w:val="000000" w:themeColor="text1"/>
        </w:rPr>
        <w:t>112</w:t>
      </w:r>
      <w:r w:rsidRPr="000B2A94">
        <w:rPr>
          <w:rFonts w:ascii="Times New Roman"/>
          <w:color w:val="000000" w:themeColor="text1"/>
        </w:rPr>
        <w:t>人次；參與國內學術機構等部外單位辦理鑑識領域研習、訓練及研討會，計</w:t>
      </w:r>
      <w:r w:rsidRPr="000B2A94">
        <w:rPr>
          <w:rFonts w:ascii="Times New Roman"/>
          <w:color w:val="000000" w:themeColor="text1"/>
        </w:rPr>
        <w:t>21</w:t>
      </w:r>
      <w:r w:rsidRPr="000B2A94">
        <w:rPr>
          <w:rFonts w:ascii="Times New Roman"/>
          <w:color w:val="000000" w:themeColor="text1"/>
        </w:rPr>
        <w:t>場、</w:t>
      </w:r>
      <w:r w:rsidRPr="000B2A94">
        <w:rPr>
          <w:rFonts w:ascii="Times New Roman"/>
          <w:color w:val="000000" w:themeColor="text1"/>
        </w:rPr>
        <w:t>35</w:t>
      </w:r>
      <w:r w:rsidRPr="000B2A94">
        <w:rPr>
          <w:rFonts w:ascii="Times New Roman"/>
          <w:color w:val="000000" w:themeColor="text1"/>
        </w:rPr>
        <w:t>人次，以提升執行司法勤務及證物鑑驗人員專業素質。</w:t>
      </w:r>
    </w:p>
    <w:p w:rsidR="00F956E8" w:rsidRPr="000B2A94" w:rsidRDefault="00F956E8" w:rsidP="00F956E8">
      <w:pPr>
        <w:pStyle w:val="2"/>
        <w:numPr>
          <w:ilvl w:val="1"/>
          <w:numId w:val="1"/>
        </w:numPr>
        <w:kinsoku w:val="0"/>
        <w:overflowPunct/>
        <w:autoSpaceDE/>
        <w:autoSpaceDN/>
        <w:ind w:left="1123" w:hanging="697"/>
        <w:rPr>
          <w:rFonts w:ascii="Times New Roman" w:hAnsi="Times New Roman"/>
          <w:b/>
          <w:color w:val="000000" w:themeColor="text1"/>
        </w:rPr>
      </w:pPr>
      <w:bookmarkStart w:id="233" w:name="_Toc28606811"/>
      <w:r w:rsidRPr="000B2A94">
        <w:rPr>
          <w:rFonts w:ascii="Times New Roman" w:hAnsi="Times New Roman"/>
          <w:b/>
          <w:color w:val="000000" w:themeColor="text1"/>
        </w:rPr>
        <w:t>完善證據法則</w:t>
      </w:r>
      <w:r w:rsidRPr="000B2A94">
        <w:rPr>
          <w:rFonts w:ascii="Times New Roman" w:eastAsia="新細明體" w:hAnsi="Times New Roman"/>
          <w:b/>
          <w:color w:val="000000" w:themeColor="text1"/>
        </w:rPr>
        <w:t>、</w:t>
      </w:r>
      <w:r w:rsidRPr="000B2A94">
        <w:rPr>
          <w:rFonts w:ascii="Times New Roman" w:hAnsi="Times New Roman"/>
          <w:b/>
          <w:color w:val="000000" w:themeColor="text1"/>
        </w:rPr>
        <w:t>強化以證據為核心之審判機能及完善專家證人制度情形</w:t>
      </w:r>
      <w:bookmarkEnd w:id="233"/>
    </w:p>
    <w:p w:rsidR="00F956E8" w:rsidRPr="000B2A94" w:rsidRDefault="00F956E8" w:rsidP="003422D0">
      <w:pPr>
        <w:pStyle w:val="3"/>
        <w:rPr>
          <w:color w:val="000000" w:themeColor="text1"/>
        </w:rPr>
      </w:pPr>
      <w:bookmarkStart w:id="234" w:name="_Toc27399852"/>
      <w:r w:rsidRPr="000B2A94">
        <w:rPr>
          <w:color w:val="000000" w:themeColor="text1"/>
        </w:rPr>
        <w:t>司法院</w:t>
      </w:r>
      <w:bookmarkEnd w:id="234"/>
    </w:p>
    <w:p w:rsidR="00F956E8" w:rsidRPr="000B2A94" w:rsidRDefault="00F956E8" w:rsidP="003422D0">
      <w:pPr>
        <w:pStyle w:val="4"/>
        <w:rPr>
          <w:color w:val="000000" w:themeColor="text1"/>
        </w:rPr>
      </w:pPr>
      <w:r w:rsidRPr="000B2A94">
        <w:rPr>
          <w:color w:val="000000" w:themeColor="text1"/>
        </w:rPr>
        <w:t>刑事訴訟部分，該院除於107年7月16日至108年1</w:t>
      </w:r>
      <w:r w:rsidRPr="000B2A94">
        <w:rPr>
          <w:color w:val="000000" w:themeColor="text1"/>
        </w:rPr>
        <w:lastRenderedPageBreak/>
        <w:t>月25日召開11次「刑事程序制度研議委員會」外，該院業以108年2月14日院台廳刑一字第1080002826及1080002827號函檢送「刑事訴訟法部分條文修正草案（鑑定）」供本院參酌。</w:t>
      </w:r>
    </w:p>
    <w:p w:rsidR="00F956E8" w:rsidRPr="000B2A94" w:rsidRDefault="00F956E8" w:rsidP="003422D0">
      <w:pPr>
        <w:pStyle w:val="4"/>
        <w:rPr>
          <w:color w:val="000000" w:themeColor="text1"/>
        </w:rPr>
      </w:pPr>
      <w:r w:rsidRPr="000B2A94">
        <w:rPr>
          <w:color w:val="000000" w:themeColor="text1"/>
        </w:rPr>
        <w:t>民事訴訟部分，司法院已將專家證人制度列入「商業事件審理法草案初稿」之第47條至第52條，使當事人經法院許可後，得聲明專家證人提供專業意見，以充實事實審。又於108年3月29日召開「商業事件審理法草案初稿完成記者會」，於同年4月16日及19日分別於臺灣橋頭、臺中、臺北地方法院召開「商業事件審理法初稿說明會」。另於同年5月2日召開商業事件審理法研究制定委員會第17次會議，俟經司法院院會通過後函請立法院審議。</w:t>
      </w:r>
    </w:p>
    <w:p w:rsidR="00F956E8" w:rsidRPr="000B2A94" w:rsidRDefault="00F956E8" w:rsidP="003422D0">
      <w:pPr>
        <w:pStyle w:val="4"/>
        <w:rPr>
          <w:color w:val="000000" w:themeColor="text1"/>
        </w:rPr>
      </w:pPr>
      <w:r w:rsidRPr="000B2A94">
        <w:rPr>
          <w:color w:val="000000" w:themeColor="text1"/>
        </w:rPr>
        <w:t>行政訴訟部分，為增進法院於裁判上認事用法之適當性、保護訴訟當事人之利益、提升國民對司法之信賴，司法院擬具「行政訴訟法部分條文修正草案」，引進專業領域之專家輔助審判，使訴訟得以迅速進行及妥適解決，該修正草案業以107年8月23日院台廳行一字第1070023479號函請立法院審議。</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235" w:name="_Toc27399853"/>
      <w:r w:rsidRPr="000B2A94">
        <w:rPr>
          <w:rFonts w:ascii="Times New Roman" w:hAnsi="Times New Roman"/>
          <w:color w:val="000000" w:themeColor="text1"/>
        </w:rPr>
        <w:t>法務部</w:t>
      </w:r>
      <w:bookmarkEnd w:id="235"/>
    </w:p>
    <w:p w:rsidR="00F956E8" w:rsidRPr="000B2A94" w:rsidRDefault="003422D0" w:rsidP="003422D0">
      <w:pPr>
        <w:pStyle w:val="32"/>
        <w:ind w:left="1361" w:firstLine="680"/>
        <w:rPr>
          <w:color w:val="000000" w:themeColor="text1"/>
        </w:rPr>
      </w:pPr>
      <w:r w:rsidRPr="000B2A94">
        <w:rPr>
          <w:rFonts w:hint="eastAsia"/>
          <w:color w:val="000000" w:themeColor="text1"/>
        </w:rPr>
        <w:t>該部表示，</w:t>
      </w:r>
      <w:r w:rsidR="00F956E8" w:rsidRPr="000B2A94">
        <w:rPr>
          <w:color w:val="000000" w:themeColor="text1"/>
        </w:rPr>
        <w:t>司法院「刑事程序制度研議委員會」已納入議題，針對我國現行鑑定制度修正之可能性及方向加以研議，初步研擬完成刑事訴訟法部分條文修正草案初稿，並於108年2月20日召開公聽會，廣徵各界意見。</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236" w:name="_Toc27399854"/>
      <w:r w:rsidRPr="000B2A94">
        <w:rPr>
          <w:rFonts w:ascii="Times New Roman" w:hAnsi="Times New Roman"/>
          <w:color w:val="000000" w:themeColor="text1"/>
        </w:rPr>
        <w:t>國防部</w:t>
      </w:r>
      <w:bookmarkEnd w:id="236"/>
    </w:p>
    <w:p w:rsidR="00F956E8" w:rsidRPr="000B2A94" w:rsidRDefault="001C02F7" w:rsidP="00F956E8">
      <w:pPr>
        <w:pStyle w:val="32"/>
        <w:ind w:left="1361" w:firstLine="680"/>
        <w:rPr>
          <w:rFonts w:ascii="Times New Roman"/>
          <w:color w:val="000000" w:themeColor="text1"/>
        </w:rPr>
      </w:pPr>
      <w:r w:rsidRPr="000B2A94">
        <w:rPr>
          <w:rFonts w:ascii="Times New Roman" w:hint="eastAsia"/>
          <w:color w:val="000000" w:themeColor="text1"/>
          <w:szCs w:val="32"/>
        </w:rPr>
        <w:t>國防部</w:t>
      </w:r>
      <w:r w:rsidR="00F956E8" w:rsidRPr="000B2A94">
        <w:rPr>
          <w:rFonts w:ascii="Times New Roman"/>
          <w:color w:val="000000" w:themeColor="text1"/>
          <w:szCs w:val="32"/>
        </w:rPr>
        <w:t>刑鑑中心鑑識人員依司法機關</w:t>
      </w:r>
      <w:r w:rsidR="003422D0" w:rsidRPr="000B2A94">
        <w:rPr>
          <w:rFonts w:ascii="Times New Roman" w:hint="eastAsia"/>
          <w:color w:val="000000" w:themeColor="text1"/>
          <w:szCs w:val="32"/>
        </w:rPr>
        <w:t>（</w:t>
      </w:r>
      <w:r w:rsidR="00F956E8" w:rsidRPr="000B2A94">
        <w:rPr>
          <w:rFonts w:ascii="Times New Roman"/>
          <w:color w:val="000000" w:themeColor="text1"/>
          <w:szCs w:val="32"/>
        </w:rPr>
        <w:t>各級檢察署及法院</w:t>
      </w:r>
      <w:r w:rsidR="003422D0" w:rsidRPr="000B2A94">
        <w:rPr>
          <w:rFonts w:ascii="Times New Roman" w:hint="eastAsia"/>
          <w:color w:val="000000" w:themeColor="text1"/>
          <w:szCs w:val="32"/>
        </w:rPr>
        <w:t>）</w:t>
      </w:r>
      <w:r w:rsidR="00F956E8" w:rsidRPr="000B2A94">
        <w:rPr>
          <w:rFonts w:ascii="Times New Roman"/>
          <w:color w:val="000000" w:themeColor="text1"/>
          <w:szCs w:val="32"/>
        </w:rPr>
        <w:t>傳喚出庭實施交互詰問。</w:t>
      </w:r>
    </w:p>
    <w:p w:rsidR="00F956E8" w:rsidRPr="000B2A94" w:rsidRDefault="00F956E8" w:rsidP="00F956E8">
      <w:pPr>
        <w:pStyle w:val="2"/>
        <w:numPr>
          <w:ilvl w:val="1"/>
          <w:numId w:val="1"/>
        </w:numPr>
        <w:kinsoku w:val="0"/>
        <w:overflowPunct/>
        <w:autoSpaceDE/>
        <w:autoSpaceDN/>
        <w:ind w:left="1123" w:hanging="697"/>
        <w:rPr>
          <w:rFonts w:ascii="Times New Roman" w:hAnsi="Times New Roman"/>
          <w:b/>
          <w:color w:val="000000" w:themeColor="text1"/>
        </w:rPr>
      </w:pPr>
      <w:bookmarkStart w:id="237" w:name="_Toc28606812"/>
      <w:r w:rsidRPr="000B2A94">
        <w:rPr>
          <w:rFonts w:ascii="Times New Roman" w:hAnsi="Times New Roman"/>
          <w:b/>
          <w:color w:val="000000" w:themeColor="text1"/>
        </w:rPr>
        <w:lastRenderedPageBreak/>
        <w:t>測謊證據的施測標準流程及其證據能力問題之情形</w:t>
      </w:r>
      <w:bookmarkEnd w:id="237"/>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238" w:name="_Toc27399856"/>
      <w:r w:rsidRPr="000B2A94">
        <w:rPr>
          <w:rFonts w:ascii="Times New Roman" w:hAnsi="Times New Roman"/>
          <w:color w:val="000000" w:themeColor="text1"/>
        </w:rPr>
        <w:t>司法院</w:t>
      </w:r>
      <w:bookmarkEnd w:id="238"/>
    </w:p>
    <w:p w:rsidR="00F956E8" w:rsidRPr="000B2A94" w:rsidRDefault="00F956E8" w:rsidP="00FE5680">
      <w:pPr>
        <w:pStyle w:val="32"/>
        <w:ind w:left="1361" w:firstLine="680"/>
        <w:rPr>
          <w:color w:val="000000" w:themeColor="text1"/>
        </w:rPr>
      </w:pPr>
      <w:r w:rsidRPr="000B2A94">
        <w:rPr>
          <w:color w:val="000000" w:themeColor="text1"/>
        </w:rPr>
        <w:t>司法院於107年10月19日召開「立法明文承認或排除測謊鑑定證據能力之可行性」公聽會，邀請審、檢、辯、學、相關機關及民間團體等代表與會，就測謊是否屬於科學證據及其信度與效度、得否對被告實施測謊、測謊報告於審判中是否具有證據能力、是否應立法明文承認或排除測謊鑑定之證據能力部分進行討論、交流，供該院修法之參考。</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239" w:name="_Toc27399857"/>
      <w:r w:rsidRPr="000B2A94">
        <w:rPr>
          <w:rFonts w:ascii="Times New Roman" w:hAnsi="Times New Roman"/>
          <w:color w:val="000000" w:themeColor="text1"/>
        </w:rPr>
        <w:t>法務部</w:t>
      </w:r>
      <w:bookmarkEnd w:id="239"/>
    </w:p>
    <w:p w:rsidR="00F956E8" w:rsidRPr="000B2A94" w:rsidRDefault="00F956E8" w:rsidP="00F956E8">
      <w:pPr>
        <w:pStyle w:val="32"/>
        <w:ind w:left="1361" w:firstLine="680"/>
        <w:rPr>
          <w:rFonts w:ascii="Times New Roman"/>
          <w:color w:val="000000" w:themeColor="text1"/>
        </w:rPr>
      </w:pPr>
      <w:r w:rsidRPr="000B2A94">
        <w:rPr>
          <w:rFonts w:ascii="Times New Roman"/>
          <w:color w:val="000000" w:themeColor="text1"/>
        </w:rPr>
        <w:t>有關測謊證據的施測標準流程及其證據能力問題，司法院、行政院、法務部及調查局均已召集相關會議，達成結論諸如落實禁止對弱勢被害人或被告（如少年）實施測謊，由調查局邀集國内各測謊機關制定標準作業程序之統一版本，另有關測謊證據能力問題，司法院正彙整各界意見，以作為未來修法參考。</w:t>
      </w:r>
    </w:p>
    <w:p w:rsidR="00F956E8" w:rsidRPr="000B2A94" w:rsidRDefault="00F956E8" w:rsidP="00F956E8">
      <w:pPr>
        <w:pStyle w:val="2"/>
        <w:numPr>
          <w:ilvl w:val="1"/>
          <w:numId w:val="1"/>
        </w:numPr>
        <w:kinsoku w:val="0"/>
        <w:overflowPunct/>
        <w:autoSpaceDE/>
        <w:autoSpaceDN/>
        <w:ind w:left="1123" w:hanging="697"/>
        <w:rPr>
          <w:rFonts w:ascii="Times New Roman" w:hAnsi="Times New Roman"/>
          <w:b/>
          <w:color w:val="000000" w:themeColor="text1"/>
        </w:rPr>
      </w:pPr>
      <w:bookmarkStart w:id="240" w:name="_Toc28606813"/>
      <w:r w:rsidRPr="000B2A94">
        <w:rPr>
          <w:rFonts w:ascii="Times New Roman" w:hAnsi="Times New Roman"/>
          <w:b/>
          <w:color w:val="000000" w:themeColor="text1"/>
        </w:rPr>
        <w:t>建立證據監管及判決確定後之證物保管制度之情形</w:t>
      </w:r>
      <w:bookmarkEnd w:id="240"/>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241" w:name="_Toc27399859"/>
      <w:r w:rsidRPr="000B2A94">
        <w:rPr>
          <w:rFonts w:ascii="Times New Roman" w:hAnsi="Times New Roman"/>
          <w:color w:val="000000" w:themeColor="text1"/>
        </w:rPr>
        <w:t>司法院</w:t>
      </w:r>
      <w:bookmarkEnd w:id="241"/>
    </w:p>
    <w:p w:rsidR="00F956E8" w:rsidRPr="000B2A94" w:rsidRDefault="00F956E8" w:rsidP="00F956E8">
      <w:pPr>
        <w:pStyle w:val="32"/>
        <w:ind w:left="1361" w:firstLine="680"/>
        <w:rPr>
          <w:rFonts w:ascii="Times New Roman"/>
          <w:color w:val="000000" w:themeColor="text1"/>
        </w:rPr>
      </w:pPr>
      <w:r w:rsidRPr="000B2A94">
        <w:rPr>
          <w:rFonts w:ascii="Times New Roman"/>
          <w:color w:val="000000" w:themeColor="text1"/>
        </w:rPr>
        <w:t>有關建立證據監管及判決確定後之證物保管制度，於刑事訴訟程序涉及偵查、起訴、審判及判決確定後之執行階段，其中，起訴後至判決確定前由法院主責，說明如下：</w:t>
      </w:r>
    </w:p>
    <w:p w:rsidR="00F956E8" w:rsidRPr="000B2A94" w:rsidRDefault="00F956E8" w:rsidP="00FE5680">
      <w:pPr>
        <w:pStyle w:val="4"/>
        <w:rPr>
          <w:color w:val="000000" w:themeColor="text1"/>
        </w:rPr>
      </w:pPr>
      <w:r w:rsidRPr="000B2A94">
        <w:rPr>
          <w:color w:val="000000" w:themeColor="text1"/>
        </w:rPr>
        <w:t>依105年11月14日立法院第9屆第2會期司法及法制委員會第13次全體委員會議決議（要求行政院會同司法院共同訂定證物保存規範），要求全面檢討目前各機關之證物保管規範，法務部前於105年12月7日召開「研議是否訂定證物保存之統一規範會議」，其中就「不同之證物是否要訂定統一規範」部分，經決議：「因涉及機關權責及</w:t>
      </w:r>
      <w:r w:rsidRPr="000B2A94">
        <w:rPr>
          <w:color w:val="000000" w:themeColor="text1"/>
        </w:rPr>
        <w:lastRenderedPageBreak/>
        <w:t>法制作業、規範效力等問題，且各機關就證物之保管、保存均已有相當完善之規範，因此請參考其他機關既有之規定，並檢視各自規範之分類方法、保存方式、保管期限是否周延，且加以落實。」</w:t>
      </w:r>
    </w:p>
    <w:p w:rsidR="00F956E8" w:rsidRPr="000B2A94" w:rsidRDefault="00F956E8" w:rsidP="00FE5680">
      <w:pPr>
        <w:pStyle w:val="4"/>
        <w:rPr>
          <w:color w:val="000000" w:themeColor="text1"/>
        </w:rPr>
      </w:pPr>
      <w:r w:rsidRPr="000B2A94">
        <w:rPr>
          <w:color w:val="000000" w:themeColor="text1"/>
        </w:rPr>
        <w:t>該院針對臺灣高等法院函頒之「臺灣高等法院暨所屬各級法院贓證物品管理要點（下稱贓證物品管理要點）」，以105年12月27日院台廳刑一字第1050033161號函請各法院陳報落實該要點之辦理情形及興革建議。期間歷經各法院陳報問題及可行方案、臺灣高等法院研議該要點相關修正方案後，該院以107年9月5日院台廳刑一字第1070022418號函就臺灣高等法院修正贓證物品管理要點相關規定乙案准予備查。</w:t>
      </w:r>
    </w:p>
    <w:p w:rsidR="00F956E8" w:rsidRPr="000B2A94" w:rsidRDefault="00F956E8" w:rsidP="00FE5680">
      <w:pPr>
        <w:pStyle w:val="4"/>
        <w:rPr>
          <w:color w:val="000000" w:themeColor="text1"/>
        </w:rPr>
      </w:pPr>
      <w:r w:rsidRPr="000B2A94">
        <w:rPr>
          <w:color w:val="000000" w:themeColor="text1"/>
        </w:rPr>
        <w:t>另為使贓證物品之管理更加周延、確實，該院以106年3月3日院台廳刑一字第1060005756號函請法務部針對該部是否同意提供贓證物系統贓證物部分之規格及該系統之解密方式，以及是否同意提供該院「檢察署編列贓證物品保號之條碼相關規格」，以利該院配合增修法院贓證物系統功能等節表示意見，經該部以106年4月25日法資字第10611505140號函回復，略以「將辦理單機版扣押物資料輸入程式改版作業，俟完成程式修正，再行提供新版贓證物資料規格及解密方式」及「有關檢察署編列贓證物品保號之條碼相關規格，因現行係由各地方檢察署自行編訂保管冠字，待本部訂定保管冠字標準再行提供」。該院另以108年1月18日秘台廳刑一字第1080002268號函詢法務前開贓證物條碼規格等辦理情形，經該部於同年2月21日召開研商「贓證物條碼及新扣案贓證物業務流程及系統介接」會前會，現由</w:t>
      </w:r>
      <w:r w:rsidRPr="000B2A94">
        <w:rPr>
          <w:color w:val="000000" w:themeColor="text1"/>
        </w:rPr>
        <w:lastRenderedPageBreak/>
        <w:t>法務部酌處中。</w:t>
      </w:r>
    </w:p>
    <w:p w:rsidR="00F956E8" w:rsidRPr="000B2A94" w:rsidRDefault="00F956E8" w:rsidP="00FE5680">
      <w:pPr>
        <w:pStyle w:val="4"/>
        <w:rPr>
          <w:color w:val="000000" w:themeColor="text1"/>
        </w:rPr>
      </w:pPr>
      <w:r w:rsidRPr="000B2A94">
        <w:rPr>
          <w:color w:val="000000" w:themeColor="text1"/>
        </w:rPr>
        <w:t>又臺灣高等法院於107年3月9日召開「臺灣高等法院暨所屬各級法院贓證物品管理要點修正研議會議」，並建議地檢署是否可建置相關系統接取該院資訊平台之法院審判中新扣案贓證物資訊等部分，經查現行法院贓證物品管理子系統業於99年10日建置，可由該院主機接收檢察署傳輸之贓證物品資料，再由該院主機將該資料傳送至各法院，各法院亦可將相關資料傳送至該院主機，故目前各法院接收檢察官起訴或移送之贓證物品資料尚無困難。至檢察署是否建置相關系統接取該院資訊平台之法院審判中新扣案贓證物資訊，事屬法務部職掌，該院業以107年6月11日秘台廳刑一字第1070011780號函請該部依權責卓處，嗣經該部於108年2月21日召開研商「贓證物條碼及新扣案贓證物業務流程及系統介接」會前會，現由法務部酌處中。</w:t>
      </w:r>
    </w:p>
    <w:p w:rsidR="00F956E8" w:rsidRPr="000B2A94" w:rsidRDefault="00F956E8" w:rsidP="00FE5680">
      <w:pPr>
        <w:pStyle w:val="4"/>
        <w:rPr>
          <w:color w:val="000000" w:themeColor="text1"/>
        </w:rPr>
      </w:pPr>
      <w:r w:rsidRPr="000B2A94">
        <w:rPr>
          <w:color w:val="000000" w:themeColor="text1"/>
        </w:rPr>
        <w:t>另司法院「刑事程序制度研議委員會」第23次及第24次會議亦就證物監管鍊部分進行研議，除邀請臺灣高等法院書記官長報告該院暨所屬各級法院對於贓證物品管理之相關作業流程外，並邀請內政部警政署刑事警察局、法務部調查局、憲兵指揮部等六機關與會，就所轄現行證物保管及移送機制提供相關意見。又法務部於108年4月22日召開「研商證據監管連續性相關會議」，該院亦派員出席與會。</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242" w:name="_Toc27399860"/>
      <w:r w:rsidRPr="000B2A94">
        <w:rPr>
          <w:rFonts w:ascii="Times New Roman" w:hAnsi="Times New Roman"/>
          <w:color w:val="000000" w:themeColor="text1"/>
        </w:rPr>
        <w:t>法務部</w:t>
      </w:r>
      <w:bookmarkEnd w:id="242"/>
    </w:p>
    <w:p w:rsidR="00F956E8" w:rsidRPr="000B2A94" w:rsidRDefault="00F956E8" w:rsidP="00FE5680">
      <w:pPr>
        <w:pStyle w:val="32"/>
        <w:ind w:left="1361" w:firstLine="680"/>
        <w:rPr>
          <w:color w:val="000000" w:themeColor="text1"/>
        </w:rPr>
      </w:pPr>
      <w:r w:rsidRPr="000B2A94">
        <w:rPr>
          <w:color w:val="000000" w:themeColor="text1"/>
        </w:rPr>
        <w:t>司法改革國是會議後，法務部就證物監管制度相關決議事項，於107年10月2日函詢各證物保管機關，综合回復意見如下：</w:t>
      </w:r>
    </w:p>
    <w:p w:rsidR="00F956E8" w:rsidRPr="000B2A94" w:rsidRDefault="00F956E8" w:rsidP="00FE5680">
      <w:pPr>
        <w:pStyle w:val="4"/>
        <w:rPr>
          <w:color w:val="000000" w:themeColor="text1"/>
        </w:rPr>
      </w:pPr>
      <w:r w:rsidRPr="000B2A94">
        <w:rPr>
          <w:color w:val="000000" w:themeColor="text1"/>
        </w:rPr>
        <w:lastRenderedPageBreak/>
        <w:t>以現階段有限之人力、空間、經費，欲妥善保存檢體證物使其不因時間而降解變質，客觀條件恐無法達成。宜由各鑑定機關相互參酌其他機關既有之規定，並檢視各自規範之分類方法、保存方式、保管期限是否週延，再逐步參考其他先進國家作法提出需求，待所需資源逐步到位後，再討論制定證據監管規範。且因證物種類繁多，性質不一，分類方法、保存方式、保管期限亦有不同，訂定證物保存之统一規範將涉及不同機關之權責認定，恐易生爭議。</w:t>
      </w:r>
    </w:p>
    <w:p w:rsidR="00F956E8" w:rsidRPr="000B2A94" w:rsidRDefault="00F956E8" w:rsidP="00FE5680">
      <w:pPr>
        <w:pStyle w:val="4"/>
        <w:rPr>
          <w:color w:val="000000" w:themeColor="text1"/>
        </w:rPr>
      </w:pPr>
      <w:r w:rsidRPr="000B2A94">
        <w:rPr>
          <w:color w:val="000000" w:themeColor="text1"/>
        </w:rPr>
        <w:t>該部為求建立證物保管之連續性及完整性，於107年12月之一、二審檢察長會議中，請各檢察機關檢視現行贓證物收受、移送、保管等流程，並請各檢察機關贓物庫經管人員於收受司法警察機關移送之扣案證物時，先行將物品拍照並比對實物是否符合，並將照片存檔；於案件起訴移送至法院時，與法院承辦人員以存檔照片比對移送予法院證物之一致性；於案件確定後執行時，再次以存檔之證物照片加以核對，於確認證物相同性後，俾憑辦理贓證物處理之後續作業。</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243" w:name="_Toc27399861"/>
      <w:r w:rsidRPr="000B2A94">
        <w:rPr>
          <w:rFonts w:ascii="Times New Roman" w:hAnsi="Times New Roman"/>
          <w:color w:val="000000" w:themeColor="text1"/>
        </w:rPr>
        <w:t>國防部</w:t>
      </w:r>
      <w:bookmarkEnd w:id="243"/>
    </w:p>
    <w:p w:rsidR="00F956E8" w:rsidRPr="000B2A94" w:rsidRDefault="00F956E8" w:rsidP="00FE5680">
      <w:pPr>
        <w:pStyle w:val="32"/>
        <w:ind w:left="1361" w:firstLine="680"/>
        <w:rPr>
          <w:color w:val="000000" w:themeColor="text1"/>
        </w:rPr>
      </w:pPr>
      <w:r w:rsidRPr="000B2A94">
        <w:rPr>
          <w:color w:val="000000" w:themeColor="text1"/>
        </w:rPr>
        <w:t>憲兵指揮部為強化贓證物庫（室）監督管制安全機制，業已訂頒「贓證物庫（室）管理作業規定」，並要求各憲兵隊及刑鑑中心遵示辦理，利用各項督導時機驗證贓證物品存管與處理程序，防制證物遭掉包或竊取等弊端，以提升證物封緘、送鑑及保管之整體效能。</w:t>
      </w:r>
    </w:p>
    <w:p w:rsidR="00F956E8" w:rsidRPr="000B2A94" w:rsidRDefault="00F956E8" w:rsidP="00FE5680">
      <w:pPr>
        <w:pStyle w:val="32"/>
        <w:ind w:left="1361" w:firstLine="680"/>
        <w:rPr>
          <w:color w:val="000000" w:themeColor="text1"/>
        </w:rPr>
      </w:pPr>
      <w:r w:rsidRPr="000B2A94">
        <w:rPr>
          <w:color w:val="000000" w:themeColor="text1"/>
        </w:rPr>
        <w:t>另刑鑑中心鑑驗完畢證物，均以公文要求送驗單位於3個月內領回並簽收，相關管制狀況良好。</w:t>
      </w:r>
    </w:p>
    <w:p w:rsidR="00F956E8" w:rsidRPr="000B2A94" w:rsidRDefault="00F956E8" w:rsidP="00F956E8">
      <w:pPr>
        <w:pStyle w:val="2"/>
        <w:numPr>
          <w:ilvl w:val="1"/>
          <w:numId w:val="1"/>
        </w:numPr>
        <w:kinsoku w:val="0"/>
        <w:overflowPunct/>
        <w:autoSpaceDE/>
        <w:autoSpaceDN/>
        <w:ind w:left="1123" w:hanging="697"/>
        <w:rPr>
          <w:rFonts w:ascii="Times New Roman" w:hAnsi="Times New Roman"/>
          <w:b/>
          <w:color w:val="000000" w:themeColor="text1"/>
        </w:rPr>
      </w:pPr>
      <w:bookmarkStart w:id="244" w:name="_Toc28606814"/>
      <w:r w:rsidRPr="000B2A94">
        <w:rPr>
          <w:rFonts w:ascii="Times New Roman" w:hAnsi="Times New Roman"/>
          <w:b/>
          <w:color w:val="000000" w:themeColor="text1"/>
        </w:rPr>
        <w:t>他國司法鑑定之相關制度現況</w:t>
      </w:r>
      <w:bookmarkEnd w:id="244"/>
    </w:p>
    <w:p w:rsidR="00F956E8" w:rsidRPr="000B2A94" w:rsidRDefault="00F956E8" w:rsidP="00FE5680">
      <w:pPr>
        <w:pStyle w:val="3"/>
        <w:rPr>
          <w:color w:val="000000" w:themeColor="text1"/>
        </w:rPr>
      </w:pPr>
      <w:bookmarkStart w:id="245" w:name="_Toc27399863"/>
      <w:r w:rsidRPr="000B2A94">
        <w:rPr>
          <w:color w:val="000000" w:themeColor="text1"/>
        </w:rPr>
        <w:lastRenderedPageBreak/>
        <w:t>德國</w:t>
      </w:r>
      <w:bookmarkEnd w:id="245"/>
    </w:p>
    <w:p w:rsidR="00F956E8" w:rsidRPr="000B2A94" w:rsidRDefault="00F956E8" w:rsidP="00FE5680">
      <w:pPr>
        <w:pStyle w:val="4"/>
        <w:rPr>
          <w:color w:val="000000" w:themeColor="text1"/>
        </w:rPr>
      </w:pPr>
      <w:r w:rsidRPr="000B2A94">
        <w:rPr>
          <w:color w:val="000000" w:themeColor="text1"/>
        </w:rPr>
        <w:t>有關鑑定人之選任，依德國刑事訴訟法之規定，在審判程序中由法官為之</w:t>
      </w:r>
      <w:r w:rsidRPr="000B2A94">
        <w:rPr>
          <w:rStyle w:val="aff1"/>
          <w:rFonts w:ascii="Times New Roman" w:hAnsi="Times New Roman"/>
          <w:color w:val="000000" w:themeColor="text1"/>
          <w:sz w:val="28"/>
          <w:szCs w:val="28"/>
        </w:rPr>
        <w:footnoteReference w:id="7"/>
      </w:r>
      <w:r w:rsidRPr="000B2A94">
        <w:rPr>
          <w:color w:val="000000" w:themeColor="text1"/>
        </w:rPr>
        <w:t>，在偵查程序中由檢察官為之。可知鑑定人之選任於審判中乃法官之職權，鑑定人乃法院之輔助者角色，法院是否需要鑑定人之協助，應由審判之法官自行決定之，且依德國刑事訴訟法第七十八條之規定，鑑定人從事鑑定時受法官或檢察官之指揮。而一般認為鑑定人之選任應以有無「鑑定之必要性」而為判斷，因法官具有發現真實之義務，若法官欠缺特定專業知識而無法就待證事項為認定時，即有交付鑑定之必要；如於此情形下法官卻不選任鑑定人時，即已違反發現真實之義務</w:t>
      </w:r>
      <w:r w:rsidRPr="000B2A94">
        <w:rPr>
          <w:rStyle w:val="aff1"/>
          <w:rFonts w:ascii="Times New Roman" w:hAnsi="Times New Roman"/>
          <w:color w:val="000000" w:themeColor="text1"/>
          <w:sz w:val="28"/>
          <w:szCs w:val="28"/>
        </w:rPr>
        <w:footnoteReference w:id="8"/>
      </w:r>
      <w:r w:rsidRPr="000B2A94">
        <w:rPr>
          <w:color w:val="000000" w:themeColor="text1"/>
        </w:rPr>
        <w:t>。</w:t>
      </w:r>
    </w:p>
    <w:p w:rsidR="00F956E8" w:rsidRPr="000B2A94" w:rsidRDefault="00F956E8" w:rsidP="00FE5680">
      <w:pPr>
        <w:pStyle w:val="4"/>
        <w:rPr>
          <w:color w:val="000000" w:themeColor="text1"/>
        </w:rPr>
      </w:pPr>
      <w:r w:rsidRPr="000B2A94">
        <w:rPr>
          <w:color w:val="000000" w:themeColor="text1"/>
        </w:rPr>
        <w:t>鑑定人主要角色係法官之輔佐人，由法官主導鑑定程序，依職權選任鑑定人及其人數，並決定鑑定事項與鑑定範圍。鑑定人可區分為</w:t>
      </w:r>
    </w:p>
    <w:p w:rsidR="00F956E8" w:rsidRPr="000B2A94" w:rsidRDefault="00F956E8" w:rsidP="00FE5680">
      <w:pPr>
        <w:pStyle w:val="5"/>
        <w:ind w:left="2042" w:hanging="851"/>
        <w:rPr>
          <w:rFonts w:ascii="Times New Roman" w:hAnsi="Times New Roman"/>
          <w:color w:val="000000" w:themeColor="text1"/>
        </w:rPr>
      </w:pPr>
      <w:r w:rsidRPr="000B2A94">
        <w:rPr>
          <w:color w:val="000000" w:themeColor="text1"/>
        </w:rPr>
        <w:t>公開任命、宣誓</w:t>
      </w:r>
      <w:r w:rsidRPr="000B2A94">
        <w:rPr>
          <w:rFonts w:ascii="Times New Roman" w:hAnsi="Times New Roman"/>
          <w:color w:val="000000" w:themeColor="text1"/>
        </w:rPr>
        <w:t>並具結之鑑定人</w:t>
      </w:r>
      <w:r w:rsidR="00B8766C" w:rsidRPr="000B2A94">
        <w:rPr>
          <w:rFonts w:ascii="Times New Roman" w:hAnsi="Times New Roman" w:hint="eastAsia"/>
          <w:color w:val="000000" w:themeColor="text1"/>
        </w:rPr>
        <w:t>（</w:t>
      </w:r>
      <w:r w:rsidRPr="000B2A94">
        <w:rPr>
          <w:rFonts w:ascii="Times New Roman" w:hAnsi="Times New Roman"/>
          <w:color w:val="000000" w:themeColor="text1"/>
        </w:rPr>
        <w:t>öffentlich bestellte</w:t>
      </w:r>
      <w:r w:rsidR="00B8766C" w:rsidRPr="000B2A94">
        <w:rPr>
          <w:rFonts w:ascii="Times New Roman" w:hAnsi="Times New Roman"/>
          <w:color w:val="000000" w:themeColor="text1"/>
        </w:rPr>
        <w:t xml:space="preserve"> und vereidigte Sachverständige</w:t>
      </w:r>
      <w:r w:rsidR="00B8766C" w:rsidRPr="000B2A94">
        <w:rPr>
          <w:rFonts w:ascii="Times New Roman" w:hAnsi="Times New Roman" w:hint="eastAsia"/>
          <w:color w:val="000000" w:themeColor="text1"/>
        </w:rPr>
        <w:t>）。</w:t>
      </w:r>
    </w:p>
    <w:p w:rsidR="00F956E8" w:rsidRPr="000B2A94" w:rsidRDefault="00F956E8" w:rsidP="00FE5680">
      <w:pPr>
        <w:pStyle w:val="5"/>
        <w:ind w:left="2042" w:hanging="851"/>
        <w:rPr>
          <w:rFonts w:ascii="Times New Roman" w:hAnsi="Times New Roman"/>
          <w:color w:val="000000" w:themeColor="text1"/>
        </w:rPr>
      </w:pPr>
      <w:r w:rsidRPr="000B2A94">
        <w:rPr>
          <w:rFonts w:ascii="Times New Roman" w:hAnsi="Times New Roman"/>
          <w:color w:val="000000" w:themeColor="text1"/>
        </w:rPr>
        <w:t>德國認證委員會（</w:t>
      </w:r>
      <w:r w:rsidRPr="000B2A94">
        <w:rPr>
          <w:rFonts w:ascii="Times New Roman" w:hAnsi="Times New Roman"/>
          <w:color w:val="000000" w:themeColor="text1"/>
        </w:rPr>
        <w:t>Deutschen Akkreditierungsrat</w:t>
      </w:r>
      <w:r w:rsidR="00B8766C" w:rsidRPr="000B2A94">
        <w:rPr>
          <w:rFonts w:ascii="Times New Roman" w:hAnsi="Times New Roman" w:hint="eastAsia"/>
          <w:color w:val="000000" w:themeColor="text1"/>
        </w:rPr>
        <w:t>）</w:t>
      </w:r>
      <w:r w:rsidRPr="000B2A94">
        <w:rPr>
          <w:rFonts w:ascii="Times New Roman" w:hAnsi="Times New Roman"/>
          <w:color w:val="000000" w:themeColor="text1"/>
        </w:rPr>
        <w:t>認可之鑑定人</w:t>
      </w:r>
      <w:r w:rsidR="00B8766C" w:rsidRPr="000B2A94">
        <w:rPr>
          <w:rFonts w:ascii="Times New Roman" w:hAnsi="Times New Roman"/>
          <w:color w:val="000000" w:themeColor="text1"/>
        </w:rPr>
        <w:t>（</w:t>
      </w:r>
      <w:r w:rsidR="00B8766C" w:rsidRPr="000B2A94">
        <w:rPr>
          <w:rFonts w:ascii="Times New Roman" w:hAnsi="Times New Roman"/>
          <w:color w:val="000000" w:themeColor="text1"/>
        </w:rPr>
        <w:t>Zertifizierte Sachverständige</w:t>
      </w:r>
      <w:r w:rsidR="00B8766C" w:rsidRPr="000B2A94">
        <w:rPr>
          <w:rFonts w:ascii="Times New Roman" w:hAnsi="Times New Roman" w:hint="eastAsia"/>
          <w:color w:val="000000" w:themeColor="text1"/>
        </w:rPr>
        <w:t>）。</w:t>
      </w:r>
    </w:p>
    <w:p w:rsidR="00F956E8" w:rsidRPr="000B2A94" w:rsidRDefault="00F956E8" w:rsidP="00FE5680">
      <w:pPr>
        <w:pStyle w:val="5"/>
        <w:ind w:left="2042" w:hanging="851"/>
        <w:rPr>
          <w:rFonts w:ascii="Times New Roman" w:hAnsi="Times New Roman"/>
          <w:color w:val="000000" w:themeColor="text1"/>
        </w:rPr>
      </w:pPr>
      <w:r w:rsidRPr="000B2A94">
        <w:rPr>
          <w:rFonts w:ascii="Times New Roman" w:hAnsi="Times New Roman"/>
          <w:color w:val="000000" w:themeColor="text1"/>
        </w:rPr>
        <w:t>專業協會認可並經通過德意志邦考核之鑑定人</w:t>
      </w:r>
      <w:r w:rsidRPr="000B2A94">
        <w:rPr>
          <w:rFonts w:ascii="Times New Roman" w:hAnsi="Times New Roman"/>
          <w:color w:val="000000" w:themeColor="text1"/>
        </w:rPr>
        <w:t>(Staatlich anerkannte Sachverständige</w:t>
      </w:r>
      <w:r w:rsidR="00B8766C" w:rsidRPr="000B2A94">
        <w:rPr>
          <w:rFonts w:ascii="Times New Roman" w:hAnsi="Times New Roman" w:hint="eastAsia"/>
          <w:color w:val="000000" w:themeColor="text1"/>
        </w:rPr>
        <w:t>）</w:t>
      </w:r>
      <w:r w:rsidRPr="000B2A94">
        <w:rPr>
          <w:rFonts w:ascii="Times New Roman" w:hAnsi="Times New Roman"/>
          <w:color w:val="000000" w:themeColor="text1"/>
        </w:rPr>
        <w:t xml:space="preserve"> </w:t>
      </w:r>
      <w:r w:rsidRPr="000B2A94">
        <w:rPr>
          <w:rFonts w:ascii="Times New Roman" w:hAnsi="Times New Roman"/>
          <w:color w:val="000000" w:themeColor="text1"/>
        </w:rPr>
        <w:t>。</w:t>
      </w:r>
    </w:p>
    <w:p w:rsidR="00F956E8" w:rsidRPr="000B2A94" w:rsidRDefault="00F956E8" w:rsidP="00FE5680">
      <w:pPr>
        <w:pStyle w:val="5"/>
        <w:ind w:left="2042" w:hanging="851"/>
        <w:rPr>
          <w:rFonts w:ascii="Times New Roman" w:hAnsi="Times New Roman"/>
          <w:color w:val="000000" w:themeColor="text1"/>
        </w:rPr>
      </w:pPr>
      <w:r w:rsidRPr="000B2A94">
        <w:rPr>
          <w:rFonts w:ascii="Times New Roman" w:hAnsi="Times New Roman"/>
          <w:color w:val="000000" w:themeColor="text1"/>
        </w:rPr>
        <w:t>官方機構所屬之鑑定人</w:t>
      </w:r>
      <w:r w:rsidR="00B8766C" w:rsidRPr="000B2A94">
        <w:rPr>
          <w:rFonts w:ascii="Times New Roman" w:hAnsi="Times New Roman" w:hint="eastAsia"/>
          <w:color w:val="000000" w:themeColor="text1"/>
        </w:rPr>
        <w:t>（</w:t>
      </w:r>
      <w:r w:rsidRPr="000B2A94">
        <w:rPr>
          <w:rFonts w:ascii="Times New Roman" w:hAnsi="Times New Roman"/>
          <w:color w:val="000000" w:themeColor="text1"/>
        </w:rPr>
        <w:t>Sachverständige amtlich anerkannter Prüforganisationen bzw. amtlich anerkannte Sachverständige</w:t>
      </w:r>
      <w:r w:rsidR="00B8766C" w:rsidRPr="000B2A94">
        <w:rPr>
          <w:rFonts w:ascii="Times New Roman" w:hAnsi="Times New Roman" w:hint="eastAsia"/>
          <w:color w:val="000000" w:themeColor="text1"/>
        </w:rPr>
        <w:t>）</w:t>
      </w:r>
      <w:r w:rsidRPr="000B2A94">
        <w:rPr>
          <w:rFonts w:ascii="Times New Roman" w:hAnsi="Times New Roman"/>
          <w:color w:val="000000" w:themeColor="text1"/>
        </w:rPr>
        <w:t>。</w:t>
      </w:r>
    </w:p>
    <w:p w:rsidR="00F956E8" w:rsidRPr="000B2A94" w:rsidRDefault="00F956E8" w:rsidP="00FE5680">
      <w:pPr>
        <w:pStyle w:val="5"/>
        <w:ind w:left="2042" w:hanging="851"/>
        <w:rPr>
          <w:color w:val="000000" w:themeColor="text1"/>
        </w:rPr>
      </w:pPr>
      <w:r w:rsidRPr="000B2A94">
        <w:rPr>
          <w:rFonts w:ascii="Times New Roman" w:hAnsi="Times New Roman"/>
          <w:color w:val="000000" w:themeColor="text1"/>
        </w:rPr>
        <w:t>其他：非官方機構或團體</w:t>
      </w:r>
      <w:r w:rsidRPr="000B2A94">
        <w:rPr>
          <w:color w:val="000000" w:themeColor="text1"/>
        </w:rPr>
        <w:t>之會員</w:t>
      </w:r>
      <w:r w:rsidR="00B8766C" w:rsidRPr="000B2A94">
        <w:rPr>
          <w:rFonts w:ascii="Times New Roman" w:hAnsi="Times New Roman" w:hint="eastAsia"/>
          <w:color w:val="000000" w:themeColor="text1"/>
        </w:rPr>
        <w:t>（</w:t>
      </w:r>
      <w:r w:rsidRPr="000B2A94">
        <w:rPr>
          <w:color w:val="000000" w:themeColor="text1"/>
        </w:rPr>
        <w:t>Sonstige）。</w:t>
      </w:r>
    </w:p>
    <w:p w:rsidR="00F956E8" w:rsidRPr="000B2A94" w:rsidRDefault="00F956E8" w:rsidP="00FE5680">
      <w:pPr>
        <w:pStyle w:val="4"/>
        <w:rPr>
          <w:color w:val="000000" w:themeColor="text1"/>
        </w:rPr>
      </w:pPr>
      <w:r w:rsidRPr="000B2A94">
        <w:rPr>
          <w:color w:val="000000" w:themeColor="text1"/>
        </w:rPr>
        <w:lastRenderedPageBreak/>
        <w:t>雖當事人（被告）並無選任鑑定人之權利，但依德國刑事訴訟法第二百四十五條第二項之規定</w:t>
      </w:r>
      <w:r w:rsidRPr="000B2A94">
        <w:rPr>
          <w:rStyle w:val="aff1"/>
          <w:rFonts w:ascii="Times New Roman" w:hAnsi="Times New Roman"/>
          <w:color w:val="000000" w:themeColor="text1"/>
          <w:sz w:val="28"/>
          <w:szCs w:val="28"/>
        </w:rPr>
        <w:footnoteReference w:id="9"/>
      </w:r>
      <w:r w:rsidRPr="000B2A94">
        <w:rPr>
          <w:color w:val="000000" w:themeColor="text1"/>
        </w:rPr>
        <w:t>：「調查證據之範圍包括由被告或是檢察官所傳喚到庭之證人、鑑定人或其他已蒐集之證據方法，以已有證據調查之聲請為限，法院應予以調查。」即賦予當事人聲請法院調查鑑定人或特定之證據資料，應可謂對於當事人之訴訟權有所保障。</w:t>
      </w:r>
    </w:p>
    <w:p w:rsidR="00F956E8" w:rsidRPr="000B2A94" w:rsidRDefault="00F956E8" w:rsidP="00FE5680">
      <w:pPr>
        <w:pStyle w:val="4"/>
        <w:rPr>
          <w:color w:val="000000" w:themeColor="text1"/>
        </w:rPr>
      </w:pPr>
      <w:r w:rsidRPr="000B2A94">
        <w:rPr>
          <w:color w:val="000000" w:themeColor="text1"/>
        </w:rPr>
        <w:t>而就鑑定結果，鑑定人具有於審判期日到場之義務、宣誓義務</w:t>
      </w:r>
      <w:r w:rsidRPr="000B2A94">
        <w:rPr>
          <w:rStyle w:val="aff1"/>
          <w:rFonts w:ascii="Times New Roman" w:hAnsi="Times New Roman"/>
          <w:color w:val="000000" w:themeColor="text1"/>
          <w:sz w:val="28"/>
          <w:szCs w:val="28"/>
        </w:rPr>
        <w:footnoteReference w:id="10"/>
      </w:r>
      <w:r w:rsidRPr="000B2A94">
        <w:rPr>
          <w:color w:val="000000" w:themeColor="text1"/>
        </w:rPr>
        <w:t>、就鑑定結果陳述或提出鑑定書之義務，以使鑑定之結果取得證據能力</w:t>
      </w:r>
      <w:r w:rsidRPr="000B2A94">
        <w:rPr>
          <w:rStyle w:val="aff1"/>
          <w:rFonts w:ascii="Times New Roman" w:hAnsi="Times New Roman"/>
          <w:color w:val="000000" w:themeColor="text1"/>
          <w:sz w:val="28"/>
          <w:szCs w:val="28"/>
        </w:rPr>
        <w:footnoteReference w:id="11"/>
      </w:r>
      <w:r w:rsidRPr="000B2A94">
        <w:rPr>
          <w:color w:val="000000" w:themeColor="text1"/>
        </w:rPr>
        <w:t>，且在審判程序中，鑑定人仍須就鑑定之經過與結果接受法院及當事人之訊問或詢問，相較於當事人進行主義下所採行由當事人主導詰問程序之「交互詰問制度」，德國刑事訴訟法係採行「輪替詰問制度」，係指先由鑑定人先為包括性之陳述，並將其所實施之鑑定過程及所認知之實際狀態加以完全之說明，之後再由詰問權人(法官、參審員、檢察官、辯護人、被告等訴訟關係人)進行詰問</w:t>
      </w:r>
      <w:r w:rsidRPr="000B2A94">
        <w:rPr>
          <w:rStyle w:val="aff1"/>
          <w:rFonts w:ascii="Times New Roman" w:hAnsi="Times New Roman"/>
          <w:color w:val="000000" w:themeColor="text1"/>
          <w:sz w:val="28"/>
          <w:szCs w:val="28"/>
        </w:rPr>
        <w:footnoteReference w:id="12"/>
      </w:r>
      <w:r w:rsidRPr="000B2A94">
        <w:rPr>
          <w:color w:val="000000" w:themeColor="text1"/>
        </w:rPr>
        <w:t>。</w:t>
      </w:r>
    </w:p>
    <w:p w:rsidR="00F956E8" w:rsidRPr="000B2A94" w:rsidRDefault="00F956E8" w:rsidP="00FE5680">
      <w:pPr>
        <w:pStyle w:val="4"/>
        <w:rPr>
          <w:color w:val="000000" w:themeColor="text1"/>
        </w:rPr>
      </w:pPr>
      <w:r w:rsidRPr="000B2A94">
        <w:rPr>
          <w:color w:val="000000" w:themeColor="text1"/>
        </w:rPr>
        <w:t>相較於交互詰問，輪替詰問之重心係在於以問答之方式協助法院釐清事實，法庭所關心者乃「什麼事被澄清了」，而非「什麼人澄清了這件事」</w:t>
      </w:r>
      <w:r w:rsidRPr="000B2A94">
        <w:rPr>
          <w:rStyle w:val="aff1"/>
          <w:rFonts w:ascii="Times New Roman" w:hAnsi="Times New Roman"/>
          <w:color w:val="000000" w:themeColor="text1"/>
          <w:sz w:val="28"/>
          <w:szCs w:val="28"/>
        </w:rPr>
        <w:footnoteReference w:id="13"/>
      </w:r>
      <w:r w:rsidRPr="000B2A94">
        <w:rPr>
          <w:color w:val="000000" w:themeColor="text1"/>
        </w:rPr>
        <w:t>。故其進行方式較不注重「形式性」之詰問方式，而概由法官以訴訟指揮權主導之。故在鑑定人之</w:t>
      </w:r>
      <w:r w:rsidRPr="000B2A94">
        <w:rPr>
          <w:color w:val="000000" w:themeColor="text1"/>
        </w:rPr>
        <w:lastRenderedPageBreak/>
        <w:t>詰問情形，其詰問重點應係在於鑑定過程之確認或鑑定結果之說明，並無就鑑定人之資格或可信性為進一步之質疑或爭辯，此亦可謂德國刑事訴訟程序中職權主義之展現。</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246" w:name="_Toc27399864"/>
      <w:r w:rsidRPr="000B2A94">
        <w:rPr>
          <w:rFonts w:ascii="Times New Roman" w:hAnsi="Times New Roman"/>
          <w:color w:val="000000" w:themeColor="text1"/>
        </w:rPr>
        <w:t>美國</w:t>
      </w:r>
      <w:bookmarkEnd w:id="246"/>
    </w:p>
    <w:p w:rsidR="00F956E8" w:rsidRPr="000B2A94" w:rsidRDefault="00F956E8" w:rsidP="00943EB9">
      <w:pPr>
        <w:pStyle w:val="4"/>
        <w:rPr>
          <w:color w:val="000000" w:themeColor="text1"/>
        </w:rPr>
      </w:pPr>
      <w:r w:rsidRPr="000B2A94">
        <w:rPr>
          <w:color w:val="000000" w:themeColor="text1"/>
        </w:rPr>
        <w:t>美國法制自為英美法系國家之代表，其刑事訴訟之架構係採行當事人進行主義，當事人得主導調查證據程序，故當相關證據涉及高度專業性時，當事人為了提出該證據以作為審判者認定事實之依據時，自可依美國聯邦證據法第七百零二條以下之規定，由具備專業知識之人，以證人之地位出現於法庭之上，並以一種意見證據（opinion evidence）之方式加以陳述、提供意見，此即「專家證人（Expert Witness）制度」。相較於職權主義下之鑑定人係立於法院輔助者之地位，專家證人之訴訟角色乃當事人一造之證人，且因僅受一造當事人所選任，其證詞往往僅基於有利於選任一方之角度而為陳述，或僅就有利於選任一方之待證事項為說明，故專家證人往往具有明顯之偏頗性。此時，基於平等地位，立於對造之當事人亦會選任其他有利於己方立場之專家證人，其結果產生了「專家戰爭（Battle of Experts）」，過度的專業對抗不僅讓法院或陪審團無法判斷誰是誰非，亦使專家證人之專業不受信任，乃典型當事人進行主義下之適用缺點。</w:t>
      </w:r>
    </w:p>
    <w:p w:rsidR="00F956E8" w:rsidRPr="000B2A94" w:rsidRDefault="00F956E8" w:rsidP="00FE5680">
      <w:pPr>
        <w:pStyle w:val="4"/>
        <w:rPr>
          <w:color w:val="000000" w:themeColor="text1"/>
        </w:rPr>
      </w:pPr>
      <w:r w:rsidRPr="000B2A94">
        <w:rPr>
          <w:color w:val="000000" w:themeColor="text1"/>
        </w:rPr>
        <w:t>故美國法律界對當事人進行主義有所反省</w:t>
      </w:r>
      <w:r w:rsidRPr="000B2A94">
        <w:rPr>
          <w:rStyle w:val="aff1"/>
          <w:rFonts w:ascii="Times New Roman" w:hAnsi="Times New Roman"/>
          <w:color w:val="000000" w:themeColor="text1"/>
          <w:sz w:val="28"/>
          <w:szCs w:val="28"/>
        </w:rPr>
        <w:footnoteReference w:id="14"/>
      </w:r>
      <w:r w:rsidRPr="000B2A94">
        <w:rPr>
          <w:color w:val="000000" w:themeColor="text1"/>
        </w:rPr>
        <w:t>，並進一步主張應就美國專家證人制度進行改革。其</w:t>
      </w:r>
      <w:r w:rsidRPr="000B2A94">
        <w:rPr>
          <w:color w:val="000000" w:themeColor="text1"/>
        </w:rPr>
        <w:lastRenderedPageBreak/>
        <w:t>中即有主張避免當事人間過度之對立影響真實之發現，於特定情形下應由法官選任無利害關係之公正專家，以確保專家證言之公正性</w:t>
      </w:r>
      <w:r w:rsidRPr="000B2A94">
        <w:rPr>
          <w:rStyle w:val="aff1"/>
          <w:rFonts w:ascii="Times New Roman" w:hAnsi="Times New Roman"/>
          <w:color w:val="000000" w:themeColor="text1"/>
          <w:sz w:val="28"/>
          <w:szCs w:val="28"/>
        </w:rPr>
        <w:footnoteReference w:id="15"/>
      </w:r>
      <w:r w:rsidRPr="000B2A94">
        <w:rPr>
          <w:color w:val="000000" w:themeColor="text1"/>
        </w:rPr>
        <w:t>。但如此一來，將使專家於訴訟程序中之地位，由一造證人轉化為法院輔助者之角色，而接近於職權主義下之鑑定人制度，即產生有悖於當事人進行主義之疑慮。但法律程序之運作本即有原則與例外之別，若於一定情形由法院依職權選任專家證人得以解決相關弊端時，自無囿於堅持特定訴訟主義之必要，故美國聯邦證據法第七百零六條即規定法院具有選任傳喚鑑定人之權限</w:t>
      </w:r>
      <w:r w:rsidRPr="000B2A94">
        <w:rPr>
          <w:rStyle w:val="aff1"/>
          <w:rFonts w:ascii="Times New Roman" w:hAnsi="Times New Roman"/>
          <w:color w:val="000000" w:themeColor="text1"/>
          <w:sz w:val="28"/>
          <w:szCs w:val="28"/>
        </w:rPr>
        <w:footnoteReference w:id="16"/>
      </w:r>
      <w:r w:rsidRPr="000B2A94">
        <w:rPr>
          <w:color w:val="000000" w:themeColor="text1"/>
        </w:rPr>
        <w:t>。而此一規定亦相同規範在美國統一專家證言法（Uniform Expert Testimony Act, 1973）、模範證據法典（Model Code of Evidence, 1942）及各州證據法典之中</w:t>
      </w:r>
      <w:r w:rsidRPr="000B2A94">
        <w:rPr>
          <w:rStyle w:val="aff1"/>
          <w:rFonts w:ascii="Times New Roman" w:hAnsi="Times New Roman"/>
          <w:color w:val="000000" w:themeColor="text1"/>
          <w:sz w:val="28"/>
          <w:szCs w:val="28"/>
        </w:rPr>
        <w:footnoteReference w:id="17"/>
      </w:r>
      <w:r w:rsidRPr="000B2A94">
        <w:rPr>
          <w:color w:val="000000" w:themeColor="text1"/>
        </w:rPr>
        <w:t>。但縱法律已就法院得依職權選任專家證人為規定，但此並無排斥當事人仍得自行選任、提出專家證人之制度，且基於當事人進行主義之傳統，美國實務上由法院職權調查證據、選任專家證人之情形，鮮少發生</w:t>
      </w:r>
      <w:r w:rsidRPr="000B2A94">
        <w:rPr>
          <w:rStyle w:val="aff1"/>
          <w:rFonts w:ascii="Times New Roman" w:hAnsi="Times New Roman"/>
          <w:color w:val="000000" w:themeColor="text1"/>
          <w:sz w:val="28"/>
          <w:szCs w:val="28"/>
        </w:rPr>
        <w:footnoteReference w:id="18"/>
      </w:r>
      <w:r w:rsidRPr="000B2A94">
        <w:rPr>
          <w:color w:val="000000" w:themeColor="text1"/>
        </w:rPr>
        <w:t>。</w:t>
      </w:r>
    </w:p>
    <w:p w:rsidR="00F956E8" w:rsidRPr="000B2A94" w:rsidRDefault="00F956E8" w:rsidP="00FE5680">
      <w:pPr>
        <w:pStyle w:val="4"/>
        <w:rPr>
          <w:color w:val="000000" w:themeColor="text1"/>
        </w:rPr>
      </w:pPr>
      <w:r w:rsidRPr="000B2A94">
        <w:rPr>
          <w:color w:val="000000" w:themeColor="text1"/>
        </w:rPr>
        <w:t>有關鑑定相關之事項，係依據聯邦證據法則Federal Rules of Evidence辦理。另有關鑑識實驗室之一般要求、架構要求、資源要求、過程要求以及管理系統要求，均需滿足ISO/IEC 17025規範。</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247" w:name="_Toc27399865"/>
      <w:r w:rsidRPr="000B2A94">
        <w:rPr>
          <w:rFonts w:ascii="Times New Roman" w:hAnsi="Times New Roman"/>
          <w:color w:val="000000" w:themeColor="text1"/>
        </w:rPr>
        <w:t>日本</w:t>
      </w:r>
      <w:bookmarkEnd w:id="247"/>
    </w:p>
    <w:p w:rsidR="00F956E8" w:rsidRPr="000B2A94" w:rsidRDefault="00F956E8" w:rsidP="00FE5680">
      <w:pPr>
        <w:pStyle w:val="4"/>
        <w:rPr>
          <w:color w:val="000000" w:themeColor="text1"/>
        </w:rPr>
      </w:pPr>
      <w:r w:rsidRPr="000B2A94">
        <w:rPr>
          <w:color w:val="000000" w:themeColor="text1"/>
        </w:rPr>
        <w:lastRenderedPageBreak/>
        <w:t>日本刑事訴訟程序之訴訟架構，基於日本法制史特殊之發展與變革，而具有不同於上述德國或美國訴訟制度之形態。約於西元</w:t>
      </w:r>
      <w:r w:rsidR="00D9690C" w:rsidRPr="000B2A94">
        <w:rPr>
          <w:rFonts w:hint="eastAsia"/>
          <w:color w:val="000000" w:themeColor="text1"/>
        </w:rPr>
        <w:t>1880</w:t>
      </w:r>
      <w:r w:rsidRPr="000B2A94">
        <w:rPr>
          <w:color w:val="000000" w:themeColor="text1"/>
        </w:rPr>
        <w:t>年時，日本即以當時之法國法制為範本而制定相關刑事法律，且在後續就刑事訴訟法之修訂中，日本仍沿襲了德國及奧地利等大陸法系國家之法制精神，故其基本構造即為職權主義之色彩，法院係居於承繼偵查之地位，並本於自己責任與主導訴訟來探究真實，並據以而為裁判。但於二次大戰結束後，戰敗並遭受盟軍控制之日本，在試圖重建國家制度時，即被要求以美國法制為對象而重新修正刑事訴訟法之訴訟體制，即採當事人進行主義下之產物，例如起訴狀一本主義（規定於日本刑事訴訟法第二百五十六條）、交互詰問制度（該法第三百零四條）、傳聞法則（該法第三百四十條）及訴因制度（該法第二百五十六條、第三百十二條），均納入日本新刑事訴訟法之規範中</w:t>
      </w:r>
      <w:r w:rsidRPr="000B2A94">
        <w:rPr>
          <w:rStyle w:val="aff1"/>
          <w:rFonts w:ascii="Times New Roman" w:hAnsi="Times New Roman"/>
          <w:color w:val="000000" w:themeColor="text1"/>
          <w:sz w:val="28"/>
          <w:szCs w:val="28"/>
        </w:rPr>
        <w:footnoteReference w:id="19"/>
      </w:r>
      <w:r w:rsidRPr="000B2A94">
        <w:rPr>
          <w:color w:val="000000" w:themeColor="text1"/>
        </w:rPr>
        <w:t>。在此一職權主義與當事人進行主義為交錯建構之訴訟制度中，鑑定人制度仍存在於日本刑事訴訟法中，被規定於總則編第十二章(第一百六十五條至第一百七十四條)中，而設有鑑定專章之規定。</w:t>
      </w:r>
    </w:p>
    <w:p w:rsidR="00F956E8" w:rsidRPr="000B2A94" w:rsidRDefault="00F956E8" w:rsidP="00FE5680">
      <w:pPr>
        <w:pStyle w:val="4"/>
        <w:rPr>
          <w:color w:val="000000" w:themeColor="text1"/>
        </w:rPr>
      </w:pPr>
      <w:r w:rsidRPr="000B2A94">
        <w:rPr>
          <w:color w:val="000000" w:themeColor="text1"/>
        </w:rPr>
        <w:t>日本實務及通說就「鑑定」之定義，係指由第三人以屬於特別知識經驗之法則或適用該法則，就具體事實所為判斷之報告</w:t>
      </w:r>
      <w:r w:rsidRPr="000B2A94">
        <w:rPr>
          <w:rStyle w:val="aff1"/>
          <w:rFonts w:ascii="Times New Roman" w:hAnsi="Times New Roman"/>
          <w:color w:val="000000" w:themeColor="text1"/>
          <w:sz w:val="28"/>
          <w:szCs w:val="28"/>
        </w:rPr>
        <w:footnoteReference w:id="20"/>
      </w:r>
      <w:r w:rsidRPr="000B2A94">
        <w:rPr>
          <w:color w:val="000000" w:themeColor="text1"/>
        </w:rPr>
        <w:t>。而就鑑定人之選定，依日本刑事訴訟法第一百六十五條規定，乃由法院就有學識經驗者選定之。可知日本刑事訴</w:t>
      </w:r>
      <w:r w:rsidRPr="000B2A94">
        <w:rPr>
          <w:color w:val="000000" w:themeColor="text1"/>
        </w:rPr>
        <w:lastRenderedPageBreak/>
        <w:t>訟程序上之鑑定人，仍屬由法院選任以輔助法院認定事實之角色，且依日本實務及通說見解認為，具備專業知識之人，其作為鑑定人以實施鑑定之義務，係不同於一般國民之出庭作證義務，而應由國家機關課以行使鑑定義務之公權力措施，此一義務之課予即所謂「鑑定命令」</w:t>
      </w:r>
      <w:r w:rsidRPr="000B2A94">
        <w:rPr>
          <w:rStyle w:val="aff1"/>
          <w:rFonts w:ascii="Times New Roman" w:hAnsi="Times New Roman"/>
          <w:color w:val="000000" w:themeColor="text1"/>
          <w:sz w:val="28"/>
          <w:szCs w:val="28"/>
        </w:rPr>
        <w:footnoteReference w:id="21"/>
      </w:r>
      <w:r w:rsidRPr="000B2A94">
        <w:rPr>
          <w:color w:val="000000" w:themeColor="text1"/>
        </w:rPr>
        <w:t>。而鑑定人選之決定，通常均會委託大學或其他研究機構推薦適合之鑑定人，或利用相關鑑定名冊以選任，法院雖有自由裁量之決定選任權，但原則上仍會參考請求鑑定之一方當事人之意見</w:t>
      </w:r>
      <w:r w:rsidRPr="000B2A94">
        <w:rPr>
          <w:rStyle w:val="aff1"/>
          <w:rFonts w:ascii="Times New Roman" w:hAnsi="Times New Roman"/>
          <w:color w:val="000000" w:themeColor="text1"/>
          <w:sz w:val="28"/>
          <w:szCs w:val="28"/>
        </w:rPr>
        <w:footnoteReference w:id="22"/>
      </w:r>
      <w:r w:rsidRPr="000B2A94">
        <w:rPr>
          <w:color w:val="000000" w:themeColor="text1"/>
        </w:rPr>
        <w:t>。</w:t>
      </w:r>
    </w:p>
    <w:p w:rsidR="00F956E8" w:rsidRPr="000B2A94" w:rsidRDefault="00F956E8" w:rsidP="00FE5680">
      <w:pPr>
        <w:pStyle w:val="4"/>
        <w:rPr>
          <w:color w:val="000000" w:themeColor="text1"/>
        </w:rPr>
      </w:pPr>
      <w:r w:rsidRPr="000B2A94">
        <w:rPr>
          <w:color w:val="000000" w:themeColor="text1"/>
        </w:rPr>
        <w:t>而在日本刑事鑑定制度中，較具有當事人進行主義色彩之程序，包含實施鑑定時當事人之在場權及當事人就鑑定結果所進行之證據調查程序。</w:t>
      </w:r>
    </w:p>
    <w:p w:rsidR="00F956E8" w:rsidRPr="000B2A94" w:rsidRDefault="00F956E8" w:rsidP="00FE5680">
      <w:pPr>
        <w:pStyle w:val="4"/>
        <w:rPr>
          <w:color w:val="000000" w:themeColor="text1"/>
        </w:rPr>
      </w:pPr>
      <w:r w:rsidRPr="000B2A94">
        <w:rPr>
          <w:color w:val="000000" w:themeColor="text1"/>
        </w:rPr>
        <w:t>按鑑定之實施雖係輔助法院以認定事實，然鑑定結果對法院之裁判結果深具影響力，當事人自應就鑑定之進行有相當之參與或在場權利，以確保鑑定結果之公正性，故日本刑事訴訟法第一百七十條即規定法院得通知檢察官或辯護人</w:t>
      </w:r>
      <w:r w:rsidRPr="000B2A94">
        <w:rPr>
          <w:rStyle w:val="aff1"/>
          <w:rFonts w:ascii="Times New Roman" w:hAnsi="Times New Roman"/>
          <w:color w:val="000000" w:themeColor="text1"/>
          <w:sz w:val="28"/>
          <w:szCs w:val="28"/>
        </w:rPr>
        <w:footnoteReference w:id="23"/>
      </w:r>
      <w:r w:rsidRPr="000B2A94">
        <w:rPr>
          <w:color w:val="000000" w:themeColor="text1"/>
        </w:rPr>
        <w:t>參加鑑定活動之進行。除法院認為鑑定之種類不適合當事人在場，或鑑定之時間場所不確定，且當事人未明確向法院提出在場之申請外，法院應對檢察官或辯護人發出「鑑定通知書」，以告知鑑定活動之日期及場所</w:t>
      </w:r>
      <w:r w:rsidRPr="000B2A94">
        <w:rPr>
          <w:rStyle w:val="aff1"/>
          <w:rFonts w:ascii="Times New Roman" w:hAnsi="Times New Roman"/>
          <w:color w:val="000000" w:themeColor="text1"/>
          <w:sz w:val="28"/>
          <w:szCs w:val="28"/>
        </w:rPr>
        <w:footnoteReference w:id="24"/>
      </w:r>
      <w:r w:rsidRPr="000B2A94">
        <w:rPr>
          <w:color w:val="000000" w:themeColor="text1"/>
        </w:rPr>
        <w:t>。但應注意當事人並無干涉鑑定進行或提出詢問之權利。</w:t>
      </w:r>
    </w:p>
    <w:p w:rsidR="00F956E8" w:rsidRPr="000B2A94" w:rsidRDefault="00F956E8" w:rsidP="00FE5680">
      <w:pPr>
        <w:pStyle w:val="4"/>
        <w:rPr>
          <w:color w:val="000000" w:themeColor="text1"/>
        </w:rPr>
      </w:pPr>
      <w:r w:rsidRPr="000B2A94">
        <w:rPr>
          <w:color w:val="000000" w:themeColor="text1"/>
        </w:rPr>
        <w:t>就鑑定結果之報告，不論鑑定人係以書面抑或以</w:t>
      </w:r>
      <w:r w:rsidRPr="000B2A94">
        <w:rPr>
          <w:color w:val="000000" w:themeColor="text1"/>
        </w:rPr>
        <w:lastRenderedPageBreak/>
        <w:t>口頭之形式為之，依日本刑事訴訟法之規定均須踐行一定之證據調查程序，即對鑑定人就鑑定結果為詢問或詰問</w:t>
      </w:r>
      <w:r w:rsidRPr="000B2A94">
        <w:rPr>
          <w:rStyle w:val="aff1"/>
          <w:rFonts w:ascii="Times New Roman" w:hAnsi="Times New Roman"/>
          <w:color w:val="000000" w:themeColor="text1"/>
          <w:sz w:val="28"/>
          <w:szCs w:val="28"/>
        </w:rPr>
        <w:footnoteReference w:id="25"/>
      </w:r>
      <w:r w:rsidRPr="000B2A94">
        <w:rPr>
          <w:color w:val="000000" w:themeColor="text1"/>
        </w:rPr>
        <w:t>。就鑑定人之詢問方式，基本上與就證人之詢問方式無異，惟因鑑定內容涉及專業性，應可予以適當調整，例如不使用交互詰問之方式，或不採一問一答，而使鑑定人得就鑑定之內容為完整敘述性之陳述，且應考量鑑定人之專家尊嚴等</w:t>
      </w:r>
      <w:r w:rsidRPr="000B2A94">
        <w:rPr>
          <w:rStyle w:val="aff1"/>
          <w:rFonts w:ascii="Times New Roman" w:hAnsi="Times New Roman"/>
          <w:color w:val="000000" w:themeColor="text1"/>
          <w:sz w:val="28"/>
          <w:szCs w:val="28"/>
        </w:rPr>
        <w:footnoteReference w:id="26"/>
      </w:r>
      <w:r w:rsidRPr="000B2A94">
        <w:rPr>
          <w:color w:val="000000" w:themeColor="text1"/>
        </w:rPr>
        <w:t>。惟有疑問者，若當事人就鑑定事項所為之詰問，若法院認惟仍有不足或無法據以認定事實時，法院可否依職權自為訊問鑑定人？按基於法院發現真實及保障訴訟當事人權益之考量，日本刑事訴訟規則第二百零一條即規定，審判者認有必要時，得隨時就鑑定事項自為訊問，即可知悉。</w:t>
      </w:r>
    </w:p>
    <w:p w:rsidR="00F956E8" w:rsidRPr="000B2A94" w:rsidRDefault="00F956E8" w:rsidP="00FE5680">
      <w:pPr>
        <w:pStyle w:val="4"/>
        <w:rPr>
          <w:color w:val="000000" w:themeColor="text1"/>
        </w:rPr>
      </w:pPr>
      <w:r w:rsidRPr="000B2A94">
        <w:rPr>
          <w:color w:val="000000" w:themeColor="text1"/>
        </w:rPr>
        <w:t>故可知，日本之刑事鑑定制度仍係沿襲傳統職權主義而設，但就訴訟之進行與鑑定結果之調查程序，尤其是在涉及當事人訴訟權之行使時，法院仍須進一步參考當事人之意思。就此而論，職權主義中若具有當事人進行主義之色彩，其運作上似更能避免實務運作上之各項缺失，但此時重點即在於制度間之調和與設計。</w:t>
      </w:r>
    </w:p>
    <w:p w:rsidR="00F956E8" w:rsidRPr="000B2A94" w:rsidRDefault="00F956E8" w:rsidP="00FE5680">
      <w:pPr>
        <w:pStyle w:val="4"/>
        <w:rPr>
          <w:color w:val="000000" w:themeColor="text1"/>
        </w:rPr>
      </w:pPr>
      <w:r w:rsidRPr="000B2A94">
        <w:rPr>
          <w:color w:val="000000" w:themeColor="text1"/>
        </w:rPr>
        <w:t>原則上有關鑑定人之選任與鑑定之程序，均與德國司法鑑定制度相近；法院得命有知識經驗者實施鑑定，由法官參酌當事人意見，本於裁量選任鑑定人。</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248" w:name="_Toc27399866"/>
      <w:r w:rsidRPr="000B2A94">
        <w:rPr>
          <w:rFonts w:ascii="Times New Roman" w:hAnsi="Times New Roman"/>
          <w:color w:val="000000" w:themeColor="text1"/>
        </w:rPr>
        <w:t>英國</w:t>
      </w:r>
      <w:bookmarkEnd w:id="248"/>
    </w:p>
    <w:p w:rsidR="00F956E8" w:rsidRPr="000B2A94" w:rsidRDefault="00F956E8" w:rsidP="00FE5680">
      <w:pPr>
        <w:pStyle w:val="32"/>
        <w:wordWrap w:val="0"/>
        <w:ind w:left="1361" w:firstLine="680"/>
        <w:rPr>
          <w:rFonts w:ascii="Times New Roman"/>
          <w:color w:val="000000" w:themeColor="text1"/>
        </w:rPr>
      </w:pPr>
      <w:r w:rsidRPr="000B2A94">
        <w:rPr>
          <w:rFonts w:ascii="Times New Roman"/>
          <w:color w:val="000000" w:themeColor="text1"/>
        </w:rPr>
        <w:lastRenderedPageBreak/>
        <w:t>英國國內事務部</w:t>
      </w:r>
      <w:r w:rsidR="00D9690C" w:rsidRPr="000B2A94">
        <w:rPr>
          <w:rFonts w:ascii="Times New Roman" w:hint="eastAsia"/>
          <w:color w:val="000000" w:themeColor="text1"/>
        </w:rPr>
        <w:t>（</w:t>
      </w:r>
      <w:r w:rsidR="00D9690C" w:rsidRPr="000B2A94">
        <w:rPr>
          <w:rFonts w:ascii="Times New Roman"/>
          <w:color w:val="000000" w:themeColor="text1"/>
        </w:rPr>
        <w:t>Home Office</w:t>
      </w:r>
      <w:r w:rsidR="00D9690C" w:rsidRPr="000B2A94">
        <w:rPr>
          <w:rFonts w:ascii="Times New Roman" w:hint="eastAsia"/>
          <w:color w:val="000000" w:themeColor="text1"/>
        </w:rPr>
        <w:t>）</w:t>
      </w:r>
      <w:r w:rsidRPr="000B2A94">
        <w:rPr>
          <w:rFonts w:ascii="Times New Roman"/>
          <w:color w:val="000000" w:themeColor="text1"/>
        </w:rPr>
        <w:t>轄下之鑑識科學監管局（</w:t>
      </w:r>
      <w:r w:rsidR="00D9690C" w:rsidRPr="000B2A94">
        <w:rPr>
          <w:rFonts w:ascii="Times New Roman"/>
          <w:color w:val="000000" w:themeColor="text1"/>
        </w:rPr>
        <w:t>Forensic Science Regulator,</w:t>
      </w:r>
      <w:r w:rsidRPr="000B2A94">
        <w:rPr>
          <w:rFonts w:ascii="Times New Roman"/>
          <w:color w:val="000000" w:themeColor="text1"/>
        </w:rPr>
        <w:t>FSR</w:t>
      </w:r>
      <w:r w:rsidR="00D9690C" w:rsidRPr="000B2A94">
        <w:rPr>
          <w:rFonts w:ascii="Times New Roman" w:hint="eastAsia"/>
          <w:color w:val="000000" w:themeColor="text1"/>
        </w:rPr>
        <w:t>）</w:t>
      </w:r>
      <w:r w:rsidRPr="000B2A94">
        <w:rPr>
          <w:rFonts w:ascii="Times New Roman"/>
          <w:color w:val="000000" w:themeColor="text1"/>
        </w:rPr>
        <w:t>詳列司法鑑定指引以及鑑定人檢驗作為之準則</w:t>
      </w:r>
      <w:r w:rsidR="00FE5680" w:rsidRPr="000B2A94">
        <w:rPr>
          <w:rStyle w:val="aff1"/>
          <w:rFonts w:ascii="Times New Roman"/>
          <w:color w:val="000000" w:themeColor="text1"/>
        </w:rPr>
        <w:footnoteReference w:id="27"/>
      </w:r>
      <w:r w:rsidR="00FE5680" w:rsidRPr="000B2A94">
        <w:rPr>
          <w:rFonts w:ascii="Times New Roman" w:hint="eastAsia"/>
          <w:color w:val="000000" w:themeColor="text1"/>
        </w:rPr>
        <w:t>。</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249" w:name="_Toc27399867"/>
      <w:r w:rsidRPr="000B2A94">
        <w:rPr>
          <w:rFonts w:ascii="Times New Roman" w:hAnsi="Times New Roman"/>
          <w:color w:val="000000" w:themeColor="text1"/>
        </w:rPr>
        <w:t>歐盟</w:t>
      </w:r>
      <w:bookmarkEnd w:id="249"/>
    </w:p>
    <w:p w:rsidR="00F956E8" w:rsidRPr="000B2A94" w:rsidRDefault="00F956E8" w:rsidP="00FE5680">
      <w:pPr>
        <w:pStyle w:val="4"/>
        <w:rPr>
          <w:color w:val="000000" w:themeColor="text1"/>
        </w:rPr>
      </w:pPr>
      <w:r w:rsidRPr="000B2A94">
        <w:rPr>
          <w:color w:val="000000" w:themeColor="text1"/>
        </w:rPr>
        <w:t>歐洲法庭科學研究網絡（European Network of Forensic Science Institute, ENFSI)公告證物鑑驗程序、品質管制方法，以及鑑定人員訓練等相關準則（Best Practice Manual)。</w:t>
      </w:r>
    </w:p>
    <w:p w:rsidR="00F956E8" w:rsidRPr="000B2A94" w:rsidRDefault="00F956E8" w:rsidP="00FE5680">
      <w:pPr>
        <w:pStyle w:val="4"/>
        <w:rPr>
          <w:color w:val="000000" w:themeColor="text1"/>
        </w:rPr>
      </w:pPr>
      <w:r w:rsidRPr="000B2A94">
        <w:rPr>
          <w:color w:val="000000" w:themeColor="text1"/>
        </w:rPr>
        <w:t>鑑識實驗室管理系統之運作應需符ISO/IEC 17025規範要求。</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250" w:name="_Toc27399868"/>
      <w:r w:rsidRPr="000B2A94">
        <w:rPr>
          <w:rFonts w:ascii="Times New Roman" w:hAnsi="Times New Roman"/>
          <w:color w:val="000000" w:themeColor="text1"/>
        </w:rPr>
        <w:t>荷蘭</w:t>
      </w:r>
      <w:bookmarkEnd w:id="250"/>
    </w:p>
    <w:p w:rsidR="00F956E8" w:rsidRPr="000B2A94" w:rsidRDefault="00F956E8" w:rsidP="006A0A4F">
      <w:pPr>
        <w:pStyle w:val="32"/>
        <w:ind w:left="1361" w:firstLine="680"/>
        <w:rPr>
          <w:color w:val="000000" w:themeColor="text1"/>
        </w:rPr>
      </w:pPr>
      <w:r w:rsidRPr="000B2A94">
        <w:rPr>
          <w:color w:val="000000" w:themeColor="text1"/>
        </w:rPr>
        <w:t>司法鑑定研究所（Netherlands Forensic Institute)係該國通過ISO/IEC 17025 認可之國家級鑑定機構，除辦理司法鑑定外，亦負責技術研究及技術轉移等業務，所屬鑑定人員均需培訓、考核，維持其適格性。</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251" w:name="_Toc27399869"/>
      <w:r w:rsidRPr="000B2A94">
        <w:rPr>
          <w:rFonts w:ascii="Times New Roman" w:hAnsi="Times New Roman"/>
          <w:color w:val="000000" w:themeColor="text1"/>
        </w:rPr>
        <w:t>澳大利亞、紐西蘭</w:t>
      </w:r>
      <w:bookmarkEnd w:id="251"/>
    </w:p>
    <w:p w:rsidR="00F956E8" w:rsidRPr="000B2A94" w:rsidRDefault="00F956E8" w:rsidP="00FE5680">
      <w:pPr>
        <w:pStyle w:val="32"/>
        <w:ind w:left="1361" w:firstLine="680"/>
        <w:rPr>
          <w:rFonts w:ascii="Times New Roman"/>
          <w:color w:val="000000" w:themeColor="text1"/>
        </w:rPr>
      </w:pPr>
      <w:r w:rsidRPr="000B2A94">
        <w:rPr>
          <w:rFonts w:ascii="Times New Roman"/>
          <w:color w:val="000000" w:themeColor="text1"/>
        </w:rPr>
        <w:t>司法鑑定委員會（</w:t>
      </w:r>
      <w:r w:rsidRPr="000B2A94">
        <w:rPr>
          <w:rFonts w:ascii="Times New Roman"/>
          <w:color w:val="000000" w:themeColor="text1"/>
        </w:rPr>
        <w:t>Forensic Science Community)</w:t>
      </w:r>
      <w:r w:rsidRPr="000B2A94">
        <w:rPr>
          <w:rFonts w:ascii="Times New Roman"/>
          <w:color w:val="000000" w:themeColor="text1"/>
        </w:rPr>
        <w:t>為該國政策制定之機構；而認證之鑑識實驗室，則由</w:t>
      </w:r>
      <w:r w:rsidRPr="000B2A94">
        <w:rPr>
          <w:rFonts w:ascii="Times New Roman"/>
          <w:color w:val="000000" w:themeColor="text1"/>
        </w:rPr>
        <w:t>Australia New Zealand Policing Advisory Agency(ANZPAA)</w:t>
      </w:r>
      <w:r w:rsidRPr="000B2A94">
        <w:rPr>
          <w:rFonts w:ascii="Times New Roman"/>
          <w:color w:val="000000" w:themeColor="text1"/>
        </w:rPr>
        <w:t>、</w:t>
      </w:r>
      <w:r w:rsidRPr="000B2A94">
        <w:rPr>
          <w:rFonts w:ascii="Times New Roman"/>
          <w:color w:val="000000" w:themeColor="text1"/>
        </w:rPr>
        <w:t>National Institute of Forensic Science (NIFS)</w:t>
      </w:r>
      <w:r w:rsidRPr="000B2A94">
        <w:rPr>
          <w:rFonts w:ascii="Times New Roman"/>
          <w:color w:val="000000" w:themeColor="text1"/>
        </w:rPr>
        <w:t>及</w:t>
      </w:r>
      <w:r w:rsidRPr="000B2A94">
        <w:rPr>
          <w:rFonts w:ascii="Times New Roman"/>
          <w:color w:val="000000" w:themeColor="text1"/>
        </w:rPr>
        <w:t xml:space="preserve">Senior Managers of Australia New Zealand Forensic Laboratories (SMANZFL) </w:t>
      </w:r>
      <w:r w:rsidRPr="000B2A94">
        <w:rPr>
          <w:rFonts w:ascii="Times New Roman"/>
          <w:color w:val="000000" w:themeColor="text1"/>
        </w:rPr>
        <w:t>等共同組成之機構</w:t>
      </w:r>
      <w:r w:rsidRPr="000B2A94">
        <w:rPr>
          <w:rFonts w:ascii="Times New Roman"/>
          <w:color w:val="000000" w:themeColor="text1"/>
        </w:rPr>
        <w:t xml:space="preserve">National Association of Testing Authorities (NATA) </w:t>
      </w:r>
      <w:r w:rsidRPr="000B2A94">
        <w:rPr>
          <w:rFonts w:ascii="Times New Roman"/>
          <w:color w:val="000000" w:themeColor="text1"/>
        </w:rPr>
        <w:t>，依</w:t>
      </w:r>
      <w:r w:rsidRPr="000B2A94">
        <w:rPr>
          <w:rFonts w:ascii="Times New Roman"/>
          <w:color w:val="000000" w:themeColor="text1"/>
        </w:rPr>
        <w:t>ISO/IEC 17025</w:t>
      </w:r>
      <w:r w:rsidRPr="000B2A94">
        <w:rPr>
          <w:rFonts w:ascii="Times New Roman"/>
          <w:color w:val="000000" w:themeColor="text1"/>
        </w:rPr>
        <w:t>國際標準規範，辦理符合性之認可評鑑。</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252" w:name="_Toc27399870"/>
      <w:r w:rsidRPr="000B2A94">
        <w:rPr>
          <w:rFonts w:ascii="Times New Roman" w:hAnsi="Times New Roman"/>
          <w:color w:val="000000" w:themeColor="text1"/>
        </w:rPr>
        <w:t>法國</w:t>
      </w:r>
      <w:bookmarkEnd w:id="252"/>
    </w:p>
    <w:p w:rsidR="00F956E8" w:rsidRPr="000B2A94" w:rsidRDefault="00F956E8" w:rsidP="00FE5680">
      <w:pPr>
        <w:pStyle w:val="32"/>
        <w:ind w:left="1361" w:firstLine="680"/>
        <w:rPr>
          <w:color w:val="000000" w:themeColor="text1"/>
        </w:rPr>
      </w:pPr>
      <w:r w:rsidRPr="000B2A94">
        <w:rPr>
          <w:color w:val="000000" w:themeColor="text1"/>
        </w:rPr>
        <w:lastRenderedPageBreak/>
        <w:t>司法</w:t>
      </w:r>
      <w:r w:rsidR="00FE5680" w:rsidRPr="000B2A94">
        <w:rPr>
          <w:color w:val="000000" w:themeColor="text1"/>
        </w:rPr>
        <w:t>鑑定人由最高法院和上訴法院遴選確認，名冊公布於最高法院網站</w:t>
      </w:r>
      <w:r w:rsidR="00FE5680" w:rsidRPr="000B2A94">
        <w:rPr>
          <w:rStyle w:val="aff1"/>
          <w:rFonts w:ascii="Times New Roman"/>
          <w:color w:val="000000" w:themeColor="text1"/>
        </w:rPr>
        <w:footnoteReference w:id="28"/>
      </w:r>
      <w:r w:rsidR="00FE5680" w:rsidRPr="000B2A94">
        <w:rPr>
          <w:rFonts w:hint="eastAsia"/>
          <w:color w:val="000000" w:themeColor="text1"/>
        </w:rPr>
        <w:t>。</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253" w:name="_Toc27399871"/>
      <w:r w:rsidRPr="000B2A94">
        <w:rPr>
          <w:rFonts w:ascii="Times New Roman" w:hAnsi="Times New Roman"/>
          <w:color w:val="000000" w:themeColor="text1"/>
        </w:rPr>
        <w:t>中國大陸</w:t>
      </w:r>
      <w:r w:rsidRPr="000B2A94">
        <w:rPr>
          <w:rStyle w:val="aff1"/>
          <w:rFonts w:ascii="Times New Roman" w:hAnsi="Times New Roman"/>
          <w:color w:val="000000" w:themeColor="text1"/>
        </w:rPr>
        <w:footnoteReference w:id="29"/>
      </w:r>
      <w:bookmarkEnd w:id="253"/>
    </w:p>
    <w:p w:rsidR="00F956E8" w:rsidRPr="000B2A94" w:rsidRDefault="00F956E8" w:rsidP="00CD496B">
      <w:pPr>
        <w:pStyle w:val="32"/>
        <w:ind w:left="1361" w:firstLine="680"/>
        <w:rPr>
          <w:color w:val="000000" w:themeColor="text1"/>
        </w:rPr>
      </w:pPr>
      <w:r w:rsidRPr="000B2A94">
        <w:rPr>
          <w:color w:val="000000" w:themeColor="text1"/>
        </w:rPr>
        <w:t>大陸法系國家對司法</w:t>
      </w:r>
      <w:r w:rsidR="00DF3985" w:rsidRPr="000B2A94">
        <w:rPr>
          <w:color w:val="000000" w:themeColor="text1"/>
        </w:rPr>
        <w:t>鑑定</w:t>
      </w:r>
      <w:r w:rsidRPr="000B2A94">
        <w:rPr>
          <w:color w:val="000000" w:themeColor="text1"/>
        </w:rPr>
        <w:t>機構實行統一集中式管理，各國都設置有司法</w:t>
      </w:r>
      <w:r w:rsidR="00DF3985" w:rsidRPr="000B2A94">
        <w:rPr>
          <w:color w:val="000000" w:themeColor="text1"/>
        </w:rPr>
        <w:t>鑑定</w:t>
      </w:r>
      <w:r w:rsidRPr="000B2A94">
        <w:rPr>
          <w:color w:val="000000" w:themeColor="text1"/>
        </w:rPr>
        <w:t>管理機構</w:t>
      </w:r>
      <w:r w:rsidR="00DF3985" w:rsidRPr="000B2A94">
        <w:rPr>
          <w:color w:val="000000" w:themeColor="text1"/>
        </w:rPr>
        <w:t>，</w:t>
      </w:r>
      <w:r w:rsidRPr="000B2A94">
        <w:rPr>
          <w:color w:val="000000" w:themeColor="text1"/>
        </w:rPr>
        <w:t>而司法</w:t>
      </w:r>
      <w:r w:rsidR="00DF3985" w:rsidRPr="000B2A94">
        <w:rPr>
          <w:color w:val="000000" w:themeColor="text1"/>
        </w:rPr>
        <w:t>鑑定</w:t>
      </w:r>
      <w:r w:rsidRPr="000B2A94">
        <w:rPr>
          <w:color w:val="000000" w:themeColor="text1"/>
        </w:rPr>
        <w:t>管理制度主要有以下特點：</w:t>
      </w:r>
    </w:p>
    <w:p w:rsidR="00F956E8" w:rsidRPr="000B2A94" w:rsidRDefault="00F956E8" w:rsidP="00F956E8">
      <w:pPr>
        <w:pStyle w:val="32"/>
        <w:ind w:left="1361" w:firstLine="680"/>
        <w:rPr>
          <w:rFonts w:ascii="Times New Roman"/>
          <w:color w:val="000000" w:themeColor="text1"/>
        </w:rPr>
      </w:pPr>
      <w:r w:rsidRPr="000B2A94">
        <w:rPr>
          <w:rFonts w:ascii="Times New Roman"/>
          <w:color w:val="000000" w:themeColor="text1"/>
        </w:rPr>
        <w:t>在管理模式上</w:t>
      </w:r>
      <w:r w:rsidR="00DF3985" w:rsidRPr="000B2A94">
        <w:rPr>
          <w:rFonts w:ascii="Times New Roman"/>
          <w:color w:val="000000" w:themeColor="text1"/>
        </w:rPr>
        <w:t>，</w:t>
      </w:r>
      <w:r w:rsidRPr="000B2A94">
        <w:rPr>
          <w:rFonts w:ascii="Times New Roman"/>
          <w:color w:val="000000" w:themeColor="text1"/>
        </w:rPr>
        <w:t>大陸法系國家司法</w:t>
      </w:r>
      <w:r w:rsidR="00DF3985" w:rsidRPr="000B2A94">
        <w:rPr>
          <w:rFonts w:ascii="Times New Roman"/>
          <w:color w:val="000000" w:themeColor="text1"/>
        </w:rPr>
        <w:t>鑑定</w:t>
      </w:r>
      <w:r w:rsidRPr="000B2A94">
        <w:rPr>
          <w:rFonts w:ascii="Times New Roman"/>
          <w:color w:val="000000" w:themeColor="text1"/>
        </w:rPr>
        <w:t>管理體制主要是以政府管理為主；在管理主體架構上</w:t>
      </w:r>
      <w:r w:rsidR="00DF3985" w:rsidRPr="000B2A94">
        <w:rPr>
          <w:rFonts w:ascii="Times New Roman"/>
          <w:color w:val="000000" w:themeColor="text1"/>
        </w:rPr>
        <w:t>，</w:t>
      </w:r>
      <w:r w:rsidRPr="000B2A94">
        <w:rPr>
          <w:rFonts w:ascii="Times New Roman"/>
          <w:color w:val="000000" w:themeColor="text1"/>
        </w:rPr>
        <w:t>一般有管理政策制定者、主管機關和統一認定評估機構。如德國司法部是主管機關，其國內的大學法醫研究所則接受指定進行</w:t>
      </w:r>
      <w:r w:rsidR="00DF3985" w:rsidRPr="000B2A94">
        <w:rPr>
          <w:rFonts w:ascii="Times New Roman"/>
          <w:color w:val="000000" w:themeColor="text1"/>
        </w:rPr>
        <w:t>鑑定</w:t>
      </w:r>
      <w:r w:rsidRPr="000B2A94">
        <w:rPr>
          <w:rFonts w:ascii="Times New Roman"/>
          <w:color w:val="000000" w:themeColor="text1"/>
        </w:rPr>
        <w:t>；在管理內容上，主要是</w:t>
      </w:r>
      <w:r w:rsidR="00DF3985" w:rsidRPr="000B2A94">
        <w:rPr>
          <w:rFonts w:ascii="Times New Roman"/>
          <w:color w:val="000000" w:themeColor="text1"/>
        </w:rPr>
        <w:t>鑑定</w:t>
      </w:r>
      <w:r w:rsidRPr="000B2A94">
        <w:rPr>
          <w:rFonts w:ascii="Times New Roman"/>
          <w:color w:val="000000" w:themeColor="text1"/>
        </w:rPr>
        <w:t>人名冊制度，有</w:t>
      </w:r>
      <w:r w:rsidR="00DF3985" w:rsidRPr="000B2A94">
        <w:rPr>
          <w:rFonts w:ascii="Times New Roman"/>
          <w:color w:val="000000" w:themeColor="text1"/>
        </w:rPr>
        <w:t>鑑定</w:t>
      </w:r>
      <w:r w:rsidRPr="000B2A94">
        <w:rPr>
          <w:rFonts w:ascii="Times New Roman"/>
          <w:color w:val="000000" w:themeColor="text1"/>
        </w:rPr>
        <w:t>機構的評估認定制度，有統一的技術標準和一些資料庫可供使用。典型的</w:t>
      </w:r>
      <w:r w:rsidR="00DF3985" w:rsidRPr="000B2A94">
        <w:rPr>
          <w:rFonts w:ascii="Times New Roman"/>
          <w:color w:val="000000" w:themeColor="text1"/>
        </w:rPr>
        <w:t>鑑定</w:t>
      </w:r>
      <w:r w:rsidRPr="000B2A94">
        <w:rPr>
          <w:rFonts w:ascii="Times New Roman"/>
          <w:color w:val="000000" w:themeColor="text1"/>
        </w:rPr>
        <w:t>人名冊制當屬法國、義大利、德國、日本也有類似規定。</w:t>
      </w:r>
    </w:p>
    <w:p w:rsidR="00F956E8" w:rsidRPr="000B2A94" w:rsidRDefault="00833BFB" w:rsidP="00CD496B">
      <w:pPr>
        <w:pStyle w:val="4"/>
        <w:rPr>
          <w:color w:val="000000" w:themeColor="text1"/>
        </w:rPr>
      </w:pPr>
      <w:r w:rsidRPr="000B2A94">
        <w:rPr>
          <w:color w:val="000000" w:themeColor="text1"/>
        </w:rPr>
        <w:t>大陸法系國家司法</w:t>
      </w:r>
      <w:r w:rsidR="00DF3985" w:rsidRPr="000B2A94">
        <w:rPr>
          <w:color w:val="000000" w:themeColor="text1"/>
        </w:rPr>
        <w:t>鑑定</w:t>
      </w:r>
      <w:r w:rsidRPr="000B2A94">
        <w:rPr>
          <w:color w:val="000000" w:themeColor="text1"/>
        </w:rPr>
        <w:t>管理體制的內容主要體現</w:t>
      </w:r>
      <w:r w:rsidRPr="000B2A94">
        <w:rPr>
          <w:rFonts w:hint="eastAsia"/>
          <w:color w:val="000000" w:themeColor="text1"/>
        </w:rPr>
        <w:t>於</w:t>
      </w:r>
      <w:r w:rsidRPr="000B2A94">
        <w:rPr>
          <w:color w:val="000000" w:themeColor="text1"/>
        </w:rPr>
        <w:t>以下</w:t>
      </w:r>
      <w:r w:rsidR="00F956E8" w:rsidRPr="000B2A94">
        <w:rPr>
          <w:color w:val="000000" w:themeColor="text1"/>
        </w:rPr>
        <w:t>方面：</w:t>
      </w:r>
    </w:p>
    <w:p w:rsidR="00F956E8" w:rsidRPr="000B2A94" w:rsidRDefault="00DF3985" w:rsidP="00CD496B">
      <w:pPr>
        <w:pStyle w:val="5"/>
        <w:rPr>
          <w:color w:val="000000" w:themeColor="text1"/>
        </w:rPr>
      </w:pPr>
      <w:r w:rsidRPr="000B2A94">
        <w:rPr>
          <w:color w:val="000000" w:themeColor="text1"/>
        </w:rPr>
        <w:t>鑑定</w:t>
      </w:r>
      <w:r w:rsidR="00F956E8" w:rsidRPr="000B2A94">
        <w:rPr>
          <w:color w:val="000000" w:themeColor="text1"/>
        </w:rPr>
        <w:t>人的選任及</w:t>
      </w:r>
      <w:r w:rsidRPr="000B2A94">
        <w:rPr>
          <w:color w:val="000000" w:themeColor="text1"/>
        </w:rPr>
        <w:t>鑑定</w:t>
      </w:r>
      <w:r w:rsidR="00F956E8" w:rsidRPr="000B2A94">
        <w:rPr>
          <w:color w:val="000000" w:themeColor="text1"/>
        </w:rPr>
        <w:t>資格的管理</w:t>
      </w:r>
    </w:p>
    <w:p w:rsidR="00F956E8" w:rsidRPr="000B2A94" w:rsidRDefault="00F956E8" w:rsidP="00CD496B">
      <w:pPr>
        <w:pStyle w:val="6"/>
        <w:rPr>
          <w:color w:val="000000" w:themeColor="text1"/>
        </w:rPr>
      </w:pPr>
      <w:r w:rsidRPr="000B2A94">
        <w:rPr>
          <w:color w:val="000000" w:themeColor="text1"/>
        </w:rPr>
        <w:t>大陸法系國家的</w:t>
      </w:r>
      <w:r w:rsidR="00DF3985" w:rsidRPr="000B2A94">
        <w:rPr>
          <w:color w:val="000000" w:themeColor="text1"/>
        </w:rPr>
        <w:t>鑑定</w:t>
      </w:r>
      <w:r w:rsidRPr="000B2A94">
        <w:rPr>
          <w:color w:val="000000" w:themeColor="text1"/>
        </w:rPr>
        <w:t>人制度是在「</w:t>
      </w:r>
      <w:r w:rsidR="00DF3985" w:rsidRPr="000B2A94">
        <w:rPr>
          <w:color w:val="000000" w:themeColor="text1"/>
        </w:rPr>
        <w:t>鑑定</w:t>
      </w:r>
      <w:r w:rsidRPr="000B2A94">
        <w:rPr>
          <w:color w:val="000000" w:themeColor="text1"/>
        </w:rPr>
        <w:t>權主義」原則下建立的。大陸法系國家將</w:t>
      </w:r>
      <w:r w:rsidR="00DF3985" w:rsidRPr="000B2A94">
        <w:rPr>
          <w:color w:val="000000" w:themeColor="text1"/>
        </w:rPr>
        <w:t>鑑定</w:t>
      </w:r>
      <w:r w:rsidRPr="000B2A94">
        <w:rPr>
          <w:color w:val="000000" w:themeColor="text1"/>
        </w:rPr>
        <w:t>人視為法院查明案件真實情況的一種證據收集手段，因而</w:t>
      </w:r>
      <w:r w:rsidR="00DF3985" w:rsidRPr="000B2A94">
        <w:rPr>
          <w:color w:val="000000" w:themeColor="text1"/>
        </w:rPr>
        <w:t>鑑定</w:t>
      </w:r>
      <w:r w:rsidRPr="000B2A94">
        <w:rPr>
          <w:color w:val="000000" w:themeColor="text1"/>
        </w:rPr>
        <w:t>人應當對法院負責，為法院審理案件服務。因而被稱為「科學的法官」和「法官的輔助人」。</w:t>
      </w:r>
    </w:p>
    <w:p w:rsidR="00F956E8" w:rsidRPr="000B2A94" w:rsidRDefault="00F956E8" w:rsidP="00CD496B">
      <w:pPr>
        <w:pStyle w:val="6"/>
        <w:rPr>
          <w:color w:val="000000" w:themeColor="text1"/>
        </w:rPr>
      </w:pPr>
      <w:r w:rsidRPr="000B2A94">
        <w:rPr>
          <w:color w:val="000000" w:themeColor="text1"/>
        </w:rPr>
        <w:t>大陸法系國家司法</w:t>
      </w:r>
      <w:r w:rsidR="00DF3985" w:rsidRPr="000B2A94">
        <w:rPr>
          <w:color w:val="000000" w:themeColor="text1"/>
        </w:rPr>
        <w:t>鑑定</w:t>
      </w:r>
      <w:r w:rsidRPr="000B2A94">
        <w:rPr>
          <w:color w:val="000000" w:themeColor="text1"/>
        </w:rPr>
        <w:t>人的資格確定遵循「法定主義為主，任意主義為輔」的原則。</w:t>
      </w:r>
      <w:r w:rsidR="00DF3985" w:rsidRPr="000B2A94">
        <w:rPr>
          <w:color w:val="000000" w:themeColor="text1"/>
        </w:rPr>
        <w:lastRenderedPageBreak/>
        <w:t>鑑定</w:t>
      </w:r>
      <w:r w:rsidRPr="000B2A94">
        <w:rPr>
          <w:color w:val="000000" w:themeColor="text1"/>
        </w:rPr>
        <w:t>人或機構是由法律直接規定的，一般是在法官或者</w:t>
      </w:r>
      <w:r w:rsidR="00DF3985" w:rsidRPr="000B2A94">
        <w:rPr>
          <w:color w:val="000000" w:themeColor="text1"/>
        </w:rPr>
        <w:t>鑑定</w:t>
      </w:r>
      <w:r w:rsidRPr="000B2A94">
        <w:rPr>
          <w:color w:val="000000" w:themeColor="text1"/>
        </w:rPr>
        <w:t>管理機關的指導下進行</w:t>
      </w:r>
      <w:r w:rsidR="00DF3985" w:rsidRPr="000B2A94">
        <w:rPr>
          <w:color w:val="000000" w:themeColor="text1"/>
        </w:rPr>
        <w:t>鑑定</w:t>
      </w:r>
      <w:r w:rsidRPr="000B2A94">
        <w:rPr>
          <w:color w:val="000000" w:themeColor="text1"/>
        </w:rPr>
        <w:t>活動的。</w:t>
      </w:r>
      <w:r w:rsidR="00DF3985" w:rsidRPr="000B2A94">
        <w:rPr>
          <w:color w:val="000000" w:themeColor="text1"/>
        </w:rPr>
        <w:t>鑑定</w:t>
      </w:r>
      <w:r w:rsidRPr="000B2A94">
        <w:rPr>
          <w:color w:val="000000" w:themeColor="text1"/>
        </w:rPr>
        <w:t>權只有某些在某領域內的專家在通過相關的資格認證，經過法官或者預審法官的選定以後方可享有。</w:t>
      </w:r>
      <w:r w:rsidR="00DF3985" w:rsidRPr="000B2A94">
        <w:rPr>
          <w:color w:val="000000" w:themeColor="text1"/>
        </w:rPr>
        <w:t>鑑定</w:t>
      </w:r>
      <w:r w:rsidRPr="000B2A94">
        <w:rPr>
          <w:color w:val="000000" w:themeColor="text1"/>
        </w:rPr>
        <w:t>人在接受</w:t>
      </w:r>
      <w:r w:rsidR="00DF3985" w:rsidRPr="000B2A94">
        <w:rPr>
          <w:color w:val="000000" w:themeColor="text1"/>
        </w:rPr>
        <w:t>鑑定</w:t>
      </w:r>
      <w:r w:rsidRPr="000B2A94">
        <w:rPr>
          <w:color w:val="000000" w:themeColor="text1"/>
        </w:rPr>
        <w:t>工作和完成</w:t>
      </w:r>
      <w:r w:rsidR="00DF3985" w:rsidRPr="000B2A94">
        <w:rPr>
          <w:color w:val="000000" w:themeColor="text1"/>
        </w:rPr>
        <w:t>鑑定</w:t>
      </w:r>
      <w:r w:rsidRPr="000B2A94">
        <w:rPr>
          <w:color w:val="000000" w:themeColor="text1"/>
        </w:rPr>
        <w:t>之間，還要接受法官的審查，以確保其有能力完成對本案件需要</w:t>
      </w:r>
      <w:r w:rsidR="00DF3985" w:rsidRPr="000B2A94">
        <w:rPr>
          <w:color w:val="000000" w:themeColor="text1"/>
        </w:rPr>
        <w:t>鑑定</w:t>
      </w:r>
      <w:r w:rsidRPr="000B2A94">
        <w:rPr>
          <w:color w:val="000000" w:themeColor="text1"/>
        </w:rPr>
        <w:t>的事實部分的</w:t>
      </w:r>
      <w:r w:rsidR="00DF3985" w:rsidRPr="000B2A94">
        <w:rPr>
          <w:color w:val="000000" w:themeColor="text1"/>
        </w:rPr>
        <w:t>鑑定</w:t>
      </w:r>
      <w:r w:rsidRPr="000B2A94">
        <w:rPr>
          <w:color w:val="000000" w:themeColor="text1"/>
        </w:rPr>
        <w:t>。從而保證案件審理的公正。在特殊情況下，</w:t>
      </w:r>
      <w:r w:rsidR="00DF3985" w:rsidRPr="000B2A94">
        <w:rPr>
          <w:color w:val="000000" w:themeColor="text1"/>
        </w:rPr>
        <w:t>鑑定</w:t>
      </w:r>
      <w:r w:rsidRPr="000B2A94">
        <w:rPr>
          <w:color w:val="000000" w:themeColor="text1"/>
        </w:rPr>
        <w:t>人可以由當事人自己選定。</w:t>
      </w:r>
    </w:p>
    <w:p w:rsidR="00F956E8" w:rsidRPr="000B2A94" w:rsidRDefault="00F956E8" w:rsidP="00CD496B">
      <w:pPr>
        <w:pStyle w:val="6"/>
        <w:rPr>
          <w:color w:val="000000" w:themeColor="text1"/>
        </w:rPr>
      </w:pPr>
      <w:r w:rsidRPr="000B2A94">
        <w:rPr>
          <w:color w:val="000000" w:themeColor="text1"/>
        </w:rPr>
        <w:t>大陸法系國家司法</w:t>
      </w:r>
      <w:r w:rsidR="00DF3985" w:rsidRPr="000B2A94">
        <w:rPr>
          <w:color w:val="000000" w:themeColor="text1"/>
        </w:rPr>
        <w:t>鑑定</w:t>
      </w:r>
      <w:r w:rsidRPr="000B2A94">
        <w:rPr>
          <w:color w:val="000000" w:themeColor="text1"/>
        </w:rPr>
        <w:t>人的</w:t>
      </w:r>
      <w:r w:rsidR="00DF3985" w:rsidRPr="000B2A94">
        <w:rPr>
          <w:color w:val="000000" w:themeColor="text1"/>
        </w:rPr>
        <w:t>鑑定</w:t>
      </w:r>
      <w:r w:rsidRPr="000B2A94">
        <w:rPr>
          <w:color w:val="000000" w:themeColor="text1"/>
        </w:rPr>
        <w:t>權一般在法官和審判官認為有</w:t>
      </w:r>
      <w:r w:rsidR="00DF3985" w:rsidRPr="000B2A94">
        <w:rPr>
          <w:color w:val="000000" w:themeColor="text1"/>
        </w:rPr>
        <w:t>鑑定</w:t>
      </w:r>
      <w:r w:rsidRPr="000B2A94">
        <w:rPr>
          <w:color w:val="000000" w:themeColor="text1"/>
        </w:rPr>
        <w:t>需要時方可啟動。</w:t>
      </w:r>
      <w:r w:rsidR="00DF3985" w:rsidRPr="000B2A94">
        <w:rPr>
          <w:color w:val="000000" w:themeColor="text1"/>
        </w:rPr>
        <w:t>鑑定</w:t>
      </w:r>
      <w:r w:rsidRPr="000B2A94">
        <w:rPr>
          <w:color w:val="000000" w:themeColor="text1"/>
        </w:rPr>
        <w:t>權的啟動最早可以在案件的偵查階段，也有在案件的審判階段根據需要決定進行。如</w:t>
      </w:r>
      <w:r w:rsidR="00DF3985" w:rsidRPr="000B2A94">
        <w:rPr>
          <w:rFonts w:hint="eastAsia"/>
          <w:color w:val="000000" w:themeColor="text1"/>
        </w:rPr>
        <w:t>「</w:t>
      </w:r>
      <w:r w:rsidR="00DF3985" w:rsidRPr="000B2A94">
        <w:rPr>
          <w:color w:val="000000" w:themeColor="text1"/>
        </w:rPr>
        <w:t>法國刑事訴訟法典</w:t>
      </w:r>
      <w:r w:rsidR="00DF3985" w:rsidRPr="000B2A94">
        <w:rPr>
          <w:rFonts w:hint="eastAsia"/>
          <w:color w:val="000000" w:themeColor="text1"/>
        </w:rPr>
        <w:t>」</w:t>
      </w:r>
      <w:r w:rsidRPr="000B2A94">
        <w:rPr>
          <w:color w:val="000000" w:themeColor="text1"/>
        </w:rPr>
        <w:t>第</w:t>
      </w:r>
      <w:r w:rsidR="00DF3985" w:rsidRPr="000B2A94">
        <w:rPr>
          <w:color w:val="000000" w:themeColor="text1"/>
        </w:rPr>
        <w:t>156</w:t>
      </w:r>
      <w:r w:rsidRPr="000B2A94">
        <w:rPr>
          <w:color w:val="000000" w:themeColor="text1"/>
        </w:rPr>
        <w:t>條規定</w:t>
      </w:r>
      <w:r w:rsidR="00DF3985" w:rsidRPr="000B2A94">
        <w:rPr>
          <w:rFonts w:hint="eastAsia"/>
          <w:color w:val="000000" w:themeColor="text1"/>
        </w:rPr>
        <w:t>：</w:t>
      </w:r>
      <w:r w:rsidRPr="000B2A94">
        <w:rPr>
          <w:color w:val="000000" w:themeColor="text1"/>
        </w:rPr>
        <w:t>「任何預審法官或審判法官</w:t>
      </w:r>
      <w:r w:rsidR="00DF3985" w:rsidRPr="000B2A94">
        <w:rPr>
          <w:color w:val="000000" w:themeColor="text1"/>
        </w:rPr>
        <w:t>，</w:t>
      </w:r>
      <w:r w:rsidRPr="000B2A94">
        <w:rPr>
          <w:color w:val="000000" w:themeColor="text1"/>
        </w:rPr>
        <w:t>在案件出現技術方面的問題時</w:t>
      </w:r>
      <w:r w:rsidR="00DF3985" w:rsidRPr="000B2A94">
        <w:rPr>
          <w:rFonts w:hint="eastAsia"/>
          <w:color w:val="000000" w:themeColor="text1"/>
        </w:rPr>
        <w:t>，</w:t>
      </w:r>
      <w:r w:rsidRPr="000B2A94">
        <w:rPr>
          <w:color w:val="000000" w:themeColor="text1"/>
        </w:rPr>
        <w:t>可以根據檢察院的要求</w:t>
      </w:r>
      <w:r w:rsidR="00DF3985" w:rsidRPr="000B2A94">
        <w:rPr>
          <w:color w:val="000000" w:themeColor="text1"/>
        </w:rPr>
        <w:t>，</w:t>
      </w:r>
      <w:r w:rsidRPr="000B2A94">
        <w:rPr>
          <w:color w:val="000000" w:themeColor="text1"/>
        </w:rPr>
        <w:t>或者依自己的職權</w:t>
      </w:r>
      <w:r w:rsidR="00DF3985" w:rsidRPr="000B2A94">
        <w:rPr>
          <w:rFonts w:hint="eastAsia"/>
          <w:color w:val="000000" w:themeColor="text1"/>
        </w:rPr>
        <w:t>，</w:t>
      </w:r>
      <w:r w:rsidRPr="000B2A94">
        <w:rPr>
          <w:color w:val="000000" w:themeColor="text1"/>
        </w:rPr>
        <w:t>或者依一方當事人的請求需遵循中立原則。司法</w:t>
      </w:r>
      <w:r w:rsidR="00DF3985" w:rsidRPr="000B2A94">
        <w:rPr>
          <w:color w:val="000000" w:themeColor="text1"/>
        </w:rPr>
        <w:t>鑑定</w:t>
      </w:r>
      <w:r w:rsidRPr="000B2A94">
        <w:rPr>
          <w:color w:val="000000" w:themeColor="text1"/>
        </w:rPr>
        <w:t>人進命令進行</w:t>
      </w:r>
      <w:r w:rsidR="00DF3985" w:rsidRPr="000B2A94">
        <w:rPr>
          <w:color w:val="000000" w:themeColor="text1"/>
        </w:rPr>
        <w:t>鑑定</w:t>
      </w:r>
      <w:r w:rsidRPr="000B2A94">
        <w:rPr>
          <w:color w:val="000000" w:themeColor="text1"/>
        </w:rPr>
        <w:t>。」</w:t>
      </w:r>
    </w:p>
    <w:p w:rsidR="00F956E8" w:rsidRPr="000B2A94" w:rsidRDefault="00F956E8" w:rsidP="00CD496B">
      <w:pPr>
        <w:pStyle w:val="6"/>
        <w:rPr>
          <w:color w:val="000000" w:themeColor="text1"/>
        </w:rPr>
      </w:pPr>
      <w:r w:rsidRPr="000B2A94">
        <w:rPr>
          <w:color w:val="000000" w:themeColor="text1"/>
        </w:rPr>
        <w:t>大陸法系國家的司法</w:t>
      </w:r>
      <w:r w:rsidR="00DF3985" w:rsidRPr="000B2A94">
        <w:rPr>
          <w:color w:val="000000" w:themeColor="text1"/>
        </w:rPr>
        <w:t>鑑定</w:t>
      </w:r>
      <w:r w:rsidRPr="000B2A94">
        <w:rPr>
          <w:color w:val="000000" w:themeColor="text1"/>
        </w:rPr>
        <w:t>人或者機構在</w:t>
      </w:r>
      <w:r w:rsidR="00DF3985" w:rsidRPr="000B2A94">
        <w:rPr>
          <w:color w:val="000000" w:themeColor="text1"/>
        </w:rPr>
        <w:t>鑑定</w:t>
      </w:r>
      <w:r w:rsidRPr="000B2A94">
        <w:rPr>
          <w:color w:val="000000" w:themeColor="text1"/>
        </w:rPr>
        <w:t>中需遵循中立原則。司法</w:t>
      </w:r>
      <w:r w:rsidR="00DF3985" w:rsidRPr="000B2A94">
        <w:rPr>
          <w:color w:val="000000" w:themeColor="text1"/>
        </w:rPr>
        <w:t>鑑定</w:t>
      </w:r>
      <w:r w:rsidRPr="000B2A94">
        <w:rPr>
          <w:color w:val="000000" w:themeColor="text1"/>
        </w:rPr>
        <w:t>人進行</w:t>
      </w:r>
      <w:r w:rsidR="00DF3985" w:rsidRPr="000B2A94">
        <w:rPr>
          <w:color w:val="000000" w:themeColor="text1"/>
        </w:rPr>
        <w:t>鑑定</w:t>
      </w:r>
      <w:r w:rsidRPr="000B2A94">
        <w:rPr>
          <w:color w:val="000000" w:themeColor="text1"/>
        </w:rPr>
        <w:t>活動是法官根據需要決定的，不依賴于案件的當事人，當事人可以就</w:t>
      </w:r>
      <w:r w:rsidR="00DF3985" w:rsidRPr="000B2A94">
        <w:rPr>
          <w:color w:val="000000" w:themeColor="text1"/>
        </w:rPr>
        <w:t>鑑定</w:t>
      </w:r>
      <w:r w:rsidRPr="000B2A94">
        <w:rPr>
          <w:color w:val="000000" w:themeColor="text1"/>
        </w:rPr>
        <w:t>人的中立問題申請</w:t>
      </w:r>
      <w:r w:rsidR="00DF3985" w:rsidRPr="000B2A94">
        <w:rPr>
          <w:color w:val="000000" w:themeColor="text1"/>
        </w:rPr>
        <w:t>鑑定</w:t>
      </w:r>
      <w:r w:rsidRPr="000B2A94">
        <w:rPr>
          <w:color w:val="000000" w:themeColor="text1"/>
        </w:rPr>
        <w:t>人回避。同時</w:t>
      </w:r>
      <w:r w:rsidR="00DF3985" w:rsidRPr="000B2A94">
        <w:rPr>
          <w:color w:val="000000" w:themeColor="text1"/>
        </w:rPr>
        <w:t>鑑定</w:t>
      </w:r>
      <w:r w:rsidRPr="000B2A94">
        <w:rPr>
          <w:color w:val="000000" w:themeColor="text1"/>
        </w:rPr>
        <w:t>人雖然接受法官的指定工作，但也不是國家司法機關工作人員，不享有司法機關工作人員的司法豁免權。</w:t>
      </w:r>
      <w:r w:rsidR="00DF3985" w:rsidRPr="000B2A94">
        <w:rPr>
          <w:color w:val="000000" w:themeColor="text1"/>
        </w:rPr>
        <w:t>鑑定</w:t>
      </w:r>
      <w:r w:rsidRPr="000B2A94">
        <w:rPr>
          <w:color w:val="000000" w:themeColor="text1"/>
        </w:rPr>
        <w:t>人僅僅是為了查清案件的事實，便於審理而進行</w:t>
      </w:r>
      <w:r w:rsidR="00DF3985" w:rsidRPr="000B2A94">
        <w:rPr>
          <w:color w:val="000000" w:themeColor="text1"/>
        </w:rPr>
        <w:t>鑑定</w:t>
      </w:r>
      <w:r w:rsidRPr="000B2A94">
        <w:rPr>
          <w:color w:val="000000" w:themeColor="text1"/>
        </w:rPr>
        <w:t>工作的。</w:t>
      </w:r>
    </w:p>
    <w:p w:rsidR="00F956E8" w:rsidRPr="000B2A94" w:rsidRDefault="00DF3985" w:rsidP="00CD496B">
      <w:pPr>
        <w:pStyle w:val="5"/>
        <w:rPr>
          <w:color w:val="000000" w:themeColor="text1"/>
        </w:rPr>
      </w:pPr>
      <w:r w:rsidRPr="000B2A94">
        <w:rPr>
          <w:rFonts w:hint="eastAsia"/>
          <w:color w:val="000000" w:themeColor="text1"/>
        </w:rPr>
        <w:t>鑑</w:t>
      </w:r>
      <w:r w:rsidR="00F956E8" w:rsidRPr="000B2A94">
        <w:rPr>
          <w:color w:val="000000" w:themeColor="text1"/>
        </w:rPr>
        <w:t>定人權利與義務的管理</w:t>
      </w:r>
    </w:p>
    <w:p w:rsidR="00F956E8" w:rsidRPr="000B2A94" w:rsidRDefault="00DF3985" w:rsidP="00CD496B">
      <w:pPr>
        <w:pStyle w:val="6"/>
        <w:rPr>
          <w:color w:val="000000" w:themeColor="text1"/>
        </w:rPr>
      </w:pPr>
      <w:r w:rsidRPr="000B2A94">
        <w:rPr>
          <w:color w:val="000000" w:themeColor="text1"/>
        </w:rPr>
        <w:lastRenderedPageBreak/>
        <w:t>大陸法系國家司法鑑定人的訴訟地位不同</w:t>
      </w:r>
      <w:r w:rsidRPr="000B2A94">
        <w:rPr>
          <w:rFonts w:hint="eastAsia"/>
          <w:color w:val="000000" w:themeColor="text1"/>
        </w:rPr>
        <w:t>於</w:t>
      </w:r>
      <w:r w:rsidRPr="000B2A94">
        <w:rPr>
          <w:color w:val="000000" w:themeColor="text1"/>
        </w:rPr>
        <w:t>證人但同時適用證人的有關規定。大陸法系國家一般都賦予司法</w:t>
      </w:r>
      <w:r w:rsidRPr="000B2A94">
        <w:rPr>
          <w:rFonts w:hint="eastAsia"/>
          <w:color w:val="000000" w:themeColor="text1"/>
        </w:rPr>
        <w:t>鑑</w:t>
      </w:r>
      <w:r w:rsidR="00F956E8" w:rsidRPr="000B2A94">
        <w:rPr>
          <w:color w:val="000000" w:themeColor="text1"/>
        </w:rPr>
        <w:t>定人比證人更高的地位。為了保證訴訟活動的正常進行，大陸法系國家在賦予</w:t>
      </w:r>
      <w:r w:rsidRPr="000B2A94">
        <w:rPr>
          <w:color w:val="000000" w:themeColor="text1"/>
        </w:rPr>
        <w:t>鑑定</w:t>
      </w:r>
      <w:r w:rsidR="00F956E8" w:rsidRPr="000B2A94">
        <w:rPr>
          <w:color w:val="000000" w:themeColor="text1"/>
        </w:rPr>
        <w:t>人一定訴訟權利的同時</w:t>
      </w:r>
      <w:r w:rsidRPr="000B2A94">
        <w:rPr>
          <w:color w:val="000000" w:themeColor="text1"/>
        </w:rPr>
        <w:t>，</w:t>
      </w:r>
      <w:r w:rsidR="00F956E8" w:rsidRPr="000B2A94">
        <w:rPr>
          <w:color w:val="000000" w:themeColor="text1"/>
        </w:rPr>
        <w:t>也規定了</w:t>
      </w:r>
      <w:r w:rsidRPr="000B2A94">
        <w:rPr>
          <w:color w:val="000000" w:themeColor="text1"/>
        </w:rPr>
        <w:t>鑑定</w:t>
      </w:r>
      <w:r w:rsidR="00F956E8" w:rsidRPr="000B2A94">
        <w:rPr>
          <w:color w:val="000000" w:themeColor="text1"/>
        </w:rPr>
        <w:t>人應當承擔相應的訴訟義務。但是不同的國家對</w:t>
      </w:r>
      <w:r w:rsidRPr="000B2A94">
        <w:rPr>
          <w:color w:val="000000" w:themeColor="text1"/>
        </w:rPr>
        <w:t>鑑定</w:t>
      </w:r>
      <w:r w:rsidR="00F956E8" w:rsidRPr="000B2A94">
        <w:rPr>
          <w:color w:val="000000" w:themeColor="text1"/>
        </w:rPr>
        <w:t>人的權利、義務規定的重點有所不同。概括起來</w:t>
      </w:r>
      <w:r w:rsidRPr="000B2A94">
        <w:rPr>
          <w:color w:val="000000" w:themeColor="text1"/>
        </w:rPr>
        <w:t>，</w:t>
      </w:r>
      <w:r w:rsidR="00F956E8" w:rsidRPr="000B2A94">
        <w:rPr>
          <w:color w:val="000000" w:themeColor="text1"/>
        </w:rPr>
        <w:t>在大陸法系國家</w:t>
      </w:r>
      <w:r w:rsidRPr="000B2A94">
        <w:rPr>
          <w:color w:val="000000" w:themeColor="text1"/>
        </w:rPr>
        <w:t>鑑定</w:t>
      </w:r>
      <w:r w:rsidR="00F956E8" w:rsidRPr="000B2A94">
        <w:rPr>
          <w:color w:val="000000" w:themeColor="text1"/>
        </w:rPr>
        <w:t>人的權利有以下幾項：</w:t>
      </w:r>
    </w:p>
    <w:p w:rsidR="00F956E8" w:rsidRPr="000B2A94" w:rsidRDefault="00DF3985" w:rsidP="00CD496B">
      <w:pPr>
        <w:pStyle w:val="7"/>
        <w:rPr>
          <w:color w:val="000000" w:themeColor="text1"/>
        </w:rPr>
      </w:pPr>
      <w:r w:rsidRPr="000B2A94">
        <w:rPr>
          <w:color w:val="000000" w:themeColor="text1"/>
        </w:rPr>
        <w:t>瞭解案情、獲取當事人案卷的權利</w:t>
      </w:r>
      <w:r w:rsidRPr="000B2A94">
        <w:rPr>
          <w:rFonts w:hint="eastAsia"/>
          <w:color w:val="000000" w:themeColor="text1"/>
        </w:rPr>
        <w:t>：</w:t>
      </w:r>
      <w:r w:rsidR="00F956E8" w:rsidRPr="000B2A94">
        <w:rPr>
          <w:color w:val="000000" w:themeColor="text1"/>
        </w:rPr>
        <w:t>法國和俄羅斯的法律對此均有規定，</w:t>
      </w:r>
      <w:r w:rsidRPr="000B2A94">
        <w:rPr>
          <w:color w:val="000000" w:themeColor="text1"/>
        </w:rPr>
        <w:t>鑑定</w:t>
      </w:r>
      <w:r w:rsidR="00F956E8" w:rsidRPr="000B2A94">
        <w:rPr>
          <w:color w:val="000000" w:themeColor="text1"/>
        </w:rPr>
        <w:t xml:space="preserve">人在必要的情況下有權查閱案情及有關資料。必要時可以參加勘驗、檢查，也可以直接詢問證人瞭解相關的必要資料。 </w:t>
      </w:r>
    </w:p>
    <w:p w:rsidR="00F956E8" w:rsidRPr="000B2A94" w:rsidRDefault="00F956E8" w:rsidP="00CD496B">
      <w:pPr>
        <w:pStyle w:val="7"/>
        <w:rPr>
          <w:color w:val="000000" w:themeColor="text1"/>
        </w:rPr>
      </w:pPr>
      <w:r w:rsidRPr="000B2A94">
        <w:rPr>
          <w:color w:val="000000" w:themeColor="text1"/>
        </w:rPr>
        <w:t>獨立出具</w:t>
      </w:r>
      <w:r w:rsidR="00DF3985" w:rsidRPr="000B2A94">
        <w:rPr>
          <w:color w:val="000000" w:themeColor="text1"/>
        </w:rPr>
        <w:t>鑑定</w:t>
      </w:r>
      <w:r w:rsidRPr="000B2A94">
        <w:rPr>
          <w:color w:val="000000" w:themeColor="text1"/>
        </w:rPr>
        <w:t>意見權</w:t>
      </w:r>
      <w:r w:rsidR="00DF3985" w:rsidRPr="000B2A94">
        <w:rPr>
          <w:rFonts w:hint="eastAsia"/>
          <w:color w:val="000000" w:themeColor="text1"/>
        </w:rPr>
        <w:t>：</w:t>
      </w:r>
      <w:r w:rsidRPr="000B2A94">
        <w:rPr>
          <w:color w:val="000000" w:themeColor="text1"/>
        </w:rPr>
        <w:t>在法國</w:t>
      </w:r>
      <w:r w:rsidR="00DF3985" w:rsidRPr="000B2A94">
        <w:rPr>
          <w:color w:val="000000" w:themeColor="text1"/>
        </w:rPr>
        <w:t>，</w:t>
      </w:r>
      <w:r w:rsidRPr="000B2A94">
        <w:rPr>
          <w:color w:val="000000" w:themeColor="text1"/>
        </w:rPr>
        <w:t>通常情況下</w:t>
      </w:r>
      <w:r w:rsidR="00DF3985" w:rsidRPr="000B2A94">
        <w:rPr>
          <w:color w:val="000000" w:themeColor="text1"/>
        </w:rPr>
        <w:t>，鑑定</w:t>
      </w:r>
      <w:r w:rsidRPr="000B2A94">
        <w:rPr>
          <w:color w:val="000000" w:themeColor="text1"/>
        </w:rPr>
        <w:t>人都要向法院書記員提交一份書面的</w:t>
      </w:r>
      <w:r w:rsidR="00DF3985" w:rsidRPr="000B2A94">
        <w:rPr>
          <w:rFonts w:hint="eastAsia"/>
          <w:color w:val="000000" w:themeColor="text1"/>
        </w:rPr>
        <w:t>「</w:t>
      </w:r>
      <w:r w:rsidR="00DF3985" w:rsidRPr="000B2A94">
        <w:rPr>
          <w:color w:val="000000" w:themeColor="text1"/>
        </w:rPr>
        <w:t>鑑定</w:t>
      </w:r>
      <w:r w:rsidRPr="000B2A94">
        <w:rPr>
          <w:color w:val="000000" w:themeColor="text1"/>
        </w:rPr>
        <w:t>報告</w:t>
      </w:r>
      <w:r w:rsidR="00DF3985" w:rsidRPr="000B2A94">
        <w:rPr>
          <w:rFonts w:hint="eastAsia"/>
          <w:color w:val="000000" w:themeColor="text1"/>
        </w:rPr>
        <w:t>」</w:t>
      </w:r>
      <w:r w:rsidRPr="000B2A94">
        <w:rPr>
          <w:color w:val="000000" w:themeColor="text1"/>
        </w:rPr>
        <w:t>。在指定數名</w:t>
      </w:r>
      <w:r w:rsidR="00DF3985" w:rsidRPr="000B2A94">
        <w:rPr>
          <w:color w:val="000000" w:themeColor="text1"/>
        </w:rPr>
        <w:t>鑑定</w:t>
      </w:r>
      <w:r w:rsidRPr="000B2A94">
        <w:rPr>
          <w:color w:val="000000" w:themeColor="text1"/>
        </w:rPr>
        <w:t>人的情況下</w:t>
      </w:r>
      <w:r w:rsidR="00DF3985" w:rsidRPr="000B2A94">
        <w:rPr>
          <w:color w:val="000000" w:themeColor="text1"/>
        </w:rPr>
        <w:t>，</w:t>
      </w:r>
      <w:r w:rsidRPr="000B2A94">
        <w:rPr>
          <w:color w:val="000000" w:themeColor="text1"/>
        </w:rPr>
        <w:t>諸</w:t>
      </w:r>
      <w:r w:rsidR="00DF3985" w:rsidRPr="000B2A94">
        <w:rPr>
          <w:color w:val="000000" w:themeColor="text1"/>
        </w:rPr>
        <w:t>鑑定</w:t>
      </w:r>
      <w:r w:rsidRPr="000B2A94">
        <w:rPr>
          <w:color w:val="000000" w:themeColor="text1"/>
        </w:rPr>
        <w:t>人只能制定一份</w:t>
      </w:r>
      <w:r w:rsidR="00DF3985" w:rsidRPr="000B2A94">
        <w:rPr>
          <w:color w:val="000000" w:themeColor="text1"/>
        </w:rPr>
        <w:t>鑑定</w:t>
      </w:r>
      <w:r w:rsidRPr="000B2A94">
        <w:rPr>
          <w:color w:val="000000" w:themeColor="text1"/>
        </w:rPr>
        <w:t>報告。所有的人都應當在這份單一的報告上簽字。如果諸</w:t>
      </w:r>
      <w:r w:rsidR="00DF3985" w:rsidRPr="000B2A94">
        <w:rPr>
          <w:color w:val="000000" w:themeColor="text1"/>
        </w:rPr>
        <w:t>鑑定</w:t>
      </w:r>
      <w:r w:rsidRPr="000B2A94">
        <w:rPr>
          <w:color w:val="000000" w:themeColor="text1"/>
        </w:rPr>
        <w:t>人的意見不一致</w:t>
      </w:r>
      <w:r w:rsidR="00DF3985" w:rsidRPr="000B2A94">
        <w:rPr>
          <w:color w:val="000000" w:themeColor="text1"/>
        </w:rPr>
        <w:t>，鑑定</w:t>
      </w:r>
      <w:r w:rsidRPr="000B2A94">
        <w:rPr>
          <w:color w:val="000000" w:themeColor="text1"/>
        </w:rPr>
        <w:t>報告中應當反映出這種意見分歧</w:t>
      </w:r>
      <w:r w:rsidR="00DF3985" w:rsidRPr="000B2A94">
        <w:rPr>
          <w:color w:val="000000" w:themeColor="text1"/>
        </w:rPr>
        <w:t>，</w:t>
      </w:r>
      <w:r w:rsidRPr="000B2A94">
        <w:rPr>
          <w:color w:val="000000" w:themeColor="text1"/>
        </w:rPr>
        <w:t>以便法庭更全面地瞭解情況。</w:t>
      </w:r>
    </w:p>
    <w:p w:rsidR="00F956E8" w:rsidRPr="000B2A94" w:rsidRDefault="00F956E8" w:rsidP="00CD496B">
      <w:pPr>
        <w:pStyle w:val="7"/>
        <w:rPr>
          <w:color w:val="000000" w:themeColor="text1"/>
        </w:rPr>
      </w:pPr>
      <w:r w:rsidRPr="000B2A94">
        <w:rPr>
          <w:color w:val="000000" w:themeColor="text1"/>
        </w:rPr>
        <w:t>獲取</w:t>
      </w:r>
      <w:r w:rsidR="00DF3985" w:rsidRPr="000B2A94">
        <w:rPr>
          <w:color w:val="000000" w:themeColor="text1"/>
        </w:rPr>
        <w:t>鑑定</w:t>
      </w:r>
      <w:r w:rsidRPr="000B2A94">
        <w:rPr>
          <w:color w:val="000000" w:themeColor="text1"/>
        </w:rPr>
        <w:t>報酬權</w:t>
      </w:r>
      <w:r w:rsidR="00DF3985" w:rsidRPr="000B2A94">
        <w:rPr>
          <w:rFonts w:hint="eastAsia"/>
          <w:color w:val="000000" w:themeColor="text1"/>
        </w:rPr>
        <w:t>：</w:t>
      </w:r>
      <w:r w:rsidRPr="000B2A94">
        <w:rPr>
          <w:color w:val="000000" w:themeColor="text1"/>
        </w:rPr>
        <w:t>在法國</w:t>
      </w:r>
      <w:r w:rsidR="00DF3985" w:rsidRPr="000B2A94">
        <w:rPr>
          <w:color w:val="000000" w:themeColor="text1"/>
        </w:rPr>
        <w:t>，鑑定</w:t>
      </w:r>
      <w:r w:rsidRPr="000B2A94">
        <w:rPr>
          <w:color w:val="000000" w:themeColor="text1"/>
        </w:rPr>
        <w:t>人完成</w:t>
      </w:r>
      <w:r w:rsidR="00DF3985" w:rsidRPr="000B2A94">
        <w:rPr>
          <w:color w:val="000000" w:themeColor="text1"/>
        </w:rPr>
        <w:t>鑑定</w:t>
      </w:r>
      <w:r w:rsidRPr="000B2A94">
        <w:rPr>
          <w:color w:val="000000" w:themeColor="text1"/>
        </w:rPr>
        <w:t>任務後</w:t>
      </w:r>
      <w:r w:rsidR="00DF3985" w:rsidRPr="000B2A94">
        <w:rPr>
          <w:color w:val="000000" w:themeColor="text1"/>
        </w:rPr>
        <w:t>，</w:t>
      </w:r>
      <w:r w:rsidRPr="000B2A94">
        <w:rPr>
          <w:color w:val="000000" w:themeColor="text1"/>
        </w:rPr>
        <w:t>要向法官提交一份有關其缺勤與支出費用的證明。法官在接到報告後依據</w:t>
      </w:r>
      <w:r w:rsidR="00DF3985" w:rsidRPr="000B2A94">
        <w:rPr>
          <w:color w:val="000000" w:themeColor="text1"/>
        </w:rPr>
        <w:t>鑑定</w:t>
      </w:r>
      <w:r w:rsidRPr="000B2A94">
        <w:rPr>
          <w:color w:val="000000" w:themeColor="text1"/>
        </w:rPr>
        <w:t>人的工作量大小</w:t>
      </w:r>
      <w:r w:rsidR="00DF3985" w:rsidRPr="000B2A94">
        <w:rPr>
          <w:color w:val="000000" w:themeColor="text1"/>
        </w:rPr>
        <w:t>，</w:t>
      </w:r>
      <w:r w:rsidRPr="000B2A94">
        <w:rPr>
          <w:color w:val="000000" w:themeColor="text1"/>
        </w:rPr>
        <w:t>是否遵守了規定的期限以及所完成的工作的品質確定</w:t>
      </w:r>
      <w:r w:rsidR="00DF3985" w:rsidRPr="000B2A94">
        <w:rPr>
          <w:color w:val="000000" w:themeColor="text1"/>
        </w:rPr>
        <w:t>鑑定</w:t>
      </w:r>
      <w:r w:rsidRPr="000B2A94">
        <w:rPr>
          <w:color w:val="000000" w:themeColor="text1"/>
        </w:rPr>
        <w:t>人應得的報酬</w:t>
      </w:r>
      <w:r w:rsidR="00DF3985" w:rsidRPr="000B2A94">
        <w:rPr>
          <w:color w:val="000000" w:themeColor="text1"/>
        </w:rPr>
        <w:t>，</w:t>
      </w:r>
      <w:r w:rsidRPr="000B2A94">
        <w:rPr>
          <w:color w:val="000000" w:themeColor="text1"/>
        </w:rPr>
        <w:t>允許</w:t>
      </w:r>
      <w:r w:rsidR="00DF3985" w:rsidRPr="000B2A94">
        <w:rPr>
          <w:color w:val="000000" w:themeColor="text1"/>
        </w:rPr>
        <w:t>鑑定</w:t>
      </w:r>
      <w:r w:rsidRPr="000B2A94">
        <w:rPr>
          <w:color w:val="000000" w:themeColor="text1"/>
        </w:rPr>
        <w:t>人從存交在法院書記室的款項中按應得數額領取報酬。</w:t>
      </w:r>
    </w:p>
    <w:p w:rsidR="00F956E8" w:rsidRPr="000B2A94" w:rsidRDefault="00F956E8" w:rsidP="00CD496B">
      <w:pPr>
        <w:pStyle w:val="6"/>
        <w:rPr>
          <w:color w:val="000000" w:themeColor="text1"/>
        </w:rPr>
      </w:pPr>
      <w:r w:rsidRPr="000B2A94">
        <w:rPr>
          <w:color w:val="000000" w:themeColor="text1"/>
        </w:rPr>
        <w:t>大陸法系國家對司法</w:t>
      </w:r>
      <w:r w:rsidR="00DF3985" w:rsidRPr="000B2A94">
        <w:rPr>
          <w:color w:val="000000" w:themeColor="text1"/>
        </w:rPr>
        <w:t>鑑定人員</w:t>
      </w:r>
      <w:r w:rsidR="00DF3985" w:rsidRPr="000B2A94">
        <w:rPr>
          <w:rFonts w:hint="eastAsia"/>
          <w:color w:val="000000" w:themeColor="text1"/>
        </w:rPr>
        <w:t>皆</w:t>
      </w:r>
      <w:r w:rsidRPr="000B2A94">
        <w:rPr>
          <w:color w:val="000000" w:themeColor="text1"/>
        </w:rPr>
        <w:t>規定回避</w:t>
      </w:r>
      <w:r w:rsidRPr="000B2A94">
        <w:rPr>
          <w:color w:val="000000" w:themeColor="text1"/>
        </w:rPr>
        <w:lastRenderedPageBreak/>
        <w:t>義務和保密義務。</w:t>
      </w:r>
      <w:r w:rsidR="00DF3985" w:rsidRPr="000B2A94">
        <w:rPr>
          <w:color w:val="000000" w:themeColor="text1"/>
        </w:rPr>
        <w:t>鑑定</w:t>
      </w:r>
      <w:r w:rsidRPr="000B2A94">
        <w:rPr>
          <w:color w:val="000000" w:themeColor="text1"/>
        </w:rPr>
        <w:t>人員在公證性可能會受到影響的時候可以被當事人申請回避。</w:t>
      </w:r>
      <w:r w:rsidR="00DF3985" w:rsidRPr="000B2A94">
        <w:rPr>
          <w:color w:val="000000" w:themeColor="text1"/>
        </w:rPr>
        <w:t>鑑定</w:t>
      </w:r>
      <w:r w:rsidRPr="000B2A94">
        <w:rPr>
          <w:color w:val="000000" w:themeColor="text1"/>
        </w:rPr>
        <w:t>人員必須對其工</w:t>
      </w:r>
      <w:r w:rsidR="00DF3985" w:rsidRPr="000B2A94">
        <w:rPr>
          <w:color w:val="000000" w:themeColor="text1"/>
        </w:rPr>
        <w:t>作中所接觸到的資訊做好保密工作，遵守相關的保密規定。但諸多國家</w:t>
      </w:r>
      <w:r w:rsidR="00DF3985" w:rsidRPr="000B2A94">
        <w:rPr>
          <w:rFonts w:hint="eastAsia"/>
          <w:color w:val="000000" w:themeColor="text1"/>
        </w:rPr>
        <w:t>於</w:t>
      </w:r>
      <w:r w:rsidRPr="000B2A94">
        <w:rPr>
          <w:color w:val="000000" w:themeColor="text1"/>
        </w:rPr>
        <w:t>具體義務的規定上也不盡相同：</w:t>
      </w:r>
    </w:p>
    <w:p w:rsidR="00F956E8" w:rsidRPr="000B2A94" w:rsidRDefault="00F956E8" w:rsidP="00CD496B">
      <w:pPr>
        <w:pStyle w:val="7"/>
        <w:rPr>
          <w:color w:val="000000" w:themeColor="text1"/>
        </w:rPr>
      </w:pPr>
      <w:r w:rsidRPr="000B2A94">
        <w:rPr>
          <w:color w:val="000000" w:themeColor="text1"/>
        </w:rPr>
        <w:t>法國</w:t>
      </w:r>
      <w:r w:rsidR="00DF3985" w:rsidRPr="000B2A94">
        <w:rPr>
          <w:rFonts w:hint="eastAsia"/>
          <w:color w:val="000000" w:themeColor="text1"/>
        </w:rPr>
        <w:t>：規定</w:t>
      </w:r>
      <w:r w:rsidR="00DF3985" w:rsidRPr="000B2A94">
        <w:rPr>
          <w:color w:val="000000" w:themeColor="text1"/>
        </w:rPr>
        <w:t>鑑定</w:t>
      </w:r>
      <w:r w:rsidRPr="000B2A94">
        <w:rPr>
          <w:color w:val="000000" w:themeColor="text1"/>
        </w:rPr>
        <w:t>人的宣誓義務、在規定期限內完成</w:t>
      </w:r>
      <w:r w:rsidR="00DF3985" w:rsidRPr="000B2A94">
        <w:rPr>
          <w:color w:val="000000" w:themeColor="text1"/>
        </w:rPr>
        <w:t>鑑定</w:t>
      </w:r>
      <w:r w:rsidRPr="000B2A94">
        <w:rPr>
          <w:color w:val="000000" w:themeColor="text1"/>
        </w:rPr>
        <w:t>任務義務、按要求製作</w:t>
      </w:r>
      <w:r w:rsidR="00DF3985" w:rsidRPr="000B2A94">
        <w:rPr>
          <w:color w:val="000000" w:themeColor="text1"/>
        </w:rPr>
        <w:t>鑑定</w:t>
      </w:r>
      <w:r w:rsidRPr="000B2A94">
        <w:rPr>
          <w:color w:val="000000" w:themeColor="text1"/>
        </w:rPr>
        <w:t>書並署名的義務、有出庭作證的義務。</w:t>
      </w:r>
    </w:p>
    <w:p w:rsidR="00F956E8" w:rsidRPr="000B2A94" w:rsidRDefault="00F956E8" w:rsidP="00CD496B">
      <w:pPr>
        <w:pStyle w:val="7"/>
        <w:rPr>
          <w:color w:val="000000" w:themeColor="text1"/>
        </w:rPr>
      </w:pPr>
      <w:r w:rsidRPr="000B2A94">
        <w:rPr>
          <w:color w:val="000000" w:themeColor="text1"/>
        </w:rPr>
        <w:t>德國</w:t>
      </w:r>
      <w:r w:rsidR="00DF3985" w:rsidRPr="000B2A94">
        <w:rPr>
          <w:rFonts w:hint="eastAsia"/>
          <w:color w:val="000000" w:themeColor="text1"/>
        </w:rPr>
        <w:t>：規定</w:t>
      </w:r>
      <w:r w:rsidR="00DF3985" w:rsidRPr="000B2A94">
        <w:rPr>
          <w:color w:val="000000" w:themeColor="text1"/>
        </w:rPr>
        <w:t>鑑定</w:t>
      </w:r>
      <w:r w:rsidRPr="000B2A94">
        <w:rPr>
          <w:color w:val="000000" w:themeColor="text1"/>
        </w:rPr>
        <w:t>人必須遵守：</w:t>
      </w:r>
      <w:r w:rsidR="00DF3985" w:rsidRPr="000B2A94">
        <w:rPr>
          <w:color w:val="000000" w:themeColor="text1"/>
        </w:rPr>
        <w:t>鑑定</w:t>
      </w:r>
      <w:r w:rsidRPr="000B2A94">
        <w:rPr>
          <w:color w:val="000000" w:themeColor="text1"/>
        </w:rPr>
        <w:t>的義務、按期完成</w:t>
      </w:r>
      <w:r w:rsidR="00DF3985" w:rsidRPr="000B2A94">
        <w:rPr>
          <w:color w:val="000000" w:themeColor="text1"/>
        </w:rPr>
        <w:t>鑑定</w:t>
      </w:r>
      <w:r w:rsidRPr="000B2A94">
        <w:rPr>
          <w:color w:val="000000" w:themeColor="text1"/>
        </w:rPr>
        <w:t>的義務、出庭的義務、宣誓的義務。</w:t>
      </w:r>
    </w:p>
    <w:p w:rsidR="00F956E8" w:rsidRPr="000B2A94" w:rsidRDefault="00F956E8" w:rsidP="00CD496B">
      <w:pPr>
        <w:pStyle w:val="7"/>
        <w:rPr>
          <w:color w:val="000000" w:themeColor="text1"/>
        </w:rPr>
      </w:pPr>
      <w:r w:rsidRPr="000B2A94">
        <w:rPr>
          <w:color w:val="000000" w:themeColor="text1"/>
        </w:rPr>
        <w:t>俄羅斯</w:t>
      </w:r>
      <w:r w:rsidR="00DF3985" w:rsidRPr="000B2A94">
        <w:rPr>
          <w:rFonts w:hint="eastAsia"/>
          <w:color w:val="000000" w:themeColor="text1"/>
        </w:rPr>
        <w:t>：規定</w:t>
      </w:r>
      <w:r w:rsidR="00DF3985" w:rsidRPr="000B2A94">
        <w:rPr>
          <w:color w:val="000000" w:themeColor="text1"/>
        </w:rPr>
        <w:t>鑑定</w:t>
      </w:r>
      <w:r w:rsidRPr="000B2A94">
        <w:rPr>
          <w:color w:val="000000" w:themeColor="text1"/>
        </w:rPr>
        <w:t>人的主要義務是必須遵照法院的傳喚出庭、提供客觀結論。</w:t>
      </w:r>
    </w:p>
    <w:p w:rsidR="00F956E8" w:rsidRPr="000B2A94" w:rsidRDefault="00F956E8" w:rsidP="00CD496B">
      <w:pPr>
        <w:pStyle w:val="7"/>
        <w:rPr>
          <w:color w:val="000000" w:themeColor="text1"/>
        </w:rPr>
      </w:pPr>
      <w:r w:rsidRPr="000B2A94">
        <w:rPr>
          <w:color w:val="000000" w:themeColor="text1"/>
        </w:rPr>
        <w:t>在</w:t>
      </w:r>
      <w:r w:rsidR="00DF3985" w:rsidRPr="000B2A94">
        <w:rPr>
          <w:color w:val="000000" w:themeColor="text1"/>
        </w:rPr>
        <w:t>鑑定</w:t>
      </w:r>
      <w:r w:rsidRPr="000B2A94">
        <w:rPr>
          <w:color w:val="000000" w:themeColor="text1"/>
        </w:rPr>
        <w:t>結論的採信管理上，主要大陸法系國家最早對</w:t>
      </w:r>
      <w:r w:rsidR="00DF3985" w:rsidRPr="000B2A94">
        <w:rPr>
          <w:color w:val="000000" w:themeColor="text1"/>
        </w:rPr>
        <w:t>鑑定</w:t>
      </w:r>
      <w:r w:rsidRPr="000B2A94">
        <w:rPr>
          <w:color w:val="000000" w:themeColor="text1"/>
        </w:rPr>
        <w:t>結論是無條件採信，但是隨著司法改革的深入進行，對於</w:t>
      </w:r>
      <w:r w:rsidR="00DF3985" w:rsidRPr="000B2A94">
        <w:rPr>
          <w:color w:val="000000" w:themeColor="text1"/>
        </w:rPr>
        <w:t>鑑定</w:t>
      </w:r>
      <w:r w:rsidRPr="000B2A94">
        <w:rPr>
          <w:color w:val="000000" w:themeColor="text1"/>
        </w:rPr>
        <w:t>結論的採納從絕對主義走向了相對主義。</w:t>
      </w:r>
    </w:p>
    <w:p w:rsidR="00F956E8" w:rsidRPr="000B2A94" w:rsidRDefault="00DF3985" w:rsidP="00CD496B">
      <w:pPr>
        <w:pStyle w:val="5"/>
        <w:rPr>
          <w:color w:val="000000" w:themeColor="text1"/>
        </w:rPr>
      </w:pPr>
      <w:r w:rsidRPr="000B2A94">
        <w:rPr>
          <w:color w:val="000000" w:themeColor="text1"/>
        </w:rPr>
        <w:t>鑑定</w:t>
      </w:r>
      <w:r w:rsidR="00F956E8" w:rsidRPr="000B2A94">
        <w:rPr>
          <w:color w:val="000000" w:themeColor="text1"/>
        </w:rPr>
        <w:t>人法律責任的管理</w:t>
      </w:r>
    </w:p>
    <w:p w:rsidR="00F956E8" w:rsidRPr="000B2A94" w:rsidRDefault="00DF3985" w:rsidP="00CD496B">
      <w:pPr>
        <w:pStyle w:val="6"/>
        <w:rPr>
          <w:color w:val="000000" w:themeColor="text1"/>
        </w:rPr>
      </w:pPr>
      <w:r w:rsidRPr="000B2A94">
        <w:rPr>
          <w:color w:val="000000" w:themeColor="text1"/>
        </w:rPr>
        <w:t>鑑定</w:t>
      </w:r>
      <w:r w:rsidR="00F956E8" w:rsidRPr="000B2A94">
        <w:rPr>
          <w:color w:val="000000" w:themeColor="text1"/>
        </w:rPr>
        <w:t>人如果失職而給當事人造成損失的，應對當事人承擔的法律責任分兩種：</w:t>
      </w:r>
    </w:p>
    <w:p w:rsidR="00F956E8" w:rsidRPr="000B2A94" w:rsidRDefault="00F956E8" w:rsidP="00CD496B">
      <w:pPr>
        <w:pStyle w:val="7"/>
        <w:rPr>
          <w:color w:val="000000" w:themeColor="text1"/>
        </w:rPr>
      </w:pPr>
      <w:r w:rsidRPr="000B2A94">
        <w:rPr>
          <w:color w:val="000000" w:themeColor="text1"/>
        </w:rPr>
        <w:t>直接對當事人造成了損害，</w:t>
      </w:r>
      <w:r w:rsidR="00DF3985" w:rsidRPr="000B2A94">
        <w:rPr>
          <w:color w:val="000000" w:themeColor="text1"/>
        </w:rPr>
        <w:t>鑑定</w:t>
      </w:r>
      <w:r w:rsidRPr="000B2A94">
        <w:rPr>
          <w:color w:val="000000" w:themeColor="text1"/>
        </w:rPr>
        <w:t>人就應當根據民法或者刑法規定承擔相應的民事或者刑事責任；如果因為其故意或者重大過失使法院採信了其錯誤的</w:t>
      </w:r>
      <w:r w:rsidR="00DF3985" w:rsidRPr="000B2A94">
        <w:rPr>
          <w:color w:val="000000" w:themeColor="text1"/>
        </w:rPr>
        <w:t>鑑定</w:t>
      </w:r>
      <w:r w:rsidRPr="000B2A94">
        <w:rPr>
          <w:color w:val="000000" w:themeColor="text1"/>
        </w:rPr>
        <w:t>報告，導致一方當事人因舉證不力而承擔敗訴後果，則承擔敗訴後果的一方當事人可以要求</w:t>
      </w:r>
      <w:r w:rsidR="00DF3985" w:rsidRPr="000B2A94">
        <w:rPr>
          <w:color w:val="000000" w:themeColor="text1"/>
        </w:rPr>
        <w:t>鑑定</w:t>
      </w:r>
      <w:r w:rsidRPr="000B2A94">
        <w:rPr>
          <w:color w:val="000000" w:themeColor="text1"/>
        </w:rPr>
        <w:t>人承擔相應的責任。</w:t>
      </w:r>
    </w:p>
    <w:p w:rsidR="00F956E8" w:rsidRPr="000B2A94" w:rsidRDefault="00DF3985" w:rsidP="00CD496B">
      <w:pPr>
        <w:pStyle w:val="7"/>
        <w:rPr>
          <w:color w:val="000000" w:themeColor="text1"/>
        </w:rPr>
      </w:pPr>
      <w:r w:rsidRPr="000B2A94">
        <w:rPr>
          <w:color w:val="000000" w:themeColor="text1"/>
        </w:rPr>
        <w:t>鑑定</w:t>
      </w:r>
      <w:r w:rsidR="00F956E8" w:rsidRPr="000B2A94">
        <w:rPr>
          <w:color w:val="000000" w:themeColor="text1"/>
        </w:rPr>
        <w:t>人未能遵守法律規定的義務應當向法院承擔的責任，有相應的法律規定。在德國</w:t>
      </w:r>
      <w:r w:rsidRPr="000B2A94">
        <w:rPr>
          <w:color w:val="000000" w:themeColor="text1"/>
        </w:rPr>
        <w:t>，鑑定</w:t>
      </w:r>
      <w:r w:rsidR="00F956E8" w:rsidRPr="000B2A94">
        <w:rPr>
          <w:color w:val="000000" w:themeColor="text1"/>
        </w:rPr>
        <w:t>人拒絕從事他有義務應該從事</w:t>
      </w:r>
      <w:r w:rsidR="00F956E8" w:rsidRPr="000B2A94">
        <w:rPr>
          <w:color w:val="000000" w:themeColor="text1"/>
        </w:rPr>
        <w:lastRenderedPageBreak/>
        <w:t>的</w:t>
      </w:r>
      <w:r w:rsidRPr="000B2A94">
        <w:rPr>
          <w:color w:val="000000" w:themeColor="text1"/>
        </w:rPr>
        <w:t>鑑定</w:t>
      </w:r>
      <w:r w:rsidR="00F956E8" w:rsidRPr="000B2A94">
        <w:rPr>
          <w:color w:val="000000" w:themeColor="text1"/>
        </w:rPr>
        <w:t>工作或遲延期間</w:t>
      </w:r>
      <w:r w:rsidRPr="000B2A94">
        <w:rPr>
          <w:color w:val="000000" w:themeColor="text1"/>
        </w:rPr>
        <w:t>，</w:t>
      </w:r>
      <w:r w:rsidR="00F956E8" w:rsidRPr="000B2A94">
        <w:rPr>
          <w:color w:val="000000" w:themeColor="text1"/>
        </w:rPr>
        <w:t>可以警告或處以罰款。在俄羅斯</w:t>
      </w:r>
      <w:r w:rsidRPr="000B2A94">
        <w:rPr>
          <w:color w:val="000000" w:themeColor="text1"/>
        </w:rPr>
        <w:t>，鑑定</w:t>
      </w:r>
      <w:r w:rsidR="00F956E8" w:rsidRPr="000B2A94">
        <w:rPr>
          <w:color w:val="000000" w:themeColor="text1"/>
        </w:rPr>
        <w:t>人由於某些理由未出庭</w:t>
      </w:r>
      <w:r w:rsidRPr="000B2A94">
        <w:rPr>
          <w:color w:val="000000" w:themeColor="text1"/>
        </w:rPr>
        <w:t>，</w:t>
      </w:r>
      <w:r w:rsidR="00F956E8" w:rsidRPr="000B2A94">
        <w:rPr>
          <w:color w:val="000000" w:themeColor="text1"/>
        </w:rPr>
        <w:t>法院認為其理由不合理</w:t>
      </w:r>
      <w:r w:rsidRPr="000B2A94">
        <w:rPr>
          <w:color w:val="000000" w:themeColor="text1"/>
        </w:rPr>
        <w:t>，</w:t>
      </w:r>
      <w:r w:rsidR="00F956E8" w:rsidRPr="000B2A94">
        <w:rPr>
          <w:color w:val="000000" w:themeColor="text1"/>
        </w:rPr>
        <w:t>可以罰款</w:t>
      </w:r>
      <w:r w:rsidRPr="000B2A94">
        <w:rPr>
          <w:color w:val="000000" w:themeColor="text1"/>
        </w:rPr>
        <w:t>，</w:t>
      </w:r>
      <w:r w:rsidR="00F956E8" w:rsidRPr="000B2A94">
        <w:rPr>
          <w:color w:val="000000" w:themeColor="text1"/>
        </w:rPr>
        <w:t>若法庭進行第</w:t>
      </w:r>
      <w:r w:rsidRPr="000B2A94">
        <w:rPr>
          <w:rFonts w:hint="eastAsia"/>
          <w:color w:val="000000" w:themeColor="text1"/>
        </w:rPr>
        <w:t>2</w:t>
      </w:r>
      <w:r w:rsidR="00F956E8" w:rsidRPr="000B2A94">
        <w:rPr>
          <w:color w:val="000000" w:themeColor="text1"/>
        </w:rPr>
        <w:t>次傳喚仍未出庭</w:t>
      </w:r>
      <w:r w:rsidRPr="000B2A94">
        <w:rPr>
          <w:color w:val="000000" w:themeColor="text1"/>
        </w:rPr>
        <w:t>，</w:t>
      </w:r>
      <w:r w:rsidR="00F956E8" w:rsidRPr="000B2A94">
        <w:rPr>
          <w:color w:val="000000" w:themeColor="text1"/>
        </w:rPr>
        <w:t>就要對其實行拘傳。日本則是處以罰金。</w:t>
      </w:r>
      <w:r w:rsidRPr="000B2A94">
        <w:rPr>
          <w:color w:val="000000" w:themeColor="text1"/>
        </w:rPr>
        <w:t>鑑定</w:t>
      </w:r>
      <w:r w:rsidR="00F956E8" w:rsidRPr="000B2A94">
        <w:rPr>
          <w:color w:val="000000" w:themeColor="text1"/>
        </w:rPr>
        <w:t>人由於作偽證和違反保密義務構成刑事犯罪的依照法律規定承擔刑事責任。</w:t>
      </w:r>
    </w:p>
    <w:p w:rsidR="00F956E8" w:rsidRPr="000B2A94" w:rsidRDefault="00F956E8" w:rsidP="00CD496B">
      <w:pPr>
        <w:pStyle w:val="5"/>
        <w:rPr>
          <w:color w:val="000000" w:themeColor="text1"/>
        </w:rPr>
      </w:pPr>
      <w:r w:rsidRPr="000B2A94">
        <w:rPr>
          <w:color w:val="000000" w:themeColor="text1"/>
        </w:rPr>
        <w:t>綜上，司法</w:t>
      </w:r>
      <w:r w:rsidR="00DF3985" w:rsidRPr="000B2A94">
        <w:rPr>
          <w:color w:val="000000" w:themeColor="text1"/>
        </w:rPr>
        <w:t>鑑定</w:t>
      </w:r>
      <w:r w:rsidRPr="000B2A94">
        <w:rPr>
          <w:color w:val="000000" w:themeColor="text1"/>
        </w:rPr>
        <w:t>制度具有在一定程度上反映人類社會共同發展規律和科學技術水準的共性，也必然會因制度產生和運行的社會環境不同而具有其個性。我國的司法</w:t>
      </w:r>
      <w:r w:rsidR="00DF3985" w:rsidRPr="000B2A94">
        <w:rPr>
          <w:color w:val="000000" w:themeColor="text1"/>
        </w:rPr>
        <w:t>鑑定</w:t>
      </w:r>
      <w:r w:rsidRPr="000B2A94">
        <w:rPr>
          <w:color w:val="000000" w:themeColor="text1"/>
        </w:rPr>
        <w:t>管理制度應該在借鑒國外經驗的基礎上，結合司法體系的實際情況進行完善。</w:t>
      </w:r>
    </w:p>
    <w:p w:rsidR="00F956E8" w:rsidRPr="000B2A94" w:rsidRDefault="00F956E8" w:rsidP="00F956E8">
      <w:pPr>
        <w:pStyle w:val="2"/>
        <w:numPr>
          <w:ilvl w:val="1"/>
          <w:numId w:val="1"/>
        </w:numPr>
        <w:kinsoku w:val="0"/>
        <w:overflowPunct/>
        <w:autoSpaceDE/>
        <w:autoSpaceDN/>
        <w:ind w:left="1123" w:hanging="697"/>
        <w:rPr>
          <w:rFonts w:ascii="Times New Roman" w:hAnsi="Times New Roman"/>
          <w:b/>
          <w:color w:val="000000" w:themeColor="text1"/>
        </w:rPr>
      </w:pPr>
      <w:bookmarkStart w:id="254" w:name="_Toc28606815"/>
      <w:r w:rsidRPr="000B2A94">
        <w:rPr>
          <w:rFonts w:ascii="Times New Roman" w:hAnsi="Times New Roman"/>
          <w:b/>
          <w:color w:val="000000" w:themeColor="text1"/>
        </w:rPr>
        <w:t>本院相關前案</w:t>
      </w:r>
      <w:bookmarkEnd w:id="254"/>
    </w:p>
    <w:p w:rsidR="00F956E8" w:rsidRPr="000B2A94" w:rsidRDefault="00F956E8" w:rsidP="00CD496B">
      <w:pPr>
        <w:pStyle w:val="3"/>
        <w:rPr>
          <w:color w:val="000000" w:themeColor="text1"/>
        </w:rPr>
      </w:pPr>
      <w:bookmarkStart w:id="255" w:name="_Toc27399873"/>
      <w:r w:rsidRPr="000B2A94">
        <w:rPr>
          <w:color w:val="000000" w:themeColor="text1"/>
        </w:rPr>
        <w:t>專案調查研究報告</w:t>
      </w:r>
      <w:bookmarkEnd w:id="255"/>
    </w:p>
    <w:p w:rsidR="00F956E8" w:rsidRPr="000B2A94" w:rsidRDefault="00F956E8" w:rsidP="00CD496B">
      <w:pPr>
        <w:pStyle w:val="32"/>
        <w:ind w:left="1361" w:firstLine="680"/>
        <w:rPr>
          <w:color w:val="000000" w:themeColor="text1"/>
        </w:rPr>
      </w:pPr>
      <w:r w:rsidRPr="000B2A94">
        <w:rPr>
          <w:color w:val="000000" w:themeColor="text1"/>
        </w:rPr>
        <w:t>103司調0001「現行刑事訴訟鑑定制度之探討」專案調查研究，摘錄結論與建議如下：</w:t>
      </w:r>
    </w:p>
    <w:p w:rsidR="00F956E8" w:rsidRPr="000B2A94" w:rsidRDefault="00F956E8" w:rsidP="00CD496B">
      <w:pPr>
        <w:pStyle w:val="4"/>
        <w:rPr>
          <w:color w:val="000000" w:themeColor="text1"/>
        </w:rPr>
      </w:pPr>
      <w:r w:rsidRPr="000B2A94">
        <w:rPr>
          <w:color w:val="000000" w:themeColor="text1"/>
        </w:rPr>
        <w:t>檢察機關預先囑託機關鑑定，使司法警察於犯罪調查階段委請機關出具之鑑驗報告書得因此於審判中具證據能力，理論上容非無疑。</w:t>
      </w:r>
    </w:p>
    <w:p w:rsidR="00F956E8" w:rsidRPr="000B2A94" w:rsidRDefault="00F956E8" w:rsidP="00CD496B">
      <w:pPr>
        <w:pStyle w:val="4"/>
        <w:rPr>
          <w:color w:val="000000" w:themeColor="text1"/>
        </w:rPr>
      </w:pPr>
      <w:r w:rsidRPr="000B2A94">
        <w:rPr>
          <w:color w:val="000000" w:themeColor="text1"/>
        </w:rPr>
        <w:t>鑑定原應由自然人為之，惟我國目前鑑定多以囑託機關鑑定方式進行，然而實務見解認囑託機關鑑定所提出之鑑定報告書不需具結，亦多未傳喚實際實施鑑定之人到庭接受詰問，有架空傳聞法則及侵害被告對質詰問權之虞。</w:t>
      </w:r>
    </w:p>
    <w:p w:rsidR="00F956E8" w:rsidRPr="000B2A94" w:rsidRDefault="00F956E8" w:rsidP="00CD496B">
      <w:pPr>
        <w:pStyle w:val="4"/>
        <w:rPr>
          <w:color w:val="000000" w:themeColor="text1"/>
        </w:rPr>
      </w:pPr>
      <w:bookmarkStart w:id="256" w:name="_Toc375750482"/>
      <w:r w:rsidRPr="000B2A94">
        <w:rPr>
          <w:color w:val="000000" w:themeColor="text1"/>
        </w:rPr>
        <w:t>目前司法實務上並未建立對於鑑定意見之審查標準，使法院在審查鑑定意見時有困難，不易於判決理由作充分說明，有礙司法公信力之提升。</w:t>
      </w:r>
      <w:bookmarkEnd w:id="256"/>
    </w:p>
    <w:p w:rsidR="00F956E8" w:rsidRPr="000B2A94" w:rsidRDefault="00F956E8" w:rsidP="00CD496B">
      <w:pPr>
        <w:pStyle w:val="4"/>
        <w:rPr>
          <w:color w:val="000000" w:themeColor="text1"/>
        </w:rPr>
      </w:pPr>
      <w:r w:rsidRPr="000B2A94">
        <w:rPr>
          <w:color w:val="000000" w:themeColor="text1"/>
        </w:rPr>
        <w:t>為強化鑑定機構之獨立性與鑑定之公信力，可考量適度整併現有鑑定機關之功能，提高其層級獨</w:t>
      </w:r>
      <w:r w:rsidRPr="000B2A94">
        <w:rPr>
          <w:color w:val="000000" w:themeColor="text1"/>
        </w:rPr>
        <w:lastRenderedPageBreak/>
        <w:t>立於檢、警之外，客觀行使鑑定與鑑識之職能，並可採行複鑑制度。</w:t>
      </w:r>
    </w:p>
    <w:p w:rsidR="00F956E8" w:rsidRPr="000B2A94" w:rsidRDefault="00F956E8" w:rsidP="00CD496B">
      <w:pPr>
        <w:pStyle w:val="4"/>
        <w:rPr>
          <w:color w:val="000000" w:themeColor="text1"/>
        </w:rPr>
      </w:pPr>
      <w:r w:rsidRPr="000B2A94">
        <w:rPr>
          <w:color w:val="000000" w:themeColor="text1"/>
        </w:rPr>
        <w:t>有關機關間應建立證物監管鍊(evidence chain of custody)機制，以確保物證經由採樣、運送、保存及鑑定等過程而呈現於法庭之證據係真實無瑕疵，法院並應審查該監管鍊是否中斷，以排除瑕疵證據。</w:t>
      </w:r>
    </w:p>
    <w:p w:rsidR="00F956E8" w:rsidRPr="000B2A94" w:rsidRDefault="00F956E8" w:rsidP="00CD496B">
      <w:pPr>
        <w:pStyle w:val="4"/>
        <w:rPr>
          <w:color w:val="000000" w:themeColor="text1"/>
        </w:rPr>
      </w:pPr>
      <w:r w:rsidRPr="000B2A94">
        <w:rPr>
          <w:color w:val="000000" w:themeColor="text1"/>
        </w:rPr>
        <w:t>該專案調查研究並提出以下7點建議</w:t>
      </w:r>
    </w:p>
    <w:p w:rsidR="00F956E8" w:rsidRPr="000B2A94" w:rsidRDefault="00F956E8" w:rsidP="00CD496B">
      <w:pPr>
        <w:pStyle w:val="5"/>
        <w:rPr>
          <w:color w:val="000000" w:themeColor="text1"/>
        </w:rPr>
      </w:pPr>
      <w:bookmarkStart w:id="257" w:name="_Toc375750486"/>
      <w:r w:rsidRPr="000B2A94">
        <w:rPr>
          <w:color w:val="000000" w:themeColor="text1"/>
        </w:rPr>
        <w:t>司法警察(官)囑託機關鑑定及實施方式，宜明文化以符實際。</w:t>
      </w:r>
      <w:bookmarkEnd w:id="257"/>
    </w:p>
    <w:p w:rsidR="00F956E8" w:rsidRPr="000B2A94" w:rsidRDefault="00F956E8" w:rsidP="00CD496B">
      <w:pPr>
        <w:pStyle w:val="5"/>
        <w:rPr>
          <w:color w:val="000000" w:themeColor="text1"/>
        </w:rPr>
      </w:pPr>
      <w:bookmarkStart w:id="258" w:name="_Toc375750487"/>
      <w:r w:rsidRPr="000B2A94">
        <w:rPr>
          <w:color w:val="000000" w:themeColor="text1"/>
        </w:rPr>
        <w:t>我國雖多採行囑託機關鑑定，惟參考美國專家證人制度，仍應落實要求實際從事鑑定之人到庭接受詰問，以保障被告之對質詰問權。</w:t>
      </w:r>
      <w:bookmarkEnd w:id="258"/>
    </w:p>
    <w:p w:rsidR="00F956E8" w:rsidRPr="000B2A94" w:rsidRDefault="00F956E8" w:rsidP="00CD496B">
      <w:pPr>
        <w:pStyle w:val="5"/>
        <w:rPr>
          <w:color w:val="000000" w:themeColor="text1"/>
        </w:rPr>
      </w:pPr>
      <w:bookmarkStart w:id="259" w:name="_Toc375750488"/>
      <w:r w:rsidRPr="000B2A94">
        <w:rPr>
          <w:color w:val="000000" w:themeColor="text1"/>
        </w:rPr>
        <w:t>現行法院審查鑑定意見，已有部分實務案例就特定領域已採納美國法之操作方式，允宜建立法院審查鑑定意見之統合性標準。</w:t>
      </w:r>
      <w:bookmarkEnd w:id="259"/>
    </w:p>
    <w:p w:rsidR="00F956E8" w:rsidRPr="000B2A94" w:rsidRDefault="00F956E8" w:rsidP="00CD496B">
      <w:pPr>
        <w:pStyle w:val="5"/>
        <w:rPr>
          <w:color w:val="000000" w:themeColor="text1"/>
        </w:rPr>
      </w:pPr>
      <w:bookmarkStart w:id="260" w:name="_Toc375750489"/>
      <w:r w:rsidRPr="000B2A94">
        <w:rPr>
          <w:color w:val="000000" w:themeColor="text1"/>
        </w:rPr>
        <w:t>另對於已具備實驗室認證、鑑定人員資格認證、常態性準確性考核之領域(例如DNA鑑定)，司法機關亦可與鑑定單位研究建立一套操作標準供審判參考，以使審判者得更明確排除不合乎科學標準之鑑定意見，以累積司法實務判決，有助於審查標準之建立。</w:t>
      </w:r>
      <w:bookmarkEnd w:id="260"/>
    </w:p>
    <w:p w:rsidR="00F956E8" w:rsidRPr="000B2A94" w:rsidRDefault="00F956E8" w:rsidP="00CD496B">
      <w:pPr>
        <w:pStyle w:val="5"/>
        <w:rPr>
          <w:color w:val="000000" w:themeColor="text1"/>
        </w:rPr>
      </w:pPr>
      <w:bookmarkStart w:id="261" w:name="_Toc375750490"/>
      <w:r w:rsidRPr="000B2A94">
        <w:rPr>
          <w:color w:val="000000" w:themeColor="text1"/>
        </w:rPr>
        <w:t>如有上開標準，法院判決理由並應詳述對於鑑定報告是否採納之理由，可適切扮演「守門員（Gatekeeper）」之角色。</w:t>
      </w:r>
      <w:bookmarkEnd w:id="261"/>
    </w:p>
    <w:p w:rsidR="00F956E8" w:rsidRPr="000B2A94" w:rsidRDefault="00F956E8" w:rsidP="00CD496B">
      <w:pPr>
        <w:pStyle w:val="5"/>
        <w:rPr>
          <w:color w:val="000000" w:themeColor="text1"/>
        </w:rPr>
      </w:pPr>
      <w:bookmarkStart w:id="262" w:name="_Toc375750491"/>
      <w:r w:rsidRPr="000B2A94">
        <w:rPr>
          <w:color w:val="000000" w:themeColor="text1"/>
        </w:rPr>
        <w:t>為提升鑑定機關之專業性與獨立性，可整併現有功能相類似機關內之鑑識單位，例如法務部調查局、內政部警政署刑事警察局及憲兵指揮部，就渠等之相同領域部分獨立設立鑑定中心，並搭配複鑑制度之細緻化，選擇於尚未具</w:t>
      </w:r>
      <w:r w:rsidRPr="000B2A94">
        <w:rPr>
          <w:color w:val="000000" w:themeColor="text1"/>
        </w:rPr>
        <w:lastRenderedPageBreak/>
        <w:t>備三項品質要素之領域內建立複鑑制度，該中心則主要負責複鑑程序，以增加鑑定之公信力。</w:t>
      </w:r>
      <w:bookmarkEnd w:id="262"/>
    </w:p>
    <w:p w:rsidR="00F956E8" w:rsidRPr="000B2A94" w:rsidRDefault="00F956E8" w:rsidP="00CD496B">
      <w:pPr>
        <w:pStyle w:val="5"/>
        <w:rPr>
          <w:color w:val="000000" w:themeColor="text1"/>
        </w:rPr>
      </w:pPr>
      <w:r w:rsidRPr="000B2A94">
        <w:rPr>
          <w:color w:val="000000" w:themeColor="text1"/>
        </w:rPr>
        <w:t>建立完整之證物監管鍊機制，證物在各機關、人員之移轉與保存均應有詳細紀錄及規範以供查核；並宜於刑事訴訟法明訂法院應詳加審查庭呈證物之監管紀錄，如有爭執並應傳訊監管人員作證確認，以排除瑕疵證據，確保證物同一無瑕疵及鑑定意見之可信性。</w:t>
      </w:r>
    </w:p>
    <w:p w:rsidR="00F956E8" w:rsidRPr="000B2A94" w:rsidRDefault="00F956E8" w:rsidP="00832B8B">
      <w:pPr>
        <w:pStyle w:val="3"/>
        <w:rPr>
          <w:color w:val="000000" w:themeColor="text1"/>
        </w:rPr>
      </w:pPr>
      <w:bookmarkStart w:id="263" w:name="_Toc27399874"/>
      <w:r w:rsidRPr="000B2A94">
        <w:rPr>
          <w:color w:val="000000" w:themeColor="text1"/>
        </w:rPr>
        <w:t>調查報告－有關鑑定部分</w:t>
      </w:r>
      <w:bookmarkEnd w:id="263"/>
    </w:p>
    <w:tbl>
      <w:tblPr>
        <w:tblStyle w:val="af9"/>
        <w:tblW w:w="0" w:type="auto"/>
        <w:tblLook w:val="04A0" w:firstRow="1" w:lastRow="0" w:firstColumn="1" w:lastColumn="0" w:noHBand="0" w:noVBand="1"/>
      </w:tblPr>
      <w:tblGrid>
        <w:gridCol w:w="534"/>
        <w:gridCol w:w="2126"/>
        <w:gridCol w:w="6400"/>
      </w:tblGrid>
      <w:tr w:rsidR="000B2A94" w:rsidRPr="000B2A94" w:rsidTr="00F956E8">
        <w:tc>
          <w:tcPr>
            <w:tcW w:w="534" w:type="dxa"/>
            <w:noWrap/>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編號</w:t>
            </w:r>
          </w:p>
        </w:tc>
        <w:tc>
          <w:tcPr>
            <w:tcW w:w="2126" w:type="dxa"/>
            <w:vAlign w:val="center"/>
            <w:hideMark/>
          </w:tcPr>
          <w:p w:rsidR="00F956E8" w:rsidRPr="000B2A94" w:rsidRDefault="00F956E8" w:rsidP="00F956E8">
            <w:pPr>
              <w:ind w:rightChars="-30" w:right="-102"/>
              <w:jc w:val="center"/>
              <w:rPr>
                <w:rFonts w:hAnsi="標楷體"/>
                <w:color w:val="000000" w:themeColor="text1"/>
                <w:sz w:val="28"/>
                <w:szCs w:val="28"/>
              </w:rPr>
            </w:pPr>
            <w:r w:rsidRPr="000B2A94">
              <w:rPr>
                <w:rFonts w:hAnsi="標楷體"/>
                <w:color w:val="000000" w:themeColor="text1"/>
                <w:sz w:val="28"/>
                <w:szCs w:val="28"/>
              </w:rPr>
              <w:t>案由</w:t>
            </w:r>
          </w:p>
        </w:tc>
        <w:tc>
          <w:tcPr>
            <w:tcW w:w="6400" w:type="dxa"/>
            <w:vAlign w:val="center"/>
            <w:hideMark/>
          </w:tcPr>
          <w:p w:rsidR="00F956E8" w:rsidRPr="000B2A94" w:rsidRDefault="00F956E8" w:rsidP="00F956E8">
            <w:pPr>
              <w:jc w:val="center"/>
              <w:rPr>
                <w:rFonts w:hAnsi="標楷體"/>
                <w:color w:val="000000" w:themeColor="text1"/>
                <w:sz w:val="28"/>
                <w:szCs w:val="28"/>
              </w:rPr>
            </w:pPr>
            <w:r w:rsidRPr="000B2A94">
              <w:rPr>
                <w:rFonts w:hAnsi="標楷體"/>
                <w:color w:val="000000" w:themeColor="text1"/>
                <w:sz w:val="28"/>
                <w:szCs w:val="28"/>
              </w:rPr>
              <w:t>調查意見</w:t>
            </w:r>
          </w:p>
        </w:tc>
      </w:tr>
      <w:tr w:rsidR="000B2A94" w:rsidRPr="000B2A94" w:rsidTr="00F956E8">
        <w:tc>
          <w:tcPr>
            <w:tcW w:w="534" w:type="dxa"/>
            <w:noWrap/>
            <w:hideMark/>
          </w:tcPr>
          <w:p w:rsidR="00F956E8" w:rsidRPr="000B2A94" w:rsidRDefault="00F956E8" w:rsidP="00F956E8">
            <w:pPr>
              <w:rPr>
                <w:color w:val="000000" w:themeColor="text1"/>
                <w:sz w:val="28"/>
                <w:szCs w:val="28"/>
              </w:rPr>
            </w:pPr>
            <w:r w:rsidRPr="000B2A94">
              <w:rPr>
                <w:color w:val="000000" w:themeColor="text1"/>
                <w:sz w:val="28"/>
                <w:szCs w:val="28"/>
              </w:rPr>
              <w:t>1</w:t>
            </w:r>
          </w:p>
        </w:tc>
        <w:tc>
          <w:tcPr>
            <w:tcW w:w="2126" w:type="dxa"/>
            <w:hideMark/>
          </w:tcPr>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107司調0048：</w:t>
            </w:r>
          </w:p>
          <w:p w:rsidR="00F956E8" w:rsidRPr="000B2A94" w:rsidRDefault="00F956E8" w:rsidP="00832B8B">
            <w:pPr>
              <w:ind w:rightChars="-30" w:right="-102"/>
              <w:rPr>
                <w:rFonts w:hAnsi="標楷體"/>
                <w:color w:val="000000" w:themeColor="text1"/>
                <w:sz w:val="28"/>
                <w:szCs w:val="28"/>
              </w:rPr>
            </w:pPr>
            <w:r w:rsidRPr="000B2A94">
              <w:rPr>
                <w:rFonts w:hAnsi="標楷體"/>
                <w:color w:val="000000" w:themeColor="text1"/>
                <w:sz w:val="28"/>
                <w:szCs w:val="28"/>
              </w:rPr>
              <w:t>據訴，前手球國手陳</w:t>
            </w:r>
            <w:r w:rsidR="00832B8B" w:rsidRPr="000B2A94">
              <w:rPr>
                <w:rFonts w:hAnsi="標楷體" w:hint="eastAsia"/>
                <w:color w:val="000000" w:themeColor="text1"/>
                <w:sz w:val="28"/>
                <w:szCs w:val="28"/>
              </w:rPr>
              <w:t>○○</w:t>
            </w:r>
            <w:r w:rsidRPr="000B2A94">
              <w:rPr>
                <w:rFonts w:hAnsi="標楷體"/>
                <w:color w:val="000000" w:themeColor="text1"/>
                <w:sz w:val="28"/>
                <w:szCs w:val="28"/>
              </w:rPr>
              <w:t>於107年2月14日遭臺灣高等法院高雄分院103年度上易字第574號刑事判決，認定前手球國手陳</w:t>
            </w:r>
            <w:r w:rsidR="00832B8B" w:rsidRPr="000B2A94">
              <w:rPr>
                <w:rFonts w:hAnsi="標楷體" w:hint="eastAsia"/>
                <w:color w:val="000000" w:themeColor="text1"/>
                <w:sz w:val="28"/>
                <w:szCs w:val="28"/>
              </w:rPr>
              <w:t>○○</w:t>
            </w:r>
            <w:r w:rsidRPr="000B2A94">
              <w:rPr>
                <w:rFonts w:hAnsi="標楷體"/>
                <w:color w:val="000000" w:themeColor="text1"/>
                <w:sz w:val="28"/>
                <w:szCs w:val="28"/>
              </w:rPr>
              <w:t>裝盲詐保，判處有期徒刑1年2個月定讞。然而陳</w:t>
            </w:r>
            <w:r w:rsidR="00832B8B" w:rsidRPr="000B2A94">
              <w:rPr>
                <w:rFonts w:hAnsi="標楷體" w:hint="eastAsia"/>
                <w:color w:val="000000" w:themeColor="text1"/>
                <w:sz w:val="28"/>
                <w:szCs w:val="28"/>
              </w:rPr>
              <w:t>○○</w:t>
            </w:r>
            <w:r w:rsidRPr="000B2A94">
              <w:rPr>
                <w:rFonts w:hAnsi="標楷體"/>
                <w:color w:val="000000" w:themeColor="text1"/>
                <w:sz w:val="28"/>
                <w:szCs w:val="28"/>
              </w:rPr>
              <w:t>是視覺皮質損傷(CVI)的患者，有剩餘的光覺及色塊覺，仍可以靠過去的視覺經驗完成許多行為，但是法官不採學者專家的鑑定及評估意見，認定重度視覺障礙</w:t>
            </w:r>
            <w:r w:rsidRPr="000B2A94">
              <w:rPr>
                <w:rFonts w:hAnsi="標楷體"/>
                <w:color w:val="000000" w:themeColor="text1"/>
                <w:sz w:val="28"/>
                <w:szCs w:val="28"/>
              </w:rPr>
              <w:lastRenderedPageBreak/>
              <w:t>者不可能做到如丟飛盤等動作，是對視覺障礙者有偏見的判決。此案所訴，陳○○為視覺皮質損傷(CVI)患者，仍可靠殘餘視力活動是否為真？有無冤錯的可能？有進行調查之必要。</w:t>
            </w:r>
          </w:p>
        </w:tc>
        <w:tc>
          <w:tcPr>
            <w:tcW w:w="6400" w:type="dxa"/>
            <w:hideMark/>
          </w:tcPr>
          <w:p w:rsidR="00832B8B" w:rsidRPr="000B2A94" w:rsidRDefault="00832B8B" w:rsidP="00196DD5">
            <w:pPr>
              <w:pStyle w:val="afa"/>
              <w:numPr>
                <w:ilvl w:val="0"/>
                <w:numId w:val="19"/>
              </w:numPr>
              <w:ind w:leftChars="0"/>
              <w:rPr>
                <w:rFonts w:hAnsi="標楷體"/>
                <w:color w:val="000000" w:themeColor="text1"/>
                <w:sz w:val="28"/>
                <w:szCs w:val="28"/>
              </w:rPr>
            </w:pPr>
            <w:r w:rsidRPr="000B2A94">
              <w:rPr>
                <w:rFonts w:hAnsi="標楷體"/>
                <w:color w:val="000000" w:themeColor="text1"/>
                <w:sz w:val="28"/>
                <w:szCs w:val="28"/>
              </w:rPr>
              <w:lastRenderedPageBreak/>
              <w:t>陳○○</w:t>
            </w:r>
            <w:r w:rsidR="00F956E8" w:rsidRPr="000B2A94">
              <w:rPr>
                <w:rFonts w:hAnsi="標楷體"/>
                <w:color w:val="000000" w:themeColor="text1"/>
                <w:sz w:val="28"/>
                <w:szCs w:val="28"/>
              </w:rPr>
              <w:t>先生因98年11月24日之車禍，致其腦部枕葉血液灌流減少或腦皮質損傷，導致其視覺障礙(腦性視障)，經系爭判決確認在案，並與歷來醫療院所檢驗結果一致</w:t>
            </w:r>
            <w:r w:rsidRPr="000B2A94">
              <w:rPr>
                <w:rFonts w:hAnsi="標楷體" w:hint="eastAsia"/>
                <w:color w:val="000000" w:themeColor="text1"/>
                <w:sz w:val="28"/>
                <w:szCs w:val="28"/>
              </w:rPr>
              <w:t>。</w:t>
            </w:r>
          </w:p>
          <w:p w:rsidR="00832B8B" w:rsidRPr="000B2A94" w:rsidRDefault="00F956E8" w:rsidP="00196DD5">
            <w:pPr>
              <w:pStyle w:val="afa"/>
              <w:numPr>
                <w:ilvl w:val="0"/>
                <w:numId w:val="19"/>
              </w:numPr>
              <w:ind w:leftChars="0"/>
              <w:rPr>
                <w:rFonts w:hAnsi="標楷體"/>
                <w:color w:val="000000" w:themeColor="text1"/>
                <w:sz w:val="28"/>
                <w:szCs w:val="28"/>
              </w:rPr>
            </w:pPr>
            <w:r w:rsidRPr="000B2A94">
              <w:rPr>
                <w:rFonts w:hAnsi="標楷體"/>
                <w:color w:val="000000" w:themeColor="text1"/>
                <w:sz w:val="28"/>
                <w:szCs w:val="28"/>
              </w:rPr>
              <w:t>據中華民國眼科醫學會107年7月31日中眼台(107)字第076號函，腦性視障須多科別醫師共同評估，且必須有腦部影像檢查，另據衛福部查復與文獻指出，此種病症通常需搭配先進醫療技術與儀器方能確認。</w:t>
            </w:r>
            <w:r w:rsidR="00832B8B" w:rsidRPr="000B2A94">
              <w:rPr>
                <w:rFonts w:hAnsi="標楷體"/>
                <w:color w:val="000000" w:themeColor="text1"/>
                <w:sz w:val="28"/>
                <w:szCs w:val="28"/>
              </w:rPr>
              <w:t>陳○○</w:t>
            </w:r>
            <w:r w:rsidRPr="000B2A94">
              <w:rPr>
                <w:rFonts w:hAnsi="標楷體"/>
                <w:color w:val="000000" w:themeColor="text1"/>
                <w:sz w:val="28"/>
                <w:szCs w:val="28"/>
              </w:rPr>
              <w:t>先生之視覺障礙並非眼球器質性受損，係視神經與大腦枕葉損傷，業經系爭判決確認在案。然查，系爭判決所採事證多半僅有眼科醫師判定，且診斷與檢測方式係器質性、結構性受損之檢測方式，與上開新事證不符，違反專業經驗法則且前後矛盾。又陳○○歷來相關診斷與檢測結果，與衛福部、中華民國眼科醫學會查復視覺皮質損傷之檢測結果一致，彰基醫院105年5月8日函則與之不符，併此敘明</w:t>
            </w:r>
            <w:r w:rsidR="00832B8B" w:rsidRPr="000B2A94">
              <w:rPr>
                <w:rFonts w:hAnsi="標楷體" w:hint="eastAsia"/>
                <w:color w:val="000000" w:themeColor="text1"/>
                <w:sz w:val="28"/>
                <w:szCs w:val="28"/>
              </w:rPr>
              <w:t>。</w:t>
            </w:r>
          </w:p>
          <w:p w:rsidR="00832B8B" w:rsidRPr="000B2A94" w:rsidRDefault="00F956E8" w:rsidP="00196DD5">
            <w:pPr>
              <w:pStyle w:val="afa"/>
              <w:numPr>
                <w:ilvl w:val="0"/>
                <w:numId w:val="19"/>
              </w:numPr>
              <w:ind w:leftChars="0"/>
              <w:rPr>
                <w:rFonts w:hAnsi="標楷體"/>
                <w:color w:val="000000" w:themeColor="text1"/>
                <w:sz w:val="28"/>
                <w:szCs w:val="28"/>
              </w:rPr>
            </w:pPr>
            <w:r w:rsidRPr="000B2A94">
              <w:rPr>
                <w:rFonts w:hAnsi="標楷體"/>
                <w:color w:val="000000" w:themeColor="text1"/>
                <w:sz w:val="28"/>
                <w:szCs w:val="28"/>
              </w:rPr>
              <w:t>據本院委請臺北榮民總醫院林○○(眼科部主治醫師)、王○○(神經醫學中心主任)、謝○○(醫學研究部主治醫師)及國立中央大學認知神經科學研究所洪○教授組成之專業團隊，對陳○○之視覺狀況進行</w:t>
            </w:r>
            <w:r w:rsidRPr="000B2A94">
              <w:rPr>
                <w:rFonts w:hAnsi="標楷體"/>
                <w:color w:val="000000" w:themeColor="text1"/>
                <w:sz w:val="28"/>
                <w:szCs w:val="28"/>
              </w:rPr>
              <w:lastRenderedPageBreak/>
              <w:t>鑑定，鑑定結果顯示其罹患功能性視盲，另參照衛福部查復，前開鑑定所採用之檢測方式很難造假，即陳○○對視覺刺激之反應，並無造假或施用詐術情事，前開鑑定結果核屬足以推翻原確定判決所認事實之新證據，具刑事訴訟法第420條第1項第6款之再審事由</w:t>
            </w:r>
            <w:r w:rsidR="00832B8B" w:rsidRPr="000B2A94">
              <w:rPr>
                <w:rFonts w:hAnsi="標楷體" w:hint="eastAsia"/>
                <w:color w:val="000000" w:themeColor="text1"/>
                <w:sz w:val="28"/>
                <w:szCs w:val="28"/>
              </w:rPr>
              <w:t>。</w:t>
            </w:r>
          </w:p>
          <w:p w:rsidR="00832B8B" w:rsidRPr="000B2A94" w:rsidRDefault="00F956E8" w:rsidP="00196DD5">
            <w:pPr>
              <w:pStyle w:val="afa"/>
              <w:numPr>
                <w:ilvl w:val="0"/>
                <w:numId w:val="19"/>
              </w:numPr>
              <w:ind w:leftChars="0"/>
              <w:rPr>
                <w:rFonts w:hAnsi="標楷體"/>
                <w:color w:val="000000" w:themeColor="text1"/>
                <w:sz w:val="28"/>
                <w:szCs w:val="28"/>
              </w:rPr>
            </w:pPr>
            <w:r w:rsidRPr="000B2A94">
              <w:rPr>
                <w:rFonts w:hAnsi="標楷體"/>
                <w:color w:val="000000" w:themeColor="text1"/>
                <w:sz w:val="28"/>
                <w:szCs w:val="28"/>
              </w:rPr>
              <w:t>據中華民國眼科醫學會及衛福部查復，視力功能與功能性視力係屬二事，日常生活或熟悉環境作息不需極佳視力，透過剩餘視力及其他感知力亦可在無輔具或無他人協助下完成，然系爭判決以陳○○諸多日常生活表現，逕認定其視力功能在萬國視力表0.01以上，非但無科學、醫學論據或鑑定報告為基礎，且與上開新事證不符，具刑事訴訟法第420條第1項第6</w:t>
            </w:r>
            <w:r w:rsidR="00832B8B" w:rsidRPr="000B2A94">
              <w:rPr>
                <w:rFonts w:hAnsi="標楷體"/>
                <w:color w:val="000000" w:themeColor="text1"/>
                <w:sz w:val="28"/>
                <w:szCs w:val="28"/>
              </w:rPr>
              <w:t>款之再審事</w:t>
            </w:r>
            <w:r w:rsidR="00832B8B" w:rsidRPr="000B2A94">
              <w:rPr>
                <w:rFonts w:hAnsi="標楷體" w:hint="eastAsia"/>
                <w:color w:val="000000" w:themeColor="text1"/>
                <w:sz w:val="28"/>
                <w:szCs w:val="28"/>
              </w:rPr>
              <w:t>。</w:t>
            </w:r>
          </w:p>
          <w:p w:rsidR="00832B8B" w:rsidRPr="000B2A94" w:rsidRDefault="00F956E8" w:rsidP="00196DD5">
            <w:pPr>
              <w:pStyle w:val="afa"/>
              <w:numPr>
                <w:ilvl w:val="0"/>
                <w:numId w:val="19"/>
              </w:numPr>
              <w:ind w:leftChars="0"/>
              <w:rPr>
                <w:rFonts w:hAnsi="標楷體"/>
                <w:color w:val="000000" w:themeColor="text1"/>
                <w:sz w:val="28"/>
                <w:szCs w:val="28"/>
              </w:rPr>
            </w:pPr>
            <w:r w:rsidRPr="000B2A94">
              <w:rPr>
                <w:rFonts w:hAnsi="標楷體"/>
                <w:color w:val="000000" w:themeColor="text1"/>
                <w:sz w:val="28"/>
                <w:szCs w:val="28"/>
              </w:rPr>
              <w:t>系爭判決逕以陳○○諸多日常生活表現，認定其視力功能在萬國視力表0.01以上，將行為表現與醫學上視力值等視，具違反論理、經驗法則之違誤。此外，系爭判決漏未斟酌盲視(Blindsight)相關事證對陳○○成立詐欺罪之影響，核屬足生影響於判決之重要證據漏未審酌而具再審事由</w:t>
            </w:r>
            <w:r w:rsidR="00832B8B" w:rsidRPr="000B2A94">
              <w:rPr>
                <w:rFonts w:hAnsi="標楷體" w:hint="eastAsia"/>
                <w:color w:val="000000" w:themeColor="text1"/>
                <w:sz w:val="28"/>
                <w:szCs w:val="28"/>
              </w:rPr>
              <w:t>。</w:t>
            </w:r>
          </w:p>
          <w:p w:rsidR="00F956E8" w:rsidRPr="000B2A94" w:rsidRDefault="00F956E8" w:rsidP="00196DD5">
            <w:pPr>
              <w:pStyle w:val="afa"/>
              <w:numPr>
                <w:ilvl w:val="0"/>
                <w:numId w:val="19"/>
              </w:numPr>
              <w:ind w:leftChars="0"/>
              <w:rPr>
                <w:rFonts w:hAnsi="標楷體"/>
                <w:color w:val="000000" w:themeColor="text1"/>
                <w:sz w:val="28"/>
                <w:szCs w:val="28"/>
              </w:rPr>
            </w:pPr>
            <w:r w:rsidRPr="000B2A94">
              <w:rPr>
                <w:rFonts w:hAnsi="標楷體"/>
                <w:color w:val="000000" w:themeColor="text1"/>
                <w:sz w:val="28"/>
                <w:szCs w:val="28"/>
              </w:rPr>
              <w:t>本案合議庭認為彰基醫院陳○○醫師為重要證人，有詢問之必要，惟陳○○醫師未經合議庭傳喚，其亦未表示不能配合審判期日到庭作證，顯無「預料證人不能於審判期日到場」之客觀事實存在，詎合議庭逕行函知將於105年2月2日赴彰基醫院詢問陳○○醫師，該函雖副知陳○○及其辯護人，惟仍屬剝奪陳○○受憲法、刑事訴訟法保障之詰問權。行使詰問權為被告重要之訴訟防禦權利，且係落實當事人對等原則之重要程序，合議庭上開作法核與直接、集中審理之訴訟程序本旨相悖，違反正當法律程序之判決違背法令</w:t>
            </w:r>
            <w:r w:rsidR="00832B8B" w:rsidRPr="000B2A94">
              <w:rPr>
                <w:rFonts w:hAnsi="標楷體" w:hint="eastAsia"/>
                <w:color w:val="000000" w:themeColor="text1"/>
                <w:sz w:val="28"/>
                <w:szCs w:val="28"/>
              </w:rPr>
              <w:t>。</w:t>
            </w:r>
          </w:p>
        </w:tc>
      </w:tr>
      <w:tr w:rsidR="000B2A94" w:rsidRPr="000B2A94" w:rsidTr="00F956E8">
        <w:tc>
          <w:tcPr>
            <w:tcW w:w="534" w:type="dxa"/>
            <w:noWrap/>
            <w:hideMark/>
          </w:tcPr>
          <w:p w:rsidR="00F956E8" w:rsidRPr="000B2A94" w:rsidRDefault="00F956E8" w:rsidP="00F956E8">
            <w:pPr>
              <w:rPr>
                <w:color w:val="000000" w:themeColor="text1"/>
                <w:sz w:val="28"/>
                <w:szCs w:val="28"/>
              </w:rPr>
            </w:pPr>
            <w:r w:rsidRPr="000B2A94">
              <w:rPr>
                <w:color w:val="000000" w:themeColor="text1"/>
                <w:sz w:val="28"/>
                <w:szCs w:val="28"/>
              </w:rPr>
              <w:lastRenderedPageBreak/>
              <w:t>2</w:t>
            </w:r>
          </w:p>
        </w:tc>
        <w:tc>
          <w:tcPr>
            <w:tcW w:w="2126" w:type="dxa"/>
            <w:hideMark/>
          </w:tcPr>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107司調0039：</w:t>
            </w:r>
          </w:p>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據訴，臺灣臺南地方檢察署檢察官在無其他積極證據佐證下，僅因其接受警方測謊未通過，即以其涉犯殺人罪嫌，草率起訴；臺灣高等法院臺南分院94年度重上更(六)字第60號判決亦據該測謊鑑定結果，濫用自由心證，認定其觸犯殺人罪，判處其無期徒刑確定，判決顯然違背法令等情案。</w:t>
            </w:r>
          </w:p>
        </w:tc>
        <w:tc>
          <w:tcPr>
            <w:tcW w:w="6400" w:type="dxa"/>
            <w:hideMark/>
          </w:tcPr>
          <w:p w:rsidR="00832B8B" w:rsidRPr="000B2A94" w:rsidRDefault="00F956E8" w:rsidP="00196DD5">
            <w:pPr>
              <w:pStyle w:val="afa"/>
              <w:numPr>
                <w:ilvl w:val="0"/>
                <w:numId w:val="20"/>
              </w:numPr>
              <w:ind w:leftChars="0"/>
              <w:rPr>
                <w:rFonts w:hAnsi="標楷體"/>
                <w:color w:val="000000" w:themeColor="text1"/>
                <w:sz w:val="28"/>
                <w:szCs w:val="28"/>
              </w:rPr>
            </w:pPr>
            <w:r w:rsidRPr="000B2A94">
              <w:rPr>
                <w:rFonts w:hAnsi="標楷體"/>
                <w:color w:val="000000" w:themeColor="text1"/>
                <w:sz w:val="28"/>
                <w:szCs w:val="28"/>
              </w:rPr>
              <w:t>有關臺南高分院94年8月18日94年度重上更(六)字第60號被告李春生殺人案確定判決，臺南縣警察局永康分局員警接獲李春生報案，於85年2月11日晚間10時許在命案現場之屋後巷子找到躲在水溝旁之黃</w:t>
            </w:r>
            <w:r w:rsidR="00832B8B" w:rsidRPr="000B2A94">
              <w:rPr>
                <w:rFonts w:hAnsi="標楷體"/>
                <w:color w:val="000000" w:themeColor="text1"/>
                <w:sz w:val="28"/>
                <w:szCs w:val="28"/>
              </w:rPr>
              <w:t>○</w:t>
            </w:r>
            <w:r w:rsidRPr="000B2A94">
              <w:rPr>
                <w:rFonts w:hAnsi="標楷體"/>
                <w:color w:val="000000" w:themeColor="text1"/>
                <w:sz w:val="28"/>
                <w:szCs w:val="28"/>
              </w:rPr>
              <w:t>森，其躲藏處地上樹葉斑斑血跡。檢察官先以殺人罪嫌羈押黃</w:t>
            </w:r>
            <w:r w:rsidR="00832B8B" w:rsidRPr="000B2A94">
              <w:rPr>
                <w:rFonts w:hAnsi="標楷體"/>
                <w:color w:val="000000" w:themeColor="text1"/>
                <w:sz w:val="28"/>
                <w:szCs w:val="28"/>
              </w:rPr>
              <w:t>○</w:t>
            </w:r>
            <w:r w:rsidRPr="000B2A94">
              <w:rPr>
                <w:rFonts w:hAnsi="標楷體"/>
                <w:color w:val="000000" w:themeColor="text1"/>
                <w:sz w:val="28"/>
                <w:szCs w:val="28"/>
              </w:rPr>
              <w:t>森後，嗣因傳喚未居住戶籍地之李春生未到，即具保釋放黃</w:t>
            </w:r>
            <w:r w:rsidR="00832B8B" w:rsidRPr="000B2A94">
              <w:rPr>
                <w:rFonts w:hAnsi="標楷體"/>
                <w:color w:val="000000" w:themeColor="text1"/>
                <w:sz w:val="28"/>
                <w:szCs w:val="28"/>
              </w:rPr>
              <w:t>○</w:t>
            </w:r>
            <w:r w:rsidRPr="000B2A94">
              <w:rPr>
                <w:rFonts w:hAnsi="標楷體"/>
                <w:color w:val="000000" w:themeColor="text1"/>
                <w:sz w:val="28"/>
                <w:szCs w:val="28"/>
              </w:rPr>
              <w:t>森，改命拘提李春生到案並羈押之。復因檢察官命警方採驗兇刀查無指紋等殺人罪證，無法認定李春生及黃</w:t>
            </w:r>
            <w:r w:rsidR="00832B8B" w:rsidRPr="000B2A94">
              <w:rPr>
                <w:rFonts w:hAnsi="標楷體"/>
                <w:color w:val="000000" w:themeColor="text1"/>
                <w:sz w:val="28"/>
                <w:szCs w:val="28"/>
              </w:rPr>
              <w:t>○</w:t>
            </w:r>
            <w:r w:rsidRPr="000B2A94">
              <w:rPr>
                <w:rFonts w:hAnsi="標楷體"/>
                <w:color w:val="000000" w:themeColor="text1"/>
                <w:sz w:val="28"/>
                <w:szCs w:val="28"/>
              </w:rPr>
              <w:t>森2人中究係何人為兇嫌，即依刑事訴訟法第208條規定囑託警察機關派員對該2人測謊鑑定，並以李春生測謊未通過而黃</w:t>
            </w:r>
            <w:r w:rsidR="00832B8B" w:rsidRPr="000B2A94">
              <w:rPr>
                <w:rFonts w:hAnsi="標楷體"/>
                <w:color w:val="000000" w:themeColor="text1"/>
                <w:sz w:val="28"/>
                <w:szCs w:val="28"/>
              </w:rPr>
              <w:t>○</w:t>
            </w:r>
            <w:r w:rsidRPr="000B2A94">
              <w:rPr>
                <w:rFonts w:hAnsi="標楷體"/>
                <w:color w:val="000000" w:themeColor="text1"/>
                <w:sz w:val="28"/>
                <w:szCs w:val="28"/>
              </w:rPr>
              <w:t>森測謊通過之鑑定結果，佐以原被警方及檢察官認定為殺人兇嫌之敵對性證人黃</w:t>
            </w:r>
            <w:r w:rsidR="00832B8B" w:rsidRPr="000B2A94">
              <w:rPr>
                <w:rFonts w:hAnsi="標楷體"/>
                <w:color w:val="000000" w:themeColor="text1"/>
                <w:sz w:val="28"/>
                <w:szCs w:val="28"/>
              </w:rPr>
              <w:t>○</w:t>
            </w:r>
            <w:r w:rsidRPr="000B2A94">
              <w:rPr>
                <w:rFonts w:hAnsi="標楷體"/>
                <w:color w:val="000000" w:themeColor="text1"/>
                <w:sz w:val="28"/>
                <w:szCs w:val="28"/>
              </w:rPr>
              <w:t>森之證述，認定李春生應為刺殺張正雄之兇嫌。檢察官既未將黃</w:t>
            </w:r>
            <w:r w:rsidR="00832B8B" w:rsidRPr="000B2A94">
              <w:rPr>
                <w:rFonts w:hAnsi="標楷體"/>
                <w:color w:val="000000" w:themeColor="text1"/>
                <w:sz w:val="28"/>
                <w:szCs w:val="28"/>
              </w:rPr>
              <w:t>○</w:t>
            </w:r>
            <w:r w:rsidRPr="000B2A94">
              <w:rPr>
                <w:rFonts w:hAnsi="標楷體"/>
                <w:color w:val="000000" w:themeColor="text1"/>
                <w:sz w:val="28"/>
                <w:szCs w:val="28"/>
              </w:rPr>
              <w:t>森藏身處地上樹葉之斑斑血跡送鑑定，亦未檢視本件測謊鑑定程序資料是否正確等相關證據資料，即以李春生殺人罪嫌，提起公訴，顯未善盡偵查主體職責，屬司法實務為人詬病的「查無證據借助測謊」的典型案例。</w:t>
            </w:r>
          </w:p>
          <w:p w:rsidR="00832B8B" w:rsidRPr="000B2A94" w:rsidRDefault="00F956E8" w:rsidP="00196DD5">
            <w:pPr>
              <w:pStyle w:val="afa"/>
              <w:numPr>
                <w:ilvl w:val="0"/>
                <w:numId w:val="20"/>
              </w:numPr>
              <w:ind w:leftChars="0"/>
              <w:rPr>
                <w:rFonts w:hAnsi="標楷體"/>
                <w:color w:val="000000" w:themeColor="text1"/>
                <w:sz w:val="28"/>
                <w:szCs w:val="28"/>
              </w:rPr>
            </w:pPr>
            <w:r w:rsidRPr="000B2A94">
              <w:rPr>
                <w:rFonts w:hAnsi="標楷體"/>
                <w:color w:val="000000" w:themeColor="text1"/>
                <w:sz w:val="28"/>
                <w:szCs w:val="28"/>
              </w:rPr>
              <w:t>臺南高分院94年8月18日94年度重上更(六)字第60號李春生殺人案有罪確定判決及歷次事實審法院有罪判決主要理由均依循檢察官對李春生提起公訴之論據，以原被警方及檢察官認定為逃離命案現場之殺人兇嫌並予羈押之黃</w:t>
            </w:r>
            <w:r w:rsidR="00832B8B" w:rsidRPr="000B2A94">
              <w:rPr>
                <w:rFonts w:hAnsi="標楷體"/>
                <w:color w:val="000000" w:themeColor="text1"/>
                <w:sz w:val="28"/>
                <w:szCs w:val="28"/>
              </w:rPr>
              <w:t>○</w:t>
            </w:r>
            <w:r w:rsidRPr="000B2A94">
              <w:rPr>
                <w:rFonts w:hAnsi="標楷體"/>
                <w:color w:val="000000" w:themeColor="text1"/>
                <w:sz w:val="28"/>
                <w:szCs w:val="28"/>
              </w:rPr>
              <w:t>森「迭次於警偵審訊中一再指證」李春生刺殺張正雄，佐以李春生測謊未通過及黃</w:t>
            </w:r>
            <w:r w:rsidR="00832B8B" w:rsidRPr="000B2A94">
              <w:rPr>
                <w:rFonts w:hAnsi="標楷體"/>
                <w:color w:val="000000" w:themeColor="text1"/>
                <w:sz w:val="28"/>
                <w:szCs w:val="28"/>
              </w:rPr>
              <w:t>○</w:t>
            </w:r>
            <w:r w:rsidRPr="000B2A94">
              <w:rPr>
                <w:rFonts w:hAnsi="標楷體"/>
                <w:color w:val="000000" w:themeColor="text1"/>
                <w:sz w:val="28"/>
                <w:szCs w:val="28"/>
              </w:rPr>
              <w:t>森測謊通過之鑑定報告結論，及據命案現場3人座位所處方位推論所得，作為認定被告李春生持水果刀刺殺張正雄之證據及理由。惟本案確定判決及歷審有罪判決俱未調查臺南地檢署檢察官84年度偵字第6092號不起訴處分書，逕以黃</w:t>
            </w:r>
            <w:r w:rsidR="00832B8B" w:rsidRPr="000B2A94">
              <w:rPr>
                <w:rFonts w:hAnsi="標楷體"/>
                <w:color w:val="000000" w:themeColor="text1"/>
                <w:sz w:val="28"/>
                <w:szCs w:val="28"/>
              </w:rPr>
              <w:t>○</w:t>
            </w:r>
            <w:r w:rsidRPr="000B2A94">
              <w:rPr>
                <w:rFonts w:hAnsi="標楷體"/>
                <w:color w:val="000000" w:themeColor="text1"/>
                <w:sz w:val="28"/>
                <w:szCs w:val="28"/>
              </w:rPr>
              <w:t>森之證述認定被告李春生殺</w:t>
            </w:r>
            <w:r w:rsidRPr="000B2A94">
              <w:rPr>
                <w:rFonts w:hAnsi="標楷體"/>
                <w:color w:val="000000" w:themeColor="text1"/>
                <w:sz w:val="28"/>
                <w:szCs w:val="28"/>
              </w:rPr>
              <w:lastRenderedPageBreak/>
              <w:t>人動機；且就命案現場3人座位所處方位之推論，法醫師亦迭次向法院說明：「行兇之人位置無論是坐在張正雄左方之陳訴人或前方之黃</w:t>
            </w:r>
            <w:r w:rsidR="00832B8B" w:rsidRPr="000B2A94">
              <w:rPr>
                <w:rFonts w:hAnsi="標楷體"/>
                <w:color w:val="000000" w:themeColor="text1"/>
                <w:sz w:val="28"/>
                <w:szCs w:val="28"/>
              </w:rPr>
              <w:t>○</w:t>
            </w:r>
            <w:r w:rsidRPr="000B2A94">
              <w:rPr>
                <w:rFonts w:hAnsi="標楷體"/>
                <w:color w:val="000000" w:themeColor="text1"/>
                <w:sz w:val="28"/>
                <w:szCs w:val="28"/>
              </w:rPr>
              <w:t>森，均有可能。」而作為本案被告李春生之敵對性證人黃</w:t>
            </w:r>
            <w:r w:rsidR="00832B8B" w:rsidRPr="000B2A94">
              <w:rPr>
                <w:rFonts w:hAnsi="標楷體"/>
                <w:color w:val="000000" w:themeColor="text1"/>
                <w:sz w:val="28"/>
                <w:szCs w:val="28"/>
              </w:rPr>
              <w:t>○</w:t>
            </w:r>
            <w:r w:rsidRPr="000B2A94">
              <w:rPr>
                <w:rFonts w:hAnsi="標楷體"/>
                <w:color w:val="000000" w:themeColor="text1"/>
                <w:sz w:val="28"/>
                <w:szCs w:val="28"/>
              </w:rPr>
              <w:t>森於偵審中對案發經過之證述內容更是前後不一及矛盾錯誤，縱佐以疑點重重之警方測謊鑑定報告或其他間接事證推論之，仍難謂已達歷年司法實務所採，認定犯罪事實所憑之證據須令通常一般之人均不致有所懷疑之程度。故本案臺南高分院87年度上更(二)字第61號更二審判決即認定命案現場之主要嫌犯黃</w:t>
            </w:r>
            <w:r w:rsidR="00832B8B" w:rsidRPr="000B2A94">
              <w:rPr>
                <w:rFonts w:hAnsi="標楷體"/>
                <w:color w:val="000000" w:themeColor="text1"/>
                <w:sz w:val="28"/>
                <w:szCs w:val="28"/>
              </w:rPr>
              <w:t>○</w:t>
            </w:r>
            <w:r w:rsidRPr="000B2A94">
              <w:rPr>
                <w:rFonts w:hAnsi="標楷體"/>
                <w:color w:val="000000" w:themeColor="text1"/>
                <w:sz w:val="28"/>
                <w:szCs w:val="28"/>
              </w:rPr>
              <w:t>森指證有前後不一之矛盾：「顯見情虛」且影響測謊鑑定結果之因素甚多，故不得僅以李春生測謊未通過之鑑定報告作為認定李春生殺人之唯一證據，爰為李春生無罪判決，尚非無由。本案確定判決顯有刑事訴訟法第379條第10款：「依本法應於審判期日調查之證據而未予調查」及第14款：「判決不載理由或所載理由矛盾」判決當然違背法令之情形，並已違反刑事訴訟法第154條等規定並具普世人權價值之無罪推定原則。</w:t>
            </w:r>
          </w:p>
          <w:p w:rsidR="00F956E8" w:rsidRPr="000B2A94" w:rsidRDefault="00F956E8" w:rsidP="00196DD5">
            <w:pPr>
              <w:pStyle w:val="afa"/>
              <w:numPr>
                <w:ilvl w:val="0"/>
                <w:numId w:val="20"/>
              </w:numPr>
              <w:ind w:leftChars="0"/>
              <w:rPr>
                <w:rFonts w:hAnsi="標楷體"/>
                <w:color w:val="000000" w:themeColor="text1"/>
                <w:sz w:val="28"/>
                <w:szCs w:val="28"/>
              </w:rPr>
            </w:pPr>
            <w:r w:rsidRPr="000B2A94">
              <w:rPr>
                <w:rFonts w:hAnsi="標楷體"/>
                <w:color w:val="000000" w:themeColor="text1"/>
                <w:sz w:val="28"/>
                <w:szCs w:val="28"/>
              </w:rPr>
              <w:t>本案臺灣臺南地方法院及臺南高分院先後將案發後黃</w:t>
            </w:r>
            <w:r w:rsidR="00832B8B" w:rsidRPr="000B2A94">
              <w:rPr>
                <w:rFonts w:hAnsi="標楷體"/>
                <w:color w:val="000000" w:themeColor="text1"/>
                <w:sz w:val="28"/>
                <w:szCs w:val="28"/>
              </w:rPr>
              <w:t>○</w:t>
            </w:r>
            <w:r w:rsidRPr="000B2A94">
              <w:rPr>
                <w:rFonts w:hAnsi="標楷體"/>
                <w:color w:val="000000" w:themeColor="text1"/>
                <w:sz w:val="28"/>
                <w:szCs w:val="28"/>
              </w:rPr>
              <w:t>森藏身處地上樹葉上人血送內政部警政署刑事警察局及法務部調查局檢驗結果分歧，刑事警察局檢驗結果為B型，惟調查局檢驗結果為O型，調查局並稱：「因腐敗，無法鑑驗出其DNA型別。」致遭被告李春生於臺南高分院庭訊時，質疑本案檢察官起訴所據且為歷審有罪判決採認為其有罪證據之測謊鑑定結果之準確性亦有疑問，相關司法警察機關檢驗鑑定機制，顯有重大瑕疵。又本案臺南高分院94年度重上更(六)字第60號確定判決理由有關李春生持水果刀刺殺張正雄之犯罪事實所憑之證據，經本院函請內政部警政署</w:t>
            </w:r>
            <w:r w:rsidRPr="000B2A94">
              <w:rPr>
                <w:rFonts w:hAnsi="標楷體"/>
                <w:color w:val="000000" w:themeColor="text1"/>
                <w:sz w:val="28"/>
                <w:szCs w:val="28"/>
              </w:rPr>
              <w:lastRenderedPageBreak/>
              <w:t>及其所屬警察機關、法務部矯正署臺南看守所等機關提供李春生於85年2月11日夜間案發後之報案紀錄與員警工作紀錄、命案現場樹葉上血跡與法院抽取李春生及黃</w:t>
            </w:r>
            <w:r w:rsidR="00832B8B" w:rsidRPr="000B2A94">
              <w:rPr>
                <w:rFonts w:hAnsi="標楷體"/>
                <w:color w:val="000000" w:themeColor="text1"/>
                <w:sz w:val="28"/>
                <w:szCs w:val="28"/>
              </w:rPr>
              <w:t>○</w:t>
            </w:r>
            <w:r w:rsidRPr="000B2A94">
              <w:rPr>
                <w:rFonts w:hAnsi="標楷體"/>
                <w:color w:val="000000" w:themeColor="text1"/>
                <w:sz w:val="28"/>
                <w:szCs w:val="28"/>
              </w:rPr>
              <w:t>森之血液檢體、85年2月間黃</w:t>
            </w:r>
            <w:r w:rsidR="00832B8B" w:rsidRPr="000B2A94">
              <w:rPr>
                <w:rFonts w:hAnsi="標楷體"/>
                <w:color w:val="000000" w:themeColor="text1"/>
                <w:sz w:val="28"/>
                <w:szCs w:val="28"/>
              </w:rPr>
              <w:t>○</w:t>
            </w:r>
            <w:r w:rsidRPr="000B2A94">
              <w:rPr>
                <w:rFonts w:hAnsi="標楷體"/>
                <w:color w:val="000000" w:themeColor="text1"/>
                <w:sz w:val="28"/>
                <w:szCs w:val="28"/>
              </w:rPr>
              <w:t>森羈押於臺南看守所之身體檢查（生理狀況）調查表及相關病歷資料等卷證資料，均復稱已銷毀或佚失；其中被認定為本案關鍵證據之李春生及黃</w:t>
            </w:r>
            <w:r w:rsidR="00832B8B" w:rsidRPr="000B2A94">
              <w:rPr>
                <w:rFonts w:hAnsi="標楷體"/>
                <w:color w:val="000000" w:themeColor="text1"/>
                <w:sz w:val="28"/>
                <w:szCs w:val="28"/>
              </w:rPr>
              <w:t>○</w:t>
            </w:r>
            <w:r w:rsidRPr="000B2A94">
              <w:rPr>
                <w:rFonts w:hAnsi="標楷體"/>
                <w:color w:val="000000" w:themeColor="text1"/>
                <w:sz w:val="28"/>
                <w:szCs w:val="28"/>
              </w:rPr>
              <w:t>森測謊鑑定資料竟係由施測之警察人員自行保管且僅剩測謊圖譜，其他諸如判斷測謊圖譜之質問題目及錄影（音）帶均稱已遺失無存，致本案無從再檢視可能對被告李春生有利之各項事證。相關機關對刑事案件證據之保管機制，顯有闕失。行政院允宜依據106年司法改革國是會議決議，儘速會同司法院建立完善之證物保管制度。</w:t>
            </w:r>
          </w:p>
        </w:tc>
      </w:tr>
      <w:tr w:rsidR="000B2A94" w:rsidRPr="000B2A94" w:rsidTr="00F956E8">
        <w:tc>
          <w:tcPr>
            <w:tcW w:w="534" w:type="dxa"/>
            <w:noWrap/>
            <w:hideMark/>
          </w:tcPr>
          <w:p w:rsidR="00F956E8" w:rsidRPr="000B2A94" w:rsidRDefault="00F956E8" w:rsidP="00F956E8">
            <w:pPr>
              <w:rPr>
                <w:color w:val="000000" w:themeColor="text1"/>
                <w:sz w:val="28"/>
                <w:szCs w:val="28"/>
              </w:rPr>
            </w:pPr>
            <w:r w:rsidRPr="000B2A94">
              <w:rPr>
                <w:color w:val="000000" w:themeColor="text1"/>
                <w:sz w:val="28"/>
                <w:szCs w:val="28"/>
              </w:rPr>
              <w:lastRenderedPageBreak/>
              <w:t>3</w:t>
            </w:r>
          </w:p>
        </w:tc>
        <w:tc>
          <w:tcPr>
            <w:tcW w:w="2126" w:type="dxa"/>
            <w:hideMark/>
          </w:tcPr>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107司調0030：</w:t>
            </w:r>
          </w:p>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據訴，臺灣高等法院臺南分院審理96年度重上更(二)字第9號、99年度重上更(三)字第15號渠與債務人間請求確認債權不存在事件，該法院依不實之會計鑑定報告書，遽為不利渠之判決確定，致同法院審理另案101年度重上更(一)字第12號渠請求債務人給付票款事件，亦為不</w:t>
            </w:r>
            <w:r w:rsidRPr="000B2A94">
              <w:rPr>
                <w:rFonts w:hAnsi="標楷體"/>
                <w:color w:val="000000" w:themeColor="text1"/>
                <w:sz w:val="28"/>
                <w:szCs w:val="28"/>
              </w:rPr>
              <w:lastRenderedPageBreak/>
              <w:t>利渠之判決，損及權益等情案。</w:t>
            </w:r>
          </w:p>
        </w:tc>
        <w:tc>
          <w:tcPr>
            <w:tcW w:w="6400" w:type="dxa"/>
            <w:hideMark/>
          </w:tcPr>
          <w:p w:rsidR="00832B8B" w:rsidRPr="000B2A94" w:rsidRDefault="00F956E8" w:rsidP="00196DD5">
            <w:pPr>
              <w:pStyle w:val="afa"/>
              <w:numPr>
                <w:ilvl w:val="0"/>
                <w:numId w:val="21"/>
              </w:numPr>
              <w:ind w:leftChars="0"/>
              <w:rPr>
                <w:rFonts w:hAnsi="標楷體"/>
                <w:color w:val="000000" w:themeColor="text1"/>
                <w:sz w:val="28"/>
                <w:szCs w:val="28"/>
              </w:rPr>
            </w:pPr>
            <w:r w:rsidRPr="000B2A94">
              <w:rPr>
                <w:rFonts w:hAnsi="標楷體"/>
                <w:color w:val="000000" w:themeColor="text1"/>
                <w:sz w:val="28"/>
                <w:szCs w:val="28"/>
              </w:rPr>
              <w:lastRenderedPageBreak/>
              <w:t>本案臺灣高等法院臺南分院審理96年度重上更(二)字第9號許</w:t>
            </w:r>
            <w:r w:rsidR="00832B8B" w:rsidRPr="000B2A94">
              <w:rPr>
                <w:rFonts w:hAnsi="標楷體"/>
                <w:color w:val="000000" w:themeColor="text1"/>
                <w:sz w:val="28"/>
                <w:szCs w:val="28"/>
              </w:rPr>
              <w:t>○○</w:t>
            </w:r>
            <w:r w:rsidRPr="000B2A94">
              <w:rPr>
                <w:rFonts w:hAnsi="標楷體"/>
                <w:color w:val="000000" w:themeColor="text1"/>
                <w:sz w:val="28"/>
                <w:szCs w:val="28"/>
              </w:rPr>
              <w:t>與何</w:t>
            </w:r>
            <w:r w:rsidR="00832B8B" w:rsidRPr="000B2A94">
              <w:rPr>
                <w:rFonts w:hAnsi="標楷體"/>
                <w:color w:val="000000" w:themeColor="text1"/>
                <w:sz w:val="28"/>
                <w:szCs w:val="28"/>
              </w:rPr>
              <w:t>○○</w:t>
            </w:r>
            <w:r w:rsidRPr="000B2A94">
              <w:rPr>
                <w:rFonts w:hAnsi="標楷體"/>
                <w:color w:val="000000" w:themeColor="text1"/>
                <w:sz w:val="28"/>
                <w:szCs w:val="28"/>
              </w:rPr>
              <w:t>間確認債權不存在事件，因兩造對於借貸起迄時間及借貸金額之多寡，各執一詞且債權債務關係期間長而複雜，認有鑑定之必要，即委託會計師鑑定並於判決引據其提出之更正鑑定報告書及補行鑑定之說明，嗣本案臺灣高等法院臺南分院99年度重上更(三)字第15號確定判決亦據以為判決之基礎。惟依據會計師提出之更正鑑定報告書及其法庭上相關證詞，會計師查核後仍無法確認兩造借貸關係是否確如陳訴人何</w:t>
            </w:r>
            <w:r w:rsidR="00832B8B" w:rsidRPr="000B2A94">
              <w:rPr>
                <w:rFonts w:hAnsi="標楷體"/>
                <w:color w:val="000000" w:themeColor="text1"/>
                <w:sz w:val="28"/>
                <w:szCs w:val="28"/>
              </w:rPr>
              <w:t>○○</w:t>
            </w:r>
            <w:r w:rsidRPr="000B2A94">
              <w:rPr>
                <w:rFonts w:hAnsi="標楷體"/>
                <w:color w:val="000000" w:themeColor="text1"/>
                <w:sz w:val="28"/>
                <w:szCs w:val="28"/>
              </w:rPr>
              <w:t>主張之76年開始，而僅認列自83年起之借款，卻又以何</w:t>
            </w:r>
            <w:r w:rsidR="00832B8B" w:rsidRPr="000B2A94">
              <w:rPr>
                <w:rFonts w:hAnsi="標楷體"/>
                <w:color w:val="000000" w:themeColor="text1"/>
                <w:sz w:val="28"/>
                <w:szCs w:val="28"/>
              </w:rPr>
              <w:t>○○</w:t>
            </w:r>
            <w:r w:rsidRPr="000B2A94">
              <w:rPr>
                <w:rFonts w:hAnsi="標楷體"/>
                <w:color w:val="000000" w:themeColor="text1"/>
                <w:sz w:val="28"/>
                <w:szCs w:val="28"/>
              </w:rPr>
              <w:t>主張之會算債權設算週年利率，且整個借款期間設算有3種不同利率，甚至有負利率，尚難謂合理。本案確定判決以該等鑑定報告為判決之基礎，似非妥適。</w:t>
            </w:r>
          </w:p>
          <w:p w:rsidR="00832B8B" w:rsidRPr="000B2A94" w:rsidRDefault="00F956E8" w:rsidP="00196DD5">
            <w:pPr>
              <w:pStyle w:val="afa"/>
              <w:numPr>
                <w:ilvl w:val="0"/>
                <w:numId w:val="21"/>
              </w:numPr>
              <w:ind w:leftChars="0"/>
              <w:rPr>
                <w:rFonts w:hAnsi="標楷體"/>
                <w:color w:val="000000" w:themeColor="text1"/>
                <w:sz w:val="28"/>
                <w:szCs w:val="28"/>
              </w:rPr>
            </w:pPr>
            <w:r w:rsidRPr="000B2A94">
              <w:rPr>
                <w:rFonts w:hAnsi="標楷體"/>
                <w:color w:val="000000" w:themeColor="text1"/>
                <w:sz w:val="28"/>
                <w:szCs w:val="28"/>
              </w:rPr>
              <w:t>本案臺灣高等法院臺南分院99年度重上更(三)字第15號確定判決理由引用最高法院</w:t>
            </w:r>
            <w:r w:rsidRPr="000B2A94">
              <w:rPr>
                <w:rFonts w:hAnsi="標楷體"/>
                <w:color w:val="000000" w:themeColor="text1"/>
                <w:sz w:val="28"/>
                <w:szCs w:val="28"/>
              </w:rPr>
              <w:lastRenderedPageBreak/>
              <w:t>90年度台上字第8號判決所指貸款人持有借款人簽發之票據不得作為已交付借款證明之意旨，而認定陳訴人何</w:t>
            </w:r>
            <w:r w:rsidR="00832B8B" w:rsidRPr="000B2A94">
              <w:rPr>
                <w:rFonts w:hAnsi="標楷體"/>
                <w:color w:val="000000" w:themeColor="text1"/>
                <w:sz w:val="28"/>
                <w:szCs w:val="28"/>
              </w:rPr>
              <w:t>○○</w:t>
            </w:r>
            <w:r w:rsidRPr="000B2A94">
              <w:rPr>
                <w:rFonts w:hAnsi="標楷體"/>
                <w:color w:val="000000" w:themeColor="text1"/>
                <w:sz w:val="28"/>
                <w:szCs w:val="28"/>
              </w:rPr>
              <w:t>提出支票影本並主張其自76年起至83年8月18日簽發62張支票交付予</w:t>
            </w:r>
            <w:r w:rsidR="00832B8B" w:rsidRPr="000B2A94">
              <w:rPr>
                <w:rFonts w:hAnsi="標楷體"/>
                <w:color w:val="000000" w:themeColor="text1"/>
                <w:sz w:val="28"/>
                <w:szCs w:val="28"/>
              </w:rPr>
              <w:t>許○○</w:t>
            </w:r>
            <w:r w:rsidRPr="000B2A94">
              <w:rPr>
                <w:rFonts w:hAnsi="標楷體"/>
                <w:color w:val="000000" w:themeColor="text1"/>
                <w:sz w:val="28"/>
                <w:szCs w:val="28"/>
              </w:rPr>
              <w:t>及其親屬領款計617萬777元係屬借款等情，仍應就其交付該等借款予</w:t>
            </w:r>
            <w:r w:rsidR="00832B8B" w:rsidRPr="000B2A94">
              <w:rPr>
                <w:rFonts w:hAnsi="標楷體"/>
                <w:color w:val="000000" w:themeColor="text1"/>
                <w:sz w:val="28"/>
                <w:szCs w:val="28"/>
              </w:rPr>
              <w:t>許○○</w:t>
            </w:r>
            <w:r w:rsidRPr="000B2A94">
              <w:rPr>
                <w:rFonts w:hAnsi="標楷體"/>
                <w:color w:val="000000" w:themeColor="text1"/>
                <w:sz w:val="28"/>
                <w:szCs w:val="28"/>
              </w:rPr>
              <w:t>之事實負舉證責任，似未能理解陳訴人</w:t>
            </w:r>
            <w:r w:rsidR="00832B8B" w:rsidRPr="000B2A94">
              <w:rPr>
                <w:rFonts w:hAnsi="標楷體"/>
                <w:color w:val="000000" w:themeColor="text1"/>
                <w:sz w:val="28"/>
                <w:szCs w:val="28"/>
              </w:rPr>
              <w:t>何○○</w:t>
            </w:r>
            <w:r w:rsidRPr="000B2A94">
              <w:rPr>
                <w:rFonts w:hAnsi="標楷體"/>
                <w:color w:val="000000" w:themeColor="text1"/>
                <w:sz w:val="28"/>
                <w:szCs w:val="28"/>
              </w:rPr>
              <w:t>係以貸款人簽發支票交付借款人領款，亦屬交付借款之方法，亦非允當</w:t>
            </w:r>
            <w:r w:rsidR="00832B8B" w:rsidRPr="000B2A94">
              <w:rPr>
                <w:rFonts w:hAnsi="標楷體" w:hint="eastAsia"/>
                <w:color w:val="000000" w:themeColor="text1"/>
                <w:sz w:val="28"/>
                <w:szCs w:val="28"/>
              </w:rPr>
              <w:t>。</w:t>
            </w:r>
          </w:p>
          <w:p w:rsidR="00F956E8" w:rsidRPr="000B2A94" w:rsidRDefault="00F956E8" w:rsidP="00196DD5">
            <w:pPr>
              <w:pStyle w:val="afa"/>
              <w:numPr>
                <w:ilvl w:val="0"/>
                <w:numId w:val="21"/>
              </w:numPr>
              <w:ind w:leftChars="0"/>
              <w:rPr>
                <w:rFonts w:hAnsi="標楷體"/>
                <w:color w:val="000000" w:themeColor="text1"/>
                <w:sz w:val="28"/>
                <w:szCs w:val="28"/>
              </w:rPr>
            </w:pPr>
            <w:r w:rsidRPr="000B2A94">
              <w:rPr>
                <w:rFonts w:hAnsi="標楷體"/>
                <w:color w:val="000000" w:themeColor="text1"/>
                <w:sz w:val="28"/>
                <w:szCs w:val="28"/>
              </w:rPr>
              <w:t>本案臺灣高等法院臺南分院99年度重上更(三)字第15號確定判決採認會計師之鑑定結果，而以該等保證書或切結書上之金額、日期未臻完全一致為由，否認</w:t>
            </w:r>
            <w:r w:rsidR="00832B8B" w:rsidRPr="000B2A94">
              <w:rPr>
                <w:rFonts w:hAnsi="標楷體"/>
                <w:color w:val="000000" w:themeColor="text1"/>
                <w:sz w:val="28"/>
                <w:szCs w:val="28"/>
              </w:rPr>
              <w:t>何○○</w:t>
            </w:r>
            <w:r w:rsidRPr="000B2A94">
              <w:rPr>
                <w:rFonts w:hAnsi="標楷體"/>
                <w:color w:val="000000" w:themeColor="text1"/>
                <w:sz w:val="28"/>
                <w:szCs w:val="28"/>
              </w:rPr>
              <w:t>與</w:t>
            </w:r>
            <w:r w:rsidR="00832B8B" w:rsidRPr="000B2A94">
              <w:rPr>
                <w:rFonts w:hAnsi="標楷體"/>
                <w:color w:val="000000" w:themeColor="text1"/>
                <w:sz w:val="28"/>
                <w:szCs w:val="28"/>
              </w:rPr>
              <w:t>許○○</w:t>
            </w:r>
            <w:r w:rsidRPr="000B2A94">
              <w:rPr>
                <w:rFonts w:hAnsi="標楷體"/>
                <w:color w:val="000000" w:themeColor="text1"/>
                <w:sz w:val="28"/>
                <w:szCs w:val="28"/>
              </w:rPr>
              <w:t>（及其子女）兩造就雙方債權債務關係於90年間所簽訂之保證書或切結書之效力。惟</w:t>
            </w:r>
            <w:r w:rsidR="00832B8B" w:rsidRPr="000B2A94">
              <w:rPr>
                <w:rFonts w:hAnsi="標楷體"/>
                <w:color w:val="000000" w:themeColor="text1"/>
                <w:sz w:val="28"/>
                <w:szCs w:val="28"/>
              </w:rPr>
              <w:t>許○○</w:t>
            </w:r>
            <w:r w:rsidRPr="000B2A94">
              <w:rPr>
                <w:rFonts w:hAnsi="標楷體"/>
                <w:color w:val="000000" w:themeColor="text1"/>
                <w:sz w:val="28"/>
                <w:szCs w:val="28"/>
              </w:rPr>
              <w:t>之子女蔡ＯＯ、蔡ＯＯ於90年7月28日(第2次)會算後書立之「90年12月30日」保證書並非對90年5月14日(第1次)兩造會算結果之擔保，確定判決似有誤認上開保證書、切結書之時間、金額之情事，且囿於契約文字，致未能探求當事人簽署上開保證書、切結書之真意，亦未考量雙方自76年至90年間之長期借貸關係之金額龐大且筆數多而複雜之情狀，致與前審中2次二審判決對於該等保證書或切結書之效力為完全相反之認定結果，洵屬憾事。</w:t>
            </w:r>
          </w:p>
        </w:tc>
      </w:tr>
      <w:tr w:rsidR="000B2A94" w:rsidRPr="000B2A94" w:rsidTr="00F956E8">
        <w:tc>
          <w:tcPr>
            <w:tcW w:w="534" w:type="dxa"/>
            <w:noWrap/>
            <w:hideMark/>
          </w:tcPr>
          <w:p w:rsidR="00F956E8" w:rsidRPr="000B2A94" w:rsidRDefault="00F956E8" w:rsidP="00F956E8">
            <w:pPr>
              <w:rPr>
                <w:color w:val="000000" w:themeColor="text1"/>
                <w:sz w:val="28"/>
                <w:szCs w:val="28"/>
              </w:rPr>
            </w:pPr>
            <w:r w:rsidRPr="000B2A94">
              <w:rPr>
                <w:color w:val="000000" w:themeColor="text1"/>
                <w:sz w:val="28"/>
                <w:szCs w:val="28"/>
              </w:rPr>
              <w:lastRenderedPageBreak/>
              <w:t>4</w:t>
            </w:r>
          </w:p>
        </w:tc>
        <w:tc>
          <w:tcPr>
            <w:tcW w:w="2126" w:type="dxa"/>
            <w:hideMark/>
          </w:tcPr>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107交調0027：</w:t>
            </w:r>
          </w:p>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據訴，其先弟遭違規車輛變換車道未打方向燈及違規併排停車導致車禍死亡，而行車事故鑑定及司法審理均未注意</w:t>
            </w:r>
            <w:r w:rsidRPr="000B2A94">
              <w:rPr>
                <w:rFonts w:hAnsi="標楷體"/>
                <w:color w:val="000000" w:themeColor="text1"/>
                <w:sz w:val="28"/>
                <w:szCs w:val="28"/>
              </w:rPr>
              <w:lastRenderedPageBreak/>
              <w:t>上述因果關係，肇事者違反客觀注意義務，司法審理應調查而未為調查，致其先弟含冤而亡等情案。</w:t>
            </w:r>
          </w:p>
        </w:tc>
        <w:tc>
          <w:tcPr>
            <w:tcW w:w="6400" w:type="dxa"/>
            <w:hideMark/>
          </w:tcPr>
          <w:p w:rsidR="00832B8B" w:rsidRPr="000B2A94" w:rsidRDefault="00F956E8" w:rsidP="00196DD5">
            <w:pPr>
              <w:pStyle w:val="afa"/>
              <w:numPr>
                <w:ilvl w:val="0"/>
                <w:numId w:val="22"/>
              </w:numPr>
              <w:ind w:leftChars="0"/>
              <w:rPr>
                <w:rFonts w:hAnsi="標楷體"/>
                <w:color w:val="000000" w:themeColor="text1"/>
                <w:sz w:val="28"/>
                <w:szCs w:val="28"/>
              </w:rPr>
            </w:pPr>
            <w:r w:rsidRPr="000B2A94">
              <w:rPr>
                <w:rFonts w:hAnsi="標楷體"/>
                <w:color w:val="000000" w:themeColor="text1"/>
                <w:sz w:val="28"/>
                <w:szCs w:val="28"/>
              </w:rPr>
              <w:lastRenderedPageBreak/>
              <w:t>新北市政府車輛行車事故鑑定委員會於105年9月14日對本件車禍鑑定意見為「甲男駕駛B機車未注意車前狀況致煞車失控，為肇事原因；簡男及張男皆無肇事因素(但張男併排臨時停車有違規定)」。惟張男併排停車（C車）未於車輛後方豎立車輛故障標誌，致後行車輛未能及早因應；及簡男駕駛A公車發現同為外側車道之張男駕駛的C車閃示故障燈號，A公車為繞過C</w:t>
            </w:r>
            <w:r w:rsidRPr="000B2A94">
              <w:rPr>
                <w:rFonts w:hAnsi="標楷體"/>
                <w:color w:val="000000" w:themeColor="text1"/>
                <w:sz w:val="28"/>
                <w:szCs w:val="28"/>
              </w:rPr>
              <w:lastRenderedPageBreak/>
              <w:t>車而從外側車道往內側車道移動時使用故障警示燈（閃黃燈）而非左轉方向燈，故障警示燈所傳遞予後方車輛之訊息為A公車仍處於外側車道之狀態，行駛內側車道之B機車欲從A公車左邊直行時，始發現A公車也同時緩步往左（內側車道）移動後又煞車，隨即採取緊急煞車，因失控倒地造成頭部重創而於數日後死亡。簡男及張男之駕駛行為難謂完全無過失，原鑑定意見宜將上開現況判斷結果予以論述，俾使雙方當事人能清楚瞭解責任歸屬，減少不必要的司法紛爭。</w:t>
            </w:r>
          </w:p>
          <w:p w:rsidR="00F956E8" w:rsidRPr="000B2A94" w:rsidRDefault="00F956E8" w:rsidP="00196DD5">
            <w:pPr>
              <w:pStyle w:val="afa"/>
              <w:numPr>
                <w:ilvl w:val="0"/>
                <w:numId w:val="22"/>
              </w:numPr>
              <w:ind w:leftChars="0"/>
              <w:rPr>
                <w:rFonts w:hAnsi="標楷體"/>
                <w:color w:val="000000" w:themeColor="text1"/>
                <w:sz w:val="28"/>
                <w:szCs w:val="28"/>
              </w:rPr>
            </w:pPr>
            <w:r w:rsidRPr="000B2A94">
              <w:rPr>
                <w:rFonts w:hAnsi="標楷體"/>
                <w:color w:val="000000" w:themeColor="text1"/>
                <w:sz w:val="28"/>
                <w:szCs w:val="28"/>
              </w:rPr>
              <w:t>本案陳訴人不服原鑑定意見時，於聲請覆議時提出諸多主張及相關物證，新北交通局函復臺北地檢署及陳訴人時僅表示覆議結論維持原鑑定意見，固符合車輛行車事故鑑定及覆議作業辦法第15條第3項之規定。惟對於陳訴人所主張事項何以不採之理由並未說明，致陳訴人向臺灣高檢署聲請再議時表示「對於聲請人聲請覆議狀所陳證據及理由各節，未為說明如何不足採，聲請人不能甘服。」又新北交通局提供近2年餘之鑑定與覆議結果差異統計資料顯示，維持原鑑定意見之比率達7至8成，如皆同本案僅表示覆議結論維持原鑑定意見而未敘明理由，將喪失法令設計覆議制度之實質功能。</w:t>
            </w:r>
          </w:p>
        </w:tc>
      </w:tr>
      <w:tr w:rsidR="000B2A94" w:rsidRPr="000B2A94" w:rsidTr="00F956E8">
        <w:tc>
          <w:tcPr>
            <w:tcW w:w="534" w:type="dxa"/>
            <w:noWrap/>
            <w:hideMark/>
          </w:tcPr>
          <w:p w:rsidR="00F956E8" w:rsidRPr="000B2A94" w:rsidRDefault="00F956E8" w:rsidP="00F956E8">
            <w:pPr>
              <w:rPr>
                <w:color w:val="000000" w:themeColor="text1"/>
                <w:sz w:val="28"/>
                <w:szCs w:val="28"/>
              </w:rPr>
            </w:pPr>
            <w:r w:rsidRPr="000B2A94">
              <w:rPr>
                <w:color w:val="000000" w:themeColor="text1"/>
                <w:sz w:val="28"/>
                <w:szCs w:val="28"/>
              </w:rPr>
              <w:lastRenderedPageBreak/>
              <w:t>5</w:t>
            </w:r>
          </w:p>
        </w:tc>
        <w:tc>
          <w:tcPr>
            <w:tcW w:w="2126" w:type="dxa"/>
            <w:hideMark/>
          </w:tcPr>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107內調0007：</w:t>
            </w:r>
          </w:p>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據訴，正生婦幼聯合診所陳姓院長於渠妻懷孕時未詳予進行產檢，致女兒出生後始發現肢體異狀，疑涉醫療疏失，經向臺灣新北地方</w:t>
            </w:r>
            <w:r w:rsidRPr="000B2A94">
              <w:rPr>
                <w:rFonts w:hAnsi="標楷體"/>
                <w:color w:val="000000" w:themeColor="text1"/>
                <w:sz w:val="28"/>
                <w:szCs w:val="28"/>
              </w:rPr>
              <w:lastRenderedPageBreak/>
              <w:t>法院檢察署提出業務過失傷害罪之告訴，經該署委託衛生福利部醫事審議委員會鑑定，疑其鑑定報告涉有諸多缺失，致該署為不起訴處分，嗣經聲請再議，仍遭臺灣高等法院檢察署駁回，損及權益等情案。</w:t>
            </w:r>
          </w:p>
        </w:tc>
        <w:tc>
          <w:tcPr>
            <w:tcW w:w="6400" w:type="dxa"/>
            <w:hideMark/>
          </w:tcPr>
          <w:p w:rsidR="00832B8B" w:rsidRPr="000B2A94" w:rsidRDefault="00F956E8" w:rsidP="00196DD5">
            <w:pPr>
              <w:pStyle w:val="afa"/>
              <w:numPr>
                <w:ilvl w:val="0"/>
                <w:numId w:val="23"/>
              </w:numPr>
              <w:ind w:leftChars="0"/>
              <w:rPr>
                <w:rFonts w:hAnsi="標楷體"/>
                <w:color w:val="000000" w:themeColor="text1"/>
                <w:sz w:val="28"/>
                <w:szCs w:val="28"/>
              </w:rPr>
            </w:pPr>
            <w:r w:rsidRPr="000B2A94">
              <w:rPr>
                <w:rFonts w:hAnsi="標楷體"/>
                <w:color w:val="000000" w:themeColor="text1"/>
                <w:sz w:val="28"/>
                <w:szCs w:val="28"/>
              </w:rPr>
              <w:lastRenderedPageBreak/>
              <w:t>有關本案刑事責任部分，檢察機關既已踐行必要之醫療專業鑑定，並依法定程序為不起訴處分；基於司法獨立，監察權與司法權分立之精神，就檢察機關偵辦結果及駁回再議，本院自當予以尊重。</w:t>
            </w:r>
          </w:p>
          <w:p w:rsidR="00832B8B" w:rsidRPr="000B2A94" w:rsidRDefault="00F956E8" w:rsidP="00196DD5">
            <w:pPr>
              <w:pStyle w:val="afa"/>
              <w:numPr>
                <w:ilvl w:val="0"/>
                <w:numId w:val="23"/>
              </w:numPr>
              <w:ind w:leftChars="0"/>
              <w:rPr>
                <w:rFonts w:hAnsi="標楷體"/>
                <w:color w:val="000000" w:themeColor="text1"/>
                <w:sz w:val="28"/>
                <w:szCs w:val="28"/>
              </w:rPr>
            </w:pPr>
            <w:r w:rsidRPr="000B2A94">
              <w:rPr>
                <w:rFonts w:hAnsi="標楷體"/>
                <w:color w:val="000000" w:themeColor="text1"/>
                <w:sz w:val="28"/>
                <w:szCs w:val="28"/>
              </w:rPr>
              <w:t>衛福部辦理醫療糾紛鑑定案件，不負責證據之調查或蒐集，又該部醫審會所為本案之鑑定書，業就新北地檢署囑託鑑定事項予以釐清並作成鑑定意見，經核尚無鑑定作業程序違反規定之情事。</w:t>
            </w:r>
          </w:p>
          <w:p w:rsidR="00832B8B" w:rsidRPr="000B2A94" w:rsidRDefault="00F956E8" w:rsidP="00196DD5">
            <w:pPr>
              <w:pStyle w:val="afa"/>
              <w:numPr>
                <w:ilvl w:val="0"/>
                <w:numId w:val="23"/>
              </w:numPr>
              <w:ind w:leftChars="0"/>
              <w:rPr>
                <w:rFonts w:hAnsi="標楷體"/>
                <w:color w:val="000000" w:themeColor="text1"/>
                <w:sz w:val="28"/>
                <w:szCs w:val="28"/>
              </w:rPr>
            </w:pPr>
            <w:r w:rsidRPr="000B2A94">
              <w:rPr>
                <w:rFonts w:hAnsi="標楷體"/>
                <w:color w:val="000000" w:themeColor="text1"/>
                <w:sz w:val="28"/>
                <w:szCs w:val="28"/>
              </w:rPr>
              <w:lastRenderedPageBreak/>
              <w:t>衛福部允應研議實施「孕婦產前超音波檢查」醫事人員之認證制度，並督同國健署強化其教育訓練及實作訓練課程，以提升其技術能力，庶可提高此項檢查之準確性。</w:t>
            </w:r>
          </w:p>
          <w:p w:rsidR="00832B8B" w:rsidRPr="000B2A94" w:rsidRDefault="00F956E8" w:rsidP="00196DD5">
            <w:pPr>
              <w:pStyle w:val="afa"/>
              <w:numPr>
                <w:ilvl w:val="0"/>
                <w:numId w:val="23"/>
              </w:numPr>
              <w:ind w:leftChars="0"/>
              <w:rPr>
                <w:rFonts w:hAnsi="標楷體"/>
                <w:color w:val="000000" w:themeColor="text1"/>
                <w:sz w:val="28"/>
                <w:szCs w:val="28"/>
              </w:rPr>
            </w:pPr>
            <w:r w:rsidRPr="000B2A94">
              <w:rPr>
                <w:rFonts w:hAnsi="標楷體"/>
                <w:color w:val="000000" w:themeColor="text1"/>
                <w:sz w:val="28"/>
                <w:szCs w:val="28"/>
              </w:rPr>
              <w:t>衛福部國健署允應蒐集歷年來的相關資料，研究目前所提供孕婦之「產前例行性超音波檢查」是否足以提供孕婦所需資訊及對我國新生兒照護之所需，再權衡是否酌增該超音波檢查之篩檢範圍、項目或頻率，並綜合各相關因素，妥予評估現行補助費用高低之合理性，研議更周延可行之方案。</w:t>
            </w:r>
          </w:p>
          <w:p w:rsidR="00F956E8" w:rsidRPr="000B2A94" w:rsidRDefault="00F956E8" w:rsidP="00196DD5">
            <w:pPr>
              <w:pStyle w:val="afa"/>
              <w:numPr>
                <w:ilvl w:val="0"/>
                <w:numId w:val="23"/>
              </w:numPr>
              <w:ind w:leftChars="0"/>
              <w:rPr>
                <w:rFonts w:hAnsi="標楷體"/>
                <w:color w:val="000000" w:themeColor="text1"/>
                <w:sz w:val="28"/>
                <w:szCs w:val="28"/>
              </w:rPr>
            </w:pPr>
            <w:r w:rsidRPr="000B2A94">
              <w:rPr>
                <w:rFonts w:hAnsi="標楷體"/>
                <w:color w:val="000000" w:themeColor="text1"/>
                <w:sz w:val="28"/>
                <w:szCs w:val="28"/>
              </w:rPr>
              <w:t>陳訴人之配偶於懷孕期間定期至正生診所進行產檢，並接受多次超音波檢查，而未能發現胎兒有肢體缺損之異狀，並經該診所陳醫師自承，就上述孕婦歷次超音波檢查結果之病歷記載內容確有未盡清晰、詳實、完整之處，故本院認應由主管機關新北市政府督飭所屬妥為查明處辦。</w:t>
            </w:r>
          </w:p>
        </w:tc>
      </w:tr>
      <w:tr w:rsidR="000B2A94" w:rsidRPr="000B2A94" w:rsidTr="00F956E8">
        <w:tc>
          <w:tcPr>
            <w:tcW w:w="534" w:type="dxa"/>
            <w:noWrap/>
            <w:hideMark/>
          </w:tcPr>
          <w:p w:rsidR="00F956E8" w:rsidRPr="000B2A94" w:rsidRDefault="00F956E8" w:rsidP="00F956E8">
            <w:pPr>
              <w:rPr>
                <w:color w:val="000000" w:themeColor="text1"/>
                <w:sz w:val="28"/>
                <w:szCs w:val="28"/>
              </w:rPr>
            </w:pPr>
            <w:r w:rsidRPr="000B2A94">
              <w:rPr>
                <w:color w:val="000000" w:themeColor="text1"/>
                <w:sz w:val="28"/>
                <w:szCs w:val="28"/>
              </w:rPr>
              <w:lastRenderedPageBreak/>
              <w:t>6</w:t>
            </w:r>
          </w:p>
        </w:tc>
        <w:tc>
          <w:tcPr>
            <w:tcW w:w="2126" w:type="dxa"/>
            <w:hideMark/>
          </w:tcPr>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107內調0002：</w:t>
            </w:r>
          </w:p>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據訴，前桃園縣政府警察局平鎮分局(現改制為桃園市政府警察局平鎮分局)於93年間受理其告訴李○○、高○○傷害等案件，迨105年8月10日始移送臺灣桃園地方法院檢察署偵辦，涉有延宕處理；臺灣桃園地方法院檢察署偵辦上開案件，未鑑定</w:t>
            </w:r>
            <w:r w:rsidRPr="000B2A94">
              <w:rPr>
                <w:rFonts w:hAnsi="標楷體"/>
                <w:color w:val="000000" w:themeColor="text1"/>
                <w:sz w:val="28"/>
                <w:szCs w:val="28"/>
              </w:rPr>
              <w:lastRenderedPageBreak/>
              <w:t>扣案槍枝有無殺傷力及追究員警刑事責任，逕以不起訴處分等情案。</w:t>
            </w:r>
          </w:p>
        </w:tc>
        <w:tc>
          <w:tcPr>
            <w:tcW w:w="6400" w:type="dxa"/>
            <w:hideMark/>
          </w:tcPr>
          <w:p w:rsidR="00832B8B" w:rsidRPr="000B2A94" w:rsidRDefault="00F956E8" w:rsidP="00196DD5">
            <w:pPr>
              <w:pStyle w:val="afa"/>
              <w:numPr>
                <w:ilvl w:val="0"/>
                <w:numId w:val="24"/>
              </w:numPr>
              <w:ind w:leftChars="0"/>
              <w:rPr>
                <w:rFonts w:hAnsi="標楷體"/>
                <w:color w:val="000000" w:themeColor="text1"/>
                <w:sz w:val="28"/>
                <w:szCs w:val="28"/>
              </w:rPr>
            </w:pPr>
            <w:r w:rsidRPr="000B2A94">
              <w:rPr>
                <w:rFonts w:hAnsi="標楷體"/>
                <w:color w:val="000000" w:themeColor="text1"/>
                <w:sz w:val="28"/>
                <w:szCs w:val="28"/>
              </w:rPr>
              <w:lastRenderedPageBreak/>
              <w:t>平鎮分局於93年3月31日即收受所屬北勢派出所陳報之陳訴人疑似遭傷害案件，該分局承辦員警簽收續行辦理後，即將相關公文歸檔，後續竟未再行辦理，遲至105年4、5月間，陳訴人分別向桃園地檢署及該分局陳情後始行續辦，明顯怠於偵辦且逾越公文管制時效12年之久，肇致該案追訴權時效完成而損及社會秩序與陳訴人權益，又該分局對承辦員警之怠失一無所知，凸顯該分局就案件及公文管考功能盡失，顯有嚴重怠失。</w:t>
            </w:r>
          </w:p>
          <w:p w:rsidR="00832B8B" w:rsidRPr="000B2A94" w:rsidRDefault="00F956E8" w:rsidP="00196DD5">
            <w:pPr>
              <w:pStyle w:val="afa"/>
              <w:numPr>
                <w:ilvl w:val="0"/>
                <w:numId w:val="24"/>
              </w:numPr>
              <w:ind w:leftChars="0"/>
              <w:rPr>
                <w:rFonts w:hAnsi="標楷體"/>
                <w:color w:val="000000" w:themeColor="text1"/>
                <w:sz w:val="28"/>
                <w:szCs w:val="28"/>
              </w:rPr>
            </w:pPr>
            <w:r w:rsidRPr="000B2A94">
              <w:rPr>
                <w:rFonts w:hAnsi="標楷體"/>
                <w:color w:val="000000" w:themeColor="text1"/>
                <w:sz w:val="28"/>
                <w:szCs w:val="28"/>
              </w:rPr>
              <w:t>平鎮分局承辦偵查佐簽收該分局北勢派出所隨案陳報之2枝改造槍枝，未依規定將槍枝置於專櫃保管，且未登錄建檔、傳真通報、黏貼槍枝管制條碼及10日內送鑑驗，又該分局未依規定確實年終清查，且對其違失情節毫無所悉，肇致2枝改造槍枝迄今下落不明，該分局未依法落實槍枝保管及</w:t>
            </w:r>
            <w:r w:rsidRPr="000B2A94">
              <w:rPr>
                <w:rFonts w:hAnsi="標楷體"/>
                <w:color w:val="000000" w:themeColor="text1"/>
                <w:sz w:val="28"/>
                <w:szCs w:val="28"/>
              </w:rPr>
              <w:lastRenderedPageBreak/>
              <w:t>相關督考責任，顯有重大違失。</w:t>
            </w:r>
          </w:p>
          <w:p w:rsidR="00F956E8" w:rsidRPr="000B2A94" w:rsidRDefault="00F956E8" w:rsidP="00196DD5">
            <w:pPr>
              <w:pStyle w:val="afa"/>
              <w:numPr>
                <w:ilvl w:val="0"/>
                <w:numId w:val="24"/>
              </w:numPr>
              <w:ind w:leftChars="0"/>
              <w:rPr>
                <w:rFonts w:hAnsi="標楷體"/>
                <w:color w:val="000000" w:themeColor="text1"/>
                <w:sz w:val="28"/>
                <w:szCs w:val="28"/>
              </w:rPr>
            </w:pPr>
            <w:r w:rsidRPr="000B2A94">
              <w:rPr>
                <w:rFonts w:hAnsi="標楷體"/>
                <w:color w:val="000000" w:themeColor="text1"/>
                <w:sz w:val="28"/>
                <w:szCs w:val="28"/>
              </w:rPr>
              <w:t>桃園地檢署針對陳訴人所訴傷害、私行拘禁、辦案延宕、槍枝未送鑑驗及相關包庇凟職情事，均分案辦理或函復說明，依現有事證顯示，尚無吃案或相護情事。</w:t>
            </w:r>
          </w:p>
        </w:tc>
      </w:tr>
      <w:tr w:rsidR="000B2A94" w:rsidRPr="000B2A94" w:rsidTr="00F956E8">
        <w:tc>
          <w:tcPr>
            <w:tcW w:w="534" w:type="dxa"/>
            <w:noWrap/>
            <w:hideMark/>
          </w:tcPr>
          <w:p w:rsidR="00F956E8" w:rsidRPr="000B2A94" w:rsidRDefault="00F956E8" w:rsidP="00F956E8">
            <w:pPr>
              <w:rPr>
                <w:color w:val="000000" w:themeColor="text1"/>
                <w:sz w:val="28"/>
                <w:szCs w:val="28"/>
              </w:rPr>
            </w:pPr>
            <w:r w:rsidRPr="000B2A94">
              <w:rPr>
                <w:color w:val="000000" w:themeColor="text1"/>
                <w:sz w:val="28"/>
                <w:szCs w:val="28"/>
              </w:rPr>
              <w:lastRenderedPageBreak/>
              <w:t>7</w:t>
            </w:r>
          </w:p>
        </w:tc>
        <w:tc>
          <w:tcPr>
            <w:tcW w:w="2126" w:type="dxa"/>
            <w:hideMark/>
          </w:tcPr>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106司調0037：</w:t>
            </w:r>
          </w:p>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前高雄縣橋頭鄉鄉長李清福涉嫌經辦公用工程，收取回扣，經臺灣高等法院高雄分院103年度重上更（三）字第3號判決有罪確定。本案經檢察官囑託法務部調查局對被告進行測謊鑑定，雖經法院認定測謊鑑定報告具有證據能力，並作為判決被告有罪之基礎，惟其測謊鑑定是否符合程式要件、有無程序及判讀結果之瑕疵及違反證據法則等情案。</w:t>
            </w:r>
          </w:p>
        </w:tc>
        <w:tc>
          <w:tcPr>
            <w:tcW w:w="6400" w:type="dxa"/>
            <w:hideMark/>
          </w:tcPr>
          <w:p w:rsidR="00832B8B" w:rsidRPr="000B2A94" w:rsidRDefault="00F956E8" w:rsidP="00196DD5">
            <w:pPr>
              <w:pStyle w:val="afa"/>
              <w:numPr>
                <w:ilvl w:val="0"/>
                <w:numId w:val="25"/>
              </w:numPr>
              <w:ind w:leftChars="0"/>
              <w:rPr>
                <w:rFonts w:hAnsi="標楷體"/>
                <w:color w:val="000000" w:themeColor="text1"/>
                <w:sz w:val="28"/>
                <w:szCs w:val="28"/>
              </w:rPr>
            </w:pPr>
            <w:r w:rsidRPr="000B2A94">
              <w:rPr>
                <w:rFonts w:hAnsi="標楷體"/>
                <w:color w:val="000000" w:themeColor="text1"/>
                <w:sz w:val="28"/>
                <w:szCs w:val="28"/>
              </w:rPr>
              <w:t>現行刑事訴訟實務，測謊鑑定係由法官或檢察官依據刑事訴訟法第208條第1項規定，囑託法務部調查局或警政署刑事警察局等機關為之，並於形式上符合測謊基本要件者，即賦予證據能力，得採為認定犯罪事實之依據，惟不得採為有罪判決之唯一證據。本案臺灣高等法院高雄分院103年度重上更(三)字第3號確定判決等歷審判決理由認定，經檢察官囑託法務部調查局測謊鑑定結果，被告李清福及張輝明有關收受廠商回扣問題呈情緒波動之反應，研判應係說謊，爰據以佐證被告李清福及張輝明確有收受廠商回扣之犯罪事實。惟遍查卷證資料，本件測謊鑑定僅有承辦本件貪瀆案件之法務部調查局高雄縣調查站函其局本部之公文載明本件依據檢察官指示進行測謊，並未發現檢察官囑託對被告李清福及張輝明測謊鑑定之公文或指揮書等囑託文件附卷，顯未符合刑事訴訟法第208條第1項規定由法官或檢察官囑託鑑定之要件。且本案於第一審審理時，係以證人身分傳喚法務部調查局施測人員李復國，並命其具結，混淆「證人」與「鑑定」係屬不同法定證據方法，法院調查證據程序亦非合法，該測謊鑑定結果應不具證據能力，確定判決復採為被告李清福及張輝明有罪判決之證據，採證違背證據法則，自屬訴訟程序違背法令而影響於判決，得為非常上訴之理由。</w:t>
            </w:r>
          </w:p>
          <w:p w:rsidR="00832B8B" w:rsidRPr="000B2A94" w:rsidRDefault="00F956E8" w:rsidP="00196DD5">
            <w:pPr>
              <w:pStyle w:val="afa"/>
              <w:numPr>
                <w:ilvl w:val="0"/>
                <w:numId w:val="25"/>
              </w:numPr>
              <w:ind w:leftChars="0"/>
              <w:rPr>
                <w:rFonts w:hAnsi="標楷體"/>
                <w:color w:val="000000" w:themeColor="text1"/>
                <w:sz w:val="28"/>
                <w:szCs w:val="28"/>
              </w:rPr>
            </w:pPr>
            <w:r w:rsidRPr="000B2A94">
              <w:rPr>
                <w:rFonts w:hAnsi="標楷體"/>
                <w:color w:val="000000" w:themeColor="text1"/>
                <w:sz w:val="28"/>
                <w:szCs w:val="28"/>
              </w:rPr>
              <w:t>本案確定判決等歷審法院判決理由，對於測謊程序之論述，因第一審臺灣高雄地方法院判決理由漏載法務部調查局檢送之測</w:t>
            </w:r>
            <w:r w:rsidRPr="000B2A94">
              <w:rPr>
                <w:rFonts w:hAnsi="標楷體"/>
                <w:color w:val="000000" w:themeColor="text1"/>
                <w:sz w:val="28"/>
                <w:szCs w:val="28"/>
              </w:rPr>
              <w:lastRenderedPageBreak/>
              <w:t>謊鑑定書所載內容「說謊者在相關問題（R）之回答，因與行為記憶衝突，故膚電反應會有較無關問題（I）、控制問題（C）」，致確定判決理由援引該局測謊原理之文意未明，顯然誤解該局測謊鑑定判斷原理，即與未經調查無異；且測謊鑑定圖譜之判斷應就受測者對被質問之各項控制問題、無關問題及相關問題等回答時之呼吸、血壓脈搏及膚電等反應，於測謊圖譜上所顯示之曲線高低幅度之相互比較，綜合判斷之，尚非如法務部調查局測謊鑑定書所指，僅以受測者之膚電反應判斷其回答是否說謊。是本案確定判決對於法務部調查局檢送之測謊鑑定之調查結果未盡明瞭，應屬刑事訴訟法第379條第10款規定依本法應於審判期日調查之證據而未予調查之判決違背法令。</w:t>
            </w:r>
          </w:p>
          <w:p w:rsidR="00832B8B" w:rsidRPr="000B2A94" w:rsidRDefault="00F956E8" w:rsidP="00196DD5">
            <w:pPr>
              <w:pStyle w:val="afa"/>
              <w:numPr>
                <w:ilvl w:val="0"/>
                <w:numId w:val="25"/>
              </w:numPr>
              <w:ind w:leftChars="0"/>
              <w:rPr>
                <w:rFonts w:hAnsi="標楷體"/>
                <w:color w:val="000000" w:themeColor="text1"/>
                <w:sz w:val="28"/>
                <w:szCs w:val="28"/>
              </w:rPr>
            </w:pPr>
            <w:r w:rsidRPr="000B2A94">
              <w:rPr>
                <w:rFonts w:hAnsi="標楷體"/>
                <w:color w:val="000000" w:themeColor="text1"/>
                <w:sz w:val="28"/>
                <w:szCs w:val="28"/>
              </w:rPr>
              <w:t>本案法務部調查局李復國於88年3月11日在高雄縣調查站對偵查中被羈押被告李清福施作測謊鑑定，經本院勘驗該次測謊錄影帶發現，李復國施測時，被告李清福因於同年3月6日突遭羈押禁見而數日未睡覺且無食慾又腹瀉，處於身心極端疲憊，不適受測狀態；又測謊的辦公室在馬路邊，室內冷氣機運轉聲音大，且李復國施作測謊中，時有高雄縣調查站全站之廣播聲干擾等情形，環境吵雜，致受測者聽力及心情均受影響，無法清楚並完整聽取李復國質問之題目，其施測環境顯然不適合測謊鑑定，未符本案確定判決理由所指，現行司法實務要求測謊鑑定應遵守之基本程式要件：受測人身心及意識狀態正常、測謊環境良好，無不當之外力干擾等要件。更有甚者，施測者李復國於測前會談結束，正式測試開始後，質問被告李清福問題時，時有轉動測謊儀器上調整呼吸、血壓脈搏及膚電等反應訊號放大倍數之旋鈕</w:t>
            </w:r>
            <w:r w:rsidRPr="000B2A94">
              <w:rPr>
                <w:rFonts w:hAnsi="標楷體"/>
                <w:color w:val="000000" w:themeColor="text1"/>
                <w:sz w:val="28"/>
                <w:szCs w:val="28"/>
              </w:rPr>
              <w:lastRenderedPageBreak/>
              <w:t>等，致測謊圖譜上所記錄之被告李清福回答李復國所質問之各個控制問題、無關問題及相關問題之呼吸、血壓脈搏及膚電等反應曲線幅度高低之相對強弱比較失準，無法判斷被告李清福就各個質問題目之回答究有無說謊反應，該測謊鑑定應屬無效，惟本案確定判決俱未予調查，仍據法務部調查局提出之測謊鑑定報告及施測者李復國於本案臺灣高雄地方法院結證，認定該測謊鑑定報告有證據能力，並採為被告李清福有罪之判斷依據，採證法則有誤，參照臺灣高等法院高雄分院105年度聲再字第162號刑事裁定意旨，已符合刑事訴訟法第420條第1項第6款之新事證，開啟再審程序</w:t>
            </w:r>
            <w:r w:rsidRPr="000B2A94">
              <w:rPr>
                <w:rFonts w:hAnsi="標楷體"/>
                <w:color w:val="000000" w:themeColor="text1"/>
                <w:kern w:val="0"/>
                <w:sz w:val="28"/>
                <w:szCs w:val="28"/>
              </w:rPr>
              <w:t>。</w:t>
            </w:r>
          </w:p>
          <w:p w:rsidR="00832B8B" w:rsidRPr="000B2A94" w:rsidRDefault="00F956E8" w:rsidP="00196DD5">
            <w:pPr>
              <w:pStyle w:val="afa"/>
              <w:numPr>
                <w:ilvl w:val="0"/>
                <w:numId w:val="25"/>
              </w:numPr>
              <w:ind w:leftChars="0"/>
              <w:rPr>
                <w:rFonts w:hAnsi="標楷體"/>
                <w:color w:val="000000" w:themeColor="text1"/>
                <w:sz w:val="28"/>
                <w:szCs w:val="28"/>
              </w:rPr>
            </w:pPr>
            <w:r w:rsidRPr="000B2A94">
              <w:rPr>
                <w:rFonts w:hAnsi="標楷體"/>
                <w:color w:val="000000" w:themeColor="text1"/>
                <w:sz w:val="28"/>
                <w:szCs w:val="28"/>
              </w:rPr>
              <w:t>本案法務部調查局暨所屬高雄縣（市）調查站（處）未依法院要求隨案移送詢問錄音（影）帶且於95年及102年函復法院相關詢問錄音（影）帶已不可考，拒不提供，致本案自89年3月7日繫屬第一審臺灣高雄地方法院後，雖經被告及其辯護人多次答辯並質疑高雄縣調查站承辦人員於88年間以不正方法詢問取得被告之自白及證述筆錄之合法性時，法院均無從勘驗詢問錄音（影）帶調查；迄本案更三審高雄高分院審理時，於104年8月18日函法務部調查局派員清查本件詢問錄音（影）帶並追究相關失職人員責任，以維被告李清福等人權益等情，始於同年11月13日函送偵訊過程錄音（影）帶。是本案自繫屬法院審理歷時15年，始得由法院依據勘驗詢問錄音（影）帶結果，排除高雄縣調查站承辦人員不正訊問所得自白或證述筆錄之證據能力，顯見該局及所屬高雄市（縣）調查處（站）怠忽失職，致令案件審理遲延，且所屬高雄縣調查站偵辦人員88年間之詢問作業確有違法，允應檢討改進，不應卸責，</w:t>
            </w:r>
            <w:r w:rsidRPr="000B2A94">
              <w:rPr>
                <w:rFonts w:hAnsi="標楷體"/>
                <w:color w:val="000000" w:themeColor="text1"/>
                <w:sz w:val="28"/>
                <w:szCs w:val="28"/>
              </w:rPr>
              <w:lastRenderedPageBreak/>
              <w:t>並議處相關失職人員，以維護人民訴訟權益</w:t>
            </w:r>
            <w:r w:rsidRPr="000B2A94">
              <w:rPr>
                <w:rFonts w:hAnsi="標楷體"/>
                <w:color w:val="000000" w:themeColor="text1"/>
                <w:kern w:val="0"/>
                <w:sz w:val="28"/>
                <w:szCs w:val="28"/>
              </w:rPr>
              <w:t>。</w:t>
            </w:r>
          </w:p>
          <w:p w:rsidR="00832B8B" w:rsidRPr="000B2A94" w:rsidRDefault="00F956E8" w:rsidP="00196DD5">
            <w:pPr>
              <w:pStyle w:val="afa"/>
              <w:numPr>
                <w:ilvl w:val="0"/>
                <w:numId w:val="25"/>
              </w:numPr>
              <w:ind w:leftChars="0"/>
              <w:rPr>
                <w:rFonts w:hAnsi="標楷體"/>
                <w:color w:val="000000" w:themeColor="text1"/>
                <w:sz w:val="28"/>
                <w:szCs w:val="28"/>
              </w:rPr>
            </w:pPr>
            <w:r w:rsidRPr="000B2A94">
              <w:rPr>
                <w:rFonts w:hAnsi="標楷體"/>
                <w:color w:val="000000" w:themeColor="text1"/>
                <w:sz w:val="28"/>
                <w:szCs w:val="28"/>
              </w:rPr>
              <w:t>本案高雄高分院確定判決理由認定橋頭鄉公所自83年3月被告李清福擔任鄉長後發包305件工程係由李清福違法指定廠商承包而犯圖利罪係據該鄉公所建設課課長林明水、技士林貴興及戴溫及相關廠商於88年3月間案發之初在法務部調查局高雄縣調查站調詢及檢察官偵訊時之自白，再佐以部分工程投標單有連號、筆跡相似等間接事證，惟本案確定判決理由是否已達最高法院76年台上字第4986號判例及本案確定判決認定部分工程並無圖利廠商之理由所指：「須於通常一般之人均不致有所懷疑，而得確信其為真實之程度者」，誠然有疑。且本案確定判決就被告李清福收受工程承包廠商黃振興工程回扣之主要理由係依據被告林貴興於88年3月4日檢察官偵訊時供稱曾聽聞承包商提及繳交「會錢」之事，認定所謂「會錢」即是承包橋頭鄉公所工程而給付鄉長即被告李清福之回扣款之意：「亦據證人林貴興證述如上，足認被告黃振興確有此部分之行賄犯行。」惟本案確定判決另就被告李清福被訴違法指定廠商李清瑞承包工程而觸犯圖利罪嫌部分，撤銷第一審有罪判決改判無罪之主要理由係被告林貴興於88年3月4日檢察官訊問時所供僅係「傳聞」而不得採為證據。是本案確定判決就被告李清福收受黃振興工程回扣款有罪理由，係就同一證人，橋頭鄉公所建設課技士林貴興之證述其聽聞之事而為全然相左之判斷取捨，核有刑事訴訟法第379條第14款判決理由矛盾之違法。</w:t>
            </w:r>
          </w:p>
          <w:p w:rsidR="00F956E8" w:rsidRPr="000B2A94" w:rsidRDefault="00F956E8" w:rsidP="00196DD5">
            <w:pPr>
              <w:pStyle w:val="afa"/>
              <w:numPr>
                <w:ilvl w:val="0"/>
                <w:numId w:val="25"/>
              </w:numPr>
              <w:ind w:leftChars="0"/>
              <w:rPr>
                <w:rFonts w:hAnsi="標楷體"/>
                <w:color w:val="000000" w:themeColor="text1"/>
                <w:sz w:val="28"/>
                <w:szCs w:val="28"/>
              </w:rPr>
            </w:pPr>
            <w:r w:rsidRPr="000B2A94">
              <w:rPr>
                <w:rFonts w:hAnsi="標楷體"/>
                <w:color w:val="000000" w:themeColor="text1"/>
                <w:sz w:val="28"/>
                <w:szCs w:val="28"/>
              </w:rPr>
              <w:t>本案臺灣高雄地方法院檢察署檢察官起訴意旨認橋頭鄉公所工程承包商黃振興於偵查中自白86年間承包之林頭路等水溝及道</w:t>
            </w:r>
            <w:r w:rsidRPr="000B2A94">
              <w:rPr>
                <w:rFonts w:hAnsi="標楷體"/>
                <w:color w:val="000000" w:themeColor="text1"/>
                <w:sz w:val="28"/>
                <w:szCs w:val="28"/>
              </w:rPr>
              <w:lastRenderedPageBreak/>
              <w:t>路改善工程並自白於86年3月31日取20萬元現金交付被告張輝明轉交給鄉長李清福收受，並記明於其支票帳簿（88偵6566號卷第18頁支票帳簿記載「林投鄉公所＜輝明＞20萬元」）因認被告李清福、張輝明此部分涉有貪污治罪條例第4條第1項第3款經辦工程收取回扣罪嫌。惟本案確定判決認為該貪瀆事證僅有被告黃振興之自白且回扣金額20萬元與得標價15％工程回扣金額17萬餘元不符而認定無罪在案。惟本案確定判決就起訴意旨認黃振興另交付被告張輝明及陳文柱轉交給鄉長李清福收受之工程回扣款，或被告陳文柱自己承包工程而交付李清福收受之回扣款，或被告鐘新榮及許駿懋承包工程而交付李清福收受之回扣款等罪嫌，均認定有罪之證據及理由，竟僅憑黃振興、陳文柱在偵查中自白交付或轉交工程回扣款之供述，甚或鐘新榮及許駿懋否認交付工程回扣款而未獲其等自白，而未就檢察官起訴被告李清福、張輝明收受之工程回扣款是否確有相關工程之承包，及得標價之15％工程回扣計算金額是否相符，逐一調查認定，以致於確定判決認定被告李清福觸犯圖利罪之附表一所載305項舞弊工程中，查無與其等自白送回扣之相關工程，遑論計算得標價之15％工程回扣是否吻合之事證，確定判決所引證據與理由並未相符，核有刑事訴訟法第379條第10款應於審判期日調查之證據未予調查及第14款判決理由不備及矛盾之違法。</w:t>
            </w:r>
          </w:p>
        </w:tc>
      </w:tr>
      <w:tr w:rsidR="000B2A94" w:rsidRPr="000B2A94" w:rsidTr="00F956E8">
        <w:tc>
          <w:tcPr>
            <w:tcW w:w="534" w:type="dxa"/>
            <w:noWrap/>
            <w:hideMark/>
          </w:tcPr>
          <w:p w:rsidR="00F956E8" w:rsidRPr="000B2A94" w:rsidRDefault="00F956E8" w:rsidP="00F956E8">
            <w:pPr>
              <w:rPr>
                <w:color w:val="000000" w:themeColor="text1"/>
                <w:sz w:val="28"/>
                <w:szCs w:val="28"/>
              </w:rPr>
            </w:pPr>
            <w:r w:rsidRPr="000B2A94">
              <w:rPr>
                <w:color w:val="000000" w:themeColor="text1"/>
                <w:sz w:val="28"/>
                <w:szCs w:val="28"/>
              </w:rPr>
              <w:lastRenderedPageBreak/>
              <w:t>8</w:t>
            </w:r>
          </w:p>
        </w:tc>
        <w:tc>
          <w:tcPr>
            <w:tcW w:w="2126" w:type="dxa"/>
            <w:hideMark/>
          </w:tcPr>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106司調0002：</w:t>
            </w:r>
          </w:p>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據訴，現行刑事訴訟法雖未規範測謊鑑定之證據能力，然偵審實務卻不排</w:t>
            </w:r>
            <w:r w:rsidRPr="000B2A94">
              <w:rPr>
                <w:rFonts w:hAnsi="標楷體"/>
                <w:color w:val="000000" w:themeColor="text1"/>
                <w:sz w:val="28"/>
                <w:szCs w:val="28"/>
              </w:rPr>
              <w:lastRenderedPageBreak/>
              <w:t>斥測謊鑑定，並得引為刑事證據，惟採用迄今司法機關並未就測謊鑑定統一制（訂）定相關規範及標準作業流程，作為偵審依據，肇致各級法院與檢察機關判斷標準不一，實易生冤抑，除涉有背離真實發見義務外，亦與聯合國公民與政治權利國際公約第14條公平法院原則未盡相符等情案。</w:t>
            </w:r>
          </w:p>
        </w:tc>
        <w:tc>
          <w:tcPr>
            <w:tcW w:w="6400" w:type="dxa"/>
            <w:hideMark/>
          </w:tcPr>
          <w:p w:rsidR="002F3951" w:rsidRPr="000B2A94" w:rsidRDefault="00F956E8" w:rsidP="00196DD5">
            <w:pPr>
              <w:pStyle w:val="afa"/>
              <w:numPr>
                <w:ilvl w:val="0"/>
                <w:numId w:val="26"/>
              </w:numPr>
              <w:ind w:leftChars="0"/>
              <w:rPr>
                <w:rFonts w:hAnsi="標楷體"/>
                <w:color w:val="000000" w:themeColor="text1"/>
                <w:sz w:val="28"/>
                <w:szCs w:val="28"/>
              </w:rPr>
            </w:pPr>
            <w:r w:rsidRPr="000B2A94">
              <w:rPr>
                <w:rFonts w:hAnsi="標楷體"/>
                <w:color w:val="000000" w:themeColor="text1"/>
                <w:sz w:val="28"/>
                <w:szCs w:val="28"/>
              </w:rPr>
              <w:lastRenderedPageBreak/>
              <w:t>我國司法機關採用測謊鑑定已數十年，近年法院及檢察官依法囑託測謊鑑定案件每年超過千件。測謊鑑定機關及施測人員並認為其準確度高達9成以上，甚至達百分之一百。惟司法實務及學者見解亦有認為測謊鑑定結果，並非如DNA鑑定等科學檢驗結</w:t>
            </w:r>
            <w:r w:rsidRPr="000B2A94">
              <w:rPr>
                <w:rFonts w:hAnsi="標楷體"/>
                <w:color w:val="000000" w:themeColor="text1"/>
                <w:sz w:val="28"/>
                <w:szCs w:val="28"/>
              </w:rPr>
              <w:lastRenderedPageBreak/>
              <w:t>果所具一定之「再現性」，而是取決於施測人員之專業智能、性格、經驗、態度等諸多因素等各項能力，倘無DNA鑑定或緝獲真兇等確切證據佐證，誠難判斷各個測謊鑑定結果之準確性。本院諮詢學者專家即認為測謊鑑定人員是所有鑑識人員中最難訓練的。是行政院宜就測謊鑑定人員之培訓、資格認證及查核等要件研訂一致性規範，以確保並提高測謊鑑定之準確度。</w:t>
            </w:r>
          </w:p>
          <w:p w:rsidR="002F3951" w:rsidRPr="000B2A94" w:rsidRDefault="00F956E8" w:rsidP="00196DD5">
            <w:pPr>
              <w:pStyle w:val="afa"/>
              <w:numPr>
                <w:ilvl w:val="0"/>
                <w:numId w:val="26"/>
              </w:numPr>
              <w:ind w:leftChars="0"/>
              <w:rPr>
                <w:rFonts w:hAnsi="標楷體"/>
                <w:color w:val="000000" w:themeColor="text1"/>
                <w:sz w:val="28"/>
                <w:szCs w:val="28"/>
              </w:rPr>
            </w:pPr>
            <w:r w:rsidRPr="000B2A94">
              <w:rPr>
                <w:rFonts w:hAnsi="標楷體"/>
                <w:color w:val="000000" w:themeColor="text1"/>
                <w:sz w:val="28"/>
                <w:szCs w:val="28"/>
              </w:rPr>
              <w:t>我國測謊鑑定機關法務部調查局、警政署刑事警察局及憲兵指揮部之測謊鑑定標準作業程序規範並非一致，亦無覆核驗證鑑定結果之機制，致測謊鑑定時有迥然不同之結果，尚難達到一般公認之科學方法驗證標準「再現性」；且測謊鑑定機關對檢察官或法官依刑事訴訟法第208條囑託鑑定之規定將證述先後不一之關鍵證人移送測謊鑑定，亦有率以拒測之情形，致被告因該等關鍵證人之證述被判有罪確定，均已戕害對被告或犯罪嫌疑人之程序正義，斲傷司法公信力。行政院宜整合各主要鑑定機關之測謊鑑定作業程序規範，並研訂一致性之標準作業程序，以維護當事人受公平對待之基本司法訴訟人權。</w:t>
            </w:r>
          </w:p>
          <w:p w:rsidR="002F3951" w:rsidRPr="000B2A94" w:rsidRDefault="00F956E8" w:rsidP="00196DD5">
            <w:pPr>
              <w:pStyle w:val="afa"/>
              <w:numPr>
                <w:ilvl w:val="0"/>
                <w:numId w:val="26"/>
              </w:numPr>
              <w:ind w:leftChars="0"/>
              <w:rPr>
                <w:rFonts w:hAnsi="標楷體"/>
                <w:color w:val="000000" w:themeColor="text1"/>
                <w:sz w:val="28"/>
                <w:szCs w:val="28"/>
              </w:rPr>
            </w:pPr>
            <w:r w:rsidRPr="000B2A94">
              <w:rPr>
                <w:rFonts w:hAnsi="標楷體"/>
                <w:color w:val="000000" w:themeColor="text1"/>
                <w:sz w:val="28"/>
                <w:szCs w:val="28"/>
              </w:rPr>
              <w:t>我國司法機關依據刑事訴訟法第208條第1項法官或檢察官囑託鑑定之規定，認定測謊鑑定結果有證據能力，並就該證據之證明力，依同法第155條第1項規定採自由心證主義，委由法官依職權評價，或採或棄之。惟被告聲請對自己或關鍵證人測謊以證明其未涉案，亦由法官或檢察官依職權決定，或准或駁回之；縱許可之，又允許測謊鑑定機關拒測，所採測謊鑑定證據能力之見解，又有不同。且我國偵查審理機關在欠缺物證等相關直接證據下，採用準確性有爭議之測謊鑑定作為認定犯罪事實之證據，亦有違刑事訴訟法規定之發現真</w:t>
            </w:r>
            <w:r w:rsidRPr="000B2A94">
              <w:rPr>
                <w:rFonts w:hAnsi="標楷體"/>
                <w:color w:val="000000" w:themeColor="text1"/>
                <w:sz w:val="28"/>
                <w:szCs w:val="28"/>
              </w:rPr>
              <w:lastRenderedPageBreak/>
              <w:t>實及保障人權之主要目的。司法院及行政院等主管機關宜就囑託測謊鑑定結果統計分析司法實務採認情形，並於刑事訴訟法等相關法令制（訂）定囑託測謊鑑定要件及程序等事項，以利遵循。</w:t>
            </w:r>
          </w:p>
          <w:p w:rsidR="002F3951" w:rsidRPr="000B2A94" w:rsidRDefault="00F956E8" w:rsidP="00196DD5">
            <w:pPr>
              <w:pStyle w:val="afa"/>
              <w:numPr>
                <w:ilvl w:val="0"/>
                <w:numId w:val="26"/>
              </w:numPr>
              <w:ind w:leftChars="0"/>
              <w:rPr>
                <w:rFonts w:hAnsi="標楷體"/>
                <w:color w:val="000000" w:themeColor="text1"/>
                <w:sz w:val="28"/>
                <w:szCs w:val="28"/>
              </w:rPr>
            </w:pPr>
            <w:r w:rsidRPr="000B2A94">
              <w:rPr>
                <w:rFonts w:hAnsi="標楷體"/>
                <w:color w:val="000000" w:themeColor="text1"/>
                <w:sz w:val="28"/>
                <w:szCs w:val="28"/>
              </w:rPr>
              <w:t>刑事程序上之測謊鑑定，係對於人之內心中所知、所思或所信的檢查，具有侵害個人內心自由及意思活動之心理檢查的性質，其對人格權之侵害，猶勝對被告緘默權之違反。現行刑事訴訟實務上，法官或檢察官依據刑事訴訟法第208條囑託機關測謊鑑定，並依最高法院歷年判決意旨之要求取得被告之同意，作為認定犯罪事實之證據。惟被告在刑事訴訟程序上係屬受強制處分之一方，在面對國家權力之搜索、羈押、追訴罪責的龐大壓力下，其同意法官或檢察官測謊鑑定之要求，內心究存有多少真摯性，以一般常理判斷，尚非難解。故檢察官或法官在偵查或審理程序中，要求被告之同意測謊鑑定恐有違反聯合國公民與政治權利國際公約第14條第3項第7款所定刑事訴訟程序應遵守之被告不自證己罪原則之最低限度標準及憲法第16條人民訴訟權之保障；且測謊鑑定係對人類心智活動的監測方法，亦有違反現代法治國保障人格權及人性尊嚴之虞，司法院及行政院允宜審慎研議之。</w:t>
            </w:r>
          </w:p>
          <w:p w:rsidR="00F956E8" w:rsidRPr="000B2A94" w:rsidRDefault="00F956E8" w:rsidP="00196DD5">
            <w:pPr>
              <w:pStyle w:val="afa"/>
              <w:numPr>
                <w:ilvl w:val="0"/>
                <w:numId w:val="26"/>
              </w:numPr>
              <w:ind w:leftChars="0"/>
              <w:rPr>
                <w:rFonts w:hAnsi="標楷體"/>
                <w:color w:val="000000" w:themeColor="text1"/>
                <w:sz w:val="28"/>
                <w:szCs w:val="28"/>
              </w:rPr>
            </w:pPr>
            <w:r w:rsidRPr="000B2A94">
              <w:rPr>
                <w:rFonts w:hAnsi="標楷體"/>
                <w:color w:val="000000" w:themeColor="text1"/>
                <w:sz w:val="28"/>
                <w:szCs w:val="28"/>
              </w:rPr>
              <w:t>法務部調查局前調查專員李復國接受軍方委託及檢察官或法官囑託測謊江國慶被訴性侵殺女童案、空軍桃園基地彈藥庫失竊案，呂介閔被訴殺人案等刑事案件之鑑定結果，雖已經司法途徑證明被告清白，惟其測謊程序及圖譜之判讀結果，經同儕審查發現，尚未符合現今測謊鑑定規範。行政院允宜參酌近年美國對司法鑑識技術之檢討及美國司法部與無辜計畫組織等團體合作全面複查西元2000年以前20年間刑事</w:t>
            </w:r>
            <w:r w:rsidRPr="000B2A94">
              <w:rPr>
                <w:rFonts w:hAnsi="標楷體"/>
                <w:color w:val="000000" w:themeColor="text1"/>
                <w:sz w:val="28"/>
                <w:szCs w:val="28"/>
              </w:rPr>
              <w:lastRenderedPageBreak/>
              <w:t>確定判決中美國聯邦調查局向法院提出之顯微毛髮鑑識分析報告有無錯誤情形之作業方式（美國聯邦調查局已承認錯誤率超過90％），重新檢視李復國施測案件有無程序及判讀結果之瑕疵，作為訂定測謊程序規範之參考，惟若有關鍵事證，足以構成聲請再審事由，並應依法辦理，提供冤案當事人救濟管道，以維護人民之權益及司法公信力。</w:t>
            </w:r>
          </w:p>
        </w:tc>
      </w:tr>
      <w:tr w:rsidR="000B2A94" w:rsidRPr="000B2A94" w:rsidTr="00F956E8">
        <w:tc>
          <w:tcPr>
            <w:tcW w:w="534" w:type="dxa"/>
            <w:noWrap/>
            <w:hideMark/>
          </w:tcPr>
          <w:p w:rsidR="00F956E8" w:rsidRPr="000B2A94" w:rsidRDefault="00F956E8" w:rsidP="00F956E8">
            <w:pPr>
              <w:rPr>
                <w:color w:val="000000" w:themeColor="text1"/>
                <w:sz w:val="28"/>
                <w:szCs w:val="28"/>
              </w:rPr>
            </w:pPr>
            <w:r w:rsidRPr="000B2A94">
              <w:rPr>
                <w:color w:val="000000" w:themeColor="text1"/>
                <w:sz w:val="28"/>
                <w:szCs w:val="28"/>
              </w:rPr>
              <w:lastRenderedPageBreak/>
              <w:t>9</w:t>
            </w:r>
          </w:p>
        </w:tc>
        <w:tc>
          <w:tcPr>
            <w:tcW w:w="2126" w:type="dxa"/>
            <w:hideMark/>
          </w:tcPr>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105財調0047：</w:t>
            </w:r>
          </w:p>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據悉，疑有業者將80公噸中國大陸大蒜混充為泰國大蒜進口我國，詎財政部關務署高雄關於該批大蒜品種鑑定未明前，竟讓業者領走。究政府機關對以不實國名進口之農產品的把關機制是否周延？押款放行之措施有無缺失？行政院農業委員會及財政部關務署對於檢驗報告之認知有無落差？案關人員執行放行過程有無疏失？均有深入瞭解之必要案。</w:t>
            </w:r>
          </w:p>
        </w:tc>
        <w:tc>
          <w:tcPr>
            <w:tcW w:w="6400" w:type="dxa"/>
            <w:hideMark/>
          </w:tcPr>
          <w:p w:rsidR="002F3951" w:rsidRPr="000B2A94" w:rsidRDefault="00F956E8" w:rsidP="00196DD5">
            <w:pPr>
              <w:pStyle w:val="afa"/>
              <w:numPr>
                <w:ilvl w:val="0"/>
                <w:numId w:val="27"/>
              </w:numPr>
              <w:ind w:leftChars="0"/>
              <w:rPr>
                <w:rFonts w:hAnsi="標楷體"/>
                <w:color w:val="000000" w:themeColor="text1"/>
                <w:sz w:val="28"/>
                <w:szCs w:val="28"/>
              </w:rPr>
            </w:pPr>
            <w:r w:rsidRPr="000B2A94">
              <w:rPr>
                <w:rFonts w:hAnsi="標楷體"/>
                <w:color w:val="000000" w:themeColor="text1"/>
                <w:sz w:val="28"/>
                <w:szCs w:val="28"/>
              </w:rPr>
              <w:t>本案進口鮮大蒜之品種，經農委會鑑定結果為與所蒐集之中國大陸大蒜特性不相符，高雄關爰依相關規定准予進口人繳納保證金後放行，尚非無據；惟據以核定之保證金數額與國內市場交易價格差距甚大，難以發揮嚇阻廠商非法進口之作用，財政部應正視並重新檢視相關規定。</w:t>
            </w:r>
          </w:p>
          <w:p w:rsidR="002F3951" w:rsidRPr="000B2A94" w:rsidRDefault="00F956E8" w:rsidP="00196DD5">
            <w:pPr>
              <w:pStyle w:val="afa"/>
              <w:numPr>
                <w:ilvl w:val="0"/>
                <w:numId w:val="27"/>
              </w:numPr>
              <w:ind w:leftChars="0"/>
              <w:rPr>
                <w:rFonts w:hAnsi="標楷體"/>
                <w:color w:val="000000" w:themeColor="text1"/>
                <w:sz w:val="28"/>
                <w:szCs w:val="28"/>
              </w:rPr>
            </w:pPr>
            <w:r w:rsidRPr="000B2A94">
              <w:rPr>
                <w:rFonts w:hAnsi="標楷體"/>
                <w:color w:val="000000" w:themeColor="text1"/>
                <w:sz w:val="28"/>
                <w:szCs w:val="28"/>
              </w:rPr>
              <w:t>進出口貨物查驗項目及注意事項繁多，惟關務署並未訂定相關標準作業程序及查核表，有礙各項查核作業之正確落實；復欠缺進口貨物取樣方式及數量之明文規範，驗貨關員竟僅憑經驗傳承各自作業，且實際取樣方式及紀錄付之闕如，均亟待檢討改進。</w:t>
            </w:r>
          </w:p>
          <w:p w:rsidR="002F3951" w:rsidRPr="000B2A94" w:rsidRDefault="00F956E8" w:rsidP="00196DD5">
            <w:pPr>
              <w:pStyle w:val="afa"/>
              <w:numPr>
                <w:ilvl w:val="0"/>
                <w:numId w:val="27"/>
              </w:numPr>
              <w:ind w:leftChars="0"/>
              <w:rPr>
                <w:rFonts w:hAnsi="標楷體"/>
                <w:color w:val="000000" w:themeColor="text1"/>
                <w:sz w:val="28"/>
                <w:szCs w:val="28"/>
              </w:rPr>
            </w:pPr>
            <w:r w:rsidRPr="000B2A94">
              <w:rPr>
                <w:rFonts w:hAnsi="標楷體"/>
                <w:color w:val="000000" w:themeColor="text1"/>
                <w:sz w:val="28"/>
                <w:szCs w:val="28"/>
              </w:rPr>
              <w:t>關務署對於進口貨物產地認定及貨樣保存期限之規定，在執行時程上，有所落差，難以因應為確認原產地而再提取貨樣供化驗或鑑定時之需要；且依海關現行對於鮮大蒜貨樣之封裝方式，顯無法達到貨樣應保留2個月規定之品質，有失選取及保留「樣品」之原始立意，均有未洽。</w:t>
            </w:r>
          </w:p>
          <w:p w:rsidR="002F3951" w:rsidRPr="000B2A94" w:rsidRDefault="00F956E8" w:rsidP="00196DD5">
            <w:pPr>
              <w:pStyle w:val="afa"/>
              <w:numPr>
                <w:ilvl w:val="0"/>
                <w:numId w:val="27"/>
              </w:numPr>
              <w:ind w:leftChars="0"/>
              <w:rPr>
                <w:rFonts w:hAnsi="標楷體"/>
                <w:color w:val="000000" w:themeColor="text1"/>
                <w:sz w:val="28"/>
                <w:szCs w:val="28"/>
              </w:rPr>
            </w:pPr>
            <w:r w:rsidRPr="000B2A94">
              <w:rPr>
                <w:rFonts w:hAnsi="標楷體"/>
                <w:color w:val="000000" w:themeColor="text1"/>
                <w:sz w:val="28"/>
                <w:szCs w:val="28"/>
              </w:rPr>
              <w:t>農委會對於進口大蒜原產地協助認定方式係以「品種」檢核方式為之，而海關係依據財政部、經濟部會銜公告之函釋，以收割或採集之國家或地區為其原產地認定基準，兩者在認知及作法上存有落差，實務上爭議難免，值得商榷；且農委會相關作業程序未明列採取成分分析方法，作業標</w:t>
            </w:r>
            <w:r w:rsidRPr="000B2A94">
              <w:rPr>
                <w:rFonts w:hAnsi="標楷體"/>
                <w:color w:val="000000" w:themeColor="text1"/>
                <w:sz w:val="28"/>
                <w:szCs w:val="28"/>
              </w:rPr>
              <w:lastRenderedPageBreak/>
              <w:t>準不一，又僅以28個中國</w:t>
            </w:r>
            <w:r w:rsidR="002F3951" w:rsidRPr="000B2A94">
              <w:rPr>
                <w:rFonts w:hAnsi="標楷體"/>
                <w:color w:val="000000" w:themeColor="text1"/>
                <w:sz w:val="28"/>
                <w:szCs w:val="28"/>
              </w:rPr>
              <w:t>大陸大蒜品種供作比對，實難以確切防堵中國大陸大蒜進口，均有欠</w:t>
            </w:r>
          </w:p>
          <w:p w:rsidR="00F956E8" w:rsidRPr="000B2A94" w:rsidRDefault="00F956E8" w:rsidP="00196DD5">
            <w:pPr>
              <w:pStyle w:val="afa"/>
              <w:numPr>
                <w:ilvl w:val="0"/>
                <w:numId w:val="27"/>
              </w:numPr>
              <w:ind w:leftChars="0"/>
              <w:rPr>
                <w:rFonts w:hAnsi="標楷體"/>
                <w:color w:val="000000" w:themeColor="text1"/>
                <w:sz w:val="28"/>
                <w:szCs w:val="28"/>
              </w:rPr>
            </w:pPr>
            <w:r w:rsidRPr="000B2A94">
              <w:rPr>
                <w:rFonts w:hAnsi="標楷體"/>
                <w:color w:val="000000" w:themeColor="text1"/>
                <w:sz w:val="28"/>
                <w:szCs w:val="28"/>
              </w:rPr>
              <w:t>有關105年5月1日至同年6月30日期間，我國自泰國進口鮮大蒜計有25批，其原產地經農委會品種鑑定、成分分析後，海關再綜合其他相關事證，最終均判定為泰國，故該期間我國自泰國進口之鮮大蒜，並無判定原產地為中國大陸之案例；另105年6月間自西班牙進口鮮大蒜計3批，經防檢局檢疫結果尚無罹染相關病菌，均經評定合格在案。</w:t>
            </w:r>
          </w:p>
        </w:tc>
      </w:tr>
      <w:tr w:rsidR="000B2A94" w:rsidRPr="000B2A94" w:rsidTr="00F956E8">
        <w:tc>
          <w:tcPr>
            <w:tcW w:w="534" w:type="dxa"/>
            <w:noWrap/>
            <w:hideMark/>
          </w:tcPr>
          <w:p w:rsidR="00F956E8" w:rsidRPr="000B2A94" w:rsidRDefault="00F956E8" w:rsidP="00F956E8">
            <w:pPr>
              <w:rPr>
                <w:color w:val="000000" w:themeColor="text1"/>
                <w:sz w:val="28"/>
                <w:szCs w:val="28"/>
              </w:rPr>
            </w:pPr>
            <w:r w:rsidRPr="000B2A94">
              <w:rPr>
                <w:color w:val="000000" w:themeColor="text1"/>
                <w:sz w:val="28"/>
                <w:szCs w:val="28"/>
              </w:rPr>
              <w:lastRenderedPageBreak/>
              <w:t>10</w:t>
            </w:r>
          </w:p>
        </w:tc>
        <w:tc>
          <w:tcPr>
            <w:tcW w:w="2126" w:type="dxa"/>
            <w:hideMark/>
          </w:tcPr>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104財調0043：</w:t>
            </w:r>
          </w:p>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 xml:space="preserve">台灣電力股份有限公司第三核能發電廠2號機輔助變壓器日前發生火警，屏東縣政府對核三廠近年來多次公安事件，均未依規定主動通報十分不滿，要求行政院原子能委員會重懲，俟鑑定報告出爐後，不排除依公共危險罪嫌移送法辦等情案。   </w:t>
            </w:r>
          </w:p>
        </w:tc>
        <w:tc>
          <w:tcPr>
            <w:tcW w:w="6400" w:type="dxa"/>
            <w:hideMark/>
          </w:tcPr>
          <w:p w:rsidR="002F3951" w:rsidRPr="000B2A94" w:rsidRDefault="00F956E8" w:rsidP="00196DD5">
            <w:pPr>
              <w:pStyle w:val="afa"/>
              <w:numPr>
                <w:ilvl w:val="0"/>
                <w:numId w:val="28"/>
              </w:numPr>
              <w:ind w:leftChars="0"/>
              <w:rPr>
                <w:rFonts w:hAnsi="標楷體"/>
                <w:color w:val="000000" w:themeColor="text1"/>
                <w:sz w:val="28"/>
                <w:szCs w:val="28"/>
              </w:rPr>
            </w:pPr>
            <w:r w:rsidRPr="000B2A94">
              <w:rPr>
                <w:rFonts w:hAnsi="標楷體"/>
                <w:color w:val="000000" w:themeColor="text1"/>
                <w:sz w:val="28"/>
                <w:szCs w:val="28"/>
              </w:rPr>
              <w:t>台電公司對於核三廠2號機輔助變壓器104年4月26日火警事件，應釐清火警直接及間接原因，並記取「星星之火可以燎原，小事亦能釀成大禍」之教訓，確實檢討維護查證紀錄之完備，亦應持續加強維護檢測及安全檢查，確保核能安全及設施品質保證。</w:t>
            </w:r>
          </w:p>
          <w:p w:rsidR="002F3951" w:rsidRPr="000B2A94" w:rsidRDefault="00F956E8" w:rsidP="00196DD5">
            <w:pPr>
              <w:pStyle w:val="afa"/>
              <w:numPr>
                <w:ilvl w:val="0"/>
                <w:numId w:val="28"/>
              </w:numPr>
              <w:ind w:leftChars="0"/>
              <w:rPr>
                <w:rFonts w:hAnsi="標楷體"/>
                <w:color w:val="000000" w:themeColor="text1"/>
                <w:sz w:val="28"/>
                <w:szCs w:val="28"/>
              </w:rPr>
            </w:pPr>
            <w:r w:rsidRPr="000B2A94">
              <w:rPr>
                <w:rFonts w:hAnsi="標楷體"/>
                <w:color w:val="000000" w:themeColor="text1"/>
                <w:sz w:val="28"/>
                <w:szCs w:val="28"/>
              </w:rPr>
              <w:t>核能發電廠之設計、興建及運轉具有專業性，台電公司對外允宜加強介紹核電廠運作過程，對於緊急事件更應基於同理心，採公開透明、虛心檢討方式因應。</w:t>
            </w:r>
          </w:p>
          <w:p w:rsidR="00F956E8" w:rsidRPr="000B2A94" w:rsidRDefault="00F956E8" w:rsidP="00196DD5">
            <w:pPr>
              <w:pStyle w:val="afa"/>
              <w:numPr>
                <w:ilvl w:val="0"/>
                <w:numId w:val="28"/>
              </w:numPr>
              <w:ind w:leftChars="0"/>
              <w:rPr>
                <w:rFonts w:hAnsi="標楷體"/>
                <w:color w:val="000000" w:themeColor="text1"/>
                <w:sz w:val="28"/>
                <w:szCs w:val="28"/>
              </w:rPr>
            </w:pPr>
            <w:r w:rsidRPr="000B2A94">
              <w:rPr>
                <w:rFonts w:hAnsi="標楷體"/>
                <w:color w:val="000000" w:themeColor="text1"/>
                <w:sz w:val="28"/>
                <w:szCs w:val="28"/>
              </w:rPr>
              <w:t>台電公司核三廠對於異常事件之通報，應確實檢討通報程序之精進作法，以利當地政府及民眾即時獲得正確訊息，並應持續落實通報機制，加強溝通及維持聯繫管道之暢通。</w:t>
            </w:r>
          </w:p>
        </w:tc>
      </w:tr>
      <w:tr w:rsidR="000B2A94" w:rsidRPr="000B2A94" w:rsidTr="00F956E8">
        <w:tc>
          <w:tcPr>
            <w:tcW w:w="534" w:type="dxa"/>
            <w:noWrap/>
            <w:hideMark/>
          </w:tcPr>
          <w:p w:rsidR="00F956E8" w:rsidRPr="000B2A94" w:rsidRDefault="00F956E8" w:rsidP="00F956E8">
            <w:pPr>
              <w:rPr>
                <w:color w:val="000000" w:themeColor="text1"/>
                <w:sz w:val="28"/>
                <w:szCs w:val="28"/>
              </w:rPr>
            </w:pPr>
            <w:r w:rsidRPr="000B2A94">
              <w:rPr>
                <w:color w:val="000000" w:themeColor="text1"/>
                <w:sz w:val="28"/>
                <w:szCs w:val="28"/>
              </w:rPr>
              <w:t>11</w:t>
            </w:r>
          </w:p>
        </w:tc>
        <w:tc>
          <w:tcPr>
            <w:tcW w:w="2126" w:type="dxa"/>
            <w:hideMark/>
          </w:tcPr>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104財調0016：</w:t>
            </w:r>
          </w:p>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據審計部函報：派員調查臺灣菸酒股份有限公司辦理調和大陸進口「加味伏特加」酒品</w:t>
            </w:r>
            <w:r w:rsidRPr="000B2A94">
              <w:rPr>
                <w:rFonts w:hAnsi="標楷體"/>
                <w:color w:val="000000" w:themeColor="text1"/>
                <w:sz w:val="28"/>
                <w:szCs w:val="28"/>
              </w:rPr>
              <w:lastRenderedPageBreak/>
              <w:t>訂製業務及相關酒類檢驗鑑定業務，據報該公司相關人員核有財務上不忠於職務之行為等情案。</w:t>
            </w:r>
          </w:p>
        </w:tc>
        <w:tc>
          <w:tcPr>
            <w:tcW w:w="6400" w:type="dxa"/>
            <w:hideMark/>
          </w:tcPr>
          <w:p w:rsidR="002F3951" w:rsidRPr="000B2A94" w:rsidRDefault="00F956E8" w:rsidP="00196DD5">
            <w:pPr>
              <w:pStyle w:val="afa"/>
              <w:numPr>
                <w:ilvl w:val="0"/>
                <w:numId w:val="29"/>
              </w:numPr>
              <w:ind w:leftChars="0"/>
              <w:rPr>
                <w:rFonts w:hAnsi="標楷體"/>
                <w:color w:val="000000" w:themeColor="text1"/>
                <w:sz w:val="28"/>
                <w:szCs w:val="28"/>
              </w:rPr>
            </w:pPr>
            <w:r w:rsidRPr="000B2A94">
              <w:rPr>
                <w:rFonts w:hAnsi="標楷體"/>
                <w:color w:val="000000" w:themeColor="text1"/>
                <w:sz w:val="28"/>
                <w:szCs w:val="28"/>
              </w:rPr>
              <w:lastRenderedPageBreak/>
              <w:t>臺灣菸酒公司有無假藉加味伏特加名義違法進口大陸茅台酒，及酒研究所相關人員是否出具不實檢驗報告協助通關，全案刻由檢察機關偵查中，遭查扣之爭議酒液鑑定結果不明，臺灣菸酒公司人員究有無從中舞弊，本於毋枉毋縱原則，宜由司法機關偵審斷定。</w:t>
            </w:r>
          </w:p>
          <w:p w:rsidR="002F3951" w:rsidRPr="000B2A94" w:rsidRDefault="00F956E8" w:rsidP="00196DD5">
            <w:pPr>
              <w:pStyle w:val="afa"/>
              <w:numPr>
                <w:ilvl w:val="0"/>
                <w:numId w:val="29"/>
              </w:numPr>
              <w:ind w:leftChars="0"/>
              <w:rPr>
                <w:rFonts w:hAnsi="標楷體"/>
                <w:color w:val="000000" w:themeColor="text1"/>
                <w:sz w:val="28"/>
                <w:szCs w:val="28"/>
              </w:rPr>
            </w:pPr>
            <w:r w:rsidRPr="000B2A94">
              <w:rPr>
                <w:rFonts w:hAnsi="標楷體"/>
                <w:color w:val="000000" w:themeColor="text1"/>
                <w:sz w:val="28"/>
                <w:szCs w:val="28"/>
              </w:rPr>
              <w:lastRenderedPageBreak/>
              <w:t>我國對於白酒與伏特加酒，未有明確定義，且二者成分上難以區分，權威鑑定機構酒研究所長年來仰賴製造商檢附產地證明及製造履歷等文件進行書面審查，無法根除物化特性相近問題，故以加味伏特加名義申報進口案件，容易肇生合法掩飾非法之爭議或弊端，影響海關執法威信及商民權益，主管機關財政部允應正視部分禁止輸入大陸地區酒品項目不易落實管制問題深入檢討。</w:t>
            </w:r>
          </w:p>
          <w:p w:rsidR="002F3951" w:rsidRPr="000B2A94" w:rsidRDefault="00F956E8" w:rsidP="00196DD5">
            <w:pPr>
              <w:pStyle w:val="afa"/>
              <w:numPr>
                <w:ilvl w:val="0"/>
                <w:numId w:val="29"/>
              </w:numPr>
              <w:ind w:leftChars="0"/>
              <w:rPr>
                <w:rFonts w:hAnsi="標楷體"/>
                <w:color w:val="000000" w:themeColor="text1"/>
                <w:sz w:val="28"/>
                <w:szCs w:val="28"/>
              </w:rPr>
            </w:pPr>
            <w:r w:rsidRPr="000B2A94">
              <w:rPr>
                <w:rFonts w:hAnsi="標楷體"/>
                <w:color w:val="000000" w:themeColor="text1"/>
                <w:sz w:val="28"/>
                <w:szCs w:val="28"/>
              </w:rPr>
              <w:t>臺灣菸酒公司同意客製化廠商自行提供酒液原料進廠加工，卻未本於酒品專業及商譽考量，落實嚴格品管驗收，衍生虛報貨名進口爭議，影響國營企業形象，核有怠失。</w:t>
            </w:r>
          </w:p>
          <w:p w:rsidR="00F956E8" w:rsidRPr="000B2A94" w:rsidRDefault="00F956E8" w:rsidP="00196DD5">
            <w:pPr>
              <w:pStyle w:val="afa"/>
              <w:numPr>
                <w:ilvl w:val="0"/>
                <w:numId w:val="29"/>
              </w:numPr>
              <w:ind w:leftChars="0"/>
              <w:rPr>
                <w:rFonts w:hAnsi="標楷體"/>
                <w:color w:val="000000" w:themeColor="text1"/>
                <w:sz w:val="28"/>
                <w:szCs w:val="28"/>
              </w:rPr>
            </w:pPr>
            <w:r w:rsidRPr="000B2A94">
              <w:rPr>
                <w:rFonts w:hAnsi="標楷體"/>
                <w:color w:val="000000" w:themeColor="text1"/>
                <w:sz w:val="28"/>
                <w:szCs w:val="28"/>
              </w:rPr>
              <w:t>臺灣菸酒公司未審慎研議茅台酒於大陸地區銷售之商標侵權問題，即率予同意接受訂單並預收貨款，俟無法取得商標註冊，方協商客戶切結自負未來侵權賠償責任，嗣提前終止合約，酒品供銷作業未竟其功，影響國營企業形象及商譽，有欠允當。</w:t>
            </w:r>
          </w:p>
        </w:tc>
      </w:tr>
      <w:tr w:rsidR="000B2A94" w:rsidRPr="000B2A94" w:rsidTr="00F956E8">
        <w:tc>
          <w:tcPr>
            <w:tcW w:w="534" w:type="dxa"/>
            <w:noWrap/>
            <w:hideMark/>
          </w:tcPr>
          <w:p w:rsidR="00F956E8" w:rsidRPr="000B2A94" w:rsidRDefault="00F956E8" w:rsidP="00F956E8">
            <w:pPr>
              <w:rPr>
                <w:color w:val="000000" w:themeColor="text1"/>
                <w:sz w:val="28"/>
                <w:szCs w:val="28"/>
              </w:rPr>
            </w:pPr>
            <w:r w:rsidRPr="000B2A94">
              <w:rPr>
                <w:color w:val="000000" w:themeColor="text1"/>
                <w:sz w:val="28"/>
                <w:szCs w:val="28"/>
              </w:rPr>
              <w:lastRenderedPageBreak/>
              <w:t>12</w:t>
            </w:r>
          </w:p>
        </w:tc>
        <w:tc>
          <w:tcPr>
            <w:tcW w:w="2126" w:type="dxa"/>
            <w:hideMark/>
          </w:tcPr>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103司調0045：</w:t>
            </w:r>
          </w:p>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據訴，桃園縣泓福實業股份有限公司聘用11名印尼外勞擔任廠工，卻扣留彼等之證件、薪資及惡劣對待，業經警方及民間團體鑑定為人口販運之被害人，惟臺灣桃園地方法院檢察署承辦檢察官卻視為損害賠償事件，強</w:t>
            </w:r>
            <w:r w:rsidRPr="000B2A94">
              <w:rPr>
                <w:rFonts w:hAnsi="標楷體"/>
                <w:color w:val="000000" w:themeColor="text1"/>
                <w:sz w:val="28"/>
                <w:szCs w:val="28"/>
              </w:rPr>
              <w:lastRenderedPageBreak/>
              <w:t>力要求庭外和解，並於外勞同意領取極少數積欠薪資後為不起處分，相關單位有無違法失職，有深入了解之必要乙案。</w:t>
            </w:r>
          </w:p>
        </w:tc>
        <w:tc>
          <w:tcPr>
            <w:tcW w:w="6400" w:type="dxa"/>
            <w:hideMark/>
          </w:tcPr>
          <w:p w:rsidR="002F3951" w:rsidRPr="000B2A94" w:rsidRDefault="00F956E8" w:rsidP="00196DD5">
            <w:pPr>
              <w:pStyle w:val="afa"/>
              <w:numPr>
                <w:ilvl w:val="0"/>
                <w:numId w:val="30"/>
              </w:numPr>
              <w:ind w:leftChars="0"/>
              <w:rPr>
                <w:rFonts w:hAnsi="標楷體"/>
                <w:color w:val="000000" w:themeColor="text1"/>
                <w:sz w:val="28"/>
                <w:szCs w:val="28"/>
              </w:rPr>
            </w:pPr>
            <w:r w:rsidRPr="000B2A94">
              <w:rPr>
                <w:rFonts w:hAnsi="標楷體"/>
                <w:color w:val="000000" w:themeColor="text1"/>
                <w:sz w:val="28"/>
                <w:szCs w:val="28"/>
              </w:rPr>
              <w:lastRenderedPageBreak/>
              <w:t>臺灣桃園地方法院檢察署102年度調偵字第167號不起訴處分，認定被告等並未違反人口販運防制法，在現行實務解釋下，檢察官所為之不起訴處分，尚未違背法律，於合乎經驗法則與論理法則下，自宜尊重檢察官本於確信之判斷；又陳訴人指摘偵查過程之相關違失，經覆核原卷，容有誤會。</w:t>
            </w:r>
          </w:p>
          <w:p w:rsidR="00F956E8" w:rsidRPr="000B2A94" w:rsidRDefault="00F956E8" w:rsidP="00196DD5">
            <w:pPr>
              <w:pStyle w:val="afa"/>
              <w:numPr>
                <w:ilvl w:val="0"/>
                <w:numId w:val="30"/>
              </w:numPr>
              <w:ind w:leftChars="0"/>
              <w:rPr>
                <w:rFonts w:hAnsi="標楷體"/>
                <w:color w:val="000000" w:themeColor="text1"/>
                <w:sz w:val="28"/>
                <w:szCs w:val="28"/>
              </w:rPr>
            </w:pPr>
            <w:r w:rsidRPr="000B2A94">
              <w:rPr>
                <w:rFonts w:hAnsi="標楷體"/>
                <w:color w:val="000000" w:themeColor="text1"/>
                <w:sz w:val="28"/>
                <w:szCs w:val="28"/>
              </w:rPr>
              <w:t>泓福公司雇用11名印尼外勞，變更外勞勞動契約，將護照及居留證扣留、加班與加班時數違反勞動法令，並未依法計算加班費及扣留陳訴人財物，未按時給付薪資等情，業違反相關勞動法令，本院於調查期間，業請勞動部查明屬實，依法究責，並請該部持續督導辦理。</w:t>
            </w:r>
            <w:r w:rsidRPr="000B2A94">
              <w:rPr>
                <w:rFonts w:hAnsi="標楷體"/>
                <w:color w:val="000000" w:themeColor="text1"/>
                <w:sz w:val="28"/>
                <w:szCs w:val="28"/>
              </w:rPr>
              <w:br/>
              <w:t>三、內政部未能依人口販運防制法第7條規</w:t>
            </w:r>
            <w:r w:rsidRPr="000B2A94">
              <w:rPr>
                <w:rFonts w:hAnsi="標楷體"/>
                <w:color w:val="000000" w:themeColor="text1"/>
                <w:sz w:val="28"/>
                <w:szCs w:val="28"/>
              </w:rPr>
              <w:lastRenderedPageBreak/>
              <w:t>定，就辦理人口販運案件之相關人員應經相關專業訓練，訂定「應經相關專業訓練」之認定標準，並檢討現行關於人口販運之教育訓練是否有須改進之處，尚欠妥適。</w:t>
            </w:r>
          </w:p>
        </w:tc>
      </w:tr>
      <w:tr w:rsidR="000B2A94" w:rsidRPr="000B2A94" w:rsidTr="00F956E8">
        <w:tc>
          <w:tcPr>
            <w:tcW w:w="534" w:type="dxa"/>
            <w:noWrap/>
            <w:hideMark/>
          </w:tcPr>
          <w:p w:rsidR="00F956E8" w:rsidRPr="000B2A94" w:rsidRDefault="00F956E8" w:rsidP="00F956E8">
            <w:pPr>
              <w:rPr>
                <w:color w:val="000000" w:themeColor="text1"/>
                <w:sz w:val="28"/>
                <w:szCs w:val="28"/>
              </w:rPr>
            </w:pPr>
            <w:r w:rsidRPr="000B2A94">
              <w:rPr>
                <w:color w:val="000000" w:themeColor="text1"/>
                <w:sz w:val="28"/>
                <w:szCs w:val="28"/>
              </w:rPr>
              <w:lastRenderedPageBreak/>
              <w:t>13</w:t>
            </w:r>
          </w:p>
        </w:tc>
        <w:tc>
          <w:tcPr>
            <w:tcW w:w="2126" w:type="dxa"/>
            <w:hideMark/>
          </w:tcPr>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103司調0038：</w:t>
            </w:r>
          </w:p>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據訴，最高法院一百年度台上字第四一七七號及臺灣高等法院九十八年度矚上重更(十一)字第七號等歷審法院審理邱○○○等被訴強盜故意殺害保險業務員柯洪○○命案，似僅依被告自白及欠缺關連性與信用性上有疑義之證據，率為有罪判決；另負責偵辦之臺灣新竹地方法院檢察署、內政部刑事警察局、臺北市政府警察局刑事警察大隊疑未依規定保存相關證據並就涉及有利被告之證據辦理鑑</w:t>
            </w:r>
            <w:r w:rsidRPr="000B2A94">
              <w:rPr>
                <w:rFonts w:hAnsi="標楷體"/>
                <w:color w:val="000000" w:themeColor="text1"/>
                <w:sz w:val="28"/>
                <w:szCs w:val="28"/>
              </w:rPr>
              <w:lastRenderedPageBreak/>
              <w:t>定，涉有違失等情乙案。</w:t>
            </w:r>
          </w:p>
        </w:tc>
        <w:tc>
          <w:tcPr>
            <w:tcW w:w="6400" w:type="dxa"/>
            <w:hideMark/>
          </w:tcPr>
          <w:p w:rsidR="002F3951" w:rsidRPr="000B2A94" w:rsidRDefault="00F956E8" w:rsidP="00196DD5">
            <w:pPr>
              <w:pStyle w:val="afa"/>
              <w:numPr>
                <w:ilvl w:val="0"/>
                <w:numId w:val="31"/>
              </w:numPr>
              <w:ind w:leftChars="0"/>
              <w:rPr>
                <w:rFonts w:hAnsi="標楷體"/>
                <w:color w:val="000000" w:themeColor="text1"/>
                <w:sz w:val="28"/>
                <w:szCs w:val="28"/>
              </w:rPr>
            </w:pPr>
            <w:r w:rsidRPr="000B2A94">
              <w:rPr>
                <w:rFonts w:hAnsi="標楷體"/>
                <w:color w:val="000000" w:themeColor="text1"/>
                <w:sz w:val="28"/>
                <w:szCs w:val="28"/>
              </w:rPr>
              <w:lastRenderedPageBreak/>
              <w:t>原確定判決將被告邱○○等欠缺任意性與不具證據能力之自白及認罪供述作為證據，有違刑事訴訟法第三百七十九條第十款、第十四款應於審判期日調查之證據未予調查與判決理由矛盾之違誤；其共同被告之全體自白之任意性，應由國家證明全體被告的陳述是出於自願，否則不可採用。</w:t>
            </w:r>
          </w:p>
          <w:p w:rsidR="002F3951" w:rsidRPr="000B2A94" w:rsidRDefault="00F956E8" w:rsidP="00196DD5">
            <w:pPr>
              <w:pStyle w:val="afa"/>
              <w:numPr>
                <w:ilvl w:val="0"/>
                <w:numId w:val="31"/>
              </w:numPr>
              <w:ind w:leftChars="0"/>
              <w:rPr>
                <w:rFonts w:hAnsi="標楷體"/>
                <w:color w:val="000000" w:themeColor="text1"/>
                <w:sz w:val="28"/>
                <w:szCs w:val="28"/>
              </w:rPr>
            </w:pPr>
            <w:r w:rsidRPr="000B2A94">
              <w:rPr>
                <w:rFonts w:hAnsi="標楷體"/>
                <w:color w:val="000000" w:themeColor="text1"/>
                <w:sz w:val="28"/>
                <w:szCs w:val="28"/>
              </w:rPr>
              <w:t>原確定判決認定被告邱○○等共犯柯洪○○命案，除共同被告自白外並無任何補強證據，有違論理法則與採證法則，涉有刑事訴訟法第三百七十九條第十款、第十四款，應於審判期日調查之證據未予調查與判決理由矛盾之違誤。</w:t>
            </w:r>
          </w:p>
          <w:p w:rsidR="002F3951" w:rsidRPr="000B2A94" w:rsidRDefault="00F956E8" w:rsidP="00196DD5">
            <w:pPr>
              <w:pStyle w:val="afa"/>
              <w:numPr>
                <w:ilvl w:val="0"/>
                <w:numId w:val="31"/>
              </w:numPr>
              <w:ind w:leftChars="0"/>
              <w:rPr>
                <w:rFonts w:hAnsi="標楷體"/>
                <w:color w:val="000000" w:themeColor="text1"/>
                <w:sz w:val="28"/>
                <w:szCs w:val="28"/>
              </w:rPr>
            </w:pPr>
            <w:r w:rsidRPr="000B2A94">
              <w:rPr>
                <w:rFonts w:hAnsi="標楷體"/>
                <w:color w:val="000000" w:themeColor="text1"/>
                <w:sz w:val="28"/>
                <w:szCs w:val="28"/>
              </w:rPr>
              <w:t>被告邱○○等自白與認罪供述有諸多疑義且共同被告間自白相互矛盾並與其他卷內證據不相符合欠缺信用性，原確定判決對於該自白瑕疵處未予究明，即採為判決基礎，有違經驗法則與論理法則，並涉有刑事訴訟法第三百七十九條第十款、第十四款應於審判期日調查之證據未予調查與判決理由矛盾之違誤。</w:t>
            </w:r>
          </w:p>
          <w:p w:rsidR="00F956E8" w:rsidRPr="000B2A94" w:rsidRDefault="00F956E8" w:rsidP="00196DD5">
            <w:pPr>
              <w:pStyle w:val="afa"/>
              <w:numPr>
                <w:ilvl w:val="0"/>
                <w:numId w:val="31"/>
              </w:numPr>
              <w:ind w:leftChars="0"/>
              <w:rPr>
                <w:rFonts w:hAnsi="標楷體"/>
                <w:color w:val="000000" w:themeColor="text1"/>
                <w:sz w:val="28"/>
                <w:szCs w:val="28"/>
              </w:rPr>
            </w:pPr>
            <w:r w:rsidRPr="000B2A94">
              <w:rPr>
                <w:rFonts w:hAnsi="標楷體"/>
                <w:color w:val="000000" w:themeColor="text1"/>
                <w:sz w:val="28"/>
                <w:szCs w:val="28"/>
              </w:rPr>
              <w:t>原確定判決未斟酌業經公布施行公民與政治權利國際公約，詳查本案偵審過程有無悖離該公約第十四條規定與其一般性意見，涉有悖離刑事訴訟法第三百七十九條第十款、第十四款應於審判期日調查之證據未予調查與判決理由矛盾之違誤。</w:t>
            </w:r>
          </w:p>
        </w:tc>
      </w:tr>
      <w:tr w:rsidR="000B2A94" w:rsidRPr="000B2A94" w:rsidTr="00F956E8">
        <w:tc>
          <w:tcPr>
            <w:tcW w:w="534" w:type="dxa"/>
            <w:noWrap/>
            <w:hideMark/>
          </w:tcPr>
          <w:p w:rsidR="00F956E8" w:rsidRPr="000B2A94" w:rsidRDefault="00F956E8" w:rsidP="00F956E8">
            <w:pPr>
              <w:rPr>
                <w:color w:val="000000" w:themeColor="text1"/>
                <w:sz w:val="28"/>
                <w:szCs w:val="28"/>
              </w:rPr>
            </w:pPr>
            <w:r w:rsidRPr="000B2A94">
              <w:rPr>
                <w:color w:val="000000" w:themeColor="text1"/>
                <w:sz w:val="28"/>
                <w:szCs w:val="28"/>
              </w:rPr>
              <w:lastRenderedPageBreak/>
              <w:t>14</w:t>
            </w:r>
          </w:p>
        </w:tc>
        <w:tc>
          <w:tcPr>
            <w:tcW w:w="2126" w:type="dxa"/>
            <w:hideMark/>
          </w:tcPr>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103司調0021：</w:t>
            </w:r>
          </w:p>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 xml:space="preserve"> 法務部所屬誠正中學、明陽中學，對於收容之少年，涉有未依「少年矯正學校設置及教育實施通則」、「特殊教育法」及「身心障礙及資賦優異學生鑑定辦法」等實施鑑定，並據以辦理身心障礙教育、設置特殊教育班或提供特殊教育之輔助器材、適性教材、師資人力等各項支持服務等情？均有深入瞭解之必要乙案。 </w:t>
            </w:r>
          </w:p>
        </w:tc>
        <w:tc>
          <w:tcPr>
            <w:tcW w:w="6400" w:type="dxa"/>
            <w:hideMark/>
          </w:tcPr>
          <w:p w:rsidR="002F3951" w:rsidRPr="000B2A94" w:rsidRDefault="00F956E8" w:rsidP="00196DD5">
            <w:pPr>
              <w:pStyle w:val="afa"/>
              <w:numPr>
                <w:ilvl w:val="0"/>
                <w:numId w:val="32"/>
              </w:numPr>
              <w:ind w:leftChars="0"/>
              <w:rPr>
                <w:rFonts w:hAnsi="標楷體"/>
                <w:color w:val="000000" w:themeColor="text1"/>
                <w:sz w:val="28"/>
                <w:szCs w:val="28"/>
              </w:rPr>
            </w:pPr>
            <w:r w:rsidRPr="000B2A94">
              <w:rPr>
                <w:rFonts w:hAnsi="標楷體"/>
                <w:color w:val="000000" w:themeColor="text1"/>
                <w:sz w:val="28"/>
                <w:szCs w:val="28"/>
              </w:rPr>
              <w:t>據統計資料顯示，近年來雖少子化嚴重，感化教育少年人數卻有持續上升之趨勢。少年矯正學校之收容學生，有51.55%之家庭經濟情形不佳，有近70.96%之家庭結構不健全，原生家庭功能不彰之比率偏高；且學習成就普遍低落，基本學力與實際學歷存有嚴重落差。而司法機關將行為偏差少年裁判入矯正學校收容，已屬最後手段，對偏差少年而言係最後接受矯正不良習性之機會，國家應挹注適當之資源，重建其自信心與上進意願，培養正常之生活習性並端正其價值觀，俾利復歸社會，導入正軌。</w:t>
            </w:r>
          </w:p>
          <w:p w:rsidR="002F3951" w:rsidRPr="000B2A94" w:rsidRDefault="00F956E8" w:rsidP="00196DD5">
            <w:pPr>
              <w:pStyle w:val="afa"/>
              <w:numPr>
                <w:ilvl w:val="0"/>
                <w:numId w:val="32"/>
              </w:numPr>
              <w:ind w:leftChars="0"/>
              <w:rPr>
                <w:rFonts w:hAnsi="標楷體"/>
                <w:color w:val="000000" w:themeColor="text1"/>
                <w:sz w:val="28"/>
                <w:szCs w:val="28"/>
              </w:rPr>
            </w:pPr>
            <w:r w:rsidRPr="000B2A94">
              <w:rPr>
                <w:rFonts w:hAnsi="標楷體"/>
                <w:color w:val="000000" w:themeColor="text1"/>
                <w:sz w:val="28"/>
                <w:szCs w:val="28"/>
              </w:rPr>
              <w:t>法務部所屬少年矯正學校誠正中學、明陽中學未主動發掘及通報疑似有特殊教育需求之身心障礙收容學生，且對具特殊教育資格之身心障礙收容學生資料未與教育單位銜接，俾以持續提供特殊教育服務；法務部及教育部未盡督導之責，均核有重大違失。</w:t>
            </w:r>
          </w:p>
          <w:p w:rsidR="002F3951" w:rsidRPr="000B2A94" w:rsidRDefault="00F956E8" w:rsidP="00196DD5">
            <w:pPr>
              <w:pStyle w:val="afa"/>
              <w:numPr>
                <w:ilvl w:val="0"/>
                <w:numId w:val="32"/>
              </w:numPr>
              <w:ind w:leftChars="0"/>
              <w:rPr>
                <w:rFonts w:hAnsi="標楷體"/>
                <w:color w:val="000000" w:themeColor="text1"/>
                <w:sz w:val="28"/>
                <w:szCs w:val="28"/>
              </w:rPr>
            </w:pPr>
            <w:r w:rsidRPr="000B2A94">
              <w:rPr>
                <w:rFonts w:hAnsi="標楷體"/>
                <w:color w:val="000000" w:themeColor="text1"/>
                <w:sz w:val="28"/>
                <w:szCs w:val="28"/>
              </w:rPr>
              <w:t>誠正中學、明陽中學未對已具特殊教育資格之身心障礙學生提供特殊教育服務，復因欠缺特殊教育師資，相關人員對於收容學生接受特殊教育服務需求之敏感度及專業知能亦不足，致影響矯正成效；法務部及教育部未盡督導之責，均核有重大疏失。</w:t>
            </w:r>
          </w:p>
          <w:p w:rsidR="002F3951" w:rsidRPr="000B2A94" w:rsidRDefault="00F956E8" w:rsidP="00196DD5">
            <w:pPr>
              <w:pStyle w:val="afa"/>
              <w:numPr>
                <w:ilvl w:val="0"/>
                <w:numId w:val="32"/>
              </w:numPr>
              <w:ind w:leftChars="0"/>
              <w:rPr>
                <w:rFonts w:hAnsi="標楷體"/>
                <w:color w:val="000000" w:themeColor="text1"/>
                <w:sz w:val="28"/>
                <w:szCs w:val="28"/>
              </w:rPr>
            </w:pPr>
            <w:r w:rsidRPr="000B2A94">
              <w:rPr>
                <w:rFonts w:hAnsi="標楷體"/>
                <w:color w:val="000000" w:themeColor="text1"/>
                <w:sz w:val="28"/>
                <w:szCs w:val="28"/>
              </w:rPr>
              <w:t>誠正中學、明陽中學之收容學生之基本學力不足，學歷及學力間存有嚴重落差，衍生適應社會生活困難之虞，惟對於類此應提供適性教育及補救教學之對象，誠正中學、明陽中學卻未能積極推動相關服務措施，教育部亦未善盡督導之責，核有不當。</w:t>
            </w:r>
          </w:p>
          <w:p w:rsidR="002F3951" w:rsidRPr="000B2A94" w:rsidRDefault="00F956E8" w:rsidP="00196DD5">
            <w:pPr>
              <w:pStyle w:val="afa"/>
              <w:numPr>
                <w:ilvl w:val="0"/>
                <w:numId w:val="32"/>
              </w:numPr>
              <w:ind w:leftChars="0"/>
              <w:rPr>
                <w:rFonts w:hAnsi="標楷體"/>
                <w:color w:val="000000" w:themeColor="text1"/>
                <w:sz w:val="28"/>
                <w:szCs w:val="28"/>
              </w:rPr>
            </w:pPr>
            <w:r w:rsidRPr="000B2A94">
              <w:rPr>
                <w:rFonts w:hAnsi="標楷體"/>
                <w:color w:val="000000" w:themeColor="text1"/>
                <w:sz w:val="28"/>
                <w:szCs w:val="28"/>
              </w:rPr>
              <w:t>教育部依法應會同法務部訂定督導辦法，並會同法務部設矯正教育指導委員會，由教育部負責召集會議，惟前項督導辦法迄</w:t>
            </w:r>
            <w:r w:rsidRPr="000B2A94">
              <w:rPr>
                <w:rFonts w:hAnsi="標楷體"/>
                <w:color w:val="000000" w:themeColor="text1"/>
                <w:sz w:val="28"/>
                <w:szCs w:val="28"/>
              </w:rPr>
              <w:lastRenderedPageBreak/>
              <w:t>未訂定，且矯正教育指導委員會竟長達12年未召開會議，教育部就法務部所屬少年矯正學校教育業務之諸多缺失，難辭督導不周之咎。又法務部未能統合各機關提供服務，亦應檢討改善。</w:t>
            </w:r>
          </w:p>
          <w:p w:rsidR="002F3951" w:rsidRPr="000B2A94" w:rsidRDefault="00F956E8" w:rsidP="00196DD5">
            <w:pPr>
              <w:pStyle w:val="afa"/>
              <w:numPr>
                <w:ilvl w:val="0"/>
                <w:numId w:val="32"/>
              </w:numPr>
              <w:ind w:leftChars="0"/>
              <w:rPr>
                <w:rFonts w:hAnsi="標楷體"/>
                <w:color w:val="000000" w:themeColor="text1"/>
                <w:sz w:val="28"/>
                <w:szCs w:val="28"/>
              </w:rPr>
            </w:pPr>
            <w:r w:rsidRPr="000B2A94">
              <w:rPr>
                <w:rFonts w:hAnsi="標楷體"/>
                <w:color w:val="000000" w:themeColor="text1"/>
                <w:sz w:val="28"/>
                <w:szCs w:val="28"/>
              </w:rPr>
              <w:t>矯正不良習性為少年矯治之核心業務，誠正中學、明陽中學就收容學生入校之調查分析過於簡略，且未探究少年偏差或犯罪之行為原因，據以施行個別化處遇，且輔導人力亦不足，法務部未落實督導，應予檢討改進。</w:t>
            </w:r>
          </w:p>
          <w:p w:rsidR="002F3951" w:rsidRPr="000B2A94" w:rsidRDefault="00F956E8" w:rsidP="00196DD5">
            <w:pPr>
              <w:pStyle w:val="afa"/>
              <w:numPr>
                <w:ilvl w:val="0"/>
                <w:numId w:val="32"/>
              </w:numPr>
              <w:ind w:leftChars="0"/>
              <w:rPr>
                <w:rFonts w:hAnsi="標楷體"/>
                <w:color w:val="000000" w:themeColor="text1"/>
                <w:sz w:val="28"/>
                <w:szCs w:val="28"/>
              </w:rPr>
            </w:pPr>
            <w:r w:rsidRPr="000B2A94">
              <w:rPr>
                <w:rFonts w:hAnsi="標楷體"/>
                <w:color w:val="000000" w:themeColor="text1"/>
                <w:sz w:val="28"/>
                <w:szCs w:val="28"/>
              </w:rPr>
              <w:t>少年矯正學校明陽中學、誠正中學之學生職業教育提供不足，且未能符合實務及學生需求，法務部允應會同勞動部及教育部提升有關收容少年在校期間之職業訓練或開設技能班，並佐以職涯規劃並端正職業態度，俾利提升青少年自立能力，並儘早適應社會生活。</w:t>
            </w:r>
          </w:p>
          <w:p w:rsidR="002F3951" w:rsidRPr="000B2A94" w:rsidRDefault="00F956E8" w:rsidP="00196DD5">
            <w:pPr>
              <w:pStyle w:val="afa"/>
              <w:numPr>
                <w:ilvl w:val="0"/>
                <w:numId w:val="32"/>
              </w:numPr>
              <w:ind w:leftChars="0"/>
              <w:rPr>
                <w:rFonts w:hAnsi="標楷體"/>
                <w:color w:val="000000" w:themeColor="text1"/>
                <w:sz w:val="28"/>
                <w:szCs w:val="28"/>
              </w:rPr>
            </w:pPr>
            <w:r w:rsidRPr="000B2A94">
              <w:rPr>
                <w:rFonts w:hAnsi="標楷體"/>
                <w:color w:val="000000" w:themeColor="text1"/>
                <w:sz w:val="28"/>
                <w:szCs w:val="28"/>
              </w:rPr>
              <w:t>司法院少年及家事廳允宜促請各地方（少年）法院(庭)於交付少年執行感化教育及徒刑處分時，應檢附該少年與其家庭及事件有關調查報告、處遇計畫建議書等詳細資料，俾利矯正學校迅速及正確掌握少年狀況，以著手後續處遇之安排，並提供適性教學與輔導措施。</w:t>
            </w:r>
          </w:p>
          <w:p w:rsidR="00F956E8" w:rsidRPr="000B2A94" w:rsidRDefault="00F956E8" w:rsidP="00196DD5">
            <w:pPr>
              <w:pStyle w:val="afa"/>
              <w:numPr>
                <w:ilvl w:val="0"/>
                <w:numId w:val="32"/>
              </w:numPr>
              <w:ind w:leftChars="0"/>
              <w:rPr>
                <w:rFonts w:hAnsi="標楷體"/>
                <w:color w:val="000000" w:themeColor="text1"/>
                <w:sz w:val="28"/>
                <w:szCs w:val="28"/>
              </w:rPr>
            </w:pPr>
            <w:r w:rsidRPr="000B2A94">
              <w:rPr>
                <w:rFonts w:hAnsi="標楷體"/>
                <w:color w:val="000000" w:themeColor="text1"/>
                <w:sz w:val="28"/>
                <w:szCs w:val="28"/>
              </w:rPr>
              <w:t>矯正學校之成立係我國少年矯正教育之新頁，惟該等學校自88年成立迄今已15年，迄無評估其教化成效，法務部允宜儘速進行全面之系統性研究，俾據以積極檢討改進矯正學校教育模式。</w:t>
            </w:r>
          </w:p>
        </w:tc>
      </w:tr>
      <w:tr w:rsidR="000B2A94" w:rsidRPr="000B2A94" w:rsidTr="00F956E8">
        <w:tc>
          <w:tcPr>
            <w:tcW w:w="534" w:type="dxa"/>
            <w:noWrap/>
            <w:hideMark/>
          </w:tcPr>
          <w:p w:rsidR="00F956E8" w:rsidRPr="000B2A94" w:rsidRDefault="00F956E8" w:rsidP="00F956E8">
            <w:pPr>
              <w:rPr>
                <w:color w:val="000000" w:themeColor="text1"/>
                <w:sz w:val="28"/>
                <w:szCs w:val="28"/>
              </w:rPr>
            </w:pPr>
            <w:r w:rsidRPr="000B2A94">
              <w:rPr>
                <w:color w:val="000000" w:themeColor="text1"/>
                <w:sz w:val="28"/>
                <w:szCs w:val="28"/>
              </w:rPr>
              <w:lastRenderedPageBreak/>
              <w:t>15</w:t>
            </w:r>
          </w:p>
        </w:tc>
        <w:tc>
          <w:tcPr>
            <w:tcW w:w="2126" w:type="dxa"/>
            <w:hideMark/>
          </w:tcPr>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103司調0001：</w:t>
            </w:r>
          </w:p>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刑事訴訟目的之一在追求真實的發現，而法庭審判活動均屬在事後就犯罪所存各種跡</w:t>
            </w:r>
            <w:r w:rsidRPr="000B2A94">
              <w:rPr>
                <w:rFonts w:hAnsi="標楷體"/>
                <w:color w:val="000000" w:themeColor="text1"/>
                <w:sz w:val="28"/>
                <w:szCs w:val="28"/>
              </w:rPr>
              <w:lastRenderedPageBreak/>
              <w:t>證作檢視，以拼湊還原犯罪事實真相。因應犯罪構成要件事實不一，欲就案件現場充斥各類跡證加以還原，所需之科學知識範圍甚廣，極須仰賴科學辦案之採證方式及專業之鑑識機構。我國刑事訴訟制度設有鑑定制度輔佐審判者，惟就現行刑事訴訟鑑定制度運作情形如何，具專業知識之專家如何輔助審判者判定事實，作成鑑定之機構及採行鑑定意見之法院如何提昇人民對司法判決之信心，均有賴良善之刑事鑑定制度。期能透過本研究，作為我國刑事鑑定制度精進之參考。</w:t>
            </w:r>
          </w:p>
        </w:tc>
        <w:tc>
          <w:tcPr>
            <w:tcW w:w="6400" w:type="dxa"/>
            <w:hideMark/>
          </w:tcPr>
          <w:p w:rsidR="002F3951" w:rsidRPr="000B2A94" w:rsidRDefault="00F956E8" w:rsidP="00196DD5">
            <w:pPr>
              <w:pStyle w:val="afa"/>
              <w:numPr>
                <w:ilvl w:val="0"/>
                <w:numId w:val="33"/>
              </w:numPr>
              <w:ind w:leftChars="0"/>
              <w:rPr>
                <w:rFonts w:hAnsi="標楷體"/>
                <w:color w:val="000000" w:themeColor="text1"/>
                <w:sz w:val="28"/>
                <w:szCs w:val="28"/>
              </w:rPr>
            </w:pPr>
            <w:r w:rsidRPr="000B2A94">
              <w:rPr>
                <w:rFonts w:hAnsi="標楷體"/>
                <w:color w:val="000000" w:themeColor="text1"/>
                <w:sz w:val="28"/>
                <w:szCs w:val="28"/>
              </w:rPr>
              <w:lastRenderedPageBreak/>
              <w:t>檢察機關預先囑託機關鑑定，使司法警察於犯罪調查階段委請機關出具之鑑驗報告書得因此於審判中具證據能力，理論上容非無疑。</w:t>
            </w:r>
          </w:p>
          <w:p w:rsidR="002F3951" w:rsidRPr="000B2A94" w:rsidRDefault="00F956E8" w:rsidP="00196DD5">
            <w:pPr>
              <w:pStyle w:val="afa"/>
              <w:numPr>
                <w:ilvl w:val="0"/>
                <w:numId w:val="33"/>
              </w:numPr>
              <w:ind w:leftChars="0"/>
              <w:rPr>
                <w:rFonts w:hAnsi="標楷體"/>
                <w:color w:val="000000" w:themeColor="text1"/>
                <w:sz w:val="28"/>
                <w:szCs w:val="28"/>
              </w:rPr>
            </w:pPr>
            <w:r w:rsidRPr="000B2A94">
              <w:rPr>
                <w:rFonts w:hAnsi="標楷體"/>
                <w:color w:val="000000" w:themeColor="text1"/>
                <w:sz w:val="28"/>
                <w:szCs w:val="28"/>
              </w:rPr>
              <w:t>鑑定原應由自然人為之，惟我國目前鑑定多以囑託機關鑑定方式進行，然而實務見解認囑託機關鑑定所提出之鑑定報告書不</w:t>
            </w:r>
            <w:r w:rsidRPr="000B2A94">
              <w:rPr>
                <w:rFonts w:hAnsi="標楷體"/>
                <w:color w:val="000000" w:themeColor="text1"/>
                <w:sz w:val="28"/>
                <w:szCs w:val="28"/>
              </w:rPr>
              <w:lastRenderedPageBreak/>
              <w:t>需具結，亦多未傳喚實際實施鑑定之人到庭接受詰問，有架空傳聞法則及侵害被告對質詰問權之虞。</w:t>
            </w:r>
          </w:p>
          <w:p w:rsidR="002F3951" w:rsidRPr="000B2A94" w:rsidRDefault="00F956E8" w:rsidP="00196DD5">
            <w:pPr>
              <w:pStyle w:val="afa"/>
              <w:numPr>
                <w:ilvl w:val="0"/>
                <w:numId w:val="33"/>
              </w:numPr>
              <w:ind w:leftChars="0"/>
              <w:rPr>
                <w:rFonts w:hAnsi="標楷體"/>
                <w:color w:val="000000" w:themeColor="text1"/>
                <w:sz w:val="28"/>
                <w:szCs w:val="28"/>
              </w:rPr>
            </w:pPr>
            <w:r w:rsidRPr="000B2A94">
              <w:rPr>
                <w:rFonts w:hAnsi="標楷體"/>
                <w:color w:val="000000" w:themeColor="text1"/>
                <w:sz w:val="28"/>
                <w:szCs w:val="28"/>
              </w:rPr>
              <w:t>目前司法實務上並未建立對於鑑定意見之審查標準，使法院在審查鑑定意見時有困難，不易於判決理由作充分說明，有礙司法公信力之提升。</w:t>
            </w:r>
          </w:p>
          <w:p w:rsidR="002F3951" w:rsidRPr="000B2A94" w:rsidRDefault="00F956E8" w:rsidP="00196DD5">
            <w:pPr>
              <w:pStyle w:val="afa"/>
              <w:numPr>
                <w:ilvl w:val="0"/>
                <w:numId w:val="33"/>
              </w:numPr>
              <w:ind w:leftChars="0"/>
              <w:rPr>
                <w:rFonts w:hAnsi="標楷體"/>
                <w:color w:val="000000" w:themeColor="text1"/>
                <w:sz w:val="28"/>
                <w:szCs w:val="28"/>
              </w:rPr>
            </w:pPr>
            <w:r w:rsidRPr="000B2A94">
              <w:rPr>
                <w:rFonts w:hAnsi="標楷體"/>
                <w:color w:val="000000" w:themeColor="text1"/>
                <w:sz w:val="28"/>
                <w:szCs w:val="28"/>
              </w:rPr>
              <w:t>為強化鑑定機構之獨立性與鑑定之公信力，可考量適度整併現有鑑定機關之功能，提高其層級獨立於檢、警之外，客觀行使鑑定與鑑識之職能，並可採行複鑑制度。</w:t>
            </w:r>
          </w:p>
          <w:p w:rsidR="00F956E8" w:rsidRPr="000B2A94" w:rsidRDefault="002F3951" w:rsidP="00196DD5">
            <w:pPr>
              <w:pStyle w:val="afa"/>
              <w:numPr>
                <w:ilvl w:val="0"/>
                <w:numId w:val="33"/>
              </w:numPr>
              <w:ind w:leftChars="0"/>
              <w:rPr>
                <w:rFonts w:hAnsi="標楷體"/>
                <w:color w:val="000000" w:themeColor="text1"/>
                <w:sz w:val="28"/>
                <w:szCs w:val="28"/>
              </w:rPr>
            </w:pPr>
            <w:r w:rsidRPr="000B2A94">
              <w:rPr>
                <w:rFonts w:hAnsi="標楷體" w:hint="eastAsia"/>
                <w:color w:val="000000" w:themeColor="text1"/>
                <w:sz w:val="28"/>
                <w:szCs w:val="28"/>
              </w:rPr>
              <w:t>有</w:t>
            </w:r>
            <w:r w:rsidR="00F956E8" w:rsidRPr="000B2A94">
              <w:rPr>
                <w:rFonts w:hAnsi="標楷體"/>
                <w:color w:val="000000" w:themeColor="text1"/>
                <w:sz w:val="28"/>
                <w:szCs w:val="28"/>
              </w:rPr>
              <w:t>關機關間應建立證物監管鍊(evidence chain of custody)機制，以確保物證經由採樣、運送、保存及鑑定等過程而呈現於法庭之證據係真實無瑕疵，法院並應審查該監管鍊是否中斷，以排除瑕疵證據。</w:t>
            </w:r>
          </w:p>
        </w:tc>
      </w:tr>
      <w:tr w:rsidR="000B2A94" w:rsidRPr="000B2A94" w:rsidTr="00F956E8">
        <w:tc>
          <w:tcPr>
            <w:tcW w:w="534" w:type="dxa"/>
            <w:noWrap/>
            <w:hideMark/>
          </w:tcPr>
          <w:p w:rsidR="00F956E8" w:rsidRPr="000B2A94" w:rsidRDefault="00F956E8" w:rsidP="00F956E8">
            <w:pPr>
              <w:rPr>
                <w:color w:val="000000" w:themeColor="text1"/>
                <w:sz w:val="28"/>
                <w:szCs w:val="28"/>
              </w:rPr>
            </w:pPr>
            <w:r w:rsidRPr="000B2A94">
              <w:rPr>
                <w:color w:val="000000" w:themeColor="text1"/>
                <w:sz w:val="28"/>
                <w:szCs w:val="28"/>
              </w:rPr>
              <w:lastRenderedPageBreak/>
              <w:t>16</w:t>
            </w:r>
          </w:p>
        </w:tc>
        <w:tc>
          <w:tcPr>
            <w:tcW w:w="2126" w:type="dxa"/>
            <w:hideMark/>
          </w:tcPr>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102司調0049：</w:t>
            </w:r>
          </w:p>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臺灣嘉義地方法院就不動產鑑價業務完全</w:t>
            </w:r>
            <w:r w:rsidRPr="000B2A94">
              <w:rPr>
                <w:rFonts w:hAnsi="標楷體"/>
                <w:color w:val="000000" w:themeColor="text1"/>
                <w:sz w:val="28"/>
                <w:szCs w:val="28"/>
              </w:rPr>
              <w:lastRenderedPageBreak/>
              <w:t xml:space="preserve">委由民間成立之聯誼會自行排序、分配鑑定案件，惟嘉義縣市鑑定估價聯誼會之鑑定人名單涉有明顯不實，究該院對鑑定人之選任及監督有無違失？認有深入瞭解之必要。 </w:t>
            </w:r>
          </w:p>
        </w:tc>
        <w:tc>
          <w:tcPr>
            <w:tcW w:w="6400" w:type="dxa"/>
            <w:hideMark/>
          </w:tcPr>
          <w:p w:rsidR="009661EF" w:rsidRPr="000B2A94" w:rsidRDefault="00F956E8" w:rsidP="00196DD5">
            <w:pPr>
              <w:pStyle w:val="afa"/>
              <w:numPr>
                <w:ilvl w:val="0"/>
                <w:numId w:val="34"/>
              </w:numPr>
              <w:ind w:leftChars="0"/>
              <w:rPr>
                <w:rFonts w:hAnsi="標楷體"/>
                <w:color w:val="000000" w:themeColor="text1"/>
                <w:sz w:val="28"/>
                <w:szCs w:val="28"/>
              </w:rPr>
            </w:pPr>
            <w:r w:rsidRPr="000B2A94">
              <w:rPr>
                <w:rFonts w:hAnsi="標楷體"/>
                <w:color w:val="000000" w:themeColor="text1"/>
                <w:sz w:val="28"/>
                <w:szCs w:val="28"/>
              </w:rPr>
              <w:lastRenderedPageBreak/>
              <w:t>按「強制執行法」及司法院頒「地方法院民事執行處選任不動產鑑定人作業參考要點」規定，選任鑑定人本為法官職權，惟臺灣嘉義地方法院卻長期委由民間成立之</w:t>
            </w:r>
            <w:r w:rsidRPr="000B2A94">
              <w:rPr>
                <w:rFonts w:hAnsi="標楷體"/>
                <w:color w:val="000000" w:themeColor="text1"/>
                <w:sz w:val="28"/>
                <w:szCs w:val="28"/>
              </w:rPr>
              <w:lastRenderedPageBreak/>
              <w:t>業者聯誼會自行分配不動產鑑價案件，顯已逾越相關法令授權之範圍，殊有不當。</w:t>
            </w:r>
          </w:p>
          <w:p w:rsidR="009661EF" w:rsidRPr="000B2A94" w:rsidRDefault="00F956E8" w:rsidP="00196DD5">
            <w:pPr>
              <w:pStyle w:val="afa"/>
              <w:numPr>
                <w:ilvl w:val="0"/>
                <w:numId w:val="34"/>
              </w:numPr>
              <w:ind w:leftChars="0"/>
              <w:rPr>
                <w:rFonts w:hAnsi="標楷體"/>
                <w:color w:val="000000" w:themeColor="text1"/>
                <w:sz w:val="28"/>
                <w:szCs w:val="28"/>
              </w:rPr>
            </w:pPr>
            <w:r w:rsidRPr="000B2A94">
              <w:rPr>
                <w:rFonts w:hAnsi="標楷體"/>
                <w:color w:val="000000" w:themeColor="text1"/>
                <w:sz w:val="28"/>
                <w:szCs w:val="28"/>
              </w:rPr>
              <w:t>法院委託辦理法拍鑑價時，除應注意分案公平及鑑定人收取費用之高低外，更應注意估價報告書是否依不動產估價技術規則詳實載明價格決定之過程與關鍵資料，以及鑑定之價格是否與市價相當等，亦即鑑價目標是否達成。</w:t>
            </w:r>
          </w:p>
          <w:p w:rsidR="009661EF" w:rsidRPr="000B2A94" w:rsidRDefault="00F956E8" w:rsidP="00196DD5">
            <w:pPr>
              <w:pStyle w:val="afa"/>
              <w:numPr>
                <w:ilvl w:val="0"/>
                <w:numId w:val="34"/>
              </w:numPr>
              <w:ind w:leftChars="0"/>
              <w:rPr>
                <w:rFonts w:hAnsi="標楷體"/>
                <w:color w:val="000000" w:themeColor="text1"/>
                <w:sz w:val="28"/>
                <w:szCs w:val="28"/>
              </w:rPr>
            </w:pPr>
            <w:r w:rsidRPr="000B2A94">
              <w:rPr>
                <w:rFonts w:hAnsi="標楷體"/>
                <w:color w:val="000000" w:themeColor="text1"/>
                <w:sz w:val="28"/>
                <w:szCs w:val="28"/>
              </w:rPr>
              <w:t>臺灣嘉義地方法院九十七年至一○一年委託之不動產鑑定人中，竟出現卅八家名稱不同之鑑定人位於同一地址，分別共用三門電話；該院於九十七年訪查現場時，即已得知十七家名稱不同之鑑定人位於同一地址，共用同一電話，潛在問題嚴重，但未採取適當對策，對鑑價業務之監督管理仍未落實，殊有不當。</w:t>
            </w:r>
          </w:p>
          <w:p w:rsidR="009661EF" w:rsidRPr="000B2A94" w:rsidRDefault="00F956E8" w:rsidP="00196DD5">
            <w:pPr>
              <w:pStyle w:val="afa"/>
              <w:numPr>
                <w:ilvl w:val="0"/>
                <w:numId w:val="34"/>
              </w:numPr>
              <w:ind w:leftChars="0"/>
              <w:rPr>
                <w:rFonts w:hAnsi="標楷體"/>
                <w:color w:val="000000" w:themeColor="text1"/>
                <w:sz w:val="28"/>
                <w:szCs w:val="28"/>
              </w:rPr>
            </w:pPr>
            <w:r w:rsidRPr="000B2A94">
              <w:rPr>
                <w:rFonts w:hAnsi="標楷體"/>
                <w:color w:val="000000" w:themeColor="text1"/>
                <w:sz w:val="28"/>
                <w:szCs w:val="28"/>
              </w:rPr>
              <w:t>內政部於九十七年即知法院選任不動產鑑定人規範與不動產估價師法規定互有扞格，且易導致實務執行之困擾與弊端，卻放任不動產估價師以「聯絡處」之名行「辦事處」之實，容忍不肖業者可能以借牌掛名方式壟斷法院鑑價業務之風險，未即時採取有效對策，確有怠失。</w:t>
            </w:r>
          </w:p>
          <w:p w:rsidR="009661EF" w:rsidRPr="000B2A94" w:rsidRDefault="00F956E8" w:rsidP="00196DD5">
            <w:pPr>
              <w:pStyle w:val="afa"/>
              <w:numPr>
                <w:ilvl w:val="0"/>
                <w:numId w:val="34"/>
              </w:numPr>
              <w:ind w:leftChars="0"/>
              <w:rPr>
                <w:rFonts w:hAnsi="標楷體"/>
                <w:color w:val="000000" w:themeColor="text1"/>
                <w:sz w:val="28"/>
                <w:szCs w:val="28"/>
              </w:rPr>
            </w:pPr>
            <w:r w:rsidRPr="000B2A94">
              <w:rPr>
                <w:rFonts w:hAnsi="標楷體"/>
                <w:color w:val="000000" w:themeColor="text1"/>
                <w:sz w:val="28"/>
                <w:szCs w:val="28"/>
              </w:rPr>
              <w:t>不動產估價師法施行迄今已逾十二年，負面鑑價案件時有所聞，惟移送不動產估價師懲戒委員會審議之案件皆緣自當事人間之檢舉，而非內政部暨地方政府主管機關因行使職權而移送之違紀案件，怠失甚明。為健全我國不動產估價制度，內政部允應嚴格督飭、具體落實不動產估價師之檢查及懲戒，審慎評估修正不動產估價技術規則及建立相關配套之可行性，俾使符合國際標準，提昇我國不動產估價業之發展與公信力。</w:t>
            </w:r>
          </w:p>
          <w:p w:rsidR="00F956E8" w:rsidRPr="000B2A94" w:rsidRDefault="00F956E8" w:rsidP="00196DD5">
            <w:pPr>
              <w:pStyle w:val="afa"/>
              <w:numPr>
                <w:ilvl w:val="0"/>
                <w:numId w:val="34"/>
              </w:numPr>
              <w:ind w:leftChars="0"/>
              <w:rPr>
                <w:rFonts w:hAnsi="標楷體"/>
                <w:color w:val="000000" w:themeColor="text1"/>
                <w:sz w:val="28"/>
                <w:szCs w:val="28"/>
              </w:rPr>
            </w:pPr>
            <w:r w:rsidRPr="000B2A94">
              <w:rPr>
                <w:rFonts w:hAnsi="標楷體"/>
                <w:color w:val="000000" w:themeColor="text1"/>
                <w:sz w:val="28"/>
                <w:szCs w:val="28"/>
              </w:rPr>
              <w:t>為避免法院承辦人員與業者勾串，造成選任不動產鑑定人時發生貪瀆弊端及不法情事，司法院允宜查明全國法院以各股分組</w:t>
            </w:r>
            <w:r w:rsidRPr="000B2A94">
              <w:rPr>
                <w:rFonts w:hAnsi="標楷體"/>
                <w:color w:val="000000" w:themeColor="text1"/>
                <w:sz w:val="28"/>
                <w:szCs w:val="28"/>
              </w:rPr>
              <w:lastRenderedPageBreak/>
              <w:t>鑑定人為選任輪派範圍之情形，以及釐清鑑定人共用同一地址、電話辦公之成因與問題，並進一步檢討相關規定之妥適性，以確保法院執行之公信力。</w:t>
            </w:r>
          </w:p>
        </w:tc>
      </w:tr>
      <w:tr w:rsidR="000B2A94" w:rsidRPr="000B2A94" w:rsidTr="00F956E8">
        <w:tc>
          <w:tcPr>
            <w:tcW w:w="534" w:type="dxa"/>
            <w:noWrap/>
            <w:hideMark/>
          </w:tcPr>
          <w:p w:rsidR="00F956E8" w:rsidRPr="000B2A94" w:rsidRDefault="00F956E8" w:rsidP="00F956E8">
            <w:pPr>
              <w:rPr>
                <w:color w:val="000000" w:themeColor="text1"/>
                <w:sz w:val="28"/>
                <w:szCs w:val="28"/>
              </w:rPr>
            </w:pPr>
            <w:r w:rsidRPr="000B2A94">
              <w:rPr>
                <w:color w:val="000000" w:themeColor="text1"/>
                <w:sz w:val="28"/>
                <w:szCs w:val="28"/>
              </w:rPr>
              <w:lastRenderedPageBreak/>
              <w:t>17</w:t>
            </w:r>
          </w:p>
        </w:tc>
        <w:tc>
          <w:tcPr>
            <w:tcW w:w="2126" w:type="dxa"/>
            <w:hideMark/>
          </w:tcPr>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102司調0032：</w:t>
            </w:r>
          </w:p>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據訴，臺灣新竹地方法院等歷審法院審理邱○順、林○明、吳○貞等被訴擄人勒贖、強盜等罪，似僅依被告自白及可信度尚有疑義之證據，率為有罪判決；另負責偵辦之臺灣新竹地方法院檢察署、內政部刑事警察局、臺北市政府警察局刑事警察大隊疑未依規定保存證據並辦理鑑定，均涉有違失等情乙案。</w:t>
            </w:r>
          </w:p>
        </w:tc>
        <w:tc>
          <w:tcPr>
            <w:tcW w:w="6400" w:type="dxa"/>
            <w:hideMark/>
          </w:tcPr>
          <w:p w:rsidR="009661EF" w:rsidRPr="000B2A94" w:rsidRDefault="00F956E8" w:rsidP="00196DD5">
            <w:pPr>
              <w:pStyle w:val="afa"/>
              <w:numPr>
                <w:ilvl w:val="0"/>
                <w:numId w:val="35"/>
              </w:numPr>
              <w:ind w:leftChars="0"/>
              <w:rPr>
                <w:rFonts w:hAnsi="標楷體"/>
                <w:color w:val="000000" w:themeColor="text1"/>
                <w:sz w:val="28"/>
                <w:szCs w:val="28"/>
              </w:rPr>
            </w:pPr>
            <w:r w:rsidRPr="000B2A94">
              <w:rPr>
                <w:rFonts w:hAnsi="標楷體"/>
                <w:color w:val="000000" w:themeColor="text1"/>
                <w:sz w:val="28"/>
                <w:szCs w:val="28"/>
              </w:rPr>
              <w:t>原確定判決認定被告邱○順等共犯陸○案，主要係以共同被告自白與向陸○家人勒取贖金之電話錄音帶、自邱○順住處扣得之麻繩四條、袋子一個、指示交付贖款之字條等作為補強證據，惟該等證據並不具關連性，以資為認定事實之基礎顯欠缺證據之適合性，且未參酌</w:t>
            </w:r>
            <w:r w:rsidR="00A15D6E" w:rsidRPr="000B2A94">
              <w:rPr>
                <w:rFonts w:hAnsi="標楷體"/>
                <w:color w:val="000000" w:themeColor="text1"/>
                <w:sz w:val="28"/>
                <w:szCs w:val="28"/>
              </w:rPr>
              <w:t>臺大</w:t>
            </w:r>
            <w:r w:rsidRPr="000B2A94">
              <w:rPr>
                <w:rFonts w:hAnsi="標楷體"/>
                <w:color w:val="000000" w:themeColor="text1"/>
                <w:sz w:val="28"/>
                <w:szCs w:val="28"/>
              </w:rPr>
              <w:t>鑑定意見以追蹤浮標方式測試，在被告自白變遷如此嚴重情形下，逕自認定被告等在原審所想定之時間將屍體與相關證物丟棄於崎頂海邊，為證據選擇對象，而未調查其他必要之證據，均有違論理法則與採證法則，涉有刑事訴訟法第三百七十九條第十款、第十四款，應於審判期日調查之證據未予調查與判決理由矛盾之違誤。</w:t>
            </w:r>
          </w:p>
          <w:p w:rsidR="009661EF" w:rsidRPr="000B2A94" w:rsidRDefault="00F956E8" w:rsidP="00196DD5">
            <w:pPr>
              <w:pStyle w:val="afa"/>
              <w:numPr>
                <w:ilvl w:val="0"/>
                <w:numId w:val="35"/>
              </w:numPr>
              <w:ind w:leftChars="0"/>
              <w:rPr>
                <w:rFonts w:hAnsi="標楷體"/>
                <w:color w:val="000000" w:themeColor="text1"/>
                <w:sz w:val="28"/>
                <w:szCs w:val="28"/>
              </w:rPr>
            </w:pPr>
            <w:r w:rsidRPr="000B2A94">
              <w:rPr>
                <w:rFonts w:hAnsi="標楷體"/>
                <w:color w:val="000000" w:themeColor="text1"/>
                <w:sz w:val="28"/>
                <w:szCs w:val="28"/>
              </w:rPr>
              <w:t>原確定判決將被告邱○順等欠缺任意性與不具證據能力之自白及認罪供述作為證據，有違刑事訴訟法第三百七十九條第十款、第十四款應於審判期日調查之證據未予調查與判決理由矛盾之違誤。</w:t>
            </w:r>
          </w:p>
          <w:p w:rsidR="009661EF" w:rsidRPr="000B2A94" w:rsidRDefault="00F956E8" w:rsidP="00196DD5">
            <w:pPr>
              <w:pStyle w:val="afa"/>
              <w:numPr>
                <w:ilvl w:val="0"/>
                <w:numId w:val="35"/>
              </w:numPr>
              <w:ind w:leftChars="0"/>
              <w:rPr>
                <w:rFonts w:hAnsi="標楷體"/>
                <w:color w:val="000000" w:themeColor="text1"/>
                <w:sz w:val="28"/>
                <w:szCs w:val="28"/>
              </w:rPr>
            </w:pPr>
            <w:r w:rsidRPr="000B2A94">
              <w:rPr>
                <w:rFonts w:hAnsi="標楷體"/>
                <w:color w:val="000000" w:themeColor="text1"/>
                <w:sz w:val="28"/>
                <w:szCs w:val="28"/>
              </w:rPr>
              <w:t>被告邱○順等自白與認罪供述有諸多疑義且共同被告間自白相互矛盾並與其他卷內證據不相符合欠缺信用性，原確定判決對於該自白瑕疵處未予究明，即採為判決基礎，有違經驗法則與論理法則，並涉有刑事訴訟法第三百七十九條第十款、第十四款應於審判期日調查之證據未予調查與判決理由矛盾之違誤。</w:t>
            </w:r>
          </w:p>
          <w:p w:rsidR="00F956E8" w:rsidRPr="000B2A94" w:rsidRDefault="00F956E8" w:rsidP="00196DD5">
            <w:pPr>
              <w:pStyle w:val="afa"/>
              <w:numPr>
                <w:ilvl w:val="0"/>
                <w:numId w:val="35"/>
              </w:numPr>
              <w:ind w:leftChars="0"/>
              <w:rPr>
                <w:rFonts w:hAnsi="標楷體"/>
                <w:color w:val="000000" w:themeColor="text1"/>
                <w:sz w:val="28"/>
                <w:szCs w:val="28"/>
              </w:rPr>
            </w:pPr>
            <w:r w:rsidRPr="000B2A94">
              <w:rPr>
                <w:rFonts w:hAnsi="標楷體"/>
                <w:color w:val="000000" w:themeColor="text1"/>
                <w:sz w:val="28"/>
                <w:szCs w:val="28"/>
              </w:rPr>
              <w:t>原確定判決未斟酌業經公布施行聯合國公民與政治權利國際公約，詳查本案偵審過程有無悖離聯合國公民與政治權利國際公約第十四條規定與其一般性意見，涉有悖離刑事訴訟法第三百七十九條第十款、第</w:t>
            </w:r>
            <w:r w:rsidRPr="000B2A94">
              <w:rPr>
                <w:rFonts w:hAnsi="標楷體"/>
                <w:color w:val="000000" w:themeColor="text1"/>
                <w:sz w:val="28"/>
                <w:szCs w:val="28"/>
              </w:rPr>
              <w:lastRenderedPageBreak/>
              <w:t>十四款應於審判期日調查之證據未予調查與判決理由矛盾之違誤。</w:t>
            </w:r>
          </w:p>
        </w:tc>
      </w:tr>
      <w:tr w:rsidR="000B2A94" w:rsidRPr="000B2A94" w:rsidTr="00F956E8">
        <w:tc>
          <w:tcPr>
            <w:tcW w:w="534" w:type="dxa"/>
            <w:noWrap/>
            <w:hideMark/>
          </w:tcPr>
          <w:p w:rsidR="00F956E8" w:rsidRPr="000B2A94" w:rsidRDefault="00F956E8" w:rsidP="00F956E8">
            <w:pPr>
              <w:rPr>
                <w:color w:val="000000" w:themeColor="text1"/>
                <w:sz w:val="28"/>
                <w:szCs w:val="28"/>
              </w:rPr>
            </w:pPr>
            <w:r w:rsidRPr="000B2A94">
              <w:rPr>
                <w:color w:val="000000" w:themeColor="text1"/>
                <w:sz w:val="28"/>
                <w:szCs w:val="28"/>
              </w:rPr>
              <w:lastRenderedPageBreak/>
              <w:t>18</w:t>
            </w:r>
          </w:p>
        </w:tc>
        <w:tc>
          <w:tcPr>
            <w:tcW w:w="2126" w:type="dxa"/>
            <w:hideMark/>
          </w:tcPr>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102交調0012：</w:t>
            </w:r>
          </w:p>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據中華民國砂石車禍受害者關懷協會簡ＯＯ君等陳訴：車輛行車事故之鑑定品質低落、鑑定人力不足、專業素質欠佳，及鑑定機關審議過程倉促、草率，弊端叢生；另警察、檢察等機關未落實道路交通事故處理辦法相關法令之規定，且缺乏懲處機制，均涉有違失等情乙案。</w:t>
            </w:r>
          </w:p>
        </w:tc>
        <w:tc>
          <w:tcPr>
            <w:tcW w:w="6400" w:type="dxa"/>
            <w:hideMark/>
          </w:tcPr>
          <w:p w:rsidR="009661EF" w:rsidRPr="000B2A94" w:rsidRDefault="00F956E8" w:rsidP="00196DD5">
            <w:pPr>
              <w:pStyle w:val="afa"/>
              <w:numPr>
                <w:ilvl w:val="0"/>
                <w:numId w:val="36"/>
              </w:numPr>
              <w:ind w:leftChars="0"/>
              <w:rPr>
                <w:rFonts w:hAnsi="標楷體"/>
                <w:color w:val="000000" w:themeColor="text1"/>
                <w:sz w:val="28"/>
                <w:szCs w:val="28"/>
              </w:rPr>
            </w:pPr>
            <w:r w:rsidRPr="000B2A94">
              <w:rPr>
                <w:rFonts w:hAnsi="標楷體"/>
                <w:color w:val="000000" w:themeColor="text1"/>
                <w:sz w:val="28"/>
                <w:szCs w:val="28"/>
              </w:rPr>
              <w:t>警察機關交通事故現場處理屢有蒐證及肇因分析不確實，鑑定機關之鑑定作業亦因陋就簡，品質不穩，致當事人間爭議纏訟不斷，積累民怨，交通部、內政部暨該部警政署顯未善盡主管機關職責，核有怠失。</w:t>
            </w:r>
          </w:p>
          <w:p w:rsidR="009661EF" w:rsidRPr="000B2A94" w:rsidRDefault="00F956E8" w:rsidP="00196DD5">
            <w:pPr>
              <w:pStyle w:val="afa"/>
              <w:numPr>
                <w:ilvl w:val="0"/>
                <w:numId w:val="36"/>
              </w:numPr>
              <w:ind w:leftChars="0"/>
              <w:rPr>
                <w:rFonts w:hAnsi="標楷體"/>
                <w:color w:val="000000" w:themeColor="text1"/>
                <w:sz w:val="28"/>
                <w:szCs w:val="28"/>
              </w:rPr>
            </w:pPr>
            <w:r w:rsidRPr="000B2A94">
              <w:rPr>
                <w:rFonts w:hAnsi="標楷體"/>
                <w:color w:val="000000" w:themeColor="text1"/>
                <w:sz w:val="28"/>
                <w:szCs w:val="28"/>
              </w:rPr>
              <w:t>鑑定機關及其鑑定作業方面，組織及法制面迄未健全，人事結構嚴重損及鑑定品質，經費拮据運作困難，鑑定意見書基礎不明，缺乏因果論證，屢生爭執及纏訟，交通部顯有違失。</w:t>
            </w:r>
          </w:p>
          <w:p w:rsidR="009661EF" w:rsidRPr="000B2A94" w:rsidRDefault="00F956E8" w:rsidP="00196DD5">
            <w:pPr>
              <w:pStyle w:val="afa"/>
              <w:numPr>
                <w:ilvl w:val="0"/>
                <w:numId w:val="36"/>
              </w:numPr>
              <w:ind w:leftChars="0"/>
              <w:rPr>
                <w:rFonts w:hAnsi="標楷體"/>
                <w:color w:val="000000" w:themeColor="text1"/>
                <w:sz w:val="28"/>
                <w:szCs w:val="28"/>
              </w:rPr>
            </w:pPr>
            <w:r w:rsidRPr="000B2A94">
              <w:rPr>
                <w:rFonts w:hAnsi="標楷體"/>
                <w:color w:val="000000" w:themeColor="text1"/>
                <w:sz w:val="28"/>
                <w:szCs w:val="28"/>
              </w:rPr>
              <w:t>內政部暨內政部警政署對於警察機關處理交通事故業務之運作、組織、法制及管理方面，仍有重大缺失，迄未確實辦理及督促改善。</w:t>
            </w:r>
          </w:p>
          <w:p w:rsidR="009661EF" w:rsidRPr="000B2A94" w:rsidRDefault="00F956E8" w:rsidP="00196DD5">
            <w:pPr>
              <w:pStyle w:val="afa"/>
              <w:numPr>
                <w:ilvl w:val="0"/>
                <w:numId w:val="36"/>
              </w:numPr>
              <w:ind w:leftChars="0"/>
              <w:rPr>
                <w:rFonts w:hAnsi="標楷體"/>
                <w:color w:val="000000" w:themeColor="text1"/>
                <w:sz w:val="28"/>
                <w:szCs w:val="28"/>
              </w:rPr>
            </w:pPr>
            <w:r w:rsidRPr="000B2A94">
              <w:rPr>
                <w:rFonts w:hAnsi="標楷體"/>
                <w:color w:val="000000" w:themeColor="text1"/>
                <w:sz w:val="28"/>
                <w:szCs w:val="28"/>
              </w:rPr>
              <w:t>警察人員養成教育及在職教育，應務實檢討事故處理課程之質、量及教學效果，並研議將國家考試比重與考題方向及目標置於「產出」結果，以提升交通事故處理能力與水準。</w:t>
            </w:r>
          </w:p>
          <w:p w:rsidR="009661EF" w:rsidRPr="000B2A94" w:rsidRDefault="00F956E8" w:rsidP="00196DD5">
            <w:pPr>
              <w:pStyle w:val="afa"/>
              <w:numPr>
                <w:ilvl w:val="0"/>
                <w:numId w:val="36"/>
              </w:numPr>
              <w:ind w:leftChars="0"/>
              <w:rPr>
                <w:rFonts w:hAnsi="標楷體"/>
                <w:color w:val="000000" w:themeColor="text1"/>
                <w:sz w:val="28"/>
                <w:szCs w:val="28"/>
              </w:rPr>
            </w:pPr>
            <w:r w:rsidRPr="000B2A94">
              <w:rPr>
                <w:rFonts w:hAnsi="標楷體"/>
                <w:color w:val="000000" w:themeColor="text1"/>
                <w:sz w:val="28"/>
                <w:szCs w:val="28"/>
              </w:rPr>
              <w:t>消防救護人員、民間救援業者先行到達現場，應紀錄保存及避免破壞現場，尚無完整規範。</w:t>
            </w:r>
          </w:p>
          <w:p w:rsidR="00F956E8" w:rsidRPr="000B2A94" w:rsidRDefault="00F956E8" w:rsidP="00196DD5">
            <w:pPr>
              <w:pStyle w:val="afa"/>
              <w:numPr>
                <w:ilvl w:val="0"/>
                <w:numId w:val="36"/>
              </w:numPr>
              <w:ind w:leftChars="0"/>
              <w:rPr>
                <w:rFonts w:hAnsi="標楷體"/>
                <w:color w:val="000000" w:themeColor="text1"/>
                <w:sz w:val="28"/>
                <w:szCs w:val="28"/>
              </w:rPr>
            </w:pPr>
            <w:r w:rsidRPr="000B2A94">
              <w:rPr>
                <w:rFonts w:hAnsi="標楷體"/>
                <w:color w:val="000000" w:themeColor="text1"/>
                <w:sz w:val="28"/>
                <w:szCs w:val="28"/>
              </w:rPr>
              <w:t>交通部補助4大學成立鑑定中心，允應檢討及共享成果；尤應對現行鑑定機制定期檢討，提出通盤之管理與發展作法；並檢討研修不合宜之交通法令。</w:t>
            </w:r>
          </w:p>
        </w:tc>
      </w:tr>
      <w:tr w:rsidR="000B2A94" w:rsidRPr="000B2A94" w:rsidTr="00F956E8">
        <w:tc>
          <w:tcPr>
            <w:tcW w:w="534" w:type="dxa"/>
            <w:noWrap/>
            <w:hideMark/>
          </w:tcPr>
          <w:p w:rsidR="00F956E8" w:rsidRPr="000B2A94" w:rsidRDefault="00F956E8" w:rsidP="00F956E8">
            <w:pPr>
              <w:rPr>
                <w:color w:val="000000" w:themeColor="text1"/>
                <w:sz w:val="28"/>
                <w:szCs w:val="28"/>
              </w:rPr>
            </w:pPr>
            <w:r w:rsidRPr="000B2A94">
              <w:rPr>
                <w:color w:val="000000" w:themeColor="text1"/>
                <w:sz w:val="28"/>
                <w:szCs w:val="28"/>
              </w:rPr>
              <w:t>19</w:t>
            </w:r>
          </w:p>
        </w:tc>
        <w:tc>
          <w:tcPr>
            <w:tcW w:w="2126" w:type="dxa"/>
            <w:hideMark/>
          </w:tcPr>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101司調0055：</w:t>
            </w:r>
          </w:p>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據訴：法務部自95年「法醫師法」施行迄今，仍未依法行政確切落實相關措施，致我國法醫鑑定水準趨向低落，疑有行</w:t>
            </w:r>
            <w:r w:rsidRPr="000B2A94">
              <w:rPr>
                <w:rFonts w:hAnsi="標楷體"/>
                <w:color w:val="000000" w:themeColor="text1"/>
                <w:sz w:val="28"/>
                <w:szCs w:val="28"/>
              </w:rPr>
              <w:lastRenderedPageBreak/>
              <w:t>政怠惰、不符社會期待等情。</w:t>
            </w:r>
          </w:p>
        </w:tc>
        <w:tc>
          <w:tcPr>
            <w:tcW w:w="6400" w:type="dxa"/>
            <w:hideMark/>
          </w:tcPr>
          <w:p w:rsidR="009661EF" w:rsidRPr="000B2A94" w:rsidRDefault="00F956E8" w:rsidP="00196DD5">
            <w:pPr>
              <w:pStyle w:val="afa"/>
              <w:numPr>
                <w:ilvl w:val="0"/>
                <w:numId w:val="37"/>
              </w:numPr>
              <w:ind w:leftChars="0"/>
              <w:rPr>
                <w:rFonts w:hAnsi="標楷體"/>
                <w:color w:val="000000" w:themeColor="text1"/>
                <w:sz w:val="28"/>
                <w:szCs w:val="28"/>
              </w:rPr>
            </w:pPr>
            <w:r w:rsidRPr="000B2A94">
              <w:rPr>
                <w:rFonts w:hAnsi="標楷體"/>
                <w:color w:val="000000" w:themeColor="text1"/>
                <w:sz w:val="28"/>
                <w:szCs w:val="28"/>
              </w:rPr>
              <w:lastRenderedPageBreak/>
              <w:t>法務部為解決法醫師法第四十八、四十九條時限問題，所研擬之相關修法作為，已足使該法立法美意淪為落空，甚至架空該法，使多年來之改革努力重回原點，恐非妥適。</w:t>
            </w:r>
          </w:p>
          <w:p w:rsidR="009661EF" w:rsidRPr="000B2A94" w:rsidRDefault="00F956E8" w:rsidP="00196DD5">
            <w:pPr>
              <w:pStyle w:val="afa"/>
              <w:numPr>
                <w:ilvl w:val="0"/>
                <w:numId w:val="37"/>
              </w:numPr>
              <w:ind w:leftChars="0"/>
              <w:rPr>
                <w:rFonts w:hAnsi="標楷體"/>
                <w:color w:val="000000" w:themeColor="text1"/>
                <w:sz w:val="28"/>
                <w:szCs w:val="28"/>
              </w:rPr>
            </w:pPr>
            <w:r w:rsidRPr="000B2A94">
              <w:rPr>
                <w:rFonts w:hAnsi="標楷體"/>
                <w:color w:val="000000" w:themeColor="text1"/>
                <w:sz w:val="28"/>
                <w:szCs w:val="28"/>
              </w:rPr>
              <w:t>現行之刑事訴訟法第二百十六條，與法醫師法相關規定仍存有扞格，應盡速配合檢討修正。</w:t>
            </w:r>
          </w:p>
          <w:p w:rsidR="009661EF" w:rsidRPr="000B2A94" w:rsidRDefault="00F956E8" w:rsidP="00196DD5">
            <w:pPr>
              <w:pStyle w:val="afa"/>
              <w:numPr>
                <w:ilvl w:val="0"/>
                <w:numId w:val="37"/>
              </w:numPr>
              <w:ind w:leftChars="0"/>
              <w:rPr>
                <w:rFonts w:hAnsi="標楷體"/>
                <w:color w:val="000000" w:themeColor="text1"/>
                <w:sz w:val="28"/>
                <w:szCs w:val="28"/>
              </w:rPr>
            </w:pPr>
            <w:r w:rsidRPr="000B2A94">
              <w:rPr>
                <w:rFonts w:hAnsi="標楷體"/>
                <w:color w:val="000000" w:themeColor="text1"/>
                <w:sz w:val="28"/>
                <w:szCs w:val="28"/>
              </w:rPr>
              <w:t>新制法醫師之培養與訓練涉及跨部會之法</w:t>
            </w:r>
            <w:r w:rsidRPr="000B2A94">
              <w:rPr>
                <w:rFonts w:hAnsi="標楷體"/>
                <w:color w:val="000000" w:themeColor="text1"/>
                <w:sz w:val="28"/>
                <w:szCs w:val="28"/>
              </w:rPr>
              <w:lastRenderedPageBreak/>
              <w:t>規整合，行政院允宜積極出面協調，俾解決相關爭議。</w:t>
            </w:r>
          </w:p>
          <w:p w:rsidR="009661EF" w:rsidRPr="000B2A94" w:rsidRDefault="00F956E8" w:rsidP="00196DD5">
            <w:pPr>
              <w:pStyle w:val="afa"/>
              <w:numPr>
                <w:ilvl w:val="0"/>
                <w:numId w:val="37"/>
              </w:numPr>
              <w:ind w:leftChars="0"/>
              <w:rPr>
                <w:rFonts w:hAnsi="標楷體"/>
                <w:color w:val="000000" w:themeColor="text1"/>
                <w:sz w:val="28"/>
                <w:szCs w:val="28"/>
              </w:rPr>
            </w:pPr>
            <w:r w:rsidRPr="000B2A94">
              <w:rPr>
                <w:rFonts w:hAnsi="標楷體"/>
                <w:color w:val="000000" w:themeColor="text1"/>
                <w:sz w:val="28"/>
                <w:szCs w:val="28"/>
              </w:rPr>
              <w:t>法務部未能遵照新制法醫師法之立法意旨，有計畫編列所屬各檢察機關公職法醫師之預算員額，以逐步建立獨立、自主、專業的法醫鑑驗體系，應確實檢討改善。</w:t>
            </w:r>
          </w:p>
          <w:p w:rsidR="009661EF" w:rsidRPr="000B2A94" w:rsidRDefault="00F956E8" w:rsidP="00196DD5">
            <w:pPr>
              <w:pStyle w:val="afa"/>
              <w:numPr>
                <w:ilvl w:val="0"/>
                <w:numId w:val="37"/>
              </w:numPr>
              <w:ind w:leftChars="0"/>
              <w:rPr>
                <w:rFonts w:hAnsi="標楷體"/>
                <w:color w:val="000000" w:themeColor="text1"/>
                <w:sz w:val="28"/>
                <w:szCs w:val="28"/>
              </w:rPr>
            </w:pPr>
            <w:r w:rsidRPr="000B2A94">
              <w:rPr>
                <w:rFonts w:hAnsi="標楷體"/>
                <w:color w:val="000000" w:themeColor="text1"/>
                <w:sz w:val="28"/>
                <w:szCs w:val="28"/>
              </w:rPr>
              <w:t>法醫師繼續教育及專科法醫師制度之落實，法務部允應持續努力，完成法制規劃。</w:t>
            </w:r>
          </w:p>
          <w:p w:rsidR="009661EF" w:rsidRPr="000B2A94" w:rsidRDefault="00F956E8" w:rsidP="00196DD5">
            <w:pPr>
              <w:pStyle w:val="afa"/>
              <w:numPr>
                <w:ilvl w:val="0"/>
                <w:numId w:val="37"/>
              </w:numPr>
              <w:ind w:leftChars="0"/>
              <w:rPr>
                <w:rFonts w:hAnsi="標楷體"/>
                <w:color w:val="000000" w:themeColor="text1"/>
                <w:sz w:val="28"/>
                <w:szCs w:val="28"/>
              </w:rPr>
            </w:pPr>
            <w:r w:rsidRPr="000B2A94">
              <w:rPr>
                <w:rFonts w:hAnsi="標楷體"/>
                <w:color w:val="000000" w:themeColor="text1"/>
                <w:sz w:val="28"/>
                <w:szCs w:val="28"/>
              </w:rPr>
              <w:t>司法人員三等考試法醫職系鑑識人員類科，其應考資格未有任何專業性門檻限制，於刑事司法人權保障，顯有未周。</w:t>
            </w:r>
          </w:p>
          <w:p w:rsidR="00F956E8" w:rsidRPr="000B2A94" w:rsidRDefault="00F956E8" w:rsidP="00196DD5">
            <w:pPr>
              <w:pStyle w:val="afa"/>
              <w:numPr>
                <w:ilvl w:val="0"/>
                <w:numId w:val="37"/>
              </w:numPr>
              <w:ind w:leftChars="0"/>
              <w:rPr>
                <w:rFonts w:hAnsi="標楷體"/>
                <w:color w:val="000000" w:themeColor="text1"/>
                <w:sz w:val="28"/>
                <w:szCs w:val="28"/>
              </w:rPr>
            </w:pPr>
            <w:r w:rsidRPr="000B2A94">
              <w:rPr>
                <w:rFonts w:hAnsi="標楷體"/>
                <w:color w:val="000000" w:themeColor="text1"/>
                <w:sz w:val="28"/>
                <w:szCs w:val="28"/>
              </w:rPr>
              <w:t>鑑識單位允宜於行政及司法體系之外，獨立建制，俾強化刑事鑑定之客觀性與公正性。</w:t>
            </w:r>
          </w:p>
        </w:tc>
      </w:tr>
      <w:tr w:rsidR="000B2A94" w:rsidRPr="000B2A94" w:rsidTr="00F956E8">
        <w:tc>
          <w:tcPr>
            <w:tcW w:w="534" w:type="dxa"/>
            <w:noWrap/>
            <w:hideMark/>
          </w:tcPr>
          <w:p w:rsidR="00F956E8" w:rsidRPr="000B2A94" w:rsidRDefault="00F956E8" w:rsidP="00F956E8">
            <w:pPr>
              <w:rPr>
                <w:color w:val="000000" w:themeColor="text1"/>
                <w:sz w:val="28"/>
                <w:szCs w:val="28"/>
              </w:rPr>
            </w:pPr>
            <w:r w:rsidRPr="000B2A94">
              <w:rPr>
                <w:color w:val="000000" w:themeColor="text1"/>
                <w:sz w:val="28"/>
                <w:szCs w:val="28"/>
              </w:rPr>
              <w:lastRenderedPageBreak/>
              <w:t>20</w:t>
            </w:r>
          </w:p>
        </w:tc>
        <w:tc>
          <w:tcPr>
            <w:tcW w:w="2126" w:type="dxa"/>
            <w:hideMark/>
          </w:tcPr>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101司調0040：</w:t>
            </w:r>
          </w:p>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據報載，臺灣臺北地方法院3名前（現任）書記官，疑似利用職務之機會，洩露法拍標的物資訊給不動產業者協助得標，並指定特定鑑定業者承接鑑價工作，以收取回扣，涉有違失等情乙案。</w:t>
            </w:r>
          </w:p>
        </w:tc>
        <w:tc>
          <w:tcPr>
            <w:tcW w:w="6400" w:type="dxa"/>
            <w:hideMark/>
          </w:tcPr>
          <w:p w:rsidR="009661EF" w:rsidRPr="000B2A94" w:rsidRDefault="00F956E8" w:rsidP="00196DD5">
            <w:pPr>
              <w:pStyle w:val="afa"/>
              <w:numPr>
                <w:ilvl w:val="0"/>
                <w:numId w:val="38"/>
              </w:numPr>
              <w:ind w:leftChars="0"/>
              <w:rPr>
                <w:rFonts w:hAnsi="標楷體"/>
                <w:color w:val="000000" w:themeColor="text1"/>
                <w:sz w:val="28"/>
                <w:szCs w:val="28"/>
              </w:rPr>
            </w:pPr>
            <w:r w:rsidRPr="000B2A94">
              <w:rPr>
                <w:rFonts w:hAnsi="標楷體"/>
                <w:color w:val="000000" w:themeColor="text1"/>
                <w:sz w:val="28"/>
                <w:szCs w:val="28"/>
              </w:rPr>
              <w:t>臺北地院對於委託鑑價公司辦理不動產鑑價作業流程，分工未臻明確，缺乏完整防弊機制，長期疏於管理，致96年至99年間發生部分承辦股未依規定選任鑑價公司之情事，顯有疏失。</w:t>
            </w:r>
          </w:p>
          <w:p w:rsidR="009661EF" w:rsidRPr="000B2A94" w:rsidRDefault="00F956E8" w:rsidP="00196DD5">
            <w:pPr>
              <w:pStyle w:val="afa"/>
              <w:numPr>
                <w:ilvl w:val="0"/>
                <w:numId w:val="38"/>
              </w:numPr>
              <w:ind w:leftChars="0"/>
              <w:rPr>
                <w:rFonts w:hAnsi="標楷體"/>
                <w:color w:val="000000" w:themeColor="text1"/>
                <w:sz w:val="28"/>
                <w:szCs w:val="28"/>
              </w:rPr>
            </w:pPr>
            <w:r w:rsidRPr="000B2A94">
              <w:rPr>
                <w:rFonts w:hAnsi="標楷體"/>
                <w:color w:val="000000" w:themeColor="text1"/>
                <w:sz w:val="28"/>
                <w:szCs w:val="28"/>
              </w:rPr>
              <w:t>臺北地院民事執行處部分承辦股，於96年至99年間未依規定選任鑑價公司，各該違規之承辦股法官(或司法事務官)，殊未盡指揮監督之責；庭長雖已知悉，卻未能迅速妥善處理，並及時提出有效對策，放任其蔓延，導致事態擴大，難辭其咎；書記官林○○責任部分，考績委員會僅決議「列入年終考績參考」，並以「退休案時仍未查獲林員相關涉案資料及事證，無一事二罰之空間」准予退休，未採納該院政風室、庭長及銓敘部等意見，審慎衡酌究明其責任，殊有不當。</w:t>
            </w:r>
          </w:p>
          <w:p w:rsidR="00F956E8" w:rsidRPr="000B2A94" w:rsidRDefault="00F956E8" w:rsidP="00196DD5">
            <w:pPr>
              <w:pStyle w:val="afa"/>
              <w:numPr>
                <w:ilvl w:val="0"/>
                <w:numId w:val="38"/>
              </w:numPr>
              <w:ind w:leftChars="0"/>
              <w:rPr>
                <w:rFonts w:hAnsi="標楷體"/>
                <w:color w:val="000000" w:themeColor="text1"/>
                <w:sz w:val="28"/>
                <w:szCs w:val="28"/>
              </w:rPr>
            </w:pPr>
            <w:r w:rsidRPr="000B2A94">
              <w:rPr>
                <w:rFonts w:hAnsi="標楷體"/>
                <w:color w:val="000000" w:themeColor="text1"/>
                <w:sz w:val="28"/>
                <w:szCs w:val="28"/>
              </w:rPr>
              <w:t>臺北地院允宜依「辦理強制執行事件應行注意事項」第46點規定，並衡酌本院函復司法院意見，審慎評估辦理通訊投標之可行性。</w:t>
            </w:r>
          </w:p>
        </w:tc>
      </w:tr>
      <w:tr w:rsidR="000B2A94" w:rsidRPr="000B2A94" w:rsidTr="00F956E8">
        <w:tc>
          <w:tcPr>
            <w:tcW w:w="534" w:type="dxa"/>
            <w:noWrap/>
            <w:hideMark/>
          </w:tcPr>
          <w:p w:rsidR="00F956E8" w:rsidRPr="000B2A94" w:rsidRDefault="00F956E8" w:rsidP="00F956E8">
            <w:pPr>
              <w:rPr>
                <w:color w:val="000000" w:themeColor="text1"/>
                <w:sz w:val="28"/>
                <w:szCs w:val="28"/>
              </w:rPr>
            </w:pPr>
            <w:r w:rsidRPr="000B2A94">
              <w:rPr>
                <w:color w:val="000000" w:themeColor="text1"/>
                <w:sz w:val="28"/>
                <w:szCs w:val="28"/>
              </w:rPr>
              <w:t>21</w:t>
            </w:r>
          </w:p>
        </w:tc>
        <w:tc>
          <w:tcPr>
            <w:tcW w:w="2126" w:type="dxa"/>
            <w:hideMark/>
          </w:tcPr>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101內調0011：</w:t>
            </w:r>
          </w:p>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87年10月19日</w:t>
            </w:r>
            <w:r w:rsidRPr="000B2A94">
              <w:rPr>
                <w:rFonts w:hAnsi="標楷體"/>
                <w:color w:val="000000" w:themeColor="text1"/>
                <w:sz w:val="28"/>
                <w:szCs w:val="28"/>
              </w:rPr>
              <w:lastRenderedPageBreak/>
              <w:t>凌晨2至3時許，桃園市興華路10號「來緯實業股份有限公司(下稱來緯公司)」工廠及桃鶯路443號「四維企業股份有限公司(下稱四維公司)」工廠(二廠後方原藉一條防火巷相隔，下稱系爭二廠)發生火災(下稱系爭火災)，導致來緯公司之建築物、內部物品、機器，暨四維公司後側化工原料倉庫及其旁違建倉庫、原皮置放區倉庫、生產廠房、600坪原紙倉庫之建築物、內部物品、機器等均遭嚴重燒燬或損壞，並造成2男3女共5人死亡及4人輕重傷。經臺灣桃園地方法院(下稱桃園地院)檢察署(下稱桃園地檢署)黃檢察官、鍾檢察官分別</w:t>
            </w:r>
            <w:r w:rsidRPr="000B2A94">
              <w:rPr>
                <w:rFonts w:hAnsi="標楷體"/>
                <w:color w:val="000000" w:themeColor="text1"/>
                <w:sz w:val="28"/>
                <w:szCs w:val="28"/>
              </w:rPr>
              <w:lastRenderedPageBreak/>
              <w:t>以來緯公司及其公司代表人許○耀，及四維公司負責人陳○仁涉有業務過失致死等相關犯嫌，先後於88年9月16日、94年7月21日提起公訴，嗣經桃園地院及臺灣高等法院(下稱高等法院)先後審理後，分別以91年度上訴字第3571號(許○耀部分，經最高法院以93年度臺上字第6531號判決駁回上訴確定)及96年度上訴字第1624號(陳○仁部分，未經當事人提起上訴而確定)等2刑事判決認定被告等人無罪確定。</w:t>
            </w:r>
            <w:r w:rsidRPr="000B2A94">
              <w:rPr>
                <w:rFonts w:hAnsi="標楷體"/>
                <w:color w:val="000000" w:themeColor="text1"/>
                <w:sz w:val="28"/>
                <w:szCs w:val="28"/>
              </w:rPr>
              <w:br/>
              <w:t>惟查，上開2刑事判決理由欄對此事故起火原因及起火點之認定有所歧異，且斯時分別由地方、中央消防主管機關先後完成之3次火</w:t>
            </w:r>
            <w:r w:rsidRPr="000B2A94">
              <w:rPr>
                <w:rFonts w:hAnsi="標楷體"/>
                <w:color w:val="000000" w:themeColor="text1"/>
                <w:sz w:val="28"/>
                <w:szCs w:val="28"/>
              </w:rPr>
              <w:lastRenderedPageBreak/>
              <w:t>災原因調查鑑定作業亦未獲明確結論，肇致系爭火災釀成5人死亡及新臺幣(下同)3億5千萬元財產損失之嚴重災害，淪為二廠相互指控，最終竟乏人負責，真相迄懸而不明，究相關火災調查鑑定及司法偵審過程有無違失，認有深入瞭解之必要</w:t>
            </w:r>
          </w:p>
        </w:tc>
        <w:tc>
          <w:tcPr>
            <w:tcW w:w="6400" w:type="dxa"/>
            <w:hideMark/>
          </w:tcPr>
          <w:p w:rsidR="009661EF" w:rsidRPr="000B2A94" w:rsidRDefault="00F956E8" w:rsidP="00196DD5">
            <w:pPr>
              <w:pStyle w:val="afa"/>
              <w:numPr>
                <w:ilvl w:val="0"/>
                <w:numId w:val="39"/>
              </w:numPr>
              <w:ind w:leftChars="0"/>
              <w:rPr>
                <w:rFonts w:hAnsi="標楷體"/>
                <w:color w:val="000000" w:themeColor="text1"/>
                <w:sz w:val="28"/>
                <w:szCs w:val="28"/>
              </w:rPr>
            </w:pPr>
            <w:r w:rsidRPr="000B2A94">
              <w:rPr>
                <w:rFonts w:hAnsi="標楷體"/>
                <w:color w:val="000000" w:themeColor="text1"/>
                <w:sz w:val="28"/>
                <w:szCs w:val="28"/>
              </w:rPr>
              <w:lastRenderedPageBreak/>
              <w:t>高等法院91年度上訴字第3571號及96年度上訴字第1624號前後兩次為相異被告之無</w:t>
            </w:r>
            <w:r w:rsidRPr="000B2A94">
              <w:rPr>
                <w:rFonts w:hAnsi="標楷體"/>
                <w:color w:val="000000" w:themeColor="text1"/>
                <w:sz w:val="28"/>
                <w:szCs w:val="28"/>
              </w:rPr>
              <w:lastRenderedPageBreak/>
              <w:t>罪判決，依司法實務見解既認前後二案非同一案件，且判決之實質確定力不及於判決理由，則後判決縱於判決理由欄對起火點與前判決有歧異之認定，尚難資為判決違法之論據。</w:t>
            </w:r>
          </w:p>
          <w:p w:rsidR="009661EF" w:rsidRPr="000B2A94" w:rsidRDefault="00F956E8" w:rsidP="00196DD5">
            <w:pPr>
              <w:pStyle w:val="afa"/>
              <w:numPr>
                <w:ilvl w:val="0"/>
                <w:numId w:val="39"/>
              </w:numPr>
              <w:ind w:leftChars="0"/>
              <w:rPr>
                <w:rFonts w:hAnsi="標楷體"/>
                <w:color w:val="000000" w:themeColor="text1"/>
                <w:sz w:val="28"/>
                <w:szCs w:val="28"/>
              </w:rPr>
            </w:pPr>
            <w:r w:rsidRPr="000B2A94">
              <w:rPr>
                <w:rFonts w:hAnsi="標楷體"/>
                <w:color w:val="000000" w:themeColor="text1"/>
                <w:sz w:val="28"/>
                <w:szCs w:val="28"/>
              </w:rPr>
              <w:t>高等法院針對系爭火災前後案審理結果，因起火點及起火原因迄未釐清，致前後案對起火點判斷矛盾，終致系爭火災釀成五人死亡之事實，竟無人負其刑責，顯與刑事訴訟目的在發現真實及保障人權之旨有違，且各該判決是否已善盡審判及調查之能事，尤令人質疑。</w:t>
            </w:r>
          </w:p>
          <w:p w:rsidR="009661EF" w:rsidRPr="000B2A94" w:rsidRDefault="00F956E8" w:rsidP="00196DD5">
            <w:pPr>
              <w:pStyle w:val="afa"/>
              <w:numPr>
                <w:ilvl w:val="0"/>
                <w:numId w:val="39"/>
              </w:numPr>
              <w:ind w:leftChars="0"/>
              <w:rPr>
                <w:rFonts w:hAnsi="標楷體"/>
                <w:color w:val="000000" w:themeColor="text1"/>
                <w:sz w:val="28"/>
                <w:szCs w:val="28"/>
              </w:rPr>
            </w:pPr>
            <w:r w:rsidRPr="000B2A94">
              <w:rPr>
                <w:rFonts w:hAnsi="標楷體"/>
                <w:color w:val="000000" w:themeColor="text1"/>
                <w:sz w:val="28"/>
                <w:szCs w:val="28"/>
              </w:rPr>
              <w:t>桃園地檢署檢察官依據高等法院前案判決理由欄之論斷，未再詳細調查相關事證，遽予起訴四維廠廠長，致專業依據及證據基礎不足，難謂妥適。</w:t>
            </w:r>
          </w:p>
          <w:p w:rsidR="009661EF" w:rsidRPr="000B2A94" w:rsidRDefault="00F956E8" w:rsidP="00196DD5">
            <w:pPr>
              <w:pStyle w:val="afa"/>
              <w:numPr>
                <w:ilvl w:val="0"/>
                <w:numId w:val="39"/>
              </w:numPr>
              <w:ind w:leftChars="0"/>
              <w:rPr>
                <w:rFonts w:hAnsi="標楷體"/>
                <w:color w:val="000000" w:themeColor="text1"/>
                <w:sz w:val="28"/>
                <w:szCs w:val="28"/>
              </w:rPr>
            </w:pPr>
            <w:r w:rsidRPr="000B2A94">
              <w:rPr>
                <w:rFonts w:hAnsi="標楷體"/>
                <w:color w:val="000000" w:themeColor="text1"/>
                <w:sz w:val="28"/>
                <w:szCs w:val="28"/>
              </w:rPr>
              <w:t>中央、地方消防機關前後分別針對系爭火災原因實施3次調查鑑定作業，除未獲具體結論及起火原因不明外，認定之起火處亦皆相異，且鑑定意見於法院審理過程多未被採認或頻遭否定，突顯國內消防機關火災調查鑑定能力不足，欠缺公信力，洵有欠當。</w:t>
            </w:r>
          </w:p>
          <w:p w:rsidR="009661EF" w:rsidRPr="000B2A94" w:rsidRDefault="00F956E8" w:rsidP="00196DD5">
            <w:pPr>
              <w:pStyle w:val="afa"/>
              <w:numPr>
                <w:ilvl w:val="0"/>
                <w:numId w:val="39"/>
              </w:numPr>
              <w:ind w:leftChars="0"/>
              <w:rPr>
                <w:rFonts w:hAnsi="標楷體"/>
                <w:color w:val="000000" w:themeColor="text1"/>
                <w:sz w:val="28"/>
                <w:szCs w:val="28"/>
              </w:rPr>
            </w:pPr>
            <w:r w:rsidRPr="000B2A94">
              <w:rPr>
                <w:rFonts w:hAnsi="標楷體"/>
                <w:color w:val="000000" w:themeColor="text1"/>
                <w:sz w:val="28"/>
                <w:szCs w:val="28"/>
              </w:rPr>
              <w:t>消防署明知系爭火災肇生9人死傷係屬重大案件，且該署調查鑑定結果與桃園縣消防局首次調查鑑定結論迥異，卻疏未邀集專家學者及該消防局斯時與勘人員參與勘查及討論以獲致共識，相關公文書復未具體說明並詳細比較二者差異處暨其理由，即率驟下結論，殊有欠當。</w:t>
            </w:r>
          </w:p>
          <w:p w:rsidR="00F956E8" w:rsidRPr="000B2A94" w:rsidRDefault="00F956E8" w:rsidP="00196DD5">
            <w:pPr>
              <w:pStyle w:val="afa"/>
              <w:numPr>
                <w:ilvl w:val="0"/>
                <w:numId w:val="39"/>
              </w:numPr>
              <w:ind w:leftChars="0"/>
              <w:rPr>
                <w:rFonts w:hAnsi="標楷體"/>
                <w:color w:val="000000" w:themeColor="text1"/>
                <w:sz w:val="28"/>
                <w:szCs w:val="28"/>
              </w:rPr>
            </w:pPr>
            <w:r w:rsidRPr="000B2A94">
              <w:rPr>
                <w:rFonts w:hAnsi="標楷體"/>
                <w:color w:val="000000" w:themeColor="text1"/>
                <w:sz w:val="28"/>
                <w:szCs w:val="28"/>
              </w:rPr>
              <w:t>消防署於系爭火災案針對民眾陳情書之處理方式未盡一致，肇致外界質疑；對桃園縣消防局支援調查鑑定之請求，處理程序亦欠嚴謹，且第3次鑑定作業未完成結論及報告即予結案，更與第2次調查鑑定作業相異，突顯標準作業程序付之闕如，均有欠當。</w:t>
            </w:r>
          </w:p>
        </w:tc>
      </w:tr>
      <w:tr w:rsidR="000B2A94" w:rsidRPr="000B2A94" w:rsidTr="00F956E8">
        <w:tc>
          <w:tcPr>
            <w:tcW w:w="534" w:type="dxa"/>
            <w:noWrap/>
            <w:hideMark/>
          </w:tcPr>
          <w:p w:rsidR="00F956E8" w:rsidRPr="000B2A94" w:rsidRDefault="00F956E8" w:rsidP="00F956E8">
            <w:pPr>
              <w:rPr>
                <w:color w:val="000000" w:themeColor="text1"/>
                <w:sz w:val="28"/>
                <w:szCs w:val="28"/>
              </w:rPr>
            </w:pPr>
            <w:r w:rsidRPr="000B2A94">
              <w:rPr>
                <w:color w:val="000000" w:themeColor="text1"/>
                <w:sz w:val="28"/>
                <w:szCs w:val="28"/>
              </w:rPr>
              <w:lastRenderedPageBreak/>
              <w:t>22</w:t>
            </w:r>
          </w:p>
        </w:tc>
        <w:tc>
          <w:tcPr>
            <w:tcW w:w="2126" w:type="dxa"/>
            <w:noWrap/>
            <w:hideMark/>
          </w:tcPr>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100財調0101：</w:t>
            </w:r>
          </w:p>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據訴：渠公司於94年間自泰國進口拋光磁磚乙批，詎財政部基隆關稅局未開櫃查驗，卻以虛報進口貨物產地為由，處以高額罰鍰；經提起行政救濟，惟行政法院無視進口貨物原產地認定標準相關規定，復未詳查事證，率以陶瓷公會錯誤之鑑定結果，判決渠公司敗訴，損及權益等情乙</w:t>
            </w:r>
            <w:r w:rsidRPr="000B2A94">
              <w:rPr>
                <w:rFonts w:hAnsi="標楷體"/>
                <w:color w:val="000000" w:themeColor="text1"/>
                <w:sz w:val="28"/>
                <w:szCs w:val="28"/>
              </w:rPr>
              <w:lastRenderedPageBreak/>
              <w:t>案。</w:t>
            </w:r>
          </w:p>
        </w:tc>
        <w:tc>
          <w:tcPr>
            <w:tcW w:w="6400" w:type="dxa"/>
            <w:hideMark/>
          </w:tcPr>
          <w:p w:rsidR="009661EF" w:rsidRPr="000B2A94" w:rsidRDefault="00F956E8" w:rsidP="00196DD5">
            <w:pPr>
              <w:pStyle w:val="afa"/>
              <w:numPr>
                <w:ilvl w:val="0"/>
                <w:numId w:val="40"/>
              </w:numPr>
              <w:ind w:leftChars="0"/>
              <w:rPr>
                <w:rFonts w:hAnsi="標楷體"/>
                <w:color w:val="000000" w:themeColor="text1"/>
                <w:sz w:val="28"/>
                <w:szCs w:val="28"/>
              </w:rPr>
            </w:pPr>
            <w:r w:rsidRPr="000B2A94">
              <w:rPr>
                <w:rFonts w:hAnsi="標楷體"/>
                <w:color w:val="000000" w:themeColor="text1"/>
                <w:sz w:val="28"/>
                <w:szCs w:val="28"/>
              </w:rPr>
              <w:lastRenderedPageBreak/>
              <w:t>臺北高等行政法院審理陳訴人虛報進口貨物產地事件，已斟酌全辯論意旨及調查證據之結果，依論理及經驗法則判斷事實之真偽，並於判決中記明其得心證之理由，尚難認有違失之處。</w:t>
            </w:r>
          </w:p>
          <w:p w:rsidR="00F956E8" w:rsidRPr="000B2A94" w:rsidRDefault="00F956E8" w:rsidP="00196DD5">
            <w:pPr>
              <w:pStyle w:val="afa"/>
              <w:numPr>
                <w:ilvl w:val="0"/>
                <w:numId w:val="40"/>
              </w:numPr>
              <w:ind w:leftChars="0"/>
              <w:rPr>
                <w:rFonts w:hAnsi="標楷體"/>
                <w:color w:val="000000" w:themeColor="text1"/>
                <w:sz w:val="28"/>
                <w:szCs w:val="28"/>
              </w:rPr>
            </w:pPr>
            <w:r w:rsidRPr="000B2A94">
              <w:rPr>
                <w:rFonts w:hAnsi="標楷體"/>
                <w:color w:val="000000" w:themeColor="text1"/>
                <w:sz w:val="28"/>
                <w:szCs w:val="28"/>
              </w:rPr>
              <w:t>基隆關稅局於本案系爭貨物進口報單上記載錯誤；又報請關稅總局原產地認定委員會會商認定時，其貨樣收據編號一再誤植，輕忽草率，容有檢討改進之處；另有關本案光碟資料之歸檔保存情形，亦應併予查明妥處。</w:t>
            </w:r>
          </w:p>
        </w:tc>
      </w:tr>
      <w:tr w:rsidR="000B2A94" w:rsidRPr="000B2A94" w:rsidTr="00F956E8">
        <w:tc>
          <w:tcPr>
            <w:tcW w:w="534" w:type="dxa"/>
            <w:noWrap/>
            <w:hideMark/>
          </w:tcPr>
          <w:p w:rsidR="00F956E8" w:rsidRPr="000B2A94" w:rsidRDefault="00F956E8" w:rsidP="00F956E8">
            <w:pPr>
              <w:rPr>
                <w:color w:val="000000" w:themeColor="text1"/>
                <w:sz w:val="28"/>
                <w:szCs w:val="28"/>
              </w:rPr>
            </w:pPr>
            <w:r w:rsidRPr="000B2A94">
              <w:rPr>
                <w:color w:val="000000" w:themeColor="text1"/>
                <w:sz w:val="28"/>
                <w:szCs w:val="28"/>
              </w:rPr>
              <w:lastRenderedPageBreak/>
              <w:t>23</w:t>
            </w:r>
          </w:p>
        </w:tc>
        <w:tc>
          <w:tcPr>
            <w:tcW w:w="2126" w:type="dxa"/>
            <w:noWrap/>
            <w:hideMark/>
          </w:tcPr>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100內調0083：</w:t>
            </w:r>
          </w:p>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據徐許美鳳等陳訴：台北市政府工務局新建工程處辦理「復興北路穿越松山機場地下道工程」疑似設置不當，致渠子徐佳傑騎乘自行車失控摔落死亡；又於訴請國賠過程中，詎無鑑定單位願意協助鑑定，請求法院轉換舉證責任亦未獲接受，致遭判決駁回，涉有違失等情乙案。</w:t>
            </w:r>
          </w:p>
        </w:tc>
        <w:tc>
          <w:tcPr>
            <w:tcW w:w="6400" w:type="dxa"/>
            <w:hideMark/>
          </w:tcPr>
          <w:p w:rsidR="009661EF" w:rsidRPr="000B2A94" w:rsidRDefault="00F956E8" w:rsidP="00196DD5">
            <w:pPr>
              <w:pStyle w:val="afa"/>
              <w:numPr>
                <w:ilvl w:val="0"/>
                <w:numId w:val="41"/>
              </w:numPr>
              <w:ind w:leftChars="0"/>
              <w:rPr>
                <w:rFonts w:hAnsi="標楷體"/>
                <w:color w:val="000000" w:themeColor="text1"/>
                <w:sz w:val="28"/>
                <w:szCs w:val="28"/>
              </w:rPr>
            </w:pPr>
            <w:r w:rsidRPr="000B2A94">
              <w:rPr>
                <w:rFonts w:hAnsi="標楷體"/>
                <w:color w:val="000000" w:themeColor="text1"/>
                <w:sz w:val="28"/>
                <w:szCs w:val="28"/>
              </w:rPr>
              <w:t>台北市政府涉有決策草率、設施品質粗糙等違失。</w:t>
            </w:r>
          </w:p>
          <w:p w:rsidR="00F956E8" w:rsidRPr="000B2A94" w:rsidRDefault="00F956E8" w:rsidP="00196DD5">
            <w:pPr>
              <w:pStyle w:val="afa"/>
              <w:numPr>
                <w:ilvl w:val="0"/>
                <w:numId w:val="41"/>
              </w:numPr>
              <w:ind w:leftChars="0"/>
              <w:rPr>
                <w:rFonts w:hAnsi="標楷體"/>
                <w:color w:val="000000" w:themeColor="text1"/>
                <w:sz w:val="28"/>
                <w:szCs w:val="28"/>
              </w:rPr>
            </w:pPr>
            <w:r w:rsidRPr="000B2A94">
              <w:rPr>
                <w:rFonts w:hAnsi="標楷體"/>
                <w:color w:val="000000" w:themeColor="text1"/>
                <w:sz w:val="28"/>
                <w:szCs w:val="28"/>
              </w:rPr>
              <w:t>台灣台北地方法院檢察署97年度偵字第6729號不起訴處分及台灣高等法院檢察署97年度上聲議字第2698號駁回處分，對於上揭台北市政府各種缺失均未經查明。</w:t>
            </w:r>
          </w:p>
        </w:tc>
      </w:tr>
      <w:tr w:rsidR="000B2A94" w:rsidRPr="000B2A94" w:rsidTr="00F956E8">
        <w:tc>
          <w:tcPr>
            <w:tcW w:w="534" w:type="dxa"/>
            <w:noWrap/>
            <w:hideMark/>
          </w:tcPr>
          <w:p w:rsidR="00F956E8" w:rsidRPr="000B2A94" w:rsidRDefault="00F956E8" w:rsidP="00F956E8">
            <w:pPr>
              <w:rPr>
                <w:color w:val="000000" w:themeColor="text1"/>
                <w:sz w:val="28"/>
                <w:szCs w:val="28"/>
              </w:rPr>
            </w:pPr>
            <w:r w:rsidRPr="000B2A94">
              <w:rPr>
                <w:color w:val="000000" w:themeColor="text1"/>
                <w:sz w:val="28"/>
                <w:szCs w:val="28"/>
              </w:rPr>
              <w:t>24</w:t>
            </w:r>
          </w:p>
        </w:tc>
        <w:tc>
          <w:tcPr>
            <w:tcW w:w="2126" w:type="dxa"/>
            <w:noWrap/>
            <w:hideMark/>
          </w:tcPr>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100教調0069：</w:t>
            </w:r>
          </w:p>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行政院國家科學委員會所屬科學工業園區管理局辦理「園區四期銅鑼基地開發工程-污水處理廠第一期工程」採購契約，疑有不可歸責承包商事由致展延情事，承包商經向行政院公共工程委員會提出調解、申訴，詎該</w:t>
            </w:r>
            <w:r w:rsidRPr="000B2A94">
              <w:rPr>
                <w:rFonts w:hAnsi="標楷體"/>
                <w:color w:val="000000" w:themeColor="text1"/>
                <w:sz w:val="28"/>
                <w:szCs w:val="28"/>
              </w:rPr>
              <w:lastRenderedPageBreak/>
              <w:t>局於臺灣省土木技師公會尚未完成鑑定結果前強行接管，損及權益；究行政部門有無依法行政或涉有違失，認有深入瞭解之必要乙案。</w:t>
            </w:r>
          </w:p>
        </w:tc>
        <w:tc>
          <w:tcPr>
            <w:tcW w:w="6400" w:type="dxa"/>
            <w:hideMark/>
          </w:tcPr>
          <w:p w:rsidR="008D3336" w:rsidRPr="000B2A94" w:rsidRDefault="00F956E8" w:rsidP="00196DD5">
            <w:pPr>
              <w:pStyle w:val="afa"/>
              <w:numPr>
                <w:ilvl w:val="0"/>
                <w:numId w:val="42"/>
              </w:numPr>
              <w:ind w:leftChars="0"/>
              <w:rPr>
                <w:rFonts w:hAnsi="標楷體"/>
                <w:color w:val="000000" w:themeColor="text1"/>
                <w:sz w:val="28"/>
                <w:szCs w:val="28"/>
              </w:rPr>
            </w:pPr>
            <w:r w:rsidRPr="000B2A94">
              <w:rPr>
                <w:rFonts w:hAnsi="標楷體"/>
                <w:color w:val="000000" w:themeColor="text1"/>
                <w:sz w:val="28"/>
                <w:szCs w:val="28"/>
              </w:rPr>
              <w:lastRenderedPageBreak/>
              <w:t>本案履約爭議陳訴人雖舉台灣省土木技師公會鑑定報告佐證，惟與工程會兩次處理（調解及申訴）本案見解有間，陳訴人如認有損及權益，宜循司法途徑救濟解決。</w:t>
            </w:r>
          </w:p>
          <w:p w:rsidR="00F956E8" w:rsidRPr="000B2A94" w:rsidRDefault="00F956E8" w:rsidP="00196DD5">
            <w:pPr>
              <w:pStyle w:val="afa"/>
              <w:numPr>
                <w:ilvl w:val="0"/>
                <w:numId w:val="42"/>
              </w:numPr>
              <w:ind w:leftChars="0"/>
              <w:rPr>
                <w:rFonts w:hAnsi="標楷體"/>
                <w:color w:val="000000" w:themeColor="text1"/>
                <w:sz w:val="28"/>
                <w:szCs w:val="28"/>
              </w:rPr>
            </w:pPr>
            <w:r w:rsidRPr="000B2A94">
              <w:rPr>
                <w:rFonts w:hAnsi="標楷體"/>
                <w:color w:val="000000" w:themeColor="text1"/>
                <w:sz w:val="28"/>
                <w:szCs w:val="28"/>
              </w:rPr>
              <w:t xml:space="preserve">本案污水處理廠工程進度控管失當，迨進度嚴重落後時方緊急處理，並另耗費公帑辦理臨時應急工程，延宕園區整體運作，應確實檢討改進。  </w:t>
            </w:r>
          </w:p>
        </w:tc>
      </w:tr>
      <w:tr w:rsidR="000B2A94" w:rsidRPr="000B2A94" w:rsidTr="00F956E8">
        <w:tc>
          <w:tcPr>
            <w:tcW w:w="534" w:type="dxa"/>
            <w:noWrap/>
            <w:hideMark/>
          </w:tcPr>
          <w:p w:rsidR="00F956E8" w:rsidRPr="000B2A94" w:rsidRDefault="00F956E8" w:rsidP="00F956E8">
            <w:pPr>
              <w:rPr>
                <w:color w:val="000000" w:themeColor="text1"/>
                <w:sz w:val="28"/>
                <w:szCs w:val="28"/>
              </w:rPr>
            </w:pPr>
            <w:r w:rsidRPr="000B2A94">
              <w:rPr>
                <w:color w:val="000000" w:themeColor="text1"/>
                <w:sz w:val="28"/>
                <w:szCs w:val="28"/>
              </w:rPr>
              <w:lastRenderedPageBreak/>
              <w:t>25</w:t>
            </w:r>
          </w:p>
        </w:tc>
        <w:tc>
          <w:tcPr>
            <w:tcW w:w="2126" w:type="dxa"/>
            <w:noWrap/>
            <w:hideMark/>
          </w:tcPr>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100司調0051：</w:t>
            </w:r>
          </w:p>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有關測謊鑑定之準確性備受爭議與質疑，惟法務部卻未訂定相關規範，且欠缺測謊之定罪率統計資料，事涉刑事證據審酌乙案，按刑事訴訟法修正後對於各種訴訟資料之證據能力要求趨於嚴格，若未經法定程序取得，即無法成為審判程序中認定被告犯罪之積極證據。近年來，利用刑事鑑識作為被告犯罪證據相當多，如：筆跡之鑑定、指紋比對、DNA鑑定等，而測謊更是</w:t>
            </w:r>
            <w:r w:rsidRPr="000B2A94">
              <w:rPr>
                <w:rFonts w:hAnsi="標楷體"/>
                <w:color w:val="000000" w:themeColor="text1"/>
                <w:sz w:val="28"/>
                <w:szCs w:val="28"/>
              </w:rPr>
              <w:lastRenderedPageBreak/>
              <w:t>在刑事案件中常見採用的方式，惟刑事訴訟法卻未對於測謊究竟有無證據能力，或應如何取得證據能力有所規定。法務部目前對於測謊鑑定之相關規範確實闕如，亦未就透過測謊因而定罪之相關數據予以統計等情</w:t>
            </w:r>
          </w:p>
        </w:tc>
        <w:tc>
          <w:tcPr>
            <w:tcW w:w="6400" w:type="dxa"/>
            <w:hideMark/>
          </w:tcPr>
          <w:p w:rsidR="008D3336" w:rsidRPr="000B2A94" w:rsidRDefault="00F956E8" w:rsidP="00196DD5">
            <w:pPr>
              <w:pStyle w:val="afa"/>
              <w:numPr>
                <w:ilvl w:val="0"/>
                <w:numId w:val="43"/>
              </w:numPr>
              <w:ind w:leftChars="0"/>
              <w:rPr>
                <w:rFonts w:hAnsi="標楷體"/>
                <w:color w:val="000000" w:themeColor="text1"/>
                <w:sz w:val="28"/>
                <w:szCs w:val="28"/>
              </w:rPr>
            </w:pPr>
            <w:r w:rsidRPr="000B2A94">
              <w:rPr>
                <w:rFonts w:hAnsi="標楷體"/>
                <w:color w:val="000000" w:themeColor="text1"/>
                <w:sz w:val="28"/>
                <w:szCs w:val="28"/>
              </w:rPr>
              <w:lastRenderedPageBreak/>
              <w:t>目前法院審判業已大量採用測謊鑑定，並作為刑事證據加以審酌，惟法務部迄今尚未就測謊鑑定訂定相關規範及標準作業流程，以為鑑定人員與偵查過程之依循，尚有欠缺周妥之處。</w:t>
            </w:r>
          </w:p>
          <w:p w:rsidR="00F956E8" w:rsidRPr="000B2A94" w:rsidRDefault="00F956E8" w:rsidP="00196DD5">
            <w:pPr>
              <w:pStyle w:val="afa"/>
              <w:numPr>
                <w:ilvl w:val="0"/>
                <w:numId w:val="43"/>
              </w:numPr>
              <w:ind w:leftChars="0"/>
              <w:rPr>
                <w:rFonts w:hAnsi="標楷體"/>
                <w:color w:val="000000" w:themeColor="text1"/>
                <w:sz w:val="28"/>
                <w:szCs w:val="28"/>
              </w:rPr>
            </w:pPr>
            <w:r w:rsidRPr="000B2A94">
              <w:rPr>
                <w:rFonts w:hAnsi="標楷體"/>
                <w:color w:val="000000" w:themeColor="text1"/>
                <w:sz w:val="28"/>
                <w:szCs w:val="28"/>
              </w:rPr>
              <w:t>目前法務部對於透過測謊鑑定，經各級法院採信因而定罪之相關統計尚屬闕如，亦未對未獲院方採信之理由據以研析，無法彰顯與改進測謊鑑定之證據能力，該部允宜朝此一方向積極蒐整資訊，建置相關統計數據，以為偵查與審判之參考，方屬正辦。</w:t>
            </w:r>
          </w:p>
        </w:tc>
      </w:tr>
      <w:tr w:rsidR="000B2A94" w:rsidRPr="000B2A94" w:rsidTr="00F956E8">
        <w:tc>
          <w:tcPr>
            <w:tcW w:w="534" w:type="dxa"/>
            <w:noWrap/>
            <w:hideMark/>
          </w:tcPr>
          <w:p w:rsidR="00F956E8" w:rsidRPr="000B2A94" w:rsidRDefault="00F956E8" w:rsidP="00F956E8">
            <w:pPr>
              <w:rPr>
                <w:color w:val="000000" w:themeColor="text1"/>
                <w:sz w:val="28"/>
                <w:szCs w:val="28"/>
              </w:rPr>
            </w:pPr>
            <w:r w:rsidRPr="000B2A94">
              <w:rPr>
                <w:color w:val="000000" w:themeColor="text1"/>
                <w:sz w:val="28"/>
                <w:szCs w:val="28"/>
              </w:rPr>
              <w:lastRenderedPageBreak/>
              <w:t>26</w:t>
            </w:r>
          </w:p>
        </w:tc>
        <w:tc>
          <w:tcPr>
            <w:tcW w:w="2126" w:type="dxa"/>
            <w:noWrap/>
            <w:hideMark/>
          </w:tcPr>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100司調0046：</w:t>
            </w:r>
          </w:p>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 xml:space="preserve">據簡○秋陳訴：臺灣高等法院審理97年度重上更（四）字第208號胡00殺人未遂案，鑑定人逢甲大學已坦承鑑定地點錯誤且鑑定結果存有誤差，詎該院未詳查事證，率為被告無罪之判決，損及權益等情乙案。 </w:t>
            </w:r>
          </w:p>
        </w:tc>
        <w:tc>
          <w:tcPr>
            <w:tcW w:w="6400" w:type="dxa"/>
            <w:hideMark/>
          </w:tcPr>
          <w:p w:rsidR="008D3336" w:rsidRPr="000B2A94" w:rsidRDefault="00F956E8" w:rsidP="00196DD5">
            <w:pPr>
              <w:pStyle w:val="afa"/>
              <w:numPr>
                <w:ilvl w:val="0"/>
                <w:numId w:val="44"/>
              </w:numPr>
              <w:ind w:leftChars="0"/>
              <w:rPr>
                <w:rFonts w:hAnsi="標楷體"/>
                <w:color w:val="000000" w:themeColor="text1"/>
                <w:sz w:val="28"/>
                <w:szCs w:val="28"/>
              </w:rPr>
            </w:pPr>
            <w:r w:rsidRPr="000B2A94">
              <w:rPr>
                <w:rFonts w:hAnsi="標楷體"/>
                <w:color w:val="000000" w:themeColor="text1"/>
                <w:sz w:val="28"/>
                <w:szCs w:val="28"/>
              </w:rPr>
              <w:t>本案確定判決經調查發現有研提再審及聲請非常上訴之事由。</w:t>
            </w:r>
          </w:p>
          <w:p w:rsidR="00F956E8" w:rsidRPr="000B2A94" w:rsidRDefault="00F956E8" w:rsidP="00196DD5">
            <w:pPr>
              <w:pStyle w:val="afa"/>
              <w:numPr>
                <w:ilvl w:val="0"/>
                <w:numId w:val="44"/>
              </w:numPr>
              <w:ind w:leftChars="0"/>
              <w:rPr>
                <w:rFonts w:hAnsi="標楷體"/>
                <w:color w:val="000000" w:themeColor="text1"/>
                <w:sz w:val="28"/>
                <w:szCs w:val="28"/>
              </w:rPr>
            </w:pPr>
            <w:r w:rsidRPr="000B2A94">
              <w:rPr>
                <w:rFonts w:hAnsi="標楷體"/>
                <w:color w:val="000000" w:themeColor="text1"/>
                <w:sz w:val="28"/>
                <w:szCs w:val="28"/>
              </w:rPr>
              <w:t>關於我國道路交通事故之偵查蒐證及鑑定機制有欠嚴謹，損害人民權益及耗費司法資源乙節，本院另立案，深入調查之中。</w:t>
            </w:r>
          </w:p>
        </w:tc>
      </w:tr>
      <w:tr w:rsidR="000B2A94" w:rsidRPr="000B2A94" w:rsidTr="00F956E8">
        <w:tc>
          <w:tcPr>
            <w:tcW w:w="534" w:type="dxa"/>
            <w:noWrap/>
            <w:hideMark/>
          </w:tcPr>
          <w:p w:rsidR="00F956E8" w:rsidRPr="000B2A94" w:rsidRDefault="00F956E8" w:rsidP="00F956E8">
            <w:pPr>
              <w:rPr>
                <w:color w:val="000000" w:themeColor="text1"/>
                <w:sz w:val="28"/>
                <w:szCs w:val="28"/>
              </w:rPr>
            </w:pPr>
            <w:r w:rsidRPr="000B2A94">
              <w:rPr>
                <w:color w:val="000000" w:themeColor="text1"/>
                <w:sz w:val="28"/>
                <w:szCs w:val="28"/>
              </w:rPr>
              <w:t>27</w:t>
            </w:r>
          </w:p>
        </w:tc>
        <w:tc>
          <w:tcPr>
            <w:tcW w:w="2126" w:type="dxa"/>
            <w:noWrap/>
            <w:hideMark/>
          </w:tcPr>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100司調0021：</w:t>
            </w:r>
          </w:p>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據報載：被鑑定有精神疾病之男子陳○明，7年前殺害兩名女童，減刑出獄後本應由國軍</w:t>
            </w:r>
            <w:r w:rsidRPr="000B2A94">
              <w:rPr>
                <w:rFonts w:hAnsi="標楷體"/>
                <w:color w:val="000000" w:themeColor="text1"/>
                <w:sz w:val="28"/>
                <w:szCs w:val="28"/>
              </w:rPr>
              <w:lastRenderedPageBreak/>
              <w:t>北投醫院執行刑後監護2年，惟短短4個月後院方鑑定以精神疾病已治癒而獲准出院；詎未及1年，陳○明再度以有惡魔要其殺人為由，於99年10月20日犯下將林姓女子活活打死之凶殘殺人憾事。本案凸顯各家醫院之精神鑑定結果存有相當落差，主管機關是否善盡監督之責？又相關單位執行刑後監護有無違失？確有深入瞭解之必要。</w:t>
            </w:r>
          </w:p>
        </w:tc>
        <w:tc>
          <w:tcPr>
            <w:tcW w:w="6400" w:type="dxa"/>
            <w:hideMark/>
          </w:tcPr>
          <w:p w:rsidR="008D3336" w:rsidRPr="000B2A94" w:rsidRDefault="00F956E8" w:rsidP="00196DD5">
            <w:pPr>
              <w:pStyle w:val="afa"/>
              <w:numPr>
                <w:ilvl w:val="0"/>
                <w:numId w:val="45"/>
              </w:numPr>
              <w:ind w:leftChars="0"/>
              <w:rPr>
                <w:rFonts w:hAnsi="標楷體"/>
                <w:color w:val="000000" w:themeColor="text1"/>
                <w:sz w:val="28"/>
                <w:szCs w:val="28"/>
              </w:rPr>
            </w:pPr>
            <w:r w:rsidRPr="000B2A94">
              <w:rPr>
                <w:rFonts w:hAnsi="標楷體"/>
                <w:color w:val="000000" w:themeColor="text1"/>
                <w:sz w:val="28"/>
                <w:szCs w:val="28"/>
              </w:rPr>
              <w:lastRenderedPageBreak/>
              <w:t>臺灣高等法院（下稱高院）既認陳○明拐騙年僅7歲及8歲之2名女童離家後加以殺害，則陳○明應構成略誘罪及殺人罪，2罪有舊刑法所定之牽連關係，略誘罪部分已因案被警方發覺，與未經發覺之殺人罪為裁判上之一罪，不應認有自首之效力。惟高院更五審合議庭卻不當認為陳○明可</w:t>
            </w:r>
            <w:r w:rsidRPr="000B2A94">
              <w:rPr>
                <w:rFonts w:hAnsi="標楷體"/>
                <w:color w:val="000000" w:themeColor="text1"/>
                <w:sz w:val="28"/>
                <w:szCs w:val="28"/>
              </w:rPr>
              <w:lastRenderedPageBreak/>
              <w:t>因自首而減刑，僅判處有期徒刑12年，臺灣高等法院檢察署（下稱高檢署）亦疏未提起上訴而告確定，嗣高檢署聲請依96年罪犯減刑條例減刑，高院裁定再減為有期徒刑6年，致使陳○明雖以殘忍手段殺害2名女童後棄屍溪中，卻因自首而僅判處徒刑6年，以羈押日數折抵徒刑而無刑期須執行，均有違失。</w:t>
            </w:r>
          </w:p>
          <w:p w:rsidR="008D3336" w:rsidRPr="000B2A94" w:rsidRDefault="00F956E8" w:rsidP="00196DD5">
            <w:pPr>
              <w:pStyle w:val="afa"/>
              <w:numPr>
                <w:ilvl w:val="0"/>
                <w:numId w:val="45"/>
              </w:numPr>
              <w:ind w:leftChars="0"/>
              <w:rPr>
                <w:rFonts w:hAnsi="標楷體"/>
                <w:color w:val="000000" w:themeColor="text1"/>
                <w:sz w:val="28"/>
                <w:szCs w:val="28"/>
              </w:rPr>
            </w:pPr>
            <w:r w:rsidRPr="000B2A94">
              <w:rPr>
                <w:rFonts w:hAnsi="標楷體"/>
                <w:color w:val="000000" w:themeColor="text1"/>
                <w:sz w:val="28"/>
                <w:szCs w:val="28"/>
              </w:rPr>
              <w:t>國軍北投醫院執行刑後2年監護處分時，雖認為陳○○係屬病態人格，有裝病之可能，不適合住院治療，當然具有危險性，卻因陳○明監護期間出現行為問題造成病房工作人員困擾，竟未向高檢署據實陳述陳○明之真實病情及危險程度，而以其精神症狀已因藥物治療及心理支持而逐漸改善為由向高檢署建議結束住院治療；該署檢察官既未依法對陳○明進行視察，亦未詳查病情是否經治療確已改善並可終止治療等事實，單憑醫院之建議草率向高院聲請裁定免予繼續執行監護處分，致使陳○明執行5個多月後即於98年12月30日結束監護處分，於99年10月間再犯殺死婦女之慘劇，均顯有違失。</w:t>
            </w:r>
          </w:p>
          <w:p w:rsidR="008D3336" w:rsidRPr="000B2A94" w:rsidRDefault="00F956E8" w:rsidP="00196DD5">
            <w:pPr>
              <w:pStyle w:val="afa"/>
              <w:numPr>
                <w:ilvl w:val="0"/>
                <w:numId w:val="45"/>
              </w:numPr>
              <w:ind w:leftChars="0"/>
              <w:rPr>
                <w:rFonts w:hAnsi="標楷體"/>
                <w:color w:val="000000" w:themeColor="text1"/>
                <w:sz w:val="28"/>
                <w:szCs w:val="28"/>
              </w:rPr>
            </w:pPr>
            <w:r w:rsidRPr="000B2A94">
              <w:rPr>
                <w:rFonts w:hAnsi="標楷體"/>
                <w:color w:val="000000" w:themeColor="text1"/>
                <w:sz w:val="28"/>
                <w:szCs w:val="28"/>
              </w:rPr>
              <w:t>本案法院先後4次囑託鑑定陳○明案發時之精神狀況，臺大醫院認為其心神喪失，衛生署桃園療養院認為其既無心神喪失亦無精神耗弱，臺北榮民總醫院及國軍北投醫院雖均認為其精神耗弱，高院更五審確定判決因而認其精神耗弱而將減輕其刑，但國軍北投醫院執行監護處分之醫療團隊，卻推翻該院先前之鑑定意見，認為陳○明既無心神喪失亦無精神耗弱，顯然不僅各醫院意見歧異，同一醫院之醫師也各自有不同意見，但鑑定意見常具有左右判決之重大影響力，司法院及法務部允宜正視此一嚴重問題，研議如何強化現有刑事訴訟制度、提供鑑定機關較齊全之參考資</w:t>
            </w:r>
            <w:r w:rsidRPr="000B2A94">
              <w:rPr>
                <w:rFonts w:hAnsi="標楷體"/>
                <w:color w:val="000000" w:themeColor="text1"/>
                <w:sz w:val="28"/>
                <w:szCs w:val="28"/>
              </w:rPr>
              <w:lastRenderedPageBreak/>
              <w:t>料、善加利用鑑定留置及鑑定人到庭交互詰問制度、發展對被鑑定人偽裝或詐病之判別技術或方法等，俾使司法精神鑑定結果趨近真實</w:t>
            </w:r>
            <w:r w:rsidRPr="000B2A94">
              <w:rPr>
                <w:rFonts w:hAnsi="標楷體"/>
                <w:color w:val="000000" w:themeColor="text1"/>
                <w:kern w:val="0"/>
                <w:sz w:val="28"/>
                <w:szCs w:val="28"/>
              </w:rPr>
              <w:t>。</w:t>
            </w:r>
          </w:p>
          <w:p w:rsidR="008D3336" w:rsidRPr="000B2A94" w:rsidRDefault="00F956E8" w:rsidP="00196DD5">
            <w:pPr>
              <w:pStyle w:val="afa"/>
              <w:numPr>
                <w:ilvl w:val="0"/>
                <w:numId w:val="45"/>
              </w:numPr>
              <w:ind w:leftChars="0"/>
              <w:rPr>
                <w:rFonts w:hAnsi="標楷體"/>
                <w:color w:val="000000" w:themeColor="text1"/>
                <w:sz w:val="28"/>
                <w:szCs w:val="28"/>
              </w:rPr>
            </w:pPr>
            <w:r w:rsidRPr="000B2A94">
              <w:rPr>
                <w:rFonts w:hAnsi="標楷體"/>
                <w:color w:val="000000" w:themeColor="text1"/>
                <w:sz w:val="28"/>
                <w:szCs w:val="28"/>
              </w:rPr>
              <w:t>法務部及衛生署允宜就現行精神鑑定品質、方法、標準作業及人員資格要件等問題，共謀改善方案</w:t>
            </w:r>
            <w:r w:rsidRPr="000B2A94">
              <w:rPr>
                <w:rFonts w:hAnsi="標楷體"/>
                <w:color w:val="000000" w:themeColor="text1"/>
                <w:kern w:val="0"/>
                <w:sz w:val="28"/>
                <w:szCs w:val="28"/>
              </w:rPr>
              <w:t>。</w:t>
            </w:r>
          </w:p>
          <w:p w:rsidR="00F956E8" w:rsidRPr="000B2A94" w:rsidRDefault="00F956E8" w:rsidP="00196DD5">
            <w:pPr>
              <w:pStyle w:val="afa"/>
              <w:numPr>
                <w:ilvl w:val="0"/>
                <w:numId w:val="45"/>
              </w:numPr>
              <w:ind w:leftChars="0"/>
              <w:rPr>
                <w:rFonts w:hAnsi="標楷體"/>
                <w:color w:val="000000" w:themeColor="text1"/>
                <w:sz w:val="28"/>
                <w:szCs w:val="28"/>
              </w:rPr>
            </w:pPr>
            <w:r w:rsidRPr="000B2A94">
              <w:rPr>
                <w:rFonts w:hAnsi="標楷體"/>
                <w:color w:val="000000" w:themeColor="text1"/>
                <w:sz w:val="28"/>
                <w:szCs w:val="28"/>
              </w:rPr>
              <w:t>高危險精神病患或人格異常者，保護管束難以阻止其再犯，故不宜免除其監護處分而改以保護管束代之。法務部應對於免除繼續執行監護處分之要件，訂定更詳細之認定標準，並要求聲請免除前應作再犯危險評估，明定高再犯危險者不得聲請免除繼續執行監護處分。</w:t>
            </w:r>
          </w:p>
        </w:tc>
      </w:tr>
      <w:tr w:rsidR="00F956E8" w:rsidRPr="000B2A94" w:rsidTr="00F956E8">
        <w:tc>
          <w:tcPr>
            <w:tcW w:w="534" w:type="dxa"/>
            <w:noWrap/>
            <w:hideMark/>
          </w:tcPr>
          <w:p w:rsidR="00F956E8" w:rsidRPr="000B2A94" w:rsidRDefault="00F956E8" w:rsidP="00F956E8">
            <w:pPr>
              <w:rPr>
                <w:color w:val="000000" w:themeColor="text1"/>
                <w:sz w:val="28"/>
                <w:szCs w:val="28"/>
              </w:rPr>
            </w:pPr>
            <w:r w:rsidRPr="000B2A94">
              <w:rPr>
                <w:color w:val="000000" w:themeColor="text1"/>
                <w:sz w:val="28"/>
                <w:szCs w:val="28"/>
              </w:rPr>
              <w:lastRenderedPageBreak/>
              <w:t>28</w:t>
            </w:r>
          </w:p>
        </w:tc>
        <w:tc>
          <w:tcPr>
            <w:tcW w:w="2126" w:type="dxa"/>
            <w:noWrap/>
            <w:hideMark/>
          </w:tcPr>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093內調0169：</w:t>
            </w:r>
          </w:p>
          <w:p w:rsidR="00F956E8" w:rsidRPr="000B2A94" w:rsidRDefault="00F956E8" w:rsidP="00F956E8">
            <w:pPr>
              <w:ind w:rightChars="-30" w:right="-102"/>
              <w:rPr>
                <w:rFonts w:hAnsi="標楷體"/>
                <w:color w:val="000000" w:themeColor="text1"/>
                <w:sz w:val="28"/>
                <w:szCs w:val="28"/>
              </w:rPr>
            </w:pPr>
            <w:r w:rsidRPr="000B2A94">
              <w:rPr>
                <w:rFonts w:hAnsi="標楷體"/>
                <w:color w:val="000000" w:themeColor="text1"/>
                <w:sz w:val="28"/>
                <w:szCs w:val="28"/>
              </w:rPr>
              <w:t>火災調查係查明火災發生原因之重要途徑，亦是瞭解地區火災問題特性與研擬消防對策之必要步驟，藉由調查所完成之鑑定報告不僅提供司法機關作為判斷起火之原因，並為釐清民、刑事及相關行政責任之重要參據。惟近年來火災事故頻仍，消防機關之鑑定報告屢遭質疑，與勞工安全檢查機構之鑑定結果又常</w:t>
            </w:r>
            <w:r w:rsidRPr="000B2A94">
              <w:rPr>
                <w:rFonts w:hAnsi="標楷體"/>
                <w:color w:val="000000" w:themeColor="text1"/>
                <w:sz w:val="28"/>
                <w:szCs w:val="28"/>
              </w:rPr>
              <w:lastRenderedPageBreak/>
              <w:t>欠一致，為建立民眾對鑑定結果之公信力，加強保障民眾生命及財產之安全，對於現行火災調查制度、組織及人力、專業技術與裝備、運作與功能等相關事項，認有深入瞭解之必要乙案。</w:t>
            </w:r>
          </w:p>
        </w:tc>
        <w:tc>
          <w:tcPr>
            <w:tcW w:w="6400" w:type="dxa"/>
            <w:hideMark/>
          </w:tcPr>
          <w:p w:rsidR="008D3336" w:rsidRPr="000B2A94" w:rsidRDefault="00F956E8" w:rsidP="00196DD5">
            <w:pPr>
              <w:pStyle w:val="afa"/>
              <w:numPr>
                <w:ilvl w:val="0"/>
                <w:numId w:val="46"/>
              </w:numPr>
              <w:ind w:leftChars="0"/>
              <w:rPr>
                <w:rFonts w:hAnsi="標楷體"/>
                <w:color w:val="000000" w:themeColor="text1"/>
                <w:sz w:val="28"/>
                <w:szCs w:val="28"/>
              </w:rPr>
            </w:pPr>
            <w:r w:rsidRPr="000B2A94">
              <w:rPr>
                <w:rFonts w:hAnsi="標楷體"/>
                <w:color w:val="000000" w:themeColor="text1"/>
                <w:sz w:val="28"/>
                <w:szCs w:val="28"/>
              </w:rPr>
              <w:lastRenderedPageBreak/>
              <w:t>火災調查鑑定組織未臻健全、設備闕舊、閒置，品質難以提升。</w:t>
            </w:r>
          </w:p>
          <w:p w:rsidR="008D3336" w:rsidRPr="000B2A94" w:rsidRDefault="00F956E8" w:rsidP="00196DD5">
            <w:pPr>
              <w:pStyle w:val="afa"/>
              <w:numPr>
                <w:ilvl w:val="0"/>
                <w:numId w:val="46"/>
              </w:numPr>
              <w:ind w:leftChars="0"/>
              <w:rPr>
                <w:rFonts w:hAnsi="標楷體"/>
                <w:color w:val="000000" w:themeColor="text1"/>
                <w:sz w:val="28"/>
                <w:szCs w:val="28"/>
              </w:rPr>
            </w:pPr>
            <w:r w:rsidRPr="000B2A94">
              <w:rPr>
                <w:rFonts w:hAnsi="標楷體"/>
                <w:color w:val="000000" w:themeColor="text1"/>
                <w:sz w:val="28"/>
                <w:szCs w:val="28"/>
              </w:rPr>
              <w:t>火災調查鑑定制度及運作機制缺漏不全，弊病叢生。</w:t>
            </w:r>
          </w:p>
          <w:p w:rsidR="008D3336" w:rsidRPr="000B2A94" w:rsidRDefault="00F956E8" w:rsidP="00196DD5">
            <w:pPr>
              <w:pStyle w:val="afa"/>
              <w:numPr>
                <w:ilvl w:val="0"/>
                <w:numId w:val="46"/>
              </w:numPr>
              <w:ind w:leftChars="0"/>
              <w:rPr>
                <w:rFonts w:hAnsi="標楷體"/>
                <w:color w:val="000000" w:themeColor="text1"/>
                <w:sz w:val="28"/>
                <w:szCs w:val="28"/>
              </w:rPr>
            </w:pPr>
            <w:r w:rsidRPr="000B2A94">
              <w:rPr>
                <w:rFonts w:hAnsi="標楷體"/>
                <w:color w:val="000000" w:themeColor="text1"/>
                <w:sz w:val="28"/>
                <w:szCs w:val="28"/>
              </w:rPr>
              <w:t>火災原因調查結果正確性堪慮，公信力不足，屢遭詬病。</w:t>
            </w:r>
          </w:p>
          <w:p w:rsidR="008D3336" w:rsidRPr="000B2A94" w:rsidRDefault="00F956E8" w:rsidP="00196DD5">
            <w:pPr>
              <w:pStyle w:val="afa"/>
              <w:numPr>
                <w:ilvl w:val="0"/>
                <w:numId w:val="46"/>
              </w:numPr>
              <w:ind w:leftChars="0"/>
              <w:rPr>
                <w:rFonts w:hAnsi="標楷體"/>
                <w:color w:val="000000" w:themeColor="text1"/>
                <w:sz w:val="28"/>
                <w:szCs w:val="28"/>
              </w:rPr>
            </w:pPr>
            <w:r w:rsidRPr="000B2A94">
              <w:rPr>
                <w:rFonts w:hAnsi="標楷體"/>
                <w:color w:val="000000" w:themeColor="text1"/>
                <w:sz w:val="28"/>
                <w:szCs w:val="28"/>
              </w:rPr>
              <w:t>消防署針對火災調查業務相關統計數據未臻確實，對於其警訊亦乏警覺。</w:t>
            </w:r>
          </w:p>
          <w:p w:rsidR="00F956E8" w:rsidRPr="000B2A94" w:rsidRDefault="00F956E8" w:rsidP="00196DD5">
            <w:pPr>
              <w:pStyle w:val="afa"/>
              <w:numPr>
                <w:ilvl w:val="0"/>
                <w:numId w:val="46"/>
              </w:numPr>
              <w:ind w:leftChars="0"/>
              <w:rPr>
                <w:rFonts w:hAnsi="標楷體"/>
                <w:color w:val="000000" w:themeColor="text1"/>
                <w:sz w:val="28"/>
                <w:szCs w:val="28"/>
              </w:rPr>
            </w:pPr>
            <w:r w:rsidRPr="000B2A94">
              <w:rPr>
                <w:rFonts w:hAnsi="標楷體"/>
                <w:color w:val="000000" w:themeColor="text1"/>
                <w:sz w:val="28"/>
                <w:szCs w:val="28"/>
              </w:rPr>
              <w:t>內政部宜督促消防署就火災調查鑑定相關專家學者、研究文獻所提建議及興革意見，妥為研議檢討，以完備火災調查鑑定制度，精進提升火災調查鑑定之品質。</w:t>
            </w:r>
          </w:p>
        </w:tc>
      </w:tr>
    </w:tbl>
    <w:p w:rsidR="00F956E8" w:rsidRPr="000B2A94" w:rsidRDefault="00F956E8" w:rsidP="00F956E8">
      <w:pPr>
        <w:rPr>
          <w:color w:val="000000" w:themeColor="text1"/>
        </w:rPr>
      </w:pP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264" w:name="_Toc27399875"/>
      <w:r w:rsidRPr="000B2A94">
        <w:rPr>
          <w:rFonts w:ascii="Times New Roman" w:hAnsi="Times New Roman"/>
          <w:color w:val="000000" w:themeColor="text1"/>
        </w:rPr>
        <w:t>調查報告－有關測謊部分</w:t>
      </w:r>
      <w:bookmarkEnd w:id="264"/>
    </w:p>
    <w:tbl>
      <w:tblPr>
        <w:tblStyle w:val="af9"/>
        <w:tblW w:w="9060" w:type="dxa"/>
        <w:tblLook w:val="04A0" w:firstRow="1" w:lastRow="0" w:firstColumn="1" w:lastColumn="0" w:noHBand="0" w:noVBand="1"/>
      </w:tblPr>
      <w:tblGrid>
        <w:gridCol w:w="565"/>
        <w:gridCol w:w="1528"/>
        <w:gridCol w:w="6967"/>
      </w:tblGrid>
      <w:tr w:rsidR="000B2A94" w:rsidRPr="000B2A94" w:rsidTr="00F956E8">
        <w:tc>
          <w:tcPr>
            <w:tcW w:w="565" w:type="dxa"/>
            <w:noWrap/>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編號</w:t>
            </w:r>
          </w:p>
        </w:tc>
        <w:tc>
          <w:tcPr>
            <w:tcW w:w="1528" w:type="dxa"/>
            <w:noWrap/>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案由</w:t>
            </w:r>
          </w:p>
        </w:tc>
        <w:tc>
          <w:tcPr>
            <w:tcW w:w="6967" w:type="dxa"/>
            <w:noWrap/>
            <w:vAlign w:val="center"/>
            <w:hideMark/>
          </w:tcPr>
          <w:p w:rsidR="00F956E8" w:rsidRPr="000B2A94" w:rsidRDefault="00F956E8" w:rsidP="00F956E8">
            <w:pPr>
              <w:jc w:val="center"/>
              <w:rPr>
                <w:rFonts w:hAnsi="標楷體"/>
                <w:color w:val="000000" w:themeColor="text1"/>
                <w:sz w:val="28"/>
                <w:szCs w:val="28"/>
              </w:rPr>
            </w:pPr>
            <w:r w:rsidRPr="000B2A94">
              <w:rPr>
                <w:rFonts w:hAnsi="標楷體"/>
                <w:color w:val="000000" w:themeColor="text1"/>
                <w:sz w:val="28"/>
                <w:szCs w:val="28"/>
              </w:rPr>
              <w:t>調查意見</w:t>
            </w:r>
          </w:p>
        </w:tc>
      </w:tr>
      <w:tr w:rsidR="000B2A94" w:rsidRPr="000B2A94" w:rsidTr="00F956E8">
        <w:tc>
          <w:tcPr>
            <w:tcW w:w="565" w:type="dxa"/>
            <w:noWrap/>
            <w:hideMark/>
          </w:tcPr>
          <w:p w:rsidR="00F956E8" w:rsidRPr="000B2A94" w:rsidRDefault="00F956E8" w:rsidP="00F956E8">
            <w:pPr>
              <w:rPr>
                <w:color w:val="000000" w:themeColor="text1"/>
                <w:sz w:val="28"/>
                <w:szCs w:val="28"/>
              </w:rPr>
            </w:pPr>
            <w:r w:rsidRPr="000B2A94">
              <w:rPr>
                <w:color w:val="000000" w:themeColor="text1"/>
                <w:sz w:val="28"/>
                <w:szCs w:val="28"/>
              </w:rPr>
              <w:t>1</w:t>
            </w:r>
          </w:p>
        </w:tc>
        <w:tc>
          <w:tcPr>
            <w:tcW w:w="1528" w:type="dxa"/>
            <w:noWrap/>
            <w:hideMark/>
          </w:tcPr>
          <w:p w:rsidR="00F956E8" w:rsidRPr="000B2A94" w:rsidRDefault="00F956E8" w:rsidP="00F956E8">
            <w:pPr>
              <w:rPr>
                <w:color w:val="000000" w:themeColor="text1"/>
                <w:sz w:val="28"/>
                <w:szCs w:val="28"/>
              </w:rPr>
            </w:pPr>
            <w:r w:rsidRPr="000B2A94">
              <w:rPr>
                <w:color w:val="000000" w:themeColor="text1"/>
                <w:sz w:val="28"/>
                <w:szCs w:val="28"/>
              </w:rPr>
              <w:t>107司調0039：</w:t>
            </w:r>
          </w:p>
          <w:p w:rsidR="00F956E8" w:rsidRPr="000B2A94" w:rsidRDefault="00F956E8" w:rsidP="00F956E8">
            <w:pPr>
              <w:rPr>
                <w:color w:val="000000" w:themeColor="text1"/>
                <w:sz w:val="28"/>
                <w:szCs w:val="28"/>
              </w:rPr>
            </w:pPr>
            <w:r w:rsidRPr="000B2A94">
              <w:rPr>
                <w:color w:val="000000" w:themeColor="text1"/>
                <w:sz w:val="28"/>
                <w:szCs w:val="28"/>
              </w:rPr>
              <w:t>據訴，臺灣臺南地方檢察署檢察官在無其他積極證據佐證下，僅因其接受警方測謊未通過，即以其涉犯殺人罪嫌，草率起訴；臺灣高等法院臺南分院94年度重上更</w:t>
            </w:r>
            <w:r w:rsidRPr="000B2A94">
              <w:rPr>
                <w:color w:val="000000" w:themeColor="text1"/>
                <w:sz w:val="28"/>
                <w:szCs w:val="28"/>
              </w:rPr>
              <w:lastRenderedPageBreak/>
              <w:t>(六)字第60號判決亦據該測謊鑑定結果，濫用自由心證，認定其觸犯殺人罪，判處其無期徒刑確定，判決顯然違背法令等情案。</w:t>
            </w:r>
          </w:p>
        </w:tc>
        <w:tc>
          <w:tcPr>
            <w:tcW w:w="6967" w:type="dxa"/>
            <w:hideMark/>
          </w:tcPr>
          <w:p w:rsidR="008D3336" w:rsidRPr="000B2A94" w:rsidRDefault="00F956E8" w:rsidP="00196DD5">
            <w:pPr>
              <w:pStyle w:val="afa"/>
              <w:numPr>
                <w:ilvl w:val="0"/>
                <w:numId w:val="47"/>
              </w:numPr>
              <w:ind w:leftChars="0"/>
              <w:rPr>
                <w:rFonts w:hAnsi="標楷體"/>
                <w:color w:val="000000" w:themeColor="text1"/>
                <w:sz w:val="28"/>
                <w:szCs w:val="28"/>
              </w:rPr>
            </w:pPr>
            <w:r w:rsidRPr="000B2A94">
              <w:rPr>
                <w:rFonts w:hAnsi="標楷體"/>
                <w:color w:val="000000" w:themeColor="text1"/>
                <w:sz w:val="28"/>
                <w:szCs w:val="28"/>
              </w:rPr>
              <w:lastRenderedPageBreak/>
              <w:t>有關臺南高分院94年8月18日94年度重上更(六)字第60號被告李春生殺人案確定判決，臺南縣警察局永康分局員警接獲李春生報案，於85年2月11日晚間10時許在命案現場之屋後巷子找到躲在水溝旁之</w:t>
            </w:r>
            <w:r w:rsidR="008D3336" w:rsidRPr="000B2A94">
              <w:rPr>
                <w:rFonts w:hAnsi="標楷體"/>
                <w:color w:val="000000" w:themeColor="text1"/>
                <w:sz w:val="28"/>
                <w:szCs w:val="28"/>
              </w:rPr>
              <w:t>黃○森</w:t>
            </w:r>
            <w:r w:rsidRPr="000B2A94">
              <w:rPr>
                <w:rFonts w:hAnsi="標楷體"/>
                <w:color w:val="000000" w:themeColor="text1"/>
                <w:sz w:val="28"/>
                <w:szCs w:val="28"/>
              </w:rPr>
              <w:t>，其躲藏處地上樹葉斑斑血跡。檢察官先以殺人罪嫌羈押</w:t>
            </w:r>
            <w:r w:rsidR="008D3336" w:rsidRPr="000B2A94">
              <w:rPr>
                <w:rFonts w:hAnsi="標楷體"/>
                <w:color w:val="000000" w:themeColor="text1"/>
                <w:sz w:val="28"/>
                <w:szCs w:val="28"/>
              </w:rPr>
              <w:t>黃○森</w:t>
            </w:r>
            <w:r w:rsidRPr="000B2A94">
              <w:rPr>
                <w:rFonts w:hAnsi="標楷體"/>
                <w:color w:val="000000" w:themeColor="text1"/>
                <w:sz w:val="28"/>
                <w:szCs w:val="28"/>
              </w:rPr>
              <w:t>後，嗣因傳喚未居住戶籍地之李春生未到，即具保釋放</w:t>
            </w:r>
            <w:r w:rsidR="008D3336" w:rsidRPr="000B2A94">
              <w:rPr>
                <w:rFonts w:hAnsi="標楷體"/>
                <w:color w:val="000000" w:themeColor="text1"/>
                <w:sz w:val="28"/>
                <w:szCs w:val="28"/>
              </w:rPr>
              <w:t>黃○森</w:t>
            </w:r>
            <w:r w:rsidRPr="000B2A94">
              <w:rPr>
                <w:rFonts w:hAnsi="標楷體"/>
                <w:color w:val="000000" w:themeColor="text1"/>
                <w:sz w:val="28"/>
                <w:szCs w:val="28"/>
              </w:rPr>
              <w:t>，改命拘提李春生到案並羈押之。復因檢察官命警方採驗兇刀查無指紋等殺人罪證，無法認定李春生及</w:t>
            </w:r>
            <w:r w:rsidR="008D3336" w:rsidRPr="000B2A94">
              <w:rPr>
                <w:rFonts w:hAnsi="標楷體"/>
                <w:color w:val="000000" w:themeColor="text1"/>
                <w:sz w:val="28"/>
                <w:szCs w:val="28"/>
              </w:rPr>
              <w:t>黃○森</w:t>
            </w:r>
            <w:r w:rsidRPr="000B2A94">
              <w:rPr>
                <w:rFonts w:hAnsi="標楷體"/>
                <w:color w:val="000000" w:themeColor="text1"/>
                <w:sz w:val="28"/>
                <w:szCs w:val="28"/>
              </w:rPr>
              <w:t>2人中究係何人為兇嫌，即依刑事訴訟法第208條規定囑託警察機關派員對該2人測謊鑑定，並以李春生測謊未通過而</w:t>
            </w:r>
            <w:r w:rsidR="008D3336" w:rsidRPr="000B2A94">
              <w:rPr>
                <w:rFonts w:hAnsi="標楷體"/>
                <w:color w:val="000000" w:themeColor="text1"/>
                <w:sz w:val="28"/>
                <w:szCs w:val="28"/>
              </w:rPr>
              <w:t>黃○森</w:t>
            </w:r>
            <w:r w:rsidRPr="000B2A94">
              <w:rPr>
                <w:rFonts w:hAnsi="標楷體"/>
                <w:color w:val="000000" w:themeColor="text1"/>
                <w:sz w:val="28"/>
                <w:szCs w:val="28"/>
              </w:rPr>
              <w:t>測謊通過之鑑定結果，佐以原被警方及檢察官認定為殺人兇嫌之敵對性證人</w:t>
            </w:r>
            <w:r w:rsidR="008D3336" w:rsidRPr="000B2A94">
              <w:rPr>
                <w:rFonts w:hAnsi="標楷體"/>
                <w:color w:val="000000" w:themeColor="text1"/>
                <w:sz w:val="28"/>
                <w:szCs w:val="28"/>
              </w:rPr>
              <w:t>黃○森</w:t>
            </w:r>
            <w:r w:rsidRPr="000B2A94">
              <w:rPr>
                <w:rFonts w:hAnsi="標楷體"/>
                <w:color w:val="000000" w:themeColor="text1"/>
                <w:sz w:val="28"/>
                <w:szCs w:val="28"/>
              </w:rPr>
              <w:t>之證述，認定李春生應為刺殺張正雄之兇嫌。檢察官既未將</w:t>
            </w:r>
            <w:r w:rsidR="008D3336" w:rsidRPr="000B2A94">
              <w:rPr>
                <w:rFonts w:hAnsi="標楷體"/>
                <w:color w:val="000000" w:themeColor="text1"/>
                <w:sz w:val="28"/>
                <w:szCs w:val="28"/>
              </w:rPr>
              <w:t>黃○森</w:t>
            </w:r>
            <w:r w:rsidRPr="000B2A94">
              <w:rPr>
                <w:rFonts w:hAnsi="標楷體"/>
                <w:color w:val="000000" w:themeColor="text1"/>
                <w:sz w:val="28"/>
                <w:szCs w:val="28"/>
              </w:rPr>
              <w:t>藏身處地上樹葉之斑斑血跡送鑑定，亦未檢視本件測謊鑑定程序資料是否正確等相關證據資料，即以李春生殺人罪嫌，提起公訴，顯未善盡偵查主體職責，屬司法實務為人詬病的「查無證據借助測謊」</w:t>
            </w:r>
            <w:r w:rsidRPr="000B2A94">
              <w:rPr>
                <w:rFonts w:hAnsi="標楷體"/>
                <w:color w:val="000000" w:themeColor="text1"/>
                <w:sz w:val="28"/>
                <w:szCs w:val="28"/>
              </w:rPr>
              <w:lastRenderedPageBreak/>
              <w:t>的典型案例。</w:t>
            </w:r>
          </w:p>
          <w:p w:rsidR="008D3336" w:rsidRPr="000B2A94" w:rsidRDefault="00F956E8" w:rsidP="00196DD5">
            <w:pPr>
              <w:pStyle w:val="afa"/>
              <w:numPr>
                <w:ilvl w:val="0"/>
                <w:numId w:val="47"/>
              </w:numPr>
              <w:ind w:leftChars="0"/>
              <w:rPr>
                <w:rFonts w:hAnsi="標楷體"/>
                <w:color w:val="000000" w:themeColor="text1"/>
                <w:sz w:val="28"/>
                <w:szCs w:val="28"/>
              </w:rPr>
            </w:pPr>
            <w:r w:rsidRPr="000B2A94">
              <w:rPr>
                <w:rFonts w:hAnsi="標楷體"/>
                <w:color w:val="000000" w:themeColor="text1"/>
                <w:sz w:val="28"/>
                <w:szCs w:val="28"/>
              </w:rPr>
              <w:t>臺南高分院94年8月18日94年度重上更(六)字第60號李春生殺人案有罪確定判決及歷次事實審法院有罪判決主要理由均依循檢察官對李春生提起公訴之論據，以原被警方及檢察官認定為逃離命案現場之殺人兇嫌並予羈押之</w:t>
            </w:r>
            <w:r w:rsidR="008D3336" w:rsidRPr="000B2A94">
              <w:rPr>
                <w:rFonts w:hAnsi="標楷體"/>
                <w:color w:val="000000" w:themeColor="text1"/>
                <w:sz w:val="28"/>
                <w:szCs w:val="28"/>
              </w:rPr>
              <w:t>黃○森</w:t>
            </w:r>
            <w:r w:rsidRPr="000B2A94">
              <w:rPr>
                <w:rFonts w:hAnsi="標楷體"/>
                <w:color w:val="000000" w:themeColor="text1"/>
                <w:sz w:val="28"/>
                <w:szCs w:val="28"/>
              </w:rPr>
              <w:t>「迭次於警偵審訊中一再指證」李春生刺殺張正雄，佐以李春生測謊未通過及</w:t>
            </w:r>
            <w:r w:rsidR="008D3336" w:rsidRPr="000B2A94">
              <w:rPr>
                <w:rFonts w:hAnsi="標楷體"/>
                <w:color w:val="000000" w:themeColor="text1"/>
                <w:sz w:val="28"/>
                <w:szCs w:val="28"/>
              </w:rPr>
              <w:t>黃○森</w:t>
            </w:r>
            <w:r w:rsidRPr="000B2A94">
              <w:rPr>
                <w:rFonts w:hAnsi="標楷體"/>
                <w:color w:val="000000" w:themeColor="text1"/>
                <w:sz w:val="28"/>
                <w:szCs w:val="28"/>
              </w:rPr>
              <w:t>測謊通過之鑑定報告結論，及據命案現場3人座位所處方位推論所得，作為認定被告李春生持水果刀刺殺張正雄之證據及理由。惟本案確定判決及歷審有罪判決俱未調查臺南地檢署檢察官84年度偵字第6092號不起訴處分書，逕以</w:t>
            </w:r>
            <w:r w:rsidR="008D3336" w:rsidRPr="000B2A94">
              <w:rPr>
                <w:rFonts w:hAnsi="標楷體"/>
                <w:color w:val="000000" w:themeColor="text1"/>
                <w:sz w:val="28"/>
                <w:szCs w:val="28"/>
              </w:rPr>
              <w:t>黃○森</w:t>
            </w:r>
            <w:r w:rsidRPr="000B2A94">
              <w:rPr>
                <w:rFonts w:hAnsi="標楷體"/>
                <w:color w:val="000000" w:themeColor="text1"/>
                <w:sz w:val="28"/>
                <w:szCs w:val="28"/>
              </w:rPr>
              <w:t>之證述認定被告李春生殺人動機；且就命案現場3人座位所處方位之推論，法醫師亦迭次向法院說明：「行兇之人位置無論是坐在張正雄左方之陳訴人或前方之</w:t>
            </w:r>
            <w:r w:rsidR="008D3336" w:rsidRPr="000B2A94">
              <w:rPr>
                <w:rFonts w:hAnsi="標楷體"/>
                <w:color w:val="000000" w:themeColor="text1"/>
                <w:sz w:val="28"/>
                <w:szCs w:val="28"/>
              </w:rPr>
              <w:t>黃○森</w:t>
            </w:r>
            <w:r w:rsidRPr="000B2A94">
              <w:rPr>
                <w:rFonts w:hAnsi="標楷體"/>
                <w:color w:val="000000" w:themeColor="text1"/>
                <w:sz w:val="28"/>
                <w:szCs w:val="28"/>
              </w:rPr>
              <w:t>，均有可能。」而作為本案被告李春生之敵對性證人</w:t>
            </w:r>
            <w:r w:rsidR="008D3336" w:rsidRPr="000B2A94">
              <w:rPr>
                <w:rFonts w:hAnsi="標楷體"/>
                <w:color w:val="000000" w:themeColor="text1"/>
                <w:sz w:val="28"/>
                <w:szCs w:val="28"/>
              </w:rPr>
              <w:t>黃○森</w:t>
            </w:r>
            <w:r w:rsidRPr="000B2A94">
              <w:rPr>
                <w:rFonts w:hAnsi="標楷體"/>
                <w:color w:val="000000" w:themeColor="text1"/>
                <w:sz w:val="28"/>
                <w:szCs w:val="28"/>
              </w:rPr>
              <w:t>於偵審中對案發經過之證述內容更是前後不一及矛盾錯誤，縱佐以疑點重重之警方測謊鑑定報告或其他間接事證推論之，仍難謂已達歷年司法實務所採，認定犯罪事實所憑之證據須令通常一般之人均不致有所懷疑之程度。故本案臺南高分院87年度上更(二)字第61號更二審判決即認定命案現場之主要嫌犯</w:t>
            </w:r>
            <w:r w:rsidR="008D3336" w:rsidRPr="000B2A94">
              <w:rPr>
                <w:rFonts w:hAnsi="標楷體"/>
                <w:color w:val="000000" w:themeColor="text1"/>
                <w:sz w:val="28"/>
                <w:szCs w:val="28"/>
              </w:rPr>
              <w:t>黃○森</w:t>
            </w:r>
            <w:r w:rsidRPr="000B2A94">
              <w:rPr>
                <w:rFonts w:hAnsi="標楷體"/>
                <w:color w:val="000000" w:themeColor="text1"/>
                <w:sz w:val="28"/>
                <w:szCs w:val="28"/>
              </w:rPr>
              <w:t>指證有前後不一之矛盾：「顯見情虛」且影響測謊鑑定結果之因素甚多，故不得僅以李春生測謊未通過之鑑定報告作為認定李春生殺人之唯一證據，爰為李春生無罪判決，尚非無由。本案確定判決顯有刑事訴訟法第379條第10款：「依本法應於審判期日調查之證據而未予調查」及第14款：「判決不載理由或所載理由矛盾」判決當然違背法令之情形，並已違反刑事訴訟法第154條等規定並具普世人權價值之無罪推定原則</w:t>
            </w:r>
            <w:r w:rsidRPr="000B2A94">
              <w:rPr>
                <w:rFonts w:hAnsi="標楷體"/>
                <w:color w:val="000000" w:themeColor="text1"/>
                <w:kern w:val="0"/>
                <w:sz w:val="28"/>
                <w:szCs w:val="28"/>
              </w:rPr>
              <w:t>。</w:t>
            </w:r>
          </w:p>
          <w:p w:rsidR="00F956E8" w:rsidRPr="000B2A94" w:rsidRDefault="00F956E8" w:rsidP="00196DD5">
            <w:pPr>
              <w:pStyle w:val="afa"/>
              <w:numPr>
                <w:ilvl w:val="0"/>
                <w:numId w:val="47"/>
              </w:numPr>
              <w:ind w:leftChars="0"/>
              <w:rPr>
                <w:rFonts w:hAnsi="標楷體"/>
                <w:color w:val="000000" w:themeColor="text1"/>
                <w:sz w:val="28"/>
                <w:szCs w:val="28"/>
              </w:rPr>
            </w:pPr>
            <w:r w:rsidRPr="000B2A94">
              <w:rPr>
                <w:rFonts w:hAnsi="標楷體"/>
                <w:color w:val="000000" w:themeColor="text1"/>
                <w:sz w:val="28"/>
                <w:szCs w:val="28"/>
              </w:rPr>
              <w:t>本案臺灣臺南地方法院及臺南高分院先後將案發後</w:t>
            </w:r>
            <w:r w:rsidR="008D3336" w:rsidRPr="000B2A94">
              <w:rPr>
                <w:rFonts w:hAnsi="標楷體"/>
                <w:color w:val="000000" w:themeColor="text1"/>
                <w:sz w:val="28"/>
                <w:szCs w:val="28"/>
              </w:rPr>
              <w:t>黃○森</w:t>
            </w:r>
            <w:r w:rsidRPr="000B2A94">
              <w:rPr>
                <w:rFonts w:hAnsi="標楷體"/>
                <w:color w:val="000000" w:themeColor="text1"/>
                <w:sz w:val="28"/>
                <w:szCs w:val="28"/>
              </w:rPr>
              <w:t>藏身處地上樹葉上人血送內政部警政署刑事警察局及法務部調查局檢驗結果分</w:t>
            </w:r>
            <w:r w:rsidRPr="000B2A94">
              <w:rPr>
                <w:rFonts w:hAnsi="標楷體"/>
                <w:color w:val="000000" w:themeColor="text1"/>
                <w:sz w:val="28"/>
                <w:szCs w:val="28"/>
              </w:rPr>
              <w:lastRenderedPageBreak/>
              <w:t>歧，刑事警察局檢驗結果為B型，惟調查局檢驗結果為O型，調查局並稱：「因腐敗，無法鑑驗出其DNA型別。」致遭被告李春生於臺南高分院庭訊時，質疑本案檢察官起訴所據且為歷審有罪判決採認為其有罪證據之測謊鑑定結果之準確性亦有疑問，相關司法警察機關檢驗鑑定機制，顯有重大瑕疵。又本案臺南高分院94年度重上更(六)字第60號確定判決理由有關李春生持水果刀刺殺張正雄之犯罪事實所憑之證據，經本院函請內政部警政署及其所屬警察機關、法務部矯正署臺南看守所等機關提供李春生於85年2月11日夜間案發後之報案紀錄與員警工作紀錄、命案現場樹葉上血跡與法院抽取李春生及</w:t>
            </w:r>
            <w:r w:rsidR="008D3336" w:rsidRPr="000B2A94">
              <w:rPr>
                <w:rFonts w:hAnsi="標楷體"/>
                <w:color w:val="000000" w:themeColor="text1"/>
                <w:sz w:val="28"/>
                <w:szCs w:val="28"/>
              </w:rPr>
              <w:t>黃○森</w:t>
            </w:r>
            <w:r w:rsidRPr="000B2A94">
              <w:rPr>
                <w:rFonts w:hAnsi="標楷體"/>
                <w:color w:val="000000" w:themeColor="text1"/>
                <w:sz w:val="28"/>
                <w:szCs w:val="28"/>
              </w:rPr>
              <w:t>之血液檢體、85年2月間</w:t>
            </w:r>
            <w:r w:rsidR="008D3336" w:rsidRPr="000B2A94">
              <w:rPr>
                <w:rFonts w:hAnsi="標楷體"/>
                <w:color w:val="000000" w:themeColor="text1"/>
                <w:sz w:val="28"/>
                <w:szCs w:val="28"/>
              </w:rPr>
              <w:t>黃○森</w:t>
            </w:r>
            <w:r w:rsidRPr="000B2A94">
              <w:rPr>
                <w:rFonts w:hAnsi="標楷體"/>
                <w:color w:val="000000" w:themeColor="text1"/>
                <w:sz w:val="28"/>
                <w:szCs w:val="28"/>
              </w:rPr>
              <w:t>羈押於臺南看守所之身體檢查（生理狀況）調查表及相關病歷資料等卷證資料，均復稱已銷毀或佚失；其中被認定為本案關鍵證據之李春生及</w:t>
            </w:r>
            <w:r w:rsidR="008D3336" w:rsidRPr="000B2A94">
              <w:rPr>
                <w:rFonts w:hAnsi="標楷體"/>
                <w:color w:val="000000" w:themeColor="text1"/>
                <w:sz w:val="28"/>
                <w:szCs w:val="28"/>
              </w:rPr>
              <w:t>黃○森</w:t>
            </w:r>
            <w:r w:rsidRPr="000B2A94">
              <w:rPr>
                <w:rFonts w:hAnsi="標楷體"/>
                <w:color w:val="000000" w:themeColor="text1"/>
                <w:sz w:val="28"/>
                <w:szCs w:val="28"/>
              </w:rPr>
              <w:t>測謊鑑定資料竟係由施測之警察人員自行保管且僅剩測謊圖譜，其他諸如判斷測謊圖譜之質問題目及錄影（音）帶均稱已遺失無存，致本案無從再檢視可能對被告李春生有利之各項事證。相關機關對刑事案件證據之保管機制，顯有闕失。行政院允宜依據106年司法改革國是會議決議，儘速會同司法院建立完善之證物保管制度。</w:t>
            </w:r>
          </w:p>
        </w:tc>
      </w:tr>
      <w:tr w:rsidR="000B2A94" w:rsidRPr="000B2A94" w:rsidTr="00F956E8">
        <w:tc>
          <w:tcPr>
            <w:tcW w:w="565" w:type="dxa"/>
            <w:noWrap/>
            <w:hideMark/>
          </w:tcPr>
          <w:p w:rsidR="00F956E8" w:rsidRPr="000B2A94" w:rsidRDefault="00F956E8" w:rsidP="00F956E8">
            <w:pPr>
              <w:rPr>
                <w:color w:val="000000" w:themeColor="text1"/>
                <w:sz w:val="28"/>
                <w:szCs w:val="28"/>
              </w:rPr>
            </w:pPr>
            <w:r w:rsidRPr="000B2A94">
              <w:rPr>
                <w:color w:val="000000" w:themeColor="text1"/>
                <w:sz w:val="28"/>
                <w:szCs w:val="28"/>
              </w:rPr>
              <w:lastRenderedPageBreak/>
              <w:t>2</w:t>
            </w:r>
          </w:p>
        </w:tc>
        <w:tc>
          <w:tcPr>
            <w:tcW w:w="1528" w:type="dxa"/>
            <w:hideMark/>
          </w:tcPr>
          <w:p w:rsidR="00F956E8" w:rsidRPr="000B2A94" w:rsidRDefault="00F956E8" w:rsidP="00F956E8">
            <w:pPr>
              <w:rPr>
                <w:color w:val="000000" w:themeColor="text1"/>
                <w:sz w:val="28"/>
                <w:szCs w:val="28"/>
              </w:rPr>
            </w:pPr>
            <w:r w:rsidRPr="000B2A94">
              <w:rPr>
                <w:color w:val="000000" w:themeColor="text1"/>
                <w:sz w:val="28"/>
                <w:szCs w:val="28"/>
              </w:rPr>
              <w:t>106司調0037：</w:t>
            </w:r>
          </w:p>
          <w:p w:rsidR="00F956E8" w:rsidRPr="000B2A94" w:rsidRDefault="00F956E8" w:rsidP="00F956E8">
            <w:pPr>
              <w:rPr>
                <w:color w:val="000000" w:themeColor="text1"/>
                <w:sz w:val="28"/>
                <w:szCs w:val="28"/>
              </w:rPr>
            </w:pPr>
            <w:r w:rsidRPr="000B2A94">
              <w:rPr>
                <w:color w:val="000000" w:themeColor="text1"/>
                <w:sz w:val="28"/>
                <w:szCs w:val="28"/>
              </w:rPr>
              <w:t>前高雄縣橋頭鄉鄉長李清福涉嫌經辦公用工程，收取回扣，經臺灣高等法院高雄分院103</w:t>
            </w:r>
            <w:r w:rsidRPr="000B2A94">
              <w:rPr>
                <w:color w:val="000000" w:themeColor="text1"/>
                <w:sz w:val="28"/>
                <w:szCs w:val="28"/>
              </w:rPr>
              <w:lastRenderedPageBreak/>
              <w:t>年度重上更（三）字第3號判決有罪確定。本案經檢察官囑託法務部調查局對被告進行測謊鑑定，雖經法院認定測謊鑑定報告具有證據能力，並作為判決被告有罪之基礎，惟其測謊鑑定是否符合程式要件、有無程序及判讀結果之瑕疵及違反證據法則等情案。</w:t>
            </w:r>
          </w:p>
        </w:tc>
        <w:tc>
          <w:tcPr>
            <w:tcW w:w="6967" w:type="dxa"/>
            <w:hideMark/>
          </w:tcPr>
          <w:p w:rsidR="008D3336" w:rsidRPr="000B2A94" w:rsidRDefault="00F956E8" w:rsidP="00196DD5">
            <w:pPr>
              <w:pStyle w:val="afa"/>
              <w:numPr>
                <w:ilvl w:val="0"/>
                <w:numId w:val="48"/>
              </w:numPr>
              <w:ind w:leftChars="0"/>
              <w:rPr>
                <w:rFonts w:hAnsi="標楷體"/>
                <w:color w:val="000000" w:themeColor="text1"/>
                <w:sz w:val="28"/>
                <w:szCs w:val="28"/>
              </w:rPr>
            </w:pPr>
            <w:r w:rsidRPr="000B2A94">
              <w:rPr>
                <w:rFonts w:hAnsi="標楷體"/>
                <w:color w:val="000000" w:themeColor="text1"/>
                <w:sz w:val="28"/>
                <w:szCs w:val="28"/>
              </w:rPr>
              <w:lastRenderedPageBreak/>
              <w:t>現行刑事訴訟實務，測謊鑑定係由法官或檢察官依據刑事訴訟法第208條第1項規定，囑託法務部調查局或警政署刑事警察局等機關為之，並於形式上符合測謊基本要件者，即賦予證據能力，得採為認定犯罪事實之依據，惟不得採為有罪判決之唯一證據。本案臺灣高等法院高雄分院103年度重上更(三)字第3號確定判決等歷審判決理由認定，經檢察官囑託法務部調查局測謊鑑定結果，被告李清福及張輝明有關收受廠商回扣問題呈情緒波動之反應，研判應係說謊，爰據以佐證被告李清福及張輝明確有收受廠商回扣之犯罪事實。惟遍查卷證資料，本</w:t>
            </w:r>
            <w:r w:rsidRPr="000B2A94">
              <w:rPr>
                <w:rFonts w:hAnsi="標楷體"/>
                <w:color w:val="000000" w:themeColor="text1"/>
                <w:sz w:val="28"/>
                <w:szCs w:val="28"/>
              </w:rPr>
              <w:lastRenderedPageBreak/>
              <w:t>件測謊鑑定僅有承辦本件貪瀆案件之法務部調查局高雄縣調查站函其局本部之公文載明本件依據檢察官指示進行測謊，並未發現檢察官囑託對被告李清福及張輝明測謊鑑定之公文或指揮書等囑託文件附卷，顯未符合刑事訴訟法第208條第1項規定由法官或檢察官囑託鑑定之要件。且本案於第一審審理時，係以證人身分傳喚法務部調查局施測人員李復國，並命其具結，混淆「證人」與「鑑定」係屬不同法定證據方法，法院調查證據程序亦非合法，該測謊鑑定結果應不具證據能力，確定判決復採為被告李清福及張輝明有罪判決之證據，採證違背證據法則，自屬訴訟程序違背法令而影響於判決，得為非常上訴之理由。</w:t>
            </w:r>
          </w:p>
          <w:p w:rsidR="008D3336" w:rsidRPr="000B2A94" w:rsidRDefault="00F956E8" w:rsidP="00196DD5">
            <w:pPr>
              <w:pStyle w:val="afa"/>
              <w:numPr>
                <w:ilvl w:val="0"/>
                <w:numId w:val="48"/>
              </w:numPr>
              <w:ind w:leftChars="0"/>
              <w:rPr>
                <w:rFonts w:hAnsi="標楷體"/>
                <w:color w:val="000000" w:themeColor="text1"/>
                <w:sz w:val="28"/>
                <w:szCs w:val="28"/>
              </w:rPr>
            </w:pPr>
            <w:r w:rsidRPr="000B2A94">
              <w:rPr>
                <w:rFonts w:hAnsi="標楷體"/>
                <w:color w:val="000000" w:themeColor="text1"/>
                <w:sz w:val="28"/>
                <w:szCs w:val="28"/>
              </w:rPr>
              <w:t>本案確定判決等歷審法院判決理由，對於測謊程序之論述，因第一審臺灣高雄地方法院判決理由漏載法務部調查局檢送之測謊鑑定書所載內容「說謊者在相關問題（R）之回答，因與行為記憶衝突，故膚電反應會有較無關問題（I）、控制問題（C）」，致確定判決理由援引該局測謊原理之文意未明，顯然誤解該局測謊鑑定判斷原理，即與未經調查無異；且測謊鑑定圖譜之判斷應就受測者對被質問之各項控制問題、無關問題及相關問題等回答時之呼吸、血壓脈搏及膚電等反應，於測謊圖譜上所顯示之曲線高低幅度之相互比較，綜合判斷之，尚非如法務部調查局測謊鑑定書所指，僅以受測者之膚電反應判斷其回答是否說謊。是本案確定判決對於法務部調查局檢送之測謊鑑定之調查結果未盡明瞭，應屬刑事訴訟法第379條第10款規定依本法應於審判期日調查之證據而未予調查之判決違背法令。</w:t>
            </w:r>
          </w:p>
          <w:p w:rsidR="008D3336" w:rsidRPr="000B2A94" w:rsidRDefault="00F956E8" w:rsidP="00196DD5">
            <w:pPr>
              <w:pStyle w:val="afa"/>
              <w:numPr>
                <w:ilvl w:val="0"/>
                <w:numId w:val="48"/>
              </w:numPr>
              <w:ind w:leftChars="0"/>
              <w:rPr>
                <w:rFonts w:hAnsi="標楷體"/>
                <w:color w:val="000000" w:themeColor="text1"/>
                <w:sz w:val="28"/>
                <w:szCs w:val="28"/>
              </w:rPr>
            </w:pPr>
            <w:r w:rsidRPr="000B2A94">
              <w:rPr>
                <w:rFonts w:hAnsi="標楷體"/>
                <w:color w:val="000000" w:themeColor="text1"/>
                <w:sz w:val="28"/>
                <w:szCs w:val="28"/>
              </w:rPr>
              <w:t>本案法務部調查局李復國於88年3月11日在高雄縣調查站對偵查中被羈押被告李清福施作測謊鑑定，經本院勘驗該次測謊錄影帶發現，李復國施測時，被告李清福因於同年3月6日突遭羈押禁見而數日未睡覺且無食慾又腹瀉，處於</w:t>
            </w:r>
            <w:r w:rsidRPr="000B2A94">
              <w:rPr>
                <w:rFonts w:hAnsi="標楷體"/>
                <w:color w:val="000000" w:themeColor="text1"/>
                <w:sz w:val="28"/>
                <w:szCs w:val="28"/>
              </w:rPr>
              <w:lastRenderedPageBreak/>
              <w:t>身心極端疲憊，不適受測狀態；又測謊的辦公室在馬路邊，室內冷氣機運轉聲音大，且李復國施作測謊中，時有高雄縣調查站全站之廣播聲干擾等情形，環境吵雜，致受測者聽力及心情均受影響，無法清楚並完整聽取李復國質問之題目，其施測環境顯然不適合測謊鑑定，未符本案確定判決理由所指，現行司法實務要求測謊鑑定應遵守之基本程式要件：受測人身心及意識狀態正常、測謊環境良好，無不當之外力干擾等要件。更有甚者，施測者李復國於測前會談結束，正式測試開始後，質問被告李清福問題時，時有轉動測謊儀器上調整呼吸、血壓脈搏及膚電等反應訊號放大倍數之旋鈕等，致測謊圖譜上所記錄之被告李清福回答李復國所質問之各個控制問題、無關問題及相關問題之呼吸、血壓脈搏及膚電等反應曲線幅度高低之相對強弱比較失準，無法判斷被告李清福就各個質問題目之回答究有無說謊反應，該測謊鑑定應屬無效，惟本案確定判決俱未予調查，仍據法務部調查局提出之測謊鑑定報告及施測者李復國於本案臺灣高雄地方法院結證，認定該測謊鑑定報告有證據能力，並採為被告李清福有罪之判斷依據，採證法則有誤，參照臺灣高等法院高雄分院105年度聲再字第162號刑事裁定意旨，已符合刑事訴訟法第420條第1項第6款之新事證，開啟再審程序。</w:t>
            </w:r>
          </w:p>
          <w:p w:rsidR="008D3336" w:rsidRPr="000B2A94" w:rsidRDefault="00F956E8" w:rsidP="00196DD5">
            <w:pPr>
              <w:pStyle w:val="afa"/>
              <w:numPr>
                <w:ilvl w:val="0"/>
                <w:numId w:val="48"/>
              </w:numPr>
              <w:ind w:leftChars="0"/>
              <w:rPr>
                <w:rFonts w:hAnsi="標楷體"/>
                <w:color w:val="000000" w:themeColor="text1"/>
                <w:sz w:val="28"/>
                <w:szCs w:val="28"/>
              </w:rPr>
            </w:pPr>
            <w:r w:rsidRPr="000B2A94">
              <w:rPr>
                <w:rFonts w:hAnsi="標楷體"/>
                <w:color w:val="000000" w:themeColor="text1"/>
                <w:sz w:val="28"/>
                <w:szCs w:val="28"/>
              </w:rPr>
              <w:t>本案法務部調查局暨所屬高雄縣（市）調查站（處）未依法院要求隨案移送詢問錄音（影）帶且於95年及102年函復法院相關詢問錄音（影）帶已不可考，拒不提供，致本案自89年3月7日繫屬第一審臺灣高雄地方法院後，雖經被告及其辯護人多次答辯並質疑高雄縣調查站承辦人員於88年間以不正方法詢問取得被告之自白及證述筆錄之合法性時，法院均無從勘驗詢問錄音（影）帶調查；迄本案更三審高雄高分院審理時，於104年8月18日函法務部調查局派員清查本件詢問錄音（影）帶並追究相關失職</w:t>
            </w:r>
            <w:r w:rsidRPr="000B2A94">
              <w:rPr>
                <w:rFonts w:hAnsi="標楷體"/>
                <w:color w:val="000000" w:themeColor="text1"/>
                <w:sz w:val="28"/>
                <w:szCs w:val="28"/>
              </w:rPr>
              <w:lastRenderedPageBreak/>
              <w:t>人員責任，以維被告李清福等人權益等情，始於同年11月13日函送偵訊過程錄音（影）帶。是本案自繫屬法院審理歷時15年，始得由法院依據勘驗詢問錄音（影）帶結果，排除高雄縣調查站承辦人員不正訊問所得自白或證述筆錄之證據能力，顯見該局及所屬高雄市（縣）調查處（站）怠忽失職，致令案件審理遲延，且所屬高雄縣調查站偵辦人員88年間之詢問作業確有違法，允應檢討改進，不應卸責，並議處相關失職人員，以維護人民訴訟權益：</w:t>
            </w:r>
          </w:p>
          <w:p w:rsidR="008D3336" w:rsidRPr="000B2A94" w:rsidRDefault="00F956E8" w:rsidP="00196DD5">
            <w:pPr>
              <w:pStyle w:val="afa"/>
              <w:numPr>
                <w:ilvl w:val="0"/>
                <w:numId w:val="48"/>
              </w:numPr>
              <w:ind w:leftChars="0"/>
              <w:rPr>
                <w:rFonts w:hAnsi="標楷體"/>
                <w:color w:val="000000" w:themeColor="text1"/>
                <w:sz w:val="28"/>
                <w:szCs w:val="28"/>
              </w:rPr>
            </w:pPr>
            <w:r w:rsidRPr="000B2A94">
              <w:rPr>
                <w:rFonts w:hAnsi="標楷體"/>
                <w:color w:val="000000" w:themeColor="text1"/>
                <w:sz w:val="28"/>
                <w:szCs w:val="28"/>
              </w:rPr>
              <w:t>本案高雄高分院確定判決理由認定橋頭鄉公所自83年3月被告李清福擔任鄉長後發包305件工程係由李清福違法指定廠商承包而犯圖利罪係據該鄉公所建設課課長林明水、技士林貴興及戴溫及相關廠商於88年3月間案發之初在法務部調查局高雄縣調查站調詢及檢察官偵訊時之自白，再佐以部分工程投標單有連號、筆跡相似等間接事證，惟本案確定判決理由是否已達最高法院76年台上字第4986號判例及本案確定判決認定部分工程並無圖利廠商之理由所指：「須於通常一般之人均不致有所懷疑，而得確信其為真實之程度者」，誠然有疑。且本案確定判決就被告李清福收受工程承包廠商黃振興工程回扣之主要理由係依據被告林貴興於88年3月4日檢察官偵訊時供稱曾聽聞承包商提及繳交「會錢」之事，認定所謂「會錢」即是承包橋頭鄉公所工程而給付鄉長即被告李清福之回扣款之意：「亦據證人林貴興證述如上，足認被告黃振興確有此部分之行賄犯行。」惟本案確定判決另就被告李清福被訴違法指定廠商李清瑞承包工程而觸犯圖利罪嫌部分，撤銷第一審有罪判決改判無罪之主要理由係被告林貴興於88年3月4日檢察官訊問時所供僅係「傳聞」而不得採為證據。是本案確定判決就被告李清福收受黃振興工程回扣款有罪理由，係就同一證人，橋頭鄉公所建設課技士林貴興之證述其聽聞之事而為全然相左之判斷取捨，核有刑事訴</w:t>
            </w:r>
            <w:r w:rsidRPr="000B2A94">
              <w:rPr>
                <w:rFonts w:hAnsi="標楷體"/>
                <w:color w:val="000000" w:themeColor="text1"/>
                <w:sz w:val="28"/>
                <w:szCs w:val="28"/>
              </w:rPr>
              <w:lastRenderedPageBreak/>
              <w:t>訟法第379條第14款判決理由矛盾之違法。</w:t>
            </w:r>
          </w:p>
          <w:p w:rsidR="00F956E8" w:rsidRPr="000B2A94" w:rsidRDefault="00F956E8" w:rsidP="00196DD5">
            <w:pPr>
              <w:pStyle w:val="afa"/>
              <w:numPr>
                <w:ilvl w:val="0"/>
                <w:numId w:val="48"/>
              </w:numPr>
              <w:ind w:leftChars="0"/>
              <w:rPr>
                <w:rFonts w:hAnsi="標楷體"/>
                <w:color w:val="000000" w:themeColor="text1"/>
                <w:sz w:val="28"/>
                <w:szCs w:val="28"/>
              </w:rPr>
            </w:pPr>
            <w:r w:rsidRPr="000B2A94">
              <w:rPr>
                <w:rFonts w:hAnsi="標楷體"/>
                <w:color w:val="000000" w:themeColor="text1"/>
                <w:sz w:val="28"/>
                <w:szCs w:val="28"/>
              </w:rPr>
              <w:t>本案臺灣高雄地方法院檢察署檢察官起訴意旨認橋頭鄉公所工程承包商黃振興於偵查中自白86年間承包之林頭路等水溝及道路改善工程並自白於86年3月31日取20萬元現金交付被告張輝明轉交給鄉長李清福收受，並記明於其支票帳簿（88偵6566號卷第18頁支票帳簿記載「林投鄉公所＜輝明＞20萬元」）因認被告李清福、張輝明此部分涉有貪污治罪條例第4條第1項第3款經辦工程收取回扣罪嫌。惟本案確定判決認為該貪瀆事證僅有被告黃振興之自白且回扣金額20萬元與得標價15％工程回扣金額17萬餘元不符而認定無罪在案。惟本案確定判決就起訴意旨認黃振興另交付被告張輝明及陳文柱轉交給鄉長李清福收受之工程回扣款，或被告陳文柱自己承包工程而交付李清福收受之回扣款，或被告鐘新榮及許駿懋承包工程而交付李清福收受之回扣款等罪嫌，均認定有罪之證據及理由，竟僅憑黃振興、陳文柱在偵查中自白交付或轉交工程回扣款之供述，甚或鐘新榮及許駿懋否認交付工程回扣款而未獲其等自白，而未就檢察官起訴被告李清福、張輝明收受之工程回扣款是否確有相關工程之承包，及得標價之15％工程回扣計算金額是否相符，逐一調查認定，以致於確定判決認定被告李清福觸犯圖利罪之附表一所載305項舞弊工程中，查無與其等自白送回扣之相關工程，遑論計算得標價之15％工程回扣是否吻合之事證，確定判決所引證據與理由並未相符，核有刑事訴訟法第379條第10款應於審判期日調查之證據未予調查及第14款判決理由不備及矛盾之違法。</w:t>
            </w:r>
          </w:p>
        </w:tc>
      </w:tr>
      <w:tr w:rsidR="000B2A94" w:rsidRPr="000B2A94" w:rsidTr="00F956E8">
        <w:tc>
          <w:tcPr>
            <w:tcW w:w="565" w:type="dxa"/>
            <w:noWrap/>
            <w:hideMark/>
          </w:tcPr>
          <w:p w:rsidR="00F956E8" w:rsidRPr="000B2A94" w:rsidRDefault="00F956E8" w:rsidP="00F956E8">
            <w:pPr>
              <w:rPr>
                <w:color w:val="000000" w:themeColor="text1"/>
                <w:sz w:val="28"/>
                <w:szCs w:val="28"/>
              </w:rPr>
            </w:pPr>
            <w:r w:rsidRPr="000B2A94">
              <w:rPr>
                <w:color w:val="000000" w:themeColor="text1"/>
                <w:sz w:val="28"/>
                <w:szCs w:val="28"/>
              </w:rPr>
              <w:lastRenderedPageBreak/>
              <w:t>3</w:t>
            </w:r>
          </w:p>
        </w:tc>
        <w:tc>
          <w:tcPr>
            <w:tcW w:w="1528" w:type="dxa"/>
            <w:hideMark/>
          </w:tcPr>
          <w:p w:rsidR="00F956E8" w:rsidRPr="000B2A94" w:rsidRDefault="00F956E8" w:rsidP="00F956E8">
            <w:pPr>
              <w:rPr>
                <w:color w:val="000000" w:themeColor="text1"/>
                <w:sz w:val="28"/>
                <w:szCs w:val="28"/>
              </w:rPr>
            </w:pPr>
            <w:r w:rsidRPr="000B2A94">
              <w:rPr>
                <w:color w:val="000000" w:themeColor="text1"/>
                <w:sz w:val="28"/>
                <w:szCs w:val="28"/>
              </w:rPr>
              <w:t>106司調0002：</w:t>
            </w:r>
          </w:p>
          <w:p w:rsidR="00F956E8" w:rsidRPr="000B2A94" w:rsidRDefault="00F956E8" w:rsidP="00F956E8">
            <w:pPr>
              <w:rPr>
                <w:color w:val="000000" w:themeColor="text1"/>
                <w:sz w:val="28"/>
                <w:szCs w:val="28"/>
              </w:rPr>
            </w:pPr>
            <w:r w:rsidRPr="000B2A94">
              <w:rPr>
                <w:color w:val="000000" w:themeColor="text1"/>
                <w:sz w:val="28"/>
                <w:szCs w:val="28"/>
              </w:rPr>
              <w:t>據訴，現行刑事訴訟法雖未規範測謊</w:t>
            </w:r>
            <w:r w:rsidRPr="000B2A94">
              <w:rPr>
                <w:color w:val="000000" w:themeColor="text1"/>
                <w:sz w:val="28"/>
                <w:szCs w:val="28"/>
              </w:rPr>
              <w:lastRenderedPageBreak/>
              <w:t>鑑定之證據能力，然偵審實務卻不排斥測謊鑑定，並得引為刑事證據，惟採用迄今司法機關並未就測謊鑑定統一制（訂）定相關規範及標準作業流程，作為偵審依據，肇致各級法院與檢察機關判斷標準不一，實易生冤抑，除涉有背離真實發見義務外，亦與聯合國公民與政治權利國際公約第14條公平法院原則未盡相符等情案。</w:t>
            </w:r>
          </w:p>
        </w:tc>
        <w:tc>
          <w:tcPr>
            <w:tcW w:w="6967" w:type="dxa"/>
            <w:hideMark/>
          </w:tcPr>
          <w:p w:rsidR="008D3336" w:rsidRPr="000B2A94" w:rsidRDefault="00F956E8" w:rsidP="00196DD5">
            <w:pPr>
              <w:pStyle w:val="afa"/>
              <w:numPr>
                <w:ilvl w:val="0"/>
                <w:numId w:val="49"/>
              </w:numPr>
              <w:ind w:leftChars="0"/>
              <w:rPr>
                <w:rFonts w:hAnsi="標楷體"/>
                <w:color w:val="000000" w:themeColor="text1"/>
                <w:sz w:val="28"/>
                <w:szCs w:val="28"/>
              </w:rPr>
            </w:pPr>
            <w:r w:rsidRPr="000B2A94">
              <w:rPr>
                <w:rFonts w:hAnsi="標楷體"/>
                <w:color w:val="000000" w:themeColor="text1"/>
                <w:sz w:val="28"/>
                <w:szCs w:val="28"/>
              </w:rPr>
              <w:lastRenderedPageBreak/>
              <w:t>我國司法機關採用測謊鑑定已數十年，近年法院及檢察官依法囑託測謊鑑定案件每年超過千件。測謊鑑定機關及施測人員並認為其準確度高達9成以上，甚至達百分之一百。惟司法實務及學者見解亦有認為測謊鑑定結果，並非如DNA鑑定等科學檢驗結果所具一定之「再現性」，而</w:t>
            </w:r>
            <w:r w:rsidRPr="000B2A94">
              <w:rPr>
                <w:rFonts w:hAnsi="標楷體"/>
                <w:color w:val="000000" w:themeColor="text1"/>
                <w:sz w:val="28"/>
                <w:szCs w:val="28"/>
              </w:rPr>
              <w:lastRenderedPageBreak/>
              <w:t>是取決於施測人員之專業智能、性格、經驗、態度等諸多因素等各項能力，倘無DNA鑑定或緝獲真兇等確切證據佐證，誠難判斷各個測謊鑑定結果之準確性。本院諮詢學者專家即認為測謊鑑定人員是所有鑑識人員中最難訓練的。是行政院宜就測謊鑑定人員之培訓、資格認證及查核等要件研訂一致性規範，以確保並提高測謊鑑定之準確度。</w:t>
            </w:r>
          </w:p>
          <w:p w:rsidR="008D3336" w:rsidRPr="000B2A94" w:rsidRDefault="00F956E8" w:rsidP="00196DD5">
            <w:pPr>
              <w:pStyle w:val="afa"/>
              <w:numPr>
                <w:ilvl w:val="0"/>
                <w:numId w:val="49"/>
              </w:numPr>
              <w:ind w:leftChars="0"/>
              <w:rPr>
                <w:rFonts w:hAnsi="標楷體"/>
                <w:color w:val="000000" w:themeColor="text1"/>
                <w:sz w:val="28"/>
                <w:szCs w:val="28"/>
              </w:rPr>
            </w:pPr>
            <w:r w:rsidRPr="000B2A94">
              <w:rPr>
                <w:rFonts w:hAnsi="標楷體"/>
                <w:color w:val="000000" w:themeColor="text1"/>
                <w:sz w:val="28"/>
                <w:szCs w:val="28"/>
              </w:rPr>
              <w:t>我國測謊鑑定機關法務部調查局、警政署刑事警察局及憲兵指揮部之測謊鑑定標準作業程序規範並非一致，亦無覆核驗證鑑定結果之機制，致測謊鑑定時有迥然不同之結果，尚難達到一般公認之科學方法驗證標準「再現性」；且測謊鑑定機關對檢察官或法官依刑事訴訟法第208條囑託鑑定之規定將證述先後不一之關鍵證人移送測謊鑑定，亦有率以拒測之情形，致被告因該等關鍵證人之證述被判有罪確定，均已戕害對被告或犯罪嫌疑人之程序正義，斲傷司法公信力。行政院宜整合各主要鑑定機關之測謊鑑定作業程序規範，並研訂一致性之標準作業程序，以維護當事人受公平對待之基本司法訴訟人權。</w:t>
            </w:r>
          </w:p>
          <w:p w:rsidR="008D3336" w:rsidRPr="000B2A94" w:rsidRDefault="00F956E8" w:rsidP="00196DD5">
            <w:pPr>
              <w:pStyle w:val="afa"/>
              <w:numPr>
                <w:ilvl w:val="0"/>
                <w:numId w:val="49"/>
              </w:numPr>
              <w:ind w:leftChars="0"/>
              <w:rPr>
                <w:rFonts w:hAnsi="標楷體"/>
                <w:color w:val="000000" w:themeColor="text1"/>
                <w:sz w:val="28"/>
                <w:szCs w:val="28"/>
              </w:rPr>
            </w:pPr>
            <w:r w:rsidRPr="000B2A94">
              <w:rPr>
                <w:rFonts w:hAnsi="標楷體"/>
                <w:color w:val="000000" w:themeColor="text1"/>
                <w:sz w:val="28"/>
                <w:szCs w:val="28"/>
              </w:rPr>
              <w:t>我國司法機關依據刑事訴訟法第208條第1項法官或檢察官囑託鑑定之規定，認定測謊鑑定結果有證據能力，並就該證據之證明力，依同法第155條第1項規定採自由心證主義，委由法官依職權評價，或採或棄之。惟被告聲請對自己或關鍵證人測謊以證明其未涉案，亦由法官或檢察官依職權決定，或准或駁回之；縱許可之，又允許測謊鑑定機關拒測，所採測謊鑑定證據能力之見解，又有不同。且我國偵查審理機關在欠缺物證等相關直接證據下，採用準確性有爭議之測謊鑑定作為認定犯罪事實之證據，亦有違刑事訴訟法規定之發現真實及保障人權之主要目的。司法院及行政院等主管機關宜就囑託測謊鑑定結果統計分析司法實務採認情形，並於刑事訴訟法等相關法令制（訂）定囑託測</w:t>
            </w:r>
            <w:r w:rsidRPr="000B2A94">
              <w:rPr>
                <w:rFonts w:hAnsi="標楷體"/>
                <w:color w:val="000000" w:themeColor="text1"/>
                <w:sz w:val="28"/>
                <w:szCs w:val="28"/>
              </w:rPr>
              <w:lastRenderedPageBreak/>
              <w:t>謊鑑定要件及程序等事項，以利遵循。</w:t>
            </w:r>
          </w:p>
          <w:p w:rsidR="008D3336" w:rsidRPr="000B2A94" w:rsidRDefault="00F956E8" w:rsidP="00196DD5">
            <w:pPr>
              <w:pStyle w:val="afa"/>
              <w:numPr>
                <w:ilvl w:val="0"/>
                <w:numId w:val="49"/>
              </w:numPr>
              <w:ind w:leftChars="0"/>
              <w:rPr>
                <w:rFonts w:hAnsi="標楷體"/>
                <w:color w:val="000000" w:themeColor="text1"/>
                <w:sz w:val="28"/>
                <w:szCs w:val="28"/>
              </w:rPr>
            </w:pPr>
            <w:r w:rsidRPr="000B2A94">
              <w:rPr>
                <w:rFonts w:hAnsi="標楷體"/>
                <w:color w:val="000000" w:themeColor="text1"/>
                <w:sz w:val="28"/>
                <w:szCs w:val="28"/>
              </w:rPr>
              <w:t>刑事程序上之測謊鑑定，係對於人之內心中所知、所思或所信的檢查，具有侵害個人內心自由及意思活動之心理檢查的性質，其對人格權之侵害，猶勝對被告緘默權之違反。現行刑事訴訟實務上，法官或檢察官依據刑事訴訟法第208條囑託機關測謊鑑定，並依最高法院歷年判決意旨之要求取得被告之同意，作為認定犯罪事實之證據。惟被告在刑事訴訟程序上係屬受強制處分之一方，在面對國家權力之搜索、羈押、追訴罪責的龐大壓力下，其同意法官或檢察官測謊鑑定之要求，內心究存有多少真摯性，以一般常理判斷，尚非難解。故檢察官或法官在偵查或審理程序中，要求被告之同意測謊鑑定恐有違反聯合國公民與政治權利國際公約第14條第3項第7款所定刑事訴訟程序應遵守之被告不自證己罪原則之最低限度標準及憲法第16條人民訴訟權之保障；且測謊鑑定係對人類心智活動的監測方法，亦有違反現代法治國保障人格權及人性尊嚴之虞，司法院及行政院允宜審慎研議之。</w:t>
            </w:r>
          </w:p>
          <w:p w:rsidR="00F956E8" w:rsidRPr="000B2A94" w:rsidRDefault="00F956E8" w:rsidP="00196DD5">
            <w:pPr>
              <w:pStyle w:val="afa"/>
              <w:numPr>
                <w:ilvl w:val="0"/>
                <w:numId w:val="49"/>
              </w:numPr>
              <w:ind w:leftChars="0"/>
              <w:rPr>
                <w:rFonts w:hAnsi="標楷體"/>
                <w:color w:val="000000" w:themeColor="text1"/>
                <w:sz w:val="28"/>
                <w:szCs w:val="28"/>
              </w:rPr>
            </w:pPr>
            <w:r w:rsidRPr="000B2A94">
              <w:rPr>
                <w:rFonts w:hAnsi="標楷體"/>
                <w:color w:val="000000" w:themeColor="text1"/>
                <w:sz w:val="28"/>
                <w:szCs w:val="28"/>
              </w:rPr>
              <w:t>法務部調查局前調查專員李復國接受軍方委託及檢察官或法官囑託測謊江國慶被訴性侵殺女童案、空軍桃園基地彈藥庫失竊案，呂介閔被訴殺人案等刑事案件之鑑定結果，雖已經司法途徑證明被告清白，惟其測謊程序及圖譜之判讀結果，經同儕審查發現，尚未符合現今測謊鑑定規範。行政院允宜參酌近年美國對司法鑑識技術之檢討及美國司法部與無辜計畫組織等團體合作全面複查西元2000年以前20年間刑事確定判決中美國聯邦調查局向法院提出之顯微毛髮鑑識分析報告有無錯誤情形之作業方式（美國聯邦調查局已承認錯誤率超過90％），重新檢視李復國施測案件有無程序及判讀結果之瑕疵，作為訂定測謊程序規範之參考，惟若有關鍵事證，足以構成聲請再審事由，並應依法辦理，提供冤案當事人救濟管道，以維護人民</w:t>
            </w:r>
            <w:r w:rsidRPr="000B2A94">
              <w:rPr>
                <w:rFonts w:hAnsi="標楷體"/>
                <w:color w:val="000000" w:themeColor="text1"/>
                <w:sz w:val="28"/>
                <w:szCs w:val="28"/>
              </w:rPr>
              <w:lastRenderedPageBreak/>
              <w:t>之權益及司法公信力。</w:t>
            </w:r>
          </w:p>
        </w:tc>
      </w:tr>
      <w:tr w:rsidR="00F956E8" w:rsidRPr="000B2A94" w:rsidTr="00F956E8">
        <w:tc>
          <w:tcPr>
            <w:tcW w:w="565" w:type="dxa"/>
            <w:noWrap/>
            <w:hideMark/>
          </w:tcPr>
          <w:p w:rsidR="00F956E8" w:rsidRPr="000B2A94" w:rsidRDefault="00F956E8" w:rsidP="00F956E8">
            <w:pPr>
              <w:rPr>
                <w:color w:val="000000" w:themeColor="text1"/>
                <w:sz w:val="28"/>
                <w:szCs w:val="28"/>
              </w:rPr>
            </w:pPr>
            <w:r w:rsidRPr="000B2A94">
              <w:rPr>
                <w:color w:val="000000" w:themeColor="text1"/>
                <w:sz w:val="28"/>
                <w:szCs w:val="28"/>
              </w:rPr>
              <w:lastRenderedPageBreak/>
              <w:t>4</w:t>
            </w:r>
          </w:p>
        </w:tc>
        <w:tc>
          <w:tcPr>
            <w:tcW w:w="1528" w:type="dxa"/>
            <w:hideMark/>
          </w:tcPr>
          <w:p w:rsidR="00F956E8" w:rsidRPr="000B2A94" w:rsidRDefault="00F956E8" w:rsidP="00F956E8">
            <w:pPr>
              <w:rPr>
                <w:color w:val="000000" w:themeColor="text1"/>
                <w:sz w:val="28"/>
                <w:szCs w:val="28"/>
              </w:rPr>
            </w:pPr>
            <w:r w:rsidRPr="000B2A94">
              <w:rPr>
                <w:color w:val="000000" w:themeColor="text1"/>
                <w:sz w:val="28"/>
                <w:szCs w:val="28"/>
              </w:rPr>
              <w:t>100司調0051：</w:t>
            </w:r>
          </w:p>
          <w:p w:rsidR="00F956E8" w:rsidRPr="000B2A94" w:rsidRDefault="00F956E8" w:rsidP="00F956E8">
            <w:pPr>
              <w:rPr>
                <w:color w:val="000000" w:themeColor="text1"/>
                <w:sz w:val="28"/>
                <w:szCs w:val="28"/>
              </w:rPr>
            </w:pPr>
            <w:r w:rsidRPr="000B2A94">
              <w:rPr>
                <w:color w:val="000000" w:themeColor="text1"/>
                <w:sz w:val="28"/>
                <w:szCs w:val="28"/>
              </w:rPr>
              <w:t>測謊鑑定之準確性備受爭議與質疑，惟法務部卻未訂定相關規範，且欠缺測謊之定罪率統計資料，事涉刑事證據審酌乙案。</w:t>
            </w:r>
          </w:p>
        </w:tc>
        <w:tc>
          <w:tcPr>
            <w:tcW w:w="6967" w:type="dxa"/>
            <w:hideMark/>
          </w:tcPr>
          <w:p w:rsidR="008D3336" w:rsidRPr="000B2A94" w:rsidRDefault="00F956E8" w:rsidP="00196DD5">
            <w:pPr>
              <w:pStyle w:val="afa"/>
              <w:numPr>
                <w:ilvl w:val="0"/>
                <w:numId w:val="50"/>
              </w:numPr>
              <w:ind w:leftChars="0"/>
              <w:rPr>
                <w:rFonts w:hAnsi="標楷體"/>
                <w:color w:val="000000" w:themeColor="text1"/>
                <w:sz w:val="28"/>
                <w:szCs w:val="28"/>
              </w:rPr>
            </w:pPr>
            <w:r w:rsidRPr="000B2A94">
              <w:rPr>
                <w:rFonts w:hAnsi="標楷體"/>
                <w:color w:val="000000" w:themeColor="text1"/>
                <w:sz w:val="28"/>
                <w:szCs w:val="28"/>
              </w:rPr>
              <w:t>目前法院審判業已大量採用測謊鑑定，並作為刑事證據加以審酌，惟法務部迄今尚未就測謊鑑定訂定相關規範及標準作業流程，以為鑑定人員與偵查過程之依循，尚有欠缺周妥之處。</w:t>
            </w:r>
          </w:p>
          <w:p w:rsidR="00F956E8" w:rsidRPr="000B2A94" w:rsidRDefault="00F956E8" w:rsidP="00196DD5">
            <w:pPr>
              <w:pStyle w:val="afa"/>
              <w:numPr>
                <w:ilvl w:val="0"/>
                <w:numId w:val="50"/>
              </w:numPr>
              <w:ind w:leftChars="0"/>
              <w:rPr>
                <w:rFonts w:hAnsi="標楷體"/>
                <w:color w:val="000000" w:themeColor="text1"/>
                <w:sz w:val="28"/>
                <w:szCs w:val="28"/>
              </w:rPr>
            </w:pPr>
            <w:r w:rsidRPr="000B2A94">
              <w:rPr>
                <w:rFonts w:hAnsi="標楷體"/>
                <w:color w:val="000000" w:themeColor="text1"/>
                <w:sz w:val="28"/>
                <w:szCs w:val="28"/>
              </w:rPr>
              <w:t>目前法務部對於透過測謊鑑定，經各級法院採信因而定罪之相關統計尚屬闕如，亦未對未獲院方採信之理由據以研析，無法彰顯與改進測謊鑑定之證據能力，該部允宜朝此一方向積極蒐整資訊，建置相關統計數據，以為偵查與審判之參考，方屬正辦。</w:t>
            </w:r>
          </w:p>
        </w:tc>
      </w:tr>
    </w:tbl>
    <w:p w:rsidR="00F956E8" w:rsidRPr="000B2A94" w:rsidRDefault="00F956E8">
      <w:pPr>
        <w:widowControl/>
        <w:rPr>
          <w:color w:val="000000" w:themeColor="text1"/>
        </w:rPr>
      </w:pPr>
    </w:p>
    <w:p w:rsidR="00F956E8" w:rsidRPr="000B2A94" w:rsidRDefault="00F956E8" w:rsidP="00F956E8">
      <w:pPr>
        <w:pStyle w:val="1"/>
        <w:numPr>
          <w:ilvl w:val="0"/>
          <w:numId w:val="1"/>
        </w:numPr>
        <w:rPr>
          <w:rFonts w:ascii="Times New Roman" w:hAnsi="Times New Roman"/>
          <w:b/>
          <w:color w:val="000000" w:themeColor="text1"/>
        </w:rPr>
      </w:pPr>
      <w:bookmarkStart w:id="265" w:name="_Toc28606816"/>
      <w:bookmarkStart w:id="266" w:name="_Toc486202366"/>
      <w:bookmarkStart w:id="267" w:name="_Toc10466700"/>
      <w:bookmarkEnd w:id="39"/>
      <w:bookmarkEnd w:id="40"/>
      <w:bookmarkEnd w:id="41"/>
      <w:bookmarkEnd w:id="42"/>
      <w:bookmarkEnd w:id="43"/>
      <w:bookmarkEnd w:id="44"/>
      <w:bookmarkEnd w:id="45"/>
      <w:bookmarkEnd w:id="46"/>
      <w:r w:rsidRPr="000B2A94">
        <w:rPr>
          <w:rFonts w:ascii="Times New Roman" w:hAnsi="Times New Roman"/>
          <w:b/>
          <w:color w:val="000000" w:themeColor="text1"/>
        </w:rPr>
        <w:t>研究發現與分析</w:t>
      </w:r>
      <w:bookmarkEnd w:id="265"/>
    </w:p>
    <w:p w:rsidR="00F956E8" w:rsidRPr="000B2A94" w:rsidRDefault="00A215FB" w:rsidP="00F956E8">
      <w:pPr>
        <w:pStyle w:val="2"/>
        <w:numPr>
          <w:ilvl w:val="1"/>
          <w:numId w:val="1"/>
        </w:numPr>
        <w:overflowPunct/>
        <w:autoSpaceDE/>
        <w:autoSpaceDN/>
        <w:ind w:left="1123" w:hanging="697"/>
        <w:rPr>
          <w:rFonts w:ascii="Times New Roman" w:hAnsi="Times New Roman"/>
          <w:b/>
          <w:color w:val="000000" w:themeColor="text1"/>
        </w:rPr>
      </w:pPr>
      <w:bookmarkStart w:id="268" w:name="_Toc28606817"/>
      <w:r w:rsidRPr="000B2A94">
        <w:rPr>
          <w:rFonts w:hint="eastAsia"/>
          <w:b/>
          <w:color w:val="000000" w:themeColor="text1"/>
        </w:rPr>
        <w:t>行政院</w:t>
      </w:r>
      <w:r w:rsidR="00F956E8" w:rsidRPr="000B2A94">
        <w:rPr>
          <w:rFonts w:hint="eastAsia"/>
          <w:b/>
          <w:color w:val="000000" w:themeColor="text1"/>
        </w:rPr>
        <w:t>對於設立獨立行使職權之國家級司法科學委員會或建立鑑定覆鑑機制，其可行性及必要性之詳細評估情形</w:t>
      </w:r>
      <w:bookmarkEnd w:id="268"/>
    </w:p>
    <w:p w:rsidR="00F956E8" w:rsidRPr="000B2A94" w:rsidRDefault="00F956E8" w:rsidP="00B7781B">
      <w:pPr>
        <w:pStyle w:val="3"/>
        <w:rPr>
          <w:color w:val="000000" w:themeColor="text1"/>
        </w:rPr>
      </w:pPr>
      <w:bookmarkStart w:id="269" w:name="_Toc27399878"/>
      <w:r w:rsidRPr="000B2A94">
        <w:rPr>
          <w:rFonts w:hint="eastAsia"/>
          <w:color w:val="000000" w:themeColor="text1"/>
        </w:rPr>
        <w:t>司法改革國是會議決議我國應設立獨立行使職權之國家級司法科學委員會，台灣冤獄平反協會持肯定立場。就改進司法科學而言，以鑑識分析所採用之技術訂立標準、從業人員取得證照、實驗室通過認證等議題，是值得努力之方向。</w:t>
      </w:r>
      <w:bookmarkEnd w:id="269"/>
    </w:p>
    <w:p w:rsidR="00F956E8" w:rsidRPr="000B2A94" w:rsidRDefault="00F956E8" w:rsidP="00B7781B">
      <w:pPr>
        <w:pStyle w:val="3"/>
        <w:rPr>
          <w:color w:val="000000" w:themeColor="text1"/>
        </w:rPr>
      </w:pPr>
      <w:bookmarkStart w:id="270" w:name="_Toc27399879"/>
      <w:r w:rsidRPr="000B2A94">
        <w:rPr>
          <w:rFonts w:hint="eastAsia"/>
          <w:color w:val="000000" w:themeColor="text1"/>
        </w:rPr>
        <w:t>目前國內各鑑識單位分散於各機關，維持相互競爭卻又相輔助關係，有認為國內已有足夠之鑑識單位及量能，只要加強宣導相關鑑識單位之資訊及橫向連繫，以提供更完善鑑識服務，認為目前尚無成立國家級司法科學委員會之需求。</w:t>
      </w:r>
      <w:bookmarkEnd w:id="270"/>
    </w:p>
    <w:p w:rsidR="00F956E8" w:rsidRPr="000B2A94" w:rsidRDefault="00F956E8" w:rsidP="00B7781B">
      <w:pPr>
        <w:pStyle w:val="3"/>
        <w:rPr>
          <w:color w:val="000000" w:themeColor="text1"/>
        </w:rPr>
      </w:pPr>
      <w:bookmarkStart w:id="271" w:name="_Toc27399880"/>
      <w:r w:rsidRPr="000B2A94">
        <w:rPr>
          <w:rFonts w:hint="eastAsia"/>
          <w:color w:val="000000" w:themeColor="text1"/>
        </w:rPr>
        <w:t>依法務部法醫研究所107年8月28日所製作之「我國</w:t>
      </w:r>
      <w:r w:rsidRPr="000B2A94">
        <w:rPr>
          <w:rFonts w:hint="eastAsia"/>
          <w:color w:val="000000" w:themeColor="text1"/>
        </w:rPr>
        <w:lastRenderedPageBreak/>
        <w:t>刑事鑑識機關鑑定項目及實驗室認證一覽表」所示，國內刑事鑑識機關之鑑定項目與實驗室大部分均已通過</w:t>
      </w:r>
      <w:r w:rsidR="0083635A" w:rsidRPr="000B2A94">
        <w:rPr>
          <w:rFonts w:hint="eastAsia"/>
          <w:color w:val="000000" w:themeColor="text1"/>
        </w:rPr>
        <w:t>TAF之</w:t>
      </w:r>
      <w:r w:rsidRPr="000B2A94">
        <w:rPr>
          <w:rFonts w:hint="eastAsia"/>
          <w:color w:val="000000" w:themeColor="text1"/>
        </w:rPr>
        <w:t>ISO/IEC 17025國際認證規範，並依國際實驗室認證聯盟(ILAC)之鑑識科學實驗室指引(ILAC G19)訂定鑑識科學實驗室認證技術規範進行評鑑認證，因此在國內已建立完善之認證規範與認證制度，且均與國際認證同步進行與接軌，並獲國際認證相互承認。但有少部份鑑定項目尚未申請認證，各鑑識機關可督促所屬單位尚未通過認證之鑑定項目，應盡快完成標準作業程序(SOP)申請增列認證。</w:t>
      </w:r>
      <w:bookmarkEnd w:id="271"/>
    </w:p>
    <w:p w:rsidR="00F956E8" w:rsidRPr="000B2A94" w:rsidRDefault="00F956E8" w:rsidP="00B7781B">
      <w:pPr>
        <w:pStyle w:val="3"/>
        <w:rPr>
          <w:color w:val="000000" w:themeColor="text1"/>
        </w:rPr>
      </w:pPr>
      <w:bookmarkStart w:id="272" w:name="_Toc27399881"/>
      <w:r w:rsidRPr="000B2A94">
        <w:rPr>
          <w:rFonts w:hint="eastAsia"/>
          <w:color w:val="000000" w:themeColor="text1"/>
        </w:rPr>
        <w:t>法醫研究所建議，在國內從事各項刑事鑑識業務之專業人員大部分專家均任職於公家鑑識機關，為確保鑑定人具有專業之資格能力，應加強鑑定人之在職教育訓練，每項鑑定項目均須通過能力檢定後始可進行該項鑑定，且每年均須執行能力試驗，以確保鑑定人具有專業之資格能力。至於證照部分，應要求實驗室主管領有證照，證照制度可以確保實驗室之品質，但實驗室之人力則未必需要證照，由領有證照之主管帶領通過能力試驗之實驗室人員進行各項鑑定，可以確保品質，也可避免領有證照之規範太過嚴苛，反不利於實驗室運作。</w:t>
      </w:r>
      <w:bookmarkEnd w:id="272"/>
    </w:p>
    <w:p w:rsidR="00F956E8" w:rsidRPr="000B2A94" w:rsidRDefault="00F956E8" w:rsidP="00B7781B">
      <w:pPr>
        <w:pStyle w:val="3"/>
        <w:rPr>
          <w:color w:val="000000" w:themeColor="text1"/>
        </w:rPr>
      </w:pPr>
      <w:bookmarkStart w:id="273" w:name="_Toc27399882"/>
      <w:r w:rsidRPr="000B2A94">
        <w:rPr>
          <w:rFonts w:hint="eastAsia"/>
          <w:color w:val="000000" w:themeColor="text1"/>
        </w:rPr>
        <w:t xml:space="preserve">台灣冤獄平反協會2019年8月30日出版「NAS &amp; PCAST reports攻略」，指出美國國家科學院(NAS，由美國科學家所組成之非營利社群，其成員主要任務是擔任國家之科學、工程與醫學顧問，並提供獨立客觀的建議)雖於2009年提出在聯邦層級成立「國家司法科學委員協會(National Commission on Forensic Science，NCFS)」及司法科學專業領域委員會(Organization of Scientific Area </w:t>
      </w:r>
      <w:r w:rsidRPr="000B2A94">
        <w:rPr>
          <w:rFonts w:hint="eastAsia"/>
          <w:color w:val="000000" w:themeColor="text1"/>
        </w:rPr>
        <w:lastRenderedPageBreak/>
        <w:t>Committees for Forensic Science，OSAC)之獨立機構之建議，NCFS主要任務在透過政策強化司法科學，OSAC主要任務在不同之司法科學領域中發展各自的SOP，使司法科學之分析及對鑑識結果之詮釋更加精進。然美國全國地方檢察官協會(NDAA)則認為不需要疊床架屋新創一個單位，追求目標應是強化司法科學、改善鑑定品質，應朝對鑑識人員教育培訓、更新設備設施，實施嚴謹品質管控計畫，反對新的治理單位，亦反對將實驗室移出執法機關之外，因獨立性問題仍不會被解決，上述觀點可供我國體制設計上之省思。另「國家司法科學委員協會(NCFS)於2013年設立，2017年4月已停止運作。</w:t>
      </w:r>
      <w:bookmarkEnd w:id="273"/>
    </w:p>
    <w:p w:rsidR="00F956E8" w:rsidRPr="000B2A94" w:rsidRDefault="00F956E8" w:rsidP="00B7781B">
      <w:pPr>
        <w:pStyle w:val="3"/>
        <w:rPr>
          <w:color w:val="000000" w:themeColor="text1"/>
        </w:rPr>
      </w:pPr>
      <w:bookmarkStart w:id="274" w:name="_Toc27399883"/>
      <w:r w:rsidRPr="000B2A94">
        <w:rPr>
          <w:rFonts w:hint="eastAsia"/>
          <w:color w:val="000000" w:themeColor="text1"/>
        </w:rPr>
        <w:t>法務部先後召開設立國家級司法科學委員會之可行性研商會議及司法科學制度研究委員會籌備會議，會議對於設立獨立國家級司法科學委員會之可行性及必要性評估，仍持續在徵詢相關機關及蒐集意見。</w:t>
      </w:r>
      <w:bookmarkEnd w:id="274"/>
    </w:p>
    <w:p w:rsidR="00F956E8" w:rsidRPr="000B2A94" w:rsidRDefault="00F956E8" w:rsidP="00B7781B">
      <w:pPr>
        <w:pStyle w:val="2"/>
        <w:rPr>
          <w:b/>
          <w:color w:val="000000" w:themeColor="text1"/>
        </w:rPr>
      </w:pPr>
      <w:bookmarkStart w:id="275" w:name="_Toc28606818"/>
      <w:r w:rsidRPr="000B2A94">
        <w:rPr>
          <w:rFonts w:hint="eastAsia"/>
          <w:b/>
          <w:color w:val="000000" w:themeColor="text1"/>
        </w:rPr>
        <w:t>各鑑定機關</w:t>
      </w:r>
      <w:r w:rsidR="00480C1A" w:rsidRPr="000B2A94">
        <w:rPr>
          <w:rFonts w:hint="eastAsia"/>
          <w:b/>
          <w:color w:val="000000" w:themeColor="text1"/>
        </w:rPr>
        <w:t>目前逐步</w:t>
      </w:r>
      <w:r w:rsidRPr="000B2A94">
        <w:rPr>
          <w:rFonts w:hint="eastAsia"/>
          <w:b/>
          <w:color w:val="000000" w:themeColor="text1"/>
        </w:rPr>
        <w:t>推動之各項工作內容及進度</w:t>
      </w:r>
      <w:bookmarkEnd w:id="275"/>
    </w:p>
    <w:p w:rsidR="00F956E8" w:rsidRPr="000B2A94" w:rsidRDefault="00F956E8" w:rsidP="00B7781B">
      <w:pPr>
        <w:pStyle w:val="22"/>
        <w:ind w:left="1020" w:firstLine="680"/>
        <w:rPr>
          <w:color w:val="000000" w:themeColor="text1"/>
        </w:rPr>
      </w:pPr>
      <w:r w:rsidRPr="000B2A94">
        <w:rPr>
          <w:rFonts w:hint="eastAsia"/>
          <w:color w:val="000000" w:themeColor="text1"/>
        </w:rPr>
        <w:t>法務部於107年9月13日召開「設立國家級司法科學委員會之可行性」研商會議，徵詢相關機關意見。另於108年2月26日召開司法科學制度研究委員會籌備會議，會議後依結論之工作進度：</w:t>
      </w:r>
    </w:p>
    <w:p w:rsidR="00F956E8" w:rsidRPr="000B2A94" w:rsidRDefault="00F956E8" w:rsidP="00B7781B">
      <w:pPr>
        <w:pStyle w:val="3"/>
        <w:rPr>
          <w:color w:val="000000" w:themeColor="text1"/>
        </w:rPr>
      </w:pPr>
      <w:bookmarkStart w:id="276" w:name="_Toc27399885"/>
      <w:r w:rsidRPr="000B2A94">
        <w:rPr>
          <w:rFonts w:hint="eastAsia"/>
          <w:color w:val="000000" w:themeColor="text1"/>
        </w:rPr>
        <w:t>內政部警政署刑事警察局、法務部調查局、法醫研究所等鑑識機關，就現行各種鑑識所採取之標準，條列清單供法務部綜整。</w:t>
      </w:r>
      <w:bookmarkEnd w:id="276"/>
    </w:p>
    <w:p w:rsidR="00F956E8" w:rsidRPr="000B2A94" w:rsidRDefault="00480C1A" w:rsidP="00B7781B">
      <w:pPr>
        <w:pStyle w:val="3"/>
        <w:rPr>
          <w:color w:val="000000" w:themeColor="text1"/>
        </w:rPr>
      </w:pPr>
      <w:bookmarkStart w:id="277" w:name="_Toc27399886"/>
      <w:r w:rsidRPr="000B2A94">
        <w:rPr>
          <w:rFonts w:hint="eastAsia"/>
          <w:color w:val="000000" w:themeColor="text1"/>
        </w:rPr>
        <w:t>會議結論</w:t>
      </w:r>
      <w:r w:rsidR="00F956E8" w:rsidRPr="000B2A94">
        <w:rPr>
          <w:rFonts w:hint="eastAsia"/>
          <w:color w:val="000000" w:themeColor="text1"/>
        </w:rPr>
        <w:t>請法務部調查局、內政部警政署刑事局對於機關鑑定採取之標準、鑑定人之資格，公布於機關網站。</w:t>
      </w:r>
      <w:bookmarkEnd w:id="277"/>
    </w:p>
    <w:p w:rsidR="00F956E8" w:rsidRPr="000B2A94" w:rsidRDefault="00F956E8" w:rsidP="00B7781B">
      <w:pPr>
        <w:pStyle w:val="3"/>
        <w:rPr>
          <w:color w:val="000000" w:themeColor="text1"/>
        </w:rPr>
      </w:pPr>
      <w:bookmarkStart w:id="278" w:name="_Toc27399887"/>
      <w:r w:rsidRPr="000B2A94">
        <w:rPr>
          <w:rFonts w:hint="eastAsia"/>
          <w:color w:val="000000" w:themeColor="text1"/>
        </w:rPr>
        <w:t>關於案件現場勘查前之錄影，請內政部警政署刑事警察局研議建立SOP之可行性。經該局於108年4月</w:t>
      </w:r>
      <w:r w:rsidRPr="000B2A94">
        <w:rPr>
          <w:rFonts w:hint="eastAsia"/>
          <w:color w:val="000000" w:themeColor="text1"/>
        </w:rPr>
        <w:lastRenderedPageBreak/>
        <w:t>30日以刑生字第1084400023號函復認為：「1.現行刑案現場係以照相詳實記錄，照相所拍攝影像涵蓋採證前後現場與跡證狀況，而且影像畫質遠比錄影畫質清晰。2.一般刑案現場現行實務上經常僅有1人負責勘察採證，須執行照相、測繪、筆記及採證等工作，如再增加勘察前錄影，人力無法負荷，除影響案件採證效率與品質，且將衍生巨量錄影檔案儲存與管理等問題，考量上述因素，不建議於一般刑案現場實施勘察前錄影。3.重大刑案現場宜視情況實施勘察前之錄影，例如現場歷時久遠或已清理者，則以照相記錄為主，無需錄影。103年3月11日以警署刑鑑字第1030000925號函制頒之刑事鑑識手冊第二十八點第(三)項規定『重大複雜之刑案現場，宜增用錄影記錄現場原貌』。4.綜上，就刑案現場勘察之錄影部分，仍依原規定辦理，不再另訂SOP」。</w:t>
      </w:r>
      <w:bookmarkEnd w:id="278"/>
    </w:p>
    <w:p w:rsidR="00F956E8" w:rsidRPr="000B2A94" w:rsidRDefault="00F956E8" w:rsidP="00B7781B">
      <w:pPr>
        <w:pStyle w:val="3"/>
        <w:rPr>
          <w:color w:val="000000" w:themeColor="text1"/>
        </w:rPr>
      </w:pPr>
      <w:bookmarkStart w:id="279" w:name="_Toc27399888"/>
      <w:r w:rsidRPr="000B2A94">
        <w:rPr>
          <w:rFonts w:hint="eastAsia"/>
          <w:color w:val="000000" w:themeColor="text1"/>
        </w:rPr>
        <w:t>關於相驗3D CT的建置，請法醫研究所持續與相關醫院接洽協助事宜。</w:t>
      </w:r>
      <w:bookmarkEnd w:id="279"/>
    </w:p>
    <w:p w:rsidR="00F956E8" w:rsidRPr="000B2A94" w:rsidRDefault="00F956E8" w:rsidP="00B7781B">
      <w:pPr>
        <w:pStyle w:val="3"/>
        <w:rPr>
          <w:color w:val="000000" w:themeColor="text1"/>
        </w:rPr>
      </w:pPr>
      <w:bookmarkStart w:id="280" w:name="_Toc27399889"/>
      <w:r w:rsidRPr="000B2A94">
        <w:rPr>
          <w:rFonts w:hint="eastAsia"/>
          <w:color w:val="000000" w:themeColor="text1"/>
        </w:rPr>
        <w:t>關於證物保管之規範，刻由行政院羅政務委員督導相關部會共同研議中。</w:t>
      </w:r>
      <w:bookmarkEnd w:id="280"/>
    </w:p>
    <w:p w:rsidR="00F956E8" w:rsidRPr="000B2A94" w:rsidRDefault="00F956E8" w:rsidP="00B7781B">
      <w:pPr>
        <w:pStyle w:val="3"/>
        <w:rPr>
          <w:color w:val="000000" w:themeColor="text1"/>
        </w:rPr>
      </w:pPr>
      <w:bookmarkStart w:id="281" w:name="_Toc27399890"/>
      <w:r w:rsidRPr="000B2A94">
        <w:rPr>
          <w:rFonts w:hint="eastAsia"/>
          <w:color w:val="000000" w:themeColor="text1"/>
        </w:rPr>
        <w:t>法務部檢察司發函所屬檢察機關，</w:t>
      </w:r>
      <w:r w:rsidRPr="000B2A94">
        <w:rPr>
          <w:rFonts w:hint="eastAsia"/>
          <w:color w:val="000000" w:themeColor="text1"/>
          <w:lang w:eastAsia="zh-HK"/>
        </w:rPr>
        <w:t>將</w:t>
      </w:r>
      <w:r w:rsidRPr="000B2A94">
        <w:rPr>
          <w:rFonts w:hint="eastAsia"/>
          <w:color w:val="000000" w:themeColor="text1"/>
        </w:rPr>
        <w:t>法醫研究所收集整理我國刑事鑑識機關鑑定項目及經認證之實驗室資料，提供檢察官辦案時參考使用。</w:t>
      </w:r>
      <w:bookmarkEnd w:id="281"/>
    </w:p>
    <w:p w:rsidR="00F956E8" w:rsidRPr="000B2A94" w:rsidRDefault="00F956E8" w:rsidP="00F956E8">
      <w:pPr>
        <w:pStyle w:val="2"/>
        <w:numPr>
          <w:ilvl w:val="1"/>
          <w:numId w:val="1"/>
        </w:numPr>
        <w:overflowPunct/>
        <w:autoSpaceDE/>
        <w:autoSpaceDN/>
        <w:ind w:left="1123" w:hanging="697"/>
        <w:rPr>
          <w:b/>
          <w:color w:val="000000" w:themeColor="text1"/>
        </w:rPr>
      </w:pPr>
      <w:bookmarkStart w:id="282" w:name="_Toc28606819"/>
      <w:r w:rsidRPr="000B2A94">
        <w:rPr>
          <w:rFonts w:hint="eastAsia"/>
          <w:b/>
          <w:color w:val="000000" w:themeColor="text1"/>
        </w:rPr>
        <w:t>設立獨立行使職權之國家級司法科學委員會，該委員會未來之定位</w:t>
      </w:r>
      <w:bookmarkEnd w:id="282"/>
    </w:p>
    <w:p w:rsidR="00F956E8" w:rsidRPr="000B2A94" w:rsidRDefault="00F956E8" w:rsidP="00190D66">
      <w:pPr>
        <w:pStyle w:val="3"/>
        <w:rPr>
          <w:color w:val="000000" w:themeColor="text1"/>
        </w:rPr>
      </w:pPr>
      <w:r w:rsidRPr="000B2A94">
        <w:rPr>
          <w:rFonts w:hint="eastAsia"/>
          <w:color w:val="000000" w:themeColor="text1"/>
        </w:rPr>
        <w:t>在組織上，</w:t>
      </w:r>
      <w:r w:rsidRPr="000B2A94">
        <w:rPr>
          <w:color w:val="000000" w:themeColor="text1"/>
        </w:rPr>
        <w:t>國家級司法科學委員會</w:t>
      </w:r>
      <w:r w:rsidRPr="000B2A94">
        <w:rPr>
          <w:rFonts w:hint="eastAsia"/>
          <w:color w:val="000000" w:themeColor="text1"/>
          <w:lang w:eastAsia="zh-HK"/>
        </w:rPr>
        <w:t>設立方式</w:t>
      </w:r>
      <w:r w:rsidRPr="000B2A94">
        <w:rPr>
          <w:rFonts w:hint="eastAsia"/>
          <w:color w:val="000000" w:themeColor="text1"/>
        </w:rPr>
        <w:t>之</w:t>
      </w:r>
      <w:r w:rsidRPr="000B2A94">
        <w:rPr>
          <w:rFonts w:hint="eastAsia"/>
          <w:color w:val="000000" w:themeColor="text1"/>
          <w:lang w:eastAsia="zh-HK"/>
        </w:rPr>
        <w:t>選</w:t>
      </w:r>
      <w:r w:rsidRPr="000B2A94">
        <w:rPr>
          <w:rFonts w:hint="eastAsia"/>
          <w:color w:val="000000" w:themeColor="text1"/>
        </w:rPr>
        <w:t>項，可能是公務機關、或任務編組、或財團法人化(公辦或公民合辦)，</w:t>
      </w:r>
      <w:r w:rsidRPr="000B2A94">
        <w:rPr>
          <w:rFonts w:hint="eastAsia"/>
          <w:color w:val="000000" w:themeColor="text1"/>
          <w:lang w:eastAsia="zh-HK"/>
        </w:rPr>
        <w:t>皆是可討論</w:t>
      </w:r>
      <w:r w:rsidRPr="000B2A94">
        <w:rPr>
          <w:rFonts w:hint="eastAsia"/>
          <w:color w:val="000000" w:themeColor="text1"/>
        </w:rPr>
        <w:t>之</w:t>
      </w:r>
      <w:r w:rsidRPr="000B2A94">
        <w:rPr>
          <w:rFonts w:hint="eastAsia"/>
          <w:color w:val="000000" w:themeColor="text1"/>
          <w:lang w:eastAsia="zh-HK"/>
        </w:rPr>
        <w:t>選項</w:t>
      </w:r>
      <w:r w:rsidRPr="000B2A94">
        <w:rPr>
          <w:rFonts w:hint="eastAsia"/>
          <w:color w:val="000000" w:themeColor="text1"/>
        </w:rPr>
        <w:t>，但尚需再研議，目前並無共識。</w:t>
      </w:r>
    </w:p>
    <w:p w:rsidR="00B7781B" w:rsidRPr="000B2A94" w:rsidRDefault="00F956E8" w:rsidP="00190D66">
      <w:pPr>
        <w:pStyle w:val="3"/>
        <w:rPr>
          <w:rStyle w:val="40"/>
          <w:color w:val="000000" w:themeColor="text1"/>
        </w:rPr>
      </w:pPr>
      <w:r w:rsidRPr="000B2A94">
        <w:rPr>
          <w:rFonts w:hint="eastAsia"/>
          <w:color w:val="000000" w:themeColor="text1"/>
        </w:rPr>
        <w:t>依司法科學制度研究委員</w:t>
      </w:r>
      <w:r w:rsidRPr="000B2A94">
        <w:rPr>
          <w:rStyle w:val="40"/>
          <w:rFonts w:hint="eastAsia"/>
          <w:color w:val="000000" w:themeColor="text1"/>
        </w:rPr>
        <w:t>會籌備會議討論方向以</w:t>
      </w:r>
      <w:r w:rsidRPr="000B2A94">
        <w:rPr>
          <w:rStyle w:val="40"/>
          <w:rFonts w:hint="eastAsia"/>
          <w:color w:val="000000" w:themeColor="text1"/>
        </w:rPr>
        <w:lastRenderedPageBreak/>
        <w:t>觀，</w:t>
      </w:r>
      <w:r w:rsidRPr="000B2A94">
        <w:rPr>
          <w:rStyle w:val="40"/>
          <w:color w:val="000000" w:themeColor="text1"/>
        </w:rPr>
        <w:t>國家級司法科學委員會之任務內容：</w:t>
      </w:r>
    </w:p>
    <w:p w:rsidR="00B7781B" w:rsidRPr="000B2A94" w:rsidRDefault="00F956E8" w:rsidP="00190D66">
      <w:pPr>
        <w:pStyle w:val="4"/>
        <w:rPr>
          <w:rStyle w:val="40"/>
          <w:color w:val="000000" w:themeColor="text1"/>
        </w:rPr>
      </w:pPr>
      <w:r w:rsidRPr="000B2A94">
        <w:rPr>
          <w:rStyle w:val="40"/>
          <w:color w:val="000000" w:themeColor="text1"/>
        </w:rPr>
        <w:t>制定並推動司法科學政策，提升總體科學證據品質；</w:t>
      </w:r>
    </w:p>
    <w:p w:rsidR="00B7781B" w:rsidRPr="000B2A94" w:rsidRDefault="00F956E8" w:rsidP="00190D66">
      <w:pPr>
        <w:pStyle w:val="4"/>
        <w:rPr>
          <w:rStyle w:val="40"/>
          <w:color w:val="000000" w:themeColor="text1"/>
        </w:rPr>
      </w:pPr>
      <w:r w:rsidRPr="000B2A94">
        <w:rPr>
          <w:rStyle w:val="40"/>
          <w:color w:val="000000" w:themeColor="text1"/>
        </w:rPr>
        <w:t>整合並推廣各級司法科學教育；</w:t>
      </w:r>
    </w:p>
    <w:p w:rsidR="00B7781B" w:rsidRPr="000B2A94" w:rsidRDefault="00F956E8" w:rsidP="00190D66">
      <w:pPr>
        <w:pStyle w:val="4"/>
        <w:rPr>
          <w:rStyle w:val="40"/>
          <w:color w:val="000000" w:themeColor="text1"/>
        </w:rPr>
      </w:pPr>
      <w:r w:rsidRPr="000B2A94">
        <w:rPr>
          <w:rStyle w:val="40"/>
          <w:color w:val="000000" w:themeColor="text1"/>
        </w:rPr>
        <w:t>制定並執行相關實驗室與專家之認證規範與證照制度。</w:t>
      </w:r>
    </w:p>
    <w:p w:rsidR="00F956E8" w:rsidRPr="000B2A94" w:rsidRDefault="00F956E8" w:rsidP="00190D66">
      <w:pPr>
        <w:pStyle w:val="3"/>
        <w:rPr>
          <w:rStyle w:val="40"/>
          <w:color w:val="000000" w:themeColor="text1"/>
        </w:rPr>
      </w:pPr>
      <w:r w:rsidRPr="000B2A94">
        <w:rPr>
          <w:rStyle w:val="40"/>
          <w:rFonts w:hint="eastAsia"/>
          <w:color w:val="000000" w:themeColor="text1"/>
        </w:rPr>
        <w:t>而民間司法改革基金會/台灣冤獄平反協會研究初擬司法科學委員會組織法草案之權限掌理事項有：</w:t>
      </w:r>
    </w:p>
    <w:p w:rsidR="00F956E8" w:rsidRPr="000B2A94" w:rsidRDefault="00F956E8" w:rsidP="00190D66">
      <w:pPr>
        <w:pStyle w:val="4"/>
        <w:rPr>
          <w:rStyle w:val="40"/>
          <w:color w:val="000000" w:themeColor="text1"/>
        </w:rPr>
      </w:pPr>
      <w:r w:rsidRPr="000B2A94">
        <w:rPr>
          <w:rStyle w:val="40"/>
          <w:rFonts w:hint="eastAsia"/>
          <w:color w:val="000000" w:themeColor="text1"/>
        </w:rPr>
        <w:t>司法科學政策之制定。</w:t>
      </w:r>
    </w:p>
    <w:p w:rsidR="00F956E8" w:rsidRPr="000B2A94" w:rsidRDefault="00F956E8" w:rsidP="00190D66">
      <w:pPr>
        <w:pStyle w:val="4"/>
        <w:rPr>
          <w:rStyle w:val="40"/>
          <w:color w:val="000000" w:themeColor="text1"/>
        </w:rPr>
      </w:pPr>
      <w:r w:rsidRPr="000B2A94">
        <w:rPr>
          <w:rStyle w:val="40"/>
          <w:rFonts w:hint="eastAsia"/>
          <w:color w:val="000000" w:themeColor="text1"/>
        </w:rPr>
        <w:t>司法科學之標準作業程序、報告格式及用詞之制定。</w:t>
      </w:r>
    </w:p>
    <w:p w:rsidR="00F956E8" w:rsidRPr="000B2A94" w:rsidRDefault="00F956E8" w:rsidP="00190D66">
      <w:pPr>
        <w:pStyle w:val="4"/>
        <w:rPr>
          <w:rStyle w:val="40"/>
          <w:color w:val="000000" w:themeColor="text1"/>
        </w:rPr>
      </w:pPr>
      <w:r w:rsidRPr="000B2A94">
        <w:rPr>
          <w:rStyle w:val="40"/>
          <w:rFonts w:hint="eastAsia"/>
          <w:color w:val="000000" w:themeColor="text1"/>
        </w:rPr>
        <w:t>司法科學實驗室之認證標準之建立。</w:t>
      </w:r>
    </w:p>
    <w:p w:rsidR="00F956E8" w:rsidRPr="000B2A94" w:rsidRDefault="00F956E8" w:rsidP="00190D66">
      <w:pPr>
        <w:pStyle w:val="4"/>
        <w:rPr>
          <w:rStyle w:val="40"/>
          <w:color w:val="000000" w:themeColor="text1"/>
        </w:rPr>
      </w:pPr>
      <w:r w:rsidRPr="000B2A94">
        <w:rPr>
          <w:rStyle w:val="40"/>
          <w:rFonts w:hint="eastAsia"/>
          <w:color w:val="000000" w:themeColor="text1"/>
        </w:rPr>
        <w:t>司法科學標準品資料庫之建立。</w:t>
      </w:r>
    </w:p>
    <w:p w:rsidR="00F956E8" w:rsidRPr="000B2A94" w:rsidRDefault="00F956E8" w:rsidP="00190D66">
      <w:pPr>
        <w:pStyle w:val="4"/>
        <w:rPr>
          <w:rStyle w:val="40"/>
          <w:color w:val="000000" w:themeColor="text1"/>
        </w:rPr>
      </w:pPr>
      <w:r w:rsidRPr="000B2A94">
        <w:rPr>
          <w:rStyle w:val="40"/>
          <w:rFonts w:hint="eastAsia"/>
          <w:color w:val="000000" w:themeColor="text1"/>
        </w:rPr>
        <w:t>司法科學能力證照及教育訓練之規劃。</w:t>
      </w:r>
    </w:p>
    <w:p w:rsidR="00F956E8" w:rsidRPr="000B2A94" w:rsidRDefault="00F956E8" w:rsidP="00190D66">
      <w:pPr>
        <w:pStyle w:val="4"/>
        <w:rPr>
          <w:rStyle w:val="40"/>
          <w:color w:val="000000" w:themeColor="text1"/>
        </w:rPr>
      </w:pPr>
      <w:r w:rsidRPr="000B2A94">
        <w:rPr>
          <w:rStyle w:val="40"/>
          <w:rFonts w:hint="eastAsia"/>
          <w:color w:val="000000" w:themeColor="text1"/>
        </w:rPr>
        <w:t>司法科學倫理規範之建立。</w:t>
      </w:r>
    </w:p>
    <w:p w:rsidR="00F956E8" w:rsidRPr="000B2A94" w:rsidRDefault="00F956E8" w:rsidP="00190D66">
      <w:pPr>
        <w:pStyle w:val="4"/>
        <w:rPr>
          <w:rStyle w:val="40"/>
          <w:color w:val="000000" w:themeColor="text1"/>
        </w:rPr>
      </w:pPr>
      <w:r w:rsidRPr="000B2A94">
        <w:rPr>
          <w:rStyle w:val="40"/>
          <w:rFonts w:hint="eastAsia"/>
          <w:color w:val="000000" w:themeColor="text1"/>
        </w:rPr>
        <w:t>司法科學教育之推廣。</w:t>
      </w:r>
    </w:p>
    <w:p w:rsidR="00F956E8" w:rsidRPr="000B2A94" w:rsidRDefault="00F956E8" w:rsidP="00190D66">
      <w:pPr>
        <w:pStyle w:val="3"/>
        <w:rPr>
          <w:rStyle w:val="40"/>
          <w:color w:val="000000" w:themeColor="text1"/>
        </w:rPr>
      </w:pPr>
      <w:r w:rsidRPr="000B2A94">
        <w:rPr>
          <w:rStyle w:val="40"/>
          <w:rFonts w:hint="eastAsia"/>
          <w:color w:val="000000" w:themeColor="text1"/>
        </w:rPr>
        <w:t>因此，討論上多認為</w:t>
      </w:r>
      <w:r w:rsidRPr="000B2A94">
        <w:rPr>
          <w:rStyle w:val="40"/>
          <w:color w:val="000000" w:themeColor="text1"/>
        </w:rPr>
        <w:t>國家級司法科學委員會</w:t>
      </w:r>
      <w:r w:rsidRPr="000B2A94">
        <w:rPr>
          <w:rStyle w:val="40"/>
          <w:rFonts w:hint="eastAsia"/>
          <w:color w:val="000000" w:themeColor="text1"/>
        </w:rPr>
        <w:t>非最終鑑定機關，不做個案鑑定，而是作為找出司法科學疑問點之機構，確保鑑識單位遵循規定標準，可提供意見給法院參考，但無絕對拘束力。</w:t>
      </w:r>
    </w:p>
    <w:p w:rsidR="00F956E8" w:rsidRPr="000B2A94" w:rsidRDefault="00F956E8" w:rsidP="00F956E8">
      <w:pPr>
        <w:pStyle w:val="2"/>
        <w:numPr>
          <w:ilvl w:val="1"/>
          <w:numId w:val="1"/>
        </w:numPr>
        <w:overflowPunct/>
        <w:autoSpaceDE/>
        <w:autoSpaceDN/>
        <w:ind w:left="1123" w:hanging="697"/>
        <w:rPr>
          <w:b/>
          <w:color w:val="000000" w:themeColor="text1"/>
        </w:rPr>
      </w:pPr>
      <w:bookmarkStart w:id="283" w:name="_Toc28606820"/>
      <w:r w:rsidRPr="000B2A94">
        <w:rPr>
          <w:rFonts w:hint="eastAsia"/>
          <w:b/>
          <w:color w:val="000000" w:themeColor="text1"/>
        </w:rPr>
        <w:t>行政院統合現有各鑑定機構資源之作為</w:t>
      </w:r>
      <w:bookmarkEnd w:id="283"/>
    </w:p>
    <w:p w:rsidR="00F956E8" w:rsidRPr="000B2A94" w:rsidRDefault="007A7E3A" w:rsidP="00B7781B">
      <w:pPr>
        <w:pStyle w:val="22"/>
        <w:ind w:left="1020" w:firstLine="680"/>
        <w:rPr>
          <w:color w:val="000000" w:themeColor="text1"/>
        </w:rPr>
      </w:pPr>
      <w:r w:rsidRPr="000B2A94">
        <w:rPr>
          <w:rFonts w:hint="eastAsia"/>
          <w:color w:val="000000" w:themeColor="text1"/>
        </w:rPr>
        <w:t>衛生福利部食品藥物管理署、</w:t>
      </w:r>
      <w:r w:rsidR="00F956E8" w:rsidRPr="000B2A94">
        <w:rPr>
          <w:rFonts w:hint="eastAsia"/>
          <w:color w:val="000000" w:themeColor="text1"/>
        </w:rPr>
        <w:t>刑事警察局、法務部調查局、法醫研究所於司法科學制度研究委員會籌備會議後陸續提出所屬鑑識單位之鑑識項目及標準，交予法務部綜整：</w:t>
      </w:r>
    </w:p>
    <w:p w:rsidR="00F956E8" w:rsidRPr="000B2A94" w:rsidRDefault="00F956E8" w:rsidP="00B7781B">
      <w:pPr>
        <w:pStyle w:val="3"/>
        <w:rPr>
          <w:color w:val="000000" w:themeColor="text1"/>
        </w:rPr>
      </w:pPr>
      <w:bookmarkStart w:id="284" w:name="_Toc27399894"/>
      <w:r w:rsidRPr="000B2A94">
        <w:rPr>
          <w:color w:val="000000" w:themeColor="text1"/>
        </w:rPr>
        <w:t>衛生福利部食品藥物管理署</w:t>
      </w:r>
      <w:bookmarkEnd w:id="284"/>
    </w:p>
    <w:p w:rsidR="00F956E8" w:rsidRPr="000B2A94" w:rsidRDefault="00F956E8" w:rsidP="00B7781B">
      <w:pPr>
        <w:pStyle w:val="32"/>
        <w:ind w:left="1361" w:firstLine="680"/>
        <w:rPr>
          <w:color w:val="000000" w:themeColor="text1"/>
        </w:rPr>
      </w:pPr>
      <w:r w:rsidRPr="000B2A94">
        <w:rPr>
          <w:rFonts w:hint="eastAsia"/>
          <w:color w:val="000000" w:themeColor="text1"/>
        </w:rPr>
        <w:t>提供其認證項目採取標準，除依ISO 17025規範外，於鑑識科學實驗室尚有鑑識科學技術規範。檢驗方法係依據國內外藥典或公開檢驗方法，或使用經確效之自行開發方法，作為供上開籌備會議決議</w:t>
      </w:r>
      <w:r w:rsidRPr="000B2A94">
        <w:rPr>
          <w:rFonts w:hint="eastAsia"/>
          <w:color w:val="000000" w:themeColor="text1"/>
        </w:rPr>
        <w:lastRenderedPageBreak/>
        <w:t>後續執行事宜。</w:t>
      </w:r>
    </w:p>
    <w:p w:rsidR="00F956E8" w:rsidRPr="000B2A94" w:rsidRDefault="00F956E8" w:rsidP="00B7781B">
      <w:pPr>
        <w:pStyle w:val="3"/>
        <w:rPr>
          <w:color w:val="000000" w:themeColor="text1"/>
        </w:rPr>
      </w:pPr>
      <w:bookmarkStart w:id="285" w:name="_Toc27399895"/>
      <w:r w:rsidRPr="000B2A94">
        <w:rPr>
          <w:rFonts w:hint="eastAsia"/>
          <w:color w:val="000000" w:themeColor="text1"/>
        </w:rPr>
        <w:t>刑事警察局、法務部調查局</w:t>
      </w:r>
      <w:bookmarkEnd w:id="285"/>
    </w:p>
    <w:p w:rsidR="00F956E8" w:rsidRPr="000B2A94" w:rsidRDefault="00F956E8" w:rsidP="00B7781B">
      <w:pPr>
        <w:pStyle w:val="32"/>
        <w:ind w:left="1361" w:firstLine="680"/>
        <w:rPr>
          <w:color w:val="000000" w:themeColor="text1"/>
        </w:rPr>
      </w:pPr>
      <w:r w:rsidRPr="000B2A94">
        <w:rPr>
          <w:rFonts w:hint="eastAsia"/>
          <w:color w:val="000000" w:themeColor="text1"/>
        </w:rPr>
        <w:t>分別提供其認證項目採取標準，以供上開籌備會議決議後續執行事宜。</w:t>
      </w:r>
    </w:p>
    <w:p w:rsidR="00F956E8" w:rsidRPr="000B2A94" w:rsidRDefault="00F956E8" w:rsidP="00B7781B">
      <w:pPr>
        <w:pStyle w:val="3"/>
        <w:rPr>
          <w:color w:val="000000" w:themeColor="text1"/>
        </w:rPr>
      </w:pPr>
      <w:bookmarkStart w:id="286" w:name="_Toc27399896"/>
      <w:r w:rsidRPr="000B2A94">
        <w:rPr>
          <w:rFonts w:hint="eastAsia"/>
          <w:color w:val="000000" w:themeColor="text1"/>
        </w:rPr>
        <w:t>法醫研究所</w:t>
      </w:r>
      <w:bookmarkEnd w:id="286"/>
    </w:p>
    <w:p w:rsidR="00F956E8" w:rsidRPr="000B2A94" w:rsidRDefault="00F956E8" w:rsidP="00B7781B">
      <w:pPr>
        <w:pStyle w:val="32"/>
        <w:ind w:left="1361" w:firstLine="680"/>
        <w:rPr>
          <w:color w:val="000000" w:themeColor="text1"/>
        </w:rPr>
      </w:pPr>
      <w:r w:rsidRPr="000B2A94">
        <w:rPr>
          <w:rFonts w:hint="eastAsia"/>
          <w:color w:val="000000" w:themeColor="text1"/>
        </w:rPr>
        <w:t>收集整理我國刑事鑑識機關鑑定項目及經認證之實驗室資料</w:t>
      </w:r>
      <w:r w:rsidRPr="000B2A94">
        <w:rPr>
          <w:rFonts w:cs="DFKaiShu-SB-Estd-BF-Identity-H" w:hint="eastAsia"/>
          <w:color w:val="000000" w:themeColor="text1"/>
        </w:rPr>
        <w:t>，以供上開</w:t>
      </w:r>
      <w:r w:rsidRPr="000B2A94">
        <w:rPr>
          <w:rFonts w:hint="eastAsia"/>
          <w:color w:val="000000" w:themeColor="text1"/>
        </w:rPr>
        <w:t>籌備會議決議後續執行事宜。</w:t>
      </w:r>
    </w:p>
    <w:p w:rsidR="00F956E8" w:rsidRPr="000B2A94" w:rsidRDefault="00F956E8" w:rsidP="00F956E8">
      <w:pPr>
        <w:pStyle w:val="2"/>
        <w:numPr>
          <w:ilvl w:val="1"/>
          <w:numId w:val="1"/>
        </w:numPr>
        <w:overflowPunct/>
        <w:autoSpaceDE/>
        <w:autoSpaceDN/>
        <w:ind w:left="1123" w:hanging="697"/>
        <w:rPr>
          <w:b/>
          <w:color w:val="000000" w:themeColor="text1"/>
        </w:rPr>
      </w:pPr>
      <w:bookmarkStart w:id="287" w:name="_Toc28606821"/>
      <w:r w:rsidRPr="000B2A94">
        <w:rPr>
          <w:rFonts w:hint="eastAsia"/>
          <w:b/>
          <w:color w:val="000000" w:themeColor="text1"/>
        </w:rPr>
        <w:t>公正、客觀之專家學者之延聘情形</w:t>
      </w:r>
      <w:bookmarkEnd w:id="287"/>
    </w:p>
    <w:p w:rsidR="00F956E8" w:rsidRPr="000B2A94" w:rsidRDefault="00F956E8" w:rsidP="007A7E3A">
      <w:pPr>
        <w:pStyle w:val="3"/>
        <w:rPr>
          <w:color w:val="000000" w:themeColor="text1"/>
        </w:rPr>
      </w:pPr>
      <w:r w:rsidRPr="000B2A94">
        <w:rPr>
          <w:rFonts w:hint="eastAsia"/>
          <w:color w:val="000000" w:themeColor="text1"/>
        </w:rPr>
        <w:t>法務部於107年9月13日召開</w:t>
      </w:r>
      <w:r w:rsidRPr="000B2A94">
        <w:rPr>
          <w:rFonts w:cs="DFKaiShu-SB-Estd-BF-Identity-H" w:hint="eastAsia"/>
          <w:color w:val="000000" w:themeColor="text1"/>
        </w:rPr>
        <w:t>「設立國家級司法科學委員會之可行性」研商會議，徵詢相關機關意見。</w:t>
      </w:r>
      <w:r w:rsidRPr="000B2A94">
        <w:rPr>
          <w:rFonts w:cs="DFKaiShu-SB-Estd-BF-Identity-H" w:hint="eastAsia"/>
          <w:color w:val="000000" w:themeColor="text1"/>
          <w:lang w:eastAsia="zh-HK"/>
        </w:rPr>
        <w:t>另</w:t>
      </w:r>
      <w:r w:rsidRPr="000B2A94">
        <w:rPr>
          <w:rFonts w:hint="eastAsia"/>
          <w:color w:val="000000" w:themeColor="text1"/>
        </w:rPr>
        <w:t>於108年2月26日召開司法科學制度研究委員會籌備會議，</w:t>
      </w:r>
      <w:r w:rsidRPr="000B2A94">
        <w:rPr>
          <w:rFonts w:hint="eastAsia"/>
          <w:color w:val="000000" w:themeColor="text1"/>
          <w:lang w:eastAsia="zh-HK"/>
        </w:rPr>
        <w:t>即邀集曾任職或現職在學校法醫學、刑事鑑識科學、犯罪心理學、犯罪學、精神醫學等學有專精教授、以及人權代表、醫界代表、機關代表，係具有公正客觀</w:t>
      </w:r>
      <w:r w:rsidRPr="000B2A94">
        <w:rPr>
          <w:rFonts w:hint="eastAsia"/>
          <w:color w:val="000000" w:themeColor="text1"/>
        </w:rPr>
        <w:t>之</w:t>
      </w:r>
      <w:r w:rsidRPr="000B2A94">
        <w:rPr>
          <w:rFonts w:hint="eastAsia"/>
          <w:color w:val="000000" w:themeColor="text1"/>
          <w:lang w:eastAsia="zh-HK"/>
        </w:rPr>
        <w:t>各領域代表性之專家學者擔任籌備委員，可作為延聘之參考</w:t>
      </w:r>
      <w:r w:rsidRPr="000B2A94">
        <w:rPr>
          <w:rFonts w:hint="eastAsia"/>
          <w:color w:val="000000" w:themeColor="text1"/>
        </w:rPr>
        <w:t>。</w:t>
      </w:r>
    </w:p>
    <w:p w:rsidR="007A7E3A" w:rsidRPr="000B2A94" w:rsidRDefault="007A7E3A" w:rsidP="007A7E3A">
      <w:pPr>
        <w:pStyle w:val="3"/>
        <w:rPr>
          <w:color w:val="000000" w:themeColor="text1"/>
        </w:rPr>
      </w:pPr>
      <w:bookmarkStart w:id="288" w:name="_Toc27399901"/>
      <w:r w:rsidRPr="000B2A94">
        <w:rPr>
          <w:rFonts w:hint="eastAsia"/>
          <w:color w:val="000000" w:themeColor="text1"/>
        </w:rPr>
        <w:t>法醫研究所表示，</w:t>
      </w:r>
      <w:r w:rsidRPr="000B2A94">
        <w:rPr>
          <w:color w:val="000000" w:themeColor="text1"/>
        </w:rPr>
        <w:t>刑事鑑識科學與法醫鑑識科學係極為專業之應用科學，該領域之專家或學者均須於實務鑑識單位經多年之歷練及經驗之累積，始可成為該刑事鑑識科學與法醫鑑識科學之專家或學者，如旅美之國際刑事科學鑑識專家李昌鈺博士。國內該領域之專家或學者均服務於各實務鑑識單位內，如何延聘公正、客觀的專家學者進行規劃建置，恐為規劃建置「國家級司法科學委員會」面臨之首要難題。若延聘非實務鑑識單位之學者成立專案小組進行規劃建置「國家級司法科學委員會」，因學者缺乏實務鑑識經驗及實務鑑識行政運作經驗，恐淪為理論學理之紙上談兵，對提昇國內刑事鑑識及法醫鑑識品質及水準並無助益。若延聘實務</w:t>
      </w:r>
      <w:r w:rsidRPr="000B2A94">
        <w:rPr>
          <w:color w:val="000000" w:themeColor="text1"/>
        </w:rPr>
        <w:lastRenderedPageBreak/>
        <w:t>鑑識單位之專家成立專案小組進行規劃建置「國家級司法科學委員會」，恐淪為球員兼裁判，且彼此官官相護，亦無法確保裁判之公正及避免冤錯案之發生。</w:t>
      </w:r>
      <w:bookmarkEnd w:id="288"/>
    </w:p>
    <w:p w:rsidR="00F956E8" w:rsidRPr="000B2A94" w:rsidRDefault="00480C1A" w:rsidP="00480C1A">
      <w:pPr>
        <w:pStyle w:val="2"/>
        <w:rPr>
          <w:b/>
          <w:color w:val="000000" w:themeColor="text1"/>
        </w:rPr>
      </w:pPr>
      <w:bookmarkStart w:id="289" w:name="_Toc28606822"/>
      <w:r w:rsidRPr="000B2A94">
        <w:rPr>
          <w:rFonts w:hint="eastAsia"/>
          <w:b/>
          <w:color w:val="000000" w:themeColor="text1"/>
        </w:rPr>
        <w:t>設立司法科學委員會涉及新設立國家機關，因涉跨院、跨機關權責，須跨部會協調研議，行政院</w:t>
      </w:r>
      <w:r w:rsidR="00F956E8" w:rsidRPr="000B2A94">
        <w:rPr>
          <w:rFonts w:hint="eastAsia"/>
          <w:b/>
          <w:color w:val="000000" w:themeColor="text1"/>
        </w:rPr>
        <w:t>跨部會統整尚需之資源協助</w:t>
      </w:r>
      <w:r w:rsidRPr="000B2A94">
        <w:rPr>
          <w:rFonts w:hint="eastAsia"/>
          <w:b/>
          <w:color w:val="000000" w:themeColor="text1"/>
        </w:rPr>
        <w:t>，以加速推動各項工作內容進度</w:t>
      </w:r>
      <w:bookmarkEnd w:id="289"/>
    </w:p>
    <w:p w:rsidR="00F956E8" w:rsidRPr="000B2A94" w:rsidRDefault="00F956E8" w:rsidP="00B7781B">
      <w:pPr>
        <w:pStyle w:val="22"/>
        <w:ind w:left="1020" w:firstLine="680"/>
        <w:rPr>
          <w:color w:val="000000" w:themeColor="text1"/>
        </w:rPr>
      </w:pPr>
      <w:r w:rsidRPr="000B2A94">
        <w:rPr>
          <w:rFonts w:hint="eastAsia"/>
          <w:color w:val="000000" w:themeColor="text1"/>
          <w:lang w:eastAsia="zh-HK"/>
        </w:rPr>
        <w:t>民間司法改革基金會/台灣冤獄平反協會研究初擬司法科學委員會組織法草案之立法說明</w:t>
      </w:r>
      <w:r w:rsidRPr="000B2A94">
        <w:rPr>
          <w:rFonts w:hint="eastAsia"/>
          <w:color w:val="000000" w:themeColor="text1"/>
        </w:rPr>
        <w:t>，司法科學其對應之英文為 forensic science，泛指法庭上之科學，其範圍並不僅限於刑事司法，也不僅限對「物」之鑑定，其範圍</w:t>
      </w:r>
      <w:r w:rsidRPr="000B2A94">
        <w:rPr>
          <w:rFonts w:hint="eastAsia"/>
          <w:color w:val="000000" w:themeColor="text1"/>
          <w:lang w:eastAsia="zh-HK"/>
        </w:rPr>
        <w:t>含</w:t>
      </w:r>
      <w:r w:rsidRPr="000B2A94">
        <w:rPr>
          <w:rFonts w:hint="eastAsia"/>
          <w:color w:val="000000" w:themeColor="text1"/>
        </w:rPr>
        <w:t>刑事鑑識、數位與多媒體科學、一般科學、病理與生物學、精神與行為科學等應用於司法程序之科學。</w:t>
      </w:r>
      <w:r w:rsidRPr="000B2A94">
        <w:rPr>
          <w:rFonts w:hint="eastAsia"/>
          <w:color w:val="000000" w:themeColor="text1"/>
          <w:lang w:eastAsia="zh-HK"/>
        </w:rPr>
        <w:t>而</w:t>
      </w:r>
      <w:r w:rsidRPr="000B2A94">
        <w:rPr>
          <w:rFonts w:hint="eastAsia"/>
          <w:color w:val="000000" w:themeColor="text1"/>
        </w:rPr>
        <w:t>設</w:t>
      </w:r>
      <w:r w:rsidRPr="000B2A94">
        <w:rPr>
          <w:rFonts w:hint="eastAsia"/>
          <w:color w:val="000000" w:themeColor="text1"/>
          <w:lang w:eastAsia="zh-HK"/>
        </w:rPr>
        <w:t>立</w:t>
      </w:r>
      <w:r w:rsidRPr="000B2A94">
        <w:rPr>
          <w:rFonts w:hint="eastAsia"/>
          <w:color w:val="000000" w:themeColor="text1"/>
        </w:rPr>
        <w:t>司法科學委員會</w:t>
      </w:r>
      <w:r w:rsidRPr="000B2A94">
        <w:rPr>
          <w:rFonts w:hint="eastAsia"/>
          <w:color w:val="000000" w:themeColor="text1"/>
          <w:lang w:eastAsia="zh-HK"/>
        </w:rPr>
        <w:t>之目的</w:t>
      </w:r>
      <w:r w:rsidRPr="000B2A94">
        <w:rPr>
          <w:rFonts w:hint="eastAsia"/>
          <w:color w:val="000000" w:themeColor="text1"/>
        </w:rPr>
        <w:t>為提升司法科學功能，健全台灣法醫、鑑識科學、消防科學、食品安全科學、流行病學、環境安全、司法行為科學等跨領域科學於司法上之應用，強化並推動司法科學之改革，</w:t>
      </w:r>
      <w:r w:rsidRPr="000B2A94">
        <w:rPr>
          <w:rFonts w:hint="eastAsia"/>
          <w:color w:val="000000" w:themeColor="text1"/>
          <w:lang w:eastAsia="zh-HK"/>
        </w:rPr>
        <w:t>其横跨許多相關組織業務</w:t>
      </w:r>
      <w:r w:rsidRPr="000B2A94">
        <w:rPr>
          <w:rFonts w:hint="eastAsia"/>
          <w:color w:val="000000" w:themeColor="text1"/>
        </w:rPr>
        <w:t>。</w:t>
      </w:r>
    </w:p>
    <w:p w:rsidR="00F956E8" w:rsidRPr="000B2A94" w:rsidRDefault="00F956E8" w:rsidP="00F956E8">
      <w:pPr>
        <w:pStyle w:val="22"/>
        <w:ind w:left="1020" w:firstLine="680"/>
        <w:rPr>
          <w:color w:val="000000" w:themeColor="text1"/>
        </w:rPr>
      </w:pPr>
      <w:r w:rsidRPr="000B2A94">
        <w:rPr>
          <w:rFonts w:hint="eastAsia"/>
          <w:color w:val="000000" w:themeColor="text1"/>
          <w:lang w:eastAsia="zh-HK"/>
        </w:rPr>
        <w:t>因此，倘</w:t>
      </w:r>
      <w:r w:rsidRPr="000B2A94">
        <w:rPr>
          <w:rFonts w:hint="eastAsia"/>
          <w:color w:val="000000" w:themeColor="text1"/>
        </w:rPr>
        <w:t>設立司法科學委員會</w:t>
      </w:r>
      <w:r w:rsidRPr="000B2A94">
        <w:rPr>
          <w:rFonts w:hint="eastAsia"/>
          <w:color w:val="000000" w:themeColor="text1"/>
          <w:lang w:eastAsia="zh-HK"/>
        </w:rPr>
        <w:t>係創設新</w:t>
      </w:r>
      <w:r w:rsidRPr="000B2A94">
        <w:rPr>
          <w:rFonts w:hint="eastAsia"/>
          <w:color w:val="000000" w:themeColor="text1"/>
        </w:rPr>
        <w:t>之國家機關，須</w:t>
      </w:r>
      <w:r w:rsidRPr="000B2A94">
        <w:rPr>
          <w:rFonts w:hint="eastAsia"/>
          <w:color w:val="000000" w:themeColor="text1"/>
          <w:lang w:eastAsia="zh-HK"/>
        </w:rPr>
        <w:t>有新編制之財政預算與員額</w:t>
      </w:r>
      <w:r w:rsidRPr="000B2A94">
        <w:rPr>
          <w:rFonts w:hint="eastAsia"/>
          <w:color w:val="000000" w:themeColor="text1"/>
        </w:rPr>
        <w:t>，</w:t>
      </w:r>
      <w:r w:rsidRPr="000B2A94">
        <w:rPr>
          <w:rFonts w:hint="eastAsia"/>
          <w:color w:val="000000" w:themeColor="text1"/>
          <w:lang w:eastAsia="zh-HK"/>
        </w:rPr>
        <w:t>且議題涉及司法院</w:t>
      </w:r>
      <w:r w:rsidRPr="000B2A94">
        <w:rPr>
          <w:rFonts w:hint="eastAsia"/>
          <w:color w:val="000000" w:themeColor="text1"/>
        </w:rPr>
        <w:t>、</w:t>
      </w:r>
      <w:r w:rsidRPr="000B2A94">
        <w:rPr>
          <w:rFonts w:hint="eastAsia"/>
          <w:color w:val="000000" w:themeColor="text1"/>
          <w:lang w:eastAsia="zh-HK"/>
        </w:rPr>
        <w:t>科技部、內政部、衛生福利部之相關職權</w:t>
      </w:r>
      <w:r w:rsidRPr="000B2A94">
        <w:rPr>
          <w:rFonts w:hint="eastAsia"/>
          <w:color w:val="000000" w:themeColor="text1"/>
        </w:rPr>
        <w:t>，</w:t>
      </w:r>
      <w:r w:rsidRPr="000B2A94">
        <w:rPr>
          <w:rFonts w:hint="eastAsia"/>
          <w:color w:val="000000" w:themeColor="text1"/>
          <w:lang w:eastAsia="zh-HK"/>
        </w:rPr>
        <w:t>為</w:t>
      </w:r>
      <w:r w:rsidRPr="000B2A94">
        <w:rPr>
          <w:rFonts w:hint="eastAsia"/>
          <w:color w:val="000000" w:themeColor="text1"/>
        </w:rPr>
        <w:t>涉</w:t>
      </w:r>
      <w:r w:rsidRPr="000B2A94">
        <w:rPr>
          <w:rFonts w:hint="eastAsia"/>
          <w:color w:val="000000" w:themeColor="text1"/>
          <w:lang w:eastAsia="zh-HK"/>
        </w:rPr>
        <w:t>及</w:t>
      </w:r>
      <w:r w:rsidRPr="000B2A94">
        <w:rPr>
          <w:rFonts w:hint="eastAsia"/>
          <w:color w:val="000000" w:themeColor="text1"/>
        </w:rPr>
        <w:t>跨院、</w:t>
      </w:r>
      <w:r w:rsidRPr="000B2A94">
        <w:rPr>
          <w:rFonts w:hint="eastAsia"/>
          <w:color w:val="000000" w:themeColor="text1"/>
          <w:lang w:eastAsia="zh-HK"/>
        </w:rPr>
        <w:t>跨部會之跨</w:t>
      </w:r>
      <w:r w:rsidRPr="000B2A94">
        <w:rPr>
          <w:rFonts w:hint="eastAsia"/>
          <w:color w:val="000000" w:themeColor="text1"/>
        </w:rPr>
        <w:t>機關權責，須跨部會協調</w:t>
      </w:r>
      <w:r w:rsidRPr="000B2A94">
        <w:rPr>
          <w:rFonts w:hint="eastAsia"/>
          <w:color w:val="000000" w:themeColor="text1"/>
          <w:lang w:eastAsia="zh-HK"/>
        </w:rPr>
        <w:t>整合與</w:t>
      </w:r>
      <w:r w:rsidRPr="000B2A94">
        <w:rPr>
          <w:rFonts w:hint="eastAsia"/>
          <w:color w:val="000000" w:themeColor="text1"/>
        </w:rPr>
        <w:t>研議。</w:t>
      </w:r>
      <w:r w:rsidRPr="000B2A94">
        <w:rPr>
          <w:rFonts w:hint="eastAsia"/>
          <w:color w:val="000000" w:themeColor="text1"/>
          <w:lang w:eastAsia="zh-HK"/>
        </w:rPr>
        <w:t>又現行政府組織改造</w:t>
      </w:r>
      <w:r w:rsidRPr="000B2A94">
        <w:rPr>
          <w:rFonts w:hint="eastAsia"/>
          <w:color w:val="000000" w:themeColor="text1"/>
        </w:rPr>
        <w:t>，</w:t>
      </w:r>
      <w:r w:rsidRPr="000B2A94">
        <w:rPr>
          <w:rFonts w:hint="eastAsia"/>
          <w:color w:val="000000" w:themeColor="text1"/>
          <w:lang w:eastAsia="zh-HK"/>
        </w:rPr>
        <w:t>係要</w:t>
      </w:r>
      <w:r w:rsidRPr="000B2A94">
        <w:rPr>
          <w:rFonts w:ascii="Helvetica" w:hAnsi="Helvetica" w:cs="Helvetica"/>
          <w:color w:val="000000" w:themeColor="text1"/>
        </w:rPr>
        <w:t>建構精簡、效率之政府組織</w:t>
      </w:r>
      <w:r w:rsidRPr="000B2A94">
        <w:rPr>
          <w:rFonts w:hint="eastAsia"/>
          <w:color w:val="000000" w:themeColor="text1"/>
        </w:rPr>
        <w:t>，</w:t>
      </w:r>
      <w:r w:rsidRPr="000B2A94">
        <w:rPr>
          <w:rFonts w:hint="eastAsia"/>
          <w:color w:val="000000" w:themeColor="text1"/>
          <w:lang w:eastAsia="zh-HK"/>
        </w:rPr>
        <w:t>確立合理</w:t>
      </w:r>
      <w:r w:rsidRPr="000B2A94">
        <w:rPr>
          <w:rFonts w:hint="eastAsia"/>
          <w:color w:val="000000" w:themeColor="text1"/>
        </w:rPr>
        <w:t>之</w:t>
      </w:r>
      <w:r w:rsidRPr="000B2A94">
        <w:rPr>
          <w:rFonts w:hint="eastAsia"/>
          <w:color w:val="000000" w:themeColor="text1"/>
          <w:lang w:eastAsia="zh-HK"/>
        </w:rPr>
        <w:t>組織架構</w:t>
      </w:r>
      <w:r w:rsidRPr="000B2A94">
        <w:rPr>
          <w:rFonts w:hint="eastAsia"/>
          <w:color w:val="000000" w:themeColor="text1"/>
        </w:rPr>
        <w:t>，法務部尚難獨自進行，將持續蒐集各方意見，以供司法科學制度研究委員會籌備會議之參考。</w:t>
      </w:r>
    </w:p>
    <w:p w:rsidR="00F956E8" w:rsidRPr="000B2A94" w:rsidRDefault="00F956E8" w:rsidP="00F956E8">
      <w:pPr>
        <w:pStyle w:val="2"/>
        <w:numPr>
          <w:ilvl w:val="1"/>
          <w:numId w:val="1"/>
        </w:numPr>
        <w:overflowPunct/>
        <w:autoSpaceDE/>
        <w:autoSpaceDN/>
        <w:ind w:left="1123" w:hanging="697"/>
        <w:rPr>
          <w:rFonts w:ascii="Times New Roman" w:hAnsi="Times New Roman"/>
          <w:b/>
          <w:color w:val="000000" w:themeColor="text1"/>
        </w:rPr>
      </w:pPr>
      <w:bookmarkStart w:id="290" w:name="_Toc28606823"/>
      <w:r w:rsidRPr="000B2A94">
        <w:rPr>
          <w:rFonts w:ascii="Times New Roman" w:hAnsi="Times New Roman"/>
          <w:b/>
          <w:color w:val="000000" w:themeColor="text1"/>
        </w:rPr>
        <w:t>為保障被告訴訟權，</w:t>
      </w:r>
      <w:r w:rsidRPr="000B2A94">
        <w:rPr>
          <w:rFonts w:ascii="Times New Roman" w:hAnsi="Times New Roman" w:hint="eastAsia"/>
          <w:b/>
          <w:color w:val="000000" w:themeColor="text1"/>
        </w:rPr>
        <w:t>司法院</w:t>
      </w:r>
      <w:r w:rsidRPr="000B2A94">
        <w:rPr>
          <w:rFonts w:ascii="Times New Roman" w:hAnsi="Times New Roman"/>
          <w:b/>
          <w:color w:val="000000" w:themeColor="text1"/>
        </w:rPr>
        <w:t>對於是否應落實要求鑑定人到庭接受詰問之具體意見</w:t>
      </w:r>
      <w:bookmarkEnd w:id="290"/>
    </w:p>
    <w:p w:rsidR="00F956E8" w:rsidRPr="000B2A94" w:rsidRDefault="00F956E8" w:rsidP="00F956E8">
      <w:pPr>
        <w:pStyle w:val="3"/>
        <w:numPr>
          <w:ilvl w:val="2"/>
          <w:numId w:val="1"/>
        </w:numPr>
        <w:overflowPunct/>
        <w:autoSpaceDE/>
        <w:autoSpaceDN/>
        <w:ind w:left="1393" w:hanging="697"/>
        <w:rPr>
          <w:color w:val="000000" w:themeColor="text1"/>
        </w:rPr>
      </w:pPr>
      <w:bookmarkStart w:id="291" w:name="_Toc27399904"/>
      <w:r w:rsidRPr="000B2A94">
        <w:rPr>
          <w:rFonts w:hint="eastAsia"/>
          <w:color w:val="000000" w:themeColor="text1"/>
        </w:rPr>
        <w:t>刑事訴訟案件</w:t>
      </w:r>
      <w:bookmarkEnd w:id="291"/>
    </w:p>
    <w:p w:rsidR="00F956E8" w:rsidRPr="000B2A94" w:rsidRDefault="00F956E8" w:rsidP="00F956E8">
      <w:pPr>
        <w:pStyle w:val="32"/>
        <w:ind w:left="1361" w:firstLine="680"/>
        <w:rPr>
          <w:color w:val="000000" w:themeColor="text1"/>
        </w:rPr>
      </w:pPr>
      <w:r w:rsidRPr="000B2A94">
        <w:rPr>
          <w:rFonts w:hint="eastAsia"/>
          <w:color w:val="000000" w:themeColor="text1"/>
        </w:rPr>
        <w:t>鑑定書面報告性質上屬於刑事訴訟法第1</w:t>
      </w:r>
      <w:r w:rsidRPr="000B2A94">
        <w:rPr>
          <w:color w:val="000000" w:themeColor="text1"/>
        </w:rPr>
        <w:t>59</w:t>
      </w:r>
      <w:r w:rsidRPr="000B2A94">
        <w:rPr>
          <w:rFonts w:hint="eastAsia"/>
          <w:color w:val="000000" w:themeColor="text1"/>
        </w:rPr>
        <w:t>條</w:t>
      </w:r>
      <w:r w:rsidRPr="000B2A94">
        <w:rPr>
          <w:rFonts w:hint="eastAsia"/>
          <w:color w:val="000000" w:themeColor="text1"/>
        </w:rPr>
        <w:lastRenderedPageBreak/>
        <w:t>第1項所定被告以外之人於審判外之言詞或書面陳述，如實施鑑定之人未於審判中以言詞為說明陳述，即與直接審理主義、言詞審理主義有悖，而屬傳聞證據。為保障當事人對於鑑定人之詰問權，促進真實發現，避免誤判，於審判中應使實施鑑定之人到庭，由</w:t>
      </w:r>
      <w:r w:rsidRPr="000B2A94">
        <w:rPr>
          <w:color w:val="000000" w:themeColor="text1"/>
        </w:rPr>
        <w:t>當事人</w:t>
      </w:r>
      <w:r w:rsidRPr="000B2A94">
        <w:rPr>
          <w:rFonts w:hint="eastAsia"/>
          <w:color w:val="000000" w:themeColor="text1"/>
        </w:rPr>
        <w:t>及</w:t>
      </w:r>
      <w:r w:rsidRPr="000B2A94">
        <w:rPr>
          <w:color w:val="000000" w:themeColor="text1"/>
        </w:rPr>
        <w:t>辯護人</w:t>
      </w:r>
      <w:r w:rsidRPr="000B2A94">
        <w:rPr>
          <w:rFonts w:hint="eastAsia"/>
          <w:color w:val="000000" w:themeColor="text1"/>
        </w:rPr>
        <w:t>透過交互詰問充分檢驗實際實施鑑定之人之資格、專業與中立性、鑑定實施之經過及其結果。惟此種</w:t>
      </w:r>
      <w:r w:rsidRPr="000B2A94">
        <w:rPr>
          <w:color w:val="000000" w:themeColor="text1"/>
        </w:rPr>
        <w:t>被告以外之人於審判外</w:t>
      </w:r>
      <w:r w:rsidRPr="000B2A94">
        <w:rPr>
          <w:rFonts w:hint="eastAsia"/>
          <w:bCs/>
          <w:color w:val="000000" w:themeColor="text1"/>
        </w:rPr>
        <w:t>以書面報告所為</w:t>
      </w:r>
      <w:r w:rsidRPr="000B2A94">
        <w:rPr>
          <w:color w:val="000000" w:themeColor="text1"/>
        </w:rPr>
        <w:t>之陳述</w:t>
      </w:r>
      <w:r w:rsidRPr="000B2A94">
        <w:rPr>
          <w:rFonts w:hint="eastAsia"/>
          <w:color w:val="000000" w:themeColor="text1"/>
        </w:rPr>
        <w:t>，如經當事人明示同意，自無需使實施鑑定之人到庭以言詞說明，即得作為證據</w:t>
      </w:r>
      <w:r w:rsidRPr="000B2A94">
        <w:rPr>
          <w:color w:val="000000" w:themeColor="text1"/>
        </w:rPr>
        <w:t>。爰於</w:t>
      </w:r>
      <w:r w:rsidRPr="000B2A94">
        <w:rPr>
          <w:rFonts w:hint="eastAsia"/>
          <w:color w:val="000000" w:themeColor="text1"/>
        </w:rPr>
        <w:t>上開刑事訴訟法修正草案第206條第4項及第208條第1項規定：「以書面報告者，於審判中應使實施鑑定之人到庭以言詞說明。但經當事人明示同意書面報告得為證據者，不在此限。」、「</w:t>
      </w:r>
      <w:r w:rsidRPr="000B2A94">
        <w:rPr>
          <w:color w:val="000000" w:themeColor="text1"/>
        </w:rPr>
        <w:t>法院或檢察官得囑託醫院、學校或其他相當之機關、團體為鑑定，或審查他人之鑑定，並準用第</w:t>
      </w:r>
      <w:r w:rsidRPr="000B2A94">
        <w:rPr>
          <w:rFonts w:hint="eastAsia"/>
          <w:color w:val="000000" w:themeColor="text1"/>
        </w:rPr>
        <w:t>203</w:t>
      </w:r>
      <w:r w:rsidRPr="000B2A94">
        <w:rPr>
          <w:color w:val="000000" w:themeColor="text1"/>
        </w:rPr>
        <w:t>條至第</w:t>
      </w:r>
      <w:r w:rsidRPr="000B2A94">
        <w:rPr>
          <w:rFonts w:hint="eastAsia"/>
          <w:color w:val="000000" w:themeColor="text1"/>
        </w:rPr>
        <w:t>206</w:t>
      </w:r>
      <w:r w:rsidRPr="000B2A94">
        <w:rPr>
          <w:color w:val="000000" w:themeColor="text1"/>
        </w:rPr>
        <w:t>條之一之規定；其須以言詞報告或說明時，得命實施鑑定或審查之人為之。</w:t>
      </w:r>
      <w:r w:rsidRPr="000B2A94">
        <w:rPr>
          <w:rFonts w:hint="eastAsia"/>
          <w:color w:val="000000" w:themeColor="text1"/>
        </w:rPr>
        <w:t>」明定鑑定人於審判中原則上應到庭以言詞說明，以保障被告訴訟權，並落實傳聞法則。</w:t>
      </w:r>
    </w:p>
    <w:p w:rsidR="00F956E8" w:rsidRPr="000B2A94" w:rsidRDefault="00F956E8" w:rsidP="00F956E8">
      <w:pPr>
        <w:pStyle w:val="3"/>
        <w:numPr>
          <w:ilvl w:val="2"/>
          <w:numId w:val="1"/>
        </w:numPr>
        <w:overflowPunct/>
        <w:autoSpaceDE/>
        <w:autoSpaceDN/>
        <w:ind w:left="1393" w:hanging="697"/>
        <w:rPr>
          <w:rFonts w:hAnsi="標楷體"/>
          <w:color w:val="000000" w:themeColor="text1"/>
        </w:rPr>
      </w:pPr>
      <w:bookmarkStart w:id="292" w:name="_Toc27399905"/>
      <w:r w:rsidRPr="000B2A94">
        <w:rPr>
          <w:rFonts w:hAnsi="標楷體"/>
          <w:color w:val="000000" w:themeColor="text1"/>
        </w:rPr>
        <w:t>民事訴訟事件</w:t>
      </w:r>
      <w:bookmarkEnd w:id="292"/>
    </w:p>
    <w:p w:rsidR="00F956E8" w:rsidRPr="000B2A94" w:rsidRDefault="00F956E8" w:rsidP="00F956E8">
      <w:pPr>
        <w:pStyle w:val="32"/>
        <w:ind w:left="1361" w:firstLine="680"/>
        <w:rPr>
          <w:color w:val="000000" w:themeColor="text1"/>
        </w:rPr>
      </w:pPr>
      <w:r w:rsidRPr="000B2A94">
        <w:rPr>
          <w:rFonts w:hint="eastAsia"/>
          <w:color w:val="000000" w:themeColor="text1"/>
        </w:rPr>
        <w:t>依民事訴訟法第335條第3項，鑑定書須說明者，得命鑑定人到場說明。又依同法第324條準用第320條之規定，當事人得聲請審判長對於鑑定人為必要之發問，或向審判長陳明後自行發問。依上開規定，民事訴訟程序中已賦予當事人向鑑定人發問之機會，被告之訴訟權允足保障。</w:t>
      </w:r>
    </w:p>
    <w:p w:rsidR="00F956E8" w:rsidRPr="000B2A94" w:rsidRDefault="00F956E8" w:rsidP="00F956E8">
      <w:pPr>
        <w:pStyle w:val="3"/>
        <w:numPr>
          <w:ilvl w:val="2"/>
          <w:numId w:val="1"/>
        </w:numPr>
        <w:overflowPunct/>
        <w:autoSpaceDE/>
        <w:autoSpaceDN/>
        <w:ind w:left="1393" w:hanging="697"/>
        <w:rPr>
          <w:color w:val="000000" w:themeColor="text1"/>
        </w:rPr>
      </w:pPr>
      <w:bookmarkStart w:id="293" w:name="_Toc27399906"/>
      <w:r w:rsidRPr="000B2A94">
        <w:rPr>
          <w:color w:val="000000" w:themeColor="text1"/>
        </w:rPr>
        <w:t>行政訴訟事件</w:t>
      </w:r>
      <w:bookmarkEnd w:id="293"/>
    </w:p>
    <w:p w:rsidR="00F956E8" w:rsidRPr="000B2A94" w:rsidRDefault="00F956E8" w:rsidP="00F956E8">
      <w:pPr>
        <w:pStyle w:val="32"/>
        <w:ind w:left="1361" w:firstLine="680"/>
        <w:rPr>
          <w:color w:val="000000" w:themeColor="text1"/>
        </w:rPr>
      </w:pPr>
      <w:r w:rsidRPr="000B2A94">
        <w:rPr>
          <w:color w:val="000000" w:themeColor="text1"/>
        </w:rPr>
        <w:t>鑑定，係由選任之鑑定人或囑託之鑑定機構，依憑其特別知識經驗而陳述或報告其專業意見，具</w:t>
      </w:r>
      <w:r w:rsidRPr="000B2A94">
        <w:rPr>
          <w:color w:val="000000" w:themeColor="text1"/>
        </w:rPr>
        <w:lastRenderedPageBreak/>
        <w:t>有證人之性質，依行政訴</w:t>
      </w:r>
      <w:r w:rsidRPr="000B2A94">
        <w:rPr>
          <w:rFonts w:hint="eastAsia"/>
          <w:noProof/>
          <w:color w:val="000000" w:themeColor="text1"/>
        </w:rPr>
        <w:t>訟</w:t>
      </w:r>
      <w:r w:rsidRPr="000B2A94">
        <w:rPr>
          <w:color w:val="000000" w:themeColor="text1"/>
        </w:rPr>
        <w:t>法第156條規定，除法律有特別規定，原則準用人證之規定，如鑑定結果須由當事人為辯論等。惟鑑定報告僅係供法院審判之參酌依據，法院並不受其拘束，故鑑定人非如證人為不可代替之證據方法，並無強制其到場之必要，爰於行政訴訟法第158 條明文規定，鑑定人不得拘提</w:t>
      </w:r>
      <w:r w:rsidRPr="000B2A94">
        <w:rPr>
          <w:rFonts w:hint="eastAsia"/>
          <w:color w:val="000000" w:themeColor="text1"/>
        </w:rPr>
        <w:t>。</w:t>
      </w:r>
    </w:p>
    <w:p w:rsidR="00F956E8" w:rsidRPr="000B2A94" w:rsidRDefault="00F956E8" w:rsidP="00F956E8">
      <w:pPr>
        <w:pStyle w:val="3"/>
        <w:numPr>
          <w:ilvl w:val="2"/>
          <w:numId w:val="1"/>
        </w:numPr>
        <w:overflowPunct/>
        <w:autoSpaceDE/>
        <w:autoSpaceDN/>
        <w:ind w:left="1393" w:hanging="697"/>
        <w:rPr>
          <w:rFonts w:hAnsi="標楷體"/>
          <w:color w:val="000000" w:themeColor="text1"/>
        </w:rPr>
      </w:pPr>
      <w:bookmarkStart w:id="294" w:name="_Toc27399907"/>
      <w:r w:rsidRPr="000B2A94">
        <w:rPr>
          <w:rFonts w:hAnsi="標楷體"/>
          <w:color w:val="000000" w:themeColor="text1"/>
        </w:rPr>
        <w:t>少年及家事事件</w:t>
      </w:r>
      <w:bookmarkEnd w:id="294"/>
    </w:p>
    <w:p w:rsidR="00F956E8" w:rsidRPr="000B2A94" w:rsidRDefault="00F956E8" w:rsidP="00F956E8">
      <w:pPr>
        <w:pStyle w:val="32"/>
        <w:ind w:left="1361" w:firstLine="680"/>
        <w:rPr>
          <w:color w:val="000000" w:themeColor="text1"/>
        </w:rPr>
      </w:pPr>
      <w:r w:rsidRPr="000B2A94">
        <w:rPr>
          <w:color w:val="000000" w:themeColor="text1"/>
        </w:rPr>
        <w:t>要求鑑定人到庭事涉審判權，由法官視個案鑑定內容，決定有無請鑑定人到庭接受詰問之必要性。</w:t>
      </w:r>
    </w:p>
    <w:p w:rsidR="00F956E8" w:rsidRPr="000B2A94" w:rsidRDefault="00F956E8" w:rsidP="00F956E8">
      <w:pPr>
        <w:pStyle w:val="2"/>
        <w:numPr>
          <w:ilvl w:val="1"/>
          <w:numId w:val="1"/>
        </w:numPr>
        <w:overflowPunct/>
        <w:autoSpaceDE/>
        <w:autoSpaceDN/>
        <w:ind w:left="1123" w:hanging="697"/>
        <w:rPr>
          <w:rFonts w:ascii="Times New Roman" w:hAnsi="Times New Roman"/>
          <w:b/>
          <w:color w:val="000000" w:themeColor="text1"/>
        </w:rPr>
      </w:pPr>
      <w:bookmarkStart w:id="295" w:name="_Toc28606824"/>
      <w:r w:rsidRPr="000B2A94">
        <w:rPr>
          <w:rFonts w:ascii="Times New Roman" w:hAnsi="Times New Roman"/>
          <w:b/>
          <w:color w:val="000000" w:themeColor="text1"/>
        </w:rPr>
        <w:t>為確保物證經由採樣、運送、鑑定及保存等過程，使呈現於法庭之證據係真實無瑕疵，建立證物監管之機制</w:t>
      </w:r>
      <w:bookmarkEnd w:id="295"/>
    </w:p>
    <w:p w:rsidR="00F956E8" w:rsidRPr="000B2A94" w:rsidRDefault="00F956E8" w:rsidP="00F956E8">
      <w:pPr>
        <w:pStyle w:val="22"/>
        <w:ind w:left="1020" w:firstLine="680"/>
        <w:rPr>
          <w:color w:val="000000" w:themeColor="text1"/>
        </w:rPr>
      </w:pPr>
      <w:r w:rsidRPr="000B2A94">
        <w:rPr>
          <w:rFonts w:hint="eastAsia"/>
          <w:color w:val="000000" w:themeColor="text1"/>
        </w:rPr>
        <w:t>有關建立證據監管及判決確定後之證物保管制度，於刑事訴訟程序涉及偵查、起訴、審判及判決確定後之執行階段，其中，起訴後至判決確定前由法院主責，司法院說明如下：</w:t>
      </w:r>
    </w:p>
    <w:p w:rsidR="00F956E8" w:rsidRPr="000B2A94" w:rsidRDefault="00F956E8" w:rsidP="00F956E8">
      <w:pPr>
        <w:pStyle w:val="3"/>
        <w:numPr>
          <w:ilvl w:val="2"/>
          <w:numId w:val="1"/>
        </w:numPr>
        <w:overflowPunct/>
        <w:autoSpaceDE/>
        <w:autoSpaceDN/>
        <w:ind w:left="1393" w:hanging="697"/>
        <w:rPr>
          <w:rFonts w:hAnsi="標楷體"/>
          <w:color w:val="000000" w:themeColor="text1"/>
        </w:rPr>
      </w:pPr>
      <w:bookmarkStart w:id="296" w:name="_Toc27399909"/>
      <w:r w:rsidRPr="000B2A94">
        <w:rPr>
          <w:rFonts w:hint="eastAsia"/>
          <w:color w:val="000000" w:themeColor="text1"/>
        </w:rPr>
        <w:t>依105年11月14日</w:t>
      </w:r>
      <w:r w:rsidRPr="000B2A94">
        <w:rPr>
          <w:color w:val="000000" w:themeColor="text1"/>
        </w:rPr>
        <w:t>立法院第9屆第2會期司法及法制委員會第13次全體委員會議決議</w:t>
      </w:r>
      <w:r w:rsidRPr="000B2A94">
        <w:rPr>
          <w:rFonts w:hint="eastAsia"/>
          <w:color w:val="000000" w:themeColor="text1"/>
        </w:rPr>
        <w:t>，</w:t>
      </w:r>
      <w:r w:rsidRPr="000B2A94">
        <w:rPr>
          <w:color w:val="000000" w:themeColor="text1"/>
        </w:rPr>
        <w:t>要求行政院會同司法院共同訂定證物保存規範，法務部前於</w:t>
      </w:r>
      <w:r w:rsidRPr="000B2A94">
        <w:rPr>
          <w:rFonts w:hint="eastAsia"/>
          <w:color w:val="000000" w:themeColor="text1"/>
        </w:rPr>
        <w:t>1</w:t>
      </w:r>
      <w:r w:rsidRPr="000B2A94">
        <w:rPr>
          <w:color w:val="000000" w:themeColor="text1"/>
        </w:rPr>
        <w:t>05年</w:t>
      </w:r>
      <w:r w:rsidRPr="000B2A94">
        <w:rPr>
          <w:rFonts w:hint="eastAsia"/>
          <w:color w:val="000000" w:themeColor="text1"/>
        </w:rPr>
        <w:t>1</w:t>
      </w:r>
      <w:r w:rsidRPr="000B2A94">
        <w:rPr>
          <w:color w:val="000000" w:themeColor="text1"/>
        </w:rPr>
        <w:t>2月</w:t>
      </w:r>
      <w:r w:rsidRPr="000B2A94">
        <w:rPr>
          <w:rFonts w:hint="eastAsia"/>
          <w:color w:val="000000" w:themeColor="text1"/>
        </w:rPr>
        <w:t>7</w:t>
      </w:r>
      <w:r w:rsidRPr="000B2A94">
        <w:rPr>
          <w:color w:val="000000" w:themeColor="text1"/>
        </w:rPr>
        <w:t>日召開「研議是否訂定證物保存之統一規範會議」，其中就「不同之證物是否要訂定統一規範」部分，經決議：「因涉及機關權責及法制作業、規範效力等問題，且各機關就證物之保管、保存均已有相</w:t>
      </w:r>
      <w:r w:rsidRPr="000B2A94">
        <w:rPr>
          <w:rFonts w:hint="eastAsia"/>
          <w:color w:val="000000" w:themeColor="text1"/>
        </w:rPr>
        <w:t>當</w:t>
      </w:r>
      <w:r w:rsidRPr="000B2A94">
        <w:rPr>
          <w:color w:val="000000" w:themeColor="text1"/>
        </w:rPr>
        <w:t>完善之規範，因此請參考其他機關既有之規定，並檢視</w:t>
      </w:r>
      <w:r w:rsidRPr="000B2A94">
        <w:rPr>
          <w:rFonts w:hAnsi="標楷體" w:cs="新細明體"/>
          <w:color w:val="000000" w:themeColor="text1"/>
        </w:rPr>
        <w:t>各自規範之分類方法、保存方式、保管期限是否周延，且加以落實。</w:t>
      </w:r>
      <w:r w:rsidRPr="000B2A94">
        <w:rPr>
          <w:rFonts w:hAnsi="標楷體"/>
          <w:color w:val="000000" w:themeColor="text1"/>
        </w:rPr>
        <w:t>」</w:t>
      </w:r>
      <w:bookmarkEnd w:id="296"/>
    </w:p>
    <w:p w:rsidR="00F956E8" w:rsidRPr="000B2A94" w:rsidRDefault="00F956E8" w:rsidP="00F956E8">
      <w:pPr>
        <w:pStyle w:val="3"/>
        <w:numPr>
          <w:ilvl w:val="2"/>
          <w:numId w:val="1"/>
        </w:numPr>
        <w:overflowPunct/>
        <w:autoSpaceDE/>
        <w:autoSpaceDN/>
        <w:ind w:left="1393" w:hanging="697"/>
        <w:rPr>
          <w:color w:val="000000" w:themeColor="text1"/>
        </w:rPr>
      </w:pPr>
      <w:bookmarkStart w:id="297" w:name="_Toc27399910"/>
      <w:r w:rsidRPr="000B2A94">
        <w:rPr>
          <w:rFonts w:cs="標楷體" w:hint="eastAsia"/>
          <w:color w:val="000000" w:themeColor="text1"/>
        </w:rPr>
        <w:t>司法院</w:t>
      </w:r>
      <w:r w:rsidRPr="000B2A94">
        <w:rPr>
          <w:rFonts w:hint="eastAsia"/>
          <w:color w:val="000000" w:themeColor="text1"/>
        </w:rPr>
        <w:t>針對</w:t>
      </w:r>
      <w:r w:rsidRPr="000B2A94">
        <w:rPr>
          <w:color w:val="000000" w:themeColor="text1"/>
        </w:rPr>
        <w:t>臺灣高等法院</w:t>
      </w:r>
      <w:r w:rsidRPr="000B2A94">
        <w:rPr>
          <w:rFonts w:hint="eastAsia"/>
          <w:color w:val="000000" w:themeColor="text1"/>
        </w:rPr>
        <w:t>函頒之</w:t>
      </w:r>
      <w:r w:rsidRPr="000B2A94">
        <w:rPr>
          <w:color w:val="000000" w:themeColor="text1"/>
        </w:rPr>
        <w:t>「臺灣高等法院暨所屬各級法院贓證物品管理要點</w:t>
      </w:r>
      <w:r w:rsidRPr="000B2A94">
        <w:rPr>
          <w:rFonts w:hint="eastAsia"/>
          <w:color w:val="000000" w:themeColor="text1"/>
        </w:rPr>
        <w:t>（下稱</w:t>
      </w:r>
      <w:r w:rsidRPr="000B2A94">
        <w:rPr>
          <w:color w:val="000000" w:themeColor="text1"/>
        </w:rPr>
        <w:t>贓證物品管</w:t>
      </w:r>
      <w:r w:rsidRPr="000B2A94">
        <w:rPr>
          <w:color w:val="000000" w:themeColor="text1"/>
        </w:rPr>
        <w:lastRenderedPageBreak/>
        <w:t>理要點</w:t>
      </w:r>
      <w:r w:rsidRPr="000B2A94">
        <w:rPr>
          <w:rFonts w:hint="eastAsia"/>
          <w:color w:val="000000" w:themeColor="text1"/>
        </w:rPr>
        <w:t>）</w:t>
      </w:r>
      <w:r w:rsidRPr="000B2A94">
        <w:rPr>
          <w:color w:val="000000" w:themeColor="text1"/>
        </w:rPr>
        <w:t>」</w:t>
      </w:r>
      <w:r w:rsidRPr="000B2A94">
        <w:rPr>
          <w:rFonts w:hint="eastAsia"/>
          <w:color w:val="000000" w:themeColor="text1"/>
        </w:rPr>
        <w:t>，以105年12月27日</w:t>
      </w:r>
      <w:r w:rsidRPr="000B2A94">
        <w:rPr>
          <w:color w:val="000000" w:themeColor="text1"/>
        </w:rPr>
        <w:t>院台廳刑一字第</w:t>
      </w:r>
      <w:r w:rsidRPr="000B2A94">
        <w:rPr>
          <w:rFonts w:hint="eastAsia"/>
          <w:color w:val="000000" w:themeColor="text1"/>
        </w:rPr>
        <w:t>1050033161</w:t>
      </w:r>
      <w:r w:rsidRPr="000B2A94">
        <w:rPr>
          <w:color w:val="000000" w:themeColor="text1"/>
        </w:rPr>
        <w:t>號函請</w:t>
      </w:r>
      <w:r w:rsidRPr="000B2A94">
        <w:rPr>
          <w:rFonts w:hint="eastAsia"/>
          <w:color w:val="000000" w:themeColor="text1"/>
        </w:rPr>
        <w:t>各法院陳報落實該要點之辦理情形及興革建議。期間歷經各法院陳報問題及可行方案、臺灣高等法院研議該要點相關修正方案後，司法院以107年9月5日</w:t>
      </w:r>
      <w:r w:rsidRPr="000B2A94">
        <w:rPr>
          <w:color w:val="000000" w:themeColor="text1"/>
        </w:rPr>
        <w:t>院台廳刑一字第</w:t>
      </w:r>
      <w:r w:rsidRPr="000B2A94">
        <w:rPr>
          <w:rFonts w:hint="eastAsia"/>
          <w:color w:val="000000" w:themeColor="text1"/>
        </w:rPr>
        <w:t>1070022418</w:t>
      </w:r>
      <w:r w:rsidRPr="000B2A94">
        <w:rPr>
          <w:color w:val="000000" w:themeColor="text1"/>
        </w:rPr>
        <w:t>號及</w:t>
      </w:r>
      <w:r w:rsidRPr="000B2A94">
        <w:rPr>
          <w:rFonts w:hint="eastAsia"/>
          <w:color w:val="000000" w:themeColor="text1"/>
        </w:rPr>
        <w:t>1</w:t>
      </w:r>
      <w:r w:rsidRPr="000B2A94">
        <w:rPr>
          <w:color w:val="000000" w:themeColor="text1"/>
        </w:rPr>
        <w:t>08年</w:t>
      </w:r>
      <w:r w:rsidRPr="000B2A94">
        <w:rPr>
          <w:rFonts w:hint="eastAsia"/>
          <w:color w:val="000000" w:themeColor="text1"/>
        </w:rPr>
        <w:t>7</w:t>
      </w:r>
      <w:r w:rsidRPr="000B2A94">
        <w:rPr>
          <w:color w:val="000000" w:themeColor="text1"/>
        </w:rPr>
        <w:t>月</w:t>
      </w:r>
      <w:r w:rsidRPr="000B2A94">
        <w:rPr>
          <w:rFonts w:hint="eastAsia"/>
          <w:color w:val="000000" w:themeColor="text1"/>
        </w:rPr>
        <w:t>2</w:t>
      </w:r>
      <w:r w:rsidRPr="000B2A94">
        <w:rPr>
          <w:color w:val="000000" w:themeColor="text1"/>
        </w:rPr>
        <w:t>9日院台廳刑一字第</w:t>
      </w:r>
      <w:r w:rsidRPr="000B2A94">
        <w:rPr>
          <w:rFonts w:hint="eastAsia"/>
          <w:color w:val="000000" w:themeColor="text1"/>
        </w:rPr>
        <w:t>1</w:t>
      </w:r>
      <w:r w:rsidRPr="000B2A94">
        <w:rPr>
          <w:color w:val="000000" w:themeColor="text1"/>
        </w:rPr>
        <w:t>080018759號函</w:t>
      </w:r>
      <w:r w:rsidRPr="000B2A94">
        <w:rPr>
          <w:rFonts w:hint="eastAsia"/>
          <w:color w:val="000000" w:themeColor="text1"/>
        </w:rPr>
        <w:t>就</w:t>
      </w:r>
      <w:r w:rsidRPr="000B2A94">
        <w:rPr>
          <w:color w:val="000000" w:themeColor="text1"/>
        </w:rPr>
        <w:t>臺灣高等法院修正贓證物品管理要點相關規定乙案准予備查。</w:t>
      </w:r>
      <w:bookmarkEnd w:id="297"/>
    </w:p>
    <w:p w:rsidR="00F956E8" w:rsidRPr="000B2A94" w:rsidRDefault="00F956E8" w:rsidP="00F956E8">
      <w:pPr>
        <w:pStyle w:val="3"/>
        <w:numPr>
          <w:ilvl w:val="2"/>
          <w:numId w:val="1"/>
        </w:numPr>
        <w:overflowPunct/>
        <w:autoSpaceDE/>
        <w:autoSpaceDN/>
        <w:ind w:left="1393" w:hanging="697"/>
        <w:rPr>
          <w:rFonts w:cs="標楷體"/>
          <w:color w:val="000000" w:themeColor="text1"/>
        </w:rPr>
      </w:pPr>
      <w:bookmarkStart w:id="298" w:name="_Toc27399911"/>
      <w:r w:rsidRPr="000B2A94">
        <w:rPr>
          <w:rFonts w:cs="標楷體"/>
          <w:color w:val="000000" w:themeColor="text1"/>
        </w:rPr>
        <w:t>另為使贓證物品之管理更加周延</w:t>
      </w:r>
      <w:r w:rsidRPr="000B2A94">
        <w:rPr>
          <w:rFonts w:cs="標楷體" w:hint="eastAsia"/>
          <w:color w:val="000000" w:themeColor="text1"/>
        </w:rPr>
        <w:t>、確實，司法</w:t>
      </w:r>
      <w:r w:rsidRPr="000B2A94">
        <w:rPr>
          <w:rFonts w:hint="eastAsia"/>
          <w:color w:val="000000" w:themeColor="text1"/>
        </w:rPr>
        <w:t>院以10</w:t>
      </w:r>
      <w:r w:rsidRPr="000B2A94">
        <w:rPr>
          <w:color w:val="000000" w:themeColor="text1"/>
        </w:rPr>
        <w:t>6</w:t>
      </w:r>
      <w:r w:rsidRPr="000B2A94">
        <w:rPr>
          <w:rFonts w:hint="eastAsia"/>
          <w:color w:val="000000" w:themeColor="text1"/>
        </w:rPr>
        <w:t>年</w:t>
      </w:r>
      <w:r w:rsidRPr="000B2A94">
        <w:rPr>
          <w:color w:val="000000" w:themeColor="text1"/>
        </w:rPr>
        <w:t>3</w:t>
      </w:r>
      <w:r w:rsidRPr="000B2A94">
        <w:rPr>
          <w:rFonts w:hint="eastAsia"/>
          <w:color w:val="000000" w:themeColor="text1"/>
        </w:rPr>
        <w:t>月</w:t>
      </w:r>
      <w:r w:rsidRPr="000B2A94">
        <w:rPr>
          <w:color w:val="000000" w:themeColor="text1"/>
        </w:rPr>
        <w:t>3</w:t>
      </w:r>
      <w:r w:rsidRPr="000B2A94">
        <w:rPr>
          <w:rFonts w:hint="eastAsia"/>
          <w:color w:val="000000" w:themeColor="text1"/>
        </w:rPr>
        <w:t>日</w:t>
      </w:r>
      <w:r w:rsidRPr="000B2A94">
        <w:rPr>
          <w:color w:val="000000" w:themeColor="text1"/>
        </w:rPr>
        <w:t>院</w:t>
      </w:r>
      <w:r w:rsidRPr="000B2A94">
        <w:rPr>
          <w:rFonts w:hint="eastAsia"/>
          <w:color w:val="000000" w:themeColor="text1"/>
        </w:rPr>
        <w:t>台廳刑一字第1060005756號</w:t>
      </w:r>
      <w:r w:rsidRPr="000B2A94">
        <w:rPr>
          <w:color w:val="000000" w:themeColor="text1"/>
        </w:rPr>
        <w:t>函請</w:t>
      </w:r>
      <w:r w:rsidRPr="000B2A94">
        <w:rPr>
          <w:rFonts w:hint="eastAsia"/>
          <w:color w:val="000000" w:themeColor="text1"/>
        </w:rPr>
        <w:t>法務部針對該部是否同意提供</w:t>
      </w:r>
      <w:r w:rsidR="00083A26" w:rsidRPr="000B2A94">
        <w:rPr>
          <w:rFonts w:hint="eastAsia"/>
          <w:color w:val="000000" w:themeColor="text1"/>
        </w:rPr>
        <w:t>贓證物系統贓證物部分之規格及該系統之解密方式，以及是否同意提供該</w:t>
      </w:r>
      <w:r w:rsidRPr="000B2A94">
        <w:rPr>
          <w:rFonts w:hint="eastAsia"/>
          <w:color w:val="000000" w:themeColor="text1"/>
        </w:rPr>
        <w:t>院「檢察署編列贓證</w:t>
      </w:r>
      <w:r w:rsidR="00083A26" w:rsidRPr="000B2A94">
        <w:rPr>
          <w:rFonts w:hint="eastAsia"/>
          <w:color w:val="000000" w:themeColor="text1"/>
        </w:rPr>
        <w:t>物品保號之條碼相關規格」，以利該</w:t>
      </w:r>
      <w:r w:rsidRPr="000B2A94">
        <w:rPr>
          <w:rFonts w:hint="eastAsia"/>
          <w:color w:val="000000" w:themeColor="text1"/>
        </w:rPr>
        <w:t>院</w:t>
      </w:r>
      <w:r w:rsidRPr="000B2A94">
        <w:rPr>
          <w:color w:val="000000" w:themeColor="text1"/>
        </w:rPr>
        <w:t>配合</w:t>
      </w:r>
      <w:r w:rsidRPr="000B2A94">
        <w:rPr>
          <w:rFonts w:hint="eastAsia"/>
          <w:color w:val="000000" w:themeColor="text1"/>
        </w:rPr>
        <w:t>增修法院贓證物系統功能等節表示意見，經該部以1</w:t>
      </w:r>
      <w:r w:rsidRPr="000B2A94">
        <w:rPr>
          <w:color w:val="000000" w:themeColor="text1"/>
        </w:rPr>
        <w:t>06年</w:t>
      </w:r>
      <w:r w:rsidRPr="000B2A94">
        <w:rPr>
          <w:rFonts w:hint="eastAsia"/>
          <w:color w:val="000000" w:themeColor="text1"/>
        </w:rPr>
        <w:t>4</w:t>
      </w:r>
      <w:r w:rsidRPr="000B2A94">
        <w:rPr>
          <w:color w:val="000000" w:themeColor="text1"/>
        </w:rPr>
        <w:t>月</w:t>
      </w:r>
      <w:r w:rsidRPr="000B2A94">
        <w:rPr>
          <w:rFonts w:hint="eastAsia"/>
          <w:color w:val="000000" w:themeColor="text1"/>
        </w:rPr>
        <w:t>2</w:t>
      </w:r>
      <w:r w:rsidRPr="000B2A94">
        <w:rPr>
          <w:color w:val="000000" w:themeColor="text1"/>
        </w:rPr>
        <w:t>5日法資字第</w:t>
      </w:r>
      <w:r w:rsidRPr="000B2A94">
        <w:rPr>
          <w:rFonts w:hint="eastAsia"/>
          <w:color w:val="000000" w:themeColor="text1"/>
        </w:rPr>
        <w:t>1</w:t>
      </w:r>
      <w:r w:rsidRPr="000B2A94">
        <w:rPr>
          <w:color w:val="000000" w:themeColor="text1"/>
        </w:rPr>
        <w:t>0611505140號函回復，略以「將辦理單機版扣押物資料輸入程式改版作業，俟完成程式修正，再行提供新版贓證物資料規格及解密方式」、「有關檢察署編列贓證物品保號之條碼相關規格，因現行係由各</w:t>
      </w:r>
      <w:r w:rsidR="00083A26" w:rsidRPr="000B2A94">
        <w:rPr>
          <w:color w:val="000000" w:themeColor="text1"/>
        </w:rPr>
        <w:t>地方檢察署自行編訂保管冠字，待本部訂定保管冠字標準再行提供」。</w:t>
      </w:r>
      <w:r w:rsidR="00083A26" w:rsidRPr="000B2A94">
        <w:rPr>
          <w:rFonts w:hint="eastAsia"/>
          <w:color w:val="000000" w:themeColor="text1"/>
        </w:rPr>
        <w:t>司法</w:t>
      </w:r>
      <w:r w:rsidRPr="000B2A94">
        <w:rPr>
          <w:color w:val="000000" w:themeColor="text1"/>
        </w:rPr>
        <w:t>院</w:t>
      </w:r>
      <w:r w:rsidRPr="000B2A94">
        <w:rPr>
          <w:rFonts w:hint="eastAsia"/>
          <w:color w:val="000000" w:themeColor="text1"/>
        </w:rPr>
        <w:t>另以1</w:t>
      </w:r>
      <w:r w:rsidRPr="000B2A94">
        <w:rPr>
          <w:color w:val="000000" w:themeColor="text1"/>
        </w:rPr>
        <w:t>08年</w:t>
      </w:r>
      <w:r w:rsidRPr="000B2A94">
        <w:rPr>
          <w:rFonts w:hint="eastAsia"/>
          <w:color w:val="000000" w:themeColor="text1"/>
        </w:rPr>
        <w:t>1</w:t>
      </w:r>
      <w:r w:rsidRPr="000B2A94">
        <w:rPr>
          <w:color w:val="000000" w:themeColor="text1"/>
        </w:rPr>
        <w:t>月</w:t>
      </w:r>
      <w:r w:rsidRPr="000B2A94">
        <w:rPr>
          <w:rFonts w:hint="eastAsia"/>
          <w:color w:val="000000" w:themeColor="text1"/>
        </w:rPr>
        <w:t>1</w:t>
      </w:r>
      <w:r w:rsidRPr="000B2A94">
        <w:rPr>
          <w:color w:val="000000" w:themeColor="text1"/>
        </w:rPr>
        <w:t>8日秘台廳刑一字第</w:t>
      </w:r>
      <w:r w:rsidRPr="000B2A94">
        <w:rPr>
          <w:rFonts w:hint="eastAsia"/>
          <w:color w:val="000000" w:themeColor="text1"/>
        </w:rPr>
        <w:t>1</w:t>
      </w:r>
      <w:r w:rsidRPr="000B2A94">
        <w:rPr>
          <w:color w:val="000000" w:themeColor="text1"/>
        </w:rPr>
        <w:t>080002268號函詢法務前開贓證物條碼規格等辦理情形</w:t>
      </w:r>
      <w:r w:rsidRPr="000B2A94">
        <w:rPr>
          <w:rFonts w:hint="eastAsia"/>
          <w:color w:val="000000" w:themeColor="text1"/>
        </w:rPr>
        <w:t>，經</w:t>
      </w:r>
      <w:r w:rsidRPr="000B2A94">
        <w:rPr>
          <w:rFonts w:cs="標楷體" w:hint="eastAsia"/>
          <w:color w:val="000000" w:themeColor="text1"/>
        </w:rPr>
        <w:t>該部於同年2月21日召開研商「贓證物條碼及新扣案贓證物業務流程及系統介接」會前會，現由法務部酌處中。</w:t>
      </w:r>
      <w:bookmarkEnd w:id="298"/>
    </w:p>
    <w:p w:rsidR="00F956E8" w:rsidRPr="000B2A94" w:rsidRDefault="00F956E8" w:rsidP="00F956E8">
      <w:pPr>
        <w:pStyle w:val="3"/>
        <w:numPr>
          <w:ilvl w:val="2"/>
          <w:numId w:val="1"/>
        </w:numPr>
        <w:overflowPunct/>
        <w:autoSpaceDE/>
        <w:autoSpaceDN/>
        <w:ind w:left="1393" w:hanging="697"/>
        <w:rPr>
          <w:rFonts w:cs="標楷體"/>
          <w:color w:val="000000" w:themeColor="text1"/>
        </w:rPr>
      </w:pPr>
      <w:bookmarkStart w:id="299" w:name="_Toc27399912"/>
      <w:r w:rsidRPr="000B2A94">
        <w:rPr>
          <w:rFonts w:cs="標楷體"/>
          <w:color w:val="000000" w:themeColor="text1"/>
        </w:rPr>
        <w:t>又臺灣高等法院於</w:t>
      </w:r>
      <w:r w:rsidRPr="000B2A94">
        <w:rPr>
          <w:rFonts w:cs="標楷體" w:hint="eastAsia"/>
          <w:color w:val="000000" w:themeColor="text1"/>
        </w:rPr>
        <w:t>1</w:t>
      </w:r>
      <w:r w:rsidRPr="000B2A94">
        <w:rPr>
          <w:rFonts w:cs="標楷體"/>
          <w:color w:val="000000" w:themeColor="text1"/>
        </w:rPr>
        <w:t>07年</w:t>
      </w:r>
      <w:r w:rsidRPr="000B2A94">
        <w:rPr>
          <w:rFonts w:cs="標楷體" w:hint="eastAsia"/>
          <w:color w:val="000000" w:themeColor="text1"/>
        </w:rPr>
        <w:t>3</w:t>
      </w:r>
      <w:r w:rsidRPr="000B2A94">
        <w:rPr>
          <w:rFonts w:cs="標楷體"/>
          <w:color w:val="000000" w:themeColor="text1"/>
        </w:rPr>
        <w:t>月</w:t>
      </w:r>
      <w:r w:rsidRPr="000B2A94">
        <w:rPr>
          <w:rFonts w:cs="標楷體" w:hint="eastAsia"/>
          <w:color w:val="000000" w:themeColor="text1"/>
        </w:rPr>
        <w:t>9</w:t>
      </w:r>
      <w:r w:rsidRPr="000B2A94">
        <w:rPr>
          <w:rFonts w:cs="標楷體"/>
          <w:color w:val="000000" w:themeColor="text1"/>
        </w:rPr>
        <w:t>日召開「臺灣高等法院暨所屬各級法院贓證物品管理要點修正研議會議」，並建議地檢署是否可建置相關系統接取</w:t>
      </w:r>
      <w:r w:rsidR="00083A26" w:rsidRPr="000B2A94">
        <w:rPr>
          <w:rFonts w:cs="標楷體" w:hint="eastAsia"/>
          <w:color w:val="000000" w:themeColor="text1"/>
        </w:rPr>
        <w:t>司法</w:t>
      </w:r>
      <w:r w:rsidRPr="000B2A94">
        <w:rPr>
          <w:rFonts w:cs="標楷體"/>
          <w:color w:val="000000" w:themeColor="text1"/>
        </w:rPr>
        <w:t>院資訊平台之法院審判中新扣案贓證物資訊等部分，經查現行法院贓證物品管理子系統業於</w:t>
      </w:r>
      <w:r w:rsidRPr="000B2A94">
        <w:rPr>
          <w:rFonts w:cs="標楷體" w:hint="eastAsia"/>
          <w:color w:val="000000" w:themeColor="text1"/>
        </w:rPr>
        <w:t>9</w:t>
      </w:r>
      <w:r w:rsidRPr="000B2A94">
        <w:rPr>
          <w:rFonts w:cs="標楷體"/>
          <w:color w:val="000000" w:themeColor="text1"/>
        </w:rPr>
        <w:t>9</w:t>
      </w:r>
      <w:r w:rsidRPr="000B2A94">
        <w:rPr>
          <w:rFonts w:cs="標楷體"/>
          <w:color w:val="000000" w:themeColor="text1"/>
        </w:rPr>
        <w:lastRenderedPageBreak/>
        <w:t>年</w:t>
      </w:r>
      <w:r w:rsidRPr="000B2A94">
        <w:rPr>
          <w:rFonts w:cs="標楷體" w:hint="eastAsia"/>
          <w:color w:val="000000" w:themeColor="text1"/>
        </w:rPr>
        <w:t>1</w:t>
      </w:r>
      <w:r w:rsidRPr="000B2A94">
        <w:rPr>
          <w:rFonts w:cs="標楷體"/>
          <w:color w:val="000000" w:themeColor="text1"/>
        </w:rPr>
        <w:t>0月建置，可由</w:t>
      </w:r>
      <w:r w:rsidRPr="000B2A94">
        <w:rPr>
          <w:rFonts w:cs="標楷體" w:hint="eastAsia"/>
          <w:color w:val="000000" w:themeColor="text1"/>
        </w:rPr>
        <w:t>司法</w:t>
      </w:r>
      <w:r w:rsidRPr="000B2A94">
        <w:rPr>
          <w:rFonts w:cs="標楷體"/>
          <w:color w:val="000000" w:themeColor="text1"/>
        </w:rPr>
        <w:t>院主機接收檢察署傳輸之贓證物品資料，再由</w:t>
      </w:r>
      <w:r w:rsidRPr="000B2A94">
        <w:rPr>
          <w:rFonts w:cs="標楷體" w:hint="eastAsia"/>
          <w:color w:val="000000" w:themeColor="text1"/>
        </w:rPr>
        <w:t>司法</w:t>
      </w:r>
      <w:r w:rsidRPr="000B2A94">
        <w:rPr>
          <w:rFonts w:cs="標楷體"/>
          <w:color w:val="000000" w:themeColor="text1"/>
        </w:rPr>
        <w:t>院主機將該資料傳送至各法院，各法院亦可將相關資料傳送至</w:t>
      </w:r>
      <w:r w:rsidRPr="000B2A94">
        <w:rPr>
          <w:rFonts w:cs="標楷體" w:hint="eastAsia"/>
          <w:color w:val="000000" w:themeColor="text1"/>
        </w:rPr>
        <w:t>司法</w:t>
      </w:r>
      <w:r w:rsidRPr="000B2A94">
        <w:rPr>
          <w:rFonts w:cs="標楷體"/>
          <w:color w:val="000000" w:themeColor="text1"/>
        </w:rPr>
        <w:t>院主機，故目前各法院接收檢察官起訴或移送之贓證物品資料尚無困難。至檢察署是否建置相關系統接取</w:t>
      </w:r>
      <w:r w:rsidRPr="000B2A94">
        <w:rPr>
          <w:rFonts w:cs="標楷體" w:hint="eastAsia"/>
          <w:color w:val="000000" w:themeColor="text1"/>
        </w:rPr>
        <w:t>司法</w:t>
      </w:r>
      <w:r w:rsidRPr="000B2A94">
        <w:rPr>
          <w:rFonts w:cs="標楷體"/>
          <w:color w:val="000000" w:themeColor="text1"/>
        </w:rPr>
        <w:t>院資訊平台之法院審判中新扣案贓證物資訊，事屬法務部職掌，</w:t>
      </w:r>
      <w:r w:rsidR="00083A26" w:rsidRPr="000B2A94">
        <w:rPr>
          <w:rFonts w:cs="標楷體" w:hint="eastAsia"/>
          <w:color w:val="000000" w:themeColor="text1"/>
        </w:rPr>
        <w:t>司法</w:t>
      </w:r>
      <w:r w:rsidRPr="000B2A94">
        <w:rPr>
          <w:rFonts w:cs="標楷體"/>
          <w:color w:val="000000" w:themeColor="text1"/>
        </w:rPr>
        <w:t>院業以</w:t>
      </w:r>
      <w:r w:rsidRPr="000B2A94">
        <w:rPr>
          <w:rFonts w:cs="標楷體" w:hint="eastAsia"/>
          <w:color w:val="000000" w:themeColor="text1"/>
        </w:rPr>
        <w:t>1</w:t>
      </w:r>
      <w:r w:rsidRPr="000B2A94">
        <w:rPr>
          <w:rFonts w:cs="標楷體"/>
          <w:color w:val="000000" w:themeColor="text1"/>
        </w:rPr>
        <w:t>07年</w:t>
      </w:r>
      <w:r w:rsidRPr="000B2A94">
        <w:rPr>
          <w:rFonts w:cs="標楷體" w:hint="eastAsia"/>
          <w:color w:val="000000" w:themeColor="text1"/>
        </w:rPr>
        <w:t>6</w:t>
      </w:r>
      <w:r w:rsidRPr="000B2A94">
        <w:rPr>
          <w:rFonts w:cs="標楷體"/>
          <w:color w:val="000000" w:themeColor="text1"/>
        </w:rPr>
        <w:t>月</w:t>
      </w:r>
      <w:r w:rsidRPr="000B2A94">
        <w:rPr>
          <w:rFonts w:cs="標楷體" w:hint="eastAsia"/>
          <w:color w:val="000000" w:themeColor="text1"/>
        </w:rPr>
        <w:t>1</w:t>
      </w:r>
      <w:r w:rsidRPr="000B2A94">
        <w:rPr>
          <w:rFonts w:cs="標楷體"/>
          <w:color w:val="000000" w:themeColor="text1"/>
        </w:rPr>
        <w:t>1日秘台廳刑一字第</w:t>
      </w:r>
      <w:r w:rsidRPr="000B2A94">
        <w:rPr>
          <w:rFonts w:cs="標楷體" w:hint="eastAsia"/>
          <w:color w:val="000000" w:themeColor="text1"/>
        </w:rPr>
        <w:t>1</w:t>
      </w:r>
      <w:r w:rsidRPr="000B2A94">
        <w:rPr>
          <w:rFonts w:cs="標楷體"/>
          <w:color w:val="000000" w:themeColor="text1"/>
        </w:rPr>
        <w:t>070011780號函請該部依權責卓處，嗣經</w:t>
      </w:r>
      <w:r w:rsidRPr="000B2A94">
        <w:rPr>
          <w:rFonts w:cs="標楷體" w:hint="eastAsia"/>
          <w:color w:val="000000" w:themeColor="text1"/>
        </w:rPr>
        <w:t>該部於1</w:t>
      </w:r>
      <w:r w:rsidRPr="000B2A94">
        <w:rPr>
          <w:rFonts w:cs="標楷體"/>
          <w:color w:val="000000" w:themeColor="text1"/>
        </w:rPr>
        <w:t>08</w:t>
      </w:r>
      <w:r w:rsidRPr="000B2A94">
        <w:rPr>
          <w:rFonts w:cs="標楷體" w:hint="eastAsia"/>
          <w:color w:val="000000" w:themeColor="text1"/>
        </w:rPr>
        <w:t>年2月21日召開研商「贓證物條碼及新扣案贓證物業務流程及系統介接」會前會，現由法務部酌處中。</w:t>
      </w:r>
      <w:bookmarkEnd w:id="299"/>
    </w:p>
    <w:p w:rsidR="00F956E8" w:rsidRPr="000B2A94" w:rsidRDefault="00F956E8" w:rsidP="00F956E8">
      <w:pPr>
        <w:pStyle w:val="3"/>
        <w:numPr>
          <w:ilvl w:val="2"/>
          <w:numId w:val="1"/>
        </w:numPr>
        <w:overflowPunct/>
        <w:autoSpaceDE/>
        <w:autoSpaceDN/>
        <w:ind w:left="1393" w:hanging="697"/>
        <w:rPr>
          <w:rFonts w:cs="Arial"/>
          <w:color w:val="000000" w:themeColor="text1"/>
        </w:rPr>
      </w:pPr>
      <w:bookmarkStart w:id="300" w:name="_Toc27399913"/>
      <w:r w:rsidRPr="000B2A94">
        <w:rPr>
          <w:rFonts w:cs="Arial"/>
          <w:color w:val="000000" w:themeColor="text1"/>
        </w:rPr>
        <w:t>另</w:t>
      </w:r>
      <w:r w:rsidRPr="000B2A94">
        <w:rPr>
          <w:rFonts w:cs="標楷體" w:hint="eastAsia"/>
          <w:color w:val="000000" w:themeColor="text1"/>
        </w:rPr>
        <w:t>司法</w:t>
      </w:r>
      <w:r w:rsidRPr="000B2A94">
        <w:rPr>
          <w:rFonts w:cs="Arial"/>
          <w:color w:val="000000" w:themeColor="text1"/>
        </w:rPr>
        <w:t>院「刑事程序制度研議委員會」第</w:t>
      </w:r>
      <w:r w:rsidRPr="000B2A94">
        <w:rPr>
          <w:rFonts w:cs="Arial" w:hint="eastAsia"/>
          <w:color w:val="000000" w:themeColor="text1"/>
        </w:rPr>
        <w:t>2</w:t>
      </w:r>
      <w:r w:rsidRPr="000B2A94">
        <w:rPr>
          <w:rFonts w:cs="Arial"/>
          <w:color w:val="000000" w:themeColor="text1"/>
        </w:rPr>
        <w:t>3次及第</w:t>
      </w:r>
      <w:r w:rsidRPr="000B2A94">
        <w:rPr>
          <w:rFonts w:cs="Arial" w:hint="eastAsia"/>
          <w:color w:val="000000" w:themeColor="text1"/>
        </w:rPr>
        <w:t>2</w:t>
      </w:r>
      <w:r w:rsidRPr="000B2A94">
        <w:rPr>
          <w:rFonts w:cs="Arial"/>
          <w:color w:val="000000" w:themeColor="text1"/>
        </w:rPr>
        <w:t>4次會議亦就證物監管鍊部分進行研議，除邀請臺灣高等法院書記官長報告該院暨所屬各級法院對於贓證物品管理之相關作業流程外，並邀請內政部警政署刑事警察局、法務部調查局、憲兵指揮部等六機關與會，就所轄現行證物保管及移送機制提供相關意見。</w:t>
      </w:r>
      <w:bookmarkEnd w:id="300"/>
    </w:p>
    <w:p w:rsidR="00F956E8" w:rsidRPr="000B2A94" w:rsidRDefault="00F956E8" w:rsidP="00F956E8">
      <w:pPr>
        <w:pStyle w:val="3"/>
        <w:numPr>
          <w:ilvl w:val="2"/>
          <w:numId w:val="1"/>
        </w:numPr>
        <w:overflowPunct/>
        <w:autoSpaceDE/>
        <w:autoSpaceDN/>
        <w:ind w:left="1393" w:hanging="697"/>
        <w:rPr>
          <w:color w:val="000000" w:themeColor="text1"/>
        </w:rPr>
      </w:pPr>
      <w:bookmarkStart w:id="301" w:name="_Toc27399914"/>
      <w:r w:rsidRPr="000B2A94">
        <w:rPr>
          <w:rFonts w:cs="Arial"/>
          <w:color w:val="000000" w:themeColor="text1"/>
        </w:rPr>
        <w:t>又</w:t>
      </w:r>
      <w:r w:rsidRPr="000B2A94">
        <w:rPr>
          <w:color w:val="000000" w:themeColor="text1"/>
        </w:rPr>
        <w:t>法務部於</w:t>
      </w:r>
      <w:r w:rsidRPr="000B2A94">
        <w:rPr>
          <w:rFonts w:hint="eastAsia"/>
          <w:color w:val="000000" w:themeColor="text1"/>
        </w:rPr>
        <w:t>108年4月22日召開「研商證據監管連續性相關會議」及行政院於108年10月23日召開「研商精進證物監管制度會議」，司法院亦派員出席與會並提供意見，以完善證物監管機制。</w:t>
      </w:r>
      <w:bookmarkEnd w:id="301"/>
    </w:p>
    <w:p w:rsidR="00F956E8" w:rsidRPr="000B2A94" w:rsidRDefault="00F956E8" w:rsidP="00F956E8">
      <w:pPr>
        <w:pStyle w:val="2"/>
        <w:numPr>
          <w:ilvl w:val="1"/>
          <w:numId w:val="1"/>
        </w:numPr>
        <w:overflowPunct/>
        <w:autoSpaceDE/>
        <w:autoSpaceDN/>
        <w:ind w:left="1123" w:hanging="697"/>
        <w:rPr>
          <w:rFonts w:ascii="Times New Roman" w:hAnsi="Times New Roman"/>
          <w:b/>
          <w:color w:val="000000" w:themeColor="text1"/>
        </w:rPr>
      </w:pPr>
      <w:bookmarkStart w:id="302" w:name="_Toc28606825"/>
      <w:r w:rsidRPr="000B2A94">
        <w:rPr>
          <w:rFonts w:ascii="Times New Roman" w:hAnsi="Times New Roman"/>
          <w:b/>
          <w:color w:val="000000" w:themeColor="text1"/>
        </w:rPr>
        <w:t>法醫鑑定實務運作現況</w:t>
      </w:r>
      <w:bookmarkEnd w:id="302"/>
    </w:p>
    <w:p w:rsidR="00F956E8" w:rsidRPr="000B2A94" w:rsidRDefault="00F956E8" w:rsidP="00F956E8">
      <w:pPr>
        <w:pStyle w:val="22"/>
        <w:ind w:left="1020" w:firstLine="680"/>
        <w:rPr>
          <w:rFonts w:ascii="Times New Roman"/>
          <w:color w:val="000000" w:themeColor="text1"/>
        </w:rPr>
      </w:pPr>
      <w:r w:rsidRPr="000B2A94">
        <w:rPr>
          <w:rFonts w:ascii="Times New Roman"/>
          <w:color w:val="000000" w:themeColor="text1"/>
        </w:rPr>
        <w:t>本院於</w:t>
      </w:r>
      <w:r w:rsidRPr="000B2A94">
        <w:rPr>
          <w:rFonts w:ascii="Times New Roman"/>
          <w:color w:val="000000" w:themeColor="text1"/>
        </w:rPr>
        <w:t>108</w:t>
      </w:r>
      <w:r w:rsidRPr="000B2A94">
        <w:rPr>
          <w:rFonts w:ascii="Times New Roman"/>
          <w:color w:val="000000" w:themeColor="text1"/>
        </w:rPr>
        <w:t>年</w:t>
      </w:r>
      <w:r w:rsidRPr="000B2A94">
        <w:rPr>
          <w:rFonts w:ascii="Times New Roman"/>
          <w:color w:val="000000" w:themeColor="text1"/>
        </w:rPr>
        <w:t>9</w:t>
      </w:r>
      <w:r w:rsidRPr="000B2A94">
        <w:rPr>
          <w:rFonts w:ascii="Times New Roman"/>
          <w:color w:val="000000" w:themeColor="text1"/>
        </w:rPr>
        <w:t>月</w:t>
      </w:r>
      <w:r w:rsidRPr="000B2A94">
        <w:rPr>
          <w:rFonts w:ascii="Times New Roman"/>
          <w:color w:val="000000" w:themeColor="text1"/>
        </w:rPr>
        <w:t>26</w:t>
      </w:r>
      <w:r w:rsidRPr="000B2A94">
        <w:rPr>
          <w:rFonts w:ascii="Times New Roman"/>
          <w:color w:val="000000" w:themeColor="text1"/>
        </w:rPr>
        <w:t>日前往法醫研究所訪查及座談，茲將該所反應之相關議題概述如下</w:t>
      </w:r>
      <w:r w:rsidRPr="000B2A94">
        <w:rPr>
          <w:rStyle w:val="aff1"/>
          <w:rFonts w:ascii="Times New Roman"/>
          <w:color w:val="000000" w:themeColor="text1"/>
        </w:rPr>
        <w:footnoteReference w:id="30"/>
      </w:r>
      <w:r w:rsidRPr="000B2A94">
        <w:rPr>
          <w:rFonts w:ascii="Times New Roman"/>
          <w:color w:val="000000" w:themeColor="text1"/>
        </w:rPr>
        <w:t>：</w:t>
      </w:r>
    </w:p>
    <w:p w:rsidR="007A7E3A" w:rsidRPr="000B2A94" w:rsidRDefault="007A7E3A" w:rsidP="007A7E3A">
      <w:pPr>
        <w:pStyle w:val="3"/>
        <w:rPr>
          <w:color w:val="000000" w:themeColor="text1"/>
        </w:rPr>
      </w:pPr>
      <w:bookmarkStart w:id="303" w:name="_Toc27399900"/>
      <w:bookmarkStart w:id="304" w:name="_Toc27399916"/>
      <w:r w:rsidRPr="000B2A94">
        <w:rPr>
          <w:rFonts w:hint="eastAsia"/>
          <w:color w:val="000000" w:themeColor="text1"/>
        </w:rPr>
        <w:t>對於設立獨立行使職權之國家級司法科學委員會或建立鑑定覆議機制之建議</w:t>
      </w:r>
    </w:p>
    <w:p w:rsidR="007A7E3A" w:rsidRPr="000B2A94" w:rsidRDefault="007A7E3A" w:rsidP="007A7E3A">
      <w:pPr>
        <w:pStyle w:val="4"/>
        <w:rPr>
          <w:color w:val="000000" w:themeColor="text1"/>
        </w:rPr>
      </w:pPr>
      <w:r w:rsidRPr="000B2A94">
        <w:rPr>
          <w:color w:val="000000" w:themeColor="text1"/>
        </w:rPr>
        <w:t>有關法醫解剖，參考世界各國法醫學為純醫學，</w:t>
      </w:r>
      <w:r w:rsidRPr="000B2A94">
        <w:rPr>
          <w:color w:val="000000" w:themeColor="text1"/>
        </w:rPr>
        <w:lastRenderedPageBreak/>
        <w:t>法醫與刑事鑑識，依民主國家理念，與司法權應</w:t>
      </w:r>
      <w:r w:rsidR="00F75EF0" w:rsidRPr="000B2A94">
        <w:rPr>
          <w:color w:val="000000" w:themeColor="text1"/>
        </w:rPr>
        <w:t>各自獨立互不隸屬，以確保法醫死因調查體系不受刑事偵查體系影響，</w:t>
      </w:r>
      <w:r w:rsidR="00F75EF0" w:rsidRPr="000B2A94">
        <w:rPr>
          <w:rFonts w:hint="eastAsia"/>
          <w:color w:val="000000" w:themeColor="text1"/>
        </w:rPr>
        <w:t>法醫研究</w:t>
      </w:r>
      <w:r w:rsidRPr="000B2A94">
        <w:rPr>
          <w:color w:val="000000" w:themeColor="text1"/>
        </w:rPr>
        <w:t>所職司死因鑑定，與國內其他鑑識機關本於專業各司其職，建</w:t>
      </w:r>
      <w:r w:rsidR="00F75EF0" w:rsidRPr="000B2A94">
        <w:rPr>
          <w:color w:val="000000" w:themeColor="text1"/>
        </w:rPr>
        <w:t>議維持現狀。另</w:t>
      </w:r>
      <w:r w:rsidR="00F75EF0" w:rsidRPr="000B2A94">
        <w:rPr>
          <w:rFonts w:hint="eastAsia"/>
          <w:color w:val="000000" w:themeColor="text1"/>
        </w:rPr>
        <w:t>法醫研究</w:t>
      </w:r>
      <w:r w:rsidRPr="000B2A94">
        <w:rPr>
          <w:color w:val="000000" w:themeColor="text1"/>
        </w:rPr>
        <w:t>所死因鑑定已經有覆議（複核）機制，檢察官或司法審判機關如有疑義亦會函詢鑑定人或請鑑定人出庭交互詰問，或依當事人請求，指派案外鑑定人進行鑑定，或者組成專案鑑定小組進行審查與鑑定，均受司法之嚴格檢驗。</w:t>
      </w:r>
      <w:bookmarkEnd w:id="303"/>
    </w:p>
    <w:p w:rsidR="007A7E3A" w:rsidRPr="000B2A94" w:rsidRDefault="007A7E3A" w:rsidP="007A7E3A">
      <w:pPr>
        <w:pStyle w:val="4"/>
        <w:rPr>
          <w:rFonts w:ascii="Times New Roman" w:hAnsi="Times New Roman"/>
          <w:color w:val="000000" w:themeColor="text1"/>
        </w:rPr>
      </w:pPr>
      <w:bookmarkStart w:id="305" w:name="_Toc27399902"/>
      <w:r w:rsidRPr="000B2A94">
        <w:rPr>
          <w:color w:val="000000" w:themeColor="text1"/>
        </w:rPr>
        <w:t>故有關設置獨立行使職權之國家級司法科學委員會或建立鑑定覆議機制，建議仍需廣徵各醫學、法醫學、法醫鑑識、刑事鑑識等科學領域之實務與學者專家再深入研究，似較妥適。</w:t>
      </w:r>
      <w:bookmarkEnd w:id="305"/>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r w:rsidRPr="000B2A94">
        <w:rPr>
          <w:rFonts w:ascii="Times New Roman" w:hAnsi="Times New Roman"/>
          <w:color w:val="000000" w:themeColor="text1"/>
        </w:rPr>
        <w:t>建構</w:t>
      </w:r>
      <w:r w:rsidRPr="000B2A94">
        <w:rPr>
          <w:rFonts w:ascii="Times New Roman" w:hAnsi="Times New Roman"/>
          <w:color w:val="000000" w:themeColor="text1"/>
          <w:szCs w:val="32"/>
        </w:rPr>
        <w:t>國家級法醫解剖中心之</w:t>
      </w:r>
      <w:r w:rsidRPr="000B2A94">
        <w:rPr>
          <w:rFonts w:ascii="Times New Roman" w:hAnsi="Times New Roman"/>
          <w:color w:val="000000" w:themeColor="text1"/>
        </w:rPr>
        <w:t>可行性及必要性之評估</w:t>
      </w:r>
      <w:bookmarkEnd w:id="304"/>
    </w:p>
    <w:p w:rsidR="00F956E8" w:rsidRPr="000B2A94" w:rsidRDefault="00F956E8" w:rsidP="00F75EF0">
      <w:pPr>
        <w:pStyle w:val="4"/>
        <w:rPr>
          <w:color w:val="000000" w:themeColor="text1"/>
        </w:rPr>
      </w:pPr>
      <w:r w:rsidRPr="000B2A94">
        <w:rPr>
          <w:color w:val="000000" w:themeColor="text1"/>
        </w:rPr>
        <w:t>法醫研究所於99年派員至美國新墨西哥研習「先進國家建構現代化法醫研究中心機構及運作模式」（臺灣國家級法醫解剖中心解剖中心建置規劃），提出臺灣未來建構國家級（centralized）法醫解剖中心，應含如下設施與設備，以強化生物安全防護及法醫病理診斷之功能：</w:t>
      </w:r>
    </w:p>
    <w:p w:rsidR="00F956E8" w:rsidRPr="000B2A94" w:rsidRDefault="00F956E8" w:rsidP="00F956E8">
      <w:pPr>
        <w:pStyle w:val="5"/>
        <w:numPr>
          <w:ilvl w:val="4"/>
          <w:numId w:val="1"/>
        </w:numPr>
        <w:overflowPunct/>
        <w:autoSpaceDE/>
        <w:autoSpaceDN/>
        <w:ind w:left="2095" w:hanging="700"/>
        <w:rPr>
          <w:rFonts w:ascii="Times New Roman" w:hAnsi="Times New Roman"/>
          <w:color w:val="000000" w:themeColor="text1"/>
        </w:rPr>
      </w:pPr>
      <w:r w:rsidRPr="000B2A94">
        <w:rPr>
          <w:rFonts w:ascii="Times New Roman" w:hAnsi="Times New Roman"/>
          <w:color w:val="000000" w:themeColor="text1"/>
        </w:rPr>
        <w:t>高等生物安全解剖室：</w:t>
      </w:r>
    </w:p>
    <w:p w:rsidR="00F956E8" w:rsidRPr="000B2A94" w:rsidRDefault="00F956E8" w:rsidP="00F956E8">
      <w:pPr>
        <w:pStyle w:val="6"/>
        <w:numPr>
          <w:ilvl w:val="5"/>
          <w:numId w:val="1"/>
        </w:numPr>
        <w:overflowPunct/>
        <w:autoSpaceDE/>
        <w:autoSpaceDN/>
        <w:ind w:left="2441" w:hanging="697"/>
        <w:rPr>
          <w:rFonts w:ascii="Times New Roman" w:hAnsi="Times New Roman"/>
          <w:color w:val="000000" w:themeColor="text1"/>
        </w:rPr>
      </w:pPr>
      <w:r w:rsidRPr="000B2A94">
        <w:rPr>
          <w:rFonts w:ascii="Times New Roman" w:hAnsi="Times New Roman"/>
          <w:color w:val="000000" w:themeColor="text1"/>
        </w:rPr>
        <w:t>大型生物安全第三等級（</w:t>
      </w:r>
      <w:r w:rsidRPr="000B2A94">
        <w:rPr>
          <w:rFonts w:ascii="Times New Roman" w:hAnsi="Times New Roman"/>
          <w:color w:val="000000" w:themeColor="text1"/>
        </w:rPr>
        <w:t>BSL3</w:t>
      </w:r>
      <w:r w:rsidRPr="000B2A94">
        <w:rPr>
          <w:rFonts w:ascii="Times New Roman" w:hAnsi="Times New Roman"/>
          <w:color w:val="000000" w:themeColor="text1"/>
        </w:rPr>
        <w:t>）解剖室，以處理常規性法醫解剖案件。</w:t>
      </w:r>
    </w:p>
    <w:p w:rsidR="00F956E8" w:rsidRPr="000B2A94" w:rsidRDefault="00F956E8" w:rsidP="00F956E8">
      <w:pPr>
        <w:pStyle w:val="6"/>
        <w:numPr>
          <w:ilvl w:val="5"/>
          <w:numId w:val="1"/>
        </w:numPr>
        <w:overflowPunct/>
        <w:autoSpaceDE/>
        <w:autoSpaceDN/>
        <w:ind w:left="2441" w:hanging="697"/>
        <w:rPr>
          <w:rFonts w:ascii="Times New Roman" w:hAnsi="Times New Roman"/>
          <w:color w:val="000000" w:themeColor="text1"/>
        </w:rPr>
      </w:pPr>
      <w:r w:rsidRPr="000B2A94">
        <w:rPr>
          <w:rFonts w:ascii="Times New Roman" w:hAnsi="Times New Roman"/>
          <w:color w:val="000000" w:themeColor="text1"/>
        </w:rPr>
        <w:t>多間生物安全第三加等級（</w:t>
      </w:r>
      <w:r w:rsidRPr="000B2A94">
        <w:rPr>
          <w:rFonts w:ascii="Times New Roman" w:hAnsi="Times New Roman"/>
          <w:color w:val="000000" w:themeColor="text1"/>
        </w:rPr>
        <w:t>BSL3+</w:t>
      </w:r>
      <w:r w:rsidRPr="000B2A94">
        <w:rPr>
          <w:rFonts w:ascii="Times New Roman" w:hAnsi="Times New Roman"/>
          <w:color w:val="000000" w:themeColor="text1"/>
        </w:rPr>
        <w:t>）隔離解剖室，以處理高度傳染性與危險性之傳染病，包括庫賈氏病之法醫解剖案件。</w:t>
      </w:r>
    </w:p>
    <w:p w:rsidR="00F956E8" w:rsidRPr="000B2A94" w:rsidRDefault="00F956E8" w:rsidP="00F956E8">
      <w:pPr>
        <w:pStyle w:val="5"/>
        <w:numPr>
          <w:ilvl w:val="4"/>
          <w:numId w:val="1"/>
        </w:numPr>
        <w:overflowPunct/>
        <w:autoSpaceDE/>
        <w:autoSpaceDN/>
        <w:ind w:left="2095" w:hanging="700"/>
        <w:rPr>
          <w:rFonts w:ascii="Times New Roman" w:hAnsi="Times New Roman"/>
          <w:color w:val="000000" w:themeColor="text1"/>
        </w:rPr>
      </w:pPr>
      <w:r w:rsidRPr="000B2A94">
        <w:rPr>
          <w:rFonts w:ascii="Times New Roman" w:hAnsi="Times New Roman"/>
          <w:color w:val="000000" w:themeColor="text1"/>
        </w:rPr>
        <w:t>數位影像虛擬解剖</w:t>
      </w:r>
      <w:r w:rsidRPr="000B2A94">
        <w:rPr>
          <w:rFonts w:ascii="Times New Roman" w:hAnsi="Times New Roman"/>
          <w:color w:val="000000" w:themeColor="text1"/>
        </w:rPr>
        <w:t>(Virtual Autopsy)</w:t>
      </w:r>
      <w:r w:rsidRPr="000B2A94">
        <w:rPr>
          <w:rFonts w:ascii="Times New Roman" w:hAnsi="Times New Roman"/>
          <w:color w:val="000000" w:themeColor="text1"/>
        </w:rPr>
        <w:t>實驗室：</w:t>
      </w:r>
    </w:p>
    <w:p w:rsidR="00F956E8" w:rsidRPr="000B2A94" w:rsidRDefault="00F956E8" w:rsidP="00F956E8">
      <w:pPr>
        <w:pStyle w:val="6"/>
        <w:numPr>
          <w:ilvl w:val="5"/>
          <w:numId w:val="1"/>
        </w:numPr>
        <w:overflowPunct/>
        <w:autoSpaceDE/>
        <w:autoSpaceDN/>
        <w:ind w:left="2441" w:hanging="697"/>
        <w:rPr>
          <w:rFonts w:ascii="Times New Roman" w:hAnsi="Times New Roman"/>
          <w:color w:val="000000" w:themeColor="text1"/>
        </w:rPr>
      </w:pPr>
      <w:r w:rsidRPr="000B2A94">
        <w:rPr>
          <w:rFonts w:ascii="Times New Roman" w:hAnsi="Times New Roman"/>
          <w:color w:val="000000" w:themeColor="text1"/>
        </w:rPr>
        <w:t>3D</w:t>
      </w:r>
      <w:r w:rsidRPr="000B2A94">
        <w:rPr>
          <w:rFonts w:ascii="Times New Roman" w:hAnsi="Times New Roman"/>
          <w:color w:val="000000" w:themeColor="text1"/>
        </w:rPr>
        <w:t>電腦斷層攝影（</w:t>
      </w:r>
      <w:r w:rsidRPr="000B2A94">
        <w:rPr>
          <w:rFonts w:ascii="Times New Roman" w:hAnsi="Times New Roman"/>
          <w:color w:val="000000" w:themeColor="text1"/>
        </w:rPr>
        <w:t>3D CT Scan</w:t>
      </w:r>
      <w:r w:rsidRPr="000B2A94">
        <w:rPr>
          <w:rFonts w:ascii="Times New Roman" w:hAnsi="Times New Roman"/>
          <w:color w:val="000000" w:themeColor="text1"/>
        </w:rPr>
        <w:t>）實驗室。</w:t>
      </w:r>
    </w:p>
    <w:p w:rsidR="00F956E8" w:rsidRPr="000B2A94" w:rsidRDefault="00F956E8" w:rsidP="00F956E8">
      <w:pPr>
        <w:pStyle w:val="6"/>
        <w:numPr>
          <w:ilvl w:val="5"/>
          <w:numId w:val="1"/>
        </w:numPr>
        <w:overflowPunct/>
        <w:autoSpaceDE/>
        <w:autoSpaceDN/>
        <w:ind w:left="2441" w:hanging="697"/>
        <w:rPr>
          <w:rFonts w:ascii="Times New Roman" w:hAnsi="Times New Roman"/>
          <w:color w:val="000000" w:themeColor="text1"/>
        </w:rPr>
      </w:pPr>
      <w:r w:rsidRPr="000B2A94">
        <w:rPr>
          <w:rFonts w:ascii="Times New Roman" w:hAnsi="Times New Roman"/>
          <w:color w:val="000000" w:themeColor="text1"/>
        </w:rPr>
        <w:lastRenderedPageBreak/>
        <w:t>核磁共振掃描（</w:t>
      </w:r>
      <w:r w:rsidRPr="000B2A94">
        <w:rPr>
          <w:rFonts w:ascii="Times New Roman" w:hAnsi="Times New Roman"/>
          <w:color w:val="000000" w:themeColor="text1"/>
        </w:rPr>
        <w:t>MRI</w:t>
      </w:r>
      <w:r w:rsidRPr="000B2A94">
        <w:rPr>
          <w:rFonts w:ascii="Times New Roman" w:hAnsi="Times New Roman"/>
          <w:color w:val="000000" w:themeColor="text1"/>
        </w:rPr>
        <w:t>）實驗室。</w:t>
      </w:r>
    </w:p>
    <w:p w:rsidR="00F956E8" w:rsidRPr="000B2A94" w:rsidRDefault="00F956E8" w:rsidP="00F956E8">
      <w:pPr>
        <w:pStyle w:val="5"/>
        <w:numPr>
          <w:ilvl w:val="4"/>
          <w:numId w:val="1"/>
        </w:numPr>
        <w:overflowPunct/>
        <w:autoSpaceDE/>
        <w:autoSpaceDN/>
        <w:ind w:left="2095" w:hanging="700"/>
        <w:rPr>
          <w:rFonts w:ascii="Times New Roman" w:hAnsi="Times New Roman"/>
          <w:color w:val="000000" w:themeColor="text1"/>
        </w:rPr>
      </w:pPr>
      <w:r w:rsidRPr="000B2A94">
        <w:rPr>
          <w:rFonts w:ascii="Times New Roman" w:hAnsi="Times New Roman"/>
          <w:color w:val="000000" w:themeColor="text1"/>
        </w:rPr>
        <w:t>法醫組織病理（</w:t>
      </w:r>
      <w:r w:rsidRPr="000B2A94">
        <w:rPr>
          <w:rFonts w:ascii="Times New Roman" w:hAnsi="Times New Roman"/>
          <w:color w:val="000000" w:themeColor="text1"/>
        </w:rPr>
        <w:t>Forensic Histopathology</w:t>
      </w:r>
      <w:r w:rsidRPr="000B2A94">
        <w:rPr>
          <w:rFonts w:ascii="Times New Roman" w:hAnsi="Times New Roman"/>
          <w:color w:val="000000" w:themeColor="text1"/>
        </w:rPr>
        <w:t>）實驗室：</w:t>
      </w:r>
    </w:p>
    <w:p w:rsidR="00F956E8" w:rsidRPr="000B2A94" w:rsidRDefault="00F956E8" w:rsidP="00F956E8">
      <w:pPr>
        <w:pStyle w:val="6"/>
        <w:numPr>
          <w:ilvl w:val="5"/>
          <w:numId w:val="1"/>
        </w:numPr>
        <w:overflowPunct/>
        <w:autoSpaceDE/>
        <w:autoSpaceDN/>
        <w:ind w:left="2441" w:hanging="697"/>
        <w:rPr>
          <w:rFonts w:ascii="Times New Roman" w:hAnsi="Times New Roman"/>
          <w:color w:val="000000" w:themeColor="text1"/>
        </w:rPr>
      </w:pPr>
      <w:r w:rsidRPr="000B2A94">
        <w:rPr>
          <w:rFonts w:ascii="Times New Roman" w:hAnsi="Times New Roman"/>
          <w:color w:val="000000" w:themeColor="text1"/>
        </w:rPr>
        <w:t>特殊染色實驗室（</w:t>
      </w:r>
      <w:r w:rsidRPr="000B2A94">
        <w:rPr>
          <w:rFonts w:ascii="Times New Roman" w:hAnsi="Times New Roman"/>
          <w:color w:val="000000" w:themeColor="text1"/>
        </w:rPr>
        <w:t>Special Stains</w:t>
      </w:r>
      <w:r w:rsidRPr="000B2A94">
        <w:rPr>
          <w:rFonts w:ascii="Times New Roman" w:hAnsi="Times New Roman"/>
          <w:color w:val="000000" w:themeColor="text1"/>
        </w:rPr>
        <w:t>）實驗室。</w:t>
      </w:r>
    </w:p>
    <w:p w:rsidR="00F956E8" w:rsidRPr="000B2A94" w:rsidRDefault="00F956E8" w:rsidP="00F956E8">
      <w:pPr>
        <w:pStyle w:val="6"/>
        <w:numPr>
          <w:ilvl w:val="5"/>
          <w:numId w:val="1"/>
        </w:numPr>
        <w:overflowPunct/>
        <w:autoSpaceDE/>
        <w:autoSpaceDN/>
        <w:ind w:left="2441" w:hanging="697"/>
        <w:rPr>
          <w:rFonts w:ascii="Times New Roman" w:hAnsi="Times New Roman"/>
          <w:color w:val="000000" w:themeColor="text1"/>
        </w:rPr>
      </w:pPr>
      <w:r w:rsidRPr="000B2A94">
        <w:rPr>
          <w:rFonts w:ascii="Times New Roman" w:hAnsi="Times New Roman"/>
          <w:color w:val="000000" w:themeColor="text1"/>
        </w:rPr>
        <w:t>免疫組織化學染色（</w:t>
      </w:r>
      <w:r w:rsidRPr="000B2A94">
        <w:rPr>
          <w:rFonts w:ascii="Times New Roman" w:hAnsi="Times New Roman"/>
          <w:color w:val="000000" w:themeColor="text1"/>
        </w:rPr>
        <w:t>Immunohistochemistry, IHC</w:t>
      </w:r>
      <w:r w:rsidRPr="000B2A94">
        <w:rPr>
          <w:rFonts w:ascii="Times New Roman" w:hAnsi="Times New Roman"/>
          <w:color w:val="000000" w:themeColor="text1"/>
        </w:rPr>
        <w:t>）等分子病理實驗室。</w:t>
      </w:r>
    </w:p>
    <w:p w:rsidR="00F956E8" w:rsidRPr="000B2A94" w:rsidRDefault="00F956E8" w:rsidP="00F956E8">
      <w:pPr>
        <w:pStyle w:val="6"/>
        <w:numPr>
          <w:ilvl w:val="5"/>
          <w:numId w:val="1"/>
        </w:numPr>
        <w:overflowPunct/>
        <w:autoSpaceDE/>
        <w:autoSpaceDN/>
        <w:ind w:left="2441" w:hanging="697"/>
        <w:rPr>
          <w:rFonts w:ascii="Times New Roman" w:hAnsi="Times New Roman"/>
          <w:color w:val="000000" w:themeColor="text1"/>
        </w:rPr>
      </w:pPr>
      <w:r w:rsidRPr="000B2A94">
        <w:rPr>
          <w:rFonts w:ascii="Times New Roman" w:hAnsi="Times New Roman"/>
          <w:color w:val="000000" w:themeColor="text1"/>
        </w:rPr>
        <w:t>電子顯微鏡實驗室。</w:t>
      </w:r>
    </w:p>
    <w:p w:rsidR="00F956E8" w:rsidRPr="000B2A94" w:rsidRDefault="00F956E8" w:rsidP="00F75EF0">
      <w:pPr>
        <w:pStyle w:val="4"/>
        <w:rPr>
          <w:color w:val="000000" w:themeColor="text1"/>
        </w:rPr>
      </w:pPr>
      <w:r w:rsidRPr="000B2A94">
        <w:rPr>
          <w:color w:val="000000" w:themeColor="text1"/>
        </w:rPr>
        <w:t>法醫研究所復於100年派員至荷蘭法醫中心（NFI）及新加坡衛生科學局（HSA）研習先進國家刑事司法證物之相關管理運作及制度，為健全臺灣法醫制度，提昇法醫病理鑑驗品質，謹綜合此次荷蘭法醫中心及新加坡法醫中心參訪心得，並參照現行美國、日本、香港、澳洲等國的法醫制度與法醫中心之設施與設備，建議如下：</w:t>
      </w:r>
    </w:p>
    <w:p w:rsidR="00F956E8" w:rsidRPr="000B2A94" w:rsidRDefault="00F956E8" w:rsidP="00F956E8">
      <w:pPr>
        <w:pStyle w:val="5"/>
        <w:numPr>
          <w:ilvl w:val="4"/>
          <w:numId w:val="1"/>
        </w:numPr>
        <w:overflowPunct/>
        <w:autoSpaceDE/>
        <w:autoSpaceDN/>
        <w:ind w:left="2095" w:hanging="700"/>
        <w:rPr>
          <w:rFonts w:ascii="Times New Roman" w:hAnsi="Times New Roman"/>
          <w:color w:val="000000" w:themeColor="text1"/>
        </w:rPr>
      </w:pPr>
      <w:r w:rsidRPr="000B2A94">
        <w:rPr>
          <w:rFonts w:ascii="Times New Roman" w:hAnsi="Times New Roman"/>
          <w:color w:val="000000" w:themeColor="text1"/>
        </w:rPr>
        <w:t>法醫制度：</w:t>
      </w:r>
    </w:p>
    <w:p w:rsidR="00F956E8" w:rsidRPr="000B2A94" w:rsidRDefault="00F956E8" w:rsidP="00F75EF0">
      <w:pPr>
        <w:pStyle w:val="6"/>
        <w:rPr>
          <w:color w:val="000000" w:themeColor="text1"/>
        </w:rPr>
      </w:pPr>
      <w:r w:rsidRPr="000B2A94">
        <w:rPr>
          <w:color w:val="000000" w:themeColor="text1"/>
        </w:rPr>
        <w:t>應儘速建立「法醫病理專科醫師（Forensic Pathologist）」證照制度，因事屬醫療專業，主管機關應為衛生署而非法務部。衛生署應指定法務部法醫研究所，承辦法醫病理專科醫師「訓練」計畫，由臺灣病理學會承辦法醫病理專科醫師「甄審」計畫。（流程如附圖五）</w:t>
      </w:r>
    </w:p>
    <w:p w:rsidR="00F956E8" w:rsidRPr="000B2A94" w:rsidRDefault="00F956E8" w:rsidP="00F75EF0">
      <w:pPr>
        <w:pStyle w:val="6"/>
        <w:rPr>
          <w:color w:val="000000" w:themeColor="text1"/>
        </w:rPr>
      </w:pPr>
      <w:r w:rsidRPr="000B2A94">
        <w:rPr>
          <w:color w:val="000000" w:themeColor="text1"/>
        </w:rPr>
        <w:t>法醫解剖，應由同時具備醫師證書、解剖病理專科醫師證書及法醫病理專科醫師證書之法醫病理專科醫師（Forensic Pathologist）執行。</w:t>
      </w:r>
    </w:p>
    <w:p w:rsidR="00F956E8" w:rsidRPr="000B2A94" w:rsidRDefault="00F956E8" w:rsidP="00F75EF0">
      <w:pPr>
        <w:pStyle w:val="5"/>
        <w:rPr>
          <w:color w:val="000000" w:themeColor="text1"/>
        </w:rPr>
      </w:pPr>
      <w:r w:rsidRPr="000B2A94">
        <w:rPr>
          <w:color w:val="000000" w:themeColor="text1"/>
        </w:rPr>
        <w:t>未來國家級法醫病理中心之規畫與建構應包括：</w:t>
      </w:r>
    </w:p>
    <w:p w:rsidR="00F956E8" w:rsidRPr="000B2A94" w:rsidRDefault="00F956E8" w:rsidP="00F75EF0">
      <w:pPr>
        <w:pStyle w:val="6"/>
        <w:rPr>
          <w:color w:val="000000" w:themeColor="text1"/>
        </w:rPr>
      </w:pPr>
      <w:r w:rsidRPr="000B2A94">
        <w:rPr>
          <w:color w:val="000000" w:themeColor="text1"/>
        </w:rPr>
        <w:t>大型生物安全第三等級（BSL3）解剖室，以處理常規性法醫解剖案件。</w:t>
      </w:r>
    </w:p>
    <w:p w:rsidR="00F956E8" w:rsidRPr="000B2A94" w:rsidRDefault="00F956E8" w:rsidP="00F75EF0">
      <w:pPr>
        <w:pStyle w:val="6"/>
        <w:rPr>
          <w:color w:val="000000" w:themeColor="text1"/>
        </w:rPr>
      </w:pPr>
      <w:r w:rsidRPr="000B2A94">
        <w:rPr>
          <w:color w:val="000000" w:themeColor="text1"/>
        </w:rPr>
        <w:lastRenderedPageBreak/>
        <w:t>多間生物安全第三加等級（BSL3+）隔離解剖室，以處理高度傳染性與危險性之法醫解剖案件。</w:t>
      </w:r>
    </w:p>
    <w:p w:rsidR="00F956E8" w:rsidRPr="000B2A94" w:rsidRDefault="00F956E8" w:rsidP="00F75EF0">
      <w:pPr>
        <w:pStyle w:val="6"/>
        <w:rPr>
          <w:color w:val="000000" w:themeColor="text1"/>
        </w:rPr>
      </w:pPr>
      <w:r w:rsidRPr="000B2A94">
        <w:rPr>
          <w:color w:val="000000" w:themeColor="text1"/>
        </w:rPr>
        <w:t>電腦斷層攝影（3D CT Scan）室，核磁共震掃描（MRI）室及電子顯微鏡室，以強化法醫影相學診斷及證物保存功能。</w:t>
      </w:r>
    </w:p>
    <w:p w:rsidR="00F956E8" w:rsidRPr="000B2A94" w:rsidRDefault="00F956E8" w:rsidP="00F75EF0">
      <w:pPr>
        <w:pStyle w:val="6"/>
        <w:rPr>
          <w:color w:val="000000" w:themeColor="text1"/>
        </w:rPr>
      </w:pPr>
      <w:r w:rsidRPr="000B2A94">
        <w:rPr>
          <w:color w:val="000000" w:themeColor="text1"/>
        </w:rPr>
        <w:t>法醫分子病理及微生物實驗室，以強化法醫組織病理及微生物鑑定功能。</w:t>
      </w:r>
    </w:p>
    <w:p w:rsidR="00F956E8" w:rsidRPr="000B2A94" w:rsidRDefault="00F956E8" w:rsidP="00F75EF0">
      <w:pPr>
        <w:pStyle w:val="4"/>
        <w:rPr>
          <w:color w:val="000000" w:themeColor="text1"/>
        </w:rPr>
      </w:pPr>
      <w:r w:rsidRPr="000B2A94">
        <w:rPr>
          <w:rFonts w:hint="eastAsia"/>
          <w:color w:val="000000" w:themeColor="text1"/>
        </w:rPr>
        <w:t>依法醫研究所評估，設置「具備生物安全第三等級及生物安全第三加等級之中央化法醫解剖中心」，有以下優點：（1）有利於生物安全管控，避免具感染性疾病之遺體到處散布病菌。（2）有利於各類法醫相關研究發展，提昇法醫鑑驗品質，各類法醫案例討論與相關人員教育訓練。（3）全國法醫解剖地點集中，減少人員差旅費支出，提升每日可受理解剖案件數，</w:t>
      </w:r>
      <w:r w:rsidRPr="000B2A94">
        <w:rPr>
          <w:rFonts w:hint="eastAsia"/>
          <w:color w:val="000000" w:themeColor="text1"/>
          <w:lang w:eastAsia="zh-HK"/>
        </w:rPr>
        <w:t>提昇效率</w:t>
      </w:r>
      <w:r w:rsidRPr="000B2A94">
        <w:rPr>
          <w:rFonts w:hint="eastAsia"/>
          <w:color w:val="000000" w:themeColor="text1"/>
        </w:rPr>
        <w:t>。惟仍須考量對現行司法相驗制度及便民政策之影響，並評估設置</w:t>
      </w:r>
      <w:r w:rsidRPr="000B2A94">
        <w:rPr>
          <w:rFonts w:hAnsi="標楷體" w:hint="eastAsia"/>
          <w:color w:val="000000" w:themeColor="text1"/>
          <w:szCs w:val="32"/>
        </w:rPr>
        <w:t>國家級法醫解剖中心</w:t>
      </w:r>
      <w:r w:rsidRPr="000B2A94">
        <w:rPr>
          <w:rFonts w:hint="eastAsia"/>
          <w:color w:val="000000" w:themeColor="text1"/>
        </w:rPr>
        <w:t>，是否會受到當地民眾反對之現實因素。</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306" w:name="_Toc27399917"/>
      <w:r w:rsidRPr="000B2A94">
        <w:rPr>
          <w:rFonts w:ascii="Times New Roman" w:hAnsi="Times New Roman"/>
          <w:color w:val="000000" w:themeColor="text1"/>
        </w:rPr>
        <w:t>法醫人才養成困境</w:t>
      </w:r>
      <w:bookmarkEnd w:id="306"/>
    </w:p>
    <w:p w:rsidR="00F956E8" w:rsidRPr="000B2A94" w:rsidRDefault="00F956E8" w:rsidP="00F956E8">
      <w:pPr>
        <w:pStyle w:val="4"/>
        <w:numPr>
          <w:ilvl w:val="3"/>
          <w:numId w:val="1"/>
        </w:numPr>
        <w:overflowPunct/>
        <w:autoSpaceDE/>
        <w:autoSpaceDN/>
        <w:ind w:left="1741" w:hanging="698"/>
        <w:rPr>
          <w:rFonts w:ascii="Times New Roman" w:hAnsi="Times New Roman"/>
          <w:color w:val="000000" w:themeColor="text1"/>
        </w:rPr>
      </w:pPr>
      <w:r w:rsidRPr="000B2A94">
        <w:rPr>
          <w:rFonts w:ascii="Times New Roman" w:hAnsi="Times New Roman"/>
          <w:color w:val="000000" w:themeColor="text1"/>
          <w:szCs w:val="32"/>
        </w:rPr>
        <w:t>法醫人才培育制度現況</w:t>
      </w:r>
    </w:p>
    <w:p w:rsidR="00F956E8" w:rsidRPr="000B2A94" w:rsidRDefault="00F956E8" w:rsidP="00F75EF0">
      <w:pPr>
        <w:pStyle w:val="5"/>
        <w:rPr>
          <w:color w:val="000000" w:themeColor="text1"/>
        </w:rPr>
      </w:pPr>
      <w:r w:rsidRPr="000B2A94">
        <w:rPr>
          <w:color w:val="000000" w:themeColor="text1"/>
        </w:rPr>
        <w:t>依法醫師法第4條規定，目前得應法醫師考試之資格有二：</w:t>
      </w:r>
    </w:p>
    <w:p w:rsidR="00F956E8" w:rsidRPr="000B2A94" w:rsidRDefault="00F956E8" w:rsidP="00F75EF0">
      <w:pPr>
        <w:pStyle w:val="6"/>
        <w:rPr>
          <w:color w:val="000000" w:themeColor="text1"/>
        </w:rPr>
      </w:pPr>
      <w:r w:rsidRPr="000B2A94">
        <w:rPr>
          <w:color w:val="000000" w:themeColor="text1"/>
        </w:rPr>
        <w:t>公立或立案之私立大學、獨立學院或符合教育部採認規定之國外大學、獨立學院法醫學研究所畢業，並經實習期滿成績及格，領有畢業證書。</w:t>
      </w:r>
    </w:p>
    <w:p w:rsidR="00F956E8" w:rsidRPr="000B2A94" w:rsidRDefault="00F956E8" w:rsidP="00F75EF0">
      <w:pPr>
        <w:pStyle w:val="6"/>
        <w:rPr>
          <w:color w:val="000000" w:themeColor="text1"/>
        </w:rPr>
      </w:pPr>
      <w:r w:rsidRPr="000B2A94">
        <w:rPr>
          <w:color w:val="000000" w:themeColor="text1"/>
        </w:rPr>
        <w:t>公立或立案之私立大學、獨立學院或符合教育部採認規定之國外大學、獨立學院醫學、牙醫學、中醫學系、科畢業，經醫師、牙醫</w:t>
      </w:r>
      <w:r w:rsidRPr="000B2A94">
        <w:rPr>
          <w:color w:val="000000" w:themeColor="text1"/>
        </w:rPr>
        <w:lastRenderedPageBreak/>
        <w:t>師、中醫師考試及格，領有醫師、牙醫師、中醫師證書，且修習法醫學程，並經法醫實習期滿成績及格，或經國內外法醫部門一年以上之法醫專業訓練，領有證明文件。</w:t>
      </w:r>
    </w:p>
    <w:p w:rsidR="00F956E8" w:rsidRPr="000B2A94" w:rsidRDefault="00F956E8" w:rsidP="00F956E8">
      <w:pPr>
        <w:pStyle w:val="51"/>
        <w:ind w:left="2041" w:firstLine="680"/>
        <w:rPr>
          <w:rFonts w:ascii="Times New Roman"/>
          <w:color w:val="000000" w:themeColor="text1"/>
          <w:szCs w:val="32"/>
        </w:rPr>
      </w:pPr>
      <w:r w:rsidRPr="000B2A94">
        <w:rPr>
          <w:rFonts w:ascii="Times New Roman"/>
          <w:color w:val="000000" w:themeColor="text1"/>
          <w:szCs w:val="32"/>
        </w:rPr>
        <w:t>前述第</w:t>
      </w:r>
      <w:r w:rsidRPr="000B2A94">
        <w:rPr>
          <w:rFonts w:ascii="Times New Roman"/>
          <w:color w:val="000000" w:themeColor="text1"/>
          <w:szCs w:val="32"/>
        </w:rPr>
        <w:t>1</w:t>
      </w:r>
      <w:r w:rsidRPr="000B2A94">
        <w:rPr>
          <w:rFonts w:ascii="Times New Roman"/>
          <w:color w:val="000000" w:themeColor="text1"/>
          <w:szCs w:val="32"/>
        </w:rPr>
        <w:t>款目前國內有臺灣大學醫學院法醫學研究所辦理養成教育，於研究所畢業並經實習期滿成績及格，領有畢業證書，即得應法醫師考試；後者則由各醫學院醫學、牙醫學、中醫學系辦理養成教育，經醫師、牙醫師、中醫師考試及格，領有醫師、牙醫師、中醫師證書後，可選擇報考臺灣大學法醫學研究所甲組，經法醫實習期滿成績及格，或依本所選送病理專科醫師出國進修實施要點規定選送出國接受國外法醫部門一年以上之法醫專業訓練，領有證明文件者，即得應法醫師考試。</w:t>
      </w:r>
    </w:p>
    <w:p w:rsidR="00F956E8" w:rsidRPr="000B2A94" w:rsidRDefault="00F956E8" w:rsidP="00F75EF0">
      <w:pPr>
        <w:pStyle w:val="5"/>
        <w:rPr>
          <w:color w:val="000000" w:themeColor="text1"/>
        </w:rPr>
      </w:pPr>
      <w:r w:rsidRPr="000B2A94">
        <w:rPr>
          <w:color w:val="000000" w:themeColor="text1"/>
        </w:rPr>
        <w:t>通過法醫師考試後，再參加公務人員特種考試司法人員三等公職法醫師考試通過，經分發地方檢察署任公職法醫師者，須依「公務人員特種考試司法人員考試三等考試公職法醫師類科錄取人員訓練計畫」，至本所接受4個月實務訓練，內容包括法醫解剖、法醫毒物、血清證物等實務。</w:t>
      </w:r>
    </w:p>
    <w:p w:rsidR="00F956E8" w:rsidRPr="000B2A94" w:rsidRDefault="00F956E8" w:rsidP="00F956E8">
      <w:pPr>
        <w:pStyle w:val="5"/>
        <w:numPr>
          <w:ilvl w:val="4"/>
          <w:numId w:val="1"/>
        </w:numPr>
        <w:overflowPunct/>
        <w:autoSpaceDE/>
        <w:autoSpaceDN/>
        <w:ind w:left="2095" w:hanging="700"/>
        <w:rPr>
          <w:rFonts w:ascii="Times New Roman" w:hAnsi="Times New Roman"/>
          <w:color w:val="000000" w:themeColor="text1"/>
        </w:rPr>
      </w:pPr>
      <w:r w:rsidRPr="000B2A94">
        <w:rPr>
          <w:rFonts w:ascii="Times New Roman" w:hAnsi="Times New Roman"/>
          <w:color w:val="000000" w:themeColor="text1"/>
        </w:rPr>
        <w:t>受理各醫院「薦送病理醫師至本所接受法醫解剖訓練」：為奠定病理醫</w:t>
      </w:r>
      <w:r w:rsidRPr="000B2A94">
        <w:rPr>
          <w:color w:val="000000" w:themeColor="text1"/>
        </w:rPr>
        <w:t>師參與法醫解剖之法醫病理專科醫師基礎工作，本所受理各級醫院病理住院醫師取得專科醫師</w:t>
      </w:r>
      <w:r w:rsidRPr="000B2A94">
        <w:rPr>
          <w:rFonts w:ascii="Times New Roman" w:hAnsi="Times New Roman"/>
          <w:color w:val="000000" w:themeColor="text1"/>
        </w:rPr>
        <w:t>前法醫解剖訓練，期能在取得病理專科醫師資格後，依法醫師法規定具得法醫師證照後，能投身法醫工作。</w:t>
      </w:r>
    </w:p>
    <w:p w:rsidR="00F956E8" w:rsidRPr="000B2A94" w:rsidRDefault="00F956E8" w:rsidP="00F956E8">
      <w:pPr>
        <w:pStyle w:val="4"/>
        <w:numPr>
          <w:ilvl w:val="3"/>
          <w:numId w:val="1"/>
        </w:numPr>
        <w:overflowPunct/>
        <w:autoSpaceDE/>
        <w:autoSpaceDN/>
        <w:ind w:left="1741" w:hanging="698"/>
        <w:rPr>
          <w:rFonts w:ascii="Times New Roman" w:hAnsi="Times New Roman"/>
          <w:color w:val="000000" w:themeColor="text1"/>
        </w:rPr>
      </w:pPr>
      <w:r w:rsidRPr="000B2A94">
        <w:rPr>
          <w:rFonts w:ascii="Times New Roman" w:hAnsi="Times New Roman"/>
          <w:color w:val="000000" w:themeColor="text1"/>
          <w:szCs w:val="32"/>
        </w:rPr>
        <w:t>法醫師法施行後遭遇之問題</w:t>
      </w:r>
    </w:p>
    <w:p w:rsidR="00F956E8" w:rsidRPr="000B2A94" w:rsidRDefault="00F956E8" w:rsidP="00F75EF0">
      <w:pPr>
        <w:pStyle w:val="5"/>
        <w:rPr>
          <w:color w:val="000000" w:themeColor="text1"/>
        </w:rPr>
      </w:pPr>
      <w:r w:rsidRPr="000B2A94">
        <w:rPr>
          <w:color w:val="000000" w:themeColor="text1"/>
        </w:rPr>
        <w:lastRenderedPageBreak/>
        <w:t>法醫師法第9條第2項規定解剖屍體由法醫師為之。又依刑事訴訟法第216條第3項規定解剖屍體應命醫師行之，由於本所為全國唯一專責辦理解剖鑑定之機關，為免解剖資格發生爭議，所進用之法醫師均需具備法醫師法及刑事訴訟法所規定的法醫師及醫師資格。又死因鑑定涉及病理及臨床診斷，故又特別要求本所法醫師亦應具備病理專科醫師證照，以維持本所法醫解剖鑑定報告可受司法檢驗，為死者權益把關。然而每年幾無醫師、牙醫師、中醫師考取法醫師證照者，現有具備法醫師證照之醫師、牙醫師、中醫師亦無擔任法醫之意願，致使本所一名法醫師懸缺迄今，無法順利進用。本所為鼓勵具醫師資格者參加法醫師考試並願意擔任正職法醫師，已著手調整法醫工作環境、建議修正本所法醫師（組長、研究員、副研究員、助理研究員）得適用醫事人員人事條例，建議調升按件計酬解剖鑑定費用以增加實質所得達到公立醫院醫師的薪資水準，期能增加誘因，改善本所正職法醫師人力不足困境。</w:t>
      </w:r>
    </w:p>
    <w:p w:rsidR="00F956E8" w:rsidRPr="000B2A94" w:rsidRDefault="00F956E8" w:rsidP="00F75EF0">
      <w:pPr>
        <w:pStyle w:val="5"/>
        <w:rPr>
          <w:color w:val="000000" w:themeColor="text1"/>
        </w:rPr>
      </w:pPr>
      <w:r w:rsidRPr="000B2A94">
        <w:rPr>
          <w:color w:val="000000" w:themeColor="text1"/>
        </w:rPr>
        <w:t>又為培育未具醫師資格之法醫師（以下簡稱公職法醫師）具備解剖能力，本所前曾提報未具醫師資格法醫師解剖及病理訓練計畫，但衛生福利部於103年2月5日衛部醫字第1020171530號函示，其中說明三、四、五略以：「查醫師法第28條所稱醫療業務之施行對象，尚不以生存之自然人為限，即便為死亡之人，對於『可疑為非病死或非病死』疑慮而為解剖判斷時，在判定過程中仍應將『病死』之可能性排除後，始為確認，而『病死』之判斷，係屬醫師之法</w:t>
      </w:r>
      <w:r w:rsidRPr="000B2A94">
        <w:rPr>
          <w:color w:val="000000" w:themeColor="text1"/>
        </w:rPr>
        <w:lastRenderedPageBreak/>
        <w:t>定業務範疇」，又「非醫學系畢業就讀法醫學研究所，雖需修學5年，達172個學分，惟所修課程屬臨床醫學類極少，日後執行解剖、鑑定業務，對於病死與否之判斷顯有困難</w:t>
      </w:r>
      <w:r w:rsidRPr="000B2A94">
        <w:rPr>
          <w:color w:val="000000" w:themeColor="text1"/>
        </w:rPr>
        <w:t>…</w:t>
      </w:r>
      <w:r w:rsidRPr="000B2A94">
        <w:rPr>
          <w:color w:val="000000" w:themeColor="text1"/>
        </w:rPr>
        <w:t>」另說明六「再者，貴部規畫與教學醫院合作，對於未具醫師、中醫師或牙醫師資格之法醫師施予醫學教育見習訓練，其見習過程中，尚不可涉及臨床實務醫療處置。是以，前揭完成訓練且甄審成績及格之受訓法醫師，因未受完整醫學教育養成及實務執行醫療業務，雖予補強其醫學專業，其執行解剖業務，仍有疑慮，爰尚有不宜。」故醫院或醫師均因上開函示而無法配合前述計畫辦理訓練。本項計畫經法務部於本（108）年5月6日召開第9次「法醫師法與刑事訴訟法研商會議」裁示請本所於一周內提出提昇法醫師訓練計畫草案(包含解剖訓練計畫)，後經本所提報「法醫解剖專業訓練計畫(草案)」，希提昇公職法醫師解剖專業能力，以及建立醫師、牙醫師、中醫師在國內接受法醫專業訓練之機制，本計畫草案由法務部邀集醫師界與法醫師界等專家學者召開「法醫師法與刑事訴訟法相關問題研商會議」研議中。</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307" w:name="_Toc27399918"/>
      <w:r w:rsidRPr="000B2A94">
        <w:rPr>
          <w:rFonts w:ascii="Times New Roman" w:hAnsi="Times New Roman" w:hint="eastAsia"/>
          <w:color w:val="000000" w:themeColor="text1"/>
        </w:rPr>
        <w:t>我國</w:t>
      </w:r>
      <w:r w:rsidRPr="000B2A94">
        <w:rPr>
          <w:rFonts w:ascii="Times New Roman" w:hAnsi="Times New Roman"/>
          <w:color w:val="000000" w:themeColor="text1"/>
        </w:rPr>
        <w:t>解剖率</w:t>
      </w:r>
      <w:bookmarkEnd w:id="307"/>
      <w:r w:rsidR="00F75EF0" w:rsidRPr="000B2A94">
        <w:rPr>
          <w:rFonts w:ascii="Times New Roman" w:hAnsi="Times New Roman" w:hint="eastAsia"/>
          <w:color w:val="000000" w:themeColor="text1"/>
        </w:rPr>
        <w:t>現況</w:t>
      </w:r>
    </w:p>
    <w:p w:rsidR="00F956E8" w:rsidRPr="000B2A94" w:rsidRDefault="00F956E8" w:rsidP="00F956E8">
      <w:pPr>
        <w:pStyle w:val="32"/>
        <w:ind w:left="1361" w:firstLine="680"/>
        <w:rPr>
          <w:rFonts w:ascii="Times New Roman"/>
          <w:color w:val="000000" w:themeColor="text1"/>
        </w:rPr>
      </w:pPr>
      <w:r w:rsidRPr="000B2A94">
        <w:rPr>
          <w:rFonts w:ascii="Times New Roman"/>
          <w:color w:val="000000" w:themeColor="text1"/>
        </w:rPr>
        <w:t>法醫</w:t>
      </w:r>
      <w:r w:rsidR="00083A26" w:rsidRPr="000B2A94">
        <w:rPr>
          <w:rFonts w:ascii="Times New Roman" w:hint="eastAsia"/>
          <w:color w:val="000000" w:themeColor="text1"/>
        </w:rPr>
        <w:t>研究</w:t>
      </w:r>
      <w:r w:rsidRPr="000B2A94">
        <w:rPr>
          <w:rFonts w:ascii="Times New Roman"/>
          <w:color w:val="000000" w:themeColor="text1"/>
        </w:rPr>
        <w:t>所表示，法醫界長期存在解剖量的迷思，認為解剖率越高即象徵司法人權越進步，以往為提昇解剖量，該所鼓勵各地檢署多報解剖，法醫研究所以往的做法亦會儘量滿足各地檢署之解剖需求，更且連解剖時間也配合檢察官指定的時間。全國有</w:t>
      </w:r>
      <w:r w:rsidRPr="000B2A94">
        <w:rPr>
          <w:rFonts w:ascii="Times New Roman"/>
          <w:color w:val="000000" w:themeColor="text1"/>
        </w:rPr>
        <w:t>21</w:t>
      </w:r>
      <w:r w:rsidRPr="000B2A94">
        <w:rPr>
          <w:rFonts w:ascii="Times New Roman"/>
          <w:color w:val="000000" w:themeColor="text1"/>
        </w:rPr>
        <w:t>個地檢署，</w:t>
      </w:r>
      <w:r w:rsidRPr="000B2A94">
        <w:rPr>
          <w:rFonts w:ascii="Times New Roman"/>
          <w:color w:val="000000" w:themeColor="text1"/>
        </w:rPr>
        <w:t>1</w:t>
      </w:r>
      <w:r w:rsidRPr="000B2A94">
        <w:rPr>
          <w:rFonts w:ascii="Times New Roman"/>
          <w:color w:val="000000" w:themeColor="text1"/>
        </w:rPr>
        <w:t>千多名檢察官，法醫研究所正職法醫</w:t>
      </w:r>
      <w:r w:rsidRPr="000B2A94">
        <w:rPr>
          <w:rFonts w:ascii="Times New Roman"/>
          <w:color w:val="000000" w:themeColor="text1"/>
        </w:rPr>
        <w:t>3</w:t>
      </w:r>
      <w:r w:rsidRPr="000B2A94">
        <w:rPr>
          <w:rFonts w:ascii="Times New Roman"/>
          <w:color w:val="000000" w:themeColor="text1"/>
        </w:rPr>
        <w:t>名（尚有</w:t>
      </w:r>
      <w:r w:rsidRPr="000B2A94">
        <w:rPr>
          <w:rFonts w:ascii="Times New Roman"/>
          <w:color w:val="000000" w:themeColor="text1"/>
        </w:rPr>
        <w:t>1</w:t>
      </w:r>
      <w:r w:rsidRPr="000B2A94">
        <w:rPr>
          <w:rFonts w:ascii="Times New Roman"/>
          <w:color w:val="000000" w:themeColor="text1"/>
        </w:rPr>
        <w:t>名缺額自</w:t>
      </w:r>
      <w:r w:rsidRPr="000B2A94">
        <w:rPr>
          <w:rFonts w:ascii="Times New Roman"/>
          <w:color w:val="000000" w:themeColor="text1"/>
        </w:rPr>
        <w:t>105</w:t>
      </w:r>
      <w:r w:rsidRPr="000B2A94">
        <w:rPr>
          <w:rFonts w:ascii="Times New Roman"/>
          <w:color w:val="000000" w:themeColor="text1"/>
        </w:rPr>
        <w:t>年起上網徵才</w:t>
      </w:r>
      <w:r w:rsidRPr="000B2A94">
        <w:rPr>
          <w:rFonts w:ascii="Times New Roman"/>
          <w:color w:val="000000" w:themeColor="text1"/>
        </w:rPr>
        <w:t>10</w:t>
      </w:r>
      <w:r w:rsidRPr="000B2A94">
        <w:rPr>
          <w:rFonts w:ascii="Times New Roman"/>
          <w:color w:val="000000" w:themeColor="text1"/>
        </w:rPr>
        <w:lastRenderedPageBreak/>
        <w:t>個月，均無人投履歷，懸缺迄今），</w:t>
      </w:r>
      <w:r w:rsidRPr="000B2A94">
        <w:rPr>
          <w:rFonts w:ascii="Times New Roman"/>
          <w:color w:val="000000" w:themeColor="text1"/>
        </w:rPr>
        <w:t>14</w:t>
      </w:r>
      <w:r w:rsidRPr="000B2A94">
        <w:rPr>
          <w:rFonts w:ascii="Times New Roman"/>
          <w:color w:val="000000" w:themeColor="text1"/>
        </w:rPr>
        <w:t>名兼任研究員僅</w:t>
      </w:r>
      <w:r w:rsidRPr="000B2A94">
        <w:rPr>
          <w:rFonts w:ascii="Times New Roman"/>
          <w:color w:val="000000" w:themeColor="text1"/>
        </w:rPr>
        <w:t>8</w:t>
      </w:r>
      <w:r w:rsidRPr="000B2A94">
        <w:rPr>
          <w:rFonts w:ascii="Times New Roman"/>
          <w:color w:val="000000" w:themeColor="text1"/>
        </w:rPr>
        <w:t>人可以協助，總共</w:t>
      </w:r>
      <w:r w:rsidRPr="000B2A94">
        <w:rPr>
          <w:rFonts w:ascii="Times New Roman"/>
          <w:color w:val="000000" w:themeColor="text1"/>
        </w:rPr>
        <w:t>11</w:t>
      </w:r>
      <w:r w:rsidRPr="000B2A94">
        <w:rPr>
          <w:rFonts w:ascii="Times New Roman"/>
          <w:color w:val="000000" w:themeColor="text1"/>
        </w:rPr>
        <w:t>人負責全國解剖案件，必須前往各縣市殯儀館解剖，人力、時間、交通費均耗損甚鉅，更加突顯該所法醫師人力不足之窘境。該所表示，於應付解剖案件都已疲於奔命之際，談品質與效率的提昇無異緣木求魚。在追求解剖率的數據下，由於國內法醫人力不足，衝高解剖量反而會忙中有錯，不利於提昇司法人權。因此，解剖量不應該是現階段法醫人力不足所追求的目標，而應該調整成有必要解剖的案件始進行解剖。為確保品質與效率，只能改變照單全收的做法，希望能將以往所見應該可以不用解剖的案件予以適量減少。</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308" w:name="_Toc27399919"/>
      <w:r w:rsidRPr="000B2A94">
        <w:rPr>
          <w:rFonts w:ascii="Times New Roman" w:hAnsi="Times New Roman"/>
          <w:color w:val="000000" w:themeColor="text1"/>
        </w:rPr>
        <w:t>法醫研究所人力</w:t>
      </w:r>
      <w:bookmarkEnd w:id="308"/>
      <w:r w:rsidR="00F75EF0" w:rsidRPr="000B2A94">
        <w:rPr>
          <w:rFonts w:ascii="Times New Roman" w:hAnsi="Times New Roman" w:hint="eastAsia"/>
          <w:color w:val="000000" w:themeColor="text1"/>
        </w:rPr>
        <w:t>情形</w:t>
      </w:r>
    </w:p>
    <w:p w:rsidR="00F956E8" w:rsidRPr="000B2A94" w:rsidRDefault="00F956E8" w:rsidP="00F75EF0">
      <w:pPr>
        <w:pStyle w:val="4"/>
        <w:rPr>
          <w:color w:val="000000" w:themeColor="text1"/>
        </w:rPr>
      </w:pPr>
      <w:r w:rsidRPr="000B2A94">
        <w:rPr>
          <w:color w:val="000000" w:themeColor="text1"/>
        </w:rPr>
        <w:t>該所負擔大部份(90%)全國解剖鑑驗業務，目前僅有3位編制內法醫師，因此尚須聘請兼任研究員(共14名，其中僅8名協助解剖鑑定)支援法醫解剖鑑定業務，方可負擔每年1400~2100解剖鑑定案件，而編制內法醫師需負責60%至70%之解剖案件，該所編制內法醫師與兼任研究員近五年解剖件數及比例如下表：</w:t>
      </w:r>
    </w:p>
    <w:p w:rsidR="00F956E8" w:rsidRPr="000B2A94" w:rsidRDefault="00F75EF0" w:rsidP="00F75EF0">
      <w:pPr>
        <w:pStyle w:val="a4"/>
        <w:jc w:val="center"/>
        <w:rPr>
          <w:b/>
          <w:color w:val="000000" w:themeColor="text1"/>
        </w:rPr>
      </w:pPr>
      <w:bookmarkStart w:id="309" w:name="_Toc27412329"/>
      <w:r w:rsidRPr="000B2A94">
        <w:rPr>
          <w:rFonts w:hint="eastAsia"/>
          <w:b/>
          <w:color w:val="000000" w:themeColor="text1"/>
        </w:rPr>
        <w:t>法醫研究</w:t>
      </w:r>
      <w:r w:rsidR="00F956E8" w:rsidRPr="000B2A94">
        <w:rPr>
          <w:b/>
          <w:color w:val="000000" w:themeColor="text1"/>
        </w:rPr>
        <w:t>所編制內法醫師與兼任研究員近</w:t>
      </w:r>
      <w:r w:rsidRPr="000B2A94">
        <w:rPr>
          <w:rFonts w:hint="eastAsia"/>
          <w:b/>
          <w:color w:val="000000" w:themeColor="text1"/>
        </w:rPr>
        <w:t>5</w:t>
      </w:r>
      <w:r w:rsidR="00F956E8" w:rsidRPr="000B2A94">
        <w:rPr>
          <w:b/>
          <w:color w:val="000000" w:themeColor="text1"/>
        </w:rPr>
        <w:t>年解剖件數及比例</w:t>
      </w:r>
      <w:bookmarkEnd w:id="309"/>
    </w:p>
    <w:tbl>
      <w:tblPr>
        <w:tblW w:w="9302" w:type="dxa"/>
        <w:tblInd w:w="-343" w:type="dxa"/>
        <w:tblLayout w:type="fixed"/>
        <w:tblCellMar>
          <w:left w:w="28" w:type="dxa"/>
          <w:right w:w="28" w:type="dxa"/>
        </w:tblCellMar>
        <w:tblLook w:val="04A0" w:firstRow="1" w:lastRow="0" w:firstColumn="1" w:lastColumn="0" w:noHBand="0" w:noVBand="1"/>
      </w:tblPr>
      <w:tblGrid>
        <w:gridCol w:w="1222"/>
        <w:gridCol w:w="808"/>
        <w:gridCol w:w="808"/>
        <w:gridCol w:w="808"/>
        <w:gridCol w:w="808"/>
        <w:gridCol w:w="808"/>
        <w:gridCol w:w="808"/>
        <w:gridCol w:w="808"/>
        <w:gridCol w:w="808"/>
        <w:gridCol w:w="808"/>
        <w:gridCol w:w="808"/>
      </w:tblGrid>
      <w:tr w:rsidR="000B2A94" w:rsidRPr="000B2A94" w:rsidTr="00F956E8">
        <w:trPr>
          <w:trHeight w:val="541"/>
        </w:trPr>
        <w:tc>
          <w:tcPr>
            <w:tcW w:w="1222" w:type="dxa"/>
            <w:vMerge w:val="restart"/>
            <w:tcBorders>
              <w:top w:val="single" w:sz="4" w:space="0" w:color="auto"/>
              <w:left w:val="single" w:sz="4" w:space="0" w:color="auto"/>
              <w:right w:val="single" w:sz="4" w:space="0" w:color="auto"/>
              <w:tl2br w:val="single" w:sz="4" w:space="0" w:color="auto"/>
            </w:tcBorders>
            <w:shd w:val="clear" w:color="auto" w:fill="auto"/>
            <w:vAlign w:val="center"/>
            <w:hideMark/>
          </w:tcPr>
          <w:p w:rsidR="00F956E8" w:rsidRPr="000B2A94" w:rsidRDefault="00F956E8" w:rsidP="00F956E8">
            <w:pPr>
              <w:adjustRightInd w:val="0"/>
              <w:snapToGrid w:val="0"/>
              <w:jc w:val="right"/>
              <w:rPr>
                <w:b/>
                <w:color w:val="000000" w:themeColor="text1"/>
                <w:sz w:val="26"/>
                <w:szCs w:val="26"/>
              </w:rPr>
            </w:pPr>
            <w:r w:rsidRPr="000B2A94">
              <w:rPr>
                <w:b/>
                <w:color w:val="000000" w:themeColor="text1"/>
                <w:sz w:val="26"/>
                <w:szCs w:val="26"/>
              </w:rPr>
              <w:t xml:space="preserve">             年度</w:t>
            </w:r>
          </w:p>
          <w:p w:rsidR="00F956E8" w:rsidRPr="000B2A94" w:rsidRDefault="00F956E8" w:rsidP="00F956E8">
            <w:pPr>
              <w:adjustRightInd w:val="0"/>
              <w:snapToGrid w:val="0"/>
              <w:rPr>
                <w:b/>
                <w:color w:val="000000" w:themeColor="text1"/>
                <w:sz w:val="26"/>
                <w:szCs w:val="26"/>
              </w:rPr>
            </w:pPr>
          </w:p>
          <w:p w:rsidR="00F956E8" w:rsidRPr="000B2A94" w:rsidRDefault="00F956E8" w:rsidP="00F956E8">
            <w:pPr>
              <w:adjustRightInd w:val="0"/>
              <w:snapToGrid w:val="0"/>
              <w:rPr>
                <w:b/>
                <w:color w:val="000000" w:themeColor="text1"/>
                <w:sz w:val="26"/>
                <w:szCs w:val="26"/>
              </w:rPr>
            </w:pPr>
          </w:p>
          <w:p w:rsidR="00F956E8" w:rsidRPr="000B2A94" w:rsidRDefault="00F956E8" w:rsidP="00F956E8">
            <w:pPr>
              <w:adjustRightInd w:val="0"/>
              <w:snapToGrid w:val="0"/>
              <w:rPr>
                <w:b/>
                <w:color w:val="000000" w:themeColor="text1"/>
                <w:sz w:val="26"/>
                <w:szCs w:val="26"/>
              </w:rPr>
            </w:pPr>
          </w:p>
          <w:p w:rsidR="00F956E8" w:rsidRPr="000B2A94" w:rsidRDefault="00F956E8" w:rsidP="00F956E8">
            <w:pPr>
              <w:adjustRightInd w:val="0"/>
              <w:snapToGrid w:val="0"/>
              <w:rPr>
                <w:b/>
                <w:color w:val="000000" w:themeColor="text1"/>
                <w:sz w:val="26"/>
                <w:szCs w:val="26"/>
              </w:rPr>
            </w:pPr>
            <w:r w:rsidRPr="000B2A94">
              <w:rPr>
                <w:b/>
                <w:color w:val="000000" w:themeColor="text1"/>
                <w:sz w:val="26"/>
                <w:szCs w:val="26"/>
              </w:rPr>
              <w:t>鑑定</w:t>
            </w:r>
          </w:p>
          <w:p w:rsidR="00F956E8" w:rsidRPr="000B2A94" w:rsidRDefault="00F956E8" w:rsidP="00F956E8">
            <w:pPr>
              <w:adjustRightInd w:val="0"/>
              <w:snapToGrid w:val="0"/>
              <w:rPr>
                <w:b/>
                <w:color w:val="000000" w:themeColor="text1"/>
                <w:sz w:val="26"/>
                <w:szCs w:val="26"/>
              </w:rPr>
            </w:pPr>
            <w:r w:rsidRPr="000B2A94">
              <w:rPr>
                <w:b/>
                <w:color w:val="000000" w:themeColor="text1"/>
                <w:sz w:val="26"/>
                <w:szCs w:val="26"/>
              </w:rPr>
              <w:t xml:space="preserve">醫師      </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6E8" w:rsidRPr="000B2A94" w:rsidRDefault="00F956E8" w:rsidP="00F956E8">
            <w:pPr>
              <w:jc w:val="center"/>
              <w:rPr>
                <w:b/>
                <w:color w:val="000000" w:themeColor="text1"/>
                <w:sz w:val="24"/>
                <w:szCs w:val="24"/>
              </w:rPr>
            </w:pPr>
            <w:r w:rsidRPr="000B2A94">
              <w:rPr>
                <w:b/>
                <w:color w:val="000000" w:themeColor="text1"/>
                <w:sz w:val="24"/>
                <w:szCs w:val="24"/>
              </w:rPr>
              <w:t>104</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6E8" w:rsidRPr="000B2A94" w:rsidRDefault="00F956E8" w:rsidP="00F956E8">
            <w:pPr>
              <w:jc w:val="center"/>
              <w:rPr>
                <w:b/>
                <w:color w:val="000000" w:themeColor="text1"/>
                <w:sz w:val="24"/>
                <w:szCs w:val="24"/>
              </w:rPr>
            </w:pPr>
            <w:r w:rsidRPr="000B2A94">
              <w:rPr>
                <w:b/>
                <w:color w:val="000000" w:themeColor="text1"/>
                <w:sz w:val="24"/>
                <w:szCs w:val="24"/>
              </w:rPr>
              <w:t>105</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6E8" w:rsidRPr="000B2A94" w:rsidRDefault="00F956E8" w:rsidP="00F956E8">
            <w:pPr>
              <w:jc w:val="center"/>
              <w:rPr>
                <w:b/>
                <w:color w:val="000000" w:themeColor="text1"/>
                <w:sz w:val="24"/>
                <w:szCs w:val="24"/>
              </w:rPr>
            </w:pPr>
            <w:r w:rsidRPr="000B2A94">
              <w:rPr>
                <w:b/>
                <w:color w:val="000000" w:themeColor="text1"/>
                <w:sz w:val="24"/>
                <w:szCs w:val="24"/>
              </w:rPr>
              <w:t>106</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b/>
                <w:color w:val="000000" w:themeColor="text1"/>
                <w:sz w:val="24"/>
                <w:szCs w:val="24"/>
              </w:rPr>
            </w:pPr>
            <w:r w:rsidRPr="000B2A94">
              <w:rPr>
                <w:b/>
                <w:color w:val="000000" w:themeColor="text1"/>
                <w:sz w:val="24"/>
                <w:szCs w:val="24"/>
              </w:rPr>
              <w:t>107</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6E8" w:rsidRPr="000B2A94" w:rsidRDefault="00F956E8" w:rsidP="00F956E8">
            <w:pPr>
              <w:jc w:val="center"/>
              <w:rPr>
                <w:b/>
                <w:color w:val="000000" w:themeColor="text1"/>
                <w:sz w:val="24"/>
                <w:szCs w:val="24"/>
              </w:rPr>
            </w:pPr>
            <w:r w:rsidRPr="000B2A94">
              <w:rPr>
                <w:b/>
                <w:color w:val="000000" w:themeColor="text1"/>
                <w:sz w:val="24"/>
                <w:szCs w:val="24"/>
              </w:rPr>
              <w:t>108</w:t>
            </w:r>
          </w:p>
          <w:p w:rsidR="00F956E8" w:rsidRPr="000B2A94" w:rsidRDefault="00F956E8" w:rsidP="00F956E8">
            <w:pPr>
              <w:jc w:val="center"/>
              <w:rPr>
                <w:b/>
                <w:color w:val="000000" w:themeColor="text1"/>
                <w:sz w:val="24"/>
                <w:szCs w:val="24"/>
              </w:rPr>
            </w:pPr>
            <w:r w:rsidRPr="000B2A94">
              <w:rPr>
                <w:b/>
                <w:color w:val="000000" w:themeColor="text1"/>
                <w:sz w:val="24"/>
                <w:szCs w:val="24"/>
              </w:rPr>
              <w:t>(截至6/30為止**)</w:t>
            </w:r>
          </w:p>
        </w:tc>
      </w:tr>
      <w:tr w:rsidR="000B2A94" w:rsidRPr="000B2A94" w:rsidTr="00F956E8">
        <w:trPr>
          <w:trHeight w:val="277"/>
        </w:trPr>
        <w:tc>
          <w:tcPr>
            <w:tcW w:w="1222" w:type="dxa"/>
            <w:vMerge/>
            <w:tcBorders>
              <w:left w:val="single" w:sz="4" w:space="0" w:color="auto"/>
              <w:bottom w:val="single" w:sz="4" w:space="0" w:color="auto"/>
              <w:right w:val="single" w:sz="4" w:space="0" w:color="auto"/>
              <w:tl2br w:val="single" w:sz="4" w:space="0" w:color="auto"/>
            </w:tcBorders>
            <w:shd w:val="clear" w:color="auto" w:fill="auto"/>
            <w:vAlign w:val="center"/>
            <w:hideMark/>
          </w:tcPr>
          <w:p w:rsidR="00F956E8" w:rsidRPr="000B2A94" w:rsidRDefault="00F956E8" w:rsidP="00F956E8">
            <w:pPr>
              <w:rPr>
                <w:b/>
                <w:color w:val="000000" w:themeColor="text1"/>
                <w:sz w:val="26"/>
                <w:szCs w:val="26"/>
              </w:rPr>
            </w:pP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6E8" w:rsidRPr="000B2A94" w:rsidRDefault="00F956E8" w:rsidP="00F956E8">
            <w:pPr>
              <w:jc w:val="center"/>
              <w:rPr>
                <w:b/>
                <w:color w:val="000000" w:themeColor="text1"/>
                <w:sz w:val="24"/>
                <w:szCs w:val="24"/>
              </w:rPr>
            </w:pPr>
            <w:r w:rsidRPr="000B2A94">
              <w:rPr>
                <w:b/>
                <w:color w:val="000000" w:themeColor="text1"/>
                <w:sz w:val="24"/>
                <w:szCs w:val="24"/>
              </w:rPr>
              <w:t>案件數</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6E8" w:rsidRPr="000B2A94" w:rsidRDefault="00F956E8" w:rsidP="00F956E8">
            <w:pPr>
              <w:jc w:val="center"/>
              <w:rPr>
                <w:b/>
                <w:color w:val="000000" w:themeColor="text1"/>
                <w:sz w:val="24"/>
                <w:szCs w:val="24"/>
              </w:rPr>
            </w:pPr>
            <w:r w:rsidRPr="000B2A94">
              <w:rPr>
                <w:b/>
                <w:color w:val="000000" w:themeColor="text1"/>
                <w:sz w:val="24"/>
                <w:szCs w:val="24"/>
              </w:rPr>
              <w:t>平均結</w:t>
            </w:r>
          </w:p>
          <w:p w:rsidR="00F956E8" w:rsidRPr="000B2A94" w:rsidRDefault="00F956E8" w:rsidP="00F956E8">
            <w:pPr>
              <w:jc w:val="center"/>
              <w:rPr>
                <w:b/>
                <w:color w:val="000000" w:themeColor="text1"/>
                <w:sz w:val="24"/>
                <w:szCs w:val="24"/>
              </w:rPr>
            </w:pPr>
            <w:r w:rsidRPr="000B2A94">
              <w:rPr>
                <w:b/>
                <w:color w:val="000000" w:themeColor="text1"/>
                <w:sz w:val="24"/>
                <w:szCs w:val="24"/>
              </w:rPr>
              <w:t>案日</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6E8" w:rsidRPr="000B2A94" w:rsidRDefault="00F956E8" w:rsidP="00F956E8">
            <w:pPr>
              <w:jc w:val="center"/>
              <w:rPr>
                <w:b/>
                <w:color w:val="000000" w:themeColor="text1"/>
                <w:sz w:val="24"/>
                <w:szCs w:val="24"/>
              </w:rPr>
            </w:pPr>
            <w:r w:rsidRPr="000B2A94">
              <w:rPr>
                <w:b/>
                <w:color w:val="000000" w:themeColor="text1"/>
                <w:sz w:val="24"/>
                <w:szCs w:val="24"/>
              </w:rPr>
              <w:t>案件數</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6E8" w:rsidRPr="000B2A94" w:rsidRDefault="00F956E8" w:rsidP="00F956E8">
            <w:pPr>
              <w:jc w:val="center"/>
              <w:rPr>
                <w:b/>
                <w:color w:val="000000" w:themeColor="text1"/>
                <w:sz w:val="24"/>
                <w:szCs w:val="24"/>
              </w:rPr>
            </w:pPr>
            <w:r w:rsidRPr="000B2A94">
              <w:rPr>
                <w:b/>
                <w:color w:val="000000" w:themeColor="text1"/>
                <w:sz w:val="24"/>
                <w:szCs w:val="24"/>
              </w:rPr>
              <w:t>平均結</w:t>
            </w:r>
          </w:p>
          <w:p w:rsidR="00F956E8" w:rsidRPr="000B2A94" w:rsidRDefault="00F956E8" w:rsidP="00F956E8">
            <w:pPr>
              <w:jc w:val="center"/>
              <w:rPr>
                <w:b/>
                <w:color w:val="000000" w:themeColor="text1"/>
                <w:sz w:val="24"/>
                <w:szCs w:val="24"/>
              </w:rPr>
            </w:pPr>
            <w:r w:rsidRPr="000B2A94">
              <w:rPr>
                <w:b/>
                <w:color w:val="000000" w:themeColor="text1"/>
                <w:sz w:val="24"/>
                <w:szCs w:val="24"/>
              </w:rPr>
              <w:t>案日</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6E8" w:rsidRPr="000B2A94" w:rsidRDefault="00F956E8" w:rsidP="00F956E8">
            <w:pPr>
              <w:jc w:val="center"/>
              <w:rPr>
                <w:b/>
                <w:color w:val="000000" w:themeColor="text1"/>
                <w:sz w:val="24"/>
                <w:szCs w:val="24"/>
              </w:rPr>
            </w:pPr>
            <w:r w:rsidRPr="000B2A94">
              <w:rPr>
                <w:b/>
                <w:color w:val="000000" w:themeColor="text1"/>
                <w:sz w:val="24"/>
                <w:szCs w:val="24"/>
              </w:rPr>
              <w:t>案件數</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6E8" w:rsidRPr="000B2A94" w:rsidRDefault="00F956E8" w:rsidP="00F956E8">
            <w:pPr>
              <w:jc w:val="center"/>
              <w:rPr>
                <w:b/>
                <w:color w:val="000000" w:themeColor="text1"/>
                <w:sz w:val="24"/>
                <w:szCs w:val="24"/>
              </w:rPr>
            </w:pPr>
            <w:r w:rsidRPr="000B2A94">
              <w:rPr>
                <w:b/>
                <w:color w:val="000000" w:themeColor="text1"/>
                <w:sz w:val="24"/>
                <w:szCs w:val="24"/>
              </w:rPr>
              <w:t>平均</w:t>
            </w:r>
          </w:p>
          <w:p w:rsidR="00F956E8" w:rsidRPr="000B2A94" w:rsidRDefault="00F956E8" w:rsidP="00F956E8">
            <w:pPr>
              <w:jc w:val="center"/>
              <w:rPr>
                <w:b/>
                <w:color w:val="000000" w:themeColor="text1"/>
                <w:sz w:val="24"/>
                <w:szCs w:val="24"/>
              </w:rPr>
            </w:pPr>
            <w:r w:rsidRPr="000B2A94">
              <w:rPr>
                <w:b/>
                <w:color w:val="000000" w:themeColor="text1"/>
                <w:sz w:val="24"/>
                <w:szCs w:val="24"/>
              </w:rPr>
              <w:t>結案日</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6E8" w:rsidRPr="000B2A94" w:rsidRDefault="00F956E8" w:rsidP="00F956E8">
            <w:pPr>
              <w:jc w:val="center"/>
              <w:rPr>
                <w:b/>
                <w:color w:val="000000" w:themeColor="text1"/>
                <w:sz w:val="24"/>
                <w:szCs w:val="24"/>
              </w:rPr>
            </w:pPr>
            <w:r w:rsidRPr="000B2A94">
              <w:rPr>
                <w:b/>
                <w:color w:val="000000" w:themeColor="text1"/>
                <w:sz w:val="24"/>
                <w:szCs w:val="24"/>
              </w:rPr>
              <w:t>案件數</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F956E8" w:rsidRPr="000B2A94" w:rsidRDefault="00F956E8" w:rsidP="00F956E8">
            <w:pPr>
              <w:jc w:val="center"/>
              <w:rPr>
                <w:b/>
                <w:color w:val="000000" w:themeColor="text1"/>
                <w:sz w:val="24"/>
                <w:szCs w:val="24"/>
              </w:rPr>
            </w:pPr>
            <w:r w:rsidRPr="000B2A94">
              <w:rPr>
                <w:b/>
                <w:color w:val="000000" w:themeColor="text1"/>
                <w:sz w:val="24"/>
                <w:szCs w:val="24"/>
              </w:rPr>
              <w:t>平均</w:t>
            </w:r>
          </w:p>
          <w:p w:rsidR="00F956E8" w:rsidRPr="000B2A94" w:rsidRDefault="00F956E8" w:rsidP="00F956E8">
            <w:pPr>
              <w:jc w:val="center"/>
              <w:rPr>
                <w:b/>
                <w:color w:val="000000" w:themeColor="text1"/>
                <w:sz w:val="24"/>
                <w:szCs w:val="24"/>
              </w:rPr>
            </w:pPr>
            <w:r w:rsidRPr="000B2A94">
              <w:rPr>
                <w:b/>
                <w:color w:val="000000" w:themeColor="text1"/>
                <w:sz w:val="24"/>
                <w:szCs w:val="24"/>
              </w:rPr>
              <w:t>結案日</w:t>
            </w:r>
          </w:p>
        </w:tc>
        <w:tc>
          <w:tcPr>
            <w:tcW w:w="808" w:type="dxa"/>
            <w:tcBorders>
              <w:top w:val="single" w:sz="4" w:space="0" w:color="auto"/>
              <w:left w:val="nil"/>
              <w:bottom w:val="single" w:sz="4" w:space="0" w:color="auto"/>
              <w:right w:val="single" w:sz="4" w:space="0" w:color="auto"/>
            </w:tcBorders>
            <w:shd w:val="clear" w:color="auto" w:fill="auto"/>
            <w:vAlign w:val="center"/>
          </w:tcPr>
          <w:p w:rsidR="00F956E8" w:rsidRPr="000B2A94" w:rsidRDefault="00F956E8" w:rsidP="00F956E8">
            <w:pPr>
              <w:jc w:val="center"/>
              <w:rPr>
                <w:b/>
                <w:color w:val="000000" w:themeColor="text1"/>
                <w:sz w:val="24"/>
                <w:szCs w:val="24"/>
              </w:rPr>
            </w:pPr>
            <w:r w:rsidRPr="000B2A94">
              <w:rPr>
                <w:b/>
                <w:color w:val="000000" w:themeColor="text1"/>
                <w:sz w:val="24"/>
                <w:szCs w:val="24"/>
              </w:rPr>
              <w:t>案件數</w:t>
            </w:r>
          </w:p>
        </w:tc>
        <w:tc>
          <w:tcPr>
            <w:tcW w:w="808" w:type="dxa"/>
            <w:tcBorders>
              <w:top w:val="single" w:sz="4" w:space="0" w:color="auto"/>
              <w:left w:val="nil"/>
              <w:bottom w:val="single" w:sz="4" w:space="0" w:color="auto"/>
              <w:right w:val="single" w:sz="4" w:space="0" w:color="auto"/>
            </w:tcBorders>
            <w:shd w:val="clear" w:color="auto" w:fill="auto"/>
            <w:vAlign w:val="center"/>
          </w:tcPr>
          <w:p w:rsidR="00F956E8" w:rsidRPr="000B2A94" w:rsidRDefault="00F956E8" w:rsidP="00F956E8">
            <w:pPr>
              <w:jc w:val="center"/>
              <w:rPr>
                <w:b/>
                <w:color w:val="000000" w:themeColor="text1"/>
                <w:sz w:val="24"/>
                <w:szCs w:val="24"/>
              </w:rPr>
            </w:pPr>
            <w:r w:rsidRPr="000B2A94">
              <w:rPr>
                <w:b/>
                <w:color w:val="000000" w:themeColor="text1"/>
                <w:sz w:val="24"/>
                <w:szCs w:val="24"/>
              </w:rPr>
              <w:t>平均結</w:t>
            </w:r>
          </w:p>
          <w:p w:rsidR="00F956E8" w:rsidRPr="000B2A94" w:rsidRDefault="00F956E8" w:rsidP="00F956E8">
            <w:pPr>
              <w:jc w:val="center"/>
              <w:rPr>
                <w:b/>
                <w:color w:val="000000" w:themeColor="text1"/>
                <w:sz w:val="24"/>
                <w:szCs w:val="24"/>
              </w:rPr>
            </w:pPr>
            <w:r w:rsidRPr="000B2A94">
              <w:rPr>
                <w:b/>
                <w:color w:val="000000" w:themeColor="text1"/>
                <w:sz w:val="24"/>
                <w:szCs w:val="24"/>
              </w:rPr>
              <w:t>案日</w:t>
            </w:r>
          </w:p>
        </w:tc>
      </w:tr>
      <w:tr w:rsidR="000B2A94" w:rsidRPr="000B2A94" w:rsidTr="00F956E8">
        <w:trPr>
          <w:trHeight w:val="402"/>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75EF0" w:rsidP="00F956E8">
            <w:pPr>
              <w:jc w:val="center"/>
              <w:rPr>
                <w:color w:val="000000" w:themeColor="text1"/>
                <w:sz w:val="26"/>
                <w:szCs w:val="26"/>
              </w:rPr>
            </w:pPr>
            <w:r w:rsidRPr="000B2A94">
              <w:rPr>
                <w:color w:val="000000" w:themeColor="text1"/>
                <w:sz w:val="26"/>
                <w:szCs w:val="26"/>
              </w:rPr>
              <w:t>許</w:t>
            </w:r>
            <w:r w:rsidRPr="000B2A94">
              <w:rPr>
                <w:rFonts w:hint="eastAsia"/>
                <w:color w:val="000000" w:themeColor="text1"/>
                <w:sz w:val="26"/>
                <w:szCs w:val="26"/>
              </w:rPr>
              <w:t>○○</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115</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 xml:space="preserve">64.45 </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327</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 xml:space="preserve">77.86 </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310</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 xml:space="preserve">79.47 </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246</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45.05</w:t>
            </w:r>
          </w:p>
        </w:tc>
        <w:tc>
          <w:tcPr>
            <w:tcW w:w="808" w:type="dxa"/>
            <w:tcBorders>
              <w:top w:val="single" w:sz="4" w:space="0" w:color="auto"/>
              <w:left w:val="nil"/>
              <w:bottom w:val="single" w:sz="4" w:space="0" w:color="auto"/>
              <w:right w:val="single" w:sz="4" w:space="0" w:color="auto"/>
            </w:tcBorders>
            <w:shd w:val="clear" w:color="auto" w:fill="auto"/>
            <w:vAlign w:val="center"/>
          </w:tcPr>
          <w:p w:rsidR="00F956E8" w:rsidRPr="000B2A94" w:rsidRDefault="00F956E8" w:rsidP="00F956E8">
            <w:pPr>
              <w:jc w:val="center"/>
              <w:rPr>
                <w:color w:val="000000" w:themeColor="text1"/>
                <w:sz w:val="26"/>
                <w:szCs w:val="26"/>
              </w:rPr>
            </w:pPr>
            <w:r w:rsidRPr="000B2A94">
              <w:rPr>
                <w:color w:val="000000" w:themeColor="text1"/>
                <w:sz w:val="26"/>
                <w:szCs w:val="26"/>
              </w:rPr>
              <w:t>135</w:t>
            </w:r>
          </w:p>
        </w:tc>
        <w:tc>
          <w:tcPr>
            <w:tcW w:w="808" w:type="dxa"/>
            <w:tcBorders>
              <w:top w:val="single" w:sz="4" w:space="0" w:color="auto"/>
              <w:left w:val="nil"/>
              <w:bottom w:val="single" w:sz="4" w:space="0" w:color="auto"/>
              <w:right w:val="single" w:sz="4" w:space="0" w:color="auto"/>
            </w:tcBorders>
            <w:shd w:val="clear" w:color="auto" w:fill="auto"/>
            <w:vAlign w:val="center"/>
          </w:tcPr>
          <w:p w:rsidR="00F956E8" w:rsidRPr="000B2A94" w:rsidRDefault="00F956E8" w:rsidP="00F956E8">
            <w:pPr>
              <w:jc w:val="center"/>
              <w:rPr>
                <w:color w:val="000000" w:themeColor="text1"/>
                <w:sz w:val="26"/>
                <w:szCs w:val="26"/>
              </w:rPr>
            </w:pPr>
            <w:r w:rsidRPr="000B2A94">
              <w:rPr>
                <w:color w:val="000000" w:themeColor="text1"/>
                <w:sz w:val="26"/>
                <w:szCs w:val="26"/>
              </w:rPr>
              <w:t>61.5</w:t>
            </w:r>
          </w:p>
        </w:tc>
      </w:tr>
      <w:tr w:rsidR="000B2A94" w:rsidRPr="000B2A94" w:rsidTr="00F956E8">
        <w:trPr>
          <w:trHeight w:val="402"/>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75EF0" w:rsidP="00F956E8">
            <w:pPr>
              <w:jc w:val="center"/>
              <w:rPr>
                <w:color w:val="000000" w:themeColor="text1"/>
                <w:sz w:val="26"/>
                <w:szCs w:val="26"/>
              </w:rPr>
            </w:pPr>
            <w:r w:rsidRPr="000B2A94">
              <w:rPr>
                <w:color w:val="000000" w:themeColor="text1"/>
                <w:sz w:val="26"/>
                <w:szCs w:val="26"/>
              </w:rPr>
              <w:t>潘</w:t>
            </w:r>
            <w:r w:rsidRPr="000B2A94">
              <w:rPr>
                <w:rFonts w:hint="eastAsia"/>
                <w:color w:val="000000" w:themeColor="text1"/>
                <w:sz w:val="26"/>
                <w:szCs w:val="26"/>
              </w:rPr>
              <w:t>○○</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586</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 xml:space="preserve">52.14 </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593</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 xml:space="preserve">77.18 </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591</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 xml:space="preserve">65.54 </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475</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65.99</w:t>
            </w:r>
          </w:p>
        </w:tc>
        <w:tc>
          <w:tcPr>
            <w:tcW w:w="808" w:type="dxa"/>
            <w:tcBorders>
              <w:top w:val="single" w:sz="4" w:space="0" w:color="auto"/>
              <w:left w:val="nil"/>
              <w:bottom w:val="single" w:sz="4" w:space="0" w:color="auto"/>
              <w:right w:val="single" w:sz="4" w:space="0" w:color="auto"/>
            </w:tcBorders>
            <w:shd w:val="clear" w:color="auto" w:fill="auto"/>
            <w:vAlign w:val="center"/>
          </w:tcPr>
          <w:p w:rsidR="00F956E8" w:rsidRPr="000B2A94" w:rsidRDefault="00F956E8" w:rsidP="00F956E8">
            <w:pPr>
              <w:jc w:val="center"/>
              <w:rPr>
                <w:color w:val="000000" w:themeColor="text1"/>
                <w:sz w:val="26"/>
                <w:szCs w:val="26"/>
              </w:rPr>
            </w:pPr>
            <w:r w:rsidRPr="000B2A94">
              <w:rPr>
                <w:color w:val="000000" w:themeColor="text1"/>
                <w:sz w:val="26"/>
                <w:szCs w:val="26"/>
              </w:rPr>
              <w:t>215</w:t>
            </w:r>
          </w:p>
        </w:tc>
        <w:tc>
          <w:tcPr>
            <w:tcW w:w="808" w:type="dxa"/>
            <w:tcBorders>
              <w:top w:val="single" w:sz="4" w:space="0" w:color="auto"/>
              <w:left w:val="nil"/>
              <w:bottom w:val="single" w:sz="4" w:space="0" w:color="auto"/>
              <w:right w:val="single" w:sz="4" w:space="0" w:color="auto"/>
            </w:tcBorders>
            <w:shd w:val="clear" w:color="auto" w:fill="auto"/>
            <w:vAlign w:val="center"/>
          </w:tcPr>
          <w:p w:rsidR="00F956E8" w:rsidRPr="000B2A94" w:rsidRDefault="00F956E8" w:rsidP="00F956E8">
            <w:pPr>
              <w:jc w:val="center"/>
              <w:rPr>
                <w:color w:val="000000" w:themeColor="text1"/>
                <w:sz w:val="26"/>
                <w:szCs w:val="26"/>
              </w:rPr>
            </w:pPr>
            <w:r w:rsidRPr="000B2A94">
              <w:rPr>
                <w:color w:val="000000" w:themeColor="text1"/>
                <w:sz w:val="26"/>
                <w:szCs w:val="26"/>
              </w:rPr>
              <w:t>38.43</w:t>
            </w:r>
          </w:p>
        </w:tc>
      </w:tr>
      <w:tr w:rsidR="000B2A94" w:rsidRPr="000B2A94" w:rsidTr="00F956E8">
        <w:trPr>
          <w:trHeight w:val="402"/>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75EF0" w:rsidP="00F956E8">
            <w:pPr>
              <w:jc w:val="center"/>
              <w:rPr>
                <w:color w:val="000000" w:themeColor="text1"/>
                <w:sz w:val="26"/>
                <w:szCs w:val="26"/>
              </w:rPr>
            </w:pPr>
            <w:r w:rsidRPr="000B2A94">
              <w:rPr>
                <w:color w:val="000000" w:themeColor="text1"/>
                <w:sz w:val="26"/>
                <w:szCs w:val="26"/>
              </w:rPr>
              <w:t>曾</w:t>
            </w:r>
            <w:r w:rsidRPr="000B2A94">
              <w:rPr>
                <w:rFonts w:hint="eastAsia"/>
                <w:color w:val="000000" w:themeColor="text1"/>
                <w:sz w:val="26"/>
                <w:szCs w:val="26"/>
              </w:rPr>
              <w:t>○○</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252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 xml:space="preserve">36.98 </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209</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 xml:space="preserve">64.25 </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210</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 xml:space="preserve">48.33 </w:t>
            </w:r>
          </w:p>
        </w:tc>
        <w:tc>
          <w:tcPr>
            <w:tcW w:w="80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163</w:t>
            </w:r>
          </w:p>
        </w:tc>
        <w:tc>
          <w:tcPr>
            <w:tcW w:w="808" w:type="dxa"/>
            <w:tcBorders>
              <w:top w:val="single" w:sz="4" w:space="0" w:color="auto"/>
              <w:left w:val="nil"/>
              <w:bottom w:val="single" w:sz="18"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50.15</w:t>
            </w:r>
          </w:p>
        </w:tc>
        <w:tc>
          <w:tcPr>
            <w:tcW w:w="808" w:type="dxa"/>
            <w:tcBorders>
              <w:top w:val="single" w:sz="4" w:space="0" w:color="auto"/>
              <w:left w:val="nil"/>
              <w:bottom w:val="single" w:sz="18" w:space="0" w:color="auto"/>
              <w:right w:val="single" w:sz="4" w:space="0" w:color="auto"/>
            </w:tcBorders>
            <w:shd w:val="clear" w:color="auto" w:fill="auto"/>
            <w:vAlign w:val="center"/>
          </w:tcPr>
          <w:p w:rsidR="00F956E8" w:rsidRPr="000B2A94" w:rsidRDefault="00F956E8" w:rsidP="00F956E8">
            <w:pPr>
              <w:jc w:val="center"/>
              <w:rPr>
                <w:color w:val="000000" w:themeColor="text1"/>
                <w:sz w:val="26"/>
                <w:szCs w:val="26"/>
              </w:rPr>
            </w:pPr>
            <w:r w:rsidRPr="000B2A94">
              <w:rPr>
                <w:color w:val="000000" w:themeColor="text1"/>
                <w:sz w:val="26"/>
                <w:szCs w:val="26"/>
              </w:rPr>
              <w:t>105</w:t>
            </w:r>
          </w:p>
        </w:tc>
        <w:tc>
          <w:tcPr>
            <w:tcW w:w="808" w:type="dxa"/>
            <w:tcBorders>
              <w:top w:val="single" w:sz="4" w:space="0" w:color="auto"/>
              <w:left w:val="nil"/>
              <w:bottom w:val="single" w:sz="18" w:space="0" w:color="auto"/>
              <w:right w:val="single" w:sz="4" w:space="0" w:color="auto"/>
            </w:tcBorders>
            <w:shd w:val="clear" w:color="auto" w:fill="auto"/>
            <w:vAlign w:val="center"/>
          </w:tcPr>
          <w:p w:rsidR="00F956E8" w:rsidRPr="000B2A94" w:rsidRDefault="00F956E8" w:rsidP="00F956E8">
            <w:pPr>
              <w:jc w:val="center"/>
              <w:rPr>
                <w:color w:val="000000" w:themeColor="text1"/>
                <w:sz w:val="26"/>
                <w:szCs w:val="26"/>
              </w:rPr>
            </w:pPr>
            <w:r w:rsidRPr="000B2A94">
              <w:rPr>
                <w:color w:val="000000" w:themeColor="text1"/>
                <w:sz w:val="26"/>
                <w:szCs w:val="26"/>
              </w:rPr>
              <w:t>67.66</w:t>
            </w:r>
          </w:p>
        </w:tc>
      </w:tr>
      <w:tr w:rsidR="000B2A94" w:rsidRPr="000B2A94" w:rsidTr="00F956E8">
        <w:trPr>
          <w:trHeight w:val="289"/>
        </w:trPr>
        <w:tc>
          <w:tcPr>
            <w:tcW w:w="1222"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F956E8" w:rsidRPr="000B2A94" w:rsidRDefault="00F75EF0" w:rsidP="00F956E8">
            <w:pPr>
              <w:jc w:val="center"/>
              <w:rPr>
                <w:color w:val="000000" w:themeColor="text1"/>
                <w:sz w:val="26"/>
                <w:szCs w:val="26"/>
              </w:rPr>
            </w:pPr>
            <w:r w:rsidRPr="000B2A94">
              <w:rPr>
                <w:color w:val="000000" w:themeColor="text1"/>
                <w:sz w:val="26"/>
                <w:szCs w:val="26"/>
              </w:rPr>
              <w:lastRenderedPageBreak/>
              <w:t>蕭</w:t>
            </w:r>
            <w:r w:rsidRPr="000B2A94">
              <w:rPr>
                <w:rFonts w:hint="eastAsia"/>
                <w:color w:val="000000" w:themeColor="text1"/>
                <w:sz w:val="26"/>
                <w:szCs w:val="26"/>
              </w:rPr>
              <w:t>○○</w:t>
            </w:r>
            <w:r w:rsidR="00F956E8" w:rsidRPr="000B2A94">
              <w:rPr>
                <w:color w:val="000000" w:themeColor="text1"/>
                <w:sz w:val="26"/>
                <w:szCs w:val="26"/>
              </w:rPr>
              <w:t>*</w:t>
            </w:r>
          </w:p>
        </w:tc>
        <w:tc>
          <w:tcPr>
            <w:tcW w:w="80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417</w:t>
            </w:r>
          </w:p>
        </w:tc>
        <w:tc>
          <w:tcPr>
            <w:tcW w:w="80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 xml:space="preserve">28.1 </w:t>
            </w:r>
          </w:p>
        </w:tc>
        <w:tc>
          <w:tcPr>
            <w:tcW w:w="80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454</w:t>
            </w:r>
          </w:p>
        </w:tc>
        <w:tc>
          <w:tcPr>
            <w:tcW w:w="80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 xml:space="preserve">32.51 </w:t>
            </w:r>
          </w:p>
        </w:tc>
        <w:tc>
          <w:tcPr>
            <w:tcW w:w="80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396</w:t>
            </w:r>
          </w:p>
        </w:tc>
        <w:tc>
          <w:tcPr>
            <w:tcW w:w="808" w:type="dxa"/>
            <w:tcBorders>
              <w:top w:val="single" w:sz="4" w:space="0" w:color="auto"/>
              <w:left w:val="single" w:sz="4" w:space="0" w:color="auto"/>
              <w:bottom w:val="single" w:sz="18" w:space="0" w:color="auto"/>
              <w:right w:val="single" w:sz="18"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 xml:space="preserve">35.86 </w:t>
            </w:r>
          </w:p>
        </w:tc>
        <w:tc>
          <w:tcPr>
            <w:tcW w:w="808" w:type="dxa"/>
            <w:tcBorders>
              <w:top w:val="single" w:sz="18" w:space="0" w:color="auto"/>
              <w:left w:val="single" w:sz="18" w:space="0" w:color="auto"/>
              <w:bottom w:val="single" w:sz="2" w:space="0" w:color="auto"/>
              <w:right w:val="single" w:sz="2" w:space="0" w:color="auto"/>
            </w:tcBorders>
            <w:shd w:val="clear" w:color="auto" w:fill="auto"/>
            <w:vAlign w:val="center"/>
          </w:tcPr>
          <w:p w:rsidR="00F956E8" w:rsidRPr="000B2A94" w:rsidRDefault="00F956E8" w:rsidP="00F956E8">
            <w:pPr>
              <w:jc w:val="center"/>
              <w:rPr>
                <w:color w:val="000000" w:themeColor="text1"/>
                <w:sz w:val="26"/>
                <w:szCs w:val="26"/>
              </w:rPr>
            </w:pPr>
            <w:r w:rsidRPr="000B2A94">
              <w:rPr>
                <w:color w:val="000000" w:themeColor="text1"/>
                <w:sz w:val="26"/>
                <w:szCs w:val="26"/>
              </w:rPr>
              <w:t>*</w:t>
            </w:r>
          </w:p>
        </w:tc>
        <w:tc>
          <w:tcPr>
            <w:tcW w:w="808" w:type="dxa"/>
            <w:tcBorders>
              <w:top w:val="single" w:sz="18" w:space="0" w:color="auto"/>
              <w:left w:val="single" w:sz="2" w:space="0" w:color="auto"/>
              <w:bottom w:val="single" w:sz="2" w:space="0" w:color="auto"/>
              <w:right w:val="single" w:sz="4" w:space="0" w:color="auto"/>
            </w:tcBorders>
            <w:shd w:val="clear" w:color="auto" w:fill="auto"/>
            <w:vAlign w:val="center"/>
          </w:tcPr>
          <w:p w:rsidR="00F956E8" w:rsidRPr="000B2A94" w:rsidRDefault="00F956E8" w:rsidP="00F956E8">
            <w:pPr>
              <w:jc w:val="center"/>
              <w:rPr>
                <w:color w:val="000000" w:themeColor="text1"/>
                <w:sz w:val="26"/>
                <w:szCs w:val="26"/>
              </w:rPr>
            </w:pPr>
            <w:r w:rsidRPr="000B2A94">
              <w:rPr>
                <w:color w:val="000000" w:themeColor="text1"/>
                <w:sz w:val="26"/>
                <w:szCs w:val="26"/>
              </w:rPr>
              <w:t>*</w:t>
            </w:r>
          </w:p>
        </w:tc>
        <w:tc>
          <w:tcPr>
            <w:tcW w:w="808" w:type="dxa"/>
            <w:tcBorders>
              <w:top w:val="single" w:sz="18" w:space="0" w:color="auto"/>
              <w:left w:val="single" w:sz="4" w:space="0" w:color="auto"/>
              <w:bottom w:val="single" w:sz="2" w:space="0" w:color="auto"/>
              <w:right w:val="single" w:sz="2" w:space="0" w:color="auto"/>
            </w:tcBorders>
            <w:shd w:val="clear" w:color="auto" w:fill="auto"/>
            <w:vAlign w:val="center"/>
          </w:tcPr>
          <w:p w:rsidR="00F956E8" w:rsidRPr="000B2A94" w:rsidRDefault="00F956E8" w:rsidP="00F956E8">
            <w:pPr>
              <w:jc w:val="center"/>
              <w:rPr>
                <w:color w:val="000000" w:themeColor="text1"/>
                <w:sz w:val="26"/>
                <w:szCs w:val="26"/>
              </w:rPr>
            </w:pPr>
            <w:r w:rsidRPr="000B2A94">
              <w:rPr>
                <w:color w:val="000000" w:themeColor="text1"/>
                <w:sz w:val="26"/>
                <w:szCs w:val="26"/>
              </w:rPr>
              <w:t>*</w:t>
            </w:r>
          </w:p>
        </w:tc>
        <w:tc>
          <w:tcPr>
            <w:tcW w:w="808" w:type="dxa"/>
            <w:tcBorders>
              <w:top w:val="single" w:sz="18" w:space="0" w:color="auto"/>
              <w:left w:val="single" w:sz="4" w:space="0" w:color="auto"/>
              <w:bottom w:val="single" w:sz="2" w:space="0" w:color="auto"/>
              <w:right w:val="single" w:sz="2" w:space="0" w:color="auto"/>
            </w:tcBorders>
            <w:shd w:val="clear" w:color="auto" w:fill="auto"/>
            <w:vAlign w:val="center"/>
          </w:tcPr>
          <w:p w:rsidR="00F956E8" w:rsidRPr="000B2A94" w:rsidRDefault="00F956E8" w:rsidP="00F956E8">
            <w:pPr>
              <w:jc w:val="center"/>
              <w:rPr>
                <w:color w:val="000000" w:themeColor="text1"/>
                <w:sz w:val="26"/>
                <w:szCs w:val="26"/>
              </w:rPr>
            </w:pPr>
            <w:r w:rsidRPr="000B2A94">
              <w:rPr>
                <w:color w:val="000000" w:themeColor="text1"/>
                <w:sz w:val="26"/>
                <w:szCs w:val="26"/>
              </w:rPr>
              <w:t>*</w:t>
            </w:r>
          </w:p>
        </w:tc>
      </w:tr>
      <w:tr w:rsidR="000B2A94" w:rsidRPr="000B2A94" w:rsidTr="00F956E8">
        <w:trPr>
          <w:trHeight w:val="402"/>
        </w:trPr>
        <w:tc>
          <w:tcPr>
            <w:tcW w:w="1222" w:type="dxa"/>
            <w:vMerge w:val="restart"/>
            <w:tcBorders>
              <w:top w:val="single" w:sz="4" w:space="0" w:color="auto"/>
              <w:left w:val="single" w:sz="4" w:space="0" w:color="auto"/>
              <w:right w:val="single" w:sz="4" w:space="0" w:color="auto"/>
            </w:tcBorders>
            <w:shd w:val="clear" w:color="auto" w:fill="auto"/>
            <w:vAlign w:val="center"/>
          </w:tcPr>
          <w:p w:rsidR="00F956E8" w:rsidRPr="000B2A94" w:rsidRDefault="00F956E8" w:rsidP="00F956E8">
            <w:pPr>
              <w:jc w:val="center"/>
              <w:rPr>
                <w:color w:val="000000" w:themeColor="text1"/>
                <w:sz w:val="26"/>
                <w:szCs w:val="26"/>
              </w:rPr>
            </w:pPr>
            <w:r w:rsidRPr="000B2A94">
              <w:rPr>
                <w:color w:val="000000" w:themeColor="text1"/>
                <w:sz w:val="26"/>
                <w:szCs w:val="26"/>
              </w:rPr>
              <w:t>案件總計</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F956E8" w:rsidRPr="000B2A94" w:rsidRDefault="00F956E8" w:rsidP="00F956E8">
            <w:pPr>
              <w:adjustRightInd w:val="0"/>
              <w:snapToGrid w:val="0"/>
              <w:jc w:val="center"/>
              <w:rPr>
                <w:color w:val="000000" w:themeColor="text1"/>
                <w:sz w:val="24"/>
                <w:szCs w:val="24"/>
              </w:rPr>
            </w:pPr>
            <w:r w:rsidRPr="000B2A94">
              <w:rPr>
                <w:color w:val="000000" w:themeColor="text1"/>
                <w:sz w:val="24"/>
                <w:szCs w:val="24"/>
              </w:rPr>
              <w:t>編制內</w:t>
            </w:r>
          </w:p>
          <w:p w:rsidR="00F956E8" w:rsidRPr="000B2A94" w:rsidRDefault="00F956E8" w:rsidP="00F956E8">
            <w:pPr>
              <w:adjustRightInd w:val="0"/>
              <w:snapToGrid w:val="0"/>
              <w:jc w:val="center"/>
              <w:rPr>
                <w:color w:val="000000" w:themeColor="text1"/>
                <w:sz w:val="24"/>
                <w:szCs w:val="24"/>
              </w:rPr>
            </w:pPr>
            <w:r w:rsidRPr="000B2A94">
              <w:rPr>
                <w:color w:val="000000" w:themeColor="text1"/>
                <w:sz w:val="24"/>
                <w:szCs w:val="24"/>
              </w:rPr>
              <w:t>醫師</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F956E8" w:rsidRPr="000B2A94" w:rsidRDefault="00F956E8" w:rsidP="00F956E8">
            <w:pPr>
              <w:adjustRightInd w:val="0"/>
              <w:snapToGrid w:val="0"/>
              <w:jc w:val="center"/>
              <w:rPr>
                <w:color w:val="000000" w:themeColor="text1"/>
                <w:sz w:val="24"/>
                <w:szCs w:val="24"/>
              </w:rPr>
            </w:pPr>
            <w:r w:rsidRPr="000B2A94">
              <w:rPr>
                <w:color w:val="000000" w:themeColor="text1"/>
                <w:sz w:val="24"/>
                <w:szCs w:val="24"/>
              </w:rPr>
              <w:t>兼任</w:t>
            </w:r>
          </w:p>
          <w:p w:rsidR="00F956E8" w:rsidRPr="000B2A94" w:rsidRDefault="00F956E8" w:rsidP="00F956E8">
            <w:pPr>
              <w:adjustRightInd w:val="0"/>
              <w:snapToGrid w:val="0"/>
              <w:jc w:val="center"/>
              <w:rPr>
                <w:color w:val="000000" w:themeColor="text1"/>
                <w:sz w:val="24"/>
                <w:szCs w:val="24"/>
              </w:rPr>
            </w:pPr>
            <w:r w:rsidRPr="000B2A94">
              <w:rPr>
                <w:color w:val="000000" w:themeColor="text1"/>
                <w:sz w:val="24"/>
                <w:szCs w:val="24"/>
              </w:rPr>
              <w:t>研究員</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F956E8" w:rsidRPr="000B2A94" w:rsidRDefault="00F956E8" w:rsidP="00F956E8">
            <w:pPr>
              <w:adjustRightInd w:val="0"/>
              <w:snapToGrid w:val="0"/>
              <w:jc w:val="center"/>
              <w:rPr>
                <w:color w:val="000000" w:themeColor="text1"/>
                <w:sz w:val="24"/>
                <w:szCs w:val="24"/>
              </w:rPr>
            </w:pPr>
            <w:r w:rsidRPr="000B2A94">
              <w:rPr>
                <w:color w:val="000000" w:themeColor="text1"/>
                <w:sz w:val="24"/>
                <w:szCs w:val="24"/>
              </w:rPr>
              <w:t>編制內</w:t>
            </w:r>
          </w:p>
          <w:p w:rsidR="00F956E8" w:rsidRPr="000B2A94" w:rsidRDefault="00F956E8" w:rsidP="00F956E8">
            <w:pPr>
              <w:adjustRightInd w:val="0"/>
              <w:snapToGrid w:val="0"/>
              <w:jc w:val="center"/>
              <w:rPr>
                <w:color w:val="000000" w:themeColor="text1"/>
                <w:sz w:val="24"/>
                <w:szCs w:val="24"/>
              </w:rPr>
            </w:pPr>
            <w:r w:rsidRPr="000B2A94">
              <w:rPr>
                <w:color w:val="000000" w:themeColor="text1"/>
                <w:sz w:val="24"/>
                <w:szCs w:val="24"/>
              </w:rPr>
              <w:t>醫師</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F956E8" w:rsidRPr="000B2A94" w:rsidRDefault="00F956E8" w:rsidP="00F956E8">
            <w:pPr>
              <w:adjustRightInd w:val="0"/>
              <w:snapToGrid w:val="0"/>
              <w:jc w:val="center"/>
              <w:rPr>
                <w:color w:val="000000" w:themeColor="text1"/>
                <w:sz w:val="24"/>
                <w:szCs w:val="24"/>
              </w:rPr>
            </w:pPr>
            <w:r w:rsidRPr="000B2A94">
              <w:rPr>
                <w:color w:val="000000" w:themeColor="text1"/>
                <w:sz w:val="24"/>
                <w:szCs w:val="24"/>
              </w:rPr>
              <w:t>兼任</w:t>
            </w:r>
          </w:p>
          <w:p w:rsidR="00F956E8" w:rsidRPr="000B2A94" w:rsidRDefault="00F956E8" w:rsidP="00F956E8">
            <w:pPr>
              <w:adjustRightInd w:val="0"/>
              <w:snapToGrid w:val="0"/>
              <w:jc w:val="center"/>
              <w:rPr>
                <w:color w:val="000000" w:themeColor="text1"/>
                <w:sz w:val="24"/>
                <w:szCs w:val="24"/>
              </w:rPr>
            </w:pPr>
            <w:r w:rsidRPr="000B2A94">
              <w:rPr>
                <w:color w:val="000000" w:themeColor="text1"/>
                <w:sz w:val="24"/>
                <w:szCs w:val="24"/>
              </w:rPr>
              <w:t>研究員</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F956E8" w:rsidRPr="000B2A94" w:rsidRDefault="00F956E8" w:rsidP="00F956E8">
            <w:pPr>
              <w:adjustRightInd w:val="0"/>
              <w:snapToGrid w:val="0"/>
              <w:jc w:val="center"/>
              <w:rPr>
                <w:color w:val="000000" w:themeColor="text1"/>
                <w:sz w:val="24"/>
                <w:szCs w:val="24"/>
              </w:rPr>
            </w:pPr>
            <w:r w:rsidRPr="000B2A94">
              <w:rPr>
                <w:color w:val="000000" w:themeColor="text1"/>
                <w:sz w:val="24"/>
                <w:szCs w:val="24"/>
              </w:rPr>
              <w:t>編制內</w:t>
            </w:r>
          </w:p>
          <w:p w:rsidR="00F956E8" w:rsidRPr="000B2A94" w:rsidRDefault="00F956E8" w:rsidP="00F956E8">
            <w:pPr>
              <w:adjustRightInd w:val="0"/>
              <w:snapToGrid w:val="0"/>
              <w:jc w:val="center"/>
              <w:rPr>
                <w:color w:val="000000" w:themeColor="text1"/>
                <w:sz w:val="24"/>
                <w:szCs w:val="24"/>
              </w:rPr>
            </w:pPr>
            <w:r w:rsidRPr="000B2A94">
              <w:rPr>
                <w:color w:val="000000" w:themeColor="text1"/>
                <w:sz w:val="24"/>
                <w:szCs w:val="24"/>
              </w:rPr>
              <w:t>醫師</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F956E8" w:rsidRPr="000B2A94" w:rsidRDefault="00F956E8" w:rsidP="00F956E8">
            <w:pPr>
              <w:adjustRightInd w:val="0"/>
              <w:snapToGrid w:val="0"/>
              <w:jc w:val="center"/>
              <w:rPr>
                <w:color w:val="000000" w:themeColor="text1"/>
                <w:sz w:val="24"/>
                <w:szCs w:val="24"/>
              </w:rPr>
            </w:pPr>
            <w:r w:rsidRPr="000B2A94">
              <w:rPr>
                <w:color w:val="000000" w:themeColor="text1"/>
                <w:sz w:val="24"/>
                <w:szCs w:val="24"/>
              </w:rPr>
              <w:t>兼任</w:t>
            </w:r>
          </w:p>
          <w:p w:rsidR="00F956E8" w:rsidRPr="000B2A94" w:rsidRDefault="00F956E8" w:rsidP="00F956E8">
            <w:pPr>
              <w:adjustRightInd w:val="0"/>
              <w:snapToGrid w:val="0"/>
              <w:jc w:val="center"/>
              <w:rPr>
                <w:color w:val="000000" w:themeColor="text1"/>
                <w:sz w:val="24"/>
                <w:szCs w:val="24"/>
              </w:rPr>
            </w:pPr>
            <w:r w:rsidRPr="000B2A94">
              <w:rPr>
                <w:color w:val="000000" w:themeColor="text1"/>
                <w:sz w:val="24"/>
                <w:szCs w:val="24"/>
              </w:rPr>
              <w:t>研究員</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F956E8" w:rsidRPr="000B2A94" w:rsidRDefault="00F956E8" w:rsidP="00F956E8">
            <w:pPr>
              <w:adjustRightInd w:val="0"/>
              <w:snapToGrid w:val="0"/>
              <w:jc w:val="center"/>
              <w:rPr>
                <w:color w:val="000000" w:themeColor="text1"/>
                <w:sz w:val="24"/>
                <w:szCs w:val="24"/>
              </w:rPr>
            </w:pPr>
            <w:r w:rsidRPr="000B2A94">
              <w:rPr>
                <w:color w:val="000000" w:themeColor="text1"/>
                <w:sz w:val="24"/>
                <w:szCs w:val="24"/>
              </w:rPr>
              <w:t>編制內</w:t>
            </w:r>
          </w:p>
          <w:p w:rsidR="00F956E8" w:rsidRPr="000B2A94" w:rsidRDefault="00F956E8" w:rsidP="00F956E8">
            <w:pPr>
              <w:adjustRightInd w:val="0"/>
              <w:snapToGrid w:val="0"/>
              <w:jc w:val="center"/>
              <w:rPr>
                <w:color w:val="000000" w:themeColor="text1"/>
                <w:sz w:val="24"/>
                <w:szCs w:val="24"/>
              </w:rPr>
            </w:pPr>
            <w:r w:rsidRPr="000B2A94">
              <w:rPr>
                <w:color w:val="000000" w:themeColor="text1"/>
                <w:sz w:val="24"/>
                <w:szCs w:val="24"/>
              </w:rPr>
              <w:t>醫師</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F956E8" w:rsidRPr="000B2A94" w:rsidRDefault="00F956E8" w:rsidP="00F956E8">
            <w:pPr>
              <w:adjustRightInd w:val="0"/>
              <w:snapToGrid w:val="0"/>
              <w:jc w:val="center"/>
              <w:rPr>
                <w:color w:val="000000" w:themeColor="text1"/>
                <w:sz w:val="24"/>
                <w:szCs w:val="24"/>
              </w:rPr>
            </w:pPr>
            <w:r w:rsidRPr="000B2A94">
              <w:rPr>
                <w:color w:val="000000" w:themeColor="text1"/>
                <w:sz w:val="24"/>
                <w:szCs w:val="24"/>
              </w:rPr>
              <w:t>兼任</w:t>
            </w:r>
          </w:p>
          <w:p w:rsidR="00F956E8" w:rsidRPr="000B2A94" w:rsidRDefault="00F956E8" w:rsidP="00F956E8">
            <w:pPr>
              <w:adjustRightInd w:val="0"/>
              <w:snapToGrid w:val="0"/>
              <w:jc w:val="center"/>
              <w:rPr>
                <w:color w:val="000000" w:themeColor="text1"/>
                <w:sz w:val="24"/>
                <w:szCs w:val="24"/>
              </w:rPr>
            </w:pPr>
            <w:r w:rsidRPr="000B2A94">
              <w:rPr>
                <w:color w:val="000000" w:themeColor="text1"/>
                <w:sz w:val="24"/>
                <w:szCs w:val="24"/>
              </w:rPr>
              <w:t>研究員</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F956E8" w:rsidRPr="000B2A94" w:rsidRDefault="00F956E8" w:rsidP="00F956E8">
            <w:pPr>
              <w:adjustRightInd w:val="0"/>
              <w:snapToGrid w:val="0"/>
              <w:jc w:val="center"/>
              <w:rPr>
                <w:color w:val="000000" w:themeColor="text1"/>
                <w:sz w:val="24"/>
                <w:szCs w:val="24"/>
              </w:rPr>
            </w:pPr>
            <w:r w:rsidRPr="000B2A94">
              <w:rPr>
                <w:color w:val="000000" w:themeColor="text1"/>
                <w:sz w:val="24"/>
                <w:szCs w:val="24"/>
              </w:rPr>
              <w:t>編制內</w:t>
            </w:r>
          </w:p>
          <w:p w:rsidR="00F956E8" w:rsidRPr="000B2A94" w:rsidRDefault="00F956E8" w:rsidP="00F956E8">
            <w:pPr>
              <w:adjustRightInd w:val="0"/>
              <w:snapToGrid w:val="0"/>
              <w:jc w:val="center"/>
              <w:rPr>
                <w:color w:val="000000" w:themeColor="text1"/>
                <w:sz w:val="24"/>
                <w:szCs w:val="24"/>
              </w:rPr>
            </w:pPr>
            <w:r w:rsidRPr="000B2A94">
              <w:rPr>
                <w:color w:val="000000" w:themeColor="text1"/>
                <w:sz w:val="24"/>
                <w:szCs w:val="24"/>
              </w:rPr>
              <w:t>醫師</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F956E8" w:rsidRPr="000B2A94" w:rsidRDefault="00F956E8" w:rsidP="00F956E8">
            <w:pPr>
              <w:adjustRightInd w:val="0"/>
              <w:snapToGrid w:val="0"/>
              <w:jc w:val="center"/>
              <w:rPr>
                <w:color w:val="000000" w:themeColor="text1"/>
                <w:sz w:val="24"/>
                <w:szCs w:val="24"/>
              </w:rPr>
            </w:pPr>
            <w:r w:rsidRPr="000B2A94">
              <w:rPr>
                <w:color w:val="000000" w:themeColor="text1"/>
                <w:sz w:val="24"/>
                <w:szCs w:val="24"/>
              </w:rPr>
              <w:t>兼任</w:t>
            </w:r>
          </w:p>
          <w:p w:rsidR="00F956E8" w:rsidRPr="000B2A94" w:rsidRDefault="00F956E8" w:rsidP="00F956E8">
            <w:pPr>
              <w:adjustRightInd w:val="0"/>
              <w:snapToGrid w:val="0"/>
              <w:jc w:val="center"/>
              <w:rPr>
                <w:color w:val="000000" w:themeColor="text1"/>
                <w:sz w:val="24"/>
                <w:szCs w:val="24"/>
              </w:rPr>
            </w:pPr>
            <w:r w:rsidRPr="000B2A94">
              <w:rPr>
                <w:color w:val="000000" w:themeColor="text1"/>
                <w:sz w:val="24"/>
                <w:szCs w:val="24"/>
              </w:rPr>
              <w:t>研究員</w:t>
            </w:r>
          </w:p>
        </w:tc>
      </w:tr>
      <w:tr w:rsidR="000B2A94" w:rsidRPr="000B2A94" w:rsidTr="00F956E8">
        <w:trPr>
          <w:trHeight w:val="402"/>
        </w:trPr>
        <w:tc>
          <w:tcPr>
            <w:tcW w:w="1222" w:type="dxa"/>
            <w:vMerge/>
            <w:tcBorders>
              <w:left w:val="single" w:sz="4" w:space="0" w:color="auto"/>
              <w:bottom w:val="single" w:sz="4" w:space="0" w:color="auto"/>
              <w:right w:val="single" w:sz="4" w:space="0" w:color="auto"/>
            </w:tcBorders>
            <w:shd w:val="clear" w:color="auto" w:fill="auto"/>
            <w:vAlign w:val="center"/>
          </w:tcPr>
          <w:p w:rsidR="00F956E8" w:rsidRPr="000B2A94" w:rsidRDefault="00F956E8" w:rsidP="00F956E8">
            <w:pPr>
              <w:jc w:val="center"/>
              <w:rPr>
                <w:color w:val="000000" w:themeColor="text1"/>
                <w:sz w:val="26"/>
                <w:szCs w:val="26"/>
              </w:rPr>
            </w:pP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6"/>
                <w:szCs w:val="26"/>
              </w:rPr>
            </w:pPr>
            <w:r w:rsidRPr="000B2A94">
              <w:rPr>
                <w:color w:val="000000" w:themeColor="text1"/>
                <w:sz w:val="26"/>
                <w:szCs w:val="26"/>
              </w:rPr>
              <w:t>1</w:t>
            </w:r>
            <w:r w:rsidRPr="000B2A94">
              <w:rPr>
                <w:rFonts w:hint="eastAsia"/>
                <w:color w:val="000000" w:themeColor="text1"/>
                <w:sz w:val="26"/>
                <w:szCs w:val="26"/>
              </w:rPr>
              <w:t>,</w:t>
            </w:r>
            <w:r w:rsidRPr="000B2A94">
              <w:rPr>
                <w:color w:val="000000" w:themeColor="text1"/>
                <w:sz w:val="26"/>
                <w:szCs w:val="26"/>
              </w:rPr>
              <w:t>370</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6"/>
                <w:szCs w:val="26"/>
              </w:rPr>
            </w:pPr>
            <w:r w:rsidRPr="000B2A94">
              <w:rPr>
                <w:color w:val="000000" w:themeColor="text1"/>
                <w:sz w:val="26"/>
                <w:szCs w:val="26"/>
              </w:rPr>
              <w:t>937</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6"/>
                <w:szCs w:val="26"/>
              </w:rPr>
            </w:pPr>
            <w:r w:rsidRPr="000B2A94">
              <w:rPr>
                <w:color w:val="000000" w:themeColor="text1"/>
                <w:sz w:val="26"/>
                <w:szCs w:val="26"/>
              </w:rPr>
              <w:t>1</w:t>
            </w:r>
            <w:r w:rsidRPr="000B2A94">
              <w:rPr>
                <w:rFonts w:hint="eastAsia"/>
                <w:color w:val="000000" w:themeColor="text1"/>
                <w:sz w:val="26"/>
                <w:szCs w:val="26"/>
              </w:rPr>
              <w:t>,</w:t>
            </w:r>
            <w:r w:rsidRPr="000B2A94">
              <w:rPr>
                <w:color w:val="000000" w:themeColor="text1"/>
                <w:sz w:val="26"/>
                <w:szCs w:val="26"/>
              </w:rPr>
              <w:t>583</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6"/>
                <w:szCs w:val="26"/>
              </w:rPr>
            </w:pPr>
            <w:r w:rsidRPr="000B2A94">
              <w:rPr>
                <w:color w:val="000000" w:themeColor="text1"/>
                <w:sz w:val="26"/>
                <w:szCs w:val="26"/>
              </w:rPr>
              <w:t>600</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6"/>
                <w:szCs w:val="26"/>
              </w:rPr>
            </w:pPr>
            <w:r w:rsidRPr="000B2A94">
              <w:rPr>
                <w:color w:val="000000" w:themeColor="text1"/>
                <w:sz w:val="26"/>
                <w:szCs w:val="26"/>
              </w:rPr>
              <w:t>1</w:t>
            </w:r>
            <w:r w:rsidRPr="000B2A94">
              <w:rPr>
                <w:rFonts w:hint="eastAsia"/>
                <w:color w:val="000000" w:themeColor="text1"/>
                <w:sz w:val="26"/>
                <w:szCs w:val="26"/>
              </w:rPr>
              <w:t>,</w:t>
            </w:r>
            <w:r w:rsidRPr="000B2A94">
              <w:rPr>
                <w:color w:val="000000" w:themeColor="text1"/>
                <w:sz w:val="26"/>
                <w:szCs w:val="26"/>
              </w:rPr>
              <w:t>507</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6"/>
                <w:szCs w:val="26"/>
              </w:rPr>
            </w:pPr>
            <w:r w:rsidRPr="000B2A94">
              <w:rPr>
                <w:color w:val="000000" w:themeColor="text1"/>
                <w:sz w:val="26"/>
                <w:szCs w:val="26"/>
              </w:rPr>
              <w:t>680</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6"/>
                <w:szCs w:val="26"/>
              </w:rPr>
            </w:pPr>
            <w:r w:rsidRPr="000B2A94">
              <w:rPr>
                <w:color w:val="000000" w:themeColor="text1"/>
                <w:sz w:val="26"/>
                <w:szCs w:val="26"/>
              </w:rPr>
              <w:t>739</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6"/>
                <w:szCs w:val="26"/>
              </w:rPr>
            </w:pPr>
            <w:r w:rsidRPr="000B2A94">
              <w:rPr>
                <w:color w:val="000000" w:themeColor="text1"/>
                <w:sz w:val="26"/>
                <w:szCs w:val="26"/>
              </w:rPr>
              <w:t>622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F956E8" w:rsidRPr="000B2A94" w:rsidRDefault="00F956E8" w:rsidP="00F956E8">
            <w:pPr>
              <w:jc w:val="center"/>
              <w:rPr>
                <w:color w:val="000000" w:themeColor="text1"/>
                <w:sz w:val="26"/>
                <w:szCs w:val="26"/>
              </w:rPr>
            </w:pPr>
            <w:r w:rsidRPr="000B2A94">
              <w:rPr>
                <w:color w:val="000000" w:themeColor="text1"/>
                <w:sz w:val="26"/>
                <w:szCs w:val="26"/>
              </w:rPr>
              <w:t>414</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F956E8" w:rsidRPr="000B2A94" w:rsidRDefault="00F956E8" w:rsidP="00F956E8">
            <w:pPr>
              <w:ind w:left="167"/>
              <w:jc w:val="center"/>
              <w:rPr>
                <w:color w:val="000000" w:themeColor="text1"/>
                <w:sz w:val="26"/>
                <w:szCs w:val="26"/>
              </w:rPr>
            </w:pPr>
            <w:r w:rsidRPr="000B2A94">
              <w:rPr>
                <w:color w:val="000000" w:themeColor="text1"/>
                <w:sz w:val="26"/>
                <w:szCs w:val="26"/>
              </w:rPr>
              <w:t>212</w:t>
            </w:r>
          </w:p>
        </w:tc>
      </w:tr>
      <w:tr w:rsidR="000B2A94" w:rsidRPr="000B2A94" w:rsidTr="00F956E8">
        <w:trPr>
          <w:trHeight w:val="359"/>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編制內醫師/兼任研究員案件比例%</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59.38/40.61</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72.51/27.48</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68.72/31.09</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54.30/45.70</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6E8" w:rsidRPr="000B2A94" w:rsidRDefault="00F956E8" w:rsidP="00F956E8">
            <w:pPr>
              <w:jc w:val="center"/>
              <w:rPr>
                <w:color w:val="000000" w:themeColor="text1"/>
                <w:sz w:val="26"/>
                <w:szCs w:val="26"/>
              </w:rPr>
            </w:pPr>
            <w:r w:rsidRPr="000B2A94">
              <w:rPr>
                <w:color w:val="000000" w:themeColor="text1"/>
                <w:sz w:val="26"/>
                <w:szCs w:val="26"/>
              </w:rPr>
              <w:t>66.13/33.87</w:t>
            </w:r>
          </w:p>
        </w:tc>
      </w:tr>
      <w:tr w:rsidR="000B2A94" w:rsidRPr="000B2A94" w:rsidTr="00F956E8">
        <w:trPr>
          <w:trHeight w:val="330"/>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adjustRightInd w:val="0"/>
              <w:snapToGrid w:val="0"/>
              <w:jc w:val="center"/>
              <w:rPr>
                <w:color w:val="000000" w:themeColor="text1"/>
                <w:sz w:val="26"/>
                <w:szCs w:val="26"/>
              </w:rPr>
            </w:pPr>
            <w:r w:rsidRPr="000B2A94">
              <w:rPr>
                <w:color w:val="000000" w:themeColor="text1"/>
                <w:sz w:val="26"/>
                <w:szCs w:val="26"/>
              </w:rPr>
              <w:t>法醫研究所解剖案件數</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2</w:t>
            </w:r>
            <w:r w:rsidRPr="000B2A94">
              <w:rPr>
                <w:rFonts w:hint="eastAsia"/>
                <w:color w:val="000000" w:themeColor="text1"/>
                <w:sz w:val="26"/>
                <w:szCs w:val="26"/>
              </w:rPr>
              <w:t>,</w:t>
            </w:r>
            <w:r w:rsidRPr="000B2A94">
              <w:rPr>
                <w:color w:val="000000" w:themeColor="text1"/>
                <w:sz w:val="26"/>
                <w:szCs w:val="26"/>
              </w:rPr>
              <w:t>307</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2</w:t>
            </w:r>
            <w:r w:rsidRPr="000B2A94">
              <w:rPr>
                <w:rFonts w:hint="eastAsia"/>
                <w:color w:val="000000" w:themeColor="text1"/>
                <w:sz w:val="26"/>
                <w:szCs w:val="26"/>
              </w:rPr>
              <w:t>,</w:t>
            </w:r>
            <w:r w:rsidRPr="000B2A94">
              <w:rPr>
                <w:color w:val="000000" w:themeColor="text1"/>
                <w:sz w:val="26"/>
                <w:szCs w:val="26"/>
              </w:rPr>
              <w:t>183</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2</w:t>
            </w:r>
            <w:r w:rsidRPr="000B2A94">
              <w:rPr>
                <w:rFonts w:hint="eastAsia"/>
                <w:color w:val="000000" w:themeColor="text1"/>
                <w:sz w:val="26"/>
                <w:szCs w:val="26"/>
              </w:rPr>
              <w:t>,</w:t>
            </w:r>
            <w:r w:rsidRPr="000B2A94">
              <w:rPr>
                <w:color w:val="000000" w:themeColor="text1"/>
                <w:sz w:val="26"/>
                <w:szCs w:val="26"/>
              </w:rPr>
              <w:t>187</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1</w:t>
            </w:r>
            <w:r w:rsidRPr="000B2A94">
              <w:rPr>
                <w:rFonts w:hint="eastAsia"/>
                <w:color w:val="000000" w:themeColor="text1"/>
                <w:sz w:val="26"/>
                <w:szCs w:val="26"/>
              </w:rPr>
              <w:t>,</w:t>
            </w:r>
            <w:r w:rsidRPr="000B2A94">
              <w:rPr>
                <w:color w:val="000000" w:themeColor="text1"/>
                <w:sz w:val="26"/>
                <w:szCs w:val="26"/>
              </w:rPr>
              <w:t>361</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6E8" w:rsidRPr="000B2A94" w:rsidRDefault="00F956E8" w:rsidP="00F956E8">
            <w:pPr>
              <w:jc w:val="center"/>
              <w:rPr>
                <w:color w:val="000000" w:themeColor="text1"/>
                <w:sz w:val="26"/>
                <w:szCs w:val="26"/>
              </w:rPr>
            </w:pPr>
            <w:r w:rsidRPr="000B2A94">
              <w:rPr>
                <w:color w:val="000000" w:themeColor="text1"/>
                <w:sz w:val="26"/>
                <w:szCs w:val="26"/>
              </w:rPr>
              <w:t>626</w:t>
            </w:r>
          </w:p>
        </w:tc>
      </w:tr>
      <w:tr w:rsidR="000B2A94" w:rsidRPr="000B2A94" w:rsidTr="00F956E8">
        <w:trPr>
          <w:trHeight w:val="330"/>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adjustRightInd w:val="0"/>
              <w:snapToGrid w:val="0"/>
              <w:jc w:val="center"/>
              <w:rPr>
                <w:color w:val="000000" w:themeColor="text1"/>
                <w:sz w:val="26"/>
                <w:szCs w:val="26"/>
              </w:rPr>
            </w:pPr>
            <w:r w:rsidRPr="000B2A94">
              <w:rPr>
                <w:color w:val="000000" w:themeColor="text1"/>
                <w:sz w:val="26"/>
                <w:szCs w:val="26"/>
              </w:rPr>
              <w:t>全國總解剖案件數</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2</w:t>
            </w:r>
            <w:r w:rsidRPr="000B2A94">
              <w:rPr>
                <w:rFonts w:hint="eastAsia"/>
                <w:color w:val="000000" w:themeColor="text1"/>
                <w:sz w:val="26"/>
                <w:szCs w:val="26"/>
              </w:rPr>
              <w:t>,</w:t>
            </w:r>
            <w:r w:rsidRPr="000B2A94">
              <w:rPr>
                <w:color w:val="000000" w:themeColor="text1"/>
                <w:sz w:val="26"/>
                <w:szCs w:val="26"/>
              </w:rPr>
              <w:t>610</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2</w:t>
            </w:r>
            <w:r w:rsidRPr="000B2A94">
              <w:rPr>
                <w:rFonts w:hint="eastAsia"/>
                <w:color w:val="000000" w:themeColor="text1"/>
                <w:sz w:val="26"/>
                <w:szCs w:val="26"/>
              </w:rPr>
              <w:t>,</w:t>
            </w:r>
            <w:r w:rsidRPr="000B2A94">
              <w:rPr>
                <w:color w:val="000000" w:themeColor="text1"/>
                <w:sz w:val="26"/>
                <w:szCs w:val="26"/>
              </w:rPr>
              <w:t>301</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2</w:t>
            </w:r>
            <w:r w:rsidRPr="000B2A94">
              <w:rPr>
                <w:rFonts w:hint="eastAsia"/>
                <w:color w:val="000000" w:themeColor="text1"/>
                <w:sz w:val="26"/>
                <w:szCs w:val="26"/>
              </w:rPr>
              <w:t>,</w:t>
            </w:r>
            <w:r w:rsidRPr="000B2A94">
              <w:rPr>
                <w:color w:val="000000" w:themeColor="text1"/>
                <w:sz w:val="26"/>
                <w:szCs w:val="26"/>
              </w:rPr>
              <w:t>261</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1</w:t>
            </w:r>
            <w:r w:rsidRPr="000B2A94">
              <w:rPr>
                <w:rFonts w:hint="eastAsia"/>
                <w:color w:val="000000" w:themeColor="text1"/>
                <w:sz w:val="26"/>
                <w:szCs w:val="26"/>
              </w:rPr>
              <w:t>,</w:t>
            </w:r>
            <w:r w:rsidRPr="000B2A94">
              <w:rPr>
                <w:color w:val="000000" w:themeColor="text1"/>
                <w:sz w:val="26"/>
                <w:szCs w:val="26"/>
              </w:rPr>
              <w:t>478</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6E8" w:rsidRPr="000B2A94" w:rsidRDefault="00F956E8" w:rsidP="00F956E8">
            <w:pPr>
              <w:jc w:val="center"/>
              <w:rPr>
                <w:color w:val="000000" w:themeColor="text1"/>
                <w:sz w:val="26"/>
                <w:szCs w:val="26"/>
              </w:rPr>
            </w:pPr>
            <w:r w:rsidRPr="000B2A94">
              <w:rPr>
                <w:color w:val="000000" w:themeColor="text1"/>
                <w:sz w:val="26"/>
                <w:szCs w:val="26"/>
              </w:rPr>
              <w:t>691</w:t>
            </w:r>
          </w:p>
        </w:tc>
      </w:tr>
      <w:tr w:rsidR="000B2A94" w:rsidRPr="000B2A94" w:rsidTr="00F956E8">
        <w:trPr>
          <w:trHeight w:val="330"/>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adjustRightInd w:val="0"/>
              <w:snapToGrid w:val="0"/>
              <w:jc w:val="center"/>
              <w:rPr>
                <w:color w:val="000000" w:themeColor="text1"/>
                <w:sz w:val="26"/>
                <w:szCs w:val="26"/>
              </w:rPr>
            </w:pPr>
            <w:r w:rsidRPr="000B2A94">
              <w:rPr>
                <w:color w:val="000000" w:themeColor="text1"/>
                <w:sz w:val="26"/>
                <w:szCs w:val="26"/>
              </w:rPr>
              <w:t>地檢署自行解剖案件數(比例%)</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303(11.60)</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118(5.12)</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74(3.27)</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6E8" w:rsidRPr="000B2A94" w:rsidRDefault="00F956E8" w:rsidP="00F956E8">
            <w:pPr>
              <w:jc w:val="center"/>
              <w:rPr>
                <w:color w:val="000000" w:themeColor="text1"/>
                <w:sz w:val="26"/>
                <w:szCs w:val="26"/>
              </w:rPr>
            </w:pPr>
            <w:r w:rsidRPr="000B2A94">
              <w:rPr>
                <w:color w:val="000000" w:themeColor="text1"/>
                <w:sz w:val="26"/>
                <w:szCs w:val="26"/>
              </w:rPr>
              <w:t>117(7.91)</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6E8" w:rsidRPr="000B2A94" w:rsidRDefault="00F956E8" w:rsidP="00F956E8">
            <w:pPr>
              <w:jc w:val="center"/>
              <w:rPr>
                <w:color w:val="000000" w:themeColor="text1"/>
                <w:sz w:val="26"/>
                <w:szCs w:val="26"/>
              </w:rPr>
            </w:pPr>
            <w:r w:rsidRPr="000B2A94">
              <w:rPr>
                <w:color w:val="000000" w:themeColor="text1"/>
                <w:sz w:val="26"/>
                <w:szCs w:val="26"/>
              </w:rPr>
              <w:t>65(9.40)</w:t>
            </w:r>
          </w:p>
        </w:tc>
      </w:tr>
    </w:tbl>
    <w:p w:rsidR="00F956E8" w:rsidRPr="000B2A94" w:rsidRDefault="00F956E8" w:rsidP="00F75EF0">
      <w:pPr>
        <w:spacing w:line="240" w:lineRule="exact"/>
        <w:rPr>
          <w:color w:val="000000" w:themeColor="text1"/>
          <w:sz w:val="24"/>
          <w:szCs w:val="24"/>
        </w:rPr>
      </w:pPr>
      <w:r w:rsidRPr="000B2A94">
        <w:rPr>
          <w:color w:val="000000" w:themeColor="text1"/>
          <w:sz w:val="24"/>
          <w:szCs w:val="24"/>
        </w:rPr>
        <w:t>註1：</w:t>
      </w:r>
      <w:r w:rsidR="00F75EF0" w:rsidRPr="000B2A94">
        <w:rPr>
          <w:color w:val="000000" w:themeColor="text1"/>
          <w:sz w:val="24"/>
          <w:szCs w:val="24"/>
        </w:rPr>
        <w:t>蕭</w:t>
      </w:r>
      <w:r w:rsidR="00F75EF0" w:rsidRPr="000B2A94">
        <w:rPr>
          <w:rFonts w:hint="eastAsia"/>
          <w:color w:val="000000" w:themeColor="text1"/>
          <w:sz w:val="26"/>
          <w:szCs w:val="26"/>
        </w:rPr>
        <w:t>○○</w:t>
      </w:r>
      <w:r w:rsidRPr="000B2A94">
        <w:rPr>
          <w:color w:val="000000" w:themeColor="text1"/>
          <w:sz w:val="24"/>
          <w:szCs w:val="24"/>
        </w:rPr>
        <w:t>於107年1月16日退休，聘為兼任研究員。</w:t>
      </w:r>
    </w:p>
    <w:p w:rsidR="00F956E8" w:rsidRPr="000B2A94" w:rsidRDefault="00F956E8" w:rsidP="00F75EF0">
      <w:pPr>
        <w:spacing w:line="240" w:lineRule="exact"/>
        <w:rPr>
          <w:color w:val="000000" w:themeColor="text1"/>
          <w:sz w:val="24"/>
          <w:szCs w:val="24"/>
        </w:rPr>
      </w:pPr>
      <w:r w:rsidRPr="000B2A94">
        <w:rPr>
          <w:color w:val="000000" w:themeColor="text1"/>
          <w:sz w:val="24"/>
          <w:szCs w:val="24"/>
        </w:rPr>
        <w:t>註2：配合地檢署解剖案件統計，108年統計數截至6月30日止。</w:t>
      </w:r>
    </w:p>
    <w:p w:rsidR="00F956E8" w:rsidRPr="000B2A94" w:rsidRDefault="00F956E8" w:rsidP="00F956E8">
      <w:pPr>
        <w:rPr>
          <w:color w:val="000000" w:themeColor="text1"/>
        </w:rPr>
      </w:pPr>
    </w:p>
    <w:p w:rsidR="00F956E8" w:rsidRPr="000B2A94" w:rsidRDefault="00F956E8" w:rsidP="00F75EF0">
      <w:pPr>
        <w:pStyle w:val="a4"/>
        <w:jc w:val="center"/>
        <w:rPr>
          <w:b/>
          <w:color w:val="000000" w:themeColor="text1"/>
        </w:rPr>
      </w:pPr>
      <w:bookmarkStart w:id="310" w:name="_Toc27412330"/>
      <w:r w:rsidRPr="000B2A94">
        <w:rPr>
          <w:b/>
          <w:color w:val="000000" w:themeColor="text1"/>
        </w:rPr>
        <w:t>法醫</w:t>
      </w:r>
      <w:r w:rsidR="006D1B17" w:rsidRPr="000B2A94">
        <w:rPr>
          <w:rFonts w:hint="eastAsia"/>
          <w:b/>
          <w:color w:val="000000" w:themeColor="text1"/>
        </w:rPr>
        <w:t>研究</w:t>
      </w:r>
      <w:r w:rsidRPr="000B2A94">
        <w:rPr>
          <w:b/>
          <w:color w:val="000000" w:themeColor="text1"/>
        </w:rPr>
        <w:t>所、各地方檢察署法醫師、兼任研究員、榮譽</w:t>
      </w:r>
      <w:r w:rsidRPr="000B2A94">
        <w:rPr>
          <w:rFonts w:hint="eastAsia"/>
          <w:b/>
          <w:color w:val="000000" w:themeColor="text1"/>
        </w:rPr>
        <w:t>/兼任法醫師人數及解剖件數統計</w:t>
      </w:r>
      <w:bookmarkEnd w:id="3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008"/>
        <w:gridCol w:w="1728"/>
        <w:gridCol w:w="1728"/>
        <w:gridCol w:w="1787"/>
      </w:tblGrid>
      <w:tr w:rsidR="000B2A94" w:rsidRPr="000B2A94" w:rsidTr="00190D66">
        <w:trPr>
          <w:trHeight w:val="602"/>
          <w:jc w:val="center"/>
        </w:trPr>
        <w:tc>
          <w:tcPr>
            <w:tcW w:w="1809" w:type="dxa"/>
            <w:vAlign w:val="center"/>
          </w:tcPr>
          <w:p w:rsidR="00F956E8" w:rsidRPr="000B2A94" w:rsidRDefault="00F956E8" w:rsidP="00190D66">
            <w:pPr>
              <w:jc w:val="center"/>
              <w:rPr>
                <w:color w:val="000000" w:themeColor="text1"/>
                <w:sz w:val="28"/>
                <w:szCs w:val="28"/>
              </w:rPr>
            </w:pPr>
            <w:bookmarkStart w:id="311" w:name="_Toc27399920"/>
            <w:r w:rsidRPr="000B2A94">
              <w:rPr>
                <w:rFonts w:hint="eastAsia"/>
                <w:color w:val="000000" w:themeColor="text1"/>
                <w:sz w:val="28"/>
                <w:szCs w:val="28"/>
              </w:rPr>
              <w:t>類別</w:t>
            </w:r>
            <w:bookmarkEnd w:id="311"/>
          </w:p>
        </w:tc>
        <w:tc>
          <w:tcPr>
            <w:tcW w:w="2008" w:type="dxa"/>
            <w:shd w:val="clear" w:color="auto" w:fill="auto"/>
            <w:vAlign w:val="center"/>
          </w:tcPr>
          <w:p w:rsidR="00F956E8" w:rsidRPr="000B2A94" w:rsidRDefault="00F956E8" w:rsidP="00190D66">
            <w:pPr>
              <w:jc w:val="center"/>
              <w:rPr>
                <w:color w:val="000000" w:themeColor="text1"/>
                <w:sz w:val="28"/>
                <w:szCs w:val="28"/>
              </w:rPr>
            </w:pPr>
            <w:bookmarkStart w:id="312" w:name="_Toc27399921"/>
            <w:r w:rsidRPr="000B2A94">
              <w:rPr>
                <w:rFonts w:hint="eastAsia"/>
                <w:color w:val="000000" w:themeColor="text1"/>
                <w:sz w:val="28"/>
                <w:szCs w:val="28"/>
              </w:rPr>
              <w:t>年度</w:t>
            </w:r>
            <w:bookmarkEnd w:id="312"/>
          </w:p>
        </w:tc>
        <w:tc>
          <w:tcPr>
            <w:tcW w:w="1728" w:type="dxa"/>
            <w:shd w:val="clear" w:color="auto" w:fill="auto"/>
            <w:vAlign w:val="center"/>
          </w:tcPr>
          <w:p w:rsidR="00F956E8" w:rsidRPr="000B2A94" w:rsidRDefault="00F956E8" w:rsidP="00190D66">
            <w:pPr>
              <w:jc w:val="center"/>
              <w:rPr>
                <w:color w:val="000000" w:themeColor="text1"/>
                <w:sz w:val="28"/>
                <w:szCs w:val="28"/>
              </w:rPr>
            </w:pPr>
            <w:bookmarkStart w:id="313" w:name="_Toc27399922"/>
            <w:r w:rsidRPr="000B2A94">
              <w:rPr>
                <w:rFonts w:hint="eastAsia"/>
                <w:color w:val="000000" w:themeColor="text1"/>
                <w:sz w:val="28"/>
                <w:szCs w:val="28"/>
              </w:rPr>
              <w:t>105</w:t>
            </w:r>
            <w:bookmarkEnd w:id="313"/>
          </w:p>
        </w:tc>
        <w:tc>
          <w:tcPr>
            <w:tcW w:w="1728" w:type="dxa"/>
            <w:shd w:val="clear" w:color="auto" w:fill="auto"/>
            <w:vAlign w:val="center"/>
          </w:tcPr>
          <w:p w:rsidR="00F956E8" w:rsidRPr="000B2A94" w:rsidRDefault="00F956E8" w:rsidP="00190D66">
            <w:pPr>
              <w:jc w:val="center"/>
              <w:rPr>
                <w:color w:val="000000" w:themeColor="text1"/>
                <w:sz w:val="28"/>
                <w:szCs w:val="28"/>
              </w:rPr>
            </w:pPr>
            <w:bookmarkStart w:id="314" w:name="_Toc27399923"/>
            <w:r w:rsidRPr="000B2A94">
              <w:rPr>
                <w:rFonts w:hint="eastAsia"/>
                <w:color w:val="000000" w:themeColor="text1"/>
                <w:sz w:val="28"/>
                <w:szCs w:val="28"/>
              </w:rPr>
              <w:t>106</w:t>
            </w:r>
            <w:bookmarkEnd w:id="314"/>
          </w:p>
        </w:tc>
        <w:tc>
          <w:tcPr>
            <w:tcW w:w="1787" w:type="dxa"/>
            <w:shd w:val="clear" w:color="auto" w:fill="auto"/>
            <w:vAlign w:val="center"/>
          </w:tcPr>
          <w:p w:rsidR="00F956E8" w:rsidRPr="000B2A94" w:rsidRDefault="00F956E8" w:rsidP="00190D66">
            <w:pPr>
              <w:jc w:val="center"/>
              <w:rPr>
                <w:color w:val="000000" w:themeColor="text1"/>
                <w:sz w:val="28"/>
                <w:szCs w:val="28"/>
              </w:rPr>
            </w:pPr>
            <w:bookmarkStart w:id="315" w:name="_Toc27399924"/>
            <w:r w:rsidRPr="000B2A94">
              <w:rPr>
                <w:rFonts w:hint="eastAsia"/>
                <w:color w:val="000000" w:themeColor="text1"/>
                <w:sz w:val="28"/>
                <w:szCs w:val="28"/>
              </w:rPr>
              <w:t>107</w:t>
            </w:r>
            <w:bookmarkEnd w:id="315"/>
          </w:p>
        </w:tc>
      </w:tr>
      <w:tr w:rsidR="000B2A94" w:rsidRPr="000B2A94" w:rsidTr="00190D66">
        <w:trPr>
          <w:trHeight w:val="568"/>
          <w:jc w:val="center"/>
        </w:trPr>
        <w:tc>
          <w:tcPr>
            <w:tcW w:w="1809" w:type="dxa"/>
            <w:vMerge w:val="restart"/>
            <w:vAlign w:val="center"/>
          </w:tcPr>
          <w:p w:rsidR="00F956E8" w:rsidRPr="000B2A94" w:rsidRDefault="00F956E8" w:rsidP="00190D66">
            <w:pPr>
              <w:rPr>
                <w:color w:val="000000" w:themeColor="text1"/>
                <w:sz w:val="28"/>
                <w:szCs w:val="28"/>
              </w:rPr>
            </w:pPr>
            <w:bookmarkStart w:id="316" w:name="_Toc27399925"/>
            <w:r w:rsidRPr="000B2A94">
              <w:rPr>
                <w:color w:val="000000" w:themeColor="text1"/>
                <w:sz w:val="28"/>
                <w:szCs w:val="28"/>
              </w:rPr>
              <w:t>法醫所編制內法醫師</w:t>
            </w:r>
            <w:bookmarkEnd w:id="316"/>
          </w:p>
        </w:tc>
        <w:tc>
          <w:tcPr>
            <w:tcW w:w="2008" w:type="dxa"/>
            <w:shd w:val="clear" w:color="auto" w:fill="auto"/>
            <w:vAlign w:val="center"/>
          </w:tcPr>
          <w:p w:rsidR="00F956E8" w:rsidRPr="000B2A94" w:rsidRDefault="00F956E8" w:rsidP="00190D66">
            <w:pPr>
              <w:jc w:val="center"/>
              <w:rPr>
                <w:color w:val="000000" w:themeColor="text1"/>
                <w:sz w:val="28"/>
                <w:szCs w:val="28"/>
              </w:rPr>
            </w:pPr>
            <w:bookmarkStart w:id="317" w:name="_Toc27399926"/>
            <w:r w:rsidRPr="000B2A94">
              <w:rPr>
                <w:color w:val="000000" w:themeColor="text1"/>
                <w:sz w:val="28"/>
                <w:szCs w:val="28"/>
              </w:rPr>
              <w:t>解</w:t>
            </w:r>
            <w:r w:rsidRPr="000B2A94">
              <w:rPr>
                <w:rFonts w:hint="eastAsia"/>
                <w:color w:val="000000" w:themeColor="text1"/>
                <w:sz w:val="28"/>
                <w:szCs w:val="28"/>
              </w:rPr>
              <w:t>剖</w:t>
            </w:r>
            <w:r w:rsidRPr="000B2A94">
              <w:rPr>
                <w:color w:val="000000" w:themeColor="text1"/>
                <w:sz w:val="28"/>
                <w:szCs w:val="28"/>
              </w:rPr>
              <w:t>案件數</w:t>
            </w:r>
            <w:bookmarkEnd w:id="317"/>
          </w:p>
        </w:tc>
        <w:tc>
          <w:tcPr>
            <w:tcW w:w="1728" w:type="dxa"/>
            <w:shd w:val="clear" w:color="auto" w:fill="auto"/>
            <w:vAlign w:val="center"/>
          </w:tcPr>
          <w:p w:rsidR="00F956E8" w:rsidRPr="000B2A94" w:rsidRDefault="00F956E8" w:rsidP="00190D66">
            <w:pPr>
              <w:jc w:val="center"/>
              <w:rPr>
                <w:color w:val="000000" w:themeColor="text1"/>
                <w:sz w:val="28"/>
                <w:szCs w:val="28"/>
              </w:rPr>
            </w:pPr>
            <w:bookmarkStart w:id="318" w:name="_Toc27399927"/>
            <w:r w:rsidRPr="000B2A94">
              <w:rPr>
                <w:rFonts w:hint="eastAsia"/>
                <w:color w:val="000000" w:themeColor="text1"/>
                <w:sz w:val="28"/>
                <w:szCs w:val="28"/>
              </w:rPr>
              <w:t>1583（69%）</w:t>
            </w:r>
            <w:bookmarkEnd w:id="318"/>
          </w:p>
        </w:tc>
        <w:tc>
          <w:tcPr>
            <w:tcW w:w="1728" w:type="dxa"/>
            <w:shd w:val="clear" w:color="auto" w:fill="auto"/>
            <w:vAlign w:val="center"/>
          </w:tcPr>
          <w:p w:rsidR="00F956E8" w:rsidRPr="000B2A94" w:rsidRDefault="00F956E8" w:rsidP="00190D66">
            <w:pPr>
              <w:jc w:val="center"/>
              <w:rPr>
                <w:color w:val="000000" w:themeColor="text1"/>
                <w:sz w:val="28"/>
                <w:szCs w:val="28"/>
              </w:rPr>
            </w:pPr>
            <w:bookmarkStart w:id="319" w:name="_Toc27399928"/>
            <w:r w:rsidRPr="000B2A94">
              <w:rPr>
                <w:rFonts w:hint="eastAsia"/>
                <w:color w:val="000000" w:themeColor="text1"/>
                <w:sz w:val="28"/>
                <w:szCs w:val="28"/>
              </w:rPr>
              <w:t>1507（67%）</w:t>
            </w:r>
            <w:bookmarkEnd w:id="319"/>
          </w:p>
        </w:tc>
        <w:tc>
          <w:tcPr>
            <w:tcW w:w="1787" w:type="dxa"/>
            <w:shd w:val="clear" w:color="auto" w:fill="auto"/>
            <w:vAlign w:val="center"/>
          </w:tcPr>
          <w:p w:rsidR="00F956E8" w:rsidRPr="000B2A94" w:rsidRDefault="00F956E8" w:rsidP="00190D66">
            <w:pPr>
              <w:jc w:val="center"/>
              <w:rPr>
                <w:color w:val="000000" w:themeColor="text1"/>
                <w:sz w:val="28"/>
                <w:szCs w:val="28"/>
              </w:rPr>
            </w:pPr>
            <w:bookmarkStart w:id="320" w:name="_Toc27399929"/>
            <w:r w:rsidRPr="000B2A94">
              <w:rPr>
                <w:rFonts w:hint="eastAsia"/>
                <w:color w:val="000000" w:themeColor="text1"/>
                <w:sz w:val="28"/>
                <w:szCs w:val="28"/>
              </w:rPr>
              <w:t>739（50%）</w:t>
            </w:r>
            <w:bookmarkEnd w:id="320"/>
          </w:p>
        </w:tc>
      </w:tr>
      <w:tr w:rsidR="000B2A94" w:rsidRPr="000B2A94" w:rsidTr="00190D66">
        <w:trPr>
          <w:trHeight w:val="548"/>
          <w:jc w:val="center"/>
        </w:trPr>
        <w:tc>
          <w:tcPr>
            <w:tcW w:w="1809" w:type="dxa"/>
            <w:vMerge/>
            <w:vAlign w:val="center"/>
          </w:tcPr>
          <w:p w:rsidR="00F956E8" w:rsidRPr="000B2A94" w:rsidRDefault="00F956E8" w:rsidP="00190D66">
            <w:pPr>
              <w:rPr>
                <w:color w:val="000000" w:themeColor="text1"/>
                <w:sz w:val="28"/>
                <w:szCs w:val="28"/>
              </w:rPr>
            </w:pPr>
          </w:p>
        </w:tc>
        <w:tc>
          <w:tcPr>
            <w:tcW w:w="2008" w:type="dxa"/>
            <w:shd w:val="clear" w:color="auto" w:fill="auto"/>
            <w:vAlign w:val="center"/>
          </w:tcPr>
          <w:p w:rsidR="00F956E8" w:rsidRPr="000B2A94" w:rsidRDefault="00F956E8" w:rsidP="00190D66">
            <w:pPr>
              <w:jc w:val="center"/>
              <w:rPr>
                <w:color w:val="000000" w:themeColor="text1"/>
                <w:sz w:val="28"/>
                <w:szCs w:val="28"/>
              </w:rPr>
            </w:pPr>
            <w:bookmarkStart w:id="321" w:name="_Toc27399930"/>
            <w:r w:rsidRPr="000B2A94">
              <w:rPr>
                <w:rFonts w:hint="eastAsia"/>
                <w:color w:val="000000" w:themeColor="text1"/>
                <w:sz w:val="28"/>
                <w:szCs w:val="28"/>
              </w:rPr>
              <w:t>人數</w:t>
            </w:r>
            <w:bookmarkEnd w:id="321"/>
          </w:p>
        </w:tc>
        <w:tc>
          <w:tcPr>
            <w:tcW w:w="1728" w:type="dxa"/>
            <w:shd w:val="clear" w:color="auto" w:fill="auto"/>
            <w:vAlign w:val="center"/>
          </w:tcPr>
          <w:p w:rsidR="00F956E8" w:rsidRPr="000B2A94" w:rsidRDefault="00F956E8" w:rsidP="00190D66">
            <w:pPr>
              <w:jc w:val="center"/>
              <w:rPr>
                <w:color w:val="000000" w:themeColor="text1"/>
                <w:sz w:val="28"/>
                <w:szCs w:val="28"/>
              </w:rPr>
            </w:pPr>
            <w:bookmarkStart w:id="322" w:name="_Toc27399931"/>
            <w:r w:rsidRPr="000B2A94">
              <w:rPr>
                <w:color w:val="000000" w:themeColor="text1"/>
                <w:sz w:val="28"/>
                <w:szCs w:val="28"/>
              </w:rPr>
              <w:t>4</w:t>
            </w:r>
            <w:bookmarkEnd w:id="322"/>
          </w:p>
        </w:tc>
        <w:tc>
          <w:tcPr>
            <w:tcW w:w="1728" w:type="dxa"/>
            <w:shd w:val="clear" w:color="auto" w:fill="auto"/>
            <w:vAlign w:val="center"/>
          </w:tcPr>
          <w:p w:rsidR="00F956E8" w:rsidRPr="000B2A94" w:rsidRDefault="00F956E8" w:rsidP="00190D66">
            <w:pPr>
              <w:jc w:val="center"/>
              <w:rPr>
                <w:color w:val="000000" w:themeColor="text1"/>
                <w:sz w:val="28"/>
                <w:szCs w:val="28"/>
              </w:rPr>
            </w:pPr>
            <w:bookmarkStart w:id="323" w:name="_Toc27399932"/>
            <w:r w:rsidRPr="000B2A94">
              <w:rPr>
                <w:rFonts w:hint="eastAsia"/>
                <w:color w:val="000000" w:themeColor="text1"/>
                <w:sz w:val="28"/>
                <w:szCs w:val="28"/>
              </w:rPr>
              <w:t>4</w:t>
            </w:r>
            <w:bookmarkEnd w:id="323"/>
          </w:p>
        </w:tc>
        <w:tc>
          <w:tcPr>
            <w:tcW w:w="1787" w:type="dxa"/>
            <w:shd w:val="clear" w:color="auto" w:fill="auto"/>
            <w:vAlign w:val="center"/>
          </w:tcPr>
          <w:p w:rsidR="00F956E8" w:rsidRPr="000B2A94" w:rsidRDefault="00F956E8" w:rsidP="00190D66">
            <w:pPr>
              <w:jc w:val="center"/>
              <w:rPr>
                <w:color w:val="000000" w:themeColor="text1"/>
                <w:sz w:val="28"/>
                <w:szCs w:val="28"/>
              </w:rPr>
            </w:pPr>
            <w:bookmarkStart w:id="324" w:name="_Toc27399933"/>
            <w:r w:rsidRPr="000B2A94">
              <w:rPr>
                <w:rFonts w:hint="eastAsia"/>
                <w:color w:val="000000" w:themeColor="text1"/>
                <w:sz w:val="28"/>
                <w:szCs w:val="28"/>
              </w:rPr>
              <w:t>3</w:t>
            </w:r>
            <w:bookmarkEnd w:id="324"/>
          </w:p>
        </w:tc>
      </w:tr>
      <w:tr w:rsidR="000B2A94" w:rsidRPr="000B2A94" w:rsidTr="00190D66">
        <w:trPr>
          <w:trHeight w:val="570"/>
          <w:jc w:val="center"/>
        </w:trPr>
        <w:tc>
          <w:tcPr>
            <w:tcW w:w="1809" w:type="dxa"/>
            <w:vMerge w:val="restart"/>
            <w:vAlign w:val="center"/>
          </w:tcPr>
          <w:p w:rsidR="00F956E8" w:rsidRPr="000B2A94" w:rsidRDefault="00F956E8" w:rsidP="00190D66">
            <w:pPr>
              <w:rPr>
                <w:color w:val="000000" w:themeColor="text1"/>
                <w:sz w:val="28"/>
                <w:szCs w:val="28"/>
              </w:rPr>
            </w:pPr>
            <w:bookmarkStart w:id="325" w:name="_Toc27399934"/>
            <w:r w:rsidRPr="000B2A94">
              <w:rPr>
                <w:color w:val="000000" w:themeColor="text1"/>
                <w:sz w:val="28"/>
                <w:szCs w:val="28"/>
              </w:rPr>
              <w:t>法醫所兼任研究員</w:t>
            </w:r>
            <w:bookmarkEnd w:id="325"/>
          </w:p>
        </w:tc>
        <w:tc>
          <w:tcPr>
            <w:tcW w:w="2008" w:type="dxa"/>
            <w:shd w:val="clear" w:color="auto" w:fill="auto"/>
            <w:vAlign w:val="center"/>
          </w:tcPr>
          <w:p w:rsidR="00F956E8" w:rsidRPr="000B2A94" w:rsidRDefault="00F956E8" w:rsidP="00190D66">
            <w:pPr>
              <w:jc w:val="center"/>
              <w:rPr>
                <w:color w:val="000000" w:themeColor="text1"/>
                <w:sz w:val="28"/>
                <w:szCs w:val="28"/>
              </w:rPr>
            </w:pPr>
            <w:bookmarkStart w:id="326" w:name="_Toc27399935"/>
            <w:r w:rsidRPr="000B2A94">
              <w:rPr>
                <w:color w:val="000000" w:themeColor="text1"/>
                <w:sz w:val="28"/>
                <w:szCs w:val="28"/>
              </w:rPr>
              <w:t>解</w:t>
            </w:r>
            <w:r w:rsidRPr="000B2A94">
              <w:rPr>
                <w:rFonts w:hint="eastAsia"/>
                <w:color w:val="000000" w:themeColor="text1"/>
                <w:sz w:val="28"/>
                <w:szCs w:val="28"/>
              </w:rPr>
              <w:t>剖</w:t>
            </w:r>
            <w:r w:rsidRPr="000B2A94">
              <w:rPr>
                <w:color w:val="000000" w:themeColor="text1"/>
                <w:sz w:val="28"/>
                <w:szCs w:val="28"/>
              </w:rPr>
              <w:t>案件數</w:t>
            </w:r>
            <w:bookmarkEnd w:id="326"/>
          </w:p>
        </w:tc>
        <w:tc>
          <w:tcPr>
            <w:tcW w:w="1728" w:type="dxa"/>
            <w:shd w:val="clear" w:color="auto" w:fill="auto"/>
            <w:vAlign w:val="center"/>
          </w:tcPr>
          <w:p w:rsidR="00F956E8" w:rsidRPr="000B2A94" w:rsidRDefault="00F956E8" w:rsidP="00190D66">
            <w:pPr>
              <w:jc w:val="center"/>
              <w:rPr>
                <w:color w:val="000000" w:themeColor="text1"/>
                <w:sz w:val="28"/>
                <w:szCs w:val="28"/>
              </w:rPr>
            </w:pPr>
            <w:bookmarkStart w:id="327" w:name="_Toc27399936"/>
            <w:r w:rsidRPr="000B2A94">
              <w:rPr>
                <w:rFonts w:hint="eastAsia"/>
                <w:color w:val="000000" w:themeColor="text1"/>
                <w:sz w:val="28"/>
                <w:szCs w:val="28"/>
              </w:rPr>
              <w:t>600（</w:t>
            </w:r>
            <w:r w:rsidRPr="000B2A94">
              <w:rPr>
                <w:color w:val="000000" w:themeColor="text1"/>
                <w:sz w:val="28"/>
                <w:szCs w:val="28"/>
              </w:rPr>
              <w:t>26%）</w:t>
            </w:r>
            <w:bookmarkEnd w:id="327"/>
          </w:p>
        </w:tc>
        <w:tc>
          <w:tcPr>
            <w:tcW w:w="1728" w:type="dxa"/>
            <w:shd w:val="clear" w:color="auto" w:fill="auto"/>
            <w:vAlign w:val="center"/>
          </w:tcPr>
          <w:p w:rsidR="00F956E8" w:rsidRPr="000B2A94" w:rsidRDefault="00F956E8" w:rsidP="00190D66">
            <w:pPr>
              <w:jc w:val="center"/>
              <w:rPr>
                <w:color w:val="000000" w:themeColor="text1"/>
                <w:sz w:val="28"/>
                <w:szCs w:val="28"/>
              </w:rPr>
            </w:pPr>
            <w:bookmarkStart w:id="328" w:name="_Toc27399937"/>
            <w:r w:rsidRPr="000B2A94">
              <w:rPr>
                <w:rFonts w:hint="eastAsia"/>
                <w:color w:val="000000" w:themeColor="text1"/>
                <w:sz w:val="28"/>
                <w:szCs w:val="28"/>
              </w:rPr>
              <w:t>680（</w:t>
            </w:r>
            <w:r w:rsidRPr="000B2A94">
              <w:rPr>
                <w:color w:val="000000" w:themeColor="text1"/>
                <w:sz w:val="28"/>
                <w:szCs w:val="28"/>
              </w:rPr>
              <w:t>31%）</w:t>
            </w:r>
            <w:bookmarkEnd w:id="328"/>
          </w:p>
        </w:tc>
        <w:tc>
          <w:tcPr>
            <w:tcW w:w="1787" w:type="dxa"/>
            <w:shd w:val="clear" w:color="auto" w:fill="auto"/>
            <w:vAlign w:val="center"/>
          </w:tcPr>
          <w:p w:rsidR="00F956E8" w:rsidRPr="000B2A94" w:rsidRDefault="00F956E8" w:rsidP="00190D66">
            <w:pPr>
              <w:jc w:val="center"/>
              <w:rPr>
                <w:color w:val="000000" w:themeColor="text1"/>
                <w:sz w:val="28"/>
                <w:szCs w:val="28"/>
              </w:rPr>
            </w:pPr>
            <w:bookmarkStart w:id="329" w:name="_Toc27399938"/>
            <w:r w:rsidRPr="000B2A94">
              <w:rPr>
                <w:rFonts w:hint="eastAsia"/>
                <w:color w:val="000000" w:themeColor="text1"/>
                <w:sz w:val="28"/>
                <w:szCs w:val="28"/>
              </w:rPr>
              <w:t>622（42%）</w:t>
            </w:r>
            <w:bookmarkEnd w:id="329"/>
          </w:p>
        </w:tc>
      </w:tr>
      <w:tr w:rsidR="000B2A94" w:rsidRPr="000B2A94" w:rsidTr="00190D66">
        <w:trPr>
          <w:trHeight w:val="550"/>
          <w:jc w:val="center"/>
        </w:trPr>
        <w:tc>
          <w:tcPr>
            <w:tcW w:w="1809" w:type="dxa"/>
            <w:vMerge/>
            <w:vAlign w:val="center"/>
          </w:tcPr>
          <w:p w:rsidR="00F956E8" w:rsidRPr="000B2A94" w:rsidRDefault="00F956E8" w:rsidP="00190D66">
            <w:pPr>
              <w:rPr>
                <w:color w:val="000000" w:themeColor="text1"/>
                <w:sz w:val="28"/>
                <w:szCs w:val="28"/>
              </w:rPr>
            </w:pPr>
          </w:p>
        </w:tc>
        <w:tc>
          <w:tcPr>
            <w:tcW w:w="2008" w:type="dxa"/>
            <w:shd w:val="clear" w:color="auto" w:fill="auto"/>
            <w:vAlign w:val="center"/>
          </w:tcPr>
          <w:p w:rsidR="00F956E8" w:rsidRPr="000B2A94" w:rsidRDefault="00F956E8" w:rsidP="00190D66">
            <w:pPr>
              <w:jc w:val="center"/>
              <w:rPr>
                <w:color w:val="000000" w:themeColor="text1"/>
                <w:sz w:val="28"/>
                <w:szCs w:val="28"/>
              </w:rPr>
            </w:pPr>
            <w:bookmarkStart w:id="330" w:name="_Toc27399939"/>
            <w:r w:rsidRPr="000B2A94">
              <w:rPr>
                <w:rFonts w:hint="eastAsia"/>
                <w:color w:val="000000" w:themeColor="text1"/>
                <w:sz w:val="28"/>
                <w:szCs w:val="28"/>
              </w:rPr>
              <w:t>人數</w:t>
            </w:r>
            <w:bookmarkEnd w:id="330"/>
          </w:p>
        </w:tc>
        <w:tc>
          <w:tcPr>
            <w:tcW w:w="1728" w:type="dxa"/>
            <w:shd w:val="clear" w:color="auto" w:fill="auto"/>
            <w:vAlign w:val="center"/>
          </w:tcPr>
          <w:p w:rsidR="00F956E8" w:rsidRPr="000B2A94" w:rsidRDefault="00F956E8" w:rsidP="00190D66">
            <w:pPr>
              <w:jc w:val="center"/>
              <w:rPr>
                <w:color w:val="000000" w:themeColor="text1"/>
                <w:sz w:val="28"/>
                <w:szCs w:val="28"/>
              </w:rPr>
            </w:pPr>
            <w:bookmarkStart w:id="331" w:name="_Toc27399940"/>
            <w:r w:rsidRPr="000B2A94">
              <w:rPr>
                <w:rFonts w:hint="eastAsia"/>
                <w:color w:val="000000" w:themeColor="text1"/>
                <w:sz w:val="28"/>
                <w:szCs w:val="28"/>
              </w:rPr>
              <w:t>8</w:t>
            </w:r>
            <w:bookmarkEnd w:id="331"/>
          </w:p>
        </w:tc>
        <w:tc>
          <w:tcPr>
            <w:tcW w:w="1728" w:type="dxa"/>
            <w:shd w:val="clear" w:color="auto" w:fill="auto"/>
            <w:vAlign w:val="center"/>
          </w:tcPr>
          <w:p w:rsidR="00F956E8" w:rsidRPr="000B2A94" w:rsidRDefault="00F956E8" w:rsidP="00190D66">
            <w:pPr>
              <w:jc w:val="center"/>
              <w:rPr>
                <w:color w:val="000000" w:themeColor="text1"/>
                <w:sz w:val="28"/>
                <w:szCs w:val="28"/>
              </w:rPr>
            </w:pPr>
            <w:bookmarkStart w:id="332" w:name="_Toc27399941"/>
            <w:r w:rsidRPr="000B2A94">
              <w:rPr>
                <w:color w:val="000000" w:themeColor="text1"/>
                <w:sz w:val="28"/>
                <w:szCs w:val="28"/>
              </w:rPr>
              <w:t>8</w:t>
            </w:r>
            <w:bookmarkEnd w:id="332"/>
          </w:p>
        </w:tc>
        <w:tc>
          <w:tcPr>
            <w:tcW w:w="1787" w:type="dxa"/>
            <w:shd w:val="clear" w:color="auto" w:fill="auto"/>
            <w:vAlign w:val="center"/>
          </w:tcPr>
          <w:p w:rsidR="00F956E8" w:rsidRPr="000B2A94" w:rsidRDefault="00F956E8" w:rsidP="00190D66">
            <w:pPr>
              <w:jc w:val="center"/>
              <w:rPr>
                <w:color w:val="000000" w:themeColor="text1"/>
                <w:sz w:val="28"/>
                <w:szCs w:val="28"/>
              </w:rPr>
            </w:pPr>
            <w:bookmarkStart w:id="333" w:name="_Toc27399942"/>
            <w:r w:rsidRPr="000B2A94">
              <w:rPr>
                <w:color w:val="000000" w:themeColor="text1"/>
                <w:sz w:val="28"/>
                <w:szCs w:val="28"/>
              </w:rPr>
              <w:t>8</w:t>
            </w:r>
            <w:bookmarkEnd w:id="333"/>
          </w:p>
        </w:tc>
      </w:tr>
      <w:tr w:rsidR="000B2A94" w:rsidRPr="000B2A94" w:rsidTr="00190D66">
        <w:trPr>
          <w:trHeight w:val="700"/>
          <w:jc w:val="center"/>
        </w:trPr>
        <w:tc>
          <w:tcPr>
            <w:tcW w:w="1809" w:type="dxa"/>
            <w:vMerge w:val="restart"/>
            <w:vAlign w:val="center"/>
          </w:tcPr>
          <w:p w:rsidR="00F956E8" w:rsidRPr="000B2A94" w:rsidRDefault="00F956E8" w:rsidP="00190D66">
            <w:pPr>
              <w:rPr>
                <w:color w:val="000000" w:themeColor="text1"/>
                <w:sz w:val="28"/>
                <w:szCs w:val="28"/>
              </w:rPr>
            </w:pPr>
            <w:bookmarkStart w:id="334" w:name="_Toc27399943"/>
            <w:r w:rsidRPr="000B2A94">
              <w:rPr>
                <w:color w:val="000000" w:themeColor="text1"/>
                <w:sz w:val="28"/>
                <w:szCs w:val="28"/>
              </w:rPr>
              <w:t>地檢署公職法醫師/榮譽、</w:t>
            </w:r>
            <w:r w:rsidRPr="000B2A94">
              <w:rPr>
                <w:rFonts w:hint="eastAsia"/>
                <w:color w:val="000000" w:themeColor="text1"/>
                <w:sz w:val="28"/>
                <w:szCs w:val="28"/>
              </w:rPr>
              <w:t>兼任</w:t>
            </w:r>
            <w:r w:rsidRPr="000B2A94">
              <w:rPr>
                <w:color w:val="000000" w:themeColor="text1"/>
                <w:sz w:val="28"/>
                <w:szCs w:val="28"/>
              </w:rPr>
              <w:t>法醫師</w:t>
            </w:r>
            <w:bookmarkEnd w:id="334"/>
          </w:p>
        </w:tc>
        <w:tc>
          <w:tcPr>
            <w:tcW w:w="2008" w:type="dxa"/>
            <w:shd w:val="clear" w:color="auto" w:fill="auto"/>
            <w:vAlign w:val="center"/>
          </w:tcPr>
          <w:p w:rsidR="00F956E8" w:rsidRPr="000B2A94" w:rsidRDefault="00F956E8" w:rsidP="00190D66">
            <w:pPr>
              <w:jc w:val="center"/>
              <w:rPr>
                <w:color w:val="000000" w:themeColor="text1"/>
                <w:sz w:val="28"/>
                <w:szCs w:val="28"/>
              </w:rPr>
            </w:pPr>
            <w:bookmarkStart w:id="335" w:name="_Toc27399944"/>
            <w:r w:rsidRPr="000B2A94">
              <w:rPr>
                <w:color w:val="000000" w:themeColor="text1"/>
                <w:sz w:val="28"/>
                <w:szCs w:val="28"/>
              </w:rPr>
              <w:t>解</w:t>
            </w:r>
            <w:r w:rsidRPr="000B2A94">
              <w:rPr>
                <w:rFonts w:hint="eastAsia"/>
                <w:color w:val="000000" w:themeColor="text1"/>
                <w:sz w:val="28"/>
                <w:szCs w:val="28"/>
              </w:rPr>
              <w:t>剖</w:t>
            </w:r>
            <w:r w:rsidRPr="000B2A94">
              <w:rPr>
                <w:color w:val="000000" w:themeColor="text1"/>
                <w:sz w:val="28"/>
                <w:szCs w:val="28"/>
              </w:rPr>
              <w:t>案件數</w:t>
            </w:r>
            <w:bookmarkEnd w:id="335"/>
          </w:p>
        </w:tc>
        <w:tc>
          <w:tcPr>
            <w:tcW w:w="1728" w:type="dxa"/>
            <w:shd w:val="clear" w:color="auto" w:fill="auto"/>
            <w:vAlign w:val="center"/>
          </w:tcPr>
          <w:p w:rsidR="00F956E8" w:rsidRPr="000B2A94" w:rsidRDefault="00F956E8" w:rsidP="00190D66">
            <w:pPr>
              <w:jc w:val="center"/>
              <w:rPr>
                <w:color w:val="000000" w:themeColor="text1"/>
                <w:sz w:val="28"/>
                <w:szCs w:val="28"/>
              </w:rPr>
            </w:pPr>
            <w:bookmarkStart w:id="336" w:name="_Toc27399945"/>
            <w:r w:rsidRPr="000B2A94">
              <w:rPr>
                <w:rFonts w:hint="eastAsia"/>
                <w:color w:val="000000" w:themeColor="text1"/>
                <w:sz w:val="28"/>
                <w:szCs w:val="28"/>
              </w:rPr>
              <w:t>118（5%）</w:t>
            </w:r>
            <w:bookmarkEnd w:id="336"/>
          </w:p>
        </w:tc>
        <w:tc>
          <w:tcPr>
            <w:tcW w:w="1728" w:type="dxa"/>
            <w:shd w:val="clear" w:color="auto" w:fill="auto"/>
            <w:vAlign w:val="center"/>
          </w:tcPr>
          <w:p w:rsidR="00F956E8" w:rsidRPr="000B2A94" w:rsidRDefault="00F956E8" w:rsidP="00190D66">
            <w:pPr>
              <w:jc w:val="center"/>
              <w:rPr>
                <w:color w:val="000000" w:themeColor="text1"/>
                <w:sz w:val="28"/>
                <w:szCs w:val="28"/>
              </w:rPr>
            </w:pPr>
            <w:bookmarkStart w:id="337" w:name="_Toc27399946"/>
            <w:r w:rsidRPr="000B2A94">
              <w:rPr>
                <w:rFonts w:hint="eastAsia"/>
                <w:color w:val="000000" w:themeColor="text1"/>
                <w:sz w:val="28"/>
                <w:szCs w:val="28"/>
              </w:rPr>
              <w:t>74（2%）</w:t>
            </w:r>
            <w:bookmarkEnd w:id="337"/>
          </w:p>
        </w:tc>
        <w:tc>
          <w:tcPr>
            <w:tcW w:w="1787" w:type="dxa"/>
            <w:shd w:val="clear" w:color="auto" w:fill="auto"/>
            <w:vAlign w:val="center"/>
          </w:tcPr>
          <w:p w:rsidR="00F956E8" w:rsidRPr="000B2A94" w:rsidRDefault="00F956E8" w:rsidP="00190D66">
            <w:pPr>
              <w:jc w:val="center"/>
              <w:rPr>
                <w:color w:val="000000" w:themeColor="text1"/>
                <w:sz w:val="28"/>
                <w:szCs w:val="28"/>
              </w:rPr>
            </w:pPr>
            <w:bookmarkStart w:id="338" w:name="_Toc27399947"/>
            <w:r w:rsidRPr="000B2A94">
              <w:rPr>
                <w:rFonts w:hint="eastAsia"/>
                <w:color w:val="000000" w:themeColor="text1"/>
                <w:sz w:val="28"/>
                <w:szCs w:val="28"/>
              </w:rPr>
              <w:t>126（8%）</w:t>
            </w:r>
            <w:bookmarkEnd w:id="338"/>
          </w:p>
        </w:tc>
      </w:tr>
      <w:tr w:rsidR="000B2A94" w:rsidRPr="000B2A94" w:rsidTr="00190D66">
        <w:trPr>
          <w:trHeight w:val="683"/>
          <w:jc w:val="center"/>
        </w:trPr>
        <w:tc>
          <w:tcPr>
            <w:tcW w:w="1809" w:type="dxa"/>
            <w:vMerge/>
            <w:vAlign w:val="center"/>
          </w:tcPr>
          <w:p w:rsidR="00F956E8" w:rsidRPr="000B2A94" w:rsidRDefault="00F956E8" w:rsidP="00190D66">
            <w:pPr>
              <w:rPr>
                <w:color w:val="000000" w:themeColor="text1"/>
                <w:sz w:val="28"/>
                <w:szCs w:val="28"/>
              </w:rPr>
            </w:pPr>
          </w:p>
        </w:tc>
        <w:tc>
          <w:tcPr>
            <w:tcW w:w="2008" w:type="dxa"/>
            <w:shd w:val="clear" w:color="auto" w:fill="auto"/>
            <w:vAlign w:val="center"/>
          </w:tcPr>
          <w:p w:rsidR="00F956E8" w:rsidRPr="000B2A94" w:rsidRDefault="00F956E8" w:rsidP="00190D66">
            <w:pPr>
              <w:jc w:val="center"/>
              <w:rPr>
                <w:color w:val="000000" w:themeColor="text1"/>
                <w:sz w:val="28"/>
                <w:szCs w:val="28"/>
              </w:rPr>
            </w:pPr>
            <w:bookmarkStart w:id="339" w:name="_Toc27399948"/>
            <w:r w:rsidRPr="000B2A94">
              <w:rPr>
                <w:color w:val="000000" w:themeColor="text1"/>
                <w:sz w:val="28"/>
                <w:szCs w:val="28"/>
              </w:rPr>
              <w:t>人數</w:t>
            </w:r>
            <w:bookmarkEnd w:id="339"/>
          </w:p>
        </w:tc>
        <w:tc>
          <w:tcPr>
            <w:tcW w:w="1728" w:type="dxa"/>
            <w:shd w:val="clear" w:color="auto" w:fill="auto"/>
            <w:vAlign w:val="center"/>
          </w:tcPr>
          <w:p w:rsidR="00F956E8" w:rsidRPr="000B2A94" w:rsidRDefault="00F956E8" w:rsidP="00190D66">
            <w:pPr>
              <w:jc w:val="center"/>
              <w:rPr>
                <w:color w:val="000000" w:themeColor="text1"/>
                <w:sz w:val="28"/>
                <w:szCs w:val="28"/>
              </w:rPr>
            </w:pPr>
            <w:bookmarkStart w:id="340" w:name="_Toc27399949"/>
            <w:r w:rsidRPr="000B2A94">
              <w:rPr>
                <w:color w:val="000000" w:themeColor="text1"/>
                <w:sz w:val="28"/>
                <w:szCs w:val="28"/>
              </w:rPr>
              <w:t>26/</w:t>
            </w:r>
            <w:r w:rsidRPr="000B2A94">
              <w:rPr>
                <w:rFonts w:hint="eastAsia"/>
                <w:color w:val="000000" w:themeColor="text1"/>
                <w:sz w:val="28"/>
                <w:szCs w:val="28"/>
              </w:rPr>
              <w:t>96</w:t>
            </w:r>
            <w:bookmarkEnd w:id="340"/>
          </w:p>
        </w:tc>
        <w:tc>
          <w:tcPr>
            <w:tcW w:w="1728" w:type="dxa"/>
            <w:shd w:val="clear" w:color="auto" w:fill="auto"/>
            <w:vAlign w:val="center"/>
          </w:tcPr>
          <w:p w:rsidR="00F956E8" w:rsidRPr="000B2A94" w:rsidRDefault="00F956E8" w:rsidP="00190D66">
            <w:pPr>
              <w:jc w:val="center"/>
              <w:rPr>
                <w:color w:val="000000" w:themeColor="text1"/>
                <w:sz w:val="28"/>
                <w:szCs w:val="28"/>
              </w:rPr>
            </w:pPr>
            <w:bookmarkStart w:id="341" w:name="_Toc27399950"/>
            <w:r w:rsidRPr="000B2A94">
              <w:rPr>
                <w:rFonts w:hint="eastAsia"/>
                <w:color w:val="000000" w:themeColor="text1"/>
                <w:sz w:val="28"/>
                <w:szCs w:val="28"/>
              </w:rPr>
              <w:t>29/</w:t>
            </w:r>
            <w:r w:rsidRPr="000B2A94">
              <w:rPr>
                <w:color w:val="000000" w:themeColor="text1"/>
                <w:sz w:val="28"/>
                <w:szCs w:val="28"/>
              </w:rPr>
              <w:t>97</w:t>
            </w:r>
            <w:bookmarkEnd w:id="341"/>
          </w:p>
        </w:tc>
        <w:tc>
          <w:tcPr>
            <w:tcW w:w="1787" w:type="dxa"/>
            <w:shd w:val="clear" w:color="auto" w:fill="auto"/>
            <w:vAlign w:val="center"/>
          </w:tcPr>
          <w:p w:rsidR="00F956E8" w:rsidRPr="000B2A94" w:rsidRDefault="00F956E8" w:rsidP="00190D66">
            <w:pPr>
              <w:jc w:val="center"/>
              <w:rPr>
                <w:color w:val="000000" w:themeColor="text1"/>
                <w:sz w:val="28"/>
                <w:szCs w:val="28"/>
              </w:rPr>
            </w:pPr>
            <w:bookmarkStart w:id="342" w:name="_Toc27399951"/>
            <w:r w:rsidRPr="000B2A94">
              <w:rPr>
                <w:rFonts w:hint="eastAsia"/>
                <w:color w:val="000000" w:themeColor="text1"/>
                <w:sz w:val="28"/>
                <w:szCs w:val="28"/>
              </w:rPr>
              <w:t>2</w:t>
            </w:r>
            <w:r w:rsidRPr="000B2A94">
              <w:rPr>
                <w:color w:val="000000" w:themeColor="text1"/>
                <w:sz w:val="28"/>
                <w:szCs w:val="28"/>
              </w:rPr>
              <w:t>8</w:t>
            </w:r>
            <w:r w:rsidRPr="000B2A94">
              <w:rPr>
                <w:rFonts w:hint="eastAsia"/>
                <w:color w:val="000000" w:themeColor="text1"/>
                <w:sz w:val="28"/>
                <w:szCs w:val="28"/>
              </w:rPr>
              <w:t>//99</w:t>
            </w:r>
            <w:bookmarkEnd w:id="342"/>
          </w:p>
        </w:tc>
      </w:tr>
      <w:tr w:rsidR="000B2A94" w:rsidRPr="000B2A94" w:rsidTr="00190D66">
        <w:trPr>
          <w:trHeight w:val="715"/>
          <w:jc w:val="center"/>
        </w:trPr>
        <w:tc>
          <w:tcPr>
            <w:tcW w:w="3817" w:type="dxa"/>
            <w:gridSpan w:val="2"/>
            <w:vAlign w:val="center"/>
          </w:tcPr>
          <w:p w:rsidR="00F956E8" w:rsidRPr="000B2A94" w:rsidRDefault="00F956E8" w:rsidP="00190D66">
            <w:pPr>
              <w:jc w:val="center"/>
              <w:rPr>
                <w:color w:val="000000" w:themeColor="text1"/>
                <w:sz w:val="28"/>
                <w:szCs w:val="28"/>
              </w:rPr>
            </w:pPr>
            <w:bookmarkStart w:id="343" w:name="_Toc27399952"/>
            <w:r w:rsidRPr="000B2A94">
              <w:rPr>
                <w:color w:val="000000" w:themeColor="text1"/>
                <w:sz w:val="28"/>
                <w:szCs w:val="28"/>
              </w:rPr>
              <w:t>解</w:t>
            </w:r>
            <w:r w:rsidRPr="000B2A94">
              <w:rPr>
                <w:rFonts w:hint="eastAsia"/>
                <w:color w:val="000000" w:themeColor="text1"/>
                <w:sz w:val="28"/>
                <w:szCs w:val="28"/>
              </w:rPr>
              <w:t>剖</w:t>
            </w:r>
            <w:r w:rsidRPr="000B2A94">
              <w:rPr>
                <w:color w:val="000000" w:themeColor="text1"/>
                <w:sz w:val="28"/>
                <w:szCs w:val="28"/>
              </w:rPr>
              <w:t>件數合計</w:t>
            </w:r>
            <w:bookmarkEnd w:id="343"/>
          </w:p>
        </w:tc>
        <w:tc>
          <w:tcPr>
            <w:tcW w:w="1728" w:type="dxa"/>
            <w:shd w:val="clear" w:color="auto" w:fill="auto"/>
            <w:vAlign w:val="center"/>
          </w:tcPr>
          <w:p w:rsidR="00F956E8" w:rsidRPr="000B2A94" w:rsidRDefault="00F956E8" w:rsidP="00190D66">
            <w:pPr>
              <w:jc w:val="center"/>
              <w:rPr>
                <w:color w:val="000000" w:themeColor="text1"/>
                <w:sz w:val="28"/>
                <w:szCs w:val="28"/>
              </w:rPr>
            </w:pPr>
            <w:bookmarkStart w:id="344" w:name="_Toc27399953"/>
            <w:r w:rsidRPr="000B2A94">
              <w:rPr>
                <w:rFonts w:hint="eastAsia"/>
                <w:color w:val="000000" w:themeColor="text1"/>
                <w:sz w:val="28"/>
                <w:szCs w:val="28"/>
              </w:rPr>
              <w:t>2301</w:t>
            </w:r>
            <w:bookmarkEnd w:id="344"/>
          </w:p>
        </w:tc>
        <w:tc>
          <w:tcPr>
            <w:tcW w:w="1728" w:type="dxa"/>
            <w:shd w:val="clear" w:color="auto" w:fill="auto"/>
            <w:vAlign w:val="center"/>
          </w:tcPr>
          <w:p w:rsidR="00F956E8" w:rsidRPr="000B2A94" w:rsidRDefault="00F956E8" w:rsidP="00190D66">
            <w:pPr>
              <w:jc w:val="center"/>
              <w:rPr>
                <w:color w:val="000000" w:themeColor="text1"/>
                <w:sz w:val="28"/>
                <w:szCs w:val="28"/>
              </w:rPr>
            </w:pPr>
            <w:bookmarkStart w:id="345" w:name="_Toc27399954"/>
            <w:r w:rsidRPr="000B2A94">
              <w:rPr>
                <w:rFonts w:hint="eastAsia"/>
                <w:color w:val="000000" w:themeColor="text1"/>
                <w:sz w:val="28"/>
                <w:szCs w:val="28"/>
              </w:rPr>
              <w:t>2261</w:t>
            </w:r>
            <w:bookmarkEnd w:id="345"/>
          </w:p>
        </w:tc>
        <w:tc>
          <w:tcPr>
            <w:tcW w:w="1787" w:type="dxa"/>
            <w:shd w:val="clear" w:color="auto" w:fill="auto"/>
            <w:vAlign w:val="center"/>
          </w:tcPr>
          <w:p w:rsidR="00F956E8" w:rsidRPr="000B2A94" w:rsidRDefault="00F956E8" w:rsidP="00190D66">
            <w:pPr>
              <w:jc w:val="center"/>
              <w:rPr>
                <w:color w:val="000000" w:themeColor="text1"/>
                <w:sz w:val="28"/>
                <w:szCs w:val="28"/>
              </w:rPr>
            </w:pPr>
            <w:bookmarkStart w:id="346" w:name="_Toc27399955"/>
            <w:r w:rsidRPr="000B2A94">
              <w:rPr>
                <w:rFonts w:hint="eastAsia"/>
                <w:color w:val="000000" w:themeColor="text1"/>
                <w:sz w:val="28"/>
                <w:szCs w:val="28"/>
              </w:rPr>
              <w:t>1487</w:t>
            </w:r>
            <w:bookmarkEnd w:id="346"/>
          </w:p>
        </w:tc>
      </w:tr>
    </w:tbl>
    <w:p w:rsidR="00F956E8" w:rsidRPr="000B2A94" w:rsidRDefault="00F956E8" w:rsidP="00F956E8">
      <w:pPr>
        <w:rPr>
          <w:color w:val="000000" w:themeColor="text1"/>
        </w:rPr>
      </w:pPr>
      <w:r w:rsidRPr="000B2A94">
        <w:rPr>
          <w:rFonts w:hAnsi="標楷體" w:cs="新細明體"/>
          <w:bCs/>
          <w:color w:val="000000" w:themeColor="text1"/>
          <w:sz w:val="24"/>
          <w:szCs w:val="24"/>
        </w:rPr>
        <w:t>註：地檢署公職法醫師</w:t>
      </w:r>
      <w:r w:rsidRPr="000B2A94">
        <w:rPr>
          <w:rFonts w:hAnsi="標楷體" w:cs="新細明體" w:hint="eastAsia"/>
          <w:bCs/>
          <w:color w:val="000000" w:themeColor="text1"/>
          <w:sz w:val="24"/>
          <w:szCs w:val="24"/>
        </w:rPr>
        <w:t>/榮譽、兼任法醫師統計係由臺灣高等檢察署提供</w:t>
      </w:r>
    </w:p>
    <w:p w:rsidR="00F956E8" w:rsidRPr="000B2A94" w:rsidRDefault="00F956E8" w:rsidP="00F956E8">
      <w:pPr>
        <w:rPr>
          <w:color w:val="000000" w:themeColor="text1"/>
        </w:rPr>
      </w:pPr>
    </w:p>
    <w:p w:rsidR="00F956E8" w:rsidRPr="000B2A94" w:rsidRDefault="00F956E8" w:rsidP="00F75EF0">
      <w:pPr>
        <w:pStyle w:val="4"/>
        <w:rPr>
          <w:rFonts w:ascii="Times New Roman" w:hAnsi="Times New Roman"/>
          <w:color w:val="000000" w:themeColor="text1"/>
        </w:rPr>
      </w:pPr>
      <w:r w:rsidRPr="000B2A94">
        <w:rPr>
          <w:rFonts w:hint="eastAsia"/>
          <w:color w:val="000000" w:themeColor="text1"/>
        </w:rPr>
        <w:t>依據法醫研究所法醫統計，全國各地檢署相驗案件約2萬件，以近兩年每年約1</w:t>
      </w:r>
      <w:r w:rsidRPr="000B2A94">
        <w:rPr>
          <w:color w:val="000000" w:themeColor="text1"/>
        </w:rPr>
        <w:t>,</w:t>
      </w:r>
      <w:r w:rsidRPr="000B2A94">
        <w:rPr>
          <w:rFonts w:hint="eastAsia"/>
          <w:color w:val="000000" w:themeColor="text1"/>
        </w:rPr>
        <w:t>500件解剖案件，又以先進國家每名法醫每年解剖250件計算，法醫研究所至少需有6名法醫。如能增加編制內法醫，將能有效降低大量委託兼任研究員或榮譽法醫師解剖之情形。</w:t>
      </w:r>
    </w:p>
    <w:p w:rsidR="00F956E8" w:rsidRPr="000B2A94" w:rsidRDefault="00F956E8" w:rsidP="00F75EF0">
      <w:pPr>
        <w:pStyle w:val="4"/>
        <w:rPr>
          <w:rFonts w:ascii="Times New Roman" w:hAnsi="Times New Roman"/>
          <w:color w:val="000000" w:themeColor="text1"/>
        </w:rPr>
      </w:pPr>
      <w:r w:rsidRPr="000B2A94">
        <w:rPr>
          <w:rFonts w:hint="eastAsia"/>
          <w:color w:val="000000" w:themeColor="text1"/>
        </w:rPr>
        <w:t>各地檢署法醫人力</w:t>
      </w:r>
    </w:p>
    <w:p w:rsidR="00F956E8" w:rsidRPr="000B2A94" w:rsidRDefault="00F956E8" w:rsidP="00F75EF0">
      <w:pPr>
        <w:pStyle w:val="42"/>
        <w:ind w:left="1701" w:firstLine="680"/>
        <w:rPr>
          <w:color w:val="000000" w:themeColor="text1"/>
        </w:rPr>
      </w:pPr>
      <w:r w:rsidRPr="000B2A94">
        <w:rPr>
          <w:rFonts w:hint="eastAsia"/>
          <w:color w:val="000000" w:themeColor="text1"/>
        </w:rPr>
        <w:t>各地檢署之人力配置受限於總員額法及預算員額等因素，目前部分地檢署僅配置1名法醫人力，金門、連江甚至完全沒有法醫人力。而法醫主要負責之相驗業務，一年365天都可能發生，因此，最大的問題在於假日、夜間值勤無替代人力。但因受限於總員額法，在尚無法順利增員前，如各地檢署有替補人力需求，雖可遴選</w:t>
      </w:r>
      <w:r w:rsidR="00A15D6E" w:rsidRPr="000B2A94">
        <w:rPr>
          <w:rFonts w:hint="eastAsia"/>
          <w:color w:val="000000" w:themeColor="text1"/>
        </w:rPr>
        <w:t>臺大</w:t>
      </w:r>
      <w:r w:rsidRPr="000B2A94">
        <w:rPr>
          <w:rFonts w:hint="eastAsia"/>
          <w:color w:val="000000" w:themeColor="text1"/>
        </w:rPr>
        <w:t>法醫學研究所畢業生並考取法醫師證照者，擔任特約法醫師，但仍應朝向增加公職法醫師人力為目標，以改善假日、夜間替代人力之情況。</w:t>
      </w:r>
    </w:p>
    <w:p w:rsidR="00F956E8" w:rsidRPr="000B2A94" w:rsidRDefault="006D1B17" w:rsidP="00F75EF0">
      <w:pPr>
        <w:pStyle w:val="4"/>
        <w:rPr>
          <w:color w:val="000000" w:themeColor="text1"/>
        </w:rPr>
      </w:pPr>
      <w:r w:rsidRPr="000B2A94">
        <w:rPr>
          <w:color w:val="000000" w:themeColor="text1"/>
        </w:rPr>
        <w:t>歷年解剖總收案數及</w:t>
      </w:r>
      <w:r w:rsidRPr="000B2A94">
        <w:rPr>
          <w:rFonts w:hint="eastAsia"/>
          <w:color w:val="000000" w:themeColor="text1"/>
        </w:rPr>
        <w:t>法醫研究</w:t>
      </w:r>
      <w:r w:rsidR="00F956E8" w:rsidRPr="000B2A94">
        <w:rPr>
          <w:color w:val="000000" w:themeColor="text1"/>
        </w:rPr>
        <w:t>所具病理專科醫師及法醫師資格之組</w:t>
      </w:r>
      <w:r w:rsidR="00F75EF0" w:rsidRPr="000B2A94">
        <w:rPr>
          <w:color w:val="000000" w:themeColor="text1"/>
        </w:rPr>
        <w:t>長、研究員、副研究員（以下簡稱編制內法醫師）收案數統計如下表，</w:t>
      </w:r>
      <w:r w:rsidR="00F75EF0" w:rsidRPr="000B2A94">
        <w:rPr>
          <w:rFonts w:hint="eastAsia"/>
          <w:color w:val="000000" w:themeColor="text1"/>
        </w:rPr>
        <w:t>法醫研究</w:t>
      </w:r>
      <w:r w:rsidR="00F956E8" w:rsidRPr="000B2A94">
        <w:rPr>
          <w:color w:val="000000" w:themeColor="text1"/>
        </w:rPr>
        <w:t>所編制內法醫師由96年平均收案140件，迄105年平均收案數396件，成長2.8倍，107年平均收案246件，較符合先進國家每位法醫師解剖案件量的水準。</w:t>
      </w:r>
    </w:p>
    <w:p w:rsidR="006D1B17" w:rsidRPr="000B2A94" w:rsidRDefault="006D1B17" w:rsidP="006D1B17">
      <w:pPr>
        <w:pStyle w:val="a4"/>
        <w:jc w:val="center"/>
        <w:rPr>
          <w:b/>
          <w:color w:val="000000" w:themeColor="text1"/>
        </w:rPr>
      </w:pPr>
      <w:bookmarkStart w:id="347" w:name="_Toc27412331"/>
      <w:r w:rsidRPr="000B2A94">
        <w:rPr>
          <w:rFonts w:hint="eastAsia"/>
          <w:b/>
          <w:color w:val="000000" w:themeColor="text1"/>
        </w:rPr>
        <w:lastRenderedPageBreak/>
        <w:t>95-108年6月</w:t>
      </w:r>
      <w:r w:rsidRPr="000B2A94">
        <w:rPr>
          <w:b/>
          <w:color w:val="000000" w:themeColor="text1"/>
        </w:rPr>
        <w:t>解剖收案</w:t>
      </w:r>
      <w:r w:rsidRPr="000B2A94">
        <w:rPr>
          <w:rFonts w:hint="eastAsia"/>
          <w:b/>
          <w:color w:val="000000" w:themeColor="text1"/>
        </w:rPr>
        <w:t>情形表</w:t>
      </w:r>
      <w:bookmarkEnd w:id="347"/>
    </w:p>
    <w:p w:rsidR="00F956E8" w:rsidRPr="000B2A94" w:rsidRDefault="00F956E8" w:rsidP="00F956E8">
      <w:pPr>
        <w:rPr>
          <w:color w:val="000000" w:themeColor="text1"/>
        </w:rPr>
      </w:pPr>
      <w:r w:rsidRPr="000B2A94">
        <w:rPr>
          <w:noProof/>
          <w:color w:val="000000" w:themeColor="text1"/>
        </w:rPr>
        <w:drawing>
          <wp:inline distT="0" distB="0" distL="0" distR="0" wp14:anchorId="76A6CDB6" wp14:editId="782EC7C9">
            <wp:extent cx="5144135" cy="3039534"/>
            <wp:effectExtent l="0" t="0" r="0" b="889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b="18772"/>
                    <a:stretch/>
                  </pic:blipFill>
                  <pic:spPr bwMode="auto">
                    <a:xfrm>
                      <a:off x="0" y="0"/>
                      <a:ext cx="5156053" cy="3046576"/>
                    </a:xfrm>
                    <a:prstGeom prst="rect">
                      <a:avLst/>
                    </a:prstGeom>
                    <a:noFill/>
                    <a:ln>
                      <a:noFill/>
                    </a:ln>
                    <a:extLst>
                      <a:ext uri="{53640926-AAD7-44D8-BBD7-CCE9431645EC}">
                        <a14:shadowObscured xmlns:a14="http://schemas.microsoft.com/office/drawing/2010/main"/>
                      </a:ext>
                    </a:extLst>
                  </pic:spPr>
                </pic:pic>
              </a:graphicData>
            </a:graphic>
          </wp:inline>
        </w:drawing>
      </w:r>
    </w:p>
    <w:p w:rsidR="006D1B17" w:rsidRPr="000B2A94" w:rsidRDefault="006D1B17" w:rsidP="006D1B17">
      <w:pPr>
        <w:spacing w:line="240" w:lineRule="exact"/>
        <w:rPr>
          <w:color w:val="000000" w:themeColor="text1"/>
          <w:sz w:val="24"/>
          <w:szCs w:val="24"/>
        </w:rPr>
      </w:pPr>
      <w:r w:rsidRPr="000B2A94">
        <w:rPr>
          <w:rFonts w:hint="eastAsia"/>
          <w:color w:val="000000" w:themeColor="text1"/>
          <w:sz w:val="24"/>
          <w:szCs w:val="24"/>
        </w:rPr>
        <w:t>資料來源：</w:t>
      </w:r>
      <w:r w:rsidR="00140898" w:rsidRPr="000B2A94">
        <w:rPr>
          <w:rFonts w:hint="eastAsia"/>
          <w:color w:val="000000" w:themeColor="text1"/>
          <w:sz w:val="24"/>
          <w:szCs w:val="24"/>
        </w:rPr>
        <w:t>本院訪查法務部法醫研究所提供之業務報告</w:t>
      </w:r>
      <w:r w:rsidRPr="000B2A94">
        <w:rPr>
          <w:rFonts w:hint="eastAsia"/>
          <w:color w:val="000000" w:themeColor="text1"/>
          <w:sz w:val="24"/>
          <w:szCs w:val="24"/>
        </w:rPr>
        <w:t>。</w:t>
      </w:r>
    </w:p>
    <w:p w:rsidR="006D1B17" w:rsidRPr="000B2A94" w:rsidRDefault="006D1B17" w:rsidP="00F956E8">
      <w:pPr>
        <w:rPr>
          <w:color w:val="000000" w:themeColor="text1"/>
        </w:rPr>
      </w:pPr>
    </w:p>
    <w:p w:rsidR="006D1B17" w:rsidRPr="000B2A94" w:rsidRDefault="006D1B17" w:rsidP="00F956E8">
      <w:pPr>
        <w:rPr>
          <w:color w:val="000000" w:themeColor="text1"/>
        </w:rPr>
      </w:pPr>
    </w:p>
    <w:p w:rsidR="00F956E8" w:rsidRPr="000B2A94" w:rsidRDefault="00F956E8" w:rsidP="00F956E8">
      <w:pPr>
        <w:rPr>
          <w:color w:val="000000" w:themeColor="text1"/>
        </w:rPr>
      </w:pPr>
      <w:r w:rsidRPr="000B2A94">
        <w:rPr>
          <w:noProof/>
          <w:color w:val="000000" w:themeColor="text1"/>
          <w:szCs w:val="32"/>
        </w:rPr>
        <w:drawing>
          <wp:inline distT="0" distB="0" distL="0" distR="0" wp14:anchorId="35B34FD9" wp14:editId="3B0B0BFA">
            <wp:extent cx="5393055" cy="2836327"/>
            <wp:effectExtent l="0" t="0" r="0" b="254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5">
                      <a:extLst>
                        <a:ext uri="{28A0092B-C50C-407E-A947-70E740481C1C}">
                          <a14:useLocalDpi xmlns:a14="http://schemas.microsoft.com/office/drawing/2010/main" val="0"/>
                        </a:ext>
                      </a:extLst>
                    </a:blip>
                    <a:srcRect t="10666"/>
                    <a:stretch/>
                  </pic:blipFill>
                  <pic:spPr bwMode="auto">
                    <a:xfrm>
                      <a:off x="0" y="0"/>
                      <a:ext cx="5422790" cy="2851965"/>
                    </a:xfrm>
                    <a:prstGeom prst="rect">
                      <a:avLst/>
                    </a:prstGeom>
                    <a:noFill/>
                    <a:ln>
                      <a:noFill/>
                    </a:ln>
                    <a:extLst>
                      <a:ext uri="{53640926-AAD7-44D8-BBD7-CCE9431645EC}">
                        <a14:shadowObscured xmlns:a14="http://schemas.microsoft.com/office/drawing/2010/main"/>
                      </a:ext>
                    </a:extLst>
                  </pic:spPr>
                </pic:pic>
              </a:graphicData>
            </a:graphic>
          </wp:inline>
        </w:drawing>
      </w:r>
    </w:p>
    <w:p w:rsidR="00F956E8" w:rsidRPr="000B2A94" w:rsidRDefault="006D1B17" w:rsidP="006D1B17">
      <w:pPr>
        <w:pStyle w:val="a2"/>
        <w:spacing w:line="240" w:lineRule="exact"/>
        <w:rPr>
          <w:b/>
          <w:color w:val="000000" w:themeColor="text1"/>
        </w:rPr>
      </w:pPr>
      <w:bookmarkStart w:id="348" w:name="_Toc27412360"/>
      <w:r w:rsidRPr="000B2A94">
        <w:rPr>
          <w:rFonts w:hint="eastAsia"/>
          <w:b/>
          <w:color w:val="000000" w:themeColor="text1"/>
        </w:rPr>
        <w:t>法醫研究所法醫師歷年收案數統計</w:t>
      </w:r>
      <w:bookmarkEnd w:id="348"/>
    </w:p>
    <w:p w:rsidR="006D1B17" w:rsidRPr="000B2A94" w:rsidRDefault="006D1B17" w:rsidP="006D1B17">
      <w:pPr>
        <w:spacing w:line="240" w:lineRule="exact"/>
        <w:jc w:val="center"/>
        <w:rPr>
          <w:color w:val="000000" w:themeColor="text1"/>
        </w:rPr>
      </w:pPr>
      <w:r w:rsidRPr="000B2A94">
        <w:rPr>
          <w:rFonts w:hint="eastAsia"/>
          <w:color w:val="000000" w:themeColor="text1"/>
          <w:sz w:val="24"/>
          <w:szCs w:val="24"/>
        </w:rPr>
        <w:t>資料來源：</w:t>
      </w:r>
      <w:r w:rsidR="00140898" w:rsidRPr="000B2A94">
        <w:rPr>
          <w:rFonts w:hint="eastAsia"/>
          <w:color w:val="000000" w:themeColor="text1"/>
          <w:sz w:val="24"/>
          <w:szCs w:val="24"/>
        </w:rPr>
        <w:t>本院訪查法務部法醫研究所提供之業務報告</w:t>
      </w:r>
      <w:r w:rsidRPr="000B2A94">
        <w:rPr>
          <w:rFonts w:hint="eastAsia"/>
          <w:color w:val="000000" w:themeColor="text1"/>
          <w:sz w:val="24"/>
          <w:szCs w:val="24"/>
        </w:rPr>
        <w:t>。</w:t>
      </w:r>
    </w:p>
    <w:p w:rsidR="00F956E8" w:rsidRPr="000B2A94" w:rsidRDefault="00F956E8" w:rsidP="00F956E8">
      <w:pPr>
        <w:rPr>
          <w:color w:val="000000" w:themeColor="text1"/>
        </w:rPr>
      </w:pPr>
    </w:p>
    <w:p w:rsidR="006D1B17" w:rsidRPr="000B2A94" w:rsidRDefault="006D1B17" w:rsidP="00F956E8">
      <w:pPr>
        <w:rPr>
          <w:color w:val="000000" w:themeColor="text1"/>
        </w:rPr>
      </w:pPr>
    </w:p>
    <w:p w:rsidR="00F956E8" w:rsidRPr="000B2A94" w:rsidRDefault="00F956E8" w:rsidP="00F956E8">
      <w:pPr>
        <w:pStyle w:val="4"/>
        <w:numPr>
          <w:ilvl w:val="3"/>
          <w:numId w:val="1"/>
        </w:numPr>
        <w:overflowPunct/>
        <w:autoSpaceDE/>
        <w:autoSpaceDN/>
        <w:ind w:left="1741" w:hanging="698"/>
        <w:rPr>
          <w:rFonts w:ascii="Times New Roman" w:hAnsi="Times New Roman"/>
          <w:color w:val="000000" w:themeColor="text1"/>
        </w:rPr>
      </w:pPr>
      <w:r w:rsidRPr="000B2A94">
        <w:rPr>
          <w:rFonts w:ascii="Times New Roman" w:hAnsi="Times New Roman"/>
          <w:bCs/>
          <w:color w:val="000000" w:themeColor="text1"/>
        </w:rPr>
        <w:t>截至</w:t>
      </w:r>
      <w:r w:rsidRPr="000B2A94">
        <w:rPr>
          <w:rFonts w:ascii="Times New Roman" w:hAnsi="Times New Roman"/>
          <w:color w:val="000000" w:themeColor="text1"/>
        </w:rPr>
        <w:t>108</w:t>
      </w:r>
      <w:r w:rsidRPr="000B2A94">
        <w:rPr>
          <w:rFonts w:ascii="Times New Roman" w:hAnsi="Times New Roman"/>
          <w:color w:val="000000" w:themeColor="text1"/>
        </w:rPr>
        <w:t>年</w:t>
      </w:r>
      <w:r w:rsidRPr="000B2A94">
        <w:rPr>
          <w:rFonts w:ascii="Times New Roman" w:hAnsi="Times New Roman"/>
          <w:color w:val="000000" w:themeColor="text1"/>
        </w:rPr>
        <w:t>8</w:t>
      </w:r>
      <w:r w:rsidRPr="000B2A94">
        <w:rPr>
          <w:rFonts w:ascii="Times New Roman" w:hAnsi="Times New Roman"/>
          <w:color w:val="000000" w:themeColor="text1"/>
        </w:rPr>
        <w:t>月</w:t>
      </w:r>
      <w:r w:rsidRPr="000B2A94">
        <w:rPr>
          <w:rFonts w:ascii="Times New Roman" w:hAnsi="Times New Roman"/>
          <w:color w:val="000000" w:themeColor="text1"/>
        </w:rPr>
        <w:t>31</w:t>
      </w:r>
      <w:r w:rsidR="00140898" w:rsidRPr="000B2A94">
        <w:rPr>
          <w:rFonts w:ascii="Times New Roman" w:hAnsi="Times New Roman"/>
          <w:color w:val="000000" w:themeColor="text1"/>
        </w:rPr>
        <w:t>日為止該所</w:t>
      </w:r>
      <w:r w:rsidR="00140898" w:rsidRPr="000B2A94">
        <w:rPr>
          <w:rFonts w:ascii="Times New Roman" w:hAnsi="Times New Roman" w:hint="eastAsia"/>
          <w:color w:val="000000" w:themeColor="text1"/>
        </w:rPr>
        <w:t>處理</w:t>
      </w:r>
      <w:r w:rsidRPr="000B2A94">
        <w:rPr>
          <w:rFonts w:ascii="Times New Roman" w:hAnsi="Times New Roman"/>
          <w:color w:val="000000" w:themeColor="text1"/>
        </w:rPr>
        <w:t>法醫相關鑑定案件，收案</w:t>
      </w:r>
      <w:r w:rsidRPr="000B2A94">
        <w:rPr>
          <w:rFonts w:ascii="Times New Roman" w:hAnsi="Times New Roman"/>
          <w:color w:val="000000" w:themeColor="text1"/>
        </w:rPr>
        <w:t>1854</w:t>
      </w:r>
      <w:r w:rsidRPr="000B2A94">
        <w:rPr>
          <w:rFonts w:ascii="Times New Roman" w:hAnsi="Times New Roman"/>
          <w:color w:val="000000" w:themeColor="text1"/>
        </w:rPr>
        <w:t>件，結案</w:t>
      </w:r>
      <w:r w:rsidRPr="000B2A94">
        <w:rPr>
          <w:rFonts w:ascii="Times New Roman" w:hAnsi="Times New Roman"/>
          <w:color w:val="000000" w:themeColor="text1"/>
        </w:rPr>
        <w:t>1834</w:t>
      </w:r>
      <w:r w:rsidRPr="000B2A94">
        <w:rPr>
          <w:rFonts w:ascii="Times New Roman" w:hAnsi="Times New Roman"/>
          <w:color w:val="000000" w:themeColor="text1"/>
        </w:rPr>
        <w:t>件，案件類別如</w:t>
      </w:r>
      <w:r w:rsidRPr="000B2A94">
        <w:rPr>
          <w:rFonts w:ascii="Times New Roman" w:hAnsi="Times New Roman"/>
          <w:color w:val="000000" w:themeColor="text1"/>
        </w:rPr>
        <w:lastRenderedPageBreak/>
        <w:t>下：</w:t>
      </w:r>
    </w:p>
    <w:p w:rsidR="00140898" w:rsidRPr="000B2A94" w:rsidRDefault="00140898" w:rsidP="00140898">
      <w:pPr>
        <w:pStyle w:val="a4"/>
        <w:jc w:val="center"/>
        <w:rPr>
          <w:b/>
          <w:color w:val="000000" w:themeColor="text1"/>
        </w:rPr>
      </w:pPr>
      <w:bookmarkStart w:id="349" w:name="_Toc27412332"/>
      <w:r w:rsidRPr="000B2A94">
        <w:rPr>
          <w:rFonts w:ascii="Times New Roman" w:hAnsi="Times New Roman" w:hint="eastAsia"/>
          <w:b/>
          <w:bCs w:val="0"/>
          <w:color w:val="000000" w:themeColor="text1"/>
        </w:rPr>
        <w:t>法醫研究所處理法</w:t>
      </w:r>
      <w:r w:rsidRPr="000B2A94">
        <w:rPr>
          <w:rFonts w:ascii="Times New Roman" w:hAnsi="Times New Roman"/>
          <w:b/>
          <w:color w:val="000000" w:themeColor="text1"/>
        </w:rPr>
        <w:t>醫相關鑑定案件</w:t>
      </w:r>
      <w:r w:rsidRPr="000B2A94">
        <w:rPr>
          <w:rFonts w:ascii="Times New Roman" w:hAnsi="Times New Roman" w:hint="eastAsia"/>
          <w:b/>
          <w:color w:val="000000" w:themeColor="text1"/>
        </w:rPr>
        <w:t>類別情形（截至</w:t>
      </w:r>
      <w:r w:rsidRPr="000B2A94">
        <w:rPr>
          <w:rFonts w:ascii="Times New Roman" w:hAnsi="Times New Roman" w:hint="eastAsia"/>
          <w:b/>
          <w:color w:val="000000" w:themeColor="text1"/>
        </w:rPr>
        <w:t>108</w:t>
      </w:r>
      <w:r w:rsidRPr="000B2A94">
        <w:rPr>
          <w:rFonts w:ascii="Times New Roman" w:hAnsi="Times New Roman" w:hint="eastAsia"/>
          <w:b/>
          <w:color w:val="000000" w:themeColor="text1"/>
        </w:rPr>
        <w:t>年</w:t>
      </w:r>
      <w:r w:rsidRPr="000B2A94">
        <w:rPr>
          <w:rFonts w:ascii="Times New Roman" w:hAnsi="Times New Roman" w:hint="eastAsia"/>
          <w:b/>
          <w:color w:val="000000" w:themeColor="text1"/>
        </w:rPr>
        <w:t>8</w:t>
      </w:r>
      <w:r w:rsidRPr="000B2A94">
        <w:rPr>
          <w:rFonts w:ascii="Times New Roman" w:hAnsi="Times New Roman" w:hint="eastAsia"/>
          <w:b/>
          <w:color w:val="000000" w:themeColor="text1"/>
        </w:rPr>
        <w:t>月</w:t>
      </w:r>
      <w:r w:rsidRPr="000B2A94">
        <w:rPr>
          <w:rFonts w:ascii="Times New Roman" w:hAnsi="Times New Roman" w:hint="eastAsia"/>
          <w:b/>
          <w:color w:val="000000" w:themeColor="text1"/>
        </w:rPr>
        <w:t>31</w:t>
      </w:r>
      <w:r w:rsidRPr="000B2A94">
        <w:rPr>
          <w:rFonts w:ascii="Times New Roman" w:hAnsi="Times New Roman" w:hint="eastAsia"/>
          <w:b/>
          <w:color w:val="000000" w:themeColor="text1"/>
        </w:rPr>
        <w:t>日）</w:t>
      </w:r>
      <w:bookmarkEnd w:id="349"/>
    </w:p>
    <w:tbl>
      <w:tblPr>
        <w:tblStyle w:val="af9"/>
        <w:tblW w:w="8966" w:type="dxa"/>
        <w:tblInd w:w="-176" w:type="dxa"/>
        <w:tblLayout w:type="fixed"/>
        <w:tblLook w:val="0600" w:firstRow="0" w:lastRow="0" w:firstColumn="0" w:lastColumn="0" w:noHBand="1" w:noVBand="1"/>
      </w:tblPr>
      <w:tblGrid>
        <w:gridCol w:w="4429"/>
        <w:gridCol w:w="2269"/>
        <w:gridCol w:w="2268"/>
      </w:tblGrid>
      <w:tr w:rsidR="000B2A94" w:rsidRPr="000B2A94" w:rsidTr="00140898">
        <w:trPr>
          <w:trHeight w:val="675"/>
        </w:trPr>
        <w:tc>
          <w:tcPr>
            <w:tcW w:w="4429" w:type="dxa"/>
            <w:vAlign w:val="center"/>
          </w:tcPr>
          <w:p w:rsidR="00F956E8" w:rsidRPr="000B2A94" w:rsidRDefault="00F956E8" w:rsidP="00140898">
            <w:pPr>
              <w:jc w:val="center"/>
              <w:rPr>
                <w:b/>
                <w:color w:val="000000" w:themeColor="text1"/>
                <w:sz w:val="28"/>
                <w:szCs w:val="28"/>
              </w:rPr>
            </w:pPr>
            <w:r w:rsidRPr="000B2A94">
              <w:rPr>
                <w:b/>
                <w:color w:val="000000" w:themeColor="text1"/>
                <w:sz w:val="28"/>
                <w:szCs w:val="28"/>
              </w:rPr>
              <w:t>案件類別</w:t>
            </w:r>
          </w:p>
        </w:tc>
        <w:tc>
          <w:tcPr>
            <w:tcW w:w="2269" w:type="dxa"/>
            <w:vAlign w:val="center"/>
          </w:tcPr>
          <w:p w:rsidR="00F956E8" w:rsidRPr="000B2A94" w:rsidRDefault="00F956E8" w:rsidP="00140898">
            <w:pPr>
              <w:jc w:val="center"/>
              <w:rPr>
                <w:b/>
                <w:color w:val="000000" w:themeColor="text1"/>
                <w:sz w:val="28"/>
                <w:szCs w:val="28"/>
              </w:rPr>
            </w:pPr>
            <w:r w:rsidRPr="000B2A94">
              <w:rPr>
                <w:b/>
                <w:color w:val="000000" w:themeColor="text1"/>
                <w:sz w:val="28"/>
                <w:szCs w:val="28"/>
              </w:rPr>
              <w:t>收案</w:t>
            </w:r>
          </w:p>
        </w:tc>
        <w:tc>
          <w:tcPr>
            <w:tcW w:w="2268" w:type="dxa"/>
            <w:vAlign w:val="center"/>
          </w:tcPr>
          <w:p w:rsidR="00F956E8" w:rsidRPr="000B2A94" w:rsidRDefault="00F956E8" w:rsidP="00140898">
            <w:pPr>
              <w:jc w:val="center"/>
              <w:rPr>
                <w:b/>
                <w:color w:val="000000" w:themeColor="text1"/>
                <w:sz w:val="28"/>
                <w:szCs w:val="28"/>
              </w:rPr>
            </w:pPr>
            <w:r w:rsidRPr="000B2A94">
              <w:rPr>
                <w:b/>
                <w:color w:val="000000" w:themeColor="text1"/>
                <w:sz w:val="28"/>
                <w:szCs w:val="28"/>
              </w:rPr>
              <w:t>結案</w:t>
            </w:r>
          </w:p>
        </w:tc>
      </w:tr>
      <w:tr w:rsidR="000B2A94" w:rsidRPr="000B2A94" w:rsidTr="00140898">
        <w:tc>
          <w:tcPr>
            <w:tcW w:w="4429" w:type="dxa"/>
            <w:vAlign w:val="center"/>
          </w:tcPr>
          <w:p w:rsidR="00F956E8" w:rsidRPr="000B2A94" w:rsidRDefault="00F956E8" w:rsidP="00140898">
            <w:pPr>
              <w:jc w:val="center"/>
              <w:rPr>
                <w:color w:val="000000" w:themeColor="text1"/>
                <w:sz w:val="28"/>
                <w:szCs w:val="28"/>
              </w:rPr>
            </w:pPr>
            <w:r w:rsidRPr="000B2A94">
              <w:rPr>
                <w:color w:val="000000" w:themeColor="text1"/>
                <w:sz w:val="28"/>
                <w:szCs w:val="28"/>
              </w:rPr>
              <w:t>解        剖</w:t>
            </w:r>
          </w:p>
        </w:tc>
        <w:tc>
          <w:tcPr>
            <w:tcW w:w="2269" w:type="dxa"/>
            <w:vAlign w:val="center"/>
          </w:tcPr>
          <w:p w:rsidR="00F956E8" w:rsidRPr="000B2A94" w:rsidRDefault="00F956E8" w:rsidP="00140898">
            <w:pPr>
              <w:jc w:val="center"/>
              <w:rPr>
                <w:color w:val="000000" w:themeColor="text1"/>
                <w:sz w:val="28"/>
                <w:szCs w:val="28"/>
              </w:rPr>
            </w:pPr>
            <w:r w:rsidRPr="000B2A94">
              <w:rPr>
                <w:color w:val="000000" w:themeColor="text1"/>
                <w:sz w:val="28"/>
                <w:szCs w:val="28"/>
              </w:rPr>
              <w:t>867</w:t>
            </w:r>
          </w:p>
        </w:tc>
        <w:tc>
          <w:tcPr>
            <w:tcW w:w="2268" w:type="dxa"/>
            <w:vAlign w:val="center"/>
          </w:tcPr>
          <w:p w:rsidR="00F956E8" w:rsidRPr="000B2A94" w:rsidRDefault="00F956E8" w:rsidP="00140898">
            <w:pPr>
              <w:jc w:val="center"/>
              <w:rPr>
                <w:color w:val="000000" w:themeColor="text1"/>
                <w:sz w:val="28"/>
                <w:szCs w:val="28"/>
              </w:rPr>
            </w:pPr>
            <w:r w:rsidRPr="000B2A94">
              <w:rPr>
                <w:color w:val="000000" w:themeColor="text1"/>
                <w:sz w:val="28"/>
                <w:szCs w:val="28"/>
              </w:rPr>
              <w:t>867</w:t>
            </w:r>
          </w:p>
        </w:tc>
      </w:tr>
      <w:tr w:rsidR="000B2A94" w:rsidRPr="000B2A94" w:rsidTr="00140898">
        <w:tc>
          <w:tcPr>
            <w:tcW w:w="4429" w:type="dxa"/>
            <w:vAlign w:val="center"/>
          </w:tcPr>
          <w:p w:rsidR="00F956E8" w:rsidRPr="000B2A94" w:rsidRDefault="00F956E8" w:rsidP="00140898">
            <w:pPr>
              <w:jc w:val="center"/>
              <w:rPr>
                <w:color w:val="000000" w:themeColor="text1"/>
                <w:sz w:val="28"/>
                <w:szCs w:val="28"/>
              </w:rPr>
            </w:pPr>
            <w:r w:rsidRPr="000B2A94">
              <w:rPr>
                <w:color w:val="000000" w:themeColor="text1"/>
                <w:sz w:val="28"/>
                <w:szCs w:val="28"/>
              </w:rPr>
              <w:t>複        驗</w:t>
            </w:r>
          </w:p>
        </w:tc>
        <w:tc>
          <w:tcPr>
            <w:tcW w:w="2269" w:type="dxa"/>
            <w:vAlign w:val="center"/>
          </w:tcPr>
          <w:p w:rsidR="00F956E8" w:rsidRPr="000B2A94" w:rsidRDefault="00F956E8" w:rsidP="00140898">
            <w:pPr>
              <w:jc w:val="center"/>
              <w:rPr>
                <w:color w:val="000000" w:themeColor="text1"/>
                <w:sz w:val="28"/>
                <w:szCs w:val="28"/>
              </w:rPr>
            </w:pPr>
            <w:r w:rsidRPr="000B2A94">
              <w:rPr>
                <w:color w:val="000000" w:themeColor="text1"/>
                <w:sz w:val="28"/>
                <w:szCs w:val="28"/>
              </w:rPr>
              <w:t>1</w:t>
            </w:r>
          </w:p>
        </w:tc>
        <w:tc>
          <w:tcPr>
            <w:tcW w:w="2268" w:type="dxa"/>
            <w:vAlign w:val="center"/>
          </w:tcPr>
          <w:p w:rsidR="00F956E8" w:rsidRPr="000B2A94" w:rsidRDefault="00F956E8" w:rsidP="00140898">
            <w:pPr>
              <w:jc w:val="center"/>
              <w:rPr>
                <w:color w:val="000000" w:themeColor="text1"/>
                <w:sz w:val="28"/>
                <w:szCs w:val="28"/>
              </w:rPr>
            </w:pPr>
            <w:r w:rsidRPr="000B2A94">
              <w:rPr>
                <w:color w:val="000000" w:themeColor="text1"/>
                <w:sz w:val="28"/>
                <w:szCs w:val="28"/>
              </w:rPr>
              <w:t>1</w:t>
            </w:r>
          </w:p>
        </w:tc>
      </w:tr>
      <w:tr w:rsidR="000B2A94" w:rsidRPr="000B2A94" w:rsidTr="00140898">
        <w:tc>
          <w:tcPr>
            <w:tcW w:w="4429" w:type="dxa"/>
            <w:vAlign w:val="center"/>
          </w:tcPr>
          <w:p w:rsidR="00F956E8" w:rsidRPr="000B2A94" w:rsidRDefault="00F956E8" w:rsidP="00140898">
            <w:pPr>
              <w:jc w:val="center"/>
              <w:rPr>
                <w:color w:val="000000" w:themeColor="text1"/>
                <w:sz w:val="28"/>
                <w:szCs w:val="28"/>
              </w:rPr>
            </w:pPr>
            <w:r w:rsidRPr="000B2A94">
              <w:rPr>
                <w:color w:val="000000" w:themeColor="text1"/>
                <w:sz w:val="28"/>
                <w:szCs w:val="28"/>
              </w:rPr>
              <w:t>文書審查鑑定</w:t>
            </w:r>
          </w:p>
        </w:tc>
        <w:tc>
          <w:tcPr>
            <w:tcW w:w="2269" w:type="dxa"/>
            <w:vAlign w:val="center"/>
          </w:tcPr>
          <w:p w:rsidR="00F956E8" w:rsidRPr="000B2A94" w:rsidRDefault="00F956E8" w:rsidP="00140898">
            <w:pPr>
              <w:jc w:val="center"/>
              <w:rPr>
                <w:color w:val="000000" w:themeColor="text1"/>
                <w:sz w:val="28"/>
                <w:szCs w:val="28"/>
              </w:rPr>
            </w:pPr>
            <w:r w:rsidRPr="000B2A94">
              <w:rPr>
                <w:color w:val="000000" w:themeColor="text1"/>
                <w:sz w:val="28"/>
                <w:szCs w:val="28"/>
              </w:rPr>
              <w:t>4</w:t>
            </w:r>
          </w:p>
        </w:tc>
        <w:tc>
          <w:tcPr>
            <w:tcW w:w="2268" w:type="dxa"/>
            <w:vAlign w:val="center"/>
          </w:tcPr>
          <w:p w:rsidR="00F956E8" w:rsidRPr="000B2A94" w:rsidRDefault="00F956E8" w:rsidP="00140898">
            <w:pPr>
              <w:jc w:val="center"/>
              <w:rPr>
                <w:color w:val="000000" w:themeColor="text1"/>
                <w:sz w:val="28"/>
                <w:szCs w:val="28"/>
              </w:rPr>
            </w:pPr>
            <w:r w:rsidRPr="000B2A94">
              <w:rPr>
                <w:color w:val="000000" w:themeColor="text1"/>
                <w:sz w:val="28"/>
                <w:szCs w:val="28"/>
              </w:rPr>
              <w:t>7</w:t>
            </w:r>
          </w:p>
        </w:tc>
      </w:tr>
      <w:tr w:rsidR="000B2A94" w:rsidRPr="000B2A94" w:rsidTr="00140898">
        <w:tc>
          <w:tcPr>
            <w:tcW w:w="4429" w:type="dxa"/>
            <w:vAlign w:val="center"/>
          </w:tcPr>
          <w:p w:rsidR="00F956E8" w:rsidRPr="000B2A94" w:rsidRDefault="00F956E8" w:rsidP="00140898">
            <w:pPr>
              <w:jc w:val="center"/>
              <w:rPr>
                <w:color w:val="000000" w:themeColor="text1"/>
                <w:sz w:val="28"/>
                <w:szCs w:val="28"/>
              </w:rPr>
            </w:pPr>
            <w:r w:rsidRPr="000B2A94">
              <w:rPr>
                <w:color w:val="000000" w:themeColor="text1"/>
                <w:sz w:val="28"/>
                <w:szCs w:val="28"/>
              </w:rPr>
              <w:t>死 因  鑑 定</w:t>
            </w:r>
          </w:p>
        </w:tc>
        <w:tc>
          <w:tcPr>
            <w:tcW w:w="2269" w:type="dxa"/>
            <w:vAlign w:val="center"/>
          </w:tcPr>
          <w:p w:rsidR="00F956E8" w:rsidRPr="000B2A94" w:rsidRDefault="00F956E8" w:rsidP="00140898">
            <w:pPr>
              <w:jc w:val="center"/>
              <w:rPr>
                <w:color w:val="000000" w:themeColor="text1"/>
                <w:sz w:val="28"/>
                <w:szCs w:val="28"/>
              </w:rPr>
            </w:pPr>
            <w:r w:rsidRPr="000B2A94">
              <w:rPr>
                <w:color w:val="000000" w:themeColor="text1"/>
                <w:sz w:val="28"/>
                <w:szCs w:val="28"/>
              </w:rPr>
              <w:t>864</w:t>
            </w:r>
          </w:p>
        </w:tc>
        <w:tc>
          <w:tcPr>
            <w:tcW w:w="2268" w:type="dxa"/>
            <w:vAlign w:val="center"/>
          </w:tcPr>
          <w:p w:rsidR="00F956E8" w:rsidRPr="000B2A94" w:rsidRDefault="00F956E8" w:rsidP="00140898">
            <w:pPr>
              <w:jc w:val="center"/>
              <w:rPr>
                <w:color w:val="000000" w:themeColor="text1"/>
                <w:sz w:val="28"/>
                <w:szCs w:val="28"/>
              </w:rPr>
            </w:pPr>
            <w:r w:rsidRPr="000B2A94">
              <w:rPr>
                <w:color w:val="000000" w:themeColor="text1"/>
                <w:sz w:val="28"/>
                <w:szCs w:val="28"/>
              </w:rPr>
              <w:t>842</w:t>
            </w:r>
          </w:p>
        </w:tc>
      </w:tr>
      <w:tr w:rsidR="000B2A94" w:rsidRPr="000B2A94" w:rsidTr="00140898">
        <w:tc>
          <w:tcPr>
            <w:tcW w:w="4429" w:type="dxa"/>
            <w:vAlign w:val="center"/>
          </w:tcPr>
          <w:p w:rsidR="00F956E8" w:rsidRPr="000B2A94" w:rsidRDefault="00F956E8" w:rsidP="00140898">
            <w:pPr>
              <w:jc w:val="center"/>
              <w:rPr>
                <w:color w:val="000000" w:themeColor="text1"/>
                <w:sz w:val="28"/>
                <w:szCs w:val="28"/>
              </w:rPr>
            </w:pPr>
            <w:r w:rsidRPr="000B2A94">
              <w:rPr>
                <w:color w:val="000000" w:themeColor="text1"/>
                <w:sz w:val="28"/>
                <w:szCs w:val="28"/>
              </w:rPr>
              <w:t>再   函   詢</w:t>
            </w:r>
          </w:p>
        </w:tc>
        <w:tc>
          <w:tcPr>
            <w:tcW w:w="2269" w:type="dxa"/>
            <w:vAlign w:val="center"/>
          </w:tcPr>
          <w:p w:rsidR="00F956E8" w:rsidRPr="000B2A94" w:rsidRDefault="00F956E8" w:rsidP="00140898">
            <w:pPr>
              <w:jc w:val="center"/>
              <w:rPr>
                <w:color w:val="000000" w:themeColor="text1"/>
                <w:sz w:val="28"/>
                <w:szCs w:val="28"/>
              </w:rPr>
            </w:pPr>
            <w:r w:rsidRPr="000B2A94">
              <w:rPr>
                <w:color w:val="000000" w:themeColor="text1"/>
                <w:sz w:val="28"/>
                <w:szCs w:val="28"/>
              </w:rPr>
              <w:t>118</w:t>
            </w:r>
          </w:p>
        </w:tc>
        <w:tc>
          <w:tcPr>
            <w:tcW w:w="2268" w:type="dxa"/>
            <w:vAlign w:val="center"/>
          </w:tcPr>
          <w:p w:rsidR="00F956E8" w:rsidRPr="000B2A94" w:rsidRDefault="00F956E8" w:rsidP="00140898">
            <w:pPr>
              <w:jc w:val="center"/>
              <w:rPr>
                <w:color w:val="000000" w:themeColor="text1"/>
                <w:sz w:val="28"/>
                <w:szCs w:val="28"/>
              </w:rPr>
            </w:pPr>
            <w:r w:rsidRPr="000B2A94">
              <w:rPr>
                <w:color w:val="000000" w:themeColor="text1"/>
                <w:sz w:val="28"/>
                <w:szCs w:val="28"/>
              </w:rPr>
              <w:t>117</w:t>
            </w:r>
          </w:p>
        </w:tc>
      </w:tr>
      <w:tr w:rsidR="000B2A94" w:rsidRPr="000B2A94" w:rsidTr="00140898">
        <w:tc>
          <w:tcPr>
            <w:tcW w:w="4429" w:type="dxa"/>
            <w:vAlign w:val="center"/>
          </w:tcPr>
          <w:p w:rsidR="00F956E8" w:rsidRPr="000B2A94" w:rsidRDefault="00F956E8" w:rsidP="00140898">
            <w:pPr>
              <w:jc w:val="center"/>
              <w:rPr>
                <w:color w:val="000000" w:themeColor="text1"/>
                <w:sz w:val="28"/>
                <w:szCs w:val="28"/>
              </w:rPr>
            </w:pPr>
            <w:r w:rsidRPr="000B2A94">
              <w:rPr>
                <w:color w:val="000000" w:themeColor="text1"/>
                <w:sz w:val="28"/>
                <w:szCs w:val="28"/>
              </w:rPr>
              <w:t>證 物  鑑 定</w:t>
            </w:r>
          </w:p>
        </w:tc>
        <w:tc>
          <w:tcPr>
            <w:tcW w:w="2269" w:type="dxa"/>
            <w:vAlign w:val="center"/>
          </w:tcPr>
          <w:p w:rsidR="00F956E8" w:rsidRPr="000B2A94" w:rsidRDefault="00F956E8" w:rsidP="00140898">
            <w:pPr>
              <w:jc w:val="center"/>
              <w:rPr>
                <w:color w:val="000000" w:themeColor="text1"/>
                <w:sz w:val="28"/>
                <w:szCs w:val="28"/>
              </w:rPr>
            </w:pPr>
            <w:r w:rsidRPr="000B2A94">
              <w:rPr>
                <w:color w:val="000000" w:themeColor="text1"/>
                <w:sz w:val="28"/>
                <w:szCs w:val="28"/>
              </w:rPr>
              <w:t>0</w:t>
            </w:r>
          </w:p>
        </w:tc>
        <w:tc>
          <w:tcPr>
            <w:tcW w:w="2268" w:type="dxa"/>
            <w:vAlign w:val="center"/>
          </w:tcPr>
          <w:p w:rsidR="00F956E8" w:rsidRPr="000B2A94" w:rsidRDefault="00F956E8" w:rsidP="00140898">
            <w:pPr>
              <w:jc w:val="center"/>
              <w:rPr>
                <w:color w:val="000000" w:themeColor="text1"/>
                <w:sz w:val="28"/>
                <w:szCs w:val="28"/>
              </w:rPr>
            </w:pPr>
            <w:r w:rsidRPr="000B2A94">
              <w:rPr>
                <w:color w:val="000000" w:themeColor="text1"/>
                <w:sz w:val="28"/>
                <w:szCs w:val="28"/>
              </w:rPr>
              <w:t>0</w:t>
            </w:r>
          </w:p>
        </w:tc>
      </w:tr>
    </w:tbl>
    <w:p w:rsidR="00140898" w:rsidRPr="000B2A94" w:rsidRDefault="00140898" w:rsidP="00140898">
      <w:pPr>
        <w:spacing w:line="240" w:lineRule="exact"/>
        <w:rPr>
          <w:color w:val="000000" w:themeColor="text1"/>
          <w:sz w:val="24"/>
          <w:szCs w:val="24"/>
        </w:rPr>
      </w:pPr>
      <w:r w:rsidRPr="000B2A94">
        <w:rPr>
          <w:rFonts w:hint="eastAsia"/>
          <w:color w:val="000000" w:themeColor="text1"/>
          <w:sz w:val="24"/>
          <w:szCs w:val="24"/>
        </w:rPr>
        <w:t>資料來源：本院訪查法務部法醫研究所提供之業務報告。</w:t>
      </w:r>
    </w:p>
    <w:p w:rsidR="00140898" w:rsidRPr="000B2A94" w:rsidRDefault="00140898" w:rsidP="00140898">
      <w:pPr>
        <w:spacing w:line="240" w:lineRule="exact"/>
        <w:rPr>
          <w:color w:val="000000" w:themeColor="text1"/>
          <w:sz w:val="24"/>
          <w:szCs w:val="24"/>
        </w:rPr>
      </w:pPr>
    </w:p>
    <w:p w:rsidR="00F956E8" w:rsidRPr="000B2A94" w:rsidRDefault="00F956E8" w:rsidP="00140898">
      <w:pPr>
        <w:pStyle w:val="4"/>
        <w:rPr>
          <w:b/>
          <w:color w:val="000000" w:themeColor="text1"/>
        </w:rPr>
      </w:pPr>
      <w:r w:rsidRPr="000B2A94">
        <w:rPr>
          <w:color w:val="000000" w:themeColor="text1"/>
        </w:rPr>
        <w:t>該所尚有1名編制內法醫師缺額，於105年上網徵才10個月，均無人投遞履歷，分析原因應係法醫工作環境不佳且薪資所得誘因不足所致，有關前者本所前於107年5月25日以法醫理字第10700212130號函報法務部，建議各地解剖室應設置生物安全等級第2+級之解剖設備，同時列舉各地解剖室應增加之設施及設備。有關後者本所將函報法務部建議調升本所正職法醫師按件計酬的解剖鑑定費用，由每件4</w:t>
      </w:r>
      <w:r w:rsidR="00140898" w:rsidRPr="000B2A94">
        <w:rPr>
          <w:color w:val="000000" w:themeColor="text1"/>
        </w:rPr>
        <w:t>,</w:t>
      </w:r>
      <w:r w:rsidRPr="000B2A94">
        <w:rPr>
          <w:color w:val="000000" w:themeColor="text1"/>
        </w:rPr>
        <w:t>300元調升為每件8</w:t>
      </w:r>
      <w:r w:rsidR="00140898" w:rsidRPr="000B2A94">
        <w:rPr>
          <w:color w:val="000000" w:themeColor="text1"/>
        </w:rPr>
        <w:t>,</w:t>
      </w:r>
      <w:r w:rsidRPr="000B2A94">
        <w:rPr>
          <w:color w:val="000000" w:themeColor="text1"/>
        </w:rPr>
        <w:t>000</w:t>
      </w:r>
      <w:r w:rsidR="00140898" w:rsidRPr="000B2A94">
        <w:rPr>
          <w:color w:val="000000" w:themeColor="text1"/>
        </w:rPr>
        <w:t>元，期能提高</w:t>
      </w:r>
      <w:r w:rsidR="00140898" w:rsidRPr="000B2A94">
        <w:rPr>
          <w:rFonts w:hint="eastAsia"/>
          <w:color w:val="000000" w:themeColor="text1"/>
        </w:rPr>
        <w:t>法醫研究</w:t>
      </w:r>
      <w:r w:rsidRPr="000B2A94">
        <w:rPr>
          <w:color w:val="000000" w:themeColor="text1"/>
        </w:rPr>
        <w:t>所正職法醫師所得至公立醫院專科醫師的所得水準，以招徠人才。</w:t>
      </w:r>
    </w:p>
    <w:p w:rsidR="00F956E8" w:rsidRPr="000B2A94" w:rsidRDefault="00F956E8" w:rsidP="00140898">
      <w:pPr>
        <w:pStyle w:val="4"/>
        <w:rPr>
          <w:b/>
          <w:color w:val="000000" w:themeColor="text1"/>
        </w:rPr>
      </w:pPr>
      <w:r w:rsidRPr="000B2A94">
        <w:rPr>
          <w:color w:val="000000" w:themeColor="text1"/>
        </w:rPr>
        <w:t>此外，該所法醫病理、毒物、血清等專業組正職人員亦均不足，本所全所正職人員僅28名，專業組20名，其中法醫病理組5位技士需辦理每年上萬件的組織切片、36000件檢體證物；血清證物組5位正職人員每年辦理上千件鑑定案件，約14000項檢驗項目；毒物化學組7位正職人員每年辦理4000件鑑定案件，約14萬項檢驗項目。正職人員又需兼辦文書、物品管理、專業採購、實驗室及科技計畫等法醫行政，造成行政壓力極大。</w:t>
      </w:r>
      <w:r w:rsidRPr="000B2A94">
        <w:rPr>
          <w:color w:val="000000" w:themeColor="text1"/>
        </w:rPr>
        <w:lastRenderedPageBreak/>
        <w:t>為處理龐大的案件量避免影響鑑定品質與效率，本所部分工作僅能委由科技計畫研究助理及委外人員協助處理，包括檢體前處理、各項檢驗及分析、儀器操作、繕打鑑定書等，然此運作方式並非長久之計，仍宜增加法定及預算員額始為正辦。</w:t>
      </w:r>
    </w:p>
    <w:p w:rsidR="00F956E8" w:rsidRPr="000B2A94" w:rsidRDefault="00140898" w:rsidP="00140898">
      <w:pPr>
        <w:pStyle w:val="4"/>
        <w:rPr>
          <w:color w:val="000000" w:themeColor="text1"/>
        </w:rPr>
      </w:pPr>
      <w:r w:rsidRPr="000B2A94">
        <w:rPr>
          <w:rFonts w:hint="eastAsia"/>
          <w:color w:val="000000" w:themeColor="text1"/>
        </w:rPr>
        <w:t>法醫研究</w:t>
      </w:r>
      <w:r w:rsidR="00F956E8" w:rsidRPr="000B2A94">
        <w:rPr>
          <w:color w:val="000000" w:themeColor="text1"/>
        </w:rPr>
        <w:t>所為全國編制層級最高之專責法醫鑑驗及研究機關，職司法醫相驗、解剖及死亡案件死因鑑驗業務，與其他機關之鑑識單位職司業務與層級均不同，且在案件量增加、鑑定項目增加，以及鑑定品質要求不斷提高下，亟需重視本所長久以來人力不足問題，否則將導致法醫鑑驗效能無法提昇，甚至影響鞏固犯罪證據的法醫鑑定工作，將無法落實避免冤獄的司法改革工作。</w:t>
      </w:r>
    </w:p>
    <w:p w:rsidR="00F956E8" w:rsidRPr="000B2A94" w:rsidRDefault="00F956E8" w:rsidP="00140898">
      <w:pPr>
        <w:pStyle w:val="4"/>
        <w:rPr>
          <w:color w:val="000000" w:themeColor="text1"/>
        </w:rPr>
      </w:pPr>
      <w:r w:rsidRPr="000B2A94">
        <w:rPr>
          <w:color w:val="000000" w:themeColor="text1"/>
        </w:rPr>
        <w:t>該所原有4名解剖醫師（含台中地檢署A醫師）。A醫師僅負責苗栗、台中、南投、彰化及雲林解剖案件，其餘縣市則由該所B、C、D 3位醫師負責。106年度共解剖1,506件，平均每位醫師解剖377件，參考世界各國合理解剖件數為250件，該所醫師案件負荷已逾50%。而B醫師於107年1月中旬屆退後，僅賸3名醫師更使案件負擔雪上加霜。</w:t>
      </w:r>
    </w:p>
    <w:p w:rsidR="00F956E8" w:rsidRPr="000B2A94" w:rsidRDefault="00F956E8" w:rsidP="00F956E8">
      <w:pPr>
        <w:pStyle w:val="4"/>
        <w:numPr>
          <w:ilvl w:val="3"/>
          <w:numId w:val="1"/>
        </w:numPr>
        <w:overflowPunct/>
        <w:autoSpaceDE/>
        <w:autoSpaceDN/>
        <w:ind w:left="1741" w:hanging="698"/>
        <w:rPr>
          <w:rFonts w:ascii="Times New Roman" w:hAnsi="Times New Roman"/>
          <w:color w:val="000000" w:themeColor="text1"/>
        </w:rPr>
      </w:pPr>
      <w:r w:rsidRPr="000B2A94">
        <w:rPr>
          <w:rFonts w:ascii="Times New Roman" w:hAnsi="Times New Roman"/>
          <w:color w:val="000000" w:themeColor="text1"/>
        </w:rPr>
        <w:t>在兼任研究員（過去稱為顧問醫師）方面，該所</w:t>
      </w:r>
      <w:r w:rsidRPr="000B2A94">
        <w:rPr>
          <w:rFonts w:ascii="Times New Roman" w:hAnsi="Times New Roman"/>
          <w:color w:val="000000" w:themeColor="text1"/>
        </w:rPr>
        <w:t>107</w:t>
      </w:r>
      <w:r w:rsidRPr="000B2A94">
        <w:rPr>
          <w:rFonts w:ascii="Times New Roman" w:hAnsi="Times New Roman"/>
          <w:color w:val="000000" w:themeColor="text1"/>
        </w:rPr>
        <w:t>年度聘任</w:t>
      </w:r>
      <w:r w:rsidRPr="000B2A94">
        <w:rPr>
          <w:rFonts w:ascii="Times New Roman" w:hAnsi="Times New Roman"/>
          <w:color w:val="000000" w:themeColor="text1"/>
        </w:rPr>
        <w:t>14</w:t>
      </w:r>
      <w:r w:rsidRPr="000B2A94">
        <w:rPr>
          <w:rFonts w:ascii="Times New Roman" w:hAnsi="Times New Roman"/>
          <w:color w:val="000000" w:themeColor="text1"/>
        </w:rPr>
        <w:t>位兼任研究員，但其中有</w:t>
      </w:r>
      <w:r w:rsidRPr="000B2A94">
        <w:rPr>
          <w:rFonts w:ascii="Times New Roman" w:hAnsi="Times New Roman"/>
          <w:color w:val="000000" w:themeColor="text1"/>
        </w:rPr>
        <w:t>2</w:t>
      </w:r>
      <w:r w:rsidRPr="000B2A94">
        <w:rPr>
          <w:rFonts w:ascii="Times New Roman" w:hAnsi="Times New Roman"/>
          <w:color w:val="000000" w:themeColor="text1"/>
        </w:rPr>
        <w:t>位需準備法醫師考試而不得執行解剖；有</w:t>
      </w:r>
      <w:r w:rsidRPr="000B2A94">
        <w:rPr>
          <w:rFonts w:ascii="Times New Roman" w:hAnsi="Times New Roman"/>
          <w:color w:val="000000" w:themeColor="text1"/>
        </w:rPr>
        <w:t>2</w:t>
      </w:r>
      <w:r w:rsidRPr="000B2A94">
        <w:rPr>
          <w:rFonts w:ascii="Times New Roman" w:hAnsi="Times New Roman"/>
          <w:color w:val="000000" w:themeColor="text1"/>
        </w:rPr>
        <w:t>位因本身工作繁忙致長期甚至從未執行解剖；有</w:t>
      </w:r>
      <w:r w:rsidRPr="000B2A94">
        <w:rPr>
          <w:rFonts w:ascii="Times New Roman" w:hAnsi="Times New Roman"/>
          <w:color w:val="000000" w:themeColor="text1"/>
        </w:rPr>
        <w:t>3</w:t>
      </w:r>
      <w:r w:rsidRPr="000B2A94">
        <w:rPr>
          <w:rFonts w:ascii="Times New Roman" w:hAnsi="Times New Roman"/>
          <w:color w:val="000000" w:themeColor="text1"/>
        </w:rPr>
        <w:t>位雖執行解剖但解剖鑑定報告經常遲延百日以上。因此有半數兼任研究員幾乎無法接案。</w:t>
      </w:r>
      <w:r w:rsidRPr="000B2A94">
        <w:rPr>
          <w:rFonts w:ascii="Times New Roman" w:hAnsi="Times New Roman"/>
          <w:color w:val="000000" w:themeColor="text1"/>
        </w:rPr>
        <w:t>106</w:t>
      </w:r>
      <w:r w:rsidRPr="000B2A94">
        <w:rPr>
          <w:rFonts w:ascii="Times New Roman" w:hAnsi="Times New Roman"/>
          <w:color w:val="000000" w:themeColor="text1"/>
        </w:rPr>
        <w:t>年度兼任研究員解剖</w:t>
      </w:r>
      <w:r w:rsidRPr="000B2A94">
        <w:rPr>
          <w:rFonts w:ascii="Times New Roman" w:hAnsi="Times New Roman"/>
          <w:color w:val="000000" w:themeColor="text1"/>
        </w:rPr>
        <w:t>682</w:t>
      </w:r>
      <w:r w:rsidRPr="000B2A94">
        <w:rPr>
          <w:rFonts w:ascii="Times New Roman" w:hAnsi="Times New Roman"/>
          <w:color w:val="000000" w:themeColor="text1"/>
        </w:rPr>
        <w:t>件，平均每名醫師解剖</w:t>
      </w:r>
      <w:r w:rsidRPr="000B2A94">
        <w:rPr>
          <w:rFonts w:ascii="Times New Roman" w:hAnsi="Times New Roman"/>
          <w:color w:val="000000" w:themeColor="text1"/>
        </w:rPr>
        <w:t>97</w:t>
      </w:r>
      <w:r w:rsidRPr="000B2A94">
        <w:rPr>
          <w:rFonts w:ascii="Times New Roman" w:hAnsi="Times New Roman"/>
          <w:color w:val="000000" w:themeColor="text1"/>
        </w:rPr>
        <w:t>件，該所兼任研究員</w:t>
      </w:r>
      <w:r w:rsidRPr="000B2A94">
        <w:rPr>
          <w:rFonts w:ascii="Times New Roman" w:hAnsi="Times New Roman"/>
          <w:color w:val="000000" w:themeColor="text1"/>
        </w:rPr>
        <w:t>E</w:t>
      </w:r>
      <w:r w:rsidRPr="000B2A94">
        <w:rPr>
          <w:rFonts w:ascii="Times New Roman" w:hAnsi="Times New Roman"/>
          <w:color w:val="000000" w:themeColor="text1"/>
        </w:rPr>
        <w:t>表示：「每月只能請休假</w:t>
      </w:r>
      <w:r w:rsidRPr="000B2A94">
        <w:rPr>
          <w:rFonts w:ascii="Times New Roman" w:hAnsi="Times New Roman"/>
          <w:color w:val="000000" w:themeColor="text1"/>
        </w:rPr>
        <w:t>2.5</w:t>
      </w:r>
      <w:r w:rsidRPr="000B2A94">
        <w:rPr>
          <w:rFonts w:ascii="Times New Roman" w:hAnsi="Times New Roman"/>
          <w:color w:val="000000" w:themeColor="text1"/>
        </w:rPr>
        <w:t>日，無法接太多案件，否則會出人命</w:t>
      </w:r>
      <w:r w:rsidRPr="000B2A94">
        <w:rPr>
          <w:rFonts w:ascii="Times New Roman" w:hAnsi="Times New Roman"/>
          <w:color w:val="000000" w:themeColor="text1"/>
        </w:rPr>
        <w:t>……</w:t>
      </w:r>
      <w:r w:rsidRPr="000B2A94">
        <w:rPr>
          <w:rFonts w:ascii="Times New Roman" w:hAnsi="Times New Roman"/>
          <w:color w:val="000000" w:themeColor="text1"/>
        </w:rPr>
        <w:t>。」</w:t>
      </w:r>
    </w:p>
    <w:p w:rsidR="00F956E8" w:rsidRPr="000B2A94" w:rsidRDefault="00F956E8" w:rsidP="00F956E8">
      <w:pPr>
        <w:pStyle w:val="4"/>
        <w:numPr>
          <w:ilvl w:val="3"/>
          <w:numId w:val="1"/>
        </w:numPr>
        <w:overflowPunct/>
        <w:autoSpaceDE/>
        <w:autoSpaceDN/>
        <w:ind w:left="1741" w:hanging="698"/>
        <w:rPr>
          <w:rFonts w:ascii="Times New Roman" w:hAnsi="Times New Roman"/>
          <w:color w:val="000000" w:themeColor="text1"/>
        </w:rPr>
      </w:pPr>
      <w:r w:rsidRPr="000B2A94">
        <w:rPr>
          <w:rFonts w:ascii="Times New Roman" w:hAnsi="Times New Roman"/>
          <w:color w:val="000000" w:themeColor="text1"/>
        </w:rPr>
        <w:lastRenderedPageBreak/>
        <w:t>該所預估每年可接受的解剖案件量：所內</w:t>
      </w:r>
      <w:r w:rsidRPr="000B2A94">
        <w:rPr>
          <w:rFonts w:ascii="Times New Roman" w:hAnsi="Times New Roman"/>
          <w:color w:val="000000" w:themeColor="text1"/>
        </w:rPr>
        <w:t>3</w:t>
      </w:r>
      <w:r w:rsidRPr="000B2A94">
        <w:rPr>
          <w:rFonts w:ascii="Times New Roman" w:hAnsi="Times New Roman"/>
          <w:color w:val="000000" w:themeColor="text1"/>
        </w:rPr>
        <w:t>名醫師每人</w:t>
      </w:r>
      <w:r w:rsidRPr="000B2A94">
        <w:rPr>
          <w:rFonts w:ascii="Times New Roman" w:hAnsi="Times New Roman"/>
          <w:color w:val="000000" w:themeColor="text1"/>
        </w:rPr>
        <w:t>250</w:t>
      </w:r>
      <w:r w:rsidRPr="000B2A94">
        <w:rPr>
          <w:rFonts w:ascii="Times New Roman" w:hAnsi="Times New Roman"/>
          <w:color w:val="000000" w:themeColor="text1"/>
        </w:rPr>
        <w:t>件，共</w:t>
      </w:r>
      <w:r w:rsidRPr="000B2A94">
        <w:rPr>
          <w:rFonts w:ascii="Times New Roman" w:hAnsi="Times New Roman"/>
          <w:color w:val="000000" w:themeColor="text1"/>
        </w:rPr>
        <w:t>750</w:t>
      </w:r>
      <w:r w:rsidRPr="000B2A94">
        <w:rPr>
          <w:rFonts w:ascii="Times New Roman" w:hAnsi="Times New Roman"/>
          <w:color w:val="000000" w:themeColor="text1"/>
        </w:rPr>
        <w:t>件；所外兼任研究員每人每年</w:t>
      </w:r>
      <w:r w:rsidRPr="000B2A94">
        <w:rPr>
          <w:rFonts w:ascii="Times New Roman" w:hAnsi="Times New Roman"/>
          <w:color w:val="000000" w:themeColor="text1"/>
        </w:rPr>
        <w:t>100</w:t>
      </w:r>
      <w:r w:rsidRPr="000B2A94">
        <w:rPr>
          <w:rFonts w:ascii="Times New Roman" w:hAnsi="Times New Roman"/>
          <w:color w:val="000000" w:themeColor="text1"/>
        </w:rPr>
        <w:t>件，</w:t>
      </w:r>
      <w:r w:rsidRPr="000B2A94">
        <w:rPr>
          <w:rFonts w:ascii="Times New Roman" w:hAnsi="Times New Roman"/>
          <w:color w:val="000000" w:themeColor="text1"/>
        </w:rPr>
        <w:t>8</w:t>
      </w:r>
      <w:r w:rsidRPr="000B2A94">
        <w:rPr>
          <w:rFonts w:ascii="Times New Roman" w:hAnsi="Times New Roman"/>
          <w:color w:val="000000" w:themeColor="text1"/>
        </w:rPr>
        <w:t>人共計</w:t>
      </w:r>
      <w:r w:rsidRPr="000B2A94">
        <w:rPr>
          <w:rFonts w:ascii="Times New Roman" w:hAnsi="Times New Roman"/>
          <w:color w:val="000000" w:themeColor="text1"/>
        </w:rPr>
        <w:t>800</w:t>
      </w:r>
      <w:r w:rsidRPr="000B2A94">
        <w:rPr>
          <w:rFonts w:ascii="Times New Roman" w:hAnsi="Times New Roman"/>
          <w:color w:val="000000" w:themeColor="text1"/>
        </w:rPr>
        <w:t>件。該所推估每年合理收案數為</w:t>
      </w:r>
      <w:r w:rsidRPr="000B2A94">
        <w:rPr>
          <w:rFonts w:ascii="Times New Roman" w:hAnsi="Times New Roman"/>
          <w:color w:val="000000" w:themeColor="text1"/>
        </w:rPr>
        <w:t>1550</w:t>
      </w:r>
      <w:r w:rsidRPr="000B2A94">
        <w:rPr>
          <w:rFonts w:ascii="Times New Roman" w:hAnsi="Times New Roman"/>
          <w:color w:val="000000" w:themeColor="text1"/>
        </w:rPr>
        <w:t>件，近</w:t>
      </w:r>
      <w:r w:rsidRPr="000B2A94">
        <w:rPr>
          <w:rFonts w:ascii="Times New Roman" w:hAnsi="Times New Roman"/>
          <w:color w:val="000000" w:themeColor="text1"/>
        </w:rPr>
        <w:t>5</w:t>
      </w:r>
      <w:r w:rsidRPr="000B2A94">
        <w:rPr>
          <w:rFonts w:ascii="Times New Roman" w:hAnsi="Times New Roman"/>
          <w:color w:val="000000" w:themeColor="text1"/>
        </w:rPr>
        <w:t>年每年收案均逾</w:t>
      </w:r>
      <w:r w:rsidRPr="000B2A94">
        <w:rPr>
          <w:rFonts w:ascii="Times New Roman" w:hAnsi="Times New Roman"/>
          <w:color w:val="000000" w:themeColor="text1"/>
        </w:rPr>
        <w:t>2100</w:t>
      </w:r>
      <w:r w:rsidRPr="000B2A94">
        <w:rPr>
          <w:rFonts w:ascii="Times New Roman" w:hAnsi="Times New Roman"/>
          <w:color w:val="000000" w:themeColor="text1"/>
        </w:rPr>
        <w:t>件，逾</w:t>
      </w:r>
      <w:r w:rsidRPr="000B2A94">
        <w:rPr>
          <w:rFonts w:ascii="Times New Roman" w:hAnsi="Times New Roman"/>
          <w:color w:val="000000" w:themeColor="text1"/>
        </w:rPr>
        <w:t>650</w:t>
      </w:r>
      <w:r w:rsidRPr="000B2A94">
        <w:rPr>
          <w:rFonts w:ascii="Times New Roman" w:hAnsi="Times New Roman"/>
          <w:color w:val="000000" w:themeColor="text1"/>
        </w:rPr>
        <w:t>件。</w:t>
      </w:r>
    </w:p>
    <w:p w:rsidR="00F956E8" w:rsidRPr="000B2A94" w:rsidRDefault="00F956E8" w:rsidP="00F956E8">
      <w:pPr>
        <w:pStyle w:val="4"/>
        <w:numPr>
          <w:ilvl w:val="3"/>
          <w:numId w:val="1"/>
        </w:numPr>
        <w:overflowPunct/>
        <w:autoSpaceDE/>
        <w:autoSpaceDN/>
        <w:ind w:left="1741" w:hanging="698"/>
        <w:rPr>
          <w:rFonts w:ascii="Times New Roman" w:hAnsi="Times New Roman"/>
          <w:color w:val="000000" w:themeColor="text1"/>
        </w:rPr>
      </w:pPr>
      <w:r w:rsidRPr="000B2A94">
        <w:rPr>
          <w:rFonts w:ascii="Times New Roman" w:hAnsi="Times New Roman"/>
          <w:color w:val="000000" w:themeColor="text1"/>
        </w:rPr>
        <w:t>案件量與醫師結案平均天數成正比：統計</w:t>
      </w:r>
      <w:r w:rsidRPr="000B2A94">
        <w:rPr>
          <w:rFonts w:ascii="Times New Roman" w:hAnsi="Times New Roman"/>
          <w:color w:val="000000" w:themeColor="text1"/>
        </w:rPr>
        <w:t>107</w:t>
      </w:r>
      <w:r w:rsidRPr="000B2A94">
        <w:rPr>
          <w:rFonts w:ascii="Times New Roman" w:hAnsi="Times New Roman"/>
          <w:color w:val="000000" w:themeColor="text1"/>
        </w:rPr>
        <w:t>年度結案平均天數，本所醫師為</w:t>
      </w:r>
      <w:r w:rsidRPr="000B2A94">
        <w:rPr>
          <w:rFonts w:ascii="Times New Roman" w:hAnsi="Times New Roman"/>
          <w:color w:val="000000" w:themeColor="text1"/>
        </w:rPr>
        <w:t>54</w:t>
      </w:r>
      <w:r w:rsidRPr="000B2A94">
        <w:rPr>
          <w:rFonts w:ascii="Times New Roman" w:hAnsi="Times New Roman"/>
          <w:color w:val="000000" w:themeColor="text1"/>
        </w:rPr>
        <w:t>日，兼任研究員</w:t>
      </w:r>
      <w:r w:rsidRPr="000B2A94">
        <w:rPr>
          <w:rFonts w:ascii="Times New Roman" w:hAnsi="Times New Roman"/>
          <w:color w:val="000000" w:themeColor="text1"/>
        </w:rPr>
        <w:t>54</w:t>
      </w:r>
      <w:r w:rsidRPr="000B2A94">
        <w:rPr>
          <w:rFonts w:ascii="Times New Roman" w:hAnsi="Times New Roman"/>
          <w:color w:val="000000" w:themeColor="text1"/>
        </w:rPr>
        <w:t>日，以接案量最多的</w:t>
      </w:r>
      <w:r w:rsidRPr="000B2A94">
        <w:rPr>
          <w:rFonts w:ascii="Times New Roman" w:hAnsi="Times New Roman"/>
          <w:color w:val="000000" w:themeColor="text1"/>
        </w:rPr>
        <w:t>C</w:t>
      </w:r>
      <w:r w:rsidRPr="000B2A94">
        <w:rPr>
          <w:rFonts w:ascii="Times New Roman" w:hAnsi="Times New Roman"/>
          <w:color w:val="000000" w:themeColor="text1"/>
        </w:rPr>
        <w:t>醫師收案計</w:t>
      </w:r>
      <w:r w:rsidRPr="000B2A94">
        <w:rPr>
          <w:rFonts w:ascii="Times New Roman" w:hAnsi="Times New Roman"/>
          <w:color w:val="000000" w:themeColor="text1"/>
        </w:rPr>
        <w:t>364</w:t>
      </w:r>
      <w:r w:rsidRPr="000B2A94">
        <w:rPr>
          <w:rFonts w:ascii="Times New Roman" w:hAnsi="Times New Roman"/>
          <w:color w:val="000000" w:themeColor="text1"/>
        </w:rPr>
        <w:t>件，其結案平均天數達到</w:t>
      </w:r>
      <w:r w:rsidRPr="000B2A94">
        <w:rPr>
          <w:rFonts w:ascii="Times New Roman" w:hAnsi="Times New Roman"/>
          <w:color w:val="000000" w:themeColor="text1"/>
        </w:rPr>
        <w:t>66</w:t>
      </w:r>
      <w:r w:rsidRPr="000B2A94">
        <w:rPr>
          <w:rFonts w:ascii="Times New Roman" w:hAnsi="Times New Roman"/>
          <w:color w:val="000000" w:themeColor="text1"/>
        </w:rPr>
        <w:t>日，顯示案件量已超過其負擔。</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350" w:name="_Toc27399956"/>
      <w:r w:rsidRPr="000B2A94">
        <w:rPr>
          <w:rFonts w:ascii="Times New Roman" w:hAnsi="Times New Roman"/>
          <w:color w:val="000000" w:themeColor="text1"/>
        </w:rPr>
        <w:t>解剖係由檢察官處分，該所僅係提供法醫專業建議：依刑事訴訟法第</w:t>
      </w:r>
      <w:r w:rsidRPr="000B2A94">
        <w:rPr>
          <w:rFonts w:ascii="Times New Roman" w:hAnsi="Times New Roman"/>
          <w:color w:val="000000" w:themeColor="text1"/>
        </w:rPr>
        <w:t>212</w:t>
      </w:r>
      <w:r w:rsidRPr="000B2A94">
        <w:rPr>
          <w:rFonts w:ascii="Times New Roman" w:hAnsi="Times New Roman"/>
          <w:color w:val="000000" w:themeColor="text1"/>
        </w:rPr>
        <w:t>條規定，檢察官因調查證據及犯罪情形，得實施勘驗，勘驗得為解剖屍體之處分。故是否解剖屍體係由檢察官處分，法醫研究所並無權亦從未拒絕，但由於檢察官並非法醫專業，該所就各地檢署通報解剖之案情敘述，疑似自然死及自殺者，才由專業組法醫人員檢視後提供檢察官專業諮詢，如有審查建議再提供可行之複驗方式（如毒化或</w:t>
      </w:r>
      <w:r w:rsidRPr="000B2A94">
        <w:rPr>
          <w:rFonts w:ascii="Times New Roman" w:hAnsi="Times New Roman"/>
          <w:color w:val="000000" w:themeColor="text1"/>
        </w:rPr>
        <w:t>DNA</w:t>
      </w:r>
      <w:r w:rsidRPr="000B2A94">
        <w:rPr>
          <w:rFonts w:ascii="Times New Roman" w:hAnsi="Times New Roman"/>
          <w:color w:val="000000" w:themeColor="text1"/>
        </w:rPr>
        <w:t>鑑定）給檢察官參考，如可疑為非病死者，均未審查。</w:t>
      </w:r>
      <w:bookmarkEnd w:id="350"/>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351" w:name="_Toc27399957"/>
      <w:r w:rsidRPr="000B2A94">
        <w:rPr>
          <w:rFonts w:ascii="Times New Roman" w:hAnsi="Times New Roman"/>
          <w:color w:val="000000" w:themeColor="text1"/>
        </w:rPr>
        <w:t>解剖必要性</w:t>
      </w:r>
      <w:bookmarkEnd w:id="351"/>
    </w:p>
    <w:p w:rsidR="00F956E8" w:rsidRPr="000B2A94" w:rsidRDefault="00F956E8" w:rsidP="00140898">
      <w:pPr>
        <w:pStyle w:val="4"/>
        <w:rPr>
          <w:color w:val="000000" w:themeColor="text1"/>
        </w:rPr>
      </w:pPr>
      <w:r w:rsidRPr="000B2A94">
        <w:rPr>
          <w:color w:val="000000" w:themeColor="text1"/>
        </w:rPr>
        <w:t>統計近5年解剖案件死因，47%為自然死或自殺，亦即有近一半的解剖案件非因犯罪行為所造成，僅因地檢署法醫師無法判斷死因，即報請法醫研究所解剖。此外法醫研究所亦表示，發現部分解剖案件並無解剖必要性，如海上漂流之屍體只賸一骷髏頭，因屍體已無組織可做病理切片或研判死因，此時僅需做DNA鑑定以建檔無名屍資料庫，應可由各地檢署法醫師逕將白骨檢體送該所化驗，無報請該所解剖必要。</w:t>
      </w:r>
    </w:p>
    <w:p w:rsidR="00F956E8" w:rsidRPr="000B2A94" w:rsidRDefault="00F956E8" w:rsidP="00140898">
      <w:pPr>
        <w:pStyle w:val="4"/>
        <w:rPr>
          <w:color w:val="000000" w:themeColor="text1"/>
        </w:rPr>
      </w:pPr>
      <w:r w:rsidRPr="000B2A94">
        <w:rPr>
          <w:color w:val="000000" w:themeColor="text1"/>
        </w:rPr>
        <w:lastRenderedPageBreak/>
        <w:t>再參考法務部98年委託研究計畫「建立法醫鑑定與刑事鑑識複鑑機制」研究報告，其中介紹德國法有關解剖屍體之規定，亦需衡量死者的安寧（公共利益）或是家屬對死者的照護權，甚至解剖屍體命令，必須與追訴犯罪有必要且適合於達成目的的手段，如果以檢驗屍體較輕微的手段即可達到追訴犯罪之目的時，解剖就屬較不適當之手段。上述解剖必要性在法制上雖無明文，係參考憲法法院判決，但該德國實務見解在我國應可採納。</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352" w:name="_Toc27399958"/>
      <w:r w:rsidRPr="000B2A94">
        <w:rPr>
          <w:rFonts w:ascii="Times New Roman" w:hAnsi="Times New Roman"/>
          <w:color w:val="000000" w:themeColor="text1"/>
        </w:rPr>
        <w:t>近</w:t>
      </w:r>
      <w:r w:rsidRPr="000B2A94">
        <w:rPr>
          <w:rFonts w:ascii="Times New Roman" w:hAnsi="Times New Roman"/>
          <w:color w:val="000000" w:themeColor="text1"/>
        </w:rPr>
        <w:t>2</w:t>
      </w:r>
      <w:r w:rsidRPr="000B2A94">
        <w:rPr>
          <w:rFonts w:ascii="Times New Roman" w:hAnsi="Times New Roman"/>
          <w:color w:val="000000" w:themeColor="text1"/>
        </w:rPr>
        <w:t>年解剖案件數減少之原因</w:t>
      </w:r>
      <w:bookmarkEnd w:id="352"/>
    </w:p>
    <w:p w:rsidR="00F956E8" w:rsidRPr="000B2A94" w:rsidRDefault="00F956E8" w:rsidP="00F956E8">
      <w:pPr>
        <w:pStyle w:val="32"/>
        <w:ind w:left="1361" w:firstLine="680"/>
        <w:rPr>
          <w:rFonts w:ascii="Times New Roman"/>
          <w:color w:val="000000" w:themeColor="text1"/>
        </w:rPr>
      </w:pPr>
      <w:r w:rsidRPr="000B2A94">
        <w:rPr>
          <w:rFonts w:ascii="Times New Roman"/>
          <w:color w:val="000000" w:themeColor="text1"/>
        </w:rPr>
        <w:t>106</w:t>
      </w:r>
      <w:r w:rsidRPr="000B2A94">
        <w:rPr>
          <w:rFonts w:ascii="Times New Roman"/>
          <w:color w:val="000000" w:themeColor="text1"/>
        </w:rPr>
        <w:t>年度各地檢署解剖率為</w:t>
      </w:r>
      <w:r w:rsidRPr="000B2A94">
        <w:rPr>
          <w:rFonts w:ascii="Times New Roman"/>
          <w:color w:val="000000" w:themeColor="text1"/>
        </w:rPr>
        <w:t>11.62 %</w:t>
      </w:r>
      <w:r w:rsidRPr="000B2A94">
        <w:rPr>
          <w:rFonts w:ascii="Times New Roman"/>
          <w:color w:val="000000" w:themeColor="text1"/>
        </w:rPr>
        <w:t>（解剖件數</w:t>
      </w:r>
      <w:r w:rsidRPr="000B2A94">
        <w:rPr>
          <w:rFonts w:ascii="Times New Roman"/>
          <w:color w:val="000000" w:themeColor="text1"/>
        </w:rPr>
        <w:t>/</w:t>
      </w:r>
      <w:r w:rsidRPr="000B2A94">
        <w:rPr>
          <w:rFonts w:ascii="Times New Roman"/>
          <w:color w:val="000000" w:themeColor="text1"/>
        </w:rPr>
        <w:t>相驗件數），</w:t>
      </w:r>
      <w:r w:rsidRPr="000B2A94">
        <w:rPr>
          <w:rFonts w:ascii="Times New Roman"/>
          <w:color w:val="000000" w:themeColor="text1"/>
        </w:rPr>
        <w:t>107</w:t>
      </w:r>
      <w:r w:rsidRPr="000B2A94">
        <w:rPr>
          <w:rFonts w:ascii="Times New Roman"/>
          <w:color w:val="000000" w:themeColor="text1"/>
        </w:rPr>
        <w:t>年解剖率則為</w:t>
      </w:r>
      <w:r w:rsidRPr="000B2A94">
        <w:rPr>
          <w:rFonts w:ascii="Times New Roman"/>
          <w:color w:val="000000" w:themeColor="text1"/>
        </w:rPr>
        <w:t>7.8%</w:t>
      </w:r>
      <w:r w:rsidRPr="000B2A94">
        <w:rPr>
          <w:rFonts w:ascii="Times New Roman"/>
          <w:color w:val="000000" w:themeColor="text1"/>
        </w:rPr>
        <w:t>，解剖率均下降甚多。其次，該所統計近</w:t>
      </w:r>
      <w:r w:rsidRPr="000B2A94">
        <w:rPr>
          <w:rFonts w:ascii="Times New Roman"/>
          <w:color w:val="000000" w:themeColor="text1"/>
        </w:rPr>
        <w:t>3</w:t>
      </w:r>
      <w:r w:rsidRPr="000B2A94">
        <w:rPr>
          <w:rFonts w:ascii="Times New Roman"/>
          <w:color w:val="000000" w:themeColor="text1"/>
        </w:rPr>
        <w:t>年（</w:t>
      </w:r>
      <w:r w:rsidRPr="000B2A94">
        <w:rPr>
          <w:rFonts w:ascii="Times New Roman"/>
          <w:color w:val="000000" w:themeColor="text1"/>
        </w:rPr>
        <w:t>105-107</w:t>
      </w:r>
      <w:r w:rsidRPr="000B2A94">
        <w:rPr>
          <w:rFonts w:ascii="Times New Roman"/>
          <w:color w:val="000000" w:themeColor="text1"/>
        </w:rPr>
        <w:t>年）各地檢署委託該所解剖件數為</w:t>
      </w:r>
      <w:r w:rsidRPr="000B2A94">
        <w:rPr>
          <w:rFonts w:ascii="Times New Roman"/>
          <w:color w:val="000000" w:themeColor="text1"/>
        </w:rPr>
        <w:t>5,731</w:t>
      </w:r>
      <w:r w:rsidRPr="000B2A94">
        <w:rPr>
          <w:rFonts w:ascii="Times New Roman"/>
          <w:color w:val="000000" w:themeColor="text1"/>
        </w:rPr>
        <w:t>件，其中</w:t>
      </w:r>
      <w:r w:rsidRPr="000B2A94">
        <w:rPr>
          <w:rFonts w:ascii="Times New Roman"/>
          <w:color w:val="000000" w:themeColor="text1"/>
        </w:rPr>
        <w:t>107</w:t>
      </w:r>
      <w:r w:rsidRPr="000B2A94">
        <w:rPr>
          <w:rFonts w:ascii="Times New Roman"/>
          <w:color w:val="000000" w:themeColor="text1"/>
        </w:rPr>
        <w:t>年</w:t>
      </w:r>
      <w:r w:rsidRPr="000B2A94">
        <w:rPr>
          <w:rFonts w:ascii="Times New Roman"/>
          <w:color w:val="000000" w:themeColor="text1"/>
        </w:rPr>
        <w:t>1,361</w:t>
      </w:r>
      <w:r w:rsidRPr="000B2A94">
        <w:rPr>
          <w:rFonts w:ascii="Times New Roman"/>
          <w:color w:val="000000" w:themeColor="text1"/>
        </w:rPr>
        <w:t>件，較前一（</w:t>
      </w:r>
      <w:r w:rsidRPr="000B2A94">
        <w:rPr>
          <w:rFonts w:ascii="Times New Roman"/>
          <w:color w:val="000000" w:themeColor="text1"/>
        </w:rPr>
        <w:t>106</w:t>
      </w:r>
      <w:r w:rsidRPr="000B2A94">
        <w:rPr>
          <w:rFonts w:ascii="Times New Roman"/>
          <w:color w:val="000000" w:themeColor="text1"/>
        </w:rPr>
        <w:t>）年</w:t>
      </w:r>
      <w:r w:rsidRPr="000B2A94">
        <w:rPr>
          <w:rFonts w:ascii="Times New Roman"/>
          <w:color w:val="000000" w:themeColor="text1"/>
        </w:rPr>
        <w:t>2,187</w:t>
      </w:r>
      <w:r w:rsidRPr="000B2A94">
        <w:rPr>
          <w:rFonts w:ascii="Times New Roman"/>
          <w:color w:val="000000" w:themeColor="text1"/>
        </w:rPr>
        <w:t>件，減少</w:t>
      </w:r>
      <w:r w:rsidRPr="000B2A94">
        <w:rPr>
          <w:rFonts w:ascii="Times New Roman"/>
          <w:color w:val="000000" w:themeColor="text1"/>
        </w:rPr>
        <w:t>826</w:t>
      </w:r>
      <w:r w:rsidRPr="000B2A94">
        <w:rPr>
          <w:rFonts w:ascii="Times New Roman"/>
          <w:color w:val="000000" w:themeColor="text1"/>
        </w:rPr>
        <w:t>件，降低的比例達</w:t>
      </w:r>
      <w:r w:rsidRPr="000B2A94">
        <w:rPr>
          <w:rFonts w:ascii="Times New Roman"/>
          <w:color w:val="000000" w:themeColor="text1"/>
        </w:rPr>
        <w:t>38%</w:t>
      </w:r>
      <w:r w:rsidRPr="000B2A94">
        <w:rPr>
          <w:rFonts w:ascii="Times New Roman"/>
          <w:color w:val="000000" w:themeColor="text1"/>
        </w:rPr>
        <w:t>。分析其原因可能如下：</w:t>
      </w:r>
    </w:p>
    <w:p w:rsidR="00F956E8" w:rsidRPr="000B2A94" w:rsidRDefault="00F956E8" w:rsidP="00140898">
      <w:pPr>
        <w:pStyle w:val="4"/>
        <w:rPr>
          <w:color w:val="000000" w:themeColor="text1"/>
        </w:rPr>
      </w:pPr>
      <w:r w:rsidRPr="000B2A94">
        <w:rPr>
          <w:color w:val="000000" w:themeColor="text1"/>
        </w:rPr>
        <w:t>統計105年至107年解剖案件死亡方式，發現107年解剖案件量下降，其中意外死、自然死案件均大幅減少，自殺案件亦小幅減少，他殺及未確</w:t>
      </w:r>
      <w:r w:rsidR="00140898" w:rsidRPr="000B2A94">
        <w:rPr>
          <w:color w:val="000000" w:themeColor="text1"/>
        </w:rPr>
        <w:t>認案件較無變動，顯見地檢署對於意外死、自然死及自殺案件較少通報</w:t>
      </w:r>
      <w:r w:rsidR="00140898" w:rsidRPr="000B2A94">
        <w:rPr>
          <w:rFonts w:hint="eastAsia"/>
          <w:color w:val="000000" w:themeColor="text1"/>
        </w:rPr>
        <w:t>法醫研究</w:t>
      </w:r>
      <w:r w:rsidRPr="000B2A94">
        <w:rPr>
          <w:color w:val="000000" w:themeColor="text1"/>
        </w:rPr>
        <w:t>所解剖鑑定死因。</w:t>
      </w:r>
    </w:p>
    <w:p w:rsidR="00F956E8" w:rsidRPr="000B2A94" w:rsidRDefault="00F956E8" w:rsidP="00140898">
      <w:pPr>
        <w:jc w:val="center"/>
        <w:rPr>
          <w:color w:val="000000" w:themeColor="text1"/>
        </w:rPr>
      </w:pPr>
      <w:r w:rsidRPr="000B2A94">
        <w:rPr>
          <w:noProof/>
          <w:color w:val="000000" w:themeColor="text1"/>
          <w:szCs w:val="32"/>
        </w:rPr>
        <w:lastRenderedPageBreak/>
        <w:drawing>
          <wp:inline distT="0" distB="0" distL="0" distR="0" wp14:anchorId="31D74EFC" wp14:editId="2BFDF93B">
            <wp:extent cx="4989921" cy="2724150"/>
            <wp:effectExtent l="0" t="0" r="127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27531" cy="2744682"/>
                    </a:xfrm>
                    <a:prstGeom prst="rect">
                      <a:avLst/>
                    </a:prstGeom>
                    <a:noFill/>
                  </pic:spPr>
                </pic:pic>
              </a:graphicData>
            </a:graphic>
          </wp:inline>
        </w:drawing>
      </w:r>
    </w:p>
    <w:p w:rsidR="00140898" w:rsidRPr="000B2A94" w:rsidRDefault="00140898" w:rsidP="00140898">
      <w:pPr>
        <w:pStyle w:val="a2"/>
        <w:spacing w:line="240" w:lineRule="exact"/>
        <w:rPr>
          <w:b/>
          <w:color w:val="000000" w:themeColor="text1"/>
        </w:rPr>
      </w:pPr>
      <w:bookmarkStart w:id="353" w:name="_Toc27412361"/>
      <w:r w:rsidRPr="000B2A94">
        <w:rPr>
          <w:rFonts w:hint="eastAsia"/>
          <w:b/>
          <w:color w:val="000000" w:themeColor="text1"/>
        </w:rPr>
        <w:t>105-107年解剖案件死亡方式統計</w:t>
      </w:r>
      <w:bookmarkEnd w:id="353"/>
    </w:p>
    <w:p w:rsidR="00140898" w:rsidRPr="000B2A94" w:rsidRDefault="00140898" w:rsidP="00140898">
      <w:pPr>
        <w:spacing w:line="240" w:lineRule="exact"/>
        <w:jc w:val="center"/>
        <w:rPr>
          <w:color w:val="000000" w:themeColor="text1"/>
          <w:sz w:val="24"/>
          <w:szCs w:val="24"/>
        </w:rPr>
      </w:pPr>
      <w:r w:rsidRPr="000B2A94">
        <w:rPr>
          <w:rFonts w:hint="eastAsia"/>
          <w:color w:val="000000" w:themeColor="text1"/>
          <w:sz w:val="24"/>
          <w:szCs w:val="24"/>
        </w:rPr>
        <w:t>資料來源：本院訪查法務部法醫研究所提供之業務報告。</w:t>
      </w:r>
    </w:p>
    <w:p w:rsidR="00140898" w:rsidRPr="000B2A94" w:rsidRDefault="00140898" w:rsidP="00140898">
      <w:pPr>
        <w:rPr>
          <w:color w:val="000000" w:themeColor="text1"/>
        </w:rPr>
      </w:pPr>
    </w:p>
    <w:p w:rsidR="00F956E8" w:rsidRPr="000B2A94" w:rsidRDefault="00F956E8" w:rsidP="00140898">
      <w:pPr>
        <w:pStyle w:val="4"/>
        <w:rPr>
          <w:color w:val="000000" w:themeColor="text1"/>
        </w:rPr>
      </w:pPr>
      <w:r w:rsidRPr="000B2A94">
        <w:rPr>
          <w:color w:val="000000" w:themeColor="text1"/>
        </w:rPr>
        <w:t>107年度解剖案件減少應與解剖審查無關：</w:t>
      </w:r>
    </w:p>
    <w:p w:rsidR="00F956E8" w:rsidRPr="000B2A94" w:rsidRDefault="00F956E8" w:rsidP="00140898">
      <w:pPr>
        <w:pStyle w:val="42"/>
        <w:ind w:left="1701" w:firstLine="680"/>
        <w:rPr>
          <w:color w:val="000000" w:themeColor="text1"/>
        </w:rPr>
      </w:pPr>
      <w:r w:rsidRPr="000B2A94">
        <w:rPr>
          <w:color w:val="000000" w:themeColor="text1"/>
        </w:rPr>
        <w:t>法醫研究所自107年實施案件審查以來，僅35件（2.6%）提供檢察官審查建議並經檢察官同意改採複驗</w:t>
      </w:r>
      <w:r w:rsidR="00140898" w:rsidRPr="000B2A94">
        <w:rPr>
          <w:color w:val="000000" w:themeColor="text1"/>
        </w:rPr>
        <w:t>，比例微乎其微；又</w:t>
      </w:r>
      <w:r w:rsidRPr="000B2A94">
        <w:rPr>
          <w:color w:val="000000" w:themeColor="text1"/>
        </w:rPr>
        <w:t>108年度上半年解剖626件，解剖數較107年更少，但全數均受理解剖（其中僅1件提供建議，而該件經檢察官要求後該所仍受理解剖），可知地檢署並非因該所退案而減少報請解剖，且該所表示從未拒絕解剖。</w:t>
      </w:r>
    </w:p>
    <w:p w:rsidR="00F956E8" w:rsidRPr="000B2A94" w:rsidRDefault="00F956E8" w:rsidP="00140898">
      <w:pPr>
        <w:pStyle w:val="4"/>
        <w:rPr>
          <w:color w:val="000000" w:themeColor="text1"/>
        </w:rPr>
      </w:pPr>
      <w:r w:rsidRPr="000B2A94">
        <w:rPr>
          <w:color w:val="000000" w:themeColor="text1"/>
        </w:rPr>
        <w:t>解剖係由檢察官處分，該所解剖量減少，係因各地方檢察署報請解剖案件減少，減少原因應係檢察官與法醫師透過本所各項措施而增加法醫專業職能：</w:t>
      </w:r>
    </w:p>
    <w:p w:rsidR="00F956E8" w:rsidRPr="000B2A94" w:rsidRDefault="00F956E8" w:rsidP="00140898">
      <w:pPr>
        <w:pStyle w:val="5"/>
        <w:rPr>
          <w:color w:val="000000" w:themeColor="text1"/>
        </w:rPr>
      </w:pPr>
      <w:r w:rsidRPr="000B2A94">
        <w:rPr>
          <w:color w:val="000000" w:themeColor="text1"/>
        </w:rPr>
        <w:t>法醫研究所製作自然死死因參考指引：於107年5月14日針對地檢署檢察官、法醫師舉辦教育訓練，同時轉請全國地檢署法醫師參考運用，協助地檢署公職法醫師、檢驗員研判自然死死因。</w:t>
      </w:r>
    </w:p>
    <w:p w:rsidR="00F956E8" w:rsidRPr="000B2A94" w:rsidRDefault="00F956E8" w:rsidP="00140898">
      <w:pPr>
        <w:pStyle w:val="5"/>
        <w:rPr>
          <w:color w:val="000000" w:themeColor="text1"/>
        </w:rPr>
      </w:pPr>
      <w:r w:rsidRPr="000B2A94">
        <w:rPr>
          <w:color w:val="000000" w:themeColor="text1"/>
        </w:rPr>
        <w:lastRenderedPageBreak/>
        <w:t>地檢署公職法醫師擔任解剖助理，提昇相驗專業職能：該所為提昇解剖鑑定品質與效率，依據「檢察機關法醫鑑驗作業應行注意事項」規定，要求法醫師、檢驗員在解剖時須依該注意事項第10條所規定「協助採集檢體」、「協助拍照」、「完成屍體縫合」等協助解剖工作，同時與該所法醫於解剖過程中共同討論案情，發現真實。而透過擔任解剖助理，也進一步提昇地檢署檢察官及法醫師相驗專業職能，針對非病死或可疑非病死者始會報請解剖，而顯為自然死者之解剖量明顯下降（該所107年度解剖案件計1,361件，統計鑑定結果死亡方式為自然死僅400餘件，較106年度767件，減少約350件）。</w:t>
      </w:r>
    </w:p>
    <w:p w:rsidR="00F956E8" w:rsidRPr="000B2A94" w:rsidRDefault="00F956E8" w:rsidP="00140898">
      <w:pPr>
        <w:pStyle w:val="5"/>
        <w:rPr>
          <w:color w:val="000000" w:themeColor="text1"/>
        </w:rPr>
      </w:pPr>
      <w:r w:rsidRPr="000B2A94">
        <w:rPr>
          <w:color w:val="000000" w:themeColor="text1"/>
        </w:rPr>
        <w:t>地檢署委託該所毒物鑑定案件增加：該所解剖案件雖減少，但各地檢署送請該所協助毒藥物鑑定之案件則增加，顯示地檢署法醫師能善用科學鑑定研判死因，而非均仰賴解剖。</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354" w:name="_Toc27399959"/>
      <w:r w:rsidRPr="000B2A94">
        <w:rPr>
          <w:rFonts w:ascii="Times New Roman" w:hAnsi="Times New Roman"/>
          <w:color w:val="000000" w:themeColor="text1"/>
        </w:rPr>
        <w:t>改善法醫人力之建議</w:t>
      </w:r>
      <w:bookmarkEnd w:id="354"/>
    </w:p>
    <w:p w:rsidR="00F956E8" w:rsidRPr="000B2A94" w:rsidRDefault="00F956E8" w:rsidP="00140898">
      <w:pPr>
        <w:pStyle w:val="4"/>
        <w:rPr>
          <w:rFonts w:ascii="Times New Roman" w:hAnsi="Times New Roman"/>
          <w:color w:val="000000" w:themeColor="text1"/>
        </w:rPr>
      </w:pPr>
      <w:r w:rsidRPr="000B2A94">
        <w:rPr>
          <w:rFonts w:hint="eastAsia"/>
          <w:color w:val="000000" w:themeColor="text1"/>
        </w:rPr>
        <w:t>改善各地解剖室工作環境</w:t>
      </w:r>
    </w:p>
    <w:p w:rsidR="00F956E8" w:rsidRPr="000B2A94" w:rsidRDefault="00F956E8" w:rsidP="00140898">
      <w:pPr>
        <w:pStyle w:val="42"/>
        <w:ind w:left="1701" w:firstLine="680"/>
        <w:rPr>
          <w:rFonts w:ascii="Times New Roman"/>
          <w:color w:val="000000" w:themeColor="text1"/>
        </w:rPr>
      </w:pPr>
      <w:r w:rsidRPr="000B2A94">
        <w:rPr>
          <w:rFonts w:hint="eastAsia"/>
          <w:color w:val="000000" w:themeColor="text1"/>
        </w:rPr>
        <w:t>法醫研究所於107年5月25日以法醫理字第10700212130號函報法務部，建議各地解剖室應設置生物安全等級第2+級之解剖設備，同時列舉各地解剖室應增加之設施及設備，作為未來地方政府改善之參考。</w:t>
      </w:r>
    </w:p>
    <w:p w:rsidR="00F956E8" w:rsidRPr="000B2A94" w:rsidRDefault="00F956E8" w:rsidP="00140898">
      <w:pPr>
        <w:pStyle w:val="4"/>
        <w:rPr>
          <w:rFonts w:ascii="Times New Roman" w:hAnsi="Times New Roman"/>
          <w:color w:val="000000" w:themeColor="text1"/>
        </w:rPr>
      </w:pPr>
      <w:r w:rsidRPr="000B2A94">
        <w:rPr>
          <w:rFonts w:hint="eastAsia"/>
          <w:color w:val="000000" w:themeColor="text1"/>
        </w:rPr>
        <w:t>增加法醫實質所得</w:t>
      </w:r>
    </w:p>
    <w:p w:rsidR="00F956E8" w:rsidRPr="000B2A94" w:rsidRDefault="00F956E8" w:rsidP="00F956E8">
      <w:pPr>
        <w:pStyle w:val="42"/>
        <w:ind w:left="1701" w:firstLine="680"/>
        <w:rPr>
          <w:rFonts w:ascii="Times New Roman"/>
          <w:color w:val="000000" w:themeColor="text1"/>
        </w:rPr>
      </w:pPr>
      <w:r w:rsidRPr="000B2A94">
        <w:rPr>
          <w:rFonts w:hint="eastAsia"/>
          <w:color w:val="000000" w:themeColor="text1"/>
        </w:rPr>
        <w:t>據法醫研究所瞭解，公立醫院醫師(師(二)級年功俸6級710俸點)薪水約28萬元（含俸給、獎金），法醫研究所副研究員（9職等710俸點法醫）月薪24萬餘元（含俸給、獎金及按件計酬費用），每年所得差距約50萬元，以現有所得水準，</w:t>
      </w:r>
      <w:r w:rsidRPr="000B2A94">
        <w:rPr>
          <w:rFonts w:hint="eastAsia"/>
          <w:color w:val="000000" w:themeColor="text1"/>
        </w:rPr>
        <w:lastRenderedPageBreak/>
        <w:t>自難吸引病理醫師願意擔任法醫研究所法醫。故法醫研究所於108年9月19日以法醫人字第10820001090號函報法務部，建議調升法醫研究所編制內法醫按件計酬之解剖鑑定費用，由現行每件4</w:t>
      </w:r>
      <w:r w:rsidRPr="000B2A94">
        <w:rPr>
          <w:color w:val="000000" w:themeColor="text1"/>
        </w:rPr>
        <w:t>,</w:t>
      </w:r>
      <w:r w:rsidRPr="000B2A94">
        <w:rPr>
          <w:rFonts w:hint="eastAsia"/>
          <w:color w:val="000000" w:themeColor="text1"/>
        </w:rPr>
        <w:t>300元調升為每件8</w:t>
      </w:r>
      <w:r w:rsidRPr="000B2A94">
        <w:rPr>
          <w:color w:val="000000" w:themeColor="text1"/>
        </w:rPr>
        <w:t>,</w:t>
      </w:r>
      <w:r w:rsidRPr="000B2A94">
        <w:rPr>
          <w:rFonts w:hint="eastAsia"/>
          <w:color w:val="000000" w:themeColor="text1"/>
        </w:rPr>
        <w:t>000元，預計提高法醫研究所編制內法醫所得至每月約29萬元，以法醫訓練時間更長，工作所處環境不佳甚至有更高的生物感染風險等情形，給予較公立醫院專科醫師略高一些之收入，應屬合理，亦利於招徠人才，本項建議業於108年10月24日以法務部法人字第10808516460號函報行政院在案。</w:t>
      </w:r>
    </w:p>
    <w:p w:rsidR="00F956E8" w:rsidRPr="000B2A94" w:rsidRDefault="00F956E8" w:rsidP="00CD3A1B">
      <w:pPr>
        <w:pStyle w:val="4"/>
        <w:rPr>
          <w:color w:val="000000" w:themeColor="text1"/>
        </w:rPr>
      </w:pPr>
      <w:r w:rsidRPr="000B2A94">
        <w:rPr>
          <w:rFonts w:hint="eastAsia"/>
          <w:color w:val="000000" w:themeColor="text1"/>
        </w:rPr>
        <w:t>有關修正法醫研究所法醫（組長、研究員、副研究員、助理研究員）得適用醫事人員人事條例職務一覽表一案：本項修正業經考試院會同行政院於108年9月23日修正發布</w:t>
      </w:r>
      <w:r w:rsidRPr="000B2A94">
        <w:rPr>
          <w:rStyle w:val="aff1"/>
          <w:color w:val="000000" w:themeColor="text1"/>
          <w:vertAlign w:val="baseline"/>
        </w:rPr>
        <w:footnoteReference w:id="31"/>
      </w:r>
      <w:r w:rsidRPr="000B2A94">
        <w:rPr>
          <w:rFonts w:hint="eastAsia"/>
          <w:color w:val="000000" w:themeColor="text1"/>
        </w:rPr>
        <w:t>。</w:t>
      </w:r>
    </w:p>
    <w:p w:rsidR="00F956E8" w:rsidRPr="000B2A94" w:rsidRDefault="00F956E8" w:rsidP="00CD3A1B">
      <w:pPr>
        <w:pStyle w:val="4"/>
        <w:rPr>
          <w:color w:val="000000" w:themeColor="text1"/>
        </w:rPr>
      </w:pPr>
      <w:r w:rsidRPr="000B2A94">
        <w:rPr>
          <w:color w:val="000000" w:themeColor="text1"/>
        </w:rPr>
        <w:t>法醫師法第9條第2項規定解剖屍體由法醫師為之。又依刑事訴訟法第216條第3項規定解剖屍體應命醫師行之，由於該所為全國唯一專責辦理解剖鑑定之機關，為免解剖資格發生爭議，所進用之法醫師均需具備法醫師法及刑事訴訟法所規定的法醫師及醫師資格。又死因鑑定涉及病理及臨床診斷，故又特別要求本所法醫師亦應具備病理專科醫師證照，以維持該所法醫解剖鑑定報告符合先進國家法醫鑑定水準且可受司法檢驗，為死者權益把關。然而病理專科醫師願意擔任法醫研究所正職法醫之意願不高，致使該所一名法醫師懸缺迄今，無法順利進用。該所為鼓勵具醫師資格者參加法醫師考試並願意擔任正職法醫</w:t>
      </w:r>
      <w:r w:rsidRPr="000B2A94">
        <w:rPr>
          <w:color w:val="000000" w:themeColor="text1"/>
        </w:rPr>
        <w:lastRenderedPageBreak/>
        <w:t>師，已著手調整法醫工作環境、建議修正本所法醫師（組長、研究員、副研究員、助理研究員）得適用醫事人員人事條例，建議調升按件計酬解剖鑑定費用以增加實質所得達到公立醫院醫師的薪資水準，期能增加誘因，改善該所正職法醫師人力不足困境。</w:t>
      </w:r>
    </w:p>
    <w:p w:rsidR="00F956E8" w:rsidRPr="000B2A94" w:rsidRDefault="00F956E8" w:rsidP="00CD3A1B">
      <w:pPr>
        <w:pStyle w:val="4"/>
        <w:rPr>
          <w:color w:val="000000" w:themeColor="text1"/>
        </w:rPr>
      </w:pPr>
      <w:r w:rsidRPr="000B2A94">
        <w:rPr>
          <w:color w:val="000000" w:themeColor="text1"/>
        </w:rPr>
        <w:t>又為培育未具醫師資格之法醫師（以下簡稱公職法醫師）具備協助解剖能力，該所前曾提報未具醫師資格法醫師解剖及病理訓練計畫，但衛生福利部於103年2月5日衛部醫字第1020171530號函示，其中說明三、四、五略以：「查醫師法第28條所稱醫療業務之施行對象，尚不以生存之自然人為限，即便為死亡之人，對於『可疑為非病死或非病死』疑慮而為解剖判斷時，在判定過程中仍應將『病死』之可能性排除後，始為確認，而『病死』之判斷，係屬醫師之法定業務範疇」，又「非醫學系畢業就讀法醫學研究所，雖需修學5年，達172個學分，惟所修課程屬臨床醫學類極少，日後執行解剖、鑑定業務，對於病死與否之判斷顯有困難</w:t>
      </w:r>
      <w:r w:rsidRPr="000B2A94">
        <w:rPr>
          <w:color w:val="000000" w:themeColor="text1"/>
        </w:rPr>
        <w:t>…</w:t>
      </w:r>
      <w:r w:rsidRPr="000B2A94">
        <w:rPr>
          <w:color w:val="000000" w:themeColor="text1"/>
        </w:rPr>
        <w:t>」另說明六「再者，貴部規畫與教學醫院合作，對於未具醫師、中醫師或牙醫師資格之法醫師施予醫學教育見習訓練，其見習過程中，尚不可涉及臨床實務醫療處置。是以，前揭完成訓練且甄審成績及格之受訓法醫師，因未受完整醫學教育養成及實務執行醫療業務，雖予補強其醫學專業，其執行解剖業務，仍有疑慮，爰尚有不宜。」故教學醫院或醫師均因上開函示而無法配合前述計畫辦理訓練。該項計畫經法務部於108年5月6日召開第9次「法醫師法與刑事訴訟法研商會議」裁示請法醫研究所於1周內提出</w:t>
      </w:r>
      <w:r w:rsidRPr="000B2A94">
        <w:rPr>
          <w:color w:val="000000" w:themeColor="text1"/>
        </w:rPr>
        <w:lastRenderedPageBreak/>
        <w:t>提昇法醫師訓練計畫草案(包含解剖訓練計畫)，後經該所提報「法醫解剖專業訓練計畫(草案)」，希提昇公職法醫師協助解剖專業能力，以及建立醫師、牙醫師、中醫師在國內接受法醫專業訓練之機制，該計畫草案由法務部邀集醫師界與法醫師界等專家學者召開「法醫師法與刑事訴訟法相關問題研商會議」研議中。</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355" w:name="_Toc27399960"/>
      <w:r w:rsidRPr="000B2A94">
        <w:rPr>
          <w:rFonts w:ascii="Times New Roman" w:hAnsi="Times New Roman"/>
          <w:color w:val="000000" w:themeColor="text1"/>
        </w:rPr>
        <w:t>解剖鑑定的結果直接影響到司法的公信力，必須要有相當經驗的專業人力始能勝任，如果人力、經驗、專業能力與經費稍有不足，必將影響正確性，事關重大。法醫研究所表示，希望能將有限的解剖醫師資源用在最重要的案件上，近年來發現在鑑定的品質與效率上都有堪慮之處，為確保品質及提昇效率，不得已開始進行上述各種措施。至於困擾相驗屍體證明書製作完成的最主要原因是死因判斷，遺體無明顯外傷，生前又無病史，常讓公職法醫師難以判斷死因，此為雖明顯無他殺疑慮應不需解剖卻報解剖的主要因素，為解決此一困難，該所已另製作參考指引，並經法務部轉發各地檢署參考，希有助於解決問題；此外，該所也積極洽請各主管機關重視法醫人力之培養，目前亦獲得進展，希望養成足夠之法醫人力可以充實各教學醫院之法醫資源進而得以設置法醫部門，以支援各地檢署之解剖鑑定業務，而正在規劃建置之</w:t>
      </w:r>
      <w:r w:rsidRPr="000B2A94">
        <w:rPr>
          <w:rFonts w:ascii="Times New Roman" w:hAnsi="Times New Roman"/>
          <w:color w:val="000000" w:themeColor="text1"/>
        </w:rPr>
        <w:t>3D-CT</w:t>
      </w:r>
      <w:r w:rsidRPr="000B2A94">
        <w:rPr>
          <w:rFonts w:ascii="Times New Roman" w:hAnsi="Times New Roman"/>
          <w:color w:val="000000" w:themeColor="text1"/>
        </w:rPr>
        <w:t>儀器，希望透過影像協助相驗時對無外傷遺體之判讀，相信能使相驗工作的困難度降低，對有無必要進行解剖的判斷更為精準，在兼顧效率、品質與家屬情感上找到最理想的方法。</w:t>
      </w:r>
      <w:bookmarkEnd w:id="355"/>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356" w:name="_Toc27399961"/>
      <w:r w:rsidRPr="000B2A94">
        <w:rPr>
          <w:rFonts w:ascii="Times New Roman" w:hAnsi="Times New Roman" w:hint="eastAsia"/>
          <w:color w:val="000000" w:themeColor="text1"/>
        </w:rPr>
        <w:t>鑑定費用</w:t>
      </w:r>
      <w:bookmarkEnd w:id="356"/>
    </w:p>
    <w:p w:rsidR="00F956E8" w:rsidRPr="000B2A94" w:rsidRDefault="00F956E8" w:rsidP="00F956E8">
      <w:pPr>
        <w:rPr>
          <w:color w:val="000000" w:themeColor="text1"/>
        </w:rPr>
      </w:pPr>
    </w:p>
    <w:p w:rsidR="00F956E8" w:rsidRPr="000B2A94" w:rsidRDefault="00F956E8" w:rsidP="00CD3A1B">
      <w:pPr>
        <w:pStyle w:val="a4"/>
        <w:jc w:val="center"/>
        <w:rPr>
          <w:rFonts w:hAnsi="標楷體"/>
          <w:b/>
          <w:color w:val="000000" w:themeColor="text1"/>
          <w:lang w:bidi="th-TH"/>
        </w:rPr>
      </w:pPr>
      <w:bookmarkStart w:id="357" w:name="_Toc27412333"/>
      <w:r w:rsidRPr="000B2A94">
        <w:rPr>
          <w:rFonts w:eastAsia="新細明體"/>
          <w:b/>
          <w:color w:val="000000" w:themeColor="text1"/>
          <w:lang w:bidi="th-TH"/>
        </w:rPr>
        <w:lastRenderedPageBreak/>
        <w:t>105</w:t>
      </w:r>
      <w:r w:rsidRPr="000B2A94">
        <w:rPr>
          <w:rFonts w:hAnsi="標楷體" w:hint="eastAsia"/>
          <w:b/>
          <w:color w:val="000000" w:themeColor="text1"/>
          <w:lang w:bidi="th-TH"/>
        </w:rPr>
        <w:t>-</w:t>
      </w:r>
      <w:r w:rsidRPr="000B2A94">
        <w:rPr>
          <w:rFonts w:eastAsia="新細明體"/>
          <w:b/>
          <w:color w:val="000000" w:themeColor="text1"/>
          <w:lang w:bidi="th-TH"/>
        </w:rPr>
        <w:t>107</w:t>
      </w:r>
      <w:r w:rsidRPr="000B2A94">
        <w:rPr>
          <w:rFonts w:hAnsi="標楷體" w:hint="eastAsia"/>
          <w:b/>
          <w:color w:val="000000" w:themeColor="text1"/>
          <w:lang w:bidi="th-TH"/>
        </w:rPr>
        <w:t>年度法醫所編制內、外醫師支領解剖鑑定費總額</w:t>
      </w:r>
      <w:bookmarkEnd w:id="357"/>
    </w:p>
    <w:p w:rsidR="00F956E8" w:rsidRPr="000B2A94" w:rsidRDefault="00F956E8" w:rsidP="00CD3A1B">
      <w:pPr>
        <w:ind w:right="520"/>
        <w:jc w:val="right"/>
        <w:rPr>
          <w:color w:val="000000" w:themeColor="text1"/>
          <w:sz w:val="24"/>
          <w:szCs w:val="24"/>
          <w:lang w:bidi="th-TH"/>
        </w:rPr>
      </w:pPr>
      <w:r w:rsidRPr="000B2A94">
        <w:rPr>
          <w:rFonts w:hint="eastAsia"/>
          <w:color w:val="000000" w:themeColor="text1"/>
          <w:sz w:val="24"/>
          <w:szCs w:val="24"/>
          <w:lang w:bidi="th-TH"/>
        </w:rPr>
        <w:t>單位：新臺幣：元</w:t>
      </w:r>
    </w:p>
    <w:tbl>
      <w:tblPr>
        <w:tblStyle w:val="af9"/>
        <w:tblW w:w="8080" w:type="dxa"/>
        <w:jc w:val="center"/>
        <w:tblLook w:val="04A0" w:firstRow="1" w:lastRow="0" w:firstColumn="1" w:lastColumn="0" w:noHBand="0" w:noVBand="1"/>
      </w:tblPr>
      <w:tblGrid>
        <w:gridCol w:w="1134"/>
        <w:gridCol w:w="1985"/>
        <w:gridCol w:w="2409"/>
        <w:gridCol w:w="2552"/>
      </w:tblGrid>
      <w:tr w:rsidR="000B2A94" w:rsidRPr="000B2A94" w:rsidTr="00CD3A1B">
        <w:trPr>
          <w:trHeight w:val="850"/>
          <w:jc w:val="center"/>
        </w:trPr>
        <w:tc>
          <w:tcPr>
            <w:tcW w:w="1134" w:type="dxa"/>
            <w:noWrap/>
            <w:vAlign w:val="center"/>
            <w:hideMark/>
          </w:tcPr>
          <w:p w:rsidR="00F956E8" w:rsidRPr="000B2A94" w:rsidRDefault="00F956E8" w:rsidP="00CD3A1B">
            <w:pPr>
              <w:widowControl/>
              <w:jc w:val="center"/>
              <w:rPr>
                <w:rFonts w:hAnsi="標楷體" w:cs="新細明體"/>
                <w:b/>
                <w:color w:val="000000" w:themeColor="text1"/>
                <w:kern w:val="0"/>
                <w:sz w:val="28"/>
                <w:szCs w:val="28"/>
                <w:lang w:bidi="th-TH"/>
              </w:rPr>
            </w:pPr>
            <w:r w:rsidRPr="000B2A94">
              <w:rPr>
                <w:rFonts w:hAnsi="標楷體" w:cs="新細明體" w:hint="eastAsia"/>
                <w:b/>
                <w:color w:val="000000" w:themeColor="text1"/>
                <w:kern w:val="0"/>
                <w:sz w:val="28"/>
                <w:szCs w:val="28"/>
                <w:lang w:bidi="th-TH"/>
              </w:rPr>
              <w:t>年　度</w:t>
            </w:r>
          </w:p>
        </w:tc>
        <w:tc>
          <w:tcPr>
            <w:tcW w:w="1985" w:type="dxa"/>
            <w:noWrap/>
            <w:vAlign w:val="center"/>
            <w:hideMark/>
          </w:tcPr>
          <w:p w:rsidR="00F956E8" w:rsidRPr="000B2A94" w:rsidRDefault="00F956E8" w:rsidP="00CD3A1B">
            <w:pPr>
              <w:widowControl/>
              <w:jc w:val="center"/>
              <w:rPr>
                <w:rFonts w:eastAsia="新細明體"/>
                <w:b/>
                <w:color w:val="000000" w:themeColor="text1"/>
                <w:kern w:val="0"/>
                <w:sz w:val="28"/>
                <w:szCs w:val="28"/>
                <w:lang w:bidi="th-TH"/>
              </w:rPr>
            </w:pPr>
            <w:r w:rsidRPr="000B2A94">
              <w:rPr>
                <w:rFonts w:hAnsi="標楷體" w:hint="eastAsia"/>
                <w:b/>
                <w:color w:val="000000" w:themeColor="text1"/>
                <w:kern w:val="0"/>
                <w:sz w:val="28"/>
                <w:szCs w:val="28"/>
                <w:lang w:bidi="th-TH"/>
              </w:rPr>
              <w:t>兼任研究員</w:t>
            </w:r>
          </w:p>
        </w:tc>
        <w:tc>
          <w:tcPr>
            <w:tcW w:w="2409" w:type="dxa"/>
            <w:noWrap/>
            <w:vAlign w:val="center"/>
            <w:hideMark/>
          </w:tcPr>
          <w:p w:rsidR="00F956E8" w:rsidRPr="000B2A94" w:rsidRDefault="00F956E8" w:rsidP="00CD3A1B">
            <w:pPr>
              <w:widowControl/>
              <w:jc w:val="center"/>
              <w:rPr>
                <w:rFonts w:eastAsia="新細明體"/>
                <w:b/>
                <w:color w:val="000000" w:themeColor="text1"/>
                <w:kern w:val="0"/>
                <w:sz w:val="28"/>
                <w:szCs w:val="28"/>
                <w:lang w:bidi="th-TH"/>
              </w:rPr>
            </w:pPr>
            <w:r w:rsidRPr="000B2A94">
              <w:rPr>
                <w:rFonts w:hAnsi="標楷體" w:hint="eastAsia"/>
                <w:b/>
                <w:color w:val="000000" w:themeColor="text1"/>
                <w:kern w:val="0"/>
                <w:sz w:val="28"/>
                <w:szCs w:val="28"/>
                <w:lang w:bidi="th-TH"/>
              </w:rPr>
              <w:t>編制內醫師</w:t>
            </w:r>
          </w:p>
        </w:tc>
        <w:tc>
          <w:tcPr>
            <w:tcW w:w="2552" w:type="dxa"/>
            <w:noWrap/>
            <w:vAlign w:val="center"/>
            <w:hideMark/>
          </w:tcPr>
          <w:p w:rsidR="00F956E8" w:rsidRPr="000B2A94" w:rsidRDefault="00F956E8" w:rsidP="00CD3A1B">
            <w:pPr>
              <w:widowControl/>
              <w:jc w:val="center"/>
              <w:rPr>
                <w:rFonts w:eastAsia="新細明體"/>
                <w:b/>
                <w:color w:val="000000" w:themeColor="text1"/>
                <w:kern w:val="0"/>
                <w:sz w:val="28"/>
                <w:szCs w:val="28"/>
                <w:lang w:bidi="th-TH"/>
              </w:rPr>
            </w:pPr>
            <w:r w:rsidRPr="000B2A94">
              <w:rPr>
                <w:rFonts w:hAnsi="標楷體" w:hint="eastAsia"/>
                <w:b/>
                <w:color w:val="000000" w:themeColor="text1"/>
                <w:kern w:val="0"/>
                <w:sz w:val="28"/>
                <w:szCs w:val="28"/>
                <w:lang w:bidi="th-TH"/>
              </w:rPr>
              <w:t>總</w:t>
            </w:r>
            <w:r w:rsidRPr="000B2A94">
              <w:rPr>
                <w:rFonts w:eastAsia="新細明體"/>
                <w:b/>
                <w:color w:val="000000" w:themeColor="text1"/>
                <w:kern w:val="0"/>
                <w:sz w:val="28"/>
                <w:szCs w:val="28"/>
                <w:lang w:bidi="th-TH"/>
              </w:rPr>
              <w:t xml:space="preserve">      </w:t>
            </w:r>
            <w:r w:rsidRPr="000B2A94">
              <w:rPr>
                <w:rFonts w:hAnsi="標楷體" w:hint="eastAsia"/>
                <w:b/>
                <w:color w:val="000000" w:themeColor="text1"/>
                <w:kern w:val="0"/>
                <w:sz w:val="28"/>
                <w:szCs w:val="28"/>
                <w:lang w:bidi="th-TH"/>
              </w:rPr>
              <w:t>計</w:t>
            </w:r>
          </w:p>
        </w:tc>
      </w:tr>
      <w:tr w:rsidR="000B2A94" w:rsidRPr="000B2A94" w:rsidTr="00CD3A1B">
        <w:trPr>
          <w:trHeight w:val="850"/>
          <w:jc w:val="center"/>
        </w:trPr>
        <w:tc>
          <w:tcPr>
            <w:tcW w:w="1134" w:type="dxa"/>
            <w:noWrap/>
            <w:vAlign w:val="center"/>
            <w:hideMark/>
          </w:tcPr>
          <w:p w:rsidR="00F956E8" w:rsidRPr="000B2A94" w:rsidRDefault="00F956E8" w:rsidP="00CD3A1B">
            <w:pPr>
              <w:widowControl/>
              <w:jc w:val="center"/>
              <w:rPr>
                <w:rFonts w:eastAsia="新細明體"/>
                <w:color w:val="000000" w:themeColor="text1"/>
                <w:kern w:val="0"/>
                <w:sz w:val="28"/>
                <w:szCs w:val="28"/>
                <w:lang w:bidi="th-TH"/>
              </w:rPr>
            </w:pPr>
            <w:r w:rsidRPr="000B2A94">
              <w:rPr>
                <w:rFonts w:eastAsia="新細明體"/>
                <w:color w:val="000000" w:themeColor="text1"/>
                <w:kern w:val="0"/>
                <w:sz w:val="28"/>
                <w:szCs w:val="28"/>
                <w:lang w:bidi="th-TH"/>
              </w:rPr>
              <w:t>105</w:t>
            </w:r>
          </w:p>
        </w:tc>
        <w:tc>
          <w:tcPr>
            <w:tcW w:w="1985" w:type="dxa"/>
            <w:noWrap/>
            <w:vAlign w:val="center"/>
            <w:hideMark/>
          </w:tcPr>
          <w:p w:rsidR="00F956E8" w:rsidRPr="000B2A94" w:rsidRDefault="00F956E8" w:rsidP="00CD3A1B">
            <w:pPr>
              <w:widowControl/>
              <w:jc w:val="center"/>
              <w:rPr>
                <w:rFonts w:eastAsia="新細明體"/>
                <w:color w:val="000000" w:themeColor="text1"/>
                <w:kern w:val="0"/>
                <w:sz w:val="28"/>
                <w:szCs w:val="28"/>
                <w:lang w:bidi="th-TH"/>
              </w:rPr>
            </w:pPr>
            <w:r w:rsidRPr="000B2A94">
              <w:rPr>
                <w:rFonts w:eastAsia="新細明體"/>
                <w:color w:val="000000" w:themeColor="text1"/>
                <w:kern w:val="0"/>
                <w:sz w:val="28"/>
                <w:szCs w:val="28"/>
                <w:lang w:bidi="th-TH"/>
              </w:rPr>
              <w:t>13,816,700</w:t>
            </w:r>
          </w:p>
        </w:tc>
        <w:tc>
          <w:tcPr>
            <w:tcW w:w="2409" w:type="dxa"/>
            <w:noWrap/>
            <w:vAlign w:val="center"/>
            <w:hideMark/>
          </w:tcPr>
          <w:p w:rsidR="00F956E8" w:rsidRPr="000B2A94" w:rsidRDefault="00F956E8" w:rsidP="00CD3A1B">
            <w:pPr>
              <w:widowControl/>
              <w:jc w:val="center"/>
              <w:rPr>
                <w:rFonts w:eastAsia="新細明體"/>
                <w:color w:val="000000" w:themeColor="text1"/>
                <w:kern w:val="0"/>
                <w:sz w:val="28"/>
                <w:szCs w:val="28"/>
                <w:lang w:bidi="th-TH"/>
              </w:rPr>
            </w:pPr>
            <w:r w:rsidRPr="000B2A94">
              <w:rPr>
                <w:rFonts w:eastAsia="新細明體"/>
                <w:color w:val="000000" w:themeColor="text1"/>
                <w:kern w:val="0"/>
                <w:sz w:val="28"/>
                <w:szCs w:val="28"/>
                <w:lang w:bidi="th-TH"/>
              </w:rPr>
              <w:t>7,292,000</w:t>
            </w:r>
          </w:p>
        </w:tc>
        <w:tc>
          <w:tcPr>
            <w:tcW w:w="2552" w:type="dxa"/>
            <w:noWrap/>
            <w:vAlign w:val="center"/>
            <w:hideMark/>
          </w:tcPr>
          <w:p w:rsidR="00F956E8" w:rsidRPr="000B2A94" w:rsidRDefault="00F956E8" w:rsidP="00CD3A1B">
            <w:pPr>
              <w:widowControl/>
              <w:jc w:val="center"/>
              <w:rPr>
                <w:rFonts w:eastAsia="新細明體"/>
                <w:color w:val="000000" w:themeColor="text1"/>
                <w:kern w:val="0"/>
                <w:sz w:val="28"/>
                <w:szCs w:val="28"/>
                <w:lang w:bidi="th-TH"/>
              </w:rPr>
            </w:pPr>
            <w:r w:rsidRPr="000B2A94">
              <w:rPr>
                <w:rFonts w:eastAsia="新細明體"/>
                <w:color w:val="000000" w:themeColor="text1"/>
                <w:kern w:val="0"/>
                <w:sz w:val="28"/>
                <w:szCs w:val="28"/>
                <w:lang w:bidi="th-TH"/>
              </w:rPr>
              <w:t>21,108,700</w:t>
            </w:r>
          </w:p>
        </w:tc>
      </w:tr>
      <w:tr w:rsidR="000B2A94" w:rsidRPr="000B2A94" w:rsidTr="00CD3A1B">
        <w:trPr>
          <w:trHeight w:val="850"/>
          <w:jc w:val="center"/>
        </w:trPr>
        <w:tc>
          <w:tcPr>
            <w:tcW w:w="1134" w:type="dxa"/>
            <w:noWrap/>
            <w:vAlign w:val="center"/>
            <w:hideMark/>
          </w:tcPr>
          <w:p w:rsidR="00F956E8" w:rsidRPr="000B2A94" w:rsidRDefault="00F956E8" w:rsidP="00CD3A1B">
            <w:pPr>
              <w:widowControl/>
              <w:jc w:val="center"/>
              <w:rPr>
                <w:rFonts w:eastAsia="新細明體"/>
                <w:color w:val="000000" w:themeColor="text1"/>
                <w:kern w:val="0"/>
                <w:sz w:val="28"/>
                <w:szCs w:val="28"/>
                <w:lang w:bidi="th-TH"/>
              </w:rPr>
            </w:pPr>
            <w:r w:rsidRPr="000B2A94">
              <w:rPr>
                <w:rFonts w:eastAsia="新細明體"/>
                <w:color w:val="000000" w:themeColor="text1"/>
                <w:kern w:val="0"/>
                <w:sz w:val="28"/>
                <w:szCs w:val="28"/>
                <w:lang w:bidi="th-TH"/>
              </w:rPr>
              <w:t>106</w:t>
            </w:r>
          </w:p>
        </w:tc>
        <w:tc>
          <w:tcPr>
            <w:tcW w:w="1985" w:type="dxa"/>
            <w:noWrap/>
            <w:vAlign w:val="center"/>
            <w:hideMark/>
          </w:tcPr>
          <w:p w:rsidR="00F956E8" w:rsidRPr="000B2A94" w:rsidRDefault="00F956E8" w:rsidP="00CD3A1B">
            <w:pPr>
              <w:widowControl/>
              <w:jc w:val="center"/>
              <w:rPr>
                <w:rFonts w:eastAsia="新細明體"/>
                <w:color w:val="000000" w:themeColor="text1"/>
                <w:kern w:val="0"/>
                <w:sz w:val="28"/>
                <w:szCs w:val="28"/>
                <w:lang w:bidi="th-TH"/>
              </w:rPr>
            </w:pPr>
            <w:r w:rsidRPr="000B2A94">
              <w:rPr>
                <w:rFonts w:eastAsia="新細明體"/>
                <w:color w:val="000000" w:themeColor="text1"/>
                <w:kern w:val="0"/>
                <w:sz w:val="28"/>
                <w:szCs w:val="28"/>
                <w:lang w:bidi="th-TH"/>
              </w:rPr>
              <w:t>15,037,300</w:t>
            </w:r>
          </w:p>
        </w:tc>
        <w:tc>
          <w:tcPr>
            <w:tcW w:w="2409" w:type="dxa"/>
            <w:noWrap/>
            <w:vAlign w:val="center"/>
            <w:hideMark/>
          </w:tcPr>
          <w:p w:rsidR="00F956E8" w:rsidRPr="000B2A94" w:rsidRDefault="00F956E8" w:rsidP="00CD3A1B">
            <w:pPr>
              <w:widowControl/>
              <w:jc w:val="center"/>
              <w:rPr>
                <w:rFonts w:eastAsia="新細明體"/>
                <w:color w:val="000000" w:themeColor="text1"/>
                <w:kern w:val="0"/>
                <w:sz w:val="28"/>
                <w:szCs w:val="28"/>
                <w:lang w:bidi="th-TH"/>
              </w:rPr>
            </w:pPr>
            <w:r w:rsidRPr="000B2A94">
              <w:rPr>
                <w:rFonts w:eastAsia="新細明體"/>
                <w:color w:val="000000" w:themeColor="text1"/>
                <w:kern w:val="0"/>
                <w:sz w:val="28"/>
                <w:szCs w:val="28"/>
                <w:lang w:bidi="th-TH"/>
              </w:rPr>
              <w:t>5,185,800</w:t>
            </w:r>
          </w:p>
        </w:tc>
        <w:tc>
          <w:tcPr>
            <w:tcW w:w="2552" w:type="dxa"/>
            <w:noWrap/>
            <w:vAlign w:val="center"/>
            <w:hideMark/>
          </w:tcPr>
          <w:p w:rsidR="00F956E8" w:rsidRPr="000B2A94" w:rsidRDefault="00F956E8" w:rsidP="00CD3A1B">
            <w:pPr>
              <w:widowControl/>
              <w:jc w:val="center"/>
              <w:rPr>
                <w:rFonts w:eastAsia="新細明體"/>
                <w:color w:val="000000" w:themeColor="text1"/>
                <w:kern w:val="0"/>
                <w:sz w:val="28"/>
                <w:szCs w:val="28"/>
                <w:lang w:bidi="th-TH"/>
              </w:rPr>
            </w:pPr>
            <w:r w:rsidRPr="000B2A94">
              <w:rPr>
                <w:rFonts w:eastAsia="新細明體"/>
                <w:color w:val="000000" w:themeColor="text1"/>
                <w:kern w:val="0"/>
                <w:sz w:val="28"/>
                <w:szCs w:val="28"/>
                <w:lang w:bidi="th-TH"/>
              </w:rPr>
              <w:t>20,223,100</w:t>
            </w:r>
          </w:p>
        </w:tc>
      </w:tr>
      <w:tr w:rsidR="000B2A94" w:rsidRPr="000B2A94" w:rsidTr="00CD3A1B">
        <w:trPr>
          <w:trHeight w:val="850"/>
          <w:jc w:val="center"/>
        </w:trPr>
        <w:tc>
          <w:tcPr>
            <w:tcW w:w="1134" w:type="dxa"/>
            <w:noWrap/>
            <w:vAlign w:val="center"/>
            <w:hideMark/>
          </w:tcPr>
          <w:p w:rsidR="00F956E8" w:rsidRPr="000B2A94" w:rsidRDefault="00F956E8" w:rsidP="00CD3A1B">
            <w:pPr>
              <w:widowControl/>
              <w:jc w:val="center"/>
              <w:rPr>
                <w:rFonts w:eastAsia="新細明體"/>
                <w:color w:val="000000" w:themeColor="text1"/>
                <w:kern w:val="0"/>
                <w:sz w:val="28"/>
                <w:szCs w:val="28"/>
                <w:lang w:bidi="th-TH"/>
              </w:rPr>
            </w:pPr>
            <w:r w:rsidRPr="000B2A94">
              <w:rPr>
                <w:rFonts w:eastAsia="新細明體"/>
                <w:color w:val="000000" w:themeColor="text1"/>
                <w:kern w:val="0"/>
                <w:sz w:val="28"/>
                <w:szCs w:val="28"/>
                <w:lang w:bidi="th-TH"/>
              </w:rPr>
              <w:t>107</w:t>
            </w:r>
          </w:p>
        </w:tc>
        <w:tc>
          <w:tcPr>
            <w:tcW w:w="1985" w:type="dxa"/>
            <w:noWrap/>
            <w:vAlign w:val="center"/>
            <w:hideMark/>
          </w:tcPr>
          <w:p w:rsidR="00F956E8" w:rsidRPr="000B2A94" w:rsidRDefault="00F956E8" w:rsidP="00CD3A1B">
            <w:pPr>
              <w:widowControl/>
              <w:jc w:val="center"/>
              <w:rPr>
                <w:rFonts w:eastAsia="新細明體"/>
                <w:color w:val="000000" w:themeColor="text1"/>
                <w:kern w:val="0"/>
                <w:sz w:val="28"/>
                <w:szCs w:val="28"/>
                <w:lang w:bidi="th-TH"/>
              </w:rPr>
            </w:pPr>
            <w:r w:rsidRPr="000B2A94">
              <w:rPr>
                <w:rFonts w:eastAsia="新細明體"/>
                <w:color w:val="000000" w:themeColor="text1"/>
                <w:kern w:val="0"/>
                <w:sz w:val="28"/>
                <w:szCs w:val="28"/>
                <w:lang w:bidi="th-TH"/>
              </w:rPr>
              <w:t>13,035,900</w:t>
            </w:r>
          </w:p>
        </w:tc>
        <w:tc>
          <w:tcPr>
            <w:tcW w:w="2409" w:type="dxa"/>
            <w:noWrap/>
            <w:vAlign w:val="center"/>
            <w:hideMark/>
          </w:tcPr>
          <w:p w:rsidR="00F956E8" w:rsidRPr="000B2A94" w:rsidRDefault="00F956E8" w:rsidP="00CD3A1B">
            <w:pPr>
              <w:widowControl/>
              <w:jc w:val="center"/>
              <w:rPr>
                <w:rFonts w:eastAsia="新細明體"/>
                <w:color w:val="000000" w:themeColor="text1"/>
                <w:kern w:val="0"/>
                <w:sz w:val="28"/>
                <w:szCs w:val="28"/>
                <w:lang w:bidi="th-TH"/>
              </w:rPr>
            </w:pPr>
            <w:r w:rsidRPr="000B2A94">
              <w:rPr>
                <w:rFonts w:eastAsia="新細明體"/>
                <w:color w:val="000000" w:themeColor="text1"/>
                <w:kern w:val="0"/>
                <w:sz w:val="28"/>
                <w:szCs w:val="28"/>
                <w:lang w:bidi="th-TH"/>
              </w:rPr>
              <w:t>3,379,700</w:t>
            </w:r>
          </w:p>
        </w:tc>
        <w:tc>
          <w:tcPr>
            <w:tcW w:w="2552" w:type="dxa"/>
            <w:noWrap/>
            <w:vAlign w:val="center"/>
            <w:hideMark/>
          </w:tcPr>
          <w:p w:rsidR="00F956E8" w:rsidRPr="000B2A94" w:rsidRDefault="00F956E8" w:rsidP="00CD3A1B">
            <w:pPr>
              <w:widowControl/>
              <w:jc w:val="center"/>
              <w:rPr>
                <w:rFonts w:eastAsia="新細明體"/>
                <w:color w:val="000000" w:themeColor="text1"/>
                <w:kern w:val="0"/>
                <w:sz w:val="28"/>
                <w:szCs w:val="28"/>
                <w:lang w:bidi="th-TH"/>
              </w:rPr>
            </w:pPr>
            <w:r w:rsidRPr="000B2A94">
              <w:rPr>
                <w:rFonts w:eastAsia="新細明體"/>
                <w:color w:val="000000" w:themeColor="text1"/>
                <w:kern w:val="0"/>
                <w:sz w:val="28"/>
                <w:szCs w:val="28"/>
                <w:lang w:bidi="th-TH"/>
              </w:rPr>
              <w:t>16,415,600</w:t>
            </w:r>
          </w:p>
        </w:tc>
      </w:tr>
    </w:tbl>
    <w:p w:rsidR="00F956E8" w:rsidRPr="000B2A94" w:rsidRDefault="00F956E8" w:rsidP="00F956E8">
      <w:pPr>
        <w:spacing w:line="240" w:lineRule="exact"/>
        <w:rPr>
          <w:bCs/>
          <w:color w:val="000000" w:themeColor="text1"/>
          <w:sz w:val="24"/>
          <w:szCs w:val="24"/>
        </w:rPr>
      </w:pPr>
      <w:r w:rsidRPr="000B2A94">
        <w:rPr>
          <w:rFonts w:hint="eastAsia"/>
          <w:color w:val="000000" w:themeColor="text1"/>
          <w:sz w:val="24"/>
          <w:szCs w:val="24"/>
        </w:rPr>
        <w:t>註：解剖鑑定費係按件計酬，各類法醫支給依據及標準分別為：</w:t>
      </w:r>
    </w:p>
    <w:p w:rsidR="00F956E8" w:rsidRPr="000B2A94" w:rsidRDefault="00F956E8" w:rsidP="00F956E8">
      <w:pPr>
        <w:spacing w:line="240" w:lineRule="exact"/>
        <w:rPr>
          <w:bCs/>
          <w:color w:val="000000" w:themeColor="text1"/>
          <w:sz w:val="24"/>
          <w:szCs w:val="24"/>
        </w:rPr>
      </w:pPr>
      <w:r w:rsidRPr="000B2A94">
        <w:rPr>
          <w:color w:val="000000" w:themeColor="text1"/>
          <w:sz w:val="24"/>
          <w:szCs w:val="24"/>
        </w:rPr>
        <w:t>1.</w:t>
      </w:r>
      <w:r w:rsidRPr="000B2A94">
        <w:rPr>
          <w:rFonts w:hint="eastAsia"/>
          <w:color w:val="000000" w:themeColor="text1"/>
          <w:sz w:val="24"/>
          <w:szCs w:val="24"/>
        </w:rPr>
        <w:t>法醫研究所兼任研究員，依據行政院80.12.4台八十法字第38609號函修正核定「臺灣高等法院檢察署法醫中心計畫」，支給每件解剖費新台幣4,000元，整體臟器處理費15,000元。</w:t>
      </w:r>
    </w:p>
    <w:p w:rsidR="00F956E8" w:rsidRPr="000B2A94" w:rsidRDefault="00F956E8" w:rsidP="00F956E8">
      <w:pPr>
        <w:spacing w:line="240" w:lineRule="exact"/>
        <w:rPr>
          <w:bCs/>
          <w:color w:val="000000" w:themeColor="text1"/>
          <w:sz w:val="24"/>
          <w:szCs w:val="24"/>
        </w:rPr>
      </w:pPr>
      <w:r w:rsidRPr="000B2A94">
        <w:rPr>
          <w:color w:val="000000" w:themeColor="text1"/>
          <w:sz w:val="24"/>
          <w:szCs w:val="24"/>
        </w:rPr>
        <w:t>2.</w:t>
      </w:r>
      <w:r w:rsidRPr="000B2A94">
        <w:rPr>
          <w:rFonts w:hint="eastAsia"/>
          <w:color w:val="000000" w:themeColor="text1"/>
          <w:sz w:val="24"/>
          <w:szCs w:val="24"/>
        </w:rPr>
        <w:t>法醫研究所編制內醫師，依據行政院90.6.8台九十人政給字第007412號函、94.8.9院授人給字第0940022321號函，每件支給解剖費900元，鑑定費3400元。</w:t>
      </w:r>
    </w:p>
    <w:p w:rsidR="00F956E8" w:rsidRPr="000B2A94" w:rsidRDefault="00F956E8" w:rsidP="00F956E8">
      <w:pPr>
        <w:spacing w:line="240" w:lineRule="exact"/>
        <w:rPr>
          <w:bCs/>
          <w:color w:val="000000" w:themeColor="text1"/>
          <w:sz w:val="24"/>
          <w:szCs w:val="24"/>
        </w:rPr>
      </w:pPr>
      <w:r w:rsidRPr="000B2A94">
        <w:rPr>
          <w:color w:val="000000" w:themeColor="text1"/>
          <w:sz w:val="24"/>
          <w:szCs w:val="24"/>
        </w:rPr>
        <w:t>3.</w:t>
      </w:r>
      <w:r w:rsidRPr="000B2A94">
        <w:rPr>
          <w:rFonts w:hint="eastAsia"/>
          <w:color w:val="000000" w:themeColor="text1"/>
          <w:sz w:val="24"/>
          <w:szCs w:val="24"/>
        </w:rPr>
        <w:t>地檢署委託解剖案件，依據法務部所屬檢察機關相驗解剖費用支領標準，支給每件解剖費3,000元。</w:t>
      </w:r>
    </w:p>
    <w:p w:rsidR="00F956E8" w:rsidRPr="000B2A94" w:rsidRDefault="00F956E8" w:rsidP="00F956E8">
      <w:pPr>
        <w:spacing w:line="240" w:lineRule="exact"/>
        <w:rPr>
          <w:color w:val="000000" w:themeColor="text1"/>
          <w:sz w:val="24"/>
          <w:szCs w:val="24"/>
        </w:rPr>
      </w:pPr>
    </w:p>
    <w:p w:rsidR="00F956E8" w:rsidRPr="000B2A94" w:rsidRDefault="00F956E8" w:rsidP="00F956E8">
      <w:pPr>
        <w:spacing w:line="240" w:lineRule="exact"/>
        <w:rPr>
          <w:color w:val="000000" w:themeColor="text1"/>
          <w:sz w:val="24"/>
          <w:szCs w:val="24"/>
        </w:rPr>
      </w:pPr>
    </w:p>
    <w:p w:rsidR="00F956E8" w:rsidRPr="000B2A94" w:rsidRDefault="00F956E8" w:rsidP="00F956E8">
      <w:pPr>
        <w:pStyle w:val="2"/>
        <w:numPr>
          <w:ilvl w:val="1"/>
          <w:numId w:val="1"/>
        </w:numPr>
        <w:overflowPunct/>
        <w:autoSpaceDE/>
        <w:autoSpaceDN/>
        <w:ind w:left="1123" w:hanging="697"/>
        <w:rPr>
          <w:rFonts w:ascii="Times New Roman" w:hAnsi="Times New Roman"/>
          <w:b/>
          <w:color w:val="000000" w:themeColor="text1"/>
        </w:rPr>
      </w:pPr>
      <w:bookmarkStart w:id="358" w:name="_Toc28606826"/>
      <w:r w:rsidRPr="000B2A94">
        <w:rPr>
          <w:rFonts w:ascii="Times New Roman" w:hAnsi="Times New Roman"/>
          <w:b/>
          <w:color w:val="000000" w:themeColor="text1"/>
        </w:rPr>
        <w:t>提升司法科學鑑定品質、減少瑕疵鑑定及解決鑑定爭議</w:t>
      </w:r>
      <w:bookmarkEnd w:id="358"/>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359" w:name="_Toc27399963"/>
      <w:r w:rsidRPr="000B2A94">
        <w:rPr>
          <w:rFonts w:hAnsi="標楷體" w:hint="eastAsia"/>
          <w:color w:val="000000" w:themeColor="text1"/>
          <w:szCs w:val="32"/>
        </w:rPr>
        <w:t>行政院對於設立覆鑑機制之具體意見</w:t>
      </w:r>
      <w:bookmarkEnd w:id="359"/>
    </w:p>
    <w:p w:rsidR="00F956E8" w:rsidRPr="000B2A94" w:rsidRDefault="00F956E8" w:rsidP="00CD3A1B">
      <w:pPr>
        <w:pStyle w:val="4"/>
        <w:rPr>
          <w:color w:val="000000" w:themeColor="text1"/>
        </w:rPr>
      </w:pPr>
      <w:r w:rsidRPr="000B2A94">
        <w:rPr>
          <w:rFonts w:hint="eastAsia"/>
          <w:color w:val="000000" w:themeColor="text1"/>
        </w:rPr>
        <w:t>有關法醫解剖，參考世界各國法醫學為純醫學，法醫與刑事鑑識，依民主國家理念，與司法權應各自獨立互不隸屬，以確保法醫死因調查體系不受刑事偵查體系影響，法醫研究所職司死因鑑定，與國內其他鑑識機關本於專業各司其職，建議維持現狀。另法醫研究所死因鑑定已經有覆議（複核）機制，檢察官或司法審判機關如有疑義亦會函詢鑑定人或請鑑定人出庭交互詰問，或依當事人請求，指派案外鑑定人進行鑑定，或者組成專案鑑定小組進行審查與鑑定，均受司法之嚴格檢驗。</w:t>
      </w:r>
    </w:p>
    <w:p w:rsidR="00F956E8" w:rsidRPr="000B2A94" w:rsidRDefault="00F956E8" w:rsidP="00CD3A1B">
      <w:pPr>
        <w:pStyle w:val="4"/>
        <w:rPr>
          <w:color w:val="000000" w:themeColor="text1"/>
        </w:rPr>
      </w:pPr>
      <w:r w:rsidRPr="000B2A94">
        <w:rPr>
          <w:rFonts w:hint="eastAsia"/>
          <w:color w:val="000000" w:themeColor="text1"/>
        </w:rPr>
        <w:t>在法醫毒物方面，刑事鑑識科學與法醫毒物鑑識</w:t>
      </w:r>
      <w:r w:rsidRPr="000B2A94">
        <w:rPr>
          <w:rFonts w:hint="eastAsia"/>
          <w:color w:val="000000" w:themeColor="text1"/>
        </w:rPr>
        <w:lastRenderedPageBreak/>
        <w:t>科學係極為專業之應用科學，該領域之專家或學者均須於實務鑑識單位經多年之歷練及經驗之累積，始可成為該刑事鑑識科學與法醫鑑識科學之專家或學者，如旅美之國際刑事科學鑑識專家李昌鈺博士。國內該領域之專家或學者均服務於各實務鑑識單位內，如何延聘公正、客觀之專家學者進行規劃建置，恐為規劃建置「國家級司法科學委員會」面臨之首要難題。若延聘非實務鑑識單位之學者成立專案小組進行規劃建置「國家級司法科學委員會」，因學者缺乏實務鑑識經驗及實務鑑識行政運作經驗，恐淪為理論學理之紙上談兵，對提昇國內刑事鑑識及法醫鑑識品質及水準並無助益。若延聘實務鑑識單位之專家成立專案小組進行規劃建置「國家級司法科學委員會」，恐淪為球員兼裁判，且彼此官官相護，亦無法確保裁判之公正及避免冤錯案之發生。</w:t>
      </w:r>
    </w:p>
    <w:p w:rsidR="00F956E8" w:rsidRPr="000B2A94" w:rsidRDefault="00F956E8" w:rsidP="00CD3A1B">
      <w:pPr>
        <w:pStyle w:val="4"/>
        <w:rPr>
          <w:color w:val="000000" w:themeColor="text1"/>
        </w:rPr>
      </w:pPr>
      <w:r w:rsidRPr="000B2A94">
        <w:rPr>
          <w:rFonts w:hint="eastAsia"/>
          <w:color w:val="000000" w:themeColor="text1"/>
        </w:rPr>
        <w:t>有關DNA鑑定部分，法醫研究所原則上同意設置超然獨立之司法科學鑑定中心、公辦民營之學術單位、大學或學會團體辦理覆鑑。目前許多法醫或刑事實驗室均已通過實驗室認證，因此，法醫研究所建議有關DNA覆鑑機構亦應通過相關實驗認證，較具公信力。</w:t>
      </w:r>
    </w:p>
    <w:p w:rsidR="00F956E8" w:rsidRPr="000B2A94" w:rsidRDefault="00F956E8" w:rsidP="00CD3A1B">
      <w:pPr>
        <w:pStyle w:val="4"/>
        <w:rPr>
          <w:color w:val="000000" w:themeColor="text1"/>
        </w:rPr>
      </w:pPr>
      <w:r w:rsidRPr="000B2A94">
        <w:rPr>
          <w:rFonts w:hint="eastAsia"/>
          <w:color w:val="000000" w:themeColor="text1"/>
        </w:rPr>
        <w:t>另有關各地方檢察署之公職法醫師、特約法醫師之鑑定結果，是否亦有鑑定覆核機制，以減少瑕疵鑑定及解決鑑定爭議，確保鑑定結果之正確性，依「檢察機關與司法警察機關勘驗屍傷應行注意事項」第7點、第11點及第15點等規定，檢察事務官或司法警察官執行相驗、認宜複驗、解剖時，應當場以電話報告檢察官，以利迅速發動必要之偵查作為(如定期複驗或解剖屍體)。檢察</w:t>
      </w:r>
      <w:r w:rsidRPr="000B2A94">
        <w:rPr>
          <w:rFonts w:hint="eastAsia"/>
          <w:color w:val="000000" w:themeColor="text1"/>
        </w:rPr>
        <w:lastRenderedPageBreak/>
        <w:t>官對於屍體剖驗結果，認有複驗之必要者，應即另行指定法醫師或醫學專門人員複驗。遇有案情複雜，亦得指定醫學專業人員會同檢驗或解剖，命各別或共同提出鑑定報告。準此，因地檢署公職法醫師、榮譽或特約法醫師辦理之鑑定案件，均須依承辦檢察官之命令始得為之，故如承辦檢察官認為所提出之鑑定結果有複驗之必要者，亦可指定其他醫學專門人員複驗或會同解剖。</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360" w:name="_Toc27399964"/>
      <w:r w:rsidRPr="000B2A94">
        <w:rPr>
          <w:rFonts w:ascii="Times New Roman" w:hAnsi="Times New Roman"/>
          <w:color w:val="000000" w:themeColor="text1"/>
        </w:rPr>
        <w:t>法醫研究所</w:t>
      </w:r>
      <w:bookmarkEnd w:id="360"/>
    </w:p>
    <w:p w:rsidR="00F956E8" w:rsidRPr="000B2A94" w:rsidRDefault="00F956E8" w:rsidP="00CD3A1B">
      <w:pPr>
        <w:pStyle w:val="4"/>
        <w:rPr>
          <w:color w:val="000000" w:themeColor="text1"/>
        </w:rPr>
      </w:pPr>
      <w:r w:rsidRPr="000B2A94">
        <w:rPr>
          <w:color w:val="000000" w:themeColor="text1"/>
        </w:rPr>
        <w:t>提昇司法科學鑑定品質</w:t>
      </w:r>
    </w:p>
    <w:p w:rsidR="00F956E8" w:rsidRPr="000B2A94" w:rsidRDefault="00F956E8" w:rsidP="00CD3A1B">
      <w:pPr>
        <w:pStyle w:val="42"/>
        <w:ind w:left="1701" w:firstLine="680"/>
        <w:rPr>
          <w:color w:val="000000" w:themeColor="text1"/>
        </w:rPr>
      </w:pPr>
      <w:r w:rsidRPr="000B2A94">
        <w:rPr>
          <w:color w:val="000000" w:themeColor="text1"/>
        </w:rPr>
        <w:t>法醫研究所之「法醫病理實驗室」、「法醫毒物實驗室」及「DNA實驗室」3個實驗室於100年通過</w:t>
      </w:r>
      <w:r w:rsidR="0083635A" w:rsidRPr="000B2A94">
        <w:rPr>
          <w:color w:val="000000" w:themeColor="text1"/>
        </w:rPr>
        <w:t>TAF</w:t>
      </w:r>
      <w:r w:rsidRPr="000B2A94">
        <w:rPr>
          <w:color w:val="000000" w:themeColor="text1"/>
        </w:rPr>
        <w:t>認證，實驗室各項活動均依標準作業程序進行，顯示該所之鑑定品質與技術符合國際水準。該所各專業組依業務需要及自我要求品質提昇，逐年向TAF申請增項認證，以因應實務案件需求。目前，血清證物組之「DNA實驗室」通過認證項目計6項，為國內法醫DNA認證項目最多單位之一。毒物化學組之「法醫毒物實驗室」通過認證項目計33項，為全國毒物認證項目最多之鑑識單位。此外，法醫病理組為提昇我國法醫解剖鑑定品質，於107年8月9日以法醫理字第10740000630號函檢附「法務部法醫研究所法醫解剖遺體作業流程」予各解剖法醫師參考。</w:t>
      </w:r>
    </w:p>
    <w:p w:rsidR="00F956E8" w:rsidRPr="000B2A94" w:rsidRDefault="00CD3A1B" w:rsidP="00CD3A1B">
      <w:pPr>
        <w:pStyle w:val="4"/>
        <w:rPr>
          <w:color w:val="000000" w:themeColor="text1"/>
        </w:rPr>
      </w:pPr>
      <w:r w:rsidRPr="000B2A94">
        <w:rPr>
          <w:color w:val="000000" w:themeColor="text1"/>
        </w:rPr>
        <w:t>減少瑕疵鑑定及解決鑑定爭議</w:t>
      </w:r>
    </w:p>
    <w:p w:rsidR="00F956E8" w:rsidRPr="000B2A94" w:rsidRDefault="00F956E8" w:rsidP="00CD3A1B">
      <w:pPr>
        <w:pStyle w:val="42"/>
        <w:ind w:left="1701" w:firstLine="680"/>
        <w:rPr>
          <w:color w:val="000000" w:themeColor="text1"/>
        </w:rPr>
      </w:pPr>
      <w:r w:rsidRPr="000B2A94">
        <w:rPr>
          <w:color w:val="000000" w:themeColor="text1"/>
        </w:rPr>
        <w:t>該所各實驗室鑑定流程及鑑定結果均遵循實驗室認證之操作標準書</w:t>
      </w:r>
      <w:r w:rsidR="00CD3A1B" w:rsidRPr="000B2A94">
        <w:rPr>
          <w:rFonts w:hint="eastAsia"/>
          <w:color w:val="000000" w:themeColor="text1"/>
        </w:rPr>
        <w:t>（</w:t>
      </w:r>
      <w:r w:rsidR="00CD3A1B" w:rsidRPr="000B2A94">
        <w:rPr>
          <w:color w:val="000000" w:themeColor="text1"/>
        </w:rPr>
        <w:t>SOP</w:t>
      </w:r>
      <w:r w:rsidR="00CD3A1B" w:rsidRPr="000B2A94">
        <w:rPr>
          <w:rFonts w:hint="eastAsia"/>
          <w:color w:val="000000" w:themeColor="text1"/>
        </w:rPr>
        <w:t>）</w:t>
      </w:r>
      <w:r w:rsidRPr="000B2A94">
        <w:rPr>
          <w:color w:val="000000" w:themeColor="text1"/>
        </w:rPr>
        <w:t>進行，以避免實驗誤差及人員誤判情事。針對法醫解剖案件，亦訂有鑑定複核機制，即原鑑定人撰寫完後，法醫病理组法醫師負責複核，針對鑑定結果死因及死</w:t>
      </w:r>
      <w:r w:rsidRPr="000B2A94">
        <w:rPr>
          <w:color w:val="000000" w:themeColor="text1"/>
        </w:rPr>
        <w:lastRenderedPageBreak/>
        <w:t>亡方式研判之邏輯充實性與證明力之積極性，加予審核之，再交組長核閱，本所法醫師或組長對於鑑定書中之鑑定結果有疑議時，依本所「解剖、複驗及法醫相關鑑定事項作業要點」第七點，於鑑定書加註審核意見；對於重大疑難鑑驗案件，則不定期舉辦死因審議會，邀集各專業組組長、兼任研究員與會進行研究與討論，以改善單一法醫師鑑定疏漏之問題，確保鑑定結果之正確性。</w:t>
      </w:r>
    </w:p>
    <w:p w:rsidR="00F956E8" w:rsidRPr="000B2A94" w:rsidRDefault="00F956E8" w:rsidP="00CD3A1B">
      <w:pPr>
        <w:pStyle w:val="4"/>
        <w:rPr>
          <w:color w:val="000000" w:themeColor="text1"/>
        </w:rPr>
      </w:pPr>
      <w:r w:rsidRPr="000B2A94">
        <w:rPr>
          <w:color w:val="000000" w:themeColor="text1"/>
        </w:rPr>
        <w:t>規劃設置3D-CT</w:t>
      </w:r>
      <w:r w:rsidR="00CD3A1B" w:rsidRPr="000B2A94">
        <w:rPr>
          <w:color w:val="000000" w:themeColor="text1"/>
        </w:rPr>
        <w:t>電腦斷層影像掃描設備</w:t>
      </w:r>
    </w:p>
    <w:p w:rsidR="00F956E8" w:rsidRPr="000B2A94" w:rsidRDefault="00F956E8" w:rsidP="00CD3A1B">
      <w:pPr>
        <w:pStyle w:val="42"/>
        <w:ind w:left="1701" w:firstLine="680"/>
        <w:rPr>
          <w:color w:val="000000" w:themeColor="text1"/>
        </w:rPr>
      </w:pPr>
      <w:r w:rsidRPr="000B2A94">
        <w:rPr>
          <w:color w:val="000000" w:themeColor="text1"/>
        </w:rPr>
        <w:t>依據司改國是會議之建議，3D-CT設備可輔助相驗、解剖之進行。該所已函請臺北市政府殯葬管理處同意將3D-CT室納入該處第二殯儀館相驗暨解剖中心改建案，目前亦已規劃會同臺大法醫學研究所教授及醫師前往臺中殯儀館會勘有無適合設置3D-CT之空間。希能在北、中、南各相驗解剖室均設置3D-CT，運用科技設備減少瑕疵鑑定。</w:t>
      </w:r>
    </w:p>
    <w:p w:rsidR="00F956E8" w:rsidRPr="000B2A94" w:rsidRDefault="00F956E8" w:rsidP="00CD3A1B">
      <w:pPr>
        <w:pStyle w:val="4"/>
        <w:rPr>
          <w:color w:val="000000" w:themeColor="text1"/>
        </w:rPr>
      </w:pPr>
      <w:r w:rsidRPr="000B2A94">
        <w:rPr>
          <w:color w:val="000000" w:themeColor="text1"/>
        </w:rPr>
        <w:t>為提昇司法科學鑑定品質、減少瑕疵鑑定及解決鑑定爭議，仍應增加法醫鑑驗法定及預算員額，培養法醫專業鑑驗人才，充實高科技鑑驗儀器設備，研發法醫鑑驗技術，提昇法醫鑑識水準，建構國際標準法醫鑑識實驗室，賡續推動實驗室認證，才能確保案件鑑驗品質。</w:t>
      </w:r>
    </w:p>
    <w:p w:rsidR="00F956E8" w:rsidRPr="000B2A94" w:rsidRDefault="00F956E8" w:rsidP="00F956E8">
      <w:pPr>
        <w:pStyle w:val="2"/>
        <w:numPr>
          <w:ilvl w:val="1"/>
          <w:numId w:val="1"/>
        </w:numPr>
        <w:overflowPunct/>
        <w:autoSpaceDE/>
        <w:autoSpaceDN/>
        <w:ind w:left="1123" w:hanging="697"/>
        <w:rPr>
          <w:rFonts w:ascii="Times New Roman" w:hAnsi="Times New Roman"/>
          <w:b/>
          <w:color w:val="000000" w:themeColor="text1"/>
        </w:rPr>
      </w:pPr>
      <w:bookmarkStart w:id="361" w:name="_Toc28606827"/>
      <w:r w:rsidRPr="000B2A94">
        <w:rPr>
          <w:rFonts w:ascii="Times New Roman" w:hAnsi="Times New Roman"/>
          <w:b/>
          <w:color w:val="000000" w:themeColor="text1"/>
        </w:rPr>
        <w:t>推廣各級司法科學教育</w:t>
      </w:r>
      <w:bookmarkEnd w:id="361"/>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362" w:name="_Toc27399967"/>
      <w:r w:rsidRPr="000B2A94">
        <w:rPr>
          <w:rFonts w:ascii="Times New Roman" w:hAnsi="Times New Roman" w:hint="eastAsia"/>
          <w:color w:val="000000" w:themeColor="text1"/>
        </w:rPr>
        <w:t>刑事警察局</w:t>
      </w:r>
      <w:bookmarkEnd w:id="362"/>
    </w:p>
    <w:p w:rsidR="00F956E8" w:rsidRPr="000B2A94" w:rsidRDefault="00F956E8" w:rsidP="00CD3A1B">
      <w:pPr>
        <w:pStyle w:val="4"/>
        <w:rPr>
          <w:color w:val="000000" w:themeColor="text1"/>
        </w:rPr>
      </w:pPr>
      <w:r w:rsidRPr="000B2A94">
        <w:rPr>
          <w:rFonts w:hint="eastAsia"/>
          <w:color w:val="000000" w:themeColor="text1"/>
        </w:rPr>
        <w:t>刑事警察局受理全國各類刑案之證物鑑定，人力已顯不足，且司法院</w:t>
      </w:r>
      <w:r w:rsidRPr="000B2A94">
        <w:rPr>
          <w:rFonts w:hAnsi="標楷體" w:hint="eastAsia"/>
          <w:color w:val="000000" w:themeColor="text1"/>
        </w:rPr>
        <w:t>「</w:t>
      </w:r>
      <w:r w:rsidRPr="000B2A94">
        <w:rPr>
          <w:rFonts w:hint="eastAsia"/>
          <w:color w:val="000000" w:themeColor="text1"/>
        </w:rPr>
        <w:t>刑事訴訟法</w:t>
      </w:r>
      <w:r w:rsidRPr="000B2A94">
        <w:rPr>
          <w:rFonts w:hAnsi="標楷體" w:hint="eastAsia"/>
          <w:color w:val="000000" w:themeColor="text1"/>
        </w:rPr>
        <w:t>」</w:t>
      </w:r>
      <w:r w:rsidRPr="000B2A94">
        <w:rPr>
          <w:rFonts w:hint="eastAsia"/>
          <w:color w:val="000000" w:themeColor="text1"/>
        </w:rPr>
        <w:t>修正朝鑑定人原則上須到庭說明之修法方向，則鑑定人力不足態勢必將擴大，若組織人力未適時擴編，為避</w:t>
      </w:r>
      <w:r w:rsidRPr="000B2A94">
        <w:rPr>
          <w:rFonts w:hint="eastAsia"/>
          <w:color w:val="000000" w:themeColor="text1"/>
        </w:rPr>
        <w:lastRenderedPageBreak/>
        <w:t>免案件延宕，可能必須停止受理鑑定，故刑事警察局於108年8月提出相關組織擴編及改造方案送核定中；該局除依認證相關要求，鑑定單位每年至少辦理8小時之在職訓練課程外，各鑑定領域亦會不定期辦理教育訓練，並邀請國內外專家講授相關專業課程。</w:t>
      </w:r>
    </w:p>
    <w:p w:rsidR="00F956E8" w:rsidRPr="000B2A94" w:rsidRDefault="00F956E8" w:rsidP="00CD3A1B">
      <w:pPr>
        <w:pStyle w:val="4"/>
        <w:rPr>
          <w:color w:val="000000" w:themeColor="text1"/>
        </w:rPr>
      </w:pPr>
      <w:r w:rsidRPr="000B2A94">
        <w:rPr>
          <w:rFonts w:hint="eastAsia"/>
          <w:color w:val="000000" w:themeColor="text1"/>
        </w:rPr>
        <w:t>各地方政府警察局之機關勘察人力大多尚足以應付轄區案件之勘察，惟各分局勘察人力多為偵查人員訓練編組而成，若該分局偵查隊人力不足，尚需兼辦偵查隊勤業務，造成人員流動性較高，影響勘察經驗積累；至於教育訓練方面，除內政部警政署每半年舉辦之全國鑑識工作會議外，各機關均會定期自行辦理訓練課程，或派員參與內政部警政署或社團法人臺灣鑑識科學學會之相關專業訓練課程；另通過認證之實驗室，均依認證相關要求每年至少辦理8小時之在職訓練課程。</w:t>
      </w:r>
    </w:p>
    <w:p w:rsidR="00F956E8" w:rsidRPr="000B2A94" w:rsidRDefault="00F956E8" w:rsidP="00F956E8">
      <w:pPr>
        <w:pStyle w:val="3"/>
        <w:numPr>
          <w:ilvl w:val="2"/>
          <w:numId w:val="1"/>
        </w:numPr>
        <w:overflowPunct/>
        <w:autoSpaceDE/>
        <w:autoSpaceDN/>
        <w:ind w:left="1393" w:hanging="697"/>
        <w:rPr>
          <w:rFonts w:ascii="Times New Roman" w:hAnsi="Times New Roman"/>
          <w:color w:val="000000" w:themeColor="text1"/>
        </w:rPr>
      </w:pPr>
      <w:bookmarkStart w:id="363" w:name="_Toc27399968"/>
      <w:r w:rsidRPr="000B2A94">
        <w:rPr>
          <w:rFonts w:ascii="Times New Roman" w:hAnsi="Times New Roman"/>
          <w:color w:val="000000" w:themeColor="text1"/>
        </w:rPr>
        <w:t>法醫研究所</w:t>
      </w:r>
      <w:bookmarkEnd w:id="363"/>
    </w:p>
    <w:p w:rsidR="00F956E8" w:rsidRPr="000B2A94" w:rsidRDefault="00F956E8" w:rsidP="00CD3A1B">
      <w:pPr>
        <w:pStyle w:val="4"/>
        <w:rPr>
          <w:color w:val="000000" w:themeColor="text1"/>
        </w:rPr>
      </w:pPr>
      <w:r w:rsidRPr="000B2A94">
        <w:rPr>
          <w:color w:val="000000" w:themeColor="text1"/>
        </w:rPr>
        <w:t>法醫鑑識展示館：該所為深植全民法醫鑑識科普知識，培育未來法醫人才，增進一般民眾及青年學子對法醫工作暸解，並提供司法官、法醫刑事鑑識相關學員、專家及學者研習與互動的研討教育環境，進一步落實教學生活化理念，以達到推廣法醫鑑識知識目的，設置法醫鑑識展示館供各界人士參訪。</w:t>
      </w:r>
    </w:p>
    <w:p w:rsidR="00F956E8" w:rsidRPr="000B2A94" w:rsidRDefault="00F956E8" w:rsidP="00CD3A1B">
      <w:pPr>
        <w:pStyle w:val="4"/>
        <w:rPr>
          <w:color w:val="000000" w:themeColor="text1"/>
        </w:rPr>
      </w:pPr>
      <w:r w:rsidRPr="000B2A94">
        <w:rPr>
          <w:color w:val="000000" w:themeColor="text1"/>
        </w:rPr>
        <w:t>該所每年受理相關領域研究生或大專生，進行短期實務訓練或見習。</w:t>
      </w:r>
    </w:p>
    <w:p w:rsidR="00F956E8" w:rsidRPr="000B2A94" w:rsidRDefault="00F956E8" w:rsidP="00CD3A1B">
      <w:pPr>
        <w:pStyle w:val="4"/>
        <w:rPr>
          <w:color w:val="000000" w:themeColor="text1"/>
        </w:rPr>
      </w:pPr>
      <w:r w:rsidRPr="000B2A94">
        <w:rPr>
          <w:color w:val="000000" w:themeColor="text1"/>
        </w:rPr>
        <w:t>該所鑑定人員受聘國內各醫學院、醫院、法醫學研究所、律師公會、司法官學院、法官學院及各地警察局、矯正人員訓練所、警察大學等擔任法</w:t>
      </w:r>
      <w:r w:rsidRPr="000B2A94">
        <w:rPr>
          <w:color w:val="000000" w:themeColor="text1"/>
        </w:rPr>
        <w:lastRenderedPageBreak/>
        <w:t>醫講座。</w:t>
      </w:r>
    </w:p>
    <w:p w:rsidR="00F956E8" w:rsidRPr="000B2A94" w:rsidRDefault="00F956E8" w:rsidP="00CD3A1B">
      <w:pPr>
        <w:pStyle w:val="4"/>
        <w:rPr>
          <w:color w:val="000000" w:themeColor="text1"/>
        </w:rPr>
      </w:pPr>
      <w:r w:rsidRPr="000B2A94">
        <w:rPr>
          <w:color w:val="000000" w:themeColor="text1"/>
        </w:rPr>
        <w:t>該所每年不定期舉辦數場法醫科學學術研討會，廣邀各地方檢察署檢察官、法醫師、各警察機關鑑識人員及相關領域從業人員，共同研討專業議題、推廣重要法醫鑑識觀念等，以提昇司法科學教育。</w:t>
      </w:r>
    </w:p>
    <w:p w:rsidR="00F956E8" w:rsidRPr="000B2A94" w:rsidRDefault="00F956E8" w:rsidP="00CD3A1B">
      <w:pPr>
        <w:pStyle w:val="4"/>
        <w:rPr>
          <w:color w:val="000000" w:themeColor="text1"/>
        </w:rPr>
      </w:pPr>
      <w:r w:rsidRPr="000B2A94">
        <w:rPr>
          <w:color w:val="000000" w:themeColor="text1"/>
        </w:rPr>
        <w:t>該所自107年度起，與司法官學院合作，錄製法醫解剖病理、法醫 DNA 鑑識、法醫毒物化學等數位課程，供檢察官、法官線上教學；另開辦檢察官在職進修班「法醫實務專題班」，讓在職檢察官修習2天法醫實務課程並參訪本所各實驗室。目前亦規劃將本所納入學習司法官的實習機關，使司法官更深入了解法醫鑑識科學，得以運用在未來的司法實務。</w:t>
      </w:r>
    </w:p>
    <w:p w:rsidR="00F956E8" w:rsidRPr="000B2A94" w:rsidRDefault="00F956E8" w:rsidP="00F956E8">
      <w:pPr>
        <w:pStyle w:val="2"/>
        <w:numPr>
          <w:ilvl w:val="1"/>
          <w:numId w:val="1"/>
        </w:numPr>
        <w:overflowPunct/>
        <w:autoSpaceDE/>
        <w:autoSpaceDN/>
        <w:ind w:left="1123" w:hanging="697"/>
        <w:rPr>
          <w:rFonts w:ascii="Times New Roman" w:hAnsi="Times New Roman"/>
          <w:b/>
          <w:color w:val="000000" w:themeColor="text1"/>
        </w:rPr>
      </w:pPr>
      <w:bookmarkStart w:id="364" w:name="_Toc28606828"/>
      <w:r w:rsidRPr="000B2A94">
        <w:rPr>
          <w:rFonts w:ascii="Times New Roman" w:hAnsi="Times New Roman"/>
          <w:b/>
          <w:color w:val="000000" w:themeColor="text1"/>
          <w:szCs w:val="32"/>
        </w:rPr>
        <w:t>相關實驗室與專家認證規範及證照制度</w:t>
      </w:r>
      <w:bookmarkEnd w:id="364"/>
    </w:p>
    <w:p w:rsidR="00F956E8" w:rsidRPr="000B2A94" w:rsidRDefault="00F956E8" w:rsidP="00CD3A1B">
      <w:pPr>
        <w:pStyle w:val="3"/>
        <w:rPr>
          <w:rFonts w:ascii="Times New Roman" w:hAnsi="Times New Roman"/>
          <w:color w:val="000000" w:themeColor="text1"/>
        </w:rPr>
      </w:pPr>
      <w:bookmarkStart w:id="365" w:name="_Toc27399970"/>
      <w:r w:rsidRPr="000B2A94">
        <w:rPr>
          <w:rFonts w:ascii="Times New Roman" w:hAnsi="Times New Roman" w:hint="eastAsia"/>
          <w:color w:val="000000" w:themeColor="text1"/>
        </w:rPr>
        <w:t>各鑑定機關</w:t>
      </w:r>
      <w:r w:rsidRPr="000B2A94">
        <w:rPr>
          <w:rFonts w:hint="eastAsia"/>
          <w:color w:val="000000" w:themeColor="text1"/>
        </w:rPr>
        <w:t>辦理實驗室認證情形</w:t>
      </w:r>
      <w:bookmarkEnd w:id="365"/>
    </w:p>
    <w:p w:rsidR="00F956E8" w:rsidRPr="000B2A94" w:rsidRDefault="00F956E8" w:rsidP="00CD3A1B">
      <w:pPr>
        <w:pStyle w:val="4"/>
        <w:rPr>
          <w:color w:val="000000" w:themeColor="text1"/>
        </w:rPr>
      </w:pPr>
      <w:r w:rsidRPr="000B2A94">
        <w:rPr>
          <w:color w:val="000000" w:themeColor="text1"/>
        </w:rPr>
        <w:t>法務部法醫研究所</w:t>
      </w:r>
    </w:p>
    <w:p w:rsidR="00F956E8" w:rsidRPr="000B2A94" w:rsidRDefault="00F956E8" w:rsidP="00CD3A1B">
      <w:pPr>
        <w:pStyle w:val="5"/>
        <w:rPr>
          <w:color w:val="000000" w:themeColor="text1"/>
        </w:rPr>
      </w:pPr>
      <w:r w:rsidRPr="000B2A94">
        <w:rPr>
          <w:rFonts w:hint="eastAsia"/>
          <w:color w:val="000000" w:themeColor="text1"/>
        </w:rPr>
        <w:t>法醫研究所法醫病理組、毒物化學組及血清證物組每年均向法務部申請科技計畫，成果分述如下：</w:t>
      </w:r>
    </w:p>
    <w:p w:rsidR="00F956E8" w:rsidRPr="000B2A94" w:rsidRDefault="00F956E8" w:rsidP="00CD3A1B">
      <w:pPr>
        <w:pStyle w:val="6"/>
        <w:rPr>
          <w:color w:val="000000" w:themeColor="text1"/>
        </w:rPr>
      </w:pPr>
      <w:r w:rsidRPr="000B2A94">
        <w:rPr>
          <w:rFonts w:hint="eastAsia"/>
          <w:color w:val="000000" w:themeColor="text1"/>
        </w:rPr>
        <w:t>法醫研究所自96年起每年均申請行政院科技部之科技發展計畫，研究成果均發表於國內外法醫或鑑識科學研討會及知名學術期刊，此外研發之技術並運用於例行性實務法醫案件之鑑驗，對於法醫鑑識技術及鑑驗品質之提升，有非常大之助益。</w:t>
      </w:r>
    </w:p>
    <w:p w:rsidR="00F956E8" w:rsidRPr="000B2A94" w:rsidRDefault="00F956E8" w:rsidP="00CD3A1B">
      <w:pPr>
        <w:pStyle w:val="6"/>
        <w:rPr>
          <w:color w:val="000000" w:themeColor="text1"/>
        </w:rPr>
      </w:pPr>
      <w:r w:rsidRPr="000B2A94">
        <w:rPr>
          <w:rFonts w:hint="eastAsia"/>
          <w:color w:val="000000" w:themeColor="text1"/>
        </w:rPr>
        <w:t>法醫研究所3個鑑識實驗室於100年均通過全國認證基金會(TAF) ISO/IEC 17025國際認證規範評鑑認證。並依國際實驗室認證聯盟(ILAC)之鑑識科學實驗室指引(ILAC G19)訂</w:t>
      </w:r>
      <w:r w:rsidRPr="000B2A94">
        <w:rPr>
          <w:rFonts w:hint="eastAsia"/>
          <w:color w:val="000000" w:themeColor="text1"/>
        </w:rPr>
        <w:lastRenderedPageBreak/>
        <w:t>定鑑識科學實驗室認證技術規範進行評鑑認證，因此在國內已鑑立完善之認證規範與認證制度，且均與國際認證同步進行與接軌，並獲國際認證相互承認。</w:t>
      </w:r>
    </w:p>
    <w:p w:rsidR="00F956E8" w:rsidRPr="000B2A94" w:rsidRDefault="00F956E8" w:rsidP="00CD3A1B">
      <w:pPr>
        <w:pStyle w:val="6"/>
        <w:rPr>
          <w:color w:val="000000" w:themeColor="text1"/>
        </w:rPr>
      </w:pPr>
      <w:r w:rsidRPr="000B2A94">
        <w:rPr>
          <w:rFonts w:hint="eastAsia"/>
          <w:color w:val="000000" w:themeColor="text1"/>
        </w:rPr>
        <w:t>法醫研究所毒物化學組從92年起即開始建立各項毒藥物檢驗之標準作業流程。並於96年起逐年採購標準品，建立氣相層析質譜儀、液相層析離子阱質譜儀及液相層析四極柱飛行時間質譜儀等三種精密儀器之標準質譜資料庫，並應用於一般未知毒藥物篩驗之法醫毒物及尿液新興毒品案件分析。目前已建立超過1500種以上毒藥物質譜圖譜資料庫，包含鴉片類、安非他命類、鎮靜安眠藥、抗憂鬱劑、農藥、一般常見藥物及超過500種以上之新興毒品。同時每年均向全國認證基金會申請增項認證，至107年底通過認證之項目共計33項，為目前全國認證項目最多之鑑識單位。</w:t>
      </w:r>
    </w:p>
    <w:p w:rsidR="00F956E8" w:rsidRPr="000B2A94" w:rsidRDefault="00F956E8" w:rsidP="00CD3A1B">
      <w:pPr>
        <w:pStyle w:val="6"/>
        <w:rPr>
          <w:color w:val="000000" w:themeColor="text1"/>
        </w:rPr>
      </w:pPr>
      <w:r w:rsidRPr="000B2A94">
        <w:rPr>
          <w:rFonts w:hint="eastAsia"/>
          <w:color w:val="000000" w:themeColor="text1"/>
        </w:rPr>
        <w:t>法醫研究所血清證物組之「DNA實驗室」通過認證項目計6項，為國內法醫DNA認證項目最多單位之一。並自98年2月份起，辦理全國無名屍比對業務。目前已建置，無名屍DNA資料庫，累積無名屍共約3000餘案(其中包含法務部調查局移轉至法醫研究所案件，以及法醫研究所檔存案件)。法醫研究所將尋親家屬DNA與法醫所檔存無名屍DNA資料庫進行親緣關係比對，使用最新基因鑑定技術，盡一切DNA鑑定之能事，讓無名屍找到一條回家的路。</w:t>
      </w:r>
    </w:p>
    <w:p w:rsidR="00F956E8" w:rsidRPr="000B2A94" w:rsidRDefault="00F956E8" w:rsidP="00CD3A1B">
      <w:pPr>
        <w:pStyle w:val="6"/>
        <w:rPr>
          <w:color w:val="000000" w:themeColor="text1"/>
        </w:rPr>
      </w:pPr>
      <w:r w:rsidRPr="000B2A94">
        <w:rPr>
          <w:rFonts w:hint="eastAsia"/>
          <w:color w:val="000000" w:themeColor="text1"/>
        </w:rPr>
        <w:t>法醫研究所病理組為提升我國法醫解剖鑑</w:t>
      </w:r>
      <w:r w:rsidRPr="000B2A94">
        <w:rPr>
          <w:rFonts w:hint="eastAsia"/>
          <w:color w:val="000000" w:themeColor="text1"/>
        </w:rPr>
        <w:lastRenderedPageBreak/>
        <w:t>定品質，於107年8月9日訂定「法務部法醫研究所法醫解剖遺體作業流程」（如附件）予各解剖法醫師參考。</w:t>
      </w:r>
    </w:p>
    <w:p w:rsidR="00F956E8" w:rsidRPr="000B2A94" w:rsidRDefault="00F956E8" w:rsidP="00CD3A1B">
      <w:pPr>
        <w:pStyle w:val="5"/>
        <w:rPr>
          <w:color w:val="000000" w:themeColor="text1"/>
        </w:rPr>
      </w:pPr>
      <w:r w:rsidRPr="000B2A94">
        <w:rPr>
          <w:color w:val="000000" w:themeColor="text1"/>
        </w:rPr>
        <w:t>依該所107年8月28日所製作之「我國刑事鑑識機關鑑定項目及實驗室認證一覽表」所示，國內刑事鑑識機關之鑑定項目與實驗室大部份都經過認證，但有少部份鑑定項目尚未申請認證，建議各鑑識機關積極督促所屬單位尚未通過認證之鑑定項目，應盡快完成標準作業程序(SOP)申請增列認證。</w:t>
      </w:r>
    </w:p>
    <w:p w:rsidR="00F956E8" w:rsidRPr="000B2A94" w:rsidRDefault="00F956E8" w:rsidP="00CD3A1B">
      <w:pPr>
        <w:pStyle w:val="5"/>
        <w:rPr>
          <w:color w:val="000000" w:themeColor="text1"/>
        </w:rPr>
      </w:pPr>
      <w:r w:rsidRPr="000B2A94">
        <w:rPr>
          <w:color w:val="000000" w:themeColor="text1"/>
        </w:rPr>
        <w:t>該所3個實驗室，以及國內刑事鑑識機關之鑑定項目與實驗室大部分均已通過</w:t>
      </w:r>
      <w:r w:rsidR="0083635A" w:rsidRPr="000B2A94">
        <w:rPr>
          <w:color w:val="000000" w:themeColor="text1"/>
        </w:rPr>
        <w:t>TAF</w:t>
      </w:r>
      <w:r w:rsidR="0083635A" w:rsidRPr="000B2A94">
        <w:rPr>
          <w:rFonts w:hint="eastAsia"/>
          <w:color w:val="000000" w:themeColor="text1"/>
        </w:rPr>
        <w:t>之</w:t>
      </w:r>
      <w:r w:rsidRPr="000B2A94">
        <w:rPr>
          <w:color w:val="000000" w:themeColor="text1"/>
        </w:rPr>
        <w:t>ISO/IEC 17025國際認證規範，並依國際實驗室認證聯盟(ILAC)之鑑識科學實驗室指引(ILAC G19)訂定鑑識科學實驗室認證技術規範進行評鑑認證，因此在國內已鑑立完善之認證規範與認證制度，且均與國際認證同步進行與接軌，並獲國際認證相互承認。</w:t>
      </w:r>
    </w:p>
    <w:p w:rsidR="00F956E8" w:rsidRPr="000B2A94" w:rsidRDefault="00F956E8" w:rsidP="00CD3A1B">
      <w:pPr>
        <w:pStyle w:val="5"/>
        <w:rPr>
          <w:color w:val="000000" w:themeColor="text1"/>
        </w:rPr>
      </w:pPr>
      <w:r w:rsidRPr="000B2A94">
        <w:rPr>
          <w:color w:val="000000" w:themeColor="text1"/>
        </w:rPr>
        <w:t>證照制度：目前國內從事各項刑事鑑識業務之專業人員大部分均服務於公家機關。因此，為確保鑑定人員具有專業之能力，每項鑑定項目均須通過能力檢定後始可進行該項鑑定，且每年均辦理實驗室內部能力試驗，以確保鑑定人員具有專業之能力。此外，有關證照制度之目的，係確保鑑定人員具有鑑定資格，該所同意鑑定人員必須具有證照，始能從事司法鑑定工作。</w:t>
      </w:r>
    </w:p>
    <w:p w:rsidR="00F956E8" w:rsidRPr="000B2A94" w:rsidRDefault="00F956E8" w:rsidP="00CD3A1B">
      <w:pPr>
        <w:pStyle w:val="4"/>
        <w:rPr>
          <w:color w:val="000000" w:themeColor="text1"/>
        </w:rPr>
      </w:pPr>
      <w:r w:rsidRPr="000B2A94">
        <w:rPr>
          <w:rFonts w:hint="eastAsia"/>
          <w:color w:val="000000" w:themeColor="text1"/>
        </w:rPr>
        <w:t>法務部調查局</w:t>
      </w:r>
    </w:p>
    <w:p w:rsidR="00F956E8" w:rsidRPr="000B2A94" w:rsidRDefault="00F956E8" w:rsidP="00CD3A1B">
      <w:pPr>
        <w:pStyle w:val="5"/>
        <w:rPr>
          <w:color w:val="000000" w:themeColor="text1"/>
        </w:rPr>
      </w:pPr>
      <w:r w:rsidRPr="000B2A94">
        <w:rPr>
          <w:rFonts w:hint="eastAsia"/>
          <w:color w:val="000000" w:themeColor="text1"/>
        </w:rPr>
        <w:t>法務部調查局之鑑識單位設於鑑識科學處及資通安全處，其中鑑識科學處設有濫用藥物實</w:t>
      </w:r>
      <w:r w:rsidRPr="000B2A94">
        <w:rPr>
          <w:rFonts w:hint="eastAsia"/>
          <w:color w:val="000000" w:themeColor="text1"/>
        </w:rPr>
        <w:lastRenderedPageBreak/>
        <w:t>驗室、文書暨指紋鑑識實驗室、DNA鑑識實驗室；資通安全處設有資安鑑識實驗室，前述鑑識實驗室均經TAF</w:t>
      </w:r>
      <w:r w:rsidR="00CD3A1B" w:rsidRPr="000B2A94">
        <w:rPr>
          <w:rFonts w:hint="eastAsia"/>
          <w:color w:val="000000" w:themeColor="text1"/>
        </w:rPr>
        <w:t>之</w:t>
      </w:r>
      <w:r w:rsidRPr="000B2A94">
        <w:rPr>
          <w:rFonts w:hint="eastAsia"/>
          <w:color w:val="000000" w:themeColor="text1"/>
        </w:rPr>
        <w:t>ISO/IEC 17025實驗室認證通過，每3年定期向TAF辦理一次認證延展評鑑。</w:t>
      </w:r>
    </w:p>
    <w:p w:rsidR="00F956E8" w:rsidRPr="000B2A94" w:rsidRDefault="00F956E8" w:rsidP="00CD3A1B">
      <w:pPr>
        <w:pStyle w:val="5"/>
        <w:rPr>
          <w:color w:val="000000" w:themeColor="text1"/>
        </w:rPr>
      </w:pPr>
      <w:r w:rsidRPr="000B2A94">
        <w:rPr>
          <w:rFonts w:hint="eastAsia"/>
          <w:color w:val="000000" w:themeColor="text1"/>
        </w:rPr>
        <w:t>鑑識科學處</w:t>
      </w:r>
    </w:p>
    <w:p w:rsidR="00F956E8" w:rsidRPr="000B2A94" w:rsidRDefault="00F956E8" w:rsidP="00F956E8">
      <w:pPr>
        <w:pStyle w:val="51"/>
        <w:ind w:left="2041" w:firstLine="680"/>
        <w:rPr>
          <w:color w:val="000000" w:themeColor="text1"/>
        </w:rPr>
      </w:pPr>
      <w:r w:rsidRPr="000B2A94">
        <w:rPr>
          <w:rFonts w:hint="eastAsia"/>
          <w:color w:val="000000" w:themeColor="text1"/>
        </w:rPr>
        <w:tab/>
        <w:t>依業務需要，逐年向行政院申請科技計畫相關經費，針對鑑識科技相關技術進行研究發展〔如奈米毒品快篩試劑（紙）之開發〕，並依研究成果派員於國內外發表論文、參加研討會或短期訓練，以提升鑑識人員技能。依據「鑑識學實驗室認證技術規範」技術要求，就鑑定、比對及研判目的，蒐集建置維持之案件常見數據或物件（質）的參考物質（如毒品、票券與證照），並為適當管制應用；另依據行政院反毒策略建置「新興濫用物質尿液檢驗資料庫」，支援新興毒品尿液檢驗工作，並分享國內各鑑定機關（構）使用。</w:t>
      </w:r>
    </w:p>
    <w:p w:rsidR="00F956E8" w:rsidRPr="000B2A94" w:rsidRDefault="00F956E8" w:rsidP="00CD3A1B">
      <w:pPr>
        <w:pStyle w:val="5"/>
        <w:rPr>
          <w:color w:val="000000" w:themeColor="text1"/>
        </w:rPr>
      </w:pPr>
      <w:r w:rsidRPr="000B2A94">
        <w:rPr>
          <w:rFonts w:hint="eastAsia"/>
          <w:color w:val="000000" w:themeColor="text1"/>
        </w:rPr>
        <w:t>資通安全處</w:t>
      </w:r>
    </w:p>
    <w:p w:rsidR="00F956E8" w:rsidRPr="000B2A94" w:rsidRDefault="00F956E8" w:rsidP="00F956E8">
      <w:pPr>
        <w:pStyle w:val="51"/>
        <w:ind w:left="2041" w:firstLine="680"/>
        <w:rPr>
          <w:color w:val="000000" w:themeColor="text1"/>
        </w:rPr>
      </w:pPr>
      <w:r w:rsidRPr="000B2A94">
        <w:rPr>
          <w:rFonts w:hint="eastAsia"/>
          <w:color w:val="000000" w:themeColor="text1"/>
        </w:rPr>
        <w:t>現正執行之法務部「法務資安整體防禦基礎建設計畫」-「全國跨域鑑識平台子計畫」，即屬行政院科技發展年度計畫，目的包含：(1)導入跨域鑑識服務平台分析系統，即時掌握案關證據。(2)建置跨域自助式數位證據檢視室，加強鑑識作業效率。(3)強化一線採證能力與作業流程，確保數位證據完整性。(4)培養專業外勤數位鑑識人力。又</w:t>
      </w:r>
      <w:r w:rsidRPr="000B2A94">
        <w:rPr>
          <w:rFonts w:hint="eastAsia"/>
          <w:color w:val="000000" w:themeColor="text1"/>
        </w:rPr>
        <w:tab/>
        <w:t>法務部調查局資安鑑識實驗室於104年訂定數位證據保全標準作業程序規範及現場數位證據保全操作手冊，供現場數位證據採證人員參考。此外，法務部調查局資安鑑識實驗室對於個案送鑑之數位證物僅作暫</w:t>
      </w:r>
      <w:r w:rsidRPr="000B2A94">
        <w:rPr>
          <w:rFonts w:hint="eastAsia"/>
          <w:color w:val="000000" w:themeColor="text1"/>
        </w:rPr>
        <w:lastRenderedPageBreak/>
        <w:t>時保管，鑑識完成後即由送鑑單位領回，目前並未發展數位證據相關之「刑事鑑識資料庫」。</w:t>
      </w:r>
    </w:p>
    <w:p w:rsidR="00F956E8" w:rsidRPr="000B2A94" w:rsidRDefault="00F956E8" w:rsidP="00CD3A1B">
      <w:pPr>
        <w:pStyle w:val="4"/>
        <w:rPr>
          <w:color w:val="000000" w:themeColor="text1"/>
        </w:rPr>
      </w:pPr>
      <w:r w:rsidRPr="000B2A94">
        <w:rPr>
          <w:rFonts w:hint="eastAsia"/>
          <w:color w:val="000000" w:themeColor="text1"/>
        </w:rPr>
        <w:t>刑事警察局</w:t>
      </w:r>
    </w:p>
    <w:p w:rsidR="00F956E8" w:rsidRPr="000B2A94" w:rsidRDefault="00F956E8" w:rsidP="00CD3A1B">
      <w:pPr>
        <w:pStyle w:val="42"/>
        <w:ind w:left="1701" w:firstLine="680"/>
        <w:rPr>
          <w:color w:val="000000" w:themeColor="text1"/>
        </w:rPr>
      </w:pPr>
      <w:r w:rsidRPr="000B2A94">
        <w:rPr>
          <w:rFonts w:hint="eastAsia"/>
          <w:color w:val="000000" w:themeColor="text1"/>
        </w:rPr>
        <w:t>內政部警政署刑事警察局與中央警察大學申請科技計畫相關經費共同合作發展鑑識相關技術，另該局亦申請該經費薦送優秀人員出國研習與邀請國內、外鑑識專家講授鑑識相關課程；各地方警察機關則未申請科技計畫相關經費。</w:t>
      </w:r>
    </w:p>
    <w:p w:rsidR="00F956E8" w:rsidRPr="000B2A94" w:rsidRDefault="00F956E8" w:rsidP="00CD3A1B">
      <w:pPr>
        <w:pStyle w:val="3"/>
        <w:rPr>
          <w:color w:val="000000" w:themeColor="text1"/>
        </w:rPr>
      </w:pPr>
      <w:bookmarkStart w:id="366" w:name="_Toc27399971"/>
      <w:r w:rsidRPr="000B2A94">
        <w:rPr>
          <w:rFonts w:hint="eastAsia"/>
          <w:color w:val="000000" w:themeColor="text1"/>
        </w:rPr>
        <w:t>各鑑定機關之物證資料庫整合或合作情形</w:t>
      </w:r>
      <w:bookmarkEnd w:id="366"/>
    </w:p>
    <w:p w:rsidR="00F956E8" w:rsidRPr="000B2A94" w:rsidRDefault="00F956E8" w:rsidP="00CD3A1B">
      <w:pPr>
        <w:pStyle w:val="4"/>
        <w:rPr>
          <w:color w:val="000000" w:themeColor="text1"/>
        </w:rPr>
      </w:pPr>
      <w:r w:rsidRPr="000B2A94">
        <w:rPr>
          <w:rFonts w:hint="eastAsia"/>
          <w:color w:val="000000" w:themeColor="text1"/>
        </w:rPr>
        <w:t>法務部調查局</w:t>
      </w:r>
      <w:r w:rsidRPr="000B2A94">
        <w:rPr>
          <w:rFonts w:hint="eastAsia"/>
          <w:color w:val="000000" w:themeColor="text1"/>
        </w:rPr>
        <w:tab/>
      </w:r>
    </w:p>
    <w:p w:rsidR="00F956E8" w:rsidRPr="000B2A94" w:rsidRDefault="00F956E8" w:rsidP="00CD3A1B">
      <w:pPr>
        <w:pStyle w:val="42"/>
        <w:ind w:left="1701" w:firstLine="680"/>
        <w:rPr>
          <w:color w:val="000000" w:themeColor="text1"/>
        </w:rPr>
      </w:pPr>
      <w:r w:rsidRPr="000B2A94">
        <w:rPr>
          <w:rFonts w:hint="eastAsia"/>
          <w:color w:val="000000" w:themeColor="text1"/>
        </w:rPr>
        <w:t>鑑識科學處依「國際標準ISO/IEC 17025」及「鑑識科學實驗室認證技術規範」，訂定「證物收發及處理作業程序」針對囑託或受案鑑定證物，於鑑定期間進行妥適之儲存與保管；鑑定案件結束後，除「海洛因、大麻等獲案毒品證物」，逕送法務部調查局毒品專庫保管（每年定期於63禁煙節前，公開銷燬）、「DNA驗餘檢品」由鑑識科學處依法令規範保存年限辦理保管外（如當事人再申請鑑定，需於保存期限內提出申請），其餘證物均請送驗機關具名領回。另所建置之「新興濫用物質尿液檢驗資料庫」，支援新興毒品尿液檢驗工作，並分享國內各鑑定機關（構）使用。</w:t>
      </w:r>
    </w:p>
    <w:p w:rsidR="00F956E8" w:rsidRPr="000B2A94" w:rsidRDefault="00F956E8" w:rsidP="00CD3A1B">
      <w:pPr>
        <w:pStyle w:val="4"/>
        <w:rPr>
          <w:color w:val="000000" w:themeColor="text1"/>
        </w:rPr>
      </w:pPr>
      <w:r w:rsidRPr="000B2A94">
        <w:rPr>
          <w:rFonts w:hint="eastAsia"/>
          <w:color w:val="000000" w:themeColor="text1"/>
        </w:rPr>
        <w:t>法醫研究</w:t>
      </w:r>
      <w:r w:rsidRPr="000B2A94">
        <w:rPr>
          <w:color w:val="000000" w:themeColor="text1"/>
        </w:rPr>
        <w:t>所</w:t>
      </w:r>
    </w:p>
    <w:p w:rsidR="00F956E8" w:rsidRPr="000B2A94" w:rsidRDefault="00F956E8" w:rsidP="00CD3A1B">
      <w:pPr>
        <w:pStyle w:val="42"/>
        <w:ind w:left="1701" w:firstLine="680"/>
        <w:rPr>
          <w:color w:val="000000" w:themeColor="text1"/>
        </w:rPr>
      </w:pPr>
      <w:r w:rsidRPr="000B2A94">
        <w:rPr>
          <w:color w:val="000000" w:themeColor="text1"/>
        </w:rPr>
        <w:t>接受各法院、檢察署委託辦理法醫鑑驗，相關鑑定結果、物證資料均回覆送驗機關，做為司法偵審之參考。故</w:t>
      </w:r>
      <w:r w:rsidRPr="000B2A94">
        <w:rPr>
          <w:rFonts w:hint="eastAsia"/>
          <w:color w:val="000000" w:themeColor="text1"/>
        </w:rPr>
        <w:t>該</w:t>
      </w:r>
      <w:r w:rsidRPr="000B2A94">
        <w:rPr>
          <w:color w:val="000000" w:themeColor="text1"/>
        </w:rPr>
        <w:t>所物證資料庫與各鑑定機關合作僅有</w:t>
      </w:r>
      <w:r w:rsidRPr="000B2A94">
        <w:rPr>
          <w:rFonts w:hint="eastAsia"/>
          <w:color w:val="000000" w:themeColor="text1"/>
        </w:rPr>
        <w:t>無名屍DNA資料庫</w:t>
      </w:r>
      <w:r w:rsidRPr="000B2A94">
        <w:rPr>
          <w:color w:val="000000" w:themeColor="text1"/>
        </w:rPr>
        <w:t>：</w:t>
      </w:r>
    </w:p>
    <w:p w:rsidR="00F956E8" w:rsidRPr="000B2A94" w:rsidRDefault="00F956E8" w:rsidP="00CD3A1B">
      <w:pPr>
        <w:pStyle w:val="5"/>
        <w:rPr>
          <w:color w:val="000000" w:themeColor="text1"/>
        </w:rPr>
      </w:pPr>
      <w:r w:rsidRPr="000B2A94">
        <w:rPr>
          <w:rFonts w:hint="eastAsia"/>
          <w:color w:val="000000" w:themeColor="text1"/>
        </w:rPr>
        <w:t>法醫研究所依去氧核醣核酸採樣條例及臺灣高等檢察署106年04月27日檢文勤字第10610006680號函，檢送88年至106年3月止未尋</w:t>
      </w:r>
      <w:r w:rsidRPr="000B2A94">
        <w:rPr>
          <w:rFonts w:hint="eastAsia"/>
          <w:color w:val="000000" w:themeColor="text1"/>
        </w:rPr>
        <w:lastRenderedPageBreak/>
        <w:t>獲家屬之檔存無名屍DNA資料與內政部警政署刑事警察局DNA資料進行比對，協尋失蹤人口，之後再經函詢全國各地檢署同意概括授權法醫研究所每半年彙送內政部警政署刑事警察局進行比對。</w:t>
      </w:r>
    </w:p>
    <w:p w:rsidR="00F956E8" w:rsidRPr="000B2A94" w:rsidRDefault="00F956E8" w:rsidP="00CD3A1B">
      <w:pPr>
        <w:pStyle w:val="5"/>
        <w:rPr>
          <w:color w:val="000000" w:themeColor="text1"/>
        </w:rPr>
      </w:pPr>
      <w:r w:rsidRPr="000B2A94">
        <w:rPr>
          <w:rFonts w:hint="eastAsia"/>
          <w:color w:val="000000" w:themeColor="text1"/>
        </w:rPr>
        <w:t>全國各警察機關亦會將尋親家屬資料傳送法醫研究所無名屍DNA進行比對，近年來已獲得顯著成效，協助許多無名屍找到回家的路，使無名屍與家人「團圓」，減少社會資源浪費，真正達到為民服務目的。</w:t>
      </w:r>
    </w:p>
    <w:p w:rsidR="00F956E8" w:rsidRPr="000B2A94" w:rsidRDefault="00F956E8" w:rsidP="00CD3A1B">
      <w:pPr>
        <w:pStyle w:val="4"/>
        <w:rPr>
          <w:rFonts w:hAnsi="標楷體"/>
          <w:color w:val="000000" w:themeColor="text1"/>
        </w:rPr>
      </w:pPr>
      <w:r w:rsidRPr="000B2A94">
        <w:rPr>
          <w:rFonts w:hint="eastAsia"/>
          <w:color w:val="000000" w:themeColor="text1"/>
        </w:rPr>
        <w:t>內政部警政署</w:t>
      </w:r>
    </w:p>
    <w:p w:rsidR="00F956E8" w:rsidRPr="000B2A94" w:rsidRDefault="00F956E8" w:rsidP="00CD3A1B">
      <w:pPr>
        <w:pStyle w:val="5"/>
        <w:rPr>
          <w:color w:val="000000" w:themeColor="text1"/>
        </w:rPr>
      </w:pPr>
      <w:r w:rsidRPr="000B2A94">
        <w:rPr>
          <w:rFonts w:hint="eastAsia"/>
          <w:color w:val="000000" w:themeColor="text1"/>
        </w:rPr>
        <w:t>定期與法醫研究所無名屍DNA資料庫進行比對。</w:t>
      </w:r>
    </w:p>
    <w:p w:rsidR="00F956E8" w:rsidRPr="000B2A94" w:rsidRDefault="00F956E8" w:rsidP="00CD3A1B">
      <w:pPr>
        <w:pStyle w:val="5"/>
        <w:rPr>
          <w:color w:val="000000" w:themeColor="text1"/>
        </w:rPr>
      </w:pPr>
      <w:r w:rsidRPr="000B2A94">
        <w:rPr>
          <w:rFonts w:hint="eastAsia"/>
          <w:color w:val="000000" w:themeColor="text1"/>
        </w:rPr>
        <w:t>直轄市政府警察局DNA實驗室定期上傳刑事案件DNA型別與內政部警政署刑事警察局資料庫進行比對。</w:t>
      </w:r>
    </w:p>
    <w:p w:rsidR="00F956E8" w:rsidRPr="000B2A94" w:rsidRDefault="00F956E8" w:rsidP="00CD3A1B">
      <w:pPr>
        <w:pStyle w:val="5"/>
        <w:rPr>
          <w:color w:val="000000" w:themeColor="text1"/>
        </w:rPr>
      </w:pPr>
      <w:r w:rsidRPr="000B2A94">
        <w:rPr>
          <w:rFonts w:hint="eastAsia"/>
          <w:color w:val="000000" w:themeColor="text1"/>
        </w:rPr>
        <w:t>建立各類新興毒品之拉曼標準圖譜並提供各警察機關手持式拉曼分析儀使用。</w:t>
      </w:r>
    </w:p>
    <w:p w:rsidR="00F956E8" w:rsidRPr="000B2A94" w:rsidRDefault="00F956E8" w:rsidP="00CD3A1B">
      <w:pPr>
        <w:pStyle w:val="5"/>
        <w:rPr>
          <w:color w:val="000000" w:themeColor="text1"/>
        </w:rPr>
      </w:pPr>
      <w:r w:rsidRPr="000B2A94">
        <w:rPr>
          <w:rFonts w:hint="eastAsia"/>
          <w:color w:val="000000" w:themeColor="text1"/>
        </w:rPr>
        <w:t>於各地方政府警察局設置指紋遠端工作站。</w:t>
      </w:r>
    </w:p>
    <w:p w:rsidR="00F956E8" w:rsidRPr="000B2A94" w:rsidRDefault="00F956E8" w:rsidP="00CD3A1B">
      <w:pPr>
        <w:pStyle w:val="3"/>
        <w:rPr>
          <w:color w:val="000000" w:themeColor="text1"/>
        </w:rPr>
      </w:pPr>
      <w:bookmarkStart w:id="367" w:name="_Toc27399972"/>
      <w:r w:rsidRPr="000B2A94">
        <w:rPr>
          <w:rFonts w:hint="eastAsia"/>
          <w:color w:val="000000" w:themeColor="text1"/>
        </w:rPr>
        <w:t>由政府委託社團法人臺灣鑑識科學學會，統合國內鑑識科學專業人員與學術機構，辦理人員教育訓練、能力試驗及鑑定證照之核發，行政院之意見</w:t>
      </w:r>
      <w:bookmarkEnd w:id="367"/>
      <w:r w:rsidR="00CD3A1B" w:rsidRPr="000B2A94">
        <w:rPr>
          <w:rFonts w:hint="eastAsia"/>
          <w:color w:val="000000" w:themeColor="text1"/>
        </w:rPr>
        <w:t>略以：</w:t>
      </w:r>
    </w:p>
    <w:p w:rsidR="00F956E8" w:rsidRPr="000B2A94" w:rsidRDefault="00F956E8" w:rsidP="00CD3A1B">
      <w:pPr>
        <w:pStyle w:val="4"/>
        <w:rPr>
          <w:color w:val="000000" w:themeColor="text1"/>
        </w:rPr>
      </w:pPr>
      <w:r w:rsidRPr="000B2A94">
        <w:rPr>
          <w:rFonts w:hint="eastAsia"/>
          <w:color w:val="000000" w:themeColor="text1"/>
        </w:rPr>
        <w:t>法務部調查局座談建議內容如下：建議由政府認可並委託「TAFS」，統合國內鑑識科學專業人員與學術機構的力量，依該會現行推展之鑑識科技方針，授與辦理人員教育訓練、能力試驗與鑑定證照之核發，統籌建立標準品資料庫、整合研究發展等鑑識科技相關事項，期在政府組織精簡之政策下，將現有鑑識人力與資源發揮最大之效</w:t>
      </w:r>
      <w:r w:rsidRPr="000B2A94">
        <w:rPr>
          <w:rFonts w:hint="eastAsia"/>
          <w:color w:val="000000" w:themeColor="text1"/>
        </w:rPr>
        <w:lastRenderedPageBreak/>
        <w:t>益。</w:t>
      </w:r>
    </w:p>
    <w:p w:rsidR="00F956E8" w:rsidRPr="000B2A94" w:rsidRDefault="00F956E8" w:rsidP="00CD3A1B">
      <w:pPr>
        <w:pStyle w:val="4"/>
        <w:rPr>
          <w:color w:val="000000" w:themeColor="text1"/>
        </w:rPr>
      </w:pPr>
      <w:r w:rsidRPr="000B2A94">
        <w:rPr>
          <w:rFonts w:hint="eastAsia"/>
          <w:color w:val="000000" w:themeColor="text1"/>
        </w:rPr>
        <w:t>法務部調查局認為，目前數位(資安)鑑識領域因鑑識標的變化快速，應爭取經費延聘國內外專家、派員出國進修或購買線上課程方式進行教育訓練，方能因應不斷變化之數位鑑識需求。</w:t>
      </w:r>
      <w:r w:rsidRPr="000B2A94">
        <w:rPr>
          <w:rFonts w:hint="eastAsia"/>
          <w:color w:val="000000" w:themeColor="text1"/>
        </w:rPr>
        <w:tab/>
        <w:t>針對數位鑑識人員，國內尚無能力認證之機構，但國外已有多個機構可認證數位(資安)鑑識領域之人員能力並核發證照，例如EC-Council機構核發之道德駭客(CEH)及電腦駭侵鑑識調查(CHFI)等，故法務部調查局數位鑑識人員，在經費允許下每年均會安排此類在職進修課程。</w:t>
      </w:r>
    </w:p>
    <w:p w:rsidR="00F956E8" w:rsidRPr="000B2A94" w:rsidRDefault="00F956E8" w:rsidP="00CD3A1B">
      <w:pPr>
        <w:pStyle w:val="4"/>
        <w:rPr>
          <w:color w:val="000000" w:themeColor="text1"/>
        </w:rPr>
      </w:pPr>
      <w:r w:rsidRPr="000B2A94">
        <w:rPr>
          <w:rFonts w:hint="eastAsia"/>
          <w:color w:val="000000" w:themeColor="text1"/>
        </w:rPr>
        <w:t>法務部法醫研究所認為，國內刑事鑑識機關之鑑定項目與實驗室大部分均已通過</w:t>
      </w:r>
      <w:r w:rsidR="0083635A" w:rsidRPr="000B2A94">
        <w:rPr>
          <w:rFonts w:hint="eastAsia"/>
          <w:color w:val="000000" w:themeColor="text1"/>
        </w:rPr>
        <w:t>TAF之</w:t>
      </w:r>
      <w:r w:rsidRPr="000B2A94">
        <w:rPr>
          <w:rFonts w:hint="eastAsia"/>
          <w:color w:val="000000" w:themeColor="text1"/>
        </w:rPr>
        <w:t>ISO/IEC 17025國際認證規範，並依國際實驗室認證聯盟(ILAC)之鑑識科學實驗室指引(ILAC G19)訂定鑑識科學實驗室認證技術規範進行評鑑認證，因此在國內已建立完善之認證規範與認證制度，且均與國際認證同步進行與接軌，並獲國際認證相互承認。有關證照制度方面，在國內從事各項刑事鑑識業務之專業人員大部分專家均服務於公家鑑識機關，為確保鑑定人具有專業之資格能力，應加強鑑定人之在職教育訓練，每項鑑定項目均須通過能力檢定後始可進行該項鑑定，且每年均須執行能力試驗，以確保鑑定人具有專業之資格能力。</w:t>
      </w:r>
    </w:p>
    <w:p w:rsidR="00F956E8" w:rsidRPr="000B2A94" w:rsidRDefault="00F956E8" w:rsidP="00C54D77">
      <w:pPr>
        <w:pStyle w:val="2"/>
        <w:rPr>
          <w:b/>
          <w:color w:val="000000" w:themeColor="text1"/>
        </w:rPr>
      </w:pPr>
      <w:bookmarkStart w:id="368" w:name="_Toc28606829"/>
      <w:r w:rsidRPr="000B2A94">
        <w:rPr>
          <w:b/>
          <w:color w:val="000000" w:themeColor="text1"/>
        </w:rPr>
        <w:t>完善證據法則及</w:t>
      </w:r>
      <w:r w:rsidRPr="000B2A94">
        <w:rPr>
          <w:b/>
          <w:color w:val="000000" w:themeColor="text1"/>
          <w:szCs w:val="32"/>
        </w:rPr>
        <w:t>專家證人制度</w:t>
      </w:r>
      <w:bookmarkEnd w:id="368"/>
    </w:p>
    <w:p w:rsidR="00F956E8" w:rsidRPr="000B2A94" w:rsidRDefault="00F956E8" w:rsidP="00F956E8">
      <w:pPr>
        <w:pStyle w:val="3"/>
        <w:numPr>
          <w:ilvl w:val="2"/>
          <w:numId w:val="1"/>
        </w:numPr>
        <w:overflowPunct/>
        <w:autoSpaceDE/>
        <w:autoSpaceDN/>
        <w:ind w:left="1393" w:hanging="697"/>
        <w:rPr>
          <w:color w:val="000000" w:themeColor="text1"/>
        </w:rPr>
      </w:pPr>
      <w:bookmarkStart w:id="369" w:name="_Toc27399974"/>
      <w:r w:rsidRPr="000B2A94">
        <w:rPr>
          <w:rFonts w:hint="eastAsia"/>
          <w:color w:val="000000" w:themeColor="text1"/>
        </w:rPr>
        <w:t>司法院意見</w:t>
      </w:r>
      <w:bookmarkEnd w:id="369"/>
    </w:p>
    <w:p w:rsidR="00F956E8" w:rsidRPr="000B2A94" w:rsidRDefault="00F956E8" w:rsidP="00CD3A1B">
      <w:pPr>
        <w:pStyle w:val="4"/>
        <w:rPr>
          <w:color w:val="000000" w:themeColor="text1"/>
        </w:rPr>
      </w:pPr>
      <w:r w:rsidRPr="000B2A94">
        <w:rPr>
          <w:color w:val="000000" w:themeColor="text1"/>
        </w:rPr>
        <w:t>因民事、刑事及行政訴訟之訴訟性質不同，各類訴訟中有關舉證責任之分配法則、證據方法與調查程序之方式等規定，不盡一致，是以，現階段</w:t>
      </w:r>
      <w:r w:rsidRPr="000B2A94">
        <w:rPr>
          <w:color w:val="000000" w:themeColor="text1"/>
        </w:rPr>
        <w:lastRenderedPageBreak/>
        <w:t>尚無</w:t>
      </w:r>
      <w:r w:rsidRPr="000B2A94">
        <w:rPr>
          <w:rFonts w:hint="eastAsia"/>
          <w:color w:val="000000" w:themeColor="text1"/>
        </w:rPr>
        <w:t>訂定適用於刑事、民事、行政訴訟之證據法專法之必要。</w:t>
      </w:r>
    </w:p>
    <w:p w:rsidR="00F956E8" w:rsidRPr="000B2A94" w:rsidRDefault="00F956E8" w:rsidP="00F956E8">
      <w:pPr>
        <w:pStyle w:val="4"/>
        <w:numPr>
          <w:ilvl w:val="3"/>
          <w:numId w:val="1"/>
        </w:numPr>
        <w:overflowPunct/>
        <w:autoSpaceDE/>
        <w:autoSpaceDN/>
        <w:ind w:left="1741" w:hanging="698"/>
        <w:rPr>
          <w:color w:val="000000" w:themeColor="text1"/>
        </w:rPr>
      </w:pPr>
      <w:r w:rsidRPr="000B2A94">
        <w:rPr>
          <w:color w:val="000000" w:themeColor="text1"/>
        </w:rPr>
        <w:t>刑事訴訟案件</w:t>
      </w:r>
    </w:p>
    <w:p w:rsidR="00F956E8" w:rsidRPr="000B2A94" w:rsidRDefault="00F956E8" w:rsidP="00F956E8">
      <w:pPr>
        <w:pStyle w:val="42"/>
        <w:ind w:left="1701" w:firstLine="680"/>
        <w:rPr>
          <w:color w:val="000000" w:themeColor="text1"/>
        </w:rPr>
      </w:pPr>
      <w:r w:rsidRPr="000B2A94">
        <w:rPr>
          <w:rFonts w:hint="eastAsia"/>
          <w:color w:val="000000" w:themeColor="text1"/>
        </w:rPr>
        <w:t>為落實司法改革國是會議決議所揭櫫「研議制訂並完</w:t>
      </w:r>
      <w:r w:rsidR="00083A26" w:rsidRPr="000B2A94">
        <w:rPr>
          <w:rFonts w:hint="eastAsia"/>
          <w:color w:val="000000" w:themeColor="text1"/>
        </w:rPr>
        <w:t>善專家證人制度，同時檢討現行鑑定制度功能的缺失及其存廢問題」，司法</w:t>
      </w:r>
      <w:r w:rsidRPr="000B2A94">
        <w:rPr>
          <w:rFonts w:hint="eastAsia"/>
          <w:color w:val="000000" w:themeColor="text1"/>
        </w:rPr>
        <w:t>院業於108年5月30日第177次院會通過「刑事訴訟法部分條文修正草案（鑑定）」暨「刑事訴訟法施行法第7條之15修正草案」，並以108年6月5日院台廳刑一字第1080015715號函送行政院會銜，迄今業經行政院召開4次研商會議，將俟會銜完竣後，送請立法院審議。</w:t>
      </w:r>
    </w:p>
    <w:p w:rsidR="00F956E8" w:rsidRPr="000B2A94" w:rsidRDefault="00F956E8" w:rsidP="00F956E8">
      <w:pPr>
        <w:pStyle w:val="4"/>
        <w:numPr>
          <w:ilvl w:val="3"/>
          <w:numId w:val="1"/>
        </w:numPr>
        <w:overflowPunct/>
        <w:autoSpaceDE/>
        <w:autoSpaceDN/>
        <w:ind w:left="1741" w:hanging="698"/>
        <w:rPr>
          <w:color w:val="000000" w:themeColor="text1"/>
        </w:rPr>
      </w:pPr>
      <w:r w:rsidRPr="000B2A94">
        <w:rPr>
          <w:color w:val="000000" w:themeColor="text1"/>
        </w:rPr>
        <w:t>民事訴訟事件</w:t>
      </w:r>
    </w:p>
    <w:p w:rsidR="00F956E8" w:rsidRPr="000B2A94" w:rsidRDefault="00CD3A1B" w:rsidP="00F956E8">
      <w:pPr>
        <w:pStyle w:val="42"/>
        <w:ind w:left="1701" w:firstLine="680"/>
        <w:rPr>
          <w:color w:val="000000" w:themeColor="text1"/>
        </w:rPr>
      </w:pPr>
      <w:r w:rsidRPr="000B2A94">
        <w:rPr>
          <w:rFonts w:hint="eastAsia"/>
          <w:color w:val="000000" w:themeColor="text1"/>
        </w:rPr>
        <w:t>司法</w:t>
      </w:r>
      <w:r w:rsidR="00F956E8" w:rsidRPr="000B2A94">
        <w:rPr>
          <w:rFonts w:hint="eastAsia"/>
          <w:color w:val="000000" w:themeColor="text1"/>
        </w:rPr>
        <w:t>院已將專家證人制度列入「商業事件審理法草案」，並於108年7月10日函請立法院審議，該院司法及法制委員會於同年10月28日逐條審查完畢。</w:t>
      </w:r>
    </w:p>
    <w:p w:rsidR="00F956E8" w:rsidRPr="000B2A94" w:rsidRDefault="00F956E8" w:rsidP="005356B8">
      <w:pPr>
        <w:pStyle w:val="4"/>
        <w:rPr>
          <w:color w:val="000000" w:themeColor="text1"/>
        </w:rPr>
      </w:pPr>
      <w:r w:rsidRPr="000B2A94">
        <w:rPr>
          <w:color w:val="000000" w:themeColor="text1"/>
        </w:rPr>
        <w:t>行政訴訟事件</w:t>
      </w:r>
    </w:p>
    <w:p w:rsidR="00F956E8" w:rsidRPr="000B2A94" w:rsidRDefault="00F956E8" w:rsidP="00F956E8">
      <w:pPr>
        <w:pStyle w:val="42"/>
        <w:ind w:left="1701" w:firstLine="680"/>
        <w:rPr>
          <w:color w:val="000000" w:themeColor="text1"/>
        </w:rPr>
      </w:pPr>
      <w:r w:rsidRPr="000B2A94">
        <w:rPr>
          <w:color w:val="000000" w:themeColor="text1"/>
        </w:rPr>
        <w:t>為增進法院於裁判上認事用法之適當性、保護訴訟當事人之利益、提升國民對司法之信賴</w:t>
      </w:r>
      <w:r w:rsidR="00083A26" w:rsidRPr="000B2A94">
        <w:rPr>
          <w:color w:val="000000" w:themeColor="text1"/>
        </w:rPr>
        <w:t>，</w:t>
      </w:r>
      <w:r w:rsidR="00083A26" w:rsidRPr="000B2A94">
        <w:rPr>
          <w:rFonts w:hint="eastAsia"/>
          <w:color w:val="000000" w:themeColor="text1"/>
        </w:rPr>
        <w:t>司法</w:t>
      </w:r>
      <w:r w:rsidRPr="000B2A94">
        <w:rPr>
          <w:color w:val="000000" w:themeColor="text1"/>
        </w:rPr>
        <w:t>院已擬具「行政訴訟法部分條文修正草案」</w:t>
      </w:r>
      <w:r w:rsidRPr="000B2A94">
        <w:rPr>
          <w:rFonts w:hint="eastAsia"/>
          <w:color w:val="000000" w:themeColor="text1"/>
        </w:rPr>
        <w:t>，</w:t>
      </w:r>
      <w:r w:rsidRPr="000B2A94">
        <w:rPr>
          <w:color w:val="000000" w:themeColor="text1"/>
        </w:rPr>
        <w:t>引進專業領域之專家輔助審判，使訴訟得以迅速進行及妥適解決，該修正草案業以</w:t>
      </w:r>
      <w:r w:rsidRPr="000B2A94">
        <w:rPr>
          <w:rFonts w:hint="eastAsia"/>
          <w:color w:val="000000" w:themeColor="text1"/>
        </w:rPr>
        <w:t>107</w:t>
      </w:r>
      <w:r w:rsidRPr="000B2A94">
        <w:rPr>
          <w:color w:val="000000" w:themeColor="text1"/>
        </w:rPr>
        <w:t>年8月23日院台廳行一字第1070023479號函送請立法院審議。該院司法及法制委員會於108年3月25</w:t>
      </w:r>
      <w:r w:rsidRPr="000B2A94">
        <w:rPr>
          <w:rFonts w:hint="eastAsia"/>
          <w:color w:val="000000" w:themeColor="text1"/>
        </w:rPr>
        <w:t>日</w:t>
      </w:r>
      <w:r w:rsidRPr="000B2A94">
        <w:rPr>
          <w:color w:val="000000" w:themeColor="text1"/>
        </w:rPr>
        <w:t>召開全體委員會議審查，將繼續審議。</w:t>
      </w:r>
    </w:p>
    <w:p w:rsidR="00F956E8" w:rsidRPr="000B2A94" w:rsidRDefault="00F956E8" w:rsidP="00C54D77">
      <w:pPr>
        <w:pStyle w:val="2"/>
        <w:rPr>
          <w:b/>
          <w:color w:val="000000" w:themeColor="text1"/>
        </w:rPr>
      </w:pPr>
      <w:bookmarkStart w:id="370" w:name="_Toc28606830"/>
      <w:r w:rsidRPr="000B2A94">
        <w:rPr>
          <w:b/>
          <w:color w:val="000000" w:themeColor="text1"/>
        </w:rPr>
        <w:t>測謊證據之施測標準流程及其證據能力</w:t>
      </w:r>
      <w:bookmarkEnd w:id="370"/>
    </w:p>
    <w:p w:rsidR="00F956E8" w:rsidRPr="000B2A94" w:rsidRDefault="00F956E8" w:rsidP="00F956E8">
      <w:pPr>
        <w:pStyle w:val="3"/>
        <w:numPr>
          <w:ilvl w:val="2"/>
          <w:numId w:val="1"/>
        </w:numPr>
        <w:overflowPunct/>
        <w:autoSpaceDE/>
        <w:autoSpaceDN/>
        <w:ind w:left="1393" w:hanging="697"/>
        <w:rPr>
          <w:color w:val="000000" w:themeColor="text1"/>
        </w:rPr>
      </w:pPr>
      <w:bookmarkStart w:id="371" w:name="_Toc27399976"/>
      <w:r w:rsidRPr="000B2A94">
        <w:rPr>
          <w:rFonts w:hint="eastAsia"/>
          <w:color w:val="000000" w:themeColor="text1"/>
        </w:rPr>
        <w:t>測謊證據之施測標準，目前各鑑定機關統一標準作業程序及版本之情形</w:t>
      </w:r>
      <w:bookmarkEnd w:id="371"/>
    </w:p>
    <w:p w:rsidR="00F956E8" w:rsidRPr="000B2A94" w:rsidRDefault="00F956E8" w:rsidP="00F956E8">
      <w:pPr>
        <w:pStyle w:val="32"/>
        <w:ind w:left="1361" w:firstLine="680"/>
        <w:rPr>
          <w:color w:val="000000" w:themeColor="text1"/>
        </w:rPr>
      </w:pPr>
      <w:r w:rsidRPr="000B2A94">
        <w:rPr>
          <w:rFonts w:hint="eastAsia"/>
          <w:color w:val="000000" w:themeColor="text1"/>
        </w:rPr>
        <w:t>有關測謊施測標準及程序，法務部108年7月16</w:t>
      </w:r>
      <w:r w:rsidRPr="000B2A94">
        <w:rPr>
          <w:rFonts w:hint="eastAsia"/>
          <w:color w:val="000000" w:themeColor="text1"/>
        </w:rPr>
        <w:lastRenderedPageBreak/>
        <w:t>日法檢字第10800086850號函，要求內政部警政署刑事警察局、國防部憲兵指揮部刑事鑑識中心、法務部所屬廉政署及調查局，依所共同制訂全國一致之標準作業程序，辦理測謊作業。</w:t>
      </w:r>
    </w:p>
    <w:p w:rsidR="00F956E8" w:rsidRPr="000B2A94" w:rsidRDefault="00F956E8" w:rsidP="00F956E8">
      <w:pPr>
        <w:pStyle w:val="3"/>
        <w:numPr>
          <w:ilvl w:val="2"/>
          <w:numId w:val="1"/>
        </w:numPr>
        <w:overflowPunct/>
        <w:autoSpaceDE/>
        <w:autoSpaceDN/>
        <w:ind w:left="1393" w:hanging="697"/>
        <w:rPr>
          <w:color w:val="000000" w:themeColor="text1"/>
        </w:rPr>
      </w:pPr>
      <w:bookmarkStart w:id="372" w:name="_Toc27399977"/>
      <w:r w:rsidRPr="000B2A94">
        <w:rPr>
          <w:rFonts w:hint="eastAsia"/>
          <w:color w:val="000000" w:themeColor="text1"/>
        </w:rPr>
        <w:t>司法院建議</w:t>
      </w:r>
      <w:bookmarkEnd w:id="372"/>
    </w:p>
    <w:p w:rsidR="00F956E8" w:rsidRPr="000B2A94" w:rsidRDefault="00F956E8" w:rsidP="005356B8">
      <w:pPr>
        <w:pStyle w:val="4"/>
        <w:rPr>
          <w:color w:val="000000" w:themeColor="text1"/>
        </w:rPr>
      </w:pPr>
      <w:r w:rsidRPr="000B2A94">
        <w:rPr>
          <w:rFonts w:hint="eastAsia"/>
          <w:color w:val="000000" w:themeColor="text1"/>
        </w:rPr>
        <w:t>刑事訴訟法部分條文修正草案新增第160之1「測謊之結果不得作為認定犯罪事實存否之證據。但作為爭執被告、被害人或證人陳述之證明力者，不在此限」，修正理由如下：</w:t>
      </w:r>
    </w:p>
    <w:p w:rsidR="00F956E8" w:rsidRPr="000B2A94" w:rsidRDefault="00F956E8" w:rsidP="005356B8">
      <w:pPr>
        <w:pStyle w:val="5"/>
        <w:rPr>
          <w:color w:val="000000" w:themeColor="text1"/>
        </w:rPr>
      </w:pPr>
      <w:r w:rsidRPr="000B2A94">
        <w:rPr>
          <w:rFonts w:hint="eastAsia"/>
          <w:color w:val="000000" w:themeColor="text1"/>
        </w:rPr>
        <w:t>按測謊係透過儀器，反映受測者受測時之生理現象，再經人工判讀檢視受測者對過去發生事實之陳述與其記憶是否相符之程序，實施測謊之受測對象為人，而每個人生理、心理及情緒等狀態，在不同時間本不可能完全相同，其生理反應受外在影響因素甚夥，諸如疾病、高度冷靜之自我抑制、激憤之情緒、受測以外其他事件之影響等，不止於說謊一項，且與人格特質亦有相當關連，亦不能排除刻意自我控制之可能性，因此說謊時亦不必然均會產生生理、心理及情緒之緊張波動反應。</w:t>
      </w:r>
    </w:p>
    <w:p w:rsidR="00F956E8" w:rsidRPr="000B2A94" w:rsidRDefault="00F956E8" w:rsidP="005356B8">
      <w:pPr>
        <w:pStyle w:val="5"/>
        <w:rPr>
          <w:color w:val="000000" w:themeColor="text1"/>
        </w:rPr>
      </w:pPr>
      <w:r w:rsidRPr="000B2A94">
        <w:rPr>
          <w:rFonts w:hint="eastAsia"/>
          <w:color w:val="000000" w:themeColor="text1"/>
        </w:rPr>
        <w:t>其次，測謊係透過儀器檢測受測者之記憶與其陳述是否相符之程序，如受測者之主觀認知與事實不符，或未將事實如實轉錄儲存於記憶，甚或發生對於事實完全未儲存於記憶等情形，亦無法藉由實施測謊證立受測者之陳述是否與其記憶相符。再者，美國司法實務早期採用佛萊法則時，已認為測謊報告未達科學上「普遍接受」之程度而不容許提出於法院作為證據；縱使測謊技術改變，自聯邦最高法院揭示道伯法則以來，大部分聯邦上訴巡迴法院及各州最</w:t>
      </w:r>
      <w:r w:rsidRPr="000B2A94">
        <w:rPr>
          <w:rFonts w:hint="eastAsia"/>
          <w:color w:val="000000" w:themeColor="text1"/>
        </w:rPr>
        <w:lastRenderedPageBreak/>
        <w:t>高法院仍認為測謊結果不具證據容許性，不得提出於法院。</w:t>
      </w:r>
    </w:p>
    <w:p w:rsidR="00F956E8" w:rsidRPr="000B2A94" w:rsidRDefault="00F956E8" w:rsidP="005356B8">
      <w:pPr>
        <w:pStyle w:val="5"/>
        <w:rPr>
          <w:color w:val="000000" w:themeColor="text1"/>
        </w:rPr>
      </w:pPr>
      <w:r w:rsidRPr="000B2A94">
        <w:rPr>
          <w:rFonts w:hint="eastAsia"/>
          <w:color w:val="000000" w:themeColor="text1"/>
        </w:rPr>
        <w:t>德國近年實務雖認為在取得被告同意下，實施測謊未侵害被告之憲法上權利，但測謊採用之問題控制法等方式尚未達「普遍一般及無可懷疑而可信」之程度，無證據價值可言，對於此種全然不適當之證據方法，法院得逕以裁定駁回證據調查之聲請。</w:t>
      </w:r>
    </w:p>
    <w:p w:rsidR="00F956E8" w:rsidRPr="000B2A94" w:rsidRDefault="00F956E8" w:rsidP="005356B8">
      <w:pPr>
        <w:pStyle w:val="5"/>
        <w:rPr>
          <w:color w:val="000000" w:themeColor="text1"/>
        </w:rPr>
      </w:pPr>
      <w:r w:rsidRPr="000B2A94">
        <w:rPr>
          <w:rFonts w:hint="eastAsia"/>
          <w:color w:val="000000" w:themeColor="text1"/>
        </w:rPr>
        <w:t>由上可知，美國及德國業於司法實務排除測謊結果之證據容許性及調查必要性。綜上，受測者說謊時不必然均會產生生理、心理及情緒之緊張波動之說謊反應，縱有產生圖譜波動之說謊反應，亦不必然得以證立受測者之陳述與其記憶不符。尤以美國及德國司法實務均業已排除測謊結果之證據容許性及調查必要性，測謊之結果自無證據適格，而不得作為認定犯罪事實存否之證據，爰增訂本條規定。然而為發現無辜、避免冤抑等情，測謊之結果自得作為爭執被告、被害人或證人陳述證明力之彈劾證據(日本刑事訴訟法第三百二十八條參照)，爰為但書之規定。至於偵查機關得以測謊之結果作為偵查手段，藉以排除或指出偵查之方向，協助偵查，則不在禁止之列，自不待言。</w:t>
      </w:r>
    </w:p>
    <w:p w:rsidR="00F956E8" w:rsidRPr="000B2A94" w:rsidRDefault="00F956E8" w:rsidP="005356B8">
      <w:pPr>
        <w:pStyle w:val="4"/>
        <w:rPr>
          <w:color w:val="000000" w:themeColor="text1"/>
        </w:rPr>
      </w:pPr>
      <w:r w:rsidRPr="000B2A94">
        <w:rPr>
          <w:color w:val="000000" w:themeColor="text1"/>
        </w:rPr>
        <w:t>美國</w:t>
      </w:r>
    </w:p>
    <w:p w:rsidR="00F956E8" w:rsidRPr="000B2A94" w:rsidRDefault="00F956E8" w:rsidP="005356B8">
      <w:pPr>
        <w:pStyle w:val="5"/>
        <w:rPr>
          <w:color w:val="000000" w:themeColor="text1"/>
        </w:rPr>
      </w:pPr>
      <w:r w:rsidRPr="000B2A94">
        <w:rPr>
          <w:color w:val="000000" w:themeColor="text1"/>
        </w:rPr>
        <w:t>美國司法實務於1923年採用佛萊法則時，已認為測謊報告未達科學上「普遍接受」之程度而不容許提出於法院作為證據</w:t>
      </w:r>
      <w:r w:rsidRPr="000B2A94">
        <w:rPr>
          <w:rFonts w:hint="eastAsia"/>
          <w:color w:val="000000" w:themeColor="text1"/>
        </w:rPr>
        <w:t>。</w:t>
      </w:r>
      <w:r w:rsidRPr="000B2A94">
        <w:rPr>
          <w:color w:val="000000" w:themeColor="text1"/>
        </w:rPr>
        <w:t>縱使自聯邦最高法院於1993年對於專家證人揭示道伯法則以來，大部分聯邦上訴巡迴法院及各州最高法院仍認為測謊結果不具證據容許性，不得提出於</w:t>
      </w:r>
      <w:r w:rsidRPr="000B2A94">
        <w:rPr>
          <w:color w:val="000000" w:themeColor="text1"/>
        </w:rPr>
        <w:lastRenderedPageBreak/>
        <w:t>法院。</w:t>
      </w:r>
      <w:r w:rsidRPr="000B2A94">
        <w:rPr>
          <w:rFonts w:hint="eastAsia"/>
          <w:color w:val="000000" w:themeColor="text1"/>
        </w:rPr>
        <w:t>美國</w:t>
      </w:r>
      <w:r w:rsidRPr="000B2A94">
        <w:rPr>
          <w:color w:val="000000" w:themeColor="text1"/>
        </w:rPr>
        <w:t>聯邦最高法院於</w:t>
      </w:r>
      <w:r w:rsidRPr="000B2A94">
        <w:rPr>
          <w:rFonts w:hint="eastAsia"/>
          <w:color w:val="000000" w:themeColor="text1"/>
        </w:rPr>
        <w:t>道伯案認為，</w:t>
      </w:r>
      <w:r w:rsidRPr="000B2A94">
        <w:rPr>
          <w:color w:val="000000" w:themeColor="text1"/>
        </w:rPr>
        <w:t>對</w:t>
      </w:r>
      <w:r w:rsidRPr="000B2A94">
        <w:rPr>
          <w:rFonts w:hint="eastAsia"/>
          <w:color w:val="000000" w:themeColor="text1"/>
        </w:rPr>
        <w:t>於</w:t>
      </w:r>
      <w:r w:rsidRPr="000B2A94">
        <w:rPr>
          <w:color w:val="000000" w:themeColor="text1"/>
        </w:rPr>
        <w:t>專家證人提出</w:t>
      </w:r>
      <w:r w:rsidRPr="000B2A94">
        <w:rPr>
          <w:rFonts w:hint="eastAsia"/>
          <w:color w:val="000000" w:themeColor="text1"/>
        </w:rPr>
        <w:t>之</w:t>
      </w:r>
      <w:r w:rsidRPr="000B2A94">
        <w:rPr>
          <w:color w:val="000000" w:themeColor="text1"/>
        </w:rPr>
        <w:t>科學證據</w:t>
      </w:r>
      <w:r w:rsidRPr="000B2A94">
        <w:rPr>
          <w:rFonts w:hint="eastAsia"/>
          <w:color w:val="000000" w:themeColor="text1"/>
        </w:rPr>
        <w:t>，如</w:t>
      </w:r>
      <w:r w:rsidRPr="000B2A94">
        <w:rPr>
          <w:color w:val="000000" w:themeColor="text1"/>
        </w:rPr>
        <w:t>符合</w:t>
      </w:r>
      <w:r w:rsidRPr="000B2A94">
        <w:rPr>
          <w:rFonts w:hint="eastAsia"/>
          <w:color w:val="000000" w:themeColor="text1"/>
        </w:rPr>
        <w:t>「關連性」</w:t>
      </w:r>
      <w:r w:rsidRPr="000B2A94">
        <w:rPr>
          <w:color w:val="000000" w:themeColor="text1"/>
        </w:rPr>
        <w:t>(relevant)及</w:t>
      </w:r>
      <w:r w:rsidRPr="000B2A94">
        <w:rPr>
          <w:rFonts w:hint="eastAsia"/>
          <w:color w:val="000000" w:themeColor="text1"/>
        </w:rPr>
        <w:t>「</w:t>
      </w:r>
      <w:r w:rsidRPr="000B2A94">
        <w:rPr>
          <w:color w:val="000000" w:themeColor="text1"/>
        </w:rPr>
        <w:t>可信賴性</w:t>
      </w:r>
      <w:r w:rsidRPr="000B2A94">
        <w:rPr>
          <w:rFonts w:hint="eastAsia"/>
          <w:color w:val="000000" w:themeColor="text1"/>
        </w:rPr>
        <w:t>」</w:t>
      </w:r>
      <w:r w:rsidRPr="000B2A94">
        <w:rPr>
          <w:color w:val="000000" w:themeColor="text1"/>
        </w:rPr>
        <w:t>(reliable)</w:t>
      </w:r>
      <w:r w:rsidRPr="000B2A94">
        <w:rPr>
          <w:rFonts w:hint="eastAsia"/>
          <w:color w:val="000000" w:themeColor="text1"/>
        </w:rPr>
        <w:t>之要件</w:t>
      </w:r>
      <w:r w:rsidRPr="000B2A94">
        <w:rPr>
          <w:color w:val="000000" w:themeColor="text1"/>
        </w:rPr>
        <w:t>，</w:t>
      </w:r>
      <w:r w:rsidRPr="000B2A94">
        <w:rPr>
          <w:rFonts w:hint="eastAsia"/>
          <w:color w:val="000000" w:themeColor="text1"/>
        </w:rPr>
        <w:t>即具備證據</w:t>
      </w:r>
      <w:r w:rsidRPr="000B2A94">
        <w:rPr>
          <w:color w:val="000000" w:themeColor="text1"/>
        </w:rPr>
        <w:t>容許性。</w:t>
      </w:r>
      <w:r w:rsidRPr="000B2A94">
        <w:rPr>
          <w:rFonts w:hint="eastAsia"/>
          <w:color w:val="000000" w:themeColor="text1"/>
        </w:rPr>
        <w:t>其中就</w:t>
      </w:r>
      <w:r w:rsidRPr="000B2A94">
        <w:rPr>
          <w:color w:val="000000" w:themeColor="text1"/>
        </w:rPr>
        <w:t>「可信賴性」</w:t>
      </w:r>
      <w:r w:rsidRPr="000B2A94">
        <w:rPr>
          <w:rFonts w:hint="eastAsia"/>
          <w:color w:val="000000" w:themeColor="text1"/>
        </w:rPr>
        <w:t>並</w:t>
      </w:r>
      <w:r w:rsidRPr="000B2A94">
        <w:rPr>
          <w:color w:val="000000" w:themeColor="text1"/>
        </w:rPr>
        <w:t>建立</w:t>
      </w:r>
      <w:r w:rsidRPr="000B2A94">
        <w:rPr>
          <w:rFonts w:hint="eastAsia"/>
          <w:color w:val="000000" w:themeColor="text1"/>
        </w:rPr>
        <w:t>以下</w:t>
      </w:r>
      <w:r w:rsidRPr="000B2A94">
        <w:rPr>
          <w:color w:val="000000" w:themeColor="text1"/>
        </w:rPr>
        <w:t>標準：</w:t>
      </w:r>
      <w:r w:rsidRPr="000B2A94">
        <w:rPr>
          <w:color w:val="000000" w:themeColor="text1"/>
        </w:rPr>
        <w:fldChar w:fldCharType="begin"/>
      </w:r>
      <w:r w:rsidRPr="000B2A94">
        <w:rPr>
          <w:color w:val="000000" w:themeColor="text1"/>
        </w:rPr>
        <w:instrText xml:space="preserve"> </w:instrText>
      </w:r>
      <w:r w:rsidRPr="000B2A94">
        <w:rPr>
          <w:rFonts w:hint="eastAsia"/>
          <w:color w:val="000000" w:themeColor="text1"/>
        </w:rPr>
        <w:instrText>eq \o\ac(○,1)</w:instrText>
      </w:r>
      <w:r w:rsidRPr="000B2A94">
        <w:rPr>
          <w:color w:val="000000" w:themeColor="text1"/>
        </w:rPr>
        <w:fldChar w:fldCharType="end"/>
      </w:r>
      <w:r w:rsidRPr="000B2A94">
        <w:rPr>
          <w:color w:val="000000" w:themeColor="text1"/>
        </w:rPr>
        <w:t>該科學理論是否可被證實；</w:t>
      </w:r>
      <w:r w:rsidRPr="000B2A94">
        <w:rPr>
          <w:color w:val="000000" w:themeColor="text1"/>
        </w:rPr>
        <w:fldChar w:fldCharType="begin"/>
      </w:r>
      <w:r w:rsidRPr="000B2A94">
        <w:rPr>
          <w:color w:val="000000" w:themeColor="text1"/>
        </w:rPr>
        <w:instrText xml:space="preserve"> </w:instrText>
      </w:r>
      <w:r w:rsidRPr="000B2A94">
        <w:rPr>
          <w:rFonts w:hint="eastAsia"/>
          <w:color w:val="000000" w:themeColor="text1"/>
        </w:rPr>
        <w:instrText>eq \o\ac(○,2)</w:instrText>
      </w:r>
      <w:r w:rsidRPr="000B2A94">
        <w:rPr>
          <w:color w:val="000000" w:themeColor="text1"/>
        </w:rPr>
        <w:fldChar w:fldCharType="end"/>
      </w:r>
      <w:r w:rsidRPr="000B2A94">
        <w:rPr>
          <w:color w:val="000000" w:themeColor="text1"/>
        </w:rPr>
        <w:t>有無正式發表並被同儕審查；</w:t>
      </w:r>
      <w:r w:rsidRPr="000B2A94">
        <w:rPr>
          <w:color w:val="000000" w:themeColor="text1"/>
        </w:rPr>
        <w:fldChar w:fldCharType="begin"/>
      </w:r>
      <w:r w:rsidRPr="000B2A94">
        <w:rPr>
          <w:color w:val="000000" w:themeColor="text1"/>
        </w:rPr>
        <w:instrText xml:space="preserve"> </w:instrText>
      </w:r>
      <w:r w:rsidRPr="000B2A94">
        <w:rPr>
          <w:rFonts w:hint="eastAsia"/>
          <w:color w:val="000000" w:themeColor="text1"/>
        </w:rPr>
        <w:instrText>eq \o\ac(○,3)</w:instrText>
      </w:r>
      <w:r w:rsidRPr="000B2A94">
        <w:rPr>
          <w:color w:val="000000" w:themeColor="text1"/>
        </w:rPr>
        <w:fldChar w:fldCharType="end"/>
      </w:r>
      <w:r w:rsidRPr="000B2A94">
        <w:rPr>
          <w:color w:val="000000" w:themeColor="text1"/>
        </w:rPr>
        <w:t>誤差率多少；</w:t>
      </w:r>
      <w:r w:rsidRPr="000B2A94">
        <w:rPr>
          <w:color w:val="000000" w:themeColor="text1"/>
        </w:rPr>
        <w:fldChar w:fldCharType="begin"/>
      </w:r>
      <w:r w:rsidRPr="000B2A94">
        <w:rPr>
          <w:color w:val="000000" w:themeColor="text1"/>
        </w:rPr>
        <w:instrText xml:space="preserve"> </w:instrText>
      </w:r>
      <w:r w:rsidRPr="000B2A94">
        <w:rPr>
          <w:rFonts w:hint="eastAsia"/>
          <w:color w:val="000000" w:themeColor="text1"/>
        </w:rPr>
        <w:instrText>eq \o\ac(○,4)</w:instrText>
      </w:r>
      <w:r w:rsidRPr="000B2A94">
        <w:rPr>
          <w:color w:val="000000" w:themeColor="text1"/>
        </w:rPr>
        <w:fldChar w:fldCharType="end"/>
      </w:r>
      <w:r w:rsidRPr="000B2A94">
        <w:rPr>
          <w:color w:val="000000" w:themeColor="text1"/>
        </w:rPr>
        <w:t>是否被相關科學領域所普遍接受。</w:t>
      </w:r>
    </w:p>
    <w:p w:rsidR="00F956E8" w:rsidRPr="000B2A94" w:rsidRDefault="00F956E8" w:rsidP="00F956E8">
      <w:pPr>
        <w:pStyle w:val="5"/>
        <w:numPr>
          <w:ilvl w:val="4"/>
          <w:numId w:val="1"/>
        </w:numPr>
        <w:overflowPunct/>
        <w:autoSpaceDE/>
        <w:autoSpaceDN/>
        <w:ind w:left="2095" w:hanging="700"/>
        <w:rPr>
          <w:color w:val="000000" w:themeColor="text1"/>
        </w:rPr>
      </w:pPr>
      <w:r w:rsidRPr="000B2A94">
        <w:rPr>
          <w:color w:val="000000" w:themeColor="text1"/>
        </w:rPr>
        <w:t>贊成測謊可以運用於刑事訴訟程序之論者，多以美國新墨西哥州已經明文規定測謊有證據能力，但</w:t>
      </w:r>
      <w:r w:rsidRPr="000B2A94">
        <w:rPr>
          <w:rFonts w:hint="eastAsia"/>
          <w:color w:val="000000" w:themeColor="text1"/>
        </w:rPr>
        <w:t>此</w:t>
      </w:r>
      <w:r w:rsidRPr="000B2A94">
        <w:rPr>
          <w:color w:val="000000" w:themeColor="text1"/>
        </w:rPr>
        <w:t>仍屬少數；而部分州最高法院認為測謊另在取得兩造當事人同意下，始具備容許性，但此僅作為辯護方法或只在民事訴訟中使用，仍屬例外。</w:t>
      </w:r>
    </w:p>
    <w:p w:rsidR="00F956E8" w:rsidRPr="000B2A94" w:rsidRDefault="00F956E8" w:rsidP="005356B8">
      <w:pPr>
        <w:pStyle w:val="5"/>
        <w:rPr>
          <w:color w:val="000000" w:themeColor="text1"/>
        </w:rPr>
      </w:pPr>
      <w:r w:rsidRPr="000B2A94">
        <w:rPr>
          <w:color w:val="000000" w:themeColor="text1"/>
        </w:rPr>
        <w:t>另</w:t>
      </w:r>
      <w:r w:rsidRPr="000B2A94">
        <w:rPr>
          <w:rFonts w:hint="eastAsia"/>
          <w:color w:val="000000" w:themeColor="text1"/>
        </w:rPr>
        <w:t>美國軍事法庭證據規則707</w:t>
      </w:r>
      <w:r w:rsidRPr="000B2A94">
        <w:rPr>
          <w:color w:val="000000" w:themeColor="text1"/>
        </w:rPr>
        <w:t>(</w:t>
      </w:r>
      <w:r w:rsidRPr="000B2A94">
        <w:rPr>
          <w:rFonts w:hint="eastAsia"/>
          <w:color w:val="000000" w:themeColor="text1"/>
        </w:rPr>
        <w:t>a</w:t>
      </w:r>
      <w:r w:rsidRPr="000B2A94">
        <w:rPr>
          <w:color w:val="000000" w:themeColor="text1"/>
        </w:rPr>
        <w:t>)</w:t>
      </w:r>
      <w:r w:rsidRPr="000B2A94">
        <w:rPr>
          <w:rFonts w:hint="eastAsia"/>
          <w:color w:val="000000" w:themeColor="text1"/>
        </w:rPr>
        <w:t>規定（附件</w:t>
      </w:r>
      <w:r w:rsidRPr="000B2A94">
        <w:rPr>
          <w:color w:val="000000" w:themeColor="text1"/>
        </w:rPr>
        <w:t>3</w:t>
      </w:r>
      <w:r w:rsidRPr="000B2A94">
        <w:rPr>
          <w:rFonts w:hint="eastAsia"/>
          <w:color w:val="000000" w:themeColor="text1"/>
        </w:rPr>
        <w:t>），</w:t>
      </w:r>
      <w:r w:rsidRPr="000B2A94">
        <w:rPr>
          <w:color w:val="000000" w:themeColor="text1"/>
        </w:rPr>
        <w:t>縱使法律另有規定，測謊結果、測謊施測者之意見、任何有關提供測謊測試、無法進行測謊測試，或進行測謊之參考資料，均不得容許作為證據。</w:t>
      </w:r>
    </w:p>
    <w:p w:rsidR="00AA52B8" w:rsidRPr="000B2A94" w:rsidRDefault="00F956E8" w:rsidP="005356B8">
      <w:pPr>
        <w:pStyle w:val="4"/>
        <w:rPr>
          <w:color w:val="000000" w:themeColor="text1"/>
        </w:rPr>
      </w:pPr>
      <w:r w:rsidRPr="000B2A94">
        <w:rPr>
          <w:rFonts w:hint="eastAsia"/>
          <w:color w:val="000000" w:themeColor="text1"/>
        </w:rPr>
        <w:t>德國</w:t>
      </w:r>
    </w:p>
    <w:p w:rsidR="00F956E8" w:rsidRPr="000B2A94" w:rsidRDefault="00F956E8" w:rsidP="00AA52B8">
      <w:pPr>
        <w:pStyle w:val="42"/>
        <w:ind w:left="1701" w:firstLine="680"/>
        <w:rPr>
          <w:color w:val="000000" w:themeColor="text1"/>
        </w:rPr>
      </w:pPr>
      <w:r w:rsidRPr="000B2A94">
        <w:rPr>
          <w:rFonts w:hint="eastAsia"/>
          <w:color w:val="000000" w:themeColor="text1"/>
        </w:rPr>
        <w:t>近年實務雖認為在取得被告同意下，實施測謊未侵害被告之憲法上權利，但測謊採用之問題控制法等方式尚未達「普遍一般及無可懷疑而可信」之程度，無證據價值可言，對於此種全然不適當之證據方法，法院得逕以裁定駁回證據調查之聲請。</w:t>
      </w:r>
    </w:p>
    <w:p w:rsidR="00F956E8" w:rsidRPr="000B2A94" w:rsidRDefault="00F956E8" w:rsidP="005356B8">
      <w:pPr>
        <w:pStyle w:val="4"/>
        <w:rPr>
          <w:color w:val="000000" w:themeColor="text1"/>
        </w:rPr>
      </w:pPr>
      <w:r w:rsidRPr="000B2A94">
        <w:rPr>
          <w:color w:val="000000" w:themeColor="text1"/>
        </w:rPr>
        <w:t>綜</w:t>
      </w:r>
      <w:r w:rsidRPr="000B2A94">
        <w:rPr>
          <w:rFonts w:hint="eastAsia"/>
          <w:color w:val="000000" w:themeColor="text1"/>
        </w:rPr>
        <w:t>上可知，美國及德國業於司法實務排除測謊結果之證據容許性及調查必要性。</w:t>
      </w:r>
    </w:p>
    <w:p w:rsidR="00F956E8" w:rsidRPr="000B2A94" w:rsidRDefault="00AA52B8" w:rsidP="00AA52B8">
      <w:pPr>
        <w:pStyle w:val="4"/>
        <w:rPr>
          <w:rFonts w:hAnsi="標楷體"/>
          <w:color w:val="000000" w:themeColor="text1"/>
          <w:szCs w:val="24"/>
        </w:rPr>
      </w:pPr>
      <w:r w:rsidRPr="000B2A94">
        <w:rPr>
          <w:rFonts w:hint="eastAsia"/>
          <w:color w:val="000000" w:themeColor="text1"/>
        </w:rPr>
        <w:t>另有關專家學者於本</w:t>
      </w:r>
      <w:r w:rsidR="00F956E8" w:rsidRPr="000B2A94">
        <w:rPr>
          <w:rFonts w:hint="eastAsia"/>
          <w:color w:val="000000" w:themeColor="text1"/>
        </w:rPr>
        <w:t>院諮詢時表示，犯罪現場之證據分為「偵查證據」及「審判證據」，不宜將測謊排除在所有司法程序（包含偵查階段）之外</w:t>
      </w:r>
      <w:r w:rsidRPr="000B2A94">
        <w:rPr>
          <w:rFonts w:hint="eastAsia"/>
          <w:color w:val="000000" w:themeColor="text1"/>
        </w:rPr>
        <w:lastRenderedPageBreak/>
        <w:t>乙節，司法院表示</w:t>
      </w:r>
      <w:r w:rsidR="00F956E8" w:rsidRPr="000B2A94">
        <w:rPr>
          <w:rFonts w:hint="eastAsia"/>
          <w:color w:val="000000" w:themeColor="text1"/>
        </w:rPr>
        <w:t>查</w:t>
      </w:r>
      <w:r w:rsidR="00F956E8" w:rsidRPr="000B2A94">
        <w:rPr>
          <w:color w:val="000000" w:themeColor="text1"/>
        </w:rPr>
        <w:t>無論我國最高法院現行實務、美國大部分實務及德國通說，均認為偵查程序中得於被告同意之情形下，運用測謊作為澄清被告犯罪嫌疑之辯護手段，也可作為有利於被告之證據調查方法。</w:t>
      </w:r>
      <w:r w:rsidR="00F956E8" w:rsidRPr="000B2A94">
        <w:rPr>
          <w:rFonts w:hint="eastAsia"/>
          <w:color w:val="000000" w:themeColor="text1"/>
        </w:rPr>
        <w:t>因此，</w:t>
      </w:r>
      <w:r w:rsidR="00F956E8" w:rsidRPr="000B2A94">
        <w:rPr>
          <w:rFonts w:hAnsi="標楷體" w:hint="eastAsia"/>
          <w:color w:val="000000" w:themeColor="text1"/>
          <w:szCs w:val="24"/>
        </w:rPr>
        <w:t>為發現無辜、避免冤抑等情，測謊之結果自得作為爭執被告、被害人或證人陳述證明力之彈劾證據。偵查機關亦得以測謊之結果作為偵查手段，藉以排除或指出偵查之方向，協助偵查。</w:t>
      </w:r>
    </w:p>
    <w:p w:rsidR="00F956E8" w:rsidRPr="000B2A94" w:rsidRDefault="00F956E8" w:rsidP="005356B8">
      <w:pPr>
        <w:pStyle w:val="4"/>
        <w:rPr>
          <w:color w:val="000000" w:themeColor="text1"/>
        </w:rPr>
      </w:pPr>
      <w:r w:rsidRPr="000B2A94">
        <w:rPr>
          <w:rFonts w:hint="eastAsia"/>
          <w:color w:val="000000" w:themeColor="text1"/>
        </w:rPr>
        <w:t>按測謊係透過儀器，反映受測者受測時之生理現象，再經人工判讀檢視受測者對過去發生事實之陳述與其記憶是否相符之程序，實施測謊之受測對象為人，而每個人生理、心理及情緒等狀態，在不同時間本不可能完全相同，其生理反應受外在影響因素甚夥，諸如疾病、高度冷靜之自我抑制、激憤之情緒、受測以外其他事件之影響等，不止於說謊一項，且與人格特質亦有相當關連，亦不能排除刻意自我控制之可能性，因此說謊時亦不必然均會產生生理、心理及情緒之緊張波動反應。其次，測謊係透過儀器檢測受測者之記憶與其陳述是否相符之程序，如受測者之主觀認知與事實不符，或未將事實如實轉錄儲存於記憶，甚或發生對於事實完全未儲存於記憶等情形，亦無法藉由實施測謊證立受測者之陳述是否與其記憶相符。受測者說謊時不必然均會產生生理、心理及情緒之緊張波動之說謊反應，縱有產生圖譜波動之說謊反應，亦不必然得以證立受測者之陳述與其記憶不符。尤以美國及德國司法實務均業已排除測謊結果之證據容許性及調查必要性，測謊之結果自無證據適格，而不得作為認定</w:t>
      </w:r>
      <w:r w:rsidRPr="000B2A94">
        <w:rPr>
          <w:rFonts w:hint="eastAsia"/>
          <w:color w:val="000000" w:themeColor="text1"/>
        </w:rPr>
        <w:lastRenderedPageBreak/>
        <w:t>犯罪事實存否之證據，爰提出刑事訴訟法</w:t>
      </w:r>
      <w:r w:rsidRPr="000B2A94">
        <w:rPr>
          <w:rFonts w:hint="eastAsia"/>
          <w:color w:val="000000" w:themeColor="text1"/>
          <w:szCs w:val="32"/>
        </w:rPr>
        <w:t>第1</w:t>
      </w:r>
      <w:r w:rsidRPr="000B2A94">
        <w:rPr>
          <w:color w:val="000000" w:themeColor="text1"/>
          <w:szCs w:val="32"/>
        </w:rPr>
        <w:t>60</w:t>
      </w:r>
      <w:r w:rsidRPr="000B2A94">
        <w:rPr>
          <w:rFonts w:hint="eastAsia"/>
          <w:color w:val="000000" w:themeColor="text1"/>
          <w:szCs w:val="32"/>
        </w:rPr>
        <w:t>條之1修正條文：「</w:t>
      </w:r>
      <w:r w:rsidRPr="000B2A94">
        <w:rPr>
          <w:rFonts w:hint="eastAsia"/>
          <w:color w:val="000000" w:themeColor="text1"/>
        </w:rPr>
        <w:t>測謊之結果不得作為認定犯罪事實存否之證據。但作為爭執被告、被害人或證人陳述之證明力者，不在此限。</w:t>
      </w:r>
      <w:r w:rsidRPr="000B2A94">
        <w:rPr>
          <w:rFonts w:hint="eastAsia"/>
          <w:color w:val="000000" w:themeColor="text1"/>
          <w:szCs w:val="32"/>
        </w:rPr>
        <w:t>」</w:t>
      </w:r>
    </w:p>
    <w:p w:rsidR="00A3445A" w:rsidRPr="000B2A94" w:rsidRDefault="00A3445A" w:rsidP="00A3445A">
      <w:pPr>
        <w:pStyle w:val="2"/>
        <w:rPr>
          <w:b/>
          <w:color w:val="000000" w:themeColor="text1"/>
        </w:rPr>
      </w:pPr>
      <w:bookmarkStart w:id="373" w:name="_Toc28606831"/>
      <w:r w:rsidRPr="000B2A94">
        <w:rPr>
          <w:rFonts w:hint="eastAsia"/>
          <w:b/>
          <w:color w:val="000000" w:themeColor="text1"/>
        </w:rPr>
        <w:t>本院諮詢學者專家意見</w:t>
      </w:r>
      <w:bookmarkEnd w:id="373"/>
    </w:p>
    <w:p w:rsidR="00642825" w:rsidRPr="000B2A94" w:rsidRDefault="00642825" w:rsidP="00642825">
      <w:pPr>
        <w:pStyle w:val="3"/>
        <w:numPr>
          <w:ilvl w:val="2"/>
          <w:numId w:val="1"/>
        </w:numPr>
        <w:rPr>
          <w:color w:val="000000" w:themeColor="text1"/>
        </w:rPr>
      </w:pPr>
      <w:bookmarkStart w:id="374" w:name="_Toc27399979"/>
      <w:r w:rsidRPr="000B2A94">
        <w:rPr>
          <w:rFonts w:hint="eastAsia"/>
          <w:color w:val="000000" w:themeColor="text1"/>
        </w:rPr>
        <w:t>對於設立獨立行使職權之國家級司法科學委員會或建立鑑定覆議機制之建議</w:t>
      </w:r>
      <w:bookmarkEnd w:id="374"/>
    </w:p>
    <w:p w:rsidR="00642825" w:rsidRPr="000B2A94" w:rsidRDefault="00642825" w:rsidP="00642825">
      <w:pPr>
        <w:pStyle w:val="4"/>
        <w:numPr>
          <w:ilvl w:val="3"/>
          <w:numId w:val="1"/>
        </w:numPr>
        <w:rPr>
          <w:color w:val="000000" w:themeColor="text1"/>
        </w:rPr>
      </w:pPr>
      <w:r w:rsidRPr="000B2A94">
        <w:rPr>
          <w:rFonts w:hAnsi="標楷體" w:hint="eastAsia"/>
          <w:color w:val="000000" w:themeColor="text1"/>
          <w:szCs w:val="32"/>
        </w:rPr>
        <w:t>目前鑑定的主體是法務部調查局、刑事警察局、法醫研究所，都是偵查機關，衛生福利部的醫審會是行政機關，不是司法機關；行政機關介入鑑定，醫院鑑定若發生問題，由衛生福利部鑑定，造成球員兼裁判的問題。</w:t>
      </w:r>
    </w:p>
    <w:p w:rsidR="00642825" w:rsidRPr="000B2A94" w:rsidRDefault="00642825" w:rsidP="00642825">
      <w:pPr>
        <w:pStyle w:val="4"/>
        <w:numPr>
          <w:ilvl w:val="3"/>
          <w:numId w:val="1"/>
        </w:numPr>
        <w:rPr>
          <w:color w:val="000000" w:themeColor="text1"/>
        </w:rPr>
      </w:pPr>
      <w:r w:rsidRPr="000B2A94">
        <w:rPr>
          <w:rFonts w:hint="eastAsia"/>
          <w:color w:val="000000" w:themeColor="text1"/>
        </w:rPr>
        <w:t>在醫療糾紛上官司，病人打輸的機率約百分之九十以上，目前只有一鑑定讞，所以我主張要有覆鑑制度。因此，需要有一套系統進行覆鑑，由公辦民營的學術單位，或司法科學鑑定中心。必須要有獨立自主、超然獨立之學術團體（大學或學會）來辦，不能由職業團體（公會），且由各學會推派代表，理事長由專家來當。</w:t>
      </w:r>
    </w:p>
    <w:p w:rsidR="00642825" w:rsidRPr="000B2A94" w:rsidRDefault="00642825" w:rsidP="00642825">
      <w:pPr>
        <w:pStyle w:val="4"/>
        <w:numPr>
          <w:ilvl w:val="3"/>
          <w:numId w:val="1"/>
        </w:numPr>
        <w:rPr>
          <w:color w:val="000000" w:themeColor="text1"/>
        </w:rPr>
      </w:pPr>
      <w:r w:rsidRPr="000B2A94">
        <w:rPr>
          <w:rFonts w:hint="eastAsia"/>
          <w:color w:val="000000" w:themeColor="text1"/>
        </w:rPr>
        <w:t>若是鑑定機關有公信力，只要覆鑑1次即可，不須覆鑑多次。</w:t>
      </w:r>
    </w:p>
    <w:p w:rsidR="00642825" w:rsidRPr="000B2A94" w:rsidRDefault="00642825" w:rsidP="00642825">
      <w:pPr>
        <w:pStyle w:val="4"/>
        <w:numPr>
          <w:ilvl w:val="3"/>
          <w:numId w:val="1"/>
        </w:numPr>
        <w:rPr>
          <w:color w:val="000000" w:themeColor="text1"/>
        </w:rPr>
      </w:pPr>
      <w:r w:rsidRPr="000B2A94">
        <w:rPr>
          <w:rFonts w:hint="eastAsia"/>
          <w:color w:val="000000" w:themeColor="text1"/>
        </w:rPr>
        <w:t>有關鑑定人球員兼裁判的爭議問題，在訴訟過程，裁判是法官，球員是被告跟律師及檢察官。鑑定人是球拍。鑑定人若是有錯誤，法官應該要看到錯誤。個人認為法學教育需要改變，司法官養成應該要有理科背景。</w:t>
      </w:r>
    </w:p>
    <w:p w:rsidR="00642825" w:rsidRPr="000B2A94" w:rsidRDefault="00642825" w:rsidP="00642825">
      <w:pPr>
        <w:pStyle w:val="4"/>
        <w:numPr>
          <w:ilvl w:val="3"/>
          <w:numId w:val="1"/>
        </w:numPr>
        <w:rPr>
          <w:color w:val="000000" w:themeColor="text1"/>
        </w:rPr>
      </w:pPr>
      <w:r w:rsidRPr="000B2A94">
        <w:rPr>
          <w:rFonts w:hint="eastAsia"/>
          <w:color w:val="000000" w:themeColor="text1"/>
        </w:rPr>
        <w:t>個人認為司改國是會議結論提及鑑定應該要獨立行使職權，但是獨立行使職權這個法律用語不宜，因為並沒有法律賦予鑑定人員可獨立行使職權。</w:t>
      </w:r>
    </w:p>
    <w:p w:rsidR="00642825" w:rsidRPr="000B2A94" w:rsidRDefault="00642825" w:rsidP="00642825">
      <w:pPr>
        <w:pStyle w:val="4"/>
        <w:numPr>
          <w:ilvl w:val="3"/>
          <w:numId w:val="1"/>
        </w:numPr>
        <w:rPr>
          <w:color w:val="000000" w:themeColor="text1"/>
        </w:rPr>
      </w:pPr>
      <w:r w:rsidRPr="000B2A94">
        <w:rPr>
          <w:rFonts w:hint="eastAsia"/>
          <w:color w:val="000000" w:themeColor="text1"/>
        </w:rPr>
        <w:lastRenderedPageBreak/>
        <w:t>個人認為要把偵查的鑑定跟審判的鑑定分開，審判鑑定要設在司法院底下，研究單位裡面的人也會到警界。不一定每個案都要鑑定，讀完鑑定書後有需要鑑定他再鑑定。不必等被告或律師來申請。</w:t>
      </w:r>
    </w:p>
    <w:p w:rsidR="00642825" w:rsidRPr="000B2A94" w:rsidRDefault="00642825" w:rsidP="00642825">
      <w:pPr>
        <w:pStyle w:val="4"/>
        <w:numPr>
          <w:ilvl w:val="3"/>
          <w:numId w:val="1"/>
        </w:numPr>
        <w:rPr>
          <w:color w:val="000000" w:themeColor="text1"/>
        </w:rPr>
      </w:pPr>
      <w:r w:rsidRPr="000B2A94">
        <w:rPr>
          <w:rFonts w:hAnsi="標楷體" w:hint="eastAsia"/>
          <w:color w:val="000000" w:themeColor="text1"/>
          <w:szCs w:val="32"/>
        </w:rPr>
        <w:t>鑑定機制應該要有扶助弱勢措施。</w:t>
      </w:r>
    </w:p>
    <w:p w:rsidR="00642825" w:rsidRPr="000B2A94" w:rsidRDefault="00642825" w:rsidP="00642825">
      <w:pPr>
        <w:pStyle w:val="3"/>
        <w:numPr>
          <w:ilvl w:val="2"/>
          <w:numId w:val="1"/>
        </w:numPr>
        <w:rPr>
          <w:color w:val="000000" w:themeColor="text1"/>
        </w:rPr>
      </w:pPr>
      <w:bookmarkStart w:id="375" w:name="_Toc27399980"/>
      <w:r w:rsidRPr="000B2A94">
        <w:rPr>
          <w:rFonts w:hAnsi="標楷體" w:hint="eastAsia"/>
          <w:color w:val="000000" w:themeColor="text1"/>
          <w:szCs w:val="32"/>
        </w:rPr>
        <w:t>有關提升司法科學鑑定品質、減少瑕疵鑑定及解決鑑定爭議之建議</w:t>
      </w:r>
      <w:bookmarkEnd w:id="375"/>
    </w:p>
    <w:p w:rsidR="00642825" w:rsidRPr="000B2A94" w:rsidRDefault="00642825" w:rsidP="00642825">
      <w:pPr>
        <w:pStyle w:val="4"/>
        <w:numPr>
          <w:ilvl w:val="3"/>
          <w:numId w:val="1"/>
        </w:numPr>
        <w:rPr>
          <w:color w:val="000000" w:themeColor="text1"/>
        </w:rPr>
      </w:pPr>
      <w:r w:rsidRPr="000B2A94">
        <w:rPr>
          <w:rFonts w:hAnsi="標楷體" w:hint="eastAsia"/>
          <w:color w:val="000000" w:themeColor="text1"/>
          <w:szCs w:val="32"/>
        </w:rPr>
        <w:t>從冤獄案件量看臺灣司法科學鑑定品質，美國有一個Innocent project使用DNA平反冤獄，目前已有367個人。臺灣人口是美國的十分之一，但是臺灣冤獄案件並沒有36-37件這麼高，可知臺灣的司法仍是有很高的公正力。</w:t>
      </w:r>
    </w:p>
    <w:p w:rsidR="00642825" w:rsidRPr="000B2A94" w:rsidRDefault="00642825" w:rsidP="00642825">
      <w:pPr>
        <w:pStyle w:val="4"/>
        <w:numPr>
          <w:ilvl w:val="3"/>
          <w:numId w:val="1"/>
        </w:numPr>
        <w:rPr>
          <w:color w:val="000000" w:themeColor="text1"/>
        </w:rPr>
      </w:pPr>
      <w:r w:rsidRPr="000B2A94">
        <w:rPr>
          <w:rFonts w:hint="eastAsia"/>
          <w:color w:val="000000" w:themeColor="text1"/>
        </w:rPr>
        <w:t>基層鑑識人力工作99%刑案現場是由非鑑識人員採證，</w:t>
      </w:r>
      <w:r w:rsidRPr="000B2A94">
        <w:rPr>
          <w:rFonts w:hAnsi="標楷體" w:hint="eastAsia"/>
          <w:color w:val="000000" w:themeColor="text1"/>
          <w:szCs w:val="32"/>
        </w:rPr>
        <w:t>因為基層偵查隊的素質參差不齊，會有破壞現場的問題。</w:t>
      </w:r>
      <w:r w:rsidRPr="000B2A94">
        <w:rPr>
          <w:rFonts w:hint="eastAsia"/>
          <w:color w:val="000000" w:themeColor="text1"/>
        </w:rPr>
        <w:t xml:space="preserve">建議方案一警察分局成立鑑識組，至少配置3名鑑識人員，因為24小時要輪班採證。由鑑識人員帶隊採證，就不會有採證不到的問題；建議方案二，招考理工學識的勘查人力，若要強化分局非鑑識人員的採證能力，由警專招考、培訓理工學識背景的勘查專業人力，提升勘查人力素質。只需將警專入學或報考四等鑑識特考資格，更改為理工大學畢業生，同樣施以2年的專業訓練，在相同的預算下，可立即提升基層員警的訓練。　</w:t>
      </w:r>
    </w:p>
    <w:p w:rsidR="00642825" w:rsidRPr="000B2A94" w:rsidRDefault="00642825" w:rsidP="00642825">
      <w:pPr>
        <w:pStyle w:val="4"/>
        <w:numPr>
          <w:ilvl w:val="3"/>
          <w:numId w:val="1"/>
        </w:numPr>
        <w:rPr>
          <w:color w:val="000000" w:themeColor="text1"/>
        </w:rPr>
      </w:pPr>
      <w:r w:rsidRPr="000B2A94">
        <w:rPr>
          <w:rFonts w:hAnsi="標楷體" w:hint="eastAsia"/>
          <w:color w:val="000000" w:themeColor="text1"/>
          <w:szCs w:val="32"/>
        </w:rPr>
        <w:t>因目前科學技術提升，法醫解剖的結果可以再拿來鑑識。</w:t>
      </w:r>
    </w:p>
    <w:p w:rsidR="00642825" w:rsidRPr="000B2A94" w:rsidRDefault="00642825" w:rsidP="00642825">
      <w:pPr>
        <w:pStyle w:val="3"/>
        <w:numPr>
          <w:ilvl w:val="2"/>
          <w:numId w:val="1"/>
        </w:numPr>
        <w:rPr>
          <w:rFonts w:hAnsi="標楷體"/>
          <w:color w:val="000000" w:themeColor="text1"/>
          <w:szCs w:val="32"/>
        </w:rPr>
      </w:pPr>
      <w:bookmarkStart w:id="376" w:name="_Toc27399981"/>
      <w:r w:rsidRPr="000B2A94">
        <w:rPr>
          <w:rFonts w:hAnsi="標楷體" w:hint="eastAsia"/>
          <w:color w:val="000000" w:themeColor="text1"/>
          <w:szCs w:val="32"/>
        </w:rPr>
        <w:t>有關測謊證據的施測標準流程及其證據能力之建議</w:t>
      </w:r>
      <w:bookmarkEnd w:id="376"/>
    </w:p>
    <w:p w:rsidR="00642825" w:rsidRPr="000B2A94" w:rsidRDefault="00642825" w:rsidP="00642825">
      <w:pPr>
        <w:pStyle w:val="4"/>
        <w:numPr>
          <w:ilvl w:val="3"/>
          <w:numId w:val="1"/>
        </w:numPr>
        <w:rPr>
          <w:color w:val="000000" w:themeColor="text1"/>
        </w:rPr>
      </w:pPr>
      <w:r w:rsidRPr="000B2A94">
        <w:rPr>
          <w:rFonts w:hint="eastAsia"/>
          <w:color w:val="000000" w:themeColor="text1"/>
        </w:rPr>
        <w:t>科學就是不論由誰做都是一樣的結果。偵查證據跟審判證據，兩者目的跟需求不同，偵查證據證</w:t>
      </w:r>
      <w:r w:rsidRPr="000B2A94">
        <w:rPr>
          <w:rFonts w:hint="eastAsia"/>
          <w:color w:val="000000" w:themeColor="text1"/>
        </w:rPr>
        <w:lastRenderedPageBreak/>
        <w:t>據力門檻較低，但是審判證據要更高。偵查證據跟審判證據是由不同人做的，用途也不一樣。</w:t>
      </w:r>
    </w:p>
    <w:p w:rsidR="00642825" w:rsidRPr="000B2A94" w:rsidRDefault="00642825" w:rsidP="00642825">
      <w:pPr>
        <w:pStyle w:val="4"/>
        <w:numPr>
          <w:ilvl w:val="3"/>
          <w:numId w:val="1"/>
        </w:numPr>
        <w:rPr>
          <w:color w:val="000000" w:themeColor="text1"/>
        </w:rPr>
      </w:pPr>
      <w:r w:rsidRPr="000B2A94">
        <w:rPr>
          <w:rFonts w:hint="eastAsia"/>
          <w:color w:val="000000" w:themeColor="text1"/>
        </w:rPr>
        <w:t>應</w:t>
      </w:r>
      <w:r w:rsidRPr="000B2A94">
        <w:rPr>
          <w:rFonts w:hAnsi="標楷體" w:hint="eastAsia"/>
          <w:color w:val="000000" w:themeColor="text1"/>
          <w:szCs w:val="32"/>
        </w:rPr>
        <w:t>慎用，但不要濫用測謊，我們導入新的測謊理論和科技，可能未來會有更好的科技方法，但是如果禁止，就不會有進一步的研究。</w:t>
      </w:r>
    </w:p>
    <w:p w:rsidR="00642825" w:rsidRPr="000B2A94" w:rsidRDefault="00642825" w:rsidP="00642825">
      <w:pPr>
        <w:pStyle w:val="3"/>
        <w:numPr>
          <w:ilvl w:val="2"/>
          <w:numId w:val="1"/>
        </w:numPr>
        <w:rPr>
          <w:rFonts w:hAnsi="標楷體"/>
          <w:color w:val="000000" w:themeColor="text1"/>
          <w:szCs w:val="32"/>
        </w:rPr>
      </w:pPr>
      <w:bookmarkStart w:id="377" w:name="_Toc27399982"/>
      <w:r w:rsidRPr="000B2A94">
        <w:rPr>
          <w:rFonts w:hAnsi="標楷體" w:hint="eastAsia"/>
          <w:color w:val="000000" w:themeColor="text1"/>
          <w:szCs w:val="32"/>
        </w:rPr>
        <w:t>司法鑑定於刑事程序鑑識、法醫領域實務運作遭遇之問題</w:t>
      </w:r>
      <w:bookmarkEnd w:id="377"/>
    </w:p>
    <w:p w:rsidR="00642825" w:rsidRPr="000B2A94" w:rsidRDefault="00642825" w:rsidP="00642825">
      <w:pPr>
        <w:pStyle w:val="4"/>
        <w:numPr>
          <w:ilvl w:val="3"/>
          <w:numId w:val="1"/>
        </w:numPr>
        <w:rPr>
          <w:color w:val="000000" w:themeColor="text1"/>
        </w:rPr>
      </w:pPr>
      <w:r w:rsidRPr="000B2A94">
        <w:rPr>
          <w:rFonts w:hint="eastAsia"/>
          <w:color w:val="000000" w:themeColor="text1"/>
        </w:rPr>
        <w:t>臺灣現在的問題是，鑑識人員人力約600多人，相較法官2,142人，檢察官1,353人，難發揮科學辦案的效果。因此個人提出以下建議：建議一，提供鑑識研究資金；建議二，指紋比對系統，dna比對系統導致受制他人；建議三，強化鑑識科學。</w:t>
      </w:r>
    </w:p>
    <w:p w:rsidR="00642825" w:rsidRPr="000B2A94" w:rsidRDefault="00642825" w:rsidP="00642825">
      <w:pPr>
        <w:pStyle w:val="4"/>
        <w:numPr>
          <w:ilvl w:val="3"/>
          <w:numId w:val="1"/>
        </w:numPr>
        <w:rPr>
          <w:color w:val="000000" w:themeColor="text1"/>
        </w:rPr>
      </w:pPr>
      <w:r w:rsidRPr="000B2A94">
        <w:rPr>
          <w:rFonts w:hint="eastAsia"/>
          <w:color w:val="000000" w:themeColor="text1"/>
        </w:rPr>
        <w:t>建議各大專校院推廣鑑識科學課程。</w:t>
      </w:r>
    </w:p>
    <w:p w:rsidR="00642825" w:rsidRPr="000B2A94" w:rsidRDefault="00642825" w:rsidP="00642825">
      <w:pPr>
        <w:pStyle w:val="3"/>
        <w:numPr>
          <w:ilvl w:val="2"/>
          <w:numId w:val="1"/>
        </w:numPr>
        <w:rPr>
          <w:rFonts w:hAnsi="標楷體"/>
          <w:color w:val="000000" w:themeColor="text1"/>
          <w:szCs w:val="32"/>
        </w:rPr>
      </w:pPr>
      <w:bookmarkStart w:id="378" w:name="_Toc27399983"/>
      <w:r w:rsidRPr="000B2A94">
        <w:rPr>
          <w:rFonts w:hAnsi="標楷體" w:hint="eastAsia"/>
          <w:color w:val="000000" w:themeColor="text1"/>
          <w:szCs w:val="32"/>
        </w:rPr>
        <w:t>有關目前法醫師養成教育、考試、訓練及任用等人才培育制度之現況及困境</w:t>
      </w:r>
      <w:bookmarkEnd w:id="378"/>
    </w:p>
    <w:p w:rsidR="00642825" w:rsidRPr="000B2A94" w:rsidRDefault="00642825" w:rsidP="00642825">
      <w:pPr>
        <w:pStyle w:val="4"/>
        <w:numPr>
          <w:ilvl w:val="3"/>
          <w:numId w:val="1"/>
        </w:numPr>
        <w:rPr>
          <w:color w:val="000000" w:themeColor="text1"/>
        </w:rPr>
      </w:pPr>
      <w:r w:rsidRPr="000B2A94">
        <w:rPr>
          <w:rFonts w:hAnsi="標楷體" w:hint="eastAsia"/>
          <w:color w:val="000000" w:themeColor="text1"/>
          <w:szCs w:val="32"/>
        </w:rPr>
        <w:t>在醫學院裡，研究領域重心不在法醫，而且在司法系統，法醫也不在司法研究的重心。</w:t>
      </w:r>
      <w:r w:rsidRPr="000B2A94">
        <w:rPr>
          <w:rFonts w:hint="eastAsia"/>
          <w:color w:val="000000" w:themeColor="text1"/>
        </w:rPr>
        <w:t>司法科學鑑定制度分為鑑識跟法醫兩部分。跟身體體內有關的可以歸類為法醫，體外的歸納為鑑識，不過兩者會有重疊領域如槍彈、血跡等等。目前</w:t>
      </w:r>
      <w:r w:rsidRPr="000B2A94">
        <w:rPr>
          <w:rFonts w:hAnsi="標楷體" w:hint="eastAsia"/>
          <w:color w:val="000000" w:themeColor="text1"/>
          <w:szCs w:val="32"/>
        </w:rPr>
        <w:t>法醫的問題有以下：鑑定錯誤、傳統的病理醫師作法醫。</w:t>
      </w:r>
    </w:p>
    <w:p w:rsidR="00642825" w:rsidRPr="000B2A94" w:rsidRDefault="00642825" w:rsidP="00642825">
      <w:pPr>
        <w:pStyle w:val="4"/>
        <w:numPr>
          <w:ilvl w:val="3"/>
          <w:numId w:val="1"/>
        </w:numPr>
        <w:rPr>
          <w:color w:val="000000" w:themeColor="text1"/>
        </w:rPr>
      </w:pPr>
      <w:r w:rsidRPr="000B2A94">
        <w:rPr>
          <w:rFonts w:hAnsi="標楷體" w:hint="eastAsia"/>
          <w:color w:val="000000" w:themeColor="text1"/>
          <w:szCs w:val="32"/>
        </w:rPr>
        <w:t>兼任法醫的鑑定報告，無法及時提供鑑定報告，有時候會延誤刑事羈押的時機。</w:t>
      </w:r>
    </w:p>
    <w:p w:rsidR="00642825" w:rsidRPr="000B2A94" w:rsidRDefault="00642825" w:rsidP="00642825">
      <w:pPr>
        <w:pStyle w:val="4"/>
        <w:numPr>
          <w:ilvl w:val="3"/>
          <w:numId w:val="1"/>
        </w:numPr>
        <w:rPr>
          <w:color w:val="000000" w:themeColor="text1"/>
        </w:rPr>
      </w:pPr>
      <w:r w:rsidRPr="000B2A94">
        <w:rPr>
          <w:rFonts w:hAnsi="標楷體" w:hint="eastAsia"/>
          <w:color w:val="000000" w:themeColor="text1"/>
          <w:szCs w:val="32"/>
        </w:rPr>
        <w:t>檢驗員只有經過5個月的法醫訓練，所以有很多檢驗錯誤的。行政相驗很多是由衛生所做。醫療糾紛(衛福部)跟相驗兩大問題。臺灣行政相驗一年死亡約17,000人，司法相驗1,700人。我知道司法相驗上在台灣有相當多的相驗錯誤問題。</w:t>
      </w:r>
    </w:p>
    <w:p w:rsidR="00642825" w:rsidRPr="000B2A94" w:rsidRDefault="00642825" w:rsidP="00642825">
      <w:pPr>
        <w:pStyle w:val="4"/>
        <w:numPr>
          <w:ilvl w:val="3"/>
          <w:numId w:val="1"/>
        </w:numPr>
        <w:rPr>
          <w:color w:val="000000" w:themeColor="text1"/>
        </w:rPr>
      </w:pPr>
      <w:r w:rsidRPr="000B2A94">
        <w:rPr>
          <w:rFonts w:hint="eastAsia"/>
          <w:color w:val="000000" w:themeColor="text1"/>
        </w:rPr>
        <w:t>臺大法醫研究所目前減招，原甲組2到4名（醫學</w:t>
      </w:r>
      <w:r w:rsidRPr="000B2A94">
        <w:rPr>
          <w:rFonts w:hint="eastAsia"/>
          <w:color w:val="000000" w:themeColor="text1"/>
        </w:rPr>
        <w:lastRenderedPageBreak/>
        <w:t>系牙醫學系），收2-4名；醫學院其他系畢業的是乙組，但是畢業後地檢署法醫師的缺額有限，所以減招為甲組1-2名，乙組2-4名。早期學生畢業有通過法醫考試，但是各地方檢察署沒有缺額，所以造成很多流浪法醫。</w:t>
      </w:r>
    </w:p>
    <w:p w:rsidR="00642825" w:rsidRPr="000B2A94" w:rsidRDefault="00642825" w:rsidP="00642825">
      <w:pPr>
        <w:pStyle w:val="4"/>
        <w:numPr>
          <w:ilvl w:val="3"/>
          <w:numId w:val="1"/>
        </w:numPr>
        <w:rPr>
          <w:color w:val="000000" w:themeColor="text1"/>
        </w:rPr>
      </w:pPr>
      <w:r w:rsidRPr="000B2A94">
        <w:rPr>
          <w:rFonts w:hAnsi="標楷體" w:hint="eastAsia"/>
          <w:color w:val="000000" w:themeColor="text1"/>
          <w:szCs w:val="32"/>
        </w:rPr>
        <w:t>有關解剖費用，行政相驗600元，</w:t>
      </w:r>
      <w:r w:rsidRPr="000B2A94">
        <w:rPr>
          <w:rFonts w:hint="eastAsia"/>
          <w:color w:val="000000" w:themeColor="text1"/>
        </w:rPr>
        <w:t>各地方檢察署</w:t>
      </w:r>
      <w:r w:rsidRPr="000B2A94">
        <w:rPr>
          <w:rFonts w:hAnsi="標楷體" w:hint="eastAsia"/>
          <w:color w:val="000000" w:themeColor="text1"/>
          <w:szCs w:val="32"/>
        </w:rPr>
        <w:t>的法醫施作解剖1件是3,000元，若是法醫研究所應該是6,000元，若是其他醫師接約19,000元。流浪法醫師不會被找去解剖，頂多是相驗。待遇不高。在目前制度下，流浪法醫師實際上有受到法醫研究所排斥。</w:t>
      </w:r>
    </w:p>
    <w:p w:rsidR="00642825" w:rsidRPr="000B2A94" w:rsidRDefault="00642825" w:rsidP="00642825">
      <w:pPr>
        <w:pStyle w:val="3"/>
        <w:numPr>
          <w:ilvl w:val="2"/>
          <w:numId w:val="1"/>
        </w:numPr>
        <w:rPr>
          <w:rFonts w:hAnsi="標楷體"/>
          <w:color w:val="000000" w:themeColor="text1"/>
          <w:szCs w:val="32"/>
        </w:rPr>
      </w:pPr>
      <w:bookmarkStart w:id="379" w:name="_Toc27399984"/>
      <w:r w:rsidRPr="000B2A94">
        <w:rPr>
          <w:rFonts w:hAnsi="標楷體" w:hint="eastAsia"/>
          <w:color w:val="000000" w:themeColor="text1"/>
          <w:szCs w:val="32"/>
        </w:rPr>
        <w:t>有關法醫師法施行後，不具醫師、解剖病理專科醫師或法醫病理專科醫師證書資格之法醫師，其進行解剖鑑定之能力及資格之建議</w:t>
      </w:r>
      <w:bookmarkEnd w:id="379"/>
    </w:p>
    <w:p w:rsidR="00642825" w:rsidRPr="000B2A94" w:rsidRDefault="00642825" w:rsidP="00642825">
      <w:pPr>
        <w:pStyle w:val="4"/>
        <w:numPr>
          <w:ilvl w:val="3"/>
          <w:numId w:val="1"/>
        </w:numPr>
        <w:rPr>
          <w:rFonts w:hAnsi="標楷體"/>
          <w:color w:val="000000" w:themeColor="text1"/>
          <w:szCs w:val="32"/>
        </w:rPr>
      </w:pPr>
      <w:r w:rsidRPr="000B2A94">
        <w:rPr>
          <w:rFonts w:hint="eastAsia"/>
          <w:color w:val="000000" w:themeColor="text1"/>
        </w:rPr>
        <w:t>臺灣大學成立全台灣唯一的法醫研究所，醫師來念2年，就可以作法醫，但是沒有人願意到基層作相驗。醫師兼任法醫師是否有兼職問題，又是另一個議題。</w:t>
      </w:r>
      <w:r w:rsidRPr="000B2A94">
        <w:rPr>
          <w:rFonts w:hAnsi="標楷體" w:hint="eastAsia"/>
          <w:color w:val="000000" w:themeColor="text1"/>
          <w:szCs w:val="32"/>
        </w:rPr>
        <w:t xml:space="preserve">法醫師法中規定，要與醫師切割，看病是醫生的是，鑑定是法醫的事。 </w:t>
      </w:r>
    </w:p>
    <w:p w:rsidR="00642825" w:rsidRPr="000B2A94" w:rsidRDefault="00642825" w:rsidP="00642825">
      <w:pPr>
        <w:pStyle w:val="4"/>
        <w:numPr>
          <w:ilvl w:val="3"/>
          <w:numId w:val="1"/>
        </w:numPr>
        <w:rPr>
          <w:color w:val="000000" w:themeColor="text1"/>
        </w:rPr>
      </w:pPr>
      <w:r w:rsidRPr="000B2A94">
        <w:rPr>
          <w:rFonts w:hint="eastAsia"/>
          <w:color w:val="000000" w:themeColor="text1"/>
        </w:rPr>
        <w:t>司法相驗跟司法解剖須由法醫師作，非由醫生做。過渡期間有9年，法醫師法公布迄今已14年，法醫師法第48條，施行屆滿9年起，不得進行刑事訴訟法規定之相驗；法醫師法須經國家考試。法醫師法規定9年以後，即104年。</w:t>
      </w:r>
    </w:p>
    <w:p w:rsidR="00642825" w:rsidRPr="000B2A94" w:rsidRDefault="00642825" w:rsidP="00642825">
      <w:pPr>
        <w:pStyle w:val="4"/>
        <w:numPr>
          <w:ilvl w:val="3"/>
          <w:numId w:val="1"/>
        </w:numPr>
        <w:rPr>
          <w:color w:val="000000" w:themeColor="text1"/>
        </w:rPr>
      </w:pPr>
      <w:r w:rsidRPr="000B2A94">
        <w:rPr>
          <w:rFonts w:hint="eastAsia"/>
          <w:color w:val="000000" w:themeColor="text1"/>
        </w:rPr>
        <w:t>法務部認為刑事訴訟法與法醫師法應該要並用，而非新法優於舊法。法醫師法規定，有醫師執照且修畢法醫學分（30學習學分、30實習學分）。臺大法醫研究所不用寫論文、沒有畢業年限限制，但是還是沒有病理醫師有意願考。</w:t>
      </w:r>
    </w:p>
    <w:p w:rsidR="00642825" w:rsidRPr="000B2A94" w:rsidRDefault="00642825" w:rsidP="00642825">
      <w:pPr>
        <w:pStyle w:val="4"/>
        <w:numPr>
          <w:ilvl w:val="3"/>
          <w:numId w:val="1"/>
        </w:numPr>
        <w:rPr>
          <w:color w:val="000000" w:themeColor="text1"/>
        </w:rPr>
      </w:pPr>
      <w:r w:rsidRPr="000B2A94">
        <w:rPr>
          <w:rFonts w:hAnsi="標楷體" w:hint="eastAsia"/>
          <w:color w:val="000000" w:themeColor="text1"/>
          <w:szCs w:val="32"/>
        </w:rPr>
        <w:t>沒有醫院願意成立法醫部門。</w:t>
      </w:r>
      <w:r w:rsidRPr="000B2A94">
        <w:rPr>
          <w:rFonts w:hint="eastAsia"/>
          <w:color w:val="000000" w:themeColor="text1"/>
        </w:rPr>
        <w:t>醫學院裡也不重視</w:t>
      </w:r>
      <w:r w:rsidRPr="000B2A94">
        <w:rPr>
          <w:rFonts w:hint="eastAsia"/>
          <w:color w:val="000000" w:themeColor="text1"/>
        </w:rPr>
        <w:lastRenderedPageBreak/>
        <w:t>這個科目，連法醫科這個學科都要被取消。</w:t>
      </w:r>
    </w:p>
    <w:p w:rsidR="00642825" w:rsidRPr="000B2A94" w:rsidRDefault="00642825" w:rsidP="00642825">
      <w:pPr>
        <w:pStyle w:val="3"/>
        <w:numPr>
          <w:ilvl w:val="2"/>
          <w:numId w:val="1"/>
        </w:numPr>
        <w:rPr>
          <w:rFonts w:hAnsi="標楷體"/>
          <w:color w:val="000000" w:themeColor="text1"/>
          <w:szCs w:val="32"/>
        </w:rPr>
      </w:pPr>
      <w:bookmarkStart w:id="380" w:name="_Toc27399985"/>
      <w:r w:rsidRPr="000B2A94">
        <w:rPr>
          <w:rFonts w:hAnsi="標楷體" w:hint="eastAsia"/>
          <w:color w:val="000000" w:themeColor="text1"/>
          <w:szCs w:val="32"/>
        </w:rPr>
        <w:t>有關先進國家法醫人才培育制度經驗分享</w:t>
      </w:r>
      <w:bookmarkEnd w:id="380"/>
    </w:p>
    <w:p w:rsidR="00642825" w:rsidRPr="000B2A94" w:rsidRDefault="00642825" w:rsidP="00642825">
      <w:pPr>
        <w:pStyle w:val="4"/>
        <w:numPr>
          <w:ilvl w:val="3"/>
          <w:numId w:val="1"/>
        </w:numPr>
        <w:rPr>
          <w:color w:val="000000" w:themeColor="text1"/>
        </w:rPr>
      </w:pPr>
      <w:r w:rsidRPr="000B2A94">
        <w:rPr>
          <w:rFonts w:hint="eastAsia"/>
          <w:color w:val="000000" w:themeColor="text1"/>
        </w:rPr>
        <w:t>德國的法醫制度個人認為因為待遇跟社會風氣與臺灣不一樣，臺灣不易學習。</w:t>
      </w:r>
    </w:p>
    <w:p w:rsidR="00A3445A" w:rsidRPr="000B2A94" w:rsidRDefault="00642825" w:rsidP="00642825">
      <w:pPr>
        <w:pStyle w:val="4"/>
        <w:rPr>
          <w:color w:val="000000" w:themeColor="text1"/>
        </w:rPr>
      </w:pPr>
      <w:r w:rsidRPr="000B2A94">
        <w:rPr>
          <w:rFonts w:hint="eastAsia"/>
          <w:color w:val="000000" w:themeColor="text1"/>
        </w:rPr>
        <w:t>臺灣法醫的工作環境是在殯儀館，不像日本、德國是在大學做。當初法醫師法第44條，希望各大學附屬醫院可以設立法醫部門，但是沒有學校贊成。而且臺灣醫院是以健保點數營利為主，且購買相關儀器經費也有限。</w:t>
      </w:r>
    </w:p>
    <w:p w:rsidR="00A3445A" w:rsidRPr="000B2A94" w:rsidRDefault="00A3445A" w:rsidP="00A3445A">
      <w:pPr>
        <w:pStyle w:val="2"/>
        <w:rPr>
          <w:b/>
          <w:color w:val="000000" w:themeColor="text1"/>
        </w:rPr>
      </w:pPr>
      <w:bookmarkStart w:id="381" w:name="_Toc28606832"/>
      <w:r w:rsidRPr="000B2A94">
        <w:rPr>
          <w:rFonts w:hint="eastAsia"/>
          <w:b/>
          <w:color w:val="000000" w:themeColor="text1"/>
        </w:rPr>
        <w:t>本院與司法院、行政院座談意見</w:t>
      </w:r>
      <w:bookmarkEnd w:id="381"/>
    </w:p>
    <w:p w:rsidR="00A3445A" w:rsidRPr="000B2A94" w:rsidRDefault="00A3445A" w:rsidP="00A3445A">
      <w:pPr>
        <w:pStyle w:val="22"/>
        <w:ind w:left="1020" w:firstLine="680"/>
        <w:rPr>
          <w:rFonts w:hAnsi="Arial"/>
          <w:color w:val="000000" w:themeColor="text1"/>
        </w:rPr>
      </w:pPr>
      <w:r w:rsidRPr="000B2A94">
        <w:rPr>
          <w:rFonts w:hint="eastAsia"/>
          <w:color w:val="000000" w:themeColor="text1"/>
        </w:rPr>
        <w:t>機關對於設立獨立行使職權之國家級司法科學委員會或建立鑑定覆鑑機制，可行性及必要性之詳細評估情形：</w:t>
      </w:r>
    </w:p>
    <w:p w:rsidR="00A3445A" w:rsidRPr="000B2A94" w:rsidRDefault="00642825" w:rsidP="00A3445A">
      <w:pPr>
        <w:pStyle w:val="3"/>
        <w:rPr>
          <w:color w:val="000000" w:themeColor="text1"/>
        </w:rPr>
      </w:pPr>
      <w:bookmarkStart w:id="382" w:name="_Toc27399987"/>
      <w:r w:rsidRPr="000B2A94">
        <w:rPr>
          <w:rFonts w:hint="eastAsia"/>
          <w:color w:val="000000" w:themeColor="text1"/>
        </w:rPr>
        <w:t>司法院</w:t>
      </w:r>
      <w:bookmarkEnd w:id="382"/>
    </w:p>
    <w:p w:rsidR="00A3445A" w:rsidRPr="000B2A94" w:rsidRDefault="00A3445A" w:rsidP="00A3445A">
      <w:pPr>
        <w:pStyle w:val="4"/>
        <w:rPr>
          <w:color w:val="000000" w:themeColor="text1"/>
        </w:rPr>
      </w:pPr>
      <w:r w:rsidRPr="000B2A94">
        <w:rPr>
          <w:rFonts w:hint="eastAsia"/>
          <w:color w:val="000000" w:themeColor="text1"/>
        </w:rPr>
        <w:t>司法院偵查機關對於未來是否要成立國家級司法科學委員會或覆鑑機制，司法院不宜表達意見。司法院並無不同意見，尊重各鑑定機關。</w:t>
      </w:r>
    </w:p>
    <w:p w:rsidR="00A3445A" w:rsidRPr="000B2A94" w:rsidRDefault="00A3445A" w:rsidP="00A3445A">
      <w:pPr>
        <w:pStyle w:val="4"/>
        <w:rPr>
          <w:color w:val="000000" w:themeColor="text1"/>
        </w:rPr>
      </w:pPr>
      <w:r w:rsidRPr="000B2A94">
        <w:rPr>
          <w:rFonts w:hAnsi="標楷體" w:hint="eastAsia"/>
          <w:color w:val="000000" w:themeColor="text1"/>
        </w:rPr>
        <w:t>國家級司法科學委員會的鑑定機關是合議制。</w:t>
      </w:r>
      <w:r w:rsidR="00083A26" w:rsidRPr="000B2A94">
        <w:rPr>
          <w:rFonts w:hAnsi="標楷體" w:hint="eastAsia"/>
          <w:color w:val="000000" w:themeColor="text1"/>
        </w:rPr>
        <w:t>司法</w:t>
      </w:r>
      <w:r w:rsidRPr="000B2A94">
        <w:rPr>
          <w:rFonts w:hAnsi="標楷體" w:hint="eastAsia"/>
          <w:color w:val="000000" w:themeColor="text1"/>
        </w:rPr>
        <w:t>院提出刑事訴訟法第204條草案有引進美國專家證人的制度及道伯特法則。鑑定須包含鑑定人專業能力，鑑定過程是依靠可靠的原理跟方法，用可靠的方式，來進行待證事實的認定。</w:t>
      </w:r>
    </w:p>
    <w:p w:rsidR="00A3445A" w:rsidRPr="000B2A94" w:rsidRDefault="00A3445A" w:rsidP="00A3445A">
      <w:pPr>
        <w:pStyle w:val="4"/>
        <w:rPr>
          <w:color w:val="000000" w:themeColor="text1"/>
        </w:rPr>
      </w:pPr>
      <w:r w:rsidRPr="000B2A94">
        <w:rPr>
          <w:rFonts w:hint="eastAsia"/>
          <w:color w:val="000000" w:themeColor="text1"/>
        </w:rPr>
        <w:t>鑑定的目的是在輔助，因法律人沒有各種鑑識領域的專長，鑑定人本身是法院審判的重要輔佐人，幫助法院認定需要鑑定的待證事實。法官誠如楊委員提到，司法官是透過考試，進入司法官學院2年，基礎課程、院檢實習後分發，候補法官後，依據法官法執行職權。法官養成透過職前、在職進修，法官學院的在職養成一定是有關於一般性的鑑定課程，也會有專業的課程，因為</w:t>
      </w:r>
      <w:r w:rsidRPr="000B2A94">
        <w:rPr>
          <w:rFonts w:hint="eastAsia"/>
          <w:color w:val="000000" w:themeColor="text1"/>
        </w:rPr>
        <w:lastRenderedPageBreak/>
        <w:t>要學習的領域，不只有鑑識要學習，因此僅限於某些領域鑑識專長。鑑識專家所提到的鑑識語言與法律語言不同，法官只能照單全收，法官沒有能力質疑鑑定的對錯。此外陳委員剛才提到鑑定6次之個案，可能是個</w:t>
      </w:r>
      <w:r w:rsidR="00083A26" w:rsidRPr="000B2A94">
        <w:rPr>
          <w:rFonts w:hint="eastAsia"/>
          <w:color w:val="000000" w:themeColor="text1"/>
        </w:rPr>
        <w:t>案差異。車鑑會、醫審會的委員通常是各科別的大老，衛福部不同意司法院</w:t>
      </w:r>
      <w:r w:rsidRPr="000B2A94">
        <w:rPr>
          <w:rFonts w:hint="eastAsia"/>
          <w:color w:val="000000" w:themeColor="text1"/>
        </w:rPr>
        <w:t>建議醫生要具名且要到法庭詰問，況費用也不高，因此推動的阻力很大。法官並非全能，所以需要專家的輔助。法官除在職的養成外，尚須各法院發揮自律功能。</w:t>
      </w:r>
    </w:p>
    <w:p w:rsidR="00A3445A" w:rsidRPr="000B2A94" w:rsidRDefault="00A3445A" w:rsidP="00A3445A">
      <w:pPr>
        <w:pStyle w:val="4"/>
        <w:rPr>
          <w:color w:val="000000" w:themeColor="text1"/>
        </w:rPr>
      </w:pPr>
      <w:r w:rsidRPr="000B2A94">
        <w:rPr>
          <w:rFonts w:hint="eastAsia"/>
          <w:color w:val="000000" w:themeColor="text1"/>
        </w:rPr>
        <w:t>有關美國道伯特法則，其位階是經過聯邦證據規則入法。</w:t>
      </w:r>
    </w:p>
    <w:p w:rsidR="00A3445A" w:rsidRPr="000B2A94" w:rsidRDefault="00642825" w:rsidP="00A3445A">
      <w:pPr>
        <w:pStyle w:val="3"/>
        <w:rPr>
          <w:color w:val="000000" w:themeColor="text1"/>
        </w:rPr>
      </w:pPr>
      <w:bookmarkStart w:id="383" w:name="_Toc27399988"/>
      <w:r w:rsidRPr="000B2A94">
        <w:rPr>
          <w:rFonts w:hint="eastAsia"/>
          <w:color w:val="000000" w:themeColor="text1"/>
        </w:rPr>
        <w:t>行政院</w:t>
      </w:r>
      <w:bookmarkEnd w:id="383"/>
    </w:p>
    <w:p w:rsidR="00A3445A" w:rsidRPr="000B2A94" w:rsidRDefault="00A3445A" w:rsidP="00AA52B8">
      <w:pPr>
        <w:pStyle w:val="32"/>
        <w:ind w:left="1361" w:firstLine="680"/>
        <w:rPr>
          <w:color w:val="000000" w:themeColor="text1"/>
        </w:rPr>
      </w:pPr>
      <w:r w:rsidRPr="000B2A94">
        <w:rPr>
          <w:rFonts w:hint="eastAsia"/>
          <w:color w:val="000000" w:themeColor="text1"/>
        </w:rPr>
        <w:t xml:space="preserve">美國退休檢察官Matt </w:t>
      </w:r>
      <w:r w:rsidRPr="000B2A94">
        <w:rPr>
          <w:color w:val="000000" w:themeColor="text1"/>
        </w:rPr>
        <w:t>Redle</w:t>
      </w:r>
      <w:r w:rsidR="00AA52B8" w:rsidRPr="000B2A94">
        <w:rPr>
          <w:rFonts w:hint="eastAsia"/>
          <w:color w:val="000000" w:themeColor="text1"/>
        </w:rPr>
        <w:t>及冤獄平反協會於108</w:t>
      </w:r>
      <w:r w:rsidRPr="000B2A94">
        <w:rPr>
          <w:rFonts w:hint="eastAsia"/>
          <w:color w:val="000000" w:themeColor="text1"/>
        </w:rPr>
        <w:t>年8月曾蒞院拜訪羅政委，Matt提出對於是否成立國家級司法科學委員會，表示不須再疊床架屋。行政院目前無定見。</w:t>
      </w:r>
    </w:p>
    <w:p w:rsidR="00A3445A" w:rsidRPr="000B2A94" w:rsidRDefault="00642825" w:rsidP="00A3445A">
      <w:pPr>
        <w:pStyle w:val="3"/>
        <w:rPr>
          <w:color w:val="000000" w:themeColor="text1"/>
        </w:rPr>
      </w:pPr>
      <w:bookmarkStart w:id="384" w:name="_Toc27399989"/>
      <w:r w:rsidRPr="000B2A94">
        <w:rPr>
          <w:rFonts w:hAnsi="標楷體" w:hint="eastAsia"/>
          <w:color w:val="000000" w:themeColor="text1"/>
        </w:rPr>
        <w:t>法務部</w:t>
      </w:r>
      <w:bookmarkEnd w:id="384"/>
    </w:p>
    <w:p w:rsidR="00A3445A" w:rsidRPr="000B2A94" w:rsidRDefault="00A3445A" w:rsidP="00A3445A">
      <w:pPr>
        <w:pStyle w:val="4"/>
        <w:rPr>
          <w:color w:val="000000" w:themeColor="text1"/>
        </w:rPr>
      </w:pPr>
      <w:r w:rsidRPr="000B2A94">
        <w:rPr>
          <w:rFonts w:hint="eastAsia"/>
          <w:color w:val="000000" w:themeColor="text1"/>
        </w:rPr>
        <w:t>法務部相當重視司改國是會議決議，因此召開過2次會議。國內鑑定（識）能量是足夠的，對於設立單一性的國家司法科學委員會，其功能為何各機關尚無共識。法務部於第1次會議先請法醫研究所彙整國內各鑑定機關鑑定的項目、實驗室認證標準統合、測謊統一施測標準；108年2月26日成立籌備會議，邀請各鑑定機關研議，請學者專家提供意見，專家表示國家級的司法科學委員會並不是鑑定機關，其功能為制定司法科學政策、整合各級司法科學教育、執行實驗室相關證照制度，該次會議討論結果皆認為，該委員會並非鑑定機關也非覆鑑機制。行政院在今年8月邀</w:t>
      </w:r>
      <w:r w:rsidRPr="000B2A94">
        <w:rPr>
          <w:rFonts w:hint="eastAsia"/>
          <w:color w:val="000000" w:themeColor="text1"/>
        </w:rPr>
        <w:lastRenderedPageBreak/>
        <w:t>請美國國家退休檢察官Matt Redle來臺，該次會議我們在座各機關都有派代表與會，美國國家司法科學委員會在2013年設立，但於2017年4月已停止運作，Matt認為不用疊床架屋，而應該從品質、設施來把關。</w:t>
      </w:r>
    </w:p>
    <w:p w:rsidR="00A3445A" w:rsidRPr="000B2A94" w:rsidRDefault="00A3445A" w:rsidP="00A3445A">
      <w:pPr>
        <w:pStyle w:val="4"/>
        <w:rPr>
          <w:color w:val="000000" w:themeColor="text1"/>
        </w:rPr>
      </w:pPr>
      <w:r w:rsidRPr="000B2A94">
        <w:rPr>
          <w:rFonts w:hint="eastAsia"/>
          <w:color w:val="000000" w:themeColor="text1"/>
        </w:rPr>
        <w:t>鑑定項目、技術包羅萬象，因此各鑑定機關的意見傾向國家及司法科學委員會功能是政策面及人員訓練。覆鑑機制部分，目前訴訟案件有審級制，若是採覆鑑制，不管初鑑結果為合，是以覆鑑結果為主。有關採覆鑑機制，若兩者不一致，可能就要進行攻防。</w:t>
      </w:r>
    </w:p>
    <w:p w:rsidR="00A3445A" w:rsidRPr="000B2A94" w:rsidRDefault="00A3445A" w:rsidP="00A3445A">
      <w:pPr>
        <w:pStyle w:val="4"/>
        <w:rPr>
          <w:color w:val="000000" w:themeColor="text1"/>
        </w:rPr>
      </w:pPr>
      <w:r w:rsidRPr="000B2A94">
        <w:rPr>
          <w:rFonts w:hint="eastAsia"/>
          <w:color w:val="000000" w:themeColor="text1"/>
        </w:rPr>
        <w:t>國家級司法科學委員會的位階並非僅作為單純的鑑定機關或覆鑑機關，而是對於鑑定的標準、程序提供給法院判斷。司法院在刑事訴訟法修法草案的鑑定專章已將道伯特法則納入。除此之外，法務部在</w:t>
      </w:r>
      <w:r w:rsidR="00AA52B8" w:rsidRPr="000B2A94">
        <w:rPr>
          <w:rFonts w:hint="eastAsia"/>
          <w:color w:val="000000" w:themeColor="text1"/>
        </w:rPr>
        <w:t>108</w:t>
      </w:r>
      <w:r w:rsidRPr="000B2A94">
        <w:rPr>
          <w:rFonts w:hint="eastAsia"/>
          <w:color w:val="000000" w:themeColor="text1"/>
        </w:rPr>
        <w:t>年2</w:t>
      </w:r>
      <w:r w:rsidR="00AA52B8" w:rsidRPr="000B2A94">
        <w:rPr>
          <w:rFonts w:hint="eastAsia"/>
          <w:color w:val="000000" w:themeColor="text1"/>
        </w:rPr>
        <w:t>月已請法醫研究所彙整通過實驗室認證之名單。該部表示</w:t>
      </w:r>
      <w:r w:rsidRPr="000B2A94">
        <w:rPr>
          <w:rFonts w:hint="eastAsia"/>
          <w:color w:val="000000" w:themeColor="text1"/>
        </w:rPr>
        <w:t>在檢察官養成教育、在職教育中，也希望能夠與各不同領域對話，提升司法人員鑑定的判讀能力。</w:t>
      </w:r>
    </w:p>
    <w:p w:rsidR="00A3445A" w:rsidRPr="000B2A94" w:rsidRDefault="00642825" w:rsidP="00A3445A">
      <w:pPr>
        <w:pStyle w:val="3"/>
        <w:rPr>
          <w:color w:val="000000" w:themeColor="text1"/>
        </w:rPr>
      </w:pPr>
      <w:bookmarkStart w:id="385" w:name="_Toc27399990"/>
      <w:r w:rsidRPr="000B2A94">
        <w:rPr>
          <w:rFonts w:hint="eastAsia"/>
          <w:color w:val="000000" w:themeColor="text1"/>
        </w:rPr>
        <w:t>法醫研究所</w:t>
      </w:r>
      <w:bookmarkEnd w:id="385"/>
    </w:p>
    <w:p w:rsidR="00A3445A" w:rsidRPr="000B2A94" w:rsidRDefault="00AA52B8" w:rsidP="00A3445A">
      <w:pPr>
        <w:pStyle w:val="4"/>
        <w:rPr>
          <w:color w:val="000000" w:themeColor="text1"/>
        </w:rPr>
      </w:pPr>
      <w:r w:rsidRPr="000B2A94">
        <w:rPr>
          <w:rFonts w:hint="eastAsia"/>
          <w:color w:val="000000" w:themeColor="text1"/>
        </w:rPr>
        <w:t>該</w:t>
      </w:r>
      <w:r w:rsidR="00A3445A" w:rsidRPr="000B2A94">
        <w:rPr>
          <w:rFonts w:hint="eastAsia"/>
          <w:color w:val="000000" w:themeColor="text1"/>
        </w:rPr>
        <w:t>所建議建立鑑定覆鑑機制。惟以DNA鑑定部分，要通過相關的實驗室認證才能進行覆鑑。</w:t>
      </w:r>
    </w:p>
    <w:p w:rsidR="00A3445A" w:rsidRPr="000B2A94" w:rsidRDefault="00A3445A" w:rsidP="00A3445A">
      <w:pPr>
        <w:pStyle w:val="4"/>
        <w:rPr>
          <w:color w:val="000000" w:themeColor="text1"/>
        </w:rPr>
      </w:pPr>
      <w:r w:rsidRPr="000B2A94">
        <w:rPr>
          <w:rFonts w:hint="eastAsia"/>
          <w:color w:val="000000" w:themeColor="text1"/>
        </w:rPr>
        <w:t>承上，</w:t>
      </w:r>
      <w:r w:rsidRPr="000B2A94">
        <w:rPr>
          <w:rFonts w:hAnsi="標楷體" w:hint="eastAsia"/>
          <w:color w:val="000000" w:themeColor="text1"/>
        </w:rPr>
        <w:t>宜先確認該鑑</w:t>
      </w:r>
      <w:r w:rsidR="00AA52B8" w:rsidRPr="000B2A94">
        <w:rPr>
          <w:rFonts w:hAnsi="標楷體" w:hint="eastAsia"/>
          <w:color w:val="000000" w:themeColor="text1"/>
        </w:rPr>
        <w:t>定機關或民間機構、其技術是否能作親子鑑定、以及</w:t>
      </w:r>
      <w:r w:rsidRPr="000B2A94">
        <w:rPr>
          <w:rFonts w:hAnsi="標楷體" w:hint="eastAsia"/>
          <w:color w:val="000000" w:themeColor="text1"/>
        </w:rPr>
        <w:t>其使用的方法是否符合親子鑑定的標準程序</w:t>
      </w:r>
      <w:r w:rsidR="00AA52B8" w:rsidRPr="000B2A94">
        <w:rPr>
          <w:rFonts w:hAnsi="標楷體" w:hint="eastAsia"/>
          <w:color w:val="000000" w:themeColor="text1"/>
        </w:rPr>
        <w:t>等</w:t>
      </w:r>
      <w:r w:rsidRPr="000B2A94">
        <w:rPr>
          <w:rFonts w:hAnsi="標楷體" w:hint="eastAsia"/>
          <w:color w:val="000000" w:themeColor="text1"/>
        </w:rPr>
        <w:t>，皆需要進一步探討。</w:t>
      </w:r>
    </w:p>
    <w:p w:rsidR="00A3445A" w:rsidRPr="000B2A94" w:rsidRDefault="00642825" w:rsidP="00A3445A">
      <w:pPr>
        <w:pStyle w:val="3"/>
        <w:rPr>
          <w:color w:val="000000" w:themeColor="text1"/>
        </w:rPr>
      </w:pPr>
      <w:bookmarkStart w:id="386" w:name="_Toc27399991"/>
      <w:r w:rsidRPr="000B2A94">
        <w:rPr>
          <w:rFonts w:hint="eastAsia"/>
          <w:color w:val="000000" w:themeColor="text1"/>
        </w:rPr>
        <w:t>法務部調查局</w:t>
      </w:r>
      <w:bookmarkEnd w:id="386"/>
    </w:p>
    <w:p w:rsidR="00A3445A" w:rsidRPr="000B2A94" w:rsidRDefault="00A3445A" w:rsidP="00A3445A">
      <w:pPr>
        <w:pStyle w:val="4"/>
        <w:rPr>
          <w:color w:val="000000" w:themeColor="text1"/>
        </w:rPr>
      </w:pPr>
      <w:r w:rsidRPr="000B2A94">
        <w:rPr>
          <w:rFonts w:hint="eastAsia"/>
          <w:color w:val="000000" w:themeColor="text1"/>
        </w:rPr>
        <w:t>司法對於有爭議時，組成覆議委員會，從血緣鑑定、分析理論與邏輯，進行事後的辨證，也算一種覆鑑。對於是否成立國家級司法科學委員會，</w:t>
      </w:r>
      <w:r w:rsidR="000F2B52" w:rsidRPr="000B2A94">
        <w:rPr>
          <w:rFonts w:hint="eastAsia"/>
          <w:color w:val="000000" w:themeColor="text1"/>
        </w:rPr>
        <w:t>該</w:t>
      </w:r>
      <w:r w:rsidRPr="000B2A94">
        <w:rPr>
          <w:rFonts w:hint="eastAsia"/>
          <w:color w:val="000000" w:themeColor="text1"/>
        </w:rPr>
        <w:t>局</w:t>
      </w:r>
      <w:r w:rsidR="000F2B52" w:rsidRPr="000B2A94">
        <w:rPr>
          <w:rFonts w:hint="eastAsia"/>
          <w:color w:val="000000" w:themeColor="text1"/>
        </w:rPr>
        <w:t>表示無反對意見，若</w:t>
      </w:r>
      <w:r w:rsidRPr="000B2A94">
        <w:rPr>
          <w:rFonts w:hint="eastAsia"/>
          <w:color w:val="000000" w:themeColor="text1"/>
        </w:rPr>
        <w:t>設立，</w:t>
      </w:r>
      <w:r w:rsidR="000F2B52" w:rsidRPr="000B2A94">
        <w:rPr>
          <w:rFonts w:hint="eastAsia"/>
          <w:color w:val="000000" w:themeColor="text1"/>
        </w:rPr>
        <w:t>該局</w:t>
      </w:r>
      <w:r w:rsidRPr="000B2A94">
        <w:rPr>
          <w:rFonts w:hint="eastAsia"/>
          <w:color w:val="000000" w:themeColor="text1"/>
        </w:rPr>
        <w:t>應該是負責</w:t>
      </w:r>
      <w:r w:rsidRPr="000B2A94">
        <w:rPr>
          <w:rFonts w:hint="eastAsia"/>
          <w:color w:val="000000" w:themeColor="text1"/>
        </w:rPr>
        <w:lastRenderedPageBreak/>
        <w:t>實驗室相關規定、爭議案件的覆議等工作。</w:t>
      </w:r>
    </w:p>
    <w:p w:rsidR="00A3445A" w:rsidRPr="000B2A94" w:rsidRDefault="00A3445A" w:rsidP="00A3445A">
      <w:pPr>
        <w:pStyle w:val="4"/>
        <w:rPr>
          <w:color w:val="000000" w:themeColor="text1"/>
        </w:rPr>
      </w:pPr>
      <w:r w:rsidRPr="000B2A94">
        <w:rPr>
          <w:rFonts w:hAnsi="標楷體" w:hint="eastAsia"/>
          <w:color w:val="000000" w:themeColor="text1"/>
        </w:rPr>
        <w:t>國內各鑑定機關皆遵循同一認證標準，且並無高下之分。</w:t>
      </w:r>
    </w:p>
    <w:p w:rsidR="00A3445A" w:rsidRPr="000B2A94" w:rsidRDefault="00642825" w:rsidP="00A3445A">
      <w:pPr>
        <w:pStyle w:val="3"/>
        <w:rPr>
          <w:color w:val="000000" w:themeColor="text1"/>
        </w:rPr>
      </w:pPr>
      <w:bookmarkStart w:id="387" w:name="_Toc27399992"/>
      <w:r w:rsidRPr="000B2A94">
        <w:rPr>
          <w:rFonts w:hint="eastAsia"/>
          <w:color w:val="000000" w:themeColor="text1"/>
        </w:rPr>
        <w:t>刑事警察局</w:t>
      </w:r>
      <w:bookmarkEnd w:id="387"/>
    </w:p>
    <w:p w:rsidR="00A3445A" w:rsidRPr="000B2A94" w:rsidRDefault="00A3445A" w:rsidP="00A3445A">
      <w:pPr>
        <w:pStyle w:val="4"/>
        <w:rPr>
          <w:color w:val="000000" w:themeColor="text1"/>
        </w:rPr>
      </w:pPr>
      <w:r w:rsidRPr="000B2A94">
        <w:rPr>
          <w:rFonts w:hint="eastAsia"/>
          <w:color w:val="000000" w:themeColor="text1"/>
        </w:rPr>
        <w:t>刑事警察局對於是否成立國家級司法科學委員會並無定見，實務上刑事警察局及六都警察局刑事鑑識中心都有從事鑑定工作，對於犯罪偵查是很重要的一環，因此，若未來成立國家級司法科學委員會，該局表示目前的工作亦不會停止。日後若成為呈堂證據，一定會接受法院嚴格的檢視，因此該局在前端，也會遵守相關規定。六都刑事鑑識中心是與偵查大隊平行，刑事</w:t>
      </w:r>
      <w:r w:rsidR="000F2B52" w:rsidRPr="000B2A94">
        <w:rPr>
          <w:rFonts w:hint="eastAsia"/>
          <w:color w:val="000000" w:themeColor="text1"/>
        </w:rPr>
        <w:t>鑑定中心在刑事局是與各科室平行。在經費及人力上，目前捉襟見肘</w:t>
      </w:r>
      <w:r w:rsidRPr="000B2A94">
        <w:rPr>
          <w:rFonts w:hint="eastAsia"/>
          <w:color w:val="000000" w:themeColor="text1"/>
        </w:rPr>
        <w:t>。</w:t>
      </w:r>
    </w:p>
    <w:p w:rsidR="00A3445A" w:rsidRPr="000B2A94" w:rsidRDefault="000F2B52" w:rsidP="00A3445A">
      <w:pPr>
        <w:pStyle w:val="4"/>
        <w:rPr>
          <w:color w:val="000000" w:themeColor="text1"/>
        </w:rPr>
      </w:pPr>
      <w:r w:rsidRPr="000B2A94">
        <w:rPr>
          <w:rFonts w:hint="eastAsia"/>
          <w:color w:val="000000" w:themeColor="text1"/>
        </w:rPr>
        <w:t>犯</w:t>
      </w:r>
      <w:r w:rsidR="00A3445A" w:rsidRPr="000B2A94">
        <w:rPr>
          <w:rFonts w:hint="eastAsia"/>
          <w:color w:val="000000" w:themeColor="text1"/>
        </w:rPr>
        <w:t>罪事實判斷，除了科學化之外，還要加上個人經驗累積及判斷。任何一個科學證據，也不適合以單一證據為判斷。除了DNA鑑定之外，尚須將鑑定證據跟案件作證關聯性。</w:t>
      </w:r>
    </w:p>
    <w:p w:rsidR="00F956E8" w:rsidRPr="000B2A94" w:rsidRDefault="00F956E8" w:rsidP="00F956E8">
      <w:pPr>
        <w:pStyle w:val="1"/>
        <w:numPr>
          <w:ilvl w:val="0"/>
          <w:numId w:val="1"/>
        </w:numPr>
        <w:rPr>
          <w:rFonts w:ascii="Times New Roman" w:hAnsi="Times New Roman"/>
          <w:b/>
          <w:color w:val="000000" w:themeColor="text1"/>
        </w:rPr>
      </w:pPr>
      <w:bookmarkStart w:id="388" w:name="_Toc28606833"/>
      <w:r w:rsidRPr="000B2A94">
        <w:rPr>
          <w:rFonts w:ascii="Times New Roman" w:hAnsi="Times New Roman"/>
          <w:b/>
          <w:color w:val="000000" w:themeColor="text1"/>
        </w:rPr>
        <w:t>赴德國訪察相關機關紀實</w:t>
      </w:r>
      <w:bookmarkEnd w:id="388"/>
    </w:p>
    <w:p w:rsidR="00F956E8" w:rsidRPr="000B2A94" w:rsidRDefault="00F956E8" w:rsidP="00C86E0D">
      <w:pPr>
        <w:pStyle w:val="11"/>
        <w:ind w:left="680" w:firstLine="680"/>
        <w:rPr>
          <w:color w:val="000000" w:themeColor="text1"/>
        </w:rPr>
      </w:pPr>
      <w:r w:rsidRPr="000B2A94">
        <w:rPr>
          <w:color w:val="000000" w:themeColor="text1"/>
        </w:rPr>
        <w:t>法醫學係研究與利用醫學、科學知識以解決法律事件中醫學問題之學問，在我國因為法醫學並不發達，而法醫鑑定為判斷「事實」最重要之鑑定證據，肇致有關法醫方面之鑑定只能依靠「唯一」之法務部「法醫研究所」鑑定，間或有疑義請各大醫學中心補充鑑定，然法醫鑑定滋生爭議者，所在多有。</w:t>
      </w:r>
    </w:p>
    <w:p w:rsidR="00F956E8" w:rsidRPr="000B2A94" w:rsidRDefault="00F956E8" w:rsidP="00F956E8">
      <w:pPr>
        <w:pStyle w:val="11"/>
        <w:ind w:left="680" w:firstLine="680"/>
        <w:rPr>
          <w:rFonts w:ascii="Times New Roman"/>
          <w:color w:val="000000" w:themeColor="text1"/>
        </w:rPr>
      </w:pPr>
      <w:r w:rsidRPr="000B2A94">
        <w:rPr>
          <w:rFonts w:ascii="Times New Roman"/>
          <w:color w:val="000000" w:themeColor="text1"/>
        </w:rPr>
        <w:t>法醫學為極為專門之科學，非精研法醫學者，其鑑定難免疏漏，因而若第一時間之法醫鑑定不夠周全，易成懸案或有重大爭議，對於當事人及公平正義之追求，均有缺漏，從而司法獄政委員會通案研究專題，呼應司改國是會議，研究國家級鑑定中心成立之必要性及可行</w:t>
      </w:r>
      <w:r w:rsidRPr="000B2A94">
        <w:rPr>
          <w:rFonts w:ascii="Times New Roman"/>
          <w:color w:val="000000" w:themeColor="text1"/>
        </w:rPr>
        <w:lastRenderedPageBreak/>
        <w:t>性評估，而其中最重要需由國家整體規劃者，當屬法醫鑑定之國家級定位。</w:t>
      </w:r>
    </w:p>
    <w:p w:rsidR="00F956E8" w:rsidRPr="000B2A94" w:rsidRDefault="00F956E8" w:rsidP="00F956E8">
      <w:pPr>
        <w:pStyle w:val="11"/>
        <w:ind w:left="680" w:firstLine="680"/>
        <w:rPr>
          <w:rFonts w:ascii="Times New Roman"/>
          <w:color w:val="000000" w:themeColor="text1"/>
        </w:rPr>
      </w:pPr>
      <w:r w:rsidRPr="000B2A94">
        <w:rPr>
          <w:rFonts w:ascii="Times New Roman"/>
          <w:color w:val="000000" w:themeColor="text1"/>
        </w:rPr>
        <w:t>又因法醫學為極為專門之科學，非精研法醫學者，其鑑定難免疏漏。現代的法醫制度，執行法醫解剖者需同時具備經認證之醫師、解剖病理專科及法醫病理專科醫師，甚至在大陸法系還有精神醫學之訓練。</w:t>
      </w:r>
    </w:p>
    <w:p w:rsidR="00F956E8" w:rsidRPr="000B2A94" w:rsidRDefault="00F956E8" w:rsidP="00F956E8">
      <w:pPr>
        <w:pStyle w:val="11"/>
        <w:ind w:left="680" w:firstLine="680"/>
        <w:rPr>
          <w:rFonts w:ascii="Times New Roman"/>
          <w:color w:val="000000" w:themeColor="text1"/>
        </w:rPr>
      </w:pPr>
      <w:r w:rsidRPr="000B2A94">
        <w:rPr>
          <w:rFonts w:ascii="Times New Roman"/>
          <w:color w:val="000000" w:themeColor="text1"/>
        </w:rPr>
        <w:t>目前國内法醫鑑定主要為「法醫解剖」，即為「死亡原因」及「死亡方式」之鑑定。</w:t>
      </w:r>
      <w:r w:rsidRPr="000B2A94">
        <w:rPr>
          <w:rFonts w:ascii="Times New Roman"/>
          <w:color w:val="000000" w:themeColor="text1"/>
        </w:rPr>
        <w:t xml:space="preserve">95 </w:t>
      </w:r>
      <w:r w:rsidRPr="000B2A94">
        <w:rPr>
          <w:rFonts w:ascii="Times New Roman"/>
          <w:color w:val="000000" w:themeColor="text1"/>
        </w:rPr>
        <w:t>年</w:t>
      </w:r>
      <w:r w:rsidRPr="000B2A94">
        <w:rPr>
          <w:rFonts w:ascii="Times New Roman"/>
          <w:color w:val="000000" w:themeColor="text1"/>
        </w:rPr>
        <w:t xml:space="preserve">12 </w:t>
      </w:r>
      <w:r w:rsidRPr="000B2A94">
        <w:rPr>
          <w:rFonts w:ascii="Times New Roman"/>
          <w:color w:val="000000" w:themeColor="text1"/>
        </w:rPr>
        <w:t>月</w:t>
      </w:r>
      <w:r w:rsidRPr="000B2A94">
        <w:rPr>
          <w:rFonts w:ascii="Times New Roman"/>
          <w:color w:val="000000" w:themeColor="text1"/>
        </w:rPr>
        <w:t xml:space="preserve">28 </w:t>
      </w:r>
      <w:r w:rsidRPr="000B2A94">
        <w:rPr>
          <w:rFonts w:ascii="Times New Roman"/>
          <w:color w:val="000000" w:themeColor="text1"/>
        </w:rPr>
        <w:t>日</w:t>
      </w:r>
      <w:r w:rsidR="007D533C" w:rsidRPr="000B2A94">
        <w:rPr>
          <w:rFonts w:ascii="Times New Roman" w:hint="eastAsia"/>
          <w:color w:val="000000" w:themeColor="text1"/>
        </w:rPr>
        <w:t>「</w:t>
      </w:r>
      <w:r w:rsidR="007D533C" w:rsidRPr="000B2A94">
        <w:rPr>
          <w:rFonts w:ascii="Times New Roman"/>
          <w:color w:val="000000" w:themeColor="text1"/>
        </w:rPr>
        <w:t>法醫師法</w:t>
      </w:r>
      <w:r w:rsidR="007D533C" w:rsidRPr="000B2A94">
        <w:rPr>
          <w:rFonts w:ascii="Times New Roman" w:hint="eastAsia"/>
          <w:color w:val="000000" w:themeColor="text1"/>
        </w:rPr>
        <w:t>」</w:t>
      </w:r>
      <w:r w:rsidRPr="000B2A94">
        <w:rPr>
          <w:rFonts w:ascii="Times New Roman"/>
          <w:color w:val="000000" w:themeColor="text1"/>
        </w:rPr>
        <w:t>施行後，臺灣法醫制度造就大量沒有能力與資格執行法醫解剖的「法醫師」，而此些不具醫師、解剖病理專科醫師及法醫病理專科醫師證書之法醫師，與刑事訴訟法規定「解剖應命醫師行之」有不符之處。目前我國經由臺灣病理學會認證，已核發約</w:t>
      </w:r>
      <w:r w:rsidR="007D533C" w:rsidRPr="000B2A94">
        <w:rPr>
          <w:rFonts w:ascii="Times New Roman"/>
          <w:color w:val="000000" w:themeColor="text1"/>
        </w:rPr>
        <w:t>30</w:t>
      </w:r>
      <w:r w:rsidRPr="000B2A94">
        <w:rPr>
          <w:rFonts w:ascii="Times New Roman"/>
          <w:color w:val="000000" w:themeColor="text1"/>
        </w:rPr>
        <w:t>張法醫病理專科醫師證書。然因我國未如其他國家將醫學系學生可以兼修（或必修）法醫學，所以同時具有</w:t>
      </w:r>
      <w:r w:rsidR="007D533C" w:rsidRPr="000B2A94">
        <w:rPr>
          <w:rFonts w:ascii="Times New Roman"/>
          <w:color w:val="000000" w:themeColor="text1"/>
        </w:rPr>
        <w:t>醫師證書、解剖病理專科醫師證書及法醫病理專科醫師證書者，卻礙於</w:t>
      </w:r>
      <w:r w:rsidR="007D533C" w:rsidRPr="000B2A94">
        <w:rPr>
          <w:rFonts w:ascii="Times New Roman" w:hint="eastAsia"/>
          <w:color w:val="000000" w:themeColor="text1"/>
        </w:rPr>
        <w:t>「</w:t>
      </w:r>
      <w:r w:rsidR="007D533C" w:rsidRPr="000B2A94">
        <w:rPr>
          <w:rFonts w:ascii="Times New Roman"/>
          <w:color w:val="000000" w:themeColor="text1"/>
        </w:rPr>
        <w:t>法醫師法</w:t>
      </w:r>
      <w:r w:rsidR="007D533C" w:rsidRPr="000B2A94">
        <w:rPr>
          <w:rFonts w:ascii="Times New Roman" w:hint="eastAsia"/>
          <w:color w:val="000000" w:themeColor="text1"/>
        </w:rPr>
        <w:t>」</w:t>
      </w:r>
      <w:r w:rsidRPr="000B2A94">
        <w:rPr>
          <w:rFonts w:ascii="Times New Roman"/>
          <w:color w:val="000000" w:themeColor="text1"/>
        </w:rPr>
        <w:t>規定，因沒有法醫師證書，不能如同其他先進國家般為國家所任用，以執行法醫解剖及死因鑑定工作，此亦為法醫學進步之阻礙。</w:t>
      </w:r>
    </w:p>
    <w:p w:rsidR="00F956E8" w:rsidRPr="000B2A94" w:rsidRDefault="007D533C" w:rsidP="00F956E8">
      <w:pPr>
        <w:pStyle w:val="11"/>
        <w:ind w:left="680" w:firstLine="680"/>
        <w:rPr>
          <w:rFonts w:ascii="Times New Roman"/>
          <w:color w:val="000000" w:themeColor="text1"/>
        </w:rPr>
      </w:pPr>
      <w:r w:rsidRPr="000B2A94">
        <w:rPr>
          <w:rFonts w:ascii="Times New Roman"/>
          <w:color w:val="000000" w:themeColor="text1"/>
        </w:rPr>
        <w:t>現今在德國，法醫師的養成教育，除了必需至少受過</w:t>
      </w:r>
      <w:r w:rsidRPr="000B2A94">
        <w:rPr>
          <w:rFonts w:ascii="Times New Roman" w:hint="eastAsia"/>
          <w:color w:val="000000" w:themeColor="text1"/>
        </w:rPr>
        <w:t>6</w:t>
      </w:r>
      <w:r w:rsidR="00F956E8" w:rsidRPr="000B2A94">
        <w:rPr>
          <w:rFonts w:ascii="Times New Roman"/>
          <w:color w:val="000000" w:themeColor="text1"/>
        </w:rPr>
        <w:t>年醫學教育外，尚須於醫學教育後，繼續接受至少</w:t>
      </w:r>
      <w:r w:rsidRPr="000B2A94">
        <w:rPr>
          <w:rFonts w:ascii="Times New Roman" w:hint="eastAsia"/>
          <w:color w:val="000000" w:themeColor="text1"/>
        </w:rPr>
        <w:t>5</w:t>
      </w:r>
      <w:r w:rsidRPr="000B2A94">
        <w:rPr>
          <w:rFonts w:ascii="Times New Roman"/>
          <w:color w:val="000000" w:themeColor="text1"/>
        </w:rPr>
        <w:t>年的法醫學專科醫師養成教育，其中至少有半年的精神病學及</w:t>
      </w:r>
      <w:r w:rsidRPr="000B2A94">
        <w:rPr>
          <w:rFonts w:ascii="Times New Roman" w:hint="eastAsia"/>
          <w:color w:val="000000" w:themeColor="text1"/>
        </w:rPr>
        <w:t>1</w:t>
      </w:r>
      <w:r w:rsidR="00466B7E" w:rsidRPr="000B2A94">
        <w:rPr>
          <w:rFonts w:ascii="Times New Roman"/>
          <w:color w:val="000000" w:themeColor="text1"/>
        </w:rPr>
        <w:t>年病理學的課程。之後仍必須通過</w:t>
      </w:r>
      <w:r w:rsidR="00F956E8" w:rsidRPr="000B2A94">
        <w:rPr>
          <w:rFonts w:ascii="Times New Roman"/>
          <w:color w:val="000000" w:themeColor="text1"/>
        </w:rPr>
        <w:t>法醫專科醫師的考試。在司法實務上，德國法醫學鑑定係採取由大學醫學院及醫療機構承擔的制度，法院、檢察署和警察局皆不設置所謂的專責法醫鑑定機構，而隸屬於警察局的司法鑑定機構亦不從事法醫學的司法鑑定。各邦境内所發生的刑事案件，倘若需要法醫學方面的鑑定，則由各邦境内的大學醫學院法醫研究所所設立的的法醫鑑定機構負責。換言之，德國的法醫司法鑑定與法醫師養成教</w:t>
      </w:r>
      <w:r w:rsidR="00F956E8" w:rsidRPr="000B2A94">
        <w:rPr>
          <w:rFonts w:ascii="Times New Roman"/>
          <w:color w:val="000000" w:themeColor="text1"/>
        </w:rPr>
        <w:lastRenderedPageBreak/>
        <w:t>育，係與醫學教育緊密結合，而法醫研究所一方面培養高素質的法醫專科醫師及法醫學相關專業技術人才，一方面大學法醫研究所通常皆有設立法醫鑑定機構，以供培養法醫專科醫師實習之用，因而參訪德國醫學系所法醫養成及鑑定有其重要性。</w:t>
      </w:r>
    </w:p>
    <w:p w:rsidR="00F956E8" w:rsidRPr="000B2A94" w:rsidRDefault="00F956E8" w:rsidP="00C86E0D">
      <w:pPr>
        <w:pStyle w:val="2"/>
        <w:rPr>
          <w:color w:val="000000" w:themeColor="text1"/>
        </w:rPr>
      </w:pPr>
      <w:bookmarkStart w:id="389" w:name="_Toc28606834"/>
      <w:r w:rsidRPr="000B2A94">
        <w:rPr>
          <w:color w:val="000000" w:themeColor="text1"/>
        </w:rPr>
        <w:t>德國巴伐利亞州刑事鑑定中心</w:t>
      </w:r>
      <w:bookmarkEnd w:id="389"/>
    </w:p>
    <w:p w:rsidR="00F956E8" w:rsidRPr="000B2A94" w:rsidRDefault="00F956E8" w:rsidP="00C86E0D">
      <w:pPr>
        <w:pStyle w:val="3"/>
        <w:rPr>
          <w:color w:val="000000" w:themeColor="text1"/>
        </w:rPr>
      </w:pPr>
      <w:r w:rsidRPr="000B2A94">
        <w:rPr>
          <w:color w:val="000000" w:themeColor="text1"/>
        </w:rPr>
        <w:t>簡介</w:t>
      </w:r>
    </w:p>
    <w:p w:rsidR="00F956E8" w:rsidRPr="000B2A94" w:rsidRDefault="00F956E8" w:rsidP="00C86E0D">
      <w:pPr>
        <w:pStyle w:val="4"/>
        <w:rPr>
          <w:color w:val="000000" w:themeColor="text1"/>
        </w:rPr>
      </w:pPr>
      <w:r w:rsidRPr="000B2A94">
        <w:rPr>
          <w:color w:val="000000" w:themeColor="text1"/>
        </w:rPr>
        <w:t>巴伐利亞刑事鑑定中心(該地稱國家刑事調查主題辦公室或稱刑事調查局)簡稱「BLKA」(下同)。BLKA是位於慕尼黑（Maxvorstadt區），為德國頗有信譽的鑑定中心，2002年5月6日成立之「戰略創新中心」，更是非常先進的鑑定單位。BLKA雖是巴伐利亞警方的上級警察局，但與現職警方互不隸屬，也非如我國刑事警察局、調查局、憲兵支援中心般，由現職警察(調查官、憲兵)鑑識人員擔任。</w:t>
      </w:r>
    </w:p>
    <w:p w:rsidR="00F956E8" w:rsidRPr="000B2A94" w:rsidRDefault="00F956E8" w:rsidP="00C86E0D">
      <w:pPr>
        <w:pStyle w:val="4"/>
        <w:rPr>
          <w:color w:val="000000" w:themeColor="text1"/>
        </w:rPr>
      </w:pPr>
      <w:r w:rsidRPr="000B2A94">
        <w:rPr>
          <w:color w:val="000000" w:themeColor="text1"/>
        </w:rPr>
        <w:t>機關任務功能</w:t>
      </w:r>
    </w:p>
    <w:p w:rsidR="00F956E8" w:rsidRPr="000B2A94" w:rsidRDefault="007D533C" w:rsidP="00C86E0D">
      <w:pPr>
        <w:pStyle w:val="5"/>
        <w:rPr>
          <w:color w:val="000000" w:themeColor="text1"/>
        </w:rPr>
      </w:pPr>
      <w:r w:rsidRPr="000B2A94">
        <w:rPr>
          <w:color w:val="000000" w:themeColor="text1"/>
        </w:rPr>
        <w:t>刑警調查部門</w:t>
      </w:r>
    </w:p>
    <w:p w:rsidR="00F956E8" w:rsidRPr="000B2A94" w:rsidRDefault="00F956E8" w:rsidP="00C86E0D">
      <w:pPr>
        <w:pStyle w:val="51"/>
        <w:ind w:left="2041" w:firstLine="680"/>
        <w:rPr>
          <w:color w:val="000000" w:themeColor="text1"/>
        </w:rPr>
      </w:pPr>
      <w:r w:rsidRPr="000B2A94">
        <w:rPr>
          <w:color w:val="000000" w:themeColor="text1"/>
        </w:rPr>
        <w:t>專門處理巴伐利亞警察的中央信息和通信系統，特別是有關巴伐利亞警察的數據處理和電信（尤其是電信辦公室），創新、研究和預防是其宗旨。</w:t>
      </w:r>
    </w:p>
    <w:p w:rsidR="00F956E8" w:rsidRPr="000B2A94" w:rsidRDefault="00F956E8" w:rsidP="00C86E0D">
      <w:pPr>
        <w:pStyle w:val="5"/>
        <w:rPr>
          <w:color w:val="000000" w:themeColor="text1"/>
        </w:rPr>
      </w:pPr>
      <w:r w:rsidRPr="000B2A94">
        <w:rPr>
          <w:color w:val="000000" w:themeColor="text1"/>
        </w:rPr>
        <w:t>寶石鑑定。</w:t>
      </w:r>
    </w:p>
    <w:p w:rsidR="00F956E8" w:rsidRPr="000B2A94" w:rsidRDefault="00F956E8" w:rsidP="00C86E0D">
      <w:pPr>
        <w:pStyle w:val="5"/>
        <w:rPr>
          <w:color w:val="000000" w:themeColor="text1"/>
        </w:rPr>
      </w:pPr>
      <w:r w:rsidRPr="000B2A94">
        <w:rPr>
          <w:color w:val="000000" w:themeColor="text1"/>
        </w:rPr>
        <w:t>核料、爆炸和輻射犯罪。</w:t>
      </w:r>
    </w:p>
    <w:p w:rsidR="00F956E8" w:rsidRPr="000B2A94" w:rsidRDefault="00F956E8" w:rsidP="00C86E0D">
      <w:pPr>
        <w:pStyle w:val="5"/>
        <w:rPr>
          <w:color w:val="000000" w:themeColor="text1"/>
        </w:rPr>
      </w:pPr>
      <w:r w:rsidRPr="000B2A94">
        <w:rPr>
          <w:color w:val="000000" w:themeColor="text1"/>
        </w:rPr>
        <w:t>毒品檢驗及貿易大規模現場檢查</w:t>
      </w:r>
      <w:r w:rsidRPr="000B2A94">
        <w:rPr>
          <w:rStyle w:val="aff1"/>
          <w:color w:val="000000" w:themeColor="text1"/>
          <w:vertAlign w:val="baseline"/>
        </w:rPr>
        <w:footnoteReference w:id="32"/>
      </w:r>
      <w:r w:rsidRPr="000B2A94">
        <w:rPr>
          <w:color w:val="000000" w:themeColor="text1"/>
        </w:rPr>
        <w:t>。</w:t>
      </w:r>
    </w:p>
    <w:p w:rsidR="00F956E8" w:rsidRPr="000B2A94" w:rsidRDefault="00F956E8" w:rsidP="00C86E0D">
      <w:pPr>
        <w:pStyle w:val="5"/>
        <w:rPr>
          <w:color w:val="000000" w:themeColor="text1"/>
        </w:rPr>
      </w:pPr>
      <w:r w:rsidRPr="000B2A94">
        <w:rPr>
          <w:color w:val="000000" w:themeColor="text1"/>
        </w:rPr>
        <w:t>偽造貨幣、信用卡、郵票及有價證卷。</w:t>
      </w:r>
    </w:p>
    <w:p w:rsidR="00F956E8" w:rsidRPr="000B2A94" w:rsidRDefault="00F956E8" w:rsidP="00C86E0D">
      <w:pPr>
        <w:pStyle w:val="5"/>
        <w:rPr>
          <w:color w:val="000000" w:themeColor="text1"/>
        </w:rPr>
      </w:pPr>
      <w:r w:rsidRPr="000B2A94">
        <w:rPr>
          <w:color w:val="000000" w:themeColor="text1"/>
        </w:rPr>
        <w:t>有關叛國罪和危害外部安全及國家內政部任命後的重大犯罪。</w:t>
      </w:r>
    </w:p>
    <w:p w:rsidR="00F956E8" w:rsidRPr="000B2A94" w:rsidRDefault="00F956E8" w:rsidP="00C86E0D">
      <w:pPr>
        <w:pStyle w:val="5"/>
        <w:rPr>
          <w:color w:val="000000" w:themeColor="text1"/>
        </w:rPr>
      </w:pPr>
      <w:r w:rsidRPr="000B2A94">
        <w:rPr>
          <w:color w:val="000000" w:themeColor="text1"/>
        </w:rPr>
        <w:lastRenderedPageBreak/>
        <w:t>新型態犯罪。</w:t>
      </w:r>
    </w:p>
    <w:p w:rsidR="00F956E8" w:rsidRPr="000B2A94" w:rsidRDefault="00F956E8" w:rsidP="00C86E0D">
      <w:pPr>
        <w:pStyle w:val="4"/>
        <w:rPr>
          <w:color w:val="000000" w:themeColor="text1"/>
        </w:rPr>
      </w:pPr>
      <w:r w:rsidRPr="000B2A94">
        <w:rPr>
          <w:color w:val="000000" w:themeColor="text1"/>
        </w:rPr>
        <w:t>機關人力：</w:t>
      </w:r>
    </w:p>
    <w:p w:rsidR="00F956E8" w:rsidRPr="000B2A94" w:rsidRDefault="00F956E8" w:rsidP="00C86E0D">
      <w:pPr>
        <w:pStyle w:val="42"/>
        <w:ind w:left="1701" w:firstLine="680"/>
        <w:rPr>
          <w:color w:val="000000" w:themeColor="text1"/>
        </w:rPr>
      </w:pPr>
      <w:r w:rsidRPr="000B2A94">
        <w:rPr>
          <w:color w:val="000000" w:themeColor="text1"/>
        </w:rPr>
        <w:t>BLKA聘有1,800名員工，均是對外招聘各領域學有專精的人員，有8成以上具有博士學位，且大部分都終身在此單位，不會外流至警界任職。BLKA設有6個部門，19個小部門(單位)和85個學科研究領域，幾乎每個研究員都有一間研究辦公室。本次考察由現任巴伐利亞BLKA主席Robert  Heimberger親自接待至各部門並詳細解說，因時間關係，雖然無法全部參觀各部門，惟仍能感受政府對於鑑識之重視及金錢的投入，更感受到他們身為鑑識人員的優越感及成就感。</w:t>
      </w:r>
    </w:p>
    <w:p w:rsidR="00F956E8" w:rsidRPr="000B2A94" w:rsidRDefault="00F956E8" w:rsidP="00C86E0D">
      <w:pPr>
        <w:pStyle w:val="4"/>
        <w:rPr>
          <w:color w:val="000000" w:themeColor="text1"/>
        </w:rPr>
      </w:pPr>
      <w:r w:rsidRPr="000B2A94">
        <w:rPr>
          <w:color w:val="000000" w:themeColor="text1"/>
        </w:rPr>
        <w:t>機關創設背景：</w:t>
      </w:r>
    </w:p>
    <w:p w:rsidR="00F956E8" w:rsidRPr="000B2A94" w:rsidRDefault="00F956E8" w:rsidP="00C86E0D">
      <w:pPr>
        <w:pStyle w:val="42"/>
        <w:ind w:left="1701" w:firstLine="680"/>
        <w:rPr>
          <w:color w:val="000000" w:themeColor="text1"/>
        </w:rPr>
      </w:pPr>
      <w:r w:rsidRPr="000B2A94">
        <w:rPr>
          <w:color w:val="000000" w:themeColor="text1"/>
        </w:rPr>
        <w:t>BLKA於1946年5月11日成立(巴伐利亞州內政部第59號令)，總部原設在慕尼黑的杜爾克海姆宮，同年更名為巴伐利亞州內政部的犯罪證明，警察統計和警察情報中央辦公室。1949年，它更名為巴伐利亞州刑事鑑定和警察統計中央辦公室。1952年，最後一次改名為巴伐利亞國家刑事調查辦公室。1953年，土地警察局被納入BLKA (國家級)。1968年，468名工作人員搬進Maillingerstra</w:t>
      </w:r>
      <w:r w:rsidRPr="000B2A94">
        <w:rPr>
          <w:color w:val="000000" w:themeColor="text1"/>
        </w:rPr>
        <w:t>ß</w:t>
      </w:r>
      <w:r w:rsidRPr="000B2A94">
        <w:rPr>
          <w:color w:val="000000" w:themeColor="text1"/>
        </w:rPr>
        <w:t>e15（火星場）的大樓。1979年7月1日起，BLKA成為「巴伐利亞警察犯罪學研究小組」。又由於2001年9月11日的恐怖襲擊，2002年5月6日成立「戰略創新中心」，而於2013年3月1日，所有針對巴伐利亞警察的內部調查部門也隸屬於BLKA。</w:t>
      </w:r>
    </w:p>
    <w:p w:rsidR="00F956E8" w:rsidRPr="000B2A94" w:rsidRDefault="00F956E8" w:rsidP="00C86E0D">
      <w:pPr>
        <w:pStyle w:val="4"/>
        <w:rPr>
          <w:color w:val="000000" w:themeColor="text1"/>
        </w:rPr>
      </w:pPr>
      <w:r w:rsidRPr="000B2A94">
        <w:rPr>
          <w:color w:val="000000" w:themeColor="text1"/>
        </w:rPr>
        <w:t>BLKA是國家警察中第一個跳過DNA分析文件使用100,000個傳輸記錄的標記的鑑定機構。迄今他們已經鑑定澄清超過6,000起犯罪案件，其中包</w:t>
      </w:r>
      <w:r w:rsidRPr="000B2A94">
        <w:rPr>
          <w:color w:val="000000" w:themeColor="text1"/>
        </w:rPr>
        <w:lastRenderedPageBreak/>
        <w:t>括巴伐利亞州的74起謀殺案和186起性犯罪案。</w:t>
      </w:r>
    </w:p>
    <w:p w:rsidR="00F956E8" w:rsidRPr="000B2A94" w:rsidRDefault="00F956E8" w:rsidP="00C86E0D">
      <w:pPr>
        <w:pStyle w:val="3"/>
        <w:rPr>
          <w:color w:val="000000" w:themeColor="text1"/>
        </w:rPr>
      </w:pPr>
      <w:r w:rsidRPr="000B2A94">
        <w:rPr>
          <w:rFonts w:hint="eastAsia"/>
          <w:color w:val="000000" w:themeColor="text1"/>
        </w:rPr>
        <w:t>考察</w:t>
      </w:r>
      <w:r w:rsidRPr="000B2A94">
        <w:rPr>
          <w:color w:val="000000" w:themeColor="text1"/>
        </w:rPr>
        <w:t>紀要</w:t>
      </w:r>
    </w:p>
    <w:p w:rsidR="00F956E8" w:rsidRPr="000B2A94" w:rsidRDefault="00F956E8" w:rsidP="00C86E0D">
      <w:pPr>
        <w:pStyle w:val="4"/>
        <w:rPr>
          <w:color w:val="000000" w:themeColor="text1"/>
        </w:rPr>
      </w:pPr>
      <w:r w:rsidRPr="000B2A94">
        <w:rPr>
          <w:color w:val="000000" w:themeColor="text1"/>
        </w:rPr>
        <w:t>有關鑑定人之選任</w:t>
      </w:r>
    </w:p>
    <w:p w:rsidR="00F956E8" w:rsidRPr="000B2A94" w:rsidRDefault="00F956E8" w:rsidP="00C86E0D">
      <w:pPr>
        <w:pStyle w:val="5"/>
        <w:rPr>
          <w:color w:val="000000" w:themeColor="text1"/>
        </w:rPr>
      </w:pPr>
      <w:r w:rsidRPr="000B2A94">
        <w:rPr>
          <w:color w:val="000000" w:themeColor="text1"/>
        </w:rPr>
        <w:t>依德國刑事訴訟法之規定，在偵查程序中由檢察官為之，審判程序中則由法官為之</w:t>
      </w:r>
      <w:r w:rsidRPr="000B2A94">
        <w:rPr>
          <w:color w:val="000000" w:themeColor="text1"/>
          <w:vertAlign w:val="superscript"/>
        </w:rPr>
        <w:footnoteReference w:id="33"/>
      </w:r>
      <w:r w:rsidRPr="000B2A94">
        <w:rPr>
          <w:color w:val="000000" w:themeColor="text1"/>
        </w:rPr>
        <w:t>。</w:t>
      </w:r>
    </w:p>
    <w:p w:rsidR="00F956E8" w:rsidRPr="000B2A94" w:rsidRDefault="00F956E8" w:rsidP="00C86E0D">
      <w:pPr>
        <w:pStyle w:val="5"/>
        <w:rPr>
          <w:color w:val="000000" w:themeColor="text1"/>
        </w:rPr>
      </w:pPr>
      <w:r w:rsidRPr="000B2A94">
        <w:rPr>
          <w:color w:val="000000" w:themeColor="text1"/>
        </w:rPr>
        <w:t>鑑定人之選任於審判中乃法官之職權，鑑定人乃法院之輔助者角色，法院是否需要鑑定人之協助，應由審判之法官自行決定之，且依德國刑事訴訟法第78條之規定，鑑定人從事鑑定時受法官或檢察官之指揮。而一般認為鑑定人之選任應以有無「鑑定之必要性」而為判斷，因法官具有發現真實之義務，若法官欠缺特定專業知識而無法就待證事項為認定時，即有交付鑑定之必要；如於此情形下法官卻不選任鑑定人時，即已違反發現真實之義務</w:t>
      </w:r>
      <w:r w:rsidRPr="000B2A94">
        <w:rPr>
          <w:color w:val="000000" w:themeColor="text1"/>
          <w:vertAlign w:val="superscript"/>
        </w:rPr>
        <w:footnoteReference w:id="34"/>
      </w:r>
      <w:r w:rsidRPr="000B2A94">
        <w:rPr>
          <w:color w:val="000000" w:themeColor="text1"/>
        </w:rPr>
        <w:t>。</w:t>
      </w:r>
    </w:p>
    <w:p w:rsidR="00F956E8" w:rsidRPr="000B2A94" w:rsidRDefault="00F956E8" w:rsidP="00C86E0D">
      <w:pPr>
        <w:pStyle w:val="4"/>
        <w:rPr>
          <w:color w:val="000000" w:themeColor="text1"/>
        </w:rPr>
      </w:pPr>
      <w:r w:rsidRPr="000B2A94">
        <w:rPr>
          <w:color w:val="000000" w:themeColor="text1"/>
        </w:rPr>
        <w:t>鑑定人之角色</w:t>
      </w:r>
    </w:p>
    <w:p w:rsidR="00F956E8" w:rsidRPr="000B2A94" w:rsidRDefault="00F956E8" w:rsidP="00C86E0D">
      <w:pPr>
        <w:pStyle w:val="5"/>
        <w:rPr>
          <w:color w:val="000000" w:themeColor="text1"/>
        </w:rPr>
      </w:pPr>
      <w:r w:rsidRPr="000B2A94">
        <w:rPr>
          <w:color w:val="000000" w:themeColor="text1"/>
        </w:rPr>
        <w:t>鑑定人主要角色係法官之輔佐人，由法官主導鑑定程序，依職權選任鑑定人</w:t>
      </w:r>
      <w:r w:rsidRPr="000B2A94">
        <w:rPr>
          <w:rFonts w:ascii="Times New Roman" w:hAnsi="Times New Roman"/>
          <w:color w:val="000000" w:themeColor="text1"/>
        </w:rPr>
        <w:t>及其人數，並決定鑑定事項與鑑定範圍。鑑定人可區分為公開任命、宣誓並具結之鑑定人</w:t>
      </w:r>
      <w:r w:rsidR="007D533C" w:rsidRPr="000B2A94">
        <w:rPr>
          <w:color w:val="000000" w:themeColor="text1"/>
        </w:rPr>
        <w:t>(</w:t>
      </w:r>
      <w:r w:rsidRPr="000B2A94">
        <w:rPr>
          <w:rFonts w:ascii="Times New Roman" w:hAnsi="Times New Roman"/>
          <w:color w:val="000000" w:themeColor="text1"/>
        </w:rPr>
        <w:t>öffentlich bestellte und vereidigte Sachverständige</w:t>
      </w:r>
      <w:r w:rsidR="007D533C" w:rsidRPr="000B2A94">
        <w:rPr>
          <w:rFonts w:ascii="Times New Roman" w:hAnsi="Times New Roman" w:hint="eastAsia"/>
          <w:color w:val="000000" w:themeColor="text1"/>
        </w:rPr>
        <w:t>）</w:t>
      </w:r>
      <w:r w:rsidRPr="000B2A94">
        <w:rPr>
          <w:rFonts w:ascii="Times New Roman" w:hAnsi="Times New Roman"/>
          <w:color w:val="000000" w:themeColor="text1"/>
        </w:rPr>
        <w:t>。依國內文獻引述，鑑</w:t>
      </w:r>
      <w:r w:rsidRPr="000B2A94">
        <w:rPr>
          <w:color w:val="000000" w:themeColor="text1"/>
        </w:rPr>
        <w:t>定認證有：</w:t>
      </w:r>
    </w:p>
    <w:p w:rsidR="00F956E8" w:rsidRPr="000B2A94" w:rsidRDefault="00F956E8" w:rsidP="00C86E0D">
      <w:pPr>
        <w:pStyle w:val="6"/>
        <w:rPr>
          <w:rFonts w:ascii="Times New Roman" w:hAnsi="Times New Roman"/>
          <w:color w:val="000000" w:themeColor="text1"/>
        </w:rPr>
      </w:pPr>
      <w:r w:rsidRPr="000B2A94">
        <w:rPr>
          <w:color w:val="000000" w:themeColor="text1"/>
        </w:rPr>
        <w:t>德國認證委員會（Deutschen Akkreditierungsrat)認可之鑑定人(Zertifizierte S</w:t>
      </w:r>
      <w:r w:rsidRPr="000B2A94">
        <w:rPr>
          <w:rFonts w:ascii="Times New Roman" w:hAnsi="Times New Roman"/>
          <w:color w:val="000000" w:themeColor="text1"/>
        </w:rPr>
        <w:t>achverständige</w:t>
      </w:r>
      <w:r w:rsidR="007D533C" w:rsidRPr="000B2A94">
        <w:rPr>
          <w:rFonts w:ascii="Times New Roman" w:hAnsi="Times New Roman" w:hint="eastAsia"/>
          <w:color w:val="000000" w:themeColor="text1"/>
        </w:rPr>
        <w:t>）</w:t>
      </w:r>
      <w:r w:rsidRPr="000B2A94">
        <w:rPr>
          <w:rFonts w:ascii="Times New Roman" w:hAnsi="Times New Roman"/>
          <w:color w:val="000000" w:themeColor="text1"/>
        </w:rPr>
        <w:t xml:space="preserve"> </w:t>
      </w:r>
      <w:r w:rsidRPr="000B2A94">
        <w:rPr>
          <w:rFonts w:ascii="Times New Roman" w:hAnsi="Times New Roman"/>
          <w:color w:val="000000" w:themeColor="text1"/>
        </w:rPr>
        <w:t>。</w:t>
      </w:r>
    </w:p>
    <w:p w:rsidR="00F956E8" w:rsidRPr="000B2A94" w:rsidRDefault="00F956E8" w:rsidP="00C86E0D">
      <w:pPr>
        <w:pStyle w:val="6"/>
        <w:rPr>
          <w:rFonts w:ascii="Times New Roman" w:hAnsi="Times New Roman"/>
          <w:color w:val="000000" w:themeColor="text1"/>
        </w:rPr>
      </w:pPr>
      <w:r w:rsidRPr="000B2A94">
        <w:rPr>
          <w:rFonts w:ascii="Times New Roman" w:hAnsi="Times New Roman"/>
          <w:color w:val="000000" w:themeColor="text1"/>
        </w:rPr>
        <w:t>專業協會認可並經通過德意志邦考核之鑑定人</w:t>
      </w:r>
      <w:r w:rsidR="007D533C" w:rsidRPr="000B2A94">
        <w:rPr>
          <w:rFonts w:ascii="Times New Roman" w:hAnsi="Times New Roman" w:hint="eastAsia"/>
          <w:color w:val="000000" w:themeColor="text1"/>
        </w:rPr>
        <w:t>（</w:t>
      </w:r>
      <w:r w:rsidRPr="000B2A94">
        <w:rPr>
          <w:rFonts w:ascii="Times New Roman" w:hAnsi="Times New Roman"/>
          <w:color w:val="000000" w:themeColor="text1"/>
        </w:rPr>
        <w:t xml:space="preserve">Staatlich anerkannte </w:t>
      </w:r>
      <w:r w:rsidRPr="000B2A94">
        <w:rPr>
          <w:rFonts w:ascii="Times New Roman" w:hAnsi="Times New Roman"/>
          <w:color w:val="000000" w:themeColor="text1"/>
        </w:rPr>
        <w:lastRenderedPageBreak/>
        <w:t>Sachverständige</w:t>
      </w:r>
      <w:r w:rsidR="007D533C" w:rsidRPr="000B2A94">
        <w:rPr>
          <w:rFonts w:ascii="Times New Roman" w:hAnsi="Times New Roman" w:hint="eastAsia"/>
          <w:color w:val="000000" w:themeColor="text1"/>
        </w:rPr>
        <w:t>）</w:t>
      </w:r>
      <w:r w:rsidRPr="000B2A94">
        <w:rPr>
          <w:rFonts w:ascii="Times New Roman" w:hAnsi="Times New Roman"/>
          <w:color w:val="000000" w:themeColor="text1"/>
        </w:rPr>
        <w:t xml:space="preserve"> </w:t>
      </w:r>
      <w:r w:rsidRPr="000B2A94">
        <w:rPr>
          <w:rFonts w:ascii="Times New Roman" w:hAnsi="Times New Roman"/>
          <w:color w:val="000000" w:themeColor="text1"/>
        </w:rPr>
        <w:t>。</w:t>
      </w:r>
    </w:p>
    <w:p w:rsidR="00F956E8" w:rsidRPr="000B2A94" w:rsidRDefault="00F956E8" w:rsidP="00C86E0D">
      <w:pPr>
        <w:pStyle w:val="6"/>
        <w:rPr>
          <w:rFonts w:ascii="Times New Roman" w:hAnsi="Times New Roman"/>
          <w:color w:val="000000" w:themeColor="text1"/>
        </w:rPr>
      </w:pPr>
      <w:r w:rsidRPr="000B2A94">
        <w:rPr>
          <w:rFonts w:ascii="Times New Roman" w:hAnsi="Times New Roman"/>
          <w:color w:val="000000" w:themeColor="text1"/>
        </w:rPr>
        <w:t>官方機構所屬之鑑定人</w:t>
      </w:r>
      <w:r w:rsidR="007D533C" w:rsidRPr="000B2A94">
        <w:rPr>
          <w:rFonts w:ascii="Times New Roman" w:hAnsi="Times New Roman" w:hint="eastAsia"/>
          <w:color w:val="000000" w:themeColor="text1"/>
        </w:rPr>
        <w:t>（</w:t>
      </w:r>
      <w:r w:rsidRPr="000B2A94">
        <w:rPr>
          <w:rFonts w:ascii="Times New Roman" w:hAnsi="Times New Roman"/>
          <w:color w:val="000000" w:themeColor="text1"/>
        </w:rPr>
        <w:t>Sachverständige amtlich anerkannter Prüforganisationen bzw. amt</w:t>
      </w:r>
      <w:r w:rsidR="007D533C" w:rsidRPr="000B2A94">
        <w:rPr>
          <w:rFonts w:ascii="Times New Roman" w:hAnsi="Times New Roman"/>
          <w:color w:val="000000" w:themeColor="text1"/>
        </w:rPr>
        <w:t>lich anerkannte Sachverständige</w:t>
      </w:r>
      <w:r w:rsidR="007D533C" w:rsidRPr="000B2A94">
        <w:rPr>
          <w:rFonts w:ascii="Times New Roman" w:hAnsi="Times New Roman" w:hint="eastAsia"/>
          <w:color w:val="000000" w:themeColor="text1"/>
        </w:rPr>
        <w:t>）</w:t>
      </w:r>
      <w:r w:rsidRPr="000B2A94">
        <w:rPr>
          <w:rFonts w:ascii="Times New Roman" w:hAnsi="Times New Roman"/>
          <w:color w:val="000000" w:themeColor="text1"/>
        </w:rPr>
        <w:t>。</w:t>
      </w:r>
    </w:p>
    <w:p w:rsidR="00F956E8" w:rsidRPr="000B2A94" w:rsidRDefault="00F956E8" w:rsidP="00C86E0D">
      <w:pPr>
        <w:pStyle w:val="6"/>
        <w:rPr>
          <w:rFonts w:ascii="Times New Roman" w:hAnsi="Times New Roman"/>
          <w:color w:val="000000" w:themeColor="text1"/>
        </w:rPr>
      </w:pPr>
      <w:r w:rsidRPr="000B2A94">
        <w:rPr>
          <w:rFonts w:ascii="Times New Roman" w:hAnsi="Times New Roman"/>
          <w:color w:val="000000" w:themeColor="text1"/>
        </w:rPr>
        <w:t>其他：非官方機構或團體之會員</w:t>
      </w:r>
      <w:r w:rsidR="007D533C" w:rsidRPr="000B2A94">
        <w:rPr>
          <w:rFonts w:ascii="Times New Roman" w:hAnsi="Times New Roman" w:hint="eastAsia"/>
          <w:color w:val="000000" w:themeColor="text1"/>
        </w:rPr>
        <w:t>（</w:t>
      </w:r>
      <w:r w:rsidRPr="000B2A94">
        <w:rPr>
          <w:rFonts w:ascii="Times New Roman" w:hAnsi="Times New Roman"/>
          <w:color w:val="000000" w:themeColor="text1"/>
        </w:rPr>
        <w:t>Sonstige</w:t>
      </w:r>
      <w:r w:rsidR="007D533C" w:rsidRPr="000B2A94">
        <w:rPr>
          <w:rFonts w:ascii="Times New Roman" w:hAnsi="Times New Roman" w:hint="eastAsia"/>
          <w:color w:val="000000" w:themeColor="text1"/>
        </w:rPr>
        <w:t>）</w:t>
      </w:r>
      <w:r w:rsidRPr="000B2A94">
        <w:rPr>
          <w:rFonts w:ascii="Times New Roman" w:hAnsi="Times New Roman"/>
          <w:color w:val="000000" w:themeColor="text1"/>
        </w:rPr>
        <w:t>。</w:t>
      </w:r>
    </w:p>
    <w:p w:rsidR="00F956E8" w:rsidRPr="000B2A94" w:rsidRDefault="00F956E8" w:rsidP="00C86E0D">
      <w:pPr>
        <w:pStyle w:val="5"/>
        <w:rPr>
          <w:color w:val="000000" w:themeColor="text1"/>
        </w:rPr>
      </w:pPr>
      <w:r w:rsidRPr="000B2A94">
        <w:rPr>
          <w:color w:val="000000" w:themeColor="text1"/>
        </w:rPr>
        <w:t>雖當事人（刑事被告及民事兩造等）並無選任鑑定人之權利，但依德國刑事訴訟法第</w:t>
      </w:r>
      <w:r w:rsidRPr="000B2A94">
        <w:rPr>
          <w:rFonts w:hint="eastAsia"/>
          <w:color w:val="000000" w:themeColor="text1"/>
        </w:rPr>
        <w:t>245</w:t>
      </w:r>
      <w:r w:rsidRPr="000B2A94">
        <w:rPr>
          <w:color w:val="000000" w:themeColor="text1"/>
        </w:rPr>
        <w:t>條第</w:t>
      </w:r>
      <w:r w:rsidRPr="000B2A94">
        <w:rPr>
          <w:rFonts w:hint="eastAsia"/>
          <w:color w:val="000000" w:themeColor="text1"/>
        </w:rPr>
        <w:t>2</w:t>
      </w:r>
      <w:r w:rsidRPr="000B2A94">
        <w:rPr>
          <w:color w:val="000000" w:themeColor="text1"/>
        </w:rPr>
        <w:t>項之規定</w:t>
      </w:r>
      <w:r w:rsidRPr="000B2A94">
        <w:rPr>
          <w:color w:val="000000" w:themeColor="text1"/>
          <w:vertAlign w:val="superscript"/>
        </w:rPr>
        <w:footnoteReference w:id="35"/>
      </w:r>
      <w:r w:rsidRPr="000B2A94">
        <w:rPr>
          <w:color w:val="000000" w:themeColor="text1"/>
        </w:rPr>
        <w:t>：「調查證據之範圍包括由被告或是檢察官所傳喚到庭之證人、鑑定人或其他已蒐集之證據方法，以已有證據調查之聲請為限，法院應予以調查。」即賦予當事人聲請法院調查鑑定人或特定之證據資料，應可謂對於當事人之訴訟權有所保障。</w:t>
      </w:r>
    </w:p>
    <w:p w:rsidR="00F956E8" w:rsidRPr="000B2A94" w:rsidRDefault="00F956E8" w:rsidP="00C86E0D">
      <w:pPr>
        <w:pStyle w:val="5"/>
        <w:rPr>
          <w:color w:val="000000" w:themeColor="text1"/>
        </w:rPr>
      </w:pPr>
      <w:r w:rsidRPr="000B2A94">
        <w:rPr>
          <w:color w:val="000000" w:themeColor="text1"/>
        </w:rPr>
        <w:t>而就鑑定結果，鑑定人具有於審判期日到場之義務、宣誓義務</w:t>
      </w:r>
      <w:r w:rsidRPr="000B2A94">
        <w:rPr>
          <w:color w:val="000000" w:themeColor="text1"/>
          <w:vertAlign w:val="superscript"/>
        </w:rPr>
        <w:footnoteReference w:id="36"/>
      </w:r>
      <w:r w:rsidRPr="000B2A94">
        <w:rPr>
          <w:color w:val="000000" w:themeColor="text1"/>
        </w:rPr>
        <w:t>、就鑑定結果陳述或提出鑑定書之義務，以使鑑定之結果取得證據能力</w:t>
      </w:r>
      <w:r w:rsidRPr="000B2A94">
        <w:rPr>
          <w:color w:val="000000" w:themeColor="text1"/>
          <w:vertAlign w:val="superscript"/>
        </w:rPr>
        <w:footnoteReference w:id="37"/>
      </w:r>
      <w:r w:rsidRPr="000B2A94">
        <w:rPr>
          <w:color w:val="000000" w:themeColor="text1"/>
        </w:rPr>
        <w:t>，且在審判程序中，鑑定人仍須就鑑定之經過與結果接受法院及當事人之訊問或詢問，相較於當事人進行主義下所採行由當事人主導詰問程序之「交互詰問制度」</w:t>
      </w:r>
      <w:r w:rsidRPr="000B2A94">
        <w:rPr>
          <w:rStyle w:val="aff1"/>
          <w:rFonts w:ascii="Times New Roman" w:hAnsi="Times New Roman"/>
          <w:color w:val="000000" w:themeColor="text1"/>
          <w:szCs w:val="32"/>
        </w:rPr>
        <w:footnoteReference w:id="38"/>
      </w:r>
      <w:r w:rsidRPr="000B2A94">
        <w:rPr>
          <w:color w:val="000000" w:themeColor="text1"/>
        </w:rPr>
        <w:t>，德國刑事訴訟</w:t>
      </w:r>
      <w:r w:rsidRPr="000B2A94">
        <w:rPr>
          <w:color w:val="000000" w:themeColor="text1"/>
        </w:rPr>
        <w:lastRenderedPageBreak/>
        <w:t>法係採行「輪替詰問制度」，係指先由鑑定人先為包括性之陳述，並將其所實施之鑑定過程及所認知之實際狀態加以完全之說明，之後再由詰問權人(法官、參審員、檢察官、辯護人、被告等訴訟關係人)進行詰問</w:t>
      </w:r>
      <w:r w:rsidRPr="000B2A94">
        <w:rPr>
          <w:color w:val="000000" w:themeColor="text1"/>
          <w:vertAlign w:val="superscript"/>
        </w:rPr>
        <w:footnoteReference w:id="39"/>
      </w:r>
      <w:r w:rsidRPr="000B2A94">
        <w:rPr>
          <w:color w:val="000000" w:themeColor="text1"/>
        </w:rPr>
        <w:t>。</w:t>
      </w:r>
    </w:p>
    <w:p w:rsidR="00F956E8" w:rsidRPr="000B2A94" w:rsidRDefault="00F956E8" w:rsidP="00C86E0D">
      <w:pPr>
        <w:pStyle w:val="5"/>
        <w:rPr>
          <w:color w:val="000000" w:themeColor="text1"/>
        </w:rPr>
      </w:pPr>
      <w:r w:rsidRPr="000B2A94">
        <w:rPr>
          <w:color w:val="000000" w:themeColor="text1"/>
        </w:rPr>
        <w:t>相較於交互詰問，輪替詰問之重心係在於以問答之方式協助法院釐清事實，法庭所關心者乃「什麼事被澄清了」，而非「什麼人澄清了這件事」</w:t>
      </w:r>
      <w:r w:rsidRPr="000B2A94">
        <w:rPr>
          <w:color w:val="000000" w:themeColor="text1"/>
          <w:vertAlign w:val="superscript"/>
        </w:rPr>
        <w:footnoteReference w:id="40"/>
      </w:r>
      <w:r w:rsidRPr="000B2A94">
        <w:rPr>
          <w:color w:val="000000" w:themeColor="text1"/>
        </w:rPr>
        <w:t>。故其進行方式較不注重「形式性」之詰問方式，而概由法官以訴訟指揮權主導之。故在鑑定人之詰問情形，其詰問重點應係在於鑑定過程之確認或鑑定結果之說明，並無就鑑定人之資格或可信性為進一步之質疑或爭辯，此亦可謂德國刑事訴訟程序中職權主義之展現。</w:t>
      </w:r>
    </w:p>
    <w:p w:rsidR="00F956E8" w:rsidRPr="000B2A94" w:rsidRDefault="00F956E8" w:rsidP="00C86E0D">
      <w:pPr>
        <w:pStyle w:val="2"/>
        <w:rPr>
          <w:rFonts w:ascii="Times New Roman" w:hAnsi="Times New Roman"/>
          <w:color w:val="000000" w:themeColor="text1"/>
        </w:rPr>
      </w:pPr>
      <w:bookmarkStart w:id="390" w:name="_Toc28606835"/>
      <w:r w:rsidRPr="000B2A94">
        <w:rPr>
          <w:color w:val="000000" w:themeColor="text1"/>
        </w:rPr>
        <w:t>德國</w:t>
      </w:r>
      <w:r w:rsidRPr="000B2A94">
        <w:rPr>
          <w:rFonts w:hint="eastAsia"/>
          <w:color w:val="000000" w:themeColor="text1"/>
        </w:rPr>
        <w:t>基森</w:t>
      </w:r>
      <w:r w:rsidRPr="000B2A94">
        <w:rPr>
          <w:rFonts w:ascii="Times New Roman" w:hAnsi="Times New Roman"/>
          <w:color w:val="000000" w:themeColor="text1"/>
        </w:rPr>
        <w:t>大學（</w:t>
      </w:r>
      <w:r w:rsidRPr="000B2A94">
        <w:rPr>
          <w:rFonts w:ascii="Times New Roman" w:hAnsi="Times New Roman"/>
          <w:color w:val="000000" w:themeColor="text1"/>
        </w:rPr>
        <w:t>Justus-Liebig-Universität Gießen</w:t>
      </w:r>
      <w:r w:rsidRPr="000B2A94">
        <w:rPr>
          <w:rFonts w:ascii="Times New Roman" w:hAnsi="Times New Roman"/>
          <w:color w:val="000000" w:themeColor="text1"/>
        </w:rPr>
        <w:t>）、法蘭克福大學（</w:t>
      </w:r>
      <w:r w:rsidRPr="000B2A94">
        <w:rPr>
          <w:rFonts w:ascii="Times New Roman" w:hAnsi="Times New Roman"/>
          <w:color w:val="000000" w:themeColor="text1"/>
        </w:rPr>
        <w:t>Goethe-Universität Frankfurt am Main</w:t>
      </w:r>
      <w:r w:rsidRPr="000B2A94">
        <w:rPr>
          <w:rFonts w:ascii="Times New Roman" w:hAnsi="Times New Roman"/>
          <w:color w:val="000000" w:themeColor="text1"/>
        </w:rPr>
        <w:t>）、慕尼黑大學（</w:t>
      </w:r>
      <w:r w:rsidRPr="000B2A94">
        <w:rPr>
          <w:rFonts w:ascii="Times New Roman" w:hAnsi="Times New Roman"/>
          <w:color w:val="000000" w:themeColor="text1"/>
        </w:rPr>
        <w:t>Ludwig-Maximilians-Universität München</w:t>
      </w:r>
      <w:r w:rsidRPr="000B2A94">
        <w:rPr>
          <w:rFonts w:ascii="Times New Roman" w:hAnsi="Times New Roman"/>
          <w:color w:val="000000" w:themeColor="text1"/>
        </w:rPr>
        <w:t>）之法醫研究所</w:t>
      </w:r>
      <w:bookmarkEnd w:id="390"/>
    </w:p>
    <w:p w:rsidR="00F956E8" w:rsidRPr="000B2A94" w:rsidRDefault="00F956E8" w:rsidP="00C86E0D">
      <w:pPr>
        <w:pStyle w:val="3"/>
        <w:rPr>
          <w:rFonts w:ascii="Times New Roman" w:hAnsi="Times New Roman"/>
          <w:color w:val="000000" w:themeColor="text1"/>
        </w:rPr>
      </w:pPr>
      <w:r w:rsidRPr="000B2A94">
        <w:rPr>
          <w:rFonts w:ascii="Times New Roman" w:hAnsi="Times New Roman"/>
          <w:color w:val="000000" w:themeColor="text1"/>
        </w:rPr>
        <w:t>簡介</w:t>
      </w:r>
    </w:p>
    <w:p w:rsidR="00F956E8" w:rsidRPr="000B2A94" w:rsidRDefault="00F956E8" w:rsidP="00C86E0D">
      <w:pPr>
        <w:pStyle w:val="4"/>
        <w:rPr>
          <w:color w:val="000000" w:themeColor="text1"/>
        </w:rPr>
      </w:pPr>
      <w:r w:rsidRPr="000B2A94">
        <w:rPr>
          <w:rFonts w:hint="eastAsia"/>
          <w:color w:val="000000" w:themeColor="text1"/>
        </w:rPr>
        <w:t>我國解剖室是設於殯儀館，德國則在各大學法醫研究所進行解剖。本次參訪之三所大學均設有法醫研究所，德國醫學系先有1學期的法醫課程，之後1年醫院實習，非內科、外科及法醫科，實習後有意願法醫師工作者，再考入法醫研究所念5年(即所謂5+1+5)。</w:t>
      </w:r>
    </w:p>
    <w:p w:rsidR="00F956E8" w:rsidRPr="000B2A94" w:rsidRDefault="00F956E8" w:rsidP="00C86E0D">
      <w:pPr>
        <w:pStyle w:val="4"/>
        <w:rPr>
          <w:color w:val="000000" w:themeColor="text1"/>
        </w:rPr>
      </w:pPr>
      <w:r w:rsidRPr="000B2A94">
        <w:rPr>
          <w:rFonts w:hint="eastAsia"/>
          <w:color w:val="000000" w:themeColor="text1"/>
        </w:rPr>
        <w:lastRenderedPageBreak/>
        <w:t>基森大學及法蘭克福大學位於黑森州(或稱邦)，有北基森、南法蘭克福之稱。黑森州面積約21,100 平方公里，人口約604萬人。該州法院或檢察官之鑑定，於北部委由基森大學，南部則由法蘭克福大學鑑定。</w:t>
      </w:r>
    </w:p>
    <w:p w:rsidR="00F956E8" w:rsidRPr="000B2A94" w:rsidRDefault="00F956E8" w:rsidP="00C86E0D">
      <w:pPr>
        <w:pStyle w:val="4"/>
        <w:rPr>
          <w:color w:val="000000" w:themeColor="text1"/>
        </w:rPr>
      </w:pPr>
      <w:r w:rsidRPr="000B2A94">
        <w:rPr>
          <w:rFonts w:hint="eastAsia"/>
          <w:color w:val="000000" w:themeColor="text1"/>
        </w:rPr>
        <w:t>法蘭克福為黑森州最大城市，基森大學鑑定管轄範圍雖為黑森州之三分之二，然因人口較少，案件量約為法蘭克福之一半。</w:t>
      </w:r>
    </w:p>
    <w:p w:rsidR="00F956E8" w:rsidRPr="000B2A94" w:rsidRDefault="00F956E8" w:rsidP="00C86E0D">
      <w:pPr>
        <w:pStyle w:val="4"/>
        <w:rPr>
          <w:color w:val="000000" w:themeColor="text1"/>
        </w:rPr>
      </w:pPr>
      <w:r w:rsidRPr="000B2A94">
        <w:rPr>
          <w:rFonts w:hint="eastAsia"/>
          <w:color w:val="000000" w:themeColor="text1"/>
        </w:rPr>
        <w:t>德國法醫鑑定大都由各州委由附近大學鑑定，超然客觀，且因相當專業，很少發生鑑定糾紛。</w:t>
      </w:r>
    </w:p>
    <w:p w:rsidR="00F956E8" w:rsidRPr="000B2A94" w:rsidRDefault="00F956E8" w:rsidP="00C86E0D">
      <w:pPr>
        <w:pStyle w:val="3"/>
        <w:rPr>
          <w:color w:val="000000" w:themeColor="text1"/>
        </w:rPr>
      </w:pPr>
      <w:r w:rsidRPr="000B2A94">
        <w:rPr>
          <w:rFonts w:hint="eastAsia"/>
          <w:color w:val="000000" w:themeColor="text1"/>
        </w:rPr>
        <w:t>考察</w:t>
      </w:r>
      <w:r w:rsidRPr="000B2A94">
        <w:rPr>
          <w:color w:val="000000" w:themeColor="text1"/>
        </w:rPr>
        <w:t>紀要</w:t>
      </w:r>
    </w:p>
    <w:p w:rsidR="00F956E8" w:rsidRPr="000B2A94" w:rsidRDefault="00F956E8" w:rsidP="00C86E0D">
      <w:pPr>
        <w:pStyle w:val="4"/>
        <w:rPr>
          <w:color w:val="000000" w:themeColor="text1"/>
        </w:rPr>
      </w:pPr>
      <w:r w:rsidRPr="000B2A94">
        <w:rPr>
          <w:rFonts w:hint="eastAsia"/>
          <w:color w:val="000000" w:themeColor="text1"/>
        </w:rPr>
        <w:t>德國法醫師社會地位很高，也很肯定自己的工作。3所大學之法醫鑑定設備均非常齊全，儀器精良。至慕尼黑大學參訪時，當天正好有大體解剖之鑑定。鑑定由1位法醫師及1位實習法醫師執行，2位護理師協助。他們鑑定態度非常認真，解剖非常仔細，護理師對於大腦是否有病變也仔細挑出檢查。慕尼黑大學更是細心為檢察官(或法官)在解剖室旁設置一個有大窗戶隔間之辦公室，檢察官可以不必在解剖室參與，可以在辦公室透過大窗戶觀察，雙方可以透過電話討論。</w:t>
      </w:r>
    </w:p>
    <w:p w:rsidR="00F956E8" w:rsidRPr="000B2A94" w:rsidRDefault="00F956E8" w:rsidP="00C86E0D">
      <w:pPr>
        <w:pStyle w:val="4"/>
        <w:rPr>
          <w:color w:val="000000" w:themeColor="text1"/>
        </w:rPr>
      </w:pPr>
      <w:r w:rsidRPr="000B2A94">
        <w:rPr>
          <w:rFonts w:hint="eastAsia"/>
          <w:color w:val="000000" w:themeColor="text1"/>
        </w:rPr>
        <w:t>考察慕尼黑大學法醫研究所時，恰正進行解剖，當天是探究死因有無人為疏失，除了解解剖床上面有X光機，先掃描屍體外</w:t>
      </w:r>
      <w:r w:rsidRPr="000B2A94">
        <w:rPr>
          <w:bCs/>
          <w:color w:val="000000" w:themeColor="text1"/>
          <w:vertAlign w:val="superscript"/>
        </w:rPr>
        <w:footnoteReference w:id="41"/>
      </w:r>
      <w:r w:rsidRPr="000B2A94">
        <w:rPr>
          <w:rFonts w:hint="eastAsia"/>
          <w:color w:val="000000" w:themeColor="text1"/>
        </w:rPr>
        <w:t>，兩位法醫師均很仔細大體解剖外，對於各器官都詳細檢查，甚至腦漿部分還由護理師先拿至旁邊之解剖床，先仔細挑出各部位，檢查有否病變等，再交由法醫師鑑定，法醫師一邊還會唸出重點給護理師記載(配</w:t>
      </w:r>
      <w:r w:rsidRPr="000B2A94">
        <w:rPr>
          <w:rFonts w:hint="eastAsia"/>
          <w:color w:val="000000" w:themeColor="text1"/>
        </w:rPr>
        <w:lastRenderedPageBreak/>
        <w:t>合錄音機)。</w:t>
      </w:r>
    </w:p>
    <w:p w:rsidR="00F956E8" w:rsidRPr="000B2A94" w:rsidRDefault="007D533C" w:rsidP="00C86E0D">
      <w:pPr>
        <w:pStyle w:val="4"/>
        <w:rPr>
          <w:color w:val="000000" w:themeColor="text1"/>
        </w:rPr>
      </w:pPr>
      <w:r w:rsidRPr="000B2A94">
        <w:rPr>
          <w:rFonts w:hint="eastAsia"/>
          <w:color w:val="000000" w:themeColor="text1"/>
        </w:rPr>
        <w:t>3</w:t>
      </w:r>
      <w:r w:rsidR="00F956E8" w:rsidRPr="000B2A94">
        <w:rPr>
          <w:rFonts w:hint="eastAsia"/>
          <w:color w:val="000000" w:themeColor="text1"/>
        </w:rPr>
        <w:t>間法醫研究所的屍體鑑定室，都有分為衣服間、屍體存放間(冰櫃)、解剖室(至少兩床解剖床)、病理討論室、特別檢驗室(裡面有CT等較為精密儀器)，屍體鑑定室外，辦公區另有採集樣品後之檢驗室。解剖後經過討論後，寫下詳細之解剖紀錄，再由負責之正式法醫簽名。</w:t>
      </w:r>
    </w:p>
    <w:p w:rsidR="00F956E8" w:rsidRPr="000B2A94" w:rsidRDefault="00F956E8" w:rsidP="00C86E0D">
      <w:pPr>
        <w:pStyle w:val="4"/>
        <w:rPr>
          <w:color w:val="000000" w:themeColor="text1"/>
        </w:rPr>
      </w:pPr>
      <w:r w:rsidRPr="000B2A94">
        <w:rPr>
          <w:rFonts w:hint="eastAsia"/>
          <w:color w:val="000000" w:themeColor="text1"/>
        </w:rPr>
        <w:t>法醫師對於到法庭作證視為其義務，他們也認為去法庭說明，接受輪替詰問後，可以讓法庭審檢辯、當事人及旁聽者充分了解，有助於案情之釐清，他們也為自己所從事之法醫師工作，有榮譽感。各大學法醫研究所上法醫解剖學時，有時是在階梯教室(可容納</w:t>
      </w:r>
      <w:r w:rsidR="00C86E0D" w:rsidRPr="000B2A94">
        <w:rPr>
          <w:rFonts w:hint="eastAsia"/>
          <w:color w:val="000000" w:themeColor="text1"/>
        </w:rPr>
        <w:t>3-400</w:t>
      </w:r>
      <w:r w:rsidRPr="000B2A94">
        <w:rPr>
          <w:rFonts w:hint="eastAsia"/>
          <w:color w:val="000000" w:themeColor="text1"/>
        </w:rPr>
        <w:t>百人)，教授在前面一邊解剖，一邊講解，而學生及再進修之法醫師可在上面一邊觀看，隨時提出問題，或者教授看到較值得注意之處，也會給學生們輪流下來觀看，講解的教授還說，仔細的解剖很重要，反正屍體不會跑了，但屍體「會說話」，法醫師有責任將屍體告訴你的話詳細分析研究檢驗。</w:t>
      </w:r>
    </w:p>
    <w:p w:rsidR="00F956E8" w:rsidRPr="000B2A94" w:rsidRDefault="00F956E8" w:rsidP="00C86E0D">
      <w:pPr>
        <w:pStyle w:val="4"/>
        <w:rPr>
          <w:color w:val="000000" w:themeColor="text1"/>
        </w:rPr>
      </w:pPr>
      <w:r w:rsidRPr="000B2A94">
        <w:rPr>
          <w:rFonts w:hint="eastAsia"/>
          <w:color w:val="000000" w:themeColor="text1"/>
        </w:rPr>
        <w:t>德國一具屍體費用約1,000歐元(約新臺幣3萬5千)，1天平均解剖鑑定2-3件(市區，如法蘭克福、慕尼黑、柏林等更多，可達6-7件)，加以各大學都設有法醫研究所，法醫師為醫師實習後再考進去讀5年，所以他們自詡為醫師中的醫師，社會地位崇高，收入亦傲人，因而鑑定品質不但普遍受到肯定，且他們也願意至法院說明其鑑定。</w:t>
      </w:r>
    </w:p>
    <w:p w:rsidR="00F956E8" w:rsidRPr="000B2A94" w:rsidRDefault="00F956E8" w:rsidP="00C86E0D">
      <w:pPr>
        <w:pStyle w:val="4"/>
        <w:rPr>
          <w:color w:val="000000" w:themeColor="text1"/>
        </w:rPr>
      </w:pPr>
      <w:r w:rsidRPr="000B2A94">
        <w:rPr>
          <w:rFonts w:hint="eastAsia"/>
          <w:color w:val="000000" w:themeColor="text1"/>
        </w:rPr>
        <w:t>法醫師與普通的醫師之不同，在參訪時，解說教授提及，如凶殺案，一般醫師關切的，可能是他身上有幾刀需要治療？但法醫師卻會把重點放</w:t>
      </w:r>
      <w:r w:rsidRPr="000B2A94">
        <w:rPr>
          <w:rFonts w:hint="eastAsia"/>
          <w:color w:val="000000" w:themeColor="text1"/>
        </w:rPr>
        <w:lastRenderedPageBreak/>
        <w:t>在死者被幾個人砍了幾刀？用何凶器(鈍器或銳器)?發生之時間?甚至屍體有否移動等。又如溺水死亡</w:t>
      </w:r>
      <w:r w:rsidRPr="000B2A94">
        <w:rPr>
          <w:bCs/>
          <w:color w:val="000000" w:themeColor="text1"/>
          <w:vertAlign w:val="superscript"/>
        </w:rPr>
        <w:footnoteReference w:id="42"/>
      </w:r>
      <w:r w:rsidRPr="000B2A94">
        <w:rPr>
          <w:rFonts w:hint="eastAsia"/>
          <w:color w:val="000000" w:themeColor="text1"/>
        </w:rPr>
        <w:t>，病理醫師可能只關切他的死因，但法醫師卻要從遺體上鑑定他是自然溺水？或者被人推下去？是在落水前就遇害了？還是掉進水裡才斷氣？是一個人或多數人所為，這些都會影響司法判決。</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5"/>
    <w:bookmarkEnd w:id="266"/>
    <w:bookmarkEnd w:id="267"/>
    <w:p w:rsidR="00F956E8" w:rsidRPr="000B2A94" w:rsidRDefault="00F956E8">
      <w:pPr>
        <w:widowControl/>
        <w:rPr>
          <w:b/>
          <w:bCs/>
          <w:color w:val="000000" w:themeColor="text1"/>
          <w:kern w:val="0"/>
          <w:szCs w:val="52"/>
        </w:rPr>
      </w:pPr>
      <w:r w:rsidRPr="000B2A94">
        <w:rPr>
          <w:b/>
          <w:color w:val="000000" w:themeColor="text1"/>
        </w:rPr>
        <w:br w:type="page"/>
      </w:r>
    </w:p>
    <w:p w:rsidR="00F956E8" w:rsidRPr="000B2A94" w:rsidRDefault="00F956E8" w:rsidP="00F956E8">
      <w:pPr>
        <w:pStyle w:val="1"/>
        <w:numPr>
          <w:ilvl w:val="0"/>
          <w:numId w:val="1"/>
        </w:numPr>
        <w:kinsoku w:val="0"/>
        <w:overflowPunct/>
        <w:autoSpaceDE/>
        <w:autoSpaceDN/>
        <w:spacing w:beforeLines="50" w:before="228"/>
        <w:ind w:left="2381" w:hanging="2381"/>
        <w:rPr>
          <w:rFonts w:ascii="Times New Roman" w:hAnsi="Times New Roman"/>
          <w:snapToGrid w:val="0"/>
          <w:color w:val="000000" w:themeColor="text1"/>
          <w:spacing w:val="10"/>
          <w:sz w:val="36"/>
        </w:rPr>
      </w:pPr>
      <w:bookmarkStart w:id="391" w:name="_Toc28606836"/>
      <w:r w:rsidRPr="000B2A94">
        <w:rPr>
          <w:rFonts w:ascii="Times New Roman" w:hAnsi="Times New Roman"/>
          <w:b/>
          <w:color w:val="000000" w:themeColor="text1"/>
        </w:rPr>
        <w:lastRenderedPageBreak/>
        <w:t>結論與建議</w:t>
      </w:r>
      <w:bookmarkEnd w:id="391"/>
    </w:p>
    <w:p w:rsidR="00F956E8" w:rsidRPr="000B2A94" w:rsidRDefault="00F956E8" w:rsidP="00F956E8">
      <w:pPr>
        <w:pStyle w:val="22"/>
        <w:ind w:leftChars="200" w:left="680" w:rightChars="16" w:right="54" w:firstLine="680"/>
        <w:rPr>
          <w:color w:val="000000" w:themeColor="text1"/>
        </w:rPr>
      </w:pPr>
      <w:r w:rsidRPr="000B2A94">
        <w:rPr>
          <w:rFonts w:hint="eastAsia"/>
          <w:color w:val="000000" w:themeColor="text1"/>
        </w:rPr>
        <w:t>司法之目的在於追求真實的發現，而發現真實的能力，有賴提升科學辦案的技術與應用。我國現行司法民、刑事及行政訴訟制度設有鑑定制度輔佐審判者</w:t>
      </w:r>
      <w:r w:rsidRPr="000B2A94">
        <w:rPr>
          <w:rFonts w:hAnsi="標楷體" w:hint="eastAsia"/>
          <w:color w:val="000000" w:themeColor="text1"/>
        </w:rPr>
        <w:t>，</w:t>
      </w:r>
      <w:r w:rsidRPr="000B2A94">
        <w:rPr>
          <w:rFonts w:hint="eastAsia"/>
          <w:color w:val="000000" w:themeColor="text1"/>
        </w:rPr>
        <w:t>而蔡英文總統在105年5月20日的就職演說宣示，將會結合社會的力量，積極推動司法改革，讓司法能夠回應人民的需求，重新贏回人民的信賴。司法改革議題經緯萬端，跨越五院與諸多機關權責，民間長年亦有全面性改革的呼聲與期待。因此，總統決定召開國是會議，廣邀各領域專家與人民一同參與，與政府合作對話，共同尋求改革方針。105年11月21日，總統府設置非法律人過半的「司法改革國是會議籌備委員會」，司法改革國是會議正式啟動。經過2個月的「意見徵集」、40場的「分組會議」、106年8月12日的「總結會議」，歷時10個月的司法改革國是會議圓滿落幕。為落實公開、透明的價值，讓民眾能夠掌握司法改革的具體進程，與各機關維持良性、合作的對話與溝通，司法院、行政院聯合設置「司法改革進度追蹤資訊平台」，彙整各機關針對各項司法改革國是會議決議的推動計畫與落實情形。</w:t>
      </w:r>
    </w:p>
    <w:p w:rsidR="00F956E8" w:rsidRPr="000B2A94" w:rsidRDefault="00F956E8" w:rsidP="00F956E8">
      <w:pPr>
        <w:pStyle w:val="22"/>
        <w:ind w:leftChars="200" w:left="680" w:rightChars="16" w:right="54" w:firstLine="680"/>
        <w:rPr>
          <w:rFonts w:hAnsi="標楷體"/>
          <w:color w:val="000000" w:themeColor="text1"/>
        </w:rPr>
      </w:pPr>
      <w:r w:rsidRPr="000B2A94">
        <w:rPr>
          <w:rFonts w:hint="eastAsia"/>
          <w:color w:val="000000" w:themeColor="text1"/>
        </w:rPr>
        <w:t>其中有關司改國是會議第一分組：保護被害人與弱勢者的司法1-4.司法科學、鑑定機制與專家證人部分決議內容如下</w:t>
      </w:r>
      <w:r w:rsidRPr="000B2A94">
        <w:rPr>
          <w:rFonts w:hAnsi="標楷體" w:hint="eastAsia"/>
          <w:color w:val="000000" w:themeColor="text1"/>
        </w:rPr>
        <w:t>：</w:t>
      </w:r>
    </w:p>
    <w:p w:rsidR="00F956E8" w:rsidRPr="000B2A94" w:rsidRDefault="00F956E8" w:rsidP="00F956E8">
      <w:pPr>
        <w:pStyle w:val="22"/>
        <w:ind w:leftChars="200" w:left="680" w:rightChars="16" w:right="54" w:firstLine="680"/>
        <w:rPr>
          <w:color w:val="000000" w:themeColor="text1"/>
        </w:rPr>
      </w:pPr>
      <w:r w:rsidRPr="000B2A94">
        <w:rPr>
          <w:rFonts w:hint="eastAsia"/>
          <w:color w:val="000000" w:themeColor="text1"/>
        </w:rPr>
        <w:t>決議序號12</w:t>
      </w:r>
      <w:r w:rsidRPr="000B2A94">
        <w:rPr>
          <w:rFonts w:hAnsi="標楷體" w:hint="eastAsia"/>
          <w:color w:val="000000" w:themeColor="text1"/>
        </w:rPr>
        <w:t>﹕</w:t>
      </w:r>
      <w:r w:rsidRPr="000B2A94">
        <w:rPr>
          <w:rFonts w:hint="eastAsia"/>
          <w:color w:val="000000" w:themeColor="text1"/>
        </w:rPr>
        <w:t>我國應設立獨立行使職權的國家級司法科學委員會，其成員應包含人權、心理、法律、醫學、腦科學、刑事鑑識科學等相關領域專家，專責政策、教育與認證事項，以強化司法發現真實之能力，減少冤抑：</w:t>
      </w:r>
      <w:r w:rsidRPr="000B2A94">
        <w:rPr>
          <w:rFonts w:hAnsi="標楷體" w:hint="eastAsia"/>
          <w:color w:val="000000" w:themeColor="text1"/>
        </w:rPr>
        <w:t>（一）</w:t>
      </w:r>
      <w:r w:rsidRPr="000B2A94">
        <w:rPr>
          <w:rFonts w:hint="eastAsia"/>
          <w:color w:val="000000" w:themeColor="text1"/>
        </w:rPr>
        <w:t>制定並推動司法科學政策，提升總體科學證據品質；（二）整合並推廣各級司法科學教育；（三）制定並執行相關實驗室與專家之認證規範與證照制度。</w:t>
      </w:r>
    </w:p>
    <w:p w:rsidR="00F956E8" w:rsidRPr="000B2A94" w:rsidRDefault="00F956E8" w:rsidP="00F956E8">
      <w:pPr>
        <w:pStyle w:val="22"/>
        <w:ind w:leftChars="200" w:left="680" w:rightChars="16" w:right="54" w:firstLine="680"/>
        <w:rPr>
          <w:color w:val="000000" w:themeColor="text1"/>
        </w:rPr>
      </w:pPr>
      <w:r w:rsidRPr="000B2A94">
        <w:rPr>
          <w:rFonts w:hint="eastAsia"/>
          <w:color w:val="000000" w:themeColor="text1"/>
        </w:rPr>
        <w:t>決議序號13-1</w:t>
      </w:r>
      <w:r w:rsidRPr="000B2A94">
        <w:rPr>
          <w:rFonts w:hAnsi="標楷體" w:hint="eastAsia"/>
          <w:color w:val="000000" w:themeColor="text1"/>
        </w:rPr>
        <w:t>﹕</w:t>
      </w:r>
      <w:r w:rsidRPr="000B2A94">
        <w:rPr>
          <w:rFonts w:hint="eastAsia"/>
          <w:color w:val="000000" w:themeColor="text1"/>
        </w:rPr>
        <w:t>建議司法院研議制定適用於刑</w:t>
      </w:r>
      <w:r w:rsidRPr="000B2A94">
        <w:rPr>
          <w:rFonts w:hint="eastAsia"/>
          <w:color w:val="000000" w:themeColor="text1"/>
        </w:rPr>
        <w:lastRenderedPageBreak/>
        <w:t>事、民事、行政訴訟的證據法專法，完善證據法則，以促進法院正確認定事實，強化以證據為核心的審判機能。</w:t>
      </w:r>
    </w:p>
    <w:p w:rsidR="00F956E8" w:rsidRPr="000B2A94" w:rsidRDefault="00F956E8" w:rsidP="00F956E8">
      <w:pPr>
        <w:pStyle w:val="22"/>
        <w:ind w:leftChars="200" w:left="680" w:rightChars="16" w:right="54" w:firstLine="680"/>
        <w:rPr>
          <w:color w:val="000000" w:themeColor="text1"/>
        </w:rPr>
      </w:pPr>
      <w:r w:rsidRPr="000B2A94">
        <w:rPr>
          <w:rFonts w:hint="eastAsia"/>
          <w:color w:val="000000" w:themeColor="text1"/>
        </w:rPr>
        <w:t>決議序號13-2</w:t>
      </w:r>
      <w:r w:rsidRPr="000B2A94">
        <w:rPr>
          <w:rFonts w:hAnsi="標楷體" w:hint="eastAsia"/>
          <w:color w:val="000000" w:themeColor="text1"/>
        </w:rPr>
        <w:t>﹕</w:t>
      </w:r>
      <w:r w:rsidRPr="000B2A94">
        <w:rPr>
          <w:rFonts w:hint="eastAsia"/>
          <w:color w:val="000000" w:themeColor="text1"/>
        </w:rPr>
        <w:t>建請司法院研議制定並完善專家證人制度，同時檢討現行鑑定制度功能的缺失及其存廢問題。</w:t>
      </w:r>
    </w:p>
    <w:p w:rsidR="00F956E8" w:rsidRPr="000B2A94" w:rsidRDefault="00F956E8" w:rsidP="00F956E8">
      <w:pPr>
        <w:pStyle w:val="22"/>
        <w:ind w:leftChars="200" w:left="680" w:rightChars="16" w:right="54" w:firstLine="680"/>
        <w:rPr>
          <w:color w:val="000000" w:themeColor="text1"/>
        </w:rPr>
      </w:pPr>
      <w:r w:rsidRPr="000B2A94">
        <w:rPr>
          <w:rFonts w:hint="eastAsia"/>
          <w:color w:val="000000" w:themeColor="text1"/>
        </w:rPr>
        <w:t>決議序號13-3</w:t>
      </w:r>
      <w:r w:rsidRPr="000B2A94">
        <w:rPr>
          <w:rFonts w:hAnsi="標楷體" w:hint="eastAsia"/>
          <w:color w:val="000000" w:themeColor="text1"/>
        </w:rPr>
        <w:t>﹕</w:t>
      </w:r>
      <w:r w:rsidRPr="000B2A94">
        <w:rPr>
          <w:rFonts w:hint="eastAsia"/>
          <w:color w:val="000000" w:themeColor="text1"/>
        </w:rPr>
        <w:t>關於測謊證據的施測標準流程及其證據能力問題，應於前開決議事項之司法科學委員會及證據法專法一併檢討之。在司法科學委員會成立及證據法專法制定前，測謊證據之施測及其證據適格性，應審慎考量。</w:t>
      </w:r>
    </w:p>
    <w:p w:rsidR="00F956E8" w:rsidRPr="000B2A94" w:rsidRDefault="00F956E8" w:rsidP="00F956E8">
      <w:pPr>
        <w:pStyle w:val="22"/>
        <w:ind w:leftChars="200" w:left="680" w:rightChars="16" w:right="54" w:firstLine="680"/>
        <w:rPr>
          <w:color w:val="000000" w:themeColor="text1"/>
        </w:rPr>
      </w:pPr>
      <w:r w:rsidRPr="000B2A94">
        <w:rPr>
          <w:rFonts w:hint="eastAsia"/>
          <w:color w:val="000000" w:themeColor="text1"/>
        </w:rPr>
        <w:t>「認事用法」為審判之核心，惟要認定犯罪事實，常須仰賴專業的鑑定專家及完善的鑑定制度。本專案研究案，基於對現行司法鑑定制度相關運作情形</w:t>
      </w:r>
      <w:r w:rsidRPr="000B2A94">
        <w:rPr>
          <w:rFonts w:ascii="新細明體" w:eastAsia="新細明體" w:hAnsi="新細明體" w:hint="eastAsia"/>
          <w:color w:val="000000" w:themeColor="text1"/>
        </w:rPr>
        <w:t>，</w:t>
      </w:r>
      <w:r w:rsidRPr="000B2A94">
        <w:rPr>
          <w:rFonts w:hint="eastAsia"/>
          <w:color w:val="000000" w:themeColor="text1"/>
        </w:rPr>
        <w:t>為進一步之瞭解，經綜整研究所得</w:t>
      </w:r>
      <w:r w:rsidRPr="000B2A94">
        <w:rPr>
          <w:rFonts w:hAnsi="標楷體" w:hint="eastAsia"/>
          <w:color w:val="000000" w:themeColor="text1"/>
        </w:rPr>
        <w:t>，</w:t>
      </w:r>
      <w:r w:rsidRPr="000B2A94">
        <w:rPr>
          <w:rFonts w:hint="eastAsia"/>
          <w:color w:val="000000" w:themeColor="text1"/>
        </w:rPr>
        <w:t>以作為建立完善司法鑑定制度之參考，進而提升人民對司法判決之信心</w:t>
      </w:r>
      <w:r w:rsidRPr="000B2A94">
        <w:rPr>
          <w:rFonts w:hAnsi="標楷體" w:hint="eastAsia"/>
          <w:color w:val="000000" w:themeColor="text1"/>
        </w:rPr>
        <w:t>，</w:t>
      </w:r>
      <w:r w:rsidRPr="000B2A94">
        <w:rPr>
          <w:rFonts w:hint="eastAsia"/>
          <w:color w:val="000000" w:themeColor="text1"/>
        </w:rPr>
        <w:t>就制度面提出相關結論及建議如下</w:t>
      </w:r>
      <w:r w:rsidRPr="000B2A94">
        <w:rPr>
          <w:rFonts w:hAnsi="標楷體" w:hint="eastAsia"/>
          <w:color w:val="000000" w:themeColor="text1"/>
        </w:rPr>
        <w:t>：</w:t>
      </w:r>
    </w:p>
    <w:p w:rsidR="00F956E8" w:rsidRPr="000B2A94" w:rsidRDefault="00F956E8" w:rsidP="00F956E8">
      <w:pPr>
        <w:pStyle w:val="22"/>
        <w:ind w:leftChars="200" w:left="680" w:rightChars="16" w:right="54" w:firstLine="681"/>
        <w:rPr>
          <w:rFonts w:hAnsi="標楷體"/>
          <w:b/>
          <w:color w:val="000000" w:themeColor="text1"/>
        </w:rPr>
      </w:pPr>
    </w:p>
    <w:p w:rsidR="00F956E8" w:rsidRPr="000B2A94" w:rsidRDefault="00F956E8" w:rsidP="0081002C">
      <w:pPr>
        <w:pStyle w:val="2"/>
        <w:rPr>
          <w:b/>
          <w:color w:val="000000" w:themeColor="text1"/>
          <w:lang w:val="x-none"/>
        </w:rPr>
      </w:pPr>
      <w:bookmarkStart w:id="392" w:name="_Toc28606837"/>
      <w:r w:rsidRPr="000B2A94">
        <w:rPr>
          <w:rFonts w:hint="eastAsia"/>
          <w:b/>
          <w:color w:val="000000" w:themeColor="text1"/>
        </w:rPr>
        <w:t>司法改革國是會議決議我國應設立獨立行使職權之國家級司法科學委員會，依目前研議之討論上多認為國家級司法科學委員會非最終鑑定機關，不做個案鑑定，而是作為找出司法科學疑問點之機構，確保鑑識單位遵循規定標準，提供意見給法院參考。就改進司法科學而言，以鑑識分析所採用之技術訂立標準、從業人員取得證照、實驗室通過認證、司法科學教育等議題，提升總體科學證據品質，是值得努力之方向。另參考法務部委託研究計畫「建立法醫鑑定與刑事鑑識複鑑機制」內所提建議方案，就目前鑑定領域擇其尚未具備三項品質要素</w:t>
      </w:r>
      <w:r w:rsidR="0083635A" w:rsidRPr="000B2A94">
        <w:rPr>
          <w:rFonts w:hint="eastAsia"/>
          <w:b/>
          <w:color w:val="000000" w:themeColor="text1"/>
        </w:rPr>
        <w:t>（</w:t>
      </w:r>
      <w:r w:rsidRPr="000B2A94">
        <w:rPr>
          <w:rFonts w:hint="eastAsia"/>
          <w:b/>
          <w:color w:val="000000" w:themeColor="text1"/>
        </w:rPr>
        <w:t>實驗室認證、鑑定人員資格認證、常態性準確性考核</w:t>
      </w:r>
      <w:r w:rsidR="0083635A" w:rsidRPr="000B2A94">
        <w:rPr>
          <w:rFonts w:hint="eastAsia"/>
          <w:b/>
          <w:color w:val="000000" w:themeColor="text1"/>
        </w:rPr>
        <w:t>）</w:t>
      </w:r>
      <w:r w:rsidRPr="000B2A94">
        <w:rPr>
          <w:rFonts w:hint="eastAsia"/>
          <w:b/>
          <w:color w:val="000000" w:themeColor="text1"/>
        </w:rPr>
        <w:t>而較需補強者，亦即對於</w:t>
      </w:r>
      <w:r w:rsidRPr="000B2A94">
        <w:rPr>
          <w:rFonts w:hint="eastAsia"/>
          <w:b/>
          <w:color w:val="000000" w:themeColor="text1"/>
        </w:rPr>
        <w:lastRenderedPageBreak/>
        <w:t>現行鑑定之品質上較易遭受質疑之領域建立複鑑機制，而複鑑機關則可考量成立超然獨立之國家級司法科學鑑定中心辦理複鑑機制，亦值參考</w:t>
      </w:r>
      <w:r w:rsidRPr="000B2A94">
        <w:rPr>
          <w:rFonts w:hAnsi="標楷體" w:hint="eastAsia"/>
          <w:b/>
          <w:color w:val="000000" w:themeColor="text1"/>
        </w:rPr>
        <w:t>。</w:t>
      </w:r>
      <w:bookmarkEnd w:id="392"/>
    </w:p>
    <w:p w:rsidR="00F956E8" w:rsidRPr="000B2A94" w:rsidRDefault="00F956E8" w:rsidP="00F956E8">
      <w:pPr>
        <w:pStyle w:val="3"/>
        <w:widowControl/>
        <w:numPr>
          <w:ilvl w:val="2"/>
          <w:numId w:val="1"/>
        </w:numPr>
        <w:overflowPunct/>
        <w:autoSpaceDE/>
        <w:autoSpaceDN/>
        <w:ind w:left="1394" w:hanging="697"/>
        <w:rPr>
          <w:color w:val="000000" w:themeColor="text1"/>
        </w:rPr>
      </w:pPr>
      <w:bookmarkStart w:id="393" w:name="_Toc27400002"/>
      <w:r w:rsidRPr="000B2A94">
        <w:rPr>
          <w:rFonts w:hint="eastAsia"/>
          <w:color w:val="000000" w:themeColor="text1"/>
        </w:rPr>
        <w:t>據司法改革國是會議決議序號12：「我國應設立獨立行使職權的國家級司法科學委員會，其成員應包含人權、心理、法律、醫學、腦科學、刑事鑑識科學等相關領域專家，專責政策、教育與認證事項，以強化司法發現真實之能力，減少冤抑： 一、制定並推動司法科學政策，提升總體科學證據品質； 二、整合並推廣各級司法科學教育； 三、制定並執行相關實驗室與專家之認證規範與證照制度。」及法務部108年5月20日法檢字第10804514190號函復本院略以：「法務部已於107年9 月13日、108年2月26日先後召開設立國家級司法科學委員會之可行性研商會議及司法科學制度研究委員會籌備會議，就該組織任務、功能及先期可進行的事項，徵詢相關機關意見並逐步推動各項工作，以落實國是會議結論。」</w:t>
      </w:r>
      <w:bookmarkEnd w:id="393"/>
    </w:p>
    <w:p w:rsidR="00F956E8" w:rsidRPr="000B2A94" w:rsidRDefault="00F956E8" w:rsidP="00F956E8">
      <w:pPr>
        <w:pStyle w:val="3"/>
        <w:widowControl/>
        <w:numPr>
          <w:ilvl w:val="2"/>
          <w:numId w:val="1"/>
        </w:numPr>
        <w:overflowPunct/>
        <w:autoSpaceDE/>
        <w:autoSpaceDN/>
        <w:ind w:left="1394" w:hanging="697"/>
        <w:rPr>
          <w:color w:val="000000" w:themeColor="text1"/>
        </w:rPr>
      </w:pPr>
      <w:bookmarkStart w:id="394" w:name="_Toc27400003"/>
      <w:r w:rsidRPr="000B2A94">
        <w:rPr>
          <w:rFonts w:hint="eastAsia"/>
          <w:color w:val="000000" w:themeColor="text1"/>
        </w:rPr>
        <w:t>對於有關設立獨立行使職權之國家級司法科學委員會或建立鑑定覆鑑機制之相關情形</w:t>
      </w:r>
      <w:r w:rsidRPr="000B2A94">
        <w:rPr>
          <w:rFonts w:hAnsi="標楷體" w:hint="eastAsia"/>
          <w:color w:val="000000" w:themeColor="text1"/>
        </w:rPr>
        <w:t>，</w:t>
      </w:r>
      <w:r w:rsidRPr="000B2A94">
        <w:rPr>
          <w:rFonts w:hint="eastAsia"/>
          <w:color w:val="000000" w:themeColor="text1"/>
        </w:rPr>
        <w:t>行政院說明如下</w:t>
      </w:r>
      <w:r w:rsidRPr="000B2A94">
        <w:rPr>
          <w:rFonts w:hAnsi="標楷體" w:hint="eastAsia"/>
          <w:color w:val="000000" w:themeColor="text1"/>
        </w:rPr>
        <w:t>：</w:t>
      </w:r>
      <w:bookmarkEnd w:id="394"/>
    </w:p>
    <w:p w:rsidR="00F956E8" w:rsidRPr="000B2A94" w:rsidRDefault="00F956E8" w:rsidP="0081002C">
      <w:pPr>
        <w:pStyle w:val="4"/>
        <w:rPr>
          <w:color w:val="000000" w:themeColor="text1"/>
        </w:rPr>
      </w:pPr>
      <w:r w:rsidRPr="000B2A94">
        <w:rPr>
          <w:rFonts w:hint="eastAsia"/>
          <w:color w:val="000000" w:themeColor="text1"/>
        </w:rPr>
        <w:t>有關設立獨立行使職權之國家級司法科學委員會或建立鑑定覆鑑機制，其可行性及必要性之詳細評估情形</w:t>
      </w:r>
      <w:r w:rsidRPr="000B2A94">
        <w:rPr>
          <w:rFonts w:hAnsi="標楷體" w:hint="eastAsia"/>
          <w:color w:val="000000" w:themeColor="text1"/>
        </w:rPr>
        <w:t>：</w:t>
      </w:r>
    </w:p>
    <w:p w:rsidR="00F956E8" w:rsidRPr="000B2A94" w:rsidRDefault="00F956E8" w:rsidP="0081002C">
      <w:pPr>
        <w:pStyle w:val="5"/>
        <w:rPr>
          <w:color w:val="000000" w:themeColor="text1"/>
        </w:rPr>
      </w:pPr>
      <w:r w:rsidRPr="000B2A94">
        <w:rPr>
          <w:rFonts w:hint="eastAsia"/>
          <w:color w:val="000000" w:themeColor="text1"/>
        </w:rPr>
        <w:t>司法改革國是會議決議我國應設立獨立行使職權之國家級司法科學委員會，台灣冤獄平反協會持肯定立場。就改進司法科學而言，以鑑識分析所採用之技術訂立標準、從業人員取得證照、實驗室通過認證等議題，是值得努力之方向。</w:t>
      </w:r>
    </w:p>
    <w:p w:rsidR="00F956E8" w:rsidRPr="000B2A94" w:rsidRDefault="00F956E8" w:rsidP="0081002C">
      <w:pPr>
        <w:pStyle w:val="5"/>
        <w:rPr>
          <w:color w:val="000000" w:themeColor="text1"/>
        </w:rPr>
      </w:pPr>
      <w:r w:rsidRPr="000B2A94">
        <w:rPr>
          <w:rFonts w:hint="eastAsia"/>
          <w:color w:val="000000" w:themeColor="text1"/>
        </w:rPr>
        <w:lastRenderedPageBreak/>
        <w:t>目前國內各鑑識單位分散於各機關，維持相互競爭卻又相輔助關係，有認為國內已有足夠之鑑識單位及量能，只要加強宣導相關鑑識單位之資訊及橫向連繫，以提供更完善鑑識服務，認為目前尚無成立國家級司法科學委員會之需求。</w:t>
      </w:r>
    </w:p>
    <w:p w:rsidR="00F956E8" w:rsidRPr="000B2A94" w:rsidRDefault="00F956E8" w:rsidP="0083635A">
      <w:pPr>
        <w:pStyle w:val="5"/>
        <w:rPr>
          <w:color w:val="000000" w:themeColor="text1"/>
        </w:rPr>
      </w:pPr>
      <w:r w:rsidRPr="000B2A94">
        <w:rPr>
          <w:rFonts w:hint="eastAsia"/>
          <w:color w:val="000000" w:themeColor="text1"/>
        </w:rPr>
        <w:t>依法務部法醫研究所(以下簡稱法醫研究所)107年8月28日所製作之「我國刑事鑑識機關鑑定項目及實驗室認證一覽表」所示，國內刑事鑑識機關之鑑定項目與實驗室大部分均已通過財團法人全國認證基金會</w:t>
      </w:r>
      <w:r w:rsidR="0083635A" w:rsidRPr="000B2A94">
        <w:rPr>
          <w:rFonts w:ascii="Times New Roman" w:hAnsi="Times New Roman"/>
          <w:color w:val="000000" w:themeColor="text1"/>
        </w:rPr>
        <w:t>（</w:t>
      </w:r>
      <w:r w:rsidR="0083635A" w:rsidRPr="000B2A94">
        <w:rPr>
          <w:rFonts w:ascii="Times New Roman" w:hAnsi="Times New Roman" w:hint="eastAsia"/>
          <w:color w:val="000000" w:themeColor="text1"/>
        </w:rPr>
        <w:t>Taiwan Accreditation Foundation,</w:t>
      </w:r>
      <w:r w:rsidR="0083635A" w:rsidRPr="000B2A94">
        <w:rPr>
          <w:rFonts w:ascii="Times New Roman" w:hAnsi="Times New Roman"/>
          <w:color w:val="000000" w:themeColor="text1"/>
        </w:rPr>
        <w:t>TAF</w:t>
      </w:r>
      <w:r w:rsidR="0083635A" w:rsidRPr="000B2A94">
        <w:rPr>
          <w:rFonts w:ascii="Times New Roman" w:hAnsi="Times New Roman"/>
          <w:color w:val="000000" w:themeColor="text1"/>
        </w:rPr>
        <w:t>）</w:t>
      </w:r>
      <w:r w:rsidRPr="000B2A94">
        <w:rPr>
          <w:rFonts w:hint="eastAsia"/>
          <w:color w:val="000000" w:themeColor="text1"/>
        </w:rPr>
        <w:t>ISO/IEC 17025國際認證規範，並依國際實驗室認證聯盟(</w:t>
      </w:r>
      <w:r w:rsidR="0083635A" w:rsidRPr="000B2A94">
        <w:rPr>
          <w:color w:val="000000" w:themeColor="text1"/>
        </w:rPr>
        <w:t>International Laboratory Accreditation Cooperation,</w:t>
      </w:r>
      <w:r w:rsidRPr="000B2A94">
        <w:rPr>
          <w:rFonts w:hint="eastAsia"/>
          <w:color w:val="000000" w:themeColor="text1"/>
        </w:rPr>
        <w:t>ILAC)之鑑識科學實驗室指引(ILAC G19)</w:t>
      </w:r>
      <w:r w:rsidR="00FF6B6B" w:rsidRPr="000B2A94">
        <w:rPr>
          <w:rStyle w:val="aff1"/>
          <w:color w:val="000000" w:themeColor="text1"/>
        </w:rPr>
        <w:footnoteReference w:id="43"/>
      </w:r>
      <w:r w:rsidRPr="000B2A94">
        <w:rPr>
          <w:rFonts w:hint="eastAsia"/>
          <w:color w:val="000000" w:themeColor="text1"/>
        </w:rPr>
        <w:t>訂定鑑識科學實驗室認證技術規範進行評鑑認證，因此在國內已建立完善之認證規範與認證制度，且均與國際認證同步進行與接軌，並獲國際認證相互承認。但有少部份鑑定項目尚未申請認證，各鑑識機關可督促所屬單位尚未通過認證之鑑定項目，應盡快完成標準作業程序(SOP)申請增列認證。</w:t>
      </w:r>
    </w:p>
    <w:p w:rsidR="00F956E8" w:rsidRPr="000B2A94" w:rsidRDefault="00F956E8" w:rsidP="0081002C">
      <w:pPr>
        <w:pStyle w:val="5"/>
        <w:rPr>
          <w:color w:val="000000" w:themeColor="text1"/>
        </w:rPr>
      </w:pPr>
      <w:r w:rsidRPr="000B2A94">
        <w:rPr>
          <w:rFonts w:hint="eastAsia"/>
          <w:color w:val="000000" w:themeColor="text1"/>
        </w:rPr>
        <w:t>法醫研究所建議，在國內從事各項刑事鑑識業務之專業人員大部分專家均任職於公家鑑識機關，為確保鑑定人具有專業之資格能力，應加強鑑定人之在職教育訓練，每項鑑定項目均須通過能力檢定後始可進行該項鑑定，且每年均</w:t>
      </w:r>
      <w:r w:rsidRPr="000B2A94">
        <w:rPr>
          <w:rFonts w:hint="eastAsia"/>
          <w:color w:val="000000" w:themeColor="text1"/>
        </w:rPr>
        <w:lastRenderedPageBreak/>
        <w:t>須執行能力試驗，以確保鑑定人具有專業之資格能力。至於證照部分，應要求實驗室主管領有證照，證照制度可以確保實驗室之品質，但實驗室之人力則未必需要證照，由領有證照之主管帶領通過能力試驗之實驗室人員進行各項鑑定，可以確保品質，也可避免領有證照之規範太過嚴苛，反不利於實驗室運作。</w:t>
      </w:r>
    </w:p>
    <w:p w:rsidR="00F956E8" w:rsidRPr="000B2A94" w:rsidRDefault="00F956E8" w:rsidP="0081002C">
      <w:pPr>
        <w:pStyle w:val="5"/>
        <w:rPr>
          <w:color w:val="000000" w:themeColor="text1"/>
        </w:rPr>
      </w:pPr>
      <w:r w:rsidRPr="000B2A94">
        <w:rPr>
          <w:rFonts w:hint="eastAsia"/>
          <w:color w:val="000000" w:themeColor="text1"/>
        </w:rPr>
        <w:t>台灣冤獄平反協會2019年8月30日出版「NAS &amp; PCAST reports攻略</w:t>
      </w:r>
      <w:r w:rsidR="004A160C" w:rsidRPr="000B2A94">
        <w:rPr>
          <w:rStyle w:val="aff1"/>
          <w:color w:val="000000" w:themeColor="text1"/>
        </w:rPr>
        <w:footnoteReference w:id="44"/>
      </w:r>
      <w:r w:rsidRPr="000B2A94">
        <w:rPr>
          <w:rFonts w:hint="eastAsia"/>
          <w:color w:val="000000" w:themeColor="text1"/>
        </w:rPr>
        <w:t>」，指出美國國家科學院(NAS，由美國科學家所組成之非營利社群，其成員主要任務是擔任國家之科學、工程與醫學顧問，並提供獨立客觀的建議)雖於2009年提出在聯邦層級成立「國家司法科學委員協會(National Commission on Forensic Science</w:t>
      </w:r>
      <w:r w:rsidR="009043BF" w:rsidRPr="000B2A94">
        <w:rPr>
          <w:rFonts w:hint="eastAsia"/>
          <w:color w:val="000000" w:themeColor="text1"/>
        </w:rPr>
        <w:t>,</w:t>
      </w:r>
      <w:r w:rsidRPr="000B2A94">
        <w:rPr>
          <w:rFonts w:hint="eastAsia"/>
          <w:color w:val="000000" w:themeColor="text1"/>
        </w:rPr>
        <w:t>NCFS)</w:t>
      </w:r>
      <w:r w:rsidR="00C821EB" w:rsidRPr="000B2A94">
        <w:rPr>
          <w:rStyle w:val="aff1"/>
          <w:color w:val="000000" w:themeColor="text1"/>
        </w:rPr>
        <w:footnoteReference w:id="45"/>
      </w:r>
      <w:r w:rsidRPr="000B2A94">
        <w:rPr>
          <w:rFonts w:hint="eastAsia"/>
          <w:color w:val="000000" w:themeColor="text1"/>
        </w:rPr>
        <w:t>」及</w:t>
      </w:r>
      <w:r w:rsidR="007223F3" w:rsidRPr="000B2A94">
        <w:rPr>
          <w:rFonts w:hint="eastAsia"/>
          <w:color w:val="000000" w:themeColor="text1"/>
        </w:rPr>
        <w:t>「</w:t>
      </w:r>
      <w:r w:rsidRPr="000B2A94">
        <w:rPr>
          <w:rFonts w:hint="eastAsia"/>
          <w:color w:val="000000" w:themeColor="text1"/>
        </w:rPr>
        <w:t>司法科學專業領域委員會(Organization of Scientific Area Committees for Forensic Science</w:t>
      </w:r>
      <w:r w:rsidR="009043BF" w:rsidRPr="000B2A94">
        <w:rPr>
          <w:rFonts w:hint="eastAsia"/>
          <w:color w:val="000000" w:themeColor="text1"/>
        </w:rPr>
        <w:t>,</w:t>
      </w:r>
      <w:r w:rsidRPr="000B2A94">
        <w:rPr>
          <w:rFonts w:hint="eastAsia"/>
          <w:color w:val="000000" w:themeColor="text1"/>
        </w:rPr>
        <w:t>OSAC)</w:t>
      </w:r>
      <w:r w:rsidR="007223F3" w:rsidRPr="000B2A94">
        <w:rPr>
          <w:rStyle w:val="aff1"/>
          <w:color w:val="000000" w:themeColor="text1"/>
        </w:rPr>
        <w:footnoteReference w:id="46"/>
      </w:r>
      <w:r w:rsidR="007223F3" w:rsidRPr="000B2A94">
        <w:rPr>
          <w:rFonts w:hint="eastAsia"/>
          <w:color w:val="000000" w:themeColor="text1"/>
        </w:rPr>
        <w:t>」</w:t>
      </w:r>
      <w:r w:rsidRPr="000B2A94">
        <w:rPr>
          <w:rFonts w:hint="eastAsia"/>
          <w:strike/>
          <w:color w:val="000000" w:themeColor="text1"/>
        </w:rPr>
        <w:lastRenderedPageBreak/>
        <w:t>之</w:t>
      </w:r>
      <w:r w:rsidRPr="000B2A94">
        <w:rPr>
          <w:rFonts w:hint="eastAsia"/>
          <w:color w:val="000000" w:themeColor="text1"/>
        </w:rPr>
        <w:t>獨立機構之建議，NCFS主要任務在透過政策強化司法科學，OSAC主要任務在不同之司法科學領域中發展各自的SOP，使司法科學之分析及對鑑識結果之詮釋更加精進。然美國全國地方檢察官協會(</w:t>
      </w:r>
      <w:r w:rsidR="00854E8C" w:rsidRPr="000B2A94">
        <w:rPr>
          <w:rFonts w:hint="eastAsia"/>
          <w:color w:val="000000" w:themeColor="text1"/>
        </w:rPr>
        <w:t>National District Attorneys Association,</w:t>
      </w:r>
      <w:r w:rsidRPr="000B2A94">
        <w:rPr>
          <w:rFonts w:hint="eastAsia"/>
          <w:color w:val="000000" w:themeColor="text1"/>
        </w:rPr>
        <w:t>NDAA)則認為不需要疊床架屋新創一個單位，追求目標應是強化司法科學、改善鑑定品質，應朝對鑑識人員教育培訓、更新設備設施，實施嚴謹品質管控計畫，反對新的治理單位，亦反對將實驗室移出執法機關之外，因獨立性問題仍不會被解決，上述觀點可供我國體制設計上之省思。另「國家司法科學委員協會(NCFS)於2013年設立，2017年4月已停止運作。</w:t>
      </w:r>
    </w:p>
    <w:p w:rsidR="00F956E8" w:rsidRPr="000B2A94" w:rsidRDefault="00F956E8" w:rsidP="0081002C">
      <w:pPr>
        <w:pStyle w:val="5"/>
        <w:rPr>
          <w:color w:val="000000" w:themeColor="text1"/>
        </w:rPr>
      </w:pPr>
      <w:r w:rsidRPr="000B2A94">
        <w:rPr>
          <w:rFonts w:hint="eastAsia"/>
          <w:color w:val="000000" w:themeColor="text1"/>
        </w:rPr>
        <w:t>法務部先後召開設立國家級司法科學委員會之可行性研商會議及司法科學制度研究委員會籌備會議，會議對於設立獨立國家級司法科學委員會之可行性及必要性評估，仍持續在徵詢相關機關及蒐集意見。</w:t>
      </w:r>
    </w:p>
    <w:p w:rsidR="00F956E8" w:rsidRPr="000B2A94" w:rsidRDefault="00F956E8" w:rsidP="0081002C">
      <w:pPr>
        <w:pStyle w:val="4"/>
        <w:rPr>
          <w:color w:val="000000" w:themeColor="text1"/>
        </w:rPr>
      </w:pPr>
      <w:r w:rsidRPr="000B2A94">
        <w:rPr>
          <w:rFonts w:hint="eastAsia"/>
          <w:color w:val="000000" w:themeColor="text1"/>
        </w:rPr>
        <w:t>法務部於107年9月13日召開「設立國家級司法科學委員會之可行性」研商會議，徵詢相關機關意見。另於108年2月26日召開司法科學制度研究委員會籌備會議，會議後依結論之工作進度：</w:t>
      </w:r>
    </w:p>
    <w:p w:rsidR="00F956E8" w:rsidRPr="000B2A94" w:rsidRDefault="00F956E8" w:rsidP="0081002C">
      <w:pPr>
        <w:pStyle w:val="5"/>
        <w:rPr>
          <w:color w:val="000000" w:themeColor="text1"/>
        </w:rPr>
      </w:pPr>
      <w:r w:rsidRPr="000B2A94">
        <w:rPr>
          <w:rFonts w:hint="eastAsia"/>
          <w:color w:val="000000" w:themeColor="text1"/>
        </w:rPr>
        <w:t>刑事警察局、法務部調查局、法醫研究所等鑑識機關，就現行各種鑑識所採取之標準，條列清單供法務部綜整。</w:t>
      </w:r>
    </w:p>
    <w:p w:rsidR="00F956E8" w:rsidRPr="000B2A94" w:rsidRDefault="009043BF" w:rsidP="0081002C">
      <w:pPr>
        <w:pStyle w:val="5"/>
        <w:rPr>
          <w:color w:val="000000" w:themeColor="text1"/>
        </w:rPr>
      </w:pPr>
      <w:r w:rsidRPr="000B2A94">
        <w:rPr>
          <w:rFonts w:hint="eastAsia"/>
          <w:color w:val="000000" w:themeColor="text1"/>
        </w:rPr>
        <w:t>請法務部調查局、內政部警政署</w:t>
      </w:r>
      <w:r w:rsidR="00F956E8" w:rsidRPr="000B2A94">
        <w:rPr>
          <w:rFonts w:hint="eastAsia"/>
          <w:color w:val="000000" w:themeColor="text1"/>
        </w:rPr>
        <w:t>刑事</w:t>
      </w:r>
      <w:r w:rsidRPr="000B2A94">
        <w:rPr>
          <w:rFonts w:hint="eastAsia"/>
          <w:color w:val="000000" w:themeColor="text1"/>
        </w:rPr>
        <w:t>警察</w:t>
      </w:r>
      <w:r w:rsidR="00F956E8" w:rsidRPr="000B2A94">
        <w:rPr>
          <w:rFonts w:hint="eastAsia"/>
          <w:color w:val="000000" w:themeColor="text1"/>
        </w:rPr>
        <w:t>局</w:t>
      </w:r>
      <w:r w:rsidRPr="000B2A94">
        <w:rPr>
          <w:rFonts w:hint="eastAsia"/>
          <w:color w:val="000000" w:themeColor="text1"/>
        </w:rPr>
        <w:t>（以下簡稱刑事警察局）</w:t>
      </w:r>
      <w:r w:rsidR="00F956E8" w:rsidRPr="000B2A94">
        <w:rPr>
          <w:rFonts w:hint="eastAsia"/>
          <w:color w:val="000000" w:themeColor="text1"/>
        </w:rPr>
        <w:t>對於機關鑑定採取之標準、鑑定人之資格，公布於機關網站。</w:t>
      </w:r>
    </w:p>
    <w:p w:rsidR="00F956E8" w:rsidRPr="000B2A94" w:rsidRDefault="00F956E8" w:rsidP="0081002C">
      <w:pPr>
        <w:pStyle w:val="5"/>
        <w:rPr>
          <w:color w:val="000000" w:themeColor="text1"/>
        </w:rPr>
      </w:pPr>
      <w:r w:rsidRPr="000B2A94">
        <w:rPr>
          <w:rFonts w:hint="eastAsia"/>
          <w:color w:val="000000" w:themeColor="text1"/>
        </w:rPr>
        <w:t>關於案件現場勘查前之錄影，請刑事警察局研</w:t>
      </w:r>
      <w:r w:rsidRPr="000B2A94">
        <w:rPr>
          <w:rFonts w:hint="eastAsia"/>
          <w:color w:val="000000" w:themeColor="text1"/>
        </w:rPr>
        <w:lastRenderedPageBreak/>
        <w:t>議建立SOP之可行性。經該局於108年4月30日以刑生字第1084400023號函復認為：「1.現行刑案現場係以照相詳實記錄，照相所拍攝影像涵蓋採證前後現場與跡證狀況，而且影像畫質遠比錄影畫質清晰。2.一般刑案現場現行實務上經常僅有1人負責勘察採證，須執行照相、測繪、筆記及採證等工作，如再增加勘察前錄影，人力無法負荷，除影響案件採證效率與品質，且將衍生巨量錄影檔案儲存與管理等問題，考量上述因素，不建議於一般刑案現場實施勘察前錄影。3.重大刑案現場宜視情況實施勘察前之錄影，例如現場歷時久遠或已清理者，則以照相記錄為主，無需錄影。103年3月11日以警署刑鑑字第1030000925號函制頒之刑事鑑識手冊第二十八點第(三)項規定『重大複雜之刑案現場，宜增用錄影記錄現場原貌』。4.綜上，就刑案現場勘察之錄影部分，仍依原規定辦理，不再另訂SOP」。</w:t>
      </w:r>
    </w:p>
    <w:p w:rsidR="00F956E8" w:rsidRPr="000B2A94" w:rsidRDefault="00F956E8" w:rsidP="0081002C">
      <w:pPr>
        <w:pStyle w:val="5"/>
        <w:rPr>
          <w:color w:val="000000" w:themeColor="text1"/>
        </w:rPr>
      </w:pPr>
      <w:r w:rsidRPr="000B2A94">
        <w:rPr>
          <w:rFonts w:hint="eastAsia"/>
          <w:color w:val="000000" w:themeColor="text1"/>
        </w:rPr>
        <w:t>關於相驗3D CT的建置，請法醫研究所持續與相關醫院接洽協助事宜。</w:t>
      </w:r>
    </w:p>
    <w:p w:rsidR="00F956E8" w:rsidRPr="000B2A94" w:rsidRDefault="00F956E8" w:rsidP="0081002C">
      <w:pPr>
        <w:pStyle w:val="5"/>
        <w:rPr>
          <w:color w:val="000000" w:themeColor="text1"/>
        </w:rPr>
      </w:pPr>
      <w:r w:rsidRPr="000B2A94">
        <w:rPr>
          <w:rFonts w:hint="eastAsia"/>
          <w:color w:val="000000" w:themeColor="text1"/>
        </w:rPr>
        <w:t>關於證物保管之規範，刻由行政院羅政務委員</w:t>
      </w:r>
      <w:r w:rsidR="009043BF" w:rsidRPr="000B2A94">
        <w:rPr>
          <w:rFonts w:hint="eastAsia"/>
          <w:color w:val="000000" w:themeColor="text1"/>
        </w:rPr>
        <w:t>秉成</w:t>
      </w:r>
      <w:r w:rsidRPr="000B2A94">
        <w:rPr>
          <w:rFonts w:hint="eastAsia"/>
          <w:color w:val="000000" w:themeColor="text1"/>
        </w:rPr>
        <w:t>督導相關部會共同研議中。</w:t>
      </w:r>
    </w:p>
    <w:p w:rsidR="00F956E8" w:rsidRPr="000B2A94" w:rsidRDefault="00F956E8" w:rsidP="0081002C">
      <w:pPr>
        <w:pStyle w:val="5"/>
        <w:rPr>
          <w:color w:val="000000" w:themeColor="text1"/>
        </w:rPr>
      </w:pPr>
      <w:r w:rsidRPr="000B2A94">
        <w:rPr>
          <w:rFonts w:hint="eastAsia"/>
          <w:color w:val="000000" w:themeColor="text1"/>
        </w:rPr>
        <w:t>法務部檢察司發函所屬檢察機關，將法醫研究所收集整理我國刑事鑑識機關鑑定項目及經認證之實驗室資料，提供檢察官辦案時參考使用。</w:t>
      </w:r>
    </w:p>
    <w:p w:rsidR="00F956E8" w:rsidRPr="000B2A94" w:rsidRDefault="00F956E8" w:rsidP="0081002C">
      <w:pPr>
        <w:pStyle w:val="4"/>
        <w:rPr>
          <w:rFonts w:hAnsi="標楷體"/>
          <w:color w:val="000000" w:themeColor="text1"/>
        </w:rPr>
      </w:pPr>
      <w:r w:rsidRPr="000B2A94">
        <w:rPr>
          <w:rFonts w:hint="eastAsia"/>
          <w:color w:val="000000" w:themeColor="text1"/>
        </w:rPr>
        <w:t>有關設立獨立行使職權之國家級司法科學委員會，該</w:t>
      </w:r>
      <w:r w:rsidRPr="000B2A94">
        <w:rPr>
          <w:rFonts w:hint="eastAsia"/>
          <w:color w:val="000000" w:themeColor="text1"/>
          <w:kern w:val="0"/>
        </w:rPr>
        <w:t>委員會</w:t>
      </w:r>
      <w:r w:rsidRPr="000B2A94">
        <w:rPr>
          <w:rFonts w:hint="eastAsia"/>
          <w:color w:val="000000" w:themeColor="text1"/>
        </w:rPr>
        <w:t>之</w:t>
      </w:r>
      <w:r w:rsidRPr="000B2A94">
        <w:rPr>
          <w:rFonts w:hint="eastAsia"/>
          <w:bCs/>
          <w:color w:val="000000" w:themeColor="text1"/>
          <w:kern w:val="0"/>
          <w:szCs w:val="48"/>
        </w:rPr>
        <w:t>權責</w:t>
      </w:r>
      <w:r w:rsidRPr="000B2A94">
        <w:rPr>
          <w:rFonts w:hint="eastAsia"/>
          <w:color w:val="000000" w:themeColor="text1"/>
        </w:rPr>
        <w:t>及其定位係任務編組抑或鑑定機關部分</w:t>
      </w:r>
      <w:r w:rsidRPr="000B2A94">
        <w:rPr>
          <w:rFonts w:hAnsi="標楷體" w:hint="eastAsia"/>
          <w:color w:val="000000" w:themeColor="text1"/>
        </w:rPr>
        <w:t>：</w:t>
      </w:r>
    </w:p>
    <w:p w:rsidR="00F956E8" w:rsidRPr="000B2A94" w:rsidRDefault="00F956E8" w:rsidP="0081002C">
      <w:pPr>
        <w:pStyle w:val="5"/>
        <w:rPr>
          <w:color w:val="000000" w:themeColor="text1"/>
        </w:rPr>
      </w:pPr>
      <w:r w:rsidRPr="000B2A94">
        <w:rPr>
          <w:rFonts w:hint="eastAsia"/>
          <w:bCs w:val="0"/>
          <w:color w:val="000000" w:themeColor="text1"/>
        </w:rPr>
        <w:t>在組織上</w:t>
      </w:r>
      <w:r w:rsidRPr="000B2A94">
        <w:rPr>
          <w:rFonts w:hint="eastAsia"/>
          <w:color w:val="000000" w:themeColor="text1"/>
        </w:rPr>
        <w:t>，</w:t>
      </w:r>
      <w:r w:rsidRPr="000B2A94">
        <w:rPr>
          <w:color w:val="000000" w:themeColor="text1"/>
        </w:rPr>
        <w:t>國家級司法科學委員會</w:t>
      </w:r>
      <w:r w:rsidRPr="000B2A94">
        <w:rPr>
          <w:rFonts w:hint="eastAsia"/>
          <w:color w:val="000000" w:themeColor="text1"/>
        </w:rPr>
        <w:t>設立方式之選</w:t>
      </w:r>
      <w:r w:rsidR="00BA480E" w:rsidRPr="000B2A94">
        <w:rPr>
          <w:rFonts w:hint="eastAsia"/>
          <w:color w:val="000000" w:themeColor="text1"/>
        </w:rPr>
        <w:t>項</w:t>
      </w:r>
      <w:r w:rsidRPr="000B2A94">
        <w:rPr>
          <w:rFonts w:hint="eastAsia"/>
          <w:color w:val="000000" w:themeColor="text1"/>
        </w:rPr>
        <w:t>，可能是公務機關、或任務編組、或財團</w:t>
      </w:r>
      <w:r w:rsidRPr="000B2A94">
        <w:rPr>
          <w:rFonts w:hint="eastAsia"/>
          <w:color w:val="000000" w:themeColor="text1"/>
        </w:rPr>
        <w:lastRenderedPageBreak/>
        <w:t>法人化(公辦或公民合辦)，皆是可討論之選項，但尚需再研議，目前並無共識。</w:t>
      </w:r>
    </w:p>
    <w:p w:rsidR="00F956E8" w:rsidRPr="000B2A94" w:rsidRDefault="00F956E8" w:rsidP="0081002C">
      <w:pPr>
        <w:pStyle w:val="5"/>
        <w:rPr>
          <w:bCs w:val="0"/>
          <w:color w:val="000000" w:themeColor="text1"/>
          <w:szCs w:val="48"/>
        </w:rPr>
      </w:pPr>
      <w:r w:rsidRPr="000B2A94">
        <w:rPr>
          <w:rFonts w:hint="eastAsia"/>
          <w:color w:val="000000" w:themeColor="text1"/>
        </w:rPr>
        <w:t>依司法科學制度研究委員會籌備會議討論方向以觀，</w:t>
      </w:r>
      <w:r w:rsidRPr="000B2A94">
        <w:rPr>
          <w:color w:val="000000" w:themeColor="text1"/>
        </w:rPr>
        <w:t>國家級司法科學委員會之任務內容：1.制定並推動司法科學政策，提升總體科學證據品質；2.整合並推廣各級司法科學教育；3.制定並執行相關實驗室與專家之認證規範與證照制度。</w:t>
      </w:r>
      <w:r w:rsidRPr="000B2A94">
        <w:rPr>
          <w:rFonts w:hint="eastAsia"/>
          <w:color w:val="000000" w:themeColor="text1"/>
        </w:rPr>
        <w:t>而民間司法改革基金會/台灣冤獄平反協會研究初擬司法科學委員會組織法草案之權限掌理事項有：(一</w:t>
      </w:r>
      <w:r w:rsidRPr="000B2A94">
        <w:rPr>
          <w:color w:val="000000" w:themeColor="text1"/>
        </w:rPr>
        <w:t>)</w:t>
      </w:r>
      <w:r w:rsidRPr="000B2A94">
        <w:rPr>
          <w:rFonts w:hint="eastAsia"/>
          <w:color w:val="000000" w:themeColor="text1"/>
        </w:rPr>
        <w:t>司法科學政策之制定。(二)司法科學之標準作業程序、報告格式及用詞之制定。(三)司法科學實驗室之認證標準之建立。(四)司法科學標準品資料庫之建立。(五)司法科學能力證照及教育訓練之規劃。(六)司法科學倫理規範之建立。(七)司法科學教育之推廣。因此，討論上多認為</w:t>
      </w:r>
      <w:r w:rsidRPr="000B2A94">
        <w:rPr>
          <w:color w:val="000000" w:themeColor="text1"/>
        </w:rPr>
        <w:t>國家級司法科學委員會</w:t>
      </w:r>
      <w:r w:rsidR="009043BF" w:rsidRPr="000B2A94">
        <w:rPr>
          <w:rFonts w:hint="eastAsia"/>
          <w:color w:val="000000" w:themeColor="text1"/>
        </w:rPr>
        <w:t>非最終鑑定機關，不實施</w:t>
      </w:r>
      <w:r w:rsidRPr="000B2A94">
        <w:rPr>
          <w:rFonts w:hint="eastAsia"/>
          <w:color w:val="000000" w:themeColor="text1"/>
        </w:rPr>
        <w:t>個案鑑定，而是作為找出司法科學疑問點之機構，確保鑑識單位遵循規定標準，可提供意見給法院</w:t>
      </w:r>
      <w:r w:rsidRPr="000B2A94">
        <w:rPr>
          <w:rFonts w:hint="eastAsia"/>
          <w:bCs w:val="0"/>
          <w:color w:val="000000" w:themeColor="text1"/>
        </w:rPr>
        <w:t>參考，</w:t>
      </w:r>
      <w:r w:rsidRPr="000B2A94">
        <w:rPr>
          <w:rFonts w:hint="eastAsia"/>
          <w:bCs w:val="0"/>
          <w:color w:val="000000" w:themeColor="text1"/>
          <w:lang w:eastAsia="zh-HK"/>
        </w:rPr>
        <w:t>但</w:t>
      </w:r>
      <w:r w:rsidRPr="000B2A94">
        <w:rPr>
          <w:rFonts w:hint="eastAsia"/>
          <w:bCs w:val="0"/>
          <w:color w:val="000000" w:themeColor="text1"/>
        </w:rPr>
        <w:t>無絕對拘束力。</w:t>
      </w:r>
    </w:p>
    <w:p w:rsidR="00F956E8" w:rsidRPr="000B2A94" w:rsidRDefault="00F956E8" w:rsidP="0081002C">
      <w:pPr>
        <w:pStyle w:val="4"/>
        <w:rPr>
          <w:color w:val="000000" w:themeColor="text1"/>
        </w:rPr>
      </w:pPr>
      <w:r w:rsidRPr="000B2A94">
        <w:rPr>
          <w:rFonts w:hint="eastAsia"/>
          <w:color w:val="000000" w:themeColor="text1"/>
        </w:rPr>
        <w:t>行政院統合現有各鑑定機構之資源部分</w:t>
      </w:r>
      <w:r w:rsidRPr="000B2A94">
        <w:rPr>
          <w:rFonts w:hAnsi="標楷體" w:hint="eastAsia"/>
          <w:color w:val="000000" w:themeColor="text1"/>
        </w:rPr>
        <w:t>，</w:t>
      </w:r>
      <w:r w:rsidR="009043BF" w:rsidRPr="000B2A94">
        <w:rPr>
          <w:rFonts w:hint="eastAsia"/>
          <w:color w:val="000000" w:themeColor="text1"/>
        </w:rPr>
        <w:t>衛生福利部食品藥物管理署、</w:t>
      </w:r>
      <w:r w:rsidRPr="000B2A94">
        <w:rPr>
          <w:rFonts w:hint="eastAsia"/>
          <w:color w:val="000000" w:themeColor="text1"/>
        </w:rPr>
        <w:t>刑事警察局、法務部調查局、法醫研究所於司法科學制度研究委員會籌備會議後陸續提出所屬鑑識單位之鑑識項目及標準，予法務部綜整：</w:t>
      </w:r>
    </w:p>
    <w:p w:rsidR="00F956E8" w:rsidRPr="000B2A94" w:rsidRDefault="00F956E8" w:rsidP="0081002C">
      <w:pPr>
        <w:pStyle w:val="5"/>
        <w:rPr>
          <w:color w:val="000000" w:themeColor="text1"/>
        </w:rPr>
      </w:pPr>
      <w:r w:rsidRPr="000B2A94">
        <w:rPr>
          <w:color w:val="000000" w:themeColor="text1"/>
        </w:rPr>
        <w:t>衛生福利部食品藥物管理署</w:t>
      </w:r>
      <w:r w:rsidRPr="000B2A94">
        <w:rPr>
          <w:rFonts w:hint="eastAsia"/>
          <w:color w:val="000000" w:themeColor="text1"/>
        </w:rPr>
        <w:t>提供其認證項目採取標準，除依ISO 17025規範外，於鑑識科學實驗室尚有鑑識科學技術規範。檢驗方法係依據國內外藥典或公開檢驗方法，或使用經確效之自行開發方法，作為供上開籌備會議決議後</w:t>
      </w:r>
      <w:r w:rsidRPr="000B2A94">
        <w:rPr>
          <w:rFonts w:hint="eastAsia"/>
          <w:color w:val="000000" w:themeColor="text1"/>
        </w:rPr>
        <w:lastRenderedPageBreak/>
        <w:t>續執行事宜。</w:t>
      </w:r>
    </w:p>
    <w:p w:rsidR="00F956E8" w:rsidRPr="000B2A94" w:rsidRDefault="00F956E8" w:rsidP="0081002C">
      <w:pPr>
        <w:pStyle w:val="5"/>
        <w:rPr>
          <w:color w:val="000000" w:themeColor="text1"/>
        </w:rPr>
      </w:pPr>
      <w:r w:rsidRPr="000B2A94">
        <w:rPr>
          <w:rFonts w:hint="eastAsia"/>
          <w:color w:val="000000" w:themeColor="text1"/>
        </w:rPr>
        <w:t>刑事警察局、法務部調查局分別提供其認證項目採取標準，以供上開籌備會議決議後續執行事宜。</w:t>
      </w:r>
    </w:p>
    <w:p w:rsidR="00F956E8" w:rsidRPr="000B2A94" w:rsidRDefault="00F956E8" w:rsidP="0081002C">
      <w:pPr>
        <w:pStyle w:val="5"/>
        <w:rPr>
          <w:bCs w:val="0"/>
          <w:color w:val="000000" w:themeColor="text1"/>
          <w:kern w:val="0"/>
        </w:rPr>
      </w:pPr>
      <w:r w:rsidRPr="000B2A94">
        <w:rPr>
          <w:rFonts w:hint="eastAsia"/>
          <w:color w:val="000000" w:themeColor="text1"/>
        </w:rPr>
        <w:t>法醫研究所收集整理我國刑事鑑識機關鑑定項目及經認證之實驗室資料</w:t>
      </w:r>
      <w:r w:rsidRPr="000B2A94">
        <w:rPr>
          <w:rFonts w:cs="DFKaiShu-SB-Estd-BF-Identity-H" w:hint="eastAsia"/>
          <w:bCs w:val="0"/>
          <w:color w:val="000000" w:themeColor="text1"/>
          <w:kern w:val="0"/>
        </w:rPr>
        <w:t>，以供上開</w:t>
      </w:r>
      <w:r w:rsidRPr="000B2A94">
        <w:rPr>
          <w:rFonts w:hint="eastAsia"/>
          <w:bCs w:val="0"/>
          <w:color w:val="000000" w:themeColor="text1"/>
          <w:kern w:val="0"/>
        </w:rPr>
        <w:t>籌備會議決議後續執行事宜。</w:t>
      </w:r>
    </w:p>
    <w:p w:rsidR="00F956E8" w:rsidRPr="000B2A94" w:rsidRDefault="00F956E8" w:rsidP="0081002C">
      <w:pPr>
        <w:pStyle w:val="4"/>
        <w:rPr>
          <w:color w:val="000000" w:themeColor="text1"/>
        </w:rPr>
      </w:pPr>
      <w:r w:rsidRPr="000B2A94">
        <w:rPr>
          <w:rFonts w:hint="eastAsia"/>
          <w:color w:val="000000" w:themeColor="text1"/>
        </w:rPr>
        <w:t>設立司法科學委員會涉及新設立國家機關，因涉跨院、跨機關權責，須跨部會協調研議，有關延聘公正、客觀之專家學者進行建置</w:t>
      </w:r>
      <w:r w:rsidRPr="000B2A94">
        <w:rPr>
          <w:rFonts w:hAnsi="標楷體" w:hint="eastAsia"/>
          <w:color w:val="000000" w:themeColor="text1"/>
        </w:rPr>
        <w:t>，</w:t>
      </w:r>
      <w:r w:rsidRPr="000B2A94">
        <w:rPr>
          <w:rFonts w:hint="eastAsia"/>
          <w:color w:val="000000" w:themeColor="text1"/>
        </w:rPr>
        <w:t>及跨部會統整，以加速推動各項工作內容進度</w:t>
      </w:r>
      <w:r w:rsidRPr="000B2A94">
        <w:rPr>
          <w:rFonts w:hAnsi="標楷體" w:hint="eastAsia"/>
          <w:color w:val="000000" w:themeColor="text1"/>
        </w:rPr>
        <w:t>：</w:t>
      </w:r>
    </w:p>
    <w:p w:rsidR="00F956E8" w:rsidRPr="000B2A94" w:rsidRDefault="00F956E8" w:rsidP="0081002C">
      <w:pPr>
        <w:pStyle w:val="5"/>
        <w:rPr>
          <w:color w:val="000000" w:themeColor="text1"/>
        </w:rPr>
      </w:pPr>
      <w:r w:rsidRPr="000B2A94">
        <w:rPr>
          <w:rFonts w:hint="eastAsia"/>
          <w:color w:val="000000" w:themeColor="text1"/>
          <w:szCs w:val="48"/>
        </w:rPr>
        <w:t>法</w:t>
      </w:r>
      <w:r w:rsidRPr="000B2A94">
        <w:rPr>
          <w:rFonts w:hint="eastAsia"/>
          <w:color w:val="000000" w:themeColor="text1"/>
        </w:rPr>
        <w:t>務部於107年9月13日召開</w:t>
      </w:r>
      <w:r w:rsidRPr="000B2A94">
        <w:rPr>
          <w:rFonts w:cs="DFKaiShu-SB-Estd-BF-Identity-H" w:hint="eastAsia"/>
          <w:color w:val="000000" w:themeColor="text1"/>
        </w:rPr>
        <w:t>「</w:t>
      </w:r>
      <w:r w:rsidRPr="000B2A94">
        <w:rPr>
          <w:rFonts w:hint="eastAsia"/>
          <w:color w:val="000000" w:themeColor="text1"/>
        </w:rPr>
        <w:t>設立國家級司法科學委員會之可行性</w:t>
      </w:r>
      <w:r w:rsidRPr="000B2A94">
        <w:rPr>
          <w:rFonts w:cs="DFKaiShu-SB-Estd-BF-Identity-H" w:hint="eastAsia"/>
          <w:color w:val="000000" w:themeColor="text1"/>
        </w:rPr>
        <w:t>」研商會議，徵詢相關機關意見。</w:t>
      </w:r>
      <w:r w:rsidRPr="000B2A94">
        <w:rPr>
          <w:rFonts w:cs="DFKaiShu-SB-Estd-BF-Identity-H" w:hint="eastAsia"/>
          <w:color w:val="000000" w:themeColor="text1"/>
          <w:lang w:eastAsia="zh-HK"/>
        </w:rPr>
        <w:t>另</w:t>
      </w:r>
      <w:r w:rsidRPr="000B2A94">
        <w:rPr>
          <w:rFonts w:hint="eastAsia"/>
          <w:color w:val="000000" w:themeColor="text1"/>
        </w:rPr>
        <w:t>於108年2月26日召開司法科學制度研究委員會籌備會議，即邀集曾任職或現職在學校法醫學、刑事鑑識科學、犯罪心理學、犯罪學、精神醫學等學有專精教授、以及人權代表、醫界代表、機關代表，係具有公正客觀之各領域代表性之專家學者擔任籌備委員，可作為延聘之參考。</w:t>
      </w:r>
    </w:p>
    <w:p w:rsidR="00F956E8" w:rsidRPr="000B2A94" w:rsidRDefault="00F956E8" w:rsidP="0081002C">
      <w:pPr>
        <w:pStyle w:val="5"/>
        <w:rPr>
          <w:bCs w:val="0"/>
          <w:color w:val="000000" w:themeColor="text1"/>
          <w:kern w:val="0"/>
          <w:szCs w:val="48"/>
        </w:rPr>
      </w:pPr>
      <w:r w:rsidRPr="000B2A94">
        <w:rPr>
          <w:rFonts w:hint="eastAsia"/>
          <w:color w:val="000000" w:themeColor="text1"/>
        </w:rPr>
        <w:t>民間司法改革基金會/台灣冤獄平反協會研究初擬司法科學委員會組織法草案之立法說明，司法科學其對應之英文為 forensic science，泛指法庭上之科學，其範圍並不僅限於刑事司法，也不僅限對「物」之鑑定，其範圍含刑事鑑識、數位與多媒體科學、一般科學、病理與生物學、精神與行為科學等應用於司法程序之科學。而設立司法科學委員會之目的為提升司法科學功能，健全台灣法醫、鑑識科學、消防科學、食品安全科學、流行病學、環境安</w:t>
      </w:r>
      <w:r w:rsidRPr="000B2A94">
        <w:rPr>
          <w:rFonts w:hint="eastAsia"/>
          <w:color w:val="000000" w:themeColor="text1"/>
        </w:rPr>
        <w:lastRenderedPageBreak/>
        <w:t>全、司法行為科學等跨領域科學於司法上之應用，強化並推動司法科學之改革，其横跨許多相關組織業務。因此，倘設立司法科學委員會係創設新之國家機關，須有新編制之財政預算與員額，且議題涉及司法院、科技部、內政部、衛生福利部之相關職權，為涉及跨院、跨部會之跨機關權責，須跨部會協調整合與研議。又現行政府組織改造，係要</w:t>
      </w:r>
      <w:r w:rsidRPr="000B2A94">
        <w:rPr>
          <w:color w:val="000000" w:themeColor="text1"/>
        </w:rPr>
        <w:t>建構精簡、效率之政府組織</w:t>
      </w:r>
      <w:r w:rsidRPr="000B2A94">
        <w:rPr>
          <w:rFonts w:hint="eastAsia"/>
          <w:color w:val="000000" w:themeColor="text1"/>
        </w:rPr>
        <w:t>，確立合理之組織架構，法務部尚難獨自進行，將持續蒐集各方意見</w:t>
      </w:r>
      <w:r w:rsidRPr="000B2A94">
        <w:rPr>
          <w:rFonts w:hint="eastAsia"/>
          <w:bCs w:val="0"/>
          <w:color w:val="000000" w:themeColor="text1"/>
          <w:kern w:val="0"/>
          <w:szCs w:val="32"/>
        </w:rPr>
        <w:t>，以供司法科學制度研究委員會籌備會議之參考。</w:t>
      </w:r>
    </w:p>
    <w:p w:rsidR="00F956E8" w:rsidRPr="000B2A94" w:rsidRDefault="00F956E8" w:rsidP="0081002C">
      <w:pPr>
        <w:pStyle w:val="3"/>
        <w:rPr>
          <w:color w:val="000000" w:themeColor="text1"/>
        </w:rPr>
      </w:pPr>
      <w:bookmarkStart w:id="395" w:name="_Toc27400004"/>
      <w:r w:rsidRPr="000B2A94">
        <w:rPr>
          <w:rFonts w:hint="eastAsia"/>
          <w:color w:val="000000" w:themeColor="text1"/>
        </w:rPr>
        <w:t>依法務部提供本院資料，該部於99年間曾委託研究「建立法醫鑑定與刑事鑑識複鑑機制」之研究計畫，該研究計畫結論提出之具體方案如下：</w:t>
      </w:r>
      <w:bookmarkEnd w:id="395"/>
    </w:p>
    <w:p w:rsidR="00F956E8" w:rsidRPr="000B2A94" w:rsidRDefault="00F956E8" w:rsidP="0081002C">
      <w:pPr>
        <w:pStyle w:val="4"/>
        <w:rPr>
          <w:color w:val="000000" w:themeColor="text1"/>
        </w:rPr>
      </w:pPr>
      <w:r w:rsidRPr="000B2A94">
        <w:rPr>
          <w:rFonts w:hint="eastAsia"/>
          <w:color w:val="000000" w:themeColor="text1"/>
        </w:rPr>
        <w:t>解決方向：為解決我國鑑定品質可以自幾個方面考量建立鑑定複鑑制度，解決方向包含鑑定品質、鑑定中立性、司法審查可能性及效率考量等：</w:t>
      </w:r>
    </w:p>
    <w:p w:rsidR="00F956E8" w:rsidRPr="000B2A94" w:rsidRDefault="00F956E8" w:rsidP="0081002C">
      <w:pPr>
        <w:pStyle w:val="5"/>
        <w:rPr>
          <w:color w:val="000000" w:themeColor="text1"/>
        </w:rPr>
      </w:pPr>
      <w:r w:rsidRPr="000B2A94">
        <w:rPr>
          <w:rFonts w:hint="eastAsia"/>
          <w:color w:val="000000" w:themeColor="text1"/>
        </w:rPr>
        <w:t>品質部分：對於品質尚待提升之鑑定類型，如測謊、行車事故鑑定，透過複鑑制度進行改革，而其他科學鑑定類型，往往本身已建立有實驗室認證、鑑定人員資格認證、常態性準確性考核三個科學鑑定品質要素，並且行之有年，擁有一定經驗、技術，例如DNA鑑定，可透過司法審查是否遵守上述三個要素，而無需建立複鑑制度。</w:t>
      </w:r>
    </w:p>
    <w:p w:rsidR="00F956E8" w:rsidRPr="000B2A94" w:rsidRDefault="00F956E8" w:rsidP="0081002C">
      <w:pPr>
        <w:pStyle w:val="5"/>
        <w:rPr>
          <w:color w:val="000000" w:themeColor="text1"/>
        </w:rPr>
      </w:pPr>
      <w:r w:rsidRPr="000B2A94">
        <w:rPr>
          <w:rFonts w:hint="eastAsia"/>
          <w:color w:val="000000" w:themeColor="text1"/>
        </w:rPr>
        <w:t>中立性：如我國DNA鑑定之品質，雖能透過上開三項要素考核，但擁有該項技術以及經驗之機關單位多隸屬於犯罪偵查機關所有，品質上或許擁有相當經驗及技術，但中立性亦會受當事人質疑，是以必須透過方式補強增加其中立</w:t>
      </w:r>
      <w:r w:rsidRPr="000B2A94">
        <w:rPr>
          <w:rFonts w:hint="eastAsia"/>
          <w:color w:val="000000" w:themeColor="text1"/>
        </w:rPr>
        <w:lastRenderedPageBreak/>
        <w:t>性。</w:t>
      </w:r>
    </w:p>
    <w:p w:rsidR="00F956E8" w:rsidRPr="000B2A94" w:rsidRDefault="00F956E8" w:rsidP="0081002C">
      <w:pPr>
        <w:pStyle w:val="5"/>
        <w:rPr>
          <w:color w:val="000000" w:themeColor="text1"/>
        </w:rPr>
      </w:pPr>
      <w:r w:rsidRPr="000B2A94">
        <w:rPr>
          <w:rFonts w:hint="eastAsia"/>
          <w:color w:val="000000" w:themeColor="text1"/>
        </w:rPr>
        <w:t>司法審查的可能性：對於擁有三項品質要素之鑑定單位，既有一定實驗及檢核流程，可以透過司法單位的合作擬出司法審查該項證據的證據能力要件，以協助司法機關判斷科學證據之證據能力，對於其他尚無一定實驗室認證或鑑定人員資格認證之鑑定，則透過複鑑機關的協助建立一套司法審查標準。除此之外，對於司法機關而言，交互詰問是法官、檢察官與當事人面對鑑定證據爭議時，最能夠檢視科學證據能力的方法，是以在司法審查方向上，鑑定制度必須盡可能讓鑑定人到場接受交互詰問，以減少爭執。</w:t>
      </w:r>
    </w:p>
    <w:p w:rsidR="00F956E8" w:rsidRPr="000B2A94" w:rsidRDefault="00F956E8" w:rsidP="0081002C">
      <w:pPr>
        <w:pStyle w:val="5"/>
        <w:rPr>
          <w:color w:val="000000" w:themeColor="text1"/>
        </w:rPr>
      </w:pPr>
      <w:r w:rsidRPr="000B2A94">
        <w:rPr>
          <w:rFonts w:hint="eastAsia"/>
          <w:color w:val="000000" w:themeColor="text1"/>
        </w:rPr>
        <w:t>效率考量：複鑑制度以及再送鑑定或許可以使當事人對於鑑定證據不滿意時，提供額外的選擇，但再送鑑定與複鑑制度往往會造成訴訟效率下降以及訴訟成本提高，如何避免當事人僅為孤注一擲而任意使用複鑑或再送鑑定，必須增加複鑑門檻與要件，避免當事人選擇性的利用鑑定制度。</w:t>
      </w:r>
    </w:p>
    <w:p w:rsidR="00F956E8" w:rsidRPr="000B2A94" w:rsidRDefault="00F956E8" w:rsidP="0081002C">
      <w:pPr>
        <w:pStyle w:val="4"/>
        <w:rPr>
          <w:color w:val="000000" w:themeColor="text1"/>
        </w:rPr>
      </w:pPr>
      <w:r w:rsidRPr="000B2A94">
        <w:rPr>
          <w:rFonts w:hint="eastAsia"/>
          <w:color w:val="000000" w:themeColor="text1"/>
        </w:rPr>
        <w:t>方案架構：區分二種鑑定制度，一種屬於符合三項鑑定品質要素之鑑定，第二種則為欠缺此三要素之鑑定種類，前者以DNA鑑定為例，後者以行車事故鑑定為例：</w:t>
      </w:r>
    </w:p>
    <w:p w:rsidR="00F956E8" w:rsidRPr="000B2A94" w:rsidRDefault="00F956E8" w:rsidP="0081002C">
      <w:pPr>
        <w:pStyle w:val="5"/>
        <w:rPr>
          <w:color w:val="000000" w:themeColor="text1"/>
        </w:rPr>
      </w:pPr>
      <w:r w:rsidRPr="000B2A94">
        <w:rPr>
          <w:rFonts w:hint="eastAsia"/>
          <w:color w:val="000000" w:themeColor="text1"/>
        </w:rPr>
        <w:t>第一種鑑定：不需複鑑制度，由於已有現存鑑定人選定資格與訓練，亦有實驗室認證，並且配合常態性準確度的設計，此方面的鑑定證據品質上較無疑問，例如我國內政部警政署刑事警察局鑑識中心。法院把關時，只需要對於上開三項品質要求為審查，並對於常運用之鑑定</w:t>
      </w:r>
      <w:r w:rsidRPr="000B2A94">
        <w:rPr>
          <w:rFonts w:hint="eastAsia"/>
          <w:color w:val="000000" w:themeColor="text1"/>
        </w:rPr>
        <w:lastRenderedPageBreak/>
        <w:t>方法，應該建立司法審查要件。</w:t>
      </w:r>
    </w:p>
    <w:p w:rsidR="00F956E8" w:rsidRPr="000B2A94" w:rsidRDefault="00F956E8" w:rsidP="0081002C">
      <w:pPr>
        <w:pStyle w:val="5"/>
        <w:rPr>
          <w:color w:val="000000" w:themeColor="text1"/>
        </w:rPr>
      </w:pPr>
      <w:r w:rsidRPr="000B2A94">
        <w:rPr>
          <w:rFonts w:hint="eastAsia"/>
          <w:color w:val="000000" w:themeColor="text1"/>
        </w:rPr>
        <w:t>第二種鑑定：對於尚無法符合三項品質標準之鑑定，可以建立一級獨任、二級合議之複鑑制度。第一級鑑定機關應採獨任制，而非如同現行行車事故鑑定一樣採合議制，是以鑑定人得到庭接受交互詰問。第二級鑑定機關可採合議制，由相關學會組成該領域或是跨領域的合議單位，進行該鑑定的事後審查，審查其科學流程是否符合該領域的要求，必要性亦可協助整合司法機關對該項鑑定建立司法審查標準，對司法機關而言，可以協助其判斷該科學鑑定證據，對一級獨任之鑑定人亦可以提供其提升鑑定品質以及符合司法審查標準的協助。惟鑑於合議機關之資源考量，應限定對於重大案件、多次鑑定有不同結果、爭議案件此三種類型之情形，方使用複鑑之二級單位 。</w:t>
      </w:r>
    </w:p>
    <w:p w:rsidR="00F956E8" w:rsidRPr="000B2A94" w:rsidRDefault="00BA480E" w:rsidP="0081002C">
      <w:pPr>
        <w:pStyle w:val="3"/>
        <w:rPr>
          <w:color w:val="000000" w:themeColor="text1"/>
        </w:rPr>
      </w:pPr>
      <w:bookmarkStart w:id="396" w:name="_Toc27400005"/>
      <w:r w:rsidRPr="000B2A94">
        <w:rPr>
          <w:rFonts w:hint="eastAsia"/>
          <w:color w:val="000000" w:themeColor="text1"/>
        </w:rPr>
        <w:t>本通案性案件調查研究</w:t>
      </w:r>
      <w:r w:rsidR="00F956E8" w:rsidRPr="000B2A94">
        <w:rPr>
          <w:rFonts w:hint="eastAsia"/>
          <w:color w:val="000000" w:themeColor="text1"/>
        </w:rPr>
        <w:t>曾參訪德國巴伐利亞刑事鑑定中心(該地稱國家刑事調查主題辦公室或稱刑事調查局)簡稱「BLKA」(下同)，概述如下</w:t>
      </w:r>
      <w:r w:rsidR="00F956E8" w:rsidRPr="000B2A94">
        <w:rPr>
          <w:rFonts w:hAnsi="標楷體" w:hint="eastAsia"/>
          <w:color w:val="000000" w:themeColor="text1"/>
        </w:rPr>
        <w:t>：</w:t>
      </w:r>
      <w:bookmarkEnd w:id="396"/>
    </w:p>
    <w:p w:rsidR="00F956E8" w:rsidRPr="000B2A94" w:rsidRDefault="00F956E8" w:rsidP="0081002C">
      <w:pPr>
        <w:pStyle w:val="4"/>
        <w:rPr>
          <w:color w:val="000000" w:themeColor="text1"/>
        </w:rPr>
      </w:pPr>
      <w:r w:rsidRPr="000B2A94">
        <w:rPr>
          <w:rFonts w:hint="eastAsia"/>
          <w:color w:val="000000" w:themeColor="text1"/>
        </w:rPr>
        <w:t>BLKA是位於慕尼黑（Maxvorstadt區），它在紐倫堡及Wegscheid</w:t>
      </w:r>
      <w:r w:rsidR="00BA480E" w:rsidRPr="000B2A94">
        <w:rPr>
          <w:rFonts w:hint="eastAsia"/>
          <w:color w:val="000000" w:themeColor="text1"/>
        </w:rPr>
        <w:t>均設有分公司，為德國頗有信譽的鑑定中心，</w:t>
      </w:r>
      <w:r w:rsidRPr="000B2A94">
        <w:rPr>
          <w:rFonts w:hint="eastAsia"/>
          <w:color w:val="000000" w:themeColor="text1"/>
        </w:rPr>
        <w:t>2002年5月6日成立之「戰略創新中心」，更是非常先進的鑑定單位。BLKA雖是巴伐利亞警方的上級警察局，但與現職警方互不隸屬，也非如我國刑事警察局、調查局、憲兵支援中心般，由現職警察(調查官、憲兵)鑑識人員擔任。BLKA聘有1 ,800名員工，均是對外招聘各領域學有專精的人員，有八成以上具有博士學位，且大部分都終身在此單位，不會外流至警界任職(此與我國現制完全不同)，BLKA設有6個部門，</w:t>
      </w:r>
      <w:r w:rsidRPr="000B2A94">
        <w:rPr>
          <w:rFonts w:hint="eastAsia"/>
          <w:color w:val="000000" w:themeColor="text1"/>
        </w:rPr>
        <w:lastRenderedPageBreak/>
        <w:t>19個小部門(單位)和85個學科研究領域，幾乎每個研究員都有一個研究辦公室，現任巴伐利亞BLKA主席是Robert  Heimberger，</w:t>
      </w:r>
      <w:r w:rsidR="00C54D77" w:rsidRPr="000B2A94">
        <w:rPr>
          <w:rFonts w:hint="eastAsia"/>
          <w:color w:val="000000" w:themeColor="text1"/>
        </w:rPr>
        <w:t>本案前往</w:t>
      </w:r>
      <w:r w:rsidRPr="000B2A94">
        <w:rPr>
          <w:rFonts w:hint="eastAsia"/>
          <w:color w:val="000000" w:themeColor="text1"/>
        </w:rPr>
        <w:t>參訪時有</w:t>
      </w:r>
      <w:r w:rsidR="00BA480E" w:rsidRPr="000B2A94">
        <w:rPr>
          <w:rFonts w:hint="eastAsia"/>
          <w:color w:val="000000" w:themeColor="text1"/>
        </w:rPr>
        <w:t>3</w:t>
      </w:r>
      <w:r w:rsidRPr="000B2A94">
        <w:rPr>
          <w:rFonts w:hint="eastAsia"/>
          <w:color w:val="000000" w:themeColor="text1"/>
        </w:rPr>
        <w:t>人出面接待，親自帶至各部門詳細解說，因時間</w:t>
      </w:r>
      <w:r w:rsidR="00BA480E" w:rsidRPr="000B2A94">
        <w:rPr>
          <w:rFonts w:hint="eastAsia"/>
          <w:color w:val="000000" w:themeColor="text1"/>
        </w:rPr>
        <w:t>關係，雖然無法全部參觀各部</w:t>
      </w:r>
      <w:r w:rsidR="009043BF" w:rsidRPr="000B2A94">
        <w:rPr>
          <w:rFonts w:hint="eastAsia"/>
          <w:color w:val="000000" w:themeColor="text1"/>
        </w:rPr>
        <w:t>門</w:t>
      </w:r>
      <w:r w:rsidR="00BA480E" w:rsidRPr="000B2A94">
        <w:rPr>
          <w:rFonts w:hint="eastAsia"/>
          <w:color w:val="000000" w:themeColor="text1"/>
        </w:rPr>
        <w:t>，但有感受到政府對於鑑識之重視及經費</w:t>
      </w:r>
      <w:r w:rsidRPr="000B2A94">
        <w:rPr>
          <w:rFonts w:hint="eastAsia"/>
          <w:color w:val="000000" w:themeColor="text1"/>
        </w:rPr>
        <w:t>的投入，更感受到他們身為鑑識人員的優越感及成就感。</w:t>
      </w:r>
    </w:p>
    <w:p w:rsidR="00F956E8" w:rsidRPr="000B2A94" w:rsidRDefault="00F956E8" w:rsidP="0081002C">
      <w:pPr>
        <w:pStyle w:val="4"/>
        <w:rPr>
          <w:color w:val="000000" w:themeColor="text1"/>
        </w:rPr>
      </w:pPr>
      <w:r w:rsidRPr="000B2A94">
        <w:rPr>
          <w:rFonts w:hint="eastAsia"/>
          <w:color w:val="000000" w:themeColor="text1"/>
        </w:rPr>
        <w:t>BLKA於1946年5月11日成立(巴伐利亞州內政部第59號令)，總部原設在慕尼黑的杜爾克海姆宮，同年，它更名為巴伐利亞州內政部的犯罪證明，警察統計和警察情報中央辦公室。1949年，它更名為巴伐利亞州刑事鑑定和警察統計中央辦公室。1952年，最後一次改名為巴伐利亞國家刑事調查辦公室。1953年，土地警察局被納入BLKA (國家級)。1968年，468名工作人員搬進了Maillingerstra</w:t>
      </w:r>
      <w:r w:rsidRPr="000B2A94">
        <w:rPr>
          <w:rFonts w:hint="eastAsia"/>
          <w:color w:val="000000" w:themeColor="text1"/>
        </w:rPr>
        <w:t>ß</w:t>
      </w:r>
      <w:r w:rsidRPr="000B2A94">
        <w:rPr>
          <w:rFonts w:hint="eastAsia"/>
          <w:color w:val="000000" w:themeColor="text1"/>
        </w:rPr>
        <w:t>e15（火星場）的大樓。1979年7月1日起，BLKA成為「巴伐利亞警察犯罪學研究小組」。又由於2001年9月11日的恐怖襲擊，2002年5月6日成立「戰略創新中心」，而於2013年3月1日，所有針對巴伐利亞警察的內部調查部門也隸屬於BLKA。BLKA是國家警察中第一個跳過DNA分析文件使用100,000個傳輸記錄的標記的鑑定機構。迄今他們已經鑑定澄清超過</w:t>
      </w:r>
      <w:r w:rsidR="00C54D77" w:rsidRPr="000B2A94">
        <w:rPr>
          <w:rFonts w:hint="eastAsia"/>
          <w:color w:val="000000" w:themeColor="text1"/>
        </w:rPr>
        <w:t>6</w:t>
      </w:r>
      <w:r w:rsidR="00C54D77" w:rsidRPr="000B2A94">
        <w:rPr>
          <w:color w:val="000000" w:themeColor="text1"/>
        </w:rPr>
        <w:t>,</w:t>
      </w:r>
      <w:r w:rsidR="00C54D77" w:rsidRPr="000B2A94">
        <w:rPr>
          <w:rFonts w:hint="eastAsia"/>
          <w:color w:val="000000" w:themeColor="text1"/>
        </w:rPr>
        <w:t>000</w:t>
      </w:r>
      <w:r w:rsidRPr="000B2A94">
        <w:rPr>
          <w:rFonts w:hint="eastAsia"/>
          <w:color w:val="000000" w:themeColor="text1"/>
        </w:rPr>
        <w:t>起犯罪案件，其中包括巴伐利亞州的74起謀殺案和186起性犯罪案。</w:t>
      </w:r>
    </w:p>
    <w:p w:rsidR="00F956E8" w:rsidRPr="000B2A94" w:rsidRDefault="00F956E8" w:rsidP="0081002C">
      <w:pPr>
        <w:pStyle w:val="4"/>
        <w:rPr>
          <w:color w:val="000000" w:themeColor="text1"/>
        </w:rPr>
      </w:pPr>
      <w:r w:rsidRPr="000B2A94">
        <w:rPr>
          <w:rFonts w:hint="eastAsia"/>
          <w:color w:val="000000" w:themeColor="text1"/>
        </w:rPr>
        <w:t>BLKA之任務和功能：</w:t>
      </w:r>
    </w:p>
    <w:p w:rsidR="00F956E8" w:rsidRPr="000B2A94" w:rsidRDefault="00F956E8" w:rsidP="0081002C">
      <w:pPr>
        <w:pStyle w:val="5"/>
        <w:rPr>
          <w:color w:val="000000" w:themeColor="text1"/>
        </w:rPr>
      </w:pPr>
      <w:r w:rsidRPr="000B2A94">
        <w:rPr>
          <w:rFonts w:hint="eastAsia"/>
          <w:color w:val="000000" w:themeColor="text1"/>
        </w:rPr>
        <w:t>刑警調查部門：專門處理巴伐利亞警察的中央信息和通信系統，特</w:t>
      </w:r>
      <w:r w:rsidR="009043BF" w:rsidRPr="000B2A94">
        <w:rPr>
          <w:rFonts w:hint="eastAsia"/>
          <w:color w:val="000000" w:themeColor="text1"/>
        </w:rPr>
        <w:t>別是有關巴伐利亞警察的數據處理和電信（尤其是電信辦公室），創新、</w:t>
      </w:r>
      <w:r w:rsidRPr="000B2A94">
        <w:rPr>
          <w:rFonts w:hint="eastAsia"/>
          <w:color w:val="000000" w:themeColor="text1"/>
        </w:rPr>
        <w:t>研究和預防是其宗旨。</w:t>
      </w:r>
    </w:p>
    <w:p w:rsidR="00F956E8" w:rsidRPr="000B2A94" w:rsidRDefault="00F956E8" w:rsidP="0081002C">
      <w:pPr>
        <w:pStyle w:val="5"/>
        <w:rPr>
          <w:color w:val="000000" w:themeColor="text1"/>
        </w:rPr>
      </w:pPr>
      <w:r w:rsidRPr="000B2A94">
        <w:rPr>
          <w:rFonts w:hint="eastAsia"/>
          <w:color w:val="000000" w:themeColor="text1"/>
        </w:rPr>
        <w:lastRenderedPageBreak/>
        <w:t>寶石鑑定。</w:t>
      </w:r>
    </w:p>
    <w:p w:rsidR="00F956E8" w:rsidRPr="000B2A94" w:rsidRDefault="00F956E8" w:rsidP="0081002C">
      <w:pPr>
        <w:pStyle w:val="5"/>
        <w:rPr>
          <w:color w:val="000000" w:themeColor="text1"/>
        </w:rPr>
      </w:pPr>
      <w:r w:rsidRPr="000B2A94">
        <w:rPr>
          <w:rFonts w:hint="eastAsia"/>
          <w:color w:val="000000" w:themeColor="text1"/>
        </w:rPr>
        <w:t>核料、爆炸和輻射犯罪。</w:t>
      </w:r>
    </w:p>
    <w:p w:rsidR="00F956E8" w:rsidRPr="000B2A94" w:rsidRDefault="00F956E8" w:rsidP="0081002C">
      <w:pPr>
        <w:pStyle w:val="5"/>
        <w:rPr>
          <w:color w:val="000000" w:themeColor="text1"/>
        </w:rPr>
      </w:pPr>
      <w:r w:rsidRPr="000B2A94">
        <w:rPr>
          <w:rFonts w:hint="eastAsia"/>
          <w:color w:val="000000" w:themeColor="text1"/>
        </w:rPr>
        <w:t>毒品檢驗及貿易大規模現場檢查。</w:t>
      </w:r>
    </w:p>
    <w:p w:rsidR="00F956E8" w:rsidRPr="000B2A94" w:rsidRDefault="00F956E8" w:rsidP="0081002C">
      <w:pPr>
        <w:pStyle w:val="5"/>
        <w:rPr>
          <w:color w:val="000000" w:themeColor="text1"/>
        </w:rPr>
      </w:pPr>
      <w:r w:rsidRPr="000B2A94">
        <w:rPr>
          <w:rFonts w:hint="eastAsia"/>
          <w:color w:val="000000" w:themeColor="text1"/>
        </w:rPr>
        <w:t>偽造貨幣、信用卡、郵票及有價證卷。</w:t>
      </w:r>
    </w:p>
    <w:p w:rsidR="00F956E8" w:rsidRPr="000B2A94" w:rsidRDefault="00F956E8" w:rsidP="0081002C">
      <w:pPr>
        <w:pStyle w:val="5"/>
        <w:rPr>
          <w:color w:val="000000" w:themeColor="text1"/>
        </w:rPr>
      </w:pPr>
      <w:r w:rsidRPr="000B2A94">
        <w:rPr>
          <w:rFonts w:hint="eastAsia"/>
          <w:color w:val="000000" w:themeColor="text1"/>
        </w:rPr>
        <w:t>有關叛國罪和危害外部安全及國家內政部任命後的重大犯罪。</w:t>
      </w:r>
    </w:p>
    <w:p w:rsidR="00F956E8" w:rsidRPr="000B2A94" w:rsidRDefault="00F956E8" w:rsidP="0081002C">
      <w:pPr>
        <w:pStyle w:val="5"/>
        <w:rPr>
          <w:color w:val="000000" w:themeColor="text1"/>
        </w:rPr>
      </w:pPr>
      <w:r w:rsidRPr="000B2A94">
        <w:rPr>
          <w:rFonts w:hint="eastAsia"/>
          <w:color w:val="000000" w:themeColor="text1"/>
        </w:rPr>
        <w:t>新型態犯罪：依照BLKA提供之書面資料，該中心鑑識之型態非常多樣，以上只是列舉其概括之型態，以供參考。另加以說明的是，由於2001年9月11日的恐怖襲擊事件，2002年BLKA所成立的戰略創新中心係關注「新犯罪情景的分析和預測設計」，活動的重點是關於未來發展的預警系統以及警察對技術發展的監測設備，此都值得我國借鏡。</w:t>
      </w:r>
    </w:p>
    <w:p w:rsidR="00F956E8" w:rsidRPr="000B2A94" w:rsidRDefault="00F956E8" w:rsidP="0081002C">
      <w:pPr>
        <w:pStyle w:val="3"/>
        <w:rPr>
          <w:color w:val="000000" w:themeColor="text1"/>
        </w:rPr>
      </w:pPr>
      <w:bookmarkStart w:id="397" w:name="_Toc27400006"/>
      <w:r w:rsidRPr="000B2A94">
        <w:rPr>
          <w:rFonts w:hint="eastAsia"/>
          <w:color w:val="000000" w:themeColor="text1"/>
        </w:rPr>
        <w:t>按司法改革國是會議決議我國應設立獨立行使職權之國家級司法科學委員會，任務內容：1.制定並推動司法科學政策，提升總體科學證據品質；2.整合並推廣各級司法科學教育；3.制定並執行相關實驗室與專家之認證規範與證照制度。依目前研議之</w:t>
      </w:r>
      <w:r w:rsidR="009043BF" w:rsidRPr="000B2A94">
        <w:rPr>
          <w:rFonts w:hint="eastAsia"/>
          <w:color w:val="000000" w:themeColor="text1"/>
        </w:rPr>
        <w:t>討論上多認為國家級司法科學委員會非最終鑑定機關，不實施</w:t>
      </w:r>
      <w:r w:rsidRPr="000B2A94">
        <w:rPr>
          <w:rFonts w:hint="eastAsia"/>
          <w:color w:val="000000" w:themeColor="text1"/>
        </w:rPr>
        <w:t>個案鑑定，而是作為找出司法科學疑問點之機構，確保鑑識單位遵循規定標準，提供意見給法院參考</w:t>
      </w:r>
      <w:r w:rsidRPr="000B2A94">
        <w:rPr>
          <w:rFonts w:hAnsi="標楷體" w:hint="eastAsia"/>
          <w:color w:val="000000" w:themeColor="text1"/>
        </w:rPr>
        <w:t>。</w:t>
      </w:r>
      <w:r w:rsidRPr="000B2A94">
        <w:rPr>
          <w:rFonts w:hint="eastAsia"/>
          <w:color w:val="000000" w:themeColor="text1"/>
        </w:rPr>
        <w:t>就改進司法科學而言，以鑑識分析所採用之技術訂立標準、從業人員取得證照、實驗室通過認證</w:t>
      </w:r>
      <w:r w:rsidRPr="000B2A94">
        <w:rPr>
          <w:rFonts w:hAnsi="標楷體" w:hint="eastAsia"/>
          <w:color w:val="000000" w:themeColor="text1"/>
        </w:rPr>
        <w:t>、</w:t>
      </w:r>
      <w:r w:rsidRPr="000B2A94">
        <w:rPr>
          <w:rFonts w:hint="eastAsia"/>
          <w:color w:val="000000" w:themeColor="text1"/>
        </w:rPr>
        <w:t>司法科學教育等議題，提升總體科學證據品質，是值得努力之方向。另參考法務部委託研究計畫「建立法醫鑑定與刑事鑑識複鑑機制」內所提建議方案，就目前鑑定領域擇其尚未具備</w:t>
      </w:r>
      <w:r w:rsidR="00C54D77" w:rsidRPr="000B2A94">
        <w:rPr>
          <w:rFonts w:hint="eastAsia"/>
          <w:color w:val="000000" w:themeColor="text1"/>
        </w:rPr>
        <w:t>3</w:t>
      </w:r>
      <w:r w:rsidRPr="000B2A94">
        <w:rPr>
          <w:rFonts w:hint="eastAsia"/>
          <w:color w:val="000000" w:themeColor="text1"/>
        </w:rPr>
        <w:t>項品質要素(實驗室認證、鑑定人員資格認證、常態性準確性考核)而較需補強者，亦即對於現行鑑定之</w:t>
      </w:r>
      <w:r w:rsidRPr="000B2A94">
        <w:rPr>
          <w:rFonts w:hint="eastAsia"/>
          <w:color w:val="000000" w:themeColor="text1"/>
        </w:rPr>
        <w:lastRenderedPageBreak/>
        <w:t>品質上較易遭受質疑之領域建立複鑑機制</w:t>
      </w:r>
      <w:r w:rsidRPr="000B2A94">
        <w:rPr>
          <w:rFonts w:hAnsi="標楷體" w:hint="eastAsia"/>
          <w:color w:val="000000" w:themeColor="text1"/>
        </w:rPr>
        <w:t>，</w:t>
      </w:r>
      <w:r w:rsidRPr="000B2A94">
        <w:rPr>
          <w:rFonts w:hint="eastAsia"/>
          <w:color w:val="000000" w:themeColor="text1"/>
        </w:rPr>
        <w:t>而複鑑機關則可考量成立超然獨立之國家級司法科學鑑定中心辦理複鑑機制，亦值參考。</w:t>
      </w:r>
      <w:bookmarkEnd w:id="397"/>
    </w:p>
    <w:p w:rsidR="00D620F7" w:rsidRPr="000B2A94" w:rsidRDefault="00D620F7" w:rsidP="00D620F7">
      <w:pPr>
        <w:pStyle w:val="2"/>
        <w:rPr>
          <w:b/>
          <w:color w:val="000000" w:themeColor="text1"/>
        </w:rPr>
      </w:pPr>
      <w:bookmarkStart w:id="398" w:name="_Toc28606838"/>
      <w:r w:rsidRPr="000B2A94">
        <w:rPr>
          <w:rFonts w:hint="eastAsia"/>
          <w:b/>
          <w:color w:val="000000" w:themeColor="text1"/>
        </w:rPr>
        <w:t>有關現行法醫師人力嚴重不足之問題，影響鑑驗品質，不利於司法人權之伸張。又法醫師法之落實及整體法醫鑑定制度之精進強化，行政院允宜正視並督促所屬積極解決。另為充實目前法醫解剖中心設施與設備之水準，有效提升現行司法相驗制度及法醫鑑定之品質，亦應妥予評估</w:t>
      </w:r>
      <w:r w:rsidR="009635DD" w:rsidRPr="000B2A94">
        <w:rPr>
          <w:rFonts w:hint="eastAsia"/>
          <w:b/>
          <w:color w:val="000000" w:themeColor="text1"/>
        </w:rPr>
        <w:t>投入資源於相關醫學中心法醫部門</w:t>
      </w:r>
      <w:r w:rsidR="00A215FB" w:rsidRPr="000B2A94">
        <w:rPr>
          <w:rFonts w:hint="eastAsia"/>
          <w:b/>
          <w:color w:val="000000" w:themeColor="text1"/>
        </w:rPr>
        <w:t>，</w:t>
      </w:r>
      <w:r w:rsidR="009635DD" w:rsidRPr="000B2A94">
        <w:rPr>
          <w:rFonts w:hint="eastAsia"/>
          <w:b/>
          <w:color w:val="000000" w:themeColor="text1"/>
        </w:rPr>
        <w:t>設置「具備生物安全第三等級及生物安全第三加等級法醫解剖中心」之可行性</w:t>
      </w:r>
      <w:r w:rsidRPr="000B2A94">
        <w:rPr>
          <w:rFonts w:hint="eastAsia"/>
          <w:b/>
          <w:color w:val="000000" w:themeColor="text1"/>
        </w:rPr>
        <w:t>。</w:t>
      </w:r>
      <w:bookmarkEnd w:id="398"/>
    </w:p>
    <w:p w:rsidR="00F956E8" w:rsidRPr="000B2A94" w:rsidRDefault="00F956E8" w:rsidP="0081002C">
      <w:pPr>
        <w:pStyle w:val="3"/>
        <w:rPr>
          <w:color w:val="000000" w:themeColor="text1"/>
        </w:rPr>
      </w:pPr>
      <w:bookmarkStart w:id="399" w:name="_Toc27400008"/>
      <w:r w:rsidRPr="000B2A94">
        <w:rPr>
          <w:rFonts w:hint="eastAsia"/>
          <w:color w:val="000000" w:themeColor="text1"/>
        </w:rPr>
        <w:t>為提升法醫鑑定品質，有關目前法醫師人力不足之策進作為，行政院說明略以：</w:t>
      </w:r>
      <w:bookmarkEnd w:id="399"/>
    </w:p>
    <w:p w:rsidR="00F956E8" w:rsidRPr="000B2A94" w:rsidRDefault="00F956E8" w:rsidP="0081002C">
      <w:pPr>
        <w:pStyle w:val="4"/>
        <w:rPr>
          <w:color w:val="000000" w:themeColor="text1"/>
        </w:rPr>
      </w:pPr>
      <w:r w:rsidRPr="000B2A94">
        <w:rPr>
          <w:rFonts w:hint="eastAsia"/>
          <w:color w:val="000000" w:themeColor="text1"/>
        </w:rPr>
        <w:t>法醫研究所負擔大部份(90%)全國解剖鑑驗業務，目前僅有3位編制內法醫師（具法醫病理醫師資格），因此尚須聘請兼任研究員(具法醫師及法醫病理醫師資格共14名，其中僅8名協助解剖鑑定)支援法醫解剖鑑定業務，方可負擔每年1400~2100解剖鑑定案件。為因應編制內法醫師人力不足導致近50%案件委由兼任研究員辦理，而遭外界質疑之問題，故法醫研究所自105年起實施集中解剖制，編制內法醫師需負責之解剖案件提高至70%，惟因107年1月</w:t>
      </w:r>
      <w:r w:rsidR="009043BF" w:rsidRPr="000B2A94">
        <w:rPr>
          <w:rFonts w:hint="eastAsia"/>
          <w:color w:val="000000" w:themeColor="text1"/>
        </w:rPr>
        <w:t>1</w:t>
      </w:r>
      <w:r w:rsidRPr="000B2A94">
        <w:rPr>
          <w:rFonts w:hint="eastAsia"/>
          <w:color w:val="000000" w:themeColor="text1"/>
        </w:rPr>
        <w:t>名法醫屆齡退休，以及尚有</w:t>
      </w:r>
      <w:r w:rsidR="009043BF" w:rsidRPr="000B2A94">
        <w:rPr>
          <w:rFonts w:hint="eastAsia"/>
          <w:color w:val="000000" w:themeColor="text1"/>
        </w:rPr>
        <w:t>1</w:t>
      </w:r>
      <w:r w:rsidRPr="000B2A94">
        <w:rPr>
          <w:rFonts w:hint="eastAsia"/>
          <w:color w:val="000000" w:themeColor="text1"/>
        </w:rPr>
        <w:t>名法醫師缺額無法順利進用，107年編制內法醫師與兼任研究員之解剖件數又有拉近之趨勢，故確有人力不足問題。各項統計如下：</w:t>
      </w:r>
      <w:r w:rsidRPr="000B2A94">
        <w:rPr>
          <w:color w:val="000000" w:themeColor="text1"/>
        </w:rPr>
        <w:t xml:space="preserve"> </w:t>
      </w:r>
    </w:p>
    <w:p w:rsidR="00F956E8" w:rsidRPr="000B2A94" w:rsidRDefault="00F956E8" w:rsidP="009043BF">
      <w:pPr>
        <w:pStyle w:val="a4"/>
        <w:jc w:val="center"/>
        <w:rPr>
          <w:b/>
          <w:color w:val="000000" w:themeColor="text1"/>
        </w:rPr>
      </w:pPr>
      <w:bookmarkStart w:id="400" w:name="_Toc27412334"/>
      <w:r w:rsidRPr="000B2A94">
        <w:rPr>
          <w:b/>
          <w:color w:val="000000" w:themeColor="text1"/>
        </w:rPr>
        <w:t>法醫所、各地方檢察署法醫師、兼任研究員、榮譽</w:t>
      </w:r>
      <w:r w:rsidRPr="000B2A94">
        <w:rPr>
          <w:rFonts w:hint="eastAsia"/>
          <w:b/>
          <w:color w:val="000000" w:themeColor="text1"/>
        </w:rPr>
        <w:t>/兼任法醫師人數及解剖件數統計</w:t>
      </w:r>
      <w:bookmarkEnd w:id="4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674"/>
        <w:gridCol w:w="1728"/>
        <w:gridCol w:w="1728"/>
        <w:gridCol w:w="1787"/>
      </w:tblGrid>
      <w:tr w:rsidR="000B2A94" w:rsidRPr="000B2A94" w:rsidTr="00F956E8">
        <w:trPr>
          <w:trHeight w:val="20"/>
          <w:jc w:val="center"/>
        </w:trPr>
        <w:tc>
          <w:tcPr>
            <w:tcW w:w="2143" w:type="dxa"/>
            <w:vAlign w:val="center"/>
          </w:tcPr>
          <w:p w:rsidR="00F956E8" w:rsidRPr="000B2A94" w:rsidRDefault="00F956E8" w:rsidP="00F956E8">
            <w:pPr>
              <w:jc w:val="center"/>
              <w:rPr>
                <w:color w:val="000000" w:themeColor="text1"/>
                <w:sz w:val="28"/>
                <w:szCs w:val="28"/>
              </w:rPr>
            </w:pPr>
            <w:r w:rsidRPr="000B2A94">
              <w:rPr>
                <w:rFonts w:hint="eastAsia"/>
                <w:color w:val="000000" w:themeColor="text1"/>
                <w:sz w:val="28"/>
                <w:szCs w:val="28"/>
              </w:rPr>
              <w:t>類別</w:t>
            </w:r>
          </w:p>
        </w:tc>
        <w:tc>
          <w:tcPr>
            <w:tcW w:w="1674" w:type="dxa"/>
            <w:shd w:val="clear" w:color="auto" w:fill="auto"/>
            <w:vAlign w:val="center"/>
          </w:tcPr>
          <w:p w:rsidR="00F956E8" w:rsidRPr="000B2A94" w:rsidRDefault="00F956E8" w:rsidP="00F956E8">
            <w:pPr>
              <w:jc w:val="center"/>
              <w:rPr>
                <w:color w:val="000000" w:themeColor="text1"/>
                <w:sz w:val="28"/>
                <w:szCs w:val="28"/>
              </w:rPr>
            </w:pPr>
            <w:r w:rsidRPr="000B2A94">
              <w:rPr>
                <w:rFonts w:hint="eastAsia"/>
                <w:color w:val="000000" w:themeColor="text1"/>
                <w:sz w:val="28"/>
                <w:szCs w:val="28"/>
              </w:rPr>
              <w:t>年度</w:t>
            </w:r>
          </w:p>
        </w:tc>
        <w:tc>
          <w:tcPr>
            <w:tcW w:w="1728" w:type="dxa"/>
            <w:shd w:val="clear" w:color="auto" w:fill="auto"/>
            <w:vAlign w:val="center"/>
          </w:tcPr>
          <w:p w:rsidR="00F956E8" w:rsidRPr="000B2A94" w:rsidRDefault="00F956E8" w:rsidP="00F956E8">
            <w:pPr>
              <w:jc w:val="center"/>
              <w:rPr>
                <w:color w:val="000000" w:themeColor="text1"/>
                <w:sz w:val="28"/>
                <w:szCs w:val="28"/>
              </w:rPr>
            </w:pPr>
            <w:r w:rsidRPr="000B2A94">
              <w:rPr>
                <w:rFonts w:hint="eastAsia"/>
                <w:color w:val="000000" w:themeColor="text1"/>
                <w:sz w:val="28"/>
                <w:szCs w:val="28"/>
              </w:rPr>
              <w:t>105</w:t>
            </w:r>
          </w:p>
        </w:tc>
        <w:tc>
          <w:tcPr>
            <w:tcW w:w="1728" w:type="dxa"/>
            <w:shd w:val="clear" w:color="auto" w:fill="auto"/>
            <w:vAlign w:val="center"/>
          </w:tcPr>
          <w:p w:rsidR="00F956E8" w:rsidRPr="000B2A94" w:rsidRDefault="00F956E8" w:rsidP="00F956E8">
            <w:pPr>
              <w:jc w:val="center"/>
              <w:rPr>
                <w:color w:val="000000" w:themeColor="text1"/>
                <w:sz w:val="28"/>
                <w:szCs w:val="28"/>
              </w:rPr>
            </w:pPr>
            <w:r w:rsidRPr="000B2A94">
              <w:rPr>
                <w:rFonts w:hint="eastAsia"/>
                <w:color w:val="000000" w:themeColor="text1"/>
                <w:sz w:val="28"/>
                <w:szCs w:val="28"/>
              </w:rPr>
              <w:t>106</w:t>
            </w:r>
          </w:p>
        </w:tc>
        <w:tc>
          <w:tcPr>
            <w:tcW w:w="1787" w:type="dxa"/>
            <w:shd w:val="clear" w:color="auto" w:fill="auto"/>
            <w:vAlign w:val="center"/>
          </w:tcPr>
          <w:p w:rsidR="00F956E8" w:rsidRPr="000B2A94" w:rsidRDefault="00F956E8" w:rsidP="00F956E8">
            <w:pPr>
              <w:jc w:val="center"/>
              <w:rPr>
                <w:color w:val="000000" w:themeColor="text1"/>
                <w:sz w:val="28"/>
                <w:szCs w:val="28"/>
              </w:rPr>
            </w:pPr>
            <w:r w:rsidRPr="000B2A94">
              <w:rPr>
                <w:rFonts w:hint="eastAsia"/>
                <w:color w:val="000000" w:themeColor="text1"/>
                <w:sz w:val="28"/>
                <w:szCs w:val="28"/>
              </w:rPr>
              <w:t>107</w:t>
            </w:r>
          </w:p>
        </w:tc>
      </w:tr>
      <w:tr w:rsidR="000B2A94" w:rsidRPr="000B2A94" w:rsidTr="00F956E8">
        <w:trPr>
          <w:trHeight w:val="20"/>
          <w:jc w:val="center"/>
        </w:trPr>
        <w:tc>
          <w:tcPr>
            <w:tcW w:w="2143" w:type="dxa"/>
            <w:vMerge w:val="restart"/>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法醫所</w:t>
            </w:r>
          </w:p>
          <w:p w:rsidR="00F956E8" w:rsidRPr="000B2A94" w:rsidRDefault="00F956E8" w:rsidP="00F956E8">
            <w:pPr>
              <w:jc w:val="center"/>
              <w:rPr>
                <w:color w:val="000000" w:themeColor="text1"/>
                <w:sz w:val="28"/>
                <w:szCs w:val="28"/>
              </w:rPr>
            </w:pPr>
            <w:r w:rsidRPr="000B2A94">
              <w:rPr>
                <w:color w:val="000000" w:themeColor="text1"/>
                <w:sz w:val="28"/>
                <w:szCs w:val="28"/>
              </w:rPr>
              <w:lastRenderedPageBreak/>
              <w:t>編制內法醫師</w:t>
            </w:r>
          </w:p>
        </w:tc>
        <w:tc>
          <w:tcPr>
            <w:tcW w:w="1674" w:type="dxa"/>
            <w:shd w:val="clear" w:color="auto" w:fill="auto"/>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lastRenderedPageBreak/>
              <w:t>解</w:t>
            </w:r>
            <w:r w:rsidRPr="000B2A94">
              <w:rPr>
                <w:rFonts w:hint="eastAsia"/>
                <w:color w:val="000000" w:themeColor="text1"/>
                <w:sz w:val="28"/>
                <w:szCs w:val="28"/>
              </w:rPr>
              <w:t>剖</w:t>
            </w:r>
            <w:r w:rsidRPr="000B2A94">
              <w:rPr>
                <w:color w:val="000000" w:themeColor="text1"/>
                <w:sz w:val="28"/>
                <w:szCs w:val="28"/>
              </w:rPr>
              <w:t>案件</w:t>
            </w:r>
            <w:r w:rsidRPr="000B2A94">
              <w:rPr>
                <w:color w:val="000000" w:themeColor="text1"/>
                <w:sz w:val="28"/>
                <w:szCs w:val="28"/>
              </w:rPr>
              <w:lastRenderedPageBreak/>
              <w:t>數</w:t>
            </w:r>
          </w:p>
        </w:tc>
        <w:tc>
          <w:tcPr>
            <w:tcW w:w="1728" w:type="dxa"/>
            <w:shd w:val="clear" w:color="auto" w:fill="auto"/>
            <w:vAlign w:val="center"/>
          </w:tcPr>
          <w:p w:rsidR="00F956E8" w:rsidRPr="000B2A94" w:rsidRDefault="00F956E8" w:rsidP="00F956E8">
            <w:pPr>
              <w:jc w:val="center"/>
              <w:rPr>
                <w:color w:val="000000" w:themeColor="text1"/>
                <w:sz w:val="28"/>
                <w:szCs w:val="28"/>
              </w:rPr>
            </w:pPr>
            <w:r w:rsidRPr="000B2A94">
              <w:rPr>
                <w:rFonts w:hint="eastAsia"/>
                <w:color w:val="000000" w:themeColor="text1"/>
                <w:sz w:val="28"/>
                <w:szCs w:val="28"/>
              </w:rPr>
              <w:lastRenderedPageBreak/>
              <w:t>1583（69%）</w:t>
            </w:r>
          </w:p>
        </w:tc>
        <w:tc>
          <w:tcPr>
            <w:tcW w:w="1728" w:type="dxa"/>
            <w:shd w:val="clear" w:color="auto" w:fill="auto"/>
            <w:vAlign w:val="center"/>
          </w:tcPr>
          <w:p w:rsidR="00F956E8" w:rsidRPr="000B2A94" w:rsidRDefault="00F956E8" w:rsidP="00F956E8">
            <w:pPr>
              <w:jc w:val="center"/>
              <w:rPr>
                <w:color w:val="000000" w:themeColor="text1"/>
                <w:sz w:val="28"/>
                <w:szCs w:val="28"/>
              </w:rPr>
            </w:pPr>
            <w:r w:rsidRPr="000B2A94">
              <w:rPr>
                <w:rFonts w:hint="eastAsia"/>
                <w:color w:val="000000" w:themeColor="text1"/>
                <w:sz w:val="28"/>
                <w:szCs w:val="28"/>
              </w:rPr>
              <w:t>1507（67%）</w:t>
            </w:r>
          </w:p>
        </w:tc>
        <w:tc>
          <w:tcPr>
            <w:tcW w:w="1787" w:type="dxa"/>
            <w:shd w:val="clear" w:color="auto" w:fill="auto"/>
            <w:vAlign w:val="center"/>
          </w:tcPr>
          <w:p w:rsidR="00F956E8" w:rsidRPr="000B2A94" w:rsidRDefault="00F956E8" w:rsidP="00F956E8">
            <w:pPr>
              <w:jc w:val="center"/>
              <w:rPr>
                <w:color w:val="000000" w:themeColor="text1"/>
                <w:sz w:val="28"/>
                <w:szCs w:val="28"/>
              </w:rPr>
            </w:pPr>
            <w:r w:rsidRPr="000B2A94">
              <w:rPr>
                <w:rFonts w:hint="eastAsia"/>
                <w:color w:val="000000" w:themeColor="text1"/>
                <w:sz w:val="28"/>
                <w:szCs w:val="28"/>
              </w:rPr>
              <w:t>739（50%）</w:t>
            </w:r>
          </w:p>
        </w:tc>
      </w:tr>
      <w:tr w:rsidR="000B2A94" w:rsidRPr="000B2A94" w:rsidTr="00F956E8">
        <w:trPr>
          <w:trHeight w:val="20"/>
          <w:jc w:val="center"/>
        </w:trPr>
        <w:tc>
          <w:tcPr>
            <w:tcW w:w="2143" w:type="dxa"/>
            <w:vMerge/>
            <w:vAlign w:val="center"/>
          </w:tcPr>
          <w:p w:rsidR="00F956E8" w:rsidRPr="000B2A94" w:rsidRDefault="00F956E8" w:rsidP="00F956E8">
            <w:pPr>
              <w:jc w:val="center"/>
              <w:rPr>
                <w:color w:val="000000" w:themeColor="text1"/>
                <w:sz w:val="28"/>
                <w:szCs w:val="28"/>
              </w:rPr>
            </w:pPr>
          </w:p>
        </w:tc>
        <w:tc>
          <w:tcPr>
            <w:tcW w:w="1674" w:type="dxa"/>
            <w:shd w:val="clear" w:color="auto" w:fill="auto"/>
            <w:vAlign w:val="center"/>
          </w:tcPr>
          <w:p w:rsidR="00F956E8" w:rsidRPr="000B2A94" w:rsidRDefault="00F956E8" w:rsidP="00F956E8">
            <w:pPr>
              <w:jc w:val="center"/>
              <w:rPr>
                <w:color w:val="000000" w:themeColor="text1"/>
                <w:sz w:val="28"/>
                <w:szCs w:val="28"/>
              </w:rPr>
            </w:pPr>
            <w:r w:rsidRPr="000B2A94">
              <w:rPr>
                <w:rFonts w:hint="eastAsia"/>
                <w:color w:val="000000" w:themeColor="text1"/>
                <w:sz w:val="28"/>
                <w:szCs w:val="28"/>
              </w:rPr>
              <w:t>人數</w:t>
            </w:r>
          </w:p>
        </w:tc>
        <w:tc>
          <w:tcPr>
            <w:tcW w:w="1728" w:type="dxa"/>
            <w:shd w:val="clear" w:color="auto" w:fill="auto"/>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4</w:t>
            </w:r>
          </w:p>
        </w:tc>
        <w:tc>
          <w:tcPr>
            <w:tcW w:w="1728" w:type="dxa"/>
            <w:shd w:val="clear" w:color="auto" w:fill="auto"/>
            <w:vAlign w:val="center"/>
          </w:tcPr>
          <w:p w:rsidR="00F956E8" w:rsidRPr="000B2A94" w:rsidRDefault="00F956E8" w:rsidP="00F956E8">
            <w:pPr>
              <w:jc w:val="center"/>
              <w:rPr>
                <w:color w:val="000000" w:themeColor="text1"/>
                <w:sz w:val="28"/>
                <w:szCs w:val="28"/>
              </w:rPr>
            </w:pPr>
            <w:r w:rsidRPr="000B2A94">
              <w:rPr>
                <w:rFonts w:hint="eastAsia"/>
                <w:color w:val="000000" w:themeColor="text1"/>
                <w:sz w:val="28"/>
                <w:szCs w:val="28"/>
              </w:rPr>
              <w:t>4</w:t>
            </w:r>
          </w:p>
        </w:tc>
        <w:tc>
          <w:tcPr>
            <w:tcW w:w="1787" w:type="dxa"/>
            <w:shd w:val="clear" w:color="auto" w:fill="auto"/>
            <w:vAlign w:val="center"/>
          </w:tcPr>
          <w:p w:rsidR="00F956E8" w:rsidRPr="000B2A94" w:rsidRDefault="00F956E8" w:rsidP="00F956E8">
            <w:pPr>
              <w:jc w:val="center"/>
              <w:rPr>
                <w:color w:val="000000" w:themeColor="text1"/>
                <w:sz w:val="28"/>
                <w:szCs w:val="28"/>
              </w:rPr>
            </w:pPr>
            <w:r w:rsidRPr="000B2A94">
              <w:rPr>
                <w:rFonts w:hint="eastAsia"/>
                <w:color w:val="000000" w:themeColor="text1"/>
                <w:sz w:val="28"/>
                <w:szCs w:val="28"/>
              </w:rPr>
              <w:t>3</w:t>
            </w:r>
          </w:p>
        </w:tc>
      </w:tr>
      <w:tr w:rsidR="000B2A94" w:rsidRPr="000B2A94" w:rsidTr="00F956E8">
        <w:trPr>
          <w:trHeight w:val="20"/>
          <w:jc w:val="center"/>
        </w:trPr>
        <w:tc>
          <w:tcPr>
            <w:tcW w:w="2143" w:type="dxa"/>
            <w:vMerge w:val="restart"/>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法醫所</w:t>
            </w:r>
          </w:p>
          <w:p w:rsidR="00F956E8" w:rsidRPr="000B2A94" w:rsidRDefault="00F956E8" w:rsidP="00F956E8">
            <w:pPr>
              <w:jc w:val="center"/>
              <w:rPr>
                <w:color w:val="000000" w:themeColor="text1"/>
                <w:sz w:val="28"/>
                <w:szCs w:val="28"/>
              </w:rPr>
            </w:pPr>
            <w:r w:rsidRPr="000B2A94">
              <w:rPr>
                <w:color w:val="000000" w:themeColor="text1"/>
                <w:sz w:val="28"/>
                <w:szCs w:val="28"/>
              </w:rPr>
              <w:t>兼任研究員</w:t>
            </w:r>
          </w:p>
        </w:tc>
        <w:tc>
          <w:tcPr>
            <w:tcW w:w="1674" w:type="dxa"/>
            <w:shd w:val="clear" w:color="auto" w:fill="auto"/>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解</w:t>
            </w:r>
            <w:r w:rsidRPr="000B2A94">
              <w:rPr>
                <w:rFonts w:hint="eastAsia"/>
                <w:color w:val="000000" w:themeColor="text1"/>
                <w:sz w:val="28"/>
                <w:szCs w:val="28"/>
              </w:rPr>
              <w:t>剖</w:t>
            </w:r>
            <w:r w:rsidRPr="000B2A94">
              <w:rPr>
                <w:color w:val="000000" w:themeColor="text1"/>
                <w:sz w:val="28"/>
                <w:szCs w:val="28"/>
              </w:rPr>
              <w:t>案件數</w:t>
            </w:r>
          </w:p>
        </w:tc>
        <w:tc>
          <w:tcPr>
            <w:tcW w:w="1728" w:type="dxa"/>
            <w:shd w:val="clear" w:color="auto" w:fill="auto"/>
            <w:vAlign w:val="center"/>
          </w:tcPr>
          <w:p w:rsidR="00F956E8" w:rsidRPr="000B2A94" w:rsidRDefault="00F956E8" w:rsidP="00F956E8">
            <w:pPr>
              <w:jc w:val="center"/>
              <w:rPr>
                <w:color w:val="000000" w:themeColor="text1"/>
                <w:sz w:val="28"/>
                <w:szCs w:val="28"/>
              </w:rPr>
            </w:pPr>
            <w:r w:rsidRPr="000B2A94">
              <w:rPr>
                <w:rFonts w:hint="eastAsia"/>
                <w:color w:val="000000" w:themeColor="text1"/>
                <w:sz w:val="28"/>
                <w:szCs w:val="28"/>
              </w:rPr>
              <w:t>600（</w:t>
            </w:r>
            <w:r w:rsidRPr="000B2A94">
              <w:rPr>
                <w:color w:val="000000" w:themeColor="text1"/>
                <w:sz w:val="28"/>
                <w:szCs w:val="28"/>
              </w:rPr>
              <w:t>26%）</w:t>
            </w:r>
          </w:p>
        </w:tc>
        <w:tc>
          <w:tcPr>
            <w:tcW w:w="1728" w:type="dxa"/>
            <w:shd w:val="clear" w:color="auto" w:fill="auto"/>
            <w:vAlign w:val="center"/>
          </w:tcPr>
          <w:p w:rsidR="00F956E8" w:rsidRPr="000B2A94" w:rsidRDefault="00F956E8" w:rsidP="00F956E8">
            <w:pPr>
              <w:jc w:val="center"/>
              <w:rPr>
                <w:color w:val="000000" w:themeColor="text1"/>
                <w:sz w:val="28"/>
                <w:szCs w:val="28"/>
              </w:rPr>
            </w:pPr>
            <w:r w:rsidRPr="000B2A94">
              <w:rPr>
                <w:rFonts w:hint="eastAsia"/>
                <w:color w:val="000000" w:themeColor="text1"/>
                <w:sz w:val="28"/>
                <w:szCs w:val="28"/>
              </w:rPr>
              <w:t>680（</w:t>
            </w:r>
            <w:r w:rsidRPr="000B2A94">
              <w:rPr>
                <w:color w:val="000000" w:themeColor="text1"/>
                <w:sz w:val="28"/>
                <w:szCs w:val="28"/>
              </w:rPr>
              <w:t>31%）</w:t>
            </w:r>
          </w:p>
        </w:tc>
        <w:tc>
          <w:tcPr>
            <w:tcW w:w="1787" w:type="dxa"/>
            <w:shd w:val="clear" w:color="auto" w:fill="auto"/>
            <w:vAlign w:val="center"/>
          </w:tcPr>
          <w:p w:rsidR="00F956E8" w:rsidRPr="000B2A94" w:rsidRDefault="00F956E8" w:rsidP="00F956E8">
            <w:pPr>
              <w:jc w:val="center"/>
              <w:rPr>
                <w:color w:val="000000" w:themeColor="text1"/>
                <w:sz w:val="28"/>
                <w:szCs w:val="28"/>
              </w:rPr>
            </w:pPr>
            <w:r w:rsidRPr="000B2A94">
              <w:rPr>
                <w:rFonts w:hint="eastAsia"/>
                <w:color w:val="000000" w:themeColor="text1"/>
                <w:sz w:val="28"/>
                <w:szCs w:val="28"/>
              </w:rPr>
              <w:t>622（42%）</w:t>
            </w:r>
          </w:p>
        </w:tc>
      </w:tr>
      <w:tr w:rsidR="000B2A94" w:rsidRPr="000B2A94" w:rsidTr="00F956E8">
        <w:trPr>
          <w:trHeight w:val="20"/>
          <w:jc w:val="center"/>
        </w:trPr>
        <w:tc>
          <w:tcPr>
            <w:tcW w:w="2143" w:type="dxa"/>
            <w:vMerge/>
            <w:vAlign w:val="center"/>
          </w:tcPr>
          <w:p w:rsidR="00F956E8" w:rsidRPr="000B2A94" w:rsidRDefault="00F956E8" w:rsidP="00F956E8">
            <w:pPr>
              <w:jc w:val="center"/>
              <w:rPr>
                <w:color w:val="000000" w:themeColor="text1"/>
                <w:sz w:val="28"/>
                <w:szCs w:val="28"/>
              </w:rPr>
            </w:pPr>
          </w:p>
        </w:tc>
        <w:tc>
          <w:tcPr>
            <w:tcW w:w="1674" w:type="dxa"/>
            <w:shd w:val="clear" w:color="auto" w:fill="auto"/>
            <w:vAlign w:val="center"/>
          </w:tcPr>
          <w:p w:rsidR="00F956E8" w:rsidRPr="000B2A94" w:rsidRDefault="00F956E8" w:rsidP="00F956E8">
            <w:pPr>
              <w:jc w:val="center"/>
              <w:rPr>
                <w:color w:val="000000" w:themeColor="text1"/>
                <w:sz w:val="28"/>
                <w:szCs w:val="28"/>
              </w:rPr>
            </w:pPr>
            <w:r w:rsidRPr="000B2A94">
              <w:rPr>
                <w:rFonts w:hint="eastAsia"/>
                <w:color w:val="000000" w:themeColor="text1"/>
                <w:sz w:val="28"/>
                <w:szCs w:val="28"/>
              </w:rPr>
              <w:t>人數</w:t>
            </w:r>
          </w:p>
        </w:tc>
        <w:tc>
          <w:tcPr>
            <w:tcW w:w="1728" w:type="dxa"/>
            <w:shd w:val="clear" w:color="auto" w:fill="auto"/>
            <w:vAlign w:val="center"/>
          </w:tcPr>
          <w:p w:rsidR="00F956E8" w:rsidRPr="000B2A94" w:rsidRDefault="00F956E8" w:rsidP="00F956E8">
            <w:pPr>
              <w:jc w:val="center"/>
              <w:rPr>
                <w:color w:val="000000" w:themeColor="text1"/>
                <w:sz w:val="28"/>
                <w:szCs w:val="28"/>
              </w:rPr>
            </w:pPr>
            <w:r w:rsidRPr="000B2A94">
              <w:rPr>
                <w:rFonts w:hint="eastAsia"/>
                <w:color w:val="000000" w:themeColor="text1"/>
                <w:sz w:val="28"/>
                <w:szCs w:val="28"/>
              </w:rPr>
              <w:t>8</w:t>
            </w:r>
          </w:p>
        </w:tc>
        <w:tc>
          <w:tcPr>
            <w:tcW w:w="1728" w:type="dxa"/>
            <w:shd w:val="clear" w:color="auto" w:fill="auto"/>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8</w:t>
            </w:r>
          </w:p>
        </w:tc>
        <w:tc>
          <w:tcPr>
            <w:tcW w:w="1787" w:type="dxa"/>
            <w:shd w:val="clear" w:color="auto" w:fill="auto"/>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8</w:t>
            </w:r>
          </w:p>
        </w:tc>
      </w:tr>
      <w:tr w:rsidR="000B2A94" w:rsidRPr="000B2A94" w:rsidTr="00F956E8">
        <w:trPr>
          <w:trHeight w:val="20"/>
          <w:jc w:val="center"/>
        </w:trPr>
        <w:tc>
          <w:tcPr>
            <w:tcW w:w="2143" w:type="dxa"/>
            <w:vMerge w:val="restart"/>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地檢署</w:t>
            </w:r>
          </w:p>
          <w:p w:rsidR="00F956E8" w:rsidRPr="000B2A94" w:rsidRDefault="00F956E8" w:rsidP="00F956E8">
            <w:pPr>
              <w:jc w:val="center"/>
              <w:rPr>
                <w:color w:val="000000" w:themeColor="text1"/>
                <w:sz w:val="28"/>
                <w:szCs w:val="28"/>
              </w:rPr>
            </w:pPr>
            <w:r w:rsidRPr="000B2A94">
              <w:rPr>
                <w:color w:val="000000" w:themeColor="text1"/>
                <w:sz w:val="28"/>
                <w:szCs w:val="28"/>
              </w:rPr>
              <w:t>公職法醫師</w:t>
            </w:r>
          </w:p>
          <w:p w:rsidR="00F956E8" w:rsidRPr="000B2A94" w:rsidRDefault="00F956E8" w:rsidP="00F956E8">
            <w:pPr>
              <w:jc w:val="center"/>
              <w:rPr>
                <w:color w:val="000000" w:themeColor="text1"/>
                <w:sz w:val="28"/>
                <w:szCs w:val="28"/>
              </w:rPr>
            </w:pPr>
            <w:r w:rsidRPr="000B2A94">
              <w:rPr>
                <w:color w:val="000000" w:themeColor="text1"/>
                <w:sz w:val="28"/>
                <w:szCs w:val="28"/>
              </w:rPr>
              <w:t>/榮譽、</w:t>
            </w:r>
            <w:r w:rsidRPr="000B2A94">
              <w:rPr>
                <w:rFonts w:hint="eastAsia"/>
                <w:color w:val="000000" w:themeColor="text1"/>
                <w:sz w:val="28"/>
                <w:szCs w:val="28"/>
              </w:rPr>
              <w:t>兼任</w:t>
            </w:r>
            <w:r w:rsidRPr="000B2A94">
              <w:rPr>
                <w:color w:val="000000" w:themeColor="text1"/>
                <w:sz w:val="28"/>
                <w:szCs w:val="28"/>
              </w:rPr>
              <w:t>法醫師</w:t>
            </w:r>
          </w:p>
        </w:tc>
        <w:tc>
          <w:tcPr>
            <w:tcW w:w="1674" w:type="dxa"/>
            <w:shd w:val="clear" w:color="auto" w:fill="auto"/>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解</w:t>
            </w:r>
            <w:r w:rsidRPr="000B2A94">
              <w:rPr>
                <w:rFonts w:hint="eastAsia"/>
                <w:color w:val="000000" w:themeColor="text1"/>
                <w:sz w:val="28"/>
                <w:szCs w:val="28"/>
              </w:rPr>
              <w:t>剖</w:t>
            </w:r>
            <w:r w:rsidRPr="000B2A94">
              <w:rPr>
                <w:color w:val="000000" w:themeColor="text1"/>
                <w:sz w:val="28"/>
                <w:szCs w:val="28"/>
              </w:rPr>
              <w:t>案件數</w:t>
            </w:r>
          </w:p>
        </w:tc>
        <w:tc>
          <w:tcPr>
            <w:tcW w:w="1728" w:type="dxa"/>
            <w:shd w:val="clear" w:color="auto" w:fill="auto"/>
            <w:vAlign w:val="center"/>
          </w:tcPr>
          <w:p w:rsidR="00F956E8" w:rsidRPr="000B2A94" w:rsidRDefault="00F956E8" w:rsidP="00F956E8">
            <w:pPr>
              <w:jc w:val="center"/>
              <w:rPr>
                <w:color w:val="000000" w:themeColor="text1"/>
                <w:sz w:val="28"/>
                <w:szCs w:val="28"/>
              </w:rPr>
            </w:pPr>
            <w:r w:rsidRPr="000B2A94">
              <w:rPr>
                <w:rFonts w:hint="eastAsia"/>
                <w:color w:val="000000" w:themeColor="text1"/>
                <w:sz w:val="28"/>
                <w:szCs w:val="28"/>
              </w:rPr>
              <w:t>118（5%）</w:t>
            </w:r>
          </w:p>
        </w:tc>
        <w:tc>
          <w:tcPr>
            <w:tcW w:w="1728" w:type="dxa"/>
            <w:shd w:val="clear" w:color="auto" w:fill="auto"/>
            <w:vAlign w:val="center"/>
          </w:tcPr>
          <w:p w:rsidR="00F956E8" w:rsidRPr="000B2A94" w:rsidRDefault="00F956E8" w:rsidP="00F956E8">
            <w:pPr>
              <w:jc w:val="center"/>
              <w:rPr>
                <w:color w:val="000000" w:themeColor="text1"/>
                <w:sz w:val="28"/>
                <w:szCs w:val="28"/>
              </w:rPr>
            </w:pPr>
            <w:r w:rsidRPr="000B2A94">
              <w:rPr>
                <w:rFonts w:hint="eastAsia"/>
                <w:color w:val="000000" w:themeColor="text1"/>
                <w:sz w:val="28"/>
                <w:szCs w:val="28"/>
              </w:rPr>
              <w:t>74（2%）</w:t>
            </w:r>
          </w:p>
        </w:tc>
        <w:tc>
          <w:tcPr>
            <w:tcW w:w="1787" w:type="dxa"/>
            <w:shd w:val="clear" w:color="auto" w:fill="auto"/>
            <w:vAlign w:val="center"/>
          </w:tcPr>
          <w:p w:rsidR="00F956E8" w:rsidRPr="000B2A94" w:rsidRDefault="00F956E8" w:rsidP="00F956E8">
            <w:pPr>
              <w:jc w:val="center"/>
              <w:rPr>
                <w:color w:val="000000" w:themeColor="text1"/>
                <w:sz w:val="28"/>
                <w:szCs w:val="28"/>
              </w:rPr>
            </w:pPr>
            <w:r w:rsidRPr="000B2A94">
              <w:rPr>
                <w:rFonts w:hint="eastAsia"/>
                <w:color w:val="000000" w:themeColor="text1"/>
                <w:sz w:val="28"/>
                <w:szCs w:val="28"/>
              </w:rPr>
              <w:t>126（8%）</w:t>
            </w:r>
          </w:p>
        </w:tc>
      </w:tr>
      <w:tr w:rsidR="000B2A94" w:rsidRPr="000B2A94" w:rsidTr="00F956E8">
        <w:trPr>
          <w:trHeight w:val="20"/>
          <w:jc w:val="center"/>
        </w:trPr>
        <w:tc>
          <w:tcPr>
            <w:tcW w:w="2143" w:type="dxa"/>
            <w:vMerge/>
            <w:vAlign w:val="center"/>
          </w:tcPr>
          <w:p w:rsidR="00F956E8" w:rsidRPr="000B2A94" w:rsidRDefault="00F956E8" w:rsidP="00F956E8">
            <w:pPr>
              <w:jc w:val="center"/>
              <w:rPr>
                <w:color w:val="000000" w:themeColor="text1"/>
                <w:sz w:val="28"/>
                <w:szCs w:val="28"/>
              </w:rPr>
            </w:pPr>
          </w:p>
        </w:tc>
        <w:tc>
          <w:tcPr>
            <w:tcW w:w="1674" w:type="dxa"/>
            <w:shd w:val="clear" w:color="auto" w:fill="auto"/>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人數</w:t>
            </w:r>
          </w:p>
        </w:tc>
        <w:tc>
          <w:tcPr>
            <w:tcW w:w="1728" w:type="dxa"/>
            <w:shd w:val="clear" w:color="auto" w:fill="auto"/>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26/</w:t>
            </w:r>
            <w:r w:rsidRPr="000B2A94">
              <w:rPr>
                <w:rFonts w:hint="eastAsia"/>
                <w:color w:val="000000" w:themeColor="text1"/>
                <w:sz w:val="28"/>
                <w:szCs w:val="28"/>
              </w:rPr>
              <w:t>96</w:t>
            </w:r>
          </w:p>
        </w:tc>
        <w:tc>
          <w:tcPr>
            <w:tcW w:w="1728" w:type="dxa"/>
            <w:shd w:val="clear" w:color="auto" w:fill="auto"/>
            <w:vAlign w:val="center"/>
          </w:tcPr>
          <w:p w:rsidR="00F956E8" w:rsidRPr="000B2A94" w:rsidRDefault="00F956E8" w:rsidP="00F956E8">
            <w:pPr>
              <w:jc w:val="center"/>
              <w:rPr>
                <w:color w:val="000000" w:themeColor="text1"/>
                <w:sz w:val="28"/>
                <w:szCs w:val="28"/>
              </w:rPr>
            </w:pPr>
            <w:r w:rsidRPr="000B2A94">
              <w:rPr>
                <w:rFonts w:hint="eastAsia"/>
                <w:color w:val="000000" w:themeColor="text1"/>
                <w:sz w:val="28"/>
                <w:szCs w:val="28"/>
              </w:rPr>
              <w:t>29/</w:t>
            </w:r>
            <w:r w:rsidRPr="000B2A94">
              <w:rPr>
                <w:color w:val="000000" w:themeColor="text1"/>
                <w:sz w:val="28"/>
                <w:szCs w:val="28"/>
              </w:rPr>
              <w:t>97</w:t>
            </w:r>
          </w:p>
        </w:tc>
        <w:tc>
          <w:tcPr>
            <w:tcW w:w="1787" w:type="dxa"/>
            <w:shd w:val="clear" w:color="auto" w:fill="auto"/>
            <w:vAlign w:val="center"/>
          </w:tcPr>
          <w:p w:rsidR="00F956E8" w:rsidRPr="000B2A94" w:rsidRDefault="00F956E8" w:rsidP="00F956E8">
            <w:pPr>
              <w:jc w:val="center"/>
              <w:rPr>
                <w:color w:val="000000" w:themeColor="text1"/>
                <w:sz w:val="28"/>
                <w:szCs w:val="28"/>
              </w:rPr>
            </w:pPr>
            <w:r w:rsidRPr="000B2A94">
              <w:rPr>
                <w:rFonts w:hint="eastAsia"/>
                <w:color w:val="000000" w:themeColor="text1"/>
                <w:sz w:val="28"/>
                <w:szCs w:val="28"/>
              </w:rPr>
              <w:t>2</w:t>
            </w:r>
            <w:r w:rsidRPr="000B2A94">
              <w:rPr>
                <w:color w:val="000000" w:themeColor="text1"/>
                <w:sz w:val="28"/>
                <w:szCs w:val="28"/>
              </w:rPr>
              <w:t>8</w:t>
            </w:r>
            <w:r w:rsidRPr="000B2A94">
              <w:rPr>
                <w:rFonts w:hint="eastAsia"/>
                <w:color w:val="000000" w:themeColor="text1"/>
                <w:sz w:val="28"/>
                <w:szCs w:val="28"/>
              </w:rPr>
              <w:t>//99</w:t>
            </w:r>
          </w:p>
        </w:tc>
      </w:tr>
      <w:tr w:rsidR="000B2A94" w:rsidRPr="000B2A94" w:rsidTr="00F956E8">
        <w:trPr>
          <w:trHeight w:val="20"/>
          <w:jc w:val="center"/>
        </w:trPr>
        <w:tc>
          <w:tcPr>
            <w:tcW w:w="3817" w:type="dxa"/>
            <w:gridSpan w:val="2"/>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解</w:t>
            </w:r>
            <w:r w:rsidRPr="000B2A94">
              <w:rPr>
                <w:rFonts w:hint="eastAsia"/>
                <w:color w:val="000000" w:themeColor="text1"/>
                <w:sz w:val="28"/>
                <w:szCs w:val="28"/>
              </w:rPr>
              <w:t>剖</w:t>
            </w:r>
            <w:r w:rsidRPr="000B2A94">
              <w:rPr>
                <w:color w:val="000000" w:themeColor="text1"/>
                <w:sz w:val="28"/>
                <w:szCs w:val="28"/>
              </w:rPr>
              <w:t>件數合計</w:t>
            </w:r>
          </w:p>
        </w:tc>
        <w:tc>
          <w:tcPr>
            <w:tcW w:w="1728" w:type="dxa"/>
            <w:shd w:val="clear" w:color="auto" w:fill="auto"/>
            <w:vAlign w:val="center"/>
          </w:tcPr>
          <w:p w:rsidR="00F956E8" w:rsidRPr="000B2A94" w:rsidRDefault="00F956E8" w:rsidP="00F956E8">
            <w:pPr>
              <w:jc w:val="center"/>
              <w:rPr>
                <w:color w:val="000000" w:themeColor="text1"/>
                <w:sz w:val="28"/>
                <w:szCs w:val="28"/>
              </w:rPr>
            </w:pPr>
            <w:r w:rsidRPr="000B2A94">
              <w:rPr>
                <w:rFonts w:hint="eastAsia"/>
                <w:color w:val="000000" w:themeColor="text1"/>
                <w:sz w:val="28"/>
                <w:szCs w:val="28"/>
              </w:rPr>
              <w:t>2301</w:t>
            </w:r>
          </w:p>
        </w:tc>
        <w:tc>
          <w:tcPr>
            <w:tcW w:w="1728" w:type="dxa"/>
            <w:shd w:val="clear" w:color="auto" w:fill="auto"/>
            <w:vAlign w:val="center"/>
          </w:tcPr>
          <w:p w:rsidR="00F956E8" w:rsidRPr="000B2A94" w:rsidRDefault="00F956E8" w:rsidP="00F956E8">
            <w:pPr>
              <w:jc w:val="center"/>
              <w:rPr>
                <w:color w:val="000000" w:themeColor="text1"/>
                <w:sz w:val="28"/>
                <w:szCs w:val="28"/>
              </w:rPr>
            </w:pPr>
            <w:r w:rsidRPr="000B2A94">
              <w:rPr>
                <w:rFonts w:hint="eastAsia"/>
                <w:color w:val="000000" w:themeColor="text1"/>
                <w:sz w:val="28"/>
                <w:szCs w:val="28"/>
              </w:rPr>
              <w:t>2261</w:t>
            </w:r>
          </w:p>
        </w:tc>
        <w:tc>
          <w:tcPr>
            <w:tcW w:w="1787" w:type="dxa"/>
            <w:shd w:val="clear" w:color="auto" w:fill="auto"/>
            <w:vAlign w:val="center"/>
          </w:tcPr>
          <w:p w:rsidR="00F956E8" w:rsidRPr="000B2A94" w:rsidRDefault="00F956E8" w:rsidP="00F956E8">
            <w:pPr>
              <w:jc w:val="center"/>
              <w:rPr>
                <w:color w:val="000000" w:themeColor="text1"/>
                <w:sz w:val="28"/>
                <w:szCs w:val="28"/>
              </w:rPr>
            </w:pPr>
            <w:r w:rsidRPr="000B2A94">
              <w:rPr>
                <w:rFonts w:hint="eastAsia"/>
                <w:color w:val="000000" w:themeColor="text1"/>
                <w:sz w:val="28"/>
                <w:szCs w:val="28"/>
              </w:rPr>
              <w:t>1487</w:t>
            </w:r>
          </w:p>
        </w:tc>
      </w:tr>
    </w:tbl>
    <w:p w:rsidR="00F956E8" w:rsidRPr="000B2A94" w:rsidRDefault="00F956E8" w:rsidP="00F956E8">
      <w:pPr>
        <w:rPr>
          <w:color w:val="000000" w:themeColor="text1"/>
          <w:sz w:val="24"/>
          <w:szCs w:val="24"/>
        </w:rPr>
      </w:pPr>
      <w:r w:rsidRPr="000B2A94">
        <w:rPr>
          <w:color w:val="000000" w:themeColor="text1"/>
          <w:sz w:val="24"/>
          <w:szCs w:val="24"/>
        </w:rPr>
        <w:t>註：地檢署公職法醫師</w:t>
      </w:r>
      <w:r w:rsidRPr="000B2A94">
        <w:rPr>
          <w:rFonts w:hint="eastAsia"/>
          <w:color w:val="000000" w:themeColor="text1"/>
          <w:sz w:val="24"/>
          <w:szCs w:val="24"/>
        </w:rPr>
        <w:t>/榮譽、兼任法醫師統計係由臺灣高等檢察署提供</w:t>
      </w:r>
    </w:p>
    <w:p w:rsidR="00F956E8" w:rsidRPr="000B2A94" w:rsidRDefault="00F956E8" w:rsidP="00F956E8">
      <w:pPr>
        <w:rPr>
          <w:color w:val="000000" w:themeColor="text1"/>
          <w:sz w:val="24"/>
          <w:szCs w:val="24"/>
        </w:rPr>
      </w:pPr>
    </w:p>
    <w:p w:rsidR="00F956E8" w:rsidRPr="000B2A94" w:rsidRDefault="00F956E8" w:rsidP="00A15D6E">
      <w:pPr>
        <w:pStyle w:val="a4"/>
        <w:jc w:val="center"/>
        <w:rPr>
          <w:b/>
          <w:color w:val="000000" w:themeColor="text1"/>
        </w:rPr>
      </w:pPr>
      <w:bookmarkStart w:id="401" w:name="_Toc27412335"/>
      <w:r w:rsidRPr="000B2A94">
        <w:rPr>
          <w:rFonts w:eastAsia="新細明體"/>
          <w:b/>
          <w:color w:val="000000" w:themeColor="text1"/>
          <w:lang w:bidi="th-TH"/>
        </w:rPr>
        <w:t>105</w:t>
      </w:r>
      <w:r w:rsidRPr="000B2A94">
        <w:rPr>
          <w:rFonts w:hAnsi="標楷體" w:hint="eastAsia"/>
          <w:b/>
          <w:color w:val="000000" w:themeColor="text1"/>
          <w:lang w:bidi="th-TH"/>
        </w:rPr>
        <w:t>-</w:t>
      </w:r>
      <w:r w:rsidRPr="000B2A94">
        <w:rPr>
          <w:rFonts w:eastAsia="新細明體"/>
          <w:b/>
          <w:color w:val="000000" w:themeColor="text1"/>
          <w:lang w:bidi="th-TH"/>
        </w:rPr>
        <w:t>107</w:t>
      </w:r>
      <w:r w:rsidRPr="000B2A94">
        <w:rPr>
          <w:rFonts w:hAnsi="標楷體" w:hint="eastAsia"/>
          <w:b/>
          <w:color w:val="000000" w:themeColor="text1"/>
          <w:lang w:bidi="th-TH"/>
        </w:rPr>
        <w:t>年度法醫所編制內、外醫師支領解剖鑑定費總額</w:t>
      </w:r>
      <w:bookmarkEnd w:id="401"/>
    </w:p>
    <w:p w:rsidR="00F956E8" w:rsidRPr="000B2A94" w:rsidRDefault="00A15D6E" w:rsidP="00F956E8">
      <w:pPr>
        <w:jc w:val="right"/>
        <w:rPr>
          <w:color w:val="000000" w:themeColor="text1"/>
          <w:sz w:val="24"/>
          <w:szCs w:val="24"/>
        </w:rPr>
      </w:pPr>
      <w:r w:rsidRPr="000B2A94">
        <w:rPr>
          <w:rFonts w:hAnsi="標楷體" w:hint="eastAsia"/>
          <w:color w:val="000000" w:themeColor="text1"/>
          <w:kern w:val="0"/>
          <w:sz w:val="22"/>
          <w:szCs w:val="22"/>
          <w:lang w:bidi="th-TH"/>
        </w:rPr>
        <w:t>單位：新台幣：元</w:t>
      </w:r>
    </w:p>
    <w:tbl>
      <w:tblPr>
        <w:tblW w:w="8080"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4"/>
        <w:gridCol w:w="1985"/>
        <w:gridCol w:w="2409"/>
        <w:gridCol w:w="2552"/>
      </w:tblGrid>
      <w:tr w:rsidR="000B2A94" w:rsidRPr="000B2A94" w:rsidTr="00F956E8">
        <w:trPr>
          <w:trHeight w:val="567"/>
        </w:trPr>
        <w:tc>
          <w:tcPr>
            <w:tcW w:w="1134" w:type="dxa"/>
            <w:shd w:val="clear" w:color="auto" w:fill="auto"/>
            <w:noWrap/>
            <w:vAlign w:val="center"/>
            <w:hideMark/>
          </w:tcPr>
          <w:p w:rsidR="00F956E8" w:rsidRPr="000B2A94" w:rsidRDefault="00F956E8" w:rsidP="00F956E8">
            <w:pPr>
              <w:jc w:val="center"/>
              <w:rPr>
                <w:rFonts w:hAnsi="標楷體" w:cs="新細明體"/>
                <w:color w:val="000000" w:themeColor="text1"/>
                <w:kern w:val="0"/>
                <w:sz w:val="28"/>
                <w:szCs w:val="28"/>
                <w:lang w:bidi="th-TH"/>
              </w:rPr>
            </w:pPr>
            <w:r w:rsidRPr="000B2A94">
              <w:rPr>
                <w:rFonts w:hAnsi="標楷體" w:cs="新細明體" w:hint="eastAsia"/>
                <w:color w:val="000000" w:themeColor="text1"/>
                <w:kern w:val="0"/>
                <w:sz w:val="28"/>
                <w:szCs w:val="28"/>
                <w:lang w:bidi="th-TH"/>
              </w:rPr>
              <w:t>年　度</w:t>
            </w:r>
          </w:p>
        </w:tc>
        <w:tc>
          <w:tcPr>
            <w:tcW w:w="1985" w:type="dxa"/>
            <w:shd w:val="clear" w:color="auto" w:fill="auto"/>
            <w:noWrap/>
            <w:vAlign w:val="center"/>
            <w:hideMark/>
          </w:tcPr>
          <w:p w:rsidR="00F956E8" w:rsidRPr="000B2A94" w:rsidRDefault="00F956E8" w:rsidP="00F956E8">
            <w:pPr>
              <w:jc w:val="center"/>
              <w:rPr>
                <w:rFonts w:eastAsia="新細明體"/>
                <w:color w:val="000000" w:themeColor="text1"/>
                <w:kern w:val="0"/>
                <w:sz w:val="28"/>
                <w:szCs w:val="28"/>
                <w:lang w:bidi="th-TH"/>
              </w:rPr>
            </w:pPr>
            <w:r w:rsidRPr="000B2A94">
              <w:rPr>
                <w:rFonts w:hAnsi="標楷體" w:hint="eastAsia"/>
                <w:color w:val="000000" w:themeColor="text1"/>
                <w:kern w:val="0"/>
                <w:sz w:val="28"/>
                <w:szCs w:val="28"/>
                <w:lang w:bidi="th-TH"/>
              </w:rPr>
              <w:t>兼任研究員</w:t>
            </w:r>
          </w:p>
        </w:tc>
        <w:tc>
          <w:tcPr>
            <w:tcW w:w="2409" w:type="dxa"/>
            <w:shd w:val="clear" w:color="auto" w:fill="auto"/>
            <w:noWrap/>
            <w:vAlign w:val="center"/>
            <w:hideMark/>
          </w:tcPr>
          <w:p w:rsidR="00F956E8" w:rsidRPr="000B2A94" w:rsidRDefault="00F956E8" w:rsidP="00F956E8">
            <w:pPr>
              <w:jc w:val="center"/>
              <w:rPr>
                <w:rFonts w:eastAsia="新細明體"/>
                <w:color w:val="000000" w:themeColor="text1"/>
                <w:kern w:val="0"/>
                <w:sz w:val="28"/>
                <w:szCs w:val="28"/>
                <w:lang w:bidi="th-TH"/>
              </w:rPr>
            </w:pPr>
            <w:r w:rsidRPr="000B2A94">
              <w:rPr>
                <w:rFonts w:hAnsi="標楷體" w:hint="eastAsia"/>
                <w:color w:val="000000" w:themeColor="text1"/>
                <w:kern w:val="0"/>
                <w:sz w:val="28"/>
                <w:szCs w:val="28"/>
                <w:lang w:bidi="th-TH"/>
              </w:rPr>
              <w:t>編制內醫師</w:t>
            </w:r>
          </w:p>
        </w:tc>
        <w:tc>
          <w:tcPr>
            <w:tcW w:w="2552" w:type="dxa"/>
            <w:shd w:val="clear" w:color="auto" w:fill="auto"/>
            <w:noWrap/>
            <w:vAlign w:val="center"/>
            <w:hideMark/>
          </w:tcPr>
          <w:p w:rsidR="00F956E8" w:rsidRPr="000B2A94" w:rsidRDefault="00F956E8" w:rsidP="00F956E8">
            <w:pPr>
              <w:jc w:val="center"/>
              <w:rPr>
                <w:rFonts w:eastAsia="新細明體"/>
                <w:color w:val="000000" w:themeColor="text1"/>
                <w:kern w:val="0"/>
                <w:sz w:val="28"/>
                <w:szCs w:val="28"/>
                <w:lang w:bidi="th-TH"/>
              </w:rPr>
            </w:pPr>
            <w:r w:rsidRPr="000B2A94">
              <w:rPr>
                <w:rFonts w:hAnsi="標楷體" w:hint="eastAsia"/>
                <w:color w:val="000000" w:themeColor="text1"/>
                <w:kern w:val="0"/>
                <w:sz w:val="28"/>
                <w:szCs w:val="28"/>
                <w:lang w:bidi="th-TH"/>
              </w:rPr>
              <w:t>總</w:t>
            </w:r>
            <w:r w:rsidRPr="000B2A94">
              <w:rPr>
                <w:rFonts w:eastAsia="新細明體"/>
                <w:color w:val="000000" w:themeColor="text1"/>
                <w:kern w:val="0"/>
                <w:sz w:val="28"/>
                <w:szCs w:val="28"/>
                <w:lang w:bidi="th-TH"/>
              </w:rPr>
              <w:t xml:space="preserve">      </w:t>
            </w:r>
            <w:r w:rsidRPr="000B2A94">
              <w:rPr>
                <w:rFonts w:hAnsi="標楷體" w:hint="eastAsia"/>
                <w:color w:val="000000" w:themeColor="text1"/>
                <w:kern w:val="0"/>
                <w:sz w:val="28"/>
                <w:szCs w:val="28"/>
                <w:lang w:bidi="th-TH"/>
              </w:rPr>
              <w:t>計</w:t>
            </w:r>
          </w:p>
        </w:tc>
      </w:tr>
      <w:tr w:rsidR="000B2A94" w:rsidRPr="000B2A94" w:rsidTr="00F956E8">
        <w:trPr>
          <w:trHeight w:val="567"/>
        </w:trPr>
        <w:tc>
          <w:tcPr>
            <w:tcW w:w="1134" w:type="dxa"/>
            <w:shd w:val="clear" w:color="auto" w:fill="auto"/>
            <w:noWrap/>
            <w:vAlign w:val="center"/>
            <w:hideMark/>
          </w:tcPr>
          <w:p w:rsidR="00F956E8" w:rsidRPr="000B2A94" w:rsidRDefault="00F956E8" w:rsidP="00F956E8">
            <w:pPr>
              <w:jc w:val="center"/>
              <w:rPr>
                <w:rFonts w:eastAsia="新細明體"/>
                <w:color w:val="000000" w:themeColor="text1"/>
                <w:kern w:val="0"/>
                <w:sz w:val="28"/>
                <w:szCs w:val="28"/>
                <w:lang w:bidi="th-TH"/>
              </w:rPr>
            </w:pPr>
            <w:r w:rsidRPr="000B2A94">
              <w:rPr>
                <w:rFonts w:eastAsia="新細明體"/>
                <w:color w:val="000000" w:themeColor="text1"/>
                <w:kern w:val="0"/>
                <w:sz w:val="28"/>
                <w:szCs w:val="28"/>
                <w:lang w:bidi="th-TH"/>
              </w:rPr>
              <w:t>105</w:t>
            </w:r>
          </w:p>
        </w:tc>
        <w:tc>
          <w:tcPr>
            <w:tcW w:w="1985" w:type="dxa"/>
            <w:shd w:val="clear" w:color="auto" w:fill="auto"/>
            <w:noWrap/>
            <w:vAlign w:val="center"/>
            <w:hideMark/>
          </w:tcPr>
          <w:p w:rsidR="00F956E8" w:rsidRPr="000B2A94" w:rsidRDefault="00F956E8" w:rsidP="00F956E8">
            <w:pPr>
              <w:jc w:val="center"/>
              <w:rPr>
                <w:rFonts w:eastAsia="新細明體"/>
                <w:color w:val="000000" w:themeColor="text1"/>
                <w:kern w:val="0"/>
                <w:sz w:val="28"/>
                <w:szCs w:val="28"/>
                <w:lang w:bidi="th-TH"/>
              </w:rPr>
            </w:pPr>
            <w:r w:rsidRPr="000B2A94">
              <w:rPr>
                <w:rFonts w:eastAsia="新細明體"/>
                <w:color w:val="000000" w:themeColor="text1"/>
                <w:kern w:val="0"/>
                <w:sz w:val="28"/>
                <w:szCs w:val="28"/>
                <w:lang w:bidi="th-TH"/>
              </w:rPr>
              <w:t>13,816,700</w:t>
            </w:r>
          </w:p>
        </w:tc>
        <w:tc>
          <w:tcPr>
            <w:tcW w:w="2409" w:type="dxa"/>
            <w:shd w:val="clear" w:color="auto" w:fill="auto"/>
            <w:noWrap/>
            <w:vAlign w:val="center"/>
            <w:hideMark/>
          </w:tcPr>
          <w:p w:rsidR="00F956E8" w:rsidRPr="000B2A94" w:rsidRDefault="00F956E8" w:rsidP="00F956E8">
            <w:pPr>
              <w:jc w:val="center"/>
              <w:rPr>
                <w:rFonts w:eastAsia="新細明體"/>
                <w:color w:val="000000" w:themeColor="text1"/>
                <w:kern w:val="0"/>
                <w:sz w:val="28"/>
                <w:szCs w:val="28"/>
                <w:lang w:bidi="th-TH"/>
              </w:rPr>
            </w:pPr>
            <w:r w:rsidRPr="000B2A94">
              <w:rPr>
                <w:rFonts w:eastAsia="新細明體"/>
                <w:color w:val="000000" w:themeColor="text1"/>
                <w:kern w:val="0"/>
                <w:sz w:val="28"/>
                <w:szCs w:val="28"/>
                <w:lang w:bidi="th-TH"/>
              </w:rPr>
              <w:t>7,292,000</w:t>
            </w:r>
          </w:p>
        </w:tc>
        <w:tc>
          <w:tcPr>
            <w:tcW w:w="2552" w:type="dxa"/>
            <w:shd w:val="clear" w:color="auto" w:fill="auto"/>
            <w:noWrap/>
            <w:vAlign w:val="center"/>
            <w:hideMark/>
          </w:tcPr>
          <w:p w:rsidR="00F956E8" w:rsidRPr="000B2A94" w:rsidRDefault="00F956E8" w:rsidP="00F956E8">
            <w:pPr>
              <w:jc w:val="center"/>
              <w:rPr>
                <w:rFonts w:eastAsia="新細明體"/>
                <w:color w:val="000000" w:themeColor="text1"/>
                <w:kern w:val="0"/>
                <w:sz w:val="28"/>
                <w:szCs w:val="28"/>
                <w:lang w:bidi="th-TH"/>
              </w:rPr>
            </w:pPr>
            <w:r w:rsidRPr="000B2A94">
              <w:rPr>
                <w:rFonts w:eastAsia="新細明體"/>
                <w:color w:val="000000" w:themeColor="text1"/>
                <w:kern w:val="0"/>
                <w:sz w:val="28"/>
                <w:szCs w:val="28"/>
                <w:lang w:bidi="th-TH"/>
              </w:rPr>
              <w:t>21,108,700</w:t>
            </w:r>
          </w:p>
        </w:tc>
      </w:tr>
      <w:tr w:rsidR="000B2A94" w:rsidRPr="000B2A94" w:rsidTr="00F956E8">
        <w:trPr>
          <w:trHeight w:val="567"/>
        </w:trPr>
        <w:tc>
          <w:tcPr>
            <w:tcW w:w="1134" w:type="dxa"/>
            <w:shd w:val="clear" w:color="auto" w:fill="auto"/>
            <w:noWrap/>
            <w:vAlign w:val="center"/>
            <w:hideMark/>
          </w:tcPr>
          <w:p w:rsidR="00F956E8" w:rsidRPr="000B2A94" w:rsidRDefault="00F956E8" w:rsidP="00F956E8">
            <w:pPr>
              <w:jc w:val="center"/>
              <w:rPr>
                <w:rFonts w:eastAsia="新細明體"/>
                <w:color w:val="000000" w:themeColor="text1"/>
                <w:kern w:val="0"/>
                <w:sz w:val="28"/>
                <w:szCs w:val="28"/>
                <w:lang w:bidi="th-TH"/>
              </w:rPr>
            </w:pPr>
            <w:r w:rsidRPr="000B2A94">
              <w:rPr>
                <w:rFonts w:eastAsia="新細明體"/>
                <w:color w:val="000000" w:themeColor="text1"/>
                <w:kern w:val="0"/>
                <w:sz w:val="28"/>
                <w:szCs w:val="28"/>
                <w:lang w:bidi="th-TH"/>
              </w:rPr>
              <w:t>106</w:t>
            </w:r>
          </w:p>
        </w:tc>
        <w:tc>
          <w:tcPr>
            <w:tcW w:w="1985" w:type="dxa"/>
            <w:shd w:val="clear" w:color="auto" w:fill="auto"/>
            <w:noWrap/>
            <w:vAlign w:val="center"/>
            <w:hideMark/>
          </w:tcPr>
          <w:p w:rsidR="00F956E8" w:rsidRPr="000B2A94" w:rsidRDefault="00F956E8" w:rsidP="00F956E8">
            <w:pPr>
              <w:jc w:val="center"/>
              <w:rPr>
                <w:rFonts w:eastAsia="新細明體"/>
                <w:color w:val="000000" w:themeColor="text1"/>
                <w:kern w:val="0"/>
                <w:sz w:val="28"/>
                <w:szCs w:val="28"/>
                <w:lang w:bidi="th-TH"/>
              </w:rPr>
            </w:pPr>
            <w:r w:rsidRPr="000B2A94">
              <w:rPr>
                <w:rFonts w:eastAsia="新細明體"/>
                <w:color w:val="000000" w:themeColor="text1"/>
                <w:kern w:val="0"/>
                <w:sz w:val="28"/>
                <w:szCs w:val="28"/>
                <w:lang w:bidi="th-TH"/>
              </w:rPr>
              <w:t>15,037,300</w:t>
            </w:r>
          </w:p>
        </w:tc>
        <w:tc>
          <w:tcPr>
            <w:tcW w:w="2409" w:type="dxa"/>
            <w:shd w:val="clear" w:color="auto" w:fill="auto"/>
            <w:noWrap/>
            <w:vAlign w:val="center"/>
            <w:hideMark/>
          </w:tcPr>
          <w:p w:rsidR="00F956E8" w:rsidRPr="000B2A94" w:rsidRDefault="00F956E8" w:rsidP="00F956E8">
            <w:pPr>
              <w:jc w:val="center"/>
              <w:rPr>
                <w:rFonts w:eastAsia="新細明體"/>
                <w:color w:val="000000" w:themeColor="text1"/>
                <w:kern w:val="0"/>
                <w:sz w:val="28"/>
                <w:szCs w:val="28"/>
                <w:lang w:bidi="th-TH"/>
              </w:rPr>
            </w:pPr>
            <w:r w:rsidRPr="000B2A94">
              <w:rPr>
                <w:rFonts w:eastAsia="新細明體"/>
                <w:color w:val="000000" w:themeColor="text1"/>
                <w:kern w:val="0"/>
                <w:sz w:val="28"/>
                <w:szCs w:val="28"/>
                <w:lang w:bidi="th-TH"/>
              </w:rPr>
              <w:t>5,185,800</w:t>
            </w:r>
          </w:p>
        </w:tc>
        <w:tc>
          <w:tcPr>
            <w:tcW w:w="2552" w:type="dxa"/>
            <w:shd w:val="clear" w:color="auto" w:fill="auto"/>
            <w:noWrap/>
            <w:vAlign w:val="center"/>
            <w:hideMark/>
          </w:tcPr>
          <w:p w:rsidR="00F956E8" w:rsidRPr="000B2A94" w:rsidRDefault="00F956E8" w:rsidP="00F956E8">
            <w:pPr>
              <w:jc w:val="center"/>
              <w:rPr>
                <w:rFonts w:eastAsia="新細明體"/>
                <w:color w:val="000000" w:themeColor="text1"/>
                <w:kern w:val="0"/>
                <w:sz w:val="28"/>
                <w:szCs w:val="28"/>
                <w:lang w:bidi="th-TH"/>
              </w:rPr>
            </w:pPr>
            <w:r w:rsidRPr="000B2A94">
              <w:rPr>
                <w:rFonts w:eastAsia="新細明體"/>
                <w:color w:val="000000" w:themeColor="text1"/>
                <w:kern w:val="0"/>
                <w:sz w:val="28"/>
                <w:szCs w:val="28"/>
                <w:lang w:bidi="th-TH"/>
              </w:rPr>
              <w:t>20,223,100</w:t>
            </w:r>
          </w:p>
        </w:tc>
      </w:tr>
      <w:tr w:rsidR="000B2A94" w:rsidRPr="000B2A94" w:rsidTr="00F956E8">
        <w:trPr>
          <w:trHeight w:val="567"/>
        </w:trPr>
        <w:tc>
          <w:tcPr>
            <w:tcW w:w="1134" w:type="dxa"/>
            <w:shd w:val="clear" w:color="auto" w:fill="auto"/>
            <w:noWrap/>
            <w:vAlign w:val="center"/>
            <w:hideMark/>
          </w:tcPr>
          <w:p w:rsidR="00F956E8" w:rsidRPr="000B2A94" w:rsidRDefault="00F956E8" w:rsidP="00F956E8">
            <w:pPr>
              <w:jc w:val="center"/>
              <w:rPr>
                <w:rFonts w:eastAsia="新細明體"/>
                <w:color w:val="000000" w:themeColor="text1"/>
                <w:kern w:val="0"/>
                <w:sz w:val="28"/>
                <w:szCs w:val="28"/>
                <w:lang w:bidi="th-TH"/>
              </w:rPr>
            </w:pPr>
            <w:r w:rsidRPr="000B2A94">
              <w:rPr>
                <w:rFonts w:eastAsia="新細明體"/>
                <w:color w:val="000000" w:themeColor="text1"/>
                <w:kern w:val="0"/>
                <w:sz w:val="28"/>
                <w:szCs w:val="28"/>
                <w:lang w:bidi="th-TH"/>
              </w:rPr>
              <w:t>107</w:t>
            </w:r>
          </w:p>
        </w:tc>
        <w:tc>
          <w:tcPr>
            <w:tcW w:w="1985" w:type="dxa"/>
            <w:shd w:val="clear" w:color="auto" w:fill="auto"/>
            <w:noWrap/>
            <w:vAlign w:val="center"/>
            <w:hideMark/>
          </w:tcPr>
          <w:p w:rsidR="00F956E8" w:rsidRPr="000B2A94" w:rsidRDefault="00F956E8" w:rsidP="00F956E8">
            <w:pPr>
              <w:jc w:val="center"/>
              <w:rPr>
                <w:rFonts w:eastAsia="新細明體"/>
                <w:color w:val="000000" w:themeColor="text1"/>
                <w:kern w:val="0"/>
                <w:sz w:val="28"/>
                <w:szCs w:val="28"/>
                <w:lang w:bidi="th-TH"/>
              </w:rPr>
            </w:pPr>
            <w:r w:rsidRPr="000B2A94">
              <w:rPr>
                <w:rFonts w:eastAsia="新細明體"/>
                <w:color w:val="000000" w:themeColor="text1"/>
                <w:kern w:val="0"/>
                <w:sz w:val="28"/>
                <w:szCs w:val="28"/>
                <w:lang w:bidi="th-TH"/>
              </w:rPr>
              <w:t>13,035,900</w:t>
            </w:r>
          </w:p>
        </w:tc>
        <w:tc>
          <w:tcPr>
            <w:tcW w:w="2409" w:type="dxa"/>
            <w:shd w:val="clear" w:color="auto" w:fill="auto"/>
            <w:noWrap/>
            <w:vAlign w:val="center"/>
            <w:hideMark/>
          </w:tcPr>
          <w:p w:rsidR="00F956E8" w:rsidRPr="000B2A94" w:rsidRDefault="00F956E8" w:rsidP="00F956E8">
            <w:pPr>
              <w:jc w:val="center"/>
              <w:rPr>
                <w:rFonts w:eastAsia="新細明體"/>
                <w:color w:val="000000" w:themeColor="text1"/>
                <w:kern w:val="0"/>
                <w:sz w:val="28"/>
                <w:szCs w:val="28"/>
                <w:lang w:bidi="th-TH"/>
              </w:rPr>
            </w:pPr>
            <w:r w:rsidRPr="000B2A94">
              <w:rPr>
                <w:rFonts w:eastAsia="新細明體"/>
                <w:color w:val="000000" w:themeColor="text1"/>
                <w:kern w:val="0"/>
                <w:sz w:val="28"/>
                <w:szCs w:val="28"/>
                <w:lang w:bidi="th-TH"/>
              </w:rPr>
              <w:t>3,379,700</w:t>
            </w:r>
          </w:p>
        </w:tc>
        <w:tc>
          <w:tcPr>
            <w:tcW w:w="2552" w:type="dxa"/>
            <w:shd w:val="clear" w:color="auto" w:fill="auto"/>
            <w:noWrap/>
            <w:vAlign w:val="center"/>
            <w:hideMark/>
          </w:tcPr>
          <w:p w:rsidR="00F956E8" w:rsidRPr="000B2A94" w:rsidRDefault="00F956E8" w:rsidP="00F956E8">
            <w:pPr>
              <w:keepNext/>
              <w:jc w:val="center"/>
              <w:rPr>
                <w:rFonts w:eastAsia="新細明體"/>
                <w:color w:val="000000" w:themeColor="text1"/>
                <w:kern w:val="0"/>
                <w:sz w:val="28"/>
                <w:szCs w:val="28"/>
                <w:lang w:bidi="th-TH"/>
              </w:rPr>
            </w:pPr>
            <w:r w:rsidRPr="000B2A94">
              <w:rPr>
                <w:rFonts w:eastAsia="新細明體"/>
                <w:color w:val="000000" w:themeColor="text1"/>
                <w:kern w:val="0"/>
                <w:sz w:val="28"/>
                <w:szCs w:val="28"/>
                <w:lang w:bidi="th-TH"/>
              </w:rPr>
              <w:t>16,415,600</w:t>
            </w:r>
          </w:p>
        </w:tc>
      </w:tr>
    </w:tbl>
    <w:p w:rsidR="00F956E8" w:rsidRPr="000B2A94" w:rsidRDefault="00F956E8" w:rsidP="00F956E8">
      <w:pPr>
        <w:spacing w:line="240" w:lineRule="exact"/>
        <w:rPr>
          <w:color w:val="000000" w:themeColor="text1"/>
          <w:sz w:val="24"/>
          <w:szCs w:val="24"/>
        </w:rPr>
      </w:pPr>
      <w:r w:rsidRPr="000B2A94">
        <w:rPr>
          <w:rFonts w:hint="eastAsia"/>
          <w:color w:val="000000" w:themeColor="text1"/>
          <w:sz w:val="24"/>
          <w:szCs w:val="24"/>
        </w:rPr>
        <w:t>註：解剖鑑定費係按件計酬，各類法醫支給依據及標準分別為：</w:t>
      </w:r>
    </w:p>
    <w:p w:rsidR="00F956E8" w:rsidRPr="000B2A94" w:rsidRDefault="00F956E8" w:rsidP="00F956E8">
      <w:pPr>
        <w:spacing w:line="240" w:lineRule="exact"/>
        <w:ind w:left="135" w:hangingChars="52" w:hanging="135"/>
        <w:rPr>
          <w:color w:val="000000" w:themeColor="text1"/>
          <w:sz w:val="24"/>
          <w:szCs w:val="24"/>
        </w:rPr>
      </w:pPr>
      <w:r w:rsidRPr="000B2A94">
        <w:rPr>
          <w:color w:val="000000" w:themeColor="text1"/>
          <w:sz w:val="24"/>
          <w:szCs w:val="24"/>
        </w:rPr>
        <w:t>1.</w:t>
      </w:r>
      <w:r w:rsidRPr="000B2A94">
        <w:rPr>
          <w:rFonts w:hint="eastAsia"/>
          <w:color w:val="000000" w:themeColor="text1"/>
          <w:sz w:val="24"/>
          <w:szCs w:val="24"/>
        </w:rPr>
        <w:t>法醫研究所兼任研究員，依據行政院80.12.4台八十法字第38609號函修正核定「臺灣高等法院檢察署法醫中心計畫」，支給每件解剖費新台幣4,000元，整體臟器處理費15,000元。</w:t>
      </w:r>
    </w:p>
    <w:p w:rsidR="00F956E8" w:rsidRPr="000B2A94" w:rsidRDefault="00F956E8" w:rsidP="00F956E8">
      <w:pPr>
        <w:spacing w:line="240" w:lineRule="exact"/>
        <w:ind w:left="135" w:hangingChars="52" w:hanging="135"/>
        <w:rPr>
          <w:color w:val="000000" w:themeColor="text1"/>
          <w:sz w:val="24"/>
          <w:szCs w:val="24"/>
        </w:rPr>
      </w:pPr>
      <w:r w:rsidRPr="000B2A94">
        <w:rPr>
          <w:color w:val="000000" w:themeColor="text1"/>
          <w:sz w:val="24"/>
          <w:szCs w:val="24"/>
        </w:rPr>
        <w:t>2.</w:t>
      </w:r>
      <w:r w:rsidRPr="000B2A94">
        <w:rPr>
          <w:rFonts w:hint="eastAsia"/>
          <w:color w:val="000000" w:themeColor="text1"/>
          <w:sz w:val="24"/>
          <w:szCs w:val="24"/>
        </w:rPr>
        <w:t>法醫研究所編制內醫師，依據行政院90.6.8台九十人政給字第007412號函、94.8.9院授人給字第0940022321號函，每件支給解剖費900元，鑑定費3400元。</w:t>
      </w:r>
    </w:p>
    <w:p w:rsidR="00F956E8" w:rsidRPr="000B2A94" w:rsidRDefault="00F956E8" w:rsidP="00F956E8">
      <w:pPr>
        <w:spacing w:line="240" w:lineRule="exact"/>
        <w:ind w:left="135" w:hangingChars="52" w:hanging="135"/>
        <w:rPr>
          <w:color w:val="000000" w:themeColor="text1"/>
          <w:sz w:val="24"/>
          <w:szCs w:val="24"/>
        </w:rPr>
      </w:pPr>
      <w:r w:rsidRPr="000B2A94">
        <w:rPr>
          <w:color w:val="000000" w:themeColor="text1"/>
          <w:sz w:val="24"/>
          <w:szCs w:val="24"/>
        </w:rPr>
        <w:t>3.</w:t>
      </w:r>
      <w:r w:rsidRPr="000B2A94">
        <w:rPr>
          <w:rFonts w:hint="eastAsia"/>
          <w:color w:val="000000" w:themeColor="text1"/>
          <w:sz w:val="24"/>
          <w:szCs w:val="24"/>
        </w:rPr>
        <w:t>地檢署委託解剖案件，依據法務部所屬檢察機關相驗解剖費用支領標準，支給每件解剖費3,000元。</w:t>
      </w:r>
    </w:p>
    <w:p w:rsidR="00F956E8" w:rsidRPr="000B2A94" w:rsidRDefault="00F956E8" w:rsidP="00F956E8">
      <w:pPr>
        <w:spacing w:line="240" w:lineRule="exact"/>
        <w:ind w:left="135" w:hangingChars="52" w:hanging="135"/>
        <w:rPr>
          <w:color w:val="000000" w:themeColor="text1"/>
          <w:sz w:val="24"/>
          <w:szCs w:val="24"/>
        </w:rPr>
      </w:pPr>
    </w:p>
    <w:p w:rsidR="00F956E8" w:rsidRPr="000B2A94" w:rsidRDefault="00F956E8" w:rsidP="0081002C">
      <w:pPr>
        <w:pStyle w:val="4"/>
        <w:rPr>
          <w:color w:val="000000" w:themeColor="text1"/>
        </w:rPr>
      </w:pPr>
      <w:r w:rsidRPr="000B2A94">
        <w:rPr>
          <w:rFonts w:hint="eastAsia"/>
          <w:color w:val="000000" w:themeColor="text1"/>
        </w:rPr>
        <w:t>法醫研究所法醫（具醫師資格）預算員額4名，現職3名，其中1名於105年上網徵才10個月，均無人投遞履歷，致使法醫研究所法醫人力不足。分析原因應係法醫工作環境不佳且薪資所得誘因不足所致。為吸引病理醫師願意擔任法醫研究所法醫，採取作為如下：</w:t>
      </w:r>
    </w:p>
    <w:p w:rsidR="00F956E8" w:rsidRPr="000B2A94" w:rsidRDefault="00F956E8" w:rsidP="0081002C">
      <w:pPr>
        <w:pStyle w:val="5"/>
        <w:rPr>
          <w:color w:val="000000" w:themeColor="text1"/>
        </w:rPr>
      </w:pPr>
      <w:r w:rsidRPr="000B2A94">
        <w:rPr>
          <w:rFonts w:hint="eastAsia"/>
          <w:color w:val="000000" w:themeColor="text1"/>
        </w:rPr>
        <w:t>改善各地解剖室工作環境：法醫研究所於107</w:t>
      </w:r>
      <w:r w:rsidRPr="000B2A94">
        <w:rPr>
          <w:rFonts w:hint="eastAsia"/>
          <w:color w:val="000000" w:themeColor="text1"/>
        </w:rPr>
        <w:lastRenderedPageBreak/>
        <w:t>年5月25日以法醫理字第10700212130號函報法務部，</w:t>
      </w:r>
      <w:r w:rsidRPr="000B2A94">
        <w:rPr>
          <w:rFonts w:hint="eastAsia"/>
          <w:color w:val="000000" w:themeColor="text1"/>
          <w:szCs w:val="32"/>
        </w:rPr>
        <w:t>建議各地解剖室應設置生物安全等級第</w:t>
      </w:r>
      <w:r w:rsidRPr="000B2A94">
        <w:rPr>
          <w:rFonts w:hint="eastAsia"/>
          <w:color w:val="000000" w:themeColor="text1"/>
        </w:rPr>
        <w:t>2+級之解剖設備，同時列舉各地解剖室應增加之設施及設備，作為未來地方政府改善之參考。</w:t>
      </w:r>
    </w:p>
    <w:p w:rsidR="00F956E8" w:rsidRPr="000B2A94" w:rsidRDefault="00F956E8" w:rsidP="0081002C">
      <w:pPr>
        <w:pStyle w:val="5"/>
        <w:rPr>
          <w:color w:val="000000" w:themeColor="text1"/>
        </w:rPr>
      </w:pPr>
      <w:r w:rsidRPr="000B2A94">
        <w:rPr>
          <w:rFonts w:hint="eastAsia"/>
          <w:color w:val="000000" w:themeColor="text1"/>
        </w:rPr>
        <w:t>增加法醫實質所得：據法醫研究所瞭解，公立醫院醫師(師(二)級年功俸6級710俸點)薪水約28萬元（含俸給、獎金），法醫研究所副研究員（9職等710俸點法醫）月薪24萬餘元（含俸給、獎金及按件計酬費用），每年所得差距約50萬元，以現有所得水準，自難吸引病理醫師願意擔任法醫研究所法醫。故法醫研究所於108年9月19日以法醫人字第10820001090號函報法務部，建議調升法醫研究所編制內法醫按件計酬之解剖鑑定費用，由現行每件4</w:t>
      </w:r>
      <w:r w:rsidRPr="000B2A94">
        <w:rPr>
          <w:color w:val="000000" w:themeColor="text1"/>
        </w:rPr>
        <w:t>,</w:t>
      </w:r>
      <w:r w:rsidRPr="000B2A94">
        <w:rPr>
          <w:rFonts w:hint="eastAsia"/>
          <w:color w:val="000000" w:themeColor="text1"/>
        </w:rPr>
        <w:t>300元調升為每件8</w:t>
      </w:r>
      <w:r w:rsidRPr="000B2A94">
        <w:rPr>
          <w:color w:val="000000" w:themeColor="text1"/>
        </w:rPr>
        <w:t>,</w:t>
      </w:r>
      <w:r w:rsidRPr="000B2A94">
        <w:rPr>
          <w:rFonts w:hint="eastAsia"/>
          <w:color w:val="000000" w:themeColor="text1"/>
        </w:rPr>
        <w:t>000元，預計提高法醫研究所編制內法醫所得至每月約29萬元，以法醫訓練時間更長，工作所處環境不佳甚至有更高的生物感染風險等情形，給予較公立醫院專科醫師略高一些之收入，應屬合理，亦利於招徠人才，本項建議業於108年10月24日以法務部法人字第10808516460號函報行政院在案。</w:t>
      </w:r>
    </w:p>
    <w:p w:rsidR="00F956E8" w:rsidRPr="000B2A94" w:rsidRDefault="00F956E8" w:rsidP="0081002C">
      <w:pPr>
        <w:pStyle w:val="5"/>
        <w:rPr>
          <w:color w:val="000000" w:themeColor="text1"/>
        </w:rPr>
      </w:pPr>
      <w:r w:rsidRPr="000B2A94">
        <w:rPr>
          <w:rFonts w:hint="eastAsia"/>
          <w:color w:val="000000" w:themeColor="text1"/>
        </w:rPr>
        <w:t>建議修正法醫研究所法醫（組長、研究員、副研究員、助 理研究員）得適用醫事人員人事條例職務一覽表：本項修正業經考試院會同行政院於108年9月23日修正發布。</w:t>
      </w:r>
    </w:p>
    <w:p w:rsidR="00F956E8" w:rsidRPr="000B2A94" w:rsidRDefault="00F956E8" w:rsidP="0081002C">
      <w:pPr>
        <w:pStyle w:val="4"/>
        <w:rPr>
          <w:color w:val="000000" w:themeColor="text1"/>
        </w:rPr>
      </w:pPr>
      <w:r w:rsidRPr="000B2A94">
        <w:rPr>
          <w:rFonts w:hint="eastAsia"/>
          <w:color w:val="000000" w:themeColor="text1"/>
        </w:rPr>
        <w:t>依據法醫研究所法醫統計，全國各地檢署相驗案件約2萬件，以近兩年每年約1</w:t>
      </w:r>
      <w:r w:rsidRPr="000B2A94">
        <w:rPr>
          <w:color w:val="000000" w:themeColor="text1"/>
        </w:rPr>
        <w:t>,</w:t>
      </w:r>
      <w:r w:rsidRPr="000B2A94">
        <w:rPr>
          <w:rFonts w:hint="eastAsia"/>
          <w:color w:val="000000" w:themeColor="text1"/>
        </w:rPr>
        <w:t>500件解剖案件，又以先進國家每名法醫每年解剖250件計算，法醫研究所至少需有6名法醫。如能增加編制內法醫，將能有效降低大量委託兼任研究員或榮譽法</w:t>
      </w:r>
      <w:r w:rsidRPr="000B2A94">
        <w:rPr>
          <w:rFonts w:hint="eastAsia"/>
          <w:color w:val="000000" w:themeColor="text1"/>
        </w:rPr>
        <w:lastRenderedPageBreak/>
        <w:t>醫師解剖之情形。</w:t>
      </w:r>
    </w:p>
    <w:p w:rsidR="00F956E8" w:rsidRPr="000B2A94" w:rsidRDefault="00F956E8" w:rsidP="0081002C">
      <w:pPr>
        <w:pStyle w:val="4"/>
        <w:rPr>
          <w:color w:val="000000" w:themeColor="text1"/>
        </w:rPr>
      </w:pPr>
      <w:r w:rsidRPr="000B2A94">
        <w:rPr>
          <w:rFonts w:hint="eastAsia"/>
          <w:color w:val="000000" w:themeColor="text1"/>
        </w:rPr>
        <w:t>各地檢署法醫人力部分：各地檢署之人力配置受限於總員額法及預算員額等因素，目前部分地檢署僅配置1名法醫人力，金門、連江甚至完全沒有法醫人力。而法醫主要負責之相驗業務，一年365天都可能發生，因此，最大的問題在於假日、夜間值勤無替代人力。但因受限於總員額法，在尚無法順利增員前，如各地檢署有替補人力需求，雖可遴選</w:t>
      </w:r>
      <w:r w:rsidR="00A15D6E" w:rsidRPr="000B2A94">
        <w:rPr>
          <w:rFonts w:hint="eastAsia"/>
          <w:color w:val="000000" w:themeColor="text1"/>
        </w:rPr>
        <w:t>臺大</w:t>
      </w:r>
      <w:r w:rsidRPr="000B2A94">
        <w:rPr>
          <w:rFonts w:hint="eastAsia"/>
          <w:color w:val="000000" w:themeColor="text1"/>
        </w:rPr>
        <w:t>法醫學研究所畢業生並考取法醫師證照者，擔任特約法醫師，但仍應朝向增加公職法醫師人力為目標，以改善假日、夜間替代人力之情況。</w:t>
      </w:r>
    </w:p>
    <w:p w:rsidR="00F956E8" w:rsidRPr="000B2A94" w:rsidRDefault="00F956E8" w:rsidP="0081002C">
      <w:pPr>
        <w:pStyle w:val="4"/>
        <w:rPr>
          <w:color w:val="000000" w:themeColor="text1"/>
        </w:rPr>
      </w:pPr>
      <w:r w:rsidRPr="000B2A94">
        <w:rPr>
          <w:rFonts w:hint="eastAsia"/>
          <w:color w:val="000000" w:themeColor="text1"/>
        </w:rPr>
        <w:t>對於建構國家級(centralized)法醫解剖中心之可行性及必要性之詳細評估情形：依法醫研究所評估，設置「具備生物安全第三等級及生物安全第三加等級之中央化法醫解剖中心」，有以下優點：（1）有利於生物安全管控，避免具感染性疾病之遺體到處散布病菌。（2）有利於各類法醫相關研究發展，提昇法醫鑑驗品質，各類法醫案例討論與相關人員教育訓練。（3）全國法醫解剖地點集中，減少人員差旅費支出，提升每日可受理解剖案件數，提昇效率。惟仍須考量對現行司法相驗制度及便民政策之影響，並評估設置國家級法醫解剖中心，是否會受到當地民眾反對之現實因素。</w:t>
      </w:r>
    </w:p>
    <w:p w:rsidR="00F956E8" w:rsidRPr="000B2A94" w:rsidRDefault="00F956E8" w:rsidP="0081002C">
      <w:pPr>
        <w:pStyle w:val="3"/>
        <w:rPr>
          <w:color w:val="000000" w:themeColor="text1"/>
        </w:rPr>
      </w:pPr>
      <w:bookmarkStart w:id="402" w:name="_Toc27400009"/>
      <w:r w:rsidRPr="000B2A94">
        <w:rPr>
          <w:rFonts w:hint="eastAsia"/>
          <w:color w:val="000000" w:themeColor="text1"/>
        </w:rPr>
        <w:t>本通案性案件調查研究曾參訪德國法蘭克福大學、基森大學及慕尼黑大學法醫研究所，概述如下：</w:t>
      </w:r>
      <w:bookmarkEnd w:id="402"/>
    </w:p>
    <w:p w:rsidR="00F956E8" w:rsidRPr="000B2A94" w:rsidRDefault="00F956E8" w:rsidP="0081002C">
      <w:pPr>
        <w:pStyle w:val="4"/>
        <w:rPr>
          <w:color w:val="000000" w:themeColor="text1"/>
        </w:rPr>
      </w:pPr>
      <w:r w:rsidRPr="000B2A94">
        <w:rPr>
          <w:rFonts w:hint="eastAsia"/>
          <w:color w:val="000000" w:themeColor="text1"/>
        </w:rPr>
        <w:t>概括而言，德國在各大學均有法醫研究所，醫學系先有1</w:t>
      </w:r>
      <w:r w:rsidR="00A15D6E" w:rsidRPr="000B2A94">
        <w:rPr>
          <w:rFonts w:hint="eastAsia"/>
          <w:color w:val="000000" w:themeColor="text1"/>
        </w:rPr>
        <w:t>學期的法醫課程，之後1</w:t>
      </w:r>
      <w:r w:rsidRPr="000B2A94">
        <w:rPr>
          <w:rFonts w:hint="eastAsia"/>
          <w:color w:val="000000" w:themeColor="text1"/>
        </w:rPr>
        <w:t>年醫院實習，非內科、外科及法醫科，實習後有意願法醫師工作</w:t>
      </w:r>
      <w:r w:rsidRPr="000B2A94">
        <w:rPr>
          <w:rFonts w:hint="eastAsia"/>
          <w:color w:val="000000" w:themeColor="text1"/>
        </w:rPr>
        <w:lastRenderedPageBreak/>
        <w:t>者，再考入法醫研究所念5年(即所謂5+1+5)，所以他們法醫師社會地位很高，也很肯定自己的工作。我國解剖室是設於殯儀館，德國則在各大學法醫研究所。就以基森大學及法蘭克福大學為例，這兩所大學位於黑森州(或稱邦)，北基森南法蘭克福，黑森州21,10</w:t>
      </w:r>
      <w:r w:rsidR="00A15D6E" w:rsidRPr="000B2A94">
        <w:rPr>
          <w:rFonts w:hint="eastAsia"/>
          <w:color w:val="000000" w:themeColor="text1"/>
        </w:rPr>
        <w:t>0平方公里</w:t>
      </w:r>
      <w:r w:rsidRPr="000B2A94">
        <w:rPr>
          <w:rFonts w:hint="eastAsia"/>
          <w:color w:val="000000" w:themeColor="text1"/>
        </w:rPr>
        <w:t>，人口604萬多人，法院或檢察官之鑑定北部委由基森大學，南部則由法蘭克福大學鑑定。法蘭克福為黑森州最大城市，基森大學鑑定管轄範圍雖為黑森州之三分之二，然因人口較少，案件量約為法蘭克福之一半。質言之，法醫鑑定大都由各州委由附近大學鑑定，不但超然客觀，且因非常專業，也很少有鑑定糾紛。3所大</w:t>
      </w:r>
      <w:r w:rsidR="00A15D6E" w:rsidRPr="000B2A94">
        <w:rPr>
          <w:rFonts w:hint="eastAsia"/>
          <w:color w:val="000000" w:themeColor="text1"/>
        </w:rPr>
        <w:t>學之法醫鑑定設備均非常齊全，儀器精良。慕尼黑大學參訪時，當天恰</w:t>
      </w:r>
      <w:r w:rsidRPr="000B2A94">
        <w:rPr>
          <w:rFonts w:hint="eastAsia"/>
          <w:color w:val="000000" w:themeColor="text1"/>
        </w:rPr>
        <w:t>有大體解剖之鑑定。鑑定由</w:t>
      </w:r>
      <w:r w:rsidR="00A15D6E" w:rsidRPr="000B2A94">
        <w:rPr>
          <w:rFonts w:hint="eastAsia"/>
          <w:color w:val="000000" w:themeColor="text1"/>
        </w:rPr>
        <w:t>1位</w:t>
      </w:r>
      <w:r w:rsidRPr="000B2A94">
        <w:rPr>
          <w:rFonts w:hint="eastAsia"/>
          <w:color w:val="000000" w:themeColor="text1"/>
        </w:rPr>
        <w:t>法醫師及</w:t>
      </w:r>
      <w:r w:rsidR="00A15D6E" w:rsidRPr="000B2A94">
        <w:rPr>
          <w:rFonts w:hint="eastAsia"/>
          <w:color w:val="000000" w:themeColor="text1"/>
        </w:rPr>
        <w:t>1位實習法醫師執行，2</w:t>
      </w:r>
      <w:r w:rsidRPr="000B2A94">
        <w:rPr>
          <w:rFonts w:hint="eastAsia"/>
          <w:color w:val="000000" w:themeColor="text1"/>
        </w:rPr>
        <w:t>位護理師協助。鑑定態度非常認真，解剖非常仔細，護理師對於大腦是否有病變也仔細挑出檢查。慕尼黑大學更是細心為檢察官(或法官)在解剖室旁設置一個有大窗戶隔間之辦公室，檢察官可以不必在解剖室參與，可以在辦公室透過大窗戶觀察，雙方可以透過電話討論。對於他們解剖之敬業精神，非常感佩，舉例而言，當天之解剖是探究死因有無人為疏失，除了解剖床上面有X光機，先掃描屍體外，兩位法醫師均很仔細大體解剖外，對於各器官都詳細檢查，甚至腦漿部分還由護理師先拿至旁邊之解剖床，先仔細挑出各部位，檢查有否病變等，再交由法醫師鑑定，法醫師一邊還會唸出重點給護理師記載(配合錄音機)。</w:t>
      </w:r>
    </w:p>
    <w:p w:rsidR="00F956E8" w:rsidRPr="000B2A94" w:rsidRDefault="00F956E8" w:rsidP="0081002C">
      <w:pPr>
        <w:pStyle w:val="4"/>
        <w:rPr>
          <w:color w:val="000000" w:themeColor="text1"/>
        </w:rPr>
      </w:pPr>
      <w:r w:rsidRPr="000B2A94">
        <w:rPr>
          <w:rFonts w:hint="eastAsia"/>
          <w:color w:val="000000" w:themeColor="text1"/>
        </w:rPr>
        <w:t>3間法醫研究所的屍體鑑定室，</w:t>
      </w:r>
      <w:r w:rsidR="00A15D6E" w:rsidRPr="000B2A94">
        <w:rPr>
          <w:rFonts w:hint="eastAsia"/>
          <w:color w:val="000000" w:themeColor="text1"/>
        </w:rPr>
        <w:t>皆</w:t>
      </w:r>
      <w:r w:rsidRPr="000B2A94">
        <w:rPr>
          <w:rFonts w:hint="eastAsia"/>
          <w:color w:val="000000" w:themeColor="text1"/>
        </w:rPr>
        <w:t>有分為衣服</w:t>
      </w:r>
      <w:r w:rsidRPr="000B2A94">
        <w:rPr>
          <w:rFonts w:hint="eastAsia"/>
          <w:color w:val="000000" w:themeColor="text1"/>
        </w:rPr>
        <w:lastRenderedPageBreak/>
        <w:t>間、屍體存放間(冰櫃)、解剖室(至少兩床解剖床)、病理討論室、特別檢驗室(裡面有CT等較為精密儀器)，屍體鑑定室外，辦公區另有採集樣品後之檢驗室。解剖後經過討論後，寫下詳細之解剖紀錄，再由</w:t>
      </w:r>
      <w:r w:rsidR="00A15D6E" w:rsidRPr="000B2A94">
        <w:rPr>
          <w:rFonts w:hint="eastAsia"/>
          <w:color w:val="000000" w:themeColor="text1"/>
        </w:rPr>
        <w:t>負責之正式法醫簽名。法醫師對於到法庭作證視為其義務，他們也認為至</w:t>
      </w:r>
      <w:r w:rsidRPr="000B2A94">
        <w:rPr>
          <w:rFonts w:hint="eastAsia"/>
          <w:color w:val="000000" w:themeColor="text1"/>
        </w:rPr>
        <w:t>法庭說明，接受輪替詰問後，可以讓法庭審檢辯、當事人及旁聽者充分了解，有助於案情之釐清，他們也為自己所從事之法醫師工作，有榮譽感。各大學法醫研究所上法醫解剖學時，有時是在階梯教室(</w:t>
      </w:r>
      <w:r w:rsidR="00A15D6E" w:rsidRPr="000B2A94">
        <w:rPr>
          <w:rFonts w:hint="eastAsia"/>
          <w:color w:val="000000" w:themeColor="text1"/>
        </w:rPr>
        <w:t>約可容納300至400</w:t>
      </w:r>
      <w:r w:rsidRPr="000B2A94">
        <w:rPr>
          <w:rFonts w:hint="eastAsia"/>
          <w:color w:val="000000" w:themeColor="text1"/>
        </w:rPr>
        <w:t>人)，教授在前面一邊解剖，一邊講解，而學生及再進修之法醫師可在上面一邊觀看</w:t>
      </w:r>
      <w:r w:rsidR="00A15D6E" w:rsidRPr="000B2A94">
        <w:rPr>
          <w:rFonts w:hint="eastAsia"/>
          <w:color w:val="000000" w:themeColor="text1"/>
        </w:rPr>
        <w:t>，隨時提出問題，或者教授看到較值得注意之處，也會請</w:t>
      </w:r>
      <w:r w:rsidRPr="000B2A94">
        <w:rPr>
          <w:rFonts w:hint="eastAsia"/>
          <w:color w:val="000000" w:themeColor="text1"/>
        </w:rPr>
        <w:t>學生們</w:t>
      </w:r>
      <w:r w:rsidR="00A15D6E" w:rsidRPr="000B2A94">
        <w:rPr>
          <w:rFonts w:hint="eastAsia"/>
          <w:color w:val="000000" w:themeColor="text1"/>
        </w:rPr>
        <w:t>輪流下來觀看，講解的教授表示，仔細的解剖很重要，反正屍體不會跑</w:t>
      </w:r>
      <w:r w:rsidRPr="000B2A94">
        <w:rPr>
          <w:rFonts w:hint="eastAsia"/>
          <w:color w:val="000000" w:themeColor="text1"/>
        </w:rPr>
        <w:t>，但屍體「會說話」，法醫師有責任將屍體告訴你的話詳細分析研究檢驗。</w:t>
      </w:r>
    </w:p>
    <w:p w:rsidR="00F956E8" w:rsidRPr="000B2A94" w:rsidRDefault="00F956E8" w:rsidP="0081002C">
      <w:pPr>
        <w:pStyle w:val="4"/>
        <w:rPr>
          <w:color w:val="000000" w:themeColor="text1"/>
        </w:rPr>
      </w:pPr>
      <w:r w:rsidRPr="000B2A94">
        <w:rPr>
          <w:rFonts w:hint="eastAsia"/>
          <w:color w:val="000000" w:themeColor="text1"/>
        </w:rPr>
        <w:t>兩國法醫師鑑定之歧異：我國係繼受大陸法系之法制，著名法律學者大都留學德國，然法醫師之養成卻自成一套。法醫師法於104年12月23日修正後，依法理，此為特別法，且為後法，應優於刑事訴訟法適用，然醫師公會反彈，認為只有醫師資格者才可以執行解剖，因而法務部以此二法規相併(非競合，若競合，只有法醫師才可解剖)，反而成為只有具醫師資格的法醫師才可解剖，有曲解法律及圖利甲組(具醫師資格報考法醫研究所者)之嫌，導致今年報考</w:t>
      </w:r>
      <w:r w:rsidR="00A15D6E" w:rsidRPr="000B2A94">
        <w:rPr>
          <w:rFonts w:hint="eastAsia"/>
          <w:color w:val="000000" w:themeColor="text1"/>
        </w:rPr>
        <w:t>臺</w:t>
      </w:r>
      <w:r w:rsidRPr="000B2A94">
        <w:rPr>
          <w:rFonts w:hint="eastAsia"/>
          <w:color w:val="000000" w:themeColor="text1"/>
        </w:rPr>
        <w:t>大法醫研究所僅存一人，且因乙組法醫研究所畢業不見得能進入公職體系(地方法院檢察署法醫師編制限制)，造成很多「流浪法醫師」，枉費</w:t>
      </w:r>
      <w:r w:rsidR="00A15D6E" w:rsidRPr="000B2A94">
        <w:rPr>
          <w:rFonts w:hint="eastAsia"/>
          <w:color w:val="000000" w:themeColor="text1"/>
        </w:rPr>
        <w:t>臺</w:t>
      </w:r>
      <w:r w:rsidRPr="000B2A94">
        <w:rPr>
          <w:rFonts w:hint="eastAsia"/>
          <w:color w:val="000000" w:themeColor="text1"/>
        </w:rPr>
        <w:t>大法醫研</w:t>
      </w:r>
      <w:r w:rsidRPr="000B2A94">
        <w:rPr>
          <w:rFonts w:hint="eastAsia"/>
          <w:color w:val="000000" w:themeColor="text1"/>
        </w:rPr>
        <w:lastRenderedPageBreak/>
        <w:t>究所對於乙組法醫師的訓練。法醫的鑑定工作牽涉到被害人的生死與被告刑期的判斷，醫師診斷重點在「生」，法醫師則重在「死」，雖對於病理學等專業知識有極重要的牽扯，但醫師並不當然為法醫師，甚至醫師簡單修習法醫學分即成為「兼職」法醫師，都非法醫師鑑定之常態。再以「收入」而言，我國</w:t>
      </w:r>
      <w:r w:rsidR="00A15D6E" w:rsidRPr="000B2A94">
        <w:rPr>
          <w:rFonts w:hint="eastAsia"/>
          <w:color w:val="000000" w:themeColor="text1"/>
        </w:rPr>
        <w:t>1</w:t>
      </w:r>
      <w:r w:rsidRPr="000B2A94">
        <w:rPr>
          <w:rFonts w:hint="eastAsia"/>
          <w:color w:val="000000" w:themeColor="text1"/>
        </w:rPr>
        <w:t>次鑑定費雖可達新台幣1萬9000元(然比德國還少)，然因法務部解釋成具有法醫師認定資格之醫師才能解剖 ，所以具備此資格者稀少，因而有些人一天接了10幾個案子，依照經驗法則，一個人在解剖了5、6個後，就忘了前面的案件是常態，對司法判決的公正性，當然有影響，且易成為少數人之寡佔市場。而若如德國如此嚴謹之解剖鑑定，一個人一天至多2至3例，我國具備此資格之法醫師又人數不夠。雖不能說此有圖利特定資格的法醫師，但已經凸顯解剖之困境。依目前</w:t>
      </w:r>
      <w:r w:rsidR="00A15D6E" w:rsidRPr="000B2A94">
        <w:rPr>
          <w:rFonts w:hint="eastAsia"/>
          <w:color w:val="000000" w:themeColor="text1"/>
        </w:rPr>
        <w:t>臺大</w:t>
      </w:r>
      <w:r w:rsidRPr="000B2A94">
        <w:rPr>
          <w:rFonts w:hint="eastAsia"/>
          <w:color w:val="000000" w:themeColor="text1"/>
        </w:rPr>
        <w:t>法醫學研究所招收乙組的學生，雖然不是醫師，但仍具生命科學與醫學院等相關背景，且需先通過3年醫學院課程，再行2年的鑑識、毒物等專科訓練，才能參加高考法醫師考試與法醫師執照考試，待考取後，才能真正執業，並不會有專業性不足的問題，法務部自我設限，只造成法醫師之養成，徒具虛文，與先進國家如德國相較，更是落後。</w:t>
      </w:r>
    </w:p>
    <w:p w:rsidR="00F956E8" w:rsidRPr="000B2A94" w:rsidRDefault="00F956E8" w:rsidP="0081002C">
      <w:pPr>
        <w:pStyle w:val="4"/>
        <w:rPr>
          <w:color w:val="000000" w:themeColor="text1"/>
        </w:rPr>
      </w:pPr>
      <w:r w:rsidRPr="000B2A94">
        <w:rPr>
          <w:rFonts w:hint="eastAsia"/>
          <w:color w:val="000000" w:themeColor="text1"/>
        </w:rPr>
        <w:t>就以解剖鑑定而言，德國一具屍體費用約</w:t>
      </w:r>
      <w:r w:rsidR="00A15D6E" w:rsidRPr="000B2A94">
        <w:rPr>
          <w:rFonts w:hint="eastAsia"/>
          <w:color w:val="000000" w:themeColor="text1"/>
        </w:rPr>
        <w:t>1,000</w:t>
      </w:r>
      <w:r w:rsidRPr="000B2A94">
        <w:rPr>
          <w:rFonts w:hint="eastAsia"/>
          <w:color w:val="000000" w:themeColor="text1"/>
        </w:rPr>
        <w:t>歐元(合新台幣3萬5千)，「一天」平均解剖鑑定2-3件(市區，如法蘭克福、慕尼黑、柏林等更多，可達6-7件)，加以各大學都設有法醫研究所，法醫師為醫師實習後再考進去讀5年，所以他們自詡為醫師中的醫師，社會地位崇高，收入亦傲</w:t>
      </w:r>
      <w:r w:rsidRPr="000B2A94">
        <w:rPr>
          <w:rFonts w:hint="eastAsia"/>
          <w:color w:val="000000" w:themeColor="text1"/>
        </w:rPr>
        <w:lastRenderedPageBreak/>
        <w:t>人，因而鑑定品質不但普遍受到肯定，且他們也願意至法院說明其鑑定。凡此，均是我國法醫師鑑定應效法之處。法醫師與普通的醫師有何不同，在參訪時，解說的教授有提到，如凶殺案，一般醫師關切的，可能是他身上有幾刀需要治療？但法醫師卻會把重點放在死者被幾個人砍了幾刀？用何凶器(鈍器或銳器)?發生之時間?甚至屍體有否移動等。又如溺水死亡 ，病理醫師可能只關切他的死因，但法醫師卻要從遺體上鑑定他是自然溺水？或者被人推下去？是在落水前就遇害了？還是掉進水裡才斷氣？是一個人或多數人所為，這些都會影響司法判決。</w:t>
      </w:r>
    </w:p>
    <w:p w:rsidR="00F956E8" w:rsidRPr="000B2A94" w:rsidRDefault="00F956E8" w:rsidP="0081002C">
      <w:pPr>
        <w:pStyle w:val="4"/>
        <w:rPr>
          <w:color w:val="000000" w:themeColor="text1"/>
        </w:rPr>
      </w:pPr>
      <w:r w:rsidRPr="000B2A94">
        <w:rPr>
          <w:rFonts w:hint="eastAsia"/>
          <w:color w:val="000000" w:themeColor="text1"/>
        </w:rPr>
        <w:t>參訪德國之法醫師養成教育及實際鑑定操作，很敬佩德國人處事之嚴謹。反觀我國之法醫師侷限在具有醫師資格且認證過之法醫師，造成「兼職」法醫師執行解剖業務，</w:t>
      </w:r>
      <w:r w:rsidR="00A15D6E" w:rsidRPr="000B2A94">
        <w:rPr>
          <w:rFonts w:hint="eastAsia"/>
          <w:color w:val="000000" w:themeColor="text1"/>
        </w:rPr>
        <w:t>臺</w:t>
      </w:r>
      <w:r w:rsidRPr="000B2A94">
        <w:rPr>
          <w:rFonts w:hint="eastAsia"/>
          <w:color w:val="000000" w:themeColor="text1"/>
        </w:rPr>
        <w:t>大法醫研究所畢業未考取公職法醫師者，無法執行法醫解剖業務及流浪法醫師之荒謬現象。試想，我國唯一</w:t>
      </w:r>
      <w:r w:rsidR="00A15D6E" w:rsidRPr="000B2A94">
        <w:rPr>
          <w:rFonts w:hint="eastAsia"/>
          <w:color w:val="000000" w:themeColor="text1"/>
        </w:rPr>
        <w:t>臺</w:t>
      </w:r>
      <w:r w:rsidRPr="000B2A94">
        <w:rPr>
          <w:rFonts w:hint="eastAsia"/>
          <w:color w:val="000000" w:themeColor="text1"/>
        </w:rPr>
        <w:t>大法醫研究所的訓練，是從命案現場到解剖室的一整套流程，</w:t>
      </w:r>
      <w:r w:rsidR="00A15D6E" w:rsidRPr="000B2A94">
        <w:rPr>
          <w:rFonts w:hint="eastAsia"/>
          <w:color w:val="000000" w:themeColor="text1"/>
        </w:rPr>
        <w:t>臺大</w:t>
      </w:r>
      <w:r w:rsidRPr="000B2A94">
        <w:rPr>
          <w:rFonts w:hint="eastAsia"/>
          <w:color w:val="000000" w:themeColor="text1"/>
        </w:rPr>
        <w:t>法醫研究所「乙組」開設10年來，已培育出30多位「法醫師」，目前也有18位畢業生正在執業中，他們的身份皆為公務員，但仍有許多訓練出來之乙</w:t>
      </w:r>
      <w:r w:rsidR="005B04BF" w:rsidRPr="000B2A94">
        <w:rPr>
          <w:rFonts w:hint="eastAsia"/>
          <w:color w:val="000000" w:themeColor="text1"/>
        </w:rPr>
        <w:t>組法醫師，因高考名額少，以致成為流浪法醫師，且法醫師一個月薪水</w:t>
      </w:r>
      <w:r w:rsidRPr="000B2A94">
        <w:rPr>
          <w:rFonts w:hint="eastAsia"/>
          <w:color w:val="000000" w:themeColor="text1"/>
        </w:rPr>
        <w:t>7萬多新台幣，如此當然不具「誘因」。若能仿效德國法醫師養成制度，鑑定亦由大學法醫研究所訓練出來之法醫師為之，才能讓法醫鑑定具權威性，而減少紛爭。</w:t>
      </w:r>
    </w:p>
    <w:p w:rsidR="00F956E8" w:rsidRPr="000B2A94" w:rsidRDefault="00F956E8" w:rsidP="0081002C">
      <w:pPr>
        <w:pStyle w:val="3"/>
        <w:rPr>
          <w:color w:val="000000" w:themeColor="text1"/>
        </w:rPr>
      </w:pPr>
      <w:bookmarkStart w:id="403" w:name="_Toc27400010"/>
      <w:r w:rsidRPr="000B2A94">
        <w:rPr>
          <w:rFonts w:hint="eastAsia"/>
          <w:color w:val="000000" w:themeColor="text1"/>
        </w:rPr>
        <w:t>有關法醫師人力不足，對司法鑑識工作是否能夠落實之問題，本院前曾立案調查並提出相關調查意見</w:t>
      </w:r>
      <w:r w:rsidRPr="000B2A94">
        <w:rPr>
          <w:rFonts w:hint="eastAsia"/>
          <w:color w:val="000000" w:themeColor="text1"/>
        </w:rPr>
        <w:lastRenderedPageBreak/>
        <w:t>（108司調0065）略以：</w:t>
      </w:r>
      <w:bookmarkEnd w:id="403"/>
    </w:p>
    <w:p w:rsidR="00F956E8" w:rsidRPr="000B2A94" w:rsidRDefault="00F956E8" w:rsidP="0081002C">
      <w:pPr>
        <w:pStyle w:val="4"/>
        <w:rPr>
          <w:color w:val="000000" w:themeColor="text1"/>
        </w:rPr>
      </w:pPr>
      <w:r w:rsidRPr="000B2A94">
        <w:rPr>
          <w:rFonts w:hint="eastAsia"/>
          <w:color w:val="000000" w:themeColor="text1"/>
        </w:rPr>
        <w:t>法務部漠視解剖法醫師人數嚴重不足之問題，迄今全國專職之解剖法醫僅餘3名，導致解剖率低落的情形長久以來無法改善，影響鑑驗品質，不利於司法人權之伸張；又法醫師法雖規定一定規模以上之醫院應設置法醫部門，然因檢察機關委託醫院解剖之費用過低，每件僅3千元，教學醫院如發展法醫部門，將面臨嚴重的財務虧損，致法醫師法第44條淪為具文。</w:t>
      </w:r>
    </w:p>
    <w:p w:rsidR="00F956E8" w:rsidRPr="000B2A94" w:rsidRDefault="00F956E8" w:rsidP="0081002C">
      <w:pPr>
        <w:pStyle w:val="4"/>
        <w:rPr>
          <w:color w:val="000000" w:themeColor="text1"/>
        </w:rPr>
      </w:pPr>
      <w:r w:rsidRPr="000B2A94">
        <w:rPr>
          <w:rFonts w:hint="eastAsia"/>
          <w:color w:val="000000" w:themeColor="text1"/>
        </w:rPr>
        <w:t>有關法醫師整體制度面而言，法醫師法為改革過去由醫師轉任法醫師所生之困境，採取法醫師與醫師分流之新制，並將法醫師的培育、考試、訓練及任用自成獨立體系。惟法務部及衛福部（原行政院衛生署）屈就反對意見，立場反覆，致該法施行迄今已逾12年，法醫師之困境依然如故，又衍生諸多爭議，造成法醫界與醫界的對立及意氣之爭，實不利於國家法醫制度的健全發展。</w:t>
      </w:r>
      <w:r w:rsidRPr="000B2A94">
        <w:rPr>
          <w:rFonts w:hint="eastAsia"/>
          <w:color w:val="000000" w:themeColor="text1"/>
        </w:rPr>
        <w:tab/>
      </w:r>
    </w:p>
    <w:p w:rsidR="00F956E8" w:rsidRPr="000B2A94" w:rsidRDefault="00F956E8" w:rsidP="0081002C">
      <w:pPr>
        <w:pStyle w:val="4"/>
        <w:rPr>
          <w:color w:val="000000" w:themeColor="text1"/>
        </w:rPr>
      </w:pPr>
      <w:r w:rsidRPr="000B2A94">
        <w:rPr>
          <w:rFonts w:hint="eastAsia"/>
          <w:color w:val="000000" w:themeColor="text1"/>
        </w:rPr>
        <w:t>就法律面而言，相驗、檢驗屍體及解剖屍體涉及法醫病理、生物、毒物等專業學能及經驗，先進國家皆由具法醫專業之醫師或法醫師行之。然我國刑事訴訟法第216條及218條規定，相驗或檢驗屍體得由檢驗員行之；具有醫師資格者，不論是否具有法醫專業，均可進行司法解剖及死因鑑定，條文內容顯已過時，致非妥適。又法醫師法第48條明定：「醫師自本法實行屆滿九年起，不得執行刑事訴訟法規定之檢驗、解剖屍體業務。」而法醫師法自95年12月28日起施行，則法醫師法有關醫師解剖屍體之落日條款早於104年12月28日屆期，已無過渡時期新舊制適用的問題，司法院雖於108年5月30日通過刑事訴訟法鑑定部分</w:t>
      </w:r>
      <w:r w:rsidRPr="000B2A94">
        <w:rPr>
          <w:rFonts w:hint="eastAsia"/>
          <w:color w:val="000000" w:themeColor="text1"/>
        </w:rPr>
        <w:lastRenderedPageBreak/>
        <w:t>之修正草案，卻未檢討上開條文之妥適性，法務部亦未提出修法建議，無視於法醫師法為特別法，刑事訴訟法第216條第3項如不修法，將成為法醫師制度發展的障礙，不利於專家證人的發展。</w:t>
      </w:r>
    </w:p>
    <w:p w:rsidR="00F956E8" w:rsidRPr="000B2A94" w:rsidRDefault="00F956E8" w:rsidP="0081002C">
      <w:pPr>
        <w:pStyle w:val="4"/>
        <w:rPr>
          <w:color w:val="000000" w:themeColor="text1"/>
        </w:rPr>
      </w:pPr>
      <w:r w:rsidRPr="000B2A94">
        <w:rPr>
          <w:rFonts w:hint="eastAsia"/>
          <w:color w:val="000000" w:themeColor="text1"/>
        </w:rPr>
        <w:t>就法醫師培育面而言，法醫師法採取雙軌制，除採取歐陸法系之培育體系，在法醫學下設法醫病理、精神、臨床、牙科、毒物、生物等次專科；兼採英美法系於病理科下設立法醫病理次專科的養成途徑。該法為確保法醫人才之培訓品質，對於不具醫師資格之法醫學研究所（下稱乙組）學生，採5至7年的學士後法醫基礎教育，並以細則完整規劃其應修課程；對具醫師資格者，則明定應修習法醫學程實習及專業訓練。然而在衛福部掣肘之下，新制乙組法醫師因不能接受充足的醫學訓練，生涯發展受限，教育端逐漸萎縮，實為法醫專業制度及法醫學發展的隱憂。另一方面，諸多年輕病理醫師有投入法醫領域的理想與熱忱，法醫師法立法之時空背景容有改變，該法針對病理專科醫師所定之養成管道過久，過於理想性，欠缺務實考量，致不具誘因，乃造成醫界及法醫界對立的原因之一。未來如何暢通乙組法醫人才的生涯發展及升遷管道，並鼓勵病理專科醫師投入法醫領域，法務部、衛福部及教育部宜參酌相關公（學）會之意見，審慎研究。</w:t>
      </w:r>
      <w:r w:rsidRPr="000B2A94">
        <w:rPr>
          <w:rFonts w:hint="eastAsia"/>
          <w:color w:val="000000" w:themeColor="text1"/>
        </w:rPr>
        <w:tab/>
      </w:r>
    </w:p>
    <w:p w:rsidR="00F956E8" w:rsidRPr="000B2A94" w:rsidRDefault="00F956E8" w:rsidP="0081002C">
      <w:pPr>
        <w:pStyle w:val="4"/>
        <w:rPr>
          <w:color w:val="000000" w:themeColor="text1"/>
        </w:rPr>
      </w:pPr>
      <w:r w:rsidRPr="000B2A94">
        <w:rPr>
          <w:rFonts w:hint="eastAsia"/>
          <w:color w:val="000000" w:themeColor="text1"/>
        </w:rPr>
        <w:t>就法醫師專技考試而言，法醫師法之立法初衷在於擴大法醫人才的培育及晉用，故其應考資格及考試方式，需兼顧公平性並鼓勵專科醫師進入法醫領域。且考試僅為取材之初步篩選要件，後續仍須經過不斷的法醫專業訓練及實務歷練，始克</w:t>
      </w:r>
      <w:r w:rsidRPr="000B2A94">
        <w:rPr>
          <w:rFonts w:hint="eastAsia"/>
          <w:color w:val="000000" w:themeColor="text1"/>
        </w:rPr>
        <w:lastRenderedPageBreak/>
        <w:t>有功。對於已有相當司法解剖實務經驗的病理專科醫師，在應考資格上不宜設立過高的門檻。至於薦送國外一年以上法醫訓練之病理醫師，可否不經國內法醫學程，應考專技法醫師乙節，法務部與考選部宜就其國外訓練內容進行認證，如確有不足之處，則應明訂應補修之課程以杜爭議，並確保法醫之專業。</w:t>
      </w:r>
    </w:p>
    <w:p w:rsidR="00F956E8" w:rsidRPr="000B2A94" w:rsidRDefault="00F956E8" w:rsidP="0081002C">
      <w:pPr>
        <w:pStyle w:val="4"/>
        <w:rPr>
          <w:color w:val="000000" w:themeColor="text1"/>
        </w:rPr>
      </w:pPr>
      <w:r w:rsidRPr="000B2A94">
        <w:rPr>
          <w:rFonts w:hint="eastAsia"/>
          <w:color w:val="000000" w:themeColor="text1"/>
        </w:rPr>
        <w:t>法醫師訓練方面，法醫師法的理念在於培育具有紮實醫學專業的法醫人才，僅基於避免人才流失，限制乙組法醫師取得醫師證照。此與政府為確保中醫品質及培育中醫人才，鼓勵各醫學院設置學士後中醫學系，在概念上有類似之處。醫界自不能倒果為因，以乙組法醫師不能取得醫師證照，未來可能成為密醫，故拒絕給予完整的臨床醫學培訓等牽強理由，造就不具臨床醫學知能的法醫師。目前法醫解剖人力不足的主要原因，在於衛福部禁止法醫病理醫師對乙組法醫師施以臨床訓練，法務部亦怠於提供司法特考錄取之公職法醫師完整的解剖實習及訓練課程，導致其等欠缺司法解剖的能力。亦即教、考、訓、用環節中，欠缺了「訓」的環節。不得已之下，臺大法醫學研究所甚至另闢蹊徑，將畢業生送往中國大陸學習解剖技能，衛福部及法務部對臺大法醫學研究所的困境毫無協力，對我國法醫師的培養如此消極。</w:t>
      </w:r>
    </w:p>
    <w:p w:rsidR="00F956E8" w:rsidRPr="000B2A94" w:rsidRDefault="00F956E8" w:rsidP="0081002C">
      <w:pPr>
        <w:pStyle w:val="4"/>
        <w:rPr>
          <w:color w:val="000000" w:themeColor="text1"/>
        </w:rPr>
      </w:pPr>
      <w:r w:rsidRPr="000B2A94">
        <w:rPr>
          <w:rFonts w:hint="eastAsia"/>
          <w:color w:val="000000" w:themeColor="text1"/>
        </w:rPr>
        <w:t>就用人面而言，法務部迄未充實各地檢署法醫師之員額，全國各檢察機關無主任法醫師之職缺，法醫師則僅有28位，加以法務部於104年以檢驗員檢驗屍體尚無窒礙及保障其等工作權為由，提案廢除有關檢驗員自106年起不得再執行檢驗屍</w:t>
      </w:r>
      <w:r w:rsidRPr="000B2A94">
        <w:rPr>
          <w:rFonts w:hint="eastAsia"/>
          <w:color w:val="000000" w:themeColor="text1"/>
        </w:rPr>
        <w:lastRenderedPageBreak/>
        <w:t>體業務之規定，致經新制法醫養成教育並通過專技法醫師考試者已有19人失業，破壞法醫師教、考、訓、用制度的完整性，亦浪費國家人才及醫學院資源。該所為疏解解剖人力不足的困境，採取集中解剖制及解剖審查制，屢生引發民怨及影響偵查時效之批評。</w:t>
      </w:r>
    </w:p>
    <w:p w:rsidR="00F956E8" w:rsidRPr="000B2A94" w:rsidRDefault="00F956E8" w:rsidP="0081002C">
      <w:pPr>
        <w:pStyle w:val="4"/>
        <w:rPr>
          <w:color w:val="000000" w:themeColor="text1"/>
        </w:rPr>
      </w:pPr>
      <w:r w:rsidRPr="000B2A94">
        <w:rPr>
          <w:rFonts w:hint="eastAsia"/>
          <w:color w:val="000000" w:themeColor="text1"/>
        </w:rPr>
        <w:t>就展望面而言，法醫師法第44條規定一定規模以上之醫院應設置法醫部門，雖立意良善，但陳意過高，加以政府未提供財務支援，相關規定形同具文。鑑於法醫業務應包括死人驗屍及活人驗傷，借鏡尹莘玲法醫師在高雄醫學大學附設中和紀念醫院推動兒少驗傷醫療整合中心的成功經驗，及參酌各醫學院及設附醫院之建議意見，政府發展法醫部門宜有完整的規畫。近程應鼓勵各教學醫院運用整合醫療及法醫鑑定，發展兒虐、家暴等事件之臨床法醫，協助婦幼保護及司法偵審鑑定，並宜擴及兒童死亡案件解剖及死因鑑定；中長程可參酌日本作法，在北、中、南、東各擇一醫學中心設立法醫部門，支援司法實務並進行教學及研究。為達上開目標，政府允應參酌先進國家的作法，重視死亡管理並挹注足夠資源。法務部應檢討司法解剖及鑑驗費用的合理性、教育部應協助醫學院設置臨床法醫教育，衛福部亦應研議如何藉由醫院評鑑，鼓勵醫學中心發展法醫部門，以善盡社會責任。</w:t>
      </w:r>
    </w:p>
    <w:p w:rsidR="00F956E8" w:rsidRPr="000B2A94" w:rsidRDefault="00F956E8" w:rsidP="005B04BF">
      <w:pPr>
        <w:pStyle w:val="3"/>
        <w:rPr>
          <w:color w:val="000000" w:themeColor="text1"/>
        </w:rPr>
      </w:pPr>
      <w:bookmarkStart w:id="404" w:name="_Toc27400011"/>
      <w:r w:rsidRPr="000B2A94">
        <w:rPr>
          <w:rFonts w:hint="eastAsia"/>
          <w:color w:val="000000" w:themeColor="text1"/>
        </w:rPr>
        <w:t>綜上</w:t>
      </w:r>
      <w:r w:rsidRPr="000B2A94">
        <w:rPr>
          <w:rFonts w:hAnsi="標楷體" w:hint="eastAsia"/>
          <w:color w:val="000000" w:themeColor="text1"/>
        </w:rPr>
        <w:t>，</w:t>
      </w:r>
      <w:r w:rsidRPr="000B2A94">
        <w:rPr>
          <w:rFonts w:hint="eastAsia"/>
          <w:color w:val="000000" w:themeColor="text1"/>
        </w:rPr>
        <w:t>有關現行法醫師人力嚴重不足之問題，影響鑑驗品質，不利於司法人權之伸張</w:t>
      </w:r>
      <w:r w:rsidRPr="000B2A94">
        <w:rPr>
          <w:rFonts w:hAnsi="標楷體" w:hint="eastAsia"/>
          <w:color w:val="000000" w:themeColor="text1"/>
        </w:rPr>
        <w:t>。</w:t>
      </w:r>
      <w:r w:rsidRPr="000B2A94">
        <w:rPr>
          <w:rFonts w:hint="eastAsia"/>
          <w:color w:val="000000" w:themeColor="text1"/>
        </w:rPr>
        <w:t>又法醫師法之落實及整體法醫鑑定制度之精進強化</w:t>
      </w:r>
      <w:r w:rsidRPr="000B2A94">
        <w:rPr>
          <w:rFonts w:hAnsi="標楷體" w:hint="eastAsia"/>
          <w:color w:val="000000" w:themeColor="text1"/>
        </w:rPr>
        <w:t>，行政院允宜正視並督促所屬積極解決。</w:t>
      </w:r>
      <w:r w:rsidRPr="000B2A94">
        <w:rPr>
          <w:rFonts w:hint="eastAsia"/>
          <w:color w:val="000000" w:themeColor="text1"/>
        </w:rPr>
        <w:t>另為充實目前</w:t>
      </w:r>
      <w:r w:rsidRPr="000B2A94">
        <w:rPr>
          <w:rFonts w:hAnsi="標楷體" w:hint="eastAsia"/>
          <w:color w:val="000000" w:themeColor="text1"/>
        </w:rPr>
        <w:t>法醫解剖中心設施與設備之水準</w:t>
      </w:r>
      <w:r w:rsidRPr="000B2A94">
        <w:rPr>
          <w:rFonts w:hint="eastAsia"/>
          <w:color w:val="000000" w:themeColor="text1"/>
        </w:rPr>
        <w:t>，有效提升現行司法相驗制</w:t>
      </w:r>
      <w:r w:rsidRPr="000B2A94">
        <w:rPr>
          <w:rFonts w:hint="eastAsia"/>
          <w:color w:val="000000" w:themeColor="text1"/>
        </w:rPr>
        <w:lastRenderedPageBreak/>
        <w:t>度及法醫鑑定之品質</w:t>
      </w:r>
      <w:r w:rsidRPr="000B2A94">
        <w:rPr>
          <w:rFonts w:hAnsi="標楷體" w:hint="eastAsia"/>
          <w:color w:val="000000" w:themeColor="text1"/>
        </w:rPr>
        <w:t>，亦</w:t>
      </w:r>
      <w:r w:rsidRPr="000B2A94">
        <w:rPr>
          <w:rFonts w:hint="eastAsia"/>
          <w:color w:val="000000" w:themeColor="text1"/>
        </w:rPr>
        <w:t>應妥予評估</w:t>
      </w:r>
      <w:r w:rsidR="005B04BF" w:rsidRPr="000B2A94">
        <w:rPr>
          <w:rFonts w:hint="eastAsia"/>
          <w:color w:val="000000" w:themeColor="text1"/>
        </w:rPr>
        <w:t>投入資源</w:t>
      </w:r>
      <w:r w:rsidR="009635DD" w:rsidRPr="000B2A94">
        <w:rPr>
          <w:rFonts w:hint="eastAsia"/>
          <w:color w:val="000000" w:themeColor="text1"/>
        </w:rPr>
        <w:t>於</w:t>
      </w:r>
      <w:r w:rsidR="00466B7E" w:rsidRPr="000B2A94">
        <w:rPr>
          <w:rFonts w:hint="eastAsia"/>
          <w:color w:val="000000" w:themeColor="text1"/>
        </w:rPr>
        <w:t>上開</w:t>
      </w:r>
      <w:r w:rsidR="005B04BF" w:rsidRPr="000B2A94">
        <w:rPr>
          <w:rFonts w:hint="eastAsia"/>
          <w:color w:val="000000" w:themeColor="text1"/>
        </w:rPr>
        <w:t>醫學中心</w:t>
      </w:r>
      <w:r w:rsidR="009635DD" w:rsidRPr="000B2A94">
        <w:rPr>
          <w:rFonts w:hint="eastAsia"/>
          <w:color w:val="000000" w:themeColor="text1"/>
        </w:rPr>
        <w:t>法醫部門</w:t>
      </w:r>
      <w:r w:rsidRPr="000B2A94">
        <w:rPr>
          <w:rFonts w:hint="eastAsia"/>
          <w:color w:val="000000" w:themeColor="text1"/>
        </w:rPr>
        <w:t>設置</w:t>
      </w:r>
      <w:r w:rsidR="00D620F7" w:rsidRPr="000B2A94">
        <w:rPr>
          <w:rFonts w:hint="eastAsia"/>
          <w:color w:val="000000" w:themeColor="text1"/>
        </w:rPr>
        <w:t>「具備生物安全第三等級及生物安全第三加等級法醫解剖中心」之可行性</w:t>
      </w:r>
      <w:r w:rsidR="00D620F7" w:rsidRPr="000B2A94">
        <w:rPr>
          <w:rFonts w:hAnsi="標楷體" w:hint="eastAsia"/>
          <w:color w:val="000000" w:themeColor="text1"/>
        </w:rPr>
        <w:t>。</w:t>
      </w:r>
      <w:bookmarkEnd w:id="404"/>
    </w:p>
    <w:p w:rsidR="00F956E8" w:rsidRPr="000B2A94" w:rsidRDefault="00F956E8" w:rsidP="0081002C">
      <w:pPr>
        <w:pStyle w:val="2"/>
        <w:rPr>
          <w:b/>
          <w:color w:val="000000" w:themeColor="text1"/>
          <w:szCs w:val="52"/>
        </w:rPr>
      </w:pPr>
      <w:bookmarkStart w:id="405" w:name="_Toc28606839"/>
      <w:r w:rsidRPr="000B2A94">
        <w:rPr>
          <w:rFonts w:hint="eastAsia"/>
          <w:b/>
          <w:color w:val="000000" w:themeColor="text1"/>
        </w:rPr>
        <w:t>現行各地方政府警察局相關刑事勘察人力及內政部警政署刑事警察局等鑑識機關鑑定人力之擴編及訓練，實需加強檢討因應。另各相關政府鑑識機關亦應加強透過行政院科技發展計畫之申辦，培</w:t>
      </w:r>
      <w:r w:rsidR="00CB42F0" w:rsidRPr="000B2A94">
        <w:rPr>
          <w:rFonts w:hint="eastAsia"/>
          <w:b/>
          <w:color w:val="000000" w:themeColor="text1"/>
        </w:rPr>
        <w:t>訓刑事科學鑑識人才，加強鑑識技術，完成實驗室認證，提升鑑定品質，並在組織人力及經費精簡之政策下，強化各鑑定機關物證資料庫之整合及合作。</w:t>
      </w:r>
      <w:r w:rsidRPr="000B2A94">
        <w:rPr>
          <w:rFonts w:hint="eastAsia"/>
          <w:b/>
          <w:color w:val="000000" w:themeColor="text1"/>
        </w:rPr>
        <w:t>又為期審判者能正確審查鑑定意見，法官相關鑑識基本知能之訓練及進修</w:t>
      </w:r>
      <w:r w:rsidRPr="000B2A94">
        <w:rPr>
          <w:rFonts w:hAnsi="標楷體" w:hint="eastAsia"/>
          <w:b/>
          <w:color w:val="000000" w:themeColor="text1"/>
        </w:rPr>
        <w:t>，</w:t>
      </w:r>
      <w:r w:rsidRPr="000B2A94">
        <w:rPr>
          <w:rFonts w:hint="eastAsia"/>
          <w:b/>
          <w:color w:val="000000" w:themeColor="text1"/>
        </w:rPr>
        <w:t>實有必要予以強化，而司法機關並應考量委請鑑識單位協助建立相關司法審查之標準，以供審判實務之參考。</w:t>
      </w:r>
      <w:bookmarkEnd w:id="405"/>
    </w:p>
    <w:p w:rsidR="00F956E8" w:rsidRPr="000B2A94" w:rsidRDefault="00F956E8" w:rsidP="0081002C">
      <w:pPr>
        <w:pStyle w:val="3"/>
        <w:rPr>
          <w:color w:val="000000" w:themeColor="text1"/>
        </w:rPr>
      </w:pPr>
      <w:bookmarkStart w:id="406" w:name="_Toc27400013"/>
      <w:r w:rsidRPr="000B2A94">
        <w:rPr>
          <w:rFonts w:hint="eastAsia"/>
          <w:color w:val="000000" w:themeColor="text1"/>
        </w:rPr>
        <w:t>為提升司法科學鑑定品質，有關加強刑案現場勘查</w:t>
      </w:r>
      <w:r w:rsidRPr="000B2A94">
        <w:rPr>
          <w:color w:val="000000" w:themeColor="text1"/>
        </w:rPr>
        <w:t>採證能力及品質</w:t>
      </w:r>
      <w:r w:rsidRPr="000B2A94">
        <w:rPr>
          <w:rFonts w:hint="eastAsia"/>
          <w:color w:val="000000" w:themeColor="text1"/>
        </w:rPr>
        <w:t>，目前中央及各地方政府警察局（中心、科）、分局（鑑識小組）之鑑識人力，及教育訓練辦理情形</w:t>
      </w:r>
      <w:r w:rsidRPr="000B2A94">
        <w:rPr>
          <w:rFonts w:hAnsi="標楷體" w:hint="eastAsia"/>
          <w:color w:val="000000" w:themeColor="text1"/>
        </w:rPr>
        <w:t>，</w:t>
      </w:r>
      <w:r w:rsidRPr="000B2A94">
        <w:rPr>
          <w:rFonts w:hint="eastAsia"/>
          <w:color w:val="000000" w:themeColor="text1"/>
        </w:rPr>
        <w:t>行政院說明略以：</w:t>
      </w:r>
      <w:bookmarkEnd w:id="406"/>
    </w:p>
    <w:p w:rsidR="00F956E8" w:rsidRPr="000B2A94" w:rsidRDefault="00F956E8" w:rsidP="0081002C">
      <w:pPr>
        <w:pStyle w:val="4"/>
        <w:rPr>
          <w:color w:val="000000" w:themeColor="text1"/>
        </w:rPr>
      </w:pPr>
      <w:r w:rsidRPr="000B2A94">
        <w:rPr>
          <w:rFonts w:hint="eastAsia"/>
          <w:color w:val="000000" w:themeColor="text1"/>
        </w:rPr>
        <w:t>刑事警察局受理全國各類刑案之證物鑑定，人力已顯不足，且司法院「刑事訴訟法」修正朝鑑定人原則上須到庭說明之修法方向，則鑑定人力不足態勢必將擴大，若組織人力未適時擴編，為避免案件延宕，可能必須停止受理鑑定，故刑事警察局於108年8月提出相關組織擴編及改造方案送核定中；該局除依認證相關要求，鑑定單位每年至少辦理8小時之在職訓練課程外，各鑑定領域亦會不定期辦理教育訓練，並邀請國內外專家講授相關專業課程。</w:t>
      </w:r>
    </w:p>
    <w:p w:rsidR="00F956E8" w:rsidRPr="000B2A94" w:rsidRDefault="00F956E8" w:rsidP="0081002C">
      <w:pPr>
        <w:pStyle w:val="4"/>
        <w:rPr>
          <w:bCs/>
          <w:color w:val="000000" w:themeColor="text1"/>
          <w:kern w:val="0"/>
        </w:rPr>
      </w:pPr>
      <w:r w:rsidRPr="000B2A94">
        <w:rPr>
          <w:rFonts w:hint="eastAsia"/>
          <w:color w:val="000000" w:themeColor="text1"/>
        </w:rPr>
        <w:t>各地方政府警察局之機關勘察人力大多尚足以應付轄區案件之勘察，惟各分局勘察人力多為偵</w:t>
      </w:r>
      <w:r w:rsidRPr="000B2A94">
        <w:rPr>
          <w:rFonts w:hint="eastAsia"/>
          <w:color w:val="000000" w:themeColor="text1"/>
        </w:rPr>
        <w:lastRenderedPageBreak/>
        <w:t>查人員訓練編組而成，若該分局偵查隊人力不足，尚需兼辦偵查隊勤業務，造成人員流動性較高，影響勘察經驗積累；至於教育訓練方面，除內政部警政署每半年舉辦之全國鑑識工作會議外</w:t>
      </w:r>
      <w:r w:rsidRPr="000B2A94">
        <w:rPr>
          <w:rFonts w:hint="eastAsia"/>
          <w:bCs/>
          <w:color w:val="000000" w:themeColor="text1"/>
          <w:kern w:val="0"/>
        </w:rPr>
        <w:t>，各機關均會定期自行辦理訓練課程，或派員參與內政部警政署或社團法人臺灣鑑識科學學會之相關專業訓練課程；另通過認證之實驗室，均依認證相關要求每年至少辦理8小時之在職訓練課程。</w:t>
      </w:r>
    </w:p>
    <w:p w:rsidR="00F956E8" w:rsidRPr="000B2A94" w:rsidRDefault="00F956E8" w:rsidP="0081002C">
      <w:pPr>
        <w:pStyle w:val="3"/>
        <w:rPr>
          <w:color w:val="000000" w:themeColor="text1"/>
        </w:rPr>
      </w:pPr>
      <w:bookmarkStart w:id="407" w:name="_Toc27400014"/>
      <w:r w:rsidRPr="000B2A94">
        <w:rPr>
          <w:rFonts w:hint="eastAsia"/>
          <w:color w:val="000000" w:themeColor="text1"/>
        </w:rPr>
        <w:t>有關目前各鑑定機關申請行政院科技發展計畫發展鑑識技術、辦理實驗室認證或建置刑事鑑識資料庫之情形</w:t>
      </w:r>
      <w:r w:rsidRPr="000B2A94">
        <w:rPr>
          <w:rFonts w:hAnsi="標楷體" w:hint="eastAsia"/>
          <w:color w:val="000000" w:themeColor="text1"/>
        </w:rPr>
        <w:t>，</w:t>
      </w:r>
      <w:r w:rsidRPr="000B2A94">
        <w:rPr>
          <w:rFonts w:hint="eastAsia"/>
          <w:color w:val="000000" w:themeColor="text1"/>
        </w:rPr>
        <w:t>行政院說明略以</w:t>
      </w:r>
      <w:r w:rsidRPr="000B2A94">
        <w:rPr>
          <w:rFonts w:hAnsi="標楷體" w:hint="eastAsia"/>
          <w:color w:val="000000" w:themeColor="text1"/>
        </w:rPr>
        <w:t>：</w:t>
      </w:r>
      <w:bookmarkEnd w:id="407"/>
    </w:p>
    <w:p w:rsidR="00F956E8" w:rsidRPr="000B2A94" w:rsidRDefault="00F956E8" w:rsidP="0081002C">
      <w:pPr>
        <w:pStyle w:val="4"/>
        <w:rPr>
          <w:bCs/>
          <w:color w:val="000000" w:themeColor="text1"/>
        </w:rPr>
      </w:pPr>
      <w:r w:rsidRPr="000B2A94">
        <w:rPr>
          <w:rFonts w:hint="eastAsia"/>
          <w:color w:val="000000" w:themeColor="text1"/>
        </w:rPr>
        <w:t>法務部調查局</w:t>
      </w:r>
      <w:r w:rsidRPr="000B2A94">
        <w:rPr>
          <w:rFonts w:hAnsi="標楷體" w:hint="eastAsia"/>
          <w:bCs/>
          <w:color w:val="000000" w:themeColor="text1"/>
        </w:rPr>
        <w:t>：</w:t>
      </w:r>
    </w:p>
    <w:p w:rsidR="00F956E8" w:rsidRPr="000B2A94" w:rsidRDefault="00F956E8" w:rsidP="0081002C">
      <w:pPr>
        <w:pStyle w:val="5"/>
        <w:rPr>
          <w:color w:val="000000" w:themeColor="text1"/>
        </w:rPr>
      </w:pPr>
      <w:r w:rsidRPr="000B2A94">
        <w:rPr>
          <w:rFonts w:hint="eastAsia"/>
          <w:color w:val="000000" w:themeColor="text1"/>
        </w:rPr>
        <w:t>法務部調查局之鑑識單位設於鑑識科學處及資通安全處，其中鑑識科學處設有濫用藥物實驗室、文書暨指紋鑑識實驗室、DNA鑑識實驗室；資通安全處設有資安鑑識實驗室，前述鑑識實驗室均經財團法人全國認證基金會（TAF）ISO/IEC 17025實驗室認證通過，每3年定期向TAF辦理一次認證延展評鑑。</w:t>
      </w:r>
    </w:p>
    <w:p w:rsidR="00F956E8" w:rsidRPr="000B2A94" w:rsidRDefault="00F956E8" w:rsidP="0081002C">
      <w:pPr>
        <w:pStyle w:val="5"/>
        <w:rPr>
          <w:color w:val="000000" w:themeColor="text1"/>
        </w:rPr>
      </w:pPr>
      <w:r w:rsidRPr="000B2A94">
        <w:rPr>
          <w:rFonts w:hint="eastAsia"/>
          <w:color w:val="000000" w:themeColor="text1"/>
        </w:rPr>
        <w:t>鑑識科學處部分：</w:t>
      </w:r>
    </w:p>
    <w:p w:rsidR="00F956E8" w:rsidRPr="000B2A94" w:rsidRDefault="00F956E8" w:rsidP="0081002C">
      <w:pPr>
        <w:pStyle w:val="51"/>
        <w:ind w:left="2041" w:firstLine="680"/>
        <w:rPr>
          <w:color w:val="000000" w:themeColor="text1"/>
        </w:rPr>
      </w:pPr>
      <w:r w:rsidRPr="000B2A94">
        <w:rPr>
          <w:rFonts w:hint="eastAsia"/>
          <w:color w:val="000000" w:themeColor="text1"/>
        </w:rPr>
        <w:tab/>
        <w:t>依業務需要，逐年向行政院申請科技計畫相關經費，針對鑑識科技相關技術進行研究發展〔如奈米毒品快篩試劑（紙）之開發〕，並依研究成果派員於國內外發表論文、參加研討會或短期訓練，以提升鑑識人員技能。依據「鑑識學實驗室認證技術規範」技術要求，就鑑定、比對及研判目的，蒐集建置維持之案件常見數據或物件（質）的參考物質（如毒品、票券與證照），並為適當管制應用；另依據行政院反毒</w:t>
      </w:r>
      <w:r w:rsidRPr="000B2A94">
        <w:rPr>
          <w:rFonts w:hint="eastAsia"/>
          <w:color w:val="000000" w:themeColor="text1"/>
        </w:rPr>
        <w:lastRenderedPageBreak/>
        <w:t>策略建置「新興濫用物質尿液檢驗資料庫」，支援新興毒品尿液檢驗工作，並分享國內各鑑定機關（構）使用。</w:t>
      </w:r>
    </w:p>
    <w:p w:rsidR="00F956E8" w:rsidRPr="000B2A94" w:rsidRDefault="00F956E8" w:rsidP="0081002C">
      <w:pPr>
        <w:pStyle w:val="5"/>
        <w:rPr>
          <w:color w:val="000000" w:themeColor="text1"/>
        </w:rPr>
      </w:pPr>
      <w:r w:rsidRPr="000B2A94">
        <w:rPr>
          <w:rFonts w:hint="eastAsia"/>
          <w:color w:val="000000" w:themeColor="text1"/>
        </w:rPr>
        <w:t>資通安全處部分：</w:t>
      </w:r>
    </w:p>
    <w:p w:rsidR="00F956E8" w:rsidRPr="000B2A94" w:rsidRDefault="00F956E8" w:rsidP="0081002C">
      <w:pPr>
        <w:pStyle w:val="51"/>
        <w:ind w:left="2041" w:firstLine="680"/>
        <w:rPr>
          <w:color w:val="000000" w:themeColor="text1"/>
        </w:rPr>
      </w:pPr>
      <w:r w:rsidRPr="000B2A94">
        <w:rPr>
          <w:rFonts w:hint="eastAsia"/>
          <w:color w:val="000000" w:themeColor="text1"/>
        </w:rPr>
        <w:t>現正執行之法務部「法務資安整體防禦基礎建設計畫」-「全國跨域鑑識平台子計畫」，即屬行政院科技發展年度計畫，目的包含：(1)導入跨域鑑識服務平台分析系統，即時掌握案關證據。(2)建置跨域自助式數位證據檢視室，加強鑑識作業效率。(3)強化一線採證能力與作業流程，確保數位證據完整性。(4)培養專業外勤數位鑑識人力。又</w:t>
      </w:r>
      <w:r w:rsidRPr="000B2A94">
        <w:rPr>
          <w:rFonts w:hint="eastAsia"/>
          <w:color w:val="000000" w:themeColor="text1"/>
        </w:rPr>
        <w:tab/>
        <w:t>法務部調查局資安鑑識實驗室於104年訂定數位證據保全標準作業程序規範及現場數位證據保全操作手冊，供現場數位證據採證人員參考。此外，法務部調查局資安鑑識實驗室對於個案送鑑之數位證物僅作暫時保管，鑑識完成後即由送鑑單位領回，目前並未發展數位證據相關之「刑事鑑識資料庫」。</w:t>
      </w:r>
    </w:p>
    <w:p w:rsidR="00F956E8" w:rsidRPr="000B2A94" w:rsidRDefault="00F956E8" w:rsidP="0081002C">
      <w:pPr>
        <w:pStyle w:val="4"/>
        <w:rPr>
          <w:color w:val="000000" w:themeColor="text1"/>
        </w:rPr>
      </w:pPr>
      <w:r w:rsidRPr="000B2A94">
        <w:rPr>
          <w:rFonts w:hint="eastAsia"/>
          <w:color w:val="000000" w:themeColor="text1"/>
        </w:rPr>
        <w:t>法醫研究所</w:t>
      </w:r>
      <w:r w:rsidRPr="000B2A94">
        <w:rPr>
          <w:rFonts w:hAnsi="標楷體" w:hint="eastAsia"/>
          <w:color w:val="000000" w:themeColor="text1"/>
        </w:rPr>
        <w:t>：</w:t>
      </w:r>
      <w:r w:rsidRPr="000B2A94">
        <w:rPr>
          <w:rFonts w:hint="eastAsia"/>
          <w:color w:val="000000" w:themeColor="text1"/>
        </w:rPr>
        <w:t>法醫研究所法醫病理組、毒物化學組及血清證物組每年均向法務部申請科技計畫，成果分述如下：</w:t>
      </w:r>
    </w:p>
    <w:p w:rsidR="00F956E8" w:rsidRPr="000B2A94" w:rsidRDefault="00F956E8" w:rsidP="0081002C">
      <w:pPr>
        <w:pStyle w:val="5"/>
        <w:rPr>
          <w:color w:val="000000" w:themeColor="text1"/>
        </w:rPr>
      </w:pPr>
      <w:r w:rsidRPr="000B2A94">
        <w:rPr>
          <w:rFonts w:hAnsi="標楷體" w:hint="eastAsia"/>
          <w:color w:val="000000" w:themeColor="text1"/>
          <w:szCs w:val="32"/>
        </w:rPr>
        <w:t>法醫研究所</w:t>
      </w:r>
      <w:r w:rsidRPr="000B2A94">
        <w:rPr>
          <w:rFonts w:hint="eastAsia"/>
          <w:color w:val="000000" w:themeColor="text1"/>
        </w:rPr>
        <w:t>自96</w:t>
      </w:r>
      <w:r w:rsidRPr="000B2A94">
        <w:rPr>
          <w:rFonts w:hint="eastAsia"/>
          <w:color w:val="000000" w:themeColor="text1"/>
          <w:kern w:val="0"/>
          <w:szCs w:val="48"/>
        </w:rPr>
        <w:t>年起每年</w:t>
      </w:r>
      <w:r w:rsidRPr="000B2A94">
        <w:rPr>
          <w:rFonts w:hint="eastAsia"/>
          <w:color w:val="000000" w:themeColor="text1"/>
        </w:rPr>
        <w:t>均申請行政院科技部之科技發展計畫，研究成果均發表於國內外法醫或鑑識科學研討會及知名學術期刊，此外研發之技術並運用於例行性實務法醫案件之鑑驗，對於法醫鑑識技術及鑑驗品質之提升，有非常大之助益。</w:t>
      </w:r>
    </w:p>
    <w:p w:rsidR="00F956E8" w:rsidRPr="000B2A94" w:rsidRDefault="00F956E8" w:rsidP="0081002C">
      <w:pPr>
        <w:pStyle w:val="5"/>
        <w:rPr>
          <w:color w:val="000000" w:themeColor="text1"/>
        </w:rPr>
      </w:pPr>
      <w:r w:rsidRPr="000B2A94">
        <w:rPr>
          <w:rFonts w:hint="eastAsia"/>
          <w:color w:val="000000" w:themeColor="text1"/>
        </w:rPr>
        <w:t>法醫研究所3個鑑識實驗室於100年均通過全國認證基金會(TAF) ISO/IEC 17025國際認證規範評鑑認證。並依國際實驗室認證聯盟(ILAC)</w:t>
      </w:r>
      <w:r w:rsidRPr="000B2A94">
        <w:rPr>
          <w:rFonts w:hint="eastAsia"/>
          <w:color w:val="000000" w:themeColor="text1"/>
        </w:rPr>
        <w:lastRenderedPageBreak/>
        <w:t>之鑑識科學實驗室指引(ILAC G19)訂定鑑識科學實驗室認證技術規範進行評鑑認證，因此在國內已鑑立完善之認證規範與認證制度，且均與國際認證同步進行與接軌，並獲國際認證相互承認。</w:t>
      </w:r>
    </w:p>
    <w:p w:rsidR="00F956E8" w:rsidRPr="000B2A94" w:rsidRDefault="00F956E8" w:rsidP="0081002C">
      <w:pPr>
        <w:pStyle w:val="5"/>
        <w:rPr>
          <w:color w:val="000000" w:themeColor="text1"/>
        </w:rPr>
      </w:pPr>
      <w:r w:rsidRPr="000B2A94">
        <w:rPr>
          <w:rFonts w:hint="eastAsia"/>
          <w:color w:val="000000" w:themeColor="text1"/>
        </w:rPr>
        <w:t>法醫研究所毒物化學組從92年起即開始建立各項毒藥物檢驗之標準作業流程。並於96年起逐年採購標準品，建立氣相層析質譜儀、液相層析離子阱質譜儀及液相層析四極柱飛行時間質譜儀等三種精密儀器之標準質譜資料庫，並應用於一般未知毒藥物篩驗之法醫毒物及尿液新興毒品案件分析。目前已建立超過1500種以上毒藥物質譜圖譜資料庫，包含鴉片類、安非他命類、鎮靜安眠藥、抗憂鬱劑、農藥、一般常見藥物及超過500種以上之新興毒品。同時每年均向全國認證基金會申請增項認證，至107年底通過認證之項目共計33項，為目前全國認證項目最多之鑑識單位。</w:t>
      </w:r>
    </w:p>
    <w:p w:rsidR="00F956E8" w:rsidRPr="000B2A94" w:rsidRDefault="00F956E8" w:rsidP="0081002C">
      <w:pPr>
        <w:pStyle w:val="5"/>
        <w:rPr>
          <w:color w:val="000000" w:themeColor="text1"/>
        </w:rPr>
      </w:pPr>
      <w:r w:rsidRPr="000B2A94">
        <w:rPr>
          <w:rFonts w:hint="eastAsia"/>
          <w:color w:val="000000" w:themeColor="text1"/>
        </w:rPr>
        <w:t>法醫研究所血清證物組之「DNA實驗室」通過認證項目計6項，為國內法醫DNA認證項目最多單位之一。並自98年2月份起，辦理全國無名屍比對業務。目前已建置，無名屍DNA資料庫，累積無名屍共約3000餘案(其中包含法務部調查局移轉至法醫研究所案件，以及法醫研究所檔存案件)。法醫研究所將尋親家屬DNA與法醫所檔存無名屍DNA資料庫進行親緣關係比對，使用最新基因鑑定技術，盡一切DNA鑑定之能事，讓無名屍找到一條回家的路。</w:t>
      </w:r>
    </w:p>
    <w:p w:rsidR="00F956E8" w:rsidRPr="000B2A94" w:rsidRDefault="00F956E8" w:rsidP="0081002C">
      <w:pPr>
        <w:pStyle w:val="5"/>
        <w:rPr>
          <w:color w:val="000000" w:themeColor="text1"/>
        </w:rPr>
      </w:pPr>
      <w:r w:rsidRPr="000B2A94">
        <w:rPr>
          <w:rFonts w:hint="eastAsia"/>
          <w:color w:val="000000" w:themeColor="text1"/>
        </w:rPr>
        <w:t>法醫研究所病理組為提升我國法醫解剖鑑定品質，於107年8月9日訂定「法務部法醫研究所</w:t>
      </w:r>
      <w:r w:rsidRPr="000B2A94">
        <w:rPr>
          <w:rFonts w:hint="eastAsia"/>
          <w:color w:val="000000" w:themeColor="text1"/>
        </w:rPr>
        <w:lastRenderedPageBreak/>
        <w:t>法醫解剖遺體作業流程」予各解剖法醫師參考。</w:t>
      </w:r>
    </w:p>
    <w:p w:rsidR="00F956E8" w:rsidRPr="000B2A94" w:rsidRDefault="00F956E8" w:rsidP="0081002C">
      <w:pPr>
        <w:pStyle w:val="4"/>
        <w:rPr>
          <w:color w:val="000000" w:themeColor="text1"/>
        </w:rPr>
      </w:pPr>
      <w:r w:rsidRPr="000B2A94">
        <w:rPr>
          <w:rFonts w:hint="eastAsia"/>
          <w:color w:val="000000" w:themeColor="text1"/>
        </w:rPr>
        <w:t>刑事警察局</w:t>
      </w:r>
      <w:r w:rsidRPr="000B2A94">
        <w:rPr>
          <w:rFonts w:hAnsi="標楷體" w:hint="eastAsia"/>
          <w:color w:val="000000" w:themeColor="text1"/>
        </w:rPr>
        <w:t>：</w:t>
      </w:r>
      <w:r w:rsidRPr="000B2A94">
        <w:rPr>
          <w:rFonts w:hint="eastAsia"/>
          <w:color w:val="000000" w:themeColor="text1"/>
        </w:rPr>
        <w:t>內政部警政署刑事警察局與中央警察大學申請科技計畫相關經費共同合作發展鑑識相關技術，另該局亦申請該經費薦送優秀人員出國研習與邀請國內、外鑑識專家講授鑑識相關課程；各地方警察機關則未申請科技計畫相關經費。</w:t>
      </w:r>
    </w:p>
    <w:p w:rsidR="00F956E8" w:rsidRPr="000B2A94" w:rsidRDefault="00F956E8" w:rsidP="0081002C">
      <w:pPr>
        <w:pStyle w:val="3"/>
        <w:rPr>
          <w:color w:val="000000" w:themeColor="text1"/>
        </w:rPr>
      </w:pPr>
      <w:bookmarkStart w:id="408" w:name="_Toc27400015"/>
      <w:r w:rsidRPr="000B2A94">
        <w:rPr>
          <w:rFonts w:hint="eastAsia"/>
          <w:color w:val="000000" w:themeColor="text1"/>
        </w:rPr>
        <w:t>在組織人力、經費精簡之政策下，目前各鑑定機關之物證資料庫整合或合作情形。</w:t>
      </w:r>
      <w:bookmarkEnd w:id="408"/>
    </w:p>
    <w:p w:rsidR="00F956E8" w:rsidRPr="000B2A94" w:rsidRDefault="00F956E8" w:rsidP="0081002C">
      <w:pPr>
        <w:pStyle w:val="4"/>
        <w:rPr>
          <w:color w:val="000000" w:themeColor="text1"/>
        </w:rPr>
      </w:pPr>
      <w:r w:rsidRPr="000B2A94">
        <w:rPr>
          <w:rFonts w:hint="eastAsia"/>
          <w:color w:val="000000" w:themeColor="text1"/>
        </w:rPr>
        <w:t>法務部調查局</w:t>
      </w:r>
      <w:r w:rsidRPr="000B2A94">
        <w:rPr>
          <w:rFonts w:hint="eastAsia"/>
          <w:color w:val="000000" w:themeColor="text1"/>
        </w:rPr>
        <w:tab/>
        <w:t>：鑑識科學處依「國際標準ISO/IEC 17025」及「鑑識科學實驗室認證技術規範」，訂定「證物收發及處理作業程序」針對囑託或受案鑑定證物，於鑑定期間進行妥適之儲存與保管；鑑定案件結束後，除「海洛因、大麻等獲案毒品證物」，逕送法務部調查局毒品專庫保管（每年定期於63禁煙節前，公開銷燬）、「DNA驗餘檢品」由鑑識科學處依法令規範保存年限辦理保管外（如當事人再申請鑑定，需於保存期限內提出申請），其餘證物均請送驗機關具名領回。另所建置之「新興濫用物質尿液檢驗資料庫」，支援新興毒品尿液檢驗工作，並分享國內各鑑定機關（構）使用。</w:t>
      </w:r>
    </w:p>
    <w:p w:rsidR="00F956E8" w:rsidRPr="000B2A94" w:rsidRDefault="00F956E8" w:rsidP="0081002C">
      <w:pPr>
        <w:pStyle w:val="4"/>
        <w:rPr>
          <w:color w:val="000000" w:themeColor="text1"/>
        </w:rPr>
      </w:pPr>
      <w:r w:rsidRPr="000B2A94">
        <w:rPr>
          <w:rFonts w:hint="eastAsia"/>
          <w:color w:val="000000" w:themeColor="text1"/>
        </w:rPr>
        <w:t>法醫研究</w:t>
      </w:r>
      <w:r w:rsidRPr="000B2A94">
        <w:rPr>
          <w:color w:val="000000" w:themeColor="text1"/>
        </w:rPr>
        <w:t>所接受各法院、檢察署委託辦理法醫鑑驗，相關鑑定結果、物證資料均回覆送驗機關，做為司法偵審之參考。故</w:t>
      </w:r>
      <w:r w:rsidRPr="000B2A94">
        <w:rPr>
          <w:rFonts w:hint="eastAsia"/>
          <w:color w:val="000000" w:themeColor="text1"/>
        </w:rPr>
        <w:t>該</w:t>
      </w:r>
      <w:r w:rsidRPr="000B2A94">
        <w:rPr>
          <w:color w:val="000000" w:themeColor="text1"/>
        </w:rPr>
        <w:t>所物證資料庫與各鑑定機關合作僅有</w:t>
      </w:r>
      <w:r w:rsidRPr="000B2A94">
        <w:rPr>
          <w:rFonts w:hint="eastAsia"/>
          <w:color w:val="000000" w:themeColor="text1"/>
        </w:rPr>
        <w:t>無名屍DNA資料庫</w:t>
      </w:r>
      <w:r w:rsidRPr="000B2A94">
        <w:rPr>
          <w:color w:val="000000" w:themeColor="text1"/>
        </w:rPr>
        <w:t>：</w:t>
      </w:r>
      <w:r w:rsidRPr="000B2A94">
        <w:rPr>
          <w:rFonts w:hint="eastAsia"/>
          <w:color w:val="000000" w:themeColor="text1"/>
        </w:rPr>
        <w:t>(1)法醫研究所依去氧核醣核酸採樣條例及臺灣高等檢察署106年04月27日檢文勤字第10610006680號函，檢送88年至106年3月止未尋獲家屬之檔存無名屍DNA資料與內政部警政署刑事警察局DNA資料進</w:t>
      </w:r>
      <w:r w:rsidRPr="000B2A94">
        <w:rPr>
          <w:rFonts w:hint="eastAsia"/>
          <w:color w:val="000000" w:themeColor="text1"/>
        </w:rPr>
        <w:lastRenderedPageBreak/>
        <w:t>行比對，協尋失蹤人口，之後再經函詢全國各地檢署同意概括授權法醫研究所爾後每半年彙送內政部警政署刑事警察局進行比對。(2)全國各警察機關亦會將尋親家屬資料傳送法醫研究所無名屍DNA進行比對，近年來已獲得顯著成效，協助許多無名屍找到回家的路，使無名屍與家人「團圓」，減少社會資源浪費，真正達到為民服務目的。</w:t>
      </w:r>
    </w:p>
    <w:p w:rsidR="00F956E8" w:rsidRPr="000B2A94" w:rsidRDefault="00F956E8" w:rsidP="0081002C">
      <w:pPr>
        <w:pStyle w:val="4"/>
        <w:rPr>
          <w:rFonts w:hAnsi="標楷體"/>
          <w:bCs/>
          <w:color w:val="000000" w:themeColor="text1"/>
          <w:kern w:val="0"/>
          <w:szCs w:val="48"/>
        </w:rPr>
      </w:pPr>
      <w:r w:rsidRPr="000B2A94">
        <w:rPr>
          <w:rFonts w:hint="eastAsia"/>
          <w:color w:val="000000" w:themeColor="text1"/>
        </w:rPr>
        <w:t>內政部警</w:t>
      </w:r>
      <w:r w:rsidRPr="000B2A94">
        <w:rPr>
          <w:rFonts w:hint="eastAsia"/>
          <w:bCs/>
          <w:color w:val="000000" w:themeColor="text1"/>
          <w:kern w:val="0"/>
          <w:szCs w:val="48"/>
        </w:rPr>
        <w:t>政署</w:t>
      </w:r>
      <w:r w:rsidRPr="000B2A94">
        <w:rPr>
          <w:rFonts w:hAnsi="標楷體" w:hint="eastAsia"/>
          <w:bCs/>
          <w:color w:val="000000" w:themeColor="text1"/>
          <w:kern w:val="0"/>
          <w:szCs w:val="48"/>
        </w:rPr>
        <w:t>：</w:t>
      </w:r>
    </w:p>
    <w:p w:rsidR="00F956E8" w:rsidRPr="000B2A94" w:rsidRDefault="00F956E8" w:rsidP="0081002C">
      <w:pPr>
        <w:pStyle w:val="5"/>
        <w:rPr>
          <w:color w:val="000000" w:themeColor="text1"/>
        </w:rPr>
      </w:pPr>
      <w:r w:rsidRPr="000B2A94">
        <w:rPr>
          <w:rFonts w:hint="eastAsia"/>
          <w:color w:val="000000" w:themeColor="text1"/>
        </w:rPr>
        <w:t>定期與法醫研究所無名屍DNA資料庫進行比對。</w:t>
      </w:r>
    </w:p>
    <w:p w:rsidR="00F956E8" w:rsidRPr="000B2A94" w:rsidRDefault="00F956E8" w:rsidP="0081002C">
      <w:pPr>
        <w:pStyle w:val="5"/>
        <w:rPr>
          <w:color w:val="000000" w:themeColor="text1"/>
        </w:rPr>
      </w:pPr>
      <w:r w:rsidRPr="000B2A94">
        <w:rPr>
          <w:rFonts w:hint="eastAsia"/>
          <w:color w:val="000000" w:themeColor="text1"/>
        </w:rPr>
        <w:t>直轄市政府警察局DNA實驗室定期上傳刑事案件DNA型別與刑事警察局資料庫進行比對。</w:t>
      </w:r>
    </w:p>
    <w:p w:rsidR="00F956E8" w:rsidRPr="000B2A94" w:rsidRDefault="00F956E8" w:rsidP="0081002C">
      <w:pPr>
        <w:pStyle w:val="5"/>
        <w:rPr>
          <w:color w:val="000000" w:themeColor="text1"/>
        </w:rPr>
      </w:pPr>
      <w:r w:rsidRPr="000B2A94">
        <w:rPr>
          <w:rFonts w:hint="eastAsia"/>
          <w:color w:val="000000" w:themeColor="text1"/>
        </w:rPr>
        <w:t>建立各類新興毒品之拉曼標準圖譜並提供各警察機關手持式拉曼分析儀使用。</w:t>
      </w:r>
    </w:p>
    <w:p w:rsidR="00F956E8" w:rsidRPr="000B2A94" w:rsidRDefault="00F956E8" w:rsidP="0081002C">
      <w:pPr>
        <w:pStyle w:val="5"/>
        <w:rPr>
          <w:color w:val="000000" w:themeColor="text1"/>
        </w:rPr>
      </w:pPr>
      <w:r w:rsidRPr="000B2A94">
        <w:rPr>
          <w:rFonts w:hint="eastAsia"/>
          <w:color w:val="000000" w:themeColor="text1"/>
        </w:rPr>
        <w:t>於各地方政府警察局設置指紋遠端工作站。</w:t>
      </w:r>
    </w:p>
    <w:p w:rsidR="00F956E8" w:rsidRPr="000B2A94" w:rsidRDefault="00F956E8" w:rsidP="0081002C">
      <w:pPr>
        <w:pStyle w:val="3"/>
        <w:rPr>
          <w:color w:val="000000" w:themeColor="text1"/>
        </w:rPr>
      </w:pPr>
      <w:bookmarkStart w:id="409" w:name="_Toc27400016"/>
      <w:r w:rsidRPr="000B2A94">
        <w:rPr>
          <w:rFonts w:hint="eastAsia"/>
          <w:color w:val="000000" w:themeColor="text1"/>
        </w:rPr>
        <w:t>法務部調查局於本院座談會議建議由政府委託社團法人臺灣鑑識科學學會，統合國內鑑識科學專業人員與學術機構，辦理人員教育訓練、能力試驗及鑑定證照之核發部分</w:t>
      </w:r>
      <w:r w:rsidRPr="000B2A94">
        <w:rPr>
          <w:rFonts w:hAnsi="標楷體" w:hint="eastAsia"/>
          <w:color w:val="000000" w:themeColor="text1"/>
        </w:rPr>
        <w:t>：</w:t>
      </w:r>
      <w:bookmarkEnd w:id="409"/>
    </w:p>
    <w:p w:rsidR="00F956E8" w:rsidRPr="000B2A94" w:rsidRDefault="00F956E8" w:rsidP="0081002C">
      <w:pPr>
        <w:pStyle w:val="4"/>
        <w:rPr>
          <w:color w:val="000000" w:themeColor="text1"/>
        </w:rPr>
      </w:pPr>
      <w:r w:rsidRPr="000B2A94">
        <w:rPr>
          <w:rFonts w:hint="eastAsia"/>
          <w:color w:val="000000" w:themeColor="text1"/>
        </w:rPr>
        <w:t>法務部調查局座談建議內容如下：建議由政府認可並委託「TAFS」，統合國內鑑識科學專業人員與學術機構的力量，依該會現行推展之鑑識科技方針，授與辦理人員教育訓練、能力試驗與鑑定證照之核發，統籌建立標準品資料庫、整合研究發展等鑑識科技相關事項，期在政府組織精簡之政策下，將現有鑑識人力與資源發揮最大之效益。</w:t>
      </w:r>
    </w:p>
    <w:p w:rsidR="00F956E8" w:rsidRPr="000B2A94" w:rsidRDefault="00F956E8" w:rsidP="0081002C">
      <w:pPr>
        <w:pStyle w:val="4"/>
        <w:rPr>
          <w:color w:val="000000" w:themeColor="text1"/>
        </w:rPr>
      </w:pPr>
      <w:r w:rsidRPr="000B2A94">
        <w:rPr>
          <w:rFonts w:hint="eastAsia"/>
          <w:color w:val="000000" w:themeColor="text1"/>
        </w:rPr>
        <w:t>法務部調查局認為，目前數位(資安)</w:t>
      </w:r>
      <w:r w:rsidR="00466B7E" w:rsidRPr="000B2A94">
        <w:rPr>
          <w:rFonts w:hint="eastAsia"/>
          <w:color w:val="000000" w:themeColor="text1"/>
        </w:rPr>
        <w:t>鑑識領域因鑑識標的變化快</w:t>
      </w:r>
      <w:r w:rsidRPr="000B2A94">
        <w:rPr>
          <w:rFonts w:hint="eastAsia"/>
          <w:color w:val="000000" w:themeColor="text1"/>
        </w:rPr>
        <w:t>速，應爭取經費延聘國內外專</w:t>
      </w:r>
      <w:r w:rsidRPr="000B2A94">
        <w:rPr>
          <w:rFonts w:hint="eastAsia"/>
          <w:color w:val="000000" w:themeColor="text1"/>
        </w:rPr>
        <w:lastRenderedPageBreak/>
        <w:t>家、派員出國進修或購買線上課程方式進行教育訓練，方能因應不斷變化之數位鑑識需求。</w:t>
      </w:r>
      <w:r w:rsidRPr="000B2A94">
        <w:rPr>
          <w:rFonts w:hint="eastAsia"/>
          <w:color w:val="000000" w:themeColor="text1"/>
        </w:rPr>
        <w:tab/>
        <w:t>針對數位鑑識人員，國內尚無能力認證之機構，但國外已有多個機構可認證數位(資安)鑑識領域之人員能力並核發證照，例如EC-Council機構核發之道德駭客(CEH)及電腦駭侵鑑識調查(CHFI)等，故法務部調查局數位鑑識人員，在經費允許下每年均會安排此類在職進修課程。</w:t>
      </w:r>
    </w:p>
    <w:p w:rsidR="00F956E8" w:rsidRPr="000B2A94" w:rsidRDefault="00F956E8" w:rsidP="0081002C">
      <w:pPr>
        <w:pStyle w:val="4"/>
        <w:rPr>
          <w:bCs/>
          <w:color w:val="000000" w:themeColor="text1"/>
          <w:kern w:val="0"/>
        </w:rPr>
      </w:pPr>
      <w:r w:rsidRPr="000B2A94">
        <w:rPr>
          <w:rFonts w:hint="eastAsia"/>
          <w:color w:val="000000" w:themeColor="text1"/>
        </w:rPr>
        <w:t>法醫研究所認為，國內刑事鑑識機關之鑑定項目與實驗室大部分均已通過財團法人全國認證基金會(TAF)ISO/IEC 17025國際認證規範，並依國際實驗室認證聯盟(ILAC)之鑑識科學實驗室指引(ILAC G19)訂定鑑識科學實驗室認證技術規範進行評鑑認證，因此在國內已建立完善之認證規範與認證制度，且均與國際認證同步進行與接軌，並獲國際認證相互承認。有關證照制度方面，在國內從事各項刑事鑑識業務之專業人員大部分專家均服務於公家鑑識機關，為確保鑑定人具有專業之資格能力，應加強鑑定人之在職教育訓練，</w:t>
      </w:r>
      <w:r w:rsidRPr="000B2A94">
        <w:rPr>
          <w:rFonts w:hint="eastAsia"/>
          <w:bCs/>
          <w:color w:val="000000" w:themeColor="text1"/>
          <w:kern w:val="0"/>
        </w:rPr>
        <w:t>每項鑑定項目均須通過能力檢定後始可進行該項鑑定，且每年均須執行能力試驗，以確保鑑定人具有專業之資格能力。</w:t>
      </w:r>
    </w:p>
    <w:p w:rsidR="00F956E8" w:rsidRPr="000B2A94" w:rsidRDefault="00F956E8" w:rsidP="0081002C">
      <w:pPr>
        <w:pStyle w:val="3"/>
        <w:rPr>
          <w:color w:val="000000" w:themeColor="text1"/>
        </w:rPr>
      </w:pPr>
      <w:bookmarkStart w:id="410" w:name="_Toc27400017"/>
      <w:r w:rsidRPr="000B2A94">
        <w:rPr>
          <w:rFonts w:hint="eastAsia"/>
          <w:color w:val="000000" w:themeColor="text1"/>
        </w:rPr>
        <w:t>按目前各地方政府警察局之勘察人力大多為偵查人員編組而成，且需兼辦偵查隊勤業務，人員流動性較高，影響勘察經驗積累</w:t>
      </w:r>
      <w:r w:rsidRPr="000B2A94">
        <w:rPr>
          <w:rFonts w:hAnsi="標楷體" w:hint="eastAsia"/>
          <w:color w:val="000000" w:themeColor="text1"/>
        </w:rPr>
        <w:t>，</w:t>
      </w:r>
      <w:r w:rsidRPr="000B2A94">
        <w:rPr>
          <w:rFonts w:hint="eastAsia"/>
          <w:color w:val="000000" w:themeColor="text1"/>
        </w:rPr>
        <w:t>為加強刑案現場勘查採證能力及品質</w:t>
      </w:r>
      <w:r w:rsidRPr="000B2A94">
        <w:rPr>
          <w:rFonts w:hAnsi="標楷體" w:hint="eastAsia"/>
          <w:color w:val="000000" w:themeColor="text1"/>
        </w:rPr>
        <w:t>，</w:t>
      </w:r>
      <w:r w:rsidRPr="000B2A94">
        <w:rPr>
          <w:rFonts w:hint="eastAsia"/>
          <w:color w:val="000000" w:themeColor="text1"/>
        </w:rPr>
        <w:t>相關人力之擴編及訓練</w:t>
      </w:r>
      <w:r w:rsidRPr="000B2A94">
        <w:rPr>
          <w:rFonts w:hAnsi="標楷體" w:hint="eastAsia"/>
          <w:color w:val="000000" w:themeColor="text1"/>
        </w:rPr>
        <w:t>，實需加強檢討因應。</w:t>
      </w:r>
      <w:r w:rsidRPr="000B2A94">
        <w:rPr>
          <w:rFonts w:hint="eastAsia"/>
          <w:color w:val="000000" w:themeColor="text1"/>
        </w:rPr>
        <w:t>而內政部警政署刑事警察局受理全國各類刑案之證物鑑定，人力已顯不足</w:t>
      </w:r>
      <w:r w:rsidRPr="000B2A94">
        <w:rPr>
          <w:rFonts w:hAnsi="標楷體" w:hint="eastAsia"/>
          <w:color w:val="000000" w:themeColor="text1"/>
        </w:rPr>
        <w:t>，而</w:t>
      </w:r>
      <w:r w:rsidRPr="000B2A94">
        <w:rPr>
          <w:rFonts w:hint="eastAsia"/>
          <w:color w:val="000000" w:themeColor="text1"/>
        </w:rPr>
        <w:t>目前司法院「刑事訴訟法」修法朝鑑定人原則須到庭說明之方向修正，則相關鑑定人力不足態勢必將擴大，亦應</w:t>
      </w:r>
      <w:r w:rsidRPr="000B2A94">
        <w:rPr>
          <w:rFonts w:hint="eastAsia"/>
          <w:color w:val="000000" w:themeColor="text1"/>
        </w:rPr>
        <w:lastRenderedPageBreak/>
        <w:t>適時檢討因應。另各相關政府鑑識機關亦應加強透過行政院科技發展計畫之申辦，培訓刑事科學鑑識人才，加強鑑識技術，完成實驗室認證，提升鑑定品質</w:t>
      </w:r>
      <w:r w:rsidR="00CB42F0" w:rsidRPr="000B2A94">
        <w:rPr>
          <w:rFonts w:hint="eastAsia"/>
          <w:color w:val="000000" w:themeColor="text1"/>
        </w:rPr>
        <w:t>，</w:t>
      </w:r>
      <w:r w:rsidR="00CB42F0" w:rsidRPr="000B2A94">
        <w:rPr>
          <w:rFonts w:hint="eastAsia"/>
          <w:b/>
          <w:color w:val="000000" w:themeColor="text1"/>
        </w:rPr>
        <w:t>並在組織人力及經費精簡之政策下，強化各鑑定機關物證資料庫之整合及合作。</w:t>
      </w:r>
      <w:r w:rsidRPr="000B2A94">
        <w:rPr>
          <w:rFonts w:hint="eastAsia"/>
          <w:color w:val="000000" w:themeColor="text1"/>
        </w:rPr>
        <w:t>或藉由委託如社團法人臺灣鑑識科學學會等機關構</w:t>
      </w:r>
      <w:r w:rsidRPr="000B2A94">
        <w:rPr>
          <w:rFonts w:hAnsi="標楷體" w:hint="eastAsia"/>
          <w:color w:val="000000" w:themeColor="text1"/>
        </w:rPr>
        <w:t>，</w:t>
      </w:r>
      <w:r w:rsidRPr="000B2A94">
        <w:rPr>
          <w:rFonts w:hint="eastAsia"/>
          <w:color w:val="000000" w:themeColor="text1"/>
        </w:rPr>
        <w:t>統合國內鑑識科學專業人員與學術機構的力量，辦理人員教育訓練、能力試驗與鑑定證照之核發，統籌建立標準品資料庫、整合研究發展等鑑識科技相關事項，期在政府組織精簡之政策下，將現有鑑識人力與資源發揮最大之效益。</w:t>
      </w:r>
      <w:bookmarkEnd w:id="410"/>
    </w:p>
    <w:p w:rsidR="00F956E8" w:rsidRPr="000B2A94" w:rsidRDefault="00F956E8" w:rsidP="0081002C">
      <w:pPr>
        <w:pStyle w:val="3"/>
        <w:rPr>
          <w:color w:val="000000" w:themeColor="text1"/>
        </w:rPr>
      </w:pPr>
      <w:bookmarkStart w:id="411" w:name="_Toc27400018"/>
      <w:r w:rsidRPr="000B2A94">
        <w:rPr>
          <w:rFonts w:hint="eastAsia"/>
          <w:color w:val="000000" w:themeColor="text1"/>
        </w:rPr>
        <w:t>又司法鑑定本質係在經由專家參與提供意見，以輔助法院認定事實，法院並不能因此即全般接受鑑定意見，仍需本於其職權認定事實，且法院如未予審查即對於全般鑑定意見逕予採納，等同於怠於行使證據採擇與認定事實之職權。然而既然法院並無該專業知識而需尋求專業鑑定人之輔助，則又如何期待法院能正確的審查該鑑定意見是否足資採納？尤其在有複數鑑定情形，要如何去認定鑑定意見何者可採</w:t>
      </w:r>
      <w:r w:rsidRPr="000B2A94">
        <w:rPr>
          <w:rFonts w:hAnsi="標楷體" w:hint="eastAsia"/>
          <w:color w:val="000000" w:themeColor="text1"/>
        </w:rPr>
        <w:t>？而</w:t>
      </w:r>
      <w:r w:rsidRPr="000B2A94">
        <w:rPr>
          <w:rFonts w:hint="eastAsia"/>
          <w:color w:val="000000" w:themeColor="text1"/>
        </w:rPr>
        <w:t>法院如未能就該鑑定報告有一定標準作為審查，並於判決理由內詳述其採擇之理由，則該判決又如何能使當事人干服</w:t>
      </w:r>
      <w:r w:rsidRPr="000B2A94">
        <w:rPr>
          <w:rFonts w:hAnsi="標楷體" w:hint="eastAsia"/>
          <w:color w:val="000000" w:themeColor="text1"/>
        </w:rPr>
        <w:t>。而</w:t>
      </w:r>
      <w:r w:rsidRPr="000B2A94">
        <w:rPr>
          <w:rFonts w:hint="eastAsia"/>
          <w:color w:val="000000" w:themeColor="text1"/>
        </w:rPr>
        <w:t>鑑識的基本知能，取決於法官的來源、養成、訓練，</w:t>
      </w:r>
      <w:r w:rsidRPr="000B2A94">
        <w:rPr>
          <w:rFonts w:hAnsi="標楷體" w:hint="eastAsia"/>
          <w:color w:val="000000" w:themeColor="text1"/>
        </w:rPr>
        <w:t>因此為</w:t>
      </w:r>
      <w:r w:rsidRPr="000B2A94">
        <w:rPr>
          <w:rFonts w:hint="eastAsia"/>
          <w:color w:val="000000" w:themeColor="text1"/>
        </w:rPr>
        <w:t>期審判者能正確審查鑑定意見，實有必要加強法官相關鑑識基本知能之訓練及進修，又司法機關並應考量委請鑑識單位協助建立相關司法審查之標準，以供審判實務上之參考。</w:t>
      </w:r>
      <w:bookmarkEnd w:id="411"/>
    </w:p>
    <w:p w:rsidR="00F956E8" w:rsidRPr="000B2A94" w:rsidRDefault="00F956E8" w:rsidP="0081002C">
      <w:pPr>
        <w:pStyle w:val="2"/>
        <w:rPr>
          <w:b/>
          <w:color w:val="000000" w:themeColor="text1"/>
        </w:rPr>
      </w:pPr>
      <w:bookmarkStart w:id="412" w:name="_Toc28606840"/>
      <w:r w:rsidRPr="000B2A94">
        <w:rPr>
          <w:rFonts w:hint="eastAsia"/>
          <w:b/>
          <w:color w:val="000000" w:themeColor="text1"/>
        </w:rPr>
        <w:t>依司法院研提之刑事訴訟法修正草案第160條之1條文，以測謊之結果無證據適格，而不得作為認定犯罪事實存否之證據。然依我國最高法院現行實務、美國</w:t>
      </w:r>
      <w:r w:rsidRPr="000B2A94">
        <w:rPr>
          <w:rFonts w:hint="eastAsia"/>
          <w:b/>
          <w:color w:val="000000" w:themeColor="text1"/>
        </w:rPr>
        <w:lastRenderedPageBreak/>
        <w:t>大部分實務及德國通說，均認為偵查程序中得於被告同意之情形下，運用測謊作為澄清被告犯罪嫌疑之辯護手段，也可作為有利於被告之證據調查方法</w:t>
      </w:r>
      <w:r w:rsidRPr="000B2A94">
        <w:rPr>
          <w:rFonts w:hAnsi="標楷體" w:hint="eastAsia"/>
          <w:b/>
          <w:color w:val="000000" w:themeColor="text1"/>
        </w:rPr>
        <w:t>，</w:t>
      </w:r>
      <w:r w:rsidRPr="000B2A94">
        <w:rPr>
          <w:rFonts w:hint="eastAsia"/>
          <w:b/>
          <w:color w:val="000000" w:themeColor="text1"/>
        </w:rPr>
        <w:t>偵查機關自仍得以測謊之結果作為偵查手段，藉以排除或指出偵查之方向，協助偵查。爰此，行政院仍應就測謊鑑定人員之培訓、資格認證及查核等要件研訂一致性規範，並整合研訂一致性之測謊鑑定標準作業程序，確保測謊鑑定之準確性，以維護當事人受公平對待之訴訟權</w:t>
      </w:r>
      <w:r w:rsidRPr="000B2A94">
        <w:rPr>
          <w:rFonts w:hAnsi="標楷體" w:hint="eastAsia"/>
          <w:b/>
          <w:color w:val="000000" w:themeColor="text1"/>
        </w:rPr>
        <w:t>。</w:t>
      </w:r>
      <w:bookmarkEnd w:id="412"/>
    </w:p>
    <w:p w:rsidR="00F956E8" w:rsidRPr="000B2A94" w:rsidRDefault="00F956E8" w:rsidP="0081002C">
      <w:pPr>
        <w:pStyle w:val="3"/>
        <w:rPr>
          <w:color w:val="000000" w:themeColor="text1"/>
        </w:rPr>
      </w:pPr>
      <w:bookmarkStart w:id="413" w:name="_Toc27400020"/>
      <w:r w:rsidRPr="000B2A94">
        <w:rPr>
          <w:rFonts w:hint="eastAsia"/>
          <w:color w:val="000000" w:themeColor="text1"/>
        </w:rPr>
        <w:t>有關測謊鑑定之問題，本院前曾立案調查並提出相關調查意見（100司調0051、106司調0002）略以：司法實務及學者見解認為測謊鑑定結果，並非如DNA鑑定等科學檢驗結果所具一定之「再現性」，而是取決於施測人員之專業智能、性格、經驗、態度等諸多因素等各項能力，倘無DNA鑑定或緝獲真兇等確切證據佐證，誠難判斷各個測謊鑑定結果之準確性。是行政院宜就測謊鑑定人員之培訓、資格認證及查核等要件研訂一致性規範，以確保並提高測謊鑑定之準確度。又我國測謊鑑定機關法務部調查局、警政署刑事警察局及憲兵指揮部之測謊鑑定標準作業程序規範並非一致，亦無覆核驗證鑑定結果之機制，致測謊鑑定時有迥然不同之結果，尚難達到一般公認之科學方法驗證標準「再現性」。行政院宜整合各主要鑑定機關之測謊鑑定作業程序規範，並研訂一致性之標準作業程序，以維護當事人受公平對待之基本司法訴訟人權。</w:t>
      </w:r>
      <w:bookmarkEnd w:id="413"/>
    </w:p>
    <w:p w:rsidR="00F956E8" w:rsidRPr="000B2A94" w:rsidRDefault="00F956E8" w:rsidP="0081002C">
      <w:pPr>
        <w:pStyle w:val="3"/>
        <w:rPr>
          <w:color w:val="000000" w:themeColor="text1"/>
        </w:rPr>
      </w:pPr>
      <w:bookmarkStart w:id="414" w:name="_Toc27400021"/>
      <w:r w:rsidRPr="000B2A94">
        <w:rPr>
          <w:rFonts w:hint="eastAsia"/>
          <w:color w:val="000000" w:themeColor="text1"/>
        </w:rPr>
        <w:t>對於有關測謊證據之施測標準流程及其證據能力部分，行政院說明如下</w:t>
      </w:r>
      <w:r w:rsidRPr="000B2A94">
        <w:rPr>
          <w:rFonts w:hAnsi="標楷體" w:hint="eastAsia"/>
          <w:color w:val="000000" w:themeColor="text1"/>
        </w:rPr>
        <w:t>：</w:t>
      </w:r>
      <w:bookmarkEnd w:id="414"/>
    </w:p>
    <w:p w:rsidR="00F956E8" w:rsidRPr="000B2A94" w:rsidRDefault="00F956E8" w:rsidP="0081002C">
      <w:pPr>
        <w:pStyle w:val="4"/>
        <w:rPr>
          <w:color w:val="000000" w:themeColor="text1"/>
        </w:rPr>
      </w:pPr>
      <w:r w:rsidRPr="000B2A94">
        <w:rPr>
          <w:rFonts w:hint="eastAsia"/>
          <w:color w:val="000000" w:themeColor="text1"/>
        </w:rPr>
        <w:t>測謊施測標準及程序：法務部108年7月16日法檢字第10800086850號函，要求內政部警政署刑事</w:t>
      </w:r>
      <w:r w:rsidRPr="000B2A94">
        <w:rPr>
          <w:rFonts w:hint="eastAsia"/>
          <w:color w:val="000000" w:themeColor="text1"/>
        </w:rPr>
        <w:lastRenderedPageBreak/>
        <w:t>警察局、國防部憲兵指揮部刑事鑑識中心、法務部所屬廉政署及調查局，依所共同制訂全國一致之標準作業程序，辦理測謊作業。</w:t>
      </w:r>
    </w:p>
    <w:p w:rsidR="00F956E8" w:rsidRPr="000B2A94" w:rsidRDefault="00F956E8" w:rsidP="0081002C">
      <w:pPr>
        <w:pStyle w:val="4"/>
        <w:rPr>
          <w:color w:val="000000" w:themeColor="text1"/>
        </w:rPr>
      </w:pPr>
      <w:r w:rsidRPr="000B2A94">
        <w:rPr>
          <w:rFonts w:hint="eastAsia"/>
          <w:color w:val="000000" w:themeColor="text1"/>
        </w:rPr>
        <w:t>司法院函請該院會銜之「刑事訴訟法」部分條文修正草案，其中第160條之1明文排除測謊之證據能力。該院於108年7月18日邀集司法院秘書長、法務部、內政部警政署、法務部調查局與會研商，會議結論：「行政部門對於本條規定仍有不同意見，本條暫予保留，並請司法院再予審酌比較法上有無明文排除單一證據方法之立法例？以立法方式排除單一證據方法證據能力之判斷標準為何？明文排除證據能力是否會妨礙測謊鑑定科學發展可能性？</w:t>
      </w:r>
      <w:r w:rsidRPr="000B2A94">
        <w:rPr>
          <w:rFonts w:hAnsi="標楷體" w:hint="eastAsia"/>
          <w:color w:val="000000" w:themeColor="text1"/>
        </w:rPr>
        <w:t>」</w:t>
      </w:r>
      <w:r w:rsidRPr="000B2A94">
        <w:rPr>
          <w:rFonts w:hint="eastAsia"/>
          <w:color w:val="000000" w:themeColor="text1"/>
        </w:rPr>
        <w:t>與會行政機關代表咸認為不宜以立法方式排除測謊之證據能力，相關意見略以：</w:t>
      </w:r>
    </w:p>
    <w:p w:rsidR="00F956E8" w:rsidRPr="000B2A94" w:rsidRDefault="00F956E8" w:rsidP="0081002C">
      <w:pPr>
        <w:pStyle w:val="5"/>
        <w:rPr>
          <w:color w:val="000000" w:themeColor="text1"/>
        </w:rPr>
      </w:pPr>
      <w:r w:rsidRPr="000B2A94">
        <w:rPr>
          <w:rFonts w:hint="eastAsia"/>
          <w:color w:val="000000" w:themeColor="text1"/>
        </w:rPr>
        <w:t>法務部：我國現行司法實務見解，對於測謊鑑定證據能力之認定，已形成須符合一定要件始得認有證據能力之標準，且法官亦不得僅依測謊鑑定之結果作為判斷事實之唯一依據。從比較法而言，美國、日本對於測謊報告證據能力之認定，亦均係透過法院實務發展為之，而未於各該國之刑事訴訟法中單獨就測謊鑑定有無證據能力予以明定。司法院過去對於此議題召開公聽會時，與會學者亦均表示比較法上無直接就測謊排除證據能力之立法例。此外，刑事鑑識科學會隨時間演進而精進細緻，亦有可能超越過去成果，應賦予其發展之空間及可能性。測謊屬於刑事鑑識科學之一環，若直接明文排除其證據能力，將會扼殺測謊鑑識科學之發展性。</w:t>
      </w:r>
    </w:p>
    <w:p w:rsidR="00F956E8" w:rsidRPr="000B2A94" w:rsidRDefault="00F956E8" w:rsidP="0081002C">
      <w:pPr>
        <w:pStyle w:val="5"/>
        <w:rPr>
          <w:color w:val="000000" w:themeColor="text1"/>
        </w:rPr>
      </w:pPr>
      <w:r w:rsidRPr="000B2A94">
        <w:rPr>
          <w:rFonts w:hint="eastAsia"/>
          <w:color w:val="000000" w:themeColor="text1"/>
        </w:rPr>
        <w:lastRenderedPageBreak/>
        <w:t>法務部調查局：並無必要以法律明文排除測謊之證據能力，宜比照美、日等國由司法實務發展之。調查局已朝以下方向精進測謊作為：(1</w:t>
      </w:r>
      <w:r w:rsidRPr="000B2A94">
        <w:rPr>
          <w:color w:val="000000" w:themeColor="text1"/>
        </w:rPr>
        <w:t>)</w:t>
      </w:r>
      <w:r w:rsidRPr="000B2A94">
        <w:rPr>
          <w:rFonts w:hint="eastAsia"/>
          <w:color w:val="000000" w:themeColor="text1"/>
        </w:rPr>
        <w:t>測謊人員均受有專業訓練並取得國際證照。(2</w:t>
      </w:r>
      <w:r w:rsidRPr="000B2A94">
        <w:rPr>
          <w:color w:val="000000" w:themeColor="text1"/>
        </w:rPr>
        <w:t>)</w:t>
      </w:r>
      <w:r w:rsidRPr="000B2A94">
        <w:rPr>
          <w:rFonts w:hint="eastAsia"/>
          <w:color w:val="000000" w:themeColor="text1"/>
        </w:rPr>
        <w:t>落實遵守最高法院認定之程式要件。(3</w:t>
      </w:r>
      <w:r w:rsidRPr="000B2A94">
        <w:rPr>
          <w:color w:val="000000" w:themeColor="text1"/>
        </w:rPr>
        <w:t>)</w:t>
      </w:r>
      <w:r w:rsidRPr="000B2A94">
        <w:rPr>
          <w:rFonts w:hint="eastAsia"/>
          <w:color w:val="000000" w:themeColor="text1"/>
        </w:rPr>
        <w:t>遵循國內所有測謊機關統一之標準作業程序。(4</w:t>
      </w:r>
      <w:r w:rsidRPr="000B2A94">
        <w:rPr>
          <w:color w:val="000000" w:themeColor="text1"/>
        </w:rPr>
        <w:t>)</w:t>
      </w:r>
      <w:r w:rsidRPr="000B2A94">
        <w:rPr>
          <w:rFonts w:hint="eastAsia"/>
          <w:color w:val="000000" w:themeColor="text1"/>
        </w:rPr>
        <w:t>嚴格排除不適宜施測之案件。</w:t>
      </w:r>
    </w:p>
    <w:p w:rsidR="00F956E8" w:rsidRPr="000B2A94" w:rsidRDefault="00F956E8" w:rsidP="0081002C">
      <w:pPr>
        <w:pStyle w:val="5"/>
        <w:rPr>
          <w:color w:val="000000" w:themeColor="text1"/>
        </w:rPr>
      </w:pPr>
      <w:r w:rsidRPr="000B2A94">
        <w:rPr>
          <w:rFonts w:hint="eastAsia"/>
          <w:color w:val="000000" w:themeColor="text1"/>
        </w:rPr>
        <w:t>內政部警政署：司法實務上，測謊對於刑事案件之釐清有其助益性，亦是刑事鑑識領域重要項目，是否以立法方式直接排除證據能力，建請再予考量。</w:t>
      </w:r>
    </w:p>
    <w:p w:rsidR="00F956E8" w:rsidRPr="000B2A94" w:rsidRDefault="00F956E8" w:rsidP="0081002C">
      <w:pPr>
        <w:pStyle w:val="3"/>
        <w:rPr>
          <w:color w:val="000000" w:themeColor="text1"/>
        </w:rPr>
      </w:pPr>
      <w:bookmarkStart w:id="415" w:name="_Toc27400022"/>
      <w:r w:rsidRPr="000B2A94">
        <w:rPr>
          <w:rFonts w:hint="eastAsia"/>
          <w:color w:val="000000" w:themeColor="text1"/>
        </w:rPr>
        <w:t>對此司法院說明如下</w:t>
      </w:r>
      <w:r w:rsidRPr="000B2A94">
        <w:rPr>
          <w:rFonts w:hAnsi="標楷體" w:hint="eastAsia"/>
          <w:color w:val="000000" w:themeColor="text1"/>
        </w:rPr>
        <w:t>：</w:t>
      </w:r>
      <w:bookmarkEnd w:id="415"/>
    </w:p>
    <w:p w:rsidR="00F956E8" w:rsidRPr="000B2A94" w:rsidRDefault="00F956E8" w:rsidP="0081002C">
      <w:pPr>
        <w:pStyle w:val="4"/>
        <w:rPr>
          <w:color w:val="000000" w:themeColor="text1"/>
        </w:rPr>
      </w:pPr>
      <w:r w:rsidRPr="000B2A94">
        <w:rPr>
          <w:rFonts w:hint="eastAsia"/>
          <w:color w:val="000000" w:themeColor="text1"/>
        </w:rPr>
        <w:t>有關國外立法例，是否並無以法律明文禁止使用測謊乙節，經查：</w:t>
      </w:r>
    </w:p>
    <w:p w:rsidR="00F956E8" w:rsidRPr="000B2A94" w:rsidRDefault="00F956E8" w:rsidP="0081002C">
      <w:pPr>
        <w:pStyle w:val="5"/>
        <w:rPr>
          <w:color w:val="000000" w:themeColor="text1"/>
        </w:rPr>
      </w:pPr>
      <w:r w:rsidRPr="000B2A94">
        <w:rPr>
          <w:rFonts w:hint="eastAsia"/>
          <w:color w:val="000000" w:themeColor="text1"/>
        </w:rPr>
        <w:t>美國：</w:t>
      </w:r>
    </w:p>
    <w:p w:rsidR="00F956E8" w:rsidRPr="000B2A94" w:rsidRDefault="00F956E8" w:rsidP="0081002C">
      <w:pPr>
        <w:pStyle w:val="6"/>
        <w:rPr>
          <w:color w:val="000000" w:themeColor="text1"/>
        </w:rPr>
      </w:pPr>
      <w:r w:rsidRPr="000B2A94">
        <w:rPr>
          <w:rFonts w:hint="eastAsia"/>
          <w:color w:val="000000" w:themeColor="text1"/>
        </w:rPr>
        <w:t>美國司法實務於</w:t>
      </w:r>
      <w:r w:rsidRPr="000B2A94">
        <w:rPr>
          <w:color w:val="000000" w:themeColor="text1"/>
        </w:rPr>
        <w:t>1923</w:t>
      </w:r>
      <w:r w:rsidRPr="000B2A94">
        <w:rPr>
          <w:rFonts w:hint="eastAsia"/>
          <w:color w:val="000000" w:themeColor="text1"/>
        </w:rPr>
        <w:t>年採用佛萊法則時，已認為測謊報告未達科學上「普遍接受」之程度而不容許提出於法院作為證據。縱使自聯邦最高法院於</w:t>
      </w:r>
      <w:r w:rsidRPr="000B2A94">
        <w:rPr>
          <w:color w:val="000000" w:themeColor="text1"/>
        </w:rPr>
        <w:t>1993</w:t>
      </w:r>
      <w:r w:rsidRPr="000B2A94">
        <w:rPr>
          <w:rFonts w:hint="eastAsia"/>
          <w:color w:val="000000" w:themeColor="text1"/>
        </w:rPr>
        <w:t>年對於專家證人揭示道伯法則以來，大部分聯邦上訴巡迴法院及各州最高法院仍認為測謊結果不具證據容許性，不得提出於法院。美國聯邦最高法院於道伯案認為，對於專家證人提出之科學證據，如符合「關連性」</w:t>
      </w:r>
      <w:r w:rsidRPr="000B2A94">
        <w:rPr>
          <w:color w:val="000000" w:themeColor="text1"/>
        </w:rPr>
        <w:t>(relevant)</w:t>
      </w:r>
      <w:r w:rsidRPr="000B2A94">
        <w:rPr>
          <w:rFonts w:hint="eastAsia"/>
          <w:color w:val="000000" w:themeColor="text1"/>
        </w:rPr>
        <w:t>及「可信賴性」</w:t>
      </w:r>
      <w:r w:rsidRPr="000B2A94">
        <w:rPr>
          <w:color w:val="000000" w:themeColor="text1"/>
        </w:rPr>
        <w:t>(reliable)</w:t>
      </w:r>
      <w:r w:rsidRPr="000B2A94">
        <w:rPr>
          <w:rFonts w:hint="eastAsia"/>
          <w:color w:val="000000" w:themeColor="text1"/>
        </w:rPr>
        <w:t>之要件，即具備證據容許性。其中就「可信賴性」並建立以下標準：</w:t>
      </w:r>
      <w:r w:rsidRPr="000B2A94">
        <w:rPr>
          <w:color w:val="000000" w:themeColor="text1"/>
        </w:rPr>
        <w:t>1</w:t>
      </w:r>
      <w:r w:rsidRPr="000B2A94">
        <w:rPr>
          <w:rFonts w:hint="eastAsia"/>
          <w:color w:val="000000" w:themeColor="text1"/>
        </w:rPr>
        <w:t>.該科學理論是否可被證實；</w:t>
      </w:r>
      <w:r w:rsidRPr="000B2A94">
        <w:rPr>
          <w:color w:val="000000" w:themeColor="text1"/>
        </w:rPr>
        <w:t>2</w:t>
      </w:r>
      <w:r w:rsidRPr="000B2A94">
        <w:rPr>
          <w:rFonts w:hint="eastAsia"/>
          <w:color w:val="000000" w:themeColor="text1"/>
        </w:rPr>
        <w:t>.有無正式發表並被同儕審查；</w:t>
      </w:r>
      <w:r w:rsidRPr="000B2A94">
        <w:rPr>
          <w:color w:val="000000" w:themeColor="text1"/>
        </w:rPr>
        <w:t>3</w:t>
      </w:r>
      <w:r w:rsidRPr="000B2A94">
        <w:rPr>
          <w:rFonts w:hint="eastAsia"/>
          <w:color w:val="000000" w:themeColor="text1"/>
        </w:rPr>
        <w:t>.誤差率多少；4.是否被相關科學領域所普遍接受。</w:t>
      </w:r>
    </w:p>
    <w:p w:rsidR="00F956E8" w:rsidRPr="000B2A94" w:rsidRDefault="00F956E8" w:rsidP="0081002C">
      <w:pPr>
        <w:pStyle w:val="6"/>
        <w:rPr>
          <w:color w:val="000000" w:themeColor="text1"/>
        </w:rPr>
      </w:pPr>
      <w:r w:rsidRPr="000B2A94">
        <w:rPr>
          <w:rFonts w:hint="eastAsia"/>
          <w:color w:val="000000" w:themeColor="text1"/>
        </w:rPr>
        <w:t>贊成測謊可以運用於刑事訴訟程序之論</w:t>
      </w:r>
      <w:r w:rsidRPr="000B2A94">
        <w:rPr>
          <w:rFonts w:hint="eastAsia"/>
          <w:color w:val="000000" w:themeColor="text1"/>
        </w:rPr>
        <w:lastRenderedPageBreak/>
        <w:t>者，多以美國新墨西哥州已經明文規定測謊有證據能力，但此仍屬少數；而部分州最高法院認為測謊另在取得兩造當事人同意下，始具備容許性，但此僅作為辯護方法或只在民事訴訟中使用，仍屬例外。</w:t>
      </w:r>
    </w:p>
    <w:p w:rsidR="00F956E8" w:rsidRPr="000B2A94" w:rsidRDefault="00F956E8" w:rsidP="0081002C">
      <w:pPr>
        <w:pStyle w:val="6"/>
        <w:rPr>
          <w:color w:val="000000" w:themeColor="text1"/>
        </w:rPr>
      </w:pPr>
      <w:r w:rsidRPr="000B2A94">
        <w:rPr>
          <w:rFonts w:hint="eastAsia"/>
          <w:color w:val="000000" w:themeColor="text1"/>
        </w:rPr>
        <w:t>另美國軍事法庭證據規則707(a)規定，縱使法律另有規定，測謊結果、測謊施測者之意見、任何有關提供測謊測試、無法進行測謊測試，或進行測謊之參考資料，均不得容許作為證據。</w:t>
      </w:r>
    </w:p>
    <w:p w:rsidR="00F956E8" w:rsidRPr="000B2A94" w:rsidRDefault="00F956E8" w:rsidP="0081002C">
      <w:pPr>
        <w:pStyle w:val="5"/>
        <w:rPr>
          <w:color w:val="000000" w:themeColor="text1"/>
        </w:rPr>
      </w:pPr>
      <w:r w:rsidRPr="000B2A94">
        <w:rPr>
          <w:rFonts w:hint="eastAsia"/>
          <w:color w:val="000000" w:themeColor="text1"/>
        </w:rPr>
        <w:t>德國</w:t>
      </w:r>
      <w:r w:rsidRPr="000B2A94">
        <w:rPr>
          <w:rFonts w:hAnsi="標楷體" w:hint="eastAsia"/>
          <w:color w:val="000000" w:themeColor="text1"/>
        </w:rPr>
        <w:t>：</w:t>
      </w:r>
      <w:r w:rsidRPr="000B2A94">
        <w:rPr>
          <w:rFonts w:hint="eastAsia"/>
          <w:color w:val="000000" w:themeColor="text1"/>
        </w:rPr>
        <w:t>近年實務雖認為在取得被告同意下，實施測謊未侵害被告之憲法上權利，但測謊採用之問題控制法等方式尚未達「普遍一般及無可懷疑而可信」之程度，無證據價值可言，對於此種全然不適當之證據方法，法院得逕以裁定駁回證據調查之聲請。</w:t>
      </w:r>
    </w:p>
    <w:p w:rsidR="00F956E8" w:rsidRPr="000B2A94" w:rsidRDefault="00F956E8" w:rsidP="0081002C">
      <w:pPr>
        <w:pStyle w:val="5"/>
        <w:rPr>
          <w:color w:val="000000" w:themeColor="text1"/>
        </w:rPr>
      </w:pPr>
      <w:r w:rsidRPr="000B2A94">
        <w:rPr>
          <w:rFonts w:hint="eastAsia"/>
          <w:color w:val="000000" w:themeColor="text1"/>
        </w:rPr>
        <w:t>綜上可知，美國及德國業於司法實務排除測謊結果之證據容許性及調查必要性。</w:t>
      </w:r>
    </w:p>
    <w:p w:rsidR="00F956E8" w:rsidRPr="000B2A94" w:rsidRDefault="00F956E8" w:rsidP="0081002C">
      <w:pPr>
        <w:pStyle w:val="4"/>
        <w:rPr>
          <w:color w:val="000000" w:themeColor="text1"/>
        </w:rPr>
      </w:pPr>
      <w:r w:rsidRPr="000B2A94">
        <w:rPr>
          <w:rFonts w:hint="eastAsia"/>
          <w:color w:val="000000" w:themeColor="text1"/>
        </w:rPr>
        <w:t>有關是否不宜將測謊排除在所有司法程序（包含偵查階段）之外乙節，查無論我國最高法院現行實務、美國大部分實務及德國通說，均認為偵查程序中得於被告同意之情形下，運用測謊作為澄清被告犯罪嫌疑之辯護手段，也可作為有利於被告之證據調查方法。因此，為發現無辜、避免冤抑等情，測謊之結果自得作為爭執被告、被害人或證人陳述證明力之彈劾證據。偵查機關亦得以測謊之結果作為偵查手段，藉以排除或指出偵查之方向，協助偵查。</w:t>
      </w:r>
    </w:p>
    <w:p w:rsidR="00F956E8" w:rsidRPr="000B2A94" w:rsidRDefault="00F956E8" w:rsidP="0081002C">
      <w:pPr>
        <w:pStyle w:val="4"/>
        <w:rPr>
          <w:color w:val="000000" w:themeColor="text1"/>
        </w:rPr>
      </w:pPr>
      <w:r w:rsidRPr="000B2A94">
        <w:rPr>
          <w:rFonts w:hint="eastAsia"/>
          <w:color w:val="000000" w:themeColor="text1"/>
        </w:rPr>
        <w:t>測謊係透過儀器，反映受測者受測時之生理現象，再經人工判讀檢視受測者對過去發生事實之</w:t>
      </w:r>
      <w:r w:rsidRPr="000B2A94">
        <w:rPr>
          <w:rFonts w:hint="eastAsia"/>
          <w:color w:val="000000" w:themeColor="text1"/>
        </w:rPr>
        <w:lastRenderedPageBreak/>
        <w:t>陳述與其記憶是否相符之程序，實施測謊之受測對象為人，而每個人生理、心理及情緒</w:t>
      </w:r>
      <w:r w:rsidR="00466B7E" w:rsidRPr="000B2A94">
        <w:rPr>
          <w:rFonts w:hint="eastAsia"/>
          <w:color w:val="000000" w:themeColor="text1"/>
        </w:rPr>
        <w:t>等狀態，在不同時間本不可能完全相同，其生理反應受外在影響因素甚多</w:t>
      </w:r>
      <w:r w:rsidRPr="000B2A94">
        <w:rPr>
          <w:rFonts w:hint="eastAsia"/>
          <w:color w:val="000000" w:themeColor="text1"/>
        </w:rPr>
        <w:t>，諸如疾病、高度冷靜之自我抑制、激憤之情緒、受測以外其他事件之影響等，不止於說謊一項，且與人格特質亦有相當關連，亦不能排除刻意自我控制之可能性，因此說謊時亦不必然均會產生生理、心理及情緒之緊張波動反應。其次，測謊係透過儀器檢測受測者之記憶與其陳述是否相符之程序，如受測者之主觀認知與事實不符，或未將事實如實轉錄儲存於記憶，甚或發生對於事實完全未儲存於記憶等情形，亦無法藉由實施測謊證立受測者之陳述是否與其記憶相符。受測者說謊時不必然均會產生生理、心理及情緒之緊張波動之說謊反應，縱有產生圖譜波動之說謊反應，亦不必然得以證立受測者之陳述與其記憶不符。尤以美國及德國司法實務均業已排除測謊結果之證據容許性及調查必要性，測謊之結果自無證據適格，而不得作為認定犯罪事實存否之證據，爰提出刑事訴訟法第160條之1修正條文：「測謊之結果不得作為認定犯罪事實存否之證據。但作為爭執被告、被害人或證人陳述之證明力者，不在此限。」</w:t>
      </w:r>
    </w:p>
    <w:p w:rsidR="00F956E8" w:rsidRPr="000B2A94" w:rsidRDefault="00F956E8" w:rsidP="0081002C">
      <w:pPr>
        <w:pStyle w:val="3"/>
        <w:rPr>
          <w:color w:val="000000" w:themeColor="text1"/>
        </w:rPr>
      </w:pPr>
      <w:bookmarkStart w:id="416" w:name="_Toc27400023"/>
      <w:r w:rsidRPr="000B2A94">
        <w:rPr>
          <w:rFonts w:hint="eastAsia"/>
          <w:color w:val="000000" w:themeColor="text1"/>
        </w:rPr>
        <w:t>綜上</w:t>
      </w:r>
      <w:r w:rsidRPr="000B2A94">
        <w:rPr>
          <w:rFonts w:hAnsi="標楷體" w:hint="eastAsia"/>
          <w:color w:val="000000" w:themeColor="text1"/>
        </w:rPr>
        <w:t>，</w:t>
      </w:r>
      <w:r w:rsidRPr="000B2A94">
        <w:rPr>
          <w:rFonts w:hint="eastAsia"/>
          <w:color w:val="000000" w:themeColor="text1"/>
        </w:rPr>
        <w:t>依司法院提出刑事訴訟法修正草案第160條之1條文</w:t>
      </w:r>
      <w:r w:rsidRPr="000B2A94">
        <w:rPr>
          <w:rFonts w:hAnsi="標楷體" w:hint="eastAsia"/>
          <w:color w:val="000000" w:themeColor="text1"/>
        </w:rPr>
        <w:t>，以</w:t>
      </w:r>
      <w:r w:rsidRPr="000B2A94">
        <w:rPr>
          <w:rFonts w:hint="eastAsia"/>
          <w:color w:val="000000" w:themeColor="text1"/>
        </w:rPr>
        <w:t>測謊之結果無證據適格，而不得作為認定犯罪事實存否之證據</w:t>
      </w:r>
      <w:r w:rsidRPr="000B2A94">
        <w:rPr>
          <w:rFonts w:hAnsi="標楷體" w:hint="eastAsia"/>
          <w:color w:val="000000" w:themeColor="text1"/>
        </w:rPr>
        <w:t>。</w:t>
      </w:r>
      <w:r w:rsidRPr="000B2A94">
        <w:rPr>
          <w:rFonts w:hint="eastAsia"/>
          <w:color w:val="000000" w:themeColor="text1"/>
        </w:rPr>
        <w:t>雖相關鑑定機關如調查局於本院座談時表示，參照國外立法例，並無以法律明文禁止使用測謊，且如以法律明文禁止測謊證據使用，將限制未來相關鑑定技術之發展等語；而本院諮詢專家學者亦表示，犯罪現場之證據分為「偵</w:t>
      </w:r>
      <w:r w:rsidRPr="000B2A94">
        <w:rPr>
          <w:rFonts w:hint="eastAsia"/>
          <w:color w:val="000000" w:themeColor="text1"/>
        </w:rPr>
        <w:lastRenderedPageBreak/>
        <w:t>查證據」及「審判證據」，不宜將測謊排除在所有司法程序（包含偵查階段）之外，全然否認其證據能力並非解決之道，而係應在謹慎使用前提下，導入新科技與理論以提高測謊技術之準確性，若禁用測謊，未來恐將不會有進一步的研究。然依我國最高法院現行實務、美國大部分實務及德國通說，均認為偵查程序中得於被告同意之情形下，運用測謊作為澄清被告犯罪嫌疑之辯護手段，也可作為有利於被告之證據調查方法。偵查機關自仍得以測謊之結果作為偵查手段，藉以排除或指出偵查之方向，協助偵查</w:t>
      </w:r>
      <w:r w:rsidRPr="000B2A94">
        <w:rPr>
          <w:rFonts w:hAnsi="標楷體" w:hint="eastAsia"/>
          <w:color w:val="000000" w:themeColor="text1"/>
        </w:rPr>
        <w:t>。爰此，</w:t>
      </w:r>
      <w:r w:rsidRPr="000B2A94">
        <w:rPr>
          <w:rFonts w:hint="eastAsia"/>
          <w:color w:val="000000" w:themeColor="text1"/>
        </w:rPr>
        <w:t>行政院仍應就測謊鑑定人員之培訓、資格認證及查核等要件研訂一致性規範，並整合研訂一致性之測謊鑑定標準作業程序，確保測謊鑑定之準確性</w:t>
      </w:r>
      <w:r w:rsidRPr="000B2A94">
        <w:rPr>
          <w:rFonts w:hAnsi="標楷體" w:hint="eastAsia"/>
          <w:color w:val="000000" w:themeColor="text1"/>
        </w:rPr>
        <w:t>，</w:t>
      </w:r>
      <w:r w:rsidRPr="000B2A94">
        <w:rPr>
          <w:rFonts w:hint="eastAsia"/>
          <w:color w:val="000000" w:themeColor="text1"/>
        </w:rPr>
        <w:t>以維護當事人受公平對待之訴訟權。</w:t>
      </w:r>
      <w:bookmarkEnd w:id="416"/>
    </w:p>
    <w:p w:rsidR="00F956E8" w:rsidRPr="000B2A94" w:rsidRDefault="00F956E8" w:rsidP="0081002C">
      <w:pPr>
        <w:pStyle w:val="2"/>
        <w:rPr>
          <w:b/>
          <w:color w:val="000000" w:themeColor="text1"/>
        </w:rPr>
      </w:pPr>
      <w:bookmarkStart w:id="417" w:name="_Toc28606841"/>
      <w:r w:rsidRPr="000B2A94">
        <w:rPr>
          <w:rFonts w:hint="eastAsia"/>
          <w:b/>
          <w:color w:val="000000" w:themeColor="text1"/>
        </w:rPr>
        <w:t>為保障當事人對於鑑定人之詰問權，於審判中應使實施鑑定之人到庭，透過交互詰問充分檢驗實際實施鑑定之人之資格、專業與中立性、鑑定實施之經過及其結果。惟對於鑑定機關之實際操作可能性及可負擔性，行政院及司法院亦應實應妥予研議考量，於兼顧鑑定實務運作之可行性下，落實保障當事人對於鑑定人之詰問權。</w:t>
      </w:r>
      <w:bookmarkEnd w:id="417"/>
    </w:p>
    <w:p w:rsidR="00F956E8" w:rsidRPr="000B2A94" w:rsidRDefault="00F956E8" w:rsidP="0081002C">
      <w:pPr>
        <w:pStyle w:val="3"/>
        <w:rPr>
          <w:color w:val="000000" w:themeColor="text1"/>
        </w:rPr>
      </w:pPr>
      <w:bookmarkStart w:id="418" w:name="_Toc27400025"/>
      <w:r w:rsidRPr="000B2A94">
        <w:rPr>
          <w:rFonts w:hint="eastAsia"/>
          <w:color w:val="000000" w:themeColor="text1"/>
        </w:rPr>
        <w:t>按公民與政治權利國際公約第14條第3項第5款規定：「審判被控刑事罪時，被告一律有權平等享受下列最低限度之保障：……（五）得親自或間接詰問他造證人，並得聲請法院傳喚其證人在與他造證人同等條件下出庭作證。」揭櫫保障對質詰問權為公平法院原則所定最低</w:t>
      </w:r>
      <w:r w:rsidRPr="000B2A94">
        <w:rPr>
          <w:rFonts w:hAnsi="標楷體" w:hint="eastAsia"/>
          <w:color w:val="000000" w:themeColor="text1"/>
        </w:rPr>
        <w:t>限度保障之</w:t>
      </w:r>
      <w:r w:rsidRPr="000B2A94">
        <w:rPr>
          <w:rFonts w:hint="eastAsia"/>
          <w:color w:val="000000" w:themeColor="text1"/>
        </w:rPr>
        <w:t>標準；又司法院釋字第582號解釋認為</w:t>
      </w:r>
      <w:r w:rsidRPr="000B2A94">
        <w:rPr>
          <w:rFonts w:hAnsi="標楷體" w:hint="eastAsia"/>
          <w:color w:val="000000" w:themeColor="text1"/>
        </w:rPr>
        <w:t>：「</w:t>
      </w:r>
      <w:r w:rsidRPr="000B2A94">
        <w:rPr>
          <w:rFonts w:hint="eastAsia"/>
          <w:color w:val="000000" w:themeColor="text1"/>
        </w:rPr>
        <w:t>憲法第16條保障人民之訴訟權，就刑事被告而言，包含其在訴訟上應享有充</w:t>
      </w:r>
      <w:r w:rsidRPr="000B2A94">
        <w:rPr>
          <w:rFonts w:hint="eastAsia"/>
          <w:color w:val="000000" w:themeColor="text1"/>
        </w:rPr>
        <w:lastRenderedPageBreak/>
        <w:t>分之防禦權。刑事被告詰問證人之權利，即屬該等權利之一，且屬憲法第8條第1項規定「非由法院依法定程序不得審問處罰」之正當法律程序所保障之權利。為確保被告對證人之詰問權，證人於審判中，應依法定程序，到場具結陳述，並接受被告之詰問，其陳述始得作為認定被告犯罪事實之判斷依據。</w:t>
      </w:r>
      <w:r w:rsidRPr="000B2A94">
        <w:rPr>
          <w:rFonts w:hAnsi="標楷體" w:hint="eastAsia"/>
          <w:color w:val="000000" w:themeColor="text1"/>
        </w:rPr>
        <w:t>」</w:t>
      </w:r>
      <w:r w:rsidRPr="000B2A94">
        <w:rPr>
          <w:rFonts w:hint="eastAsia"/>
          <w:color w:val="000000" w:themeColor="text1"/>
        </w:rPr>
        <w:t>鑑定書面報告，性質上屬於刑事訴訟法第159條第1項所定被告以外之人於審判外之言詞或書面陳述，如實施鑑定之人未於審判中以言詞為說明陳述，即與直接審理主義、言詞審理主義有悖，而屬傳聞證據，惟目前司法實務上，認為鑑定書面報告為該法第159條第1項所指之「除法律有規定者外」，使鑑定之書面報告當然得作為證據，實未能顧及被告之詰問權。</w:t>
      </w:r>
      <w:bookmarkEnd w:id="418"/>
      <w:r w:rsidRPr="000B2A94">
        <w:rPr>
          <w:color w:val="000000" w:themeColor="text1"/>
        </w:rPr>
        <w:t xml:space="preserve"> </w:t>
      </w:r>
    </w:p>
    <w:p w:rsidR="00F956E8" w:rsidRPr="000B2A94" w:rsidRDefault="00F956E8" w:rsidP="0081002C">
      <w:pPr>
        <w:pStyle w:val="3"/>
        <w:rPr>
          <w:color w:val="000000" w:themeColor="text1"/>
        </w:rPr>
      </w:pPr>
      <w:bookmarkStart w:id="419" w:name="_Toc27400026"/>
      <w:r w:rsidRPr="000B2A94">
        <w:rPr>
          <w:rFonts w:hint="eastAsia"/>
          <w:color w:val="000000" w:themeColor="text1"/>
        </w:rPr>
        <w:t>對於為保障被告訴訟權，是否應落實要求鑑定人到庭接受詰問，行政院曾於108年7月18日、7月30日、8月20日、9月26日，就司法院函請該院會銜之「刑事訴訟法」部分條文修正草案第206條規定：「</w:t>
      </w:r>
      <w:r w:rsidR="00A80A49" w:rsidRPr="000B2A94">
        <w:rPr>
          <w:rFonts w:hint="eastAsia"/>
          <w:color w:val="000000" w:themeColor="text1"/>
        </w:rPr>
        <w:t>（</w:t>
      </w:r>
      <w:r w:rsidRPr="000B2A94">
        <w:rPr>
          <w:rFonts w:hint="eastAsia"/>
          <w:color w:val="000000" w:themeColor="text1"/>
        </w:rPr>
        <w:t>第1項</w:t>
      </w:r>
      <w:r w:rsidR="00A80A49" w:rsidRPr="000B2A94">
        <w:rPr>
          <w:rFonts w:hint="eastAsia"/>
          <w:color w:val="000000" w:themeColor="text1"/>
        </w:rPr>
        <w:t>）</w:t>
      </w:r>
      <w:r w:rsidRPr="000B2A94">
        <w:rPr>
          <w:rFonts w:hint="eastAsia"/>
          <w:color w:val="000000" w:themeColor="text1"/>
        </w:rPr>
        <w:t>鑑定之經過及其結果，應命鑑定人以言詞或書面報告。(第2項</w:t>
      </w:r>
      <w:r w:rsidR="00A80A49" w:rsidRPr="000B2A94">
        <w:rPr>
          <w:rFonts w:hint="eastAsia"/>
          <w:color w:val="000000" w:themeColor="text1"/>
        </w:rPr>
        <w:t>）</w:t>
      </w:r>
      <w:r w:rsidRPr="000B2A94">
        <w:rPr>
          <w:rFonts w:hint="eastAsia"/>
          <w:color w:val="000000" w:themeColor="text1"/>
        </w:rPr>
        <w:t>鑑定人有數人時，得使其共同報告之。但意見不同者，應使其各別報告。(第3項)第一項之言詞或書面報告，應包括以下事項：一、鑑定人之專業能力有助於事實認定。二、鑑定係以足夠之事實或資料為基礎。三、鑑定係以可靠之原理及方法作成。四、前款之原理及方法係以可靠方式適用於鑑定事項。(第4項)以書面報告者，於審判中應使實施鑑定之人到庭以言詞說明。但經當事人明示同意書面報告得為證據者，不在此限。(第5項)前項書面報告如經實施鑑定之人於審判中以言詞陳述該書面報告之作成為真正者，得為證據。」</w:t>
      </w:r>
      <w:r w:rsidRPr="000B2A94">
        <w:rPr>
          <w:rFonts w:hint="eastAsia"/>
          <w:color w:val="000000" w:themeColor="text1"/>
        </w:rPr>
        <w:lastRenderedPageBreak/>
        <w:t>邀集實務上從事司法鑑定之機關(含民間機構)與會討論，該次會議結論：「本次修正草案涉及機關鑑定書面報告之格式、實施鑑定之人應否具名、鑑定報告有無證據能力及鑑定人於審判中是否以到庭說明為原則，對於鑑定實務有一定程度影響，將另行與法務部討論，並決定會銜之方式，以兼顧機關鑑定實務運作可行性。」有關各機關(構)意見如下：</w:t>
      </w:r>
      <w:bookmarkEnd w:id="419"/>
    </w:p>
    <w:p w:rsidR="00F956E8" w:rsidRPr="000B2A94" w:rsidRDefault="00F956E8" w:rsidP="0081002C">
      <w:pPr>
        <w:pStyle w:val="4"/>
        <w:rPr>
          <w:color w:val="000000" w:themeColor="text1"/>
        </w:rPr>
      </w:pPr>
      <w:r w:rsidRPr="000B2A94">
        <w:rPr>
          <w:rFonts w:hint="eastAsia"/>
          <w:color w:val="000000" w:themeColor="text1"/>
        </w:rPr>
        <w:t>法務部：鑑定人本質上並非證人，而與證人同屬法定調查證據方法，其所出具之鑑定報告，係法官、檢察官依法定證據方法調查所得之證據，自應具有證據能力，不宜將鑑定報告視為傳聞證據而原則上排除其證據能力。又鑑定人於審判中到庭陳述或接受交互詰問，對於真實發現固有所助益，惟現行偵審實務，尿液鑑定、毒品鑑定及槍彈鑑定之數量龐大，若認是類常規鑑定之鑑定報告均屬傳聞證據，且鑑定人原則上均須到庭，則將導致審判程序冗長，亦耗費司法資源及鑑定資源。又此等修法方向之結果，不能排除被告或選任辯護人在訴訟策略上，一概不同意鑑定報告之證據能力，則以目前法務部調查局、刑事警察局目前每年各受理2萬件左右之鑑定案件量而言，若有相當案件數量因此均需要鑑定人到庭作證時，對於鑑定機關而言實係相當沈重之負荷。此外，醫療鑑定、車禍鑑定在司法實務上為數亦不少，相關修法必須考量鑑定機關意見及可負擔性，否則若反而造成鑑定機關拒案、訴訟遲滯，或衝擊社會治安，實不符合社會人民之期待。考量司法資源有限性，兼顧當事人權益，促進真實發現及衡酌刑事訴訟制度平衡，建議由當事人陳</w:t>
      </w:r>
      <w:r w:rsidRPr="000B2A94">
        <w:rPr>
          <w:rFonts w:hint="eastAsia"/>
          <w:color w:val="000000" w:themeColor="text1"/>
        </w:rPr>
        <w:lastRenderedPageBreak/>
        <w:t>明鑑定人到庭陳述之必要性後，使鑑定人到庭接受交互詰問，以保障對質詰問權，並釐清鑑定正確性。若當事人同意或屬常規鑑定之情形時，鑑定人即無須到庭陳述。</w:t>
      </w:r>
    </w:p>
    <w:p w:rsidR="00F956E8" w:rsidRPr="000B2A94" w:rsidRDefault="00F956E8" w:rsidP="0081002C">
      <w:pPr>
        <w:pStyle w:val="4"/>
        <w:rPr>
          <w:color w:val="000000" w:themeColor="text1"/>
        </w:rPr>
      </w:pPr>
      <w:r w:rsidRPr="000B2A94">
        <w:rPr>
          <w:rFonts w:hint="eastAsia"/>
          <w:color w:val="000000" w:themeColor="text1"/>
        </w:rPr>
        <w:t>法務部調查局：本條之修正對於鑑定實務衝擊甚大，且可能大幅增加鑑定人員工作負擔及不利案件妥速審理。本條第3項要求鑑定書面報告必須包含4款內容，並以此作為取得證據能力之前提要件，然而個案中，當事人並不ㄧ定對該4款內容均有爭執，若修法要求鑑定報告須ㄧ律說明該4款要件，勢必耗時費力，使鑑定機關增加大量文書作業負擔及相關成本。又法務部調查局106年受理2萬1441件鑑定案件，出庭13人次；107年受理2萬1980件鑑定案件，出庭17人次；108年1-6月受理1萬22件鑑定案件，出庭人次8次。未來依本條第4項、第5項規定，鑑定人以到庭言詞陳述為原則，書面報告為例外，則鑑定人出庭作證接受詰問勢必成為常態，將大幅增加鑑定工作及交通等相關行政成本，致相關人力、物力無法負荷，亦不利鑑定技術之研發與提升；除非大幅增加鑑定人力及經費，否則鑑定期程勢必大幅拉長，極其耗費國家資源，且增加當事人時間與勞力成本，與當前講求妥速審理之刑事政策不符，亦違反社會期待。此外，</w:t>
      </w:r>
      <w:r w:rsidR="00A80A49" w:rsidRPr="000B2A94">
        <w:rPr>
          <w:rFonts w:hint="eastAsia"/>
          <w:color w:val="000000" w:themeColor="text1"/>
        </w:rPr>
        <w:t>該部表示，</w:t>
      </w:r>
      <w:r w:rsidRPr="000B2A94">
        <w:rPr>
          <w:rFonts w:hint="eastAsia"/>
          <w:color w:val="000000" w:themeColor="text1"/>
        </w:rPr>
        <w:t>法務部調查局、刑事警察局固然受理相當之鑑定案件，然並非涵蓋所有鑑定工作（如醫療鑑定、交通鑑定）；且非科學鑑定（如：藝術鑑定）之鑑定人要如何於書面報告中敘明本條第3項各款要件？</w:t>
      </w:r>
    </w:p>
    <w:p w:rsidR="00F956E8" w:rsidRPr="000B2A94" w:rsidRDefault="00F956E8" w:rsidP="0081002C">
      <w:pPr>
        <w:pStyle w:val="4"/>
        <w:rPr>
          <w:color w:val="000000" w:themeColor="text1"/>
        </w:rPr>
      </w:pPr>
      <w:r w:rsidRPr="000B2A94">
        <w:rPr>
          <w:rFonts w:hint="eastAsia"/>
          <w:color w:val="000000" w:themeColor="text1"/>
        </w:rPr>
        <w:t>內政部警政署：本條修正係參酌美國聯邦證據規則</w:t>
      </w:r>
      <w:r w:rsidRPr="000B2A94">
        <w:rPr>
          <w:color w:val="000000" w:themeColor="text1"/>
        </w:rPr>
        <w:t xml:space="preserve">702 </w:t>
      </w:r>
      <w:r w:rsidRPr="000B2A94">
        <w:rPr>
          <w:rFonts w:hint="eastAsia"/>
          <w:color w:val="000000" w:themeColor="text1"/>
        </w:rPr>
        <w:t>規範（即道伯法則），惟美國有</w:t>
      </w:r>
      <w:r w:rsidRPr="000B2A94">
        <w:rPr>
          <w:color w:val="000000" w:themeColor="text1"/>
        </w:rPr>
        <w:t>9</w:t>
      </w:r>
      <w:r w:rsidRPr="000B2A94">
        <w:rPr>
          <w:rFonts w:hint="eastAsia"/>
          <w:color w:val="000000" w:themeColor="text1"/>
        </w:rPr>
        <w:t>成刑事案</w:t>
      </w:r>
      <w:r w:rsidRPr="000B2A94">
        <w:rPr>
          <w:rFonts w:hint="eastAsia"/>
          <w:color w:val="000000" w:themeColor="text1"/>
        </w:rPr>
        <w:lastRenderedPageBreak/>
        <w:t>件採認罪協商，而不需進入審判程序，與我國國情不同，未來若當事人未明示同意書面報告得為證據時，鑑定人均須到庭說明，對於鑑定人力及鑑定工作運作影響甚鉅。目前刑事警察局受理之鑑定案件，鑑定項目與方法以通過認證為原則，若仍須逐案陳述鑑定原理方法，不符合減紙減碳政策，建議將相關鑑定原理與方法適度公告於網站供查詢即可，無需檢附於鑑定報告。又道伯法則是針對新的鑑定方法，一旦該鑑定方法通過認證而成為日常鑑定項目時，即不需要逐案陳述原理方法。內政部警政署刑事警察局106年受理2萬4千多件鑑定案件，出庭30人次；107年受理將近3萬件鑑定案件，出庭48人次。出庭人次不多之原因，係因現行規定鑑定報告原則上有證據能力，若依修正條文原則上鑑定人均須到庭陳述，將造成嚴重衝擊，且影響案件鑑定時效。且若鑑定人因出國、離職或其他原因無法到庭，則是否鑑定報告即無證據能力？</w:t>
      </w:r>
    </w:p>
    <w:p w:rsidR="00F956E8" w:rsidRPr="000B2A94" w:rsidRDefault="00F956E8" w:rsidP="0081002C">
      <w:pPr>
        <w:pStyle w:val="4"/>
        <w:rPr>
          <w:color w:val="000000" w:themeColor="text1"/>
        </w:rPr>
      </w:pPr>
      <w:r w:rsidRPr="000B2A94">
        <w:rPr>
          <w:rFonts w:hint="eastAsia"/>
          <w:color w:val="000000" w:themeColor="text1"/>
        </w:rPr>
        <w:t>衛生福利部：以鑑定作業而言，醫療糾紛鑑定具有高度專業性及複雜性，為達成客觀性、公正性及專業性之鑑定本質，衛生福利部醫事審議委員會（下稱醫審會）之委員組成，係來自各醫學專門領域及各大教學醫院學有專精及眾望素孚之醫師、法學專家學者及社會人士等，具有普遍性及專門性；且鑑定過程極為慎重，除就委託事項所涉領域分送各大教學醫院各醫學專門領域之醫師（即初審醫師）研提初步鑑定意見外，並提交醫審會審議，經反覆討論，取得共識意見後，始作成鑑定書。是以，醫療鑑定意見之做成係採合議制，並非個人之意見，初審醫師所扮演之角</w:t>
      </w:r>
      <w:r w:rsidRPr="000B2A94">
        <w:rPr>
          <w:rFonts w:hint="eastAsia"/>
          <w:color w:val="000000" w:themeColor="text1"/>
        </w:rPr>
        <w:lastRenderedPageBreak/>
        <w:t>色及所擬之初步鑑定意見，僅係協助醫審會完成鑑定，醫審會對於初步鑑定意見，不僅得予修正，甚至予以推翻；倘醫審會仍有疑義，亦可請不同醫院及醫師再作鑑定。如要求出具書面報告之鑑定人，須於審判中到庭以言詞說明鑑定報告，將造成作業困難且難有實益。</w:t>
      </w:r>
    </w:p>
    <w:p w:rsidR="00F956E8" w:rsidRPr="000B2A94" w:rsidRDefault="00F956E8" w:rsidP="0081002C">
      <w:pPr>
        <w:pStyle w:val="4"/>
        <w:rPr>
          <w:color w:val="000000" w:themeColor="text1"/>
        </w:rPr>
      </w:pPr>
      <w:r w:rsidRPr="000B2A94">
        <w:rPr>
          <w:rFonts w:hint="eastAsia"/>
          <w:color w:val="000000" w:themeColor="text1"/>
        </w:rPr>
        <w:t>交通部：各縣市車輛行車事故鑑定委員會（下稱車鑑會）及交通部公路總局車輛行車事故鑑定覆議會（下稱覆議會）之外聘委員係為學校之學者或專家(鑑定會：學者至少1/2，覆議會：學者至少2/3)，有其本職之工作，且委員僅依行政院訂頒之軍公教人員兼職費支給表支給兼職費。而「刑事訴訟法」部分條文修正草案第206條第4項規定：「以書面報告者，於審判中『應』使實施鑑定之人到庭以言詞說明。但經當事人明示同意書面報告得為證據者，不在此限。」，此將影響擔任車鑑會及覆議會委員之意願，導致鑑定工作無法進行。倘條文修正通過，未來鑑定人出庭作證接受詰問恐將成為常態，且若每份鑑定報告均需由鑑定人出庭交互詰問，將大幅增加鑑定及交通等相關行政成本，致相關人力、物力無法負荷，且有爭議之鑑定報告占少數，除非大幅增加人力及經費，否則勢必拉長鑑定期程，將耗費國家資源且增加當事人時間及勞力成本，與講求妥速審理之刑事政策不符，似違反社會期待。故建議第206條第4項規定修改為：「以書面報告者，於審判中『得』使實施鑑定之人到庭以言詞說明。」。</w:t>
      </w:r>
    </w:p>
    <w:p w:rsidR="00F956E8" w:rsidRPr="000B2A94" w:rsidRDefault="00F956E8" w:rsidP="0081002C">
      <w:pPr>
        <w:pStyle w:val="4"/>
        <w:rPr>
          <w:color w:val="000000" w:themeColor="text1"/>
        </w:rPr>
      </w:pPr>
      <w:r w:rsidRPr="000B2A94">
        <w:rPr>
          <w:rFonts w:hint="eastAsia"/>
          <w:color w:val="000000" w:themeColor="text1"/>
        </w:rPr>
        <w:t>中央警察大學：由於中央警察大學之主要任務為教學和研究，若不分鑑定案件類型一律以出庭為</w:t>
      </w:r>
      <w:r w:rsidRPr="000B2A94">
        <w:rPr>
          <w:rFonts w:hint="eastAsia"/>
          <w:color w:val="000000" w:themeColor="text1"/>
        </w:rPr>
        <w:lastRenderedPageBreak/>
        <w:t>原則，則勢必干擾正常教學進度，而影響爾後接受委託鑑定之意願。故建請考量對於鑑定方法明確無爭議案件之鑑定報告書，視為傳聞證據之例外而有證據能力，以減輕鑑定人之負擔。另對於須出庭之鑑定人，既有之日費旅費並不足以支付因出庭所產生之負擔，基於使用者付費及尊重鑑定人之考量，以提高鑑定人出庭意願，建請修正既有日費旅費支付標準及新增鑑定人出庭接受交互詰問之出庭費用。又中央警察大學近</w:t>
      </w:r>
      <w:r w:rsidR="00A80A49" w:rsidRPr="000B2A94">
        <w:rPr>
          <w:rFonts w:hint="eastAsia"/>
          <w:color w:val="000000" w:themeColor="text1"/>
        </w:rPr>
        <w:t>3</w:t>
      </w:r>
      <w:r w:rsidRPr="000B2A94">
        <w:rPr>
          <w:rFonts w:hint="eastAsia"/>
          <w:color w:val="000000" w:themeColor="text1"/>
        </w:rPr>
        <w:t>年僅接受243件囑託鑑定案，占全國刑事訴訟鑑定案之比例不到百分之一。關於刑事訴訟法第206條及第208條修正條文草案，建請慎重參酌受託鑑定案件數量龐大之主要鑑定實務機關意見，並慎思修法施行後可能發生之情境狀況，而據以擬定適當配套措施，俾利修法後之順利推行。</w:t>
      </w:r>
    </w:p>
    <w:p w:rsidR="00F956E8" w:rsidRPr="000B2A94" w:rsidRDefault="00F956E8" w:rsidP="0081002C">
      <w:pPr>
        <w:pStyle w:val="4"/>
        <w:rPr>
          <w:color w:val="000000" w:themeColor="text1"/>
        </w:rPr>
      </w:pPr>
      <w:r w:rsidRPr="000B2A94">
        <w:rPr>
          <w:rFonts w:hint="eastAsia"/>
          <w:color w:val="000000" w:themeColor="text1"/>
        </w:rPr>
        <w:t>台灣舞弊防治與鑑識協會：支持鑑定人於審判中以到庭說明為原則之修法方向。理由如下：（1）鑑定之目的在於協助審理者發現真實，但過往冤錯案例，部分係因鑑定問題所致，是以，應致力於確保及提升鑑定之品質。（2）鑑定人到庭接受交互詰問，是檢驗鑑定品質之最佳方法，亦有助於提升鑑定人之自律意識，以更嚴謹客觀之態度規劃及執行鑑定程序、製作鑑定報告。（3）若院、檢選任之鑑定人不須到庭陳述鑑定意見，而當事人自行選任之鑑定人須到庭接受交互詰問，則顯然有差別待遇，而違反當事人武器平等原則；若二者皆不須到庭接受交互詰問，則對於鑑定品質之管控會產生問題。</w:t>
      </w:r>
    </w:p>
    <w:p w:rsidR="00F956E8" w:rsidRPr="000B2A94" w:rsidRDefault="00F956E8" w:rsidP="0081002C">
      <w:pPr>
        <w:pStyle w:val="4"/>
        <w:rPr>
          <w:color w:val="000000" w:themeColor="text1"/>
        </w:rPr>
      </w:pPr>
      <w:r w:rsidRPr="000B2A94">
        <w:rPr>
          <w:rFonts w:hint="eastAsia"/>
          <w:color w:val="000000" w:themeColor="text1"/>
        </w:rPr>
        <w:t>臺灣鑑識科學學會：本次修法朝向直接審理、言詞審理主義方向進行，對於發現真實固然立意良</w:t>
      </w:r>
      <w:r w:rsidRPr="000B2A94">
        <w:rPr>
          <w:rFonts w:hint="eastAsia"/>
          <w:color w:val="000000" w:themeColor="text1"/>
        </w:rPr>
        <w:lastRenderedPageBreak/>
        <w:t>善，惟建請考慮實際操作可能性。依美國維吉尼亞州刑事實驗室之年報說明，自2009年最高法院Melendez-Diaz v. Massachusetts案判決後，鑑定人員須出庭作證，以2017年為例，接獲傳票15,548張，出庭4,023次，合計共出庭397日，造成實驗室案件嚴重延宕，積案增加，更增加鑑定人員工作負荷。該實驗室每年受理鑑定案件大約5萬多件，而目前內政部警政署刑事局每年接受院、檢囑託鑑定案件大約為2萬多件，或可以此推估未來修法可能之衝擊影響。在理想與實務運作權衡下，建請考量對於鑑定方法明確無爭議案件之鑑定報告書，視為傳聞證據之例外而有證據能力，以減輕鑑定人之負擔；但在有必要時，鑑定人仍應到庭接受交互詰問。此外，現行日費旅費並不足以支付鑑定人因出庭所產生之負擔，基於使用者付費及尊重鑑定人之考量，建請修正既有日費旅費支付標準及新增鑑定人出庭接受交互詰問之出庭費用。</w:t>
      </w:r>
    </w:p>
    <w:p w:rsidR="00F956E8" w:rsidRPr="000B2A94" w:rsidRDefault="00F956E8" w:rsidP="0081002C">
      <w:pPr>
        <w:pStyle w:val="4"/>
        <w:rPr>
          <w:color w:val="000000" w:themeColor="text1"/>
        </w:rPr>
      </w:pPr>
      <w:r w:rsidRPr="000B2A94">
        <w:rPr>
          <w:rFonts w:hint="eastAsia"/>
          <w:color w:val="000000" w:themeColor="text1"/>
        </w:rPr>
        <w:t>台灣營建研究院：目前受理鑑定案件以民事案件為主（如：工程瑕疵、工期展延、追加工程款、施工不當責任歸屬等），每年大約1、20件；受理刑事案件鑑定數量較少，約1-2件。目前台灣營建研究院受理鑑定案件後，會依案件特性交由主要撰寫報告者處理，之後召開鑑識委員會審核鑑定報告，再由原先撰擬報告者依委員會意見修正。是以，鑑定報告係以機關名義出具，而非以個人名義為之，若日後修法要求具名，可能造成鑑定人承受人情壓力及出庭壓力。以目前到庭陳述鑑定意見之經驗而言，法庭程序過於冗長，且有時候律師詰問態度不佳，都會影響鑑定人出庭</w:t>
      </w:r>
      <w:r w:rsidRPr="000B2A94">
        <w:rPr>
          <w:rFonts w:hint="eastAsia"/>
          <w:color w:val="000000" w:themeColor="text1"/>
        </w:rPr>
        <w:lastRenderedPageBreak/>
        <w:t>意願。</w:t>
      </w:r>
    </w:p>
    <w:p w:rsidR="00F956E8" w:rsidRPr="000B2A94" w:rsidRDefault="00F956E8" w:rsidP="00A80A49">
      <w:pPr>
        <w:pStyle w:val="4"/>
        <w:rPr>
          <w:color w:val="000000" w:themeColor="text1"/>
        </w:rPr>
      </w:pPr>
      <w:r w:rsidRPr="000B2A94">
        <w:rPr>
          <w:rFonts w:hint="eastAsia"/>
          <w:color w:val="000000" w:themeColor="text1"/>
        </w:rPr>
        <w:t>台灣文書鑑定學會：學會於108年1月成立，目前尚未受理院、檢囑託鑑定案件。學會對於鑑定人須於鑑定報告書具名及原則上須到庭陳述意見之修法方向表示認同，因為具名是對鑑定報告負責任之作法，且到庭陳述可以使審判者充分瞭解鑑定報告內容，對於案情釐清有所助益。未來若引進私人鑑定制度，因無法預期民間會有多少不夠專業之鑑定單位，更必須透過鑑定人具名及出庭接受交互詰問，以確保鑑定品質。</w:t>
      </w:r>
    </w:p>
    <w:p w:rsidR="00F956E8" w:rsidRPr="000B2A94" w:rsidRDefault="00F956E8" w:rsidP="0081002C">
      <w:pPr>
        <w:pStyle w:val="4"/>
        <w:rPr>
          <w:color w:val="000000" w:themeColor="text1"/>
        </w:rPr>
      </w:pPr>
      <w:r w:rsidRPr="000B2A94">
        <w:rPr>
          <w:rFonts w:hint="eastAsia"/>
          <w:color w:val="000000" w:themeColor="text1"/>
        </w:rPr>
        <w:t>臺灣省會計師公會：目前公會受理囑託鑑定案件以民事案件占多數。法院函請鑑定時，公會會派案給會員，以個人名義出具鑑定報告。經私下徵詢會計鑑定工作人員意見，對於修法朝向鑑定人原則要到庭陳述部分，有較多疑慮。</w:t>
      </w:r>
    </w:p>
    <w:p w:rsidR="00F956E8" w:rsidRPr="000B2A94" w:rsidRDefault="00F956E8" w:rsidP="0081002C">
      <w:pPr>
        <w:pStyle w:val="3"/>
        <w:rPr>
          <w:color w:val="000000" w:themeColor="text1"/>
        </w:rPr>
      </w:pPr>
      <w:bookmarkStart w:id="420" w:name="_Toc27400027"/>
      <w:r w:rsidRPr="000B2A94">
        <w:rPr>
          <w:rFonts w:hint="eastAsia"/>
          <w:color w:val="000000" w:themeColor="text1"/>
        </w:rPr>
        <w:t>對此司法院說明如下</w:t>
      </w:r>
      <w:r w:rsidRPr="000B2A94">
        <w:rPr>
          <w:rFonts w:hAnsi="標楷體" w:hint="eastAsia"/>
          <w:color w:val="000000" w:themeColor="text1"/>
        </w:rPr>
        <w:t>：</w:t>
      </w:r>
      <w:bookmarkEnd w:id="420"/>
    </w:p>
    <w:p w:rsidR="00F956E8" w:rsidRPr="000B2A94" w:rsidRDefault="00F956E8" w:rsidP="0081002C">
      <w:pPr>
        <w:pStyle w:val="4"/>
        <w:rPr>
          <w:color w:val="000000" w:themeColor="text1"/>
        </w:rPr>
      </w:pPr>
      <w:r w:rsidRPr="000B2A94">
        <w:rPr>
          <w:rFonts w:hint="eastAsia"/>
          <w:color w:val="000000" w:themeColor="text1"/>
        </w:rPr>
        <w:t>刑事訴訟案件：</w:t>
      </w:r>
    </w:p>
    <w:p w:rsidR="00F956E8" w:rsidRPr="000B2A94" w:rsidRDefault="00F956E8" w:rsidP="0081002C">
      <w:pPr>
        <w:pStyle w:val="5"/>
        <w:rPr>
          <w:color w:val="000000" w:themeColor="text1"/>
        </w:rPr>
      </w:pPr>
      <w:r w:rsidRPr="000B2A94">
        <w:rPr>
          <w:rFonts w:hint="eastAsia"/>
          <w:color w:val="000000" w:themeColor="text1"/>
        </w:rPr>
        <w:t>鑑定書面報告性質上屬於刑事訴訟法第159條第1項所定被告以外之人於審判外之言詞或書面陳述，如實施鑑定之人未於審判中以言詞為說明陳述，即與直接審理主義、言詞審理主義有悖，而屬傳聞證據。為保障當事人對於鑑定人之詰問權，促進真實發現，避免誤判，於審判中應使實施鑑定之人到庭，由當事人及辯護人透過交互詰問充分檢驗實際實施鑑定之人之資格、專業與中立性、鑑定實施之經過及其結果。惟此種被告以外之人於審判外以書面報告所為之陳述，如經當事人明示同意，自無需使實施鑑定之人到庭以言詞說明，即得作為證據。</w:t>
      </w:r>
    </w:p>
    <w:p w:rsidR="00F956E8" w:rsidRPr="000B2A94" w:rsidRDefault="00F956E8" w:rsidP="0081002C">
      <w:pPr>
        <w:pStyle w:val="5"/>
        <w:rPr>
          <w:color w:val="000000" w:themeColor="text1"/>
        </w:rPr>
      </w:pPr>
      <w:r w:rsidRPr="000B2A94">
        <w:rPr>
          <w:rFonts w:hint="eastAsia"/>
          <w:color w:val="000000" w:themeColor="text1"/>
        </w:rPr>
        <w:t>爰於上開刑事訴訟法修正草案第206條第4項</w:t>
      </w:r>
      <w:r w:rsidRPr="000B2A94">
        <w:rPr>
          <w:rFonts w:hint="eastAsia"/>
          <w:color w:val="000000" w:themeColor="text1"/>
        </w:rPr>
        <w:lastRenderedPageBreak/>
        <w:t>及第208條第1項規定：「以書面報告者，於審判中應使實施鑑定之人到庭以言詞說明。但經當事人明示同意書面報告得為證據者，不在此限。」、「法院或檢察官得囑託醫院、學校或其他相當之機關、團體為鑑定，或審查他人之鑑定，並準用第203條至第206條之1之規定；其須以言詞報告或說明時，得命實施鑑定或審查之人為之。」明定鑑定人於審判中原則上應到庭以言詞說明，以保障被告訴訟權，並落實傳聞法則。</w:t>
      </w:r>
    </w:p>
    <w:p w:rsidR="00F956E8" w:rsidRPr="000B2A94" w:rsidRDefault="00F956E8" w:rsidP="0081002C">
      <w:pPr>
        <w:pStyle w:val="4"/>
        <w:rPr>
          <w:color w:val="000000" w:themeColor="text1"/>
        </w:rPr>
      </w:pPr>
      <w:r w:rsidRPr="000B2A94">
        <w:rPr>
          <w:rFonts w:hint="eastAsia"/>
          <w:color w:val="000000" w:themeColor="text1"/>
        </w:rPr>
        <w:t>民事訴訟事件：依民事訴訟法第335條第3項，鑑定書須說明者，得命鑑定人到場說明。又依同法第324條準用第320條之規定，當事人得聲請審判長對於鑑定人為必要之發問，或向審判長陳明後自行發問。依上開規定，民事訴訟程序中已賦予當事人向鑑定人發問之機會，被告之訴訟權允足保障。</w:t>
      </w:r>
    </w:p>
    <w:p w:rsidR="00F956E8" w:rsidRPr="000B2A94" w:rsidRDefault="00F956E8" w:rsidP="0081002C">
      <w:pPr>
        <w:pStyle w:val="4"/>
        <w:rPr>
          <w:color w:val="000000" w:themeColor="text1"/>
        </w:rPr>
      </w:pPr>
      <w:r w:rsidRPr="000B2A94">
        <w:rPr>
          <w:rFonts w:hint="eastAsia"/>
          <w:color w:val="000000" w:themeColor="text1"/>
        </w:rPr>
        <w:t>行政訴訟事件：鑑定，係由選任之鑑定人或囑託之鑑定機構，依憑其特別知識經驗而陳述或報告其專業意見，具有證人之性質，依行政訴 法第156條規定，除法律有特別規定，原則準用人證之規定，如鑑定結果須由當事人為辯論等。惟鑑定報告僅係供法院審判之參酌依據，法院並不受其拘束，故鑑定人非如證人為不可代替之證據方法，並無強制其到場之必要，爰於行政訴訟法第158 條明文規定，鑑定人不得拘提。</w:t>
      </w:r>
    </w:p>
    <w:p w:rsidR="00F956E8" w:rsidRPr="000B2A94" w:rsidRDefault="00F956E8" w:rsidP="0081002C">
      <w:pPr>
        <w:pStyle w:val="4"/>
        <w:rPr>
          <w:color w:val="000000" w:themeColor="text1"/>
        </w:rPr>
      </w:pPr>
      <w:r w:rsidRPr="000B2A94">
        <w:rPr>
          <w:rFonts w:hint="eastAsia"/>
          <w:color w:val="000000" w:themeColor="text1"/>
        </w:rPr>
        <w:t>少年及家事事件：是否要求鑑定人到庭，事涉審判權，應由法官視個案鑑定內容，決定有無請鑑定人到庭接受詰問之必要性。</w:t>
      </w:r>
    </w:p>
    <w:p w:rsidR="00F956E8" w:rsidRPr="000B2A94" w:rsidRDefault="00F956E8" w:rsidP="0081002C">
      <w:pPr>
        <w:pStyle w:val="3"/>
        <w:rPr>
          <w:color w:val="000000" w:themeColor="text1"/>
        </w:rPr>
      </w:pPr>
      <w:bookmarkStart w:id="421" w:name="_Toc27400028"/>
      <w:r w:rsidRPr="000B2A94">
        <w:rPr>
          <w:rFonts w:hint="eastAsia"/>
          <w:color w:val="000000" w:themeColor="text1"/>
        </w:rPr>
        <w:t>綜上</w:t>
      </w:r>
      <w:r w:rsidRPr="000B2A94">
        <w:rPr>
          <w:rFonts w:hAnsi="標楷體" w:hint="eastAsia"/>
          <w:color w:val="000000" w:themeColor="text1"/>
        </w:rPr>
        <w:t>，</w:t>
      </w:r>
      <w:r w:rsidRPr="000B2A94">
        <w:rPr>
          <w:rFonts w:hint="eastAsia"/>
          <w:color w:val="000000" w:themeColor="text1"/>
        </w:rPr>
        <w:t>鑑定書面報告性質上屬於刑事訴訟法第159</w:t>
      </w:r>
      <w:r w:rsidRPr="000B2A94">
        <w:rPr>
          <w:rFonts w:hint="eastAsia"/>
          <w:color w:val="000000" w:themeColor="text1"/>
        </w:rPr>
        <w:lastRenderedPageBreak/>
        <w:t>條第1項所定被告以外之人於審判外之言詞或書面陳述，如實施鑑定之人未於審判中以言詞為說明陳述，即屬傳聞證據。為保障當事人對於鑑定人之詰問權，促進真實發現，避免誤判，於審判中應使實施鑑定之人到庭，由當事人及辯護人透過交互詰問充分檢驗實際實施鑑定之人之資格、專業與中立性、鑑定實施之經過及其結果。惟鑑定之相關機關(構)</w:t>
      </w:r>
      <w:r w:rsidRPr="000B2A94">
        <w:rPr>
          <w:rFonts w:hAnsi="標楷體" w:hint="eastAsia"/>
          <w:color w:val="000000" w:themeColor="text1"/>
        </w:rPr>
        <w:t>，認為</w:t>
      </w:r>
      <w:r w:rsidRPr="000B2A94">
        <w:rPr>
          <w:rFonts w:hint="eastAsia"/>
          <w:color w:val="000000" w:themeColor="text1"/>
        </w:rPr>
        <w:t>對於鑑定實務將有一定程度影響，提出應考量鑑定機關實際操作可能性及可負擔性之疑慮</w:t>
      </w:r>
      <w:r w:rsidRPr="000B2A94">
        <w:rPr>
          <w:rFonts w:hAnsi="標楷體" w:hint="eastAsia"/>
          <w:color w:val="000000" w:themeColor="text1"/>
        </w:rPr>
        <w:t>，</w:t>
      </w:r>
      <w:r w:rsidRPr="000B2A94">
        <w:rPr>
          <w:rFonts w:hint="eastAsia"/>
          <w:color w:val="000000" w:themeColor="text1"/>
        </w:rPr>
        <w:t>認可能將大幅增加鑑定工作及交通等相關行政成本，致相關人力、物力無法負荷，亦不利鑑定技術之研發與提升</w:t>
      </w:r>
      <w:r w:rsidRPr="000B2A94">
        <w:rPr>
          <w:rFonts w:hAnsi="標楷體" w:hint="eastAsia"/>
          <w:color w:val="000000" w:themeColor="text1"/>
        </w:rPr>
        <w:t>，</w:t>
      </w:r>
      <w:r w:rsidRPr="000B2A94">
        <w:rPr>
          <w:rFonts w:hint="eastAsia"/>
          <w:color w:val="000000" w:themeColor="text1"/>
        </w:rPr>
        <w:t>否則若反而造成鑑定機關拒案、訴訟遲滯，或衝擊社會治安，實不符合社會人民之期待。就此</w:t>
      </w:r>
      <w:r w:rsidRPr="000B2A94">
        <w:rPr>
          <w:rFonts w:hAnsi="標楷體" w:hint="eastAsia"/>
          <w:color w:val="000000" w:themeColor="text1"/>
        </w:rPr>
        <w:t>，</w:t>
      </w:r>
      <w:r w:rsidRPr="000B2A94">
        <w:rPr>
          <w:rFonts w:hint="eastAsia"/>
          <w:color w:val="000000" w:themeColor="text1"/>
        </w:rPr>
        <w:t>行政院及司法院實應妥予研議考量</w:t>
      </w:r>
      <w:r w:rsidRPr="000B2A94">
        <w:rPr>
          <w:rFonts w:hAnsi="標楷體" w:hint="eastAsia"/>
          <w:color w:val="000000" w:themeColor="text1"/>
        </w:rPr>
        <w:t>，</w:t>
      </w:r>
      <w:r w:rsidRPr="000B2A94">
        <w:rPr>
          <w:rFonts w:hint="eastAsia"/>
          <w:color w:val="000000" w:themeColor="text1"/>
        </w:rPr>
        <w:t>於兼顧鑑定實務運作之可行性下</w:t>
      </w:r>
      <w:r w:rsidRPr="000B2A94">
        <w:rPr>
          <w:rFonts w:hAnsi="標楷體" w:hint="eastAsia"/>
          <w:color w:val="000000" w:themeColor="text1"/>
        </w:rPr>
        <w:t>，</w:t>
      </w:r>
      <w:r w:rsidRPr="000B2A94">
        <w:rPr>
          <w:rFonts w:hint="eastAsia"/>
          <w:color w:val="000000" w:themeColor="text1"/>
        </w:rPr>
        <w:t>落實保障當事人對於鑑定人之詰問權。</w:t>
      </w:r>
      <w:bookmarkEnd w:id="421"/>
    </w:p>
    <w:p w:rsidR="00F956E8" w:rsidRPr="000B2A94" w:rsidRDefault="00F956E8" w:rsidP="0081002C">
      <w:pPr>
        <w:pStyle w:val="2"/>
        <w:rPr>
          <w:b/>
          <w:color w:val="000000" w:themeColor="text1"/>
        </w:rPr>
      </w:pPr>
      <w:bookmarkStart w:id="422" w:name="_Toc28606842"/>
      <w:r w:rsidRPr="000B2A94">
        <w:rPr>
          <w:rFonts w:hint="eastAsia"/>
          <w:b/>
          <w:color w:val="000000" w:themeColor="text1"/>
        </w:rPr>
        <w:t>法庭上為確認證物之同一性，對於證物之發現取得到呈現法庭，均需一一檢驗法定權責機關或人員之監管程序，是以建立一連續性的證物監管機制，實有必要。現行法務部、法務部調查局、法醫研究所、內政部警政署及司法院等各相關機關，就證物之監管雖均定有相關規範以供遵循，惟仍應妥予檢討精進落實執行。而相關證物一旦進入司法程序，法院亦應負起審查監管紀錄完整性之責任，以排除瑕疵證據，確保證物之同一性及因此作成鑑定意見之可信性。</w:t>
      </w:r>
      <w:bookmarkEnd w:id="422"/>
    </w:p>
    <w:p w:rsidR="00F956E8" w:rsidRPr="000B2A94" w:rsidRDefault="00F956E8" w:rsidP="0081002C">
      <w:pPr>
        <w:pStyle w:val="3"/>
        <w:rPr>
          <w:color w:val="000000" w:themeColor="text1"/>
        </w:rPr>
      </w:pPr>
      <w:bookmarkStart w:id="423" w:name="_Toc27400030"/>
      <w:r w:rsidRPr="000B2A94">
        <w:rPr>
          <w:rFonts w:hint="eastAsia"/>
          <w:color w:val="000000" w:themeColor="text1"/>
        </w:rPr>
        <w:t>按犯罪案件自調查以至判決確定，為確保證據之同一性，證物之監管鍊，即犯罪調查之證據蒐集，紀錄該證據之所有活動，包含蒐集、處理、及保管，以及在不同保管人之間的移轉等，應連續而不得中斷。經由監管紀錄，可驗證證據呈現在法院時，是</w:t>
      </w:r>
      <w:r w:rsidRPr="000B2A94">
        <w:rPr>
          <w:rFonts w:hint="eastAsia"/>
          <w:color w:val="000000" w:themeColor="text1"/>
        </w:rPr>
        <w:lastRenderedPageBreak/>
        <w:t>否有竄改或遭受污染等情形，以確保呈現於法庭之證據為真實無瑕疵，亦可提升經鑑驗該證物所出具鑑定意見之可信度。一般刑事案件經過犯罪調查機關調查移送、檢察機關偵查起訴及各級法院之審理，而證物於程序中如有送鑑，其經手之機關、人員將更為眾多。過往許多司法重大案例之證物污染或遺失，往往就在各機關間之保管、送鑑等移轉過程中發生。</w:t>
      </w:r>
      <w:bookmarkEnd w:id="423"/>
    </w:p>
    <w:p w:rsidR="00F956E8" w:rsidRPr="000B2A94" w:rsidRDefault="00F956E8" w:rsidP="0081002C">
      <w:pPr>
        <w:pStyle w:val="3"/>
        <w:rPr>
          <w:color w:val="000000" w:themeColor="text1"/>
        </w:rPr>
      </w:pPr>
      <w:bookmarkStart w:id="424" w:name="_Toc27400031"/>
      <w:r w:rsidRPr="000B2A94">
        <w:rPr>
          <w:rFonts w:hint="eastAsia"/>
          <w:color w:val="000000" w:themeColor="text1"/>
        </w:rPr>
        <w:t>為確保物證經由採樣、運送、鑑定及保存等過程，使呈現於法庭之證據係真實無瑕疵，對於如何建立證物監管之機制</w:t>
      </w:r>
      <w:r w:rsidRPr="000B2A94">
        <w:rPr>
          <w:rFonts w:hAnsi="標楷體" w:hint="eastAsia"/>
          <w:color w:val="000000" w:themeColor="text1"/>
        </w:rPr>
        <w:t>，</w:t>
      </w:r>
      <w:r w:rsidRPr="000B2A94">
        <w:rPr>
          <w:rFonts w:hint="eastAsia"/>
          <w:color w:val="000000" w:themeColor="text1"/>
        </w:rPr>
        <w:t>行政院</w:t>
      </w:r>
      <w:r w:rsidRPr="000B2A94">
        <w:rPr>
          <w:rFonts w:hAnsi="標楷體" w:hint="eastAsia"/>
          <w:color w:val="000000" w:themeColor="text1"/>
        </w:rPr>
        <w:t>說明如下：</w:t>
      </w:r>
      <w:bookmarkEnd w:id="424"/>
    </w:p>
    <w:p w:rsidR="00F956E8" w:rsidRPr="000B2A94" w:rsidRDefault="00F956E8" w:rsidP="0081002C">
      <w:pPr>
        <w:pStyle w:val="4"/>
        <w:rPr>
          <w:color w:val="000000" w:themeColor="text1"/>
        </w:rPr>
      </w:pPr>
      <w:r w:rsidRPr="000B2A94">
        <w:rPr>
          <w:rFonts w:hint="eastAsia"/>
          <w:color w:val="000000" w:themeColor="text1"/>
        </w:rPr>
        <w:t>行政院為瞭解目前司法偵審實務上就證物保管之相關流程及規範，並研商有無就證物保管訂定統一規範必要，於108年10月23日，邀集司法院秘書長、法務部、內政部警政署、內</w:t>
      </w:r>
      <w:r w:rsidR="00A80A49" w:rsidRPr="000B2A94">
        <w:rPr>
          <w:rFonts w:hint="eastAsia"/>
          <w:color w:val="000000" w:themeColor="text1"/>
        </w:rPr>
        <w:t>政部移民署、國防部憲兵指揮部、法務部調查局、法務部廉政署、</w:t>
      </w:r>
      <w:r w:rsidRPr="000B2A94">
        <w:rPr>
          <w:rFonts w:hint="eastAsia"/>
          <w:color w:val="000000" w:themeColor="text1"/>
        </w:rPr>
        <w:t>法醫研究所、海洋委員會海巡署，召開</w:t>
      </w:r>
      <w:r w:rsidRPr="000B2A94">
        <w:rPr>
          <w:rFonts w:hAnsi="標楷體" w:hint="eastAsia"/>
          <w:color w:val="000000" w:themeColor="text1"/>
        </w:rPr>
        <w:t>「</w:t>
      </w:r>
      <w:r w:rsidRPr="000B2A94">
        <w:rPr>
          <w:rFonts w:hint="eastAsia"/>
          <w:color w:val="000000" w:themeColor="text1"/>
        </w:rPr>
        <w:t>研商精進證物監管制度會議</w:t>
      </w:r>
      <w:r w:rsidRPr="000B2A94">
        <w:rPr>
          <w:rFonts w:hAnsi="標楷體" w:hint="eastAsia"/>
          <w:color w:val="000000" w:themeColor="text1"/>
        </w:rPr>
        <w:t>」</w:t>
      </w:r>
      <w:r w:rsidRPr="000B2A94">
        <w:rPr>
          <w:rFonts w:hint="eastAsia"/>
          <w:color w:val="000000" w:themeColor="text1"/>
        </w:rPr>
        <w:t>，各機關意見略以：</w:t>
      </w:r>
    </w:p>
    <w:p w:rsidR="00F956E8" w:rsidRPr="000B2A94" w:rsidRDefault="00F956E8" w:rsidP="0081002C">
      <w:pPr>
        <w:pStyle w:val="5"/>
        <w:rPr>
          <w:color w:val="000000" w:themeColor="text1"/>
        </w:rPr>
      </w:pPr>
      <w:r w:rsidRPr="000B2A94">
        <w:rPr>
          <w:rFonts w:hint="eastAsia"/>
          <w:color w:val="000000" w:themeColor="text1"/>
        </w:rPr>
        <w:t>法務部</w:t>
      </w:r>
    </w:p>
    <w:p w:rsidR="00F956E8" w:rsidRPr="000B2A94" w:rsidRDefault="00F956E8" w:rsidP="0081002C">
      <w:pPr>
        <w:pStyle w:val="6"/>
        <w:rPr>
          <w:color w:val="000000" w:themeColor="text1"/>
        </w:rPr>
      </w:pPr>
      <w:r w:rsidRPr="000B2A94">
        <w:rPr>
          <w:rFonts w:hint="eastAsia"/>
          <w:color w:val="000000" w:themeColor="text1"/>
        </w:rPr>
        <w:t>證物監管鏈（Chain of Custody）係指證據從蒐集後須紀錄該證據之所有活動，包括取得、保管、移轉、分析及相關處理，以及在不同保管人間之移轉，即證據同一性之問題。經由監管紀錄，可驗證在法庭上呈現之證據，並無被調包替換、竄改或遭受污染等情形，以確保呈現於法庭之證據為真實無瑕疵。證據可信賴性可藉由證明證物保管嚴密且未中斷之方式來建立，證據關聯性則一般是經由「驗真」（authentication）來確立，取得證據能力的前提均需證明該文書或證物</w:t>
      </w:r>
      <w:r w:rsidRPr="000B2A94">
        <w:rPr>
          <w:rFonts w:hint="eastAsia"/>
          <w:color w:val="000000" w:themeColor="text1"/>
        </w:rPr>
        <w:lastRenderedPageBreak/>
        <w:t>為真正，法院必需先確認當事人於訴訟程序中所提出之筆錄、文件或物證是否真實，於確認證據真實性後，法院才調查證據取得過程是否合法。</w:t>
      </w:r>
    </w:p>
    <w:p w:rsidR="00F956E8" w:rsidRPr="000B2A94" w:rsidRDefault="00F956E8" w:rsidP="0081002C">
      <w:pPr>
        <w:pStyle w:val="6"/>
        <w:rPr>
          <w:color w:val="000000" w:themeColor="text1"/>
        </w:rPr>
      </w:pPr>
      <w:r w:rsidRPr="000B2A94">
        <w:rPr>
          <w:rFonts w:hint="eastAsia"/>
          <w:color w:val="000000" w:themeColor="text1"/>
        </w:rPr>
        <w:t>我國相關規範：例如「刑事鑑識規範」第</w:t>
      </w:r>
      <w:r w:rsidRPr="000B2A94">
        <w:rPr>
          <w:color w:val="000000" w:themeColor="text1"/>
        </w:rPr>
        <w:t>67</w:t>
      </w:r>
      <w:r w:rsidRPr="000B2A94">
        <w:rPr>
          <w:rFonts w:hint="eastAsia"/>
          <w:color w:val="000000" w:themeColor="text1"/>
        </w:rPr>
        <w:t>條規定，</w:t>
      </w:r>
      <w:r w:rsidRPr="000B2A94">
        <w:rPr>
          <w:color w:val="000000" w:themeColor="text1"/>
        </w:rPr>
        <w:t xml:space="preserve"> </w:t>
      </w:r>
      <w:r w:rsidRPr="000B2A94">
        <w:rPr>
          <w:rFonts w:hint="eastAsia"/>
          <w:color w:val="000000" w:themeColor="text1"/>
        </w:rPr>
        <w:t>就刑案證物之包裝、封緘、保管、送驗等處理原則包括：（</w:t>
      </w:r>
      <w:r w:rsidRPr="000B2A94">
        <w:rPr>
          <w:color w:val="000000" w:themeColor="text1"/>
        </w:rPr>
        <w:t>1</w:t>
      </w:r>
      <w:r w:rsidRPr="000B2A94">
        <w:rPr>
          <w:rFonts w:hint="eastAsia"/>
          <w:color w:val="000000" w:themeColor="text1"/>
        </w:rPr>
        <w:t>）刑案證物應依其特性，使用適當之工具或方法採取，分開包裝、封緘，包裝外應註明案由、證物名稱、採證住置、數量及採證人姓名等資料。（</w:t>
      </w:r>
      <w:r w:rsidRPr="000B2A94">
        <w:rPr>
          <w:color w:val="000000" w:themeColor="text1"/>
        </w:rPr>
        <w:t>2</w:t>
      </w:r>
      <w:r w:rsidRPr="000B2A94">
        <w:rPr>
          <w:rFonts w:hint="eastAsia"/>
          <w:color w:val="000000" w:themeColor="text1"/>
        </w:rPr>
        <w:t>）刑案現場證物採取後，應即製作證物清單，如所有人、保管人、持有人在場者，應付與其證物清單，並請其簽名確認。（</w:t>
      </w:r>
      <w:r w:rsidRPr="000B2A94">
        <w:rPr>
          <w:color w:val="000000" w:themeColor="text1"/>
        </w:rPr>
        <w:t>3</w:t>
      </w:r>
      <w:r w:rsidRPr="000B2A94">
        <w:rPr>
          <w:rFonts w:hint="eastAsia"/>
          <w:color w:val="000000" w:themeColor="text1"/>
        </w:rPr>
        <w:t>）刑案證物自發現、採取、保管、送驗至移送檢察機關或法院，每一階段交接流程（如交件人、收件人、交接日期時間、保管處所、負責保管人等）應記錄明確，完備證物交接管制程序。（</w:t>
      </w:r>
      <w:r w:rsidRPr="000B2A94">
        <w:rPr>
          <w:color w:val="000000" w:themeColor="text1"/>
        </w:rPr>
        <w:t>4</w:t>
      </w:r>
      <w:r w:rsidRPr="000B2A94">
        <w:rPr>
          <w:rFonts w:hint="eastAsia"/>
          <w:color w:val="000000" w:themeColor="text1"/>
        </w:rPr>
        <w:t>）各級警察局鑑識或刑事單位，應設置貯存刑案證物之專櫃，並指派專人負責保管。</w:t>
      </w:r>
    </w:p>
    <w:p w:rsidR="00F956E8" w:rsidRPr="000B2A94" w:rsidRDefault="00F956E8" w:rsidP="0081002C">
      <w:pPr>
        <w:pStyle w:val="6"/>
        <w:rPr>
          <w:color w:val="000000" w:themeColor="text1"/>
        </w:rPr>
      </w:pPr>
      <w:r w:rsidRPr="000B2A94">
        <w:rPr>
          <w:rFonts w:hint="eastAsia"/>
          <w:color w:val="000000" w:themeColor="text1"/>
        </w:rPr>
        <w:t>為求建立證據監管制度，並建立以科技數位化管理，法務部請各檢察機關檢視現行贓證物收受、移送、保管等流程，研擬請各檢察機關贓物庫經管人員於收受司法警察機關移送之扣案證物時，先行將物品拍照並比對實物是否符合，並將照片存檔；於案件起訴移送至法院時，與法院承辦人員以存檔照片比對移送予法院證物之一致性；於案件確定後執行時，再次以存檔之證物照片加以核對，於確認證物相同性後，俾憑辦理贓證物處理</w:t>
      </w:r>
      <w:r w:rsidRPr="000B2A94">
        <w:rPr>
          <w:rFonts w:hint="eastAsia"/>
          <w:color w:val="000000" w:themeColor="text1"/>
        </w:rPr>
        <w:lastRenderedPageBreak/>
        <w:t>之後續作業，另研議結合科技，以其他更先進方式管理贓物庫之可行性，完善證據監管鍊，始能維護被告受公平審判之權利，以維持司法公信力。</w:t>
      </w:r>
    </w:p>
    <w:p w:rsidR="00A80A49" w:rsidRPr="000B2A94" w:rsidRDefault="00F956E8" w:rsidP="0081002C">
      <w:pPr>
        <w:pStyle w:val="5"/>
        <w:rPr>
          <w:color w:val="000000" w:themeColor="text1"/>
        </w:rPr>
      </w:pPr>
      <w:r w:rsidRPr="000B2A94">
        <w:rPr>
          <w:rFonts w:hint="eastAsia"/>
          <w:color w:val="000000" w:themeColor="text1"/>
        </w:rPr>
        <w:t>法務部調查局</w:t>
      </w:r>
      <w:r w:rsidRPr="000B2A94">
        <w:rPr>
          <w:rFonts w:hAnsi="標楷體" w:hint="eastAsia"/>
          <w:color w:val="000000" w:themeColor="text1"/>
        </w:rPr>
        <w:t>：</w:t>
      </w:r>
    </w:p>
    <w:p w:rsidR="00A80A49" w:rsidRPr="000B2A94" w:rsidRDefault="00F956E8" w:rsidP="00A80A49">
      <w:pPr>
        <w:pStyle w:val="6"/>
        <w:rPr>
          <w:color w:val="000000" w:themeColor="text1"/>
        </w:rPr>
      </w:pPr>
      <w:r w:rsidRPr="000B2A94">
        <w:rPr>
          <w:rFonts w:hint="eastAsia"/>
          <w:color w:val="000000" w:themeColor="text1"/>
        </w:rPr>
        <w:t>依法執行扣押後，均應遵照調查局「犯罪調查作業手冊」、「法務部調查局偵辦案件扣押物管理要點」辦理，即各外勤處站應設置適當處所或專用鐵櫃置放扣押物，由單位主管指定人員負責保管；扣押物於完成扣押程序後，移入適當處所或專用鐵櫃保管時，應檢附扣押物品目錄表影本乙份交保管人點收登記，並注意核對數量是否相符，扣押物為現金、存摺、印鑑或貴重物品例如黃金、金飾、玉器、鑽戒、珠寶、古董、字畫、陶瓷器皿等，應加封妥慎保管；體積龐大不便搬運或保管之扣押物，得編列清單，拍照後責付所有人或其他適當之人立據保管，另數量眾多之扣押物，可依扣押程序取樣留存，餘則編列清單，拍照後責付所有人或其他適當之人立據保管，移送時，註明扣押物責付保管情形，將清單、樣品及照片移送；扣押物若無留存之必要者，不待案件終結，應以法院之裁定或檢察官命令發還之，並取據存卷，報局核備。</w:t>
      </w:r>
    </w:p>
    <w:p w:rsidR="00A80A49" w:rsidRPr="000B2A94" w:rsidRDefault="00F956E8" w:rsidP="00A80A49">
      <w:pPr>
        <w:pStyle w:val="6"/>
        <w:rPr>
          <w:color w:val="000000" w:themeColor="text1"/>
        </w:rPr>
      </w:pPr>
      <w:r w:rsidRPr="000B2A94">
        <w:rPr>
          <w:rFonts w:hint="eastAsia"/>
          <w:color w:val="000000" w:themeColor="text1"/>
        </w:rPr>
        <w:t>又法務部調查局資通安全處設有資安鑑識實驗室，為財團法人全國認證基金會認可實驗室，係依循「國際標準ISO/IEC 17025」實驗室認證規範制定內部使用之品質文件，該份品質文件之MJIB-CFL-QP22「數位證據收發</w:t>
      </w:r>
      <w:r w:rsidRPr="000B2A94">
        <w:rPr>
          <w:rFonts w:hint="eastAsia"/>
          <w:color w:val="000000" w:themeColor="text1"/>
        </w:rPr>
        <w:lastRenderedPageBreak/>
        <w:t>及處理作業程序」，即規範本實驗室數位證據監管流程，包含運送、接收、處理、防護、儲存/等候、測試、保留、歸還的程序，以確保數位證據之完整性。</w:t>
      </w:r>
    </w:p>
    <w:p w:rsidR="00F956E8" w:rsidRPr="000B2A94" w:rsidRDefault="00F956E8" w:rsidP="00A80A49">
      <w:pPr>
        <w:pStyle w:val="6"/>
        <w:rPr>
          <w:color w:val="000000" w:themeColor="text1"/>
        </w:rPr>
      </w:pPr>
      <w:r w:rsidRPr="000B2A94">
        <w:rPr>
          <w:rFonts w:hint="eastAsia"/>
          <w:color w:val="000000" w:themeColor="text1"/>
        </w:rPr>
        <w:t>調查局鑑識科學處設有濫用藥物實驗室、文書暨指紋鑑識實驗室、DNA鑑識實驗室，均依「國際標準ISO/IEC 17025」及「鑑識科學實驗室認證技術規範」，訂定「證物收發及處理作業程序」，針對囑託或受案鑑定證物，於鑑定期間進行妥適之儲存與保管。</w:t>
      </w:r>
    </w:p>
    <w:p w:rsidR="00A80A49" w:rsidRPr="000B2A94" w:rsidRDefault="00F956E8" w:rsidP="0081002C">
      <w:pPr>
        <w:pStyle w:val="5"/>
        <w:rPr>
          <w:color w:val="000000" w:themeColor="text1"/>
        </w:rPr>
      </w:pPr>
      <w:r w:rsidRPr="000B2A94">
        <w:rPr>
          <w:rFonts w:hint="eastAsia"/>
          <w:color w:val="000000" w:themeColor="text1"/>
        </w:rPr>
        <w:t>法醫研究所：</w:t>
      </w:r>
    </w:p>
    <w:p w:rsidR="00A80A49" w:rsidRPr="000B2A94" w:rsidRDefault="00F956E8" w:rsidP="00A80A49">
      <w:pPr>
        <w:pStyle w:val="6"/>
        <w:rPr>
          <w:color w:val="000000" w:themeColor="text1"/>
        </w:rPr>
      </w:pPr>
      <w:r w:rsidRPr="000B2A94">
        <w:rPr>
          <w:rFonts w:hint="eastAsia"/>
          <w:color w:val="000000" w:themeColor="text1"/>
        </w:rPr>
        <w:t>法醫研究所皆為認證實驗室，須遵守實驗室認證規範ISO/IEC 17025及鑑識科學實驗室認證技術規範( TAF-CNLA-T11)之證物監管鏈規定，並確實記錄。每年亦受此領域專家學者實地評鑑各實驗室是否循認證規範進行實驗室各項活動。該所所有生物檢體之證物，均依實驗室認證品保程序書之檢體管理作業程序書(TOX-QP-09-01)處理，自檢體收件、查驗及傳遞皆作完整紀錄，鑑定人需簽名並填寫日期。所有實驗結果的原始數據上皆蓋有檢驗人之圓章，每一頁皆可追溯至原檢驗人。</w:t>
      </w:r>
    </w:p>
    <w:p w:rsidR="00F956E8" w:rsidRPr="000B2A94" w:rsidRDefault="00F956E8" w:rsidP="00A80A49">
      <w:pPr>
        <w:pStyle w:val="6"/>
        <w:rPr>
          <w:color w:val="000000" w:themeColor="text1"/>
        </w:rPr>
      </w:pPr>
      <w:r w:rsidRPr="000B2A94">
        <w:rPr>
          <w:rFonts w:hint="eastAsia"/>
          <w:color w:val="000000" w:themeColor="text1"/>
        </w:rPr>
        <w:t>依據該所解剖、複驗及法醫相關鑑定事項作業要點第五點規定：「解剖法醫師及兼任研究員應確實詳填「本所檢體監管送驗紀錄表」的各項檢驗項目及送驗項目，攜回檢驗或暫保留不化驗之檢體、臟器，於鑑定書完成函送原委託機關公文上註明驗餘檢體如需領回，請於文到一個月內備文派員領回，逾期</w:t>
      </w:r>
      <w:r w:rsidRPr="000B2A94">
        <w:rPr>
          <w:rFonts w:hint="eastAsia"/>
          <w:color w:val="000000" w:themeColor="text1"/>
        </w:rPr>
        <w:lastRenderedPageBreak/>
        <w:t>由本所逕行銷燬，並建立銷燬清冊；若於解剖中取回之檢體、臟器有家屬述明取回，請委託機關來函告知本所，以利後續事宜。」針對解剖取回之檢體、臟器均明確規範送驗、保存及銷燬規定，據以辦理。</w:t>
      </w:r>
    </w:p>
    <w:p w:rsidR="00F956E8" w:rsidRPr="000B2A94" w:rsidRDefault="00F956E8" w:rsidP="0081002C">
      <w:pPr>
        <w:pStyle w:val="5"/>
        <w:rPr>
          <w:color w:val="000000" w:themeColor="text1"/>
        </w:rPr>
      </w:pPr>
      <w:r w:rsidRPr="000B2A94">
        <w:rPr>
          <w:rFonts w:hint="eastAsia"/>
          <w:color w:val="000000" w:themeColor="text1"/>
        </w:rPr>
        <w:t>內政部警政署</w:t>
      </w:r>
      <w:r w:rsidRPr="000B2A94">
        <w:rPr>
          <w:rFonts w:hAnsi="標楷體" w:hint="eastAsia"/>
          <w:color w:val="000000" w:themeColor="text1"/>
        </w:rPr>
        <w:t>：</w:t>
      </w:r>
      <w:r w:rsidRPr="000B2A94">
        <w:rPr>
          <w:rFonts w:hint="eastAsia"/>
          <w:color w:val="000000" w:themeColor="text1"/>
        </w:rPr>
        <w:t>就各類型證物分別依警察偵查犯罪手冊、警察機關查獲毒品沒入物處理作業要點、警察機關執行毒品犯罪嫌疑人尿液採驗作業規定、全面檢肅非法槍彈作業執行計畫、刑事鑑識手冊、警察機關刑案證物室管理作業規定、刑案現場數位證物蒐證手冊等規範處理。</w:t>
      </w:r>
    </w:p>
    <w:p w:rsidR="00F956E8" w:rsidRPr="000B2A94" w:rsidRDefault="00F956E8" w:rsidP="0081002C">
      <w:pPr>
        <w:pStyle w:val="3"/>
        <w:rPr>
          <w:color w:val="000000" w:themeColor="text1"/>
        </w:rPr>
      </w:pPr>
      <w:bookmarkStart w:id="425" w:name="_Toc27400032"/>
      <w:r w:rsidRPr="000B2A94">
        <w:rPr>
          <w:rFonts w:hint="eastAsia"/>
          <w:color w:val="000000" w:themeColor="text1"/>
        </w:rPr>
        <w:t>有關建立證據監管及判決確定後之證物保管制度，於刑事訴訟程序涉及偵查、起訴、審判及判決確定後之執行階段，其中，起訴後至判決確定前由司法院主責，該院說明如下：</w:t>
      </w:r>
      <w:bookmarkEnd w:id="425"/>
    </w:p>
    <w:p w:rsidR="00F956E8" w:rsidRPr="000B2A94" w:rsidRDefault="00F956E8" w:rsidP="0081002C">
      <w:pPr>
        <w:pStyle w:val="4"/>
        <w:rPr>
          <w:color w:val="000000" w:themeColor="text1"/>
        </w:rPr>
      </w:pPr>
      <w:r w:rsidRPr="000B2A94">
        <w:rPr>
          <w:rFonts w:hint="eastAsia"/>
          <w:color w:val="000000" w:themeColor="text1"/>
        </w:rPr>
        <w:t>依105年11月14日立法院第9屆第2會期司法及法制委員會第13次全體委員會議決議，要求行政院會同司法院共同訂定證物保存規範，法務部前於105年12月7日召開「研議是否訂定證物保存之統一規範會議」，其中就「不同之證物是否要訂定統一規範」部分，經決議：「因涉及機關權責及法制作業、規範效力等問題，且各機關就證物之保管、保存均已有相當完善之規範，因此請參考其他機關既有之規定，並檢視各自規範之分類方法、保存方式、保管期限是否周延，且加以落實。」而該院針對臺灣高等法院函頒之「臺灣高等法院暨所屬各級法院贓證物品管理要點」，以105年12月27日院台廳刑一字第1050033161號函請各法院陳報落實該要點之辦理情形及興革建議。期間歷經各法院陳報問題及可行方案、臺灣高等法院</w:t>
      </w:r>
      <w:r w:rsidRPr="000B2A94">
        <w:rPr>
          <w:rFonts w:hint="eastAsia"/>
          <w:color w:val="000000" w:themeColor="text1"/>
        </w:rPr>
        <w:lastRenderedPageBreak/>
        <w:t>研議該要點相關修正方案後，該院以107年9月5日院台廳刑一字第1070022418號及108年7月29日院台廳刑一字第1080018759號函就臺灣高等法院修正贓證物品管理要點相關規定乙案准予備查。</w:t>
      </w:r>
    </w:p>
    <w:p w:rsidR="00F956E8" w:rsidRPr="000B2A94" w:rsidRDefault="00F956E8" w:rsidP="0081002C">
      <w:pPr>
        <w:pStyle w:val="4"/>
        <w:rPr>
          <w:color w:val="000000" w:themeColor="text1"/>
        </w:rPr>
      </w:pPr>
      <w:r w:rsidRPr="000B2A94">
        <w:rPr>
          <w:rFonts w:hint="eastAsia"/>
          <w:color w:val="000000" w:themeColor="text1"/>
        </w:rPr>
        <w:t>另為使贓證物品之管理更加周延、確實，該院以106年3月3日院台廳刑一字第1060005756號函請法務部針對該部是否同意提供贓證物系統贓證物部分之規格及該系統之解密方式，以及是否同意提供該院「檢察署編列贓證物品保號之條碼相關規格」，以利配合增修法院贓證物系統功能等節表示意見，經該部以106年4月25日法資字第10611505140號函回復，略以「將辦理單機版扣押物資料輸入程式改版作業，俟完成程式修正，再行提供新版贓證物資料規格及解密方式」、「有關檢察署編列贓證物品保號之條碼相關規格，因現行係由各地方檢察署自行編訂保管冠字，待本部訂定保管冠字標準再行提供」。該院另以108年1月18日秘台廳刑一字第1080002268號函詢法務前開贓證物條碼規格等辦理情形，經該部於同年2月21日召開研商「贓證物條碼及新扣案贓證物業務流程及系統介接」會前會，現由法務部酌處中。</w:t>
      </w:r>
    </w:p>
    <w:p w:rsidR="00F956E8" w:rsidRPr="000B2A94" w:rsidRDefault="00F956E8" w:rsidP="0081002C">
      <w:pPr>
        <w:pStyle w:val="4"/>
        <w:rPr>
          <w:color w:val="000000" w:themeColor="text1"/>
        </w:rPr>
      </w:pPr>
      <w:r w:rsidRPr="000B2A94">
        <w:rPr>
          <w:rFonts w:hint="eastAsia"/>
          <w:color w:val="000000" w:themeColor="text1"/>
        </w:rPr>
        <w:t>又臺灣高等法院於107年3月9日召開「臺灣高等法院暨所屬各級法院贓證物品管理要點修正研議會議」，並建議地檢署是否可建置相關系統接取該院資訊平台之法院審判中新扣案贓證物資訊等部分，經查現行法院贓證物品管理子系統業於99年10月建置，可由該院主機接收檢察署傳輸之贓證物品資料，再由該院主機將該資料傳送至</w:t>
      </w:r>
      <w:r w:rsidRPr="000B2A94">
        <w:rPr>
          <w:rFonts w:hint="eastAsia"/>
          <w:color w:val="000000" w:themeColor="text1"/>
        </w:rPr>
        <w:lastRenderedPageBreak/>
        <w:t>各法院，各法院亦可將相關資料傳送至該院主機，故目前各法院接收檢察官起訴或移送之贓證物品資料尚無困難。</w:t>
      </w:r>
    </w:p>
    <w:p w:rsidR="00F956E8" w:rsidRPr="000B2A94" w:rsidRDefault="00F956E8" w:rsidP="0081002C">
      <w:pPr>
        <w:pStyle w:val="4"/>
        <w:rPr>
          <w:color w:val="000000" w:themeColor="text1"/>
        </w:rPr>
      </w:pPr>
      <w:r w:rsidRPr="000B2A94">
        <w:rPr>
          <w:rFonts w:hint="eastAsia"/>
          <w:color w:val="000000" w:themeColor="text1"/>
        </w:rPr>
        <w:t>另該院「刑事程序制度研議委員會」第23次及第24次會議亦就證物監管鍊部分進行研議，除邀請臺灣高等法院書記官長</w:t>
      </w:r>
      <w:r w:rsidR="00A80A49" w:rsidRPr="000B2A94">
        <w:rPr>
          <w:rFonts w:hint="eastAsia"/>
          <w:color w:val="000000" w:themeColor="text1"/>
        </w:rPr>
        <w:t>報告該院暨所屬各級法院對於贓證物品管理之相關作業流程外，並邀請</w:t>
      </w:r>
      <w:r w:rsidRPr="000B2A94">
        <w:rPr>
          <w:rFonts w:hint="eastAsia"/>
          <w:color w:val="000000" w:themeColor="text1"/>
        </w:rPr>
        <w:t>刑事警察局、法務部調查局、憲兵指揮部等6機關與會，就所轄現行證物保管及移送機制提供相關意見。法務部於108年4月22日召開「研商證據監管連續性相關會議」及行政院於108年10月23日召開「研商精進證物監管制度會議」，該院均派員出席與會並提供意見，以完善證物監管機制。</w:t>
      </w:r>
    </w:p>
    <w:p w:rsidR="002F1621" w:rsidRPr="000B2A94" w:rsidRDefault="00F956E8" w:rsidP="0081002C">
      <w:pPr>
        <w:pStyle w:val="4"/>
        <w:rPr>
          <w:color w:val="000000" w:themeColor="text1"/>
        </w:rPr>
      </w:pPr>
      <w:r w:rsidRPr="000B2A94">
        <w:rPr>
          <w:rFonts w:hint="eastAsia"/>
          <w:color w:val="000000" w:themeColor="text1"/>
        </w:rPr>
        <w:t>綜上</w:t>
      </w:r>
      <w:r w:rsidRPr="000B2A94">
        <w:rPr>
          <w:rFonts w:hAnsi="標楷體" w:hint="eastAsia"/>
          <w:color w:val="000000" w:themeColor="text1"/>
        </w:rPr>
        <w:t>，</w:t>
      </w:r>
      <w:r w:rsidRPr="000B2A94">
        <w:rPr>
          <w:rFonts w:hint="eastAsia"/>
          <w:color w:val="000000" w:themeColor="text1"/>
        </w:rPr>
        <w:t>法庭上為確認證物之同一性，對於證物之發現取得到呈現法庭，均需一一檢驗法定權責機關或人員之監管程序，是以建立一連續性的證物監管機制，實有必要。現行法務部</w:t>
      </w:r>
      <w:r w:rsidRPr="000B2A94">
        <w:rPr>
          <w:rFonts w:hAnsi="標楷體" w:hint="eastAsia"/>
          <w:color w:val="000000" w:themeColor="text1"/>
        </w:rPr>
        <w:t>、法務部調查局、法醫研究所、內政部警政署及司法</w:t>
      </w:r>
      <w:r w:rsidRPr="000B2A94">
        <w:rPr>
          <w:rFonts w:hint="eastAsia"/>
          <w:color w:val="000000" w:themeColor="text1"/>
        </w:rPr>
        <w:t>院等各相關機關</w:t>
      </w:r>
      <w:r w:rsidRPr="000B2A94">
        <w:rPr>
          <w:rFonts w:hAnsi="標楷體" w:hint="eastAsia"/>
          <w:color w:val="000000" w:themeColor="text1"/>
        </w:rPr>
        <w:t>，就證物之監管雖均定有相關規範以供遵循，惟仍應妥予檢討精進落實執行。</w:t>
      </w:r>
      <w:r w:rsidRPr="000B2A94">
        <w:rPr>
          <w:rFonts w:hint="eastAsia"/>
          <w:color w:val="000000" w:themeColor="text1"/>
        </w:rPr>
        <w:t>而相關證物一旦進入司法程序，法院亦應負起審查監管紀錄完整性之責任，以排除瑕疵證據，確保證物之同一性及因此作成鑑定意見之可信性。</w:t>
      </w:r>
    </w:p>
    <w:p w:rsidR="002F1621" w:rsidRPr="000B2A94" w:rsidRDefault="002F1621">
      <w:pPr>
        <w:widowControl/>
        <w:overflowPunct/>
        <w:autoSpaceDE/>
        <w:autoSpaceDN/>
        <w:jc w:val="left"/>
        <w:rPr>
          <w:rFonts w:hAnsi="Arial"/>
          <w:color w:val="000000" w:themeColor="text1"/>
          <w:kern w:val="32"/>
          <w:szCs w:val="36"/>
        </w:rPr>
      </w:pPr>
      <w:r w:rsidRPr="000B2A94">
        <w:rPr>
          <w:color w:val="000000" w:themeColor="text1"/>
        </w:rPr>
        <w:br w:type="page"/>
      </w:r>
    </w:p>
    <w:p w:rsidR="00C86E0D" w:rsidRPr="000B2A94" w:rsidRDefault="00C86E0D" w:rsidP="00C86E0D">
      <w:pPr>
        <w:pStyle w:val="1"/>
        <w:rPr>
          <w:b/>
          <w:snapToGrid w:val="0"/>
          <w:color w:val="000000" w:themeColor="text1"/>
        </w:rPr>
      </w:pPr>
      <w:bookmarkStart w:id="426" w:name="_Toc28606843"/>
      <w:r w:rsidRPr="000B2A94">
        <w:rPr>
          <w:rFonts w:hint="eastAsia"/>
          <w:b/>
          <w:snapToGrid w:val="0"/>
          <w:color w:val="000000" w:themeColor="text1"/>
        </w:rPr>
        <w:lastRenderedPageBreak/>
        <w:t>處理辦法</w:t>
      </w:r>
      <w:bookmarkEnd w:id="426"/>
    </w:p>
    <w:p w:rsidR="00C86E0D" w:rsidRPr="000B2A94" w:rsidRDefault="00395DD3" w:rsidP="0068243D">
      <w:pPr>
        <w:pStyle w:val="2"/>
        <w:numPr>
          <w:ilvl w:val="0"/>
          <w:numId w:val="0"/>
        </w:numPr>
        <w:ind w:left="340" w:firstLineChars="192" w:firstLine="653"/>
        <w:rPr>
          <w:snapToGrid w:val="0"/>
          <w:color w:val="000000" w:themeColor="text1"/>
        </w:rPr>
      </w:pPr>
      <w:bookmarkStart w:id="427" w:name="_Toc27400034"/>
      <w:bookmarkStart w:id="428" w:name="_Toc28606844"/>
      <w:r w:rsidRPr="000B2A94">
        <w:rPr>
          <w:rFonts w:hint="eastAsia"/>
          <w:snapToGrid w:val="0"/>
          <w:color w:val="000000" w:themeColor="text1"/>
        </w:rPr>
        <w:t>本通案性案件調查</w:t>
      </w:r>
      <w:r w:rsidR="00C86E0D" w:rsidRPr="000B2A94">
        <w:rPr>
          <w:rFonts w:hint="eastAsia"/>
          <w:snapToGrid w:val="0"/>
          <w:color w:val="000000" w:themeColor="text1"/>
        </w:rPr>
        <w:t>研究報告送請司法院、行政院暨相關機關參處。</w:t>
      </w:r>
      <w:bookmarkEnd w:id="427"/>
      <w:bookmarkEnd w:id="428"/>
    </w:p>
    <w:p w:rsidR="002F1621" w:rsidRPr="000B2A94" w:rsidRDefault="002F1621" w:rsidP="00190D66">
      <w:pPr>
        <w:rPr>
          <w:snapToGrid w:val="0"/>
          <w:color w:val="000000" w:themeColor="text1"/>
        </w:rPr>
      </w:pPr>
    </w:p>
    <w:p w:rsidR="002F1621" w:rsidRPr="000B2A94" w:rsidRDefault="002F1621" w:rsidP="00190D66">
      <w:pPr>
        <w:rPr>
          <w:snapToGrid w:val="0"/>
          <w:color w:val="000000" w:themeColor="text1"/>
        </w:rPr>
      </w:pPr>
    </w:p>
    <w:p w:rsidR="002F1621" w:rsidRPr="000B2A94" w:rsidRDefault="002F1621" w:rsidP="00190D66">
      <w:pPr>
        <w:rPr>
          <w:color w:val="000000" w:themeColor="text1"/>
        </w:rPr>
      </w:pPr>
      <w:bookmarkStart w:id="429" w:name="_Toc524902730"/>
    </w:p>
    <w:bookmarkEnd w:id="429"/>
    <w:p w:rsidR="002F1621" w:rsidRPr="000B2A94" w:rsidRDefault="002F1621" w:rsidP="0068243D">
      <w:pPr>
        <w:pStyle w:val="ab"/>
        <w:ind w:leftChars="542" w:left="4530" w:hangingChars="664" w:hanging="2686"/>
        <w:rPr>
          <w:color w:val="000000" w:themeColor="text1"/>
        </w:rPr>
      </w:pPr>
      <w:r w:rsidRPr="000B2A94">
        <w:rPr>
          <w:rFonts w:hint="eastAsia"/>
          <w:color w:val="000000" w:themeColor="text1"/>
        </w:rPr>
        <w:t>調查研究委員：</w:t>
      </w:r>
      <w:r w:rsidR="0068243D" w:rsidRPr="000B2A94">
        <w:rPr>
          <w:rFonts w:hint="eastAsia"/>
          <w:color w:val="000000" w:themeColor="text1"/>
        </w:rPr>
        <w:t>蔡崇義、楊芳婉、高涌誠、陳師孟、楊芳玲</w:t>
      </w:r>
    </w:p>
    <w:p w:rsidR="002F1621" w:rsidRPr="000B2A94" w:rsidRDefault="002F1621" w:rsidP="002F1621">
      <w:pPr>
        <w:spacing w:afterLines="50" w:after="228"/>
        <w:jc w:val="center"/>
        <w:rPr>
          <w:color w:val="000000" w:themeColor="text1"/>
        </w:rPr>
      </w:pPr>
    </w:p>
    <w:p w:rsidR="002F1621" w:rsidRPr="000B2A94" w:rsidRDefault="002F1621" w:rsidP="002F1621">
      <w:pPr>
        <w:spacing w:afterLines="50" w:after="228"/>
        <w:jc w:val="center"/>
        <w:rPr>
          <w:b/>
          <w:bCs/>
          <w:color w:val="000000" w:themeColor="text1"/>
          <w:spacing w:val="12"/>
          <w:kern w:val="0"/>
        </w:rPr>
      </w:pPr>
    </w:p>
    <w:p w:rsidR="002F1621" w:rsidRPr="000B2A94" w:rsidRDefault="002F1621" w:rsidP="002F1621">
      <w:pPr>
        <w:spacing w:afterLines="50" w:after="228"/>
        <w:jc w:val="center"/>
        <w:rPr>
          <w:b/>
          <w:bCs/>
          <w:color w:val="000000" w:themeColor="text1"/>
          <w:spacing w:val="12"/>
          <w:kern w:val="0"/>
        </w:rPr>
      </w:pPr>
    </w:p>
    <w:p w:rsidR="002F1621" w:rsidRPr="000B2A94" w:rsidRDefault="002F1621" w:rsidP="002F1621">
      <w:pPr>
        <w:spacing w:afterLines="50" w:after="228"/>
        <w:jc w:val="center"/>
        <w:rPr>
          <w:b/>
          <w:bCs/>
          <w:color w:val="000000" w:themeColor="text1"/>
          <w:spacing w:val="12"/>
          <w:kern w:val="0"/>
        </w:rPr>
      </w:pPr>
    </w:p>
    <w:p w:rsidR="002F1621" w:rsidRPr="000B2A94" w:rsidRDefault="002F1621" w:rsidP="002F1621">
      <w:pPr>
        <w:spacing w:afterLines="50" w:after="228"/>
        <w:jc w:val="center"/>
        <w:rPr>
          <w:b/>
          <w:bCs/>
          <w:color w:val="000000" w:themeColor="text1"/>
          <w:spacing w:val="12"/>
          <w:kern w:val="0"/>
        </w:rPr>
      </w:pPr>
    </w:p>
    <w:p w:rsidR="002F1621" w:rsidRPr="000B2A94" w:rsidRDefault="002F1621" w:rsidP="002F1621">
      <w:pPr>
        <w:spacing w:afterLines="50" w:after="228"/>
        <w:jc w:val="center"/>
        <w:rPr>
          <w:b/>
          <w:bCs/>
          <w:color w:val="000000" w:themeColor="text1"/>
          <w:spacing w:val="12"/>
          <w:kern w:val="0"/>
        </w:rPr>
      </w:pPr>
    </w:p>
    <w:p w:rsidR="002F1621" w:rsidRPr="000B2A94" w:rsidRDefault="002F1621" w:rsidP="002F1621">
      <w:pPr>
        <w:spacing w:afterLines="50" w:after="228"/>
        <w:jc w:val="center"/>
        <w:rPr>
          <w:color w:val="000000" w:themeColor="text1"/>
        </w:rPr>
      </w:pPr>
    </w:p>
    <w:p w:rsidR="002F1621" w:rsidRPr="000B2A94" w:rsidRDefault="002F1621" w:rsidP="002F1621">
      <w:pPr>
        <w:spacing w:afterLines="50" w:after="228"/>
        <w:jc w:val="center"/>
        <w:rPr>
          <w:color w:val="000000" w:themeColor="text1"/>
        </w:rPr>
      </w:pPr>
    </w:p>
    <w:p w:rsidR="002F1621" w:rsidRPr="000B2A94" w:rsidRDefault="002F1621" w:rsidP="002F1621">
      <w:pPr>
        <w:spacing w:afterLines="50" w:after="228"/>
        <w:jc w:val="center"/>
        <w:rPr>
          <w:color w:val="000000" w:themeColor="text1"/>
        </w:rPr>
      </w:pPr>
    </w:p>
    <w:p w:rsidR="002F1621" w:rsidRPr="000B2A94" w:rsidRDefault="002F1621" w:rsidP="002F1621">
      <w:pPr>
        <w:spacing w:afterLines="50" w:after="228"/>
        <w:jc w:val="center"/>
        <w:rPr>
          <w:color w:val="000000" w:themeColor="text1"/>
        </w:rPr>
      </w:pPr>
    </w:p>
    <w:p w:rsidR="002F1621" w:rsidRPr="000B2A94" w:rsidRDefault="002F1621" w:rsidP="002F1621">
      <w:pPr>
        <w:pStyle w:val="af2"/>
        <w:rPr>
          <w:rFonts w:hAnsi="標楷體"/>
          <w:bCs/>
          <w:color w:val="000000" w:themeColor="text1"/>
        </w:rPr>
      </w:pPr>
    </w:p>
    <w:p w:rsidR="002F1621" w:rsidRPr="000B2A94" w:rsidRDefault="002F1621" w:rsidP="002F1621">
      <w:pPr>
        <w:pStyle w:val="af3"/>
        <w:kinsoku/>
        <w:autoSpaceDE w:val="0"/>
        <w:spacing w:beforeLines="50" w:before="228"/>
        <w:ind w:left="1020" w:hanging="1020"/>
        <w:rPr>
          <w:bCs/>
          <w:color w:val="000000" w:themeColor="text1"/>
        </w:rPr>
      </w:pPr>
    </w:p>
    <w:p w:rsidR="00F956E8" w:rsidRPr="000B2A94" w:rsidRDefault="002F1621" w:rsidP="00F956E8">
      <w:pPr>
        <w:pStyle w:val="a5"/>
        <w:ind w:left="1191" w:hanging="1191"/>
        <w:rPr>
          <w:color w:val="000000" w:themeColor="text1"/>
        </w:rPr>
      </w:pPr>
      <w:bookmarkStart w:id="430" w:name="_Toc28606846"/>
      <w:bookmarkEnd w:id="1"/>
      <w:bookmarkEnd w:id="2"/>
      <w:bookmarkEnd w:id="3"/>
      <w:bookmarkEnd w:id="4"/>
      <w:r w:rsidRPr="000B2A94">
        <w:rPr>
          <w:rFonts w:hint="eastAsia"/>
          <w:color w:val="000000" w:themeColor="text1"/>
        </w:rPr>
        <w:lastRenderedPageBreak/>
        <w:t>參考</w:t>
      </w:r>
      <w:r w:rsidR="00F956E8" w:rsidRPr="000B2A94">
        <w:rPr>
          <w:rFonts w:hint="eastAsia"/>
          <w:color w:val="000000" w:themeColor="text1"/>
        </w:rPr>
        <w:t>文獻</w:t>
      </w:r>
      <w:bookmarkEnd w:id="430"/>
    </w:p>
    <w:p w:rsidR="00F956E8" w:rsidRPr="000B2A94" w:rsidRDefault="00F956E8" w:rsidP="000409E4">
      <w:pPr>
        <w:pStyle w:val="2"/>
        <w:numPr>
          <w:ilvl w:val="1"/>
          <w:numId w:val="9"/>
        </w:numPr>
        <w:overflowPunct/>
        <w:autoSpaceDE/>
        <w:autoSpaceDN/>
        <w:ind w:left="1123" w:hanging="697"/>
        <w:rPr>
          <w:color w:val="000000" w:themeColor="text1"/>
        </w:rPr>
      </w:pPr>
      <w:bookmarkStart w:id="431" w:name="_Toc27400037"/>
      <w:bookmarkStart w:id="432" w:name="_Toc28606847"/>
      <w:r w:rsidRPr="000B2A94">
        <w:rPr>
          <w:color w:val="000000" w:themeColor="text1"/>
        </w:rPr>
        <w:t>碩博士論文</w:t>
      </w:r>
      <w:bookmarkEnd w:id="431"/>
      <w:bookmarkEnd w:id="4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8"/>
        <w:gridCol w:w="1134"/>
        <w:gridCol w:w="3323"/>
        <w:gridCol w:w="1353"/>
        <w:gridCol w:w="851"/>
        <w:gridCol w:w="1501"/>
      </w:tblGrid>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編號</w:t>
            </w:r>
          </w:p>
        </w:tc>
        <w:tc>
          <w:tcPr>
            <w:tcW w:w="637"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作者</w:t>
            </w:r>
          </w:p>
        </w:tc>
        <w:tc>
          <w:tcPr>
            <w:tcW w:w="1867"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論文題目</w:t>
            </w:r>
          </w:p>
        </w:tc>
        <w:tc>
          <w:tcPr>
            <w:tcW w:w="760"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指導教授</w:t>
            </w:r>
          </w:p>
        </w:tc>
        <w:tc>
          <w:tcPr>
            <w:tcW w:w="478"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年份</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學校</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1</w:t>
            </w:r>
          </w:p>
        </w:tc>
        <w:tc>
          <w:tcPr>
            <w:tcW w:w="637"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林竺萱</w:t>
            </w:r>
          </w:p>
        </w:tc>
        <w:tc>
          <w:tcPr>
            <w:tcW w:w="186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死刑定讞前之程序</w:t>
            </w:r>
          </w:p>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w:t>
            </w:r>
            <w:r w:rsidRPr="000B2A94">
              <w:rPr>
                <w:color w:val="000000" w:themeColor="text1"/>
                <w:kern w:val="0"/>
                <w:sz w:val="28"/>
                <w:szCs w:val="28"/>
              </w:rPr>
              <w:t>以精神鑑定為中心</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吳景欽</w:t>
            </w:r>
          </w:p>
        </w:tc>
        <w:tc>
          <w:tcPr>
            <w:tcW w:w="478" w:type="pct"/>
            <w:shd w:val="clear" w:color="auto" w:fill="auto"/>
            <w:vAlign w:val="center"/>
            <w:hideMark/>
          </w:tcPr>
          <w:p w:rsidR="00F956E8" w:rsidRPr="000B2A94" w:rsidRDefault="00F956E8" w:rsidP="00F956E8">
            <w:pPr>
              <w:widowControl/>
              <w:jc w:val="center"/>
              <w:rPr>
                <w:rFonts w:eastAsia="新細明體"/>
                <w:color w:val="000000" w:themeColor="text1"/>
                <w:kern w:val="0"/>
                <w:sz w:val="28"/>
                <w:szCs w:val="28"/>
              </w:rPr>
            </w:pPr>
            <w:r w:rsidRPr="000B2A94">
              <w:rPr>
                <w:color w:val="000000" w:themeColor="text1"/>
                <w:sz w:val="28"/>
                <w:szCs w:val="28"/>
              </w:rPr>
              <w:t>2018</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真理大學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2</w:t>
            </w:r>
          </w:p>
        </w:tc>
        <w:tc>
          <w:tcPr>
            <w:tcW w:w="637"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游舒涵</w:t>
            </w:r>
          </w:p>
        </w:tc>
        <w:tc>
          <w:tcPr>
            <w:tcW w:w="186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論精神鑑定作為責任能力判斷之架橋－以刑法第19條第1項、第2項為例</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謝煜偉</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2018</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國立臺灣大學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3</w:t>
            </w:r>
          </w:p>
        </w:tc>
        <w:tc>
          <w:tcPr>
            <w:tcW w:w="637"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郭宇恆</w:t>
            </w:r>
          </w:p>
        </w:tc>
        <w:tc>
          <w:tcPr>
            <w:tcW w:w="186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我國刑事司法中精神鑑定制度與監護處分的實務問題</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王正嘉</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2018</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國立中正大學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4</w:t>
            </w:r>
          </w:p>
        </w:tc>
        <w:tc>
          <w:tcPr>
            <w:tcW w:w="637"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楊坤仁</w:t>
            </w:r>
          </w:p>
        </w:tc>
        <w:tc>
          <w:tcPr>
            <w:tcW w:w="186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刑事醫療訴訟證據調查之研究</w:t>
            </w:r>
          </w:p>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-以醫療鑑定為中心</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張麗卿</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2018</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國立高雄大學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5</w:t>
            </w:r>
          </w:p>
        </w:tc>
        <w:tc>
          <w:tcPr>
            <w:tcW w:w="63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紀懿倫</w:t>
            </w:r>
          </w:p>
        </w:tc>
        <w:tc>
          <w:tcPr>
            <w:tcW w:w="186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司法訴訟實務上營建工程爭議之鑑定使用研究</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林廷機</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2017</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逢甲大學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6</w:t>
            </w:r>
          </w:p>
        </w:tc>
        <w:tc>
          <w:tcPr>
            <w:tcW w:w="637"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陳彥仲</w:t>
            </w:r>
          </w:p>
        </w:tc>
        <w:tc>
          <w:tcPr>
            <w:tcW w:w="186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醫事鑑定與專家證人</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蕭宏宜</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2017</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東吳大學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7</w:t>
            </w:r>
          </w:p>
        </w:tc>
        <w:tc>
          <w:tcPr>
            <w:tcW w:w="637"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陳俊安</w:t>
            </w:r>
          </w:p>
        </w:tc>
        <w:tc>
          <w:tcPr>
            <w:tcW w:w="1867"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論我國商標仿冒品之鑑定</w:t>
            </w:r>
          </w:p>
        </w:tc>
        <w:tc>
          <w:tcPr>
            <w:tcW w:w="760"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葉德輝</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2017</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逢甲大學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8</w:t>
            </w:r>
          </w:p>
        </w:tc>
        <w:tc>
          <w:tcPr>
            <w:tcW w:w="637"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蔡寘琦</w:t>
            </w:r>
          </w:p>
        </w:tc>
        <w:tc>
          <w:tcPr>
            <w:tcW w:w="186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刑事責任運用精神鑑定之研究</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王勁力</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2017</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國立高雄第一科技大學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9</w:t>
            </w:r>
          </w:p>
        </w:tc>
        <w:tc>
          <w:tcPr>
            <w:tcW w:w="63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鄭聿喜</w:t>
            </w:r>
          </w:p>
        </w:tc>
        <w:tc>
          <w:tcPr>
            <w:tcW w:w="186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刑事鑑定與刑事判決的對話-以機關鑑定為核心</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王正嘉</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2016</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國立中正大學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10</w:t>
            </w:r>
          </w:p>
        </w:tc>
        <w:tc>
          <w:tcPr>
            <w:tcW w:w="63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施秀如</w:t>
            </w:r>
          </w:p>
        </w:tc>
        <w:tc>
          <w:tcPr>
            <w:tcW w:w="186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 xml:space="preserve">刑事訴訟鑑定之研究-以鑑定留置為中心 </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黃朝義</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2016</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東吳大學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11</w:t>
            </w:r>
          </w:p>
        </w:tc>
        <w:tc>
          <w:tcPr>
            <w:tcW w:w="63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蘇鈺棠</w:t>
            </w:r>
          </w:p>
        </w:tc>
        <w:tc>
          <w:tcPr>
            <w:tcW w:w="186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 xml:space="preserve">人民參與審判中鑑定制度之研究 </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林裕順</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2016</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中央警察大學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12</w:t>
            </w:r>
          </w:p>
        </w:tc>
        <w:tc>
          <w:tcPr>
            <w:tcW w:w="637"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蘇郁棨</w:t>
            </w:r>
          </w:p>
        </w:tc>
        <w:tc>
          <w:tcPr>
            <w:tcW w:w="1867" w:type="pct"/>
            <w:shd w:val="clear" w:color="auto" w:fill="auto"/>
            <w:noWrap/>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 xml:space="preserve">測謊在刑事程序中之定位 </w:t>
            </w:r>
          </w:p>
        </w:tc>
        <w:tc>
          <w:tcPr>
            <w:tcW w:w="760"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柯耀程</w:t>
            </w:r>
          </w:p>
        </w:tc>
        <w:tc>
          <w:tcPr>
            <w:tcW w:w="478" w:type="pct"/>
            <w:shd w:val="clear" w:color="auto" w:fill="auto"/>
            <w:noWrap/>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2016</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國立中正大學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13</w:t>
            </w:r>
          </w:p>
        </w:tc>
        <w:tc>
          <w:tcPr>
            <w:tcW w:w="63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顏明瑜</w:t>
            </w:r>
          </w:p>
        </w:tc>
        <w:tc>
          <w:tcPr>
            <w:tcW w:w="186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論心證在證據鑑定之實作</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柯耀程</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2015</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國立中正大學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14</w:t>
            </w:r>
          </w:p>
        </w:tc>
        <w:tc>
          <w:tcPr>
            <w:tcW w:w="63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程尤美</w:t>
            </w:r>
          </w:p>
        </w:tc>
        <w:tc>
          <w:tcPr>
            <w:tcW w:w="186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醫療過失認定之研究</w:t>
            </w:r>
            <w:r w:rsidRPr="000B2A94">
              <w:rPr>
                <w:color w:val="000000" w:themeColor="text1"/>
                <w:kern w:val="0"/>
                <w:sz w:val="28"/>
                <w:szCs w:val="28"/>
              </w:rPr>
              <w:t>─</w:t>
            </w:r>
            <w:r w:rsidRPr="000B2A94">
              <w:rPr>
                <w:color w:val="000000" w:themeColor="text1"/>
                <w:kern w:val="0"/>
                <w:sz w:val="28"/>
                <w:szCs w:val="28"/>
              </w:rPr>
              <w:t xml:space="preserve"> 以醫事鑑定透明化為中心 </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鄭善印</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2015</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開南大學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15</w:t>
            </w:r>
          </w:p>
        </w:tc>
        <w:tc>
          <w:tcPr>
            <w:tcW w:w="63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王又真</w:t>
            </w:r>
          </w:p>
        </w:tc>
        <w:tc>
          <w:tcPr>
            <w:tcW w:w="186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以科際整合作為刑事醫</w:t>
            </w:r>
            <w:r w:rsidRPr="000B2A94">
              <w:rPr>
                <w:color w:val="000000" w:themeColor="text1"/>
                <w:kern w:val="0"/>
                <w:sz w:val="28"/>
                <w:szCs w:val="28"/>
              </w:rPr>
              <w:lastRenderedPageBreak/>
              <w:t xml:space="preserve">療鑑定缺失之解決途徑 </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lastRenderedPageBreak/>
              <w:t>薛智仁</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2015</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國立成功</w:t>
            </w:r>
            <w:r w:rsidRPr="000B2A94">
              <w:rPr>
                <w:rFonts w:hint="eastAsia"/>
                <w:color w:val="000000" w:themeColor="text1"/>
                <w:kern w:val="0"/>
                <w:sz w:val="28"/>
                <w:szCs w:val="28"/>
              </w:rPr>
              <w:lastRenderedPageBreak/>
              <w:t>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lastRenderedPageBreak/>
              <w:t>16</w:t>
            </w:r>
          </w:p>
        </w:tc>
        <w:tc>
          <w:tcPr>
            <w:tcW w:w="63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邱宏光</w:t>
            </w:r>
          </w:p>
        </w:tc>
        <w:tc>
          <w:tcPr>
            <w:tcW w:w="186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 xml:space="preserve">高等法院採信妨害性自主案件測謊結果及其影響因素之研究 </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許春金</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2015</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國立臺北大學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17</w:t>
            </w:r>
          </w:p>
        </w:tc>
        <w:tc>
          <w:tcPr>
            <w:tcW w:w="63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鄭暉庭</w:t>
            </w:r>
          </w:p>
        </w:tc>
        <w:tc>
          <w:tcPr>
            <w:tcW w:w="186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 xml:space="preserve">自白補強法則之研究-以刑事程序測謊為中心 </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曾淑瑜</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2015</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國防大學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18</w:t>
            </w:r>
          </w:p>
        </w:tc>
        <w:tc>
          <w:tcPr>
            <w:tcW w:w="63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周士硯</w:t>
            </w:r>
          </w:p>
        </w:tc>
        <w:tc>
          <w:tcPr>
            <w:tcW w:w="186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 xml:space="preserve">測謊證據能力與證明力之研究 </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黃朝義</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2014</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中央警察大學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19</w:t>
            </w:r>
          </w:p>
        </w:tc>
        <w:tc>
          <w:tcPr>
            <w:tcW w:w="637" w:type="pct"/>
            <w:shd w:val="clear" w:color="auto" w:fill="auto"/>
            <w:noWrap/>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曾煥旭</w:t>
            </w:r>
          </w:p>
        </w:tc>
        <w:tc>
          <w:tcPr>
            <w:tcW w:w="1867" w:type="pct"/>
            <w:shd w:val="clear" w:color="auto" w:fill="auto"/>
            <w:noWrap/>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民事訴訟醫療鑑定之研究</w:t>
            </w:r>
          </w:p>
        </w:tc>
        <w:tc>
          <w:tcPr>
            <w:tcW w:w="760"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吳從周</w:t>
            </w:r>
          </w:p>
        </w:tc>
        <w:tc>
          <w:tcPr>
            <w:tcW w:w="478" w:type="pct"/>
            <w:shd w:val="clear" w:color="auto" w:fill="auto"/>
            <w:noWrap/>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2014</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國立臺北大學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20</w:t>
            </w:r>
          </w:p>
        </w:tc>
        <w:tc>
          <w:tcPr>
            <w:tcW w:w="63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王意飛</w:t>
            </w:r>
          </w:p>
        </w:tc>
        <w:tc>
          <w:tcPr>
            <w:tcW w:w="186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 xml:space="preserve">刑事責任能力與精神鑑定程序之研究 </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葛祥林</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2014</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玄奘大學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21</w:t>
            </w:r>
          </w:p>
        </w:tc>
        <w:tc>
          <w:tcPr>
            <w:tcW w:w="637" w:type="pct"/>
            <w:shd w:val="clear" w:color="auto" w:fill="auto"/>
            <w:noWrap/>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蘇百毅</w:t>
            </w:r>
          </w:p>
        </w:tc>
        <w:tc>
          <w:tcPr>
            <w:tcW w:w="1867" w:type="pct"/>
            <w:shd w:val="clear" w:color="auto" w:fill="auto"/>
            <w:noWrap/>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刑事鑑定之證據能力</w:t>
            </w:r>
          </w:p>
        </w:tc>
        <w:tc>
          <w:tcPr>
            <w:tcW w:w="760"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盧映潔</w:t>
            </w:r>
          </w:p>
        </w:tc>
        <w:tc>
          <w:tcPr>
            <w:tcW w:w="478" w:type="pct"/>
            <w:shd w:val="clear" w:color="auto" w:fill="auto"/>
            <w:noWrap/>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2014</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國立中正大學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22</w:t>
            </w:r>
          </w:p>
        </w:tc>
        <w:tc>
          <w:tcPr>
            <w:tcW w:w="63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黃建銘</w:t>
            </w:r>
          </w:p>
        </w:tc>
        <w:tc>
          <w:tcPr>
            <w:tcW w:w="186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 xml:space="preserve">從醫學觀點論測謊報告之證據能力 </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陳荔彤</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2013</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國立臺灣海洋大學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23</w:t>
            </w:r>
          </w:p>
        </w:tc>
        <w:tc>
          <w:tcPr>
            <w:tcW w:w="63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黃大中</w:t>
            </w:r>
          </w:p>
        </w:tc>
        <w:tc>
          <w:tcPr>
            <w:tcW w:w="186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刑事程序中鑑定事項與鑑定人地位之研究</w:t>
            </w:r>
            <w:r w:rsidRPr="000B2A94">
              <w:rPr>
                <w:color w:val="000000" w:themeColor="text1"/>
                <w:kern w:val="0"/>
                <w:sz w:val="28"/>
                <w:szCs w:val="28"/>
              </w:rPr>
              <w:t>—</w:t>
            </w:r>
            <w:r w:rsidRPr="000B2A94">
              <w:rPr>
                <w:color w:val="000000" w:themeColor="text1"/>
                <w:kern w:val="0"/>
                <w:sz w:val="28"/>
                <w:szCs w:val="28"/>
              </w:rPr>
              <w:t>從鑑定需求之探索作出發</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吳俊毅</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2013</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國立高雄大學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24</w:t>
            </w:r>
          </w:p>
        </w:tc>
        <w:tc>
          <w:tcPr>
            <w:tcW w:w="63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郭嘉</w:t>
            </w:r>
          </w:p>
        </w:tc>
        <w:tc>
          <w:tcPr>
            <w:tcW w:w="186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醫療鑑定於民事訴訟中之省思與重建</w:t>
            </w:r>
            <w:r w:rsidRPr="000B2A94">
              <w:rPr>
                <w:color w:val="000000" w:themeColor="text1"/>
                <w:kern w:val="0"/>
                <w:sz w:val="28"/>
                <w:szCs w:val="28"/>
              </w:rPr>
              <w:t>─</w:t>
            </w:r>
            <w:r w:rsidRPr="000B2A94">
              <w:rPr>
                <w:color w:val="000000" w:themeColor="text1"/>
                <w:kern w:val="0"/>
                <w:sz w:val="28"/>
                <w:szCs w:val="28"/>
              </w:rPr>
              <w:t>兼論訴訟外紛爭解決之醫療鑑定</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沈冠伶</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2013</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國立臺灣大學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25</w:t>
            </w:r>
          </w:p>
        </w:tc>
        <w:tc>
          <w:tcPr>
            <w:tcW w:w="63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董武全</w:t>
            </w:r>
          </w:p>
        </w:tc>
        <w:tc>
          <w:tcPr>
            <w:tcW w:w="186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 xml:space="preserve">論刑事證據之鑑定制度-以裁判為中心 </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柯耀程</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2012</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國立中正大學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26</w:t>
            </w:r>
          </w:p>
        </w:tc>
        <w:tc>
          <w:tcPr>
            <w:tcW w:w="63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姜讚裕</w:t>
            </w:r>
          </w:p>
        </w:tc>
        <w:tc>
          <w:tcPr>
            <w:tcW w:w="186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 xml:space="preserve">醫療過失認定與鑑定之研究 </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柯耀程</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2011</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國立中正大學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27</w:t>
            </w:r>
          </w:p>
        </w:tc>
        <w:tc>
          <w:tcPr>
            <w:tcW w:w="63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丘志莒</w:t>
            </w:r>
          </w:p>
        </w:tc>
        <w:tc>
          <w:tcPr>
            <w:tcW w:w="186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 xml:space="preserve">兩岸民事訴訟關於專利侵權鑑定之研究 </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鄭冠宇</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2011</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中國文化大學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28</w:t>
            </w:r>
          </w:p>
        </w:tc>
        <w:tc>
          <w:tcPr>
            <w:tcW w:w="63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甘雨軒</w:t>
            </w:r>
          </w:p>
        </w:tc>
        <w:tc>
          <w:tcPr>
            <w:tcW w:w="186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論鑑定證據之嚴格證明</w:t>
            </w:r>
            <w:r w:rsidRPr="000B2A94">
              <w:rPr>
                <w:color w:val="000000" w:themeColor="text1"/>
                <w:kern w:val="0"/>
                <w:sz w:val="28"/>
                <w:szCs w:val="28"/>
              </w:rPr>
              <w:t>─</w:t>
            </w:r>
            <w:r w:rsidRPr="000B2A94">
              <w:rPr>
                <w:color w:val="000000" w:themeColor="text1"/>
                <w:kern w:val="0"/>
                <w:sz w:val="28"/>
                <w:szCs w:val="28"/>
              </w:rPr>
              <w:t xml:space="preserve">以交易分析意見書為例 </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楊雲驊</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2011</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國立政治大學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29</w:t>
            </w:r>
          </w:p>
        </w:tc>
        <w:tc>
          <w:tcPr>
            <w:tcW w:w="63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楊理安</w:t>
            </w:r>
          </w:p>
        </w:tc>
        <w:tc>
          <w:tcPr>
            <w:tcW w:w="186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 xml:space="preserve">論我國民事鑑定制度之法理基礎-兼論囑託鑑定之妥當性 </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姜世明</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2011</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國立政治大學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30</w:t>
            </w:r>
          </w:p>
        </w:tc>
        <w:tc>
          <w:tcPr>
            <w:tcW w:w="63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馬翊鈞</w:t>
            </w:r>
          </w:p>
        </w:tc>
        <w:tc>
          <w:tcPr>
            <w:tcW w:w="186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論法醫師於刑事訴訟法之地位</w:t>
            </w:r>
            <w:r w:rsidRPr="000B2A94">
              <w:rPr>
                <w:color w:val="000000" w:themeColor="text1"/>
                <w:kern w:val="0"/>
                <w:sz w:val="28"/>
                <w:szCs w:val="28"/>
              </w:rPr>
              <w:t>—</w:t>
            </w:r>
            <w:r w:rsidRPr="000B2A94">
              <w:rPr>
                <w:color w:val="000000" w:themeColor="text1"/>
                <w:kern w:val="0"/>
                <w:sz w:val="28"/>
                <w:szCs w:val="28"/>
              </w:rPr>
              <w:t>以刑事醫療糾紛鑑定為核心</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何賴傑</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2011</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國立政治大學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31</w:t>
            </w:r>
          </w:p>
        </w:tc>
        <w:tc>
          <w:tcPr>
            <w:tcW w:w="63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戴秉勳</w:t>
            </w:r>
          </w:p>
        </w:tc>
        <w:tc>
          <w:tcPr>
            <w:tcW w:w="186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DNA鑑定於刑事證據之現</w:t>
            </w:r>
            <w:r w:rsidRPr="000B2A94">
              <w:rPr>
                <w:color w:val="000000" w:themeColor="text1"/>
                <w:kern w:val="0"/>
                <w:sz w:val="28"/>
                <w:szCs w:val="28"/>
              </w:rPr>
              <w:lastRenderedPageBreak/>
              <w:t xml:space="preserve">代意義 </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lastRenderedPageBreak/>
              <w:t>張麗卿</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2011</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東海大學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lastRenderedPageBreak/>
              <w:t>32</w:t>
            </w:r>
          </w:p>
        </w:tc>
        <w:tc>
          <w:tcPr>
            <w:tcW w:w="63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陳佳宏</w:t>
            </w:r>
          </w:p>
        </w:tc>
        <w:tc>
          <w:tcPr>
            <w:tcW w:w="186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論我國之刑事鑑定制度</w:t>
            </w:r>
            <w:r w:rsidRPr="000B2A94">
              <w:rPr>
                <w:color w:val="000000" w:themeColor="text1"/>
                <w:kern w:val="0"/>
                <w:sz w:val="28"/>
                <w:szCs w:val="28"/>
              </w:rPr>
              <w:t>―</w:t>
            </w:r>
            <w:r w:rsidRPr="000B2A94">
              <w:rPr>
                <w:color w:val="000000" w:themeColor="text1"/>
                <w:kern w:val="0"/>
                <w:sz w:val="28"/>
                <w:szCs w:val="28"/>
              </w:rPr>
              <w:t xml:space="preserve">從仿冒商標之鑑定談起 </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潘維大</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2010</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東吳大學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33</w:t>
            </w:r>
          </w:p>
        </w:tc>
        <w:tc>
          <w:tcPr>
            <w:tcW w:w="63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劉新耀</w:t>
            </w:r>
          </w:p>
        </w:tc>
        <w:tc>
          <w:tcPr>
            <w:tcW w:w="186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論鑑定人於刑事訴訟程序中之功能與地位</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蔡清遊</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2010</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中國文化大學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34</w:t>
            </w:r>
          </w:p>
        </w:tc>
        <w:tc>
          <w:tcPr>
            <w:tcW w:w="63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羅心怡</w:t>
            </w:r>
          </w:p>
        </w:tc>
        <w:tc>
          <w:tcPr>
            <w:tcW w:w="186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 xml:space="preserve">刑事程序鑑定人之地位與證據調查之研究 </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陳運財、蔡崇義</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2008</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國立成功大學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35</w:t>
            </w:r>
          </w:p>
        </w:tc>
        <w:tc>
          <w:tcPr>
            <w:tcW w:w="63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李樂</w:t>
            </w:r>
          </w:p>
        </w:tc>
        <w:tc>
          <w:tcPr>
            <w:tcW w:w="186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測謊檢查證據能力之研究</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曾淑瑜</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2008</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國防管理學院</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36</w:t>
            </w:r>
          </w:p>
        </w:tc>
        <w:tc>
          <w:tcPr>
            <w:tcW w:w="63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陳建同</w:t>
            </w:r>
          </w:p>
        </w:tc>
        <w:tc>
          <w:tcPr>
            <w:tcW w:w="186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刑事訴訟程序中鑑定人角色之研究</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林裕順</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2008</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中央警察大學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37</w:t>
            </w:r>
          </w:p>
        </w:tc>
        <w:tc>
          <w:tcPr>
            <w:tcW w:w="637"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石宜琳</w:t>
            </w:r>
          </w:p>
        </w:tc>
        <w:tc>
          <w:tcPr>
            <w:tcW w:w="186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 xml:space="preserve">測謊於刑事司法審判上之運用--兼論測謊於證據法上之評價 </w:t>
            </w:r>
          </w:p>
        </w:tc>
        <w:tc>
          <w:tcPr>
            <w:tcW w:w="760"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吳景芳</w:t>
            </w:r>
          </w:p>
        </w:tc>
        <w:tc>
          <w:tcPr>
            <w:tcW w:w="478" w:type="pct"/>
            <w:shd w:val="clear" w:color="auto" w:fill="auto"/>
            <w:noWrap/>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2007</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國立臺北大學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38</w:t>
            </w:r>
          </w:p>
        </w:tc>
        <w:tc>
          <w:tcPr>
            <w:tcW w:w="63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陳姿蘭</w:t>
            </w:r>
          </w:p>
        </w:tc>
        <w:tc>
          <w:tcPr>
            <w:tcW w:w="186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 xml:space="preserve">鑑定證據方法之研究-以鑑定之採證程序及證據能力為核心 </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黃惠婷</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2007</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中央警察大學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39</w:t>
            </w:r>
          </w:p>
        </w:tc>
        <w:tc>
          <w:tcPr>
            <w:tcW w:w="63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陳文哲</w:t>
            </w:r>
          </w:p>
        </w:tc>
        <w:tc>
          <w:tcPr>
            <w:tcW w:w="186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日本刑事法院囑託鑑定程序</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何賴傑</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2007</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國立政治大學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40</w:t>
            </w:r>
          </w:p>
        </w:tc>
        <w:tc>
          <w:tcPr>
            <w:tcW w:w="63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劉心橋</w:t>
            </w:r>
          </w:p>
        </w:tc>
        <w:tc>
          <w:tcPr>
            <w:tcW w:w="186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 xml:space="preserve">我國刑事鑑定制度之研究－以我國車輛事故鑑定之運作為探討 </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柯耀程</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2007</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國立中正大學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41</w:t>
            </w:r>
          </w:p>
        </w:tc>
        <w:tc>
          <w:tcPr>
            <w:tcW w:w="63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劉思吟</w:t>
            </w:r>
          </w:p>
        </w:tc>
        <w:tc>
          <w:tcPr>
            <w:tcW w:w="186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 xml:space="preserve">測謊在刑事訴訟中之法律地位 </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何賴傑</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2006</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國立政治大學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42</w:t>
            </w:r>
          </w:p>
        </w:tc>
        <w:tc>
          <w:tcPr>
            <w:tcW w:w="63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盧秀虹</w:t>
            </w:r>
          </w:p>
        </w:tc>
        <w:tc>
          <w:tcPr>
            <w:tcW w:w="186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 xml:space="preserve">論測謊之證據能力與證明力 </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韓毓傑</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2005</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國防管理學院</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43</w:t>
            </w:r>
          </w:p>
        </w:tc>
        <w:tc>
          <w:tcPr>
            <w:tcW w:w="63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王富強</w:t>
            </w:r>
          </w:p>
        </w:tc>
        <w:tc>
          <w:tcPr>
            <w:tcW w:w="186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 xml:space="preserve">精神鑑定 </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許玉秀</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2003</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國立政治大學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44</w:t>
            </w:r>
          </w:p>
        </w:tc>
        <w:tc>
          <w:tcPr>
            <w:tcW w:w="63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朱富美</w:t>
            </w:r>
          </w:p>
        </w:tc>
        <w:tc>
          <w:tcPr>
            <w:tcW w:w="186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 xml:space="preserve">科學鑑定與刑事偵查-以人身為主 </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蔡墩銘</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2003</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國立臺灣大學法教分處</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45</w:t>
            </w:r>
          </w:p>
        </w:tc>
        <w:tc>
          <w:tcPr>
            <w:tcW w:w="63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熊谷秀</w:t>
            </w:r>
          </w:p>
        </w:tc>
        <w:tc>
          <w:tcPr>
            <w:tcW w:w="186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 xml:space="preserve">論鑑定制度之理論構成與實踐 </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蔡志方</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2002</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國立成功大學</w:t>
            </w:r>
          </w:p>
        </w:tc>
      </w:tr>
      <w:tr w:rsidR="000B2A94"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46</w:t>
            </w:r>
          </w:p>
        </w:tc>
        <w:tc>
          <w:tcPr>
            <w:tcW w:w="63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黃維民</w:t>
            </w:r>
          </w:p>
        </w:tc>
        <w:tc>
          <w:tcPr>
            <w:tcW w:w="186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 xml:space="preserve">刑法醫療過失與醫事鑑定之研究 </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林東茂</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2002</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國立成功大學</w:t>
            </w:r>
          </w:p>
        </w:tc>
      </w:tr>
      <w:tr w:rsidR="00F956E8" w:rsidRPr="000B2A94" w:rsidTr="00F956E8">
        <w:tc>
          <w:tcPr>
            <w:tcW w:w="415"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47</w:t>
            </w:r>
          </w:p>
        </w:tc>
        <w:tc>
          <w:tcPr>
            <w:tcW w:w="637"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薛瑞元</w:t>
            </w:r>
          </w:p>
        </w:tc>
        <w:tc>
          <w:tcPr>
            <w:tcW w:w="1867" w:type="pct"/>
            <w:shd w:val="clear" w:color="auto" w:fill="auto"/>
            <w:vAlign w:val="center"/>
            <w:hideMark/>
          </w:tcPr>
          <w:p w:rsidR="00F956E8" w:rsidRPr="000B2A94" w:rsidRDefault="00F956E8" w:rsidP="00F956E8">
            <w:pPr>
              <w:widowControl/>
              <w:rPr>
                <w:color w:val="000000" w:themeColor="text1"/>
                <w:kern w:val="0"/>
                <w:sz w:val="28"/>
                <w:szCs w:val="28"/>
              </w:rPr>
            </w:pPr>
            <w:r w:rsidRPr="000B2A94">
              <w:rPr>
                <w:color w:val="000000" w:themeColor="text1"/>
                <w:kern w:val="0"/>
                <w:sz w:val="28"/>
                <w:szCs w:val="28"/>
              </w:rPr>
              <w:t>刑事訴訟程序中「機關鑑</w:t>
            </w:r>
            <w:r w:rsidRPr="000B2A94">
              <w:rPr>
                <w:color w:val="000000" w:themeColor="text1"/>
                <w:kern w:val="0"/>
                <w:sz w:val="28"/>
                <w:szCs w:val="28"/>
              </w:rPr>
              <w:lastRenderedPageBreak/>
              <w:t xml:space="preserve">定」之研究 </w:t>
            </w:r>
          </w:p>
        </w:tc>
        <w:tc>
          <w:tcPr>
            <w:tcW w:w="760" w:type="pct"/>
            <w:shd w:val="clear" w:color="auto" w:fill="auto"/>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lastRenderedPageBreak/>
              <w:t>陳志龍</w:t>
            </w:r>
          </w:p>
        </w:tc>
        <w:tc>
          <w:tcPr>
            <w:tcW w:w="478" w:type="pct"/>
            <w:shd w:val="clear" w:color="auto" w:fill="auto"/>
            <w:vAlign w:val="center"/>
            <w:hideMark/>
          </w:tcPr>
          <w:p w:rsidR="00F956E8" w:rsidRPr="000B2A94" w:rsidRDefault="00F956E8" w:rsidP="00F956E8">
            <w:pPr>
              <w:jc w:val="center"/>
              <w:rPr>
                <w:color w:val="000000" w:themeColor="text1"/>
                <w:sz w:val="28"/>
                <w:szCs w:val="28"/>
              </w:rPr>
            </w:pPr>
            <w:r w:rsidRPr="000B2A94">
              <w:rPr>
                <w:color w:val="000000" w:themeColor="text1"/>
                <w:sz w:val="28"/>
                <w:szCs w:val="28"/>
              </w:rPr>
              <w:t>2001</w:t>
            </w:r>
          </w:p>
        </w:tc>
        <w:tc>
          <w:tcPr>
            <w:tcW w:w="843" w:type="pct"/>
            <w:vAlign w:val="center"/>
          </w:tcPr>
          <w:p w:rsidR="00F956E8" w:rsidRPr="000B2A94" w:rsidRDefault="00F956E8" w:rsidP="00F956E8">
            <w:pPr>
              <w:widowControl/>
              <w:jc w:val="center"/>
              <w:rPr>
                <w:color w:val="000000" w:themeColor="text1"/>
                <w:kern w:val="0"/>
                <w:sz w:val="28"/>
                <w:szCs w:val="28"/>
              </w:rPr>
            </w:pPr>
            <w:r w:rsidRPr="000B2A94">
              <w:rPr>
                <w:rFonts w:hint="eastAsia"/>
                <w:color w:val="000000" w:themeColor="text1"/>
                <w:kern w:val="0"/>
                <w:sz w:val="28"/>
                <w:szCs w:val="28"/>
              </w:rPr>
              <w:t>國立臺灣</w:t>
            </w:r>
            <w:r w:rsidRPr="000B2A94">
              <w:rPr>
                <w:rFonts w:hint="eastAsia"/>
                <w:color w:val="000000" w:themeColor="text1"/>
                <w:kern w:val="0"/>
                <w:sz w:val="28"/>
                <w:szCs w:val="28"/>
              </w:rPr>
              <w:lastRenderedPageBreak/>
              <w:t>大學</w:t>
            </w:r>
          </w:p>
        </w:tc>
      </w:tr>
    </w:tbl>
    <w:p w:rsidR="00F956E8" w:rsidRPr="000B2A94" w:rsidRDefault="00F956E8" w:rsidP="00F956E8">
      <w:pPr>
        <w:rPr>
          <w:color w:val="000000" w:themeColor="text1"/>
        </w:rPr>
      </w:pPr>
    </w:p>
    <w:p w:rsidR="00F956E8" w:rsidRPr="000B2A94" w:rsidRDefault="00F956E8" w:rsidP="000409E4">
      <w:pPr>
        <w:pStyle w:val="2"/>
        <w:numPr>
          <w:ilvl w:val="1"/>
          <w:numId w:val="9"/>
        </w:numPr>
        <w:overflowPunct/>
        <w:autoSpaceDE/>
        <w:autoSpaceDN/>
        <w:ind w:left="1123" w:hanging="697"/>
        <w:rPr>
          <w:rFonts w:ascii="Times New Roman" w:hAnsi="Times New Roman"/>
          <w:color w:val="000000" w:themeColor="text1"/>
        </w:rPr>
      </w:pPr>
      <w:bookmarkStart w:id="433" w:name="_Toc27400038"/>
      <w:bookmarkStart w:id="434" w:name="_Toc28606848"/>
      <w:r w:rsidRPr="000B2A94">
        <w:rPr>
          <w:rFonts w:ascii="Times New Roman" w:hAnsi="Times New Roman"/>
          <w:color w:val="000000" w:themeColor="text1"/>
        </w:rPr>
        <w:t>期刊論文－鑑定部分</w:t>
      </w:r>
      <w:bookmarkEnd w:id="433"/>
      <w:bookmarkEnd w:id="434"/>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7"/>
        <w:gridCol w:w="1135"/>
        <w:gridCol w:w="3969"/>
        <w:gridCol w:w="1418"/>
        <w:gridCol w:w="991"/>
        <w:gridCol w:w="714"/>
      </w:tblGrid>
      <w:tr w:rsidR="000B2A94" w:rsidRPr="000B2A94" w:rsidTr="00F956E8">
        <w:trPr>
          <w:trHeight w:val="898"/>
        </w:trPr>
        <w:tc>
          <w:tcPr>
            <w:tcW w:w="411"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編號</w:t>
            </w:r>
          </w:p>
        </w:tc>
        <w:tc>
          <w:tcPr>
            <w:tcW w:w="633"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作者</w:t>
            </w:r>
          </w:p>
        </w:tc>
        <w:tc>
          <w:tcPr>
            <w:tcW w:w="2214"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題目</w:t>
            </w:r>
          </w:p>
        </w:tc>
        <w:tc>
          <w:tcPr>
            <w:tcW w:w="791"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雜誌名稱</w:t>
            </w:r>
          </w:p>
        </w:tc>
        <w:tc>
          <w:tcPr>
            <w:tcW w:w="553"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年度</w:t>
            </w:r>
          </w:p>
        </w:tc>
        <w:tc>
          <w:tcPr>
            <w:tcW w:w="398" w:type="pct"/>
            <w:shd w:val="clear" w:color="auto" w:fill="auto"/>
            <w:noWrap/>
            <w:vAlign w:val="center"/>
            <w:hideMark/>
          </w:tcPr>
          <w:p w:rsidR="00F956E8" w:rsidRPr="000B2A94" w:rsidRDefault="00F956E8" w:rsidP="00F956E8">
            <w:pPr>
              <w:widowControl/>
              <w:jc w:val="center"/>
              <w:rPr>
                <w:color w:val="000000" w:themeColor="text1"/>
                <w:kern w:val="0"/>
                <w:sz w:val="28"/>
                <w:szCs w:val="28"/>
              </w:rPr>
            </w:pPr>
            <w:r w:rsidRPr="000B2A94">
              <w:rPr>
                <w:color w:val="000000" w:themeColor="text1"/>
                <w:kern w:val="0"/>
                <w:sz w:val="28"/>
                <w:szCs w:val="28"/>
              </w:rPr>
              <w:t>頁碼</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李崇僖</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醫療爭議處理之本質與變質</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月旦法學</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107/11</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179-186</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2</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林展甲</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醫療鑑定之芻議</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全國律師</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107/10</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70-</w:t>
            </w:r>
          </w:p>
          <w:p w:rsidR="00F956E8" w:rsidRPr="000B2A94" w:rsidRDefault="00F956E8" w:rsidP="00F956E8">
            <w:pPr>
              <w:jc w:val="center"/>
              <w:rPr>
                <w:color w:val="000000" w:themeColor="text1"/>
                <w:sz w:val="28"/>
                <w:szCs w:val="28"/>
              </w:rPr>
            </w:pPr>
            <w:r w:rsidRPr="000B2A94">
              <w:rPr>
                <w:color w:val="000000" w:themeColor="text1"/>
                <w:sz w:val="28"/>
                <w:szCs w:val="28"/>
              </w:rPr>
              <w:t>84</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3</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湯文章</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 xml:space="preserve">院檢壟斷鑑定與被告私請鑑定  </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月旦醫事法報告</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107/09</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133-138</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4</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吳巡龍</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鑑定參考資料</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月旦法學教室</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107/08</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29-</w:t>
            </w:r>
          </w:p>
          <w:p w:rsidR="00F956E8" w:rsidRPr="000B2A94" w:rsidRDefault="00F956E8" w:rsidP="00F956E8">
            <w:pPr>
              <w:jc w:val="center"/>
              <w:rPr>
                <w:color w:val="000000" w:themeColor="text1"/>
                <w:sz w:val="28"/>
                <w:szCs w:val="28"/>
              </w:rPr>
            </w:pPr>
            <w:r w:rsidRPr="000B2A94">
              <w:rPr>
                <w:color w:val="000000" w:themeColor="text1"/>
                <w:sz w:val="28"/>
                <w:szCs w:val="28"/>
              </w:rPr>
              <w:t>31</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5</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朱富美</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變臉？陌生人的臉不是臉？--談人臉影像比對在刑事鑑定之應用</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檢察新論</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107/08</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74-</w:t>
            </w:r>
          </w:p>
          <w:p w:rsidR="00F956E8" w:rsidRPr="000B2A94" w:rsidRDefault="00F956E8" w:rsidP="00F956E8">
            <w:pPr>
              <w:jc w:val="center"/>
              <w:rPr>
                <w:color w:val="000000" w:themeColor="text1"/>
                <w:sz w:val="28"/>
                <w:szCs w:val="28"/>
              </w:rPr>
            </w:pPr>
            <w:r w:rsidRPr="000B2A94">
              <w:rPr>
                <w:color w:val="000000" w:themeColor="text1"/>
                <w:sz w:val="28"/>
                <w:szCs w:val="28"/>
              </w:rPr>
              <w:t>86</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6</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劉邦乾</w:t>
            </w:r>
          </w:p>
          <w:p w:rsidR="00F956E8" w:rsidRPr="000B2A94" w:rsidRDefault="00F956E8" w:rsidP="00F956E8">
            <w:pPr>
              <w:jc w:val="center"/>
              <w:rPr>
                <w:color w:val="000000" w:themeColor="text1"/>
                <w:sz w:val="28"/>
                <w:szCs w:val="28"/>
              </w:rPr>
            </w:pPr>
            <w:r w:rsidRPr="000B2A94">
              <w:rPr>
                <w:color w:val="000000" w:themeColor="text1"/>
                <w:sz w:val="28"/>
                <w:szCs w:val="28"/>
              </w:rPr>
              <w:t>陳憶君</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走私農漁畜案件犯罪手法與採證鑑定問題之研究</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警專學報</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107/06</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27-</w:t>
            </w:r>
          </w:p>
          <w:p w:rsidR="00F956E8" w:rsidRPr="000B2A94" w:rsidRDefault="00F956E8" w:rsidP="00F956E8">
            <w:pPr>
              <w:jc w:val="center"/>
              <w:rPr>
                <w:color w:val="000000" w:themeColor="text1"/>
                <w:sz w:val="28"/>
                <w:szCs w:val="28"/>
              </w:rPr>
            </w:pPr>
            <w:r w:rsidRPr="000B2A94">
              <w:rPr>
                <w:color w:val="000000" w:themeColor="text1"/>
                <w:sz w:val="28"/>
                <w:szCs w:val="28"/>
              </w:rPr>
              <w:t>43</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7</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wordWrap w:val="0"/>
              <w:jc w:val="center"/>
              <w:rPr>
                <w:color w:val="000000" w:themeColor="text1"/>
                <w:sz w:val="28"/>
                <w:szCs w:val="28"/>
              </w:rPr>
            </w:pPr>
            <w:r w:rsidRPr="000B2A94">
              <w:rPr>
                <w:color w:val="000000" w:themeColor="text1"/>
                <w:sz w:val="28"/>
                <w:szCs w:val="28"/>
              </w:rPr>
              <w:t>程曉桂</w:t>
            </w:r>
          </w:p>
          <w:p w:rsidR="00F956E8" w:rsidRPr="000B2A94" w:rsidRDefault="00F956E8" w:rsidP="00F956E8">
            <w:pPr>
              <w:wordWrap w:val="0"/>
              <w:jc w:val="center"/>
              <w:rPr>
                <w:color w:val="000000" w:themeColor="text1"/>
                <w:sz w:val="28"/>
                <w:szCs w:val="28"/>
              </w:rPr>
            </w:pPr>
            <w:r w:rsidRPr="000B2A94">
              <w:rPr>
                <w:color w:val="000000" w:themeColor="text1"/>
                <w:sz w:val="28"/>
                <w:szCs w:val="28"/>
              </w:rPr>
              <w:t>高麗姬</w:t>
            </w:r>
          </w:p>
          <w:p w:rsidR="00F956E8" w:rsidRPr="000B2A94" w:rsidRDefault="00F956E8" w:rsidP="00F956E8">
            <w:pPr>
              <w:wordWrap w:val="0"/>
              <w:jc w:val="center"/>
              <w:rPr>
                <w:color w:val="000000" w:themeColor="text1"/>
                <w:sz w:val="28"/>
                <w:szCs w:val="28"/>
              </w:rPr>
            </w:pPr>
            <w:r w:rsidRPr="000B2A94">
              <w:rPr>
                <w:color w:val="000000" w:themeColor="text1"/>
                <w:sz w:val="28"/>
                <w:szCs w:val="28"/>
              </w:rPr>
              <w:t>孟憲輝</w:t>
            </w:r>
          </w:p>
          <w:p w:rsidR="00F956E8" w:rsidRPr="000B2A94" w:rsidRDefault="00F956E8" w:rsidP="00F956E8">
            <w:pPr>
              <w:wordWrap w:val="0"/>
              <w:jc w:val="center"/>
              <w:rPr>
                <w:color w:val="000000" w:themeColor="text1"/>
                <w:sz w:val="28"/>
                <w:szCs w:val="28"/>
              </w:rPr>
            </w:pPr>
            <w:r w:rsidRPr="000B2A94">
              <w:rPr>
                <w:color w:val="000000" w:themeColor="text1"/>
                <w:sz w:val="28"/>
                <w:szCs w:val="28"/>
              </w:rPr>
              <w:t>譯</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指紋鑑定判定來源相符過程之表述方式指引(草案)</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刑事科學</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107/06</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15-</w:t>
            </w:r>
          </w:p>
          <w:p w:rsidR="00F956E8" w:rsidRPr="000B2A94" w:rsidRDefault="00F956E8" w:rsidP="00F956E8">
            <w:pPr>
              <w:jc w:val="center"/>
              <w:rPr>
                <w:color w:val="000000" w:themeColor="text1"/>
                <w:sz w:val="28"/>
                <w:szCs w:val="28"/>
              </w:rPr>
            </w:pPr>
            <w:r w:rsidRPr="000B2A94">
              <w:rPr>
                <w:color w:val="000000" w:themeColor="text1"/>
                <w:sz w:val="28"/>
                <w:szCs w:val="28"/>
              </w:rPr>
              <w:t>25</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8</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徐婉寧</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論我國職業病之認定與鑑定制度(下)</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萬國法律</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107/06</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78-</w:t>
            </w:r>
          </w:p>
          <w:p w:rsidR="00F956E8" w:rsidRPr="000B2A94" w:rsidRDefault="00F956E8" w:rsidP="00F956E8">
            <w:pPr>
              <w:jc w:val="center"/>
              <w:rPr>
                <w:color w:val="000000" w:themeColor="text1"/>
                <w:sz w:val="28"/>
                <w:szCs w:val="28"/>
              </w:rPr>
            </w:pPr>
            <w:r w:rsidRPr="000B2A94">
              <w:rPr>
                <w:color w:val="000000" w:themeColor="text1"/>
                <w:sz w:val="28"/>
                <w:szCs w:val="28"/>
              </w:rPr>
              <w:t>85</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9</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徐婉寧</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論我國職業病之認定與鑑定制度(上)</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萬國法律</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107/04</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78-</w:t>
            </w:r>
          </w:p>
          <w:p w:rsidR="00F956E8" w:rsidRPr="000B2A94" w:rsidRDefault="00F956E8" w:rsidP="00F956E8">
            <w:pPr>
              <w:jc w:val="center"/>
              <w:rPr>
                <w:color w:val="000000" w:themeColor="text1"/>
                <w:sz w:val="28"/>
                <w:szCs w:val="28"/>
              </w:rPr>
            </w:pPr>
            <w:r w:rsidRPr="000B2A94">
              <w:rPr>
                <w:color w:val="000000" w:themeColor="text1"/>
                <w:sz w:val="28"/>
                <w:szCs w:val="28"/>
              </w:rPr>
              <w:t>84</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林宗穎</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哈姆立克法急救案：住院醫療期間發生意外事故之契約與侵權責任</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月旦醫事法報告</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107/06</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87-</w:t>
            </w:r>
          </w:p>
          <w:p w:rsidR="00F956E8" w:rsidRPr="000B2A94" w:rsidRDefault="00F956E8" w:rsidP="00F956E8">
            <w:pPr>
              <w:jc w:val="center"/>
              <w:rPr>
                <w:color w:val="000000" w:themeColor="text1"/>
                <w:sz w:val="28"/>
                <w:szCs w:val="28"/>
              </w:rPr>
            </w:pPr>
            <w:r w:rsidRPr="000B2A94">
              <w:rPr>
                <w:color w:val="000000" w:themeColor="text1"/>
                <w:sz w:val="28"/>
                <w:szCs w:val="28"/>
              </w:rPr>
              <w:t>112</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11</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吳燦</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鑑定書面之證據能力</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月旦法學教室</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107/04</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24-</w:t>
            </w:r>
          </w:p>
          <w:p w:rsidR="00F956E8" w:rsidRPr="000B2A94" w:rsidRDefault="00F956E8" w:rsidP="00F956E8">
            <w:pPr>
              <w:jc w:val="center"/>
              <w:rPr>
                <w:color w:val="000000" w:themeColor="text1"/>
                <w:sz w:val="28"/>
                <w:szCs w:val="28"/>
              </w:rPr>
            </w:pPr>
            <w:r w:rsidRPr="000B2A94">
              <w:rPr>
                <w:color w:val="000000" w:themeColor="text1"/>
                <w:sz w:val="28"/>
                <w:szCs w:val="28"/>
              </w:rPr>
              <w:t>27</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12</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李佳玟</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性侵害創傷症候群於刑事審判之應用--評最高法院106年度臺上字第2009號刑事判決</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月旦裁判時報</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107/04</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61-</w:t>
            </w:r>
          </w:p>
          <w:p w:rsidR="00F956E8" w:rsidRPr="000B2A94" w:rsidRDefault="00F956E8" w:rsidP="00F956E8">
            <w:pPr>
              <w:jc w:val="center"/>
              <w:rPr>
                <w:color w:val="000000" w:themeColor="text1"/>
                <w:sz w:val="28"/>
                <w:szCs w:val="28"/>
              </w:rPr>
            </w:pPr>
            <w:r w:rsidRPr="000B2A94">
              <w:rPr>
                <w:color w:val="000000" w:themeColor="text1"/>
                <w:sz w:val="28"/>
                <w:szCs w:val="28"/>
              </w:rPr>
              <w:t>69</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13</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王俸鋼</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從精神醫學和法學角度看責任能力之鑑定</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檢察新論</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107/02</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50-89</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lastRenderedPageBreak/>
              <w:t>14</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陳若璋</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被告再犯或教化可能性之鑑定與其在死刑量刑程序中之定位</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檢察新論</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107/02</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3-</w:t>
            </w:r>
          </w:p>
          <w:p w:rsidR="00F956E8" w:rsidRPr="000B2A94" w:rsidRDefault="00F956E8" w:rsidP="00F956E8">
            <w:pPr>
              <w:jc w:val="center"/>
              <w:rPr>
                <w:color w:val="000000" w:themeColor="text1"/>
                <w:sz w:val="28"/>
                <w:szCs w:val="28"/>
              </w:rPr>
            </w:pPr>
            <w:r w:rsidRPr="000B2A94">
              <w:rPr>
                <w:color w:val="000000" w:themeColor="text1"/>
                <w:sz w:val="28"/>
                <w:szCs w:val="28"/>
              </w:rPr>
              <w:t>49</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15</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吳家慶</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論事故鑑定與過失認定--司法實務相關判決考察</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交通學報</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106/05</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17-</w:t>
            </w:r>
          </w:p>
          <w:p w:rsidR="00F956E8" w:rsidRPr="000B2A94" w:rsidRDefault="00F956E8" w:rsidP="00F956E8">
            <w:pPr>
              <w:jc w:val="center"/>
              <w:rPr>
                <w:color w:val="000000" w:themeColor="text1"/>
                <w:sz w:val="28"/>
                <w:szCs w:val="28"/>
              </w:rPr>
            </w:pPr>
            <w:r w:rsidRPr="000B2A94">
              <w:rPr>
                <w:color w:val="000000" w:themeColor="text1"/>
                <w:sz w:val="28"/>
                <w:szCs w:val="28"/>
              </w:rPr>
              <w:t>38</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16</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黃俊杰</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專家意見及專家鑑定</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稅務旬刊</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105/12</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21-</w:t>
            </w:r>
          </w:p>
          <w:p w:rsidR="00F956E8" w:rsidRPr="000B2A94" w:rsidRDefault="00F956E8" w:rsidP="00F956E8">
            <w:pPr>
              <w:jc w:val="center"/>
              <w:rPr>
                <w:color w:val="000000" w:themeColor="text1"/>
                <w:sz w:val="28"/>
                <w:szCs w:val="28"/>
              </w:rPr>
            </w:pPr>
            <w:r w:rsidRPr="000B2A94">
              <w:rPr>
                <w:color w:val="000000" w:themeColor="text1"/>
                <w:sz w:val="28"/>
                <w:szCs w:val="28"/>
              </w:rPr>
              <w:t>28</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17</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李俊億</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槍傷鑑定及彈道分析於偵查中之運用--以鄭性澤案與蔡學良案為例</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靜宜法學</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105/12</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39-</w:t>
            </w:r>
          </w:p>
          <w:p w:rsidR="00F956E8" w:rsidRPr="000B2A94" w:rsidRDefault="00F956E8" w:rsidP="00F956E8">
            <w:pPr>
              <w:jc w:val="center"/>
              <w:rPr>
                <w:color w:val="000000" w:themeColor="text1"/>
                <w:sz w:val="28"/>
                <w:szCs w:val="28"/>
              </w:rPr>
            </w:pPr>
            <w:r w:rsidRPr="000B2A94">
              <w:rPr>
                <w:color w:val="000000" w:themeColor="text1"/>
                <w:sz w:val="28"/>
                <w:szCs w:val="28"/>
              </w:rPr>
              <w:t>64</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18</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吳志正</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醫事鑑定制度之改革芻議--以大陸地區及日本經驗為借鏡</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東吳法律學報</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105/10</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119-158</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19</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湯文章</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精神醫療鑑定與刑事審判--以現行鑑定制度的缺失為中心</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真理財經法學</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105/09</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37-</w:t>
            </w:r>
          </w:p>
          <w:p w:rsidR="00F956E8" w:rsidRPr="000B2A94" w:rsidRDefault="00F956E8" w:rsidP="00F956E8">
            <w:pPr>
              <w:jc w:val="center"/>
              <w:rPr>
                <w:color w:val="000000" w:themeColor="text1"/>
                <w:sz w:val="28"/>
                <w:szCs w:val="28"/>
              </w:rPr>
            </w:pPr>
            <w:r w:rsidRPr="000B2A94">
              <w:rPr>
                <w:color w:val="000000" w:themeColor="text1"/>
                <w:sz w:val="28"/>
                <w:szCs w:val="28"/>
              </w:rPr>
              <w:t>94</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20</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吳巡龍</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性侵案之專家證人</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月旦法學教室</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105/08</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27-</w:t>
            </w:r>
          </w:p>
          <w:p w:rsidR="00F956E8" w:rsidRPr="000B2A94" w:rsidRDefault="00F956E8" w:rsidP="00F956E8">
            <w:pPr>
              <w:jc w:val="center"/>
              <w:rPr>
                <w:color w:val="000000" w:themeColor="text1"/>
                <w:sz w:val="28"/>
                <w:szCs w:val="28"/>
              </w:rPr>
            </w:pPr>
            <w:r w:rsidRPr="000B2A94">
              <w:rPr>
                <w:color w:val="000000" w:themeColor="text1"/>
                <w:sz w:val="28"/>
                <w:szCs w:val="28"/>
              </w:rPr>
              <w:t>29</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21</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許永欽</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刑事鑑定適用爭議與辨明-2</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法務通訊</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105/07</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3-</w:t>
            </w:r>
          </w:p>
          <w:p w:rsidR="00F956E8" w:rsidRPr="000B2A94" w:rsidRDefault="00F956E8" w:rsidP="00F956E8">
            <w:pPr>
              <w:jc w:val="center"/>
              <w:rPr>
                <w:color w:val="000000" w:themeColor="text1"/>
                <w:sz w:val="28"/>
                <w:szCs w:val="28"/>
              </w:rPr>
            </w:pPr>
            <w:r w:rsidRPr="000B2A94">
              <w:rPr>
                <w:color w:val="000000" w:themeColor="text1"/>
                <w:sz w:val="28"/>
                <w:szCs w:val="28"/>
              </w:rPr>
              <w:t>6</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22</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許永欽</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刑事鑑定適用爭議與辨明-1</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法務通訊</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105/06</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3-</w:t>
            </w:r>
          </w:p>
          <w:p w:rsidR="00F956E8" w:rsidRPr="000B2A94" w:rsidRDefault="00F956E8" w:rsidP="00F956E8">
            <w:pPr>
              <w:jc w:val="center"/>
              <w:rPr>
                <w:color w:val="000000" w:themeColor="text1"/>
                <w:sz w:val="28"/>
                <w:szCs w:val="28"/>
              </w:rPr>
            </w:pPr>
            <w:r w:rsidRPr="000B2A94">
              <w:rPr>
                <w:color w:val="000000" w:themeColor="text1"/>
                <w:sz w:val="28"/>
                <w:szCs w:val="28"/>
              </w:rPr>
              <w:t>5</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23</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曾春僑</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測謊鑑定案件常見疑義分析與建議</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警專論壇</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105/06</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53-</w:t>
            </w:r>
          </w:p>
          <w:p w:rsidR="00F956E8" w:rsidRPr="000B2A94" w:rsidRDefault="00F956E8" w:rsidP="00F956E8">
            <w:pPr>
              <w:jc w:val="center"/>
              <w:rPr>
                <w:color w:val="000000" w:themeColor="text1"/>
                <w:sz w:val="28"/>
                <w:szCs w:val="28"/>
              </w:rPr>
            </w:pPr>
            <w:r w:rsidRPr="000B2A94">
              <w:rPr>
                <w:color w:val="000000" w:themeColor="text1"/>
                <w:sz w:val="28"/>
                <w:szCs w:val="28"/>
              </w:rPr>
              <w:t>64</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24</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葉芷彤</w:t>
            </w:r>
          </w:p>
          <w:p w:rsidR="00F956E8" w:rsidRPr="000B2A94" w:rsidRDefault="00F956E8" w:rsidP="00F956E8">
            <w:pPr>
              <w:jc w:val="center"/>
              <w:rPr>
                <w:color w:val="000000" w:themeColor="text1"/>
                <w:sz w:val="28"/>
                <w:szCs w:val="28"/>
              </w:rPr>
            </w:pPr>
            <w:r w:rsidRPr="000B2A94">
              <w:rPr>
                <w:color w:val="000000" w:themeColor="text1"/>
                <w:sz w:val="28"/>
                <w:szCs w:val="28"/>
              </w:rPr>
              <w:t>王欣于</w:t>
            </w:r>
          </w:p>
          <w:p w:rsidR="00F956E8" w:rsidRPr="000B2A94" w:rsidRDefault="00F956E8" w:rsidP="00F956E8">
            <w:pPr>
              <w:jc w:val="center"/>
              <w:rPr>
                <w:color w:val="000000" w:themeColor="text1"/>
                <w:sz w:val="28"/>
                <w:szCs w:val="28"/>
              </w:rPr>
            </w:pPr>
            <w:r w:rsidRPr="000B2A94">
              <w:rPr>
                <w:color w:val="000000" w:themeColor="text1"/>
                <w:sz w:val="28"/>
                <w:szCs w:val="28"/>
              </w:rPr>
              <w:t>廖欣柔</w:t>
            </w:r>
          </w:p>
          <w:p w:rsidR="00F956E8" w:rsidRPr="000B2A94" w:rsidRDefault="00F956E8" w:rsidP="00F956E8">
            <w:pPr>
              <w:jc w:val="center"/>
              <w:rPr>
                <w:color w:val="000000" w:themeColor="text1"/>
                <w:sz w:val="28"/>
                <w:szCs w:val="28"/>
              </w:rPr>
            </w:pPr>
            <w:r w:rsidRPr="000B2A94">
              <w:rPr>
                <w:color w:val="000000" w:themeColor="text1"/>
                <w:sz w:val="28"/>
                <w:szCs w:val="28"/>
              </w:rPr>
              <w:t>林立群</w:t>
            </w:r>
          </w:p>
          <w:p w:rsidR="00F956E8" w:rsidRPr="000B2A94" w:rsidRDefault="00F956E8" w:rsidP="00F956E8">
            <w:pPr>
              <w:jc w:val="center"/>
              <w:rPr>
                <w:color w:val="000000" w:themeColor="text1"/>
                <w:sz w:val="28"/>
                <w:szCs w:val="28"/>
              </w:rPr>
            </w:pPr>
            <w:r w:rsidRPr="000B2A94">
              <w:rPr>
                <w:color w:val="000000" w:themeColor="text1"/>
                <w:sz w:val="28"/>
                <w:szCs w:val="28"/>
              </w:rPr>
              <w:t>黃世誠</w:t>
            </w:r>
          </w:p>
          <w:p w:rsidR="00F956E8" w:rsidRPr="000B2A94" w:rsidRDefault="00F956E8" w:rsidP="00F956E8">
            <w:pPr>
              <w:jc w:val="center"/>
              <w:rPr>
                <w:color w:val="000000" w:themeColor="text1"/>
                <w:sz w:val="28"/>
                <w:szCs w:val="28"/>
              </w:rPr>
            </w:pPr>
            <w:r w:rsidRPr="000B2A94">
              <w:rPr>
                <w:color w:val="000000" w:themeColor="text1"/>
                <w:sz w:val="28"/>
                <w:szCs w:val="28"/>
              </w:rPr>
              <w:t>許凱竣</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論醫療疏失之實務認定與程序評最高法院102年臺上字第1414號判決</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萬國法律</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105/06</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62-</w:t>
            </w:r>
          </w:p>
          <w:p w:rsidR="00F956E8" w:rsidRPr="000B2A94" w:rsidRDefault="00F956E8" w:rsidP="00F956E8">
            <w:pPr>
              <w:jc w:val="center"/>
              <w:rPr>
                <w:color w:val="000000" w:themeColor="text1"/>
                <w:sz w:val="28"/>
                <w:szCs w:val="28"/>
              </w:rPr>
            </w:pPr>
            <w:r w:rsidRPr="000B2A94">
              <w:rPr>
                <w:color w:val="000000" w:themeColor="text1"/>
                <w:sz w:val="28"/>
                <w:szCs w:val="28"/>
              </w:rPr>
              <w:t>82</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25</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林義龍</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醫療鑑定制度概況與改善建議</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全國律師</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105/04</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31-</w:t>
            </w:r>
          </w:p>
          <w:p w:rsidR="00F956E8" w:rsidRPr="000B2A94" w:rsidRDefault="00F956E8" w:rsidP="00F956E8">
            <w:pPr>
              <w:jc w:val="center"/>
              <w:rPr>
                <w:color w:val="000000" w:themeColor="text1"/>
                <w:sz w:val="28"/>
                <w:szCs w:val="28"/>
              </w:rPr>
            </w:pPr>
            <w:r w:rsidRPr="000B2A94">
              <w:rPr>
                <w:color w:val="000000" w:themeColor="text1"/>
                <w:sz w:val="28"/>
                <w:szCs w:val="28"/>
              </w:rPr>
              <w:t>41</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26</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吳肇鑫</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緊急醫療常規特論</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全國律師</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105/04</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42-</w:t>
            </w:r>
          </w:p>
          <w:p w:rsidR="00F956E8" w:rsidRPr="000B2A94" w:rsidRDefault="00F956E8" w:rsidP="00F956E8">
            <w:pPr>
              <w:jc w:val="center"/>
              <w:rPr>
                <w:color w:val="000000" w:themeColor="text1"/>
                <w:sz w:val="28"/>
                <w:szCs w:val="28"/>
              </w:rPr>
            </w:pPr>
            <w:r w:rsidRPr="000B2A94">
              <w:rPr>
                <w:color w:val="000000" w:themeColor="text1"/>
                <w:sz w:val="28"/>
                <w:szCs w:val="28"/>
              </w:rPr>
              <w:t>47</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27</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謝榮堂</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醫療糾紛及醫療事故補償法草案評析</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月旦法學</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105/03</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142-157</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28</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劉耀明</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侵入性身體檢查處分之比較研究</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刑事法雜誌</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105/02</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17-</w:t>
            </w:r>
          </w:p>
          <w:p w:rsidR="00F956E8" w:rsidRPr="000B2A94" w:rsidRDefault="00F956E8" w:rsidP="00F956E8">
            <w:pPr>
              <w:jc w:val="center"/>
              <w:rPr>
                <w:color w:val="000000" w:themeColor="text1"/>
                <w:sz w:val="28"/>
                <w:szCs w:val="28"/>
              </w:rPr>
            </w:pPr>
            <w:r w:rsidRPr="000B2A94">
              <w:rPr>
                <w:color w:val="000000" w:themeColor="text1"/>
                <w:sz w:val="28"/>
                <w:szCs w:val="28"/>
              </w:rPr>
              <w:t>60</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29</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張麗卿</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外科醫療糾紛鑑定案例及判決解析--腹痛灌腸致死案</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臺灣法學雜誌</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104/11</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27-</w:t>
            </w:r>
          </w:p>
          <w:p w:rsidR="00F956E8" w:rsidRPr="000B2A94" w:rsidRDefault="00F956E8" w:rsidP="00F956E8">
            <w:pPr>
              <w:jc w:val="center"/>
              <w:rPr>
                <w:color w:val="000000" w:themeColor="text1"/>
                <w:sz w:val="28"/>
                <w:szCs w:val="28"/>
              </w:rPr>
            </w:pPr>
            <w:r w:rsidRPr="000B2A94">
              <w:rPr>
                <w:color w:val="000000" w:themeColor="text1"/>
                <w:sz w:val="28"/>
                <w:szCs w:val="28"/>
              </w:rPr>
              <w:t>38</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lastRenderedPageBreak/>
              <w:t>30</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吳志正</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醫事訴訟中因果關係之判定</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月旦法學</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104/11</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48-</w:t>
            </w:r>
          </w:p>
          <w:p w:rsidR="00F956E8" w:rsidRPr="000B2A94" w:rsidRDefault="00F956E8" w:rsidP="00F956E8">
            <w:pPr>
              <w:jc w:val="center"/>
              <w:rPr>
                <w:color w:val="000000" w:themeColor="text1"/>
                <w:sz w:val="28"/>
                <w:szCs w:val="28"/>
              </w:rPr>
            </w:pPr>
            <w:r w:rsidRPr="000B2A94">
              <w:rPr>
                <w:color w:val="000000" w:themeColor="text1"/>
                <w:sz w:val="28"/>
                <w:szCs w:val="28"/>
              </w:rPr>
              <w:t>68</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31</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黃致豪</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心智障礙與刑事責任之謎--以思覺失調症為例：淺談辨論能力、控制能力與司法精神鑑定</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全國律師</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104/11</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4-</w:t>
            </w:r>
          </w:p>
          <w:p w:rsidR="00F956E8" w:rsidRPr="000B2A94" w:rsidRDefault="00F956E8" w:rsidP="00F956E8">
            <w:pPr>
              <w:jc w:val="center"/>
              <w:rPr>
                <w:color w:val="000000" w:themeColor="text1"/>
                <w:sz w:val="28"/>
                <w:szCs w:val="28"/>
              </w:rPr>
            </w:pPr>
            <w:r w:rsidRPr="000B2A94">
              <w:rPr>
                <w:color w:val="000000" w:themeColor="text1"/>
                <w:sz w:val="28"/>
                <w:szCs w:val="28"/>
              </w:rPr>
              <w:t>13</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32</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黃淑芳</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初探「麻醉分析」於司法精神鑑定之適法性</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全國律師</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104/11</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26-</w:t>
            </w:r>
          </w:p>
          <w:p w:rsidR="00F956E8" w:rsidRPr="000B2A94" w:rsidRDefault="00F956E8" w:rsidP="00F956E8">
            <w:pPr>
              <w:jc w:val="center"/>
              <w:rPr>
                <w:color w:val="000000" w:themeColor="text1"/>
                <w:sz w:val="28"/>
                <w:szCs w:val="28"/>
              </w:rPr>
            </w:pPr>
            <w:r w:rsidRPr="000B2A94">
              <w:rPr>
                <w:color w:val="000000" w:themeColor="text1"/>
                <w:sz w:val="28"/>
                <w:szCs w:val="28"/>
              </w:rPr>
              <w:t>38</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33</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吳景欽</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人民參與審判制度下的刑事鑑定--以日本裁判員制度下的責任能力判斷為探討核心</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真理財經法學</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104/09</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w:t>
            </w:r>
          </w:p>
          <w:p w:rsidR="00F956E8" w:rsidRPr="000B2A94" w:rsidRDefault="00F956E8" w:rsidP="00F956E8">
            <w:pPr>
              <w:jc w:val="center"/>
              <w:rPr>
                <w:color w:val="000000" w:themeColor="text1"/>
                <w:sz w:val="28"/>
                <w:szCs w:val="28"/>
              </w:rPr>
            </w:pPr>
            <w:r w:rsidRPr="000B2A94">
              <w:rPr>
                <w:color w:val="000000" w:themeColor="text1"/>
                <w:sz w:val="28"/>
                <w:szCs w:val="28"/>
              </w:rPr>
              <w:t>22</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34</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吳俊穎</w:t>
            </w:r>
          </w:p>
          <w:p w:rsidR="00F956E8" w:rsidRPr="000B2A94" w:rsidRDefault="00F956E8" w:rsidP="00F956E8">
            <w:pPr>
              <w:jc w:val="center"/>
              <w:rPr>
                <w:color w:val="000000" w:themeColor="text1"/>
                <w:sz w:val="28"/>
                <w:szCs w:val="28"/>
              </w:rPr>
            </w:pPr>
            <w:r w:rsidRPr="000B2A94">
              <w:rPr>
                <w:color w:val="000000" w:themeColor="text1"/>
                <w:sz w:val="28"/>
                <w:szCs w:val="28"/>
              </w:rPr>
              <w:t>楊增暐</w:t>
            </w:r>
          </w:p>
          <w:p w:rsidR="00F956E8" w:rsidRPr="000B2A94" w:rsidRDefault="00F956E8" w:rsidP="00F956E8">
            <w:pPr>
              <w:jc w:val="center"/>
              <w:rPr>
                <w:color w:val="000000" w:themeColor="text1"/>
                <w:sz w:val="28"/>
                <w:szCs w:val="28"/>
              </w:rPr>
            </w:pPr>
            <w:r w:rsidRPr="000B2A94">
              <w:rPr>
                <w:color w:val="000000" w:themeColor="text1"/>
                <w:sz w:val="28"/>
                <w:szCs w:val="28"/>
              </w:rPr>
              <w:t>陳榮基</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醫療糾紛鑑定意見對法官心證之影響</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科技法學評論</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104/06</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97-</w:t>
            </w:r>
          </w:p>
          <w:p w:rsidR="00F956E8" w:rsidRPr="000B2A94" w:rsidRDefault="00F956E8" w:rsidP="00F956E8">
            <w:pPr>
              <w:jc w:val="center"/>
              <w:rPr>
                <w:color w:val="000000" w:themeColor="text1"/>
                <w:sz w:val="28"/>
                <w:szCs w:val="28"/>
              </w:rPr>
            </w:pPr>
            <w:r w:rsidRPr="000B2A94">
              <w:rPr>
                <w:color w:val="000000" w:themeColor="text1"/>
                <w:sz w:val="28"/>
                <w:szCs w:val="28"/>
              </w:rPr>
              <w:t>138</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35</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許志誠</w:t>
            </w:r>
          </w:p>
          <w:p w:rsidR="00F956E8" w:rsidRPr="000B2A94" w:rsidRDefault="00F956E8" w:rsidP="00F956E8">
            <w:pPr>
              <w:jc w:val="center"/>
              <w:rPr>
                <w:color w:val="000000" w:themeColor="text1"/>
                <w:sz w:val="28"/>
                <w:szCs w:val="28"/>
              </w:rPr>
            </w:pPr>
            <w:r w:rsidRPr="000B2A94">
              <w:rPr>
                <w:color w:val="000000" w:themeColor="text1"/>
                <w:sz w:val="28"/>
                <w:szCs w:val="28"/>
              </w:rPr>
              <w:t>陳秋雄</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從鑑定機關觀點給警察處理交通事故的建議--以路口涉號誌案件為例</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警專論壇</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104/06</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28-</w:t>
            </w:r>
          </w:p>
          <w:p w:rsidR="00F956E8" w:rsidRPr="000B2A94" w:rsidRDefault="00F956E8" w:rsidP="00F956E8">
            <w:pPr>
              <w:jc w:val="center"/>
              <w:rPr>
                <w:color w:val="000000" w:themeColor="text1"/>
                <w:sz w:val="28"/>
                <w:szCs w:val="28"/>
              </w:rPr>
            </w:pPr>
            <w:r w:rsidRPr="000B2A94">
              <w:rPr>
                <w:color w:val="000000" w:themeColor="text1"/>
                <w:sz w:val="28"/>
                <w:szCs w:val="28"/>
              </w:rPr>
              <w:t>49</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36</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楊哲銘</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鑑定於訴訟外醫療糾紛解決機制之必要性探討</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醫事法學</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104/06</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w:t>
            </w:r>
          </w:p>
          <w:p w:rsidR="00F956E8" w:rsidRPr="000B2A94" w:rsidRDefault="00F956E8" w:rsidP="00F956E8">
            <w:pPr>
              <w:jc w:val="center"/>
              <w:rPr>
                <w:color w:val="000000" w:themeColor="text1"/>
                <w:sz w:val="28"/>
                <w:szCs w:val="28"/>
              </w:rPr>
            </w:pPr>
            <w:r w:rsidRPr="000B2A94">
              <w:rPr>
                <w:color w:val="000000" w:themeColor="text1"/>
                <w:sz w:val="28"/>
                <w:szCs w:val="28"/>
              </w:rPr>
              <w:t>17</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37</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廖建瑜</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醫療鑑定在法律訴訟的角色</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醫療品質雜誌</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104/05</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96-</w:t>
            </w:r>
          </w:p>
          <w:p w:rsidR="00F956E8" w:rsidRPr="000B2A94" w:rsidRDefault="00F956E8" w:rsidP="00F956E8">
            <w:pPr>
              <w:jc w:val="center"/>
              <w:rPr>
                <w:color w:val="000000" w:themeColor="text1"/>
                <w:sz w:val="28"/>
                <w:szCs w:val="28"/>
              </w:rPr>
            </w:pPr>
            <w:r w:rsidRPr="000B2A94">
              <w:rPr>
                <w:color w:val="000000" w:themeColor="text1"/>
                <w:sz w:val="28"/>
                <w:szCs w:val="28"/>
              </w:rPr>
              <w:t>100</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38</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江浣翠</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從美國專家證人制度論我國現行鑑定制度於醫療糾紛訴訟中之靈活運用</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醫療品質雜誌</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104/01</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38-</w:t>
            </w:r>
          </w:p>
          <w:p w:rsidR="00F956E8" w:rsidRPr="000B2A94" w:rsidRDefault="00F956E8" w:rsidP="00F956E8">
            <w:pPr>
              <w:jc w:val="center"/>
              <w:rPr>
                <w:color w:val="000000" w:themeColor="text1"/>
                <w:sz w:val="28"/>
                <w:szCs w:val="28"/>
              </w:rPr>
            </w:pPr>
            <w:r w:rsidRPr="000B2A94">
              <w:rPr>
                <w:color w:val="000000" w:themeColor="text1"/>
                <w:sz w:val="28"/>
                <w:szCs w:val="28"/>
              </w:rPr>
              <w:t>45</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39</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張婷</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兩岸醫療糾紛發展特色及醫療糾紛鑑定機制之法制面研究</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月旦法學</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104/01</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170-189</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40</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鄭希彥</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醫事糾紛鑑定應有的認知基準與流程</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醫事法學</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103/12</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35-</w:t>
            </w:r>
          </w:p>
          <w:p w:rsidR="00F956E8" w:rsidRPr="000B2A94" w:rsidRDefault="00F956E8" w:rsidP="00F956E8">
            <w:pPr>
              <w:jc w:val="center"/>
              <w:rPr>
                <w:color w:val="000000" w:themeColor="text1"/>
                <w:sz w:val="28"/>
                <w:szCs w:val="28"/>
              </w:rPr>
            </w:pPr>
            <w:r w:rsidRPr="000B2A94">
              <w:rPr>
                <w:color w:val="000000" w:themeColor="text1"/>
                <w:sz w:val="28"/>
                <w:szCs w:val="28"/>
              </w:rPr>
              <w:t>44</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41</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楊雲驊</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我國刑事被告行為時精神狀態與偵訊時意志自由之判斷--以國際人權公約的視野觀察</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臺灣法學雜誌</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103/06</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19-</w:t>
            </w:r>
          </w:p>
          <w:p w:rsidR="00F956E8" w:rsidRPr="000B2A94" w:rsidRDefault="00F956E8" w:rsidP="00F956E8">
            <w:pPr>
              <w:jc w:val="center"/>
              <w:rPr>
                <w:color w:val="000000" w:themeColor="text1"/>
                <w:sz w:val="28"/>
                <w:szCs w:val="28"/>
              </w:rPr>
            </w:pPr>
            <w:r w:rsidRPr="000B2A94">
              <w:rPr>
                <w:color w:val="000000" w:themeColor="text1"/>
                <w:sz w:val="28"/>
                <w:szCs w:val="28"/>
              </w:rPr>
              <w:t>32</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42</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蘇友辰</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建置國家級「刑事鑑識科學中心」之芻議</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全國律師</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103/05</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106-111</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43</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林孟皇</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法官知法？法院就法律問題作鑑定？--民、刑事訴訟就法律問題行鑑定程序芻議</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臺灣法學雜誌</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103/04</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69-</w:t>
            </w:r>
          </w:p>
          <w:p w:rsidR="00F956E8" w:rsidRPr="000B2A94" w:rsidRDefault="00F956E8" w:rsidP="00F956E8">
            <w:pPr>
              <w:jc w:val="center"/>
              <w:rPr>
                <w:color w:val="000000" w:themeColor="text1"/>
                <w:sz w:val="28"/>
                <w:szCs w:val="28"/>
              </w:rPr>
            </w:pPr>
            <w:r w:rsidRPr="000B2A94">
              <w:rPr>
                <w:color w:val="000000" w:themeColor="text1"/>
                <w:sz w:val="28"/>
                <w:szCs w:val="28"/>
              </w:rPr>
              <w:t>78</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44</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李俊億</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我國鑑識科學亟待解決之問題與建議</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全國律師</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103/04</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102-106</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lastRenderedPageBreak/>
              <w:t>45</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林鈺雄</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初探德國醫療糾紛鑑定調解會制度--兼論解決醫療糾紛之立法原則</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月旦法學</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102/06</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207-230</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46</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楊秀儀</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論初步鑑定對醫療糾紛處理之意義--對立法院「醫療糾紛處理及醫療事故補償法」草案第七條之期待與展望</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月旦法學</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102/05</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48-</w:t>
            </w:r>
          </w:p>
          <w:p w:rsidR="00F956E8" w:rsidRPr="000B2A94" w:rsidRDefault="00F956E8" w:rsidP="00F956E8">
            <w:pPr>
              <w:jc w:val="center"/>
              <w:rPr>
                <w:color w:val="000000" w:themeColor="text1"/>
                <w:sz w:val="28"/>
                <w:szCs w:val="28"/>
              </w:rPr>
            </w:pPr>
            <w:r w:rsidRPr="000B2A94">
              <w:rPr>
                <w:color w:val="000000" w:themeColor="text1"/>
                <w:sz w:val="28"/>
                <w:szCs w:val="28"/>
              </w:rPr>
              <w:t>61</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47</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林萍章</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醫療調解前置主義之爭議</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月旦法學</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102/05</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62-</w:t>
            </w:r>
          </w:p>
          <w:p w:rsidR="00F956E8" w:rsidRPr="000B2A94" w:rsidRDefault="00F956E8" w:rsidP="00F956E8">
            <w:pPr>
              <w:jc w:val="center"/>
              <w:rPr>
                <w:color w:val="000000" w:themeColor="text1"/>
                <w:sz w:val="28"/>
                <w:szCs w:val="28"/>
              </w:rPr>
            </w:pPr>
            <w:r w:rsidRPr="000B2A94">
              <w:rPr>
                <w:color w:val="000000" w:themeColor="text1"/>
                <w:sz w:val="28"/>
                <w:szCs w:val="28"/>
              </w:rPr>
              <w:t>86</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48</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施俊堯</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刑事鑑定證據之調查與判斷</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檢查新論</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101/7</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194-223</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49</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施俊堯</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法醫鑑定證據之調查與判斷</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司法周刊</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101/5/24</w:t>
            </w:r>
          </w:p>
          <w:p w:rsidR="00F956E8" w:rsidRPr="000B2A94" w:rsidRDefault="00F956E8" w:rsidP="00F956E8">
            <w:pPr>
              <w:jc w:val="center"/>
              <w:rPr>
                <w:color w:val="000000" w:themeColor="text1"/>
                <w:sz w:val="28"/>
                <w:szCs w:val="28"/>
              </w:rPr>
            </w:pPr>
            <w:r w:rsidRPr="000B2A94">
              <w:rPr>
                <w:color w:val="000000" w:themeColor="text1"/>
                <w:sz w:val="28"/>
                <w:szCs w:val="28"/>
              </w:rPr>
              <w:t>101/5/18</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2-</w:t>
            </w:r>
          </w:p>
          <w:p w:rsidR="00F956E8" w:rsidRPr="000B2A94" w:rsidRDefault="00F956E8" w:rsidP="00F956E8">
            <w:pPr>
              <w:jc w:val="center"/>
              <w:rPr>
                <w:color w:val="000000" w:themeColor="text1"/>
                <w:sz w:val="28"/>
                <w:szCs w:val="28"/>
              </w:rPr>
            </w:pPr>
            <w:r w:rsidRPr="000B2A94">
              <w:rPr>
                <w:color w:val="000000" w:themeColor="text1"/>
                <w:sz w:val="28"/>
                <w:szCs w:val="28"/>
              </w:rPr>
              <w:t>3</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50</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吳俊穎</w:t>
            </w:r>
          </w:p>
          <w:p w:rsidR="00F956E8" w:rsidRPr="000B2A94" w:rsidRDefault="00F956E8" w:rsidP="00F956E8">
            <w:pPr>
              <w:jc w:val="center"/>
              <w:rPr>
                <w:color w:val="000000" w:themeColor="text1"/>
                <w:sz w:val="28"/>
                <w:szCs w:val="28"/>
              </w:rPr>
            </w:pPr>
            <w:r w:rsidRPr="000B2A94">
              <w:rPr>
                <w:color w:val="000000" w:themeColor="text1"/>
                <w:sz w:val="28"/>
                <w:szCs w:val="28"/>
              </w:rPr>
              <w:t>賴惠蓁</w:t>
            </w:r>
          </w:p>
          <w:p w:rsidR="00F956E8" w:rsidRPr="000B2A94" w:rsidRDefault="00F956E8" w:rsidP="00F956E8">
            <w:pPr>
              <w:jc w:val="center"/>
              <w:rPr>
                <w:color w:val="000000" w:themeColor="text1"/>
                <w:sz w:val="28"/>
                <w:szCs w:val="28"/>
              </w:rPr>
            </w:pPr>
            <w:r w:rsidRPr="000B2A94">
              <w:rPr>
                <w:color w:val="000000" w:themeColor="text1"/>
                <w:sz w:val="28"/>
                <w:szCs w:val="28"/>
              </w:rPr>
              <w:t>陳榮基</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醫療糾紛重複鑑定之實證研究</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月旦法學</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100/11</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155-173</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51</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張麗卿</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刑事醫療訴訟審判之實務與改革--兼評最高法院九十六年度臺上字第四七九三號判決</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月旦法學</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100/09</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160-182</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52</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陳運財</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改善我國刑事鑑定制度之芻議--兼論專家證人之地位與功能</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全國律師</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100/04</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87-</w:t>
            </w:r>
          </w:p>
          <w:p w:rsidR="00F956E8" w:rsidRPr="000B2A94" w:rsidRDefault="00F956E8" w:rsidP="00F956E8">
            <w:pPr>
              <w:jc w:val="center"/>
              <w:rPr>
                <w:color w:val="000000" w:themeColor="text1"/>
                <w:sz w:val="28"/>
                <w:szCs w:val="28"/>
              </w:rPr>
            </w:pPr>
            <w:r w:rsidRPr="000B2A94">
              <w:rPr>
                <w:color w:val="000000" w:themeColor="text1"/>
                <w:sz w:val="28"/>
                <w:szCs w:val="28"/>
              </w:rPr>
              <w:t>104</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53</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林裕順</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專家證人VS.鑑定人--概括選任鑑定之誤用與評析</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月旦法學</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100/02</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263-272</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54</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邱琦</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醫療專庭與專家參審--以德國、法國商事法庭為借鏡</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月旦法學</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99/10</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80-</w:t>
            </w:r>
          </w:p>
          <w:p w:rsidR="00F956E8" w:rsidRPr="000B2A94" w:rsidRDefault="00F956E8" w:rsidP="00F956E8">
            <w:pPr>
              <w:jc w:val="center"/>
              <w:rPr>
                <w:color w:val="000000" w:themeColor="text1"/>
                <w:sz w:val="28"/>
                <w:szCs w:val="28"/>
              </w:rPr>
            </w:pPr>
            <w:r w:rsidRPr="000B2A94">
              <w:rPr>
                <w:color w:val="000000" w:themeColor="text1"/>
                <w:sz w:val="28"/>
                <w:szCs w:val="28"/>
              </w:rPr>
              <w:t>102</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55</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陳運財</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醫療刑事訴訟之證明活動</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月旦法學</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99/08</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5-</w:t>
            </w:r>
          </w:p>
          <w:p w:rsidR="00F956E8" w:rsidRPr="000B2A94" w:rsidRDefault="00F956E8" w:rsidP="00F956E8">
            <w:pPr>
              <w:jc w:val="center"/>
              <w:rPr>
                <w:color w:val="000000" w:themeColor="text1"/>
                <w:sz w:val="28"/>
                <w:szCs w:val="28"/>
              </w:rPr>
            </w:pPr>
            <w:r w:rsidRPr="000B2A94">
              <w:rPr>
                <w:color w:val="000000" w:themeColor="text1"/>
                <w:sz w:val="28"/>
                <w:szCs w:val="28"/>
              </w:rPr>
              <w:t>20</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56</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吳俊穎</w:t>
            </w:r>
          </w:p>
          <w:p w:rsidR="00F956E8" w:rsidRPr="000B2A94" w:rsidRDefault="00F956E8" w:rsidP="00F956E8">
            <w:pPr>
              <w:jc w:val="center"/>
              <w:rPr>
                <w:color w:val="000000" w:themeColor="text1"/>
                <w:sz w:val="28"/>
                <w:szCs w:val="28"/>
              </w:rPr>
            </w:pPr>
            <w:r w:rsidRPr="000B2A94">
              <w:rPr>
                <w:color w:val="000000" w:themeColor="text1"/>
                <w:sz w:val="28"/>
                <w:szCs w:val="28"/>
              </w:rPr>
              <w:t>陳榮基</w:t>
            </w:r>
          </w:p>
          <w:p w:rsidR="00F956E8" w:rsidRPr="000B2A94" w:rsidRDefault="00F956E8" w:rsidP="00F956E8">
            <w:pPr>
              <w:jc w:val="center"/>
              <w:rPr>
                <w:color w:val="000000" w:themeColor="text1"/>
                <w:sz w:val="28"/>
                <w:szCs w:val="28"/>
              </w:rPr>
            </w:pPr>
            <w:r w:rsidRPr="000B2A94">
              <w:rPr>
                <w:color w:val="000000" w:themeColor="text1"/>
                <w:sz w:val="28"/>
                <w:szCs w:val="28"/>
              </w:rPr>
              <w:t>賴惠蓁</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醫療糾紛鑑定的未來--由專業鑑定探討醫療糾紛鑑定之興革</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月旦法學</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99/08</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36-</w:t>
            </w:r>
          </w:p>
          <w:p w:rsidR="00F956E8" w:rsidRPr="000B2A94" w:rsidRDefault="00F956E8" w:rsidP="00F956E8">
            <w:pPr>
              <w:jc w:val="center"/>
              <w:rPr>
                <w:color w:val="000000" w:themeColor="text1"/>
                <w:sz w:val="28"/>
                <w:szCs w:val="28"/>
              </w:rPr>
            </w:pPr>
            <w:r w:rsidRPr="000B2A94">
              <w:rPr>
                <w:color w:val="000000" w:themeColor="text1"/>
                <w:sz w:val="28"/>
                <w:szCs w:val="28"/>
              </w:rPr>
              <w:t>47</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57</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吳巡龍</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鑑定與專家證人</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台灣法學雜誌153期</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2010/6</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58</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林裕順</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刑事程序鑑定制度現況檢討研究-</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警察法學</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98/11</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331-350</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59</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張麗卿</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醫療糾紛鑑定與刑事責任認定</w:t>
            </w:r>
            <w:r w:rsidRPr="000B2A94">
              <w:rPr>
                <w:color w:val="000000" w:themeColor="text1"/>
                <w:sz w:val="28"/>
                <w:szCs w:val="28"/>
              </w:rPr>
              <w:lastRenderedPageBreak/>
              <w:t>--以戒毒致死案為例</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lastRenderedPageBreak/>
              <w:t>月旦法學</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97/06</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71-</w:t>
            </w:r>
          </w:p>
          <w:p w:rsidR="00F956E8" w:rsidRPr="000B2A94" w:rsidRDefault="00F956E8" w:rsidP="00F956E8">
            <w:pPr>
              <w:jc w:val="center"/>
              <w:rPr>
                <w:color w:val="000000" w:themeColor="text1"/>
                <w:sz w:val="28"/>
                <w:szCs w:val="28"/>
              </w:rPr>
            </w:pPr>
            <w:r w:rsidRPr="000B2A94">
              <w:rPr>
                <w:color w:val="000000" w:themeColor="text1"/>
                <w:sz w:val="28"/>
                <w:szCs w:val="28"/>
              </w:rPr>
              <w:lastRenderedPageBreak/>
              <w:t>101</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lastRenderedPageBreak/>
              <w:t>60</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施俊堯</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刑事鑑定證據之法院審查標準</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法務通訊</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96/11/22</w:t>
            </w:r>
          </w:p>
          <w:p w:rsidR="00F956E8" w:rsidRPr="000B2A94" w:rsidRDefault="00F956E8" w:rsidP="00F956E8">
            <w:pPr>
              <w:jc w:val="center"/>
              <w:rPr>
                <w:color w:val="000000" w:themeColor="text1"/>
                <w:sz w:val="28"/>
                <w:szCs w:val="28"/>
              </w:rPr>
            </w:pPr>
            <w:r w:rsidRPr="000B2A94">
              <w:rPr>
                <w:color w:val="000000" w:themeColor="text1"/>
                <w:sz w:val="28"/>
                <w:szCs w:val="28"/>
              </w:rPr>
              <w:t>96/11/15</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3-4</w:t>
            </w:r>
          </w:p>
          <w:p w:rsidR="00F956E8" w:rsidRPr="000B2A94" w:rsidRDefault="00F956E8" w:rsidP="00F956E8">
            <w:pPr>
              <w:jc w:val="center"/>
              <w:rPr>
                <w:color w:val="000000" w:themeColor="text1"/>
                <w:sz w:val="28"/>
                <w:szCs w:val="28"/>
              </w:rPr>
            </w:pPr>
            <w:r w:rsidRPr="000B2A94">
              <w:rPr>
                <w:color w:val="000000" w:themeColor="text1"/>
                <w:sz w:val="28"/>
                <w:szCs w:val="28"/>
              </w:rPr>
              <w:t>3-6</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61</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李佳玟</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檢察一體原則與鑑定報告的證據能力--評最高法院九十五年度臺上字第六六四八號刑事判決</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月旦法學</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96/10</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248-258</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62</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林鈺雄</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論鑑定留置制度</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月旦法學</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93/10</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51-65</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63</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陳運財</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刑事程序鑑定之證據法則</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萬國法律</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93/10</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32-44</w:t>
            </w:r>
          </w:p>
        </w:tc>
      </w:tr>
      <w:tr w:rsidR="000B2A94"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62</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張麗卿</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鑑定制度之改革</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月旦法學</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92/06</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126-140</w:t>
            </w:r>
          </w:p>
        </w:tc>
      </w:tr>
      <w:tr w:rsidR="00F956E8" w:rsidRPr="000B2A94" w:rsidTr="00F9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63</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陳運財</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rPr>
                <w:color w:val="000000" w:themeColor="text1"/>
                <w:sz w:val="28"/>
                <w:szCs w:val="28"/>
              </w:rPr>
            </w:pPr>
            <w:r w:rsidRPr="000B2A94">
              <w:rPr>
                <w:color w:val="000000" w:themeColor="text1"/>
                <w:sz w:val="28"/>
                <w:szCs w:val="28"/>
              </w:rPr>
              <w:t>刑事程序DNA鑑定之研究</w:t>
            </w: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成大法學</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92/06</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F956E8">
            <w:pPr>
              <w:jc w:val="center"/>
              <w:rPr>
                <w:color w:val="000000" w:themeColor="text1"/>
                <w:sz w:val="28"/>
                <w:szCs w:val="28"/>
              </w:rPr>
            </w:pPr>
            <w:r w:rsidRPr="000B2A94">
              <w:rPr>
                <w:color w:val="000000" w:themeColor="text1"/>
                <w:sz w:val="28"/>
                <w:szCs w:val="28"/>
              </w:rPr>
              <w:t>85-119</w:t>
            </w:r>
          </w:p>
        </w:tc>
      </w:tr>
    </w:tbl>
    <w:p w:rsidR="00F956E8" w:rsidRPr="000B2A94" w:rsidRDefault="00F956E8" w:rsidP="00F956E8">
      <w:pPr>
        <w:rPr>
          <w:color w:val="000000" w:themeColor="text1"/>
        </w:rPr>
      </w:pPr>
    </w:p>
    <w:p w:rsidR="00F956E8" w:rsidRPr="000B2A94" w:rsidRDefault="00F956E8" w:rsidP="000409E4">
      <w:pPr>
        <w:pStyle w:val="2"/>
        <w:numPr>
          <w:ilvl w:val="1"/>
          <w:numId w:val="9"/>
        </w:numPr>
        <w:overflowPunct/>
        <w:autoSpaceDE/>
        <w:autoSpaceDN/>
        <w:ind w:left="1123" w:hanging="697"/>
        <w:rPr>
          <w:rFonts w:ascii="Times New Roman" w:hAnsi="Times New Roman"/>
          <w:color w:val="000000" w:themeColor="text1"/>
        </w:rPr>
      </w:pPr>
      <w:bookmarkStart w:id="435" w:name="_Toc27400039"/>
      <w:bookmarkStart w:id="436" w:name="_Toc28606849"/>
      <w:r w:rsidRPr="000B2A94">
        <w:rPr>
          <w:rFonts w:ascii="Times New Roman" w:hAnsi="Times New Roman"/>
          <w:color w:val="000000" w:themeColor="text1"/>
        </w:rPr>
        <w:t>期刊</w:t>
      </w:r>
      <w:r w:rsidRPr="000B2A94">
        <w:rPr>
          <w:color w:val="000000" w:themeColor="text1"/>
        </w:rPr>
        <w:t>論文</w:t>
      </w:r>
      <w:r w:rsidRPr="000B2A94">
        <w:rPr>
          <w:rFonts w:ascii="Times New Roman" w:hAnsi="Times New Roman"/>
          <w:color w:val="000000" w:themeColor="text1"/>
        </w:rPr>
        <w:t>－測謊部分</w:t>
      </w:r>
      <w:bookmarkEnd w:id="435"/>
      <w:bookmarkEnd w:id="436"/>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142"/>
        <w:gridCol w:w="3998"/>
        <w:gridCol w:w="1551"/>
        <w:gridCol w:w="852"/>
        <w:gridCol w:w="712"/>
      </w:tblGrid>
      <w:tr w:rsidR="000B2A94" w:rsidRPr="000B2A94" w:rsidTr="002F1621">
        <w:trPr>
          <w:trHeight w:val="898"/>
        </w:trPr>
        <w:tc>
          <w:tcPr>
            <w:tcW w:w="396" w:type="pct"/>
            <w:shd w:val="clear" w:color="auto" w:fill="auto"/>
            <w:noWrap/>
            <w:vAlign w:val="center"/>
            <w:hideMark/>
          </w:tcPr>
          <w:p w:rsidR="00F956E8" w:rsidRPr="000B2A94" w:rsidRDefault="00F956E8" w:rsidP="002F1621">
            <w:pPr>
              <w:widowControl/>
              <w:jc w:val="center"/>
              <w:rPr>
                <w:color w:val="000000" w:themeColor="text1"/>
                <w:kern w:val="0"/>
                <w:sz w:val="28"/>
                <w:szCs w:val="28"/>
              </w:rPr>
            </w:pPr>
            <w:r w:rsidRPr="000B2A94">
              <w:rPr>
                <w:color w:val="000000" w:themeColor="text1"/>
                <w:kern w:val="0"/>
                <w:sz w:val="28"/>
                <w:szCs w:val="28"/>
              </w:rPr>
              <w:t>編號</w:t>
            </w:r>
          </w:p>
        </w:tc>
        <w:tc>
          <w:tcPr>
            <w:tcW w:w="637" w:type="pct"/>
            <w:shd w:val="clear" w:color="auto" w:fill="auto"/>
            <w:noWrap/>
            <w:vAlign w:val="center"/>
            <w:hideMark/>
          </w:tcPr>
          <w:p w:rsidR="00F956E8" w:rsidRPr="000B2A94" w:rsidRDefault="00F956E8" w:rsidP="002F1621">
            <w:pPr>
              <w:widowControl/>
              <w:jc w:val="center"/>
              <w:rPr>
                <w:color w:val="000000" w:themeColor="text1"/>
                <w:kern w:val="0"/>
                <w:sz w:val="28"/>
                <w:szCs w:val="28"/>
              </w:rPr>
            </w:pPr>
            <w:r w:rsidRPr="000B2A94">
              <w:rPr>
                <w:color w:val="000000" w:themeColor="text1"/>
                <w:kern w:val="0"/>
                <w:sz w:val="28"/>
                <w:szCs w:val="28"/>
              </w:rPr>
              <w:t>作者</w:t>
            </w:r>
          </w:p>
        </w:tc>
        <w:tc>
          <w:tcPr>
            <w:tcW w:w="2230" w:type="pct"/>
            <w:shd w:val="clear" w:color="auto" w:fill="auto"/>
            <w:noWrap/>
            <w:vAlign w:val="center"/>
            <w:hideMark/>
          </w:tcPr>
          <w:p w:rsidR="00F956E8" w:rsidRPr="000B2A94" w:rsidRDefault="00F956E8" w:rsidP="002F1621">
            <w:pPr>
              <w:widowControl/>
              <w:jc w:val="center"/>
              <w:rPr>
                <w:color w:val="000000" w:themeColor="text1"/>
                <w:kern w:val="0"/>
                <w:sz w:val="28"/>
                <w:szCs w:val="28"/>
              </w:rPr>
            </w:pPr>
            <w:r w:rsidRPr="000B2A94">
              <w:rPr>
                <w:color w:val="000000" w:themeColor="text1"/>
                <w:kern w:val="0"/>
                <w:sz w:val="28"/>
                <w:szCs w:val="28"/>
              </w:rPr>
              <w:t>題目</w:t>
            </w:r>
          </w:p>
        </w:tc>
        <w:tc>
          <w:tcPr>
            <w:tcW w:w="865" w:type="pct"/>
            <w:shd w:val="clear" w:color="auto" w:fill="auto"/>
            <w:noWrap/>
            <w:vAlign w:val="center"/>
            <w:hideMark/>
          </w:tcPr>
          <w:p w:rsidR="00F956E8" w:rsidRPr="000B2A94" w:rsidRDefault="00F956E8" w:rsidP="002F1621">
            <w:pPr>
              <w:widowControl/>
              <w:jc w:val="center"/>
              <w:rPr>
                <w:color w:val="000000" w:themeColor="text1"/>
                <w:kern w:val="0"/>
                <w:sz w:val="28"/>
                <w:szCs w:val="28"/>
              </w:rPr>
            </w:pPr>
            <w:r w:rsidRPr="000B2A94">
              <w:rPr>
                <w:color w:val="000000" w:themeColor="text1"/>
                <w:kern w:val="0"/>
                <w:sz w:val="28"/>
                <w:szCs w:val="28"/>
              </w:rPr>
              <w:t>雜誌名稱</w:t>
            </w:r>
          </w:p>
        </w:tc>
        <w:tc>
          <w:tcPr>
            <w:tcW w:w="475" w:type="pct"/>
            <w:shd w:val="clear" w:color="auto" w:fill="auto"/>
            <w:noWrap/>
            <w:vAlign w:val="center"/>
            <w:hideMark/>
          </w:tcPr>
          <w:p w:rsidR="00F956E8" w:rsidRPr="000B2A94" w:rsidRDefault="00F956E8" w:rsidP="002F1621">
            <w:pPr>
              <w:widowControl/>
              <w:jc w:val="center"/>
              <w:rPr>
                <w:color w:val="000000" w:themeColor="text1"/>
                <w:kern w:val="0"/>
                <w:sz w:val="28"/>
                <w:szCs w:val="28"/>
              </w:rPr>
            </w:pPr>
            <w:r w:rsidRPr="000B2A94">
              <w:rPr>
                <w:color w:val="000000" w:themeColor="text1"/>
                <w:kern w:val="0"/>
                <w:sz w:val="28"/>
                <w:szCs w:val="28"/>
              </w:rPr>
              <w:t>年度</w:t>
            </w:r>
          </w:p>
        </w:tc>
        <w:tc>
          <w:tcPr>
            <w:tcW w:w="397" w:type="pct"/>
            <w:shd w:val="clear" w:color="auto" w:fill="auto"/>
            <w:noWrap/>
            <w:vAlign w:val="center"/>
            <w:hideMark/>
          </w:tcPr>
          <w:p w:rsidR="00F956E8" w:rsidRPr="000B2A94" w:rsidRDefault="00F956E8" w:rsidP="002F1621">
            <w:pPr>
              <w:widowControl/>
              <w:jc w:val="center"/>
              <w:rPr>
                <w:color w:val="000000" w:themeColor="text1"/>
                <w:kern w:val="0"/>
                <w:sz w:val="28"/>
                <w:szCs w:val="28"/>
              </w:rPr>
            </w:pPr>
            <w:r w:rsidRPr="000B2A94">
              <w:rPr>
                <w:color w:val="000000" w:themeColor="text1"/>
                <w:kern w:val="0"/>
                <w:sz w:val="28"/>
                <w:szCs w:val="28"/>
              </w:rPr>
              <w:t>頁碼</w:t>
            </w:r>
          </w:p>
        </w:tc>
      </w:tr>
      <w:tr w:rsidR="000B2A94" w:rsidRPr="000B2A94" w:rsidTr="002F1621">
        <w:tc>
          <w:tcPr>
            <w:tcW w:w="396" w:type="pct"/>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1</w:t>
            </w:r>
          </w:p>
        </w:tc>
        <w:tc>
          <w:tcPr>
            <w:tcW w:w="637" w:type="pct"/>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吳巡龍</w:t>
            </w:r>
          </w:p>
        </w:tc>
        <w:tc>
          <w:tcPr>
            <w:tcW w:w="2230" w:type="pct"/>
            <w:shd w:val="clear" w:color="auto" w:fill="auto"/>
            <w:noWrap/>
            <w:vAlign w:val="center"/>
          </w:tcPr>
          <w:p w:rsidR="00F956E8" w:rsidRPr="000B2A94" w:rsidRDefault="00F956E8" w:rsidP="002F1621">
            <w:pPr>
              <w:rPr>
                <w:color w:val="000000" w:themeColor="text1"/>
                <w:sz w:val="28"/>
                <w:szCs w:val="28"/>
              </w:rPr>
            </w:pPr>
            <w:r w:rsidRPr="000B2A94">
              <w:rPr>
                <w:color w:val="000000" w:themeColor="text1"/>
                <w:sz w:val="28"/>
                <w:szCs w:val="28"/>
              </w:rPr>
              <w:t>測謊前自白的證據能力</w:t>
            </w:r>
          </w:p>
        </w:tc>
        <w:tc>
          <w:tcPr>
            <w:tcW w:w="865" w:type="pct"/>
            <w:shd w:val="clear" w:color="auto" w:fill="auto"/>
            <w:noWrap/>
            <w:vAlign w:val="center"/>
          </w:tcPr>
          <w:p w:rsidR="002F1621" w:rsidRPr="000B2A94" w:rsidRDefault="00F956E8" w:rsidP="002F1621">
            <w:pPr>
              <w:jc w:val="center"/>
              <w:rPr>
                <w:color w:val="000000" w:themeColor="text1"/>
                <w:sz w:val="28"/>
                <w:szCs w:val="28"/>
              </w:rPr>
            </w:pPr>
            <w:r w:rsidRPr="000B2A94">
              <w:rPr>
                <w:color w:val="000000" w:themeColor="text1"/>
                <w:sz w:val="28"/>
                <w:szCs w:val="28"/>
              </w:rPr>
              <w:t>月旦法學</w:t>
            </w:r>
          </w:p>
          <w:p w:rsidR="00F956E8" w:rsidRPr="000B2A94" w:rsidRDefault="00F956E8" w:rsidP="002F1621">
            <w:pPr>
              <w:jc w:val="center"/>
              <w:rPr>
                <w:color w:val="000000" w:themeColor="text1"/>
                <w:sz w:val="28"/>
                <w:szCs w:val="28"/>
              </w:rPr>
            </w:pPr>
            <w:r w:rsidRPr="000B2A94">
              <w:rPr>
                <w:color w:val="000000" w:themeColor="text1"/>
                <w:sz w:val="28"/>
                <w:szCs w:val="28"/>
              </w:rPr>
              <w:t>教室</w:t>
            </w:r>
          </w:p>
        </w:tc>
        <w:tc>
          <w:tcPr>
            <w:tcW w:w="475" w:type="pct"/>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106/01</w:t>
            </w:r>
          </w:p>
        </w:tc>
        <w:tc>
          <w:tcPr>
            <w:tcW w:w="397" w:type="pct"/>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24-</w:t>
            </w:r>
          </w:p>
          <w:p w:rsidR="00F956E8" w:rsidRPr="000B2A94" w:rsidRDefault="00F956E8" w:rsidP="002F1621">
            <w:pPr>
              <w:jc w:val="center"/>
              <w:rPr>
                <w:color w:val="000000" w:themeColor="text1"/>
                <w:sz w:val="28"/>
                <w:szCs w:val="28"/>
              </w:rPr>
            </w:pPr>
            <w:r w:rsidRPr="000B2A94">
              <w:rPr>
                <w:color w:val="000000" w:themeColor="text1"/>
                <w:sz w:val="28"/>
                <w:szCs w:val="28"/>
              </w:rPr>
              <w:t>26</w:t>
            </w:r>
          </w:p>
        </w:tc>
      </w:tr>
      <w:tr w:rsidR="000B2A94" w:rsidRPr="000B2A94" w:rsidTr="002F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2</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石宜琳</w:t>
            </w:r>
          </w:p>
        </w:tc>
        <w:tc>
          <w:tcPr>
            <w:tcW w:w="2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rPr>
                <w:color w:val="000000" w:themeColor="text1"/>
                <w:sz w:val="28"/>
                <w:szCs w:val="28"/>
              </w:rPr>
            </w:pPr>
            <w:r w:rsidRPr="000B2A94">
              <w:rPr>
                <w:color w:val="000000" w:themeColor="text1"/>
                <w:sz w:val="28"/>
                <w:szCs w:val="28"/>
              </w:rPr>
              <w:t>論實務蒐證違法態樣與證據排除--兼論私人不法蒐證應否證據排除</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軍法專刊</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105/06</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85-</w:t>
            </w:r>
          </w:p>
          <w:p w:rsidR="00F956E8" w:rsidRPr="000B2A94" w:rsidRDefault="00F956E8" w:rsidP="002F1621">
            <w:pPr>
              <w:jc w:val="center"/>
              <w:rPr>
                <w:color w:val="000000" w:themeColor="text1"/>
                <w:sz w:val="28"/>
                <w:szCs w:val="28"/>
              </w:rPr>
            </w:pPr>
            <w:r w:rsidRPr="000B2A94">
              <w:rPr>
                <w:color w:val="000000" w:themeColor="text1"/>
                <w:sz w:val="28"/>
                <w:szCs w:val="28"/>
              </w:rPr>
              <w:t>121</w:t>
            </w:r>
          </w:p>
        </w:tc>
      </w:tr>
      <w:tr w:rsidR="000B2A94" w:rsidRPr="000B2A94" w:rsidTr="002F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3</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曾春僑</w:t>
            </w:r>
          </w:p>
        </w:tc>
        <w:tc>
          <w:tcPr>
            <w:tcW w:w="2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rPr>
                <w:color w:val="000000" w:themeColor="text1"/>
                <w:sz w:val="28"/>
                <w:szCs w:val="28"/>
              </w:rPr>
            </w:pPr>
            <w:r w:rsidRPr="000B2A94">
              <w:rPr>
                <w:color w:val="000000" w:themeColor="text1"/>
                <w:sz w:val="28"/>
                <w:szCs w:val="28"/>
              </w:rPr>
              <w:t>測謊鑑定案件常見疑義分析與建議</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警專論壇</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105/06</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53-</w:t>
            </w:r>
          </w:p>
          <w:p w:rsidR="00F956E8" w:rsidRPr="000B2A94" w:rsidRDefault="00F956E8" w:rsidP="002F1621">
            <w:pPr>
              <w:jc w:val="center"/>
              <w:rPr>
                <w:color w:val="000000" w:themeColor="text1"/>
                <w:sz w:val="28"/>
                <w:szCs w:val="28"/>
              </w:rPr>
            </w:pPr>
            <w:r w:rsidRPr="000B2A94">
              <w:rPr>
                <w:color w:val="000000" w:themeColor="text1"/>
                <w:sz w:val="28"/>
                <w:szCs w:val="28"/>
              </w:rPr>
              <w:t>64</w:t>
            </w:r>
          </w:p>
        </w:tc>
      </w:tr>
      <w:tr w:rsidR="000B2A94" w:rsidRPr="000B2A94" w:rsidTr="002F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4</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張瑋心</w:t>
            </w:r>
          </w:p>
        </w:tc>
        <w:tc>
          <w:tcPr>
            <w:tcW w:w="2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rPr>
                <w:color w:val="000000" w:themeColor="text1"/>
                <w:sz w:val="28"/>
                <w:szCs w:val="28"/>
              </w:rPr>
            </w:pPr>
            <w:r w:rsidRPr="000B2A94">
              <w:rPr>
                <w:color w:val="000000" w:themeColor="text1"/>
                <w:sz w:val="28"/>
                <w:szCs w:val="28"/>
              </w:rPr>
              <w:t>刑事訴訟法第161-1條之適用--以測謊之證據能力為中心</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軍法專刊</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101/06</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84-</w:t>
            </w:r>
          </w:p>
          <w:p w:rsidR="00F956E8" w:rsidRPr="000B2A94" w:rsidRDefault="00F956E8" w:rsidP="002F1621">
            <w:pPr>
              <w:jc w:val="center"/>
              <w:rPr>
                <w:color w:val="000000" w:themeColor="text1"/>
                <w:sz w:val="28"/>
                <w:szCs w:val="28"/>
              </w:rPr>
            </w:pPr>
            <w:r w:rsidRPr="000B2A94">
              <w:rPr>
                <w:color w:val="000000" w:themeColor="text1"/>
                <w:sz w:val="28"/>
                <w:szCs w:val="28"/>
              </w:rPr>
              <w:t>101</w:t>
            </w:r>
          </w:p>
        </w:tc>
      </w:tr>
      <w:tr w:rsidR="000B2A94" w:rsidRPr="000B2A94" w:rsidTr="002F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5</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石宜琳</w:t>
            </w:r>
          </w:p>
        </w:tc>
        <w:tc>
          <w:tcPr>
            <w:tcW w:w="2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rPr>
                <w:color w:val="000000" w:themeColor="text1"/>
                <w:sz w:val="28"/>
                <w:szCs w:val="28"/>
              </w:rPr>
            </w:pPr>
            <w:r w:rsidRPr="000B2A94">
              <w:rPr>
                <w:color w:val="000000" w:themeColor="text1"/>
                <w:sz w:val="28"/>
                <w:szCs w:val="28"/>
              </w:rPr>
              <w:t>測謊證據能力重新評價與定位</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法學叢刊</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101/04</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95-</w:t>
            </w:r>
          </w:p>
          <w:p w:rsidR="00F956E8" w:rsidRPr="000B2A94" w:rsidRDefault="00F956E8" w:rsidP="002F1621">
            <w:pPr>
              <w:jc w:val="center"/>
              <w:rPr>
                <w:color w:val="000000" w:themeColor="text1"/>
                <w:sz w:val="28"/>
                <w:szCs w:val="28"/>
              </w:rPr>
            </w:pPr>
            <w:r w:rsidRPr="000B2A94">
              <w:rPr>
                <w:color w:val="000000" w:themeColor="text1"/>
                <w:sz w:val="28"/>
                <w:szCs w:val="28"/>
              </w:rPr>
              <w:t>129</w:t>
            </w:r>
          </w:p>
        </w:tc>
      </w:tr>
      <w:tr w:rsidR="000B2A94" w:rsidRPr="000B2A94" w:rsidTr="002F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6</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朱朝亮</w:t>
            </w:r>
          </w:p>
        </w:tc>
        <w:tc>
          <w:tcPr>
            <w:tcW w:w="2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rPr>
                <w:color w:val="000000" w:themeColor="text1"/>
                <w:sz w:val="28"/>
                <w:szCs w:val="28"/>
              </w:rPr>
            </w:pPr>
            <w:r w:rsidRPr="000B2A94">
              <w:rPr>
                <w:color w:val="000000" w:themeColor="text1"/>
                <w:sz w:val="28"/>
                <w:szCs w:val="28"/>
              </w:rPr>
              <w:t>科學偵查之類型及其蒐證效力</w:t>
            </w:r>
            <w:r w:rsidRPr="000B2A94">
              <w:rPr>
                <w:color w:val="000000" w:themeColor="text1"/>
                <w:sz w:val="28"/>
                <w:szCs w:val="28"/>
              </w:rPr>
              <w:t>–</w:t>
            </w:r>
            <w:r w:rsidRPr="000B2A94">
              <w:rPr>
                <w:color w:val="000000" w:themeColor="text1"/>
                <w:sz w:val="28"/>
                <w:szCs w:val="28"/>
              </w:rPr>
              <w:t>下</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月旦法學教室</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99/09</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45-</w:t>
            </w:r>
          </w:p>
          <w:p w:rsidR="00F956E8" w:rsidRPr="000B2A94" w:rsidRDefault="00F956E8" w:rsidP="002F1621">
            <w:pPr>
              <w:jc w:val="center"/>
              <w:rPr>
                <w:color w:val="000000" w:themeColor="text1"/>
                <w:sz w:val="28"/>
                <w:szCs w:val="28"/>
              </w:rPr>
            </w:pPr>
            <w:r w:rsidRPr="000B2A94">
              <w:rPr>
                <w:color w:val="000000" w:themeColor="text1"/>
                <w:sz w:val="28"/>
                <w:szCs w:val="28"/>
              </w:rPr>
              <w:t>64</w:t>
            </w:r>
          </w:p>
        </w:tc>
      </w:tr>
      <w:tr w:rsidR="000B2A94" w:rsidRPr="000B2A94" w:rsidTr="002F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7</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朱朝亮</w:t>
            </w:r>
          </w:p>
        </w:tc>
        <w:tc>
          <w:tcPr>
            <w:tcW w:w="2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rPr>
                <w:color w:val="000000" w:themeColor="text1"/>
                <w:sz w:val="28"/>
                <w:szCs w:val="28"/>
              </w:rPr>
            </w:pPr>
            <w:r w:rsidRPr="000B2A94">
              <w:rPr>
                <w:color w:val="000000" w:themeColor="text1"/>
                <w:sz w:val="28"/>
                <w:szCs w:val="28"/>
              </w:rPr>
              <w:t>科學偵查之類型及其蒐證效力</w:t>
            </w:r>
            <w:r w:rsidRPr="000B2A94">
              <w:rPr>
                <w:color w:val="000000" w:themeColor="text1"/>
                <w:sz w:val="28"/>
                <w:szCs w:val="28"/>
              </w:rPr>
              <w:t>–</w:t>
            </w:r>
            <w:r w:rsidRPr="000B2A94">
              <w:rPr>
                <w:color w:val="000000" w:themeColor="text1"/>
                <w:sz w:val="28"/>
                <w:szCs w:val="28"/>
              </w:rPr>
              <w:t>上</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月旦法學教室</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99/08</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40-</w:t>
            </w:r>
          </w:p>
          <w:p w:rsidR="00F956E8" w:rsidRPr="000B2A94" w:rsidRDefault="00F956E8" w:rsidP="002F1621">
            <w:pPr>
              <w:jc w:val="center"/>
              <w:rPr>
                <w:color w:val="000000" w:themeColor="text1"/>
                <w:sz w:val="28"/>
                <w:szCs w:val="28"/>
              </w:rPr>
            </w:pPr>
            <w:r w:rsidRPr="000B2A94">
              <w:rPr>
                <w:color w:val="000000" w:themeColor="text1"/>
                <w:sz w:val="28"/>
                <w:szCs w:val="28"/>
              </w:rPr>
              <w:t>54</w:t>
            </w:r>
          </w:p>
        </w:tc>
      </w:tr>
      <w:tr w:rsidR="000B2A94" w:rsidRPr="000B2A94" w:rsidTr="002F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lastRenderedPageBreak/>
              <w:t>8</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林裕順</w:t>
            </w:r>
          </w:p>
        </w:tc>
        <w:tc>
          <w:tcPr>
            <w:tcW w:w="2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rPr>
                <w:color w:val="000000" w:themeColor="text1"/>
                <w:sz w:val="28"/>
                <w:szCs w:val="28"/>
              </w:rPr>
            </w:pPr>
            <w:r w:rsidRPr="000B2A94">
              <w:rPr>
                <w:color w:val="000000" w:themeColor="text1"/>
                <w:sz w:val="28"/>
                <w:szCs w:val="28"/>
              </w:rPr>
              <w:t>空口白話、口說無憑--簡評最高法院九八年度臺上字第五六三一號判決</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臺灣法學雜誌</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99/03</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204-207</w:t>
            </w:r>
          </w:p>
        </w:tc>
      </w:tr>
      <w:tr w:rsidR="000B2A94" w:rsidRPr="000B2A94" w:rsidTr="002F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9</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石宜琳</w:t>
            </w:r>
          </w:p>
        </w:tc>
        <w:tc>
          <w:tcPr>
            <w:tcW w:w="2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rPr>
                <w:color w:val="000000" w:themeColor="text1"/>
                <w:sz w:val="28"/>
                <w:szCs w:val="28"/>
              </w:rPr>
            </w:pPr>
            <w:r w:rsidRPr="000B2A94">
              <w:rPr>
                <w:color w:val="000000" w:themeColor="text1"/>
                <w:sz w:val="28"/>
                <w:szCs w:val="28"/>
              </w:rPr>
              <w:t>非自願性測謊等同強制被告自白</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法學新論</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99/01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81-</w:t>
            </w:r>
          </w:p>
          <w:p w:rsidR="00F956E8" w:rsidRPr="000B2A94" w:rsidRDefault="00F956E8" w:rsidP="002F1621">
            <w:pPr>
              <w:jc w:val="center"/>
              <w:rPr>
                <w:color w:val="000000" w:themeColor="text1"/>
                <w:sz w:val="28"/>
                <w:szCs w:val="28"/>
              </w:rPr>
            </w:pPr>
            <w:r w:rsidRPr="000B2A94">
              <w:rPr>
                <w:color w:val="000000" w:themeColor="text1"/>
                <w:sz w:val="28"/>
                <w:szCs w:val="28"/>
              </w:rPr>
              <w:t>106</w:t>
            </w:r>
          </w:p>
        </w:tc>
      </w:tr>
      <w:tr w:rsidR="000B2A94" w:rsidRPr="000B2A94" w:rsidTr="002F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10</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莊佳瑋</w:t>
            </w:r>
          </w:p>
        </w:tc>
        <w:tc>
          <w:tcPr>
            <w:tcW w:w="2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rPr>
                <w:color w:val="000000" w:themeColor="text1"/>
                <w:sz w:val="28"/>
                <w:szCs w:val="28"/>
              </w:rPr>
            </w:pPr>
            <w:r w:rsidRPr="000B2A94">
              <w:rPr>
                <w:color w:val="000000" w:themeColor="text1"/>
                <w:sz w:val="28"/>
                <w:szCs w:val="28"/>
              </w:rPr>
              <w:t>被告拒絕測謊之實證研究</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全國律師</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98/06</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86-</w:t>
            </w:r>
          </w:p>
          <w:p w:rsidR="00F956E8" w:rsidRPr="000B2A94" w:rsidRDefault="00F956E8" w:rsidP="002F1621">
            <w:pPr>
              <w:jc w:val="center"/>
              <w:rPr>
                <w:color w:val="000000" w:themeColor="text1"/>
                <w:sz w:val="28"/>
                <w:szCs w:val="28"/>
              </w:rPr>
            </w:pPr>
            <w:r w:rsidRPr="000B2A94">
              <w:rPr>
                <w:color w:val="000000" w:themeColor="text1"/>
                <w:sz w:val="28"/>
                <w:szCs w:val="28"/>
              </w:rPr>
              <w:t>94</w:t>
            </w:r>
          </w:p>
        </w:tc>
      </w:tr>
      <w:tr w:rsidR="000B2A94" w:rsidRPr="000B2A94" w:rsidTr="002F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11</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陳宗賢</w:t>
            </w:r>
          </w:p>
        </w:tc>
        <w:tc>
          <w:tcPr>
            <w:tcW w:w="2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rPr>
                <w:color w:val="000000" w:themeColor="text1"/>
                <w:sz w:val="28"/>
                <w:szCs w:val="28"/>
              </w:rPr>
            </w:pPr>
            <w:r w:rsidRPr="000B2A94">
              <w:rPr>
                <w:color w:val="000000" w:themeColor="text1"/>
                <w:sz w:val="28"/>
                <w:szCs w:val="28"/>
              </w:rPr>
              <w:t>測謊鑑定--日本最高裁判所昭和四十三年二月八日第一小法庭判決(刑集第二二卷二號五五頁、判例時報第五</w:t>
            </w:r>
            <w:r w:rsidRPr="000B2A94">
              <w:rPr>
                <w:color w:val="000000" w:themeColor="text1"/>
                <w:sz w:val="28"/>
                <w:szCs w:val="28"/>
              </w:rPr>
              <w:t>○</w:t>
            </w:r>
            <w:r w:rsidRPr="000B2A94">
              <w:rPr>
                <w:color w:val="000000" w:themeColor="text1"/>
                <w:sz w:val="28"/>
                <w:szCs w:val="28"/>
              </w:rPr>
              <w:t>九號十九頁)</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法令月刊</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97/03</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139-151</w:t>
            </w:r>
          </w:p>
        </w:tc>
      </w:tr>
      <w:tr w:rsidR="000B2A94" w:rsidRPr="000B2A94" w:rsidTr="002F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12</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王博恆</w:t>
            </w:r>
          </w:p>
        </w:tc>
        <w:tc>
          <w:tcPr>
            <w:tcW w:w="2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rPr>
                <w:color w:val="000000" w:themeColor="text1"/>
                <w:sz w:val="28"/>
                <w:szCs w:val="28"/>
              </w:rPr>
            </w:pPr>
            <w:r w:rsidRPr="000B2A94">
              <w:rPr>
                <w:color w:val="000000" w:themeColor="text1"/>
                <w:sz w:val="28"/>
                <w:szCs w:val="28"/>
              </w:rPr>
              <w:t>談被告以外之人測謊時陳述與測謊報告兩者之證據能力</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萬國法律</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95/12</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9-</w:t>
            </w:r>
          </w:p>
          <w:p w:rsidR="00F956E8" w:rsidRPr="000B2A94" w:rsidRDefault="00F956E8" w:rsidP="002F1621">
            <w:pPr>
              <w:jc w:val="center"/>
              <w:rPr>
                <w:color w:val="000000" w:themeColor="text1"/>
                <w:sz w:val="28"/>
                <w:szCs w:val="28"/>
              </w:rPr>
            </w:pPr>
            <w:r w:rsidRPr="000B2A94">
              <w:rPr>
                <w:color w:val="000000" w:themeColor="text1"/>
                <w:sz w:val="28"/>
                <w:szCs w:val="28"/>
              </w:rPr>
              <w:t>14</w:t>
            </w:r>
          </w:p>
        </w:tc>
      </w:tr>
      <w:tr w:rsidR="000B2A94" w:rsidRPr="000B2A94" w:rsidTr="002F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13</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林裕順</w:t>
            </w:r>
          </w:p>
        </w:tc>
        <w:tc>
          <w:tcPr>
            <w:tcW w:w="2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rPr>
                <w:color w:val="000000" w:themeColor="text1"/>
                <w:sz w:val="28"/>
                <w:szCs w:val="28"/>
              </w:rPr>
            </w:pPr>
            <w:r w:rsidRPr="000B2A94">
              <w:rPr>
                <w:color w:val="000000" w:themeColor="text1"/>
                <w:sz w:val="28"/>
                <w:szCs w:val="28"/>
              </w:rPr>
              <w:t>鑑定人與鑑定證據的法理檢討--並以測謊鑑定為例</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日新</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95/11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140-</w:t>
            </w:r>
          </w:p>
          <w:p w:rsidR="00F956E8" w:rsidRPr="000B2A94" w:rsidRDefault="00F956E8" w:rsidP="002F1621">
            <w:pPr>
              <w:jc w:val="center"/>
              <w:rPr>
                <w:color w:val="000000" w:themeColor="text1"/>
                <w:sz w:val="28"/>
                <w:szCs w:val="28"/>
              </w:rPr>
            </w:pPr>
            <w:r w:rsidRPr="000B2A94">
              <w:rPr>
                <w:color w:val="000000" w:themeColor="text1"/>
                <w:sz w:val="28"/>
                <w:szCs w:val="28"/>
              </w:rPr>
              <w:t>149</w:t>
            </w:r>
          </w:p>
        </w:tc>
      </w:tr>
      <w:tr w:rsidR="000B2A94" w:rsidRPr="000B2A94" w:rsidTr="002F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14</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黃虹霞</w:t>
            </w:r>
          </w:p>
        </w:tc>
        <w:tc>
          <w:tcPr>
            <w:tcW w:w="2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rPr>
                <w:color w:val="000000" w:themeColor="text1"/>
                <w:sz w:val="28"/>
                <w:szCs w:val="28"/>
              </w:rPr>
            </w:pPr>
            <w:r w:rsidRPr="000B2A94">
              <w:rPr>
                <w:color w:val="000000" w:themeColor="text1"/>
                <w:sz w:val="28"/>
                <w:szCs w:val="28"/>
              </w:rPr>
              <w:t>測謊報告與證據能力、證明力--一個執業律師的看法</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萬國法律</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95/10</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31-</w:t>
            </w:r>
          </w:p>
          <w:p w:rsidR="00F956E8" w:rsidRPr="000B2A94" w:rsidRDefault="00F956E8" w:rsidP="002F1621">
            <w:pPr>
              <w:jc w:val="center"/>
              <w:rPr>
                <w:color w:val="000000" w:themeColor="text1"/>
                <w:sz w:val="28"/>
                <w:szCs w:val="28"/>
              </w:rPr>
            </w:pPr>
            <w:r w:rsidRPr="000B2A94">
              <w:rPr>
                <w:color w:val="000000" w:themeColor="text1"/>
                <w:sz w:val="28"/>
                <w:szCs w:val="28"/>
              </w:rPr>
              <w:t>36</w:t>
            </w:r>
          </w:p>
        </w:tc>
      </w:tr>
      <w:tr w:rsidR="000B2A94" w:rsidRPr="000B2A94" w:rsidTr="002F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15</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王兆鵬</w:t>
            </w:r>
          </w:p>
        </w:tc>
        <w:tc>
          <w:tcPr>
            <w:tcW w:w="2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rPr>
                <w:color w:val="000000" w:themeColor="text1"/>
                <w:sz w:val="28"/>
                <w:szCs w:val="28"/>
              </w:rPr>
            </w:pPr>
            <w:r w:rsidRPr="000B2A94">
              <w:rPr>
                <w:color w:val="000000" w:themeColor="text1"/>
                <w:sz w:val="28"/>
                <w:szCs w:val="28"/>
              </w:rPr>
              <w:t>重新思維測謊之證據能力</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月旦法學</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95/08</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137-</w:t>
            </w:r>
          </w:p>
          <w:p w:rsidR="00F956E8" w:rsidRPr="000B2A94" w:rsidRDefault="00F956E8" w:rsidP="002F1621">
            <w:pPr>
              <w:jc w:val="center"/>
              <w:rPr>
                <w:color w:val="000000" w:themeColor="text1"/>
                <w:sz w:val="28"/>
                <w:szCs w:val="28"/>
              </w:rPr>
            </w:pPr>
            <w:r w:rsidRPr="000B2A94">
              <w:rPr>
                <w:color w:val="000000" w:themeColor="text1"/>
                <w:sz w:val="28"/>
                <w:szCs w:val="28"/>
              </w:rPr>
              <w:t>145</w:t>
            </w:r>
          </w:p>
        </w:tc>
      </w:tr>
      <w:tr w:rsidR="000B2A94" w:rsidRPr="000B2A94" w:rsidTr="002F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16</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楊雲驊</w:t>
            </w:r>
          </w:p>
        </w:tc>
        <w:tc>
          <w:tcPr>
            <w:tcW w:w="2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rPr>
                <w:color w:val="000000" w:themeColor="text1"/>
                <w:sz w:val="28"/>
                <w:szCs w:val="28"/>
              </w:rPr>
            </w:pPr>
            <w:r w:rsidRPr="000B2A94">
              <w:rPr>
                <w:color w:val="000000" w:themeColor="text1"/>
                <w:sz w:val="28"/>
                <w:szCs w:val="28"/>
              </w:rPr>
              <w:t>刑事證據法：第一講 近年刑事證據重要實務見解選評 程序從新與測謊結果的證據能力</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月旦法學教室</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95/02</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43-</w:t>
            </w:r>
          </w:p>
          <w:p w:rsidR="00F956E8" w:rsidRPr="000B2A94" w:rsidRDefault="00F956E8" w:rsidP="002F1621">
            <w:pPr>
              <w:jc w:val="center"/>
              <w:rPr>
                <w:color w:val="000000" w:themeColor="text1"/>
                <w:sz w:val="28"/>
                <w:szCs w:val="28"/>
              </w:rPr>
            </w:pPr>
            <w:r w:rsidRPr="000B2A94">
              <w:rPr>
                <w:color w:val="000000" w:themeColor="text1"/>
                <w:sz w:val="28"/>
                <w:szCs w:val="28"/>
              </w:rPr>
              <w:t>51</w:t>
            </w:r>
          </w:p>
        </w:tc>
      </w:tr>
      <w:tr w:rsidR="000B2A94" w:rsidRPr="000B2A94" w:rsidTr="002F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17</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吳巡龍</w:t>
            </w:r>
          </w:p>
        </w:tc>
        <w:tc>
          <w:tcPr>
            <w:tcW w:w="2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rPr>
                <w:color w:val="000000" w:themeColor="text1"/>
                <w:sz w:val="28"/>
                <w:szCs w:val="28"/>
              </w:rPr>
            </w:pPr>
            <w:r w:rsidRPr="000B2A94">
              <w:rPr>
                <w:color w:val="000000" w:themeColor="text1"/>
                <w:sz w:val="28"/>
                <w:szCs w:val="28"/>
              </w:rPr>
              <w:t>科學證據與測謊的證據能力</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月旦法學教室</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94/12</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95-</w:t>
            </w:r>
          </w:p>
          <w:p w:rsidR="00F956E8" w:rsidRPr="000B2A94" w:rsidRDefault="00F956E8" w:rsidP="002F1621">
            <w:pPr>
              <w:jc w:val="center"/>
              <w:rPr>
                <w:color w:val="000000" w:themeColor="text1"/>
                <w:sz w:val="28"/>
                <w:szCs w:val="28"/>
              </w:rPr>
            </w:pPr>
            <w:r w:rsidRPr="000B2A94">
              <w:rPr>
                <w:color w:val="000000" w:themeColor="text1"/>
                <w:sz w:val="28"/>
                <w:szCs w:val="28"/>
              </w:rPr>
              <w:t>105</w:t>
            </w:r>
          </w:p>
        </w:tc>
      </w:tr>
      <w:tr w:rsidR="000B2A94" w:rsidRPr="000B2A94" w:rsidTr="002F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18</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翁景惠 高一書</w:t>
            </w:r>
          </w:p>
        </w:tc>
        <w:tc>
          <w:tcPr>
            <w:tcW w:w="2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rPr>
                <w:color w:val="000000" w:themeColor="text1"/>
                <w:sz w:val="28"/>
                <w:szCs w:val="28"/>
              </w:rPr>
            </w:pPr>
            <w:r w:rsidRPr="000B2A94">
              <w:rPr>
                <w:color w:val="000000" w:themeColor="text1"/>
                <w:sz w:val="28"/>
                <w:szCs w:val="28"/>
              </w:rPr>
              <w:t>測謊在我國法院使用之實證研究</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國立臺灣大學法學論叢</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92/05</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149-</w:t>
            </w:r>
          </w:p>
          <w:p w:rsidR="00F956E8" w:rsidRPr="000B2A94" w:rsidRDefault="00F956E8" w:rsidP="002F1621">
            <w:pPr>
              <w:jc w:val="center"/>
              <w:rPr>
                <w:color w:val="000000" w:themeColor="text1"/>
                <w:sz w:val="28"/>
                <w:szCs w:val="28"/>
              </w:rPr>
            </w:pPr>
            <w:r w:rsidRPr="000B2A94">
              <w:rPr>
                <w:color w:val="000000" w:themeColor="text1"/>
                <w:sz w:val="28"/>
                <w:szCs w:val="28"/>
              </w:rPr>
              <w:t>207</w:t>
            </w:r>
          </w:p>
        </w:tc>
      </w:tr>
      <w:tr w:rsidR="000B2A94" w:rsidRPr="000B2A94" w:rsidTr="002F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19</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彭國能</w:t>
            </w:r>
          </w:p>
        </w:tc>
        <w:tc>
          <w:tcPr>
            <w:tcW w:w="2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rPr>
                <w:color w:val="000000" w:themeColor="text1"/>
                <w:sz w:val="28"/>
                <w:szCs w:val="28"/>
              </w:rPr>
            </w:pPr>
            <w:r w:rsidRPr="000B2A94">
              <w:rPr>
                <w:color w:val="000000" w:themeColor="text1"/>
                <w:sz w:val="28"/>
                <w:szCs w:val="28"/>
              </w:rPr>
              <w:t>以測謊記錄驗證陳述正確性之爭議</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全國律師</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89/12</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19-</w:t>
            </w:r>
          </w:p>
          <w:p w:rsidR="00F956E8" w:rsidRPr="000B2A94" w:rsidRDefault="00F956E8" w:rsidP="002F1621">
            <w:pPr>
              <w:jc w:val="center"/>
              <w:rPr>
                <w:color w:val="000000" w:themeColor="text1"/>
                <w:sz w:val="28"/>
                <w:szCs w:val="28"/>
              </w:rPr>
            </w:pPr>
            <w:r w:rsidRPr="000B2A94">
              <w:rPr>
                <w:color w:val="000000" w:themeColor="text1"/>
                <w:sz w:val="28"/>
                <w:szCs w:val="28"/>
              </w:rPr>
              <w:t>31</w:t>
            </w:r>
          </w:p>
        </w:tc>
      </w:tr>
      <w:tr w:rsidR="000B2A94" w:rsidRPr="000B2A94" w:rsidTr="002F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20</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曹昌祺</w:t>
            </w:r>
          </w:p>
        </w:tc>
        <w:tc>
          <w:tcPr>
            <w:tcW w:w="2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rPr>
                <w:color w:val="000000" w:themeColor="text1"/>
                <w:sz w:val="28"/>
                <w:szCs w:val="28"/>
              </w:rPr>
            </w:pPr>
            <w:r w:rsidRPr="000B2A94">
              <w:rPr>
                <w:color w:val="000000" w:themeColor="text1"/>
                <w:sz w:val="28"/>
                <w:szCs w:val="28"/>
              </w:rPr>
              <w:t>論測謊結果之證據能力與證明力</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警專學報</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87/04</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133-</w:t>
            </w:r>
          </w:p>
          <w:p w:rsidR="00F956E8" w:rsidRPr="000B2A94" w:rsidRDefault="00F956E8" w:rsidP="002F1621">
            <w:pPr>
              <w:jc w:val="center"/>
              <w:rPr>
                <w:color w:val="000000" w:themeColor="text1"/>
                <w:sz w:val="28"/>
                <w:szCs w:val="28"/>
              </w:rPr>
            </w:pPr>
            <w:r w:rsidRPr="000B2A94">
              <w:rPr>
                <w:color w:val="000000" w:themeColor="text1"/>
                <w:sz w:val="28"/>
                <w:szCs w:val="28"/>
              </w:rPr>
              <w:t>141</w:t>
            </w:r>
          </w:p>
        </w:tc>
      </w:tr>
      <w:tr w:rsidR="000B2A94" w:rsidRPr="000B2A94" w:rsidTr="002F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21</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蔡兆誠</w:t>
            </w:r>
          </w:p>
        </w:tc>
        <w:tc>
          <w:tcPr>
            <w:tcW w:w="2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rPr>
                <w:color w:val="000000" w:themeColor="text1"/>
                <w:sz w:val="28"/>
                <w:szCs w:val="28"/>
              </w:rPr>
            </w:pPr>
            <w:r w:rsidRPr="000B2A94">
              <w:rPr>
                <w:color w:val="000000" w:themeColor="text1"/>
                <w:sz w:val="28"/>
                <w:szCs w:val="28"/>
              </w:rPr>
              <w:t>測謊與證據法則</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全國律師</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86/01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30-</w:t>
            </w:r>
          </w:p>
          <w:p w:rsidR="00F956E8" w:rsidRPr="000B2A94" w:rsidRDefault="00F956E8" w:rsidP="002F1621">
            <w:pPr>
              <w:jc w:val="center"/>
              <w:rPr>
                <w:color w:val="000000" w:themeColor="text1"/>
                <w:sz w:val="28"/>
                <w:szCs w:val="28"/>
              </w:rPr>
            </w:pPr>
            <w:r w:rsidRPr="000B2A94">
              <w:rPr>
                <w:color w:val="000000" w:themeColor="text1"/>
                <w:sz w:val="28"/>
                <w:szCs w:val="28"/>
              </w:rPr>
              <w:t>31</w:t>
            </w:r>
          </w:p>
        </w:tc>
      </w:tr>
      <w:tr w:rsidR="000B2A94" w:rsidRPr="000B2A94" w:rsidTr="002F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22</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蔡墩銘</w:t>
            </w:r>
          </w:p>
        </w:tc>
        <w:tc>
          <w:tcPr>
            <w:tcW w:w="2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rPr>
                <w:color w:val="000000" w:themeColor="text1"/>
                <w:sz w:val="28"/>
                <w:szCs w:val="28"/>
              </w:rPr>
            </w:pPr>
            <w:r w:rsidRPr="000B2A94">
              <w:rPr>
                <w:color w:val="000000" w:themeColor="text1"/>
                <w:sz w:val="28"/>
                <w:szCs w:val="28"/>
              </w:rPr>
              <w:t>論刑事鑑定</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國立臺灣大學法學論叢</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86/10</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133-</w:t>
            </w:r>
          </w:p>
          <w:p w:rsidR="00F956E8" w:rsidRPr="000B2A94" w:rsidRDefault="00F956E8" w:rsidP="002F1621">
            <w:pPr>
              <w:jc w:val="center"/>
              <w:rPr>
                <w:color w:val="000000" w:themeColor="text1"/>
                <w:sz w:val="28"/>
                <w:szCs w:val="28"/>
              </w:rPr>
            </w:pPr>
            <w:r w:rsidRPr="000B2A94">
              <w:rPr>
                <w:color w:val="000000" w:themeColor="text1"/>
                <w:sz w:val="28"/>
                <w:szCs w:val="28"/>
              </w:rPr>
              <w:t>168</w:t>
            </w:r>
          </w:p>
        </w:tc>
      </w:tr>
      <w:tr w:rsidR="00F956E8" w:rsidRPr="000B2A94" w:rsidTr="002F1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lastRenderedPageBreak/>
              <w:t>23</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邱俊智林故廷</w:t>
            </w:r>
          </w:p>
        </w:tc>
        <w:tc>
          <w:tcPr>
            <w:tcW w:w="2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rPr>
                <w:color w:val="000000" w:themeColor="text1"/>
                <w:sz w:val="28"/>
                <w:szCs w:val="28"/>
              </w:rPr>
            </w:pPr>
            <w:r w:rsidRPr="000B2A94">
              <w:rPr>
                <w:color w:val="000000" w:themeColor="text1"/>
                <w:sz w:val="28"/>
                <w:szCs w:val="28"/>
              </w:rPr>
              <w:t>測謊理論之應用及其限制</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刑事科學</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86/09</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56E8" w:rsidRPr="000B2A94" w:rsidRDefault="00F956E8" w:rsidP="002F1621">
            <w:pPr>
              <w:jc w:val="center"/>
              <w:rPr>
                <w:color w:val="000000" w:themeColor="text1"/>
                <w:sz w:val="28"/>
                <w:szCs w:val="28"/>
              </w:rPr>
            </w:pPr>
            <w:r w:rsidRPr="000B2A94">
              <w:rPr>
                <w:color w:val="000000" w:themeColor="text1"/>
                <w:sz w:val="28"/>
                <w:szCs w:val="28"/>
              </w:rPr>
              <w:t>35-</w:t>
            </w:r>
          </w:p>
          <w:p w:rsidR="00F956E8" w:rsidRPr="000B2A94" w:rsidRDefault="00F956E8" w:rsidP="002F1621">
            <w:pPr>
              <w:jc w:val="center"/>
              <w:rPr>
                <w:color w:val="000000" w:themeColor="text1"/>
                <w:sz w:val="28"/>
                <w:szCs w:val="28"/>
              </w:rPr>
            </w:pPr>
            <w:r w:rsidRPr="000B2A94">
              <w:rPr>
                <w:color w:val="000000" w:themeColor="text1"/>
                <w:sz w:val="28"/>
                <w:szCs w:val="28"/>
              </w:rPr>
              <w:t>67</w:t>
            </w:r>
          </w:p>
        </w:tc>
      </w:tr>
    </w:tbl>
    <w:p w:rsidR="00F956E8" w:rsidRPr="000B2A94" w:rsidRDefault="00F956E8" w:rsidP="00F956E8">
      <w:pPr>
        <w:rPr>
          <w:color w:val="000000" w:themeColor="text1"/>
        </w:rPr>
      </w:pPr>
    </w:p>
    <w:p w:rsidR="00F956E8" w:rsidRPr="000B2A94" w:rsidRDefault="00F956E8" w:rsidP="009D26EF">
      <w:pPr>
        <w:pStyle w:val="af5"/>
        <w:rPr>
          <w:color w:val="000000" w:themeColor="text1"/>
        </w:rPr>
      </w:pPr>
    </w:p>
    <w:sectPr w:rsidR="00F956E8" w:rsidRPr="000B2A94" w:rsidSect="000035B3">
      <w:footerReference w:type="default" r:id="rId17"/>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A4" w:rsidRDefault="00FA3AA4">
      <w:r>
        <w:separator/>
      </w:r>
    </w:p>
  </w:endnote>
  <w:endnote w:type="continuationSeparator" w:id="0">
    <w:p w:rsidR="00FA3AA4" w:rsidRDefault="00FA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FKaiShu-SB-Estd-BF-Identity-H">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33" w:rsidRDefault="008C3333">
    <w:pPr>
      <w:pStyle w:val="af6"/>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026FB3">
      <w:rPr>
        <w:rStyle w:val="af"/>
        <w:noProof/>
        <w:sz w:val="24"/>
      </w:rPr>
      <w:t>VI</w:t>
    </w:r>
    <w:r>
      <w:rPr>
        <w:rStyle w:val="af"/>
        <w:sz w:val="24"/>
      </w:rPr>
      <w:fldChar w:fldCharType="end"/>
    </w:r>
  </w:p>
  <w:p w:rsidR="008C3333" w:rsidRDefault="008C3333">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33" w:rsidRDefault="008C3333">
    <w:pPr>
      <w:pStyle w:val="af6"/>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026FB3">
      <w:rPr>
        <w:rStyle w:val="af"/>
        <w:noProof/>
        <w:sz w:val="24"/>
      </w:rPr>
      <w:t>233</w:t>
    </w:r>
    <w:r>
      <w:rPr>
        <w:rStyle w:val="af"/>
        <w:sz w:val="24"/>
      </w:rPr>
      <w:fldChar w:fldCharType="end"/>
    </w:r>
  </w:p>
  <w:p w:rsidR="008C3333" w:rsidRDefault="008C333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A4" w:rsidRDefault="00FA3AA4">
      <w:r>
        <w:separator/>
      </w:r>
    </w:p>
  </w:footnote>
  <w:footnote w:type="continuationSeparator" w:id="0">
    <w:p w:rsidR="00FA3AA4" w:rsidRDefault="00FA3AA4">
      <w:r>
        <w:continuationSeparator/>
      </w:r>
    </w:p>
  </w:footnote>
  <w:footnote w:id="1">
    <w:p w:rsidR="008C3333" w:rsidRPr="005C4C92" w:rsidRDefault="008C3333" w:rsidP="00C66437">
      <w:pPr>
        <w:pStyle w:val="afe"/>
        <w:spacing w:line="240" w:lineRule="exact"/>
        <w:ind w:leftChars="3" w:left="197" w:hangingChars="85" w:hanging="187"/>
        <w:rPr>
          <w:color w:val="000000" w:themeColor="text1"/>
        </w:rPr>
      </w:pPr>
      <w:r w:rsidRPr="005C4C92">
        <w:rPr>
          <w:rStyle w:val="aff1"/>
          <w:color w:val="000000" w:themeColor="text1"/>
        </w:rPr>
        <w:footnoteRef/>
      </w:r>
      <w:r>
        <w:rPr>
          <w:rFonts w:hint="eastAsia"/>
          <w:color w:val="000000" w:themeColor="text1"/>
        </w:rPr>
        <w:t xml:space="preserve"> </w:t>
      </w:r>
      <w:r w:rsidRPr="005C4C92">
        <w:rPr>
          <w:color w:val="000000" w:themeColor="text1"/>
        </w:rPr>
        <w:t>司法院</w:t>
      </w:r>
      <w:r w:rsidRPr="005C4C92">
        <w:rPr>
          <w:color w:val="000000" w:themeColor="text1"/>
        </w:rPr>
        <w:t>108</w:t>
      </w:r>
      <w:r w:rsidRPr="005C4C92">
        <w:rPr>
          <w:color w:val="000000" w:themeColor="text1"/>
        </w:rPr>
        <w:t>年</w:t>
      </w:r>
      <w:r w:rsidRPr="005C4C92">
        <w:rPr>
          <w:color w:val="000000" w:themeColor="text1"/>
        </w:rPr>
        <w:t>5</w:t>
      </w:r>
      <w:r w:rsidRPr="005C4C92">
        <w:rPr>
          <w:color w:val="000000" w:themeColor="text1"/>
        </w:rPr>
        <w:t>月</w:t>
      </w:r>
      <w:r w:rsidRPr="005C4C92">
        <w:rPr>
          <w:color w:val="000000" w:themeColor="text1"/>
        </w:rPr>
        <w:t>13</w:t>
      </w:r>
      <w:r w:rsidRPr="005C4C92">
        <w:rPr>
          <w:color w:val="000000" w:themeColor="text1"/>
        </w:rPr>
        <w:t>日院台廳刑一字第</w:t>
      </w:r>
      <w:r w:rsidRPr="005C4C92">
        <w:rPr>
          <w:color w:val="000000" w:themeColor="text1"/>
        </w:rPr>
        <w:t>1080010599</w:t>
      </w:r>
      <w:r w:rsidRPr="005C4C92">
        <w:rPr>
          <w:color w:val="000000" w:themeColor="text1"/>
        </w:rPr>
        <w:t>號函、法務部</w:t>
      </w:r>
      <w:r w:rsidRPr="005C4C92">
        <w:rPr>
          <w:color w:val="000000" w:themeColor="text1"/>
        </w:rPr>
        <w:t>108</w:t>
      </w:r>
      <w:r w:rsidRPr="005C4C92">
        <w:rPr>
          <w:color w:val="000000" w:themeColor="text1"/>
        </w:rPr>
        <w:t>年</w:t>
      </w:r>
      <w:r w:rsidRPr="005C4C92">
        <w:rPr>
          <w:color w:val="000000" w:themeColor="text1"/>
        </w:rPr>
        <w:t>5</w:t>
      </w:r>
      <w:r w:rsidRPr="005C4C92">
        <w:rPr>
          <w:color w:val="000000" w:themeColor="text1"/>
        </w:rPr>
        <w:t>月</w:t>
      </w:r>
      <w:r w:rsidRPr="005C4C92">
        <w:rPr>
          <w:color w:val="000000" w:themeColor="text1"/>
        </w:rPr>
        <w:t>20</w:t>
      </w:r>
      <w:r w:rsidRPr="005C4C92">
        <w:rPr>
          <w:color w:val="000000" w:themeColor="text1"/>
        </w:rPr>
        <w:t>日法檢字第</w:t>
      </w:r>
      <w:r w:rsidRPr="005C4C92">
        <w:rPr>
          <w:color w:val="000000" w:themeColor="text1"/>
        </w:rPr>
        <w:t>10804514190</w:t>
      </w:r>
      <w:r w:rsidRPr="005C4C92">
        <w:rPr>
          <w:color w:val="000000" w:themeColor="text1"/>
        </w:rPr>
        <w:t>號函、內政部</w:t>
      </w:r>
      <w:r w:rsidRPr="005C4C92">
        <w:rPr>
          <w:color w:val="000000" w:themeColor="text1"/>
        </w:rPr>
        <w:t>108</w:t>
      </w:r>
      <w:r w:rsidRPr="005C4C92">
        <w:rPr>
          <w:color w:val="000000" w:themeColor="text1"/>
        </w:rPr>
        <w:t>年</w:t>
      </w:r>
      <w:r w:rsidRPr="005C4C92">
        <w:rPr>
          <w:color w:val="000000" w:themeColor="text1"/>
        </w:rPr>
        <w:t>5</w:t>
      </w:r>
      <w:r w:rsidRPr="005C4C92">
        <w:rPr>
          <w:color w:val="000000" w:themeColor="text1"/>
        </w:rPr>
        <w:t>月</w:t>
      </w:r>
      <w:r w:rsidRPr="005C4C92">
        <w:rPr>
          <w:color w:val="000000" w:themeColor="text1"/>
        </w:rPr>
        <w:t>7</w:t>
      </w:r>
      <w:r w:rsidRPr="005C4C92">
        <w:rPr>
          <w:color w:val="000000" w:themeColor="text1"/>
        </w:rPr>
        <w:t>日內授警字第</w:t>
      </w:r>
      <w:r w:rsidRPr="005C4C92">
        <w:rPr>
          <w:color w:val="000000" w:themeColor="text1"/>
        </w:rPr>
        <w:t>1080115308</w:t>
      </w:r>
      <w:r w:rsidRPr="005C4C92">
        <w:rPr>
          <w:color w:val="000000" w:themeColor="text1"/>
        </w:rPr>
        <w:t>號函及國防部</w:t>
      </w:r>
      <w:r w:rsidRPr="005C4C92">
        <w:rPr>
          <w:color w:val="000000" w:themeColor="text1"/>
        </w:rPr>
        <w:t>108</w:t>
      </w:r>
      <w:r w:rsidRPr="005C4C92">
        <w:rPr>
          <w:color w:val="000000" w:themeColor="text1"/>
        </w:rPr>
        <w:t>年</w:t>
      </w:r>
      <w:r w:rsidRPr="005C4C92">
        <w:rPr>
          <w:color w:val="000000" w:themeColor="text1"/>
        </w:rPr>
        <w:t>5</w:t>
      </w:r>
      <w:r w:rsidRPr="005C4C92">
        <w:rPr>
          <w:color w:val="000000" w:themeColor="text1"/>
        </w:rPr>
        <w:t>月</w:t>
      </w:r>
      <w:r w:rsidRPr="005C4C92">
        <w:rPr>
          <w:color w:val="000000" w:themeColor="text1"/>
        </w:rPr>
        <w:t>17</w:t>
      </w:r>
      <w:r w:rsidRPr="005C4C92">
        <w:rPr>
          <w:color w:val="000000" w:themeColor="text1"/>
        </w:rPr>
        <w:t>日國法人權字第</w:t>
      </w:r>
      <w:r w:rsidRPr="005C4C92">
        <w:rPr>
          <w:color w:val="000000" w:themeColor="text1"/>
        </w:rPr>
        <w:t>1080001030</w:t>
      </w:r>
      <w:r w:rsidRPr="005C4C92">
        <w:rPr>
          <w:color w:val="000000" w:themeColor="text1"/>
        </w:rPr>
        <w:t>號函。</w:t>
      </w:r>
    </w:p>
  </w:footnote>
  <w:footnote w:id="2">
    <w:p w:rsidR="008C3333" w:rsidRPr="005C4C92" w:rsidRDefault="008C3333" w:rsidP="00C66437">
      <w:pPr>
        <w:pStyle w:val="afe"/>
        <w:ind w:left="141" w:hangingChars="64" w:hanging="141"/>
        <w:rPr>
          <w:color w:val="000000" w:themeColor="text1"/>
        </w:rPr>
      </w:pPr>
      <w:r w:rsidRPr="005C4C92">
        <w:rPr>
          <w:rStyle w:val="aff1"/>
          <w:color w:val="000000" w:themeColor="text1"/>
        </w:rPr>
        <w:footnoteRef/>
      </w:r>
      <w:r w:rsidRPr="005C4C92">
        <w:rPr>
          <w:color w:val="000000" w:themeColor="text1"/>
        </w:rPr>
        <w:t xml:space="preserve"> </w:t>
      </w:r>
      <w:r>
        <w:rPr>
          <w:rFonts w:hint="eastAsia"/>
          <w:color w:val="000000" w:themeColor="text1"/>
        </w:rPr>
        <w:t>資料來源：</w:t>
      </w:r>
      <w:r w:rsidRPr="005C4C92">
        <w:rPr>
          <w:color w:val="000000" w:themeColor="text1"/>
        </w:rPr>
        <w:t>財團法人民間司法改革基金會：</w:t>
      </w:r>
      <w:hyperlink r:id="rId1" w:history="1">
        <w:r w:rsidRPr="00F771D5">
          <w:rPr>
            <w:rStyle w:val="af1"/>
          </w:rPr>
          <w:t>https://www.jrf.org.tw/articles/1230</w:t>
        </w:r>
        <w:r w:rsidRPr="00F771D5">
          <w:rPr>
            <w:rStyle w:val="af1"/>
          </w:rPr>
          <w:t>，最後檢索日期：</w:t>
        </w:r>
        <w:r w:rsidRPr="00F771D5">
          <w:rPr>
            <w:rStyle w:val="af1"/>
          </w:rPr>
          <w:t>108</w:t>
        </w:r>
        <w:r w:rsidRPr="00F771D5">
          <w:rPr>
            <w:rStyle w:val="af1"/>
          </w:rPr>
          <w:t>年</w:t>
        </w:r>
        <w:r w:rsidRPr="00F771D5">
          <w:rPr>
            <w:rStyle w:val="af1"/>
            <w:rFonts w:hint="eastAsia"/>
          </w:rPr>
          <w:t>12</w:t>
        </w:r>
        <w:r w:rsidRPr="00F771D5">
          <w:rPr>
            <w:rStyle w:val="af1"/>
          </w:rPr>
          <w:t>月</w:t>
        </w:r>
      </w:hyperlink>
      <w:r>
        <w:rPr>
          <w:rStyle w:val="af1"/>
          <w:rFonts w:hint="eastAsia"/>
          <w:color w:val="000000" w:themeColor="text1"/>
          <w:u w:val="none"/>
        </w:rPr>
        <w:t>16</w:t>
      </w:r>
      <w:r w:rsidRPr="005C4C92">
        <w:rPr>
          <w:rStyle w:val="af1"/>
          <w:color w:val="000000" w:themeColor="text1"/>
          <w:u w:val="none"/>
        </w:rPr>
        <w:t>日。</w:t>
      </w:r>
    </w:p>
  </w:footnote>
  <w:footnote w:id="3">
    <w:p w:rsidR="008C3333" w:rsidRPr="005C4C92" w:rsidRDefault="008C3333" w:rsidP="00C66437">
      <w:pPr>
        <w:pStyle w:val="afe"/>
        <w:ind w:hanging="85"/>
        <w:rPr>
          <w:color w:val="000000" w:themeColor="text1"/>
        </w:rPr>
      </w:pPr>
      <w:r w:rsidRPr="005C4C92">
        <w:rPr>
          <w:rStyle w:val="aff1"/>
          <w:color w:val="000000" w:themeColor="text1"/>
        </w:rPr>
        <w:footnoteRef/>
      </w:r>
      <w:r w:rsidRPr="005C4C92">
        <w:rPr>
          <w:rFonts w:hint="eastAsia"/>
          <w:color w:val="000000" w:themeColor="text1"/>
        </w:rPr>
        <w:t>司法院鑑定機關參考名冊：</w:t>
      </w:r>
      <w:r w:rsidRPr="00F91E85">
        <w:rPr>
          <w:color w:val="000000" w:themeColor="text1"/>
        </w:rPr>
        <w:t>https://www.judicial.gov.tw/tw/lp-1717-1.html</w:t>
      </w:r>
      <w:r w:rsidRPr="005C4C92">
        <w:rPr>
          <w:rFonts w:hint="eastAsia"/>
          <w:color w:val="000000" w:themeColor="text1"/>
        </w:rPr>
        <w:t>。檢索日期：</w:t>
      </w:r>
      <w:r>
        <w:rPr>
          <w:rFonts w:hint="eastAsia"/>
          <w:color w:val="000000" w:themeColor="text1"/>
        </w:rPr>
        <w:t>108</w:t>
      </w:r>
      <w:r w:rsidRPr="005C4C92">
        <w:rPr>
          <w:rFonts w:hint="eastAsia"/>
          <w:color w:val="000000" w:themeColor="text1"/>
        </w:rPr>
        <w:t>年</w:t>
      </w:r>
      <w:r>
        <w:rPr>
          <w:rFonts w:hint="eastAsia"/>
          <w:color w:val="000000" w:themeColor="text1"/>
        </w:rPr>
        <w:t>12</w:t>
      </w:r>
      <w:r w:rsidRPr="005C4C92">
        <w:rPr>
          <w:rFonts w:hint="eastAsia"/>
          <w:color w:val="000000" w:themeColor="text1"/>
        </w:rPr>
        <w:t>月</w:t>
      </w:r>
      <w:r>
        <w:rPr>
          <w:rFonts w:hint="eastAsia"/>
          <w:color w:val="000000" w:themeColor="text1"/>
        </w:rPr>
        <w:t>1</w:t>
      </w:r>
      <w:r w:rsidRPr="005C4C92">
        <w:rPr>
          <w:rFonts w:hint="eastAsia"/>
          <w:color w:val="000000" w:themeColor="text1"/>
        </w:rPr>
        <w:t>6</w:t>
      </w:r>
      <w:r w:rsidRPr="005C4C92">
        <w:rPr>
          <w:rFonts w:hint="eastAsia"/>
          <w:color w:val="000000" w:themeColor="text1"/>
        </w:rPr>
        <w:t>日。</w:t>
      </w:r>
    </w:p>
  </w:footnote>
  <w:footnote w:id="4">
    <w:p w:rsidR="008C3333" w:rsidRPr="005C4C92" w:rsidRDefault="008C3333" w:rsidP="00C66437">
      <w:pPr>
        <w:pStyle w:val="afe"/>
        <w:ind w:hanging="85"/>
        <w:rPr>
          <w:color w:val="000000" w:themeColor="text1"/>
        </w:rPr>
      </w:pPr>
      <w:r w:rsidRPr="005C4C92">
        <w:rPr>
          <w:rStyle w:val="aff1"/>
          <w:color w:val="000000" w:themeColor="text1"/>
        </w:rPr>
        <w:footnoteRef/>
      </w:r>
      <w:r w:rsidRPr="005C4C92">
        <w:rPr>
          <w:color w:val="000000" w:themeColor="text1"/>
        </w:rPr>
        <w:t xml:space="preserve"> </w:t>
      </w:r>
      <w:r>
        <w:rPr>
          <w:rFonts w:hint="eastAsia"/>
          <w:color w:val="000000" w:themeColor="text1"/>
        </w:rPr>
        <w:t>資料來源：法務部調查局網站，</w:t>
      </w:r>
      <w:hyperlink r:id="rId2" w:history="1">
        <w:r w:rsidRPr="005C4C92">
          <w:rPr>
            <w:rStyle w:val="af1"/>
            <w:color w:val="000000" w:themeColor="text1"/>
            <w:u w:val="none"/>
          </w:rPr>
          <w:t>https://www.mjib.gov.tw/EditPage/?PageID=82f48b34-83e1-416e-8851-716ee5f20a0a</w:t>
        </w:r>
      </w:hyperlink>
      <w:r w:rsidRPr="005C4C92">
        <w:rPr>
          <w:rFonts w:hint="eastAsia"/>
          <w:color w:val="000000" w:themeColor="text1"/>
        </w:rPr>
        <w:t>；最後檢索日期：</w:t>
      </w:r>
      <w:r>
        <w:rPr>
          <w:rFonts w:hint="eastAsia"/>
          <w:color w:val="000000" w:themeColor="text1"/>
        </w:rPr>
        <w:t>108</w:t>
      </w:r>
      <w:r w:rsidRPr="005C4C92">
        <w:rPr>
          <w:rFonts w:hint="eastAsia"/>
          <w:color w:val="000000" w:themeColor="text1"/>
        </w:rPr>
        <w:t>年</w:t>
      </w:r>
      <w:r>
        <w:rPr>
          <w:rFonts w:hint="eastAsia"/>
          <w:color w:val="000000" w:themeColor="text1"/>
        </w:rPr>
        <w:t>12</w:t>
      </w:r>
      <w:r w:rsidRPr="005C4C92">
        <w:rPr>
          <w:rFonts w:hint="eastAsia"/>
          <w:color w:val="000000" w:themeColor="text1"/>
        </w:rPr>
        <w:t>月</w:t>
      </w:r>
      <w:r>
        <w:rPr>
          <w:rFonts w:hint="eastAsia"/>
          <w:color w:val="000000" w:themeColor="text1"/>
        </w:rPr>
        <w:t>16</w:t>
      </w:r>
      <w:r w:rsidRPr="005C4C92">
        <w:rPr>
          <w:rFonts w:hint="eastAsia"/>
          <w:color w:val="000000" w:themeColor="text1"/>
        </w:rPr>
        <w:t>日。</w:t>
      </w:r>
    </w:p>
  </w:footnote>
  <w:footnote w:id="5">
    <w:p w:rsidR="008C3333" w:rsidRPr="005C4C92" w:rsidRDefault="008C3333" w:rsidP="000F6481">
      <w:pPr>
        <w:pStyle w:val="afe"/>
        <w:wordWrap w:val="0"/>
        <w:ind w:hanging="85"/>
        <w:rPr>
          <w:color w:val="000000" w:themeColor="text1"/>
        </w:rPr>
      </w:pPr>
      <w:r w:rsidRPr="005C4C92">
        <w:rPr>
          <w:rStyle w:val="aff1"/>
          <w:color w:val="000000" w:themeColor="text1"/>
        </w:rPr>
        <w:footnoteRef/>
      </w:r>
      <w:r w:rsidRPr="005C4C92">
        <w:rPr>
          <w:color w:val="000000" w:themeColor="text1"/>
        </w:rPr>
        <w:t xml:space="preserve"> </w:t>
      </w:r>
      <w:r>
        <w:rPr>
          <w:rFonts w:hint="eastAsia"/>
          <w:color w:val="000000" w:themeColor="text1"/>
        </w:rPr>
        <w:t>資料來源：</w:t>
      </w:r>
      <w:r w:rsidRPr="005C4C92">
        <w:rPr>
          <w:rFonts w:hint="eastAsia"/>
          <w:color w:val="000000" w:themeColor="text1"/>
        </w:rPr>
        <w:t>法醫研究所網站：</w:t>
      </w:r>
      <w:hyperlink r:id="rId3" w:history="1">
        <w:r w:rsidRPr="005C4C92">
          <w:rPr>
            <w:rStyle w:val="af1"/>
            <w:color w:val="000000" w:themeColor="text1"/>
            <w:u w:val="none"/>
          </w:rPr>
          <w:t>https://www.tpa.moj.gov.tw/292712/292732/292784/603584/post</w:t>
        </w:r>
      </w:hyperlink>
      <w:r w:rsidRPr="005C4C92">
        <w:rPr>
          <w:rFonts w:hint="eastAsia"/>
          <w:color w:val="000000" w:themeColor="text1"/>
        </w:rPr>
        <w:t>；最後檢索日期：</w:t>
      </w:r>
      <w:r>
        <w:rPr>
          <w:rFonts w:hint="eastAsia"/>
          <w:color w:val="000000" w:themeColor="text1"/>
        </w:rPr>
        <w:t>108</w:t>
      </w:r>
      <w:r w:rsidRPr="005C4C92">
        <w:rPr>
          <w:rFonts w:hint="eastAsia"/>
          <w:color w:val="000000" w:themeColor="text1"/>
        </w:rPr>
        <w:t>年</w:t>
      </w:r>
      <w:r>
        <w:rPr>
          <w:rFonts w:hint="eastAsia"/>
          <w:color w:val="000000" w:themeColor="text1"/>
        </w:rPr>
        <w:t>12</w:t>
      </w:r>
      <w:r w:rsidRPr="005C4C92">
        <w:rPr>
          <w:rFonts w:hint="eastAsia"/>
          <w:color w:val="000000" w:themeColor="text1"/>
        </w:rPr>
        <w:t>月</w:t>
      </w:r>
      <w:r>
        <w:rPr>
          <w:rFonts w:hint="eastAsia"/>
          <w:color w:val="000000" w:themeColor="text1"/>
        </w:rPr>
        <w:t>1</w:t>
      </w:r>
      <w:r w:rsidRPr="005C4C92">
        <w:rPr>
          <w:rFonts w:hint="eastAsia"/>
          <w:color w:val="000000" w:themeColor="text1"/>
        </w:rPr>
        <w:t>6</w:t>
      </w:r>
      <w:r w:rsidRPr="005C4C92">
        <w:rPr>
          <w:rFonts w:hint="eastAsia"/>
          <w:color w:val="000000" w:themeColor="text1"/>
        </w:rPr>
        <w:t>日。</w:t>
      </w:r>
    </w:p>
  </w:footnote>
  <w:footnote w:id="6">
    <w:p w:rsidR="008C3333" w:rsidRPr="005C4C92" w:rsidRDefault="008C3333" w:rsidP="00C66437">
      <w:pPr>
        <w:pStyle w:val="afe"/>
        <w:ind w:left="187" w:hangingChars="85" w:hanging="187"/>
        <w:rPr>
          <w:color w:val="000000" w:themeColor="text1"/>
        </w:rPr>
      </w:pPr>
      <w:r w:rsidRPr="005C4C92">
        <w:rPr>
          <w:rStyle w:val="aff1"/>
          <w:color w:val="000000" w:themeColor="text1"/>
        </w:rPr>
        <w:footnoteRef/>
      </w:r>
      <w:r w:rsidRPr="005C4C92">
        <w:rPr>
          <w:color w:val="000000" w:themeColor="text1"/>
        </w:rPr>
        <w:t xml:space="preserve"> </w:t>
      </w:r>
      <w:r w:rsidRPr="005C4C92">
        <w:rPr>
          <w:rFonts w:hint="eastAsia"/>
          <w:color w:val="000000" w:themeColor="text1"/>
        </w:rPr>
        <w:t>刑事</w:t>
      </w:r>
      <w:r w:rsidRPr="005C4C92">
        <w:rPr>
          <w:color w:val="000000" w:themeColor="text1"/>
        </w:rPr>
        <w:t>警察局各單</w:t>
      </w:r>
      <w:r w:rsidRPr="005C4C92">
        <w:rPr>
          <w:rFonts w:hint="eastAsia"/>
          <w:color w:val="000000" w:themeColor="text1"/>
        </w:rPr>
        <w:t>位</w:t>
      </w:r>
      <w:r w:rsidRPr="005C4C92">
        <w:rPr>
          <w:color w:val="000000" w:themeColor="text1"/>
        </w:rPr>
        <w:t>介紹：</w:t>
      </w:r>
      <w:hyperlink r:id="rId4" w:history="1">
        <w:r w:rsidRPr="005C4C92">
          <w:rPr>
            <w:rStyle w:val="af1"/>
            <w:color w:val="000000" w:themeColor="text1"/>
            <w:u w:val="none"/>
          </w:rPr>
          <w:t>https://www.cib.gov.tw/About/Unit/90</w:t>
        </w:r>
      </w:hyperlink>
      <w:r w:rsidRPr="005C4C92">
        <w:rPr>
          <w:color w:val="000000" w:themeColor="text1"/>
        </w:rPr>
        <w:t>，最後檢索日期：</w:t>
      </w:r>
      <w:r>
        <w:rPr>
          <w:rFonts w:hint="eastAsia"/>
          <w:color w:val="000000" w:themeColor="text1"/>
        </w:rPr>
        <w:t>108</w:t>
      </w:r>
      <w:r w:rsidRPr="005C4C92">
        <w:rPr>
          <w:rFonts w:hint="eastAsia"/>
          <w:color w:val="000000" w:themeColor="text1"/>
        </w:rPr>
        <w:t>年</w:t>
      </w:r>
      <w:r>
        <w:rPr>
          <w:rFonts w:hint="eastAsia"/>
          <w:color w:val="000000" w:themeColor="text1"/>
        </w:rPr>
        <w:t>12</w:t>
      </w:r>
      <w:r w:rsidRPr="005C4C92">
        <w:rPr>
          <w:rFonts w:hint="eastAsia"/>
          <w:color w:val="000000" w:themeColor="text1"/>
        </w:rPr>
        <w:t>月</w:t>
      </w:r>
      <w:r>
        <w:rPr>
          <w:rFonts w:hint="eastAsia"/>
          <w:color w:val="000000" w:themeColor="text1"/>
        </w:rPr>
        <w:t>16</w:t>
      </w:r>
      <w:r w:rsidRPr="005C4C92">
        <w:rPr>
          <w:rFonts w:hint="eastAsia"/>
          <w:color w:val="000000" w:themeColor="text1"/>
        </w:rPr>
        <w:t>日。</w:t>
      </w:r>
    </w:p>
  </w:footnote>
  <w:footnote w:id="7">
    <w:p w:rsidR="008C3333" w:rsidRPr="005C4C92" w:rsidRDefault="008C3333" w:rsidP="00C66437">
      <w:pPr>
        <w:pStyle w:val="afe"/>
        <w:ind w:hanging="85"/>
        <w:rPr>
          <w:rFonts w:ascii="標楷體" w:hAnsi="標楷體"/>
          <w:color w:val="000000" w:themeColor="text1"/>
        </w:rPr>
      </w:pPr>
      <w:r w:rsidRPr="005C4C92">
        <w:rPr>
          <w:rStyle w:val="aff1"/>
          <w:color w:val="000000" w:themeColor="text1"/>
        </w:rPr>
        <w:footnoteRef/>
      </w:r>
      <w:r w:rsidRPr="005C4C92">
        <w:rPr>
          <w:rFonts w:ascii="標楷體" w:hAnsi="標楷體" w:hint="eastAsia"/>
          <w:color w:val="000000" w:themeColor="text1"/>
        </w:rPr>
        <w:t>德國刑事訴訟法第73條之規定：「從事鑑定人之選任及其人數，由法官決定之。法官應對其宣示，在一定期間內提出鑑定書。」</w:t>
      </w:r>
    </w:p>
  </w:footnote>
  <w:footnote w:id="8">
    <w:p w:rsidR="008C3333" w:rsidRPr="005C4C92" w:rsidRDefault="008C3333" w:rsidP="00C66437">
      <w:pPr>
        <w:pStyle w:val="afe"/>
        <w:ind w:hanging="85"/>
        <w:rPr>
          <w:rFonts w:ascii="標楷體" w:hAnsi="標楷體"/>
          <w:color w:val="000000" w:themeColor="text1"/>
        </w:rPr>
      </w:pPr>
      <w:r w:rsidRPr="005C4C92">
        <w:rPr>
          <w:rStyle w:val="aff1"/>
          <w:rFonts w:hAnsi="標楷體"/>
          <w:color w:val="000000" w:themeColor="text1"/>
        </w:rPr>
        <w:footnoteRef/>
      </w:r>
      <w:r w:rsidRPr="005C4C92">
        <w:rPr>
          <w:rFonts w:ascii="標楷體" w:hAnsi="標楷體" w:hint="eastAsia"/>
          <w:color w:val="000000" w:themeColor="text1"/>
        </w:rPr>
        <w:t>李貞儀，刑事鑑定制度之研究，台灣大學法研所碩士論文，第</w:t>
      </w:r>
      <w:r w:rsidRPr="005C4C92">
        <w:rPr>
          <w:rFonts w:ascii="標楷體" w:hAnsi="標楷體"/>
          <w:color w:val="000000" w:themeColor="text1"/>
        </w:rPr>
        <w:t>60</w:t>
      </w:r>
      <w:r w:rsidRPr="005C4C92">
        <w:rPr>
          <w:rFonts w:ascii="標楷體" w:hAnsi="標楷體" w:hint="eastAsia"/>
          <w:color w:val="000000" w:themeColor="text1"/>
        </w:rPr>
        <w:t>頁，</w:t>
      </w:r>
      <w:r w:rsidRPr="005C4C92">
        <w:rPr>
          <w:rFonts w:ascii="標楷體" w:hAnsi="標楷體"/>
          <w:color w:val="000000" w:themeColor="text1"/>
        </w:rPr>
        <w:t>1998</w:t>
      </w:r>
      <w:r w:rsidRPr="005C4C92">
        <w:rPr>
          <w:rFonts w:ascii="標楷體" w:hAnsi="標楷體" w:hint="eastAsia"/>
          <w:color w:val="000000" w:themeColor="text1"/>
        </w:rPr>
        <w:t>年。</w:t>
      </w:r>
    </w:p>
  </w:footnote>
  <w:footnote w:id="9">
    <w:p w:rsidR="008C3333" w:rsidRPr="005C4C92" w:rsidRDefault="008C3333" w:rsidP="00C66437">
      <w:pPr>
        <w:pStyle w:val="afe"/>
        <w:ind w:hanging="85"/>
        <w:rPr>
          <w:rFonts w:ascii="標楷體" w:hAnsi="標楷體"/>
          <w:color w:val="000000" w:themeColor="text1"/>
        </w:rPr>
      </w:pPr>
      <w:r w:rsidRPr="005C4C92">
        <w:rPr>
          <w:rStyle w:val="aff1"/>
          <w:rFonts w:hAnsi="標楷體"/>
          <w:color w:val="000000" w:themeColor="text1"/>
        </w:rPr>
        <w:footnoteRef/>
      </w:r>
      <w:r w:rsidRPr="005C4C92">
        <w:rPr>
          <w:rFonts w:ascii="標楷體" w:hAnsi="標楷體" w:hint="eastAsia"/>
          <w:color w:val="000000" w:themeColor="text1"/>
        </w:rPr>
        <w:t>林宜民，依新修正刑事訴訟法論法庭活動—以鑑定為中心，司法院研究年報第</w:t>
      </w:r>
      <w:r w:rsidRPr="005C4C92">
        <w:rPr>
          <w:rFonts w:ascii="標楷體" w:hAnsi="標楷體"/>
          <w:color w:val="000000" w:themeColor="text1"/>
        </w:rPr>
        <w:t xml:space="preserve">25 </w:t>
      </w:r>
      <w:r w:rsidRPr="005C4C92">
        <w:rPr>
          <w:rFonts w:ascii="標楷體" w:hAnsi="標楷體" w:hint="eastAsia"/>
          <w:color w:val="000000" w:themeColor="text1"/>
        </w:rPr>
        <w:t>輯第</w:t>
      </w:r>
      <w:r w:rsidRPr="005C4C92">
        <w:rPr>
          <w:rFonts w:ascii="標楷體" w:hAnsi="標楷體"/>
          <w:color w:val="000000" w:themeColor="text1"/>
        </w:rPr>
        <w:t xml:space="preserve">15 </w:t>
      </w:r>
      <w:r w:rsidRPr="005C4C92">
        <w:rPr>
          <w:rFonts w:ascii="標楷體" w:hAnsi="標楷體" w:hint="eastAsia"/>
          <w:color w:val="000000" w:themeColor="text1"/>
        </w:rPr>
        <w:t>篇，第40頁，司法院，</w:t>
      </w:r>
      <w:r w:rsidRPr="005C4C92">
        <w:rPr>
          <w:rFonts w:ascii="標楷體" w:hAnsi="標楷體"/>
          <w:color w:val="000000" w:themeColor="text1"/>
        </w:rPr>
        <w:t>2005</w:t>
      </w:r>
      <w:r w:rsidRPr="005C4C92">
        <w:rPr>
          <w:rFonts w:ascii="標楷體" w:hAnsi="標楷體" w:hint="eastAsia"/>
          <w:color w:val="000000" w:themeColor="text1"/>
        </w:rPr>
        <w:t>年。</w:t>
      </w:r>
    </w:p>
  </w:footnote>
  <w:footnote w:id="10">
    <w:p w:rsidR="008C3333" w:rsidRPr="005C4C92" w:rsidRDefault="008C3333" w:rsidP="00C66437">
      <w:pPr>
        <w:pStyle w:val="afe"/>
        <w:ind w:hanging="85"/>
        <w:rPr>
          <w:rFonts w:ascii="標楷體" w:hAnsi="標楷體"/>
          <w:color w:val="000000" w:themeColor="text1"/>
        </w:rPr>
      </w:pPr>
      <w:r w:rsidRPr="005C4C92">
        <w:rPr>
          <w:rStyle w:val="aff1"/>
          <w:rFonts w:hAnsi="標楷體"/>
          <w:color w:val="000000" w:themeColor="text1"/>
        </w:rPr>
        <w:footnoteRef/>
      </w:r>
      <w:r w:rsidRPr="005C4C92">
        <w:rPr>
          <w:rFonts w:ascii="標楷體" w:hAnsi="標楷體" w:hint="eastAsia"/>
          <w:color w:val="000000" w:themeColor="text1"/>
        </w:rPr>
        <w:t>按鑑定人並非當然具有必須宣誓之法定義務，法院可自行裁量有無命宣誓之必要性，但如訴訟當事人提出聲請之要求者，此時鑑定人即有宣誓之義務，德國刑事訴訟法第79條參照。</w:t>
      </w:r>
    </w:p>
  </w:footnote>
  <w:footnote w:id="11">
    <w:p w:rsidR="008C3333" w:rsidRPr="005C4C92" w:rsidRDefault="008C3333" w:rsidP="00C66437">
      <w:pPr>
        <w:pStyle w:val="afe"/>
        <w:ind w:hanging="85"/>
        <w:rPr>
          <w:rFonts w:ascii="標楷體" w:hAnsi="標楷體"/>
          <w:color w:val="000000" w:themeColor="text1"/>
        </w:rPr>
      </w:pPr>
      <w:r w:rsidRPr="005C4C92">
        <w:rPr>
          <w:rStyle w:val="aff1"/>
          <w:rFonts w:hAnsi="標楷體"/>
          <w:color w:val="000000" w:themeColor="text1"/>
        </w:rPr>
        <w:footnoteRef/>
      </w:r>
      <w:r w:rsidRPr="005C4C92">
        <w:rPr>
          <w:rFonts w:ascii="標楷體" w:hAnsi="標楷體"/>
          <w:color w:val="000000" w:themeColor="text1"/>
        </w:rPr>
        <w:t xml:space="preserve">Claus Roxin </w:t>
      </w:r>
      <w:r w:rsidRPr="005C4C92">
        <w:rPr>
          <w:rFonts w:ascii="標楷體" w:hAnsi="標楷體" w:hint="eastAsia"/>
          <w:color w:val="000000" w:themeColor="text1"/>
        </w:rPr>
        <w:t>著，吳麗琪譯，德國刑事訴訟法，第</w:t>
      </w:r>
      <w:r w:rsidRPr="005C4C92">
        <w:rPr>
          <w:rFonts w:ascii="標楷體" w:hAnsi="標楷體"/>
          <w:color w:val="000000" w:themeColor="text1"/>
        </w:rPr>
        <w:t>302-303</w:t>
      </w:r>
      <w:r w:rsidRPr="005C4C92">
        <w:rPr>
          <w:rFonts w:ascii="標楷體" w:hAnsi="標楷體" w:hint="eastAsia"/>
          <w:color w:val="000000" w:themeColor="text1"/>
        </w:rPr>
        <w:t>頁，三民書局，</w:t>
      </w:r>
      <w:r w:rsidRPr="005C4C92">
        <w:rPr>
          <w:rFonts w:ascii="標楷體" w:hAnsi="標楷體"/>
          <w:color w:val="000000" w:themeColor="text1"/>
        </w:rPr>
        <w:t>1998</w:t>
      </w:r>
      <w:r w:rsidRPr="005C4C92">
        <w:rPr>
          <w:rFonts w:ascii="標楷體" w:hAnsi="標楷體" w:hint="eastAsia"/>
          <w:color w:val="000000" w:themeColor="text1"/>
        </w:rPr>
        <w:t>年。</w:t>
      </w:r>
    </w:p>
  </w:footnote>
  <w:footnote w:id="12">
    <w:p w:rsidR="008C3333" w:rsidRPr="005C4C92" w:rsidRDefault="008C3333" w:rsidP="00C66437">
      <w:pPr>
        <w:pStyle w:val="afe"/>
        <w:ind w:hanging="85"/>
        <w:rPr>
          <w:rFonts w:ascii="標楷體" w:hAnsi="標楷體"/>
          <w:color w:val="000000" w:themeColor="text1"/>
        </w:rPr>
      </w:pPr>
      <w:r w:rsidRPr="005C4C92">
        <w:rPr>
          <w:rStyle w:val="aff1"/>
          <w:rFonts w:hAnsi="標楷體"/>
          <w:color w:val="000000" w:themeColor="text1"/>
        </w:rPr>
        <w:footnoteRef/>
      </w:r>
      <w:r w:rsidRPr="005C4C92">
        <w:rPr>
          <w:rFonts w:ascii="標楷體" w:hAnsi="標楷體" w:hint="eastAsia"/>
          <w:color w:val="000000" w:themeColor="text1"/>
        </w:rPr>
        <w:t>林鈺雄，「輪替詰問之法庭活動</w:t>
      </w:r>
      <w:r w:rsidRPr="005C4C92">
        <w:rPr>
          <w:rFonts w:ascii="標楷體" w:hAnsi="標楷體"/>
          <w:color w:val="000000" w:themeColor="text1"/>
        </w:rPr>
        <w:t>(</w:t>
      </w:r>
      <w:r w:rsidRPr="005C4C92">
        <w:rPr>
          <w:rFonts w:ascii="標楷體" w:hAnsi="標楷體" w:hint="eastAsia"/>
          <w:color w:val="000000" w:themeColor="text1"/>
        </w:rPr>
        <w:t>上</w:t>
      </w:r>
      <w:r w:rsidRPr="005C4C92">
        <w:rPr>
          <w:rFonts w:ascii="標楷體" w:hAnsi="標楷體"/>
          <w:color w:val="000000" w:themeColor="text1"/>
        </w:rPr>
        <w:t>)</w:t>
      </w:r>
      <w:r w:rsidRPr="005C4C92">
        <w:rPr>
          <w:rFonts w:ascii="標楷體" w:hAnsi="標楷體" w:hint="eastAsia"/>
          <w:color w:val="000000" w:themeColor="text1"/>
        </w:rPr>
        <w:t>」，台灣本土法學雜誌，第</w:t>
      </w:r>
      <w:r w:rsidRPr="005C4C92">
        <w:rPr>
          <w:rFonts w:ascii="標楷體" w:hAnsi="標楷體"/>
          <w:color w:val="000000" w:themeColor="text1"/>
        </w:rPr>
        <w:t>12</w:t>
      </w:r>
      <w:r w:rsidRPr="005C4C92">
        <w:rPr>
          <w:rFonts w:ascii="標楷體" w:hAnsi="標楷體" w:hint="eastAsia"/>
          <w:color w:val="000000" w:themeColor="text1"/>
        </w:rPr>
        <w:t>期，第</w:t>
      </w:r>
      <w:r w:rsidRPr="005C4C92">
        <w:rPr>
          <w:rFonts w:ascii="標楷體" w:hAnsi="標楷體"/>
          <w:color w:val="000000" w:themeColor="text1"/>
        </w:rPr>
        <w:t>3</w:t>
      </w:r>
      <w:r w:rsidRPr="005C4C92">
        <w:rPr>
          <w:rFonts w:ascii="標楷體" w:hAnsi="標楷體" w:hint="eastAsia"/>
          <w:color w:val="000000" w:themeColor="text1"/>
        </w:rPr>
        <w:t>頁，</w:t>
      </w:r>
      <w:r w:rsidRPr="005C4C92">
        <w:rPr>
          <w:rFonts w:ascii="標楷體" w:hAnsi="標楷體"/>
          <w:color w:val="000000" w:themeColor="text1"/>
        </w:rPr>
        <w:t>2000</w:t>
      </w:r>
      <w:r w:rsidRPr="005C4C92">
        <w:rPr>
          <w:rFonts w:ascii="標楷體" w:hAnsi="標楷體" w:hint="eastAsia"/>
          <w:color w:val="000000" w:themeColor="text1"/>
        </w:rPr>
        <w:t>年</w:t>
      </w:r>
      <w:r w:rsidRPr="005C4C92">
        <w:rPr>
          <w:rFonts w:ascii="標楷體" w:hAnsi="標楷體"/>
          <w:color w:val="000000" w:themeColor="text1"/>
        </w:rPr>
        <w:t>7</w:t>
      </w:r>
      <w:r w:rsidRPr="005C4C92">
        <w:rPr>
          <w:rFonts w:ascii="標楷體" w:hAnsi="標楷體" w:hint="eastAsia"/>
          <w:color w:val="000000" w:themeColor="text1"/>
        </w:rPr>
        <w:t>月。</w:t>
      </w:r>
    </w:p>
  </w:footnote>
  <w:footnote w:id="13">
    <w:p w:rsidR="008C3333" w:rsidRPr="005C4C92" w:rsidRDefault="008C3333" w:rsidP="00C66437">
      <w:pPr>
        <w:pStyle w:val="afe"/>
        <w:ind w:hanging="85"/>
        <w:rPr>
          <w:rFonts w:ascii="標楷體" w:hAnsi="標楷體"/>
          <w:color w:val="000000" w:themeColor="text1"/>
        </w:rPr>
      </w:pPr>
      <w:r w:rsidRPr="005C4C92">
        <w:rPr>
          <w:rStyle w:val="aff1"/>
          <w:rFonts w:hAnsi="標楷體"/>
          <w:color w:val="000000" w:themeColor="text1"/>
        </w:rPr>
        <w:footnoteRef/>
      </w:r>
      <w:r w:rsidRPr="005C4C92">
        <w:rPr>
          <w:rFonts w:ascii="標楷體" w:hAnsi="標楷體" w:hint="eastAsia"/>
          <w:color w:val="000000" w:themeColor="text1"/>
        </w:rPr>
        <w:t>林鈺雄，刑事訴訟法下冊，第</w:t>
      </w:r>
      <w:r w:rsidRPr="005C4C92">
        <w:rPr>
          <w:rFonts w:ascii="標楷體" w:hAnsi="標楷體"/>
          <w:color w:val="000000" w:themeColor="text1"/>
        </w:rPr>
        <w:t xml:space="preserve">7 </w:t>
      </w:r>
      <w:r w:rsidRPr="005C4C92">
        <w:rPr>
          <w:rFonts w:ascii="標楷體" w:hAnsi="標楷體" w:hint="eastAsia"/>
          <w:color w:val="000000" w:themeColor="text1"/>
        </w:rPr>
        <w:t>頁，元照出版有限公司，</w:t>
      </w:r>
      <w:r>
        <w:rPr>
          <w:rFonts w:ascii="標楷體" w:hAnsi="標楷體"/>
          <w:color w:val="000000" w:themeColor="text1"/>
        </w:rPr>
        <w:t>2004</w:t>
      </w:r>
      <w:r w:rsidRPr="005C4C92">
        <w:rPr>
          <w:rFonts w:ascii="標楷體" w:hAnsi="標楷體" w:hint="eastAsia"/>
          <w:color w:val="000000" w:themeColor="text1"/>
        </w:rPr>
        <w:t>年</w:t>
      </w:r>
      <w:r>
        <w:rPr>
          <w:rFonts w:ascii="標楷體" w:hAnsi="標楷體"/>
          <w:color w:val="000000" w:themeColor="text1"/>
        </w:rPr>
        <w:t>4</w:t>
      </w:r>
      <w:r w:rsidRPr="005C4C92">
        <w:rPr>
          <w:rFonts w:ascii="標楷體" w:hAnsi="標楷體" w:hint="eastAsia"/>
          <w:color w:val="000000" w:themeColor="text1"/>
        </w:rPr>
        <w:t>版，第</w:t>
      </w:r>
      <w:r w:rsidRPr="005C4C92">
        <w:rPr>
          <w:rFonts w:ascii="標楷體" w:hAnsi="標楷體"/>
          <w:color w:val="000000" w:themeColor="text1"/>
        </w:rPr>
        <w:t>189</w:t>
      </w:r>
      <w:r w:rsidRPr="005C4C92">
        <w:rPr>
          <w:rFonts w:ascii="標楷體" w:hAnsi="標楷體" w:hint="eastAsia"/>
          <w:color w:val="000000" w:themeColor="text1"/>
        </w:rPr>
        <w:t>頁。</w:t>
      </w:r>
    </w:p>
  </w:footnote>
  <w:footnote w:id="14">
    <w:p w:rsidR="008C3333" w:rsidRPr="005C4C92" w:rsidRDefault="008C3333" w:rsidP="00C66437">
      <w:pPr>
        <w:pStyle w:val="afe"/>
        <w:ind w:hanging="85"/>
        <w:rPr>
          <w:rFonts w:ascii="標楷體" w:hAnsi="標楷體"/>
          <w:color w:val="000000" w:themeColor="text1"/>
        </w:rPr>
      </w:pPr>
      <w:r w:rsidRPr="005C4C92">
        <w:rPr>
          <w:rStyle w:val="aff1"/>
          <w:rFonts w:hAnsi="標楷體"/>
          <w:color w:val="000000" w:themeColor="text1"/>
        </w:rPr>
        <w:footnoteRef/>
      </w:r>
      <w:r w:rsidRPr="005C4C92">
        <w:rPr>
          <w:rFonts w:ascii="標楷體" w:hAnsi="標楷體" w:hint="eastAsia"/>
          <w:color w:val="000000" w:themeColor="text1"/>
        </w:rPr>
        <w:t>就美國當事人進行主義之改變與發展，可參</w:t>
      </w:r>
      <w:r w:rsidRPr="005C4C92">
        <w:rPr>
          <w:rFonts w:ascii="標楷體" w:hAnsi="標楷體"/>
          <w:color w:val="000000" w:themeColor="text1"/>
        </w:rPr>
        <w:t xml:space="preserve">Daniel H. Foote </w:t>
      </w:r>
      <w:r w:rsidRPr="005C4C92">
        <w:rPr>
          <w:rFonts w:ascii="標楷體" w:hAnsi="標楷體" w:hint="eastAsia"/>
          <w:color w:val="000000" w:themeColor="text1"/>
        </w:rPr>
        <w:t>著，王兆鵬譯，「「當事人進行主義─日本與美國」日本暨美國刑事訴訟制度研討會」，法學叢刊，第</w:t>
      </w:r>
      <w:r w:rsidRPr="005C4C92">
        <w:rPr>
          <w:rFonts w:ascii="標楷體" w:hAnsi="標楷體"/>
          <w:color w:val="000000" w:themeColor="text1"/>
        </w:rPr>
        <w:t>174</w:t>
      </w:r>
      <w:r w:rsidRPr="005C4C92">
        <w:rPr>
          <w:rFonts w:ascii="標楷體" w:hAnsi="標楷體" w:hint="eastAsia"/>
          <w:color w:val="000000" w:themeColor="text1"/>
        </w:rPr>
        <w:t>期，第</w:t>
      </w:r>
      <w:r w:rsidRPr="005C4C92">
        <w:rPr>
          <w:rFonts w:ascii="標楷體" w:hAnsi="標楷體"/>
          <w:color w:val="000000" w:themeColor="text1"/>
        </w:rPr>
        <w:t>18</w:t>
      </w:r>
      <w:r w:rsidRPr="005C4C92">
        <w:rPr>
          <w:rFonts w:ascii="標楷體" w:hAnsi="標楷體" w:hint="eastAsia"/>
          <w:color w:val="000000" w:themeColor="text1"/>
        </w:rPr>
        <w:t>頁以下，</w:t>
      </w:r>
      <w:r w:rsidRPr="005C4C92">
        <w:rPr>
          <w:rFonts w:ascii="標楷體" w:hAnsi="標楷體"/>
          <w:color w:val="000000" w:themeColor="text1"/>
        </w:rPr>
        <w:t>1999</w:t>
      </w:r>
      <w:r w:rsidRPr="005C4C92">
        <w:rPr>
          <w:rFonts w:ascii="標楷體" w:hAnsi="標楷體" w:hint="eastAsia"/>
          <w:color w:val="000000" w:themeColor="text1"/>
        </w:rPr>
        <w:t>年</w:t>
      </w:r>
      <w:r w:rsidRPr="005C4C92">
        <w:rPr>
          <w:rFonts w:ascii="標楷體" w:hAnsi="標楷體"/>
          <w:color w:val="000000" w:themeColor="text1"/>
        </w:rPr>
        <w:t xml:space="preserve">4 </w:t>
      </w:r>
      <w:r w:rsidRPr="005C4C92">
        <w:rPr>
          <w:rFonts w:ascii="標楷體" w:hAnsi="標楷體" w:hint="eastAsia"/>
          <w:color w:val="000000" w:themeColor="text1"/>
        </w:rPr>
        <w:t>月。</w:t>
      </w:r>
    </w:p>
  </w:footnote>
  <w:footnote w:id="15">
    <w:p w:rsidR="008C3333" w:rsidRPr="005C4C92" w:rsidRDefault="008C3333" w:rsidP="00C66437">
      <w:pPr>
        <w:pStyle w:val="afe"/>
        <w:ind w:hanging="85"/>
        <w:rPr>
          <w:rFonts w:ascii="標楷體" w:hAnsi="標楷體"/>
          <w:color w:val="000000" w:themeColor="text1"/>
        </w:rPr>
      </w:pPr>
      <w:r w:rsidRPr="005C4C92">
        <w:rPr>
          <w:rStyle w:val="aff1"/>
          <w:rFonts w:hAnsi="標楷體"/>
          <w:color w:val="000000" w:themeColor="text1"/>
        </w:rPr>
        <w:footnoteRef/>
      </w:r>
      <w:r w:rsidRPr="005C4C92">
        <w:rPr>
          <w:rFonts w:ascii="標楷體" w:hAnsi="標楷體" w:hint="eastAsia"/>
          <w:color w:val="000000" w:themeColor="text1"/>
        </w:rPr>
        <w:t>熊谷秀，論鑑定制度之理論構成與實踐，成功大學法研所碩士論文，第93頁，</w:t>
      </w:r>
      <w:r w:rsidRPr="005C4C92">
        <w:rPr>
          <w:rFonts w:ascii="標楷體" w:hAnsi="標楷體"/>
          <w:color w:val="000000" w:themeColor="text1"/>
        </w:rPr>
        <w:t>2004</w:t>
      </w:r>
      <w:r w:rsidRPr="005C4C92">
        <w:rPr>
          <w:rFonts w:ascii="標楷體" w:hAnsi="標楷體" w:hint="eastAsia"/>
          <w:color w:val="000000" w:themeColor="text1"/>
        </w:rPr>
        <w:t>年。</w:t>
      </w:r>
    </w:p>
  </w:footnote>
  <w:footnote w:id="16">
    <w:p w:rsidR="008C3333" w:rsidRPr="005C4C92" w:rsidRDefault="008C3333" w:rsidP="00C66437">
      <w:pPr>
        <w:pStyle w:val="afe"/>
        <w:ind w:hanging="85"/>
        <w:rPr>
          <w:rFonts w:ascii="標楷體" w:hAnsi="標楷體"/>
          <w:color w:val="000000" w:themeColor="text1"/>
        </w:rPr>
      </w:pPr>
      <w:r w:rsidRPr="005C4C92">
        <w:rPr>
          <w:rStyle w:val="aff1"/>
          <w:rFonts w:hAnsi="標楷體"/>
          <w:color w:val="000000" w:themeColor="text1"/>
        </w:rPr>
        <w:footnoteRef/>
      </w:r>
      <w:r w:rsidRPr="005C4C92">
        <w:rPr>
          <w:rFonts w:ascii="標楷體" w:hAnsi="標楷體" w:hint="eastAsia"/>
          <w:color w:val="000000" w:themeColor="text1"/>
        </w:rPr>
        <w:t xml:space="preserve">其規定為：The court may appoint any expert witness agreed upon by the parties, and may appoint </w:t>
      </w:r>
      <w:r w:rsidRPr="005C4C92">
        <w:rPr>
          <w:rFonts w:ascii="標楷體" w:hAnsi="標楷體"/>
          <w:color w:val="000000" w:themeColor="text1"/>
        </w:rPr>
        <w:t>expert witness of its own selsection.</w:t>
      </w:r>
    </w:p>
  </w:footnote>
  <w:footnote w:id="17">
    <w:p w:rsidR="008C3333" w:rsidRPr="005C4C92" w:rsidRDefault="008C3333" w:rsidP="00C66437">
      <w:pPr>
        <w:pStyle w:val="afe"/>
        <w:ind w:hanging="85"/>
        <w:rPr>
          <w:rFonts w:ascii="標楷體" w:hAnsi="標楷體"/>
          <w:color w:val="000000" w:themeColor="text1"/>
        </w:rPr>
      </w:pPr>
      <w:r w:rsidRPr="005C4C92">
        <w:rPr>
          <w:rStyle w:val="aff1"/>
          <w:rFonts w:hAnsi="標楷體"/>
          <w:color w:val="000000" w:themeColor="text1"/>
        </w:rPr>
        <w:footnoteRef/>
      </w:r>
      <w:r w:rsidRPr="005C4C92">
        <w:rPr>
          <w:rFonts w:ascii="標楷體" w:hAnsi="標楷體" w:hint="eastAsia"/>
          <w:color w:val="000000" w:themeColor="text1"/>
        </w:rPr>
        <w:t>李貞儀，刑事鑑定制度之研究，台灣大學法研所碩士論文，第</w:t>
      </w:r>
      <w:r w:rsidRPr="005C4C92">
        <w:rPr>
          <w:rFonts w:ascii="標楷體" w:hAnsi="標楷體"/>
          <w:color w:val="000000" w:themeColor="text1"/>
        </w:rPr>
        <w:t>6</w:t>
      </w:r>
      <w:r w:rsidRPr="005C4C92">
        <w:rPr>
          <w:rFonts w:ascii="標楷體" w:hAnsi="標楷體" w:hint="eastAsia"/>
          <w:color w:val="000000" w:themeColor="text1"/>
        </w:rPr>
        <w:t>9頁，</w:t>
      </w:r>
      <w:r w:rsidRPr="005C4C92">
        <w:rPr>
          <w:rFonts w:ascii="標楷體" w:hAnsi="標楷體"/>
          <w:color w:val="000000" w:themeColor="text1"/>
        </w:rPr>
        <w:t>1998</w:t>
      </w:r>
      <w:r w:rsidRPr="005C4C92">
        <w:rPr>
          <w:rFonts w:ascii="標楷體" w:hAnsi="標楷體" w:hint="eastAsia"/>
          <w:color w:val="000000" w:themeColor="text1"/>
        </w:rPr>
        <w:t>年。</w:t>
      </w:r>
    </w:p>
  </w:footnote>
  <w:footnote w:id="18">
    <w:p w:rsidR="008C3333" w:rsidRPr="005C4C92" w:rsidRDefault="008C3333" w:rsidP="00C66437">
      <w:pPr>
        <w:pStyle w:val="afe"/>
        <w:ind w:hanging="85"/>
        <w:rPr>
          <w:rFonts w:ascii="標楷體" w:hAnsi="標楷體"/>
          <w:color w:val="000000" w:themeColor="text1"/>
        </w:rPr>
      </w:pPr>
      <w:r w:rsidRPr="005C4C92">
        <w:rPr>
          <w:rStyle w:val="aff1"/>
          <w:rFonts w:hAnsi="標楷體"/>
          <w:color w:val="000000" w:themeColor="text1"/>
        </w:rPr>
        <w:footnoteRef/>
      </w:r>
      <w:r w:rsidRPr="005C4C92">
        <w:rPr>
          <w:rFonts w:ascii="標楷體" w:hAnsi="標楷體" w:hint="eastAsia"/>
          <w:color w:val="000000" w:themeColor="text1"/>
        </w:rPr>
        <w:t>就美國當事人進行主義之改變與發展，可參井上正仁著，陳運財譯，「「日本刑事訴訟法當事人進行主義之採行及其發展」日本暨美國刑事訴訟制度研討會」，法學叢刊，第</w:t>
      </w:r>
      <w:r w:rsidRPr="005C4C92">
        <w:rPr>
          <w:rFonts w:ascii="標楷體" w:hAnsi="標楷體"/>
          <w:color w:val="000000" w:themeColor="text1"/>
        </w:rPr>
        <w:t xml:space="preserve">174 </w:t>
      </w:r>
      <w:r w:rsidRPr="005C4C92">
        <w:rPr>
          <w:rFonts w:ascii="標楷體" w:hAnsi="標楷體" w:hint="eastAsia"/>
          <w:color w:val="000000" w:themeColor="text1"/>
        </w:rPr>
        <w:t>期，討論資料，</w:t>
      </w:r>
      <w:r w:rsidRPr="005C4C92">
        <w:rPr>
          <w:rFonts w:ascii="標楷體" w:hAnsi="標楷體"/>
          <w:color w:val="000000" w:themeColor="text1"/>
        </w:rPr>
        <w:t xml:space="preserve">1999 </w:t>
      </w:r>
      <w:r w:rsidRPr="005C4C92">
        <w:rPr>
          <w:rFonts w:ascii="標楷體" w:hAnsi="標楷體" w:hint="eastAsia"/>
          <w:color w:val="000000" w:themeColor="text1"/>
        </w:rPr>
        <w:t>年</w:t>
      </w:r>
      <w:r w:rsidRPr="005C4C92">
        <w:rPr>
          <w:rFonts w:ascii="標楷體" w:hAnsi="標楷體"/>
          <w:color w:val="000000" w:themeColor="text1"/>
        </w:rPr>
        <w:t xml:space="preserve">4 </w:t>
      </w:r>
      <w:r w:rsidRPr="005C4C92">
        <w:rPr>
          <w:rFonts w:ascii="標楷體" w:hAnsi="標楷體" w:hint="eastAsia"/>
          <w:color w:val="000000" w:themeColor="text1"/>
        </w:rPr>
        <w:t>月。</w:t>
      </w:r>
    </w:p>
  </w:footnote>
  <w:footnote w:id="19">
    <w:p w:rsidR="008C3333" w:rsidRPr="005C4C92" w:rsidRDefault="008C3333" w:rsidP="00C66437">
      <w:pPr>
        <w:pStyle w:val="afe"/>
        <w:ind w:hanging="85"/>
        <w:rPr>
          <w:rFonts w:ascii="標楷體" w:hAnsi="標楷體"/>
          <w:color w:val="000000" w:themeColor="text1"/>
        </w:rPr>
      </w:pPr>
      <w:r w:rsidRPr="005C4C92">
        <w:rPr>
          <w:rStyle w:val="aff1"/>
          <w:rFonts w:hAnsi="標楷體"/>
          <w:color w:val="000000" w:themeColor="text1"/>
        </w:rPr>
        <w:footnoteRef/>
      </w:r>
      <w:r w:rsidRPr="005C4C92">
        <w:rPr>
          <w:rFonts w:ascii="標楷體" w:hAnsi="標楷體" w:hint="eastAsia"/>
          <w:color w:val="000000" w:themeColor="text1"/>
        </w:rPr>
        <w:t>井上正仁著，陳運財譯，「「日本刑事訴訟法當事人進行主義之採行及其發展」日本暨美國刑事訴訟制度研討會」，法學叢刊，第</w:t>
      </w:r>
      <w:r w:rsidRPr="005C4C92">
        <w:rPr>
          <w:rFonts w:ascii="標楷體" w:hAnsi="標楷體"/>
          <w:color w:val="000000" w:themeColor="text1"/>
        </w:rPr>
        <w:t xml:space="preserve">174 </w:t>
      </w:r>
      <w:r w:rsidRPr="005C4C92">
        <w:rPr>
          <w:rFonts w:ascii="標楷體" w:hAnsi="標楷體" w:hint="eastAsia"/>
          <w:color w:val="000000" w:themeColor="text1"/>
        </w:rPr>
        <w:t>期，討論資料，第4-6頁，</w:t>
      </w:r>
      <w:r w:rsidRPr="005C4C92">
        <w:rPr>
          <w:rFonts w:ascii="標楷體" w:hAnsi="標楷體"/>
          <w:color w:val="000000" w:themeColor="text1"/>
        </w:rPr>
        <w:t>1999</w:t>
      </w:r>
      <w:r w:rsidRPr="005C4C92">
        <w:rPr>
          <w:rFonts w:ascii="標楷體" w:hAnsi="標楷體" w:hint="eastAsia"/>
          <w:color w:val="000000" w:themeColor="text1"/>
        </w:rPr>
        <w:t>年</w:t>
      </w:r>
      <w:r w:rsidRPr="005C4C92">
        <w:rPr>
          <w:rFonts w:ascii="標楷體" w:hAnsi="標楷體"/>
          <w:color w:val="000000" w:themeColor="text1"/>
        </w:rPr>
        <w:t>4</w:t>
      </w:r>
      <w:r w:rsidRPr="005C4C92">
        <w:rPr>
          <w:rFonts w:ascii="標楷體" w:hAnsi="標楷體" w:hint="eastAsia"/>
          <w:color w:val="000000" w:themeColor="text1"/>
        </w:rPr>
        <w:t>月。</w:t>
      </w:r>
    </w:p>
  </w:footnote>
  <w:footnote w:id="20">
    <w:p w:rsidR="008C3333" w:rsidRPr="005C4C92" w:rsidRDefault="008C3333" w:rsidP="00C66437">
      <w:pPr>
        <w:pStyle w:val="afe"/>
        <w:ind w:hanging="85"/>
        <w:rPr>
          <w:rFonts w:ascii="標楷體" w:hAnsi="標楷體"/>
          <w:color w:val="000000" w:themeColor="text1"/>
        </w:rPr>
      </w:pPr>
      <w:r w:rsidRPr="005C4C92">
        <w:rPr>
          <w:rStyle w:val="aff1"/>
          <w:rFonts w:hAnsi="標楷體"/>
          <w:color w:val="000000" w:themeColor="text1"/>
        </w:rPr>
        <w:footnoteRef/>
      </w:r>
      <w:r w:rsidRPr="005C4C92">
        <w:rPr>
          <w:rFonts w:ascii="標楷體" w:hAnsi="標楷體" w:hint="eastAsia"/>
          <w:color w:val="000000" w:themeColor="text1"/>
        </w:rPr>
        <w:t>熊谷秀，論鑑定制度之理論構成與實踐，成功大學法研所碩士論文，第</w:t>
      </w:r>
      <w:r w:rsidRPr="005C4C92">
        <w:rPr>
          <w:rFonts w:ascii="標楷體" w:hAnsi="標楷體"/>
          <w:color w:val="000000" w:themeColor="text1"/>
        </w:rPr>
        <w:t>93</w:t>
      </w:r>
      <w:r w:rsidRPr="005C4C92">
        <w:rPr>
          <w:rFonts w:ascii="標楷體" w:hAnsi="標楷體" w:hint="eastAsia"/>
          <w:color w:val="000000" w:themeColor="text1"/>
        </w:rPr>
        <w:t>頁，註</w:t>
      </w:r>
      <w:r w:rsidRPr="005C4C92">
        <w:rPr>
          <w:rFonts w:ascii="標楷體" w:hAnsi="標楷體"/>
          <w:color w:val="000000" w:themeColor="text1"/>
        </w:rPr>
        <w:t>51</w:t>
      </w:r>
      <w:r w:rsidRPr="005C4C92">
        <w:rPr>
          <w:rFonts w:ascii="標楷體" w:hAnsi="標楷體" w:hint="eastAsia"/>
          <w:color w:val="000000" w:themeColor="text1"/>
        </w:rPr>
        <w:t>。</w:t>
      </w:r>
    </w:p>
  </w:footnote>
  <w:footnote w:id="21">
    <w:p w:rsidR="008C3333" w:rsidRPr="005C4C92" w:rsidRDefault="008C3333" w:rsidP="00C66437">
      <w:pPr>
        <w:pStyle w:val="afe"/>
        <w:ind w:hanging="85"/>
        <w:rPr>
          <w:rFonts w:ascii="標楷體" w:hAnsi="標楷體"/>
          <w:color w:val="000000" w:themeColor="text1"/>
        </w:rPr>
      </w:pPr>
      <w:r w:rsidRPr="005C4C92">
        <w:rPr>
          <w:rStyle w:val="aff1"/>
          <w:rFonts w:hAnsi="標楷體"/>
          <w:color w:val="000000" w:themeColor="text1"/>
        </w:rPr>
        <w:footnoteRef/>
      </w:r>
      <w:r w:rsidRPr="005C4C92">
        <w:rPr>
          <w:rFonts w:ascii="標楷體" w:hAnsi="標楷體" w:hint="eastAsia"/>
          <w:color w:val="000000" w:themeColor="text1"/>
        </w:rPr>
        <w:t>李貞儀，刑事鑑定制度之研究，台灣大學法研所碩士論文，第</w:t>
      </w:r>
      <w:r w:rsidRPr="005C4C92">
        <w:rPr>
          <w:rFonts w:ascii="標楷體" w:hAnsi="標楷體"/>
          <w:color w:val="000000" w:themeColor="text1"/>
        </w:rPr>
        <w:t>50</w:t>
      </w:r>
      <w:r w:rsidRPr="005C4C92">
        <w:rPr>
          <w:rFonts w:ascii="標楷體" w:hAnsi="標楷體" w:hint="eastAsia"/>
          <w:color w:val="000000" w:themeColor="text1"/>
        </w:rPr>
        <w:t>頁。</w:t>
      </w:r>
    </w:p>
  </w:footnote>
  <w:footnote w:id="22">
    <w:p w:rsidR="008C3333" w:rsidRPr="005C4C92" w:rsidRDefault="008C3333" w:rsidP="00C66437">
      <w:pPr>
        <w:pStyle w:val="afe"/>
        <w:ind w:hanging="85"/>
        <w:rPr>
          <w:rFonts w:ascii="標楷體" w:hAnsi="標楷體"/>
          <w:color w:val="000000" w:themeColor="text1"/>
        </w:rPr>
      </w:pPr>
      <w:r w:rsidRPr="005C4C92">
        <w:rPr>
          <w:rStyle w:val="aff1"/>
          <w:rFonts w:hAnsi="標楷體"/>
          <w:color w:val="000000" w:themeColor="text1"/>
        </w:rPr>
        <w:footnoteRef/>
      </w:r>
      <w:r w:rsidRPr="005C4C92">
        <w:rPr>
          <w:rFonts w:ascii="標楷體" w:hAnsi="標楷體" w:hint="eastAsia"/>
          <w:color w:val="000000" w:themeColor="text1"/>
        </w:rPr>
        <w:t>石井一正著，陳浩然譯，鄭善印校訂，日本實用刑事證據法，第229 頁，五南圖書出版公司，</w:t>
      </w:r>
      <w:r w:rsidRPr="005C4C92">
        <w:rPr>
          <w:rFonts w:ascii="標楷體" w:hAnsi="標楷體"/>
          <w:color w:val="000000" w:themeColor="text1"/>
        </w:rPr>
        <w:t xml:space="preserve">2000 </w:t>
      </w:r>
      <w:r w:rsidRPr="005C4C92">
        <w:rPr>
          <w:rFonts w:ascii="標楷體" w:hAnsi="標楷體" w:hint="eastAsia"/>
          <w:color w:val="000000" w:themeColor="text1"/>
        </w:rPr>
        <w:t>年。</w:t>
      </w:r>
    </w:p>
  </w:footnote>
  <w:footnote w:id="23">
    <w:p w:rsidR="008C3333" w:rsidRPr="005C4C92" w:rsidRDefault="008C3333" w:rsidP="00C66437">
      <w:pPr>
        <w:pStyle w:val="afe"/>
        <w:ind w:hanging="85"/>
        <w:rPr>
          <w:rFonts w:ascii="標楷體" w:hAnsi="標楷體"/>
          <w:color w:val="000000" w:themeColor="text1"/>
        </w:rPr>
      </w:pPr>
      <w:r w:rsidRPr="005C4C92">
        <w:rPr>
          <w:rStyle w:val="aff1"/>
          <w:rFonts w:hAnsi="標楷體"/>
          <w:color w:val="000000" w:themeColor="text1"/>
        </w:rPr>
        <w:footnoteRef/>
      </w:r>
      <w:r w:rsidRPr="005C4C92">
        <w:rPr>
          <w:rFonts w:ascii="標楷體" w:hAnsi="標楷體" w:hint="eastAsia"/>
          <w:color w:val="000000" w:themeColor="text1"/>
        </w:rPr>
        <w:t>為避免鑑定程序之進行受不當影響，除被告做為鑑定行為之客體的情形外，原則上被告並無鑑定到場權，僅得由其所委任之辯護人在場。</w:t>
      </w:r>
    </w:p>
  </w:footnote>
  <w:footnote w:id="24">
    <w:p w:rsidR="008C3333" w:rsidRPr="005C4C92" w:rsidRDefault="008C3333" w:rsidP="00C66437">
      <w:pPr>
        <w:pStyle w:val="afe"/>
        <w:ind w:hanging="85"/>
        <w:rPr>
          <w:rFonts w:ascii="標楷體" w:hAnsi="標楷體"/>
          <w:color w:val="000000" w:themeColor="text1"/>
        </w:rPr>
      </w:pPr>
      <w:r w:rsidRPr="005C4C92">
        <w:rPr>
          <w:rStyle w:val="aff1"/>
          <w:rFonts w:hAnsi="標楷體"/>
          <w:color w:val="000000" w:themeColor="text1"/>
        </w:rPr>
        <w:footnoteRef/>
      </w:r>
      <w:r w:rsidRPr="005C4C92">
        <w:rPr>
          <w:rFonts w:ascii="標楷體" w:hAnsi="標楷體" w:hint="eastAsia"/>
          <w:color w:val="000000" w:themeColor="text1"/>
        </w:rPr>
        <w:t>石井一正著，陳浩然譯，鄭善印校訂，日本實用刑事證據法，第274頁。</w:t>
      </w:r>
    </w:p>
  </w:footnote>
  <w:footnote w:id="25">
    <w:p w:rsidR="008C3333" w:rsidRPr="005C4C92" w:rsidRDefault="008C3333" w:rsidP="00C66437">
      <w:pPr>
        <w:pStyle w:val="afe"/>
        <w:ind w:hanging="85"/>
        <w:rPr>
          <w:rFonts w:ascii="標楷體" w:hAnsi="標楷體"/>
          <w:color w:val="000000" w:themeColor="text1"/>
        </w:rPr>
      </w:pPr>
      <w:r w:rsidRPr="005C4C92">
        <w:rPr>
          <w:rStyle w:val="aff1"/>
          <w:rFonts w:hAnsi="標楷體"/>
          <w:color w:val="000000" w:themeColor="text1"/>
        </w:rPr>
        <w:footnoteRef/>
      </w:r>
      <w:r w:rsidRPr="005C4C92">
        <w:rPr>
          <w:rFonts w:ascii="標楷體" w:hAnsi="標楷體" w:hint="eastAsia"/>
          <w:color w:val="000000" w:themeColor="text1"/>
        </w:rPr>
        <w:t>依日本刑事訴訟法第三百二十一條第四項之規定，鑑定人之鑑定結果若係以報告書之形式提出時，則當鑑定人於審判期日時出庭接受詢問後，該鑑定報告之內容即具有證據能力。詳細討論可參李貞儀，刑事鑑定制度之研究，台灣大學法研所碩士論文，第45頁。</w:t>
      </w:r>
    </w:p>
  </w:footnote>
  <w:footnote w:id="26">
    <w:p w:rsidR="008C3333" w:rsidRPr="005C4C92" w:rsidRDefault="008C3333" w:rsidP="00C66437">
      <w:pPr>
        <w:pStyle w:val="afe"/>
        <w:ind w:hanging="85"/>
        <w:rPr>
          <w:rFonts w:ascii="標楷體" w:hAnsi="標楷體"/>
          <w:color w:val="000000" w:themeColor="text1"/>
        </w:rPr>
      </w:pPr>
      <w:r w:rsidRPr="005C4C92">
        <w:rPr>
          <w:rStyle w:val="aff1"/>
          <w:rFonts w:hAnsi="標楷體"/>
          <w:color w:val="000000" w:themeColor="text1"/>
        </w:rPr>
        <w:footnoteRef/>
      </w:r>
      <w:r>
        <w:rPr>
          <w:rFonts w:ascii="標楷體" w:hAnsi="標楷體" w:hint="eastAsia"/>
          <w:color w:val="000000" w:themeColor="text1"/>
        </w:rPr>
        <w:t xml:space="preserve"> </w:t>
      </w:r>
      <w:r w:rsidRPr="005C4C92">
        <w:rPr>
          <w:rFonts w:ascii="標楷體" w:hAnsi="標楷體" w:hint="eastAsia"/>
          <w:color w:val="000000" w:themeColor="text1"/>
        </w:rPr>
        <w:t>石井一正著，陳浩然譯，鄭善印校訂，日本實用刑事證據法，第275-276頁。</w:t>
      </w:r>
    </w:p>
  </w:footnote>
  <w:footnote w:id="27">
    <w:p w:rsidR="008C3333" w:rsidRPr="00833BFB" w:rsidRDefault="008C3333" w:rsidP="00833BFB">
      <w:pPr>
        <w:pStyle w:val="afe"/>
        <w:ind w:hanging="85"/>
        <w:rPr>
          <w:color w:val="000000" w:themeColor="text1"/>
        </w:rPr>
      </w:pPr>
      <w:r>
        <w:rPr>
          <w:rStyle w:val="aff1"/>
        </w:rPr>
        <w:footnoteRef/>
      </w:r>
      <w:r>
        <w:rPr>
          <w:rFonts w:hint="eastAsia"/>
        </w:rPr>
        <w:t xml:space="preserve">　英國國內事務部鑑</w:t>
      </w:r>
      <w:r w:rsidRPr="00833BFB">
        <w:rPr>
          <w:rFonts w:hint="eastAsia"/>
          <w:color w:val="000000" w:themeColor="text1"/>
        </w:rPr>
        <w:t>識科學監管局</w:t>
      </w:r>
      <w:r w:rsidRPr="00833BFB">
        <w:rPr>
          <w:color w:val="000000" w:themeColor="text1"/>
        </w:rPr>
        <w:t>Forensic Science Regulator: technical guidance</w:t>
      </w:r>
      <w:r w:rsidRPr="00833BFB">
        <w:rPr>
          <w:rFonts w:hint="eastAsia"/>
          <w:color w:val="000000" w:themeColor="text1"/>
        </w:rPr>
        <w:t>，網站：</w:t>
      </w:r>
      <w:hyperlink r:id="rId5" w:history="1">
        <w:r w:rsidRPr="00833BFB">
          <w:rPr>
            <w:rStyle w:val="af1"/>
            <w:color w:val="000000" w:themeColor="text1"/>
            <w:u w:val="none"/>
          </w:rPr>
          <w:t>https://www.gov.uk/government/collections/forensic-science-regulator-technical-guidance</w:t>
        </w:r>
        <w:r w:rsidRPr="00833BFB">
          <w:rPr>
            <w:rStyle w:val="af1"/>
            <w:rFonts w:hint="eastAsia"/>
            <w:color w:val="000000" w:themeColor="text1"/>
            <w:u w:val="none"/>
          </w:rPr>
          <w:t>，最後檢索日期：</w:t>
        </w:r>
        <w:r w:rsidRPr="00833BFB">
          <w:rPr>
            <w:rStyle w:val="af1"/>
            <w:rFonts w:hint="eastAsia"/>
            <w:color w:val="000000" w:themeColor="text1"/>
            <w:u w:val="none"/>
          </w:rPr>
          <w:t>108</w:t>
        </w:r>
      </w:hyperlink>
      <w:r w:rsidRPr="00833BFB">
        <w:rPr>
          <w:rFonts w:hint="eastAsia"/>
          <w:color w:val="000000" w:themeColor="text1"/>
        </w:rPr>
        <w:t>年</w:t>
      </w:r>
      <w:r w:rsidRPr="00833BFB">
        <w:rPr>
          <w:rFonts w:hint="eastAsia"/>
          <w:color w:val="000000" w:themeColor="text1"/>
        </w:rPr>
        <w:t>12</w:t>
      </w:r>
      <w:r w:rsidRPr="00833BFB">
        <w:rPr>
          <w:rFonts w:hint="eastAsia"/>
          <w:color w:val="000000" w:themeColor="text1"/>
        </w:rPr>
        <w:t>月</w:t>
      </w:r>
      <w:r w:rsidRPr="00833BFB">
        <w:rPr>
          <w:rFonts w:hint="eastAsia"/>
          <w:color w:val="000000" w:themeColor="text1"/>
        </w:rPr>
        <w:t>16</w:t>
      </w:r>
      <w:r w:rsidRPr="00833BFB">
        <w:rPr>
          <w:rFonts w:hint="eastAsia"/>
          <w:color w:val="000000" w:themeColor="text1"/>
        </w:rPr>
        <w:t>日。</w:t>
      </w:r>
    </w:p>
  </w:footnote>
  <w:footnote w:id="28">
    <w:p w:rsidR="008C3333" w:rsidRPr="00FE5680" w:rsidRDefault="008C3333" w:rsidP="006A0A4F">
      <w:pPr>
        <w:pStyle w:val="afe"/>
        <w:wordWrap w:val="0"/>
        <w:ind w:hanging="85"/>
      </w:pPr>
      <w:r>
        <w:rPr>
          <w:rStyle w:val="aff1"/>
        </w:rPr>
        <w:footnoteRef/>
      </w:r>
      <w:r>
        <w:t xml:space="preserve"> </w:t>
      </w:r>
      <w:r>
        <w:rPr>
          <w:rFonts w:hint="eastAsia"/>
        </w:rPr>
        <w:t>法國最高法院網站</w:t>
      </w:r>
      <w:r w:rsidRPr="00363D96">
        <w:rPr>
          <w:color w:val="000000" w:themeColor="text1"/>
        </w:rPr>
        <w:t>：</w:t>
      </w:r>
      <w:hyperlink r:id="rId6" w:history="1">
        <w:r w:rsidRPr="00FE5680">
          <w:rPr>
            <w:rStyle w:val="af1"/>
            <w:color w:val="000000" w:themeColor="text1"/>
            <w:u w:val="none"/>
          </w:rPr>
          <w:t>https://www.courdecassation.fr/informations_sevices_6/experts_judiciaires_8700.html</w:t>
        </w:r>
        <w:r w:rsidRPr="00FE5680">
          <w:rPr>
            <w:rStyle w:val="af1"/>
            <w:color w:val="000000" w:themeColor="text1"/>
            <w:u w:val="none"/>
          </w:rPr>
          <w:t>，最後檢</w:t>
        </w:r>
        <w:r w:rsidRPr="00FE5680">
          <w:rPr>
            <w:rStyle w:val="af1"/>
            <w:rFonts w:hint="eastAsia"/>
            <w:color w:val="000000" w:themeColor="text1"/>
            <w:u w:val="none"/>
          </w:rPr>
          <w:t>索日期：</w:t>
        </w:r>
        <w:r w:rsidRPr="00FE5680">
          <w:rPr>
            <w:rStyle w:val="af1"/>
            <w:rFonts w:hint="eastAsia"/>
            <w:color w:val="000000" w:themeColor="text1"/>
            <w:u w:val="none"/>
          </w:rPr>
          <w:t>108</w:t>
        </w:r>
      </w:hyperlink>
      <w:r w:rsidRPr="00FE5680">
        <w:rPr>
          <w:rFonts w:hint="eastAsia"/>
          <w:color w:val="000000" w:themeColor="text1"/>
        </w:rPr>
        <w:t>年</w:t>
      </w:r>
      <w:r w:rsidRPr="00FE5680">
        <w:rPr>
          <w:rFonts w:hint="eastAsia"/>
          <w:color w:val="000000" w:themeColor="text1"/>
        </w:rPr>
        <w:t>12</w:t>
      </w:r>
      <w:r w:rsidRPr="00FE5680">
        <w:rPr>
          <w:rFonts w:hint="eastAsia"/>
          <w:color w:val="000000" w:themeColor="text1"/>
        </w:rPr>
        <w:t>月</w:t>
      </w:r>
      <w:r w:rsidRPr="00FE5680">
        <w:rPr>
          <w:rFonts w:hint="eastAsia"/>
          <w:color w:val="000000" w:themeColor="text1"/>
        </w:rPr>
        <w:t>16</w:t>
      </w:r>
      <w:r w:rsidRPr="00FE5680">
        <w:rPr>
          <w:rFonts w:hint="eastAsia"/>
          <w:color w:val="000000" w:themeColor="text1"/>
        </w:rPr>
        <w:t>日。</w:t>
      </w:r>
    </w:p>
  </w:footnote>
  <w:footnote w:id="29">
    <w:p w:rsidR="008C3333" w:rsidRPr="005C4C92" w:rsidRDefault="008C3333" w:rsidP="00C66437">
      <w:pPr>
        <w:pStyle w:val="afe"/>
        <w:ind w:hanging="85"/>
        <w:rPr>
          <w:color w:val="000000" w:themeColor="text1"/>
        </w:rPr>
      </w:pPr>
      <w:r w:rsidRPr="005C4C92">
        <w:rPr>
          <w:rStyle w:val="aff1"/>
          <w:color w:val="000000" w:themeColor="text1"/>
        </w:rPr>
        <w:footnoteRef/>
      </w:r>
      <w:r w:rsidRPr="005C4C92">
        <w:rPr>
          <w:color w:val="000000" w:themeColor="text1"/>
        </w:rPr>
        <w:t xml:space="preserve"> </w:t>
      </w:r>
      <w:r w:rsidRPr="005C4C92">
        <w:rPr>
          <w:rFonts w:hint="eastAsia"/>
          <w:color w:val="000000" w:themeColor="text1"/>
        </w:rPr>
        <w:t>北京法院網：</w:t>
      </w:r>
      <w:hyperlink r:id="rId7" w:history="1">
        <w:r w:rsidRPr="005C4C92">
          <w:rPr>
            <w:rStyle w:val="af1"/>
            <w:color w:val="000000" w:themeColor="text1"/>
            <w:u w:val="none"/>
          </w:rPr>
          <w:t>http://bjgy.chinacourt.gov.cn/article/detail/2010/06/id/876510.shtml</w:t>
        </w:r>
      </w:hyperlink>
      <w:r w:rsidRPr="005C4C92">
        <w:rPr>
          <w:rFonts w:hint="eastAsia"/>
          <w:color w:val="000000" w:themeColor="text1"/>
        </w:rPr>
        <w:t>，最後檢索日期：</w:t>
      </w:r>
      <w:r>
        <w:rPr>
          <w:rFonts w:hint="eastAsia"/>
          <w:color w:val="000000" w:themeColor="text1"/>
        </w:rPr>
        <w:t>108</w:t>
      </w:r>
      <w:r w:rsidRPr="005C4C92">
        <w:rPr>
          <w:rFonts w:hint="eastAsia"/>
          <w:color w:val="000000" w:themeColor="text1"/>
        </w:rPr>
        <w:t>年</w:t>
      </w:r>
      <w:r>
        <w:rPr>
          <w:rFonts w:hint="eastAsia"/>
          <w:color w:val="000000" w:themeColor="text1"/>
        </w:rPr>
        <w:t>12</w:t>
      </w:r>
      <w:r w:rsidRPr="005C4C92">
        <w:rPr>
          <w:rFonts w:hint="eastAsia"/>
          <w:color w:val="000000" w:themeColor="text1"/>
        </w:rPr>
        <w:t>月</w:t>
      </w:r>
      <w:r>
        <w:rPr>
          <w:rFonts w:hint="eastAsia"/>
          <w:color w:val="000000" w:themeColor="text1"/>
        </w:rPr>
        <w:t>16</w:t>
      </w:r>
      <w:r w:rsidRPr="005C4C92">
        <w:rPr>
          <w:rFonts w:hint="eastAsia"/>
          <w:color w:val="000000" w:themeColor="text1"/>
        </w:rPr>
        <w:t>日。</w:t>
      </w:r>
    </w:p>
  </w:footnote>
  <w:footnote w:id="30">
    <w:p w:rsidR="008C3333" w:rsidRDefault="008C3333" w:rsidP="00C66437">
      <w:pPr>
        <w:pStyle w:val="afe"/>
        <w:ind w:hanging="85"/>
      </w:pPr>
      <w:r>
        <w:rPr>
          <w:rStyle w:val="aff1"/>
        </w:rPr>
        <w:footnoteRef/>
      </w:r>
      <w:r>
        <w:t xml:space="preserve"> </w:t>
      </w:r>
      <w:r>
        <w:rPr>
          <w:rFonts w:hint="eastAsia"/>
        </w:rPr>
        <w:t>法醫研究所</w:t>
      </w:r>
      <w:r>
        <w:rPr>
          <w:rFonts w:hint="eastAsia"/>
        </w:rPr>
        <w:t>108</w:t>
      </w:r>
      <w:r>
        <w:rPr>
          <w:rFonts w:hint="eastAsia"/>
        </w:rPr>
        <w:t>年</w:t>
      </w:r>
      <w:r>
        <w:rPr>
          <w:rFonts w:hint="eastAsia"/>
        </w:rPr>
        <w:t>10</w:t>
      </w:r>
      <w:r>
        <w:rPr>
          <w:rFonts w:hint="eastAsia"/>
        </w:rPr>
        <w:t>月</w:t>
      </w:r>
      <w:r>
        <w:rPr>
          <w:rFonts w:hint="eastAsia"/>
        </w:rPr>
        <w:t>23</w:t>
      </w:r>
      <w:r>
        <w:rPr>
          <w:rFonts w:hint="eastAsia"/>
        </w:rPr>
        <w:t>日法醫秘字第</w:t>
      </w:r>
      <w:r>
        <w:rPr>
          <w:rFonts w:hint="eastAsia"/>
        </w:rPr>
        <w:t>10810002270</w:t>
      </w:r>
      <w:r>
        <w:rPr>
          <w:rFonts w:hint="eastAsia"/>
        </w:rPr>
        <w:t>號函。</w:t>
      </w:r>
    </w:p>
  </w:footnote>
  <w:footnote w:id="31">
    <w:p w:rsidR="008C3333" w:rsidRPr="001054A3" w:rsidRDefault="008C3333" w:rsidP="00C66437">
      <w:pPr>
        <w:pStyle w:val="afe"/>
        <w:ind w:hanging="85"/>
      </w:pPr>
      <w:r>
        <w:rPr>
          <w:rStyle w:val="aff1"/>
        </w:rPr>
        <w:footnoteRef/>
      </w:r>
      <w:r>
        <w:t xml:space="preserve"> </w:t>
      </w:r>
      <w:r w:rsidRPr="001054A3">
        <w:rPr>
          <w:rFonts w:hint="eastAsia"/>
        </w:rPr>
        <w:t>中華民國</w:t>
      </w:r>
      <w:r w:rsidRPr="001054A3">
        <w:rPr>
          <w:rFonts w:hint="eastAsia"/>
        </w:rPr>
        <w:t>108</w:t>
      </w:r>
      <w:r w:rsidRPr="001054A3">
        <w:rPr>
          <w:rFonts w:hint="eastAsia"/>
        </w:rPr>
        <w:t>年</w:t>
      </w:r>
      <w:r w:rsidRPr="001054A3">
        <w:rPr>
          <w:rFonts w:hint="eastAsia"/>
        </w:rPr>
        <w:t>9</w:t>
      </w:r>
      <w:r w:rsidRPr="001054A3">
        <w:rPr>
          <w:rFonts w:hint="eastAsia"/>
        </w:rPr>
        <w:t>月</w:t>
      </w:r>
      <w:r w:rsidRPr="001054A3">
        <w:rPr>
          <w:rFonts w:hint="eastAsia"/>
        </w:rPr>
        <w:t>23</w:t>
      </w:r>
      <w:r w:rsidRPr="001054A3">
        <w:rPr>
          <w:rFonts w:hint="eastAsia"/>
        </w:rPr>
        <w:t>日考試院考臺組貳一字第</w:t>
      </w:r>
      <w:r w:rsidRPr="001054A3">
        <w:rPr>
          <w:rFonts w:hint="eastAsia"/>
        </w:rPr>
        <w:t>10800075311</w:t>
      </w:r>
      <w:r w:rsidRPr="001054A3">
        <w:rPr>
          <w:rFonts w:hint="eastAsia"/>
        </w:rPr>
        <w:t>號、行政院院授人培字第</w:t>
      </w:r>
      <w:r w:rsidRPr="001054A3">
        <w:rPr>
          <w:rFonts w:hint="eastAsia"/>
        </w:rPr>
        <w:t>10800414322</w:t>
      </w:r>
      <w:r w:rsidRPr="001054A3">
        <w:rPr>
          <w:rFonts w:hint="eastAsia"/>
        </w:rPr>
        <w:t>號令</w:t>
      </w:r>
      <w:r>
        <w:rPr>
          <w:rFonts w:hint="eastAsia"/>
        </w:rPr>
        <w:t>。</w:t>
      </w:r>
    </w:p>
  </w:footnote>
  <w:footnote w:id="32">
    <w:p w:rsidR="008C3333" w:rsidRDefault="008C3333" w:rsidP="00C66437">
      <w:pPr>
        <w:pStyle w:val="afe"/>
        <w:ind w:hanging="85"/>
      </w:pPr>
      <w:r>
        <w:rPr>
          <w:rStyle w:val="aff1"/>
        </w:rPr>
        <w:footnoteRef/>
      </w:r>
      <w:r>
        <w:rPr>
          <w:rFonts w:hint="eastAsia"/>
        </w:rPr>
        <w:t xml:space="preserve"> </w:t>
      </w:r>
      <w:r>
        <w:rPr>
          <w:rFonts w:hint="eastAsia"/>
        </w:rPr>
        <w:t>該實驗室儀器精密，對於新型毒品之成分，詳細查驗毒性含量，並分析其化學方程式，作為判決之依據。</w:t>
      </w:r>
    </w:p>
  </w:footnote>
  <w:footnote w:id="33">
    <w:p w:rsidR="008C3333" w:rsidRPr="005C4C92" w:rsidRDefault="008C3333" w:rsidP="00C66437">
      <w:pPr>
        <w:pStyle w:val="afe"/>
        <w:ind w:hanging="85"/>
        <w:rPr>
          <w:rFonts w:ascii="標楷體" w:hAnsi="標楷體"/>
          <w:color w:val="000000" w:themeColor="text1"/>
        </w:rPr>
      </w:pPr>
      <w:r w:rsidRPr="005C4C92">
        <w:rPr>
          <w:rStyle w:val="aff1"/>
          <w:color w:val="000000" w:themeColor="text1"/>
        </w:rPr>
        <w:footnoteRef/>
      </w:r>
      <w:r w:rsidRPr="005C4C92">
        <w:rPr>
          <w:rFonts w:ascii="標楷體" w:hAnsi="標楷體" w:hint="eastAsia"/>
          <w:color w:val="000000" w:themeColor="text1"/>
        </w:rPr>
        <w:t>德國刑事訴訟法第73條之規定：「從事鑑定人之選任及其人數，由法官決定之。法官應對其宣示，在一定期間內提出鑑定書。」</w:t>
      </w:r>
    </w:p>
  </w:footnote>
  <w:footnote w:id="34">
    <w:p w:rsidR="008C3333" w:rsidRPr="005C4C92" w:rsidRDefault="008C3333" w:rsidP="00C66437">
      <w:pPr>
        <w:pStyle w:val="afe"/>
        <w:ind w:hanging="85"/>
        <w:rPr>
          <w:rFonts w:ascii="標楷體" w:hAnsi="標楷體"/>
          <w:color w:val="000000" w:themeColor="text1"/>
        </w:rPr>
      </w:pPr>
      <w:r w:rsidRPr="005C4C92">
        <w:rPr>
          <w:rStyle w:val="aff1"/>
          <w:rFonts w:hAnsi="標楷體"/>
          <w:color w:val="000000" w:themeColor="text1"/>
        </w:rPr>
        <w:footnoteRef/>
      </w:r>
      <w:r w:rsidRPr="005C4C92">
        <w:rPr>
          <w:rFonts w:ascii="標楷體" w:hAnsi="標楷體" w:hint="eastAsia"/>
          <w:color w:val="000000" w:themeColor="text1"/>
        </w:rPr>
        <w:t>李貞儀，刑事鑑定制度之研究，台灣大學法研所碩士論文，第</w:t>
      </w:r>
      <w:r w:rsidRPr="005C4C92">
        <w:rPr>
          <w:rFonts w:ascii="標楷體" w:hAnsi="標楷體"/>
          <w:color w:val="000000" w:themeColor="text1"/>
        </w:rPr>
        <w:t>60</w:t>
      </w:r>
      <w:r w:rsidRPr="005C4C92">
        <w:rPr>
          <w:rFonts w:ascii="標楷體" w:hAnsi="標楷體" w:hint="eastAsia"/>
          <w:color w:val="000000" w:themeColor="text1"/>
        </w:rPr>
        <w:t>頁，</w:t>
      </w:r>
      <w:r w:rsidRPr="005C4C92">
        <w:rPr>
          <w:rFonts w:ascii="標楷體" w:hAnsi="標楷體"/>
          <w:color w:val="000000" w:themeColor="text1"/>
        </w:rPr>
        <w:t>1998</w:t>
      </w:r>
      <w:r w:rsidRPr="005C4C92">
        <w:rPr>
          <w:rFonts w:ascii="標楷體" w:hAnsi="標楷體" w:hint="eastAsia"/>
          <w:color w:val="000000" w:themeColor="text1"/>
        </w:rPr>
        <w:t>年。</w:t>
      </w:r>
    </w:p>
  </w:footnote>
  <w:footnote w:id="35">
    <w:p w:rsidR="008C3333" w:rsidRPr="005C4C92" w:rsidRDefault="008C3333" w:rsidP="00C66437">
      <w:pPr>
        <w:pStyle w:val="afe"/>
        <w:ind w:hanging="85"/>
        <w:rPr>
          <w:rFonts w:ascii="標楷體" w:hAnsi="標楷體"/>
          <w:color w:val="000000" w:themeColor="text1"/>
        </w:rPr>
      </w:pPr>
      <w:r w:rsidRPr="005C4C92">
        <w:rPr>
          <w:rStyle w:val="aff1"/>
          <w:rFonts w:hAnsi="標楷體"/>
          <w:color w:val="000000" w:themeColor="text1"/>
        </w:rPr>
        <w:footnoteRef/>
      </w:r>
      <w:r w:rsidRPr="005C4C92">
        <w:rPr>
          <w:rFonts w:ascii="標楷體" w:hAnsi="標楷體" w:hint="eastAsia"/>
          <w:color w:val="000000" w:themeColor="text1"/>
        </w:rPr>
        <w:t>林宜民，依新修正刑事訴訟法論法庭活動—以鑑定為中心，司法院研究年報第</w:t>
      </w:r>
      <w:r w:rsidRPr="005C4C92">
        <w:rPr>
          <w:rFonts w:ascii="標楷體" w:hAnsi="標楷體"/>
          <w:color w:val="000000" w:themeColor="text1"/>
        </w:rPr>
        <w:t xml:space="preserve">25 </w:t>
      </w:r>
      <w:r w:rsidRPr="005C4C92">
        <w:rPr>
          <w:rFonts w:ascii="標楷體" w:hAnsi="標楷體" w:hint="eastAsia"/>
          <w:color w:val="000000" w:themeColor="text1"/>
        </w:rPr>
        <w:t>輯第</w:t>
      </w:r>
      <w:r w:rsidRPr="005C4C92">
        <w:rPr>
          <w:rFonts w:ascii="標楷體" w:hAnsi="標楷體"/>
          <w:color w:val="000000" w:themeColor="text1"/>
        </w:rPr>
        <w:t xml:space="preserve">15 </w:t>
      </w:r>
      <w:r w:rsidRPr="005C4C92">
        <w:rPr>
          <w:rFonts w:ascii="標楷體" w:hAnsi="標楷體" w:hint="eastAsia"/>
          <w:color w:val="000000" w:themeColor="text1"/>
        </w:rPr>
        <w:t>篇，第40頁，司法院，</w:t>
      </w:r>
      <w:r w:rsidRPr="005C4C92">
        <w:rPr>
          <w:rFonts w:ascii="標楷體" w:hAnsi="標楷體"/>
          <w:color w:val="000000" w:themeColor="text1"/>
        </w:rPr>
        <w:t>2005</w:t>
      </w:r>
      <w:r w:rsidRPr="005C4C92">
        <w:rPr>
          <w:rFonts w:ascii="標楷體" w:hAnsi="標楷體" w:hint="eastAsia"/>
          <w:color w:val="000000" w:themeColor="text1"/>
        </w:rPr>
        <w:t>年。</w:t>
      </w:r>
    </w:p>
  </w:footnote>
  <w:footnote w:id="36">
    <w:p w:rsidR="008C3333" w:rsidRPr="005C4C92" w:rsidRDefault="008C3333" w:rsidP="00C66437">
      <w:pPr>
        <w:pStyle w:val="afe"/>
        <w:ind w:hanging="85"/>
        <w:rPr>
          <w:rFonts w:ascii="標楷體" w:hAnsi="標楷體"/>
          <w:color w:val="000000" w:themeColor="text1"/>
        </w:rPr>
      </w:pPr>
      <w:r w:rsidRPr="005C4C92">
        <w:rPr>
          <w:rStyle w:val="aff1"/>
          <w:rFonts w:hAnsi="標楷體"/>
          <w:color w:val="000000" w:themeColor="text1"/>
        </w:rPr>
        <w:footnoteRef/>
      </w:r>
      <w:r w:rsidRPr="005C4C92">
        <w:rPr>
          <w:rFonts w:ascii="標楷體" w:hAnsi="標楷體" w:hint="eastAsia"/>
          <w:color w:val="000000" w:themeColor="text1"/>
        </w:rPr>
        <w:t>按鑑定人並非當然具有必須宣誓之法定義務，法院可自行裁量有無命宣誓之必要性，但如訴訟當事人提出聲請之要求者，此時鑑定人即有宣誓之義務，德國刑事訴訟法第79條參照。</w:t>
      </w:r>
    </w:p>
  </w:footnote>
  <w:footnote w:id="37">
    <w:p w:rsidR="008C3333" w:rsidRPr="005C4C92" w:rsidRDefault="008C3333" w:rsidP="00C66437">
      <w:pPr>
        <w:pStyle w:val="afe"/>
        <w:ind w:hanging="85"/>
        <w:rPr>
          <w:rFonts w:ascii="標楷體" w:hAnsi="標楷體"/>
          <w:color w:val="000000" w:themeColor="text1"/>
        </w:rPr>
      </w:pPr>
      <w:r w:rsidRPr="005C4C92">
        <w:rPr>
          <w:rStyle w:val="aff1"/>
          <w:rFonts w:hAnsi="標楷體"/>
          <w:color w:val="000000" w:themeColor="text1"/>
        </w:rPr>
        <w:footnoteRef/>
      </w:r>
      <w:r w:rsidRPr="005C4C92">
        <w:rPr>
          <w:rFonts w:ascii="標楷體" w:hAnsi="標楷體"/>
          <w:color w:val="000000" w:themeColor="text1"/>
        </w:rPr>
        <w:t xml:space="preserve">Claus Roxin </w:t>
      </w:r>
      <w:r w:rsidRPr="005C4C92">
        <w:rPr>
          <w:rFonts w:ascii="標楷體" w:hAnsi="標楷體" w:hint="eastAsia"/>
          <w:color w:val="000000" w:themeColor="text1"/>
        </w:rPr>
        <w:t>著，吳麗琪譯，德國刑事訴訟法，第</w:t>
      </w:r>
      <w:r w:rsidRPr="005C4C92">
        <w:rPr>
          <w:rFonts w:ascii="標楷體" w:hAnsi="標楷體"/>
          <w:color w:val="000000" w:themeColor="text1"/>
        </w:rPr>
        <w:t>302-303</w:t>
      </w:r>
      <w:r w:rsidRPr="005C4C92">
        <w:rPr>
          <w:rFonts w:ascii="標楷體" w:hAnsi="標楷體" w:hint="eastAsia"/>
          <w:color w:val="000000" w:themeColor="text1"/>
        </w:rPr>
        <w:t>頁，三民書局，</w:t>
      </w:r>
      <w:r w:rsidRPr="005C4C92">
        <w:rPr>
          <w:rFonts w:ascii="標楷體" w:hAnsi="標楷體"/>
          <w:color w:val="000000" w:themeColor="text1"/>
        </w:rPr>
        <w:t>1998</w:t>
      </w:r>
      <w:r w:rsidRPr="005C4C92">
        <w:rPr>
          <w:rFonts w:ascii="標楷體" w:hAnsi="標楷體" w:hint="eastAsia"/>
          <w:color w:val="000000" w:themeColor="text1"/>
        </w:rPr>
        <w:t>年。</w:t>
      </w:r>
    </w:p>
  </w:footnote>
  <w:footnote w:id="38">
    <w:p w:rsidR="008C3333" w:rsidRPr="00ED294C" w:rsidRDefault="008C3333" w:rsidP="00C66437">
      <w:pPr>
        <w:pStyle w:val="afe"/>
        <w:ind w:hanging="85"/>
      </w:pPr>
      <w:r>
        <w:rPr>
          <w:rStyle w:val="aff1"/>
        </w:rPr>
        <w:footnoteRef/>
      </w:r>
      <w:r>
        <w:t xml:space="preserve"> </w:t>
      </w:r>
      <w:r>
        <w:rPr>
          <w:rFonts w:hint="eastAsia"/>
        </w:rPr>
        <w:t>改良式當事人進行主義，雖自</w:t>
      </w:r>
      <w:r>
        <w:rPr>
          <w:rFonts w:hint="eastAsia"/>
        </w:rPr>
        <w:t>92</w:t>
      </w:r>
      <w:r>
        <w:rPr>
          <w:rFonts w:hint="eastAsia"/>
        </w:rPr>
        <w:t>年實施迄今</w:t>
      </w:r>
      <w:r>
        <w:rPr>
          <w:rFonts w:hint="eastAsia"/>
        </w:rPr>
        <w:t>17</w:t>
      </w:r>
      <w:r>
        <w:rPr>
          <w:rFonts w:hint="eastAsia"/>
        </w:rPr>
        <w:t>年，然與英美法系之交互詰問</w:t>
      </w:r>
      <w:r>
        <w:rPr>
          <w:rFonts w:hint="eastAsia"/>
        </w:rPr>
        <w:t>(</w:t>
      </w:r>
      <w:r w:rsidRPr="00ED294C">
        <w:t>cross-examination</w:t>
      </w:r>
      <w:r>
        <w:rPr>
          <w:rFonts w:hint="eastAsia"/>
        </w:rPr>
        <w:t>)</w:t>
      </w:r>
      <w:r>
        <w:rPr>
          <w:rFonts w:hint="eastAsia"/>
        </w:rPr>
        <w:t>實施情形仍然有異。交互詰問又稱交叉詰問，就是刑事案件在法庭開庭調查時，可以由檢察官、辯護律師或被告分別對證人直接問話，使證人講出對自己一方有利的證據；或是發現對方所舉的證人為誇大不實的虛偽陳述時，可以當庭提出質問，讓證人的虛偽陳述洩底而不被採信。</w:t>
      </w:r>
      <w:r>
        <w:rPr>
          <w:rFonts w:hint="eastAsia"/>
        </w:rPr>
        <w:t xml:space="preserve"> </w:t>
      </w:r>
      <w:r>
        <w:rPr>
          <w:rFonts w:hint="eastAsia"/>
        </w:rPr>
        <w:t>因為進行交互詰問，必須遵守一定的順序，一方問完才輪到另一</w:t>
      </w:r>
      <w:r w:rsidRPr="009B5F8E">
        <w:rPr>
          <w:rFonts w:ascii="標楷體" w:hAnsi="標楷體" w:hint="eastAsia"/>
        </w:rPr>
        <w:t>方發問，所以才稱為交互詰問。我刑事訴訟法第166條至167-7條計16條有規定</w:t>
      </w:r>
      <w:r>
        <w:rPr>
          <w:rFonts w:ascii="標楷體" w:hAnsi="標楷體" w:hint="eastAsia"/>
        </w:rPr>
        <w:t>其</w:t>
      </w:r>
      <w:r w:rsidRPr="009B5F8E">
        <w:rPr>
          <w:rFonts w:ascii="標楷體" w:hAnsi="標楷體" w:hint="eastAsia"/>
        </w:rPr>
        <w:t>實施方法，但因未分「友性證人」由主詰問者</w:t>
      </w:r>
      <w:r>
        <w:rPr>
          <w:rFonts w:ascii="標楷體" w:hAnsi="標楷體" w:hint="eastAsia"/>
        </w:rPr>
        <w:t>詢</w:t>
      </w:r>
      <w:r w:rsidRPr="009B5F8E">
        <w:rPr>
          <w:rFonts w:ascii="標楷體" w:hAnsi="標楷體" w:hint="eastAsia"/>
        </w:rPr>
        <w:t>問，往往檢察官(控方)放棄對於其友性證人主詰問，使得律師(辯方)不得已要對檢方證人詰問。又因主詰問有「誘導」之限制，所以讓詰問之效能大打折扣。</w:t>
      </w:r>
      <w:r>
        <w:rPr>
          <w:rFonts w:ascii="標楷體" w:hAnsi="標楷體" w:hint="eastAsia"/>
        </w:rPr>
        <w:t>又因</w:t>
      </w:r>
      <w:r w:rsidRPr="009B5F8E">
        <w:rPr>
          <w:rFonts w:ascii="標楷體" w:hAnsi="標楷體" w:hint="eastAsia"/>
        </w:rPr>
        <w:t>我國的刑事訴訟不像美國採用陪審制，我國的法官就公平正義的維護或對被告利益有重大關係的事項，還是有職權調查證據的責任。所以我國採行的交互詰問法庭活動，自然不是像美國法庭審判情節追求精彩、戲劇效果的呈現。</w:t>
      </w:r>
      <w:r>
        <w:rPr>
          <w:rFonts w:ascii="標楷體" w:hAnsi="標楷體" w:hint="eastAsia"/>
        </w:rPr>
        <w:t>所以若</w:t>
      </w:r>
      <w:r w:rsidRPr="009B5F8E">
        <w:rPr>
          <w:rFonts w:ascii="標楷體" w:hAnsi="標楷體" w:hint="eastAsia"/>
        </w:rPr>
        <w:t>被告本身要親自詰問證人，依現行法的規定是許可的，若被告不想或不會詰問，又沒錢請律師辯護，法院可以</w:t>
      </w:r>
      <w:r>
        <w:rPr>
          <w:rFonts w:hint="eastAsia"/>
        </w:rPr>
        <w:t>覓請義務辯護律師代行詰問，也可以由被告當庭請求法官代為詰問。總之，關於交互詰問制度的實施，此部分，對於被告權益的保護，法院是有周延考慮的。</w:t>
      </w:r>
    </w:p>
  </w:footnote>
  <w:footnote w:id="39">
    <w:p w:rsidR="008C3333" w:rsidRPr="005C4C92" w:rsidRDefault="008C3333" w:rsidP="00C66437">
      <w:pPr>
        <w:pStyle w:val="afe"/>
        <w:ind w:hanging="85"/>
        <w:rPr>
          <w:rFonts w:ascii="標楷體" w:hAnsi="標楷體"/>
          <w:color w:val="000000" w:themeColor="text1"/>
        </w:rPr>
      </w:pPr>
      <w:r w:rsidRPr="005C4C92">
        <w:rPr>
          <w:rStyle w:val="aff1"/>
          <w:rFonts w:hAnsi="標楷體"/>
          <w:color w:val="000000" w:themeColor="text1"/>
        </w:rPr>
        <w:footnoteRef/>
      </w:r>
      <w:r w:rsidRPr="005C4C92">
        <w:rPr>
          <w:rFonts w:ascii="標楷體" w:hAnsi="標楷體" w:hint="eastAsia"/>
          <w:color w:val="000000" w:themeColor="text1"/>
        </w:rPr>
        <w:t>林鈺雄，「輪替詰問之法庭活動</w:t>
      </w:r>
      <w:r w:rsidRPr="005C4C92">
        <w:rPr>
          <w:rFonts w:ascii="標楷體" w:hAnsi="標楷體"/>
          <w:color w:val="000000" w:themeColor="text1"/>
        </w:rPr>
        <w:t>(</w:t>
      </w:r>
      <w:r w:rsidRPr="005C4C92">
        <w:rPr>
          <w:rFonts w:ascii="標楷體" w:hAnsi="標楷體" w:hint="eastAsia"/>
          <w:color w:val="000000" w:themeColor="text1"/>
        </w:rPr>
        <w:t>上</w:t>
      </w:r>
      <w:r w:rsidRPr="005C4C92">
        <w:rPr>
          <w:rFonts w:ascii="標楷體" w:hAnsi="標楷體"/>
          <w:color w:val="000000" w:themeColor="text1"/>
        </w:rPr>
        <w:t>)</w:t>
      </w:r>
      <w:r w:rsidRPr="005C4C92">
        <w:rPr>
          <w:rFonts w:ascii="標楷體" w:hAnsi="標楷體" w:hint="eastAsia"/>
          <w:color w:val="000000" w:themeColor="text1"/>
        </w:rPr>
        <w:t>」，台灣本土法學雜誌，第</w:t>
      </w:r>
      <w:r w:rsidRPr="005C4C92">
        <w:rPr>
          <w:rFonts w:ascii="標楷體" w:hAnsi="標楷體"/>
          <w:color w:val="000000" w:themeColor="text1"/>
        </w:rPr>
        <w:t>12</w:t>
      </w:r>
      <w:r w:rsidRPr="005C4C92">
        <w:rPr>
          <w:rFonts w:ascii="標楷體" w:hAnsi="標楷體" w:hint="eastAsia"/>
          <w:color w:val="000000" w:themeColor="text1"/>
        </w:rPr>
        <w:t>期，第</w:t>
      </w:r>
      <w:r w:rsidRPr="005C4C92">
        <w:rPr>
          <w:rFonts w:ascii="標楷體" w:hAnsi="標楷體"/>
          <w:color w:val="000000" w:themeColor="text1"/>
        </w:rPr>
        <w:t>3</w:t>
      </w:r>
      <w:r w:rsidRPr="005C4C92">
        <w:rPr>
          <w:rFonts w:ascii="標楷體" w:hAnsi="標楷體" w:hint="eastAsia"/>
          <w:color w:val="000000" w:themeColor="text1"/>
        </w:rPr>
        <w:t>頁，</w:t>
      </w:r>
      <w:r w:rsidRPr="005C4C92">
        <w:rPr>
          <w:rFonts w:ascii="標楷體" w:hAnsi="標楷體"/>
          <w:color w:val="000000" w:themeColor="text1"/>
        </w:rPr>
        <w:t>2000</w:t>
      </w:r>
      <w:r w:rsidRPr="005C4C92">
        <w:rPr>
          <w:rFonts w:ascii="標楷體" w:hAnsi="標楷體" w:hint="eastAsia"/>
          <w:color w:val="000000" w:themeColor="text1"/>
        </w:rPr>
        <w:t>年</w:t>
      </w:r>
      <w:r w:rsidRPr="005C4C92">
        <w:rPr>
          <w:rFonts w:ascii="標楷體" w:hAnsi="標楷體"/>
          <w:color w:val="000000" w:themeColor="text1"/>
        </w:rPr>
        <w:t>7</w:t>
      </w:r>
      <w:r w:rsidRPr="005C4C92">
        <w:rPr>
          <w:rFonts w:ascii="標楷體" w:hAnsi="標楷體" w:hint="eastAsia"/>
          <w:color w:val="000000" w:themeColor="text1"/>
        </w:rPr>
        <w:t>月。</w:t>
      </w:r>
    </w:p>
  </w:footnote>
  <w:footnote w:id="40">
    <w:p w:rsidR="008C3333" w:rsidRPr="005C4C92" w:rsidRDefault="008C3333" w:rsidP="00C66437">
      <w:pPr>
        <w:pStyle w:val="afe"/>
        <w:ind w:hanging="85"/>
        <w:rPr>
          <w:rFonts w:ascii="標楷體" w:hAnsi="標楷體"/>
          <w:color w:val="000000" w:themeColor="text1"/>
        </w:rPr>
      </w:pPr>
      <w:r w:rsidRPr="005C4C92">
        <w:rPr>
          <w:rStyle w:val="aff1"/>
          <w:rFonts w:hAnsi="標楷體"/>
          <w:color w:val="000000" w:themeColor="text1"/>
        </w:rPr>
        <w:footnoteRef/>
      </w:r>
      <w:r w:rsidRPr="005C4C92">
        <w:rPr>
          <w:rFonts w:ascii="標楷體" w:hAnsi="標楷體" w:hint="eastAsia"/>
          <w:color w:val="000000" w:themeColor="text1"/>
        </w:rPr>
        <w:t>林鈺雄，刑事訴訟法下冊，第</w:t>
      </w:r>
      <w:r w:rsidRPr="005C4C92">
        <w:rPr>
          <w:rFonts w:ascii="標楷體" w:hAnsi="標楷體"/>
          <w:color w:val="000000" w:themeColor="text1"/>
        </w:rPr>
        <w:t xml:space="preserve">7 </w:t>
      </w:r>
      <w:r w:rsidRPr="005C4C92">
        <w:rPr>
          <w:rFonts w:ascii="標楷體" w:hAnsi="標楷體" w:hint="eastAsia"/>
          <w:color w:val="000000" w:themeColor="text1"/>
        </w:rPr>
        <w:t>頁，元照出版有限公司，</w:t>
      </w:r>
      <w:r>
        <w:rPr>
          <w:rFonts w:ascii="標楷體" w:hAnsi="標楷體"/>
          <w:color w:val="000000" w:themeColor="text1"/>
        </w:rPr>
        <w:t>2004</w:t>
      </w:r>
      <w:r w:rsidRPr="005C4C92">
        <w:rPr>
          <w:rFonts w:ascii="標楷體" w:hAnsi="標楷體" w:hint="eastAsia"/>
          <w:color w:val="000000" w:themeColor="text1"/>
        </w:rPr>
        <w:t>年</w:t>
      </w:r>
      <w:r>
        <w:rPr>
          <w:rFonts w:ascii="標楷體" w:hAnsi="標楷體"/>
          <w:color w:val="000000" w:themeColor="text1"/>
        </w:rPr>
        <w:t>4</w:t>
      </w:r>
      <w:r w:rsidRPr="005C4C92">
        <w:rPr>
          <w:rFonts w:ascii="標楷體" w:hAnsi="標楷體" w:hint="eastAsia"/>
          <w:color w:val="000000" w:themeColor="text1"/>
        </w:rPr>
        <w:t>版，第</w:t>
      </w:r>
      <w:r w:rsidRPr="005C4C92">
        <w:rPr>
          <w:rFonts w:ascii="標楷體" w:hAnsi="標楷體"/>
          <w:color w:val="000000" w:themeColor="text1"/>
        </w:rPr>
        <w:t>189</w:t>
      </w:r>
      <w:r w:rsidRPr="005C4C92">
        <w:rPr>
          <w:rFonts w:ascii="標楷體" w:hAnsi="標楷體" w:hint="eastAsia"/>
          <w:color w:val="000000" w:themeColor="text1"/>
        </w:rPr>
        <w:t>頁。</w:t>
      </w:r>
    </w:p>
  </w:footnote>
  <w:footnote w:id="41">
    <w:p w:rsidR="008C3333" w:rsidRDefault="008C3333" w:rsidP="00C66437">
      <w:pPr>
        <w:pStyle w:val="afe"/>
        <w:ind w:hanging="85"/>
      </w:pPr>
      <w:r>
        <w:rPr>
          <w:rStyle w:val="aff1"/>
        </w:rPr>
        <w:footnoteRef/>
      </w:r>
      <w:r>
        <w:t xml:space="preserve"> </w:t>
      </w:r>
      <w:r>
        <w:rPr>
          <w:rFonts w:hint="eastAsia"/>
        </w:rPr>
        <w:t>必要時，他們會用</w:t>
      </w:r>
      <w:r>
        <w:rPr>
          <w:rFonts w:hint="eastAsia"/>
        </w:rPr>
        <w:t>CT</w:t>
      </w:r>
      <w:r>
        <w:rPr>
          <w:rFonts w:hint="eastAsia"/>
        </w:rPr>
        <w:t>重點部位或全身掃描。</w:t>
      </w:r>
    </w:p>
  </w:footnote>
  <w:footnote w:id="42">
    <w:p w:rsidR="008C3333" w:rsidRDefault="008C3333" w:rsidP="00C66437">
      <w:pPr>
        <w:pStyle w:val="afe"/>
        <w:ind w:hanging="85"/>
      </w:pPr>
      <w:r>
        <w:rPr>
          <w:rStyle w:val="aff1"/>
        </w:rPr>
        <w:footnoteRef/>
      </w:r>
      <w:r>
        <w:t xml:space="preserve"> </w:t>
      </w:r>
      <w:r>
        <w:rPr>
          <w:rFonts w:hint="eastAsia"/>
        </w:rPr>
        <w:t>如南投水里弒母案，</w:t>
      </w:r>
      <w:r w:rsidRPr="000C15C6">
        <w:rPr>
          <w:rFonts w:hint="eastAsia"/>
        </w:rPr>
        <w:t>目前案件尚未確定</w:t>
      </w:r>
      <w:r>
        <w:rPr>
          <w:rFonts w:hint="eastAsia"/>
        </w:rPr>
        <w:t>，無法多言，一審有罪，二審無罪，究其原因在特約法醫師的鑑定備受挑戰，造成審判極大的困擾。</w:t>
      </w:r>
    </w:p>
  </w:footnote>
  <w:footnote w:id="43">
    <w:p w:rsidR="008C3333" w:rsidRPr="00FF6B6B" w:rsidRDefault="008C3333">
      <w:pPr>
        <w:pStyle w:val="afe"/>
      </w:pPr>
      <w:r>
        <w:rPr>
          <w:rStyle w:val="aff1"/>
        </w:rPr>
        <w:footnoteRef/>
      </w:r>
      <w:r>
        <w:t xml:space="preserve"> </w:t>
      </w:r>
      <w:r w:rsidRPr="009043BF">
        <w:rPr>
          <w:color w:val="7030A0"/>
        </w:rPr>
        <w:t xml:space="preserve">Modules in a Forensic Science Process </w:t>
      </w:r>
      <w:r w:rsidRPr="009043BF">
        <w:rPr>
          <w:rFonts w:hint="eastAsia"/>
          <w:color w:val="7030A0"/>
        </w:rPr>
        <w:t>(</w:t>
      </w:r>
      <w:r w:rsidRPr="009043BF">
        <w:rPr>
          <w:color w:val="7030A0"/>
        </w:rPr>
        <w:t>2014</w:t>
      </w:r>
      <w:r w:rsidRPr="009043BF">
        <w:rPr>
          <w:rFonts w:hint="eastAsia"/>
          <w:color w:val="7030A0"/>
        </w:rPr>
        <w:t>)</w:t>
      </w:r>
      <w:r w:rsidRPr="009043BF">
        <w:rPr>
          <w:color w:val="7030A0"/>
        </w:rPr>
        <w:t xml:space="preserve">, International Laboratory Accreditation Cooperation. </w:t>
      </w:r>
      <w:hyperlink r:id="rId8" w:history="1">
        <w:r w:rsidRPr="009043BF">
          <w:rPr>
            <w:rStyle w:val="af1"/>
            <w:color w:val="7030A0"/>
            <w:u w:val="none"/>
          </w:rPr>
          <w:t>https://ilac.org/latest_ilac_news/ilac-g19082014-published/</w:t>
        </w:r>
      </w:hyperlink>
      <w:r w:rsidRPr="009043BF">
        <w:rPr>
          <w:color w:val="7030A0"/>
        </w:rPr>
        <w:t xml:space="preserve">. </w:t>
      </w:r>
      <w:r w:rsidRPr="009043BF">
        <w:rPr>
          <w:rFonts w:hint="eastAsia"/>
          <w:color w:val="7030A0"/>
        </w:rPr>
        <w:t>最後檢索日期：</w:t>
      </w:r>
      <w:r w:rsidRPr="009043BF">
        <w:rPr>
          <w:rFonts w:hint="eastAsia"/>
          <w:color w:val="7030A0"/>
        </w:rPr>
        <w:t>108</w:t>
      </w:r>
      <w:r w:rsidRPr="009043BF">
        <w:rPr>
          <w:rFonts w:hint="eastAsia"/>
          <w:color w:val="7030A0"/>
        </w:rPr>
        <w:t>年</w:t>
      </w:r>
      <w:r w:rsidRPr="009043BF">
        <w:rPr>
          <w:rFonts w:hint="eastAsia"/>
          <w:color w:val="7030A0"/>
        </w:rPr>
        <w:t>12</w:t>
      </w:r>
      <w:r w:rsidRPr="009043BF">
        <w:rPr>
          <w:rFonts w:hint="eastAsia"/>
          <w:color w:val="7030A0"/>
        </w:rPr>
        <w:t>月</w:t>
      </w:r>
      <w:r w:rsidRPr="009043BF">
        <w:rPr>
          <w:rFonts w:hint="eastAsia"/>
          <w:color w:val="7030A0"/>
        </w:rPr>
        <w:t>16</w:t>
      </w:r>
      <w:r w:rsidRPr="009043BF">
        <w:rPr>
          <w:rFonts w:hint="eastAsia"/>
          <w:color w:val="7030A0"/>
        </w:rPr>
        <w:t>日。</w:t>
      </w:r>
    </w:p>
  </w:footnote>
  <w:footnote w:id="44">
    <w:p w:rsidR="008C3333" w:rsidRPr="004A160C" w:rsidRDefault="008C3333">
      <w:pPr>
        <w:pStyle w:val="afe"/>
        <w:rPr>
          <w:color w:val="7030A0"/>
        </w:rPr>
      </w:pPr>
      <w:r>
        <w:rPr>
          <w:rStyle w:val="aff1"/>
        </w:rPr>
        <w:footnoteRef/>
      </w:r>
      <w:r>
        <w:t xml:space="preserve"> </w:t>
      </w:r>
      <w:r w:rsidRPr="00CC2089">
        <w:rPr>
          <w:rFonts w:hint="eastAsia"/>
          <w:color w:val="7030A0"/>
        </w:rPr>
        <w:t>NAS &amp; PCAST reports</w:t>
      </w:r>
      <w:r w:rsidRPr="00CC2089">
        <w:rPr>
          <w:rFonts w:hint="eastAsia"/>
          <w:color w:val="7030A0"/>
        </w:rPr>
        <w:t>攻略，</w:t>
      </w:r>
      <w:r w:rsidRPr="00CC2089">
        <w:rPr>
          <w:rFonts w:hint="eastAsia"/>
          <w:color w:val="7030A0"/>
        </w:rPr>
        <w:t>2019</w:t>
      </w:r>
      <w:r w:rsidRPr="00CC2089">
        <w:rPr>
          <w:rFonts w:hint="eastAsia"/>
          <w:color w:val="7030A0"/>
        </w:rPr>
        <w:t>，台灣冤獄平反協會，</w:t>
      </w:r>
      <w:hyperlink r:id="rId9" w:history="1">
        <w:r w:rsidRPr="00F771D5">
          <w:rPr>
            <w:rStyle w:val="af1"/>
          </w:rPr>
          <w:t>https://issuu.com/twnafi</w:t>
        </w:r>
        <w:r w:rsidRPr="00F771D5">
          <w:rPr>
            <w:rStyle w:val="af1"/>
          </w:rPr>
          <w:t>，最後檢索日期：</w:t>
        </w:r>
        <w:r w:rsidRPr="00F771D5">
          <w:rPr>
            <w:rStyle w:val="af1"/>
          </w:rPr>
          <w:t>108</w:t>
        </w:r>
      </w:hyperlink>
      <w:r w:rsidRPr="00CC2089">
        <w:rPr>
          <w:rFonts w:hint="eastAsia"/>
          <w:color w:val="7030A0"/>
        </w:rPr>
        <w:t>年</w:t>
      </w:r>
      <w:r w:rsidRPr="00CC2089">
        <w:rPr>
          <w:rFonts w:hint="eastAsia"/>
          <w:color w:val="7030A0"/>
        </w:rPr>
        <w:t>12</w:t>
      </w:r>
      <w:r w:rsidRPr="00CC2089">
        <w:rPr>
          <w:rFonts w:hint="eastAsia"/>
          <w:color w:val="7030A0"/>
        </w:rPr>
        <w:t>月</w:t>
      </w:r>
      <w:r w:rsidRPr="00CC2089">
        <w:rPr>
          <w:rFonts w:hint="eastAsia"/>
          <w:color w:val="7030A0"/>
        </w:rPr>
        <w:t>16</w:t>
      </w:r>
      <w:r w:rsidRPr="00CC2089">
        <w:rPr>
          <w:rFonts w:hint="eastAsia"/>
          <w:color w:val="7030A0"/>
        </w:rPr>
        <w:t>日。</w:t>
      </w:r>
    </w:p>
  </w:footnote>
  <w:footnote w:id="45">
    <w:p w:rsidR="008C3333" w:rsidRPr="004A160C" w:rsidRDefault="008C3333" w:rsidP="000A6D83">
      <w:pPr>
        <w:pStyle w:val="afe"/>
        <w:wordWrap w:val="0"/>
        <w:jc w:val="both"/>
        <w:rPr>
          <w:color w:val="7030A0"/>
        </w:rPr>
      </w:pPr>
      <w:r w:rsidRPr="004A160C">
        <w:rPr>
          <w:rStyle w:val="aff1"/>
          <w:color w:val="7030A0"/>
        </w:rPr>
        <w:footnoteRef/>
      </w:r>
      <w:r w:rsidRPr="004A160C">
        <w:rPr>
          <w:color w:val="7030A0"/>
        </w:rPr>
        <w:t xml:space="preserve"> </w:t>
      </w:r>
      <w:r w:rsidRPr="004A160C">
        <w:rPr>
          <w:rFonts w:hint="eastAsia"/>
          <w:color w:val="7030A0"/>
        </w:rPr>
        <w:t>國家司法科學委員協會（</w:t>
      </w:r>
      <w:r w:rsidRPr="004A160C">
        <w:rPr>
          <w:rFonts w:hint="eastAsia"/>
          <w:color w:val="7030A0"/>
        </w:rPr>
        <w:t>NCFS</w:t>
      </w:r>
      <w:r w:rsidRPr="004A160C">
        <w:rPr>
          <w:rFonts w:hint="eastAsia"/>
          <w:color w:val="7030A0"/>
        </w:rPr>
        <w:t>）定位為美國司法部諮詢委員會，會邀請司法科學領域諸多利益關係人，透過政府平臺公開對話。主要目標有以下</w:t>
      </w:r>
      <w:r w:rsidRPr="004A160C">
        <w:rPr>
          <w:rFonts w:hint="eastAsia"/>
          <w:color w:val="7030A0"/>
        </w:rPr>
        <w:t>6</w:t>
      </w:r>
      <w:r w:rsidRPr="004A160C">
        <w:rPr>
          <w:rFonts w:hint="eastAsia"/>
          <w:color w:val="7030A0"/>
        </w:rPr>
        <w:t>點：</w:t>
      </w:r>
      <w:r w:rsidRPr="004A160C">
        <w:rPr>
          <w:rFonts w:hint="eastAsia"/>
          <w:color w:val="7030A0"/>
        </w:rPr>
        <w:t>1.</w:t>
      </w:r>
      <w:r w:rsidRPr="004A160C">
        <w:rPr>
          <w:rFonts w:hint="eastAsia"/>
          <w:color w:val="7030A0"/>
        </w:rPr>
        <w:t>對司法部長就應該優先發展的科學標準提出建議；</w:t>
      </w:r>
      <w:r w:rsidRPr="004A160C">
        <w:rPr>
          <w:rFonts w:hint="eastAsia"/>
          <w:color w:val="7030A0"/>
        </w:rPr>
        <w:t>2.</w:t>
      </w:r>
      <w:r w:rsidRPr="004A160C">
        <w:rPr>
          <w:rFonts w:hint="eastAsia"/>
          <w:color w:val="7030A0"/>
        </w:rPr>
        <w:t>審視特定領域專家所認可之指引，並提供部長建議；</w:t>
      </w:r>
      <w:r w:rsidRPr="004A160C">
        <w:rPr>
          <w:rFonts w:hint="eastAsia"/>
          <w:color w:val="7030A0"/>
        </w:rPr>
        <w:t>3.</w:t>
      </w:r>
      <w:r w:rsidRPr="004A160C">
        <w:rPr>
          <w:rFonts w:hint="eastAsia"/>
          <w:color w:val="7030A0"/>
        </w:rPr>
        <w:t>就司法科學與法庭對話交流提供發展並提出指引；</w:t>
      </w:r>
      <w:r w:rsidRPr="004A160C">
        <w:rPr>
          <w:rFonts w:hint="eastAsia"/>
          <w:color w:val="7030A0"/>
        </w:rPr>
        <w:t>4.</w:t>
      </w:r>
      <w:r w:rsidRPr="004A160C">
        <w:rPr>
          <w:rFonts w:hint="eastAsia"/>
          <w:color w:val="7030A0"/>
        </w:rPr>
        <w:t>提出政策建議，包括統一司法科學執業人員的執業責任、必要的基礎訓練、認證或驗證等；</w:t>
      </w:r>
      <w:r w:rsidRPr="004A160C">
        <w:rPr>
          <w:rFonts w:hint="eastAsia"/>
          <w:color w:val="7030A0"/>
        </w:rPr>
        <w:t>5.</w:t>
      </w:r>
      <w:r w:rsidRPr="004A160C">
        <w:rPr>
          <w:rFonts w:hint="eastAsia"/>
          <w:color w:val="7030A0"/>
        </w:rPr>
        <w:t>評估白宮</w:t>
      </w:r>
      <w:r w:rsidRPr="004A160C">
        <w:rPr>
          <w:rFonts w:hint="eastAsia"/>
          <w:color w:val="7030A0"/>
        </w:rPr>
        <w:t>NSTC</w:t>
      </w:r>
      <w:r w:rsidRPr="004A160C">
        <w:rPr>
          <w:rFonts w:hint="eastAsia"/>
          <w:color w:val="7030A0"/>
        </w:rPr>
        <w:t>所提出的建議；</w:t>
      </w:r>
      <w:r w:rsidRPr="004A160C">
        <w:rPr>
          <w:rFonts w:hint="eastAsia"/>
          <w:color w:val="7030A0"/>
        </w:rPr>
        <w:t>6.</w:t>
      </w:r>
      <w:r w:rsidRPr="004A160C">
        <w:rPr>
          <w:rFonts w:hint="eastAsia"/>
          <w:color w:val="7030A0"/>
        </w:rPr>
        <w:t>確認、分析、強化司法科學現代與未來的需求。</w:t>
      </w:r>
      <w:r w:rsidRPr="004A160C">
        <w:rPr>
          <w:rFonts w:hint="eastAsia"/>
          <w:color w:val="7030A0"/>
        </w:rPr>
        <w:t>NCFS</w:t>
      </w:r>
      <w:r w:rsidRPr="004A160C">
        <w:rPr>
          <w:rFonts w:hint="eastAsia"/>
          <w:color w:val="7030A0"/>
        </w:rPr>
        <w:t>下設</w:t>
      </w:r>
      <w:r w:rsidRPr="004A160C">
        <w:rPr>
          <w:rFonts w:hint="eastAsia"/>
          <w:color w:val="7030A0"/>
        </w:rPr>
        <w:t>7</w:t>
      </w:r>
      <w:r w:rsidRPr="004A160C">
        <w:rPr>
          <w:rFonts w:hint="eastAsia"/>
          <w:color w:val="7030A0"/>
        </w:rPr>
        <w:t>個委員會，包括認證與能力試驗委員會（</w:t>
      </w:r>
      <w:r w:rsidRPr="004A160C">
        <w:rPr>
          <w:color w:val="7030A0"/>
        </w:rPr>
        <w:t>Accreditation and Proficiency Testing Subcommittee</w:t>
      </w:r>
      <w:r w:rsidRPr="004A160C">
        <w:rPr>
          <w:rFonts w:hint="eastAsia"/>
          <w:color w:val="7030A0"/>
        </w:rPr>
        <w:t>）、人為因素委員會（</w:t>
      </w:r>
      <w:r w:rsidRPr="004A160C">
        <w:rPr>
          <w:color w:val="7030A0"/>
        </w:rPr>
        <w:t>Human Factors Subcommittee</w:t>
      </w:r>
      <w:r w:rsidRPr="004A160C">
        <w:rPr>
          <w:rFonts w:hint="eastAsia"/>
          <w:color w:val="7030A0"/>
        </w:rPr>
        <w:t>）、過渡方案委員會（</w:t>
      </w:r>
      <w:r w:rsidRPr="004A160C">
        <w:rPr>
          <w:color w:val="7030A0"/>
        </w:rPr>
        <w:t>Interim Solutions Subcommittee</w:t>
      </w:r>
      <w:r w:rsidRPr="004A160C">
        <w:rPr>
          <w:rFonts w:hint="eastAsia"/>
          <w:color w:val="7030A0"/>
        </w:rPr>
        <w:t>）、法醫死因調查委員會（</w:t>
      </w:r>
      <w:r w:rsidRPr="004A160C">
        <w:rPr>
          <w:color w:val="7030A0"/>
        </w:rPr>
        <w:t>Medicolegal Death Investigation Subcommittee</w:t>
      </w:r>
      <w:r w:rsidRPr="004A160C">
        <w:rPr>
          <w:rFonts w:hint="eastAsia"/>
          <w:color w:val="7030A0"/>
        </w:rPr>
        <w:t>）、報告與作證（</w:t>
      </w:r>
      <w:r w:rsidRPr="004A160C">
        <w:rPr>
          <w:color w:val="7030A0"/>
        </w:rPr>
        <w:t>Reporting and Testimony Subcommittee</w:t>
      </w:r>
      <w:r w:rsidRPr="004A160C">
        <w:rPr>
          <w:rFonts w:hint="eastAsia"/>
          <w:color w:val="7030A0"/>
        </w:rPr>
        <w:t>）、科學的提問與研究（</w:t>
      </w:r>
      <w:r w:rsidRPr="004A160C">
        <w:rPr>
          <w:color w:val="7030A0"/>
        </w:rPr>
        <w:t>Scientific Inquiry and Research Subcommittee</w:t>
      </w:r>
      <w:r w:rsidRPr="004A160C">
        <w:rPr>
          <w:rFonts w:hint="eastAsia"/>
          <w:color w:val="7030A0"/>
        </w:rPr>
        <w:t>）、科學與法律訓練委員會（</w:t>
      </w:r>
      <w:r w:rsidRPr="004A160C">
        <w:rPr>
          <w:color w:val="7030A0"/>
        </w:rPr>
        <w:t>Training on Science and Law Subcommittee</w:t>
      </w:r>
      <w:r w:rsidRPr="004A160C">
        <w:rPr>
          <w:rFonts w:hint="eastAsia"/>
          <w:color w:val="7030A0"/>
        </w:rPr>
        <w:t>）。參考資料：國家司法科學委員協會網站：</w:t>
      </w:r>
      <w:hyperlink r:id="rId10" w:history="1">
        <w:r w:rsidRPr="004A160C">
          <w:rPr>
            <w:rStyle w:val="af1"/>
            <w:color w:val="7030A0"/>
            <w:u w:val="none"/>
          </w:rPr>
          <w:t>https://www.justice.gov/archives/ncfs</w:t>
        </w:r>
      </w:hyperlink>
      <w:r w:rsidRPr="004A160C">
        <w:rPr>
          <w:rFonts w:hint="eastAsia"/>
          <w:color w:val="7030A0"/>
        </w:rPr>
        <w:t>。</w:t>
      </w:r>
    </w:p>
  </w:footnote>
  <w:footnote w:id="46">
    <w:p w:rsidR="008C3333" w:rsidRPr="000C504C" w:rsidRDefault="008C3333">
      <w:pPr>
        <w:pStyle w:val="afe"/>
      </w:pPr>
      <w:r w:rsidRPr="004A160C">
        <w:rPr>
          <w:rStyle w:val="aff1"/>
          <w:color w:val="7030A0"/>
        </w:rPr>
        <w:footnoteRef/>
      </w:r>
      <w:r w:rsidRPr="004A160C">
        <w:rPr>
          <w:color w:val="7030A0"/>
        </w:rPr>
        <w:t xml:space="preserve"> </w:t>
      </w:r>
      <w:r w:rsidRPr="004A160C">
        <w:rPr>
          <w:rFonts w:hint="eastAsia"/>
          <w:color w:val="7030A0"/>
        </w:rPr>
        <w:t>司法科學專業領域委員會（</w:t>
      </w:r>
      <w:r w:rsidRPr="004A160C">
        <w:rPr>
          <w:rFonts w:hint="eastAsia"/>
          <w:color w:val="7030A0"/>
        </w:rPr>
        <w:t>OSAC</w:t>
      </w:r>
      <w:r w:rsidRPr="004A160C">
        <w:rPr>
          <w:rFonts w:hint="eastAsia"/>
          <w:color w:val="7030A0"/>
        </w:rPr>
        <w:t>）建置於美國商務部下，並獨立於司法體系之外，主要任務是強化司法科學的實務運作，讓司法科學社群中，具有良好技術，且有共識的標準、指引得以被採用。</w:t>
      </w:r>
      <w:r w:rsidRPr="004A160C">
        <w:rPr>
          <w:rFonts w:hint="eastAsia"/>
          <w:color w:val="7030A0"/>
        </w:rPr>
        <w:t>OSAC</w:t>
      </w:r>
      <w:r w:rsidRPr="004A160C">
        <w:rPr>
          <w:rFonts w:hint="eastAsia"/>
          <w:color w:val="7030A0"/>
        </w:rPr>
        <w:t>將司法科學劃分為五大領域，包括生物</w:t>
      </w:r>
      <w:r w:rsidRPr="004A160C">
        <w:rPr>
          <w:rFonts w:hint="eastAsia"/>
          <w:color w:val="7030A0"/>
        </w:rPr>
        <w:t>/DNA</w:t>
      </w:r>
      <w:r w:rsidRPr="004A160C">
        <w:rPr>
          <w:rFonts w:hint="eastAsia"/>
          <w:color w:val="7030A0"/>
        </w:rPr>
        <w:t>、化學</w:t>
      </w:r>
      <w:r w:rsidRPr="004A160C">
        <w:rPr>
          <w:rFonts w:hint="eastAsia"/>
          <w:color w:val="7030A0"/>
        </w:rPr>
        <w:t>/</w:t>
      </w:r>
      <w:r w:rsidRPr="004A160C">
        <w:rPr>
          <w:rFonts w:hint="eastAsia"/>
          <w:color w:val="7030A0"/>
        </w:rPr>
        <w:t>工具分析、犯罪現場</w:t>
      </w:r>
      <w:r w:rsidRPr="004A160C">
        <w:rPr>
          <w:rFonts w:hint="eastAsia"/>
          <w:color w:val="7030A0"/>
        </w:rPr>
        <w:t>/</w:t>
      </w:r>
      <w:r w:rsidRPr="004A160C">
        <w:rPr>
          <w:rFonts w:hint="eastAsia"/>
          <w:color w:val="7030A0"/>
        </w:rPr>
        <w:t>死因調查、數位</w:t>
      </w:r>
      <w:r w:rsidRPr="004A160C">
        <w:rPr>
          <w:rFonts w:hint="eastAsia"/>
          <w:color w:val="7030A0"/>
        </w:rPr>
        <w:t>/</w:t>
      </w:r>
      <w:r w:rsidRPr="004A160C">
        <w:rPr>
          <w:rFonts w:hint="eastAsia"/>
          <w:color w:val="7030A0"/>
        </w:rPr>
        <w:t>多媒體、物理</w:t>
      </w:r>
      <w:r w:rsidRPr="004A160C">
        <w:rPr>
          <w:rFonts w:hint="eastAsia"/>
          <w:color w:val="7030A0"/>
        </w:rPr>
        <w:t>/</w:t>
      </w:r>
      <w:r w:rsidRPr="004A160C">
        <w:rPr>
          <w:rFonts w:hint="eastAsia"/>
          <w:color w:val="7030A0"/>
        </w:rPr>
        <w:t>型態解讀。主要目的有以下</w:t>
      </w:r>
      <w:r w:rsidRPr="004A160C">
        <w:rPr>
          <w:rFonts w:hint="eastAsia"/>
          <w:color w:val="7030A0"/>
        </w:rPr>
        <w:t>4</w:t>
      </w:r>
      <w:r w:rsidRPr="004A160C">
        <w:rPr>
          <w:rFonts w:hint="eastAsia"/>
          <w:color w:val="7030A0"/>
        </w:rPr>
        <w:t>項：</w:t>
      </w:r>
      <w:r w:rsidRPr="004A160C">
        <w:rPr>
          <w:rFonts w:hint="eastAsia"/>
          <w:color w:val="7030A0"/>
        </w:rPr>
        <w:t>1.</w:t>
      </w:r>
      <w:r w:rsidRPr="004A160C">
        <w:rPr>
          <w:rFonts w:hint="eastAsia"/>
          <w:color w:val="7030A0"/>
        </w:rPr>
        <w:t>促進並發布各司法科學領域內具有共識的標準、指引；</w:t>
      </w:r>
      <w:r w:rsidRPr="004A160C">
        <w:rPr>
          <w:rFonts w:hint="eastAsia"/>
          <w:color w:val="7030A0"/>
        </w:rPr>
        <w:t>2.</w:t>
      </w:r>
      <w:r w:rsidRPr="004A160C">
        <w:rPr>
          <w:rFonts w:hint="eastAsia"/>
          <w:color w:val="7030A0"/>
        </w:rPr>
        <w:t>在具科學原則之基礎上，發展標準與指引；</w:t>
      </w:r>
      <w:r w:rsidRPr="004A160C">
        <w:rPr>
          <w:rFonts w:hint="eastAsia"/>
          <w:color w:val="7030A0"/>
        </w:rPr>
        <w:t>3.</w:t>
      </w:r>
      <w:r w:rsidRPr="004A160C">
        <w:rPr>
          <w:rFonts w:hint="eastAsia"/>
          <w:color w:val="7030A0"/>
        </w:rPr>
        <w:t>促成各個司法領域使用</w:t>
      </w:r>
      <w:r w:rsidRPr="004A160C">
        <w:rPr>
          <w:rFonts w:hint="eastAsia"/>
          <w:color w:val="7030A0"/>
        </w:rPr>
        <w:t>OSAC</w:t>
      </w:r>
      <w:r w:rsidRPr="004A160C">
        <w:rPr>
          <w:rFonts w:hint="eastAsia"/>
          <w:color w:val="7030A0"/>
        </w:rPr>
        <w:t>所發布的標準、指引來進行認證；</w:t>
      </w:r>
      <w:r w:rsidRPr="004A160C">
        <w:rPr>
          <w:rFonts w:hint="eastAsia"/>
          <w:color w:val="7030A0"/>
        </w:rPr>
        <w:t>4.</w:t>
      </w:r>
      <w:r w:rsidRPr="004A160C">
        <w:rPr>
          <w:rFonts w:hint="eastAsia"/>
          <w:color w:val="7030A0"/>
        </w:rPr>
        <w:t>與其他相關部門建立並維持良好合作關係。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866"/>
    <w:multiLevelType w:val="hybridMultilevel"/>
    <w:tmpl w:val="840E797E"/>
    <w:lvl w:ilvl="0" w:tplc="24C62F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1D4B45"/>
    <w:multiLevelType w:val="hybridMultilevel"/>
    <w:tmpl w:val="95820E46"/>
    <w:lvl w:ilvl="0" w:tplc="5614D5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2700D4"/>
    <w:multiLevelType w:val="hybridMultilevel"/>
    <w:tmpl w:val="0464C23C"/>
    <w:lvl w:ilvl="0" w:tplc="8C343D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EB7315"/>
    <w:multiLevelType w:val="hybridMultilevel"/>
    <w:tmpl w:val="D82839BC"/>
    <w:lvl w:ilvl="0" w:tplc="5D2A6E3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684427"/>
    <w:multiLevelType w:val="hybridMultilevel"/>
    <w:tmpl w:val="1E70088A"/>
    <w:lvl w:ilvl="0" w:tplc="D62A8152">
      <w:start w:val="1"/>
      <w:numFmt w:val="decimal"/>
      <w:lvlText w:val="%1."/>
      <w:lvlJc w:val="left"/>
      <w:pPr>
        <w:ind w:left="480" w:hanging="480"/>
      </w:pPr>
      <w:rPr>
        <w:rFonts w:ascii="標楷體"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6328A1"/>
    <w:multiLevelType w:val="hybridMultilevel"/>
    <w:tmpl w:val="E9D2CF12"/>
    <w:lvl w:ilvl="0" w:tplc="D990FC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F7389A"/>
    <w:multiLevelType w:val="hybridMultilevel"/>
    <w:tmpl w:val="752EE954"/>
    <w:lvl w:ilvl="0" w:tplc="6E008B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0E010C"/>
    <w:multiLevelType w:val="multilevel"/>
    <w:tmpl w:val="9C62C978"/>
    <w:lvl w:ilvl="0">
      <w:start w:val="1"/>
      <w:numFmt w:val="ideographLegalTraditional"/>
      <w:pStyle w:val="1"/>
      <w:suff w:val="nothing"/>
      <w:lvlText w:val="%1、"/>
      <w:lvlJc w:val="left"/>
      <w:pPr>
        <w:ind w:left="1701" w:hanging="170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470418F"/>
    <w:multiLevelType w:val="hybridMultilevel"/>
    <w:tmpl w:val="8A2AD418"/>
    <w:lvl w:ilvl="0" w:tplc="AFAA79CE">
      <w:start w:val="1"/>
      <w:numFmt w:val="taiwaneseCountingThousand"/>
      <w:pStyle w:val="a0"/>
      <w:lvlText w:val="附表%1、"/>
      <w:lvlJc w:val="left"/>
      <w:pPr>
        <w:tabs>
          <w:tab w:val="num" w:pos="1440"/>
        </w:tabs>
        <w:ind w:left="800" w:hanging="800"/>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9EE087A"/>
    <w:multiLevelType w:val="hybridMultilevel"/>
    <w:tmpl w:val="E4AAFC86"/>
    <w:lvl w:ilvl="0" w:tplc="6AF0FD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1E61BF9"/>
    <w:multiLevelType w:val="hybridMultilevel"/>
    <w:tmpl w:val="9962F11C"/>
    <w:lvl w:ilvl="0" w:tplc="B0A4FF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6B17EE"/>
    <w:multiLevelType w:val="hybridMultilevel"/>
    <w:tmpl w:val="6680B566"/>
    <w:lvl w:ilvl="0" w:tplc="8A5434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B71C47"/>
    <w:multiLevelType w:val="hybridMultilevel"/>
    <w:tmpl w:val="F782F370"/>
    <w:lvl w:ilvl="0" w:tplc="37EA81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BC8571C"/>
    <w:multiLevelType w:val="hybridMultilevel"/>
    <w:tmpl w:val="1DC21A54"/>
    <w:lvl w:ilvl="0" w:tplc="718A39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8E0591"/>
    <w:multiLevelType w:val="hybridMultilevel"/>
    <w:tmpl w:val="89C822AA"/>
    <w:lvl w:ilvl="0" w:tplc="4A54C5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F53B13"/>
    <w:multiLevelType w:val="hybridMultilevel"/>
    <w:tmpl w:val="086A0ECC"/>
    <w:lvl w:ilvl="0" w:tplc="9CAA8F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E2B73BB"/>
    <w:multiLevelType w:val="hybridMultilevel"/>
    <w:tmpl w:val="97E00746"/>
    <w:lvl w:ilvl="0" w:tplc="5432783C">
      <w:start w:val="1"/>
      <w:numFmt w:val="decimal"/>
      <w:lvlText w:val="%1."/>
      <w:lvlJc w:val="left"/>
      <w:pPr>
        <w:ind w:left="480" w:hanging="480"/>
      </w:pPr>
      <w:rPr>
        <w:rFonts w:ascii="標楷體"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F1E3BBA"/>
    <w:multiLevelType w:val="hybridMultilevel"/>
    <w:tmpl w:val="12FC9F8A"/>
    <w:lvl w:ilvl="0" w:tplc="F16A0B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D8044B"/>
    <w:multiLevelType w:val="hybridMultilevel"/>
    <w:tmpl w:val="A344FC66"/>
    <w:lvl w:ilvl="0" w:tplc="959C04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CFE143F"/>
    <w:multiLevelType w:val="hybridMultilevel"/>
    <w:tmpl w:val="EDD223EA"/>
    <w:lvl w:ilvl="0" w:tplc="3ADEBF44">
      <w:start w:val="1"/>
      <w:numFmt w:val="decimal"/>
      <w:pStyle w:val="a2"/>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1867FE1"/>
    <w:multiLevelType w:val="hybridMultilevel"/>
    <w:tmpl w:val="6F0CBCD8"/>
    <w:lvl w:ilvl="0" w:tplc="B5CE51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5580EFB"/>
    <w:multiLevelType w:val="hybridMultilevel"/>
    <w:tmpl w:val="D036465A"/>
    <w:lvl w:ilvl="0" w:tplc="6BE220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6172A0B"/>
    <w:multiLevelType w:val="hybridMultilevel"/>
    <w:tmpl w:val="3FE0C98A"/>
    <w:lvl w:ilvl="0" w:tplc="836AF5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8006C77"/>
    <w:multiLevelType w:val="hybridMultilevel"/>
    <w:tmpl w:val="C6FE8AC6"/>
    <w:lvl w:ilvl="0" w:tplc="6DBAF0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8BA42F1"/>
    <w:multiLevelType w:val="multilevel"/>
    <w:tmpl w:val="0409001D"/>
    <w:styleLink w:val="2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nsid w:val="4A5F5684"/>
    <w:multiLevelType w:val="hybridMultilevel"/>
    <w:tmpl w:val="020A7934"/>
    <w:lvl w:ilvl="0" w:tplc="1A766B00">
      <w:start w:val="1"/>
      <w:numFmt w:val="decimal"/>
      <w:pStyle w:val="a4"/>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B885BDF"/>
    <w:multiLevelType w:val="hybridMultilevel"/>
    <w:tmpl w:val="70D62E8A"/>
    <w:lvl w:ilvl="0" w:tplc="08FE69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E6A0AB3"/>
    <w:multiLevelType w:val="hybridMultilevel"/>
    <w:tmpl w:val="5FE8D5E4"/>
    <w:lvl w:ilvl="0" w:tplc="149C20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1057B55"/>
    <w:multiLevelType w:val="hybridMultilevel"/>
    <w:tmpl w:val="5BEAA256"/>
    <w:lvl w:ilvl="0" w:tplc="B14661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6857018"/>
    <w:multiLevelType w:val="hybridMultilevel"/>
    <w:tmpl w:val="13F2B0EA"/>
    <w:lvl w:ilvl="0" w:tplc="BB7AB65E">
      <w:start w:val="1"/>
      <w:numFmt w:val="taiwaneseCountingThousand"/>
      <w:pStyle w:val="111"/>
      <w:lvlText w:val="（%1）"/>
      <w:lvlJc w:val="left"/>
      <w:pPr>
        <w:tabs>
          <w:tab w:val="num" w:pos="1760"/>
        </w:tabs>
        <w:ind w:left="1760" w:hanging="1080"/>
      </w:pPr>
      <w:rPr>
        <w:rFonts w:cs="Times New Roman" w:hint="eastAsia"/>
      </w:rPr>
    </w:lvl>
    <w:lvl w:ilvl="1" w:tplc="76D6500C">
      <w:start w:val="1"/>
      <w:numFmt w:val="decimalFullWidth"/>
      <w:lvlText w:val="%2．"/>
      <w:lvlJc w:val="left"/>
      <w:pPr>
        <w:tabs>
          <w:tab w:val="num" w:pos="1880"/>
        </w:tabs>
        <w:ind w:left="1880" w:hanging="720"/>
      </w:pPr>
      <w:rPr>
        <w:rFonts w:cs="Times New Roman" w:hint="eastAsia"/>
      </w:rPr>
    </w:lvl>
    <w:lvl w:ilvl="2" w:tplc="0409001B" w:tentative="1">
      <w:start w:val="1"/>
      <w:numFmt w:val="lowerRoman"/>
      <w:lvlText w:val="%3."/>
      <w:lvlJc w:val="right"/>
      <w:pPr>
        <w:tabs>
          <w:tab w:val="num" w:pos="2120"/>
        </w:tabs>
        <w:ind w:left="2120" w:hanging="480"/>
      </w:pPr>
      <w:rPr>
        <w:rFonts w:cs="Times New Roman"/>
      </w:rPr>
    </w:lvl>
    <w:lvl w:ilvl="3" w:tplc="0409000F">
      <w:start w:val="1"/>
      <w:numFmt w:val="decimal"/>
      <w:lvlText w:val="%4."/>
      <w:lvlJc w:val="left"/>
      <w:pPr>
        <w:tabs>
          <w:tab w:val="num" w:pos="2600"/>
        </w:tabs>
        <w:ind w:left="2600" w:hanging="480"/>
      </w:pPr>
      <w:rPr>
        <w:rFonts w:cs="Times New Roman"/>
      </w:rPr>
    </w:lvl>
    <w:lvl w:ilvl="4" w:tplc="04090019" w:tentative="1">
      <w:start w:val="1"/>
      <w:numFmt w:val="ideographTraditional"/>
      <w:lvlText w:val="%5、"/>
      <w:lvlJc w:val="left"/>
      <w:pPr>
        <w:tabs>
          <w:tab w:val="num" w:pos="3080"/>
        </w:tabs>
        <w:ind w:left="3080" w:hanging="480"/>
      </w:pPr>
      <w:rPr>
        <w:rFonts w:cs="Times New Roman"/>
      </w:rPr>
    </w:lvl>
    <w:lvl w:ilvl="5" w:tplc="0409001B" w:tentative="1">
      <w:start w:val="1"/>
      <w:numFmt w:val="lowerRoman"/>
      <w:lvlText w:val="%6."/>
      <w:lvlJc w:val="right"/>
      <w:pPr>
        <w:tabs>
          <w:tab w:val="num" w:pos="3560"/>
        </w:tabs>
        <w:ind w:left="3560" w:hanging="480"/>
      </w:pPr>
      <w:rPr>
        <w:rFonts w:cs="Times New Roman"/>
      </w:rPr>
    </w:lvl>
    <w:lvl w:ilvl="6" w:tplc="0409000F" w:tentative="1">
      <w:start w:val="1"/>
      <w:numFmt w:val="decimal"/>
      <w:lvlText w:val="%7."/>
      <w:lvlJc w:val="left"/>
      <w:pPr>
        <w:tabs>
          <w:tab w:val="num" w:pos="4040"/>
        </w:tabs>
        <w:ind w:left="4040" w:hanging="480"/>
      </w:pPr>
      <w:rPr>
        <w:rFonts w:cs="Times New Roman"/>
      </w:rPr>
    </w:lvl>
    <w:lvl w:ilvl="7" w:tplc="04090019" w:tentative="1">
      <w:start w:val="1"/>
      <w:numFmt w:val="ideographTraditional"/>
      <w:lvlText w:val="%8、"/>
      <w:lvlJc w:val="left"/>
      <w:pPr>
        <w:tabs>
          <w:tab w:val="num" w:pos="4520"/>
        </w:tabs>
        <w:ind w:left="4520" w:hanging="480"/>
      </w:pPr>
      <w:rPr>
        <w:rFonts w:cs="Times New Roman"/>
      </w:rPr>
    </w:lvl>
    <w:lvl w:ilvl="8" w:tplc="0409001B" w:tentative="1">
      <w:start w:val="1"/>
      <w:numFmt w:val="lowerRoman"/>
      <w:lvlText w:val="%9."/>
      <w:lvlJc w:val="right"/>
      <w:pPr>
        <w:tabs>
          <w:tab w:val="num" w:pos="5000"/>
        </w:tabs>
        <w:ind w:left="5000" w:hanging="480"/>
      </w:pPr>
      <w:rPr>
        <w:rFonts w:cs="Times New Roman"/>
      </w:rPr>
    </w:lvl>
  </w:abstractNum>
  <w:abstractNum w:abstractNumId="34">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8CA0A78"/>
    <w:multiLevelType w:val="hybridMultilevel"/>
    <w:tmpl w:val="D59C4B56"/>
    <w:lvl w:ilvl="0" w:tplc="6A68B7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A87340A"/>
    <w:multiLevelType w:val="hybridMultilevel"/>
    <w:tmpl w:val="3DF2BCEC"/>
    <w:lvl w:ilvl="0" w:tplc="51E8AB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C903EDD"/>
    <w:multiLevelType w:val="hybridMultilevel"/>
    <w:tmpl w:val="B5200616"/>
    <w:lvl w:ilvl="0" w:tplc="EE2488E2">
      <w:start w:val="1"/>
      <w:numFmt w:val="decimal"/>
      <w:lvlText w:val="%1."/>
      <w:lvlJc w:val="left"/>
      <w:pPr>
        <w:ind w:left="480" w:hanging="480"/>
      </w:pPr>
      <w:rPr>
        <w:rFonts w:ascii="標楷體"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8084C59"/>
    <w:multiLevelType w:val="hybridMultilevel"/>
    <w:tmpl w:val="BEAE8EF8"/>
    <w:lvl w:ilvl="0" w:tplc="3B78E552">
      <w:start w:val="1"/>
      <w:numFmt w:val="decimal"/>
      <w:lvlText w:val="%1."/>
      <w:lvlJc w:val="left"/>
      <w:pPr>
        <w:ind w:left="480" w:hanging="480"/>
      </w:pPr>
      <w:rPr>
        <w:rFonts w:ascii="標楷體"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8455EAE"/>
    <w:multiLevelType w:val="hybridMultilevel"/>
    <w:tmpl w:val="E7A66B02"/>
    <w:lvl w:ilvl="0" w:tplc="70CCE5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8EE4863"/>
    <w:multiLevelType w:val="hybridMultilevel"/>
    <w:tmpl w:val="9DD8F2CE"/>
    <w:lvl w:ilvl="0" w:tplc="3FC61E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9FE0E38"/>
    <w:multiLevelType w:val="hybridMultilevel"/>
    <w:tmpl w:val="56D45412"/>
    <w:lvl w:ilvl="0" w:tplc="DACA23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CE96CA4"/>
    <w:multiLevelType w:val="hybridMultilevel"/>
    <w:tmpl w:val="20CE071C"/>
    <w:lvl w:ilvl="0" w:tplc="67D4C9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EB90604"/>
    <w:multiLevelType w:val="hybridMultilevel"/>
    <w:tmpl w:val="057EFCE2"/>
    <w:lvl w:ilvl="0" w:tplc="A55A1E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4733711"/>
    <w:multiLevelType w:val="hybridMultilevel"/>
    <w:tmpl w:val="9FEEE53E"/>
    <w:lvl w:ilvl="0" w:tplc="23303C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C1E694B"/>
    <w:multiLevelType w:val="hybridMultilevel"/>
    <w:tmpl w:val="535A233A"/>
    <w:lvl w:ilvl="0" w:tplc="0EBCC6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DD65273"/>
    <w:multiLevelType w:val="hybridMultilevel"/>
    <w:tmpl w:val="7A86C92A"/>
    <w:lvl w:ilvl="0" w:tplc="14A8E5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0"/>
  </w:num>
  <w:num w:numId="3">
    <w:abstractNumId w:val="3"/>
  </w:num>
  <w:num w:numId="4">
    <w:abstractNumId w:val="10"/>
    <w:lvlOverride w:ilvl="0">
      <w:startOverride w:val="1"/>
    </w:lvlOverride>
  </w:num>
  <w:num w:numId="5">
    <w:abstractNumId w:val="28"/>
  </w:num>
  <w:num w:numId="6">
    <w:abstractNumId w:val="21"/>
  </w:num>
  <w:num w:numId="7">
    <w:abstractNumId w:val="32"/>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3"/>
  </w:num>
  <w:num w:numId="12">
    <w:abstractNumId w:val="9"/>
  </w:num>
  <w:num w:numId="13">
    <w:abstractNumId w:val="38"/>
  </w:num>
  <w:num w:numId="14">
    <w:abstractNumId w:val="18"/>
  </w:num>
  <w:num w:numId="15">
    <w:abstractNumId w:val="5"/>
  </w:num>
  <w:num w:numId="16">
    <w:abstractNumId w:val="37"/>
  </w:num>
  <w:num w:numId="17">
    <w:abstractNumId w:val="27"/>
  </w:num>
  <w:num w:numId="18">
    <w:abstractNumId w:val="33"/>
  </w:num>
  <w:num w:numId="19">
    <w:abstractNumId w:val="35"/>
  </w:num>
  <w:num w:numId="20">
    <w:abstractNumId w:val="25"/>
  </w:num>
  <w:num w:numId="21">
    <w:abstractNumId w:val="26"/>
  </w:num>
  <w:num w:numId="22">
    <w:abstractNumId w:val="46"/>
  </w:num>
  <w:num w:numId="23">
    <w:abstractNumId w:val="11"/>
  </w:num>
  <w:num w:numId="24">
    <w:abstractNumId w:val="42"/>
  </w:num>
  <w:num w:numId="25">
    <w:abstractNumId w:val="12"/>
  </w:num>
  <w:num w:numId="26">
    <w:abstractNumId w:val="44"/>
  </w:num>
  <w:num w:numId="27">
    <w:abstractNumId w:val="24"/>
  </w:num>
  <w:num w:numId="28">
    <w:abstractNumId w:val="31"/>
  </w:num>
  <w:num w:numId="29">
    <w:abstractNumId w:val="1"/>
  </w:num>
  <w:num w:numId="30">
    <w:abstractNumId w:val="7"/>
  </w:num>
  <w:num w:numId="31">
    <w:abstractNumId w:val="4"/>
  </w:num>
  <w:num w:numId="32">
    <w:abstractNumId w:val="43"/>
  </w:num>
  <w:num w:numId="33">
    <w:abstractNumId w:val="30"/>
  </w:num>
  <w:num w:numId="34">
    <w:abstractNumId w:val="2"/>
  </w:num>
  <w:num w:numId="35">
    <w:abstractNumId w:val="19"/>
  </w:num>
  <w:num w:numId="36">
    <w:abstractNumId w:val="16"/>
  </w:num>
  <w:num w:numId="37">
    <w:abstractNumId w:val="6"/>
  </w:num>
  <w:num w:numId="38">
    <w:abstractNumId w:val="0"/>
  </w:num>
  <w:num w:numId="39">
    <w:abstractNumId w:val="29"/>
  </w:num>
  <w:num w:numId="40">
    <w:abstractNumId w:val="14"/>
  </w:num>
  <w:num w:numId="41">
    <w:abstractNumId w:val="17"/>
  </w:num>
  <w:num w:numId="42">
    <w:abstractNumId w:val="15"/>
  </w:num>
  <w:num w:numId="43">
    <w:abstractNumId w:val="45"/>
  </w:num>
  <w:num w:numId="44">
    <w:abstractNumId w:val="39"/>
  </w:num>
  <w:num w:numId="45">
    <w:abstractNumId w:val="22"/>
  </w:num>
  <w:num w:numId="46">
    <w:abstractNumId w:val="40"/>
  </w:num>
  <w:num w:numId="47">
    <w:abstractNumId w:val="13"/>
  </w:num>
  <w:num w:numId="48">
    <w:abstractNumId w:val="20"/>
  </w:num>
  <w:num w:numId="49">
    <w:abstractNumId w:val="41"/>
  </w:num>
  <w:num w:numId="50">
    <w:abstractNumId w:val="36"/>
  </w:num>
  <w:num w:numId="51">
    <w:abstractNumId w:val="8"/>
  </w:num>
  <w:num w:numId="52">
    <w:abstractNumId w:val="8"/>
  </w:num>
  <w:num w:numId="53">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119"/>
    <w:rsid w:val="000035B3"/>
    <w:rsid w:val="0000686F"/>
    <w:rsid w:val="00006961"/>
    <w:rsid w:val="000112BF"/>
    <w:rsid w:val="00012233"/>
    <w:rsid w:val="00017318"/>
    <w:rsid w:val="000246F7"/>
    <w:rsid w:val="00026FB3"/>
    <w:rsid w:val="00027286"/>
    <w:rsid w:val="0003114D"/>
    <w:rsid w:val="000332CE"/>
    <w:rsid w:val="00036D76"/>
    <w:rsid w:val="000409E4"/>
    <w:rsid w:val="00044F49"/>
    <w:rsid w:val="00057F32"/>
    <w:rsid w:val="00062A25"/>
    <w:rsid w:val="00073CB5"/>
    <w:rsid w:val="0007425C"/>
    <w:rsid w:val="00077553"/>
    <w:rsid w:val="00083A26"/>
    <w:rsid w:val="000851A2"/>
    <w:rsid w:val="0009352E"/>
    <w:rsid w:val="00096B96"/>
    <w:rsid w:val="000A2F3F"/>
    <w:rsid w:val="000A6D83"/>
    <w:rsid w:val="000B0B4A"/>
    <w:rsid w:val="000B279A"/>
    <w:rsid w:val="000B2A94"/>
    <w:rsid w:val="000B61D2"/>
    <w:rsid w:val="000B70A7"/>
    <w:rsid w:val="000B73DD"/>
    <w:rsid w:val="000C495F"/>
    <w:rsid w:val="000C504C"/>
    <w:rsid w:val="000E03C2"/>
    <w:rsid w:val="000E6431"/>
    <w:rsid w:val="000F16B2"/>
    <w:rsid w:val="000F21A5"/>
    <w:rsid w:val="000F2B52"/>
    <w:rsid w:val="000F6481"/>
    <w:rsid w:val="000F6B05"/>
    <w:rsid w:val="00102B9F"/>
    <w:rsid w:val="00103115"/>
    <w:rsid w:val="00106CAF"/>
    <w:rsid w:val="00112637"/>
    <w:rsid w:val="00112ABC"/>
    <w:rsid w:val="0012001E"/>
    <w:rsid w:val="00126A55"/>
    <w:rsid w:val="00133F08"/>
    <w:rsid w:val="001345E6"/>
    <w:rsid w:val="001378B0"/>
    <w:rsid w:val="00140898"/>
    <w:rsid w:val="00141917"/>
    <w:rsid w:val="00142E00"/>
    <w:rsid w:val="00152793"/>
    <w:rsid w:val="00153B7E"/>
    <w:rsid w:val="001545A9"/>
    <w:rsid w:val="001637C7"/>
    <w:rsid w:val="0016480E"/>
    <w:rsid w:val="00174297"/>
    <w:rsid w:val="00180E06"/>
    <w:rsid w:val="001817B3"/>
    <w:rsid w:val="00183014"/>
    <w:rsid w:val="00190D66"/>
    <w:rsid w:val="001959C2"/>
    <w:rsid w:val="00196DD5"/>
    <w:rsid w:val="001A51E3"/>
    <w:rsid w:val="001A5CAC"/>
    <w:rsid w:val="001A7968"/>
    <w:rsid w:val="001B2E98"/>
    <w:rsid w:val="001B3483"/>
    <w:rsid w:val="001B3C1E"/>
    <w:rsid w:val="001B4494"/>
    <w:rsid w:val="001B7204"/>
    <w:rsid w:val="001C02F7"/>
    <w:rsid w:val="001C0D8B"/>
    <w:rsid w:val="001C0DA8"/>
    <w:rsid w:val="001D4AD7"/>
    <w:rsid w:val="001E0D8A"/>
    <w:rsid w:val="001E67BA"/>
    <w:rsid w:val="001E74C2"/>
    <w:rsid w:val="001F4F82"/>
    <w:rsid w:val="001F5A48"/>
    <w:rsid w:val="001F6260"/>
    <w:rsid w:val="001F6F88"/>
    <w:rsid w:val="00200007"/>
    <w:rsid w:val="002030A5"/>
    <w:rsid w:val="00203131"/>
    <w:rsid w:val="00211A68"/>
    <w:rsid w:val="00212E88"/>
    <w:rsid w:val="00213C9C"/>
    <w:rsid w:val="0022009E"/>
    <w:rsid w:val="00223241"/>
    <w:rsid w:val="0022425C"/>
    <w:rsid w:val="002246DE"/>
    <w:rsid w:val="00235925"/>
    <w:rsid w:val="00240C3B"/>
    <w:rsid w:val="00252BC4"/>
    <w:rsid w:val="00253425"/>
    <w:rsid w:val="00254014"/>
    <w:rsid w:val="00254B39"/>
    <w:rsid w:val="0026336F"/>
    <w:rsid w:val="0026504D"/>
    <w:rsid w:val="00266FE6"/>
    <w:rsid w:val="00273A2F"/>
    <w:rsid w:val="00280986"/>
    <w:rsid w:val="00281ECE"/>
    <w:rsid w:val="002831C7"/>
    <w:rsid w:val="002840C6"/>
    <w:rsid w:val="00284A96"/>
    <w:rsid w:val="0029135B"/>
    <w:rsid w:val="00295174"/>
    <w:rsid w:val="00296172"/>
    <w:rsid w:val="00296B92"/>
    <w:rsid w:val="002A2C22"/>
    <w:rsid w:val="002A495F"/>
    <w:rsid w:val="002B02EB"/>
    <w:rsid w:val="002C0602"/>
    <w:rsid w:val="002D5C16"/>
    <w:rsid w:val="002E4B9C"/>
    <w:rsid w:val="002E741A"/>
    <w:rsid w:val="002F1621"/>
    <w:rsid w:val="002F2476"/>
    <w:rsid w:val="002F3951"/>
    <w:rsid w:val="002F3DFF"/>
    <w:rsid w:val="002F5E05"/>
    <w:rsid w:val="00307A76"/>
    <w:rsid w:val="00315A16"/>
    <w:rsid w:val="00317053"/>
    <w:rsid w:val="0032109C"/>
    <w:rsid w:val="00322B45"/>
    <w:rsid w:val="00323809"/>
    <w:rsid w:val="00323D41"/>
    <w:rsid w:val="00325414"/>
    <w:rsid w:val="003302F1"/>
    <w:rsid w:val="003422D0"/>
    <w:rsid w:val="00342F5A"/>
    <w:rsid w:val="0034470E"/>
    <w:rsid w:val="00344857"/>
    <w:rsid w:val="00352DB0"/>
    <w:rsid w:val="00361063"/>
    <w:rsid w:val="0037094A"/>
    <w:rsid w:val="00371ED3"/>
    <w:rsid w:val="00372FFC"/>
    <w:rsid w:val="0037728A"/>
    <w:rsid w:val="00380B7D"/>
    <w:rsid w:val="00381A99"/>
    <w:rsid w:val="003829C2"/>
    <w:rsid w:val="003830B2"/>
    <w:rsid w:val="00384724"/>
    <w:rsid w:val="003919B7"/>
    <w:rsid w:val="00391D57"/>
    <w:rsid w:val="00392292"/>
    <w:rsid w:val="003925AB"/>
    <w:rsid w:val="00395DD3"/>
    <w:rsid w:val="00396EF0"/>
    <w:rsid w:val="003A5927"/>
    <w:rsid w:val="003B1017"/>
    <w:rsid w:val="003B3C07"/>
    <w:rsid w:val="003B6081"/>
    <w:rsid w:val="003B6775"/>
    <w:rsid w:val="003C5FE2"/>
    <w:rsid w:val="003D05FB"/>
    <w:rsid w:val="003D1B16"/>
    <w:rsid w:val="003D45BF"/>
    <w:rsid w:val="003D508A"/>
    <w:rsid w:val="003D537F"/>
    <w:rsid w:val="003D7B75"/>
    <w:rsid w:val="003E0208"/>
    <w:rsid w:val="003E4A0A"/>
    <w:rsid w:val="003E4B57"/>
    <w:rsid w:val="003E4F75"/>
    <w:rsid w:val="003F27E1"/>
    <w:rsid w:val="003F437A"/>
    <w:rsid w:val="003F4D47"/>
    <w:rsid w:val="003F5C2B"/>
    <w:rsid w:val="00402240"/>
    <w:rsid w:val="004023E9"/>
    <w:rsid w:val="0040454A"/>
    <w:rsid w:val="00413F83"/>
    <w:rsid w:val="0041490C"/>
    <w:rsid w:val="00416191"/>
    <w:rsid w:val="00416721"/>
    <w:rsid w:val="00421EF0"/>
    <w:rsid w:val="004224FA"/>
    <w:rsid w:val="00423D07"/>
    <w:rsid w:val="00427936"/>
    <w:rsid w:val="0044346F"/>
    <w:rsid w:val="00446B88"/>
    <w:rsid w:val="0046520A"/>
    <w:rsid w:val="00466B7E"/>
    <w:rsid w:val="004672AB"/>
    <w:rsid w:val="004714FE"/>
    <w:rsid w:val="00477BAA"/>
    <w:rsid w:val="00480C1A"/>
    <w:rsid w:val="00495053"/>
    <w:rsid w:val="004A160C"/>
    <w:rsid w:val="004A1F59"/>
    <w:rsid w:val="004A29BE"/>
    <w:rsid w:val="004A3225"/>
    <w:rsid w:val="004A33EE"/>
    <w:rsid w:val="004A3AA8"/>
    <w:rsid w:val="004A7ED6"/>
    <w:rsid w:val="004B13C7"/>
    <w:rsid w:val="004B778F"/>
    <w:rsid w:val="004C0609"/>
    <w:rsid w:val="004D141F"/>
    <w:rsid w:val="004D2742"/>
    <w:rsid w:val="004D42D7"/>
    <w:rsid w:val="004D6310"/>
    <w:rsid w:val="004E0062"/>
    <w:rsid w:val="004E05A1"/>
    <w:rsid w:val="004F3362"/>
    <w:rsid w:val="004F5E57"/>
    <w:rsid w:val="004F6710"/>
    <w:rsid w:val="004F700A"/>
    <w:rsid w:val="00500C3E"/>
    <w:rsid w:val="00502849"/>
    <w:rsid w:val="00504334"/>
    <w:rsid w:val="0050498D"/>
    <w:rsid w:val="005104D7"/>
    <w:rsid w:val="00510B9E"/>
    <w:rsid w:val="00532E60"/>
    <w:rsid w:val="005356B8"/>
    <w:rsid w:val="00536BC2"/>
    <w:rsid w:val="005370D2"/>
    <w:rsid w:val="005425E1"/>
    <w:rsid w:val="005427C5"/>
    <w:rsid w:val="005428D1"/>
    <w:rsid w:val="00542CF6"/>
    <w:rsid w:val="00553C03"/>
    <w:rsid w:val="00563692"/>
    <w:rsid w:val="00571679"/>
    <w:rsid w:val="0057482C"/>
    <w:rsid w:val="00576F5F"/>
    <w:rsid w:val="005844E7"/>
    <w:rsid w:val="005908B8"/>
    <w:rsid w:val="0059512E"/>
    <w:rsid w:val="005A6DD2"/>
    <w:rsid w:val="005B04BF"/>
    <w:rsid w:val="005B6F34"/>
    <w:rsid w:val="005C385D"/>
    <w:rsid w:val="005D3B20"/>
    <w:rsid w:val="005D5AE8"/>
    <w:rsid w:val="005E4759"/>
    <w:rsid w:val="005E509C"/>
    <w:rsid w:val="005E5C68"/>
    <w:rsid w:val="005E65C0"/>
    <w:rsid w:val="005F0390"/>
    <w:rsid w:val="005F7C7A"/>
    <w:rsid w:val="006072CD"/>
    <w:rsid w:val="006100B0"/>
    <w:rsid w:val="00611D2A"/>
    <w:rsid w:val="00612023"/>
    <w:rsid w:val="00614190"/>
    <w:rsid w:val="00622A99"/>
    <w:rsid w:val="00622E67"/>
    <w:rsid w:val="00626EDC"/>
    <w:rsid w:val="00642825"/>
    <w:rsid w:val="006470EC"/>
    <w:rsid w:val="006542D6"/>
    <w:rsid w:val="0065598E"/>
    <w:rsid w:val="00655AF2"/>
    <w:rsid w:val="00655BC5"/>
    <w:rsid w:val="006568BE"/>
    <w:rsid w:val="0066025D"/>
    <w:rsid w:val="0066091A"/>
    <w:rsid w:val="0066696E"/>
    <w:rsid w:val="00671570"/>
    <w:rsid w:val="006724E5"/>
    <w:rsid w:val="006773EC"/>
    <w:rsid w:val="00680504"/>
    <w:rsid w:val="00681CD9"/>
    <w:rsid w:val="0068243D"/>
    <w:rsid w:val="00683E30"/>
    <w:rsid w:val="00687024"/>
    <w:rsid w:val="00695E22"/>
    <w:rsid w:val="006A0A4F"/>
    <w:rsid w:val="006B7093"/>
    <w:rsid w:val="006B7417"/>
    <w:rsid w:val="006D1B17"/>
    <w:rsid w:val="006D22CC"/>
    <w:rsid w:val="006D3691"/>
    <w:rsid w:val="006D5746"/>
    <w:rsid w:val="006E5EF0"/>
    <w:rsid w:val="006F3563"/>
    <w:rsid w:val="006F42B9"/>
    <w:rsid w:val="006F6103"/>
    <w:rsid w:val="00704E00"/>
    <w:rsid w:val="00710099"/>
    <w:rsid w:val="007209E7"/>
    <w:rsid w:val="00722265"/>
    <w:rsid w:val="007223F3"/>
    <w:rsid w:val="00726182"/>
    <w:rsid w:val="00727635"/>
    <w:rsid w:val="00732329"/>
    <w:rsid w:val="00732B1C"/>
    <w:rsid w:val="007337CA"/>
    <w:rsid w:val="00734CE4"/>
    <w:rsid w:val="00735123"/>
    <w:rsid w:val="00741837"/>
    <w:rsid w:val="007453E6"/>
    <w:rsid w:val="0077309D"/>
    <w:rsid w:val="007774EE"/>
    <w:rsid w:val="00781822"/>
    <w:rsid w:val="00783F21"/>
    <w:rsid w:val="00787159"/>
    <w:rsid w:val="0079043A"/>
    <w:rsid w:val="00791668"/>
    <w:rsid w:val="00791AA1"/>
    <w:rsid w:val="007A3793"/>
    <w:rsid w:val="007A609B"/>
    <w:rsid w:val="007A7E3A"/>
    <w:rsid w:val="007C1BA2"/>
    <w:rsid w:val="007C2B48"/>
    <w:rsid w:val="007D20E9"/>
    <w:rsid w:val="007D533C"/>
    <w:rsid w:val="007D7881"/>
    <w:rsid w:val="007D7E3A"/>
    <w:rsid w:val="007E0E10"/>
    <w:rsid w:val="007E1CFE"/>
    <w:rsid w:val="007E4768"/>
    <w:rsid w:val="007E777B"/>
    <w:rsid w:val="007E7ED0"/>
    <w:rsid w:val="007F2070"/>
    <w:rsid w:val="008053F5"/>
    <w:rsid w:val="008074CA"/>
    <w:rsid w:val="00807AF7"/>
    <w:rsid w:val="0081002C"/>
    <w:rsid w:val="00810198"/>
    <w:rsid w:val="00815DA8"/>
    <w:rsid w:val="0082194D"/>
    <w:rsid w:val="008221F9"/>
    <w:rsid w:val="00826EF5"/>
    <w:rsid w:val="00831693"/>
    <w:rsid w:val="00832B8B"/>
    <w:rsid w:val="00833BFB"/>
    <w:rsid w:val="0083635A"/>
    <w:rsid w:val="00840104"/>
    <w:rsid w:val="00840C1F"/>
    <w:rsid w:val="00841FC5"/>
    <w:rsid w:val="00845709"/>
    <w:rsid w:val="00854E8C"/>
    <w:rsid w:val="008576BD"/>
    <w:rsid w:val="00860463"/>
    <w:rsid w:val="0086111C"/>
    <w:rsid w:val="008733DA"/>
    <w:rsid w:val="008850E4"/>
    <w:rsid w:val="008939AB"/>
    <w:rsid w:val="008A12F5"/>
    <w:rsid w:val="008B1587"/>
    <w:rsid w:val="008B1B01"/>
    <w:rsid w:val="008B3BCD"/>
    <w:rsid w:val="008B494B"/>
    <w:rsid w:val="008B6DF8"/>
    <w:rsid w:val="008C106C"/>
    <w:rsid w:val="008C10F1"/>
    <w:rsid w:val="008C1926"/>
    <w:rsid w:val="008C1E99"/>
    <w:rsid w:val="008C3333"/>
    <w:rsid w:val="008D0E74"/>
    <w:rsid w:val="008D3336"/>
    <w:rsid w:val="008D5E1F"/>
    <w:rsid w:val="008E0085"/>
    <w:rsid w:val="008E2AA6"/>
    <w:rsid w:val="008E311B"/>
    <w:rsid w:val="008E44F2"/>
    <w:rsid w:val="008F0270"/>
    <w:rsid w:val="008F46E7"/>
    <w:rsid w:val="008F4E9E"/>
    <w:rsid w:val="008F6F0B"/>
    <w:rsid w:val="009043BF"/>
    <w:rsid w:val="0090717E"/>
    <w:rsid w:val="00907BA7"/>
    <w:rsid w:val="0091064E"/>
    <w:rsid w:val="00911FC5"/>
    <w:rsid w:val="00913597"/>
    <w:rsid w:val="00914306"/>
    <w:rsid w:val="00925958"/>
    <w:rsid w:val="009315D1"/>
    <w:rsid w:val="00931A10"/>
    <w:rsid w:val="009322BA"/>
    <w:rsid w:val="009344B6"/>
    <w:rsid w:val="00943EB9"/>
    <w:rsid w:val="00944552"/>
    <w:rsid w:val="00947967"/>
    <w:rsid w:val="00955201"/>
    <w:rsid w:val="00962F57"/>
    <w:rsid w:val="009635DD"/>
    <w:rsid w:val="00965200"/>
    <w:rsid w:val="009661EF"/>
    <w:rsid w:val="009668B3"/>
    <w:rsid w:val="00971471"/>
    <w:rsid w:val="00984387"/>
    <w:rsid w:val="009849C2"/>
    <w:rsid w:val="00984D24"/>
    <w:rsid w:val="009858EB"/>
    <w:rsid w:val="00985981"/>
    <w:rsid w:val="00992F3C"/>
    <w:rsid w:val="009A3F47"/>
    <w:rsid w:val="009B0046"/>
    <w:rsid w:val="009C1440"/>
    <w:rsid w:val="009C2107"/>
    <w:rsid w:val="009C5D9E"/>
    <w:rsid w:val="009D26EF"/>
    <w:rsid w:val="009D2C3E"/>
    <w:rsid w:val="009E0625"/>
    <w:rsid w:val="009E3034"/>
    <w:rsid w:val="009E549F"/>
    <w:rsid w:val="009F28A8"/>
    <w:rsid w:val="009F473E"/>
    <w:rsid w:val="009F682A"/>
    <w:rsid w:val="00A022BE"/>
    <w:rsid w:val="00A06BCC"/>
    <w:rsid w:val="00A07B4B"/>
    <w:rsid w:val="00A15D6E"/>
    <w:rsid w:val="00A15DC5"/>
    <w:rsid w:val="00A215FB"/>
    <w:rsid w:val="00A24C95"/>
    <w:rsid w:val="00A2599A"/>
    <w:rsid w:val="00A26094"/>
    <w:rsid w:val="00A301BF"/>
    <w:rsid w:val="00A302B2"/>
    <w:rsid w:val="00A331B4"/>
    <w:rsid w:val="00A3445A"/>
    <w:rsid w:val="00A3484E"/>
    <w:rsid w:val="00A356D3"/>
    <w:rsid w:val="00A36ADA"/>
    <w:rsid w:val="00A438D8"/>
    <w:rsid w:val="00A473F5"/>
    <w:rsid w:val="00A51F9D"/>
    <w:rsid w:val="00A5416A"/>
    <w:rsid w:val="00A639F4"/>
    <w:rsid w:val="00A7118D"/>
    <w:rsid w:val="00A74581"/>
    <w:rsid w:val="00A80A49"/>
    <w:rsid w:val="00A81A32"/>
    <w:rsid w:val="00A835BD"/>
    <w:rsid w:val="00A87FEA"/>
    <w:rsid w:val="00A97B15"/>
    <w:rsid w:val="00AA42D5"/>
    <w:rsid w:val="00AA52B8"/>
    <w:rsid w:val="00AB1F1C"/>
    <w:rsid w:val="00AB2FAB"/>
    <w:rsid w:val="00AB5C14"/>
    <w:rsid w:val="00AC1EE7"/>
    <w:rsid w:val="00AC333F"/>
    <w:rsid w:val="00AC585C"/>
    <w:rsid w:val="00AD1925"/>
    <w:rsid w:val="00AD6D20"/>
    <w:rsid w:val="00AE067D"/>
    <w:rsid w:val="00AF1181"/>
    <w:rsid w:val="00AF2F79"/>
    <w:rsid w:val="00AF4653"/>
    <w:rsid w:val="00AF7DB7"/>
    <w:rsid w:val="00B10D02"/>
    <w:rsid w:val="00B201E2"/>
    <w:rsid w:val="00B377A8"/>
    <w:rsid w:val="00B443E4"/>
    <w:rsid w:val="00B53E3F"/>
    <w:rsid w:val="00B5484D"/>
    <w:rsid w:val="00B563EA"/>
    <w:rsid w:val="00B56CDF"/>
    <w:rsid w:val="00B60E51"/>
    <w:rsid w:val="00B63A54"/>
    <w:rsid w:val="00B76C82"/>
    <w:rsid w:val="00B7749A"/>
    <w:rsid w:val="00B7781B"/>
    <w:rsid w:val="00B77D18"/>
    <w:rsid w:val="00B8313A"/>
    <w:rsid w:val="00B8766C"/>
    <w:rsid w:val="00B9130D"/>
    <w:rsid w:val="00B93503"/>
    <w:rsid w:val="00BA31E8"/>
    <w:rsid w:val="00BA480E"/>
    <w:rsid w:val="00BA55E0"/>
    <w:rsid w:val="00BA6BD4"/>
    <w:rsid w:val="00BA6C7A"/>
    <w:rsid w:val="00BB17D1"/>
    <w:rsid w:val="00BB3752"/>
    <w:rsid w:val="00BB6688"/>
    <w:rsid w:val="00BC26D4"/>
    <w:rsid w:val="00BE0C80"/>
    <w:rsid w:val="00BF2A42"/>
    <w:rsid w:val="00C03D8C"/>
    <w:rsid w:val="00C055EC"/>
    <w:rsid w:val="00C10DC9"/>
    <w:rsid w:val="00C12FB3"/>
    <w:rsid w:val="00C17341"/>
    <w:rsid w:val="00C22FAC"/>
    <w:rsid w:val="00C24EEF"/>
    <w:rsid w:val="00C25CF6"/>
    <w:rsid w:val="00C26C36"/>
    <w:rsid w:val="00C32768"/>
    <w:rsid w:val="00C32B9E"/>
    <w:rsid w:val="00C37AF2"/>
    <w:rsid w:val="00C431DF"/>
    <w:rsid w:val="00C456BD"/>
    <w:rsid w:val="00C45E97"/>
    <w:rsid w:val="00C530DC"/>
    <w:rsid w:val="00C5350D"/>
    <w:rsid w:val="00C54D77"/>
    <w:rsid w:val="00C6123C"/>
    <w:rsid w:val="00C6311A"/>
    <w:rsid w:val="00C66437"/>
    <w:rsid w:val="00C7084D"/>
    <w:rsid w:val="00C7315E"/>
    <w:rsid w:val="00C75895"/>
    <w:rsid w:val="00C821EB"/>
    <w:rsid w:val="00C83C9F"/>
    <w:rsid w:val="00C86E0D"/>
    <w:rsid w:val="00C94840"/>
    <w:rsid w:val="00CA38BF"/>
    <w:rsid w:val="00CA4EE3"/>
    <w:rsid w:val="00CB027F"/>
    <w:rsid w:val="00CB0778"/>
    <w:rsid w:val="00CB42F0"/>
    <w:rsid w:val="00CC0EBB"/>
    <w:rsid w:val="00CC2089"/>
    <w:rsid w:val="00CC6297"/>
    <w:rsid w:val="00CC7690"/>
    <w:rsid w:val="00CD1986"/>
    <w:rsid w:val="00CD3A1B"/>
    <w:rsid w:val="00CD496B"/>
    <w:rsid w:val="00CD54BF"/>
    <w:rsid w:val="00CD5607"/>
    <w:rsid w:val="00CE4D5C"/>
    <w:rsid w:val="00CF05DA"/>
    <w:rsid w:val="00CF58EB"/>
    <w:rsid w:val="00CF5C0F"/>
    <w:rsid w:val="00CF6FEC"/>
    <w:rsid w:val="00D0106E"/>
    <w:rsid w:val="00D06383"/>
    <w:rsid w:val="00D066B0"/>
    <w:rsid w:val="00D1156B"/>
    <w:rsid w:val="00D20E85"/>
    <w:rsid w:val="00D24615"/>
    <w:rsid w:val="00D338CD"/>
    <w:rsid w:val="00D37842"/>
    <w:rsid w:val="00D41A33"/>
    <w:rsid w:val="00D426F0"/>
    <w:rsid w:val="00D42DC2"/>
    <w:rsid w:val="00D537E1"/>
    <w:rsid w:val="00D55BB2"/>
    <w:rsid w:val="00D57B34"/>
    <w:rsid w:val="00D6091A"/>
    <w:rsid w:val="00D620F7"/>
    <w:rsid w:val="00D63F77"/>
    <w:rsid w:val="00D6605A"/>
    <w:rsid w:val="00D6695F"/>
    <w:rsid w:val="00D6749A"/>
    <w:rsid w:val="00D75644"/>
    <w:rsid w:val="00D81656"/>
    <w:rsid w:val="00D83D87"/>
    <w:rsid w:val="00D84A6D"/>
    <w:rsid w:val="00D86A30"/>
    <w:rsid w:val="00D9690C"/>
    <w:rsid w:val="00D97CB4"/>
    <w:rsid w:val="00D97DD4"/>
    <w:rsid w:val="00DA39CE"/>
    <w:rsid w:val="00DA5A8A"/>
    <w:rsid w:val="00DB1170"/>
    <w:rsid w:val="00DB26CD"/>
    <w:rsid w:val="00DB441C"/>
    <w:rsid w:val="00DB44AF"/>
    <w:rsid w:val="00DC1F58"/>
    <w:rsid w:val="00DC339B"/>
    <w:rsid w:val="00DC5D40"/>
    <w:rsid w:val="00DC647B"/>
    <w:rsid w:val="00DC69A7"/>
    <w:rsid w:val="00DD30E9"/>
    <w:rsid w:val="00DD432E"/>
    <w:rsid w:val="00DD4F47"/>
    <w:rsid w:val="00DD55E2"/>
    <w:rsid w:val="00DD7FBB"/>
    <w:rsid w:val="00DE0B9F"/>
    <w:rsid w:val="00DE2A9E"/>
    <w:rsid w:val="00DE4238"/>
    <w:rsid w:val="00DE50E1"/>
    <w:rsid w:val="00DE657F"/>
    <w:rsid w:val="00DF1218"/>
    <w:rsid w:val="00DF3985"/>
    <w:rsid w:val="00DF6462"/>
    <w:rsid w:val="00E02FA0"/>
    <w:rsid w:val="00E036DC"/>
    <w:rsid w:val="00E10454"/>
    <w:rsid w:val="00E112E5"/>
    <w:rsid w:val="00E122D8"/>
    <w:rsid w:val="00E12CC8"/>
    <w:rsid w:val="00E15352"/>
    <w:rsid w:val="00E21CC7"/>
    <w:rsid w:val="00E24D9E"/>
    <w:rsid w:val="00E25849"/>
    <w:rsid w:val="00E3197E"/>
    <w:rsid w:val="00E342F8"/>
    <w:rsid w:val="00E351ED"/>
    <w:rsid w:val="00E42917"/>
    <w:rsid w:val="00E6034B"/>
    <w:rsid w:val="00E6549E"/>
    <w:rsid w:val="00E65EDE"/>
    <w:rsid w:val="00E70F81"/>
    <w:rsid w:val="00E77055"/>
    <w:rsid w:val="00E77460"/>
    <w:rsid w:val="00E83ABC"/>
    <w:rsid w:val="00E844F2"/>
    <w:rsid w:val="00E8544F"/>
    <w:rsid w:val="00E90AD0"/>
    <w:rsid w:val="00E92FCB"/>
    <w:rsid w:val="00EA147F"/>
    <w:rsid w:val="00EA48A6"/>
    <w:rsid w:val="00EA4A27"/>
    <w:rsid w:val="00EA4FA6"/>
    <w:rsid w:val="00EB1A25"/>
    <w:rsid w:val="00EC5439"/>
    <w:rsid w:val="00EC7363"/>
    <w:rsid w:val="00ED03AB"/>
    <w:rsid w:val="00ED1963"/>
    <w:rsid w:val="00ED1CD4"/>
    <w:rsid w:val="00ED1D2B"/>
    <w:rsid w:val="00ED64B5"/>
    <w:rsid w:val="00EE0CCA"/>
    <w:rsid w:val="00EE4C61"/>
    <w:rsid w:val="00EE7CCA"/>
    <w:rsid w:val="00F16A14"/>
    <w:rsid w:val="00F205F8"/>
    <w:rsid w:val="00F2121D"/>
    <w:rsid w:val="00F24D3C"/>
    <w:rsid w:val="00F26DFF"/>
    <w:rsid w:val="00F362D7"/>
    <w:rsid w:val="00F37D7B"/>
    <w:rsid w:val="00F4159D"/>
    <w:rsid w:val="00F5314C"/>
    <w:rsid w:val="00F5688C"/>
    <w:rsid w:val="00F60048"/>
    <w:rsid w:val="00F635DD"/>
    <w:rsid w:val="00F659F3"/>
    <w:rsid w:val="00F6627B"/>
    <w:rsid w:val="00F7336E"/>
    <w:rsid w:val="00F734F2"/>
    <w:rsid w:val="00F75052"/>
    <w:rsid w:val="00F75EF0"/>
    <w:rsid w:val="00F804D3"/>
    <w:rsid w:val="00F816CB"/>
    <w:rsid w:val="00F81CD2"/>
    <w:rsid w:val="00F82641"/>
    <w:rsid w:val="00F90F18"/>
    <w:rsid w:val="00F91E85"/>
    <w:rsid w:val="00F937E4"/>
    <w:rsid w:val="00F956E8"/>
    <w:rsid w:val="00F95EE7"/>
    <w:rsid w:val="00FA39E6"/>
    <w:rsid w:val="00FA3AA4"/>
    <w:rsid w:val="00FA7BC9"/>
    <w:rsid w:val="00FB378E"/>
    <w:rsid w:val="00FB37F1"/>
    <w:rsid w:val="00FB47C0"/>
    <w:rsid w:val="00FB4D90"/>
    <w:rsid w:val="00FB501B"/>
    <w:rsid w:val="00FB7770"/>
    <w:rsid w:val="00FB7CE3"/>
    <w:rsid w:val="00FC17D0"/>
    <w:rsid w:val="00FD3B91"/>
    <w:rsid w:val="00FD576B"/>
    <w:rsid w:val="00FD579E"/>
    <w:rsid w:val="00FD6845"/>
    <w:rsid w:val="00FE4516"/>
    <w:rsid w:val="00FE5680"/>
    <w:rsid w:val="00FE64C8"/>
    <w:rsid w:val="00FF6B6B"/>
    <w:rsid w:val="00FF7B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41917"/>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5E509C"/>
    <w:pPr>
      <w:numPr>
        <w:numId w:val="8"/>
      </w:numPr>
      <w:outlineLvl w:val="0"/>
    </w:pPr>
    <w:rPr>
      <w:rFonts w:hAnsi="Arial"/>
      <w:bCs/>
      <w:kern w:val="32"/>
      <w:szCs w:val="52"/>
    </w:rPr>
  </w:style>
  <w:style w:type="paragraph" w:styleId="2">
    <w:name w:val="heading 2"/>
    <w:aliases w:val="標題110/111,節,節1"/>
    <w:basedOn w:val="a7"/>
    <w:link w:val="21"/>
    <w:qFormat/>
    <w:rsid w:val="004F5E57"/>
    <w:pPr>
      <w:numPr>
        <w:ilvl w:val="1"/>
        <w:numId w:val="8"/>
      </w:numPr>
      <w:outlineLvl w:val="1"/>
    </w:pPr>
    <w:rPr>
      <w:rFonts w:hAnsi="Arial"/>
      <w:bCs/>
      <w:kern w:val="32"/>
      <w:szCs w:val="48"/>
    </w:rPr>
  </w:style>
  <w:style w:type="paragraph" w:styleId="3">
    <w:name w:val="heading 3"/>
    <w:basedOn w:val="a7"/>
    <w:link w:val="30"/>
    <w:qFormat/>
    <w:rsid w:val="004F5E57"/>
    <w:pPr>
      <w:numPr>
        <w:ilvl w:val="2"/>
        <w:numId w:val="8"/>
      </w:numPr>
      <w:outlineLvl w:val="2"/>
    </w:pPr>
    <w:rPr>
      <w:rFonts w:hAnsi="Arial"/>
      <w:bCs/>
      <w:kern w:val="32"/>
      <w:szCs w:val="36"/>
    </w:rPr>
  </w:style>
  <w:style w:type="paragraph" w:styleId="4">
    <w:name w:val="heading 4"/>
    <w:aliases w:val="一,表格"/>
    <w:basedOn w:val="a7"/>
    <w:link w:val="40"/>
    <w:qFormat/>
    <w:rsid w:val="004F5E57"/>
    <w:pPr>
      <w:numPr>
        <w:ilvl w:val="3"/>
        <w:numId w:val="8"/>
      </w:numPr>
      <w:outlineLvl w:val="3"/>
    </w:pPr>
    <w:rPr>
      <w:rFonts w:hAnsi="Arial"/>
      <w:kern w:val="32"/>
      <w:szCs w:val="36"/>
    </w:rPr>
  </w:style>
  <w:style w:type="paragraph" w:styleId="5">
    <w:name w:val="heading 5"/>
    <w:aliases w:val="(一)"/>
    <w:basedOn w:val="a7"/>
    <w:qFormat/>
    <w:rsid w:val="004F5E57"/>
    <w:pPr>
      <w:numPr>
        <w:ilvl w:val="4"/>
        <w:numId w:val="8"/>
      </w:numPr>
      <w:outlineLvl w:val="4"/>
    </w:pPr>
    <w:rPr>
      <w:rFonts w:hAnsi="Arial"/>
      <w:bCs/>
      <w:kern w:val="32"/>
      <w:szCs w:val="36"/>
    </w:rPr>
  </w:style>
  <w:style w:type="paragraph" w:styleId="6">
    <w:name w:val="heading 6"/>
    <w:aliases w:val="1"/>
    <w:basedOn w:val="a7"/>
    <w:qFormat/>
    <w:rsid w:val="004F5E57"/>
    <w:pPr>
      <w:numPr>
        <w:ilvl w:val="5"/>
        <w:numId w:val="8"/>
      </w:numPr>
      <w:tabs>
        <w:tab w:val="left" w:pos="2094"/>
      </w:tabs>
      <w:outlineLvl w:val="5"/>
    </w:pPr>
    <w:rPr>
      <w:rFonts w:hAnsi="Arial"/>
      <w:kern w:val="32"/>
      <w:szCs w:val="36"/>
    </w:rPr>
  </w:style>
  <w:style w:type="paragraph" w:styleId="7">
    <w:name w:val="heading 7"/>
    <w:aliases w:val="(1)"/>
    <w:basedOn w:val="a7"/>
    <w:qFormat/>
    <w:rsid w:val="004F5E57"/>
    <w:pPr>
      <w:numPr>
        <w:ilvl w:val="6"/>
        <w:numId w:val="8"/>
      </w:numPr>
      <w:outlineLvl w:val="6"/>
    </w:pPr>
    <w:rPr>
      <w:rFonts w:hAnsi="Arial"/>
      <w:bCs/>
      <w:kern w:val="32"/>
      <w:szCs w:val="36"/>
    </w:rPr>
  </w:style>
  <w:style w:type="paragraph" w:styleId="8">
    <w:name w:val="heading 8"/>
    <w:basedOn w:val="a7"/>
    <w:qFormat/>
    <w:rsid w:val="004F5E57"/>
    <w:pPr>
      <w:numPr>
        <w:ilvl w:val="7"/>
        <w:numId w:val="8"/>
      </w:numPr>
      <w:outlineLvl w:val="7"/>
    </w:pPr>
    <w:rPr>
      <w:rFonts w:hAnsi="Arial"/>
      <w:kern w:val="32"/>
      <w:szCs w:val="36"/>
    </w:rPr>
  </w:style>
  <w:style w:type="paragraph" w:styleId="9">
    <w:name w:val="heading 9"/>
    <w:basedOn w:val="a7"/>
    <w:link w:val="90"/>
    <w:uiPriority w:val="9"/>
    <w:unhideWhenUsed/>
    <w:qFormat/>
    <w:rsid w:val="00C055EC"/>
    <w:pPr>
      <w:numPr>
        <w:ilvl w:val="8"/>
        <w:numId w:val="8"/>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qFormat/>
    <w:rsid w:val="003E4F75"/>
    <w:pPr>
      <w:snapToGrid w:val="0"/>
      <w:spacing w:before="480" w:after="720"/>
      <w:ind w:left="4423"/>
    </w:pPr>
    <w:rPr>
      <w:b/>
      <w:snapToGrid w:val="0"/>
      <w:spacing w:val="12"/>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2">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qFormat/>
    <w:rsid w:val="00CC7690"/>
    <w:pPr>
      <w:tabs>
        <w:tab w:val="right" w:leader="hyphen" w:pos="8834"/>
      </w:tabs>
      <w:kinsoku w:val="0"/>
      <w:ind w:left="400" w:rightChars="100" w:right="100" w:hangingChars="400" w:hanging="400"/>
    </w:pPr>
    <w:rPr>
      <w:noProof/>
      <w:szCs w:val="32"/>
    </w:rPr>
  </w:style>
  <w:style w:type="paragraph" w:styleId="23">
    <w:name w:val="toc 2"/>
    <w:basedOn w:val="a7"/>
    <w:next w:val="a7"/>
    <w:autoRedefine/>
    <w:uiPriority w:val="39"/>
    <w:qFormat/>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semiHidden/>
    <w:rsid w:val="004E0062"/>
    <w:pPr>
      <w:tabs>
        <w:tab w:val="center" w:pos="4153"/>
        <w:tab w:val="right" w:pos="8306"/>
      </w:tabs>
      <w:snapToGrid w:val="0"/>
    </w:pPr>
    <w:rPr>
      <w:sz w:val="20"/>
    </w:rPr>
  </w:style>
  <w:style w:type="paragraph" w:customStyle="1" w:styleId="32">
    <w:name w:val="段落樣式3"/>
    <w:basedOn w:val="22"/>
    <w:qFormat/>
    <w:rsid w:val="004F5E57"/>
    <w:pPr>
      <w:ind w:leftChars="400" w:left="400"/>
    </w:pPr>
  </w:style>
  <w:style w:type="character" w:styleId="af1">
    <w:name w:val="Hyperlink"/>
    <w:basedOn w:val="a8"/>
    <w:uiPriority w:val="99"/>
    <w:rsid w:val="004E0062"/>
    <w:rPr>
      <w:color w:val="0000FF"/>
      <w:u w:val="single"/>
    </w:rPr>
  </w:style>
  <w:style w:type="paragraph" w:customStyle="1" w:styleId="af2">
    <w:name w:val="簽名日期"/>
    <w:basedOn w:val="a7"/>
    <w:rsid w:val="004E0062"/>
    <w:pPr>
      <w:kinsoku w:val="0"/>
      <w:jc w:val="distribute"/>
    </w:pPr>
    <w:rPr>
      <w:kern w:val="0"/>
    </w:rPr>
  </w:style>
  <w:style w:type="paragraph" w:customStyle="1" w:styleId="0">
    <w:name w:val="段落樣式0"/>
    <w:basedOn w:val="22"/>
    <w:qFormat/>
    <w:rsid w:val="004F5E57"/>
    <w:pPr>
      <w:ind w:leftChars="200" w:left="200" w:firstLineChars="0" w:firstLine="0"/>
    </w:pPr>
  </w:style>
  <w:style w:type="paragraph" w:customStyle="1" w:styleId="af3">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4">
    <w:name w:val="Body Text Indent"/>
    <w:basedOn w:val="a7"/>
    <w:semiHidden/>
    <w:rsid w:val="004E0062"/>
    <w:pPr>
      <w:ind w:left="698" w:hangingChars="200" w:hanging="698"/>
    </w:pPr>
  </w:style>
  <w:style w:type="paragraph" w:customStyle="1" w:styleId="af5">
    <w:name w:val="調查報告"/>
    <w:basedOn w:val="ad"/>
    <w:uiPriority w:val="99"/>
    <w:rsid w:val="009D26EF"/>
    <w:pPr>
      <w:adjustRightInd w:val="0"/>
      <w:spacing w:before="0"/>
      <w:ind w:left="0" w:firstLine="0"/>
      <w:jc w:val="center"/>
    </w:pPr>
    <w:rPr>
      <w:b/>
      <w:snapToGrid/>
      <w:spacing w:val="20"/>
      <w:kern w:val="0"/>
      <w:sz w:val="36"/>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6">
    <w:name w:val="footer"/>
    <w:basedOn w:val="a7"/>
    <w:semiHidden/>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7"/>
      </w:numPr>
      <w:ind w:left="350" w:hangingChars="350" w:hanging="350"/>
      <w:outlineLvl w:val="0"/>
    </w:pPr>
    <w:rPr>
      <w:kern w:val="32"/>
    </w:rPr>
  </w:style>
  <w:style w:type="paragraph" w:styleId="afa">
    <w:name w:val="List Paragraph"/>
    <w:basedOn w:val="a7"/>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10"/>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11"/>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styleId="afd">
    <w:name w:val="FollowedHyperlink"/>
    <w:basedOn w:val="a8"/>
    <w:uiPriority w:val="99"/>
    <w:semiHidden/>
    <w:unhideWhenUsed/>
    <w:rsid w:val="00F956E8"/>
    <w:rPr>
      <w:color w:val="800080" w:themeColor="followedHyperlink"/>
      <w:u w:val="single"/>
    </w:rPr>
  </w:style>
  <w:style w:type="paragraph" w:customStyle="1" w:styleId="a0">
    <w:name w:val="表樣式"/>
    <w:basedOn w:val="a7"/>
    <w:next w:val="a7"/>
    <w:rsid w:val="00F956E8"/>
    <w:pPr>
      <w:numPr>
        <w:numId w:val="12"/>
      </w:numPr>
      <w:tabs>
        <w:tab w:val="clear" w:pos="1440"/>
        <w:tab w:val="left" w:pos="1396"/>
      </w:tabs>
      <w:kinsoku w:val="0"/>
      <w:overflowPunct/>
      <w:autoSpaceDE/>
      <w:autoSpaceDN/>
      <w:ind w:left="400" w:hangingChars="400" w:hanging="400"/>
    </w:pPr>
    <w:rPr>
      <w:kern w:val="0"/>
    </w:rPr>
  </w:style>
  <w:style w:type="paragraph" w:styleId="afe">
    <w:name w:val="footnote text"/>
    <w:basedOn w:val="a7"/>
    <w:link w:val="aff"/>
    <w:uiPriority w:val="99"/>
    <w:unhideWhenUsed/>
    <w:rsid w:val="00F956E8"/>
    <w:pPr>
      <w:overflowPunct/>
      <w:autoSpaceDE/>
      <w:autoSpaceDN/>
      <w:snapToGrid w:val="0"/>
      <w:jc w:val="left"/>
    </w:pPr>
    <w:rPr>
      <w:rFonts w:ascii="Times New Roman"/>
      <w:sz w:val="20"/>
    </w:rPr>
  </w:style>
  <w:style w:type="character" w:customStyle="1" w:styleId="aff">
    <w:name w:val="註腳文字 字元"/>
    <w:basedOn w:val="a8"/>
    <w:link w:val="afe"/>
    <w:uiPriority w:val="99"/>
    <w:rsid w:val="00F956E8"/>
    <w:rPr>
      <w:rFonts w:eastAsia="標楷體"/>
      <w:kern w:val="2"/>
    </w:rPr>
  </w:style>
  <w:style w:type="paragraph" w:customStyle="1" w:styleId="aff0">
    <w:name w:val="圖樣式"/>
    <w:basedOn w:val="a7"/>
    <w:next w:val="a7"/>
    <w:rsid w:val="00F956E8"/>
    <w:pPr>
      <w:overflowPunct/>
      <w:autoSpaceDE/>
      <w:autoSpaceDN/>
      <w:ind w:left="400" w:hangingChars="400" w:hanging="400"/>
    </w:pPr>
  </w:style>
  <w:style w:type="character" w:styleId="aff1">
    <w:name w:val="footnote reference"/>
    <w:uiPriority w:val="99"/>
    <w:unhideWhenUsed/>
    <w:rsid w:val="00F956E8"/>
    <w:rPr>
      <w:vertAlign w:val="superscript"/>
    </w:rPr>
  </w:style>
  <w:style w:type="character" w:customStyle="1" w:styleId="21">
    <w:name w:val="標題 2 字元"/>
    <w:aliases w:val="標題110/111 字元,節 字元,節1 字元"/>
    <w:link w:val="2"/>
    <w:rsid w:val="00F956E8"/>
    <w:rPr>
      <w:rFonts w:ascii="標楷體" w:eastAsia="標楷體" w:hAnsi="Arial"/>
      <w:bCs/>
      <w:kern w:val="32"/>
      <w:sz w:val="32"/>
      <w:szCs w:val="48"/>
    </w:rPr>
  </w:style>
  <w:style w:type="character" w:customStyle="1" w:styleId="ac">
    <w:name w:val="簽名 字元"/>
    <w:link w:val="ab"/>
    <w:rsid w:val="00F956E8"/>
    <w:rPr>
      <w:rFonts w:ascii="標楷體" w:eastAsia="標楷體"/>
      <w:b/>
      <w:snapToGrid w:val="0"/>
      <w:spacing w:val="12"/>
      <w:kern w:val="2"/>
      <w:sz w:val="36"/>
    </w:rPr>
  </w:style>
  <w:style w:type="character" w:customStyle="1" w:styleId="10">
    <w:name w:val="標題 1 字元"/>
    <w:aliases w:val="題號1 字元,壹 字元"/>
    <w:link w:val="1"/>
    <w:rsid w:val="00F956E8"/>
    <w:rPr>
      <w:rFonts w:ascii="標楷體" w:eastAsia="標楷體" w:hAnsi="Arial"/>
      <w:bCs/>
      <w:kern w:val="32"/>
      <w:sz w:val="32"/>
      <w:szCs w:val="52"/>
    </w:rPr>
  </w:style>
  <w:style w:type="character" w:customStyle="1" w:styleId="30">
    <w:name w:val="標題 3 字元"/>
    <w:link w:val="3"/>
    <w:rsid w:val="00F956E8"/>
    <w:rPr>
      <w:rFonts w:ascii="標楷體" w:eastAsia="標楷體" w:hAnsi="Arial"/>
      <w:bCs/>
      <w:kern w:val="32"/>
      <w:sz w:val="32"/>
      <w:szCs w:val="36"/>
    </w:rPr>
  </w:style>
  <w:style w:type="paragraph" w:styleId="aff2">
    <w:name w:val="TOC Heading"/>
    <w:basedOn w:val="1"/>
    <w:next w:val="a7"/>
    <w:uiPriority w:val="39"/>
    <w:semiHidden/>
    <w:unhideWhenUsed/>
    <w:qFormat/>
    <w:rsid w:val="00F956E8"/>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paragraph" w:styleId="aff3">
    <w:name w:val="caption"/>
    <w:basedOn w:val="a7"/>
    <w:next w:val="a7"/>
    <w:uiPriority w:val="35"/>
    <w:unhideWhenUsed/>
    <w:qFormat/>
    <w:rsid w:val="00F956E8"/>
    <w:pPr>
      <w:overflowPunct/>
      <w:autoSpaceDE/>
      <w:autoSpaceDN/>
      <w:jc w:val="left"/>
    </w:pPr>
    <w:rPr>
      <w:rFonts w:ascii="Times New Roman"/>
      <w:sz w:val="20"/>
    </w:rPr>
  </w:style>
  <w:style w:type="character" w:customStyle="1" w:styleId="40">
    <w:name w:val="標題 4 字元"/>
    <w:aliases w:val="一 字元,表格 字元"/>
    <w:link w:val="4"/>
    <w:rsid w:val="00F956E8"/>
    <w:rPr>
      <w:rFonts w:ascii="標楷體" w:eastAsia="標楷體" w:hAnsi="Arial"/>
      <w:kern w:val="32"/>
      <w:sz w:val="32"/>
      <w:szCs w:val="36"/>
    </w:rPr>
  </w:style>
  <w:style w:type="numbering" w:customStyle="1" w:styleId="20">
    <w:name w:val="樣式2"/>
    <w:uiPriority w:val="99"/>
    <w:rsid w:val="00F956E8"/>
    <w:pPr>
      <w:numPr>
        <w:numId w:val="17"/>
      </w:numPr>
    </w:pPr>
  </w:style>
  <w:style w:type="paragraph" w:styleId="aff4">
    <w:name w:val="Plain Text"/>
    <w:basedOn w:val="a7"/>
    <w:link w:val="aff5"/>
    <w:uiPriority w:val="99"/>
    <w:rsid w:val="00F956E8"/>
    <w:pPr>
      <w:widowControl/>
      <w:overflowPunct/>
      <w:autoSpaceDE/>
      <w:autoSpaceDN/>
      <w:spacing w:after="200" w:line="276" w:lineRule="auto"/>
      <w:jc w:val="left"/>
    </w:pPr>
    <w:rPr>
      <w:rFonts w:ascii="細明體" w:eastAsia="細明體" w:hAnsi="Courier New" w:cstheme="majorBidi"/>
      <w:kern w:val="0"/>
      <w:sz w:val="22"/>
      <w:szCs w:val="22"/>
      <w:lang w:eastAsia="en-US" w:bidi="en-US"/>
    </w:rPr>
  </w:style>
  <w:style w:type="character" w:customStyle="1" w:styleId="aff5">
    <w:name w:val="純文字 字元"/>
    <w:basedOn w:val="a8"/>
    <w:link w:val="aff4"/>
    <w:uiPriority w:val="99"/>
    <w:rsid w:val="00F956E8"/>
    <w:rPr>
      <w:rFonts w:ascii="細明體" w:eastAsia="細明體" w:hAnsi="Courier New" w:cstheme="majorBidi"/>
      <w:sz w:val="22"/>
      <w:szCs w:val="22"/>
      <w:lang w:eastAsia="en-US" w:bidi="en-US"/>
    </w:rPr>
  </w:style>
  <w:style w:type="paragraph" w:customStyle="1" w:styleId="111">
    <w:name w:val="111"/>
    <w:basedOn w:val="a7"/>
    <w:rsid w:val="00F956E8"/>
    <w:pPr>
      <w:widowControl/>
      <w:numPr>
        <w:numId w:val="18"/>
      </w:numPr>
      <w:overflowPunct/>
      <w:autoSpaceDE/>
      <w:autoSpaceDN/>
      <w:adjustRightInd w:val="0"/>
      <w:snapToGrid w:val="0"/>
      <w:spacing w:after="200" w:line="560" w:lineRule="exact"/>
      <w:textAlignment w:val="baseline"/>
    </w:pPr>
    <w:rPr>
      <w:rFonts w:asciiTheme="majorHAnsi" w:hAnsiTheme="majorHAnsi" w:cstheme="majorBidi"/>
      <w:kern w:val="0"/>
      <w:szCs w:val="22"/>
      <w:lang w:eastAsia="en-US" w:bidi="en-US"/>
    </w:rPr>
  </w:style>
  <w:style w:type="paragraph" w:customStyle="1" w:styleId="aff6">
    <w:name w:val="頭"/>
    <w:basedOn w:val="aff4"/>
    <w:rsid w:val="00F956E8"/>
    <w:pPr>
      <w:snapToGrid w:val="0"/>
      <w:spacing w:line="600" w:lineRule="exact"/>
      <w:jc w:val="both"/>
    </w:pPr>
    <w:rPr>
      <w:rFonts w:ascii="標楷體" w:eastAsia="標楷體" w:hAnsi="標楷體" w:cs="Courier New"/>
      <w:b/>
      <w:sz w:val="36"/>
    </w:rPr>
  </w:style>
  <w:style w:type="character" w:customStyle="1" w:styleId="ae">
    <w:name w:val="章節附註文字 字元"/>
    <w:link w:val="ad"/>
    <w:semiHidden/>
    <w:rsid w:val="00F956E8"/>
    <w:rPr>
      <w:rFonts w:ascii="標楷體" w:eastAsia="標楷體"/>
      <w:snapToGrid w:val="0"/>
      <w:spacing w:val="10"/>
      <w:kern w:val="2"/>
      <w:sz w:val="32"/>
    </w:rPr>
  </w:style>
  <w:style w:type="paragraph" w:styleId="aff7">
    <w:name w:val="Note Heading"/>
    <w:basedOn w:val="a7"/>
    <w:next w:val="a7"/>
    <w:link w:val="aff8"/>
    <w:uiPriority w:val="99"/>
    <w:unhideWhenUsed/>
    <w:rsid w:val="00F956E8"/>
    <w:pPr>
      <w:overflowPunct/>
      <w:autoSpaceDE/>
      <w:autoSpaceDN/>
      <w:jc w:val="center"/>
    </w:pPr>
    <w:rPr>
      <w:kern w:val="32"/>
    </w:rPr>
  </w:style>
  <w:style w:type="character" w:customStyle="1" w:styleId="aff8">
    <w:name w:val="註釋標題 字元"/>
    <w:basedOn w:val="a8"/>
    <w:link w:val="aff7"/>
    <w:uiPriority w:val="99"/>
    <w:rsid w:val="00F956E8"/>
    <w:rPr>
      <w:rFonts w:ascii="標楷體" w:eastAsia="標楷體"/>
      <w:kern w:val="32"/>
      <w:sz w:val="32"/>
    </w:rPr>
  </w:style>
  <w:style w:type="paragraph" w:styleId="aff9">
    <w:name w:val="Closing"/>
    <w:basedOn w:val="a7"/>
    <w:link w:val="affa"/>
    <w:uiPriority w:val="99"/>
    <w:unhideWhenUsed/>
    <w:rsid w:val="00F956E8"/>
    <w:pPr>
      <w:overflowPunct/>
      <w:autoSpaceDE/>
      <w:autoSpaceDN/>
      <w:ind w:leftChars="1800" w:left="100"/>
      <w:jc w:val="left"/>
    </w:pPr>
    <w:rPr>
      <w:kern w:val="32"/>
    </w:rPr>
  </w:style>
  <w:style w:type="character" w:customStyle="1" w:styleId="affa">
    <w:name w:val="結語 字元"/>
    <w:basedOn w:val="a8"/>
    <w:link w:val="aff9"/>
    <w:uiPriority w:val="99"/>
    <w:rsid w:val="00F956E8"/>
    <w:rPr>
      <w:rFonts w:ascii="標楷體" w:eastAsia="標楷體"/>
      <w:kern w:val="3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41917"/>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5E509C"/>
    <w:pPr>
      <w:numPr>
        <w:numId w:val="8"/>
      </w:numPr>
      <w:outlineLvl w:val="0"/>
    </w:pPr>
    <w:rPr>
      <w:rFonts w:hAnsi="Arial"/>
      <w:bCs/>
      <w:kern w:val="32"/>
      <w:szCs w:val="52"/>
    </w:rPr>
  </w:style>
  <w:style w:type="paragraph" w:styleId="2">
    <w:name w:val="heading 2"/>
    <w:aliases w:val="標題110/111,節,節1"/>
    <w:basedOn w:val="a7"/>
    <w:link w:val="21"/>
    <w:qFormat/>
    <w:rsid w:val="004F5E57"/>
    <w:pPr>
      <w:numPr>
        <w:ilvl w:val="1"/>
        <w:numId w:val="8"/>
      </w:numPr>
      <w:outlineLvl w:val="1"/>
    </w:pPr>
    <w:rPr>
      <w:rFonts w:hAnsi="Arial"/>
      <w:bCs/>
      <w:kern w:val="32"/>
      <w:szCs w:val="48"/>
    </w:rPr>
  </w:style>
  <w:style w:type="paragraph" w:styleId="3">
    <w:name w:val="heading 3"/>
    <w:basedOn w:val="a7"/>
    <w:link w:val="30"/>
    <w:qFormat/>
    <w:rsid w:val="004F5E57"/>
    <w:pPr>
      <w:numPr>
        <w:ilvl w:val="2"/>
        <w:numId w:val="8"/>
      </w:numPr>
      <w:outlineLvl w:val="2"/>
    </w:pPr>
    <w:rPr>
      <w:rFonts w:hAnsi="Arial"/>
      <w:bCs/>
      <w:kern w:val="32"/>
      <w:szCs w:val="36"/>
    </w:rPr>
  </w:style>
  <w:style w:type="paragraph" w:styleId="4">
    <w:name w:val="heading 4"/>
    <w:aliases w:val="一,表格"/>
    <w:basedOn w:val="a7"/>
    <w:link w:val="40"/>
    <w:qFormat/>
    <w:rsid w:val="004F5E57"/>
    <w:pPr>
      <w:numPr>
        <w:ilvl w:val="3"/>
        <w:numId w:val="8"/>
      </w:numPr>
      <w:outlineLvl w:val="3"/>
    </w:pPr>
    <w:rPr>
      <w:rFonts w:hAnsi="Arial"/>
      <w:kern w:val="32"/>
      <w:szCs w:val="36"/>
    </w:rPr>
  </w:style>
  <w:style w:type="paragraph" w:styleId="5">
    <w:name w:val="heading 5"/>
    <w:aliases w:val="(一)"/>
    <w:basedOn w:val="a7"/>
    <w:qFormat/>
    <w:rsid w:val="004F5E57"/>
    <w:pPr>
      <w:numPr>
        <w:ilvl w:val="4"/>
        <w:numId w:val="8"/>
      </w:numPr>
      <w:outlineLvl w:val="4"/>
    </w:pPr>
    <w:rPr>
      <w:rFonts w:hAnsi="Arial"/>
      <w:bCs/>
      <w:kern w:val="32"/>
      <w:szCs w:val="36"/>
    </w:rPr>
  </w:style>
  <w:style w:type="paragraph" w:styleId="6">
    <w:name w:val="heading 6"/>
    <w:aliases w:val="1"/>
    <w:basedOn w:val="a7"/>
    <w:qFormat/>
    <w:rsid w:val="004F5E57"/>
    <w:pPr>
      <w:numPr>
        <w:ilvl w:val="5"/>
        <w:numId w:val="8"/>
      </w:numPr>
      <w:tabs>
        <w:tab w:val="left" w:pos="2094"/>
      </w:tabs>
      <w:outlineLvl w:val="5"/>
    </w:pPr>
    <w:rPr>
      <w:rFonts w:hAnsi="Arial"/>
      <w:kern w:val="32"/>
      <w:szCs w:val="36"/>
    </w:rPr>
  </w:style>
  <w:style w:type="paragraph" w:styleId="7">
    <w:name w:val="heading 7"/>
    <w:aliases w:val="(1)"/>
    <w:basedOn w:val="a7"/>
    <w:qFormat/>
    <w:rsid w:val="004F5E57"/>
    <w:pPr>
      <w:numPr>
        <w:ilvl w:val="6"/>
        <w:numId w:val="8"/>
      </w:numPr>
      <w:outlineLvl w:val="6"/>
    </w:pPr>
    <w:rPr>
      <w:rFonts w:hAnsi="Arial"/>
      <w:bCs/>
      <w:kern w:val="32"/>
      <w:szCs w:val="36"/>
    </w:rPr>
  </w:style>
  <w:style w:type="paragraph" w:styleId="8">
    <w:name w:val="heading 8"/>
    <w:basedOn w:val="a7"/>
    <w:qFormat/>
    <w:rsid w:val="004F5E57"/>
    <w:pPr>
      <w:numPr>
        <w:ilvl w:val="7"/>
        <w:numId w:val="8"/>
      </w:numPr>
      <w:outlineLvl w:val="7"/>
    </w:pPr>
    <w:rPr>
      <w:rFonts w:hAnsi="Arial"/>
      <w:kern w:val="32"/>
      <w:szCs w:val="36"/>
    </w:rPr>
  </w:style>
  <w:style w:type="paragraph" w:styleId="9">
    <w:name w:val="heading 9"/>
    <w:basedOn w:val="a7"/>
    <w:link w:val="90"/>
    <w:uiPriority w:val="9"/>
    <w:unhideWhenUsed/>
    <w:qFormat/>
    <w:rsid w:val="00C055EC"/>
    <w:pPr>
      <w:numPr>
        <w:ilvl w:val="8"/>
        <w:numId w:val="8"/>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qFormat/>
    <w:rsid w:val="003E4F75"/>
    <w:pPr>
      <w:snapToGrid w:val="0"/>
      <w:spacing w:before="480" w:after="720"/>
      <w:ind w:left="4423"/>
    </w:pPr>
    <w:rPr>
      <w:b/>
      <w:snapToGrid w:val="0"/>
      <w:spacing w:val="12"/>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2">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qFormat/>
    <w:rsid w:val="00CC7690"/>
    <w:pPr>
      <w:tabs>
        <w:tab w:val="right" w:leader="hyphen" w:pos="8834"/>
      </w:tabs>
      <w:kinsoku w:val="0"/>
      <w:ind w:left="400" w:rightChars="100" w:right="100" w:hangingChars="400" w:hanging="400"/>
    </w:pPr>
    <w:rPr>
      <w:noProof/>
      <w:szCs w:val="32"/>
    </w:rPr>
  </w:style>
  <w:style w:type="paragraph" w:styleId="23">
    <w:name w:val="toc 2"/>
    <w:basedOn w:val="a7"/>
    <w:next w:val="a7"/>
    <w:autoRedefine/>
    <w:uiPriority w:val="39"/>
    <w:qFormat/>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semiHidden/>
    <w:rsid w:val="004E0062"/>
    <w:pPr>
      <w:tabs>
        <w:tab w:val="center" w:pos="4153"/>
        <w:tab w:val="right" w:pos="8306"/>
      </w:tabs>
      <w:snapToGrid w:val="0"/>
    </w:pPr>
    <w:rPr>
      <w:sz w:val="20"/>
    </w:rPr>
  </w:style>
  <w:style w:type="paragraph" w:customStyle="1" w:styleId="32">
    <w:name w:val="段落樣式3"/>
    <w:basedOn w:val="22"/>
    <w:qFormat/>
    <w:rsid w:val="004F5E57"/>
    <w:pPr>
      <w:ind w:leftChars="400" w:left="400"/>
    </w:pPr>
  </w:style>
  <w:style w:type="character" w:styleId="af1">
    <w:name w:val="Hyperlink"/>
    <w:basedOn w:val="a8"/>
    <w:uiPriority w:val="99"/>
    <w:rsid w:val="004E0062"/>
    <w:rPr>
      <w:color w:val="0000FF"/>
      <w:u w:val="single"/>
    </w:rPr>
  </w:style>
  <w:style w:type="paragraph" w:customStyle="1" w:styleId="af2">
    <w:name w:val="簽名日期"/>
    <w:basedOn w:val="a7"/>
    <w:rsid w:val="004E0062"/>
    <w:pPr>
      <w:kinsoku w:val="0"/>
      <w:jc w:val="distribute"/>
    </w:pPr>
    <w:rPr>
      <w:kern w:val="0"/>
    </w:rPr>
  </w:style>
  <w:style w:type="paragraph" w:customStyle="1" w:styleId="0">
    <w:name w:val="段落樣式0"/>
    <w:basedOn w:val="22"/>
    <w:qFormat/>
    <w:rsid w:val="004F5E57"/>
    <w:pPr>
      <w:ind w:leftChars="200" w:left="200" w:firstLineChars="0" w:firstLine="0"/>
    </w:pPr>
  </w:style>
  <w:style w:type="paragraph" w:customStyle="1" w:styleId="af3">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4">
    <w:name w:val="Body Text Indent"/>
    <w:basedOn w:val="a7"/>
    <w:semiHidden/>
    <w:rsid w:val="004E0062"/>
    <w:pPr>
      <w:ind w:left="698" w:hangingChars="200" w:hanging="698"/>
    </w:pPr>
  </w:style>
  <w:style w:type="paragraph" w:customStyle="1" w:styleId="af5">
    <w:name w:val="調查報告"/>
    <w:basedOn w:val="ad"/>
    <w:uiPriority w:val="99"/>
    <w:rsid w:val="009D26EF"/>
    <w:pPr>
      <w:adjustRightInd w:val="0"/>
      <w:spacing w:before="0"/>
      <w:ind w:left="0" w:firstLine="0"/>
      <w:jc w:val="center"/>
    </w:pPr>
    <w:rPr>
      <w:b/>
      <w:snapToGrid/>
      <w:spacing w:val="20"/>
      <w:kern w:val="0"/>
      <w:sz w:val="36"/>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6">
    <w:name w:val="footer"/>
    <w:basedOn w:val="a7"/>
    <w:semiHidden/>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7"/>
      </w:numPr>
      <w:ind w:left="350" w:hangingChars="350" w:hanging="350"/>
      <w:outlineLvl w:val="0"/>
    </w:pPr>
    <w:rPr>
      <w:kern w:val="32"/>
    </w:rPr>
  </w:style>
  <w:style w:type="paragraph" w:styleId="afa">
    <w:name w:val="List Paragraph"/>
    <w:basedOn w:val="a7"/>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10"/>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11"/>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styleId="afd">
    <w:name w:val="FollowedHyperlink"/>
    <w:basedOn w:val="a8"/>
    <w:uiPriority w:val="99"/>
    <w:semiHidden/>
    <w:unhideWhenUsed/>
    <w:rsid w:val="00F956E8"/>
    <w:rPr>
      <w:color w:val="800080" w:themeColor="followedHyperlink"/>
      <w:u w:val="single"/>
    </w:rPr>
  </w:style>
  <w:style w:type="paragraph" w:customStyle="1" w:styleId="a0">
    <w:name w:val="表樣式"/>
    <w:basedOn w:val="a7"/>
    <w:next w:val="a7"/>
    <w:rsid w:val="00F956E8"/>
    <w:pPr>
      <w:numPr>
        <w:numId w:val="12"/>
      </w:numPr>
      <w:tabs>
        <w:tab w:val="clear" w:pos="1440"/>
        <w:tab w:val="left" w:pos="1396"/>
      </w:tabs>
      <w:kinsoku w:val="0"/>
      <w:overflowPunct/>
      <w:autoSpaceDE/>
      <w:autoSpaceDN/>
      <w:ind w:left="400" w:hangingChars="400" w:hanging="400"/>
    </w:pPr>
    <w:rPr>
      <w:kern w:val="0"/>
    </w:rPr>
  </w:style>
  <w:style w:type="paragraph" w:styleId="afe">
    <w:name w:val="footnote text"/>
    <w:basedOn w:val="a7"/>
    <w:link w:val="aff"/>
    <w:uiPriority w:val="99"/>
    <w:unhideWhenUsed/>
    <w:rsid w:val="00F956E8"/>
    <w:pPr>
      <w:overflowPunct/>
      <w:autoSpaceDE/>
      <w:autoSpaceDN/>
      <w:snapToGrid w:val="0"/>
      <w:jc w:val="left"/>
    </w:pPr>
    <w:rPr>
      <w:rFonts w:ascii="Times New Roman"/>
      <w:sz w:val="20"/>
    </w:rPr>
  </w:style>
  <w:style w:type="character" w:customStyle="1" w:styleId="aff">
    <w:name w:val="註腳文字 字元"/>
    <w:basedOn w:val="a8"/>
    <w:link w:val="afe"/>
    <w:uiPriority w:val="99"/>
    <w:rsid w:val="00F956E8"/>
    <w:rPr>
      <w:rFonts w:eastAsia="標楷體"/>
      <w:kern w:val="2"/>
    </w:rPr>
  </w:style>
  <w:style w:type="paragraph" w:customStyle="1" w:styleId="aff0">
    <w:name w:val="圖樣式"/>
    <w:basedOn w:val="a7"/>
    <w:next w:val="a7"/>
    <w:rsid w:val="00F956E8"/>
    <w:pPr>
      <w:overflowPunct/>
      <w:autoSpaceDE/>
      <w:autoSpaceDN/>
      <w:ind w:left="400" w:hangingChars="400" w:hanging="400"/>
    </w:pPr>
  </w:style>
  <w:style w:type="character" w:styleId="aff1">
    <w:name w:val="footnote reference"/>
    <w:uiPriority w:val="99"/>
    <w:unhideWhenUsed/>
    <w:rsid w:val="00F956E8"/>
    <w:rPr>
      <w:vertAlign w:val="superscript"/>
    </w:rPr>
  </w:style>
  <w:style w:type="character" w:customStyle="1" w:styleId="21">
    <w:name w:val="標題 2 字元"/>
    <w:aliases w:val="標題110/111 字元,節 字元,節1 字元"/>
    <w:link w:val="2"/>
    <w:rsid w:val="00F956E8"/>
    <w:rPr>
      <w:rFonts w:ascii="標楷體" w:eastAsia="標楷體" w:hAnsi="Arial"/>
      <w:bCs/>
      <w:kern w:val="32"/>
      <w:sz w:val="32"/>
      <w:szCs w:val="48"/>
    </w:rPr>
  </w:style>
  <w:style w:type="character" w:customStyle="1" w:styleId="ac">
    <w:name w:val="簽名 字元"/>
    <w:link w:val="ab"/>
    <w:rsid w:val="00F956E8"/>
    <w:rPr>
      <w:rFonts w:ascii="標楷體" w:eastAsia="標楷體"/>
      <w:b/>
      <w:snapToGrid w:val="0"/>
      <w:spacing w:val="12"/>
      <w:kern w:val="2"/>
      <w:sz w:val="36"/>
    </w:rPr>
  </w:style>
  <w:style w:type="character" w:customStyle="1" w:styleId="10">
    <w:name w:val="標題 1 字元"/>
    <w:aliases w:val="題號1 字元,壹 字元"/>
    <w:link w:val="1"/>
    <w:rsid w:val="00F956E8"/>
    <w:rPr>
      <w:rFonts w:ascii="標楷體" w:eastAsia="標楷體" w:hAnsi="Arial"/>
      <w:bCs/>
      <w:kern w:val="32"/>
      <w:sz w:val="32"/>
      <w:szCs w:val="52"/>
    </w:rPr>
  </w:style>
  <w:style w:type="character" w:customStyle="1" w:styleId="30">
    <w:name w:val="標題 3 字元"/>
    <w:link w:val="3"/>
    <w:rsid w:val="00F956E8"/>
    <w:rPr>
      <w:rFonts w:ascii="標楷體" w:eastAsia="標楷體" w:hAnsi="Arial"/>
      <w:bCs/>
      <w:kern w:val="32"/>
      <w:sz w:val="32"/>
      <w:szCs w:val="36"/>
    </w:rPr>
  </w:style>
  <w:style w:type="paragraph" w:styleId="aff2">
    <w:name w:val="TOC Heading"/>
    <w:basedOn w:val="1"/>
    <w:next w:val="a7"/>
    <w:uiPriority w:val="39"/>
    <w:semiHidden/>
    <w:unhideWhenUsed/>
    <w:qFormat/>
    <w:rsid w:val="00F956E8"/>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paragraph" w:styleId="aff3">
    <w:name w:val="caption"/>
    <w:basedOn w:val="a7"/>
    <w:next w:val="a7"/>
    <w:uiPriority w:val="35"/>
    <w:unhideWhenUsed/>
    <w:qFormat/>
    <w:rsid w:val="00F956E8"/>
    <w:pPr>
      <w:overflowPunct/>
      <w:autoSpaceDE/>
      <w:autoSpaceDN/>
      <w:jc w:val="left"/>
    </w:pPr>
    <w:rPr>
      <w:rFonts w:ascii="Times New Roman"/>
      <w:sz w:val="20"/>
    </w:rPr>
  </w:style>
  <w:style w:type="character" w:customStyle="1" w:styleId="40">
    <w:name w:val="標題 4 字元"/>
    <w:aliases w:val="一 字元,表格 字元"/>
    <w:link w:val="4"/>
    <w:rsid w:val="00F956E8"/>
    <w:rPr>
      <w:rFonts w:ascii="標楷體" w:eastAsia="標楷體" w:hAnsi="Arial"/>
      <w:kern w:val="32"/>
      <w:sz w:val="32"/>
      <w:szCs w:val="36"/>
    </w:rPr>
  </w:style>
  <w:style w:type="numbering" w:customStyle="1" w:styleId="20">
    <w:name w:val="樣式2"/>
    <w:uiPriority w:val="99"/>
    <w:rsid w:val="00F956E8"/>
    <w:pPr>
      <w:numPr>
        <w:numId w:val="17"/>
      </w:numPr>
    </w:pPr>
  </w:style>
  <w:style w:type="paragraph" w:styleId="aff4">
    <w:name w:val="Plain Text"/>
    <w:basedOn w:val="a7"/>
    <w:link w:val="aff5"/>
    <w:uiPriority w:val="99"/>
    <w:rsid w:val="00F956E8"/>
    <w:pPr>
      <w:widowControl/>
      <w:overflowPunct/>
      <w:autoSpaceDE/>
      <w:autoSpaceDN/>
      <w:spacing w:after="200" w:line="276" w:lineRule="auto"/>
      <w:jc w:val="left"/>
    </w:pPr>
    <w:rPr>
      <w:rFonts w:ascii="細明體" w:eastAsia="細明體" w:hAnsi="Courier New" w:cstheme="majorBidi"/>
      <w:kern w:val="0"/>
      <w:sz w:val="22"/>
      <w:szCs w:val="22"/>
      <w:lang w:eastAsia="en-US" w:bidi="en-US"/>
    </w:rPr>
  </w:style>
  <w:style w:type="character" w:customStyle="1" w:styleId="aff5">
    <w:name w:val="純文字 字元"/>
    <w:basedOn w:val="a8"/>
    <w:link w:val="aff4"/>
    <w:uiPriority w:val="99"/>
    <w:rsid w:val="00F956E8"/>
    <w:rPr>
      <w:rFonts w:ascii="細明體" w:eastAsia="細明體" w:hAnsi="Courier New" w:cstheme="majorBidi"/>
      <w:sz w:val="22"/>
      <w:szCs w:val="22"/>
      <w:lang w:eastAsia="en-US" w:bidi="en-US"/>
    </w:rPr>
  </w:style>
  <w:style w:type="paragraph" w:customStyle="1" w:styleId="111">
    <w:name w:val="111"/>
    <w:basedOn w:val="a7"/>
    <w:rsid w:val="00F956E8"/>
    <w:pPr>
      <w:widowControl/>
      <w:numPr>
        <w:numId w:val="18"/>
      </w:numPr>
      <w:overflowPunct/>
      <w:autoSpaceDE/>
      <w:autoSpaceDN/>
      <w:adjustRightInd w:val="0"/>
      <w:snapToGrid w:val="0"/>
      <w:spacing w:after="200" w:line="560" w:lineRule="exact"/>
      <w:textAlignment w:val="baseline"/>
    </w:pPr>
    <w:rPr>
      <w:rFonts w:asciiTheme="majorHAnsi" w:hAnsiTheme="majorHAnsi" w:cstheme="majorBidi"/>
      <w:kern w:val="0"/>
      <w:szCs w:val="22"/>
      <w:lang w:eastAsia="en-US" w:bidi="en-US"/>
    </w:rPr>
  </w:style>
  <w:style w:type="paragraph" w:customStyle="1" w:styleId="aff6">
    <w:name w:val="頭"/>
    <w:basedOn w:val="aff4"/>
    <w:rsid w:val="00F956E8"/>
    <w:pPr>
      <w:snapToGrid w:val="0"/>
      <w:spacing w:line="600" w:lineRule="exact"/>
      <w:jc w:val="both"/>
    </w:pPr>
    <w:rPr>
      <w:rFonts w:ascii="標楷體" w:eastAsia="標楷體" w:hAnsi="標楷體" w:cs="Courier New"/>
      <w:b/>
      <w:sz w:val="36"/>
    </w:rPr>
  </w:style>
  <w:style w:type="character" w:customStyle="1" w:styleId="ae">
    <w:name w:val="章節附註文字 字元"/>
    <w:link w:val="ad"/>
    <w:semiHidden/>
    <w:rsid w:val="00F956E8"/>
    <w:rPr>
      <w:rFonts w:ascii="標楷體" w:eastAsia="標楷體"/>
      <w:snapToGrid w:val="0"/>
      <w:spacing w:val="10"/>
      <w:kern w:val="2"/>
      <w:sz w:val="32"/>
    </w:rPr>
  </w:style>
  <w:style w:type="paragraph" w:styleId="aff7">
    <w:name w:val="Note Heading"/>
    <w:basedOn w:val="a7"/>
    <w:next w:val="a7"/>
    <w:link w:val="aff8"/>
    <w:uiPriority w:val="99"/>
    <w:unhideWhenUsed/>
    <w:rsid w:val="00F956E8"/>
    <w:pPr>
      <w:overflowPunct/>
      <w:autoSpaceDE/>
      <w:autoSpaceDN/>
      <w:jc w:val="center"/>
    </w:pPr>
    <w:rPr>
      <w:kern w:val="32"/>
    </w:rPr>
  </w:style>
  <w:style w:type="character" w:customStyle="1" w:styleId="aff8">
    <w:name w:val="註釋標題 字元"/>
    <w:basedOn w:val="a8"/>
    <w:link w:val="aff7"/>
    <w:uiPriority w:val="99"/>
    <w:rsid w:val="00F956E8"/>
    <w:rPr>
      <w:rFonts w:ascii="標楷體" w:eastAsia="標楷體"/>
      <w:kern w:val="32"/>
      <w:sz w:val="32"/>
    </w:rPr>
  </w:style>
  <w:style w:type="paragraph" w:styleId="aff9">
    <w:name w:val="Closing"/>
    <w:basedOn w:val="a7"/>
    <w:link w:val="affa"/>
    <w:uiPriority w:val="99"/>
    <w:unhideWhenUsed/>
    <w:rsid w:val="00F956E8"/>
    <w:pPr>
      <w:overflowPunct/>
      <w:autoSpaceDE/>
      <w:autoSpaceDN/>
      <w:ind w:leftChars="1800" w:left="100"/>
      <w:jc w:val="left"/>
    </w:pPr>
    <w:rPr>
      <w:kern w:val="32"/>
    </w:rPr>
  </w:style>
  <w:style w:type="character" w:customStyle="1" w:styleId="affa">
    <w:name w:val="結語 字元"/>
    <w:basedOn w:val="a8"/>
    <w:link w:val="aff9"/>
    <w:uiPriority w:val="99"/>
    <w:rsid w:val="00F956E8"/>
    <w:rPr>
      <w:rFonts w:ascii="標楷體" w:eastAsia="標楷體"/>
      <w:kern w:val="3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22918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image" Target="media/image5.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drive.google.com/file/d/0B7SDjnnCb1VFU2dmV0h2eG5BTlk/view" TargetMode="Externa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8" Type="http://schemas.openxmlformats.org/officeDocument/2006/relationships/hyperlink" Target="https://ilac.org/latest_ilac_news/ilac-g19082014-published/" TargetMode="External"/><Relationship Id="rId3" Type="http://schemas.openxmlformats.org/officeDocument/2006/relationships/hyperlink" Target="https://www.tpa.moj.gov.tw/292712/292732/292784/603584/post" TargetMode="External"/><Relationship Id="rId7" Type="http://schemas.openxmlformats.org/officeDocument/2006/relationships/hyperlink" Target="http://bjgy.chinacourt.gov.cn/article/detail/2010/06/id/876510.shtml" TargetMode="External"/><Relationship Id="rId2" Type="http://schemas.openxmlformats.org/officeDocument/2006/relationships/hyperlink" Target="https://www.mjib.gov.tw/EditPage/?PageID=82f48b34-83e1-416e-8851-716ee5f20a0a" TargetMode="External"/><Relationship Id="rId1" Type="http://schemas.openxmlformats.org/officeDocument/2006/relationships/hyperlink" Target="https://www.jrf.org.tw/articles/1230&#65292;&#26368;&#24460;&#27298;&#32034;&#26085;&#26399;&#65306;108&#24180;12&#26376;" TargetMode="External"/><Relationship Id="rId6" Type="http://schemas.openxmlformats.org/officeDocument/2006/relationships/hyperlink" Target="https://www.courdecassation.fr/informations_sevices_6/experts_judiciaires_8700.html&#65292;&#26368;&#24460;&#27298;&#32034;&#26085;&#26399;&#65306;108" TargetMode="External"/><Relationship Id="rId5" Type="http://schemas.openxmlformats.org/officeDocument/2006/relationships/hyperlink" Target="https://www.gov.uk/government/collections/forensic-science-regulator-technical-guidance&#65292;&#26368;&#24460;&#27298;&#32034;&#26085;&#26399;&#65306;108" TargetMode="External"/><Relationship Id="rId10" Type="http://schemas.openxmlformats.org/officeDocument/2006/relationships/hyperlink" Target="https://www.justice.gov/archives/ncfs" TargetMode="External"/><Relationship Id="rId4" Type="http://schemas.openxmlformats.org/officeDocument/2006/relationships/hyperlink" Target="https://www.cib.gov.tw/About/Unit/90" TargetMode="External"/><Relationship Id="rId9" Type="http://schemas.openxmlformats.org/officeDocument/2006/relationships/hyperlink" Target="https://issuu.com/twnafi&#65292;&#26368;&#24460;&#27298;&#32034;&#26085;&#26399;&#65306;1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F37E2-72F5-46F7-9CC2-F88E2DA8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3</Pages>
  <Words>21937</Words>
  <Characters>125045</Characters>
  <Application>Microsoft Office Word</Application>
  <DocSecurity>0</DocSecurity>
  <Lines>1042</Lines>
  <Paragraphs>293</Paragraphs>
  <ScaleCrop>false</ScaleCrop>
  <Company>cy</Company>
  <LinksUpToDate>false</LinksUpToDate>
  <CharactersWithSpaces>146689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wctsai</cp:lastModifiedBy>
  <cp:revision>5</cp:revision>
  <cp:lastPrinted>2021-05-11T08:04:00Z</cp:lastPrinted>
  <dcterms:created xsi:type="dcterms:W3CDTF">2020-01-16T01:46:00Z</dcterms:created>
  <dcterms:modified xsi:type="dcterms:W3CDTF">2021-05-11T08:04:00Z</dcterms:modified>
</cp:coreProperties>
</file>