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43CA0" w:rsidRDefault="0025106C" w:rsidP="00F37D7B">
      <w:pPr>
        <w:pStyle w:val="af7"/>
        <w:rPr>
          <w:color w:val="000000" w:themeColor="text1"/>
        </w:rPr>
      </w:pPr>
      <w:r w:rsidRPr="00343CA0">
        <w:rPr>
          <w:rFonts w:hint="eastAsia"/>
          <w:color w:val="000000" w:themeColor="text1"/>
        </w:rPr>
        <w:t>糾正案文</w:t>
      </w:r>
    </w:p>
    <w:p w:rsidR="00E25849" w:rsidRPr="00343CA0" w:rsidRDefault="0025106C" w:rsidP="00F231DC">
      <w:pPr>
        <w:pStyle w:val="1"/>
        <w:rPr>
          <w:color w:val="000000" w:themeColor="text1"/>
        </w:rPr>
      </w:pPr>
      <w:r w:rsidRPr="00343CA0">
        <w:rPr>
          <w:rFonts w:hint="eastAsia"/>
          <w:color w:val="000000" w:themeColor="text1"/>
        </w:rPr>
        <w:t>被糾正機關：</w:t>
      </w:r>
      <w:r w:rsidR="00AA78EE" w:rsidRPr="00343CA0">
        <w:rPr>
          <w:rFonts w:hint="eastAsia"/>
          <w:color w:val="000000" w:themeColor="text1"/>
        </w:rPr>
        <w:t>臺銀綜合證券股份有限公司</w:t>
      </w:r>
      <w:r w:rsidRPr="00343CA0">
        <w:rPr>
          <w:rFonts w:hint="eastAsia"/>
          <w:color w:val="000000" w:themeColor="text1"/>
        </w:rPr>
        <w:t>。</w:t>
      </w:r>
    </w:p>
    <w:p w:rsidR="00E25849" w:rsidRPr="00343CA0" w:rsidRDefault="0025106C" w:rsidP="00595962">
      <w:pPr>
        <w:pStyle w:val="1"/>
        <w:rPr>
          <w:color w:val="000000" w:themeColor="text1"/>
        </w:rPr>
      </w:pPr>
      <w:r w:rsidRPr="00343CA0">
        <w:rPr>
          <w:rFonts w:hint="eastAsia"/>
          <w:color w:val="000000" w:themeColor="text1"/>
        </w:rPr>
        <w:t>案　　　由：</w:t>
      </w:r>
      <w:r w:rsidR="00595962" w:rsidRPr="00595962">
        <w:rPr>
          <w:rFonts w:hint="eastAsia"/>
          <w:color w:val="000000" w:themeColor="text1"/>
        </w:rPr>
        <w:t>臺銀綜合證券股份有限公司為國營事業，其所屬人員相關作為理應悉依規定辦理，並為行業之表率，始符合社會之期待；詎竟發生所屬人員多次違規查詢非其本人之帳戶，或非依業務所需之查詢情事，其中更包括非基於業務需要查詢臺灣銀行財務部帳戶高達59次及舊制勞工退休基金帳戶高達33次等重大違規情事，而該公司長期以來竟一無所悉，內部控制明顯失靈，經核有重大疏失，爰依法提案糾正。</w:t>
      </w:r>
    </w:p>
    <w:p w:rsidR="00E25849" w:rsidRPr="00343CA0"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43CA0">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B5FD7" w:rsidRPr="00165A69" w:rsidRDefault="00CB5FD7" w:rsidP="00CB5FD7">
      <w:pPr>
        <w:pStyle w:val="2"/>
        <w:numPr>
          <w:ilvl w:val="1"/>
          <w:numId w:val="1"/>
        </w:numPr>
        <w:spacing w:beforeLines="50" w:before="228"/>
        <w:ind w:left="1020" w:hanging="680"/>
        <w:rPr>
          <w:b w:val="0"/>
          <w:color w:val="000000" w:themeColor="text1"/>
        </w:rPr>
      </w:pPr>
      <w:bookmarkStart w:id="25" w:name="_Toc21165329"/>
      <w:bookmarkStart w:id="26" w:name="_Toc21773613"/>
      <w:bookmarkStart w:id="27" w:name="_Toc22025897"/>
      <w:bookmarkStart w:id="28" w:name="_Toc22923548"/>
      <w:bookmarkStart w:id="29" w:name="_Toc500068304"/>
      <w:bookmarkStart w:id="30" w:name="_Toc499481600"/>
      <w:bookmarkStart w:id="31" w:name="_Toc492381902"/>
      <w:bookmarkStart w:id="32" w:name="_Toc525070834"/>
      <w:bookmarkStart w:id="33" w:name="_Toc525938374"/>
      <w:bookmarkStart w:id="34" w:name="_Toc525939222"/>
      <w:bookmarkStart w:id="35" w:name="_Toc525939727"/>
      <w:bookmarkStart w:id="36" w:name="_Toc525066144"/>
      <w:bookmarkStart w:id="37" w:name="_Toc524892372"/>
      <w:bookmarkStart w:id="38" w:name="_Toc21773614"/>
      <w:bookmarkStart w:id="39" w:name="_Toc22025898"/>
      <w:bookmarkEnd w:id="25"/>
      <w:r w:rsidRPr="00165A69">
        <w:rPr>
          <w:rFonts w:hAnsi="標楷體" w:hint="eastAsia"/>
          <w:b w:val="0"/>
          <w:color w:val="000000" w:themeColor="text1"/>
          <w:szCs w:val="32"/>
        </w:rPr>
        <w:t>按「</w:t>
      </w:r>
      <w:r w:rsidRPr="00165A69">
        <w:rPr>
          <w:rFonts w:hAnsi="標楷體" w:cs="Arial" w:hint="eastAsia"/>
          <w:b w:val="0"/>
          <w:color w:val="000000" w:themeColor="text1"/>
          <w:szCs w:val="32"/>
        </w:rPr>
        <w:t>證券商負責人與業務人員之管理事項，由主管機關以命令定之。</w:t>
      </w:r>
      <w:r w:rsidRPr="00165A69">
        <w:rPr>
          <w:rFonts w:hAnsi="標楷體" w:hint="eastAsia"/>
          <w:b w:val="0"/>
          <w:color w:val="000000" w:themeColor="text1"/>
          <w:szCs w:val="32"/>
        </w:rPr>
        <w:t>」此</w:t>
      </w:r>
      <w:r w:rsidRPr="00165A69">
        <w:rPr>
          <w:rFonts w:hint="eastAsia"/>
          <w:b w:val="0"/>
          <w:color w:val="000000" w:themeColor="text1"/>
        </w:rPr>
        <w:t>為「證券交易法」第70條所明定，</w:t>
      </w:r>
      <w:r w:rsidRPr="00165A69">
        <w:rPr>
          <w:rFonts w:hAnsi="標楷體" w:cs="Arial" w:hint="eastAsia"/>
          <w:b w:val="0"/>
          <w:color w:val="000000" w:themeColor="text1"/>
          <w:szCs w:val="32"/>
        </w:rPr>
        <w:t>證券商</w:t>
      </w:r>
      <w:r w:rsidRPr="00CB5FD7">
        <w:rPr>
          <w:rFonts w:hint="eastAsia"/>
          <w:b w:val="0"/>
          <w:color w:val="000000" w:themeColor="text1"/>
        </w:rPr>
        <w:t>主管機關</w:t>
      </w:r>
      <w:r w:rsidRPr="00165A69">
        <w:rPr>
          <w:rFonts w:hint="eastAsia"/>
          <w:b w:val="0"/>
          <w:color w:val="000000" w:themeColor="text1"/>
        </w:rPr>
        <w:t>爰</w:t>
      </w:r>
      <w:r w:rsidRPr="00165A69">
        <w:rPr>
          <w:rFonts w:hAnsi="標楷體" w:cs="Arial" w:hint="eastAsia"/>
          <w:b w:val="0"/>
          <w:color w:val="000000" w:themeColor="text1"/>
          <w:szCs w:val="32"/>
        </w:rPr>
        <w:t>據以訂定</w:t>
      </w:r>
      <w:r w:rsidRPr="00165A69">
        <w:rPr>
          <w:rFonts w:hint="eastAsia"/>
          <w:b w:val="0"/>
          <w:color w:val="000000" w:themeColor="text1"/>
        </w:rPr>
        <w:t>「證券商負責人與業務人員管理</w:t>
      </w:r>
      <w:r w:rsidRPr="00165A69">
        <w:rPr>
          <w:rFonts w:hAnsi="標楷體" w:hint="eastAsia"/>
          <w:b w:val="0"/>
          <w:color w:val="000000" w:themeColor="text1"/>
          <w:szCs w:val="32"/>
        </w:rPr>
        <w:t>規則」，以為規範與管理</w:t>
      </w:r>
      <w:r w:rsidRPr="00165A69">
        <w:rPr>
          <w:rFonts w:hAnsi="標楷體" w:cs="Arial" w:hint="eastAsia"/>
          <w:b w:val="0"/>
          <w:color w:val="000000" w:themeColor="text1"/>
          <w:szCs w:val="32"/>
        </w:rPr>
        <w:t>證券商負責人及業務人員之準繩，</w:t>
      </w:r>
      <w:r w:rsidRPr="00165A69">
        <w:rPr>
          <w:rFonts w:hAnsi="標楷體" w:hint="eastAsia"/>
          <w:b w:val="0"/>
          <w:color w:val="000000" w:themeColor="text1"/>
          <w:szCs w:val="32"/>
        </w:rPr>
        <w:t>依該</w:t>
      </w:r>
      <w:r w:rsidRPr="00165A69">
        <w:rPr>
          <w:rFonts w:hint="eastAsia"/>
          <w:b w:val="0"/>
          <w:color w:val="000000" w:themeColor="text1"/>
        </w:rPr>
        <w:t>規則第18條第2項第1款規定：證券商之負責人及業務人員，除其他法令另有規定外，不得為獲取投機利益之目的，以職務上所知悉之消息，從事上市或上櫃有價證券買賣之交易活動。另為保護個人資料，並防範證券商受僱人員不當利用客戶資料，</w:t>
      </w:r>
      <w:r w:rsidRPr="00165A69">
        <w:rPr>
          <w:b w:val="0"/>
          <w:color w:val="000000" w:themeColor="text1"/>
        </w:rPr>
        <w:t>臺灣證券交易所股份有限公司</w:t>
      </w:r>
      <w:r w:rsidRPr="00165A69">
        <w:rPr>
          <w:rFonts w:hint="eastAsia"/>
          <w:b w:val="0"/>
          <w:color w:val="000000" w:themeColor="text1"/>
        </w:rPr>
        <w:t>（以下簡稱證交所）特別</w:t>
      </w:r>
      <w:r w:rsidRPr="00165A69">
        <w:rPr>
          <w:b w:val="0"/>
          <w:color w:val="000000" w:themeColor="text1"/>
        </w:rPr>
        <w:t>公告訂定發布</w:t>
      </w:r>
      <w:r w:rsidRPr="00165A69">
        <w:rPr>
          <w:rFonts w:hint="eastAsia"/>
          <w:b w:val="0"/>
          <w:color w:val="000000" w:themeColor="text1"/>
        </w:rPr>
        <w:t>「</w:t>
      </w:r>
      <w:r w:rsidRPr="00165A69">
        <w:rPr>
          <w:b w:val="0"/>
          <w:color w:val="000000" w:themeColor="text1"/>
        </w:rPr>
        <w:t>證券商受僱人員查詢客戶資料管理作業要</w:t>
      </w:r>
      <w:r w:rsidRPr="00165A69">
        <w:rPr>
          <w:rFonts w:hAnsi="標楷體"/>
          <w:b w:val="0"/>
          <w:color w:val="000000" w:themeColor="text1"/>
        </w:rPr>
        <w:t>點</w:t>
      </w:r>
      <w:r w:rsidRPr="00165A69">
        <w:rPr>
          <w:rFonts w:hAnsi="標楷體" w:hint="eastAsia"/>
          <w:b w:val="0"/>
          <w:color w:val="000000" w:themeColor="text1"/>
        </w:rPr>
        <w:t>」，其第2點要求證券商受僱人員因職務關係所獲悉客戶資料，應遵守公司對於客戶資料之規定及限制；第7點規定，證券商對客戶之開戶、徵信、交易、集保等相關資料應建立調閱制度，並依法令規定及經</w:t>
      </w:r>
      <w:r w:rsidRPr="00165A69">
        <w:rPr>
          <w:rFonts w:hAnsi="標楷體" w:hint="eastAsia"/>
          <w:b w:val="0"/>
          <w:color w:val="000000" w:themeColor="text1"/>
        </w:rPr>
        <w:lastRenderedPageBreak/>
        <w:t>授權核准始得調閱。</w:t>
      </w:r>
      <w:r w:rsidR="00D20B29" w:rsidRPr="00D20B29">
        <w:rPr>
          <w:rFonts w:hint="eastAsia"/>
          <w:b w:val="0"/>
          <w:color w:val="000000" w:themeColor="text1"/>
        </w:rPr>
        <w:t>臺銀綜合證券股份有限公司（下稱</w:t>
      </w:r>
      <w:r w:rsidRPr="00D20B29">
        <w:rPr>
          <w:rFonts w:hint="eastAsia"/>
          <w:b w:val="0"/>
          <w:color w:val="000000" w:themeColor="text1"/>
        </w:rPr>
        <w:t>臺銀證券</w:t>
      </w:r>
      <w:r w:rsidR="00D20B29" w:rsidRPr="00D20B29">
        <w:rPr>
          <w:rFonts w:hint="eastAsia"/>
          <w:b w:val="0"/>
          <w:color w:val="000000" w:themeColor="text1"/>
        </w:rPr>
        <w:t>）</w:t>
      </w:r>
      <w:r w:rsidRPr="00165A69">
        <w:rPr>
          <w:rFonts w:hint="eastAsia"/>
          <w:b w:val="0"/>
          <w:color w:val="000000" w:themeColor="text1"/>
        </w:rPr>
        <w:t>據以訂定「客戶資料調閱須知」</w:t>
      </w:r>
      <w:r w:rsidRPr="00165A69">
        <w:rPr>
          <w:rStyle w:val="aff4"/>
          <w:b w:val="0"/>
          <w:color w:val="000000" w:themeColor="text1"/>
        </w:rPr>
        <w:footnoteReference w:id="1"/>
      </w:r>
      <w:r w:rsidRPr="00165A69">
        <w:rPr>
          <w:rFonts w:hint="eastAsia"/>
          <w:b w:val="0"/>
          <w:color w:val="000000" w:themeColor="text1"/>
        </w:rPr>
        <w:t>，並於該須知第4點規定：除執行業務需要對客戶資料之處理及增刪外，該公司人員調閱客戶資料時，均應填寫申請單並經主管核准後始得調閱。爰依據上開相關規定，臺銀證券</w:t>
      </w:r>
      <w:r w:rsidRPr="00165A69">
        <w:rPr>
          <w:rFonts w:hAnsi="標楷體" w:hint="eastAsia"/>
          <w:b w:val="0"/>
          <w:color w:val="000000" w:themeColor="text1"/>
        </w:rPr>
        <w:t>對客戶之開戶、徵信、交易、集保等相關資料應建立調閱制度，俾</w:t>
      </w:r>
      <w:r w:rsidRPr="00165A69">
        <w:rPr>
          <w:rFonts w:hint="eastAsia"/>
          <w:b w:val="0"/>
          <w:color w:val="000000" w:themeColor="text1"/>
        </w:rPr>
        <w:t>防範該公司人員藉機不當利用客戶資料；</w:t>
      </w:r>
      <w:r w:rsidRPr="00165A69">
        <w:rPr>
          <w:rFonts w:hAnsi="標楷體" w:hint="eastAsia"/>
          <w:b w:val="0"/>
          <w:color w:val="000000" w:themeColor="text1"/>
        </w:rPr>
        <w:t>該公司</w:t>
      </w:r>
      <w:r w:rsidRPr="00165A69">
        <w:rPr>
          <w:rFonts w:hint="eastAsia"/>
          <w:b w:val="0"/>
          <w:color w:val="000000" w:themeColor="text1"/>
        </w:rPr>
        <w:t>人員除非有其他法令所規定事由外，不得為獲取本身之投機利益，以職務上所知悉之消息，從事上市或上櫃有價證券買賣之交易活動，且除執行業務需要外，調閱客戶資料前，均應填寫申請單並經其主管人員核准後始得調閱，未經核准即不得恣意調閱，合先敘明。</w:t>
      </w:r>
    </w:p>
    <w:p w:rsidR="00CB5FD7" w:rsidRPr="00165A69" w:rsidRDefault="00CB5FD7" w:rsidP="00CB5FD7">
      <w:pPr>
        <w:pStyle w:val="2"/>
        <w:numPr>
          <w:ilvl w:val="1"/>
          <w:numId w:val="1"/>
        </w:numPr>
        <w:ind w:left="1020" w:hanging="680"/>
        <w:rPr>
          <w:b w:val="0"/>
          <w:color w:val="000000" w:themeColor="text1"/>
        </w:rPr>
      </w:pPr>
      <w:r w:rsidRPr="00165A69">
        <w:rPr>
          <w:rFonts w:hint="eastAsia"/>
          <w:b w:val="0"/>
          <w:color w:val="000000" w:themeColor="text1"/>
        </w:rPr>
        <w:t>查臺銀證券於107年3月始完成「證券後檯系統資料庫讀取紀錄稽核系統」，對人員查詢或列印客戶資料，在電腦系統留存LOG稽核軌跡。系統程式啟用後，同年4月份臺銀證券內部稽核查核該交易LOG軌跡時，即發現高雄分公司融資融券經辦人員，未依規定查閱該分公司自然人客戶買賣資料資料之情事，並將違規員工之個人有價證券買賣資料，逐一與被其查閱客戶之買賣資料比對自行查核結果發現，自106年1月至107年4月期間，其中有47日與該公司當月成交達5,000萬元以上</w:t>
      </w:r>
      <w:r w:rsidRPr="00165A69">
        <w:rPr>
          <w:rFonts w:hAnsi="標楷體" w:hint="eastAsia"/>
          <w:b w:val="0"/>
          <w:color w:val="000000" w:themeColor="text1"/>
        </w:rPr>
        <w:t>之往來客戶有同日交易相同股票情事，早於客戶委託時間者計38日，晚於客戶委託時間之9日中，有4日之委託買賣方向與客戶相反。</w:t>
      </w:r>
      <w:r w:rsidRPr="00165A69">
        <w:rPr>
          <w:rFonts w:hint="eastAsia"/>
          <w:b w:val="0"/>
          <w:color w:val="000000" w:themeColor="text1"/>
        </w:rPr>
        <w:t>嗣經函請證交所研析是否有違規跟單行為，雖依據證交所之查復，認為依現有</w:t>
      </w:r>
      <w:r w:rsidRPr="00165A69">
        <w:rPr>
          <w:rFonts w:hint="eastAsia"/>
          <w:b w:val="0"/>
          <w:color w:val="000000" w:themeColor="text1"/>
        </w:rPr>
        <w:lastRenderedPageBreak/>
        <w:t>事證觀之，就市場交易之常情研判，尚難據以論斷有「為獲取投機利益之目的，以職務上所悉之消息，從事上市上櫃有價證券買賣之交易活動」之情事，為求審慎建議續作追蹤觀察，然臺銀證券內控機制長期確實存有重大漏洞，已可見一斑。</w:t>
      </w:r>
    </w:p>
    <w:p w:rsidR="00CB5FD7" w:rsidRPr="00165A69" w:rsidRDefault="00CB5FD7" w:rsidP="00CB5FD7">
      <w:pPr>
        <w:pStyle w:val="2"/>
        <w:numPr>
          <w:ilvl w:val="1"/>
          <w:numId w:val="1"/>
        </w:numPr>
        <w:ind w:left="1020" w:hanging="680"/>
        <w:rPr>
          <w:b w:val="0"/>
          <w:color w:val="000000" w:themeColor="text1"/>
        </w:rPr>
      </w:pPr>
      <w:bookmarkStart w:id="40" w:name="_Toc21773615"/>
      <w:bookmarkStart w:id="41" w:name="_Toc22025899"/>
      <w:r w:rsidRPr="00165A69">
        <w:rPr>
          <w:rFonts w:hint="eastAsia"/>
          <w:b w:val="0"/>
          <w:color w:val="000000" w:themeColor="text1"/>
        </w:rPr>
        <w:t>為澈底清查臺銀證券有無其他未依規定查閱客戶資料之人員，臺銀證券內部稽核依金控母公司稽核處107年6月間之指示辦理</w:t>
      </w:r>
      <w:r w:rsidRPr="00D20B29">
        <w:rPr>
          <w:rFonts w:hint="eastAsia"/>
          <w:b w:val="0"/>
          <w:color w:val="000000" w:themeColor="text1"/>
        </w:rPr>
        <w:t>專案稽核，果然發現</w:t>
      </w:r>
      <w:r w:rsidRPr="00165A69">
        <w:rPr>
          <w:rFonts w:hint="eastAsia"/>
          <w:b w:val="0"/>
          <w:color w:val="000000" w:themeColor="text1"/>
        </w:rPr>
        <w:t>該公司尚有其他員工亦有未經核准即違規查詢之情事，內部控制明顯失靈，此據臺灣金控提供查核報告與相關人員之懲處事由及額度等相關資料可證。</w:t>
      </w:r>
    </w:p>
    <w:p w:rsidR="00CB5FD7" w:rsidRPr="00165A69" w:rsidRDefault="00CB5FD7" w:rsidP="00CB5FD7">
      <w:pPr>
        <w:pStyle w:val="2"/>
        <w:numPr>
          <w:ilvl w:val="1"/>
          <w:numId w:val="1"/>
        </w:numPr>
        <w:ind w:left="1020" w:hanging="680"/>
        <w:rPr>
          <w:b w:val="0"/>
          <w:color w:val="000000" w:themeColor="text1"/>
        </w:rPr>
      </w:pPr>
      <w:bookmarkStart w:id="42" w:name="_Toc22923551"/>
      <w:bookmarkEnd w:id="40"/>
      <w:bookmarkEnd w:id="41"/>
      <w:r w:rsidRPr="00165A69">
        <w:rPr>
          <w:rFonts w:hint="eastAsia"/>
          <w:b w:val="0"/>
          <w:color w:val="000000" w:themeColor="text1"/>
        </w:rPr>
        <w:t>另，臺銀證券雖已依情節輕重，對於違規人員及其督導主管分別陸續處以記小過或申誡等處分，惟依該公司職員獎懲要點，懲處種類僅包括「申誡」及「記過」，不包括「書面告誡」，故該公司將「書面告誡」視為懲處，顯非允當，以及對所屬人員督導不周之責任，亦僅追究高雄分公司主管人員，顯失衡平，亦均有未當。</w:t>
      </w:r>
    </w:p>
    <w:p w:rsidR="00CB5FD7" w:rsidRPr="00CB5FD7" w:rsidRDefault="00CB5FD7" w:rsidP="00CB5FD7">
      <w:pPr>
        <w:pStyle w:val="2"/>
        <w:numPr>
          <w:ilvl w:val="1"/>
          <w:numId w:val="1"/>
        </w:numPr>
        <w:ind w:left="1020" w:hanging="680"/>
        <w:rPr>
          <w:b w:val="0"/>
          <w:color w:val="000000" w:themeColor="text1"/>
        </w:rPr>
      </w:pPr>
      <w:r w:rsidRPr="00165A69">
        <w:rPr>
          <w:rFonts w:hint="eastAsia"/>
          <w:b w:val="0"/>
          <w:color w:val="000000" w:themeColor="text1"/>
        </w:rPr>
        <w:t>據上，臺銀證券為國營事業，其所屬人員相關作為理應悉依規定辦理，並為行業之表率，始符合社會大眾之期待，然竟發生人員多次嚴重違規查詢、任意窺探非依業務所需相關帳戶之證券買賣交易資料，其中更包括非基於業務需要於1個半月時間即查詢臺灣銀行財務部帳戶高達59次及舊制勞退基金帳戶33次等重大違規情事，顯見恣意妄為且悖於常理，實應澈底檢討改進，否則證券公司一但失去客戶的信任，其所生後果勢將不容小覷，然而該公司長期以來對此人員違常情事，竟一無所悉，足證該公司內部控制已然失靈，核有重大疏失，洵應澈底檢討。</w:t>
      </w:r>
      <w:bookmarkEnd w:id="42"/>
    </w:p>
    <w:p w:rsidR="00F741BA" w:rsidRPr="00343CA0" w:rsidRDefault="00F741BA" w:rsidP="007E43A7">
      <w:pPr>
        <w:pStyle w:val="11"/>
        <w:spacing w:beforeLines="50" w:before="228"/>
        <w:ind w:left="680" w:firstLine="680"/>
        <w:rPr>
          <w:color w:val="000000" w:themeColor="text1"/>
        </w:rPr>
      </w:pPr>
      <w:bookmarkStart w:id="43" w:name="_Toc524902730"/>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43CA0">
        <w:rPr>
          <w:rFonts w:hint="eastAsia"/>
          <w:color w:val="000000" w:themeColor="text1"/>
        </w:rPr>
        <w:t>綜上所述，臺銀證券發生</w:t>
      </w:r>
      <w:r w:rsidR="00F85BC6" w:rsidRPr="00343CA0">
        <w:rPr>
          <w:rFonts w:hint="eastAsia"/>
          <w:color w:val="000000" w:themeColor="text1"/>
        </w:rPr>
        <w:t>所屬</w:t>
      </w:r>
      <w:r w:rsidRPr="00343CA0">
        <w:rPr>
          <w:rFonts w:hint="eastAsia"/>
          <w:color w:val="000000" w:themeColor="text1"/>
        </w:rPr>
        <w:t>人員多次違規查詢非</w:t>
      </w:r>
      <w:r w:rsidRPr="00343CA0">
        <w:rPr>
          <w:rFonts w:hint="eastAsia"/>
          <w:color w:val="000000" w:themeColor="text1"/>
        </w:rPr>
        <w:lastRenderedPageBreak/>
        <w:t>其本人之帳戶，或非依業務所需之查詢情事，其中更包括非基於業務需要查詢臺灣銀行財務部帳戶及舊制勞工退休基金帳戶等重大違規情事，而該公司長期以來竟一無所悉，內部控制明顯失靈，經核有重大疏失，爰依監察法第24條規定提案糾正，移送財政部確實檢討改善見復。</w:t>
      </w:r>
    </w:p>
    <w:p w:rsidR="00F741BA" w:rsidRPr="00343CA0" w:rsidRDefault="00F741BA" w:rsidP="00F741BA">
      <w:pPr>
        <w:pStyle w:val="2"/>
        <w:numPr>
          <w:ilvl w:val="0"/>
          <w:numId w:val="0"/>
        </w:numPr>
        <w:ind w:left="340"/>
        <w:rPr>
          <w:color w:val="000000" w:themeColor="text1"/>
        </w:rPr>
      </w:pPr>
    </w:p>
    <w:p w:rsidR="00890FC2" w:rsidRDefault="00890FC2" w:rsidP="00890FC2">
      <w:pPr>
        <w:pStyle w:val="2"/>
        <w:numPr>
          <w:ilvl w:val="0"/>
          <w:numId w:val="0"/>
        </w:numPr>
        <w:spacing w:beforeLines="50" w:before="228"/>
        <w:ind w:leftChars="100" w:left="340" w:firstLineChars="1000" w:firstLine="4445"/>
        <w:rPr>
          <w:bCs w:val="0"/>
          <w:color w:val="000000" w:themeColor="text1"/>
          <w:spacing w:val="12"/>
          <w:kern w:val="0"/>
          <w:sz w:val="40"/>
        </w:rPr>
      </w:pPr>
      <w:bookmarkStart w:id="44" w:name="_Toc524895649"/>
      <w:bookmarkStart w:id="45" w:name="_Toc524896195"/>
      <w:bookmarkStart w:id="46" w:name="_Toc524896225"/>
      <w:bookmarkEnd w:id="44"/>
      <w:bookmarkEnd w:id="45"/>
      <w:bookmarkEnd w:id="46"/>
    </w:p>
    <w:p w:rsidR="00890FC2" w:rsidRDefault="00890FC2" w:rsidP="00890FC2">
      <w:pPr>
        <w:pStyle w:val="2"/>
        <w:numPr>
          <w:ilvl w:val="0"/>
          <w:numId w:val="0"/>
        </w:numPr>
        <w:spacing w:beforeLines="50" w:before="228"/>
        <w:ind w:leftChars="100" w:left="340" w:firstLineChars="1000" w:firstLine="4445"/>
        <w:rPr>
          <w:color w:val="000000" w:themeColor="text1"/>
          <w:spacing w:val="12"/>
          <w:kern w:val="0"/>
          <w:sz w:val="40"/>
        </w:rPr>
      </w:pPr>
      <w:r>
        <w:rPr>
          <w:rFonts w:hint="eastAsia"/>
          <w:bCs w:val="0"/>
          <w:color w:val="000000" w:themeColor="text1"/>
          <w:spacing w:val="12"/>
          <w:kern w:val="0"/>
          <w:sz w:val="40"/>
        </w:rPr>
        <w:t>提案委員：仉桂美</w:t>
      </w:r>
    </w:p>
    <w:p w:rsidR="00890FC2" w:rsidRDefault="00890FC2" w:rsidP="00890FC2">
      <w:pPr>
        <w:pStyle w:val="2"/>
        <w:numPr>
          <w:ilvl w:val="0"/>
          <w:numId w:val="0"/>
        </w:numPr>
        <w:spacing w:beforeLines="50" w:before="228"/>
        <w:ind w:left="1249" w:firstLineChars="20" w:firstLine="89"/>
        <w:rPr>
          <w:rFonts w:hint="eastAsia"/>
          <w:bCs w:val="0"/>
          <w:color w:val="000000" w:themeColor="text1"/>
          <w:spacing w:val="12"/>
          <w:kern w:val="0"/>
          <w:sz w:val="40"/>
        </w:rPr>
      </w:pPr>
      <w:r>
        <w:rPr>
          <w:rFonts w:hint="eastAsia"/>
          <w:bCs w:val="0"/>
          <w:color w:val="000000" w:themeColor="text1"/>
          <w:spacing w:val="12"/>
          <w:kern w:val="0"/>
          <w:sz w:val="40"/>
        </w:rPr>
        <w:t xml:space="preserve">                        </w:t>
      </w:r>
      <w:bookmarkStart w:id="47" w:name="_GoBack"/>
      <w:bookmarkEnd w:id="47"/>
      <w:r>
        <w:rPr>
          <w:rFonts w:hint="eastAsia"/>
          <w:bCs w:val="0"/>
          <w:color w:val="000000" w:themeColor="text1"/>
          <w:spacing w:val="12"/>
          <w:kern w:val="0"/>
          <w:sz w:val="40"/>
        </w:rPr>
        <w:t>李月德</w:t>
      </w:r>
    </w:p>
    <w:p w:rsidR="00286B1B" w:rsidRPr="00890FC2" w:rsidRDefault="00890FC2" w:rsidP="00D065D3">
      <w:pPr>
        <w:pStyle w:val="2"/>
        <w:numPr>
          <w:ilvl w:val="0"/>
          <w:numId w:val="0"/>
        </w:numPr>
        <w:spacing w:beforeLines="50" w:before="228"/>
        <w:ind w:left="965" w:hanging="681"/>
        <w:rPr>
          <w:b w:val="0"/>
          <w:color w:val="000000" w:themeColor="text1"/>
          <w:spacing w:val="12"/>
          <w:kern w:val="0"/>
          <w:sz w:val="40"/>
        </w:rPr>
      </w:pPr>
      <w:r>
        <w:rPr>
          <w:b w:val="0"/>
          <w:color w:val="000000" w:themeColor="text1"/>
          <w:spacing w:val="12"/>
          <w:kern w:val="0"/>
          <w:sz w:val="40"/>
        </w:rPr>
        <w:t xml:space="preserve">                      </w:t>
      </w:r>
    </w:p>
    <w:bookmarkEnd w:id="43"/>
    <w:p w:rsidR="00416721" w:rsidRPr="00343CA0" w:rsidRDefault="00416721" w:rsidP="001D74CE">
      <w:pPr>
        <w:pStyle w:val="af3"/>
        <w:spacing w:beforeLines="400" w:before="1828"/>
        <w:rPr>
          <w:bCs/>
          <w:color w:val="000000" w:themeColor="text1"/>
        </w:rPr>
      </w:pPr>
    </w:p>
    <w:sectPr w:rsidR="00416721" w:rsidRPr="00343CA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AE0" w:rsidRDefault="00155AE0">
      <w:r>
        <w:separator/>
      </w:r>
    </w:p>
  </w:endnote>
  <w:endnote w:type="continuationSeparator" w:id="0">
    <w:p w:rsidR="00155AE0" w:rsidRDefault="001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890FC2">
      <w:rPr>
        <w:rStyle w:val="af"/>
        <w:noProof/>
        <w:sz w:val="24"/>
      </w:rPr>
      <w:t>1</w:t>
    </w:r>
    <w:r>
      <w:rPr>
        <w:rStyle w:val="af"/>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AE0" w:rsidRDefault="00155AE0">
      <w:r>
        <w:separator/>
      </w:r>
    </w:p>
  </w:footnote>
  <w:footnote w:type="continuationSeparator" w:id="0">
    <w:p w:rsidR="00155AE0" w:rsidRDefault="00155AE0">
      <w:r>
        <w:continuationSeparator/>
      </w:r>
    </w:p>
  </w:footnote>
  <w:footnote w:id="1">
    <w:p w:rsidR="00CB5FD7" w:rsidRPr="00CC5770" w:rsidRDefault="00CB5FD7" w:rsidP="00D20B29">
      <w:pPr>
        <w:pStyle w:val="aff2"/>
        <w:ind w:left="139" w:hangingChars="63" w:hanging="139"/>
        <w:jc w:val="both"/>
        <w:rPr>
          <w:color w:val="0070C0"/>
        </w:rPr>
      </w:pPr>
      <w:r w:rsidRPr="004E4E8D">
        <w:rPr>
          <w:rStyle w:val="aff4"/>
          <w:color w:val="000000" w:themeColor="text1"/>
        </w:rPr>
        <w:footnoteRef/>
      </w:r>
      <w:r w:rsidRPr="004E4E8D">
        <w:rPr>
          <w:rFonts w:hint="eastAsia"/>
          <w:color w:val="000000" w:themeColor="text1"/>
        </w:rPr>
        <w:t>104年7月15日臺銀證券總經理核定通過；108年1月17日第4屆第16次臨時董事會決議通過（108年1月22日證管乙字第1050240066號通函）修訂「客戶資料調閱須知」：提升該須知位階為辦法，大幅提高對違規查閱客戶資料之懲度，如查詢政府基金者記2大過且免職，查閱客戶資料並跟單者亦記2大過且免職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9CF7E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47606D"/>
    <w:multiLevelType w:val="multilevel"/>
    <w:tmpl w:val="9C4C9042"/>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color w:val="auto"/>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734F7CF7"/>
    <w:multiLevelType w:val="hybridMultilevel"/>
    <w:tmpl w:val="BE56627C"/>
    <w:lvl w:ilvl="0" w:tplc="3BB862AC">
      <w:start w:val="1"/>
      <w:numFmt w:val="decimal"/>
      <w:lvlText w:val="%1."/>
      <w:lvlJc w:val="left"/>
      <w:pPr>
        <w:ind w:left="360" w:hanging="36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FA"/>
    <w:rsid w:val="00006961"/>
    <w:rsid w:val="000112BF"/>
    <w:rsid w:val="00012233"/>
    <w:rsid w:val="00017318"/>
    <w:rsid w:val="000246F7"/>
    <w:rsid w:val="0003099B"/>
    <w:rsid w:val="0003114D"/>
    <w:rsid w:val="00036D76"/>
    <w:rsid w:val="00037425"/>
    <w:rsid w:val="00045652"/>
    <w:rsid w:val="00050778"/>
    <w:rsid w:val="000512D1"/>
    <w:rsid w:val="000519B5"/>
    <w:rsid w:val="00057F32"/>
    <w:rsid w:val="00057F34"/>
    <w:rsid w:val="00062A25"/>
    <w:rsid w:val="00073CB5"/>
    <w:rsid w:val="0007425C"/>
    <w:rsid w:val="00077553"/>
    <w:rsid w:val="00080040"/>
    <w:rsid w:val="000851A2"/>
    <w:rsid w:val="0009352E"/>
    <w:rsid w:val="00096B96"/>
    <w:rsid w:val="00097136"/>
    <w:rsid w:val="00097157"/>
    <w:rsid w:val="000A2F3F"/>
    <w:rsid w:val="000A63D7"/>
    <w:rsid w:val="000B0B4A"/>
    <w:rsid w:val="000B279A"/>
    <w:rsid w:val="000B61D2"/>
    <w:rsid w:val="000B70A7"/>
    <w:rsid w:val="000C495F"/>
    <w:rsid w:val="000E6431"/>
    <w:rsid w:val="000F0D35"/>
    <w:rsid w:val="000F21A5"/>
    <w:rsid w:val="000F6117"/>
    <w:rsid w:val="00102B9F"/>
    <w:rsid w:val="00112637"/>
    <w:rsid w:val="0012001E"/>
    <w:rsid w:val="0012291A"/>
    <w:rsid w:val="00126A55"/>
    <w:rsid w:val="00133AA2"/>
    <w:rsid w:val="00133F08"/>
    <w:rsid w:val="001345E6"/>
    <w:rsid w:val="001378B0"/>
    <w:rsid w:val="00142E00"/>
    <w:rsid w:val="001432CF"/>
    <w:rsid w:val="001521B7"/>
    <w:rsid w:val="00152793"/>
    <w:rsid w:val="001545A9"/>
    <w:rsid w:val="00155AE0"/>
    <w:rsid w:val="00157414"/>
    <w:rsid w:val="001637C7"/>
    <w:rsid w:val="0016480E"/>
    <w:rsid w:val="00174297"/>
    <w:rsid w:val="001817B3"/>
    <w:rsid w:val="00183014"/>
    <w:rsid w:val="0019410E"/>
    <w:rsid w:val="001959C2"/>
    <w:rsid w:val="001A7968"/>
    <w:rsid w:val="001B0A5E"/>
    <w:rsid w:val="001B3483"/>
    <w:rsid w:val="001B3C1E"/>
    <w:rsid w:val="001B4494"/>
    <w:rsid w:val="001C0D8B"/>
    <w:rsid w:val="001C0DA8"/>
    <w:rsid w:val="001D285E"/>
    <w:rsid w:val="001D74CE"/>
    <w:rsid w:val="001E0D8A"/>
    <w:rsid w:val="001E67BA"/>
    <w:rsid w:val="001E74C2"/>
    <w:rsid w:val="001F5A48"/>
    <w:rsid w:val="001F6260"/>
    <w:rsid w:val="00200007"/>
    <w:rsid w:val="002030A5"/>
    <w:rsid w:val="00203131"/>
    <w:rsid w:val="0021154E"/>
    <w:rsid w:val="002129A4"/>
    <w:rsid w:val="00212E88"/>
    <w:rsid w:val="00212EBC"/>
    <w:rsid w:val="00213C9C"/>
    <w:rsid w:val="0022009E"/>
    <w:rsid w:val="0022052B"/>
    <w:rsid w:val="0022134C"/>
    <w:rsid w:val="0022425C"/>
    <w:rsid w:val="002246DE"/>
    <w:rsid w:val="00231C3A"/>
    <w:rsid w:val="00232627"/>
    <w:rsid w:val="0023755E"/>
    <w:rsid w:val="002421B5"/>
    <w:rsid w:val="002428DD"/>
    <w:rsid w:val="00246AA1"/>
    <w:rsid w:val="0025106C"/>
    <w:rsid w:val="00252BC4"/>
    <w:rsid w:val="00254014"/>
    <w:rsid w:val="00257B0F"/>
    <w:rsid w:val="00260A43"/>
    <w:rsid w:val="0026504D"/>
    <w:rsid w:val="00273A2F"/>
    <w:rsid w:val="00280986"/>
    <w:rsid w:val="00281ECE"/>
    <w:rsid w:val="002831C7"/>
    <w:rsid w:val="002840C6"/>
    <w:rsid w:val="00286B1B"/>
    <w:rsid w:val="0029258D"/>
    <w:rsid w:val="00295174"/>
    <w:rsid w:val="00296172"/>
    <w:rsid w:val="00296B92"/>
    <w:rsid w:val="00297865"/>
    <w:rsid w:val="002A2C22"/>
    <w:rsid w:val="002B02EB"/>
    <w:rsid w:val="002C0602"/>
    <w:rsid w:val="002D5C16"/>
    <w:rsid w:val="002F2607"/>
    <w:rsid w:val="002F3DFF"/>
    <w:rsid w:val="002F5E05"/>
    <w:rsid w:val="002F75F9"/>
    <w:rsid w:val="00301F27"/>
    <w:rsid w:val="00313050"/>
    <w:rsid w:val="00316768"/>
    <w:rsid w:val="00317053"/>
    <w:rsid w:val="0032109C"/>
    <w:rsid w:val="00322B45"/>
    <w:rsid w:val="00323809"/>
    <w:rsid w:val="00323D41"/>
    <w:rsid w:val="00325414"/>
    <w:rsid w:val="00327B43"/>
    <w:rsid w:val="003302F1"/>
    <w:rsid w:val="00333BBA"/>
    <w:rsid w:val="00343CA0"/>
    <w:rsid w:val="0034470E"/>
    <w:rsid w:val="00352DB0"/>
    <w:rsid w:val="003553A5"/>
    <w:rsid w:val="00360BA3"/>
    <w:rsid w:val="00371833"/>
    <w:rsid w:val="00371ED3"/>
    <w:rsid w:val="0037728A"/>
    <w:rsid w:val="0037752C"/>
    <w:rsid w:val="00380B7D"/>
    <w:rsid w:val="00381A99"/>
    <w:rsid w:val="003829C2"/>
    <w:rsid w:val="00384724"/>
    <w:rsid w:val="00390FA0"/>
    <w:rsid w:val="003919B7"/>
    <w:rsid w:val="00391D57"/>
    <w:rsid w:val="00392292"/>
    <w:rsid w:val="0039483A"/>
    <w:rsid w:val="003969E1"/>
    <w:rsid w:val="003A5B7B"/>
    <w:rsid w:val="003A7259"/>
    <w:rsid w:val="003B1017"/>
    <w:rsid w:val="003B3C07"/>
    <w:rsid w:val="003B6775"/>
    <w:rsid w:val="003C1BB8"/>
    <w:rsid w:val="003C5FE2"/>
    <w:rsid w:val="003C75AD"/>
    <w:rsid w:val="003D05FB"/>
    <w:rsid w:val="003D1B16"/>
    <w:rsid w:val="003D45BF"/>
    <w:rsid w:val="003D508A"/>
    <w:rsid w:val="003D537F"/>
    <w:rsid w:val="003D749A"/>
    <w:rsid w:val="003D7B75"/>
    <w:rsid w:val="003E0208"/>
    <w:rsid w:val="003E1804"/>
    <w:rsid w:val="003E4B57"/>
    <w:rsid w:val="003F27E1"/>
    <w:rsid w:val="003F437A"/>
    <w:rsid w:val="003F54F1"/>
    <w:rsid w:val="003F5C2B"/>
    <w:rsid w:val="00401886"/>
    <w:rsid w:val="004023E9"/>
    <w:rsid w:val="004062D4"/>
    <w:rsid w:val="00413F83"/>
    <w:rsid w:val="0041490C"/>
    <w:rsid w:val="00416191"/>
    <w:rsid w:val="00416721"/>
    <w:rsid w:val="00421EF0"/>
    <w:rsid w:val="004224FA"/>
    <w:rsid w:val="00423D07"/>
    <w:rsid w:val="004255DB"/>
    <w:rsid w:val="00434DB3"/>
    <w:rsid w:val="0044346F"/>
    <w:rsid w:val="004470D6"/>
    <w:rsid w:val="004472BB"/>
    <w:rsid w:val="004566A5"/>
    <w:rsid w:val="0046520A"/>
    <w:rsid w:val="004672AB"/>
    <w:rsid w:val="00470395"/>
    <w:rsid w:val="004714FE"/>
    <w:rsid w:val="00472824"/>
    <w:rsid w:val="004751B7"/>
    <w:rsid w:val="00477666"/>
    <w:rsid w:val="00483373"/>
    <w:rsid w:val="004839EF"/>
    <w:rsid w:val="00485CDE"/>
    <w:rsid w:val="00490EC2"/>
    <w:rsid w:val="00495053"/>
    <w:rsid w:val="004A1F59"/>
    <w:rsid w:val="004A29BE"/>
    <w:rsid w:val="004A3225"/>
    <w:rsid w:val="004A33EE"/>
    <w:rsid w:val="004A3AA8"/>
    <w:rsid w:val="004A6847"/>
    <w:rsid w:val="004B13C7"/>
    <w:rsid w:val="004B778F"/>
    <w:rsid w:val="004C5D1D"/>
    <w:rsid w:val="004C5DD4"/>
    <w:rsid w:val="004D02F3"/>
    <w:rsid w:val="004D141F"/>
    <w:rsid w:val="004D4934"/>
    <w:rsid w:val="004D6310"/>
    <w:rsid w:val="004E0062"/>
    <w:rsid w:val="004E05A1"/>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4395B"/>
    <w:rsid w:val="00550DB2"/>
    <w:rsid w:val="00553C03"/>
    <w:rsid w:val="00563692"/>
    <w:rsid w:val="00571349"/>
    <w:rsid w:val="00583716"/>
    <w:rsid w:val="005908B8"/>
    <w:rsid w:val="0059512E"/>
    <w:rsid w:val="00595962"/>
    <w:rsid w:val="005A6DD2"/>
    <w:rsid w:val="005B2C09"/>
    <w:rsid w:val="005C385D"/>
    <w:rsid w:val="005D3B20"/>
    <w:rsid w:val="005E5C68"/>
    <w:rsid w:val="005E65C0"/>
    <w:rsid w:val="005F0390"/>
    <w:rsid w:val="005F3AEA"/>
    <w:rsid w:val="00600D49"/>
    <w:rsid w:val="006035D1"/>
    <w:rsid w:val="00612023"/>
    <w:rsid w:val="00614190"/>
    <w:rsid w:val="0062058E"/>
    <w:rsid w:val="00622A99"/>
    <w:rsid w:val="00622E67"/>
    <w:rsid w:val="00626EDC"/>
    <w:rsid w:val="00641BC9"/>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3E30"/>
    <w:rsid w:val="006850BF"/>
    <w:rsid w:val="0068656C"/>
    <w:rsid w:val="00687024"/>
    <w:rsid w:val="00692D70"/>
    <w:rsid w:val="00696415"/>
    <w:rsid w:val="006A0938"/>
    <w:rsid w:val="006A76E2"/>
    <w:rsid w:val="006D3691"/>
    <w:rsid w:val="006E2DCE"/>
    <w:rsid w:val="006E42A0"/>
    <w:rsid w:val="006F3563"/>
    <w:rsid w:val="006F42B9"/>
    <w:rsid w:val="006F6103"/>
    <w:rsid w:val="00700249"/>
    <w:rsid w:val="00704E00"/>
    <w:rsid w:val="00705B92"/>
    <w:rsid w:val="00712BA6"/>
    <w:rsid w:val="007209E7"/>
    <w:rsid w:val="00726182"/>
    <w:rsid w:val="00732329"/>
    <w:rsid w:val="007337CA"/>
    <w:rsid w:val="00734CE4"/>
    <w:rsid w:val="00735123"/>
    <w:rsid w:val="00741837"/>
    <w:rsid w:val="007453E6"/>
    <w:rsid w:val="0075243E"/>
    <w:rsid w:val="0075337B"/>
    <w:rsid w:val="007608F4"/>
    <w:rsid w:val="00761953"/>
    <w:rsid w:val="007642F4"/>
    <w:rsid w:val="007666F5"/>
    <w:rsid w:val="00771965"/>
    <w:rsid w:val="0077309D"/>
    <w:rsid w:val="0077681F"/>
    <w:rsid w:val="007774EE"/>
    <w:rsid w:val="00781822"/>
    <w:rsid w:val="00783F21"/>
    <w:rsid w:val="00787159"/>
    <w:rsid w:val="00791668"/>
    <w:rsid w:val="00791AA1"/>
    <w:rsid w:val="007A3793"/>
    <w:rsid w:val="007B7F41"/>
    <w:rsid w:val="007C1BA2"/>
    <w:rsid w:val="007D20E9"/>
    <w:rsid w:val="007D7881"/>
    <w:rsid w:val="007D7E3A"/>
    <w:rsid w:val="007E0E10"/>
    <w:rsid w:val="007E1BD7"/>
    <w:rsid w:val="007E277C"/>
    <w:rsid w:val="007E43A7"/>
    <w:rsid w:val="007E4768"/>
    <w:rsid w:val="007E5BDD"/>
    <w:rsid w:val="007E777B"/>
    <w:rsid w:val="007F2070"/>
    <w:rsid w:val="008041A6"/>
    <w:rsid w:val="00804AFF"/>
    <w:rsid w:val="008053F5"/>
    <w:rsid w:val="00810198"/>
    <w:rsid w:val="00815854"/>
    <w:rsid w:val="00815DA8"/>
    <w:rsid w:val="0082194D"/>
    <w:rsid w:val="0082301B"/>
    <w:rsid w:val="00826EF5"/>
    <w:rsid w:val="00831693"/>
    <w:rsid w:val="008317D8"/>
    <w:rsid w:val="00840104"/>
    <w:rsid w:val="00841FC5"/>
    <w:rsid w:val="00843528"/>
    <w:rsid w:val="00845709"/>
    <w:rsid w:val="008576BD"/>
    <w:rsid w:val="008579AB"/>
    <w:rsid w:val="00860463"/>
    <w:rsid w:val="00862B50"/>
    <w:rsid w:val="008667F2"/>
    <w:rsid w:val="008711B7"/>
    <w:rsid w:val="008733DA"/>
    <w:rsid w:val="00884A34"/>
    <w:rsid w:val="008850E4"/>
    <w:rsid w:val="00890FC2"/>
    <w:rsid w:val="008A12F5"/>
    <w:rsid w:val="008A288A"/>
    <w:rsid w:val="008B1587"/>
    <w:rsid w:val="008B1B01"/>
    <w:rsid w:val="008B3BCD"/>
    <w:rsid w:val="008B4841"/>
    <w:rsid w:val="008B6B7F"/>
    <w:rsid w:val="008B6DF8"/>
    <w:rsid w:val="008C106C"/>
    <w:rsid w:val="008C10F1"/>
    <w:rsid w:val="008C1E99"/>
    <w:rsid w:val="008C6328"/>
    <w:rsid w:val="008E0085"/>
    <w:rsid w:val="008E2AA6"/>
    <w:rsid w:val="008E311B"/>
    <w:rsid w:val="008F4590"/>
    <w:rsid w:val="008F46E7"/>
    <w:rsid w:val="008F6F0B"/>
    <w:rsid w:val="00907BA7"/>
    <w:rsid w:val="0091064E"/>
    <w:rsid w:val="00911FC5"/>
    <w:rsid w:val="0091287C"/>
    <w:rsid w:val="009310A5"/>
    <w:rsid w:val="0093115B"/>
    <w:rsid w:val="00931A10"/>
    <w:rsid w:val="00947967"/>
    <w:rsid w:val="00951BA3"/>
    <w:rsid w:val="00954C42"/>
    <w:rsid w:val="00957C98"/>
    <w:rsid w:val="00965200"/>
    <w:rsid w:val="009668B3"/>
    <w:rsid w:val="0096750F"/>
    <w:rsid w:val="00971471"/>
    <w:rsid w:val="009751C8"/>
    <w:rsid w:val="009849C2"/>
    <w:rsid w:val="00984D24"/>
    <w:rsid w:val="009858EB"/>
    <w:rsid w:val="009A56FD"/>
    <w:rsid w:val="009B0046"/>
    <w:rsid w:val="009C1440"/>
    <w:rsid w:val="009C2107"/>
    <w:rsid w:val="009C5D9E"/>
    <w:rsid w:val="009D0F0C"/>
    <w:rsid w:val="009D2C3E"/>
    <w:rsid w:val="009E0625"/>
    <w:rsid w:val="009E3034"/>
    <w:rsid w:val="009E549F"/>
    <w:rsid w:val="009E6032"/>
    <w:rsid w:val="009F28A8"/>
    <w:rsid w:val="009F473E"/>
    <w:rsid w:val="009F682A"/>
    <w:rsid w:val="00A022BE"/>
    <w:rsid w:val="00A231D3"/>
    <w:rsid w:val="00A24A96"/>
    <w:rsid w:val="00A24C95"/>
    <w:rsid w:val="00A2518E"/>
    <w:rsid w:val="00A26094"/>
    <w:rsid w:val="00A301BF"/>
    <w:rsid w:val="00A302B2"/>
    <w:rsid w:val="00A30CF4"/>
    <w:rsid w:val="00A31DBE"/>
    <w:rsid w:val="00A331B4"/>
    <w:rsid w:val="00A343BC"/>
    <w:rsid w:val="00A3484E"/>
    <w:rsid w:val="00A36ADA"/>
    <w:rsid w:val="00A40A3E"/>
    <w:rsid w:val="00A438D8"/>
    <w:rsid w:val="00A473F5"/>
    <w:rsid w:val="00A47C45"/>
    <w:rsid w:val="00A51F9D"/>
    <w:rsid w:val="00A5416A"/>
    <w:rsid w:val="00A54F51"/>
    <w:rsid w:val="00A56816"/>
    <w:rsid w:val="00A639F4"/>
    <w:rsid w:val="00A81A32"/>
    <w:rsid w:val="00A835BD"/>
    <w:rsid w:val="00A86011"/>
    <w:rsid w:val="00A963DF"/>
    <w:rsid w:val="00A97B15"/>
    <w:rsid w:val="00AA0C9F"/>
    <w:rsid w:val="00AA3A3A"/>
    <w:rsid w:val="00AA42D5"/>
    <w:rsid w:val="00AA78EE"/>
    <w:rsid w:val="00AB2FAB"/>
    <w:rsid w:val="00AB4651"/>
    <w:rsid w:val="00AB5C14"/>
    <w:rsid w:val="00AC1EE7"/>
    <w:rsid w:val="00AC333F"/>
    <w:rsid w:val="00AC4681"/>
    <w:rsid w:val="00AC585C"/>
    <w:rsid w:val="00AC7F74"/>
    <w:rsid w:val="00AD1925"/>
    <w:rsid w:val="00AD2632"/>
    <w:rsid w:val="00AD7C63"/>
    <w:rsid w:val="00AD7FD5"/>
    <w:rsid w:val="00AE067D"/>
    <w:rsid w:val="00AE1257"/>
    <w:rsid w:val="00AF1181"/>
    <w:rsid w:val="00AF2F79"/>
    <w:rsid w:val="00AF4653"/>
    <w:rsid w:val="00AF7DB7"/>
    <w:rsid w:val="00B15E22"/>
    <w:rsid w:val="00B1740D"/>
    <w:rsid w:val="00B443E4"/>
    <w:rsid w:val="00B522F8"/>
    <w:rsid w:val="00B563EA"/>
    <w:rsid w:val="00B60E51"/>
    <w:rsid w:val="00B63A54"/>
    <w:rsid w:val="00B77D18"/>
    <w:rsid w:val="00B8313A"/>
    <w:rsid w:val="00B83C6B"/>
    <w:rsid w:val="00B9239C"/>
    <w:rsid w:val="00B93503"/>
    <w:rsid w:val="00BA31E8"/>
    <w:rsid w:val="00BA55E0"/>
    <w:rsid w:val="00BA6BD4"/>
    <w:rsid w:val="00BB2655"/>
    <w:rsid w:val="00BB3752"/>
    <w:rsid w:val="00BB6688"/>
    <w:rsid w:val="00BC26D4"/>
    <w:rsid w:val="00BC64F2"/>
    <w:rsid w:val="00BC75FB"/>
    <w:rsid w:val="00BD1920"/>
    <w:rsid w:val="00BD7D5D"/>
    <w:rsid w:val="00BE5008"/>
    <w:rsid w:val="00BF2A42"/>
    <w:rsid w:val="00BF578D"/>
    <w:rsid w:val="00C03D8C"/>
    <w:rsid w:val="00C055EC"/>
    <w:rsid w:val="00C10DC9"/>
    <w:rsid w:val="00C12FB3"/>
    <w:rsid w:val="00C17341"/>
    <w:rsid w:val="00C24EEF"/>
    <w:rsid w:val="00C25CF6"/>
    <w:rsid w:val="00C26C36"/>
    <w:rsid w:val="00C32768"/>
    <w:rsid w:val="00C3304E"/>
    <w:rsid w:val="00C33AF0"/>
    <w:rsid w:val="00C431DF"/>
    <w:rsid w:val="00C4551B"/>
    <w:rsid w:val="00C456BD"/>
    <w:rsid w:val="00C51F0E"/>
    <w:rsid w:val="00C527A5"/>
    <w:rsid w:val="00C530DC"/>
    <w:rsid w:val="00C5350D"/>
    <w:rsid w:val="00C54539"/>
    <w:rsid w:val="00C6123C"/>
    <w:rsid w:val="00C6409C"/>
    <w:rsid w:val="00C67018"/>
    <w:rsid w:val="00C7084D"/>
    <w:rsid w:val="00C72097"/>
    <w:rsid w:val="00C7315E"/>
    <w:rsid w:val="00C75895"/>
    <w:rsid w:val="00C76649"/>
    <w:rsid w:val="00C83C9F"/>
    <w:rsid w:val="00C86866"/>
    <w:rsid w:val="00C94840"/>
    <w:rsid w:val="00CA6AC8"/>
    <w:rsid w:val="00CB027F"/>
    <w:rsid w:val="00CB286D"/>
    <w:rsid w:val="00CB5FD7"/>
    <w:rsid w:val="00CB6B35"/>
    <w:rsid w:val="00CC57E7"/>
    <w:rsid w:val="00CC6297"/>
    <w:rsid w:val="00CC7690"/>
    <w:rsid w:val="00CD1986"/>
    <w:rsid w:val="00CE4D5C"/>
    <w:rsid w:val="00CF05DA"/>
    <w:rsid w:val="00CF58EB"/>
    <w:rsid w:val="00D0106E"/>
    <w:rsid w:val="00D06383"/>
    <w:rsid w:val="00D065D3"/>
    <w:rsid w:val="00D20B29"/>
    <w:rsid w:val="00D20E85"/>
    <w:rsid w:val="00D24615"/>
    <w:rsid w:val="00D25E6F"/>
    <w:rsid w:val="00D26BB4"/>
    <w:rsid w:val="00D27557"/>
    <w:rsid w:val="00D30AA0"/>
    <w:rsid w:val="00D37842"/>
    <w:rsid w:val="00D42DC2"/>
    <w:rsid w:val="00D43011"/>
    <w:rsid w:val="00D537E1"/>
    <w:rsid w:val="00D55BB2"/>
    <w:rsid w:val="00D6091A"/>
    <w:rsid w:val="00D6695F"/>
    <w:rsid w:val="00D75644"/>
    <w:rsid w:val="00D81656"/>
    <w:rsid w:val="00D816AA"/>
    <w:rsid w:val="00D83D87"/>
    <w:rsid w:val="00D86A30"/>
    <w:rsid w:val="00D90F93"/>
    <w:rsid w:val="00D97CB4"/>
    <w:rsid w:val="00D97DD4"/>
    <w:rsid w:val="00DA4DAF"/>
    <w:rsid w:val="00DA5A8A"/>
    <w:rsid w:val="00DB06CD"/>
    <w:rsid w:val="00DB26CD"/>
    <w:rsid w:val="00DB3135"/>
    <w:rsid w:val="00DB441C"/>
    <w:rsid w:val="00DB44AF"/>
    <w:rsid w:val="00DC1F58"/>
    <w:rsid w:val="00DC339B"/>
    <w:rsid w:val="00DC5D40"/>
    <w:rsid w:val="00DD30E9"/>
    <w:rsid w:val="00DD4F47"/>
    <w:rsid w:val="00DD6D4C"/>
    <w:rsid w:val="00DD72D3"/>
    <w:rsid w:val="00DD78D2"/>
    <w:rsid w:val="00DD7FBB"/>
    <w:rsid w:val="00DE06D9"/>
    <w:rsid w:val="00DE0B9F"/>
    <w:rsid w:val="00DE4238"/>
    <w:rsid w:val="00DE42B9"/>
    <w:rsid w:val="00DE657F"/>
    <w:rsid w:val="00DF1218"/>
    <w:rsid w:val="00DF6462"/>
    <w:rsid w:val="00E02FA0"/>
    <w:rsid w:val="00E036DC"/>
    <w:rsid w:val="00E10454"/>
    <w:rsid w:val="00E112E5"/>
    <w:rsid w:val="00E1192D"/>
    <w:rsid w:val="00E21CC7"/>
    <w:rsid w:val="00E24D9E"/>
    <w:rsid w:val="00E24F24"/>
    <w:rsid w:val="00E25849"/>
    <w:rsid w:val="00E25A2D"/>
    <w:rsid w:val="00E30BEA"/>
    <w:rsid w:val="00E3197E"/>
    <w:rsid w:val="00E342F8"/>
    <w:rsid w:val="00E351ED"/>
    <w:rsid w:val="00E369D7"/>
    <w:rsid w:val="00E6034B"/>
    <w:rsid w:val="00E6549E"/>
    <w:rsid w:val="00E65EDE"/>
    <w:rsid w:val="00E70F81"/>
    <w:rsid w:val="00E77055"/>
    <w:rsid w:val="00E77460"/>
    <w:rsid w:val="00E77526"/>
    <w:rsid w:val="00E83ABC"/>
    <w:rsid w:val="00E844F2"/>
    <w:rsid w:val="00E92FCB"/>
    <w:rsid w:val="00EA147F"/>
    <w:rsid w:val="00EA4434"/>
    <w:rsid w:val="00ED03AB"/>
    <w:rsid w:val="00ED0CAC"/>
    <w:rsid w:val="00ED1CD4"/>
    <w:rsid w:val="00ED1D2B"/>
    <w:rsid w:val="00ED5A8D"/>
    <w:rsid w:val="00ED64B5"/>
    <w:rsid w:val="00EE7CCA"/>
    <w:rsid w:val="00F01348"/>
    <w:rsid w:val="00F145C2"/>
    <w:rsid w:val="00F16A14"/>
    <w:rsid w:val="00F231DC"/>
    <w:rsid w:val="00F26950"/>
    <w:rsid w:val="00F27C8D"/>
    <w:rsid w:val="00F348C7"/>
    <w:rsid w:val="00F362D7"/>
    <w:rsid w:val="00F37CB4"/>
    <w:rsid w:val="00F37D7B"/>
    <w:rsid w:val="00F46D36"/>
    <w:rsid w:val="00F5314C"/>
    <w:rsid w:val="00F56E60"/>
    <w:rsid w:val="00F602A7"/>
    <w:rsid w:val="00F635DD"/>
    <w:rsid w:val="00F6627B"/>
    <w:rsid w:val="00F70BCC"/>
    <w:rsid w:val="00F734F2"/>
    <w:rsid w:val="00F741BA"/>
    <w:rsid w:val="00F75052"/>
    <w:rsid w:val="00F804D3"/>
    <w:rsid w:val="00F81CD2"/>
    <w:rsid w:val="00F82641"/>
    <w:rsid w:val="00F85BC6"/>
    <w:rsid w:val="00F9095E"/>
    <w:rsid w:val="00F90F18"/>
    <w:rsid w:val="00F937E4"/>
    <w:rsid w:val="00F94752"/>
    <w:rsid w:val="00F95EE7"/>
    <w:rsid w:val="00F96110"/>
    <w:rsid w:val="00FA19AD"/>
    <w:rsid w:val="00FA39E6"/>
    <w:rsid w:val="00FA7BC9"/>
    <w:rsid w:val="00FB378E"/>
    <w:rsid w:val="00FB37F1"/>
    <w:rsid w:val="00FB47C0"/>
    <w:rsid w:val="00FB501B"/>
    <w:rsid w:val="00FB7770"/>
    <w:rsid w:val="00FC08F2"/>
    <w:rsid w:val="00FC55A5"/>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1B99B6-74B1-488F-AD7C-F19F3368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uiPriority w:val="99"/>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rsid w:val="004E0062"/>
    <w:pPr>
      <w:tabs>
        <w:tab w:val="center" w:pos="4153"/>
        <w:tab w:val="right" w:pos="8306"/>
      </w:tabs>
      <w:snapToGrid w:val="0"/>
    </w:pPr>
    <w:rPr>
      <w:sz w:val="20"/>
    </w:rPr>
  </w:style>
  <w:style w:type="paragraph" w:styleId="afa">
    <w:name w:val="table of figures"/>
    <w:basedOn w:val="a7"/>
    <w:next w:val="a7"/>
    <w:uiPriority w:val="99"/>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b"/>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e">
    <w:name w:val="List Paragraph"/>
    <w:basedOn w:val="a7"/>
    <w:link w:val="aff"/>
    <w:uiPriority w:val="34"/>
    <w:qFormat/>
    <w:rsid w:val="00687024"/>
    <w:pPr>
      <w:ind w:leftChars="200" w:left="480"/>
    </w:pPr>
  </w:style>
  <w:style w:type="paragraph" w:styleId="aff0">
    <w:name w:val="Balloon Text"/>
    <w:basedOn w:val="a7"/>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8"/>
    <w:link w:val="aff0"/>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basedOn w:val="a8"/>
    <w:link w:val="3"/>
    <w:rsid w:val="00A54F51"/>
    <w:rPr>
      <w:rFonts w:ascii="標楷體" w:eastAsia="標楷體" w:hAnsi="Arial"/>
      <w:bCs/>
      <w:kern w:val="32"/>
      <w:sz w:val="32"/>
      <w:szCs w:val="36"/>
    </w:rPr>
  </w:style>
  <w:style w:type="character" w:customStyle="1" w:styleId="40">
    <w:name w:val="標題 4 字元"/>
    <w:aliases w:val="表格 字元"/>
    <w:basedOn w:val="a8"/>
    <w:link w:val="4"/>
    <w:rsid w:val="00A54F51"/>
    <w:rPr>
      <w:rFonts w:ascii="標楷體" w:eastAsia="標楷體" w:hAnsi="Arial"/>
      <w:kern w:val="32"/>
      <w:sz w:val="32"/>
      <w:szCs w:val="36"/>
    </w:rPr>
  </w:style>
  <w:style w:type="paragraph" w:styleId="aff2">
    <w:name w:val="footnote text"/>
    <w:basedOn w:val="a7"/>
    <w:link w:val="aff3"/>
    <w:uiPriority w:val="99"/>
    <w:unhideWhenUsed/>
    <w:rsid w:val="00A54F51"/>
    <w:pPr>
      <w:snapToGrid w:val="0"/>
      <w:jc w:val="left"/>
    </w:pPr>
    <w:rPr>
      <w:sz w:val="20"/>
    </w:rPr>
  </w:style>
  <w:style w:type="character" w:customStyle="1" w:styleId="aff3">
    <w:name w:val="註腳文字 字元"/>
    <w:basedOn w:val="a8"/>
    <w:link w:val="aff2"/>
    <w:uiPriority w:val="99"/>
    <w:rsid w:val="00A54F51"/>
    <w:rPr>
      <w:rFonts w:ascii="標楷體" w:eastAsia="標楷體"/>
      <w:kern w:val="2"/>
    </w:rPr>
  </w:style>
  <w:style w:type="paragraph" w:customStyle="1" w:styleId="Default">
    <w:name w:val="Default"/>
    <w:rsid w:val="00A54F51"/>
    <w:pPr>
      <w:widowControl w:val="0"/>
      <w:autoSpaceDE w:val="0"/>
      <w:autoSpaceDN w:val="0"/>
      <w:adjustRightInd w:val="0"/>
    </w:pPr>
    <w:rPr>
      <w:rFonts w:ascii="標楷體" w:hAnsi="標楷體" w:cs="標楷體"/>
      <w:color w:val="000000"/>
      <w:sz w:val="24"/>
      <w:szCs w:val="24"/>
    </w:rPr>
  </w:style>
  <w:style w:type="character" w:styleId="aff4">
    <w:name w:val="footnote reference"/>
    <w:basedOn w:val="a8"/>
    <w:uiPriority w:val="99"/>
    <w:semiHidden/>
    <w:unhideWhenUsed/>
    <w:rsid w:val="00A54F51"/>
    <w:rPr>
      <w:vertAlign w:val="superscript"/>
    </w:rPr>
  </w:style>
  <w:style w:type="character" w:customStyle="1" w:styleId="10">
    <w:name w:val="標題 1 字元"/>
    <w:aliases w:val="題號1 字元,壹 字元"/>
    <w:basedOn w:val="a8"/>
    <w:link w:val="1"/>
    <w:rsid w:val="003A7259"/>
    <w:rPr>
      <w:rFonts w:ascii="標楷體" w:eastAsia="標楷體" w:hAnsi="Arial"/>
      <w:bCs/>
      <w:kern w:val="32"/>
      <w:sz w:val="32"/>
      <w:szCs w:val="52"/>
    </w:rPr>
  </w:style>
  <w:style w:type="character" w:customStyle="1" w:styleId="20">
    <w:name w:val="標題 2 字元"/>
    <w:aliases w:val="標題110/111 字元"/>
    <w:basedOn w:val="a8"/>
    <w:link w:val="2"/>
    <w:rsid w:val="003A7259"/>
    <w:rPr>
      <w:rFonts w:ascii="標楷體" w:eastAsia="標楷體" w:hAnsi="Arial"/>
      <w:b/>
      <w:bCs/>
      <w:kern w:val="32"/>
      <w:sz w:val="32"/>
      <w:szCs w:val="48"/>
    </w:rPr>
  </w:style>
  <w:style w:type="character" w:customStyle="1" w:styleId="50">
    <w:name w:val="標題 5 字元"/>
    <w:basedOn w:val="a8"/>
    <w:link w:val="5"/>
    <w:rsid w:val="003A7259"/>
    <w:rPr>
      <w:rFonts w:ascii="標楷體" w:eastAsia="標楷體" w:hAnsi="Arial"/>
      <w:bCs/>
      <w:kern w:val="32"/>
      <w:sz w:val="32"/>
      <w:szCs w:val="36"/>
    </w:rPr>
  </w:style>
  <w:style w:type="character" w:customStyle="1" w:styleId="60">
    <w:name w:val="標題 6 字元"/>
    <w:basedOn w:val="a8"/>
    <w:link w:val="6"/>
    <w:rsid w:val="003A7259"/>
    <w:rPr>
      <w:rFonts w:ascii="標楷體" w:eastAsia="標楷體" w:hAnsi="Arial"/>
      <w:kern w:val="32"/>
      <w:sz w:val="32"/>
      <w:szCs w:val="36"/>
    </w:rPr>
  </w:style>
  <w:style w:type="character" w:customStyle="1" w:styleId="70">
    <w:name w:val="標題 7 字元"/>
    <w:basedOn w:val="a8"/>
    <w:link w:val="7"/>
    <w:rsid w:val="003A7259"/>
    <w:rPr>
      <w:rFonts w:ascii="標楷體" w:eastAsia="標楷體" w:hAnsi="Arial"/>
      <w:bCs/>
      <w:kern w:val="32"/>
      <w:sz w:val="32"/>
      <w:szCs w:val="36"/>
    </w:rPr>
  </w:style>
  <w:style w:type="character" w:customStyle="1" w:styleId="80">
    <w:name w:val="標題 8 字元"/>
    <w:basedOn w:val="a8"/>
    <w:link w:val="8"/>
    <w:rsid w:val="003A7259"/>
    <w:rPr>
      <w:rFonts w:ascii="標楷體" w:eastAsia="標楷體" w:hAnsi="Arial"/>
      <w:kern w:val="32"/>
      <w:sz w:val="32"/>
      <w:szCs w:val="36"/>
    </w:rPr>
  </w:style>
  <w:style w:type="character" w:customStyle="1" w:styleId="ac">
    <w:name w:val="簽名 字元"/>
    <w:basedOn w:val="a8"/>
    <w:link w:val="ab"/>
    <w:rsid w:val="003A7259"/>
    <w:rPr>
      <w:rFonts w:ascii="標楷體" w:eastAsia="標楷體"/>
      <w:b/>
      <w:snapToGrid w:val="0"/>
      <w:spacing w:val="10"/>
      <w:kern w:val="2"/>
      <w:sz w:val="36"/>
    </w:rPr>
  </w:style>
  <w:style w:type="character" w:customStyle="1" w:styleId="ae">
    <w:name w:val="章節附註文字 字元"/>
    <w:basedOn w:val="a8"/>
    <w:link w:val="ad"/>
    <w:semiHidden/>
    <w:rsid w:val="003A7259"/>
    <w:rPr>
      <w:rFonts w:ascii="標楷體" w:eastAsia="標楷體"/>
      <w:snapToGrid w:val="0"/>
      <w:spacing w:val="10"/>
      <w:kern w:val="2"/>
      <w:sz w:val="32"/>
    </w:rPr>
  </w:style>
  <w:style w:type="character" w:customStyle="1" w:styleId="af1">
    <w:name w:val="頁首 字元"/>
    <w:basedOn w:val="a8"/>
    <w:link w:val="af0"/>
    <w:uiPriority w:val="99"/>
    <w:rsid w:val="003A7259"/>
    <w:rPr>
      <w:rFonts w:ascii="標楷體" w:eastAsia="標楷體"/>
      <w:kern w:val="2"/>
    </w:rPr>
  </w:style>
  <w:style w:type="character" w:customStyle="1" w:styleId="af6">
    <w:name w:val="本文縮排 字元"/>
    <w:basedOn w:val="a8"/>
    <w:link w:val="af5"/>
    <w:semiHidden/>
    <w:rsid w:val="003A7259"/>
    <w:rPr>
      <w:rFonts w:ascii="標楷體" w:eastAsia="標楷體"/>
      <w:kern w:val="2"/>
      <w:sz w:val="32"/>
    </w:rPr>
  </w:style>
  <w:style w:type="character" w:customStyle="1" w:styleId="af9">
    <w:name w:val="頁尾 字元"/>
    <w:basedOn w:val="a8"/>
    <w:link w:val="af8"/>
    <w:rsid w:val="003A7259"/>
    <w:rPr>
      <w:rFonts w:ascii="標楷體" w:eastAsia="標楷體"/>
      <w:kern w:val="2"/>
    </w:rPr>
  </w:style>
  <w:style w:type="character" w:customStyle="1" w:styleId="afb">
    <w:name w:val="表標題 字元"/>
    <w:link w:val="a3"/>
    <w:locked/>
    <w:rsid w:val="003A7259"/>
    <w:rPr>
      <w:rFonts w:ascii="標楷體" w:eastAsia="標楷體" w:hAnsi="華康楷書體W5(P)"/>
      <w:bCs/>
      <w:spacing w:val="-10"/>
      <w:kern w:val="28"/>
      <w:sz w:val="28"/>
      <w:szCs w:val="28"/>
    </w:rPr>
  </w:style>
  <w:style w:type="character" w:customStyle="1" w:styleId="aff">
    <w:name w:val="清單段落 字元"/>
    <w:link w:val="afe"/>
    <w:uiPriority w:val="34"/>
    <w:locked/>
    <w:rsid w:val="003A7259"/>
    <w:rPr>
      <w:rFonts w:ascii="標楷體" w:eastAsia="標楷體"/>
      <w:kern w:val="2"/>
      <w:sz w:val="32"/>
    </w:rPr>
  </w:style>
  <w:style w:type="paragraph" w:styleId="aff5">
    <w:name w:val="Plain Text"/>
    <w:basedOn w:val="a7"/>
    <w:link w:val="aff6"/>
    <w:uiPriority w:val="99"/>
    <w:unhideWhenUsed/>
    <w:rsid w:val="003A7259"/>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8"/>
    <w:link w:val="aff5"/>
    <w:uiPriority w:val="99"/>
    <w:rsid w:val="003A7259"/>
    <w:rPr>
      <w:rFonts w:ascii="Calibri" w:eastAsia="標楷體" w:hAnsi="Courier New" w:cs="Courier New"/>
      <w:color w:val="244061" w:themeColor="accent1" w:themeShade="80"/>
      <w:sz w:val="28"/>
      <w:szCs w:val="24"/>
    </w:rPr>
  </w:style>
  <w:style w:type="paragraph" w:styleId="HTML">
    <w:name w:val="HTML Preformatted"/>
    <w:basedOn w:val="a7"/>
    <w:link w:val="HTML0"/>
    <w:uiPriority w:val="99"/>
    <w:unhideWhenUsed/>
    <w:rsid w:val="003A7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7259"/>
    <w:rPr>
      <w:rFonts w:ascii="細明體" w:eastAsia="細明體" w:hAnsi="細明體" w:cs="細明體"/>
      <w:sz w:val="22"/>
      <w:szCs w:val="22"/>
    </w:rPr>
  </w:style>
  <w:style w:type="table" w:customStyle="1" w:styleId="13">
    <w:name w:val="表格格線1"/>
    <w:basedOn w:val="a9"/>
    <w:uiPriority w:val="59"/>
    <w:rsid w:val="003A725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註"/>
    <w:basedOn w:val="a7"/>
    <w:uiPriority w:val="99"/>
    <w:rsid w:val="003A7259"/>
    <w:pPr>
      <w:widowControl/>
      <w:overflowPunct/>
      <w:autoSpaceDE/>
      <w:autoSpaceDN/>
      <w:spacing w:line="240" w:lineRule="exact"/>
      <w:ind w:left="200" w:hangingChars="200" w:hanging="200"/>
      <w:jc w:val="left"/>
    </w:pPr>
    <w:rPr>
      <w:rFonts w:ascii="Times New Roman"/>
      <w:spacing w:val="10"/>
      <w:sz w:val="20"/>
      <w:szCs w:val="28"/>
    </w:rPr>
  </w:style>
  <w:style w:type="paragraph" w:styleId="aff8">
    <w:name w:val="Body Text"/>
    <w:basedOn w:val="a7"/>
    <w:link w:val="aff9"/>
    <w:uiPriority w:val="99"/>
    <w:semiHidden/>
    <w:unhideWhenUsed/>
    <w:rsid w:val="003A7259"/>
    <w:pPr>
      <w:spacing w:after="120"/>
    </w:pPr>
  </w:style>
  <w:style w:type="character" w:customStyle="1" w:styleId="aff9">
    <w:name w:val="本文 字元"/>
    <w:basedOn w:val="a8"/>
    <w:link w:val="aff8"/>
    <w:uiPriority w:val="99"/>
    <w:semiHidden/>
    <w:rsid w:val="003A7259"/>
    <w:rPr>
      <w:rFonts w:ascii="標楷體" w:eastAsia="標楷體"/>
      <w:kern w:val="2"/>
      <w:sz w:val="32"/>
    </w:rPr>
  </w:style>
  <w:style w:type="paragraph" w:customStyle="1" w:styleId="affa">
    <w:name w:val="協查人員"/>
    <w:basedOn w:val="ab"/>
    <w:qFormat/>
    <w:rsid w:val="003A7259"/>
    <w:pPr>
      <w:spacing w:beforeLines="50" w:after="0"/>
      <w:ind w:leftChars="1100" w:left="3742"/>
      <w:jc w:val="left"/>
    </w:pPr>
    <w:rPr>
      <w:bCs/>
      <w:snapToGrid/>
      <w:kern w:val="0"/>
      <w:szCs w:val="36"/>
    </w:rPr>
  </w:style>
  <w:style w:type="paragraph" w:customStyle="1" w:styleId="affb">
    <w:name w:val="調查委員"/>
    <w:basedOn w:val="ab"/>
    <w:qFormat/>
    <w:rsid w:val="003A7259"/>
    <w:pPr>
      <w:spacing w:before="0" w:after="0"/>
      <w:ind w:left="0"/>
      <w:jc w:val="left"/>
    </w:pPr>
    <w:rPr>
      <w:b w:val="0"/>
      <w:bCs/>
      <w:szCs w:val="28"/>
    </w:rPr>
  </w:style>
  <w:style w:type="table" w:customStyle="1" w:styleId="33">
    <w:name w:val="表格格線3"/>
    <w:basedOn w:val="a9"/>
    <w:next w:val="afd"/>
    <w:uiPriority w:val="59"/>
    <w:rsid w:val="003A72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8"/>
    <w:rsid w:val="003A7259"/>
  </w:style>
  <w:style w:type="paragraph" w:customStyle="1" w:styleId="a6">
    <w:name w:val="分項段落"/>
    <w:basedOn w:val="a7"/>
    <w:rsid w:val="003A7259"/>
    <w:pPr>
      <w:widowControl/>
      <w:numPr>
        <w:numId w:val="11"/>
      </w:numPr>
      <w:overflowPunct/>
      <w:autoSpaceDE/>
      <w:autoSpaceDN/>
      <w:snapToGrid w:val="0"/>
      <w:jc w:val="left"/>
      <w:textAlignment w:val="baseline"/>
    </w:pPr>
    <w:rPr>
      <w:rFonts w:ascii="Times New Roman"/>
      <w:noProof/>
      <w:kern w:val="0"/>
    </w:rPr>
  </w:style>
  <w:style w:type="character" w:styleId="affc">
    <w:name w:val="Emphasis"/>
    <w:basedOn w:val="a8"/>
    <w:uiPriority w:val="20"/>
    <w:qFormat/>
    <w:rsid w:val="003A7259"/>
    <w:rPr>
      <w:b w:val="0"/>
      <w:bCs w:val="0"/>
      <w:i w:val="0"/>
      <w:iCs w:val="0"/>
      <w:color w:val="DD4B39"/>
    </w:rPr>
  </w:style>
  <w:style w:type="character" w:styleId="affd">
    <w:name w:val="Strong"/>
    <w:basedOn w:val="a8"/>
    <w:uiPriority w:val="22"/>
    <w:qFormat/>
    <w:rsid w:val="003A7259"/>
    <w:rPr>
      <w:b/>
      <w:bCs/>
    </w:rPr>
  </w:style>
  <w:style w:type="paragraph" w:customStyle="1" w:styleId="15">
    <w:name w:val="清單段落1"/>
    <w:basedOn w:val="a7"/>
    <w:uiPriority w:val="99"/>
    <w:qFormat/>
    <w:rsid w:val="003A7259"/>
    <w:pPr>
      <w:overflowPunct/>
      <w:autoSpaceDE/>
      <w:autoSpaceDN/>
      <w:ind w:leftChars="200" w:left="480"/>
      <w:jc w:val="left"/>
    </w:pPr>
    <w:rPr>
      <w:rFonts w:ascii="Calibri" w:eastAsia="新細明體" w:hAnsi="Calibri"/>
      <w:sz w:val="24"/>
      <w:szCs w:val="22"/>
    </w:rPr>
  </w:style>
  <w:style w:type="paragraph" w:styleId="Web">
    <w:name w:val="Normal (Web)"/>
    <w:basedOn w:val="a7"/>
    <w:uiPriority w:val="99"/>
    <w:unhideWhenUsed/>
    <w:rsid w:val="003A7259"/>
    <w:pPr>
      <w:widowControl/>
      <w:overflowPunct/>
      <w:autoSpaceDE/>
      <w:autoSpaceDN/>
      <w:spacing w:after="150" w:line="384" w:lineRule="atLeast"/>
      <w:jc w:val="left"/>
    </w:pPr>
    <w:rPr>
      <w:rFonts w:ascii="新細明體" w:eastAsia="新細明體" w:hAnsi="新細明體" w:cs="新細明體"/>
      <w:kern w:val="0"/>
      <w:sz w:val="24"/>
      <w:szCs w:val="24"/>
    </w:rPr>
  </w:style>
  <w:style w:type="character" w:styleId="affe">
    <w:name w:val="FollowedHyperlink"/>
    <w:basedOn w:val="a8"/>
    <w:uiPriority w:val="99"/>
    <w:semiHidden/>
    <w:unhideWhenUsed/>
    <w:rsid w:val="003A7259"/>
    <w:rPr>
      <w:color w:val="800080" w:themeColor="followedHyperlink"/>
      <w:u w:val="single"/>
    </w:rPr>
  </w:style>
  <w:style w:type="paragraph" w:styleId="afff">
    <w:name w:val="TOC Heading"/>
    <w:basedOn w:val="1"/>
    <w:next w:val="a7"/>
    <w:uiPriority w:val="39"/>
    <w:semiHidden/>
    <w:unhideWhenUsed/>
    <w:qFormat/>
    <w:rsid w:val="003A725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ff0">
    <w:name w:val="Note Heading"/>
    <w:basedOn w:val="a7"/>
    <w:next w:val="a7"/>
    <w:link w:val="afff1"/>
    <w:uiPriority w:val="99"/>
    <w:unhideWhenUsed/>
    <w:rsid w:val="003A7259"/>
    <w:pPr>
      <w:jc w:val="center"/>
    </w:pPr>
    <w:rPr>
      <w:rFonts w:hAnsi="標楷體"/>
      <w:spacing w:val="200"/>
      <w:kern w:val="0"/>
      <w:sz w:val="40"/>
    </w:rPr>
  </w:style>
  <w:style w:type="character" w:customStyle="1" w:styleId="afff1">
    <w:name w:val="註釋標題 字元"/>
    <w:basedOn w:val="a8"/>
    <w:link w:val="afff0"/>
    <w:uiPriority w:val="99"/>
    <w:rsid w:val="003A7259"/>
    <w:rPr>
      <w:rFonts w:ascii="標楷體" w:eastAsia="標楷體" w:hAnsi="標楷體"/>
      <w:spacing w:val="200"/>
      <w:sz w:val="40"/>
    </w:rPr>
  </w:style>
  <w:style w:type="paragraph" w:styleId="afff2">
    <w:name w:val="Closing"/>
    <w:basedOn w:val="a7"/>
    <w:link w:val="afff3"/>
    <w:uiPriority w:val="99"/>
    <w:unhideWhenUsed/>
    <w:rsid w:val="003A7259"/>
    <w:pPr>
      <w:ind w:leftChars="1800" w:left="100"/>
    </w:pPr>
    <w:rPr>
      <w:rFonts w:hAnsi="標楷體"/>
      <w:spacing w:val="200"/>
      <w:kern w:val="0"/>
      <w:sz w:val="40"/>
    </w:rPr>
  </w:style>
  <w:style w:type="character" w:customStyle="1" w:styleId="afff3">
    <w:name w:val="結語 字元"/>
    <w:basedOn w:val="a8"/>
    <w:link w:val="afff2"/>
    <w:uiPriority w:val="99"/>
    <w:rsid w:val="003A7259"/>
    <w:rPr>
      <w:rFonts w:ascii="標楷體" w:eastAsia="標楷體" w:hAnsi="標楷體"/>
      <w:spacing w:val="200"/>
      <w:sz w:val="40"/>
    </w:rPr>
  </w:style>
  <w:style w:type="character" w:customStyle="1" w:styleId="afff4">
    <w:name w:val="註解文字 字元"/>
    <w:basedOn w:val="a8"/>
    <w:link w:val="afff5"/>
    <w:uiPriority w:val="99"/>
    <w:semiHidden/>
    <w:rsid w:val="003A7259"/>
    <w:rPr>
      <w:rFonts w:ascii="標楷體" w:eastAsia="標楷體"/>
      <w:kern w:val="2"/>
      <w:sz w:val="32"/>
    </w:rPr>
  </w:style>
  <w:style w:type="paragraph" w:styleId="afff5">
    <w:name w:val="annotation text"/>
    <w:basedOn w:val="a7"/>
    <w:link w:val="afff4"/>
    <w:uiPriority w:val="99"/>
    <w:semiHidden/>
    <w:unhideWhenUsed/>
    <w:rsid w:val="003A7259"/>
    <w:pPr>
      <w:jc w:val="left"/>
    </w:pPr>
  </w:style>
  <w:style w:type="character" w:customStyle="1" w:styleId="16">
    <w:name w:val="註解文字 字元1"/>
    <w:basedOn w:val="a8"/>
    <w:uiPriority w:val="99"/>
    <w:semiHidden/>
    <w:rsid w:val="003A7259"/>
    <w:rPr>
      <w:rFonts w:ascii="標楷體" w:eastAsia="標楷體"/>
      <w:kern w:val="2"/>
      <w:sz w:val="32"/>
    </w:rPr>
  </w:style>
  <w:style w:type="character" w:customStyle="1" w:styleId="afff6">
    <w:name w:val="註解主旨 字元"/>
    <w:basedOn w:val="afff4"/>
    <w:link w:val="afff7"/>
    <w:uiPriority w:val="99"/>
    <w:semiHidden/>
    <w:rsid w:val="003A7259"/>
    <w:rPr>
      <w:rFonts w:ascii="標楷體" w:eastAsia="標楷體"/>
      <w:b/>
      <w:bCs/>
      <w:kern w:val="2"/>
      <w:sz w:val="32"/>
    </w:rPr>
  </w:style>
  <w:style w:type="paragraph" w:styleId="afff7">
    <w:name w:val="annotation subject"/>
    <w:basedOn w:val="afff5"/>
    <w:next w:val="afff5"/>
    <w:link w:val="afff6"/>
    <w:uiPriority w:val="99"/>
    <w:semiHidden/>
    <w:unhideWhenUsed/>
    <w:rsid w:val="003A7259"/>
    <w:rPr>
      <w:b/>
      <w:bCs/>
    </w:rPr>
  </w:style>
  <w:style w:type="character" w:customStyle="1" w:styleId="17">
    <w:name w:val="註解主旨 字元1"/>
    <w:basedOn w:val="16"/>
    <w:uiPriority w:val="99"/>
    <w:semiHidden/>
    <w:rsid w:val="003A7259"/>
    <w:rPr>
      <w:rFonts w:ascii="標楷體" w:eastAsia="標楷體"/>
      <w:b/>
      <w:bCs/>
      <w:kern w:val="2"/>
      <w:sz w:val="32"/>
    </w:rPr>
  </w:style>
  <w:style w:type="character" w:styleId="afff8">
    <w:name w:val="annotation reference"/>
    <w:basedOn w:val="a8"/>
    <w:uiPriority w:val="99"/>
    <w:semiHidden/>
    <w:unhideWhenUsed/>
    <w:rsid w:val="003A7259"/>
    <w:rPr>
      <w:sz w:val="18"/>
      <w:szCs w:val="18"/>
    </w:rPr>
  </w:style>
  <w:style w:type="paragraph" w:styleId="afff9">
    <w:name w:val="Revision"/>
    <w:hidden/>
    <w:uiPriority w:val="99"/>
    <w:semiHidden/>
    <w:rsid w:val="003A725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0608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2E52-29A2-4CEE-9DA6-FBE16A50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Pages>
  <Words>1939</Words>
  <Characters>75</Characters>
  <Application>Microsoft Office Word</Application>
  <DocSecurity>0</DocSecurity>
  <Lines>1</Lines>
  <Paragraphs>4</Paragraphs>
  <ScaleCrop>false</ScaleCrop>
  <Company>cy</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廖春媛</cp:lastModifiedBy>
  <cp:revision>2</cp:revision>
  <cp:lastPrinted>2019-11-22T01:25:00Z</cp:lastPrinted>
  <dcterms:created xsi:type="dcterms:W3CDTF">2019-11-25T02:46:00Z</dcterms:created>
  <dcterms:modified xsi:type="dcterms:W3CDTF">2019-11-25T02:46:00Z</dcterms:modified>
</cp:coreProperties>
</file>