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6D5DC2" w:rsidRDefault="00D75644" w:rsidP="00F37D7B">
      <w:pPr>
        <w:pStyle w:val="af0"/>
      </w:pPr>
      <w:r w:rsidRPr="006D5DC2">
        <w:rPr>
          <w:rFonts w:hint="eastAsia"/>
        </w:rPr>
        <w:t>調查報告</w:t>
      </w:r>
    </w:p>
    <w:p w:rsidR="00E25849" w:rsidRPr="006D5DC2" w:rsidRDefault="00E25849" w:rsidP="00511B9E">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22114161"/>
      <w:bookmarkStart w:id="25" w:name="_Toc23164710"/>
      <w:r w:rsidRPr="006D5DC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511B9E" w:rsidRPr="006D5DC2">
        <w:rPr>
          <w:rFonts w:hint="eastAsia"/>
        </w:rPr>
        <w:t>據訴，台灣電力股份有限公司99</w:t>
      </w:r>
      <w:r w:rsidR="00305B80" w:rsidRPr="006D5DC2">
        <w:rPr>
          <w:rFonts w:hint="eastAsia"/>
        </w:rPr>
        <w:t>年</w:t>
      </w:r>
      <w:r w:rsidR="00511B9E" w:rsidRPr="006D5DC2">
        <w:rPr>
          <w:rFonts w:hint="eastAsia"/>
        </w:rPr>
        <w:t>至105年間採購4批高壓智慧</w:t>
      </w:r>
      <w:r w:rsidR="0063744D" w:rsidRPr="006D5DC2">
        <w:rPr>
          <w:rFonts w:hint="eastAsia"/>
        </w:rPr>
        <w:t>電表</w:t>
      </w:r>
      <w:r w:rsidR="00511B9E" w:rsidRPr="006D5DC2">
        <w:rPr>
          <w:rFonts w:hint="eastAsia"/>
        </w:rPr>
        <w:t>，大同股份有限公司交貨後，產品故障率超過合約門檻，迄今拒不履行保證責任，台電</w:t>
      </w:r>
      <w:r w:rsidR="00460126" w:rsidRPr="006D5DC2">
        <w:rPr>
          <w:rFonts w:hint="eastAsia"/>
        </w:rPr>
        <w:t>公司</w:t>
      </w:r>
      <w:r w:rsidR="00511B9E" w:rsidRPr="006D5DC2">
        <w:rPr>
          <w:rFonts w:hint="eastAsia"/>
        </w:rPr>
        <w:t>亦不依約辦理求償，涉嫌圖利瀆職；台電</w:t>
      </w:r>
      <w:r w:rsidR="00460126" w:rsidRPr="006D5DC2">
        <w:rPr>
          <w:rFonts w:hint="eastAsia"/>
        </w:rPr>
        <w:t>公司</w:t>
      </w:r>
      <w:r w:rsidR="00511B9E" w:rsidRPr="006D5DC2">
        <w:rPr>
          <w:rFonts w:hint="eastAsia"/>
        </w:rPr>
        <w:t>另採購低壓智慧</w:t>
      </w:r>
      <w:r w:rsidR="0063744D" w:rsidRPr="006D5DC2">
        <w:rPr>
          <w:rFonts w:hint="eastAsia"/>
        </w:rPr>
        <w:t>電表</w:t>
      </w:r>
      <w:r w:rsidR="00511B9E" w:rsidRPr="006D5DC2">
        <w:rPr>
          <w:rFonts w:hint="eastAsia"/>
        </w:rPr>
        <w:t>，亦有傳輸通訊功能未達招標規範等違約事項，涉有驗收不實；又台電</w:t>
      </w:r>
      <w:r w:rsidR="00460126" w:rsidRPr="006D5DC2">
        <w:rPr>
          <w:rFonts w:hint="eastAsia"/>
        </w:rPr>
        <w:t>公司</w:t>
      </w:r>
      <w:r w:rsidR="00511B9E" w:rsidRPr="006D5DC2">
        <w:rPr>
          <w:rFonts w:hint="eastAsia"/>
        </w:rPr>
        <w:t>採購電子式</w:t>
      </w:r>
      <w:r w:rsidR="0063744D" w:rsidRPr="006D5DC2">
        <w:rPr>
          <w:rFonts w:hint="eastAsia"/>
        </w:rPr>
        <w:t>電表</w:t>
      </w:r>
      <w:r w:rsidR="00511B9E" w:rsidRPr="006D5DC2">
        <w:rPr>
          <w:rFonts w:hint="eastAsia"/>
        </w:rPr>
        <w:t>，訂定「需加作210天穩定性運轉試驗」規範，涉嫌圖利特定廠商等情案。</w:t>
      </w:r>
      <w:bookmarkEnd w:id="24"/>
      <w:bookmarkEnd w:id="25"/>
    </w:p>
    <w:p w:rsidR="00E25849" w:rsidRPr="006D5DC2"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22114178"/>
      <w:bookmarkStart w:id="50" w:name="_Toc23164728"/>
      <w:r w:rsidRPr="006D5DC2">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4F6710" w:rsidRPr="006D5DC2" w:rsidRDefault="003C274B" w:rsidP="00A639F4">
      <w:pPr>
        <w:pStyle w:val="10"/>
        <w:ind w:left="680" w:firstLine="680"/>
      </w:pPr>
      <w:bookmarkStart w:id="51" w:name="_Toc524902730"/>
      <w:r w:rsidRPr="006D5DC2">
        <w:rPr>
          <w:rFonts w:hint="eastAsia"/>
        </w:rPr>
        <w:t>本件陳訴人陳訴</w:t>
      </w:r>
      <w:r w:rsidR="0063744D" w:rsidRPr="006D5DC2">
        <w:rPr>
          <w:rFonts w:hint="eastAsia"/>
        </w:rPr>
        <w:t>台灣電力股份有限公司(下稱台電公司)</w:t>
      </w:r>
      <w:r w:rsidRPr="006D5DC2">
        <w:rPr>
          <w:rFonts w:hint="eastAsia"/>
        </w:rPr>
        <w:t>智慧型電表基礎建設推動進度延後等情，案經本院向台電公司調閱相關卷證，並於</w:t>
      </w:r>
      <w:r w:rsidR="0063744D" w:rsidRPr="006D5DC2">
        <w:rPr>
          <w:rFonts w:hint="eastAsia"/>
        </w:rPr>
        <w:t>民國(下同)</w:t>
      </w:r>
      <w:r w:rsidRPr="006D5DC2">
        <w:rPr>
          <w:rFonts w:hint="eastAsia"/>
        </w:rPr>
        <w:t>108年5月27日履勘</w:t>
      </w:r>
      <w:r w:rsidR="0063744D" w:rsidRPr="006D5DC2">
        <w:rPr>
          <w:rFonts w:hint="eastAsia"/>
        </w:rPr>
        <w:t>台電公司</w:t>
      </w:r>
      <w:r w:rsidR="00D7565D" w:rsidRPr="006D5DC2">
        <w:rPr>
          <w:rFonts w:hint="eastAsia"/>
        </w:rPr>
        <w:t>臺</w:t>
      </w:r>
      <w:r w:rsidRPr="006D5DC2">
        <w:rPr>
          <w:rFonts w:hint="eastAsia"/>
        </w:rPr>
        <w:t>中區營業處，瞭解高壓智慧型電表讀表器建置、1萬戶低壓讀表器建置，同年6月3日詢問經濟部</w:t>
      </w:r>
      <w:r w:rsidR="00F5502E" w:rsidRPr="006D5DC2">
        <w:rPr>
          <w:rFonts w:hint="eastAsia"/>
        </w:rPr>
        <w:t>暨所屬台電公司</w:t>
      </w:r>
      <w:r w:rsidRPr="006D5DC2">
        <w:rPr>
          <w:rFonts w:hint="eastAsia"/>
        </w:rPr>
        <w:t>，</w:t>
      </w:r>
      <w:r w:rsidR="00FB501B" w:rsidRPr="006D5DC2">
        <w:rPr>
          <w:rFonts w:hint="eastAsia"/>
        </w:rPr>
        <w:t>已調查竣</w:t>
      </w:r>
      <w:r w:rsidR="00307A76" w:rsidRPr="006D5DC2">
        <w:rPr>
          <w:rFonts w:hint="eastAsia"/>
        </w:rPr>
        <w:t>事</w:t>
      </w:r>
      <w:r w:rsidR="00FB501B" w:rsidRPr="006D5DC2">
        <w:rPr>
          <w:rFonts w:hint="eastAsia"/>
        </w:rPr>
        <w:t>，</w:t>
      </w:r>
      <w:r w:rsidR="00307A76" w:rsidRPr="006D5DC2">
        <w:rPr>
          <w:rFonts w:hint="eastAsia"/>
        </w:rPr>
        <w:t>茲臚</w:t>
      </w:r>
      <w:r w:rsidR="00FB501B" w:rsidRPr="006D5DC2">
        <w:rPr>
          <w:rFonts w:hint="eastAsia"/>
        </w:rPr>
        <w:t>列調查意見如下：</w:t>
      </w:r>
    </w:p>
    <w:p w:rsidR="00511B9E" w:rsidRPr="006D5DC2" w:rsidRDefault="00A67F68" w:rsidP="00DE4238">
      <w:pPr>
        <w:pStyle w:val="2"/>
        <w:rPr>
          <w:b/>
        </w:rPr>
      </w:pPr>
      <w:bookmarkStart w:id="52" w:name="_Toc22114179"/>
      <w:bookmarkStart w:id="53" w:name="_Toc23164729"/>
      <w:bookmarkStart w:id="54" w:name="_Toc421794873"/>
      <w:r w:rsidRPr="006D5DC2">
        <w:rPr>
          <w:rFonts w:hint="eastAsia"/>
          <w:b/>
        </w:rPr>
        <w:t>台電公司</w:t>
      </w:r>
      <w:r w:rsidR="00953327" w:rsidRPr="006D5DC2">
        <w:rPr>
          <w:rFonts w:hint="eastAsia"/>
          <w:b/>
        </w:rPr>
        <w:t>智</w:t>
      </w:r>
      <w:r w:rsidRPr="006D5DC2">
        <w:rPr>
          <w:rFonts w:hint="eastAsia"/>
          <w:b/>
        </w:rPr>
        <w:t>慧型電表之</w:t>
      </w:r>
      <w:r w:rsidR="007804FA" w:rsidRPr="006D5DC2">
        <w:rPr>
          <w:rFonts w:hint="eastAsia"/>
          <w:b/>
        </w:rPr>
        <w:t>建置</w:t>
      </w:r>
      <w:r w:rsidRPr="006D5DC2">
        <w:rPr>
          <w:rFonts w:hint="eastAsia"/>
          <w:b/>
        </w:rPr>
        <w:t>，</w:t>
      </w:r>
      <w:r w:rsidR="00953327" w:rsidRPr="006D5DC2">
        <w:rPr>
          <w:rFonts w:hint="eastAsia"/>
          <w:b/>
        </w:rPr>
        <w:t>除高壓智慧型電表</w:t>
      </w:r>
      <w:r w:rsidR="007804FA" w:rsidRPr="006D5DC2">
        <w:rPr>
          <w:rFonts w:hint="eastAsia"/>
          <w:b/>
        </w:rPr>
        <w:t>讀表系統</w:t>
      </w:r>
      <w:r w:rsidR="00953327" w:rsidRPr="006D5DC2">
        <w:rPr>
          <w:rFonts w:hint="eastAsia"/>
          <w:b/>
        </w:rPr>
        <w:t>延宕1年半完成外，低壓部分，</w:t>
      </w:r>
      <w:r w:rsidRPr="006D5DC2">
        <w:rPr>
          <w:rFonts w:hint="eastAsia"/>
          <w:b/>
        </w:rPr>
        <w:t>以目標100萬戶為例，原規劃於104年完成建置，實際迄107年僅完成</w:t>
      </w:r>
      <w:r w:rsidR="00B936C6" w:rsidRPr="006D5DC2">
        <w:rPr>
          <w:rFonts w:hint="eastAsia"/>
          <w:b/>
        </w:rPr>
        <w:t>23</w:t>
      </w:r>
      <w:r w:rsidRPr="006D5DC2">
        <w:rPr>
          <w:rFonts w:hint="eastAsia"/>
          <w:b/>
        </w:rPr>
        <w:t>萬戶</w:t>
      </w:r>
      <w:r w:rsidR="007804FA" w:rsidRPr="006D5DC2">
        <w:rPr>
          <w:rFonts w:hint="eastAsia"/>
          <w:b/>
        </w:rPr>
        <w:t>電表安裝</w:t>
      </w:r>
      <w:r w:rsidR="00B936C6" w:rsidRPr="006D5DC2">
        <w:rPr>
          <w:rFonts w:hint="eastAsia"/>
          <w:b/>
        </w:rPr>
        <w:t>(</w:t>
      </w:r>
      <w:r w:rsidR="007804FA" w:rsidRPr="006D5DC2">
        <w:rPr>
          <w:rFonts w:hint="eastAsia"/>
          <w:b/>
        </w:rPr>
        <w:t>不含系統</w:t>
      </w:r>
      <w:r w:rsidR="000C1E33" w:rsidRPr="006D5DC2">
        <w:rPr>
          <w:rFonts w:hint="eastAsia"/>
          <w:b/>
        </w:rPr>
        <w:t>)</w:t>
      </w:r>
      <w:r w:rsidRPr="006D5DC2">
        <w:rPr>
          <w:rFonts w:hint="eastAsia"/>
          <w:b/>
        </w:rPr>
        <w:t>，進度</w:t>
      </w:r>
      <w:r w:rsidR="00953327" w:rsidRPr="006D5DC2">
        <w:rPr>
          <w:rFonts w:hint="eastAsia"/>
          <w:b/>
        </w:rPr>
        <w:t>更是</w:t>
      </w:r>
      <w:r w:rsidRPr="006D5DC2">
        <w:rPr>
          <w:rFonts w:hint="eastAsia"/>
          <w:b/>
        </w:rPr>
        <w:t>大幅落後，能否如修正計畫所稱於109</w:t>
      </w:r>
      <w:r w:rsidR="008E00CC" w:rsidRPr="006D5DC2">
        <w:rPr>
          <w:rFonts w:hint="eastAsia"/>
          <w:b/>
        </w:rPr>
        <w:t>年完成，猶屬未定，允應</w:t>
      </w:r>
      <w:r w:rsidR="00D028D2" w:rsidRPr="006D5DC2">
        <w:rPr>
          <w:rFonts w:hint="eastAsia"/>
          <w:b/>
        </w:rPr>
        <w:t>積極研處，以達政策目標</w:t>
      </w:r>
      <w:r w:rsidRPr="006D5DC2">
        <w:rPr>
          <w:rFonts w:hint="eastAsia"/>
          <w:b/>
        </w:rPr>
        <w:t>。</w:t>
      </w:r>
      <w:bookmarkEnd w:id="52"/>
      <w:bookmarkEnd w:id="53"/>
    </w:p>
    <w:p w:rsidR="00511B9E" w:rsidRPr="006D5DC2" w:rsidRDefault="00BE1BDA" w:rsidP="00770442">
      <w:pPr>
        <w:pStyle w:val="3"/>
      </w:pPr>
      <w:r w:rsidRPr="006D5DC2">
        <w:rPr>
          <w:rFonts w:hint="eastAsia"/>
        </w:rPr>
        <w:t>查</w:t>
      </w:r>
      <w:r w:rsidR="00C65695" w:rsidRPr="006D5DC2">
        <w:rPr>
          <w:rFonts w:hint="eastAsia"/>
        </w:rPr>
        <w:t>「智慧型電表基礎建設推動方案」，行政院</w:t>
      </w:r>
      <w:r w:rsidRPr="006D5DC2">
        <w:rPr>
          <w:rFonts w:hint="eastAsia"/>
        </w:rPr>
        <w:t>99年</w:t>
      </w:r>
      <w:r w:rsidR="00C65695" w:rsidRPr="006D5DC2">
        <w:rPr>
          <w:rFonts w:hint="eastAsia"/>
        </w:rPr>
        <w:t>6月23日院臺經字第0990098846號函</w:t>
      </w:r>
      <w:r w:rsidRPr="006D5DC2">
        <w:rPr>
          <w:rFonts w:hint="eastAsia"/>
        </w:rPr>
        <w:t>核定，</w:t>
      </w:r>
      <w:r w:rsidR="00C65695" w:rsidRPr="006D5DC2">
        <w:rPr>
          <w:rFonts w:hint="eastAsia"/>
        </w:rPr>
        <w:t>規劃台電公司自98年起開始推動高壓「智慧型電表基礎建設」</w:t>
      </w:r>
      <w:r w:rsidR="000C1E33" w:rsidRPr="006D5DC2">
        <w:rPr>
          <w:rFonts w:hint="eastAsia"/>
        </w:rPr>
        <w:t>(</w:t>
      </w:r>
      <w:r w:rsidR="00C65695" w:rsidRPr="006D5DC2">
        <w:rPr>
          <w:rFonts w:hint="eastAsia"/>
        </w:rPr>
        <w:t>Advanced Metering Infrastructure，AMI</w:t>
      </w:r>
      <w:r w:rsidR="000C1E33" w:rsidRPr="006D5DC2">
        <w:rPr>
          <w:rFonts w:hint="eastAsia"/>
        </w:rPr>
        <w:t>)</w:t>
      </w:r>
      <w:r w:rsidR="00C65695" w:rsidRPr="006D5DC2">
        <w:rPr>
          <w:rFonts w:hint="eastAsia"/>
        </w:rPr>
        <w:t>系統建置，預計101年完成所有高壓用戶</w:t>
      </w:r>
      <w:r w:rsidR="00352322" w:rsidRPr="006D5DC2">
        <w:rPr>
          <w:rFonts w:hint="eastAsia"/>
        </w:rPr>
        <w:t>布建</w:t>
      </w:r>
      <w:r w:rsidR="00C65695" w:rsidRPr="006D5DC2">
        <w:rPr>
          <w:rFonts w:hint="eastAsia"/>
        </w:rPr>
        <w:t>。低壓AMI系統部分，</w:t>
      </w:r>
      <w:r w:rsidR="000C1E33" w:rsidRPr="006D5DC2">
        <w:rPr>
          <w:rFonts w:hint="eastAsia"/>
        </w:rPr>
        <w:t>則</w:t>
      </w:r>
      <w:r w:rsidRPr="006D5DC2">
        <w:rPr>
          <w:rFonts w:hint="eastAsia"/>
        </w:rPr>
        <w:t>規劃4階段推動，第1階段</w:t>
      </w:r>
      <w:r w:rsidR="000C1E33" w:rsidRPr="006D5DC2">
        <w:rPr>
          <w:rFonts w:hint="eastAsia"/>
        </w:rPr>
        <w:t>(</w:t>
      </w:r>
      <w:r w:rsidRPr="006D5DC2">
        <w:rPr>
          <w:rFonts w:hint="eastAsia"/>
        </w:rPr>
        <w:t>98</w:t>
      </w:r>
      <w:r w:rsidR="00433DF0" w:rsidRPr="006D5DC2">
        <w:rPr>
          <w:rFonts w:hint="eastAsia"/>
        </w:rPr>
        <w:t>年</w:t>
      </w:r>
      <w:r w:rsidR="00433DF0" w:rsidRPr="006D5DC2">
        <w:rPr>
          <w:rFonts w:hint="eastAsia"/>
        </w:rPr>
        <w:lastRenderedPageBreak/>
        <w:t>至</w:t>
      </w:r>
      <w:r w:rsidRPr="006D5DC2">
        <w:rPr>
          <w:rFonts w:hint="eastAsia"/>
        </w:rPr>
        <w:t>99年</w:t>
      </w:r>
      <w:r w:rsidR="000C1E33" w:rsidRPr="006D5DC2">
        <w:rPr>
          <w:rFonts w:hint="eastAsia"/>
        </w:rPr>
        <w:t>)</w:t>
      </w:r>
      <w:r w:rsidR="00690DB1" w:rsidRPr="006D5DC2">
        <w:rPr>
          <w:rFonts w:hint="eastAsia"/>
        </w:rPr>
        <w:t>技術測試，</w:t>
      </w:r>
      <w:r w:rsidRPr="006D5DC2">
        <w:rPr>
          <w:rFonts w:hint="eastAsia"/>
        </w:rPr>
        <w:t>規劃</w:t>
      </w:r>
      <w:r w:rsidR="00433DF0" w:rsidRPr="006D5DC2">
        <w:rPr>
          <w:rFonts w:hint="eastAsia"/>
        </w:rPr>
        <w:t>300戶至</w:t>
      </w:r>
      <w:r w:rsidRPr="006D5DC2">
        <w:rPr>
          <w:rFonts w:hint="eastAsia"/>
        </w:rPr>
        <w:t>500戶AMI示範系統，第2階段</w:t>
      </w:r>
      <w:r w:rsidR="000C1E33" w:rsidRPr="006D5DC2">
        <w:rPr>
          <w:rFonts w:hint="eastAsia"/>
        </w:rPr>
        <w:t>(</w:t>
      </w:r>
      <w:r w:rsidR="00433DF0" w:rsidRPr="006D5DC2">
        <w:rPr>
          <w:rFonts w:hint="eastAsia"/>
        </w:rPr>
        <w:t>100年至</w:t>
      </w:r>
      <w:r w:rsidRPr="006D5DC2">
        <w:rPr>
          <w:rFonts w:hint="eastAsia"/>
        </w:rPr>
        <w:t>101年</w:t>
      </w:r>
      <w:r w:rsidR="000C1E33" w:rsidRPr="006D5DC2">
        <w:rPr>
          <w:rFonts w:hint="eastAsia"/>
        </w:rPr>
        <w:t>)</w:t>
      </w:r>
      <w:r w:rsidR="00690DB1" w:rsidRPr="006D5DC2">
        <w:rPr>
          <w:rFonts w:hint="eastAsia"/>
        </w:rPr>
        <w:t>前期</w:t>
      </w:r>
      <w:r w:rsidR="00352322" w:rsidRPr="006D5DC2">
        <w:rPr>
          <w:rFonts w:hint="eastAsia"/>
        </w:rPr>
        <w:t>布建</w:t>
      </w:r>
      <w:r w:rsidR="00690DB1" w:rsidRPr="006D5DC2">
        <w:rPr>
          <w:rFonts w:hint="eastAsia"/>
        </w:rPr>
        <w:t>，</w:t>
      </w:r>
      <w:r w:rsidR="00352322" w:rsidRPr="006D5DC2">
        <w:rPr>
          <w:rFonts w:hint="eastAsia"/>
        </w:rPr>
        <w:t>布建</w:t>
      </w:r>
      <w:r w:rsidRPr="006D5DC2">
        <w:rPr>
          <w:rFonts w:hint="eastAsia"/>
        </w:rPr>
        <w:t>1萬戶電表</w:t>
      </w:r>
      <w:r w:rsidR="00C65695" w:rsidRPr="006D5DC2">
        <w:rPr>
          <w:rFonts w:hint="eastAsia"/>
        </w:rPr>
        <w:t>，測試電表功能</w:t>
      </w:r>
      <w:r w:rsidRPr="006D5DC2">
        <w:rPr>
          <w:rFonts w:hint="eastAsia"/>
        </w:rPr>
        <w:t>、</w:t>
      </w:r>
      <w:r w:rsidR="00C65695" w:rsidRPr="006D5DC2">
        <w:rPr>
          <w:rFonts w:hint="eastAsia"/>
        </w:rPr>
        <w:t>集中器功能、區域網路與廣域網路通訊可靠度、電表資訊管理系統功能，以為</w:t>
      </w:r>
      <w:r w:rsidRPr="006D5DC2">
        <w:rPr>
          <w:rFonts w:hint="eastAsia"/>
        </w:rPr>
        <w:t>擴大推動之準據；第3階段</w:t>
      </w:r>
      <w:r w:rsidR="000C1E33" w:rsidRPr="006D5DC2">
        <w:rPr>
          <w:rFonts w:hint="eastAsia"/>
        </w:rPr>
        <w:t>(</w:t>
      </w:r>
      <w:r w:rsidRPr="006D5DC2">
        <w:rPr>
          <w:rFonts w:hint="eastAsia"/>
        </w:rPr>
        <w:t>102</w:t>
      </w:r>
      <w:r w:rsidR="00433DF0" w:rsidRPr="006D5DC2">
        <w:rPr>
          <w:rFonts w:hint="eastAsia"/>
        </w:rPr>
        <w:t>年至</w:t>
      </w:r>
      <w:r w:rsidRPr="006D5DC2">
        <w:rPr>
          <w:rFonts w:hint="eastAsia"/>
        </w:rPr>
        <w:t>104年</w:t>
      </w:r>
      <w:r w:rsidR="000C1E33" w:rsidRPr="006D5DC2">
        <w:rPr>
          <w:rFonts w:hint="eastAsia"/>
        </w:rPr>
        <w:t>)</w:t>
      </w:r>
      <w:r w:rsidR="00690DB1" w:rsidRPr="006D5DC2">
        <w:rPr>
          <w:rFonts w:hint="eastAsia"/>
        </w:rPr>
        <w:t>基本</w:t>
      </w:r>
      <w:r w:rsidR="00352322" w:rsidRPr="006D5DC2">
        <w:rPr>
          <w:rFonts w:hint="eastAsia"/>
        </w:rPr>
        <w:t>布建</w:t>
      </w:r>
      <w:r w:rsidR="00690DB1" w:rsidRPr="006D5DC2">
        <w:rPr>
          <w:rFonts w:hint="eastAsia"/>
        </w:rPr>
        <w:t>，</w:t>
      </w:r>
      <w:r w:rsidR="00352322" w:rsidRPr="006D5DC2">
        <w:rPr>
          <w:rFonts w:hint="eastAsia"/>
        </w:rPr>
        <w:t>布建</w:t>
      </w:r>
      <w:r w:rsidRPr="006D5DC2">
        <w:rPr>
          <w:rFonts w:hint="eastAsia"/>
        </w:rPr>
        <w:t>100萬戶</w:t>
      </w:r>
      <w:r w:rsidR="00C65695" w:rsidRPr="006D5DC2">
        <w:rPr>
          <w:rFonts w:hint="eastAsia"/>
        </w:rPr>
        <w:t>電表，</w:t>
      </w:r>
      <w:r w:rsidRPr="006D5DC2">
        <w:rPr>
          <w:rFonts w:hint="eastAsia"/>
        </w:rPr>
        <w:t>啟動電表</w:t>
      </w:r>
      <w:r w:rsidR="00352322" w:rsidRPr="006D5DC2">
        <w:rPr>
          <w:rFonts w:hint="eastAsia"/>
        </w:rPr>
        <w:t>布建</w:t>
      </w:r>
      <w:r w:rsidRPr="006D5DC2">
        <w:rPr>
          <w:rFonts w:hint="eastAsia"/>
        </w:rPr>
        <w:t>、配套措施</w:t>
      </w:r>
      <w:r w:rsidR="000C1E33" w:rsidRPr="006D5DC2">
        <w:rPr>
          <w:rFonts w:hint="eastAsia"/>
        </w:rPr>
        <w:t>(</w:t>
      </w:r>
      <w:r w:rsidRPr="006D5DC2">
        <w:rPr>
          <w:rFonts w:hint="eastAsia"/>
        </w:rPr>
        <w:t>適用新費率</w:t>
      </w:r>
      <w:r w:rsidR="000C1E33" w:rsidRPr="006D5DC2">
        <w:rPr>
          <w:rFonts w:hint="eastAsia"/>
        </w:rPr>
        <w:t>)</w:t>
      </w:r>
      <w:r w:rsidR="00C65695" w:rsidRPr="006D5DC2">
        <w:rPr>
          <w:rFonts w:hint="eastAsia"/>
        </w:rPr>
        <w:t>及</w:t>
      </w:r>
      <w:r w:rsidRPr="006D5DC2">
        <w:rPr>
          <w:rFonts w:hint="eastAsia"/>
        </w:rPr>
        <w:t>效益評估，第4階段</w:t>
      </w:r>
      <w:r w:rsidR="000C1E33" w:rsidRPr="006D5DC2">
        <w:rPr>
          <w:rFonts w:hint="eastAsia"/>
        </w:rPr>
        <w:t>(</w:t>
      </w:r>
      <w:r w:rsidRPr="006D5DC2">
        <w:rPr>
          <w:rFonts w:hint="eastAsia"/>
        </w:rPr>
        <w:t>105年以後</w:t>
      </w:r>
      <w:r w:rsidR="000C1E33" w:rsidRPr="006D5DC2">
        <w:rPr>
          <w:rFonts w:hint="eastAsia"/>
        </w:rPr>
        <w:t>)</w:t>
      </w:r>
      <w:r w:rsidR="00690DB1" w:rsidRPr="006D5DC2">
        <w:rPr>
          <w:rFonts w:hint="eastAsia"/>
        </w:rPr>
        <w:t>擴大</w:t>
      </w:r>
      <w:r w:rsidR="00352322" w:rsidRPr="006D5DC2">
        <w:rPr>
          <w:rFonts w:hint="eastAsia"/>
        </w:rPr>
        <w:t>布建</w:t>
      </w:r>
      <w:r w:rsidR="00690DB1" w:rsidRPr="006D5DC2">
        <w:rPr>
          <w:rFonts w:hint="eastAsia"/>
        </w:rPr>
        <w:t>，</w:t>
      </w:r>
      <w:r w:rsidR="00352322" w:rsidRPr="006D5DC2">
        <w:rPr>
          <w:rFonts w:hint="eastAsia"/>
        </w:rPr>
        <w:t>布建</w:t>
      </w:r>
      <w:r w:rsidR="00690DB1" w:rsidRPr="006D5DC2">
        <w:rPr>
          <w:rFonts w:hint="eastAsia"/>
        </w:rPr>
        <w:t>5</w:t>
      </w:r>
      <w:r w:rsidRPr="006D5DC2">
        <w:rPr>
          <w:rFonts w:hint="eastAsia"/>
        </w:rPr>
        <w:t>00萬戶</w:t>
      </w:r>
      <w:r w:rsidR="00690DB1" w:rsidRPr="006D5DC2">
        <w:rPr>
          <w:rFonts w:hint="eastAsia"/>
        </w:rPr>
        <w:t>以上電表</w:t>
      </w:r>
      <w:r w:rsidR="000C1E33" w:rsidRPr="006D5DC2">
        <w:rPr>
          <w:rFonts w:hint="eastAsia"/>
        </w:rPr>
        <w:t>(</w:t>
      </w:r>
      <w:r w:rsidR="00690DB1" w:rsidRPr="006D5DC2">
        <w:rPr>
          <w:rFonts w:hint="eastAsia"/>
        </w:rPr>
        <w:t>累計</w:t>
      </w:r>
      <w:r w:rsidR="00352322" w:rsidRPr="006D5DC2">
        <w:rPr>
          <w:rFonts w:hint="eastAsia"/>
        </w:rPr>
        <w:t>布建</w:t>
      </w:r>
      <w:r w:rsidR="00690DB1" w:rsidRPr="006D5DC2">
        <w:rPr>
          <w:rFonts w:hint="eastAsia"/>
        </w:rPr>
        <w:t>率至少50%</w:t>
      </w:r>
      <w:r w:rsidR="000C1E33" w:rsidRPr="006D5DC2">
        <w:rPr>
          <w:rFonts w:hint="eastAsia"/>
        </w:rPr>
        <w:t>)</w:t>
      </w:r>
      <w:r w:rsidRPr="006D5DC2">
        <w:rPr>
          <w:rFonts w:hint="eastAsia"/>
        </w:rPr>
        <w:t>，並</w:t>
      </w:r>
      <w:r w:rsidR="00433DF0" w:rsidRPr="006D5DC2">
        <w:rPr>
          <w:rFonts w:hint="eastAsia"/>
        </w:rPr>
        <w:t>進行</w:t>
      </w:r>
      <w:r w:rsidRPr="006D5DC2">
        <w:rPr>
          <w:rFonts w:hint="eastAsia"/>
        </w:rPr>
        <w:t>配電自動化系統整合及負載管理措施等。</w:t>
      </w:r>
    </w:p>
    <w:p w:rsidR="00ED7E7C" w:rsidRPr="006D5DC2" w:rsidRDefault="000C1E33" w:rsidP="00511B9E">
      <w:pPr>
        <w:pStyle w:val="3"/>
      </w:pPr>
      <w:r w:rsidRPr="006D5DC2">
        <w:rPr>
          <w:rFonts w:hint="eastAsia"/>
        </w:rPr>
        <w:t>次查</w:t>
      </w:r>
      <w:r w:rsidR="00C65695" w:rsidRPr="006D5DC2">
        <w:rPr>
          <w:rFonts w:hint="eastAsia"/>
        </w:rPr>
        <w:t>前述</w:t>
      </w:r>
      <w:r w:rsidR="00BE1BDA" w:rsidRPr="006D5DC2">
        <w:rPr>
          <w:rFonts w:hint="eastAsia"/>
        </w:rPr>
        <w:t>「智慧型電表基礎建設推動方案」</w:t>
      </w:r>
      <w:r w:rsidR="0016401D" w:rsidRPr="006D5DC2">
        <w:rPr>
          <w:rFonts w:hint="eastAsia"/>
        </w:rPr>
        <w:t>推動</w:t>
      </w:r>
      <w:r w:rsidR="00C65695" w:rsidRPr="006D5DC2">
        <w:rPr>
          <w:rFonts w:hint="eastAsia"/>
        </w:rPr>
        <w:t>3年後</w:t>
      </w:r>
      <w:r w:rsidR="00BE1BDA" w:rsidRPr="006D5DC2">
        <w:rPr>
          <w:rFonts w:hint="eastAsia"/>
        </w:rPr>
        <w:t>，行政院101年</w:t>
      </w:r>
      <w:r w:rsidR="00C65695" w:rsidRPr="006D5DC2">
        <w:rPr>
          <w:rFonts w:hint="eastAsia"/>
        </w:rPr>
        <w:t>9月3日院臺經字第1010029146號函</w:t>
      </w:r>
      <w:r w:rsidR="00BE1BDA" w:rsidRPr="006D5DC2">
        <w:rPr>
          <w:rFonts w:hint="eastAsia"/>
        </w:rPr>
        <w:t>核定併入「</w:t>
      </w:r>
      <w:r w:rsidR="00BE1BDA" w:rsidRPr="006D5DC2">
        <w:rPr>
          <w:rFonts w:hint="eastAsia"/>
          <w:b/>
        </w:rPr>
        <w:t>智慧電網整體規劃方案</w:t>
      </w:r>
      <w:r w:rsidR="00BE1BDA" w:rsidRPr="006D5DC2">
        <w:rPr>
          <w:rFonts w:hint="eastAsia"/>
        </w:rPr>
        <w:t>」，</w:t>
      </w:r>
      <w:r w:rsidR="00C65695" w:rsidRPr="006D5DC2">
        <w:rPr>
          <w:rFonts w:hint="eastAsia"/>
        </w:rPr>
        <w:t>其中智慧電表基礎建設部分，</w:t>
      </w:r>
      <w:r w:rsidR="00690DB1" w:rsidRPr="006D5DC2">
        <w:rPr>
          <w:rFonts w:hint="eastAsia"/>
        </w:rPr>
        <w:t>亦分</w:t>
      </w:r>
      <w:r w:rsidR="00C65695" w:rsidRPr="006D5DC2">
        <w:rPr>
          <w:rFonts w:hint="eastAsia"/>
        </w:rPr>
        <w:t>現況</w:t>
      </w:r>
      <w:r w:rsidRPr="006D5DC2">
        <w:rPr>
          <w:rFonts w:hint="eastAsia"/>
        </w:rPr>
        <w:t>(</w:t>
      </w:r>
      <w:r w:rsidR="00C65695" w:rsidRPr="006D5DC2">
        <w:rPr>
          <w:rFonts w:hint="eastAsia"/>
        </w:rPr>
        <w:t>100年</w:t>
      </w:r>
      <w:r w:rsidRPr="006D5DC2">
        <w:rPr>
          <w:rFonts w:hint="eastAsia"/>
        </w:rPr>
        <w:t>)</w:t>
      </w:r>
      <w:r w:rsidR="00C65695" w:rsidRPr="006D5DC2">
        <w:rPr>
          <w:rFonts w:hint="eastAsia"/>
        </w:rPr>
        <w:t>、前期</w:t>
      </w:r>
      <w:r w:rsidR="00352322" w:rsidRPr="006D5DC2">
        <w:rPr>
          <w:rFonts w:hint="eastAsia"/>
        </w:rPr>
        <w:t>布建</w:t>
      </w:r>
      <w:r w:rsidRPr="006D5DC2">
        <w:rPr>
          <w:rFonts w:hint="eastAsia"/>
        </w:rPr>
        <w:t>(</w:t>
      </w:r>
      <w:r w:rsidR="00C65695" w:rsidRPr="006D5DC2">
        <w:rPr>
          <w:rFonts w:hint="eastAsia"/>
        </w:rPr>
        <w:t>101</w:t>
      </w:r>
      <w:r w:rsidR="00433DF0" w:rsidRPr="006D5DC2">
        <w:rPr>
          <w:rFonts w:hint="eastAsia"/>
        </w:rPr>
        <w:t>年至</w:t>
      </w:r>
      <w:r w:rsidR="00C65695" w:rsidRPr="006D5DC2">
        <w:rPr>
          <w:rFonts w:hint="eastAsia"/>
        </w:rPr>
        <w:t>104年</w:t>
      </w:r>
      <w:r w:rsidRPr="006D5DC2">
        <w:rPr>
          <w:rFonts w:hint="eastAsia"/>
        </w:rPr>
        <w:t>)</w:t>
      </w:r>
      <w:r w:rsidR="00C65695" w:rsidRPr="006D5DC2">
        <w:rPr>
          <w:rFonts w:hint="eastAsia"/>
        </w:rPr>
        <w:t>、推廣擴散</w:t>
      </w:r>
      <w:r w:rsidRPr="006D5DC2">
        <w:rPr>
          <w:rFonts w:hint="eastAsia"/>
        </w:rPr>
        <w:t>(</w:t>
      </w:r>
      <w:r w:rsidR="00433DF0" w:rsidRPr="006D5DC2">
        <w:rPr>
          <w:rFonts w:hint="eastAsia"/>
        </w:rPr>
        <w:t>105年至</w:t>
      </w:r>
      <w:r w:rsidR="00C65695" w:rsidRPr="006D5DC2">
        <w:rPr>
          <w:rFonts w:hint="eastAsia"/>
        </w:rPr>
        <w:t>109年</w:t>
      </w:r>
      <w:r w:rsidRPr="006D5DC2">
        <w:rPr>
          <w:rFonts w:hint="eastAsia"/>
        </w:rPr>
        <w:t>)</w:t>
      </w:r>
      <w:r w:rsidR="00690DB1" w:rsidRPr="006D5DC2">
        <w:rPr>
          <w:rFonts w:hint="eastAsia"/>
        </w:rPr>
        <w:t>及廣泛應用</w:t>
      </w:r>
      <w:r w:rsidRPr="006D5DC2">
        <w:rPr>
          <w:rFonts w:hint="eastAsia"/>
        </w:rPr>
        <w:t>(</w:t>
      </w:r>
      <w:r w:rsidR="00433DF0" w:rsidRPr="006D5DC2">
        <w:rPr>
          <w:rFonts w:hint="eastAsia"/>
        </w:rPr>
        <w:t>110年至</w:t>
      </w:r>
      <w:r w:rsidR="00690DB1" w:rsidRPr="006D5DC2">
        <w:rPr>
          <w:rFonts w:hint="eastAsia"/>
        </w:rPr>
        <w:t>119年</w:t>
      </w:r>
      <w:r w:rsidRPr="006D5DC2">
        <w:rPr>
          <w:rFonts w:hint="eastAsia"/>
        </w:rPr>
        <w:t>)</w:t>
      </w:r>
      <w:r w:rsidR="00690DB1" w:rsidRPr="006D5DC2">
        <w:rPr>
          <w:rFonts w:hint="eastAsia"/>
        </w:rPr>
        <w:t>四階段，規劃</w:t>
      </w:r>
      <w:r w:rsidR="0016401D" w:rsidRPr="006D5DC2">
        <w:rPr>
          <w:rFonts w:hint="eastAsia"/>
        </w:rPr>
        <w:t>104年之前</w:t>
      </w:r>
      <w:r w:rsidR="00690DB1" w:rsidRPr="006D5DC2">
        <w:rPr>
          <w:rFonts w:hint="eastAsia"/>
        </w:rPr>
        <w:t>完成高壓23</w:t>
      </w:r>
      <w:r w:rsidRPr="006D5DC2">
        <w:rPr>
          <w:rFonts w:hint="eastAsia"/>
        </w:rPr>
        <w:t>,</w:t>
      </w:r>
      <w:r w:rsidR="00690DB1" w:rsidRPr="006D5DC2">
        <w:rPr>
          <w:rFonts w:hint="eastAsia"/>
        </w:rPr>
        <w:t>000戶全數</w:t>
      </w:r>
      <w:r w:rsidR="00352322" w:rsidRPr="006D5DC2">
        <w:rPr>
          <w:rFonts w:hint="eastAsia"/>
        </w:rPr>
        <w:t>布建</w:t>
      </w:r>
      <w:r w:rsidR="00690DB1" w:rsidRPr="006D5DC2">
        <w:rPr>
          <w:rStyle w:val="afe"/>
        </w:rPr>
        <w:footnoteReference w:id="1"/>
      </w:r>
      <w:r w:rsidR="00690DB1" w:rsidRPr="006D5DC2">
        <w:rPr>
          <w:rFonts w:hint="eastAsia"/>
        </w:rPr>
        <w:t>及低壓100萬戶之</w:t>
      </w:r>
      <w:r w:rsidR="00352322" w:rsidRPr="006D5DC2">
        <w:rPr>
          <w:rFonts w:hint="eastAsia"/>
        </w:rPr>
        <w:t>布建</w:t>
      </w:r>
      <w:r w:rsidR="00690DB1" w:rsidRPr="006D5DC2">
        <w:rPr>
          <w:rStyle w:val="afe"/>
        </w:rPr>
        <w:footnoteReference w:id="2"/>
      </w:r>
      <w:r w:rsidR="00690DB1" w:rsidRPr="006D5DC2">
        <w:rPr>
          <w:rFonts w:hint="eastAsia"/>
        </w:rPr>
        <w:t>，</w:t>
      </w:r>
      <w:r w:rsidR="0016401D" w:rsidRPr="006D5DC2">
        <w:rPr>
          <w:rFonts w:hint="eastAsia"/>
        </w:rPr>
        <w:t>109年之前</w:t>
      </w:r>
      <w:r w:rsidR="00690DB1" w:rsidRPr="006D5DC2">
        <w:rPr>
          <w:rFonts w:hint="eastAsia"/>
        </w:rPr>
        <w:t>完成低壓600萬戶，</w:t>
      </w:r>
      <w:r w:rsidR="0016401D" w:rsidRPr="006D5DC2">
        <w:rPr>
          <w:rFonts w:hint="eastAsia"/>
        </w:rPr>
        <w:t>119年之前完成具效益之全國高低壓智慧電表系統</w:t>
      </w:r>
      <w:r w:rsidR="00352322" w:rsidRPr="006D5DC2">
        <w:rPr>
          <w:rFonts w:hint="eastAsia"/>
        </w:rPr>
        <w:t>布建</w:t>
      </w:r>
      <w:r w:rsidR="0016401D" w:rsidRPr="006D5DC2">
        <w:rPr>
          <w:rFonts w:hint="eastAsia"/>
        </w:rPr>
        <w:t>。惟</w:t>
      </w:r>
      <w:r w:rsidR="00ED7E7C" w:rsidRPr="006D5DC2">
        <w:rPr>
          <w:rFonts w:hint="eastAsia"/>
        </w:rPr>
        <w:t>「智慧電網整體規劃方案」推動5年後，</w:t>
      </w:r>
      <w:r w:rsidRPr="006D5DC2">
        <w:rPr>
          <w:rFonts w:hint="eastAsia"/>
        </w:rPr>
        <w:t>因1萬戶低壓智慧電表讀表器案(採購案號008-0101001)</w:t>
      </w:r>
      <w:r w:rsidR="00855E3F" w:rsidRPr="006D5DC2">
        <w:rPr>
          <w:rFonts w:hint="eastAsia"/>
        </w:rPr>
        <w:t>所採通訊技術涵蓋率偏低致不適大量布建之限制</w:t>
      </w:r>
      <w:r w:rsidR="00855E3F" w:rsidRPr="006D5DC2">
        <w:rPr>
          <w:rStyle w:val="afe"/>
        </w:rPr>
        <w:footnoteReference w:id="3"/>
      </w:r>
      <w:r w:rsidRPr="006D5DC2">
        <w:rPr>
          <w:rFonts w:hint="eastAsia"/>
        </w:rPr>
        <w:t>，</w:t>
      </w:r>
      <w:r w:rsidR="00ED7E7C" w:rsidRPr="006D5DC2">
        <w:rPr>
          <w:rFonts w:hint="eastAsia"/>
        </w:rPr>
        <w:t>行政院106年2月18日院臺經字第1060004145號函核定修正，其中智慧電表基礎建設</w:t>
      </w:r>
      <w:r w:rsidRPr="006D5DC2">
        <w:rPr>
          <w:rFonts w:hint="eastAsia"/>
        </w:rPr>
        <w:t>(</w:t>
      </w:r>
      <w:r w:rsidR="00ED7E7C" w:rsidRPr="006D5DC2">
        <w:rPr>
          <w:rFonts w:hint="eastAsia"/>
        </w:rPr>
        <w:t>AMI</w:t>
      </w:r>
      <w:r w:rsidRPr="006D5DC2">
        <w:rPr>
          <w:rFonts w:hint="eastAsia"/>
        </w:rPr>
        <w:t>)</w:t>
      </w:r>
      <w:r w:rsidR="00ED7E7C" w:rsidRPr="006D5DC2">
        <w:rPr>
          <w:rFonts w:hint="eastAsia"/>
        </w:rPr>
        <w:t>部分，雖仍分現況、前期</w:t>
      </w:r>
      <w:r w:rsidR="00352322" w:rsidRPr="006D5DC2">
        <w:rPr>
          <w:rFonts w:hint="eastAsia"/>
        </w:rPr>
        <w:t>布建</w:t>
      </w:r>
      <w:r w:rsidR="00ED7E7C" w:rsidRPr="006D5DC2">
        <w:rPr>
          <w:rFonts w:hint="eastAsia"/>
        </w:rPr>
        <w:t>、推廣擴散及廣泛應用等4階段，除現況改為</w:t>
      </w:r>
      <w:r w:rsidR="00ED7E7C" w:rsidRPr="006D5DC2">
        <w:rPr>
          <w:rFonts w:hint="eastAsia"/>
        </w:rPr>
        <w:lastRenderedPageBreak/>
        <w:t>104年外，雖各階段期程未更動，但</w:t>
      </w:r>
      <w:r w:rsidR="00352322" w:rsidRPr="006D5DC2">
        <w:rPr>
          <w:rFonts w:hint="eastAsia"/>
        </w:rPr>
        <w:t>布建</w:t>
      </w:r>
      <w:r w:rsidR="00ED7E7C" w:rsidRPr="006D5DC2">
        <w:rPr>
          <w:rFonts w:hint="eastAsia"/>
        </w:rPr>
        <w:t>戶數已調降，</w:t>
      </w:r>
      <w:r w:rsidR="00B60ACB" w:rsidRPr="006D5DC2">
        <w:rPr>
          <w:rFonts w:hint="eastAsia"/>
        </w:rPr>
        <w:t>茲整理</w:t>
      </w:r>
      <w:r w:rsidR="00ED7E7C" w:rsidRPr="006D5DC2">
        <w:rPr>
          <w:rFonts w:hint="eastAsia"/>
        </w:rPr>
        <w:t>101年核定版與106年修正版</w:t>
      </w:r>
      <w:r w:rsidR="00B60ACB" w:rsidRPr="006D5DC2">
        <w:rPr>
          <w:rFonts w:hint="eastAsia"/>
        </w:rPr>
        <w:t>智慧電表基礎建設</w:t>
      </w:r>
      <w:r w:rsidRPr="006D5DC2">
        <w:rPr>
          <w:rFonts w:hint="eastAsia"/>
        </w:rPr>
        <w:t>(</w:t>
      </w:r>
      <w:r w:rsidR="00B60ACB" w:rsidRPr="006D5DC2">
        <w:rPr>
          <w:rFonts w:hint="eastAsia"/>
        </w:rPr>
        <w:t>AMI</w:t>
      </w:r>
      <w:r w:rsidRPr="006D5DC2">
        <w:rPr>
          <w:rFonts w:hint="eastAsia"/>
        </w:rPr>
        <w:t>)</w:t>
      </w:r>
      <w:r w:rsidR="00B60ACB" w:rsidRPr="006D5DC2">
        <w:rPr>
          <w:rFonts w:hint="eastAsia"/>
        </w:rPr>
        <w:t>之內容</w:t>
      </w:r>
      <w:r w:rsidR="00ED7E7C" w:rsidRPr="006D5DC2">
        <w:rPr>
          <w:rFonts w:hint="eastAsia"/>
        </w:rPr>
        <w:t>如表</w:t>
      </w:r>
      <w:r w:rsidR="00BA207B">
        <w:rPr>
          <w:rFonts w:hint="eastAsia"/>
        </w:rPr>
        <w:t>1</w:t>
      </w:r>
      <w:r w:rsidR="00ED7E7C" w:rsidRPr="006D5DC2">
        <w:rPr>
          <w:rFonts w:hint="eastAsia"/>
        </w:rPr>
        <w:t>：</w:t>
      </w:r>
    </w:p>
    <w:p w:rsidR="00E6049B" w:rsidRPr="006D5DC2" w:rsidRDefault="00E6049B" w:rsidP="00E6049B">
      <w:pPr>
        <w:pStyle w:val="af3"/>
        <w:numPr>
          <w:ilvl w:val="0"/>
          <w:numId w:val="22"/>
        </w:numPr>
        <w:ind w:left="2212" w:hanging="896"/>
      </w:pPr>
      <w:bookmarkStart w:id="55" w:name="_Toc22282792"/>
      <w:r w:rsidRPr="006D5DC2">
        <w:rPr>
          <w:rFonts w:hint="eastAsia"/>
        </w:rPr>
        <w:t>「智慧電網整體規劃方案」101年核定版與106年修正版內容摘要（智慧電表基礎建設部分）</w:t>
      </w:r>
      <w:bookmarkEnd w:id="55"/>
    </w:p>
    <w:tbl>
      <w:tblPr>
        <w:tblStyle w:val="af6"/>
        <w:tblW w:w="0" w:type="auto"/>
        <w:tblInd w:w="1410" w:type="dxa"/>
        <w:tblLayout w:type="fixed"/>
        <w:tblLook w:val="04A0" w:firstRow="1" w:lastRow="0" w:firstColumn="1" w:lastColumn="0" w:noHBand="0" w:noVBand="1"/>
      </w:tblPr>
      <w:tblGrid>
        <w:gridCol w:w="952"/>
        <w:gridCol w:w="1674"/>
        <w:gridCol w:w="1675"/>
        <w:gridCol w:w="1674"/>
        <w:gridCol w:w="1675"/>
      </w:tblGrid>
      <w:tr w:rsidR="00ED7E7C" w:rsidRPr="006D5DC2" w:rsidTr="000C1E33">
        <w:tc>
          <w:tcPr>
            <w:tcW w:w="952" w:type="dxa"/>
            <w:tcBorders>
              <w:tl2br w:val="single" w:sz="4" w:space="0" w:color="auto"/>
            </w:tcBorders>
          </w:tcPr>
          <w:p w:rsidR="000C1E33" w:rsidRPr="006D5DC2" w:rsidRDefault="000C1E33" w:rsidP="000C1E33">
            <w:pPr>
              <w:jc w:val="right"/>
              <w:rPr>
                <w:spacing w:val="-14"/>
                <w:sz w:val="24"/>
                <w:szCs w:val="24"/>
              </w:rPr>
            </w:pPr>
            <w:r w:rsidRPr="006D5DC2">
              <w:rPr>
                <w:rFonts w:hint="eastAsia"/>
                <w:spacing w:val="-14"/>
                <w:sz w:val="24"/>
                <w:szCs w:val="24"/>
              </w:rPr>
              <w:t>階段別</w:t>
            </w:r>
          </w:p>
          <w:p w:rsidR="00ED7E7C" w:rsidRPr="006D5DC2" w:rsidRDefault="000C1E33" w:rsidP="00ED7E7C">
            <w:pPr>
              <w:rPr>
                <w:spacing w:val="-14"/>
                <w:sz w:val="24"/>
                <w:szCs w:val="24"/>
              </w:rPr>
            </w:pPr>
            <w:r w:rsidRPr="006D5DC2">
              <w:rPr>
                <w:rFonts w:hint="eastAsia"/>
                <w:spacing w:val="-14"/>
                <w:sz w:val="24"/>
                <w:szCs w:val="24"/>
              </w:rPr>
              <w:t>版別</w:t>
            </w:r>
          </w:p>
        </w:tc>
        <w:tc>
          <w:tcPr>
            <w:tcW w:w="1674" w:type="dxa"/>
          </w:tcPr>
          <w:p w:rsidR="00ED7E7C" w:rsidRPr="006D5DC2" w:rsidRDefault="00ED7E7C" w:rsidP="003F5434">
            <w:pPr>
              <w:ind w:leftChars="-31" w:left="-21" w:rightChars="-33" w:right="-112" w:hangingChars="36" w:hanging="84"/>
              <w:jc w:val="center"/>
              <w:rPr>
                <w:spacing w:val="-14"/>
                <w:sz w:val="24"/>
                <w:szCs w:val="24"/>
              </w:rPr>
            </w:pPr>
            <w:r w:rsidRPr="006D5DC2">
              <w:rPr>
                <w:rFonts w:hint="eastAsia"/>
                <w:spacing w:val="-14"/>
                <w:sz w:val="24"/>
                <w:szCs w:val="24"/>
              </w:rPr>
              <w:t>現況104年</w:t>
            </w:r>
          </w:p>
          <w:p w:rsidR="00B60ACB" w:rsidRPr="006D5DC2" w:rsidRDefault="00B60ACB" w:rsidP="003F5434">
            <w:pPr>
              <w:ind w:leftChars="-31" w:left="-21" w:rightChars="-33" w:right="-112" w:hangingChars="36" w:hanging="84"/>
              <w:jc w:val="center"/>
              <w:rPr>
                <w:spacing w:val="-14"/>
                <w:sz w:val="24"/>
                <w:szCs w:val="24"/>
              </w:rPr>
            </w:pPr>
            <w:r w:rsidRPr="006D5DC2">
              <w:rPr>
                <w:rFonts w:hint="eastAsia"/>
                <w:spacing w:val="-14"/>
                <w:sz w:val="24"/>
                <w:szCs w:val="24"/>
              </w:rPr>
              <w:t>(初始100年)</w:t>
            </w:r>
          </w:p>
        </w:tc>
        <w:tc>
          <w:tcPr>
            <w:tcW w:w="1675" w:type="dxa"/>
          </w:tcPr>
          <w:p w:rsidR="00ED7E7C" w:rsidRPr="006D5DC2" w:rsidRDefault="00ED7E7C" w:rsidP="003F5434">
            <w:pPr>
              <w:ind w:leftChars="-31" w:left="-21" w:rightChars="-33" w:right="-112" w:hangingChars="36" w:hanging="84"/>
              <w:jc w:val="center"/>
              <w:rPr>
                <w:spacing w:val="-14"/>
                <w:sz w:val="24"/>
                <w:szCs w:val="24"/>
              </w:rPr>
            </w:pPr>
            <w:r w:rsidRPr="006D5DC2">
              <w:rPr>
                <w:rFonts w:hint="eastAsia"/>
                <w:spacing w:val="-14"/>
                <w:sz w:val="24"/>
                <w:szCs w:val="24"/>
              </w:rPr>
              <w:t>前期</w:t>
            </w:r>
            <w:r w:rsidR="00352322" w:rsidRPr="006D5DC2">
              <w:rPr>
                <w:rFonts w:hint="eastAsia"/>
                <w:spacing w:val="-14"/>
                <w:sz w:val="24"/>
                <w:szCs w:val="24"/>
              </w:rPr>
              <w:t>布建</w:t>
            </w:r>
          </w:p>
          <w:p w:rsidR="00ED7E7C" w:rsidRPr="006D5DC2" w:rsidRDefault="00ED7E7C" w:rsidP="003F5434">
            <w:pPr>
              <w:ind w:leftChars="-31" w:left="-21" w:rightChars="-33" w:right="-112" w:hangingChars="36" w:hanging="84"/>
              <w:jc w:val="center"/>
              <w:rPr>
                <w:spacing w:val="-14"/>
                <w:sz w:val="24"/>
                <w:szCs w:val="24"/>
              </w:rPr>
            </w:pPr>
            <w:r w:rsidRPr="006D5DC2">
              <w:rPr>
                <w:rFonts w:hint="eastAsia"/>
                <w:spacing w:val="-14"/>
                <w:sz w:val="24"/>
                <w:szCs w:val="24"/>
              </w:rPr>
              <w:t>101</w:t>
            </w:r>
            <w:r w:rsidR="00433DF0" w:rsidRPr="006D5DC2">
              <w:rPr>
                <w:rFonts w:hint="eastAsia"/>
                <w:spacing w:val="-14"/>
                <w:sz w:val="24"/>
                <w:szCs w:val="24"/>
              </w:rPr>
              <w:t>年至</w:t>
            </w:r>
            <w:r w:rsidRPr="006D5DC2">
              <w:rPr>
                <w:rFonts w:hint="eastAsia"/>
                <w:spacing w:val="-14"/>
                <w:sz w:val="24"/>
                <w:szCs w:val="24"/>
              </w:rPr>
              <w:t>104年</w:t>
            </w:r>
          </w:p>
        </w:tc>
        <w:tc>
          <w:tcPr>
            <w:tcW w:w="1674" w:type="dxa"/>
          </w:tcPr>
          <w:p w:rsidR="00ED7E7C" w:rsidRPr="006D5DC2" w:rsidRDefault="00ED7E7C" w:rsidP="003F5434">
            <w:pPr>
              <w:ind w:leftChars="-31" w:left="-21" w:rightChars="-33" w:right="-112" w:hangingChars="36" w:hanging="84"/>
              <w:jc w:val="center"/>
              <w:rPr>
                <w:spacing w:val="-14"/>
                <w:sz w:val="24"/>
                <w:szCs w:val="24"/>
              </w:rPr>
            </w:pPr>
            <w:r w:rsidRPr="006D5DC2">
              <w:rPr>
                <w:rFonts w:hint="eastAsia"/>
                <w:spacing w:val="-14"/>
                <w:sz w:val="24"/>
                <w:szCs w:val="24"/>
              </w:rPr>
              <w:t>推廣擴散</w:t>
            </w:r>
          </w:p>
          <w:p w:rsidR="00ED7E7C" w:rsidRPr="006D5DC2" w:rsidRDefault="00433DF0" w:rsidP="003F5434">
            <w:pPr>
              <w:ind w:leftChars="-31" w:left="-21" w:rightChars="-33" w:right="-112" w:hangingChars="36" w:hanging="84"/>
              <w:jc w:val="center"/>
              <w:rPr>
                <w:spacing w:val="-14"/>
                <w:sz w:val="24"/>
                <w:szCs w:val="24"/>
              </w:rPr>
            </w:pPr>
            <w:r w:rsidRPr="006D5DC2">
              <w:rPr>
                <w:rFonts w:hint="eastAsia"/>
                <w:spacing w:val="-14"/>
                <w:sz w:val="24"/>
                <w:szCs w:val="24"/>
              </w:rPr>
              <w:t>105年至</w:t>
            </w:r>
            <w:r w:rsidR="00ED7E7C" w:rsidRPr="006D5DC2">
              <w:rPr>
                <w:rFonts w:hint="eastAsia"/>
                <w:spacing w:val="-14"/>
                <w:sz w:val="24"/>
                <w:szCs w:val="24"/>
              </w:rPr>
              <w:t>109年</w:t>
            </w:r>
          </w:p>
        </w:tc>
        <w:tc>
          <w:tcPr>
            <w:tcW w:w="1675" w:type="dxa"/>
          </w:tcPr>
          <w:p w:rsidR="00ED7E7C" w:rsidRPr="006D5DC2" w:rsidRDefault="00ED7E7C" w:rsidP="003F5434">
            <w:pPr>
              <w:ind w:leftChars="-31" w:left="-21" w:rightChars="-33" w:right="-112" w:hangingChars="36" w:hanging="84"/>
              <w:jc w:val="center"/>
              <w:rPr>
                <w:spacing w:val="-14"/>
                <w:sz w:val="24"/>
                <w:szCs w:val="24"/>
              </w:rPr>
            </w:pPr>
            <w:r w:rsidRPr="006D5DC2">
              <w:rPr>
                <w:rFonts w:hint="eastAsia"/>
                <w:spacing w:val="-14"/>
                <w:sz w:val="24"/>
                <w:szCs w:val="24"/>
              </w:rPr>
              <w:t>廣泛應用</w:t>
            </w:r>
          </w:p>
          <w:p w:rsidR="00ED7E7C" w:rsidRPr="006D5DC2" w:rsidRDefault="00433DF0" w:rsidP="003F5434">
            <w:pPr>
              <w:ind w:leftChars="-31" w:left="-21" w:rightChars="-33" w:right="-112" w:hangingChars="36" w:hanging="84"/>
              <w:jc w:val="center"/>
              <w:rPr>
                <w:spacing w:val="-14"/>
                <w:sz w:val="24"/>
                <w:szCs w:val="24"/>
              </w:rPr>
            </w:pPr>
            <w:r w:rsidRPr="006D5DC2">
              <w:rPr>
                <w:rFonts w:hint="eastAsia"/>
                <w:spacing w:val="-14"/>
                <w:sz w:val="24"/>
                <w:szCs w:val="24"/>
              </w:rPr>
              <w:t>1</w:t>
            </w:r>
            <w:r w:rsidR="003F5434" w:rsidRPr="006D5DC2">
              <w:rPr>
                <w:rFonts w:hint="eastAsia"/>
                <w:spacing w:val="-14"/>
                <w:sz w:val="24"/>
                <w:szCs w:val="24"/>
              </w:rPr>
              <w:t>1</w:t>
            </w:r>
            <w:r w:rsidRPr="006D5DC2">
              <w:rPr>
                <w:rFonts w:hint="eastAsia"/>
                <w:spacing w:val="-14"/>
                <w:sz w:val="24"/>
                <w:szCs w:val="24"/>
              </w:rPr>
              <w:t>0</w:t>
            </w:r>
            <w:r w:rsidR="008756E4" w:rsidRPr="006D5DC2">
              <w:rPr>
                <w:rFonts w:hint="eastAsia"/>
                <w:spacing w:val="-14"/>
                <w:sz w:val="24"/>
                <w:szCs w:val="24"/>
              </w:rPr>
              <w:t>年至</w:t>
            </w:r>
            <w:r w:rsidR="00ED7E7C" w:rsidRPr="006D5DC2">
              <w:rPr>
                <w:rFonts w:hint="eastAsia"/>
                <w:spacing w:val="-14"/>
                <w:sz w:val="24"/>
                <w:szCs w:val="24"/>
              </w:rPr>
              <w:t>119年</w:t>
            </w:r>
          </w:p>
        </w:tc>
      </w:tr>
      <w:tr w:rsidR="00ED7E7C" w:rsidRPr="006D5DC2" w:rsidTr="000C1E33">
        <w:tc>
          <w:tcPr>
            <w:tcW w:w="952" w:type="dxa"/>
          </w:tcPr>
          <w:p w:rsidR="00ED7E7C" w:rsidRPr="006D5DC2" w:rsidRDefault="00ED7E7C" w:rsidP="008756E4">
            <w:pPr>
              <w:jc w:val="left"/>
              <w:rPr>
                <w:spacing w:val="-14"/>
                <w:sz w:val="24"/>
                <w:szCs w:val="24"/>
              </w:rPr>
            </w:pPr>
            <w:r w:rsidRPr="006D5DC2">
              <w:rPr>
                <w:rFonts w:hint="eastAsia"/>
                <w:spacing w:val="-14"/>
                <w:sz w:val="24"/>
                <w:szCs w:val="24"/>
              </w:rPr>
              <w:t>101年</w:t>
            </w:r>
            <w:r w:rsidR="00AD5200" w:rsidRPr="006D5DC2">
              <w:rPr>
                <w:rFonts w:hint="eastAsia"/>
                <w:spacing w:val="-14"/>
                <w:sz w:val="24"/>
                <w:szCs w:val="24"/>
              </w:rPr>
              <w:t>核定</w:t>
            </w:r>
            <w:r w:rsidRPr="006D5DC2">
              <w:rPr>
                <w:rFonts w:hint="eastAsia"/>
                <w:spacing w:val="-14"/>
                <w:sz w:val="24"/>
                <w:szCs w:val="24"/>
              </w:rPr>
              <w:t>版</w:t>
            </w:r>
          </w:p>
        </w:tc>
        <w:tc>
          <w:tcPr>
            <w:tcW w:w="1674" w:type="dxa"/>
          </w:tcPr>
          <w:p w:rsidR="00ED7E7C" w:rsidRPr="006D5DC2" w:rsidRDefault="00B60ACB" w:rsidP="008756E4">
            <w:pPr>
              <w:jc w:val="left"/>
              <w:rPr>
                <w:spacing w:val="-14"/>
                <w:sz w:val="24"/>
                <w:szCs w:val="24"/>
              </w:rPr>
            </w:pPr>
            <w:r w:rsidRPr="006D5DC2">
              <w:rPr>
                <w:rFonts w:hint="eastAsia"/>
                <w:spacing w:val="-14"/>
                <w:sz w:val="24"/>
                <w:szCs w:val="24"/>
              </w:rPr>
              <w:t>已完成高壓1</w:t>
            </w:r>
            <w:r w:rsidR="000C1E33" w:rsidRPr="006D5DC2">
              <w:rPr>
                <w:rFonts w:hint="eastAsia"/>
                <w:spacing w:val="-14"/>
                <w:sz w:val="24"/>
                <w:szCs w:val="24"/>
              </w:rPr>
              <w:t>,</w:t>
            </w:r>
            <w:r w:rsidRPr="006D5DC2">
              <w:rPr>
                <w:rFonts w:hint="eastAsia"/>
                <w:spacing w:val="-14"/>
                <w:sz w:val="24"/>
                <w:szCs w:val="24"/>
              </w:rPr>
              <w:t>200戶</w:t>
            </w:r>
          </w:p>
        </w:tc>
        <w:tc>
          <w:tcPr>
            <w:tcW w:w="1675" w:type="dxa"/>
          </w:tcPr>
          <w:p w:rsidR="00ED7E7C" w:rsidRPr="006D5DC2" w:rsidRDefault="00B60ACB" w:rsidP="003F5434">
            <w:pPr>
              <w:ind w:left="232" w:hangingChars="100" w:hanging="232"/>
              <w:jc w:val="left"/>
              <w:rPr>
                <w:spacing w:val="-14"/>
                <w:sz w:val="24"/>
                <w:szCs w:val="24"/>
              </w:rPr>
            </w:pPr>
            <w:r w:rsidRPr="006D5DC2">
              <w:rPr>
                <w:rFonts w:hint="eastAsia"/>
                <w:spacing w:val="-14"/>
                <w:sz w:val="24"/>
                <w:szCs w:val="24"/>
              </w:rPr>
              <w:t>1.高壓2</w:t>
            </w:r>
            <w:r w:rsidR="003F5434" w:rsidRPr="006D5DC2">
              <w:rPr>
                <w:rFonts w:hint="eastAsia"/>
                <w:spacing w:val="-14"/>
                <w:sz w:val="24"/>
                <w:szCs w:val="24"/>
              </w:rPr>
              <w:t>3</w:t>
            </w:r>
            <w:r w:rsidR="000C1E33" w:rsidRPr="006D5DC2">
              <w:rPr>
                <w:rFonts w:hint="eastAsia"/>
                <w:spacing w:val="-14"/>
                <w:sz w:val="24"/>
                <w:szCs w:val="24"/>
              </w:rPr>
              <w:t>,</w:t>
            </w:r>
            <w:r w:rsidR="003F5434" w:rsidRPr="006D5DC2">
              <w:rPr>
                <w:rFonts w:hint="eastAsia"/>
                <w:spacing w:val="-14"/>
                <w:sz w:val="24"/>
                <w:szCs w:val="24"/>
              </w:rPr>
              <w:t>0</w:t>
            </w:r>
            <w:r w:rsidRPr="006D5DC2">
              <w:rPr>
                <w:rFonts w:hint="eastAsia"/>
                <w:spacing w:val="-14"/>
                <w:sz w:val="24"/>
                <w:szCs w:val="24"/>
              </w:rPr>
              <w:t>00戶</w:t>
            </w:r>
            <w:r w:rsidR="000C1E33" w:rsidRPr="006D5DC2">
              <w:rPr>
                <w:rFonts w:hint="eastAsia"/>
                <w:spacing w:val="-14"/>
                <w:sz w:val="24"/>
                <w:szCs w:val="24"/>
              </w:rPr>
              <w:t>(</w:t>
            </w:r>
            <w:r w:rsidRPr="006D5DC2">
              <w:rPr>
                <w:rFonts w:hint="eastAsia"/>
                <w:spacing w:val="-14"/>
                <w:sz w:val="24"/>
                <w:szCs w:val="24"/>
              </w:rPr>
              <w:t>全數</w:t>
            </w:r>
            <w:r w:rsidR="00352322" w:rsidRPr="006D5DC2">
              <w:rPr>
                <w:rFonts w:hint="eastAsia"/>
                <w:spacing w:val="-14"/>
                <w:sz w:val="24"/>
                <w:szCs w:val="24"/>
              </w:rPr>
              <w:t>布建</w:t>
            </w:r>
            <w:r w:rsidR="000C1E33" w:rsidRPr="006D5DC2">
              <w:rPr>
                <w:rFonts w:hint="eastAsia"/>
                <w:spacing w:val="-14"/>
                <w:sz w:val="24"/>
                <w:szCs w:val="24"/>
              </w:rPr>
              <w:t>)</w:t>
            </w:r>
          </w:p>
          <w:p w:rsidR="00B60ACB" w:rsidRPr="006D5DC2" w:rsidRDefault="00B60ACB" w:rsidP="003F5434">
            <w:pPr>
              <w:ind w:left="232" w:hangingChars="100" w:hanging="232"/>
              <w:jc w:val="left"/>
              <w:rPr>
                <w:spacing w:val="-14"/>
                <w:sz w:val="24"/>
                <w:szCs w:val="24"/>
              </w:rPr>
            </w:pPr>
            <w:r w:rsidRPr="006D5DC2">
              <w:rPr>
                <w:rFonts w:hint="eastAsia"/>
                <w:spacing w:val="-14"/>
                <w:sz w:val="24"/>
                <w:szCs w:val="24"/>
              </w:rPr>
              <w:t>2.低壓100萬戶</w:t>
            </w:r>
          </w:p>
        </w:tc>
        <w:tc>
          <w:tcPr>
            <w:tcW w:w="1674" w:type="dxa"/>
          </w:tcPr>
          <w:p w:rsidR="00ED7E7C" w:rsidRPr="006D5DC2" w:rsidRDefault="00B60ACB" w:rsidP="008756E4">
            <w:pPr>
              <w:jc w:val="left"/>
              <w:rPr>
                <w:spacing w:val="-14"/>
                <w:sz w:val="24"/>
                <w:szCs w:val="24"/>
              </w:rPr>
            </w:pPr>
            <w:r w:rsidRPr="006D5DC2">
              <w:rPr>
                <w:rFonts w:hint="eastAsia"/>
                <w:spacing w:val="-14"/>
                <w:sz w:val="24"/>
                <w:szCs w:val="24"/>
              </w:rPr>
              <w:t>完成低壓600萬戶</w:t>
            </w:r>
          </w:p>
        </w:tc>
        <w:tc>
          <w:tcPr>
            <w:tcW w:w="1675" w:type="dxa"/>
          </w:tcPr>
          <w:p w:rsidR="00ED7E7C" w:rsidRPr="006D5DC2" w:rsidRDefault="00B60ACB" w:rsidP="008756E4">
            <w:pPr>
              <w:jc w:val="left"/>
              <w:rPr>
                <w:spacing w:val="-14"/>
                <w:sz w:val="24"/>
                <w:szCs w:val="24"/>
              </w:rPr>
            </w:pPr>
            <w:r w:rsidRPr="006D5DC2">
              <w:rPr>
                <w:rFonts w:hint="eastAsia"/>
                <w:spacing w:val="-14"/>
                <w:sz w:val="24"/>
                <w:szCs w:val="24"/>
              </w:rPr>
              <w:t>完成具效益之全國高低壓智慧電表系統</w:t>
            </w:r>
            <w:r w:rsidR="00352322" w:rsidRPr="006D5DC2">
              <w:rPr>
                <w:rFonts w:hint="eastAsia"/>
                <w:spacing w:val="-14"/>
                <w:sz w:val="24"/>
                <w:szCs w:val="24"/>
              </w:rPr>
              <w:t>布建</w:t>
            </w:r>
          </w:p>
        </w:tc>
      </w:tr>
      <w:tr w:rsidR="00ED7E7C" w:rsidRPr="006D5DC2" w:rsidTr="000C1E33">
        <w:tc>
          <w:tcPr>
            <w:tcW w:w="952" w:type="dxa"/>
          </w:tcPr>
          <w:p w:rsidR="00ED7E7C" w:rsidRPr="006D5DC2" w:rsidRDefault="00ED7E7C" w:rsidP="008756E4">
            <w:pPr>
              <w:jc w:val="left"/>
              <w:rPr>
                <w:spacing w:val="-14"/>
                <w:sz w:val="24"/>
                <w:szCs w:val="24"/>
              </w:rPr>
            </w:pPr>
            <w:r w:rsidRPr="006D5DC2">
              <w:rPr>
                <w:rFonts w:hint="eastAsia"/>
                <w:spacing w:val="-14"/>
                <w:sz w:val="24"/>
                <w:szCs w:val="24"/>
              </w:rPr>
              <w:t>106年</w:t>
            </w:r>
            <w:r w:rsidR="000C1E33" w:rsidRPr="006D5DC2">
              <w:rPr>
                <w:rFonts w:hint="eastAsia"/>
                <w:spacing w:val="-14"/>
                <w:sz w:val="24"/>
                <w:szCs w:val="24"/>
              </w:rPr>
              <w:t>修正</w:t>
            </w:r>
            <w:r w:rsidRPr="006D5DC2">
              <w:rPr>
                <w:rFonts w:hint="eastAsia"/>
                <w:spacing w:val="-14"/>
                <w:sz w:val="24"/>
                <w:szCs w:val="24"/>
              </w:rPr>
              <w:t>版</w:t>
            </w:r>
          </w:p>
        </w:tc>
        <w:tc>
          <w:tcPr>
            <w:tcW w:w="1674" w:type="dxa"/>
          </w:tcPr>
          <w:p w:rsidR="00B60ACB" w:rsidRPr="006D5DC2" w:rsidRDefault="00B60ACB" w:rsidP="008756E4">
            <w:pPr>
              <w:jc w:val="left"/>
              <w:rPr>
                <w:spacing w:val="-14"/>
                <w:sz w:val="24"/>
                <w:szCs w:val="24"/>
              </w:rPr>
            </w:pPr>
            <w:r w:rsidRPr="006D5DC2">
              <w:rPr>
                <w:rFonts w:hint="eastAsia"/>
                <w:spacing w:val="-14"/>
                <w:sz w:val="24"/>
                <w:szCs w:val="24"/>
              </w:rPr>
              <w:t>高壓24</w:t>
            </w:r>
            <w:r w:rsidR="000C1E33" w:rsidRPr="006D5DC2">
              <w:rPr>
                <w:rFonts w:hint="eastAsia"/>
                <w:spacing w:val="-14"/>
                <w:sz w:val="24"/>
                <w:szCs w:val="24"/>
              </w:rPr>
              <w:t>,</w:t>
            </w:r>
            <w:r w:rsidRPr="006D5DC2">
              <w:rPr>
                <w:rFonts w:hint="eastAsia"/>
                <w:spacing w:val="-14"/>
                <w:sz w:val="24"/>
                <w:szCs w:val="24"/>
              </w:rPr>
              <w:t>624戶，低壓1萬戶</w:t>
            </w:r>
          </w:p>
        </w:tc>
        <w:tc>
          <w:tcPr>
            <w:tcW w:w="1675" w:type="dxa"/>
          </w:tcPr>
          <w:p w:rsidR="00ED7E7C" w:rsidRPr="006D5DC2" w:rsidRDefault="00B60ACB" w:rsidP="003F5434">
            <w:pPr>
              <w:ind w:left="232" w:rightChars="-17" w:right="-58" w:hangingChars="100" w:hanging="232"/>
              <w:jc w:val="left"/>
              <w:rPr>
                <w:spacing w:val="-14"/>
                <w:sz w:val="24"/>
                <w:szCs w:val="24"/>
              </w:rPr>
            </w:pPr>
            <w:r w:rsidRPr="006D5DC2">
              <w:rPr>
                <w:rFonts w:hint="eastAsia"/>
                <w:spacing w:val="-14"/>
                <w:sz w:val="24"/>
                <w:szCs w:val="24"/>
              </w:rPr>
              <w:t>1.高壓24</w:t>
            </w:r>
            <w:r w:rsidR="000C1E33" w:rsidRPr="006D5DC2">
              <w:rPr>
                <w:rFonts w:hint="eastAsia"/>
                <w:spacing w:val="-14"/>
                <w:sz w:val="24"/>
                <w:szCs w:val="24"/>
              </w:rPr>
              <w:t>,</w:t>
            </w:r>
            <w:r w:rsidRPr="006D5DC2">
              <w:rPr>
                <w:rFonts w:hint="eastAsia"/>
                <w:spacing w:val="-14"/>
                <w:sz w:val="24"/>
                <w:szCs w:val="24"/>
              </w:rPr>
              <w:t>000戶</w:t>
            </w:r>
            <w:r w:rsidR="000C1E33" w:rsidRPr="006D5DC2">
              <w:rPr>
                <w:rFonts w:hint="eastAsia"/>
                <w:spacing w:val="-14"/>
                <w:sz w:val="24"/>
                <w:szCs w:val="24"/>
              </w:rPr>
              <w:t>(</w:t>
            </w:r>
            <w:r w:rsidRPr="006D5DC2">
              <w:rPr>
                <w:rFonts w:hint="eastAsia"/>
                <w:spacing w:val="-14"/>
                <w:sz w:val="24"/>
                <w:szCs w:val="24"/>
              </w:rPr>
              <w:t>全數</w:t>
            </w:r>
            <w:r w:rsidR="00352322" w:rsidRPr="006D5DC2">
              <w:rPr>
                <w:rFonts w:hint="eastAsia"/>
                <w:spacing w:val="-14"/>
                <w:sz w:val="24"/>
                <w:szCs w:val="24"/>
              </w:rPr>
              <w:t>布建</w:t>
            </w:r>
            <w:r w:rsidR="000C1E33" w:rsidRPr="006D5DC2">
              <w:rPr>
                <w:rFonts w:hint="eastAsia"/>
                <w:spacing w:val="-14"/>
                <w:sz w:val="24"/>
                <w:szCs w:val="24"/>
              </w:rPr>
              <w:t>)</w:t>
            </w:r>
          </w:p>
          <w:p w:rsidR="00B60ACB" w:rsidRPr="006D5DC2" w:rsidRDefault="00B60ACB" w:rsidP="003F5434">
            <w:pPr>
              <w:ind w:left="232" w:hangingChars="100" w:hanging="232"/>
              <w:jc w:val="left"/>
              <w:rPr>
                <w:spacing w:val="-14"/>
                <w:sz w:val="24"/>
                <w:szCs w:val="24"/>
              </w:rPr>
            </w:pPr>
            <w:r w:rsidRPr="006D5DC2">
              <w:rPr>
                <w:rFonts w:hint="eastAsia"/>
                <w:spacing w:val="-14"/>
                <w:sz w:val="24"/>
                <w:szCs w:val="24"/>
              </w:rPr>
              <w:t>2.低壓1萬戶</w:t>
            </w:r>
          </w:p>
        </w:tc>
        <w:tc>
          <w:tcPr>
            <w:tcW w:w="1674" w:type="dxa"/>
          </w:tcPr>
          <w:p w:rsidR="00ED7E7C" w:rsidRPr="006D5DC2" w:rsidRDefault="00B60ACB" w:rsidP="008756E4">
            <w:pPr>
              <w:jc w:val="left"/>
              <w:rPr>
                <w:spacing w:val="-14"/>
                <w:sz w:val="24"/>
                <w:szCs w:val="24"/>
              </w:rPr>
            </w:pPr>
            <w:r w:rsidRPr="006D5DC2">
              <w:rPr>
                <w:rFonts w:hint="eastAsia"/>
                <w:spacing w:val="-14"/>
                <w:sz w:val="24"/>
                <w:szCs w:val="24"/>
              </w:rPr>
              <w:t>累計完成低壓100萬戶</w:t>
            </w:r>
          </w:p>
        </w:tc>
        <w:tc>
          <w:tcPr>
            <w:tcW w:w="1675" w:type="dxa"/>
          </w:tcPr>
          <w:p w:rsidR="00ED7E7C" w:rsidRPr="006D5DC2" w:rsidRDefault="00B60ACB" w:rsidP="003F5434">
            <w:pPr>
              <w:ind w:left="232" w:hangingChars="100" w:hanging="232"/>
              <w:jc w:val="left"/>
              <w:rPr>
                <w:spacing w:val="-14"/>
                <w:sz w:val="24"/>
                <w:szCs w:val="24"/>
              </w:rPr>
            </w:pPr>
            <w:r w:rsidRPr="006D5DC2">
              <w:rPr>
                <w:rFonts w:hint="eastAsia"/>
                <w:spacing w:val="-14"/>
                <w:sz w:val="24"/>
                <w:szCs w:val="24"/>
              </w:rPr>
              <w:t>1.累計完成低壓300萬戶</w:t>
            </w:r>
            <w:r w:rsidR="000C1E33" w:rsidRPr="006D5DC2">
              <w:rPr>
                <w:rFonts w:hint="eastAsia"/>
                <w:spacing w:val="-14"/>
                <w:sz w:val="24"/>
                <w:szCs w:val="24"/>
              </w:rPr>
              <w:t>(</w:t>
            </w:r>
            <w:r w:rsidRPr="006D5DC2">
              <w:rPr>
                <w:rFonts w:hint="eastAsia"/>
                <w:spacing w:val="-14"/>
                <w:sz w:val="24"/>
                <w:szCs w:val="24"/>
              </w:rPr>
              <w:t>1</w:t>
            </w:r>
            <w:r w:rsidR="003F5434" w:rsidRPr="006D5DC2">
              <w:rPr>
                <w:rFonts w:hint="eastAsia"/>
                <w:spacing w:val="-14"/>
                <w:sz w:val="24"/>
                <w:szCs w:val="24"/>
              </w:rPr>
              <w:t>1</w:t>
            </w:r>
            <w:r w:rsidRPr="006D5DC2">
              <w:rPr>
                <w:rFonts w:hint="eastAsia"/>
                <w:spacing w:val="-14"/>
                <w:sz w:val="24"/>
                <w:szCs w:val="24"/>
              </w:rPr>
              <w:t>3年</w:t>
            </w:r>
            <w:r w:rsidR="000C1E33" w:rsidRPr="006D5DC2">
              <w:rPr>
                <w:rFonts w:hint="eastAsia"/>
                <w:spacing w:val="-14"/>
                <w:sz w:val="24"/>
                <w:szCs w:val="24"/>
              </w:rPr>
              <w:t>)</w:t>
            </w:r>
          </w:p>
          <w:p w:rsidR="00B60ACB" w:rsidRPr="006D5DC2" w:rsidRDefault="00B60ACB" w:rsidP="003F5434">
            <w:pPr>
              <w:ind w:left="232" w:hangingChars="100" w:hanging="232"/>
              <w:jc w:val="left"/>
              <w:rPr>
                <w:spacing w:val="-14"/>
                <w:sz w:val="24"/>
                <w:szCs w:val="24"/>
              </w:rPr>
            </w:pPr>
            <w:r w:rsidRPr="006D5DC2">
              <w:rPr>
                <w:rFonts w:hint="eastAsia"/>
                <w:spacing w:val="-14"/>
                <w:sz w:val="24"/>
                <w:szCs w:val="24"/>
              </w:rPr>
              <w:t>2.累計完成低壓600萬戶</w:t>
            </w:r>
            <w:r w:rsidR="000C1E33" w:rsidRPr="006D5DC2">
              <w:rPr>
                <w:rFonts w:hint="eastAsia"/>
                <w:spacing w:val="-14"/>
                <w:sz w:val="24"/>
                <w:szCs w:val="24"/>
              </w:rPr>
              <w:t>(</w:t>
            </w:r>
            <w:r w:rsidRPr="006D5DC2">
              <w:rPr>
                <w:rFonts w:hint="eastAsia"/>
                <w:spacing w:val="-14"/>
                <w:sz w:val="24"/>
                <w:szCs w:val="24"/>
              </w:rPr>
              <w:t>119年</w:t>
            </w:r>
            <w:r w:rsidR="000C1E33" w:rsidRPr="006D5DC2">
              <w:rPr>
                <w:rFonts w:hint="eastAsia"/>
                <w:spacing w:val="-14"/>
                <w:sz w:val="24"/>
                <w:szCs w:val="24"/>
              </w:rPr>
              <w:t>)</w:t>
            </w:r>
          </w:p>
        </w:tc>
      </w:tr>
    </w:tbl>
    <w:p w:rsidR="003D2422" w:rsidRPr="006D5DC2" w:rsidRDefault="00B60ACB" w:rsidP="00511B9E">
      <w:pPr>
        <w:pStyle w:val="3"/>
      </w:pPr>
      <w:r w:rsidRPr="006D5DC2">
        <w:rPr>
          <w:rFonts w:hint="eastAsia"/>
        </w:rPr>
        <w:t>惟查智慧型電表基礎建設建置期程，高壓AMI系統建置部分，依行政院99年6月23日核定「智慧型電表基礎建設推動方案」，預計101年完成所有高壓用戶</w:t>
      </w:r>
      <w:r w:rsidR="00352322" w:rsidRPr="006D5DC2">
        <w:rPr>
          <w:rFonts w:hint="eastAsia"/>
        </w:rPr>
        <w:t>布建</w:t>
      </w:r>
      <w:r w:rsidRPr="006D5DC2">
        <w:rPr>
          <w:rFonts w:hint="eastAsia"/>
        </w:rPr>
        <w:t>，實際完成時間，依台電公司108年5月27日簡報，迄102年6月全數完成2.4萬戶高壓AMI建置，掌握全國約60%用電量，較原訂時間落後約1年半。至低壓AMI建置部分，以階段目標1萬戶為例，「智慧型電表基礎建設推動方案」</w:t>
      </w:r>
      <w:r w:rsidR="003D2422" w:rsidRPr="006D5DC2">
        <w:rPr>
          <w:rFonts w:hint="eastAsia"/>
        </w:rPr>
        <w:t>原</w:t>
      </w:r>
      <w:r w:rsidRPr="006D5DC2">
        <w:rPr>
          <w:rFonts w:hint="eastAsia"/>
        </w:rPr>
        <w:t>規劃於101年之前完成，</w:t>
      </w:r>
      <w:r w:rsidR="003D2422" w:rsidRPr="006D5DC2">
        <w:rPr>
          <w:rFonts w:hint="eastAsia"/>
        </w:rPr>
        <w:t>實際上，依台電公司108年5月27日簡報</w:t>
      </w:r>
      <w:r w:rsidRPr="006D5DC2">
        <w:rPr>
          <w:rFonts w:hint="eastAsia"/>
        </w:rPr>
        <w:t>，</w:t>
      </w:r>
      <w:r w:rsidR="003D2422" w:rsidRPr="006D5DC2">
        <w:rPr>
          <w:rFonts w:hint="eastAsia"/>
        </w:rPr>
        <w:t>迄</w:t>
      </w:r>
      <w:r w:rsidRPr="006D5DC2">
        <w:rPr>
          <w:rFonts w:hint="eastAsia"/>
        </w:rPr>
        <w:t>104年</w:t>
      </w:r>
      <w:r w:rsidR="003D2422" w:rsidRPr="006D5DC2">
        <w:rPr>
          <w:rFonts w:hint="eastAsia"/>
        </w:rPr>
        <w:t>9月18日始總驗收合格，較原預劃延後3年完成。再以低壓100萬戶為例，</w:t>
      </w:r>
      <w:r w:rsidR="000C1E33" w:rsidRPr="006D5DC2">
        <w:rPr>
          <w:rFonts w:hint="eastAsia"/>
        </w:rPr>
        <w:t>依行政院99年6月23日核定「</w:t>
      </w:r>
      <w:r w:rsidR="003D2422" w:rsidRPr="006D5DC2">
        <w:rPr>
          <w:rFonts w:hint="eastAsia"/>
        </w:rPr>
        <w:t>智慧型電表基礎建設推動方案」</w:t>
      </w:r>
      <w:r w:rsidR="000C1E33" w:rsidRPr="006D5DC2">
        <w:rPr>
          <w:rFonts w:hint="eastAsia"/>
        </w:rPr>
        <w:t>，</w:t>
      </w:r>
      <w:r w:rsidR="003D2422" w:rsidRPr="006D5DC2">
        <w:rPr>
          <w:rFonts w:hint="eastAsia"/>
        </w:rPr>
        <w:t>預劃於104年之前完成，嗣該目標於101年9月3日奉核修正延至104年，且於106年2月18日再度奉核延至109年，合計共延宕8年，實際上，迄107年僅完成</w:t>
      </w:r>
      <w:r w:rsidR="00B936C6" w:rsidRPr="006D5DC2">
        <w:rPr>
          <w:rFonts w:hint="eastAsia"/>
        </w:rPr>
        <w:t>23</w:t>
      </w:r>
      <w:r w:rsidR="003D2422" w:rsidRPr="006D5DC2">
        <w:rPr>
          <w:rFonts w:hint="eastAsia"/>
        </w:rPr>
        <w:t>萬戶</w:t>
      </w:r>
      <w:r w:rsidR="000C1E33" w:rsidRPr="006D5DC2">
        <w:rPr>
          <w:rFonts w:hint="eastAsia"/>
        </w:rPr>
        <w:t>電表安</w:t>
      </w:r>
      <w:r w:rsidR="000C1E33" w:rsidRPr="006D5DC2">
        <w:rPr>
          <w:rFonts w:hint="eastAsia"/>
        </w:rPr>
        <w:lastRenderedPageBreak/>
        <w:t>裝</w:t>
      </w:r>
      <w:r w:rsidR="003D2422" w:rsidRPr="006D5DC2">
        <w:rPr>
          <w:rFonts w:hint="eastAsia"/>
        </w:rPr>
        <w:t>，是否如該公司簡報所稱於109年完成100萬戶</w:t>
      </w:r>
      <w:r w:rsidR="00352322" w:rsidRPr="006D5DC2">
        <w:rPr>
          <w:rFonts w:hint="eastAsia"/>
        </w:rPr>
        <w:t>布建</w:t>
      </w:r>
      <w:r w:rsidR="003D2422" w:rsidRPr="006D5DC2">
        <w:rPr>
          <w:rFonts w:hint="eastAsia"/>
        </w:rPr>
        <w:t>目標，猶屬未知。對</w:t>
      </w:r>
      <w:r w:rsidR="00A67F68" w:rsidRPr="006D5DC2">
        <w:rPr>
          <w:rFonts w:hint="eastAsia"/>
        </w:rPr>
        <w:t>於</w:t>
      </w:r>
      <w:r w:rsidR="003D2422" w:rsidRPr="006D5DC2">
        <w:rPr>
          <w:rFonts w:hint="eastAsia"/>
        </w:rPr>
        <w:t>低壓AMI</w:t>
      </w:r>
      <w:r w:rsidR="00352322" w:rsidRPr="006D5DC2">
        <w:rPr>
          <w:rFonts w:hint="eastAsia"/>
        </w:rPr>
        <w:t>布建</w:t>
      </w:r>
      <w:r w:rsidR="003D2422" w:rsidRPr="006D5DC2">
        <w:rPr>
          <w:rFonts w:hint="eastAsia"/>
        </w:rPr>
        <w:t>進度嚴重落</w:t>
      </w:r>
      <w:r w:rsidR="00A67F68" w:rsidRPr="006D5DC2">
        <w:rPr>
          <w:rFonts w:hint="eastAsia"/>
        </w:rPr>
        <w:t>後</w:t>
      </w:r>
      <w:r w:rsidR="003D2422" w:rsidRPr="006D5DC2">
        <w:rPr>
          <w:rFonts w:hint="eastAsia"/>
        </w:rPr>
        <w:t>一節，經濟部106年2月提出智慧電網總體規劃方案</w:t>
      </w:r>
      <w:r w:rsidR="000C1E33" w:rsidRPr="006D5DC2">
        <w:rPr>
          <w:rFonts w:hint="eastAsia"/>
        </w:rPr>
        <w:t>(</w:t>
      </w:r>
      <w:r w:rsidR="003D2422" w:rsidRPr="006D5DC2">
        <w:rPr>
          <w:rFonts w:hint="eastAsia"/>
        </w:rPr>
        <w:t>修正</w:t>
      </w:r>
      <w:r w:rsidR="000C1E33" w:rsidRPr="006D5DC2">
        <w:rPr>
          <w:rFonts w:hint="eastAsia"/>
        </w:rPr>
        <w:t>)</w:t>
      </w:r>
      <w:r w:rsidR="003D2422" w:rsidRPr="006D5DC2">
        <w:rPr>
          <w:rFonts w:hint="eastAsia"/>
        </w:rPr>
        <w:t>時，於其前言載述：「行政院於101年9月3日核定『智慧電網總體規劃方案』，台電公司依方案已於102年完成1萬戶低壓智慧電表建置，另依行政院99年6月1日審查</w:t>
      </w:r>
      <w:r w:rsidR="00A67F68" w:rsidRPr="006D5DC2">
        <w:rPr>
          <w:rFonts w:hint="eastAsia"/>
        </w:rPr>
        <w:t>『</w:t>
      </w:r>
      <w:r w:rsidR="003D2422" w:rsidRPr="006D5DC2">
        <w:rPr>
          <w:rFonts w:hint="eastAsia"/>
        </w:rPr>
        <w:t>智慧型電表基礎建設方案</w:t>
      </w:r>
      <w:r w:rsidR="00A67F68" w:rsidRPr="006D5DC2">
        <w:rPr>
          <w:rFonts w:hint="eastAsia"/>
        </w:rPr>
        <w:t>』</w:t>
      </w:r>
      <w:r w:rsidR="000C1E33" w:rsidRPr="006D5DC2">
        <w:rPr>
          <w:rFonts w:hint="eastAsia"/>
        </w:rPr>
        <w:t>(</w:t>
      </w:r>
      <w:r w:rsidR="003D2422" w:rsidRPr="006D5DC2">
        <w:rPr>
          <w:rFonts w:hint="eastAsia"/>
        </w:rPr>
        <w:t>草案</w:t>
      </w:r>
      <w:r w:rsidR="000C1E33" w:rsidRPr="006D5DC2">
        <w:rPr>
          <w:rFonts w:hint="eastAsia"/>
        </w:rPr>
        <w:t>)</w:t>
      </w:r>
      <w:r w:rsidR="003D2422" w:rsidRPr="006D5DC2">
        <w:rPr>
          <w:rFonts w:hint="eastAsia"/>
        </w:rPr>
        <w:t>會議之結論：</w:t>
      </w:r>
      <w:r w:rsidR="00A67F68" w:rsidRPr="006D5DC2">
        <w:rPr>
          <w:rFonts w:hint="eastAsia"/>
        </w:rPr>
        <w:t>『</w:t>
      </w:r>
      <w:r w:rsidR="003D2422" w:rsidRPr="006D5DC2">
        <w:rPr>
          <w:rFonts w:hint="eastAsia"/>
        </w:rPr>
        <w:t>請經濟部於建置1萬戶測試系統時，同時對時間電價、需量反應及成本效益加強驗證評估，以為後續擴大推動之準據。</w:t>
      </w:r>
      <w:r w:rsidR="00A67F68" w:rsidRPr="006D5DC2">
        <w:rPr>
          <w:rFonts w:hint="eastAsia"/>
        </w:rPr>
        <w:t>』</w:t>
      </w:r>
      <w:r w:rsidR="003D2422" w:rsidRPr="006D5DC2">
        <w:rPr>
          <w:rFonts w:hint="eastAsia"/>
        </w:rPr>
        <w:t>，爰台電公司於103年辦理完成時間電價與需量反應試驗，並於104年1月完成技術驗證與成本效益評估，效益評估結果不佳，歸咎主要因素為</w:t>
      </w:r>
      <w:r w:rsidR="00A67F68" w:rsidRPr="006D5DC2">
        <w:rPr>
          <w:rFonts w:hint="eastAsia"/>
        </w:rPr>
        <w:t>通訊問</w:t>
      </w:r>
      <w:r w:rsidR="00A144F9" w:rsidRPr="006D5DC2">
        <w:rPr>
          <w:rFonts w:hint="eastAsia"/>
        </w:rPr>
        <w:t>題</w:t>
      </w:r>
      <w:r w:rsidR="00A67F68" w:rsidRPr="006D5DC2">
        <w:rPr>
          <w:rFonts w:hint="eastAsia"/>
        </w:rPr>
        <w:t>及建置成本問題。」等語</w:t>
      </w:r>
      <w:r w:rsidR="000C1E33" w:rsidRPr="006D5DC2">
        <w:rPr>
          <w:rFonts w:hint="eastAsia"/>
        </w:rPr>
        <w:t>，坦承1萬戶低壓智慧電表讀表器之</w:t>
      </w:r>
      <w:r w:rsidR="00A144F9" w:rsidRPr="006D5DC2">
        <w:rPr>
          <w:rFonts w:hint="eastAsia"/>
        </w:rPr>
        <w:t>現場通訊設備</w:t>
      </w:r>
      <w:r w:rsidR="00D64BE3" w:rsidRPr="006D5DC2">
        <w:rPr>
          <w:rFonts w:hint="eastAsia"/>
        </w:rPr>
        <w:t>(集中器)</w:t>
      </w:r>
      <w:r w:rsidR="00A144F9" w:rsidRPr="006D5DC2">
        <w:rPr>
          <w:rFonts w:hint="eastAsia"/>
        </w:rPr>
        <w:t>多及電表內建通訊模組等因素將導致運維成本增加，不適合</w:t>
      </w:r>
      <w:r w:rsidR="000C1E33" w:rsidRPr="006D5DC2">
        <w:rPr>
          <w:rFonts w:hint="eastAsia"/>
        </w:rPr>
        <w:t>為「推廣擴散」階段所採。</w:t>
      </w:r>
    </w:p>
    <w:p w:rsidR="00BE1BDA" w:rsidRPr="006D5DC2" w:rsidRDefault="00A67F68" w:rsidP="00D028D2">
      <w:pPr>
        <w:pStyle w:val="3"/>
      </w:pPr>
      <w:r w:rsidRPr="006D5DC2">
        <w:rPr>
          <w:rFonts w:hint="eastAsia"/>
        </w:rPr>
        <w:t>綜上，</w:t>
      </w:r>
      <w:r w:rsidR="007804FA" w:rsidRPr="006D5DC2">
        <w:rPr>
          <w:rFonts w:hint="eastAsia"/>
        </w:rPr>
        <w:t>台電公司智慧型電表之建置，除高壓智慧型電表讀表系統延宕1年半完成外，低壓部分，以目標100萬戶為例，原規劃於104年完成建置，實際迄107年僅完成2</w:t>
      </w:r>
      <w:r w:rsidR="00B936C6" w:rsidRPr="006D5DC2">
        <w:rPr>
          <w:rFonts w:hint="eastAsia"/>
        </w:rPr>
        <w:t>3</w:t>
      </w:r>
      <w:r w:rsidR="007804FA" w:rsidRPr="006D5DC2">
        <w:rPr>
          <w:rFonts w:hint="eastAsia"/>
        </w:rPr>
        <w:t>萬戶電表安裝</w:t>
      </w:r>
      <w:r w:rsidR="000C1E33" w:rsidRPr="006D5DC2">
        <w:rPr>
          <w:rFonts w:hint="eastAsia"/>
        </w:rPr>
        <w:t>(</w:t>
      </w:r>
      <w:r w:rsidR="007804FA" w:rsidRPr="006D5DC2">
        <w:rPr>
          <w:rFonts w:hint="eastAsia"/>
        </w:rPr>
        <w:t>不含系統</w:t>
      </w:r>
      <w:r w:rsidR="000C1E33" w:rsidRPr="006D5DC2">
        <w:rPr>
          <w:rFonts w:hint="eastAsia"/>
        </w:rPr>
        <w:t>部分)</w:t>
      </w:r>
      <w:r w:rsidR="007804FA" w:rsidRPr="006D5DC2">
        <w:rPr>
          <w:rFonts w:hint="eastAsia"/>
        </w:rPr>
        <w:t>，進度更是大幅落後，能否如</w:t>
      </w:r>
      <w:r w:rsidR="000C1E33" w:rsidRPr="006D5DC2">
        <w:rPr>
          <w:rFonts w:hint="eastAsia"/>
        </w:rPr>
        <w:t>106年</w:t>
      </w:r>
      <w:r w:rsidR="007804FA" w:rsidRPr="006D5DC2">
        <w:rPr>
          <w:rFonts w:hint="eastAsia"/>
        </w:rPr>
        <w:t>修正計畫所稱於109年完成，猶屬未定，</w:t>
      </w:r>
      <w:r w:rsidR="00D028D2" w:rsidRPr="006D5DC2">
        <w:rPr>
          <w:rFonts w:hint="eastAsia"/>
        </w:rPr>
        <w:t>允應積極研處，以達政策目標。</w:t>
      </w:r>
    </w:p>
    <w:p w:rsidR="00953327" w:rsidRPr="006D5DC2" w:rsidRDefault="003C5C00" w:rsidP="003C5C00">
      <w:pPr>
        <w:pStyle w:val="2"/>
        <w:rPr>
          <w:b/>
        </w:rPr>
      </w:pPr>
      <w:bookmarkStart w:id="56" w:name="_Toc22114180"/>
      <w:bookmarkStart w:id="57" w:name="_Toc23164730"/>
      <w:r w:rsidRPr="006D5DC2">
        <w:rPr>
          <w:rFonts w:hint="eastAsia"/>
          <w:b/>
        </w:rPr>
        <w:t>台電公司智慧型電表基礎建設係由智慧型電表、通訊系統及控制中心組成。其中，</w:t>
      </w:r>
      <w:r w:rsidR="0071587C" w:rsidRPr="006D5DC2">
        <w:rPr>
          <w:rFonts w:hint="eastAsia"/>
          <w:b/>
        </w:rPr>
        <w:t>99</w:t>
      </w:r>
      <w:r w:rsidR="00E91AAE" w:rsidRPr="006D5DC2">
        <w:rPr>
          <w:rFonts w:hint="eastAsia"/>
          <w:b/>
        </w:rPr>
        <w:t>年至</w:t>
      </w:r>
      <w:r w:rsidR="0071587C" w:rsidRPr="006D5DC2">
        <w:rPr>
          <w:rFonts w:hint="eastAsia"/>
          <w:b/>
        </w:rPr>
        <w:t>101年間驗收合格之</w:t>
      </w:r>
      <w:r w:rsidR="00153EBD" w:rsidRPr="006D5DC2">
        <w:rPr>
          <w:rFonts w:hint="eastAsia"/>
          <w:b/>
        </w:rPr>
        <w:t>大同公司</w:t>
      </w:r>
      <w:r w:rsidRPr="006D5DC2">
        <w:rPr>
          <w:rFonts w:hint="eastAsia"/>
          <w:b/>
        </w:rPr>
        <w:t>高壓智慧型電表</w:t>
      </w:r>
      <w:r w:rsidR="0071587C" w:rsidRPr="006D5DC2">
        <w:rPr>
          <w:rFonts w:hint="eastAsia"/>
          <w:b/>
        </w:rPr>
        <w:t>，</w:t>
      </w:r>
      <w:r w:rsidRPr="006D5DC2">
        <w:rPr>
          <w:rFonts w:hint="eastAsia"/>
          <w:b/>
        </w:rPr>
        <w:t>105年1月</w:t>
      </w:r>
      <w:r w:rsidR="0071587C" w:rsidRPr="006D5DC2">
        <w:rPr>
          <w:rFonts w:hint="eastAsia"/>
          <w:b/>
        </w:rPr>
        <w:t>起</w:t>
      </w:r>
      <w:r w:rsidR="00153EBD" w:rsidRPr="006D5DC2">
        <w:rPr>
          <w:rFonts w:hint="eastAsia"/>
          <w:b/>
        </w:rPr>
        <w:t>「不良回饋系統」</w:t>
      </w:r>
      <w:r w:rsidR="0071587C" w:rsidRPr="006D5DC2">
        <w:rPr>
          <w:rFonts w:hint="eastAsia"/>
          <w:b/>
        </w:rPr>
        <w:t>陸續</w:t>
      </w:r>
      <w:r w:rsidRPr="006D5DC2">
        <w:rPr>
          <w:rFonts w:hint="eastAsia"/>
          <w:b/>
        </w:rPr>
        <w:t>反映</w:t>
      </w:r>
      <w:r w:rsidR="0071587C" w:rsidRPr="006D5DC2">
        <w:rPr>
          <w:rFonts w:hint="eastAsia"/>
          <w:b/>
        </w:rPr>
        <w:t>其</w:t>
      </w:r>
      <w:r w:rsidRPr="006D5DC2">
        <w:rPr>
          <w:rFonts w:hint="eastAsia"/>
          <w:b/>
        </w:rPr>
        <w:t>讀表器介面單元</w:t>
      </w:r>
      <w:r w:rsidR="000C1E33" w:rsidRPr="006D5DC2">
        <w:rPr>
          <w:rFonts w:hint="eastAsia"/>
          <w:b/>
        </w:rPr>
        <w:t>(</w:t>
      </w:r>
      <w:r w:rsidRPr="006D5DC2">
        <w:rPr>
          <w:rFonts w:hint="eastAsia"/>
          <w:b/>
        </w:rPr>
        <w:t>MIU</w:t>
      </w:r>
      <w:r w:rsidR="000C1E33" w:rsidRPr="006D5DC2">
        <w:rPr>
          <w:rFonts w:hint="eastAsia"/>
          <w:b/>
        </w:rPr>
        <w:t>)</w:t>
      </w:r>
      <w:r w:rsidRPr="006D5DC2">
        <w:rPr>
          <w:rFonts w:hint="eastAsia"/>
          <w:b/>
        </w:rPr>
        <w:t>故障，惟台電公司</w:t>
      </w:r>
      <w:r w:rsidR="0071587C" w:rsidRPr="006D5DC2">
        <w:rPr>
          <w:rFonts w:hint="eastAsia"/>
          <w:b/>
        </w:rPr>
        <w:t>明知</w:t>
      </w:r>
      <w:r w:rsidR="00153EBD" w:rsidRPr="006D5DC2">
        <w:rPr>
          <w:rFonts w:hint="eastAsia"/>
          <w:b/>
        </w:rPr>
        <w:t>契約</w:t>
      </w:r>
      <w:r w:rsidR="0071587C" w:rsidRPr="006D5DC2">
        <w:rPr>
          <w:rFonts w:hint="eastAsia"/>
          <w:b/>
        </w:rPr>
        <w:t>規定</w:t>
      </w:r>
      <w:r w:rsidR="00153EBD" w:rsidRPr="006D5DC2">
        <w:rPr>
          <w:rFonts w:hint="eastAsia"/>
          <w:b/>
        </w:rPr>
        <w:t>全數換貨期限為</w:t>
      </w:r>
      <w:r w:rsidR="0071587C" w:rsidRPr="006D5DC2">
        <w:rPr>
          <w:rFonts w:hint="eastAsia"/>
          <w:b/>
        </w:rPr>
        <w:t>驗收合格日起5年內</w:t>
      </w:r>
      <w:r w:rsidR="008756E4" w:rsidRPr="006D5DC2">
        <w:rPr>
          <w:rFonts w:hint="eastAsia"/>
          <w:b/>
        </w:rPr>
        <w:t>，</w:t>
      </w:r>
      <w:r w:rsidR="0071587C" w:rsidRPr="006D5DC2">
        <w:rPr>
          <w:rFonts w:hint="eastAsia"/>
          <w:b/>
        </w:rPr>
        <w:t>倘超過門檻</w:t>
      </w:r>
      <w:r w:rsidR="000C1E33" w:rsidRPr="006D5DC2">
        <w:rPr>
          <w:rFonts w:hint="eastAsia"/>
          <w:b/>
        </w:rPr>
        <w:t>(</w:t>
      </w:r>
      <w:r w:rsidR="0071587C" w:rsidRPr="006D5DC2">
        <w:rPr>
          <w:rFonts w:hint="eastAsia"/>
          <w:b/>
        </w:rPr>
        <w:t>5%或1%</w:t>
      </w:r>
      <w:r w:rsidR="000C1E33" w:rsidRPr="006D5DC2">
        <w:rPr>
          <w:rFonts w:hint="eastAsia"/>
          <w:b/>
        </w:rPr>
        <w:t>)</w:t>
      </w:r>
      <w:r w:rsidR="0071587C" w:rsidRPr="006D5DC2">
        <w:rPr>
          <w:rFonts w:hint="eastAsia"/>
          <w:b/>
        </w:rPr>
        <w:t>廠商應全數換貨，卻拖延</w:t>
      </w:r>
      <w:r w:rsidRPr="006D5DC2">
        <w:rPr>
          <w:rFonts w:hint="eastAsia"/>
          <w:b/>
        </w:rPr>
        <w:t>迄106年7月26日始確認各</w:t>
      </w:r>
      <w:r w:rsidR="0071587C" w:rsidRPr="006D5DC2">
        <w:rPr>
          <w:rFonts w:hint="eastAsia"/>
          <w:b/>
        </w:rPr>
        <w:t>契約之</w:t>
      </w:r>
      <w:r w:rsidRPr="006D5DC2">
        <w:rPr>
          <w:rFonts w:hint="eastAsia"/>
          <w:b/>
        </w:rPr>
        <w:t>故障</w:t>
      </w:r>
      <w:r w:rsidR="00153EBD" w:rsidRPr="006D5DC2">
        <w:rPr>
          <w:rFonts w:hint="eastAsia"/>
          <w:b/>
        </w:rPr>
        <w:t>率</w:t>
      </w:r>
      <w:r w:rsidRPr="006D5DC2">
        <w:rPr>
          <w:rFonts w:hint="eastAsia"/>
          <w:b/>
        </w:rPr>
        <w:t>，</w:t>
      </w:r>
      <w:r w:rsidR="0071587C" w:rsidRPr="006D5DC2">
        <w:rPr>
          <w:rFonts w:hint="eastAsia"/>
          <w:b/>
        </w:rPr>
        <w:t>並函請</w:t>
      </w:r>
      <w:r w:rsidR="001745F4" w:rsidRPr="006D5DC2">
        <w:rPr>
          <w:rFonts w:hint="eastAsia"/>
          <w:b/>
        </w:rPr>
        <w:lastRenderedPageBreak/>
        <w:t>廠商依約辦理</w:t>
      </w:r>
      <w:r w:rsidR="0071587C" w:rsidRPr="006D5DC2">
        <w:rPr>
          <w:rFonts w:hint="eastAsia"/>
          <w:b/>
        </w:rPr>
        <w:t>「</w:t>
      </w:r>
      <w:r w:rsidRPr="006D5DC2">
        <w:rPr>
          <w:rFonts w:hint="eastAsia"/>
          <w:b/>
        </w:rPr>
        <w:t>全數換貨</w:t>
      </w:r>
      <w:r w:rsidR="0071587C" w:rsidRPr="006D5DC2">
        <w:rPr>
          <w:rFonts w:hint="eastAsia"/>
          <w:b/>
        </w:rPr>
        <w:t>」</w:t>
      </w:r>
      <w:r w:rsidR="000C1E33" w:rsidRPr="006D5DC2">
        <w:rPr>
          <w:rFonts w:hint="eastAsia"/>
          <w:b/>
        </w:rPr>
        <w:t>(</w:t>
      </w:r>
      <w:r w:rsidR="0071587C" w:rsidRPr="006D5DC2">
        <w:rPr>
          <w:rFonts w:hint="eastAsia"/>
          <w:b/>
        </w:rPr>
        <w:t>3採購</w:t>
      </w:r>
      <w:r w:rsidR="00153EBD" w:rsidRPr="006D5DC2">
        <w:rPr>
          <w:rFonts w:hint="eastAsia"/>
          <w:b/>
        </w:rPr>
        <w:t>契約故障率超標，</w:t>
      </w:r>
      <w:r w:rsidR="0071587C" w:rsidRPr="006D5DC2">
        <w:rPr>
          <w:rFonts w:hint="eastAsia"/>
          <w:b/>
        </w:rPr>
        <w:t>共</w:t>
      </w:r>
      <w:r w:rsidR="002F1C15" w:rsidRPr="006D5DC2">
        <w:rPr>
          <w:rFonts w:hint="eastAsia"/>
          <w:b/>
        </w:rPr>
        <w:t>10</w:t>
      </w:r>
      <w:r w:rsidR="0071587C" w:rsidRPr="006D5DC2">
        <w:rPr>
          <w:rFonts w:hint="eastAsia"/>
          <w:b/>
        </w:rPr>
        <w:t>,</w:t>
      </w:r>
      <w:r w:rsidR="002F1C15" w:rsidRPr="006D5DC2">
        <w:rPr>
          <w:rFonts w:hint="eastAsia"/>
          <w:b/>
        </w:rPr>
        <w:t>850具</w:t>
      </w:r>
      <w:r w:rsidR="000C1E33" w:rsidRPr="006D5DC2">
        <w:rPr>
          <w:rFonts w:hint="eastAsia"/>
          <w:b/>
        </w:rPr>
        <w:t>)</w:t>
      </w:r>
      <w:r w:rsidRPr="006D5DC2">
        <w:rPr>
          <w:rFonts w:hint="eastAsia"/>
          <w:b/>
        </w:rPr>
        <w:t>，核其</w:t>
      </w:r>
      <w:r w:rsidR="002F1C15" w:rsidRPr="006D5DC2">
        <w:rPr>
          <w:rFonts w:hint="eastAsia"/>
          <w:b/>
        </w:rPr>
        <w:t>對故障數量之掌握</w:t>
      </w:r>
      <w:r w:rsidR="0071587C" w:rsidRPr="006D5DC2">
        <w:rPr>
          <w:rFonts w:hint="eastAsia"/>
          <w:b/>
        </w:rPr>
        <w:t>及處理</w:t>
      </w:r>
      <w:r w:rsidRPr="006D5DC2">
        <w:rPr>
          <w:rFonts w:hint="eastAsia"/>
          <w:b/>
        </w:rPr>
        <w:t>，</w:t>
      </w:r>
      <w:r w:rsidR="0071587C" w:rsidRPr="006D5DC2">
        <w:rPr>
          <w:rFonts w:hint="eastAsia"/>
          <w:b/>
        </w:rPr>
        <w:t>顯有</w:t>
      </w:r>
      <w:r w:rsidRPr="006D5DC2">
        <w:rPr>
          <w:rFonts w:hint="eastAsia"/>
          <w:b/>
        </w:rPr>
        <w:t>怠失。</w:t>
      </w:r>
      <w:bookmarkEnd w:id="56"/>
      <w:bookmarkEnd w:id="57"/>
    </w:p>
    <w:p w:rsidR="00953327" w:rsidRPr="006D5DC2" w:rsidRDefault="001D65AE" w:rsidP="00CA720C">
      <w:pPr>
        <w:pStyle w:val="3"/>
      </w:pPr>
      <w:r w:rsidRPr="006D5DC2">
        <w:rPr>
          <w:rFonts w:hint="eastAsia"/>
        </w:rPr>
        <w:t>查台電公司</w:t>
      </w:r>
      <w:r w:rsidR="00B00EF5" w:rsidRPr="006D5DC2">
        <w:rPr>
          <w:rFonts w:hint="eastAsia"/>
        </w:rPr>
        <w:t>考量售電量、用戶數及電費收入等因素，於96年5月起開始辦理高壓AMI智慧型電表基礎建設，推動期間為考量</w:t>
      </w:r>
      <w:r w:rsidRPr="006D5DC2">
        <w:rPr>
          <w:rFonts w:hint="eastAsia"/>
        </w:rPr>
        <w:t>高壓AMI智慧型電表</w:t>
      </w:r>
      <w:r w:rsidR="00B00EF5" w:rsidRPr="006D5DC2">
        <w:rPr>
          <w:rFonts w:hint="eastAsia"/>
        </w:rPr>
        <w:t>開放性及現場設備</w:t>
      </w:r>
      <w:r w:rsidR="000C1E33" w:rsidRPr="006D5DC2">
        <w:rPr>
          <w:rFonts w:hint="eastAsia"/>
        </w:rPr>
        <w:t>(</w:t>
      </w:r>
      <w:r w:rsidR="00B00EF5" w:rsidRPr="006D5DC2">
        <w:rPr>
          <w:rFonts w:hint="eastAsia"/>
        </w:rPr>
        <w:t>AMI電表</w:t>
      </w:r>
      <w:r w:rsidR="000C1E33" w:rsidRPr="006D5DC2">
        <w:rPr>
          <w:rFonts w:hint="eastAsia"/>
        </w:rPr>
        <w:t>)</w:t>
      </w:r>
      <w:r w:rsidR="00B00EF5" w:rsidRPr="006D5DC2">
        <w:rPr>
          <w:rFonts w:hint="eastAsia"/>
        </w:rPr>
        <w:t>之可替代性，決定</w:t>
      </w:r>
      <w:r w:rsidR="00CA720C" w:rsidRPr="006D5DC2">
        <w:rPr>
          <w:rFonts w:hint="eastAsia"/>
        </w:rPr>
        <w:t>系統</w:t>
      </w:r>
      <w:r w:rsidR="00B00EF5" w:rsidRPr="006D5DC2">
        <w:rPr>
          <w:rFonts w:hint="eastAsia"/>
        </w:rPr>
        <w:t>及</w:t>
      </w:r>
      <w:r w:rsidR="00CA720C" w:rsidRPr="006D5DC2">
        <w:rPr>
          <w:rFonts w:hint="eastAsia"/>
        </w:rPr>
        <w:t>AMI電表</w:t>
      </w:r>
      <w:r w:rsidR="00B00EF5" w:rsidRPr="006D5DC2">
        <w:rPr>
          <w:rFonts w:hint="eastAsia"/>
        </w:rPr>
        <w:t>採分開發包方式辦理。其中</w:t>
      </w:r>
      <w:r w:rsidR="00CA720C" w:rsidRPr="006D5DC2">
        <w:rPr>
          <w:rFonts w:hint="eastAsia"/>
        </w:rPr>
        <w:t>系統部分，招標名稱：讀表器建置壹批</w:t>
      </w:r>
      <w:r w:rsidR="000C1E33" w:rsidRPr="006D5DC2">
        <w:rPr>
          <w:rFonts w:hint="eastAsia"/>
        </w:rPr>
        <w:t>(</w:t>
      </w:r>
      <w:r w:rsidR="00CA720C" w:rsidRPr="006D5DC2">
        <w:rPr>
          <w:rFonts w:hint="eastAsia"/>
        </w:rPr>
        <w:t>採購案號008-9600125</w:t>
      </w:r>
      <w:r w:rsidR="000C1E33" w:rsidRPr="006D5DC2">
        <w:rPr>
          <w:rFonts w:hint="eastAsia"/>
        </w:rPr>
        <w:t>)</w:t>
      </w:r>
      <w:r w:rsidR="00CA720C" w:rsidRPr="006D5DC2">
        <w:rPr>
          <w:rFonts w:hint="eastAsia"/>
        </w:rPr>
        <w:t>，97年5月21日決標，得標廠商大同</w:t>
      </w:r>
      <w:r w:rsidR="00E835AC" w:rsidRPr="006D5DC2">
        <w:rPr>
          <w:rFonts w:hint="eastAsia"/>
        </w:rPr>
        <w:t>股份有限</w:t>
      </w:r>
      <w:r w:rsidR="00CA720C" w:rsidRPr="006D5DC2">
        <w:rPr>
          <w:rFonts w:hint="eastAsia"/>
        </w:rPr>
        <w:t>公司</w:t>
      </w:r>
      <w:r w:rsidR="004A5750" w:rsidRPr="006D5DC2">
        <w:rPr>
          <w:rStyle w:val="afe"/>
        </w:rPr>
        <w:footnoteReference w:id="4"/>
      </w:r>
      <w:r w:rsidR="00E835AC" w:rsidRPr="006D5DC2">
        <w:rPr>
          <w:rFonts w:hint="eastAsia"/>
        </w:rPr>
        <w:t>(下稱大同公司)</w:t>
      </w:r>
      <w:r w:rsidR="000C1E33" w:rsidRPr="006D5DC2">
        <w:rPr>
          <w:rFonts w:hint="eastAsia"/>
        </w:rPr>
        <w:t>，契約</w:t>
      </w:r>
      <w:r w:rsidR="00CA720C" w:rsidRPr="006D5DC2">
        <w:rPr>
          <w:rFonts w:hint="eastAsia"/>
        </w:rPr>
        <w:t>總金額</w:t>
      </w:r>
      <w:r w:rsidR="00413408" w:rsidRPr="006D5DC2">
        <w:rPr>
          <w:rFonts w:hint="eastAsia"/>
        </w:rPr>
        <w:t>新臺幣(下同)</w:t>
      </w:r>
      <w:r w:rsidR="00CA720C" w:rsidRPr="006D5DC2">
        <w:rPr>
          <w:rFonts w:hint="eastAsia"/>
        </w:rPr>
        <w:t>49,568,400元</w:t>
      </w:r>
      <w:r w:rsidR="000C1E33" w:rsidRPr="006D5DC2">
        <w:rPr>
          <w:rFonts w:hint="eastAsia"/>
        </w:rPr>
        <w:t>(</w:t>
      </w:r>
      <w:r w:rsidR="00CA720C" w:rsidRPr="006D5DC2">
        <w:rPr>
          <w:rFonts w:hint="eastAsia"/>
        </w:rPr>
        <w:t>含稅，</w:t>
      </w:r>
      <w:r w:rsidR="000C1E33" w:rsidRPr="006D5DC2">
        <w:rPr>
          <w:rFonts w:hint="eastAsia"/>
        </w:rPr>
        <w:t>契約</w:t>
      </w:r>
      <w:r w:rsidR="00CA720C" w:rsidRPr="006D5DC2">
        <w:rPr>
          <w:rFonts w:hint="eastAsia"/>
        </w:rPr>
        <w:t>編號：008-970160125</w:t>
      </w:r>
      <w:r w:rsidR="000C1E33" w:rsidRPr="006D5DC2">
        <w:rPr>
          <w:rFonts w:hint="eastAsia"/>
        </w:rPr>
        <w:t>)</w:t>
      </w:r>
      <w:r w:rsidR="00CA720C" w:rsidRPr="006D5DC2">
        <w:rPr>
          <w:rFonts w:hint="eastAsia"/>
        </w:rPr>
        <w:t>。AMI電表部分，</w:t>
      </w:r>
      <w:r w:rsidR="00352322" w:rsidRPr="006D5DC2">
        <w:rPr>
          <w:rFonts w:hint="eastAsia"/>
        </w:rPr>
        <w:t>布建</w:t>
      </w:r>
      <w:r w:rsidRPr="006D5DC2">
        <w:rPr>
          <w:rFonts w:hint="eastAsia"/>
        </w:rPr>
        <w:t>歷程略以，</w:t>
      </w:r>
    </w:p>
    <w:p w:rsidR="001D65AE" w:rsidRPr="006D5DC2" w:rsidRDefault="001D65AE" w:rsidP="001D65AE">
      <w:pPr>
        <w:pStyle w:val="4"/>
      </w:pPr>
      <w:r w:rsidRPr="006D5DC2">
        <w:rPr>
          <w:rFonts w:hint="eastAsia"/>
        </w:rPr>
        <w:t>98年7月辦理第1批高壓AMI採購</w:t>
      </w:r>
      <w:r w:rsidR="000C1E33" w:rsidRPr="006D5DC2">
        <w:rPr>
          <w:rFonts w:hint="eastAsia"/>
        </w:rPr>
        <w:t>(</w:t>
      </w:r>
      <w:r w:rsidRPr="006D5DC2">
        <w:rPr>
          <w:rFonts w:hint="eastAsia"/>
        </w:rPr>
        <w:t>計606具</w:t>
      </w:r>
      <w:r w:rsidR="00F27958" w:rsidRPr="006D5DC2">
        <w:rPr>
          <w:rFonts w:hint="eastAsia"/>
        </w:rPr>
        <w:t>，採購案號008-9800073</w:t>
      </w:r>
      <w:r w:rsidR="000C1E33" w:rsidRPr="006D5DC2">
        <w:rPr>
          <w:rFonts w:hint="eastAsia"/>
        </w:rPr>
        <w:t>)</w:t>
      </w:r>
      <w:r w:rsidRPr="006D5DC2">
        <w:rPr>
          <w:rFonts w:hint="eastAsia"/>
        </w:rPr>
        <w:t>作業</w:t>
      </w:r>
      <w:r w:rsidR="00F27958" w:rsidRPr="006D5DC2">
        <w:rPr>
          <w:rFonts w:hint="eastAsia"/>
        </w:rPr>
        <w:t>，99年1月18日決標，大同公司得標</w:t>
      </w:r>
      <w:r w:rsidR="000C1E33" w:rsidRPr="006D5DC2">
        <w:rPr>
          <w:rFonts w:hint="eastAsia"/>
        </w:rPr>
        <w:t>(契約編號</w:t>
      </w:r>
      <w:r w:rsidR="00E9687B" w:rsidRPr="006D5DC2">
        <w:rPr>
          <w:rFonts w:hint="eastAsia"/>
        </w:rPr>
        <w:t>008-990180073A</w:t>
      </w:r>
      <w:r w:rsidR="000C1E33" w:rsidRPr="006D5DC2">
        <w:rPr>
          <w:rFonts w:hint="eastAsia"/>
        </w:rPr>
        <w:t>)</w:t>
      </w:r>
      <w:r w:rsidR="00F27958" w:rsidRPr="006D5DC2">
        <w:rPr>
          <w:rFonts w:hint="eastAsia"/>
        </w:rPr>
        <w:t>。</w:t>
      </w:r>
    </w:p>
    <w:p w:rsidR="001D65AE" w:rsidRPr="006D5DC2" w:rsidRDefault="001D65AE" w:rsidP="001D65AE">
      <w:pPr>
        <w:pStyle w:val="4"/>
      </w:pPr>
      <w:r w:rsidRPr="006D5DC2">
        <w:rPr>
          <w:rFonts w:hint="eastAsia"/>
        </w:rPr>
        <w:t>100年1月辦理第2批高壓AMI採購</w:t>
      </w:r>
      <w:r w:rsidR="000C1E33" w:rsidRPr="006D5DC2">
        <w:rPr>
          <w:rFonts w:hint="eastAsia"/>
        </w:rPr>
        <w:t>(</w:t>
      </w:r>
      <w:r w:rsidRPr="006D5DC2">
        <w:rPr>
          <w:rFonts w:hint="eastAsia"/>
        </w:rPr>
        <w:t>計850具</w:t>
      </w:r>
      <w:r w:rsidR="00F27958" w:rsidRPr="006D5DC2">
        <w:rPr>
          <w:rFonts w:hint="eastAsia"/>
        </w:rPr>
        <w:t>，採購案號008-0000013</w:t>
      </w:r>
      <w:r w:rsidR="000C1E33" w:rsidRPr="006D5DC2">
        <w:rPr>
          <w:rFonts w:hint="eastAsia"/>
        </w:rPr>
        <w:t>)</w:t>
      </w:r>
      <w:r w:rsidRPr="006D5DC2">
        <w:rPr>
          <w:rFonts w:hint="eastAsia"/>
        </w:rPr>
        <w:t>作業</w:t>
      </w:r>
      <w:r w:rsidR="00F27958" w:rsidRPr="006D5DC2">
        <w:rPr>
          <w:rFonts w:hint="eastAsia"/>
        </w:rPr>
        <w:t>，100年3月21日決標，得標廠商大同公司</w:t>
      </w:r>
      <w:r w:rsidR="000C1E33" w:rsidRPr="006D5DC2">
        <w:rPr>
          <w:rFonts w:hint="eastAsia"/>
        </w:rPr>
        <w:t>(契約編號</w:t>
      </w:r>
      <w:r w:rsidR="00E9687B" w:rsidRPr="006D5DC2">
        <w:rPr>
          <w:rFonts w:hint="eastAsia"/>
        </w:rPr>
        <w:t>008-000100013A</w:t>
      </w:r>
      <w:r w:rsidR="000C1E33" w:rsidRPr="006D5DC2">
        <w:rPr>
          <w:rFonts w:hint="eastAsia"/>
        </w:rPr>
        <w:t>)</w:t>
      </w:r>
      <w:r w:rsidR="00F27958" w:rsidRPr="006D5DC2">
        <w:rPr>
          <w:rFonts w:hint="eastAsia"/>
        </w:rPr>
        <w:t>。</w:t>
      </w:r>
    </w:p>
    <w:p w:rsidR="001D65AE" w:rsidRPr="006D5DC2" w:rsidRDefault="001D65AE" w:rsidP="001D65AE">
      <w:pPr>
        <w:pStyle w:val="4"/>
      </w:pPr>
      <w:r w:rsidRPr="006D5DC2">
        <w:rPr>
          <w:rFonts w:hint="eastAsia"/>
        </w:rPr>
        <w:t>100年4月啟動第3批高壓AMI採購作業</w:t>
      </w:r>
      <w:r w:rsidR="000C1E33" w:rsidRPr="006D5DC2">
        <w:rPr>
          <w:rFonts w:hint="eastAsia"/>
        </w:rPr>
        <w:t>(</w:t>
      </w:r>
      <w:r w:rsidRPr="006D5DC2">
        <w:rPr>
          <w:rFonts w:hint="eastAsia"/>
        </w:rPr>
        <w:t>計7</w:t>
      </w:r>
      <w:r w:rsidR="00C7029D" w:rsidRPr="006D5DC2">
        <w:rPr>
          <w:rFonts w:hint="eastAsia"/>
        </w:rPr>
        <w:t>,</w:t>
      </w:r>
      <w:r w:rsidRPr="006D5DC2">
        <w:rPr>
          <w:rFonts w:hint="eastAsia"/>
        </w:rPr>
        <w:t>000具</w:t>
      </w:r>
      <w:r w:rsidR="00F27958" w:rsidRPr="006D5DC2">
        <w:rPr>
          <w:rFonts w:hint="eastAsia"/>
        </w:rPr>
        <w:t>，採購案號008-0000078</w:t>
      </w:r>
      <w:r w:rsidR="000C1E33" w:rsidRPr="006D5DC2">
        <w:rPr>
          <w:rFonts w:hint="eastAsia"/>
        </w:rPr>
        <w:t>)</w:t>
      </w:r>
      <w:r w:rsidRPr="006D5DC2">
        <w:rPr>
          <w:rFonts w:hint="eastAsia"/>
        </w:rPr>
        <w:t>，惟電表廠商針對交貨期限及廠商投標資格等提出疑義，經考量後延至100年8月辦理採購，</w:t>
      </w:r>
      <w:r w:rsidR="00F27958" w:rsidRPr="006D5DC2">
        <w:rPr>
          <w:rFonts w:hint="eastAsia"/>
        </w:rPr>
        <w:t>同年11月，</w:t>
      </w:r>
      <w:r w:rsidR="00DF1871" w:rsidRPr="006D5DC2">
        <w:rPr>
          <w:rFonts w:hint="eastAsia"/>
        </w:rPr>
        <w:t>中興電工機械股份有限公司(下稱中興公司)</w:t>
      </w:r>
      <w:r w:rsidR="00E9687B" w:rsidRPr="006D5DC2">
        <w:rPr>
          <w:rFonts w:hint="eastAsia"/>
        </w:rPr>
        <w:t>承製3</w:t>
      </w:r>
      <w:r w:rsidR="000C1E33" w:rsidRPr="006D5DC2">
        <w:rPr>
          <w:rFonts w:hint="eastAsia"/>
        </w:rPr>
        <w:t>,</w:t>
      </w:r>
      <w:r w:rsidR="00E9687B" w:rsidRPr="006D5DC2">
        <w:rPr>
          <w:rFonts w:hint="eastAsia"/>
        </w:rPr>
        <w:t>500具，</w:t>
      </w:r>
      <w:r w:rsidR="00F27958" w:rsidRPr="006D5DC2">
        <w:rPr>
          <w:rFonts w:hint="eastAsia"/>
        </w:rPr>
        <w:t>大同公司</w:t>
      </w:r>
      <w:r w:rsidR="00E9687B" w:rsidRPr="006D5DC2">
        <w:rPr>
          <w:rFonts w:hint="eastAsia"/>
        </w:rPr>
        <w:t>承製3</w:t>
      </w:r>
      <w:r w:rsidR="000C1E33" w:rsidRPr="006D5DC2">
        <w:rPr>
          <w:rFonts w:hint="eastAsia"/>
        </w:rPr>
        <w:t>,</w:t>
      </w:r>
      <w:r w:rsidR="00E9687B" w:rsidRPr="006D5DC2">
        <w:rPr>
          <w:rFonts w:hint="eastAsia"/>
        </w:rPr>
        <w:t>500具</w:t>
      </w:r>
      <w:r w:rsidR="000C1E33" w:rsidRPr="006D5DC2">
        <w:rPr>
          <w:rFonts w:hint="eastAsia"/>
        </w:rPr>
        <w:t>(契約編號</w:t>
      </w:r>
      <w:r w:rsidR="00E9687B" w:rsidRPr="006D5DC2">
        <w:rPr>
          <w:rFonts w:hint="eastAsia"/>
        </w:rPr>
        <w:t>008-000100078B</w:t>
      </w:r>
      <w:r w:rsidR="000C1E33" w:rsidRPr="006D5DC2">
        <w:rPr>
          <w:rFonts w:hint="eastAsia"/>
        </w:rPr>
        <w:t>)</w:t>
      </w:r>
      <w:r w:rsidR="00F27958" w:rsidRPr="006D5DC2">
        <w:rPr>
          <w:rFonts w:hint="eastAsia"/>
        </w:rPr>
        <w:t>。</w:t>
      </w:r>
      <w:r w:rsidRPr="006D5DC2">
        <w:rPr>
          <w:rFonts w:hint="eastAsia"/>
        </w:rPr>
        <w:t>101年7月完成高壓AMI電表與系統連線作業。</w:t>
      </w:r>
    </w:p>
    <w:p w:rsidR="001D65AE" w:rsidRPr="006D5DC2" w:rsidRDefault="001D65AE" w:rsidP="003C59BE">
      <w:pPr>
        <w:pStyle w:val="4"/>
      </w:pPr>
      <w:r w:rsidRPr="006D5DC2">
        <w:rPr>
          <w:rFonts w:hint="eastAsia"/>
        </w:rPr>
        <w:t>101年3月辦理第4批高壓AMI電採購作業</w:t>
      </w:r>
      <w:r w:rsidR="000C1E33" w:rsidRPr="006D5DC2">
        <w:rPr>
          <w:rFonts w:hint="eastAsia"/>
        </w:rPr>
        <w:t>(</w:t>
      </w:r>
      <w:r w:rsidRPr="006D5DC2">
        <w:rPr>
          <w:rFonts w:hint="eastAsia"/>
        </w:rPr>
        <w:t>約</w:t>
      </w:r>
      <w:r w:rsidR="00F27958" w:rsidRPr="006D5DC2">
        <w:rPr>
          <w:rFonts w:hint="eastAsia"/>
        </w:rPr>
        <w:lastRenderedPageBreak/>
        <w:t>1</w:t>
      </w:r>
      <w:r w:rsidRPr="006D5DC2">
        <w:rPr>
          <w:rFonts w:hint="eastAsia"/>
        </w:rPr>
        <w:t>8</w:t>
      </w:r>
      <w:r w:rsidR="00C7029D" w:rsidRPr="006D5DC2">
        <w:rPr>
          <w:rFonts w:hint="eastAsia"/>
        </w:rPr>
        <w:t>,</w:t>
      </w:r>
      <w:r w:rsidR="0065342F" w:rsidRPr="006D5DC2">
        <w:rPr>
          <w:rFonts w:hint="eastAsia"/>
        </w:rPr>
        <w:t>760</w:t>
      </w:r>
      <w:r w:rsidRPr="006D5DC2">
        <w:rPr>
          <w:rFonts w:hint="eastAsia"/>
        </w:rPr>
        <w:t>具</w:t>
      </w:r>
      <w:r w:rsidR="00F27958" w:rsidRPr="006D5DC2">
        <w:rPr>
          <w:rFonts w:hint="eastAsia"/>
        </w:rPr>
        <w:t>，採購案號008-0101028</w:t>
      </w:r>
      <w:r w:rsidR="000C1E33" w:rsidRPr="006D5DC2">
        <w:rPr>
          <w:rFonts w:hint="eastAsia"/>
        </w:rPr>
        <w:t>)</w:t>
      </w:r>
      <w:r w:rsidRPr="006D5DC2">
        <w:rPr>
          <w:rFonts w:hint="eastAsia"/>
        </w:rPr>
        <w:t>，</w:t>
      </w:r>
      <w:r w:rsidR="00F27958" w:rsidRPr="006D5DC2">
        <w:rPr>
          <w:rFonts w:hint="eastAsia"/>
        </w:rPr>
        <w:t>101年8月10日決標，分由大同公司承製6</w:t>
      </w:r>
      <w:r w:rsidR="000C1E33" w:rsidRPr="006D5DC2">
        <w:rPr>
          <w:rFonts w:hint="eastAsia"/>
        </w:rPr>
        <w:t>,</w:t>
      </w:r>
      <w:r w:rsidR="00F27958" w:rsidRPr="006D5DC2">
        <w:rPr>
          <w:rFonts w:hint="eastAsia"/>
        </w:rPr>
        <w:t>500具</w:t>
      </w:r>
      <w:r w:rsidR="000C1E33" w:rsidRPr="006D5DC2">
        <w:rPr>
          <w:rFonts w:hint="eastAsia"/>
        </w:rPr>
        <w:t>(契約編號</w:t>
      </w:r>
      <w:r w:rsidR="00E9687B" w:rsidRPr="006D5DC2">
        <w:rPr>
          <w:rFonts w:hint="eastAsia"/>
        </w:rPr>
        <w:t>008-10111028A</w:t>
      </w:r>
      <w:r w:rsidR="000C1E33" w:rsidRPr="006D5DC2">
        <w:rPr>
          <w:rFonts w:hint="eastAsia"/>
        </w:rPr>
        <w:t>)</w:t>
      </w:r>
      <w:r w:rsidR="00F27958" w:rsidRPr="006D5DC2">
        <w:rPr>
          <w:rFonts w:hint="eastAsia"/>
        </w:rPr>
        <w:t>，中興公司承製6</w:t>
      </w:r>
      <w:r w:rsidR="000C1E33" w:rsidRPr="006D5DC2">
        <w:rPr>
          <w:rFonts w:hint="eastAsia"/>
        </w:rPr>
        <w:t>,</w:t>
      </w:r>
      <w:r w:rsidR="0065342F" w:rsidRPr="006D5DC2">
        <w:rPr>
          <w:rFonts w:hint="eastAsia"/>
        </w:rPr>
        <w:t>9</w:t>
      </w:r>
      <w:r w:rsidR="00F27958" w:rsidRPr="006D5DC2">
        <w:rPr>
          <w:rFonts w:hint="eastAsia"/>
        </w:rPr>
        <w:t>00具，</w:t>
      </w:r>
      <w:r w:rsidR="003C59BE" w:rsidRPr="006D5DC2">
        <w:rPr>
          <w:rFonts w:hint="eastAsia"/>
        </w:rPr>
        <w:t>斯其大科技股份有限公司</w:t>
      </w:r>
      <w:r w:rsidR="00F27958" w:rsidRPr="006D5DC2">
        <w:rPr>
          <w:rFonts w:hint="eastAsia"/>
        </w:rPr>
        <w:t>承製5</w:t>
      </w:r>
      <w:r w:rsidR="000C1E33" w:rsidRPr="006D5DC2">
        <w:rPr>
          <w:rFonts w:hint="eastAsia"/>
        </w:rPr>
        <w:t>,</w:t>
      </w:r>
      <w:r w:rsidR="00F27958" w:rsidRPr="006D5DC2">
        <w:rPr>
          <w:rFonts w:hint="eastAsia"/>
        </w:rPr>
        <w:t>360具，1</w:t>
      </w:r>
      <w:r w:rsidRPr="006D5DC2">
        <w:rPr>
          <w:rFonts w:hint="eastAsia"/>
        </w:rPr>
        <w:t>02年6月完成全數高壓AMI電表與系統連線作業</w:t>
      </w:r>
      <w:r w:rsidR="000C1E33" w:rsidRPr="006D5DC2">
        <w:rPr>
          <w:rFonts w:hint="eastAsia"/>
        </w:rPr>
        <w:t>(</w:t>
      </w:r>
      <w:r w:rsidRPr="006D5DC2">
        <w:rPr>
          <w:rFonts w:hint="eastAsia"/>
        </w:rPr>
        <w:t>約24</w:t>
      </w:r>
      <w:r w:rsidR="000C1E33" w:rsidRPr="006D5DC2">
        <w:rPr>
          <w:rFonts w:hint="eastAsia"/>
        </w:rPr>
        <w:t>,</w:t>
      </w:r>
      <w:r w:rsidRPr="006D5DC2">
        <w:rPr>
          <w:rFonts w:hint="eastAsia"/>
        </w:rPr>
        <w:t>123戶</w:t>
      </w:r>
      <w:r w:rsidR="000C1E33" w:rsidRPr="006D5DC2">
        <w:rPr>
          <w:rFonts w:hint="eastAsia"/>
        </w:rPr>
        <w:t>)</w:t>
      </w:r>
      <w:r w:rsidR="00C7029D" w:rsidRPr="006D5DC2">
        <w:rPr>
          <w:rFonts w:hint="eastAsia"/>
        </w:rPr>
        <w:t>。</w:t>
      </w:r>
    </w:p>
    <w:p w:rsidR="00F27958" w:rsidRPr="006D5DC2" w:rsidRDefault="00F27958" w:rsidP="00F27958">
      <w:pPr>
        <w:pStyle w:val="3"/>
      </w:pPr>
      <w:r w:rsidRPr="006D5DC2">
        <w:rPr>
          <w:rFonts w:hint="eastAsia"/>
        </w:rPr>
        <w:t>次查</w:t>
      </w:r>
      <w:r w:rsidR="00E9687B" w:rsidRPr="006D5DC2">
        <w:rPr>
          <w:rFonts w:hint="eastAsia"/>
        </w:rPr>
        <w:t>前述大同公司承製之高壓AMI之</w:t>
      </w:r>
      <w:r w:rsidR="000C1E33" w:rsidRPr="006D5DC2">
        <w:rPr>
          <w:rFonts w:hint="eastAsia"/>
        </w:rPr>
        <w:t>契約編號</w:t>
      </w:r>
      <w:r w:rsidR="00626935" w:rsidRPr="006D5DC2">
        <w:rPr>
          <w:rFonts w:hint="eastAsia"/>
        </w:rPr>
        <w:t>、承製數量及</w:t>
      </w:r>
      <w:r w:rsidR="00E9687B" w:rsidRPr="006D5DC2">
        <w:rPr>
          <w:rFonts w:hint="eastAsia"/>
        </w:rPr>
        <w:t>故障率如</w:t>
      </w:r>
      <w:r w:rsidR="00B96368" w:rsidRPr="006D5DC2">
        <w:rPr>
          <w:rFonts w:hint="eastAsia"/>
        </w:rPr>
        <w:t>表</w:t>
      </w:r>
      <w:r w:rsidR="00BA207B">
        <w:rPr>
          <w:rFonts w:hint="eastAsia"/>
        </w:rPr>
        <w:t>2</w:t>
      </w:r>
      <w:r w:rsidR="00E9687B" w:rsidRPr="006D5DC2">
        <w:rPr>
          <w:rFonts w:hint="eastAsia"/>
        </w:rPr>
        <w:t>：</w:t>
      </w:r>
    </w:p>
    <w:p w:rsidR="00B96368" w:rsidRPr="006D5DC2" w:rsidRDefault="00B96368" w:rsidP="00B96368">
      <w:pPr>
        <w:pStyle w:val="af3"/>
        <w:numPr>
          <w:ilvl w:val="0"/>
          <w:numId w:val="22"/>
        </w:numPr>
        <w:ind w:left="697" w:firstLineChars="333" w:firstLine="933"/>
      </w:pPr>
      <w:r w:rsidRPr="006D5DC2">
        <w:rPr>
          <w:rFonts w:hint="eastAsia"/>
        </w:rPr>
        <w:t>大同公司承製高壓智慧電表故障情形(台電公司統計)</w:t>
      </w:r>
    </w:p>
    <w:tbl>
      <w:tblPr>
        <w:tblStyle w:val="af6"/>
        <w:tblW w:w="7913" w:type="dxa"/>
        <w:tblInd w:w="1228" w:type="dxa"/>
        <w:tblLayout w:type="fixed"/>
        <w:tblLook w:val="04A0" w:firstRow="1" w:lastRow="0" w:firstColumn="1" w:lastColumn="0" w:noHBand="0" w:noVBand="1"/>
      </w:tblPr>
      <w:tblGrid>
        <w:gridCol w:w="2044"/>
        <w:gridCol w:w="805"/>
        <w:gridCol w:w="1418"/>
        <w:gridCol w:w="709"/>
        <w:gridCol w:w="850"/>
        <w:gridCol w:w="1095"/>
        <w:gridCol w:w="992"/>
      </w:tblGrid>
      <w:tr w:rsidR="00DB7918" w:rsidRPr="006D5DC2" w:rsidTr="00B96368">
        <w:tc>
          <w:tcPr>
            <w:tcW w:w="2044" w:type="dxa"/>
            <w:vAlign w:val="center"/>
          </w:tcPr>
          <w:p w:rsidR="00DB7918" w:rsidRPr="006D5DC2" w:rsidRDefault="000C1E33" w:rsidP="00B96368">
            <w:pPr>
              <w:jc w:val="center"/>
              <w:rPr>
                <w:sz w:val="24"/>
                <w:szCs w:val="24"/>
              </w:rPr>
            </w:pPr>
            <w:r w:rsidRPr="006D5DC2">
              <w:rPr>
                <w:rFonts w:hint="eastAsia"/>
                <w:sz w:val="24"/>
                <w:szCs w:val="24"/>
              </w:rPr>
              <w:t>契約編號</w:t>
            </w:r>
          </w:p>
        </w:tc>
        <w:tc>
          <w:tcPr>
            <w:tcW w:w="805" w:type="dxa"/>
            <w:vAlign w:val="center"/>
          </w:tcPr>
          <w:p w:rsidR="00DB7918" w:rsidRPr="006D5DC2" w:rsidRDefault="00DB7918" w:rsidP="00B96368">
            <w:pPr>
              <w:ind w:leftChars="-40" w:left="2" w:rightChars="-27" w:right="-92" w:hangingChars="53" w:hanging="138"/>
              <w:jc w:val="center"/>
              <w:rPr>
                <w:sz w:val="24"/>
                <w:szCs w:val="24"/>
              </w:rPr>
            </w:pPr>
            <w:r w:rsidRPr="006D5DC2">
              <w:rPr>
                <w:rFonts w:hint="eastAsia"/>
                <w:sz w:val="24"/>
                <w:szCs w:val="24"/>
              </w:rPr>
              <w:t>承製數</w:t>
            </w:r>
          </w:p>
        </w:tc>
        <w:tc>
          <w:tcPr>
            <w:tcW w:w="1418" w:type="dxa"/>
            <w:vAlign w:val="center"/>
          </w:tcPr>
          <w:p w:rsidR="00DB7918" w:rsidRPr="006D5DC2" w:rsidRDefault="00DB7918" w:rsidP="00B96368">
            <w:pPr>
              <w:ind w:leftChars="-40" w:left="2" w:rightChars="-27" w:right="-92" w:hangingChars="53" w:hanging="138"/>
              <w:jc w:val="center"/>
              <w:rPr>
                <w:sz w:val="24"/>
                <w:szCs w:val="24"/>
              </w:rPr>
            </w:pPr>
            <w:r w:rsidRPr="006D5DC2">
              <w:rPr>
                <w:rFonts w:hint="eastAsia"/>
                <w:sz w:val="24"/>
                <w:szCs w:val="24"/>
              </w:rPr>
              <w:t>驗收合格</w:t>
            </w:r>
          </w:p>
        </w:tc>
        <w:tc>
          <w:tcPr>
            <w:tcW w:w="709" w:type="dxa"/>
            <w:vAlign w:val="center"/>
          </w:tcPr>
          <w:p w:rsidR="00DB7918" w:rsidRPr="006D5DC2" w:rsidRDefault="00DB7918" w:rsidP="00B96368">
            <w:pPr>
              <w:ind w:leftChars="-40" w:left="2" w:rightChars="-27" w:right="-92" w:hangingChars="53" w:hanging="138"/>
              <w:jc w:val="center"/>
              <w:rPr>
                <w:sz w:val="24"/>
                <w:szCs w:val="24"/>
              </w:rPr>
            </w:pPr>
            <w:r w:rsidRPr="006D5DC2">
              <w:rPr>
                <w:rFonts w:hint="eastAsia"/>
                <w:sz w:val="24"/>
                <w:szCs w:val="24"/>
              </w:rPr>
              <w:t>故障數</w:t>
            </w:r>
            <w:r w:rsidR="009C54FF" w:rsidRPr="006D5DC2">
              <w:rPr>
                <w:rStyle w:val="afe"/>
                <w:sz w:val="24"/>
                <w:szCs w:val="24"/>
              </w:rPr>
              <w:footnoteReference w:id="5"/>
            </w:r>
          </w:p>
        </w:tc>
        <w:tc>
          <w:tcPr>
            <w:tcW w:w="850" w:type="dxa"/>
            <w:vAlign w:val="center"/>
          </w:tcPr>
          <w:p w:rsidR="00DB7918" w:rsidRPr="006D5DC2" w:rsidRDefault="00DB7918" w:rsidP="00B96368">
            <w:pPr>
              <w:ind w:leftChars="-40" w:left="2" w:rightChars="-27" w:right="-92" w:hangingChars="53" w:hanging="138"/>
              <w:jc w:val="center"/>
              <w:rPr>
                <w:sz w:val="24"/>
                <w:szCs w:val="24"/>
              </w:rPr>
            </w:pPr>
            <w:r w:rsidRPr="006D5DC2">
              <w:rPr>
                <w:rFonts w:hint="eastAsia"/>
                <w:sz w:val="24"/>
                <w:szCs w:val="24"/>
              </w:rPr>
              <w:t>故障率</w:t>
            </w:r>
          </w:p>
        </w:tc>
        <w:tc>
          <w:tcPr>
            <w:tcW w:w="1095" w:type="dxa"/>
            <w:vAlign w:val="center"/>
          </w:tcPr>
          <w:p w:rsidR="00DB7918" w:rsidRPr="006D5DC2" w:rsidRDefault="00B46BE3" w:rsidP="00B96368">
            <w:pPr>
              <w:ind w:leftChars="-40" w:left="2" w:rightChars="-27" w:right="-92" w:hangingChars="53" w:hanging="138"/>
              <w:jc w:val="center"/>
              <w:rPr>
                <w:sz w:val="24"/>
                <w:szCs w:val="24"/>
              </w:rPr>
            </w:pPr>
            <w:r w:rsidRPr="006D5DC2">
              <w:rPr>
                <w:rFonts w:hint="eastAsia"/>
                <w:sz w:val="24"/>
                <w:szCs w:val="24"/>
              </w:rPr>
              <w:t>故障門檻</w:t>
            </w:r>
          </w:p>
        </w:tc>
        <w:tc>
          <w:tcPr>
            <w:tcW w:w="992" w:type="dxa"/>
            <w:vAlign w:val="center"/>
          </w:tcPr>
          <w:p w:rsidR="00DB7918" w:rsidRPr="006D5DC2" w:rsidRDefault="00DB7918" w:rsidP="00B96368">
            <w:pPr>
              <w:ind w:leftChars="-40" w:left="2" w:rightChars="-27" w:right="-92" w:hangingChars="53" w:hanging="138"/>
              <w:jc w:val="center"/>
              <w:rPr>
                <w:sz w:val="24"/>
                <w:szCs w:val="24"/>
              </w:rPr>
            </w:pPr>
            <w:r w:rsidRPr="006D5DC2">
              <w:rPr>
                <w:rFonts w:hint="eastAsia"/>
                <w:sz w:val="24"/>
                <w:szCs w:val="24"/>
              </w:rPr>
              <w:t>達門檻?</w:t>
            </w:r>
          </w:p>
        </w:tc>
      </w:tr>
      <w:tr w:rsidR="00DB7918" w:rsidRPr="006D5DC2" w:rsidTr="000C1E33">
        <w:tc>
          <w:tcPr>
            <w:tcW w:w="2044" w:type="dxa"/>
          </w:tcPr>
          <w:p w:rsidR="00DB7918" w:rsidRPr="006D5DC2" w:rsidRDefault="00DB7918" w:rsidP="00457AAB">
            <w:pPr>
              <w:spacing w:line="400" w:lineRule="exact"/>
              <w:ind w:leftChars="-40" w:left="2" w:rightChars="-27" w:right="-92" w:hangingChars="53" w:hanging="138"/>
              <w:jc w:val="center"/>
              <w:rPr>
                <w:sz w:val="24"/>
                <w:szCs w:val="24"/>
              </w:rPr>
            </w:pPr>
            <w:r w:rsidRPr="006D5DC2">
              <w:rPr>
                <w:rFonts w:hint="eastAsia"/>
                <w:sz w:val="24"/>
                <w:szCs w:val="24"/>
              </w:rPr>
              <w:t>008-990180073A</w:t>
            </w:r>
          </w:p>
        </w:tc>
        <w:tc>
          <w:tcPr>
            <w:tcW w:w="805" w:type="dxa"/>
          </w:tcPr>
          <w:p w:rsidR="00DB7918" w:rsidRPr="006D5DC2" w:rsidRDefault="00DB7918" w:rsidP="00457AAB">
            <w:pPr>
              <w:spacing w:line="400" w:lineRule="exact"/>
              <w:jc w:val="center"/>
              <w:rPr>
                <w:sz w:val="24"/>
                <w:szCs w:val="24"/>
              </w:rPr>
            </w:pPr>
            <w:r w:rsidRPr="006D5DC2">
              <w:rPr>
                <w:rFonts w:hint="eastAsia"/>
                <w:sz w:val="24"/>
                <w:szCs w:val="24"/>
              </w:rPr>
              <w:t>606</w:t>
            </w:r>
          </w:p>
        </w:tc>
        <w:tc>
          <w:tcPr>
            <w:tcW w:w="1418" w:type="dxa"/>
          </w:tcPr>
          <w:p w:rsidR="00DB7918" w:rsidRPr="006D5DC2" w:rsidRDefault="00DB7918" w:rsidP="00457AAB">
            <w:pPr>
              <w:spacing w:line="400" w:lineRule="exact"/>
              <w:ind w:leftChars="-40" w:left="2" w:rightChars="-27" w:right="-92" w:hangingChars="53" w:hanging="138"/>
              <w:jc w:val="center"/>
              <w:rPr>
                <w:sz w:val="24"/>
                <w:szCs w:val="24"/>
              </w:rPr>
            </w:pPr>
            <w:r w:rsidRPr="006D5DC2">
              <w:rPr>
                <w:rFonts w:hint="eastAsia"/>
                <w:sz w:val="24"/>
                <w:szCs w:val="24"/>
              </w:rPr>
              <w:t>99.08.05</w:t>
            </w:r>
          </w:p>
        </w:tc>
        <w:tc>
          <w:tcPr>
            <w:tcW w:w="709" w:type="dxa"/>
          </w:tcPr>
          <w:p w:rsidR="00DB7918" w:rsidRPr="006D5DC2" w:rsidRDefault="00DB7918" w:rsidP="00457AAB">
            <w:pPr>
              <w:spacing w:line="400" w:lineRule="exact"/>
              <w:ind w:leftChars="-40" w:left="2" w:rightChars="-27" w:right="-92" w:hangingChars="53" w:hanging="138"/>
              <w:jc w:val="center"/>
              <w:rPr>
                <w:sz w:val="24"/>
                <w:szCs w:val="24"/>
              </w:rPr>
            </w:pPr>
            <w:r w:rsidRPr="006D5DC2">
              <w:rPr>
                <w:rFonts w:hint="eastAsia"/>
                <w:sz w:val="24"/>
                <w:szCs w:val="24"/>
              </w:rPr>
              <w:t>18</w:t>
            </w:r>
          </w:p>
        </w:tc>
        <w:tc>
          <w:tcPr>
            <w:tcW w:w="850" w:type="dxa"/>
          </w:tcPr>
          <w:p w:rsidR="00DB7918" w:rsidRPr="006D5DC2" w:rsidRDefault="00DB7918" w:rsidP="00457AAB">
            <w:pPr>
              <w:spacing w:line="400" w:lineRule="exact"/>
              <w:ind w:leftChars="-40" w:left="2" w:rightChars="-27" w:right="-92" w:hangingChars="53" w:hanging="138"/>
              <w:jc w:val="center"/>
              <w:rPr>
                <w:sz w:val="24"/>
                <w:szCs w:val="24"/>
              </w:rPr>
            </w:pPr>
            <w:r w:rsidRPr="006D5DC2">
              <w:rPr>
                <w:rFonts w:hint="eastAsia"/>
                <w:sz w:val="24"/>
                <w:szCs w:val="24"/>
              </w:rPr>
              <w:t>2.97%</w:t>
            </w:r>
          </w:p>
        </w:tc>
        <w:tc>
          <w:tcPr>
            <w:tcW w:w="1095" w:type="dxa"/>
          </w:tcPr>
          <w:p w:rsidR="00DB7918" w:rsidRPr="006D5DC2" w:rsidRDefault="00DB7918" w:rsidP="00457AAB">
            <w:pPr>
              <w:spacing w:line="400" w:lineRule="exact"/>
              <w:ind w:leftChars="-40" w:left="2" w:rightChars="-27" w:right="-92" w:hangingChars="53" w:hanging="138"/>
              <w:jc w:val="center"/>
              <w:rPr>
                <w:sz w:val="24"/>
                <w:szCs w:val="24"/>
              </w:rPr>
            </w:pPr>
            <w:r w:rsidRPr="006D5DC2">
              <w:rPr>
                <w:rFonts w:hint="eastAsia"/>
                <w:sz w:val="24"/>
                <w:szCs w:val="24"/>
              </w:rPr>
              <w:t>5%</w:t>
            </w:r>
            <w:r w:rsidRPr="006D5DC2">
              <w:rPr>
                <w:rStyle w:val="afe"/>
                <w:sz w:val="24"/>
                <w:szCs w:val="24"/>
              </w:rPr>
              <w:footnoteReference w:id="6"/>
            </w:r>
          </w:p>
        </w:tc>
        <w:tc>
          <w:tcPr>
            <w:tcW w:w="992" w:type="dxa"/>
          </w:tcPr>
          <w:p w:rsidR="00DB7918" w:rsidRPr="006D5DC2" w:rsidRDefault="00DB7918" w:rsidP="00457AAB">
            <w:pPr>
              <w:spacing w:line="400" w:lineRule="exact"/>
              <w:jc w:val="center"/>
              <w:rPr>
                <w:sz w:val="24"/>
                <w:szCs w:val="24"/>
              </w:rPr>
            </w:pPr>
            <w:r w:rsidRPr="006D5DC2">
              <w:rPr>
                <w:rFonts w:hint="eastAsia"/>
                <w:sz w:val="24"/>
                <w:szCs w:val="24"/>
              </w:rPr>
              <w:t>N</w:t>
            </w:r>
          </w:p>
        </w:tc>
      </w:tr>
      <w:tr w:rsidR="00DB7918" w:rsidRPr="006D5DC2" w:rsidTr="000C1E33">
        <w:tc>
          <w:tcPr>
            <w:tcW w:w="2044" w:type="dxa"/>
          </w:tcPr>
          <w:p w:rsidR="00DB7918" w:rsidRPr="006D5DC2" w:rsidRDefault="00DB7918" w:rsidP="00457AAB">
            <w:pPr>
              <w:spacing w:line="400" w:lineRule="exact"/>
              <w:ind w:leftChars="-40" w:left="2" w:rightChars="-27" w:right="-92" w:hangingChars="53" w:hanging="138"/>
              <w:jc w:val="center"/>
              <w:rPr>
                <w:b/>
                <w:sz w:val="24"/>
                <w:szCs w:val="24"/>
              </w:rPr>
            </w:pPr>
            <w:r w:rsidRPr="006D5DC2">
              <w:rPr>
                <w:b/>
                <w:sz w:val="24"/>
                <w:szCs w:val="24"/>
              </w:rPr>
              <w:t>008-000100013A</w:t>
            </w:r>
          </w:p>
        </w:tc>
        <w:tc>
          <w:tcPr>
            <w:tcW w:w="805" w:type="dxa"/>
          </w:tcPr>
          <w:p w:rsidR="00DB7918" w:rsidRPr="006D5DC2" w:rsidRDefault="00DB7918" w:rsidP="00457AAB">
            <w:pPr>
              <w:spacing w:line="400" w:lineRule="exact"/>
              <w:jc w:val="center"/>
              <w:rPr>
                <w:b/>
                <w:sz w:val="24"/>
                <w:szCs w:val="24"/>
              </w:rPr>
            </w:pPr>
            <w:r w:rsidRPr="006D5DC2">
              <w:rPr>
                <w:rFonts w:hint="eastAsia"/>
                <w:b/>
                <w:sz w:val="24"/>
                <w:szCs w:val="24"/>
              </w:rPr>
              <w:t>850</w:t>
            </w:r>
          </w:p>
        </w:tc>
        <w:tc>
          <w:tcPr>
            <w:tcW w:w="1418" w:type="dxa"/>
          </w:tcPr>
          <w:p w:rsidR="00DB7918" w:rsidRPr="006D5DC2" w:rsidRDefault="00DB7918" w:rsidP="00457AAB">
            <w:pPr>
              <w:spacing w:line="400" w:lineRule="exact"/>
              <w:ind w:leftChars="-40" w:left="2" w:rightChars="-27" w:right="-92" w:hangingChars="53" w:hanging="138"/>
              <w:jc w:val="center"/>
              <w:rPr>
                <w:b/>
                <w:sz w:val="24"/>
                <w:szCs w:val="24"/>
              </w:rPr>
            </w:pPr>
            <w:r w:rsidRPr="006D5DC2">
              <w:rPr>
                <w:rFonts w:hint="eastAsia"/>
                <w:b/>
                <w:sz w:val="24"/>
                <w:szCs w:val="24"/>
              </w:rPr>
              <w:t>100.05.24</w:t>
            </w:r>
          </w:p>
        </w:tc>
        <w:tc>
          <w:tcPr>
            <w:tcW w:w="709" w:type="dxa"/>
          </w:tcPr>
          <w:p w:rsidR="00DB7918" w:rsidRPr="006D5DC2" w:rsidRDefault="00DB7918" w:rsidP="00457AAB">
            <w:pPr>
              <w:spacing w:line="400" w:lineRule="exact"/>
              <w:ind w:leftChars="-40" w:left="2" w:rightChars="-27" w:right="-92" w:hangingChars="53" w:hanging="138"/>
              <w:jc w:val="center"/>
              <w:rPr>
                <w:b/>
                <w:sz w:val="24"/>
                <w:szCs w:val="24"/>
              </w:rPr>
            </w:pPr>
            <w:r w:rsidRPr="006D5DC2">
              <w:rPr>
                <w:rFonts w:hint="eastAsia"/>
                <w:b/>
                <w:sz w:val="24"/>
                <w:szCs w:val="24"/>
              </w:rPr>
              <w:t>67</w:t>
            </w:r>
          </w:p>
        </w:tc>
        <w:tc>
          <w:tcPr>
            <w:tcW w:w="850" w:type="dxa"/>
          </w:tcPr>
          <w:p w:rsidR="00DB7918" w:rsidRPr="006D5DC2" w:rsidRDefault="00DB7918" w:rsidP="00457AAB">
            <w:pPr>
              <w:spacing w:line="400" w:lineRule="exact"/>
              <w:ind w:leftChars="-40" w:left="2" w:rightChars="-27" w:right="-92" w:hangingChars="53" w:hanging="138"/>
              <w:jc w:val="center"/>
              <w:rPr>
                <w:b/>
                <w:sz w:val="24"/>
                <w:szCs w:val="24"/>
              </w:rPr>
            </w:pPr>
            <w:r w:rsidRPr="006D5DC2">
              <w:rPr>
                <w:rFonts w:hint="eastAsia"/>
                <w:b/>
                <w:sz w:val="24"/>
                <w:szCs w:val="24"/>
              </w:rPr>
              <w:t>7.88%</w:t>
            </w:r>
          </w:p>
        </w:tc>
        <w:tc>
          <w:tcPr>
            <w:tcW w:w="1095" w:type="dxa"/>
          </w:tcPr>
          <w:p w:rsidR="00DB7918" w:rsidRPr="006D5DC2" w:rsidRDefault="00DB7918" w:rsidP="00457AAB">
            <w:pPr>
              <w:spacing w:line="400" w:lineRule="exact"/>
              <w:ind w:leftChars="-40" w:left="2" w:rightChars="-27" w:right="-92" w:hangingChars="53" w:hanging="138"/>
              <w:jc w:val="center"/>
              <w:rPr>
                <w:b/>
                <w:sz w:val="24"/>
                <w:szCs w:val="24"/>
              </w:rPr>
            </w:pPr>
            <w:r w:rsidRPr="006D5DC2">
              <w:rPr>
                <w:rFonts w:hint="eastAsia"/>
                <w:b/>
                <w:sz w:val="24"/>
                <w:szCs w:val="24"/>
              </w:rPr>
              <w:t>5%</w:t>
            </w:r>
            <w:r w:rsidR="0055562B" w:rsidRPr="006D5DC2">
              <w:rPr>
                <w:rStyle w:val="afe"/>
                <w:b/>
                <w:sz w:val="24"/>
                <w:szCs w:val="24"/>
              </w:rPr>
              <w:footnoteReference w:id="7"/>
            </w:r>
          </w:p>
        </w:tc>
        <w:tc>
          <w:tcPr>
            <w:tcW w:w="992" w:type="dxa"/>
          </w:tcPr>
          <w:p w:rsidR="00DB7918" w:rsidRPr="006D5DC2" w:rsidRDefault="00DB7918" w:rsidP="00457AAB">
            <w:pPr>
              <w:spacing w:line="400" w:lineRule="exact"/>
              <w:jc w:val="center"/>
              <w:rPr>
                <w:b/>
                <w:sz w:val="24"/>
                <w:szCs w:val="24"/>
              </w:rPr>
            </w:pPr>
            <w:r w:rsidRPr="006D5DC2">
              <w:rPr>
                <w:rFonts w:hint="eastAsia"/>
                <w:b/>
                <w:sz w:val="24"/>
                <w:szCs w:val="24"/>
              </w:rPr>
              <w:t>Y</w:t>
            </w:r>
          </w:p>
        </w:tc>
      </w:tr>
      <w:tr w:rsidR="00DB7918" w:rsidRPr="006D5DC2" w:rsidTr="000C1E33">
        <w:tc>
          <w:tcPr>
            <w:tcW w:w="2044" w:type="dxa"/>
          </w:tcPr>
          <w:p w:rsidR="00DB7918" w:rsidRPr="006D5DC2" w:rsidRDefault="00DB7918" w:rsidP="00457AAB">
            <w:pPr>
              <w:spacing w:line="400" w:lineRule="exact"/>
              <w:ind w:leftChars="-40" w:left="2" w:rightChars="-27" w:right="-92" w:hangingChars="53" w:hanging="138"/>
              <w:jc w:val="center"/>
              <w:rPr>
                <w:b/>
                <w:sz w:val="24"/>
                <w:szCs w:val="24"/>
              </w:rPr>
            </w:pPr>
            <w:r w:rsidRPr="006D5DC2">
              <w:rPr>
                <w:b/>
                <w:sz w:val="24"/>
                <w:szCs w:val="24"/>
              </w:rPr>
              <w:t>008-000100078B</w:t>
            </w:r>
          </w:p>
        </w:tc>
        <w:tc>
          <w:tcPr>
            <w:tcW w:w="805" w:type="dxa"/>
          </w:tcPr>
          <w:p w:rsidR="00DB7918" w:rsidRPr="006D5DC2" w:rsidRDefault="00DB7918" w:rsidP="00457AAB">
            <w:pPr>
              <w:spacing w:line="400" w:lineRule="exact"/>
              <w:ind w:leftChars="-40" w:left="2" w:rightChars="-27" w:right="-92" w:hangingChars="53" w:hanging="138"/>
              <w:jc w:val="center"/>
              <w:rPr>
                <w:b/>
                <w:sz w:val="24"/>
                <w:szCs w:val="24"/>
              </w:rPr>
            </w:pPr>
            <w:r w:rsidRPr="006D5DC2">
              <w:rPr>
                <w:rFonts w:hint="eastAsia"/>
                <w:b/>
                <w:sz w:val="24"/>
                <w:szCs w:val="24"/>
              </w:rPr>
              <w:t>3</w:t>
            </w:r>
            <w:r w:rsidR="000C1E33" w:rsidRPr="006D5DC2">
              <w:rPr>
                <w:rFonts w:hint="eastAsia"/>
                <w:b/>
                <w:sz w:val="24"/>
                <w:szCs w:val="24"/>
              </w:rPr>
              <w:t>,</w:t>
            </w:r>
            <w:r w:rsidRPr="006D5DC2">
              <w:rPr>
                <w:rFonts w:hint="eastAsia"/>
                <w:b/>
                <w:sz w:val="24"/>
                <w:szCs w:val="24"/>
              </w:rPr>
              <w:t>500</w:t>
            </w:r>
          </w:p>
        </w:tc>
        <w:tc>
          <w:tcPr>
            <w:tcW w:w="1418" w:type="dxa"/>
          </w:tcPr>
          <w:p w:rsidR="00DB7918" w:rsidRPr="006D5DC2" w:rsidRDefault="00DB7918" w:rsidP="00457AAB">
            <w:pPr>
              <w:spacing w:line="400" w:lineRule="exact"/>
              <w:ind w:leftChars="-40" w:left="2" w:rightChars="-27" w:right="-92" w:hangingChars="53" w:hanging="138"/>
              <w:jc w:val="center"/>
              <w:rPr>
                <w:b/>
                <w:sz w:val="24"/>
                <w:szCs w:val="24"/>
              </w:rPr>
            </w:pPr>
            <w:r w:rsidRPr="006D5DC2">
              <w:rPr>
                <w:rFonts w:hint="eastAsia"/>
                <w:b/>
                <w:sz w:val="24"/>
                <w:szCs w:val="24"/>
              </w:rPr>
              <w:t>101.01.16</w:t>
            </w:r>
          </w:p>
        </w:tc>
        <w:tc>
          <w:tcPr>
            <w:tcW w:w="709" w:type="dxa"/>
          </w:tcPr>
          <w:p w:rsidR="00DB7918" w:rsidRPr="006D5DC2" w:rsidRDefault="00DB7918" w:rsidP="00457AAB">
            <w:pPr>
              <w:spacing w:line="400" w:lineRule="exact"/>
              <w:ind w:leftChars="-40" w:left="2" w:rightChars="-27" w:right="-92" w:hangingChars="53" w:hanging="138"/>
              <w:jc w:val="center"/>
              <w:rPr>
                <w:b/>
                <w:sz w:val="24"/>
                <w:szCs w:val="24"/>
              </w:rPr>
            </w:pPr>
            <w:r w:rsidRPr="006D5DC2">
              <w:rPr>
                <w:rFonts w:hint="eastAsia"/>
                <w:b/>
                <w:sz w:val="24"/>
                <w:szCs w:val="24"/>
              </w:rPr>
              <w:t>176</w:t>
            </w:r>
          </w:p>
        </w:tc>
        <w:tc>
          <w:tcPr>
            <w:tcW w:w="850" w:type="dxa"/>
          </w:tcPr>
          <w:p w:rsidR="00DB7918" w:rsidRPr="006D5DC2" w:rsidRDefault="00DB7918" w:rsidP="00457AAB">
            <w:pPr>
              <w:spacing w:line="400" w:lineRule="exact"/>
              <w:ind w:leftChars="-40" w:left="2" w:rightChars="-27" w:right="-92" w:hangingChars="53" w:hanging="138"/>
              <w:jc w:val="center"/>
              <w:rPr>
                <w:b/>
                <w:sz w:val="24"/>
                <w:szCs w:val="24"/>
              </w:rPr>
            </w:pPr>
            <w:r w:rsidRPr="006D5DC2">
              <w:rPr>
                <w:rFonts w:hint="eastAsia"/>
                <w:b/>
                <w:sz w:val="24"/>
                <w:szCs w:val="24"/>
              </w:rPr>
              <w:t>5.03%</w:t>
            </w:r>
          </w:p>
        </w:tc>
        <w:tc>
          <w:tcPr>
            <w:tcW w:w="1095" w:type="dxa"/>
          </w:tcPr>
          <w:p w:rsidR="00DB7918" w:rsidRPr="006D5DC2" w:rsidRDefault="00DB7918" w:rsidP="00457AAB">
            <w:pPr>
              <w:spacing w:line="400" w:lineRule="exact"/>
              <w:ind w:leftChars="-40" w:left="2" w:rightChars="-27" w:right="-92" w:hangingChars="53" w:hanging="138"/>
              <w:jc w:val="center"/>
              <w:rPr>
                <w:b/>
                <w:sz w:val="24"/>
                <w:szCs w:val="24"/>
              </w:rPr>
            </w:pPr>
            <w:r w:rsidRPr="006D5DC2">
              <w:rPr>
                <w:rFonts w:hint="eastAsia"/>
                <w:b/>
                <w:sz w:val="24"/>
                <w:szCs w:val="24"/>
              </w:rPr>
              <w:t>1%</w:t>
            </w:r>
            <w:r w:rsidR="0055562B" w:rsidRPr="006D5DC2">
              <w:rPr>
                <w:rStyle w:val="afe"/>
                <w:b/>
                <w:sz w:val="24"/>
                <w:szCs w:val="24"/>
              </w:rPr>
              <w:footnoteReference w:id="8"/>
            </w:r>
          </w:p>
        </w:tc>
        <w:tc>
          <w:tcPr>
            <w:tcW w:w="992" w:type="dxa"/>
          </w:tcPr>
          <w:p w:rsidR="00DB7918" w:rsidRPr="006D5DC2" w:rsidRDefault="00DB7918" w:rsidP="00457AAB">
            <w:pPr>
              <w:spacing w:line="400" w:lineRule="exact"/>
              <w:jc w:val="center"/>
              <w:rPr>
                <w:b/>
                <w:sz w:val="24"/>
                <w:szCs w:val="24"/>
              </w:rPr>
            </w:pPr>
            <w:r w:rsidRPr="006D5DC2">
              <w:rPr>
                <w:rFonts w:hint="eastAsia"/>
                <w:b/>
                <w:sz w:val="24"/>
                <w:szCs w:val="24"/>
              </w:rPr>
              <w:t>Y</w:t>
            </w:r>
          </w:p>
        </w:tc>
      </w:tr>
      <w:tr w:rsidR="00DB7918" w:rsidRPr="006D5DC2" w:rsidTr="000C1E33">
        <w:tc>
          <w:tcPr>
            <w:tcW w:w="2044" w:type="dxa"/>
          </w:tcPr>
          <w:p w:rsidR="00DB7918" w:rsidRPr="006D5DC2" w:rsidRDefault="00DB7918" w:rsidP="00457AAB">
            <w:pPr>
              <w:spacing w:line="400" w:lineRule="exact"/>
              <w:ind w:leftChars="-40" w:left="2" w:rightChars="-27" w:right="-92" w:hangingChars="53" w:hanging="138"/>
              <w:jc w:val="center"/>
              <w:rPr>
                <w:b/>
                <w:sz w:val="24"/>
                <w:szCs w:val="24"/>
              </w:rPr>
            </w:pPr>
            <w:r w:rsidRPr="006D5DC2">
              <w:rPr>
                <w:b/>
                <w:sz w:val="24"/>
                <w:szCs w:val="24"/>
              </w:rPr>
              <w:t>008-</w:t>
            </w:r>
            <w:r w:rsidRPr="006D5DC2">
              <w:rPr>
                <w:rFonts w:hint="eastAsia"/>
                <w:b/>
                <w:sz w:val="24"/>
                <w:szCs w:val="24"/>
              </w:rPr>
              <w:t>0</w:t>
            </w:r>
            <w:r w:rsidRPr="006D5DC2">
              <w:rPr>
                <w:b/>
                <w:sz w:val="24"/>
                <w:szCs w:val="24"/>
              </w:rPr>
              <w:t>10111028A</w:t>
            </w:r>
          </w:p>
        </w:tc>
        <w:tc>
          <w:tcPr>
            <w:tcW w:w="805" w:type="dxa"/>
          </w:tcPr>
          <w:p w:rsidR="00DB7918" w:rsidRPr="006D5DC2" w:rsidRDefault="00DB7918" w:rsidP="00457AAB">
            <w:pPr>
              <w:spacing w:line="400" w:lineRule="exact"/>
              <w:ind w:leftChars="-40" w:left="2" w:rightChars="-27" w:right="-92" w:hangingChars="53" w:hanging="138"/>
              <w:jc w:val="center"/>
              <w:rPr>
                <w:b/>
                <w:sz w:val="24"/>
                <w:szCs w:val="24"/>
              </w:rPr>
            </w:pPr>
            <w:r w:rsidRPr="006D5DC2">
              <w:rPr>
                <w:rFonts w:hint="eastAsia"/>
                <w:b/>
                <w:sz w:val="24"/>
                <w:szCs w:val="24"/>
              </w:rPr>
              <w:t>6</w:t>
            </w:r>
            <w:r w:rsidR="000C1E33" w:rsidRPr="006D5DC2">
              <w:rPr>
                <w:rFonts w:hint="eastAsia"/>
                <w:b/>
                <w:sz w:val="24"/>
                <w:szCs w:val="24"/>
              </w:rPr>
              <w:t>,</w:t>
            </w:r>
            <w:r w:rsidRPr="006D5DC2">
              <w:rPr>
                <w:rFonts w:hint="eastAsia"/>
                <w:b/>
                <w:sz w:val="24"/>
                <w:szCs w:val="24"/>
              </w:rPr>
              <w:t>500</w:t>
            </w:r>
          </w:p>
        </w:tc>
        <w:tc>
          <w:tcPr>
            <w:tcW w:w="1418" w:type="dxa"/>
          </w:tcPr>
          <w:p w:rsidR="00DB7918" w:rsidRPr="006D5DC2" w:rsidRDefault="00DB7918" w:rsidP="00457AAB">
            <w:pPr>
              <w:spacing w:line="400" w:lineRule="exact"/>
              <w:ind w:leftChars="-40" w:left="2" w:rightChars="-27" w:right="-92" w:hangingChars="53" w:hanging="138"/>
              <w:jc w:val="center"/>
              <w:rPr>
                <w:b/>
                <w:sz w:val="24"/>
                <w:szCs w:val="24"/>
              </w:rPr>
            </w:pPr>
            <w:r w:rsidRPr="006D5DC2">
              <w:rPr>
                <w:rFonts w:hint="eastAsia"/>
                <w:b/>
                <w:sz w:val="24"/>
                <w:szCs w:val="24"/>
              </w:rPr>
              <w:t>101.12.21</w:t>
            </w:r>
            <w:r w:rsidRPr="006D5DC2">
              <w:rPr>
                <w:rStyle w:val="afe"/>
                <w:b/>
                <w:sz w:val="24"/>
                <w:szCs w:val="24"/>
              </w:rPr>
              <w:footnoteReference w:id="9"/>
            </w:r>
          </w:p>
        </w:tc>
        <w:tc>
          <w:tcPr>
            <w:tcW w:w="709" w:type="dxa"/>
          </w:tcPr>
          <w:p w:rsidR="00DB7918" w:rsidRPr="006D5DC2" w:rsidRDefault="00DB7918" w:rsidP="00457AAB">
            <w:pPr>
              <w:spacing w:line="400" w:lineRule="exact"/>
              <w:ind w:leftChars="-40" w:left="2" w:rightChars="-27" w:right="-92" w:hangingChars="53" w:hanging="138"/>
              <w:jc w:val="center"/>
              <w:rPr>
                <w:b/>
                <w:sz w:val="24"/>
                <w:szCs w:val="24"/>
              </w:rPr>
            </w:pPr>
            <w:r w:rsidRPr="006D5DC2">
              <w:rPr>
                <w:rFonts w:hint="eastAsia"/>
                <w:b/>
                <w:sz w:val="24"/>
                <w:szCs w:val="24"/>
              </w:rPr>
              <w:t>79</w:t>
            </w:r>
          </w:p>
        </w:tc>
        <w:tc>
          <w:tcPr>
            <w:tcW w:w="850" w:type="dxa"/>
          </w:tcPr>
          <w:p w:rsidR="00DB7918" w:rsidRPr="006D5DC2" w:rsidRDefault="00DB7918" w:rsidP="00457AAB">
            <w:pPr>
              <w:spacing w:line="400" w:lineRule="exact"/>
              <w:ind w:leftChars="-40" w:left="2" w:rightChars="-27" w:right="-92" w:hangingChars="53" w:hanging="138"/>
              <w:jc w:val="center"/>
              <w:rPr>
                <w:b/>
                <w:sz w:val="24"/>
                <w:szCs w:val="24"/>
              </w:rPr>
            </w:pPr>
            <w:r w:rsidRPr="006D5DC2">
              <w:rPr>
                <w:rFonts w:hint="eastAsia"/>
                <w:b/>
                <w:sz w:val="24"/>
                <w:szCs w:val="24"/>
              </w:rPr>
              <w:t>1.22%</w:t>
            </w:r>
          </w:p>
        </w:tc>
        <w:tc>
          <w:tcPr>
            <w:tcW w:w="1095" w:type="dxa"/>
          </w:tcPr>
          <w:p w:rsidR="00DB7918" w:rsidRPr="006D5DC2" w:rsidRDefault="00DB7918" w:rsidP="00457AAB">
            <w:pPr>
              <w:spacing w:line="400" w:lineRule="exact"/>
              <w:ind w:leftChars="-40" w:left="2" w:rightChars="-27" w:right="-92" w:hangingChars="53" w:hanging="138"/>
              <w:jc w:val="center"/>
              <w:rPr>
                <w:b/>
                <w:sz w:val="24"/>
                <w:szCs w:val="24"/>
              </w:rPr>
            </w:pPr>
            <w:r w:rsidRPr="006D5DC2">
              <w:rPr>
                <w:rFonts w:hint="eastAsia"/>
                <w:b/>
                <w:sz w:val="24"/>
                <w:szCs w:val="24"/>
              </w:rPr>
              <w:t>1%</w:t>
            </w:r>
            <w:r w:rsidR="0055562B" w:rsidRPr="006D5DC2">
              <w:rPr>
                <w:rStyle w:val="afe"/>
                <w:b/>
                <w:sz w:val="24"/>
                <w:szCs w:val="24"/>
              </w:rPr>
              <w:footnoteReference w:id="10"/>
            </w:r>
          </w:p>
        </w:tc>
        <w:tc>
          <w:tcPr>
            <w:tcW w:w="992" w:type="dxa"/>
          </w:tcPr>
          <w:p w:rsidR="00DB7918" w:rsidRPr="006D5DC2" w:rsidRDefault="00DB7918" w:rsidP="00457AAB">
            <w:pPr>
              <w:spacing w:line="400" w:lineRule="exact"/>
              <w:jc w:val="center"/>
              <w:rPr>
                <w:b/>
                <w:sz w:val="24"/>
                <w:szCs w:val="24"/>
              </w:rPr>
            </w:pPr>
            <w:r w:rsidRPr="006D5DC2">
              <w:rPr>
                <w:rFonts w:hint="eastAsia"/>
                <w:b/>
                <w:sz w:val="24"/>
                <w:szCs w:val="24"/>
              </w:rPr>
              <w:t>Y</w:t>
            </w:r>
          </w:p>
        </w:tc>
      </w:tr>
      <w:tr w:rsidR="00FC2786" w:rsidRPr="006D5DC2" w:rsidTr="000C1E33">
        <w:tc>
          <w:tcPr>
            <w:tcW w:w="2044" w:type="dxa"/>
          </w:tcPr>
          <w:p w:rsidR="00FC2786" w:rsidRPr="006D5DC2" w:rsidRDefault="00FC2786" w:rsidP="00457AAB">
            <w:pPr>
              <w:spacing w:line="400" w:lineRule="exact"/>
              <w:ind w:leftChars="-40" w:left="2" w:rightChars="-27" w:right="-92" w:hangingChars="53" w:hanging="138"/>
              <w:jc w:val="center"/>
              <w:rPr>
                <w:sz w:val="24"/>
                <w:szCs w:val="24"/>
              </w:rPr>
            </w:pPr>
            <w:r w:rsidRPr="006D5DC2">
              <w:rPr>
                <w:rFonts w:hint="eastAsia"/>
                <w:sz w:val="24"/>
                <w:szCs w:val="24"/>
              </w:rPr>
              <w:t>小計</w:t>
            </w:r>
          </w:p>
        </w:tc>
        <w:tc>
          <w:tcPr>
            <w:tcW w:w="805" w:type="dxa"/>
          </w:tcPr>
          <w:p w:rsidR="00FC2786" w:rsidRPr="006D5DC2" w:rsidRDefault="00FC2786" w:rsidP="00457AAB">
            <w:pPr>
              <w:spacing w:line="400" w:lineRule="exact"/>
              <w:ind w:leftChars="-40" w:left="2" w:rightChars="-27" w:right="-92" w:hangingChars="53" w:hanging="138"/>
              <w:jc w:val="center"/>
              <w:rPr>
                <w:b/>
                <w:sz w:val="24"/>
                <w:szCs w:val="24"/>
              </w:rPr>
            </w:pPr>
            <w:r w:rsidRPr="006D5DC2">
              <w:rPr>
                <w:rFonts w:hint="eastAsia"/>
                <w:b/>
                <w:sz w:val="24"/>
                <w:szCs w:val="24"/>
              </w:rPr>
              <w:t>11</w:t>
            </w:r>
            <w:r w:rsidR="000C1E33" w:rsidRPr="006D5DC2">
              <w:rPr>
                <w:rFonts w:hint="eastAsia"/>
                <w:b/>
                <w:sz w:val="24"/>
                <w:szCs w:val="24"/>
              </w:rPr>
              <w:t>,</w:t>
            </w:r>
            <w:r w:rsidRPr="006D5DC2">
              <w:rPr>
                <w:rFonts w:hint="eastAsia"/>
                <w:b/>
                <w:sz w:val="24"/>
                <w:szCs w:val="24"/>
              </w:rPr>
              <w:t>456</w:t>
            </w:r>
          </w:p>
        </w:tc>
        <w:tc>
          <w:tcPr>
            <w:tcW w:w="1418" w:type="dxa"/>
          </w:tcPr>
          <w:p w:rsidR="00FC2786" w:rsidRPr="006D5DC2" w:rsidRDefault="00FC2786" w:rsidP="00457AAB">
            <w:pPr>
              <w:spacing w:line="400" w:lineRule="exact"/>
              <w:ind w:leftChars="-40" w:left="2" w:rightChars="-27" w:right="-92" w:hangingChars="53" w:hanging="138"/>
              <w:jc w:val="center"/>
              <w:rPr>
                <w:sz w:val="24"/>
                <w:szCs w:val="24"/>
              </w:rPr>
            </w:pPr>
          </w:p>
        </w:tc>
        <w:tc>
          <w:tcPr>
            <w:tcW w:w="709" w:type="dxa"/>
          </w:tcPr>
          <w:p w:rsidR="00FC2786" w:rsidRPr="006D5DC2" w:rsidRDefault="00FC2786" w:rsidP="00457AAB">
            <w:pPr>
              <w:spacing w:line="400" w:lineRule="exact"/>
              <w:ind w:leftChars="-40" w:left="2" w:rightChars="-27" w:right="-92" w:hangingChars="53" w:hanging="138"/>
              <w:jc w:val="center"/>
              <w:rPr>
                <w:sz w:val="24"/>
                <w:szCs w:val="24"/>
              </w:rPr>
            </w:pPr>
            <w:r w:rsidRPr="006D5DC2">
              <w:rPr>
                <w:rFonts w:hint="eastAsia"/>
                <w:sz w:val="24"/>
                <w:szCs w:val="24"/>
              </w:rPr>
              <w:t>340</w:t>
            </w:r>
          </w:p>
        </w:tc>
        <w:tc>
          <w:tcPr>
            <w:tcW w:w="850" w:type="dxa"/>
          </w:tcPr>
          <w:p w:rsidR="00FC2786" w:rsidRPr="006D5DC2" w:rsidRDefault="00FC2786" w:rsidP="00457AAB">
            <w:pPr>
              <w:spacing w:line="400" w:lineRule="exact"/>
              <w:ind w:leftChars="-40" w:left="2" w:rightChars="-27" w:right="-92" w:hangingChars="53" w:hanging="138"/>
              <w:jc w:val="center"/>
              <w:rPr>
                <w:sz w:val="24"/>
                <w:szCs w:val="24"/>
              </w:rPr>
            </w:pPr>
          </w:p>
        </w:tc>
        <w:tc>
          <w:tcPr>
            <w:tcW w:w="1095" w:type="dxa"/>
          </w:tcPr>
          <w:p w:rsidR="00FC2786" w:rsidRPr="006D5DC2" w:rsidRDefault="00FC2786" w:rsidP="00457AAB">
            <w:pPr>
              <w:spacing w:line="400" w:lineRule="exact"/>
              <w:ind w:leftChars="-40" w:left="2" w:rightChars="-27" w:right="-92" w:hangingChars="53" w:hanging="138"/>
              <w:jc w:val="center"/>
              <w:rPr>
                <w:sz w:val="24"/>
                <w:szCs w:val="24"/>
              </w:rPr>
            </w:pPr>
          </w:p>
        </w:tc>
        <w:tc>
          <w:tcPr>
            <w:tcW w:w="992" w:type="dxa"/>
          </w:tcPr>
          <w:p w:rsidR="00FC2786" w:rsidRPr="006D5DC2" w:rsidRDefault="00FC2786" w:rsidP="00457AAB">
            <w:pPr>
              <w:spacing w:line="400" w:lineRule="exact"/>
              <w:jc w:val="center"/>
              <w:rPr>
                <w:sz w:val="24"/>
                <w:szCs w:val="24"/>
              </w:rPr>
            </w:pPr>
          </w:p>
        </w:tc>
      </w:tr>
    </w:tbl>
    <w:p w:rsidR="0031757A" w:rsidRPr="006D5DC2" w:rsidRDefault="0031757A" w:rsidP="0031757A">
      <w:pPr>
        <w:ind w:leftChars="394" w:left="1340"/>
      </w:pPr>
      <w:r w:rsidRPr="006D5DC2">
        <w:rPr>
          <w:rFonts w:hint="eastAsia"/>
        </w:rPr>
        <w:t>其中，</w:t>
      </w:r>
      <w:r w:rsidR="00330080" w:rsidRPr="006D5DC2">
        <w:rPr>
          <w:rFonts w:hint="eastAsia"/>
        </w:rPr>
        <w:t>依台電公司106年5月25日「大同公司高壓智慧型電子式電表</w:t>
      </w:r>
      <w:r w:rsidR="000C1E33" w:rsidRPr="006D5DC2">
        <w:rPr>
          <w:rFonts w:hint="eastAsia"/>
        </w:rPr>
        <w:t>(</w:t>
      </w:r>
      <w:r w:rsidR="00330080" w:rsidRPr="006D5DC2">
        <w:rPr>
          <w:rFonts w:hint="eastAsia"/>
        </w:rPr>
        <w:t>AMI</w:t>
      </w:r>
      <w:r w:rsidR="000C1E33" w:rsidRPr="006D5DC2">
        <w:rPr>
          <w:rFonts w:hint="eastAsia"/>
        </w:rPr>
        <w:t>)</w:t>
      </w:r>
      <w:r w:rsidR="00330080" w:rsidRPr="006D5DC2">
        <w:rPr>
          <w:rFonts w:hint="eastAsia"/>
        </w:rPr>
        <w:t>之MIU故障求償會議」會議紀錄所載，</w:t>
      </w:r>
      <w:r w:rsidRPr="006D5DC2">
        <w:rPr>
          <w:rFonts w:hint="eastAsia"/>
        </w:rPr>
        <w:t>除008-990180073A採購案號外，其餘3件購案於驗收合格日5年內均有故障率達全數回收換貨之門檻，故障類別皆為讀表介面單元</w:t>
      </w:r>
      <w:r w:rsidR="000C1E33" w:rsidRPr="006D5DC2">
        <w:rPr>
          <w:rFonts w:hint="eastAsia"/>
        </w:rPr>
        <w:t>(</w:t>
      </w:r>
      <w:r w:rsidRPr="006D5DC2">
        <w:rPr>
          <w:rFonts w:hint="eastAsia"/>
        </w:rPr>
        <w:t>MIU</w:t>
      </w:r>
      <w:r w:rsidR="000C1E33" w:rsidRPr="006D5DC2">
        <w:rPr>
          <w:rFonts w:hint="eastAsia"/>
        </w:rPr>
        <w:t>)</w:t>
      </w:r>
      <w:r w:rsidRPr="006D5DC2">
        <w:rPr>
          <w:rFonts w:hint="eastAsia"/>
        </w:rPr>
        <w:t>無法連線通訊。相關處理情形，案經台電公司108年4月9日電材字第1080004799號函說明如下：</w:t>
      </w:r>
    </w:p>
    <w:p w:rsidR="0031757A" w:rsidRPr="006D5DC2" w:rsidRDefault="0031757A" w:rsidP="0031757A">
      <w:pPr>
        <w:pStyle w:val="4"/>
      </w:pPr>
      <w:r w:rsidRPr="006D5DC2">
        <w:rPr>
          <w:rFonts w:hint="eastAsia"/>
        </w:rPr>
        <w:lastRenderedPageBreak/>
        <w:t>大同公司製交之電子式電表通訊模組(MIU)105年起陸續發生瑕疵故障，因故障時點在驗收合格日5年內(保固期內)，且故障率達契約全數換貨門檻(5%或1%</w:t>
      </w:r>
      <w:r w:rsidRPr="006D5DC2">
        <w:rPr>
          <w:rStyle w:val="afe"/>
        </w:rPr>
        <w:footnoteReference w:id="11"/>
      </w:r>
      <w:r w:rsidRPr="006D5DC2">
        <w:rPr>
          <w:rFonts w:hint="eastAsia"/>
        </w:rPr>
        <w:t>)，台電公司材料處</w:t>
      </w:r>
      <w:r w:rsidR="00AE439B" w:rsidRPr="006D5DC2">
        <w:rPr>
          <w:rFonts w:hint="eastAsia"/>
        </w:rPr>
        <w:t>以</w:t>
      </w:r>
      <w:r w:rsidRPr="006D5DC2">
        <w:rPr>
          <w:rFonts w:hint="eastAsia"/>
        </w:rPr>
        <w:t>105年11月2日材字第1058097130號函、106年7月26日材字第1068058576號函</w:t>
      </w:r>
      <w:r w:rsidR="00AE439B" w:rsidRPr="006D5DC2">
        <w:rPr>
          <w:rFonts w:hint="eastAsia"/>
        </w:rPr>
        <w:t>，函</w:t>
      </w:r>
      <w:r w:rsidRPr="006D5DC2">
        <w:rPr>
          <w:rFonts w:hint="eastAsia"/>
        </w:rPr>
        <w:t>請大同公司限期內依約</w:t>
      </w:r>
      <w:r w:rsidR="00D7565D" w:rsidRPr="006D5DC2">
        <w:rPr>
          <w:rFonts w:hint="eastAsia"/>
        </w:rPr>
        <w:t>將</w:t>
      </w:r>
      <w:r w:rsidR="00D7565D" w:rsidRPr="006D5DC2">
        <w:rPr>
          <w:rFonts w:hAnsi="標楷體" w:hint="eastAsia"/>
        </w:rPr>
        <w:t>「</w:t>
      </w:r>
      <w:r w:rsidR="00D7565D" w:rsidRPr="006D5DC2">
        <w:rPr>
          <w:rFonts w:hint="eastAsia"/>
          <w:b/>
        </w:rPr>
        <w:t>契約全部數量</w:t>
      </w:r>
      <w:r w:rsidR="00D7565D" w:rsidRPr="006D5DC2">
        <w:rPr>
          <w:rFonts w:hAnsi="標楷體" w:hint="eastAsia"/>
        </w:rPr>
        <w:t>」(共計10,850具)之電表回收</w:t>
      </w:r>
      <w:r w:rsidR="00D7565D" w:rsidRPr="006D5DC2">
        <w:rPr>
          <w:rFonts w:hAnsi="標楷體" w:hint="eastAsia"/>
          <w:b/>
        </w:rPr>
        <w:t>並替換</w:t>
      </w:r>
      <w:r w:rsidR="00D7565D" w:rsidRPr="006D5DC2">
        <w:rPr>
          <w:rFonts w:hAnsi="標楷體" w:hint="eastAsia"/>
        </w:rPr>
        <w:t>材料規範規定之驗收/檢定合格</w:t>
      </w:r>
      <w:r w:rsidR="00D7565D" w:rsidRPr="006D5DC2">
        <w:rPr>
          <w:rFonts w:hAnsi="標楷體" w:hint="eastAsia"/>
          <w:b/>
        </w:rPr>
        <w:t>電表新品</w:t>
      </w:r>
      <w:r w:rsidR="00D7565D" w:rsidRPr="006D5DC2">
        <w:rPr>
          <w:rFonts w:hAnsi="標楷體" w:hint="eastAsia"/>
        </w:rPr>
        <w:t>，且更換後之電表保固期自驗收合格日起，依契約保固/保證條款規定，重新起計</w:t>
      </w:r>
      <w:r w:rsidR="00C6593F" w:rsidRPr="006D5DC2">
        <w:rPr>
          <w:rFonts w:hAnsi="標楷體" w:hint="eastAsia"/>
        </w:rPr>
        <w:t>，並須支付更換電表及複驗費用等</w:t>
      </w:r>
      <w:r w:rsidR="00C6593F" w:rsidRPr="006D5DC2">
        <w:rPr>
          <w:rFonts w:hAnsi="標楷體" w:hint="eastAsia"/>
          <w:b/>
        </w:rPr>
        <w:t>衍生費用共計</w:t>
      </w:r>
      <w:r w:rsidR="00363392">
        <w:rPr>
          <w:rFonts w:hAnsi="標楷體"/>
          <w:b/>
        </w:rPr>
        <w:t>新台幣（下同）</w:t>
      </w:r>
      <w:bookmarkStart w:id="58" w:name="_GoBack"/>
      <w:bookmarkEnd w:id="58"/>
      <w:r w:rsidR="00C6593F" w:rsidRPr="006D5DC2">
        <w:rPr>
          <w:rFonts w:hAnsi="標楷體" w:hint="eastAsia"/>
          <w:b/>
        </w:rPr>
        <w:t>4,022,369元</w:t>
      </w:r>
      <w:r w:rsidRPr="006D5DC2">
        <w:rPr>
          <w:rFonts w:hint="eastAsia"/>
        </w:rPr>
        <w:t>。</w:t>
      </w:r>
    </w:p>
    <w:p w:rsidR="0031757A" w:rsidRPr="006D5DC2" w:rsidRDefault="0031757A" w:rsidP="0031757A">
      <w:pPr>
        <w:pStyle w:val="4"/>
      </w:pPr>
      <w:r w:rsidRPr="006D5DC2">
        <w:rPr>
          <w:rFonts w:hint="eastAsia"/>
        </w:rPr>
        <w:t>大同公司不服</w:t>
      </w:r>
      <w:r w:rsidR="00AE439B" w:rsidRPr="006D5DC2">
        <w:rPr>
          <w:rFonts w:hint="eastAsia"/>
        </w:rPr>
        <w:t>，</w:t>
      </w:r>
      <w:r w:rsidRPr="006D5DC2">
        <w:rPr>
          <w:rFonts w:hint="eastAsia"/>
        </w:rPr>
        <w:t>遂於106年9月27日申請調解，本案自106年12月14日至107年7月27日共召開6次調解會議，107年8月10日採購申訴審議委員會會議決議，本案因雙方主張差異過大，無達成合意之望，調解不成立。</w:t>
      </w:r>
    </w:p>
    <w:p w:rsidR="0031757A" w:rsidRPr="006D5DC2" w:rsidRDefault="00240288" w:rsidP="0031757A">
      <w:pPr>
        <w:pStyle w:val="4"/>
      </w:pPr>
      <w:r w:rsidRPr="006D5DC2">
        <w:rPr>
          <w:rFonts w:hint="eastAsia"/>
        </w:rPr>
        <w:t>另因大同公司遲未依契約規定辦理電表故障處理及支付衍生費用</w:t>
      </w:r>
      <w:r w:rsidR="0031757A" w:rsidRPr="006D5DC2">
        <w:rPr>
          <w:rFonts w:hint="eastAsia"/>
        </w:rPr>
        <w:t>，台電公司於106年12月14日發函通知有政府採購法第101條第1項第9款</w:t>
      </w:r>
      <w:r w:rsidR="0031757A" w:rsidRPr="006D5DC2">
        <w:rPr>
          <w:rStyle w:val="afe"/>
        </w:rPr>
        <w:footnoteReference w:id="12"/>
      </w:r>
      <w:r w:rsidR="0031757A" w:rsidRPr="006D5DC2">
        <w:rPr>
          <w:rFonts w:hint="eastAsia"/>
        </w:rPr>
        <w:t>情形將刊登政府採購公報，同年月26日廠商提出異議，107年2月7日大同公司提出申訴，歷經3次申訴預審會議(107</w:t>
      </w:r>
      <w:r w:rsidR="00861979" w:rsidRPr="006D5DC2">
        <w:rPr>
          <w:rFonts w:hint="eastAsia"/>
        </w:rPr>
        <w:t>年4月</w:t>
      </w:r>
      <w:r w:rsidR="0031757A" w:rsidRPr="006D5DC2">
        <w:rPr>
          <w:rFonts w:hint="eastAsia"/>
        </w:rPr>
        <w:t>11</w:t>
      </w:r>
      <w:r w:rsidR="00861979" w:rsidRPr="006D5DC2">
        <w:rPr>
          <w:rFonts w:hint="eastAsia"/>
        </w:rPr>
        <w:t>日至107年7月</w:t>
      </w:r>
      <w:r w:rsidR="0031757A" w:rsidRPr="006D5DC2">
        <w:rPr>
          <w:rFonts w:hint="eastAsia"/>
        </w:rPr>
        <w:t>27</w:t>
      </w:r>
      <w:r w:rsidR="00861979" w:rsidRPr="006D5DC2">
        <w:rPr>
          <w:rFonts w:hint="eastAsia"/>
        </w:rPr>
        <w:t>日</w:t>
      </w:r>
      <w:r w:rsidR="0031757A" w:rsidRPr="006D5DC2">
        <w:rPr>
          <w:rFonts w:hint="eastAsia"/>
        </w:rPr>
        <w:t>)，107年9月14日採購申訴審議委員會作成本案不構成政府採購法第101條第1項第9款不良廠商之判斷</w:t>
      </w:r>
      <w:r w:rsidR="000C1E33" w:rsidRPr="006D5DC2">
        <w:rPr>
          <w:rFonts w:hint="eastAsia"/>
        </w:rPr>
        <w:t>(</w:t>
      </w:r>
      <w:r w:rsidR="0031757A" w:rsidRPr="006D5DC2">
        <w:rPr>
          <w:rFonts w:hint="eastAsia"/>
        </w:rPr>
        <w:t>訴1070062號</w:t>
      </w:r>
      <w:r w:rsidR="000C1E33" w:rsidRPr="006D5DC2">
        <w:rPr>
          <w:rFonts w:hint="eastAsia"/>
        </w:rPr>
        <w:t>)</w:t>
      </w:r>
      <w:r w:rsidR="0031757A" w:rsidRPr="006D5DC2">
        <w:rPr>
          <w:rFonts w:hint="eastAsia"/>
        </w:rPr>
        <w:t>。</w:t>
      </w:r>
    </w:p>
    <w:p w:rsidR="0031757A" w:rsidRPr="006D5DC2" w:rsidRDefault="0031757A" w:rsidP="0031757A">
      <w:pPr>
        <w:pStyle w:val="4"/>
      </w:pPr>
      <w:r w:rsidRPr="006D5DC2">
        <w:rPr>
          <w:rFonts w:hint="eastAsia"/>
        </w:rPr>
        <w:t>107年10月19日</w:t>
      </w:r>
      <w:r w:rsidRPr="006D5DC2">
        <w:rPr>
          <w:rStyle w:val="afe"/>
        </w:rPr>
        <w:footnoteReference w:id="13"/>
      </w:r>
      <w:r w:rsidRPr="006D5DC2">
        <w:rPr>
          <w:rFonts w:hint="eastAsia"/>
        </w:rPr>
        <w:t>台電公司再次發函大同公司要</w:t>
      </w:r>
      <w:r w:rsidRPr="006D5DC2">
        <w:rPr>
          <w:rFonts w:hint="eastAsia"/>
        </w:rPr>
        <w:lastRenderedPageBreak/>
        <w:t>求於</w:t>
      </w:r>
      <w:r w:rsidR="00AE439B" w:rsidRPr="006D5DC2">
        <w:rPr>
          <w:rFonts w:hint="eastAsia"/>
        </w:rPr>
        <w:t>文</w:t>
      </w:r>
      <w:r w:rsidRPr="006D5DC2">
        <w:rPr>
          <w:rFonts w:hint="eastAsia"/>
        </w:rPr>
        <w:t>到7日內依約開始進行全數換貨</w:t>
      </w:r>
      <w:r w:rsidR="000C1E33" w:rsidRPr="006D5DC2">
        <w:rPr>
          <w:rFonts w:hint="eastAsia"/>
        </w:rPr>
        <w:t>(</w:t>
      </w:r>
      <w:r w:rsidRPr="006D5DC2">
        <w:rPr>
          <w:rFonts w:hint="eastAsia"/>
        </w:rPr>
        <w:t>共10,850具</w:t>
      </w:r>
      <w:r w:rsidR="000C1E33" w:rsidRPr="006D5DC2">
        <w:rPr>
          <w:rFonts w:hint="eastAsia"/>
        </w:rPr>
        <w:t>)</w:t>
      </w:r>
      <w:r w:rsidRPr="006D5DC2">
        <w:rPr>
          <w:rFonts w:hint="eastAsia"/>
        </w:rPr>
        <w:t>並負擔換表相關費用，由於大同公司未於期限內辦理，台電公司已於107年11月23日沒收本案全數保固保證金</w:t>
      </w:r>
      <w:r w:rsidR="00AD7503" w:rsidRPr="006D5DC2">
        <w:rPr>
          <w:rFonts w:hint="eastAsia"/>
        </w:rPr>
        <w:t>，</w:t>
      </w:r>
      <w:r w:rsidRPr="006D5DC2">
        <w:rPr>
          <w:rFonts w:hint="eastAsia"/>
        </w:rPr>
        <w:t>並於108月2月15日由委任律師至臺灣臺北地方法院遞民事起訴狀</w:t>
      </w:r>
      <w:r w:rsidR="00BF2C9A" w:rsidRPr="006D5DC2">
        <w:rPr>
          <w:rStyle w:val="afe"/>
        </w:rPr>
        <w:footnoteReference w:id="14"/>
      </w:r>
      <w:r w:rsidRPr="006D5DC2">
        <w:rPr>
          <w:rFonts w:hint="eastAsia"/>
        </w:rPr>
        <w:t>。</w:t>
      </w:r>
    </w:p>
    <w:p w:rsidR="00DB7918" w:rsidRPr="006D5DC2" w:rsidRDefault="0031757A" w:rsidP="003519E3">
      <w:pPr>
        <w:pStyle w:val="3"/>
        <w:kinsoku w:val="0"/>
        <w:wordWrap w:val="0"/>
        <w:ind w:left="1360" w:hanging="680"/>
      </w:pPr>
      <w:r w:rsidRPr="006D5DC2">
        <w:rPr>
          <w:rFonts w:hint="eastAsia"/>
        </w:rPr>
        <w:t>惟查</w:t>
      </w:r>
      <w:r w:rsidR="008727EB" w:rsidRPr="006D5DC2">
        <w:rPr>
          <w:rFonts w:hint="eastAsia"/>
        </w:rPr>
        <w:t>旨揭大同公司製交之高壓AMI通訊模組故障情形，依契約規定，全數換貨與否，端視驗收合格日起5年內是否達故障門檻而定</w:t>
      </w:r>
      <w:r w:rsidR="007B071B" w:rsidRPr="006D5DC2">
        <w:rPr>
          <w:rFonts w:hint="eastAsia"/>
        </w:rPr>
        <w:t>。卷查</w:t>
      </w:r>
      <w:r w:rsidR="008727EB" w:rsidRPr="006D5DC2">
        <w:rPr>
          <w:rFonts w:hint="eastAsia"/>
        </w:rPr>
        <w:t>前揭</w:t>
      </w:r>
      <w:r w:rsidR="008727EB" w:rsidRPr="006D5DC2">
        <w:t>008-000100013A</w:t>
      </w:r>
      <w:r w:rsidR="008727EB" w:rsidRPr="006D5DC2">
        <w:rPr>
          <w:rFonts w:hint="eastAsia"/>
        </w:rPr>
        <w:t>、</w:t>
      </w:r>
      <w:r w:rsidR="008727EB" w:rsidRPr="006D5DC2">
        <w:t>008-000100078B</w:t>
      </w:r>
      <w:r w:rsidR="008727EB" w:rsidRPr="006D5DC2">
        <w:rPr>
          <w:rFonts w:hint="eastAsia"/>
        </w:rPr>
        <w:t>及</w:t>
      </w:r>
      <w:r w:rsidR="008727EB" w:rsidRPr="006D5DC2">
        <w:t>008-010111028A</w:t>
      </w:r>
      <w:r w:rsidR="00494B47" w:rsidRPr="006D5DC2">
        <w:rPr>
          <w:rFonts w:hint="eastAsia"/>
        </w:rPr>
        <w:t>等</w:t>
      </w:r>
      <w:r w:rsidR="00E91AAE" w:rsidRPr="006D5DC2">
        <w:rPr>
          <w:rFonts w:hint="eastAsia"/>
        </w:rPr>
        <w:t>3</w:t>
      </w:r>
      <w:r w:rsidR="00494B47" w:rsidRPr="006D5DC2">
        <w:rPr>
          <w:rFonts w:hint="eastAsia"/>
        </w:rPr>
        <w:t>採購</w:t>
      </w:r>
      <w:r w:rsidR="000C1E33" w:rsidRPr="006D5DC2">
        <w:rPr>
          <w:rFonts w:hint="eastAsia"/>
        </w:rPr>
        <w:t>案</w:t>
      </w:r>
      <w:r w:rsidR="00494B47" w:rsidRPr="006D5DC2">
        <w:rPr>
          <w:rFonts w:hint="eastAsia"/>
        </w:rPr>
        <w:t>之</w:t>
      </w:r>
      <w:r w:rsidR="008727EB" w:rsidRPr="006D5DC2">
        <w:rPr>
          <w:rFonts w:hint="eastAsia"/>
        </w:rPr>
        <w:t>驗收日期</w:t>
      </w:r>
      <w:r w:rsidR="00494B47" w:rsidRPr="006D5DC2">
        <w:rPr>
          <w:rFonts w:hint="eastAsia"/>
        </w:rPr>
        <w:t>，</w:t>
      </w:r>
      <w:r w:rsidR="008727EB" w:rsidRPr="006D5DC2">
        <w:rPr>
          <w:rFonts w:hint="eastAsia"/>
        </w:rPr>
        <w:t>依序為100年5月24日、101年1月16日及101年12月21日，倘於驗收合格日起5年內確有故障率逾規定情形，自應</w:t>
      </w:r>
      <w:r w:rsidR="007B071B" w:rsidRPr="006D5DC2">
        <w:rPr>
          <w:rFonts w:hint="eastAsia"/>
        </w:rPr>
        <w:t>依</w:t>
      </w:r>
      <w:r w:rsidR="00B01AA1" w:rsidRPr="006D5DC2">
        <w:rPr>
          <w:rFonts w:hint="eastAsia"/>
        </w:rPr>
        <w:t>合約規定</w:t>
      </w:r>
      <w:r w:rsidR="007B071B" w:rsidRPr="006D5DC2">
        <w:rPr>
          <w:rFonts w:hint="eastAsia"/>
        </w:rPr>
        <w:t>處理</w:t>
      </w:r>
      <w:r w:rsidR="00ED7FD0" w:rsidRPr="006D5DC2">
        <w:rPr>
          <w:rFonts w:hint="eastAsia"/>
        </w:rPr>
        <w:t>。</w:t>
      </w:r>
      <w:r w:rsidR="00494B47" w:rsidRPr="006D5DC2">
        <w:rPr>
          <w:rFonts w:hint="eastAsia"/>
        </w:rPr>
        <w:t>台電</w:t>
      </w:r>
      <w:r w:rsidR="00330080" w:rsidRPr="006D5DC2">
        <w:rPr>
          <w:rFonts w:hint="eastAsia"/>
        </w:rPr>
        <w:t>公司106年5月25日MIU求償會議紀錄討論與結案第3項</w:t>
      </w:r>
      <w:r w:rsidR="009C54FF" w:rsidRPr="006D5DC2">
        <w:rPr>
          <w:rFonts w:hint="eastAsia"/>
        </w:rPr>
        <w:t>亦揭示</w:t>
      </w:r>
      <w:r w:rsidR="00330080" w:rsidRPr="006D5DC2">
        <w:rPr>
          <w:rFonts w:hint="eastAsia"/>
        </w:rPr>
        <w:t>「倘本器材</w:t>
      </w:r>
      <w:r w:rsidR="000C1E33" w:rsidRPr="006D5DC2">
        <w:rPr>
          <w:rFonts w:hint="eastAsia"/>
        </w:rPr>
        <w:t>(</w:t>
      </w:r>
      <w:r w:rsidR="00330080" w:rsidRPr="006D5DC2">
        <w:rPr>
          <w:rFonts w:hint="eastAsia"/>
        </w:rPr>
        <w:t>含選擇性配備</w:t>
      </w:r>
      <w:r w:rsidR="000C1E33" w:rsidRPr="006D5DC2">
        <w:rPr>
          <w:rFonts w:hint="eastAsia"/>
        </w:rPr>
        <w:t>)</w:t>
      </w:r>
      <w:r w:rsidR="00330080" w:rsidRPr="006D5DC2">
        <w:rPr>
          <w:rFonts w:hint="eastAsia"/>
        </w:rPr>
        <w:t>故障率符合材料規範附錄『規定』之全數換貨門檻標準以上時，</w:t>
      </w:r>
      <w:r w:rsidR="00847EA4" w:rsidRPr="006D5DC2">
        <w:rPr>
          <w:rFonts w:hint="eastAsia"/>
        </w:rPr>
        <w:t>台電公司</w:t>
      </w:r>
      <w:r w:rsidR="00330080" w:rsidRPr="006D5DC2">
        <w:rPr>
          <w:rFonts w:hint="eastAsia"/>
        </w:rPr>
        <w:t>將依材料規範附錄『保證』規定通知大同公司辦理電表</w:t>
      </w:r>
      <w:r w:rsidR="000C1E33" w:rsidRPr="006D5DC2">
        <w:rPr>
          <w:rFonts w:hint="eastAsia"/>
        </w:rPr>
        <w:t>(</w:t>
      </w:r>
      <w:r w:rsidR="00330080" w:rsidRPr="006D5DC2">
        <w:rPr>
          <w:rFonts w:hint="eastAsia"/>
        </w:rPr>
        <w:t>含選擇性配備</w:t>
      </w:r>
      <w:r w:rsidR="000C1E33" w:rsidRPr="006D5DC2">
        <w:rPr>
          <w:rFonts w:hint="eastAsia"/>
        </w:rPr>
        <w:t>)</w:t>
      </w:r>
      <w:r w:rsidR="00330080" w:rsidRPr="006D5DC2">
        <w:rPr>
          <w:rFonts w:hint="eastAsia"/>
        </w:rPr>
        <w:t>之更換作業，廠商須負責將契約全部數量之器材辦理回收，且應依規範附錄規定重新辦理『驗收』及『電表檢定』，以更換符合規範之『檢定合格新品』</w:t>
      </w:r>
      <w:r w:rsidR="005F112D" w:rsidRPr="006D5DC2">
        <w:rPr>
          <w:rFonts w:hint="eastAsia"/>
        </w:rPr>
        <w:t>；更換後之新品將依契約保固條款另計保固期。」等語。然依台電公司108年4月9日電材字第1080004799號函附表4</w:t>
      </w:r>
      <w:r w:rsidR="007B071B" w:rsidRPr="006D5DC2">
        <w:rPr>
          <w:rFonts w:hint="eastAsia"/>
        </w:rPr>
        <w:t>所載</w:t>
      </w:r>
      <w:r w:rsidR="005F112D" w:rsidRPr="006D5DC2">
        <w:rPr>
          <w:rFonts w:hint="eastAsia"/>
        </w:rPr>
        <w:t>，</w:t>
      </w:r>
      <w:r w:rsidR="00494B47" w:rsidRPr="006D5DC2">
        <w:rPr>
          <w:rFonts w:hint="eastAsia"/>
        </w:rPr>
        <w:t>105年初，桃園、雲林、嘉義、高雄等區處即經不良回饋系統陸續反映MIU故障，</w:t>
      </w:r>
      <w:r w:rsidR="003519E3" w:rsidRPr="006D5DC2">
        <w:rPr>
          <w:rFonts w:hint="eastAsia"/>
        </w:rPr>
        <w:t>惟</w:t>
      </w:r>
      <w:r w:rsidR="00ED7FD0" w:rsidRPr="006D5DC2">
        <w:rPr>
          <w:rFonts w:hint="eastAsia"/>
        </w:rPr>
        <w:t>有關</w:t>
      </w:r>
      <w:r w:rsidR="00494B47" w:rsidRPr="006D5DC2">
        <w:rPr>
          <w:rFonts w:hint="eastAsia"/>
        </w:rPr>
        <w:t>故障數量之統計，</w:t>
      </w:r>
      <w:r w:rsidR="00ED7FD0" w:rsidRPr="006D5DC2">
        <w:rPr>
          <w:rFonts w:hint="eastAsia"/>
        </w:rPr>
        <w:t>台電公司</w:t>
      </w:r>
      <w:r w:rsidR="00494B47" w:rsidRPr="006D5DC2">
        <w:rPr>
          <w:rFonts w:hint="eastAsia"/>
        </w:rPr>
        <w:t>除不良回饋系統外，亦包含各區處逕洽大同公司維護而未經不良回饋系統之MIU</w:t>
      </w:r>
      <w:r w:rsidR="00ED7FD0" w:rsidRPr="006D5DC2">
        <w:rPr>
          <w:rFonts w:hint="eastAsia"/>
        </w:rPr>
        <w:t>之故障數量，而大同公司則以台電公司不良回饋系統之通知數量為據，</w:t>
      </w:r>
      <w:r w:rsidR="009C54FF" w:rsidRPr="006D5DC2">
        <w:rPr>
          <w:rFonts w:hint="eastAsia"/>
        </w:rPr>
        <w:t>肇致</w:t>
      </w:r>
      <w:r w:rsidR="00ED7FD0" w:rsidRPr="006D5DC2">
        <w:rPr>
          <w:rFonts w:hint="eastAsia"/>
        </w:rPr>
        <w:t>雙方統計之故障數量差異甚大</w:t>
      </w:r>
      <w:r w:rsidR="009C54FF" w:rsidRPr="006D5DC2">
        <w:rPr>
          <w:rFonts w:hint="eastAsia"/>
        </w:rPr>
        <w:t>。該故</w:t>
      </w:r>
      <w:r w:rsidR="009C54FF" w:rsidRPr="006D5DC2">
        <w:rPr>
          <w:rFonts w:hint="eastAsia"/>
        </w:rPr>
        <w:lastRenderedPageBreak/>
        <w:t>障數量，</w:t>
      </w:r>
      <w:r w:rsidR="00ED7FD0" w:rsidRPr="006D5DC2">
        <w:rPr>
          <w:rFonts w:hint="eastAsia"/>
        </w:rPr>
        <w:t>台電公司材料處</w:t>
      </w:r>
      <w:r w:rsidR="00494B47" w:rsidRPr="006D5DC2">
        <w:rPr>
          <w:rFonts w:hint="eastAsia"/>
        </w:rPr>
        <w:t>迄</w:t>
      </w:r>
      <w:r w:rsidR="003519E3" w:rsidRPr="006D5DC2">
        <w:rPr>
          <w:rFonts w:hint="eastAsia"/>
        </w:rPr>
        <w:t>至</w:t>
      </w:r>
      <w:r w:rsidR="00494B47" w:rsidRPr="006D5DC2">
        <w:rPr>
          <w:rFonts w:hint="eastAsia"/>
        </w:rPr>
        <w:t>106年</w:t>
      </w:r>
      <w:r w:rsidR="00ED7FD0" w:rsidRPr="006D5DC2">
        <w:rPr>
          <w:rFonts w:hint="eastAsia"/>
        </w:rPr>
        <w:t>7</w:t>
      </w:r>
      <w:r w:rsidR="00494B47" w:rsidRPr="006D5DC2">
        <w:rPr>
          <w:rFonts w:hint="eastAsia"/>
        </w:rPr>
        <w:t>月2</w:t>
      </w:r>
      <w:r w:rsidR="00ED7FD0" w:rsidRPr="006D5DC2">
        <w:rPr>
          <w:rFonts w:hint="eastAsia"/>
        </w:rPr>
        <w:t>6</w:t>
      </w:r>
      <w:r w:rsidR="00494B47" w:rsidRPr="006D5DC2">
        <w:rPr>
          <w:rFonts w:hint="eastAsia"/>
        </w:rPr>
        <w:t>日</w:t>
      </w:r>
      <w:r w:rsidR="00ED7FD0" w:rsidRPr="006D5DC2">
        <w:rPr>
          <w:rFonts w:hint="eastAsia"/>
        </w:rPr>
        <w:t>始以材字第1068058576號函</w:t>
      </w:r>
      <w:r w:rsidR="000C1E33" w:rsidRPr="006D5DC2">
        <w:rPr>
          <w:rFonts w:hint="eastAsia"/>
          <w:vanish/>
          <w:color w:val="FF0000"/>
        </w:rPr>
        <w:t>(</w:t>
      </w:r>
      <w:r w:rsidR="00ED7FD0" w:rsidRPr="006D5DC2">
        <w:rPr>
          <w:rFonts w:hint="eastAsia"/>
          <w:vanish/>
          <w:color w:val="FF0000"/>
        </w:rPr>
        <w:t>附表4之附件16</w:t>
      </w:r>
      <w:r w:rsidR="000C1E33" w:rsidRPr="006D5DC2">
        <w:rPr>
          <w:rFonts w:hint="eastAsia"/>
          <w:vanish/>
          <w:color w:val="FF0000"/>
        </w:rPr>
        <w:t>)</w:t>
      </w:r>
      <w:r w:rsidR="00ED7FD0" w:rsidRPr="006D5DC2">
        <w:rPr>
          <w:rFonts w:hint="eastAsia"/>
        </w:rPr>
        <w:t>通知大同公司前揭</w:t>
      </w:r>
      <w:r w:rsidR="003519E3" w:rsidRPr="006D5DC2">
        <w:rPr>
          <w:rFonts w:hint="eastAsia"/>
        </w:rPr>
        <w:t>3</w:t>
      </w:r>
      <w:r w:rsidR="00ED7FD0" w:rsidRPr="006D5DC2">
        <w:rPr>
          <w:rFonts w:hint="eastAsia"/>
        </w:rPr>
        <w:t>採購案故障率皆超過門檻比率，應進行全數換貨</w:t>
      </w:r>
      <w:r w:rsidR="000C1E33" w:rsidRPr="006D5DC2">
        <w:rPr>
          <w:rFonts w:hint="eastAsia"/>
        </w:rPr>
        <w:t>(</w:t>
      </w:r>
      <w:r w:rsidR="00ED7FD0" w:rsidRPr="006D5DC2">
        <w:rPr>
          <w:rFonts w:hint="eastAsia"/>
        </w:rPr>
        <w:t>事實上，當時</w:t>
      </w:r>
      <w:r w:rsidR="007B071B" w:rsidRPr="006D5DC2">
        <w:t>008-000100013A</w:t>
      </w:r>
      <w:r w:rsidR="007B071B" w:rsidRPr="006D5DC2">
        <w:rPr>
          <w:rFonts w:hint="eastAsia"/>
        </w:rPr>
        <w:t>、</w:t>
      </w:r>
      <w:r w:rsidR="00494B47" w:rsidRPr="006D5DC2">
        <w:t>008-000100078B</w:t>
      </w:r>
      <w:r w:rsidR="00ED7FD0" w:rsidRPr="006D5DC2">
        <w:rPr>
          <w:rFonts w:hint="eastAsia"/>
        </w:rPr>
        <w:t>採購案</w:t>
      </w:r>
      <w:r w:rsidR="00494B47" w:rsidRPr="006D5DC2">
        <w:rPr>
          <w:rFonts w:hint="eastAsia"/>
        </w:rPr>
        <w:t>之5年全數換貨期限</w:t>
      </w:r>
      <w:r w:rsidR="00ED7FD0" w:rsidRPr="006D5DC2">
        <w:rPr>
          <w:rFonts w:hint="eastAsia"/>
        </w:rPr>
        <w:t>已於</w:t>
      </w:r>
      <w:r w:rsidR="007B071B" w:rsidRPr="006D5DC2">
        <w:rPr>
          <w:rFonts w:hint="eastAsia"/>
        </w:rPr>
        <w:t>105年5月24日、</w:t>
      </w:r>
      <w:r w:rsidR="00494B47" w:rsidRPr="006D5DC2">
        <w:rPr>
          <w:rFonts w:hint="eastAsia"/>
        </w:rPr>
        <w:t>106年1月16日屆滿</w:t>
      </w:r>
      <w:r w:rsidR="000C1E33" w:rsidRPr="006D5DC2">
        <w:rPr>
          <w:rFonts w:hint="eastAsia"/>
        </w:rPr>
        <w:t>)</w:t>
      </w:r>
      <w:r w:rsidR="00494B47" w:rsidRPr="006D5DC2">
        <w:rPr>
          <w:rFonts w:hint="eastAsia"/>
        </w:rPr>
        <w:t>，</w:t>
      </w:r>
      <w:r w:rsidR="007B071B" w:rsidRPr="006D5DC2">
        <w:rPr>
          <w:rFonts w:hint="eastAsia"/>
        </w:rPr>
        <w:t>陳訴人所陳「台電公司遲至106年7月行文大同公司限3個月內全數更換新品」尚屬實情。至後續</w:t>
      </w:r>
      <w:r w:rsidR="00AD7503" w:rsidRPr="006D5DC2">
        <w:rPr>
          <w:rFonts w:hint="eastAsia"/>
        </w:rPr>
        <w:t>請廠商依約全數換貨之</w:t>
      </w:r>
      <w:r w:rsidR="007B071B" w:rsidRPr="006D5DC2">
        <w:rPr>
          <w:rFonts w:hint="eastAsia"/>
        </w:rPr>
        <w:t>處理，</w:t>
      </w:r>
      <w:r w:rsidR="00AD7503" w:rsidRPr="006D5DC2">
        <w:rPr>
          <w:rFonts w:hint="eastAsia"/>
        </w:rPr>
        <w:t>案經</w:t>
      </w:r>
      <w:r w:rsidR="009C54FF" w:rsidRPr="006D5DC2">
        <w:rPr>
          <w:rFonts w:hint="eastAsia"/>
        </w:rPr>
        <w:t>大同公司106年9月27日</w:t>
      </w:r>
      <w:r w:rsidR="00457963" w:rsidRPr="006D5DC2">
        <w:rPr>
          <w:rFonts w:hint="eastAsia"/>
        </w:rPr>
        <w:t>向行政院公共工程委員會</w:t>
      </w:r>
      <w:r w:rsidR="009C54FF" w:rsidRPr="006D5DC2">
        <w:rPr>
          <w:rFonts w:hint="eastAsia"/>
        </w:rPr>
        <w:t>提出履約爭議調解</w:t>
      </w:r>
      <w:r w:rsidR="006175D8" w:rsidRPr="006D5DC2">
        <w:rPr>
          <w:rStyle w:val="afe"/>
        </w:rPr>
        <w:footnoteReference w:id="15"/>
      </w:r>
      <w:r w:rsidR="009C54FF" w:rsidRPr="006D5DC2">
        <w:rPr>
          <w:rFonts w:hint="eastAsia"/>
        </w:rPr>
        <w:t>，</w:t>
      </w:r>
      <w:r w:rsidR="007B071B" w:rsidRPr="006D5DC2">
        <w:rPr>
          <w:rFonts w:hint="eastAsia"/>
        </w:rPr>
        <w:t>台電公司106年12月</w:t>
      </w:r>
      <w:r w:rsidR="006175D8" w:rsidRPr="006D5DC2">
        <w:rPr>
          <w:rFonts w:hint="eastAsia"/>
        </w:rPr>
        <w:t>14</w:t>
      </w:r>
      <w:r w:rsidR="007B071B" w:rsidRPr="006D5DC2">
        <w:rPr>
          <w:rFonts w:hint="eastAsia"/>
        </w:rPr>
        <w:t>日</w:t>
      </w:r>
      <w:r w:rsidR="006175D8" w:rsidRPr="006D5DC2">
        <w:rPr>
          <w:rFonts w:hint="eastAsia"/>
        </w:rPr>
        <w:t>函</w:t>
      </w:r>
      <w:r w:rsidR="00457963" w:rsidRPr="006D5DC2">
        <w:rPr>
          <w:rStyle w:val="afe"/>
        </w:rPr>
        <w:footnoteReference w:id="16"/>
      </w:r>
      <w:r w:rsidR="006175D8" w:rsidRPr="006D5DC2">
        <w:rPr>
          <w:rFonts w:hint="eastAsia"/>
        </w:rPr>
        <w:t>知</w:t>
      </w:r>
      <w:r w:rsidR="007B071B" w:rsidRPr="006D5DC2">
        <w:rPr>
          <w:rFonts w:hint="eastAsia"/>
        </w:rPr>
        <w:t>大同公司</w:t>
      </w:r>
      <w:r w:rsidR="006175D8" w:rsidRPr="006D5DC2">
        <w:rPr>
          <w:rFonts w:hint="eastAsia"/>
        </w:rPr>
        <w:t>依</w:t>
      </w:r>
      <w:r w:rsidR="00457963" w:rsidRPr="006D5DC2">
        <w:rPr>
          <w:rFonts w:hint="eastAsia"/>
        </w:rPr>
        <w:t>政府採購法第101條第1項第9款規定將刊登</w:t>
      </w:r>
      <w:r w:rsidR="007B071B" w:rsidRPr="006D5DC2">
        <w:rPr>
          <w:rFonts w:hint="eastAsia"/>
        </w:rPr>
        <w:t>為不良廠商，</w:t>
      </w:r>
      <w:r w:rsidR="009C54FF" w:rsidRPr="006D5DC2">
        <w:rPr>
          <w:rFonts w:hint="eastAsia"/>
        </w:rPr>
        <w:t>申訴</w:t>
      </w:r>
      <w:r w:rsidR="007B071B" w:rsidRPr="006D5DC2">
        <w:rPr>
          <w:rFonts w:hint="eastAsia"/>
        </w:rPr>
        <w:t>廠商</w:t>
      </w:r>
      <w:r w:rsidR="009C54FF" w:rsidRPr="006D5DC2">
        <w:rPr>
          <w:rFonts w:hint="eastAsia"/>
        </w:rPr>
        <w:t>107年1月10日</w:t>
      </w:r>
      <w:r w:rsidR="007B071B" w:rsidRPr="006D5DC2">
        <w:rPr>
          <w:rFonts w:hint="eastAsia"/>
        </w:rPr>
        <w:t>提出異議，</w:t>
      </w:r>
      <w:r w:rsidR="009C54FF" w:rsidRPr="006D5DC2">
        <w:rPr>
          <w:rFonts w:hint="eastAsia"/>
        </w:rPr>
        <w:t>台電公司107年1月23日通知申訴廠商異議處理結果</w:t>
      </w:r>
      <w:r w:rsidR="00457963" w:rsidRPr="006D5DC2">
        <w:rPr>
          <w:rStyle w:val="afe"/>
        </w:rPr>
        <w:footnoteReference w:id="17"/>
      </w:r>
      <w:r w:rsidR="009C54FF" w:rsidRPr="006D5DC2">
        <w:rPr>
          <w:rFonts w:hint="eastAsia"/>
        </w:rPr>
        <w:t>，申訴廠商不服，向</w:t>
      </w:r>
      <w:r w:rsidR="00852516" w:rsidRPr="006D5DC2">
        <w:rPr>
          <w:rFonts w:hint="eastAsia"/>
        </w:rPr>
        <w:t>行政院公共</w:t>
      </w:r>
      <w:r w:rsidR="007B071B" w:rsidRPr="006D5DC2">
        <w:rPr>
          <w:rFonts w:hint="eastAsia"/>
        </w:rPr>
        <w:t>工程</w:t>
      </w:r>
      <w:r w:rsidR="00852516" w:rsidRPr="006D5DC2">
        <w:rPr>
          <w:rFonts w:hint="eastAsia"/>
        </w:rPr>
        <w:t>委員</w:t>
      </w:r>
      <w:r w:rsidR="007B071B" w:rsidRPr="006D5DC2">
        <w:rPr>
          <w:rFonts w:hint="eastAsia"/>
        </w:rPr>
        <w:t>會申訴，該會107年8月1</w:t>
      </w:r>
      <w:r w:rsidR="00AD7503" w:rsidRPr="006D5DC2">
        <w:rPr>
          <w:rFonts w:hint="eastAsia"/>
        </w:rPr>
        <w:t>0</w:t>
      </w:r>
      <w:r w:rsidR="007B071B" w:rsidRPr="006D5DC2">
        <w:rPr>
          <w:rFonts w:hint="eastAsia"/>
        </w:rPr>
        <w:t>日</w:t>
      </w:r>
      <w:r w:rsidR="009C54FF" w:rsidRPr="006D5DC2">
        <w:rPr>
          <w:rFonts w:hint="eastAsia"/>
        </w:rPr>
        <w:t>作成</w:t>
      </w:r>
      <w:r w:rsidR="007B071B" w:rsidRPr="006D5DC2">
        <w:rPr>
          <w:rFonts w:hint="eastAsia"/>
        </w:rPr>
        <w:t>履約爭議調解不成立</w:t>
      </w:r>
      <w:r w:rsidR="00AC339E" w:rsidRPr="006D5DC2">
        <w:rPr>
          <w:rStyle w:val="afe"/>
        </w:rPr>
        <w:footnoteReference w:id="18"/>
      </w:r>
      <w:r w:rsidR="00AC339E" w:rsidRPr="006D5DC2">
        <w:rPr>
          <w:rFonts w:hint="eastAsia"/>
        </w:rPr>
        <w:t xml:space="preserve"> </w:t>
      </w:r>
      <w:r w:rsidR="000C1E33" w:rsidRPr="006D5DC2">
        <w:rPr>
          <w:rFonts w:hint="eastAsia"/>
        </w:rPr>
        <w:t>(</w:t>
      </w:r>
      <w:r w:rsidR="007B071B" w:rsidRPr="006D5DC2">
        <w:rPr>
          <w:rFonts w:hint="eastAsia"/>
        </w:rPr>
        <w:t>調1060319</w:t>
      </w:r>
      <w:r w:rsidR="000C1E33" w:rsidRPr="006D5DC2">
        <w:rPr>
          <w:rFonts w:hint="eastAsia"/>
        </w:rPr>
        <w:t>)</w:t>
      </w:r>
      <w:r w:rsidR="00AD7503" w:rsidRPr="006D5DC2">
        <w:rPr>
          <w:rFonts w:hint="eastAsia"/>
        </w:rPr>
        <w:t>，同年9月14日</w:t>
      </w:r>
      <w:r w:rsidR="009C54FF" w:rsidRPr="006D5DC2">
        <w:rPr>
          <w:rFonts w:hint="eastAsia"/>
        </w:rPr>
        <w:t>採購申訴審議判斷書</w:t>
      </w:r>
      <w:r w:rsidR="000C1E33" w:rsidRPr="006D5DC2">
        <w:rPr>
          <w:rFonts w:hint="eastAsia"/>
        </w:rPr>
        <w:t>(</w:t>
      </w:r>
      <w:r w:rsidR="009C54FF" w:rsidRPr="006D5DC2">
        <w:rPr>
          <w:rFonts w:hint="eastAsia"/>
        </w:rPr>
        <w:t>訴1070062</w:t>
      </w:r>
      <w:r w:rsidR="000C1E33" w:rsidRPr="006D5DC2">
        <w:rPr>
          <w:rFonts w:hint="eastAsia"/>
        </w:rPr>
        <w:t>)</w:t>
      </w:r>
      <w:r w:rsidR="00F85A25" w:rsidRPr="006D5DC2">
        <w:rPr>
          <w:rFonts w:hint="eastAsia"/>
        </w:rPr>
        <w:t>作成</w:t>
      </w:r>
      <w:r w:rsidR="00AD7503" w:rsidRPr="006D5DC2">
        <w:rPr>
          <w:rFonts w:hint="eastAsia"/>
        </w:rPr>
        <w:t>「原異議處理結果撤銷，其餘申訴不受理」</w:t>
      </w:r>
      <w:r w:rsidR="00F85A25" w:rsidRPr="006D5DC2">
        <w:rPr>
          <w:rFonts w:hint="eastAsia"/>
        </w:rPr>
        <w:t>之判斷</w:t>
      </w:r>
      <w:r w:rsidR="009C54FF" w:rsidRPr="006D5DC2">
        <w:rPr>
          <w:rFonts w:hint="eastAsia"/>
        </w:rPr>
        <w:t>，台電公司並於10</w:t>
      </w:r>
      <w:r w:rsidR="00AD7503" w:rsidRPr="006D5DC2">
        <w:rPr>
          <w:rFonts w:hint="eastAsia"/>
        </w:rPr>
        <w:t>8</w:t>
      </w:r>
      <w:r w:rsidR="009C54FF" w:rsidRPr="006D5DC2">
        <w:rPr>
          <w:rFonts w:hint="eastAsia"/>
        </w:rPr>
        <w:t>年</w:t>
      </w:r>
      <w:r w:rsidR="00AD7503" w:rsidRPr="006D5DC2">
        <w:rPr>
          <w:rFonts w:hint="eastAsia"/>
        </w:rPr>
        <w:t>2</w:t>
      </w:r>
      <w:r w:rsidR="009C54FF" w:rsidRPr="006D5DC2">
        <w:rPr>
          <w:rFonts w:hint="eastAsia"/>
        </w:rPr>
        <w:t>月</w:t>
      </w:r>
      <w:r w:rsidR="00AD7503" w:rsidRPr="006D5DC2">
        <w:rPr>
          <w:rFonts w:hint="eastAsia"/>
        </w:rPr>
        <w:t>15日</w:t>
      </w:r>
      <w:r w:rsidR="009C54FF" w:rsidRPr="006D5DC2">
        <w:rPr>
          <w:rFonts w:hint="eastAsia"/>
        </w:rPr>
        <w:t>向</w:t>
      </w:r>
      <w:r w:rsidR="00821CAD" w:rsidRPr="006D5DC2">
        <w:rPr>
          <w:rFonts w:hint="eastAsia"/>
        </w:rPr>
        <w:t>臺灣臺北地方法院遞民事起訴狀</w:t>
      </w:r>
      <w:r w:rsidR="00821CAD" w:rsidRPr="006D5DC2">
        <w:rPr>
          <w:rStyle w:val="afe"/>
        </w:rPr>
        <w:footnoteReference w:id="19"/>
      </w:r>
      <w:r w:rsidR="00821CAD" w:rsidRPr="006D5DC2">
        <w:rPr>
          <w:rFonts w:hint="eastAsia"/>
        </w:rPr>
        <w:t>，</w:t>
      </w:r>
      <w:r w:rsidR="00AD7503" w:rsidRPr="006D5DC2">
        <w:rPr>
          <w:rFonts w:hint="eastAsia"/>
        </w:rPr>
        <w:t>請求大同公司履約</w:t>
      </w:r>
      <w:r w:rsidR="00F85A25" w:rsidRPr="006D5DC2">
        <w:rPr>
          <w:rFonts w:hint="eastAsia"/>
        </w:rPr>
        <w:t>在案。經</w:t>
      </w:r>
      <w:r w:rsidR="00AD7503" w:rsidRPr="006D5DC2">
        <w:rPr>
          <w:rFonts w:hint="eastAsia"/>
        </w:rPr>
        <w:t>核</w:t>
      </w:r>
      <w:r w:rsidR="00F85A25" w:rsidRPr="006D5DC2">
        <w:rPr>
          <w:rFonts w:hint="eastAsia"/>
        </w:rPr>
        <w:t>，台電公司</w:t>
      </w:r>
      <w:r w:rsidR="00AD7503" w:rsidRPr="006D5DC2">
        <w:rPr>
          <w:rFonts w:hint="eastAsia"/>
        </w:rPr>
        <w:t>依政府採購法規定程序請求廠商履約，</w:t>
      </w:r>
      <w:r w:rsidR="00F85A25" w:rsidRPr="006D5DC2">
        <w:rPr>
          <w:rFonts w:hint="eastAsia"/>
        </w:rPr>
        <w:t>程序上尚無不法，</w:t>
      </w:r>
      <w:r w:rsidR="00AD7503" w:rsidRPr="006D5DC2">
        <w:rPr>
          <w:rFonts w:hint="eastAsia"/>
        </w:rPr>
        <w:t>陳訴人陳</w:t>
      </w:r>
      <w:r w:rsidR="00F85A25" w:rsidRPr="006D5DC2">
        <w:rPr>
          <w:rFonts w:hint="eastAsia"/>
        </w:rPr>
        <w:t>訴</w:t>
      </w:r>
      <w:r w:rsidR="00AD7503" w:rsidRPr="006D5DC2">
        <w:rPr>
          <w:rFonts w:hint="eastAsia"/>
        </w:rPr>
        <w:t>採購申訴審議委員會</w:t>
      </w:r>
      <w:r w:rsidR="003A1296" w:rsidRPr="006D5DC2">
        <w:rPr>
          <w:rFonts w:hint="eastAsia"/>
        </w:rPr>
        <w:t>部分</w:t>
      </w:r>
      <w:r w:rsidR="00AD7503" w:rsidRPr="006D5DC2">
        <w:rPr>
          <w:rFonts w:hint="eastAsia"/>
        </w:rPr>
        <w:t>調解委員、預審委員涉嫌包庇大同公司一節，非本院職掌，</w:t>
      </w:r>
      <w:r w:rsidR="00F85A25" w:rsidRPr="006D5DC2">
        <w:rPr>
          <w:rFonts w:hint="eastAsia"/>
        </w:rPr>
        <w:t>併此敘明</w:t>
      </w:r>
      <w:r w:rsidR="00AD7503" w:rsidRPr="006D5DC2">
        <w:rPr>
          <w:rFonts w:hint="eastAsia"/>
        </w:rPr>
        <w:t>。</w:t>
      </w:r>
    </w:p>
    <w:p w:rsidR="00FC2786" w:rsidRPr="006D5DC2" w:rsidRDefault="00FC2786" w:rsidP="00153EBD">
      <w:pPr>
        <w:pStyle w:val="3"/>
      </w:pPr>
      <w:r w:rsidRPr="006D5DC2">
        <w:rPr>
          <w:rFonts w:hint="eastAsia"/>
        </w:rPr>
        <w:t>綜上，</w:t>
      </w:r>
      <w:r w:rsidR="00153EBD" w:rsidRPr="006D5DC2">
        <w:rPr>
          <w:rFonts w:hint="eastAsia"/>
        </w:rPr>
        <w:t>台電公司智慧型電表基礎建設係由智慧型電</w:t>
      </w:r>
      <w:r w:rsidR="00153EBD" w:rsidRPr="006D5DC2">
        <w:rPr>
          <w:rFonts w:hint="eastAsia"/>
        </w:rPr>
        <w:lastRenderedPageBreak/>
        <w:t>表、通訊系統及控制中心組成。其中，99</w:t>
      </w:r>
      <w:r w:rsidR="00861979" w:rsidRPr="006D5DC2">
        <w:rPr>
          <w:rFonts w:hint="eastAsia"/>
        </w:rPr>
        <w:t>年至</w:t>
      </w:r>
      <w:r w:rsidR="00153EBD" w:rsidRPr="006D5DC2">
        <w:rPr>
          <w:rFonts w:hint="eastAsia"/>
        </w:rPr>
        <w:t>101年間驗收合格之大同公司高壓智慧型電表，105年1月起「不良回饋系統」陸續反映其讀表器介面單元</w:t>
      </w:r>
      <w:r w:rsidR="000C1E33" w:rsidRPr="006D5DC2">
        <w:rPr>
          <w:rFonts w:hint="eastAsia"/>
        </w:rPr>
        <w:t>(</w:t>
      </w:r>
      <w:r w:rsidR="00153EBD" w:rsidRPr="006D5DC2">
        <w:rPr>
          <w:rFonts w:hint="eastAsia"/>
        </w:rPr>
        <w:t>MIU</w:t>
      </w:r>
      <w:r w:rsidR="000C1E33" w:rsidRPr="006D5DC2">
        <w:rPr>
          <w:rFonts w:hint="eastAsia"/>
        </w:rPr>
        <w:t>)</w:t>
      </w:r>
      <w:r w:rsidR="00153EBD" w:rsidRPr="006D5DC2">
        <w:rPr>
          <w:rFonts w:hint="eastAsia"/>
        </w:rPr>
        <w:t>故障，惟台電公司明知契約規定全數換貨期限為驗收合格日起5年內</w:t>
      </w:r>
      <w:r w:rsidR="00852516" w:rsidRPr="006D5DC2">
        <w:rPr>
          <w:rFonts w:hint="eastAsia"/>
        </w:rPr>
        <w:t>，</w:t>
      </w:r>
      <w:r w:rsidR="00153EBD" w:rsidRPr="006D5DC2">
        <w:rPr>
          <w:rFonts w:hint="eastAsia"/>
        </w:rPr>
        <w:t>倘超過門檻</w:t>
      </w:r>
      <w:r w:rsidR="000C1E33" w:rsidRPr="006D5DC2">
        <w:rPr>
          <w:rFonts w:hint="eastAsia"/>
        </w:rPr>
        <w:t>(</w:t>
      </w:r>
      <w:r w:rsidR="00153EBD" w:rsidRPr="006D5DC2">
        <w:rPr>
          <w:rFonts w:hint="eastAsia"/>
        </w:rPr>
        <w:t>5%或1%</w:t>
      </w:r>
      <w:r w:rsidR="000C1E33" w:rsidRPr="006D5DC2">
        <w:rPr>
          <w:rFonts w:hint="eastAsia"/>
        </w:rPr>
        <w:t>)</w:t>
      </w:r>
      <w:r w:rsidR="00153EBD" w:rsidRPr="006D5DC2">
        <w:rPr>
          <w:rFonts w:hint="eastAsia"/>
        </w:rPr>
        <w:t>廠商應全數換貨，卻拖延迄106年7月26日始確認各契約之故障率，並函請廠商依約辦理「全數換貨」</w:t>
      </w:r>
      <w:r w:rsidR="000C1E33" w:rsidRPr="006D5DC2">
        <w:rPr>
          <w:rFonts w:hint="eastAsia"/>
        </w:rPr>
        <w:t>(</w:t>
      </w:r>
      <w:r w:rsidR="00153EBD" w:rsidRPr="006D5DC2">
        <w:rPr>
          <w:rFonts w:hint="eastAsia"/>
        </w:rPr>
        <w:t>3採購</w:t>
      </w:r>
      <w:r w:rsidR="00852516" w:rsidRPr="006D5DC2">
        <w:rPr>
          <w:rFonts w:hint="eastAsia"/>
        </w:rPr>
        <w:t>案</w:t>
      </w:r>
      <w:r w:rsidR="00153EBD" w:rsidRPr="006D5DC2">
        <w:rPr>
          <w:rFonts w:hint="eastAsia"/>
        </w:rPr>
        <w:t>故障率超標，共10,850具</w:t>
      </w:r>
      <w:r w:rsidR="000C1E33" w:rsidRPr="006D5DC2">
        <w:rPr>
          <w:rFonts w:hint="eastAsia"/>
        </w:rPr>
        <w:t>)</w:t>
      </w:r>
      <w:r w:rsidR="00153EBD" w:rsidRPr="006D5DC2">
        <w:rPr>
          <w:rFonts w:hint="eastAsia"/>
        </w:rPr>
        <w:t>，核其對故障數量之掌握及處理，顯有怠失</w:t>
      </w:r>
      <w:r w:rsidR="003C5C00" w:rsidRPr="006D5DC2">
        <w:rPr>
          <w:rFonts w:hint="eastAsia"/>
        </w:rPr>
        <w:t>。</w:t>
      </w:r>
    </w:p>
    <w:p w:rsidR="00153EBD" w:rsidRPr="006D5DC2" w:rsidRDefault="005972B3" w:rsidP="0031428B">
      <w:pPr>
        <w:pStyle w:val="2"/>
        <w:rPr>
          <w:b/>
        </w:rPr>
      </w:pPr>
      <w:bookmarkStart w:id="59" w:name="_Toc22114181"/>
      <w:bookmarkStart w:id="60" w:name="_Toc23164731"/>
      <w:r w:rsidRPr="006D5DC2">
        <w:rPr>
          <w:rFonts w:hint="eastAsia"/>
          <w:b/>
        </w:rPr>
        <w:t>行政院99年6月23日核定「智慧型電表基礎建設推動方案」，預</w:t>
      </w:r>
      <w:r w:rsidR="005762C3">
        <w:rPr>
          <w:rFonts w:hint="eastAsia"/>
          <w:b/>
        </w:rPr>
        <w:t>計</w:t>
      </w:r>
      <w:r w:rsidRPr="006D5DC2">
        <w:rPr>
          <w:rFonts w:hint="eastAsia"/>
          <w:b/>
        </w:rPr>
        <w:t>於100</w:t>
      </w:r>
      <w:r w:rsidR="00861979" w:rsidRPr="006D5DC2">
        <w:rPr>
          <w:rFonts w:hint="eastAsia"/>
          <w:b/>
        </w:rPr>
        <w:t>年至</w:t>
      </w:r>
      <w:r w:rsidRPr="006D5DC2">
        <w:rPr>
          <w:rFonts w:hint="eastAsia"/>
          <w:b/>
        </w:rPr>
        <w:t>101年</w:t>
      </w:r>
      <w:r w:rsidR="00352322" w:rsidRPr="006D5DC2">
        <w:rPr>
          <w:rFonts w:hint="eastAsia"/>
          <w:b/>
        </w:rPr>
        <w:t>布建</w:t>
      </w:r>
      <w:r w:rsidRPr="006D5DC2">
        <w:rPr>
          <w:rFonts w:hint="eastAsia"/>
          <w:b/>
        </w:rPr>
        <w:t>低壓智慧電表1萬戶，為達成該階段性目標，</w:t>
      </w:r>
      <w:r w:rsidR="005C43E6" w:rsidRPr="006D5DC2">
        <w:rPr>
          <w:rFonts w:hint="eastAsia"/>
          <w:b/>
        </w:rPr>
        <w:t>經濟部能源局</w:t>
      </w:r>
      <w:r w:rsidRPr="006D5DC2">
        <w:rPr>
          <w:rFonts w:hint="eastAsia"/>
          <w:b/>
        </w:rPr>
        <w:t>依推動方案</w:t>
      </w:r>
      <w:r w:rsidR="00953562" w:rsidRPr="006D5DC2">
        <w:rPr>
          <w:rFonts w:hint="eastAsia"/>
          <w:b/>
        </w:rPr>
        <w:t>所訂</w:t>
      </w:r>
      <w:r w:rsidRPr="006D5DC2">
        <w:rPr>
          <w:rFonts w:hint="eastAsia"/>
          <w:b/>
        </w:rPr>
        <w:t>工作項目，於98</w:t>
      </w:r>
      <w:r w:rsidR="00861979" w:rsidRPr="006D5DC2">
        <w:rPr>
          <w:rFonts w:hint="eastAsia"/>
          <w:b/>
        </w:rPr>
        <w:t>年至</w:t>
      </w:r>
      <w:r w:rsidRPr="006D5DC2">
        <w:rPr>
          <w:rFonts w:hint="eastAsia"/>
          <w:b/>
        </w:rPr>
        <w:t>99年</w:t>
      </w:r>
      <w:r w:rsidR="00953562" w:rsidRPr="006D5DC2">
        <w:rPr>
          <w:rFonts w:hint="eastAsia"/>
          <w:b/>
        </w:rPr>
        <w:t>先</w:t>
      </w:r>
      <w:r w:rsidRPr="006D5DC2">
        <w:rPr>
          <w:rFonts w:hint="eastAsia"/>
          <w:b/>
        </w:rPr>
        <w:t>辦理「通訊技術測試」，惟</w:t>
      </w:r>
      <w:r w:rsidR="008113C1" w:rsidRPr="006D5DC2">
        <w:rPr>
          <w:rFonts w:hint="eastAsia"/>
          <w:b/>
        </w:rPr>
        <w:t>台電公司據以續辦時</w:t>
      </w:r>
      <w:r w:rsidRPr="006D5DC2">
        <w:rPr>
          <w:rFonts w:hint="eastAsia"/>
          <w:b/>
        </w:rPr>
        <w:t>，未考量</w:t>
      </w:r>
      <w:r w:rsidR="00953562" w:rsidRPr="006D5DC2">
        <w:rPr>
          <w:rFonts w:hint="eastAsia"/>
          <w:b/>
        </w:rPr>
        <w:t>既有電表裝設位置</w:t>
      </w:r>
      <w:r w:rsidR="000C1E33" w:rsidRPr="006D5DC2">
        <w:rPr>
          <w:rFonts w:hint="eastAsia"/>
          <w:b/>
        </w:rPr>
        <w:t>多</w:t>
      </w:r>
      <w:r w:rsidR="00AD5200" w:rsidRPr="006D5DC2">
        <w:rPr>
          <w:rFonts w:hint="eastAsia"/>
          <w:b/>
        </w:rPr>
        <w:t>位於</w:t>
      </w:r>
      <w:r w:rsidR="00953562" w:rsidRPr="006D5DC2">
        <w:rPr>
          <w:rFonts w:hint="eastAsia"/>
          <w:b/>
        </w:rPr>
        <w:t>通訊死角、無線電通訊技術Zigbee及WiFi僅能使用2.4GHz，傳輸距離受限</w:t>
      </w:r>
      <w:r w:rsidR="000C1E33" w:rsidRPr="006D5DC2">
        <w:rPr>
          <w:rFonts w:hint="eastAsia"/>
          <w:b/>
        </w:rPr>
        <w:t>等因素</w:t>
      </w:r>
      <w:r w:rsidR="00953562" w:rsidRPr="006D5DC2">
        <w:rPr>
          <w:rFonts w:hint="eastAsia"/>
          <w:b/>
        </w:rPr>
        <w:t>，</w:t>
      </w:r>
      <w:r w:rsidR="005360DA" w:rsidRPr="006D5DC2">
        <w:rPr>
          <w:rFonts w:hint="eastAsia"/>
          <w:b/>
        </w:rPr>
        <w:t>於101年</w:t>
      </w:r>
      <w:r w:rsidR="00953562" w:rsidRPr="006D5DC2">
        <w:rPr>
          <w:rFonts w:hint="eastAsia"/>
          <w:b/>
        </w:rPr>
        <w:t>率爾</w:t>
      </w:r>
      <w:r w:rsidRPr="006D5DC2">
        <w:rPr>
          <w:rFonts w:hint="eastAsia"/>
          <w:b/>
        </w:rPr>
        <w:t>斥資2.4億元進行1萬戶之前期</w:t>
      </w:r>
      <w:r w:rsidR="00352322" w:rsidRPr="006D5DC2">
        <w:rPr>
          <w:rFonts w:hint="eastAsia"/>
          <w:b/>
        </w:rPr>
        <w:t>布建</w:t>
      </w:r>
      <w:r w:rsidRPr="006D5DC2">
        <w:rPr>
          <w:rFonts w:hint="eastAsia"/>
          <w:b/>
        </w:rPr>
        <w:t>，加上驗收條款</w:t>
      </w:r>
      <w:r w:rsidR="000C1E33" w:rsidRPr="006D5DC2">
        <w:rPr>
          <w:rFonts w:hint="eastAsia"/>
          <w:b/>
        </w:rPr>
        <w:t>(</w:t>
      </w:r>
      <w:r w:rsidRPr="006D5DC2">
        <w:rPr>
          <w:rFonts w:hint="eastAsia"/>
          <w:b/>
        </w:rPr>
        <w:t>如現場設備可用性測試</w:t>
      </w:r>
      <w:r w:rsidR="000C1E33" w:rsidRPr="006D5DC2">
        <w:rPr>
          <w:rFonts w:hint="eastAsia"/>
          <w:b/>
        </w:rPr>
        <w:t>)</w:t>
      </w:r>
      <w:r w:rsidR="005762C3">
        <w:rPr>
          <w:rFonts w:hint="eastAsia"/>
          <w:b/>
        </w:rPr>
        <w:t>未盡明確，使</w:t>
      </w:r>
      <w:r w:rsidR="009529D5" w:rsidRPr="006D5DC2">
        <w:rPr>
          <w:rFonts w:hint="eastAsia"/>
          <w:b/>
        </w:rPr>
        <w:t>前期布建</w:t>
      </w:r>
      <w:r w:rsidR="00953562" w:rsidRPr="006D5DC2">
        <w:rPr>
          <w:rFonts w:hint="eastAsia"/>
          <w:b/>
        </w:rPr>
        <w:t>所採通訊系統</w:t>
      </w:r>
      <w:r w:rsidR="009529D5" w:rsidRPr="006D5DC2">
        <w:rPr>
          <w:rFonts w:hint="eastAsia"/>
          <w:b/>
        </w:rPr>
        <w:t>無法為</w:t>
      </w:r>
      <w:r w:rsidR="00953562" w:rsidRPr="006D5DC2">
        <w:rPr>
          <w:rFonts w:hint="eastAsia"/>
          <w:b/>
        </w:rPr>
        <w:t>後續大量</w:t>
      </w:r>
      <w:r w:rsidR="00352322" w:rsidRPr="006D5DC2">
        <w:rPr>
          <w:rFonts w:hint="eastAsia"/>
          <w:b/>
        </w:rPr>
        <w:t>布建</w:t>
      </w:r>
      <w:r w:rsidR="009529D5" w:rsidRPr="006D5DC2">
        <w:rPr>
          <w:rFonts w:hint="eastAsia"/>
          <w:b/>
        </w:rPr>
        <w:t>所用</w:t>
      </w:r>
      <w:r w:rsidR="00953562" w:rsidRPr="006D5DC2">
        <w:rPr>
          <w:rFonts w:hint="eastAsia"/>
          <w:b/>
        </w:rPr>
        <w:t>，</w:t>
      </w:r>
      <w:r w:rsidR="005360DA" w:rsidRPr="006D5DC2">
        <w:rPr>
          <w:rFonts w:hint="eastAsia"/>
          <w:b/>
        </w:rPr>
        <w:t>致</w:t>
      </w:r>
      <w:r w:rsidR="0031428B" w:rsidRPr="006D5DC2">
        <w:rPr>
          <w:rFonts w:hint="eastAsia"/>
          <w:b/>
        </w:rPr>
        <w:t>106年</w:t>
      </w:r>
      <w:r w:rsidR="000C1E33" w:rsidRPr="006D5DC2">
        <w:rPr>
          <w:rFonts w:hint="eastAsia"/>
          <w:b/>
        </w:rPr>
        <w:t>另</w:t>
      </w:r>
      <w:r w:rsidR="0031428B" w:rsidRPr="006D5DC2">
        <w:rPr>
          <w:rFonts w:hint="eastAsia"/>
          <w:b/>
        </w:rPr>
        <w:t>啟爐灶，採電表、通訊系統及管理系統分案招標</w:t>
      </w:r>
      <w:r w:rsidR="005360DA" w:rsidRPr="006D5DC2">
        <w:rPr>
          <w:rFonts w:hint="eastAsia"/>
          <w:b/>
        </w:rPr>
        <w:t>方式辦理</w:t>
      </w:r>
      <w:r w:rsidR="0031428B" w:rsidRPr="006D5DC2">
        <w:rPr>
          <w:rFonts w:hint="eastAsia"/>
          <w:b/>
        </w:rPr>
        <w:t>，</w:t>
      </w:r>
      <w:r w:rsidRPr="006D5DC2">
        <w:rPr>
          <w:rFonts w:hint="eastAsia"/>
          <w:b/>
        </w:rPr>
        <w:t>核有違失。</w:t>
      </w:r>
      <w:bookmarkEnd w:id="59"/>
      <w:bookmarkEnd w:id="60"/>
    </w:p>
    <w:p w:rsidR="002F237A" w:rsidRPr="006D5DC2" w:rsidRDefault="007239C4" w:rsidP="00861979">
      <w:pPr>
        <w:pStyle w:val="3"/>
      </w:pPr>
      <w:r w:rsidRPr="006D5DC2">
        <w:rPr>
          <w:rFonts w:hint="eastAsia"/>
        </w:rPr>
        <w:t>查</w:t>
      </w:r>
      <w:r w:rsidR="00421A0E" w:rsidRPr="006D5DC2">
        <w:rPr>
          <w:rFonts w:hint="eastAsia"/>
        </w:rPr>
        <w:t>行政院99年6月23日核定「智慧電表基礎建設推動方案」，其中低壓智慧電表，規劃98年辦理通訊技術測試，99年訂定功能標準，規劃測試平台，100</w:t>
      </w:r>
      <w:r w:rsidR="00861979" w:rsidRPr="006D5DC2">
        <w:rPr>
          <w:rFonts w:hint="eastAsia"/>
        </w:rPr>
        <w:t>年至</w:t>
      </w:r>
      <w:r w:rsidR="00421A0E" w:rsidRPr="006D5DC2">
        <w:rPr>
          <w:rFonts w:hint="eastAsia"/>
        </w:rPr>
        <w:t>101年建置電表資訊管理系統，</w:t>
      </w:r>
      <w:r w:rsidR="00352322" w:rsidRPr="006D5DC2">
        <w:rPr>
          <w:rFonts w:hint="eastAsia"/>
        </w:rPr>
        <w:t>布建</w:t>
      </w:r>
      <w:r w:rsidR="00421A0E" w:rsidRPr="006D5DC2">
        <w:rPr>
          <w:rFonts w:hint="eastAsia"/>
        </w:rPr>
        <w:t>1萬戶電表。</w:t>
      </w:r>
      <w:r w:rsidRPr="006D5DC2">
        <w:rPr>
          <w:rFonts w:hint="eastAsia"/>
        </w:rPr>
        <w:t>台電公司</w:t>
      </w:r>
      <w:r w:rsidR="00421A0E" w:rsidRPr="006D5DC2">
        <w:rPr>
          <w:rFonts w:hint="eastAsia"/>
        </w:rPr>
        <w:t>為達成前述1萬戶目標，</w:t>
      </w:r>
      <w:r w:rsidRPr="006D5DC2">
        <w:rPr>
          <w:rFonts w:hint="eastAsia"/>
        </w:rPr>
        <w:t>參考</w:t>
      </w:r>
      <w:r w:rsidR="00421A0E" w:rsidRPr="006D5DC2">
        <w:rPr>
          <w:rFonts w:hint="eastAsia"/>
        </w:rPr>
        <w:t>經濟部能源局</w:t>
      </w:r>
      <w:r w:rsidR="002B652B" w:rsidRPr="006D5DC2">
        <w:rPr>
          <w:rFonts w:hint="eastAsia"/>
        </w:rPr>
        <w:t>(下稱能源局)</w:t>
      </w:r>
      <w:r w:rsidR="00421A0E" w:rsidRPr="006D5DC2">
        <w:rPr>
          <w:rFonts w:hint="eastAsia"/>
        </w:rPr>
        <w:t>101年1月「</w:t>
      </w:r>
      <w:r w:rsidR="005C43E6" w:rsidRPr="006D5DC2">
        <w:rPr>
          <w:rFonts w:hint="eastAsia"/>
        </w:rPr>
        <w:t>智</w:t>
      </w:r>
      <w:r w:rsidR="00421A0E" w:rsidRPr="006D5DC2">
        <w:rPr>
          <w:rFonts w:hint="eastAsia"/>
        </w:rPr>
        <w:t>慧型電表系統技術規劃研究計畫書」，擬訂「低壓智慧型電表讀表器建置採購規範」，於上網公告，徵詢意見後，於</w:t>
      </w:r>
      <w:r w:rsidR="00735366" w:rsidRPr="006D5DC2">
        <w:rPr>
          <w:rFonts w:hint="eastAsia"/>
        </w:rPr>
        <w:t>101年2月22日首次</w:t>
      </w:r>
      <w:r w:rsidR="00421A0E" w:rsidRPr="006D5DC2">
        <w:rPr>
          <w:rFonts w:hint="eastAsia"/>
        </w:rPr>
        <w:t>上網招標，標案名稱「低壓智慧</w:t>
      </w:r>
      <w:r w:rsidR="00421A0E" w:rsidRPr="006D5DC2">
        <w:rPr>
          <w:rFonts w:hint="eastAsia"/>
        </w:rPr>
        <w:lastRenderedPageBreak/>
        <w:t>型電表讀表器建置」</w:t>
      </w:r>
      <w:r w:rsidR="000C1E33" w:rsidRPr="006D5DC2">
        <w:rPr>
          <w:rFonts w:hint="eastAsia"/>
        </w:rPr>
        <w:t>(</w:t>
      </w:r>
      <w:r w:rsidR="00735366" w:rsidRPr="006D5DC2">
        <w:rPr>
          <w:rFonts w:hint="eastAsia"/>
        </w:rPr>
        <w:t>採購案號</w:t>
      </w:r>
      <w:r w:rsidR="00735366" w:rsidRPr="006D5DC2">
        <w:t>008-0101001</w:t>
      </w:r>
      <w:r w:rsidR="000C1E33" w:rsidRPr="006D5DC2">
        <w:rPr>
          <w:rFonts w:hint="eastAsia"/>
        </w:rPr>
        <w:t>)</w:t>
      </w:r>
      <w:r w:rsidR="00421A0E" w:rsidRPr="006D5DC2">
        <w:rPr>
          <w:rFonts w:hint="eastAsia"/>
        </w:rPr>
        <w:t>，</w:t>
      </w:r>
      <w:r w:rsidR="00735366" w:rsidRPr="006D5DC2">
        <w:rPr>
          <w:rFonts w:hint="eastAsia"/>
        </w:rPr>
        <w:t>同年</w:t>
      </w:r>
      <w:r w:rsidRPr="006D5DC2">
        <w:rPr>
          <w:rFonts w:hint="eastAsia"/>
        </w:rPr>
        <w:t>7月17日大同公司</w:t>
      </w:r>
      <w:r w:rsidR="00735366" w:rsidRPr="006D5DC2">
        <w:rPr>
          <w:rFonts w:hint="eastAsia"/>
        </w:rPr>
        <w:t>以最低價</w:t>
      </w:r>
      <w:r w:rsidRPr="006D5DC2">
        <w:rPr>
          <w:rFonts w:hint="eastAsia"/>
        </w:rPr>
        <w:t>得標</w:t>
      </w:r>
      <w:r w:rsidR="00527BCA" w:rsidRPr="006D5DC2">
        <w:rPr>
          <w:rStyle w:val="afe"/>
        </w:rPr>
        <w:footnoteReference w:id="20"/>
      </w:r>
      <w:r w:rsidR="00735366" w:rsidRPr="006D5DC2">
        <w:rPr>
          <w:rFonts w:hint="eastAsia"/>
        </w:rPr>
        <w:t>，決標金額2</w:t>
      </w:r>
      <w:r w:rsidR="00527BCA" w:rsidRPr="006D5DC2">
        <w:rPr>
          <w:rFonts w:hint="eastAsia"/>
        </w:rPr>
        <w:t>42</w:t>
      </w:r>
      <w:r w:rsidR="00735366" w:rsidRPr="006D5DC2">
        <w:rPr>
          <w:rFonts w:hint="eastAsia"/>
        </w:rPr>
        <w:t>,</w:t>
      </w:r>
      <w:r w:rsidR="00527BCA" w:rsidRPr="006D5DC2">
        <w:rPr>
          <w:rFonts w:hint="eastAsia"/>
        </w:rPr>
        <w:t>487</w:t>
      </w:r>
      <w:r w:rsidR="00735366" w:rsidRPr="006D5DC2">
        <w:rPr>
          <w:rFonts w:hint="eastAsia"/>
        </w:rPr>
        <w:t>,000元</w:t>
      </w:r>
      <w:r w:rsidR="000C1E33" w:rsidRPr="006D5DC2">
        <w:rPr>
          <w:rFonts w:hint="eastAsia"/>
        </w:rPr>
        <w:t>(</w:t>
      </w:r>
      <w:r w:rsidR="00EF0094" w:rsidRPr="006D5DC2">
        <w:rPr>
          <w:rFonts w:hint="eastAsia"/>
        </w:rPr>
        <w:t>含稅</w:t>
      </w:r>
      <w:r w:rsidR="000C1E33" w:rsidRPr="006D5DC2">
        <w:rPr>
          <w:rFonts w:hint="eastAsia"/>
        </w:rPr>
        <w:t>)</w:t>
      </w:r>
      <w:r w:rsidR="00735366" w:rsidRPr="006D5DC2">
        <w:rPr>
          <w:rStyle w:val="afe"/>
        </w:rPr>
        <w:footnoteReference w:id="21"/>
      </w:r>
      <w:r w:rsidR="00735366" w:rsidRPr="006D5DC2">
        <w:rPr>
          <w:rFonts w:hint="eastAsia"/>
        </w:rPr>
        <w:t>，同日簽約</w:t>
      </w:r>
      <w:r w:rsidR="000C1E33" w:rsidRPr="006D5DC2">
        <w:rPr>
          <w:rFonts w:hint="eastAsia"/>
        </w:rPr>
        <w:t>(</w:t>
      </w:r>
      <w:r w:rsidR="002F237A" w:rsidRPr="006D5DC2">
        <w:rPr>
          <w:rFonts w:hint="eastAsia"/>
        </w:rPr>
        <w:t>契約編號008-010111001</w:t>
      </w:r>
      <w:r w:rsidR="000C1E33" w:rsidRPr="006D5DC2">
        <w:rPr>
          <w:rFonts w:hint="eastAsia"/>
        </w:rPr>
        <w:t>)</w:t>
      </w:r>
      <w:r w:rsidR="002F237A" w:rsidRPr="006D5DC2">
        <w:rPr>
          <w:rFonts w:hint="eastAsia"/>
        </w:rPr>
        <w:t>，購置讀表設定器4具、控制中心</w:t>
      </w:r>
      <w:r w:rsidR="000C1E33" w:rsidRPr="006D5DC2">
        <w:rPr>
          <w:rFonts w:hint="eastAsia"/>
        </w:rPr>
        <w:t>(</w:t>
      </w:r>
      <w:r w:rsidR="008109E6" w:rsidRPr="006D5DC2">
        <w:rPr>
          <w:rFonts w:hint="eastAsia"/>
        </w:rPr>
        <w:t>MDMS</w:t>
      </w:r>
      <w:r w:rsidR="000C1E33" w:rsidRPr="006D5DC2">
        <w:rPr>
          <w:rFonts w:hint="eastAsia"/>
        </w:rPr>
        <w:t>)</w:t>
      </w:r>
      <w:r w:rsidR="002F237A" w:rsidRPr="006D5DC2">
        <w:rPr>
          <w:rFonts w:hint="eastAsia"/>
        </w:rPr>
        <w:t>設備、集中器220具及電表12,000具。其中，電表及集中器</w:t>
      </w:r>
      <w:r w:rsidR="00527BCA" w:rsidRPr="006D5DC2">
        <w:rPr>
          <w:rFonts w:hint="eastAsia"/>
        </w:rPr>
        <w:t>規劃</w:t>
      </w:r>
      <w:r w:rsidR="002F237A" w:rsidRPr="006D5DC2">
        <w:rPr>
          <w:rFonts w:hint="eastAsia"/>
        </w:rPr>
        <w:t>安裝於該公司北市區營業處、北南區營業處、臺中區營業處及澎湖區營業處之用戶端適當位置，讀表設定器於前述4個區處地點各安裝1具，控制中心之讀表控制器等相關設備安裝於臺中區營業處，以建置完整低壓智慧型電表基礎建設</w:t>
      </w:r>
      <w:r w:rsidR="000C1E33" w:rsidRPr="006D5DC2">
        <w:rPr>
          <w:rFonts w:hint="eastAsia"/>
        </w:rPr>
        <w:t>(</w:t>
      </w:r>
      <w:r w:rsidR="002F237A" w:rsidRPr="006D5DC2">
        <w:rPr>
          <w:rFonts w:hint="eastAsia"/>
        </w:rPr>
        <w:t>AMI</w:t>
      </w:r>
      <w:r w:rsidR="000C1E33" w:rsidRPr="006D5DC2">
        <w:rPr>
          <w:rFonts w:hint="eastAsia"/>
        </w:rPr>
        <w:t>)</w:t>
      </w:r>
      <w:r w:rsidR="002F237A" w:rsidRPr="006D5DC2">
        <w:rPr>
          <w:rFonts w:hint="eastAsia"/>
        </w:rPr>
        <w:t>系統。全</w:t>
      </w:r>
      <w:r w:rsidRPr="006D5DC2">
        <w:rPr>
          <w:rFonts w:hint="eastAsia"/>
        </w:rPr>
        <w:t>案分4批交貨，</w:t>
      </w:r>
      <w:r w:rsidR="00F53CE3" w:rsidRPr="006D5DC2">
        <w:rPr>
          <w:rFonts w:hint="eastAsia"/>
        </w:rPr>
        <w:t>交貨及安裝日期</w:t>
      </w:r>
      <w:r w:rsidR="002F237A" w:rsidRPr="006D5DC2">
        <w:rPr>
          <w:rFonts w:hint="eastAsia"/>
        </w:rPr>
        <w:t>略以：</w:t>
      </w:r>
    </w:p>
    <w:p w:rsidR="002F237A" w:rsidRPr="006D5DC2" w:rsidRDefault="002F237A" w:rsidP="002F237A">
      <w:pPr>
        <w:pStyle w:val="4"/>
      </w:pPr>
      <w:r w:rsidRPr="006D5DC2">
        <w:rPr>
          <w:rFonts w:hint="eastAsia"/>
        </w:rPr>
        <w:t>第1批</w:t>
      </w:r>
      <w:r w:rsidR="000C1E33" w:rsidRPr="006D5DC2">
        <w:rPr>
          <w:rFonts w:hint="eastAsia"/>
        </w:rPr>
        <w:t>(</w:t>
      </w:r>
      <w:r w:rsidRPr="006D5DC2">
        <w:rPr>
          <w:rFonts w:hint="eastAsia"/>
        </w:rPr>
        <w:t>讀表設定器4具</w:t>
      </w:r>
      <w:r w:rsidR="000C1E33" w:rsidRPr="006D5DC2">
        <w:rPr>
          <w:rFonts w:hint="eastAsia"/>
        </w:rPr>
        <w:t>)</w:t>
      </w:r>
      <w:r w:rsidRPr="006D5DC2">
        <w:rPr>
          <w:rFonts w:hint="eastAsia"/>
        </w:rPr>
        <w:t>：</w:t>
      </w:r>
    </w:p>
    <w:p w:rsidR="002F237A" w:rsidRPr="006D5DC2" w:rsidRDefault="002F237A" w:rsidP="002F237A">
      <w:pPr>
        <w:pStyle w:val="5"/>
      </w:pPr>
      <w:r w:rsidRPr="006D5DC2">
        <w:rPr>
          <w:rFonts w:hint="eastAsia"/>
        </w:rPr>
        <w:t>交貨期限：決標之次日起算60日曆天</w:t>
      </w:r>
      <w:r w:rsidR="000C1E33" w:rsidRPr="006D5DC2">
        <w:rPr>
          <w:rFonts w:hint="eastAsia"/>
        </w:rPr>
        <w:t>(</w:t>
      </w:r>
      <w:r w:rsidRPr="006D5DC2">
        <w:rPr>
          <w:rFonts w:hint="eastAsia"/>
        </w:rPr>
        <w:t>101年9月15日前</w:t>
      </w:r>
      <w:r w:rsidR="000C1E33" w:rsidRPr="006D5DC2">
        <w:rPr>
          <w:rFonts w:hint="eastAsia"/>
        </w:rPr>
        <w:t>)</w:t>
      </w:r>
      <w:r w:rsidR="00852516" w:rsidRPr="006D5DC2">
        <w:rPr>
          <w:rFonts w:hint="eastAsia"/>
        </w:rPr>
        <w:t>。</w:t>
      </w:r>
    </w:p>
    <w:p w:rsidR="00EF0094" w:rsidRPr="006D5DC2" w:rsidRDefault="00EF0094" w:rsidP="002F237A">
      <w:pPr>
        <w:pStyle w:val="5"/>
      </w:pPr>
      <w:r w:rsidRPr="006D5DC2">
        <w:rPr>
          <w:rFonts w:hint="eastAsia"/>
        </w:rPr>
        <w:t>實際交貨日期：101年9月11日。</w:t>
      </w:r>
    </w:p>
    <w:p w:rsidR="002F237A" w:rsidRPr="006D5DC2" w:rsidRDefault="002F237A" w:rsidP="002F237A">
      <w:pPr>
        <w:pStyle w:val="5"/>
      </w:pPr>
      <w:r w:rsidRPr="006D5DC2">
        <w:rPr>
          <w:rFonts w:hint="eastAsia"/>
        </w:rPr>
        <w:t>完成驗收</w:t>
      </w:r>
      <w:r w:rsidR="00EF0094" w:rsidRPr="006D5DC2">
        <w:rPr>
          <w:rFonts w:hint="eastAsia"/>
        </w:rPr>
        <w:t>日期</w:t>
      </w:r>
      <w:r w:rsidRPr="006D5DC2">
        <w:rPr>
          <w:rFonts w:hint="eastAsia"/>
        </w:rPr>
        <w:t>：101年11月15日完成驗收。</w:t>
      </w:r>
    </w:p>
    <w:p w:rsidR="002F237A" w:rsidRPr="006D5DC2" w:rsidRDefault="002F237A" w:rsidP="002F237A">
      <w:pPr>
        <w:pStyle w:val="4"/>
      </w:pPr>
      <w:r w:rsidRPr="006D5DC2">
        <w:rPr>
          <w:rFonts w:hint="eastAsia"/>
        </w:rPr>
        <w:t>第2批</w:t>
      </w:r>
      <w:r w:rsidR="000C1E33" w:rsidRPr="006D5DC2">
        <w:rPr>
          <w:rFonts w:hint="eastAsia"/>
        </w:rPr>
        <w:t>(</w:t>
      </w:r>
      <w:r w:rsidRPr="006D5DC2">
        <w:rPr>
          <w:rFonts w:hint="eastAsia"/>
        </w:rPr>
        <w:t>控制中心硬體設備</w:t>
      </w:r>
      <w:r w:rsidR="000C1E33" w:rsidRPr="006D5DC2">
        <w:rPr>
          <w:rFonts w:hint="eastAsia"/>
        </w:rPr>
        <w:t>)</w:t>
      </w:r>
      <w:r w:rsidRPr="006D5DC2">
        <w:rPr>
          <w:rFonts w:hint="eastAsia"/>
        </w:rPr>
        <w:t>：</w:t>
      </w:r>
    </w:p>
    <w:p w:rsidR="002F237A" w:rsidRPr="006D5DC2" w:rsidRDefault="002F237A" w:rsidP="002F237A">
      <w:pPr>
        <w:pStyle w:val="5"/>
      </w:pPr>
      <w:r w:rsidRPr="006D5DC2">
        <w:rPr>
          <w:rFonts w:hint="eastAsia"/>
        </w:rPr>
        <w:t>交貨期限：決標之次日起算120日曆天</w:t>
      </w:r>
      <w:r w:rsidR="000C1E33" w:rsidRPr="006D5DC2">
        <w:rPr>
          <w:rFonts w:hint="eastAsia"/>
        </w:rPr>
        <w:t>(</w:t>
      </w:r>
      <w:r w:rsidRPr="006D5DC2">
        <w:rPr>
          <w:rFonts w:hint="eastAsia"/>
        </w:rPr>
        <w:t>101年11月14日前</w:t>
      </w:r>
      <w:r w:rsidR="000C1E33" w:rsidRPr="006D5DC2">
        <w:rPr>
          <w:rFonts w:hint="eastAsia"/>
        </w:rPr>
        <w:t>)</w:t>
      </w:r>
      <w:r w:rsidR="00852516" w:rsidRPr="006D5DC2">
        <w:rPr>
          <w:rFonts w:hint="eastAsia"/>
        </w:rPr>
        <w:t>。</w:t>
      </w:r>
    </w:p>
    <w:p w:rsidR="00EF0094" w:rsidRPr="006D5DC2" w:rsidRDefault="00EF0094" w:rsidP="002F237A">
      <w:pPr>
        <w:pStyle w:val="5"/>
      </w:pPr>
      <w:r w:rsidRPr="006D5DC2">
        <w:rPr>
          <w:rFonts w:hint="eastAsia"/>
        </w:rPr>
        <w:t>實際交貨日期：101年11月15日</w:t>
      </w:r>
      <w:r w:rsidR="00852516" w:rsidRPr="006D5DC2">
        <w:rPr>
          <w:rFonts w:hint="eastAsia"/>
        </w:rPr>
        <w:t>。</w:t>
      </w:r>
    </w:p>
    <w:p w:rsidR="002F237A" w:rsidRPr="006D5DC2" w:rsidRDefault="002F237A" w:rsidP="002F237A">
      <w:pPr>
        <w:pStyle w:val="5"/>
      </w:pPr>
      <w:r w:rsidRPr="006D5DC2">
        <w:rPr>
          <w:rFonts w:hint="eastAsia"/>
        </w:rPr>
        <w:t>完成驗收</w:t>
      </w:r>
      <w:r w:rsidR="00EF0094" w:rsidRPr="006D5DC2">
        <w:rPr>
          <w:rFonts w:hint="eastAsia"/>
        </w:rPr>
        <w:t>日期</w:t>
      </w:r>
      <w:r w:rsidRPr="006D5DC2">
        <w:rPr>
          <w:rFonts w:hint="eastAsia"/>
        </w:rPr>
        <w:t>：101年12月11日完成驗收。</w:t>
      </w:r>
    </w:p>
    <w:p w:rsidR="002F237A" w:rsidRPr="006D5DC2" w:rsidRDefault="002F237A" w:rsidP="002F237A">
      <w:pPr>
        <w:pStyle w:val="4"/>
      </w:pPr>
      <w:r w:rsidRPr="006D5DC2">
        <w:rPr>
          <w:rFonts w:hint="eastAsia"/>
        </w:rPr>
        <w:t>第3批</w:t>
      </w:r>
      <w:r w:rsidR="000C1E33" w:rsidRPr="006D5DC2">
        <w:rPr>
          <w:rFonts w:hint="eastAsia"/>
        </w:rPr>
        <w:t>(</w:t>
      </w:r>
      <w:r w:rsidRPr="006D5DC2">
        <w:rPr>
          <w:rFonts w:hint="eastAsia"/>
        </w:rPr>
        <w:t>150具集中器及8</w:t>
      </w:r>
      <w:r w:rsidR="00852516" w:rsidRPr="006D5DC2">
        <w:rPr>
          <w:rFonts w:hint="eastAsia"/>
        </w:rPr>
        <w:t>,</w:t>
      </w:r>
      <w:r w:rsidRPr="006D5DC2">
        <w:rPr>
          <w:rFonts w:hint="eastAsia"/>
        </w:rPr>
        <w:t>000具智慧型電表</w:t>
      </w:r>
      <w:r w:rsidR="000C1E33" w:rsidRPr="006D5DC2">
        <w:rPr>
          <w:rFonts w:hint="eastAsia"/>
        </w:rPr>
        <w:t>)</w:t>
      </w:r>
      <w:r w:rsidRPr="006D5DC2">
        <w:rPr>
          <w:rFonts w:hint="eastAsia"/>
        </w:rPr>
        <w:t>：</w:t>
      </w:r>
    </w:p>
    <w:p w:rsidR="002F237A" w:rsidRPr="006D5DC2" w:rsidRDefault="002F237A" w:rsidP="002F237A">
      <w:pPr>
        <w:pStyle w:val="5"/>
      </w:pPr>
      <w:r w:rsidRPr="006D5DC2">
        <w:rPr>
          <w:rFonts w:hint="eastAsia"/>
        </w:rPr>
        <w:t>交貨期限：決標之次日起算200日曆天內</w:t>
      </w:r>
      <w:r w:rsidR="00852516" w:rsidRPr="006D5DC2">
        <w:rPr>
          <w:rFonts w:hint="eastAsia"/>
        </w:rPr>
        <w:t>。</w:t>
      </w:r>
    </w:p>
    <w:p w:rsidR="002F237A" w:rsidRPr="006D5DC2" w:rsidRDefault="002F237A" w:rsidP="002F237A">
      <w:pPr>
        <w:pStyle w:val="5"/>
      </w:pPr>
      <w:r w:rsidRPr="006D5DC2">
        <w:rPr>
          <w:rFonts w:hint="eastAsia"/>
        </w:rPr>
        <w:t>實際交貨日期：102年2月1日</w:t>
      </w:r>
      <w:r w:rsidR="00852516" w:rsidRPr="006D5DC2">
        <w:rPr>
          <w:rFonts w:hint="eastAsia"/>
        </w:rPr>
        <w:t>。</w:t>
      </w:r>
    </w:p>
    <w:p w:rsidR="002F237A" w:rsidRPr="006D5DC2" w:rsidRDefault="002F237A" w:rsidP="002F237A">
      <w:pPr>
        <w:pStyle w:val="5"/>
      </w:pPr>
      <w:r w:rsidRPr="006D5DC2">
        <w:rPr>
          <w:rFonts w:hint="eastAsia"/>
        </w:rPr>
        <w:t>外觀、數量檢查、特性試驗、測試平台測試、電表檢定作業：102年2月22日開始辦理外觀及數量檢查，並接續辦理電表及集中器特性試</w:t>
      </w:r>
      <w:r w:rsidRPr="006D5DC2">
        <w:rPr>
          <w:rFonts w:hint="eastAsia"/>
        </w:rPr>
        <w:lastRenderedPageBreak/>
        <w:t>驗、測試平台測試，102年8月9日完成電表檢定作業。</w:t>
      </w:r>
    </w:p>
    <w:p w:rsidR="008109E6" w:rsidRPr="006D5DC2" w:rsidRDefault="008109E6" w:rsidP="002F237A">
      <w:pPr>
        <w:pStyle w:val="5"/>
      </w:pPr>
      <w:r w:rsidRPr="006D5DC2">
        <w:rPr>
          <w:rFonts w:hint="eastAsia"/>
        </w:rPr>
        <w:t>設備安裝：</w:t>
      </w:r>
      <w:r w:rsidR="006A1A14" w:rsidRPr="006D5DC2">
        <w:rPr>
          <w:rFonts w:hint="eastAsia"/>
        </w:rPr>
        <w:t>102年10月21日完成電表及集中器安裝作業。</w:t>
      </w:r>
    </w:p>
    <w:p w:rsidR="002F237A" w:rsidRPr="006D5DC2" w:rsidRDefault="002F237A" w:rsidP="002F237A">
      <w:pPr>
        <w:pStyle w:val="4"/>
      </w:pPr>
      <w:r w:rsidRPr="006D5DC2">
        <w:rPr>
          <w:rFonts w:hint="eastAsia"/>
        </w:rPr>
        <w:t>第4批</w:t>
      </w:r>
      <w:r w:rsidR="000C1E33" w:rsidRPr="006D5DC2">
        <w:rPr>
          <w:rFonts w:hint="eastAsia"/>
        </w:rPr>
        <w:t>(</w:t>
      </w:r>
      <w:r w:rsidRPr="006D5DC2">
        <w:rPr>
          <w:rFonts w:hint="eastAsia"/>
        </w:rPr>
        <w:t>70具集中器及4</w:t>
      </w:r>
      <w:r w:rsidR="00852516" w:rsidRPr="006D5DC2">
        <w:rPr>
          <w:rFonts w:hint="eastAsia"/>
        </w:rPr>
        <w:t>,</w:t>
      </w:r>
      <w:r w:rsidRPr="006D5DC2">
        <w:rPr>
          <w:rFonts w:hint="eastAsia"/>
        </w:rPr>
        <w:t>000具智慧型電表</w:t>
      </w:r>
      <w:r w:rsidR="000C1E33" w:rsidRPr="006D5DC2">
        <w:rPr>
          <w:rFonts w:hint="eastAsia"/>
        </w:rPr>
        <w:t>)</w:t>
      </w:r>
      <w:r w:rsidRPr="006D5DC2">
        <w:rPr>
          <w:rFonts w:hint="eastAsia"/>
        </w:rPr>
        <w:t>：</w:t>
      </w:r>
    </w:p>
    <w:p w:rsidR="002F237A" w:rsidRPr="006D5DC2" w:rsidRDefault="002F237A" w:rsidP="002F237A">
      <w:pPr>
        <w:pStyle w:val="5"/>
      </w:pPr>
      <w:r w:rsidRPr="006D5DC2">
        <w:rPr>
          <w:rFonts w:hint="eastAsia"/>
        </w:rPr>
        <w:t>交貨期限：決標之次日起算240日曆天內</w:t>
      </w:r>
      <w:r w:rsidR="00852516" w:rsidRPr="006D5DC2">
        <w:rPr>
          <w:rFonts w:hint="eastAsia"/>
        </w:rPr>
        <w:t>。</w:t>
      </w:r>
    </w:p>
    <w:p w:rsidR="002F237A" w:rsidRPr="006D5DC2" w:rsidRDefault="002F237A" w:rsidP="002F237A">
      <w:pPr>
        <w:pStyle w:val="5"/>
      </w:pPr>
      <w:r w:rsidRPr="006D5DC2">
        <w:rPr>
          <w:rFonts w:hint="eastAsia"/>
        </w:rPr>
        <w:t>實際交貨日期：102年3月14日</w:t>
      </w:r>
      <w:r w:rsidR="00852516" w:rsidRPr="006D5DC2">
        <w:rPr>
          <w:rFonts w:hint="eastAsia"/>
        </w:rPr>
        <w:t>。</w:t>
      </w:r>
    </w:p>
    <w:p w:rsidR="002F237A" w:rsidRPr="006D5DC2" w:rsidRDefault="002F237A" w:rsidP="002F237A">
      <w:pPr>
        <w:pStyle w:val="5"/>
      </w:pPr>
      <w:r w:rsidRPr="006D5DC2">
        <w:rPr>
          <w:rFonts w:hint="eastAsia"/>
        </w:rPr>
        <w:t>外觀、數量檢查、特性試驗、測試平台測試、電表檢定作業：102年3月27日開始辦理外觀及數量檢查，並接續辦理電表及集中器特性試驗、測試平台測試，102年7月10日完成電表檢定作業。</w:t>
      </w:r>
    </w:p>
    <w:p w:rsidR="006A1A14" w:rsidRPr="006D5DC2" w:rsidRDefault="006A1A14" w:rsidP="006A1A14">
      <w:pPr>
        <w:pStyle w:val="5"/>
      </w:pPr>
      <w:r w:rsidRPr="006D5DC2">
        <w:rPr>
          <w:rFonts w:hint="eastAsia"/>
        </w:rPr>
        <w:t>設備安裝：102年10月21日完成電表及集中器安裝作業。</w:t>
      </w:r>
    </w:p>
    <w:p w:rsidR="006112DB" w:rsidRPr="006D5DC2" w:rsidRDefault="002F237A" w:rsidP="002F237A">
      <w:pPr>
        <w:pStyle w:val="3"/>
      </w:pPr>
      <w:r w:rsidRPr="006D5DC2">
        <w:rPr>
          <w:rFonts w:hint="eastAsia"/>
        </w:rPr>
        <w:t>次查</w:t>
      </w:r>
      <w:r w:rsidR="006112DB" w:rsidRPr="006D5DC2">
        <w:rPr>
          <w:rFonts w:hint="eastAsia"/>
        </w:rPr>
        <w:t>低壓智慧型讀表器建</w:t>
      </w:r>
      <w:r w:rsidR="00F53CE3" w:rsidRPr="006D5DC2">
        <w:rPr>
          <w:rFonts w:hint="eastAsia"/>
        </w:rPr>
        <w:t>置</w:t>
      </w:r>
      <w:r w:rsidR="006112DB" w:rsidRPr="006D5DC2">
        <w:rPr>
          <w:rFonts w:hint="eastAsia"/>
        </w:rPr>
        <w:t>案系統測試情形，略以：</w:t>
      </w:r>
    </w:p>
    <w:p w:rsidR="006112DB" w:rsidRPr="006D5DC2" w:rsidRDefault="006112DB" w:rsidP="006112DB">
      <w:pPr>
        <w:pStyle w:val="4"/>
      </w:pPr>
      <w:r w:rsidRPr="006D5DC2">
        <w:rPr>
          <w:rFonts w:hint="eastAsia"/>
        </w:rPr>
        <w:t>通</w:t>
      </w:r>
      <w:r w:rsidR="00852516" w:rsidRPr="006D5DC2">
        <w:rPr>
          <w:rFonts w:hint="eastAsia"/>
        </w:rPr>
        <w:t>訊</w:t>
      </w:r>
      <w:r w:rsidRPr="006D5DC2">
        <w:rPr>
          <w:rFonts w:hint="eastAsia"/>
        </w:rPr>
        <w:t>設定調整：得標廠商現場電表及集中器安裝完成後，因現場電表環境因素，造成現場設備控制中心連線率偏低，於不違反契約規定下，102年10月1日台電公司要求得標廠商提供通訊改善計畫，得標廠商自102年11月起開始辦理通訊調整作業，並於104年4月</w:t>
      </w:r>
      <w:r w:rsidR="00852516" w:rsidRPr="006D5DC2">
        <w:rPr>
          <w:rFonts w:hint="eastAsia"/>
        </w:rPr>
        <w:t>至</w:t>
      </w:r>
      <w:r w:rsidRPr="006D5DC2">
        <w:rPr>
          <w:rFonts w:hint="eastAsia"/>
        </w:rPr>
        <w:t>10月間陸續完成調整作業。</w:t>
      </w:r>
    </w:p>
    <w:p w:rsidR="006112DB" w:rsidRPr="006D5DC2" w:rsidRDefault="006112DB" w:rsidP="006112DB">
      <w:pPr>
        <w:pStyle w:val="4"/>
      </w:pPr>
      <w:r w:rsidRPr="006D5DC2">
        <w:rPr>
          <w:rFonts w:hint="eastAsia"/>
        </w:rPr>
        <w:t>系統整合測試：</w:t>
      </w:r>
    </w:p>
    <w:p w:rsidR="006112DB" w:rsidRPr="006D5DC2" w:rsidRDefault="006112DB" w:rsidP="006112DB">
      <w:pPr>
        <w:pStyle w:val="5"/>
      </w:pPr>
      <w:r w:rsidRPr="006D5DC2">
        <w:rPr>
          <w:rFonts w:hint="eastAsia"/>
        </w:rPr>
        <w:t>第3批電表及集中器之系統整合運轉：104年3月12日完成30日可用性測試報告審查合格，完成第3批之整合測試作業。</w:t>
      </w:r>
    </w:p>
    <w:p w:rsidR="006112DB" w:rsidRPr="006D5DC2" w:rsidRDefault="006112DB" w:rsidP="006112DB">
      <w:pPr>
        <w:pStyle w:val="5"/>
      </w:pPr>
      <w:r w:rsidRPr="006D5DC2">
        <w:rPr>
          <w:rFonts w:hint="eastAsia"/>
        </w:rPr>
        <w:t>第4批電表及集中器之系統整合運轉：104年5月29日完成30日可用性測試報告審查合格，完成第4批之整合測試作業。</w:t>
      </w:r>
    </w:p>
    <w:p w:rsidR="006112DB" w:rsidRPr="006D5DC2" w:rsidRDefault="006112DB" w:rsidP="006112DB">
      <w:pPr>
        <w:pStyle w:val="4"/>
      </w:pPr>
      <w:r w:rsidRPr="006D5DC2">
        <w:rPr>
          <w:rFonts w:hint="eastAsia"/>
        </w:rPr>
        <w:t>總驗收：</w:t>
      </w:r>
    </w:p>
    <w:p w:rsidR="006112DB" w:rsidRPr="006D5DC2" w:rsidRDefault="006112DB" w:rsidP="006112DB">
      <w:pPr>
        <w:pStyle w:val="5"/>
      </w:pPr>
      <w:r w:rsidRPr="006D5DC2">
        <w:rPr>
          <w:rFonts w:hint="eastAsia"/>
        </w:rPr>
        <w:lastRenderedPageBreak/>
        <w:t>得標廠商接獲台電公司104年5月25日函文通知，於</w:t>
      </w:r>
      <w:r w:rsidR="00852516" w:rsidRPr="006D5DC2">
        <w:rPr>
          <w:rFonts w:hint="eastAsia"/>
        </w:rPr>
        <w:t>同年</w:t>
      </w:r>
      <w:r w:rsidRPr="006D5DC2">
        <w:rPr>
          <w:rFonts w:hint="eastAsia"/>
        </w:rPr>
        <w:t>5月25</w:t>
      </w:r>
      <w:r w:rsidR="00852516" w:rsidRPr="006D5DC2">
        <w:rPr>
          <w:rFonts w:hint="eastAsia"/>
        </w:rPr>
        <w:t>至</w:t>
      </w:r>
      <w:r w:rsidRPr="006D5DC2">
        <w:rPr>
          <w:rFonts w:hint="eastAsia"/>
        </w:rPr>
        <w:t>26日辦理控制中心壓力測試作業後，並提交測試報告，經多次討論與檢討修正後，得標廠商於</w:t>
      </w:r>
      <w:r w:rsidR="00852516" w:rsidRPr="006D5DC2">
        <w:rPr>
          <w:rFonts w:hint="eastAsia"/>
        </w:rPr>
        <w:t>同年</w:t>
      </w:r>
      <w:r w:rsidRPr="006D5DC2">
        <w:rPr>
          <w:rFonts w:hint="eastAsia"/>
        </w:rPr>
        <w:t>7月17日提交控制中心壓力測試報告</w:t>
      </w:r>
      <w:r w:rsidR="000C1E33" w:rsidRPr="006D5DC2">
        <w:rPr>
          <w:rFonts w:hint="eastAsia"/>
        </w:rPr>
        <w:t>(</w:t>
      </w:r>
      <w:r w:rsidR="00872C07" w:rsidRPr="006D5DC2">
        <w:rPr>
          <w:rFonts w:hint="eastAsia"/>
        </w:rPr>
        <w:t>Final</w:t>
      </w:r>
      <w:r w:rsidR="000C1E33" w:rsidRPr="006D5DC2">
        <w:rPr>
          <w:rFonts w:hint="eastAsia"/>
        </w:rPr>
        <w:t>)</w:t>
      </w:r>
      <w:r w:rsidRPr="006D5DC2">
        <w:rPr>
          <w:rFonts w:hint="eastAsia"/>
        </w:rPr>
        <w:t>，台電公司8月7日函復檢視結果合格。</w:t>
      </w:r>
    </w:p>
    <w:p w:rsidR="006112DB" w:rsidRPr="006D5DC2" w:rsidRDefault="006112DB" w:rsidP="006112DB">
      <w:pPr>
        <w:pStyle w:val="5"/>
      </w:pPr>
      <w:r w:rsidRPr="006D5DC2">
        <w:rPr>
          <w:rFonts w:hint="eastAsia"/>
        </w:rPr>
        <w:t>得標廠商提供各項技術和維護文件項目與開放性相關文件等資料，</w:t>
      </w:r>
      <w:r w:rsidR="00872C07" w:rsidRPr="006D5DC2">
        <w:rPr>
          <w:rFonts w:hint="eastAsia"/>
        </w:rPr>
        <w:t>台電公司</w:t>
      </w:r>
      <w:r w:rsidRPr="006D5DC2">
        <w:rPr>
          <w:rFonts w:hint="eastAsia"/>
        </w:rPr>
        <w:t>104年9月</w:t>
      </w:r>
      <w:r w:rsidR="00872C07" w:rsidRPr="006D5DC2">
        <w:rPr>
          <w:rFonts w:hint="eastAsia"/>
        </w:rPr>
        <w:t>4日</w:t>
      </w:r>
      <w:r w:rsidRPr="006D5DC2">
        <w:rPr>
          <w:rFonts w:hint="eastAsia"/>
        </w:rPr>
        <w:t>確認符合規範。</w:t>
      </w:r>
    </w:p>
    <w:p w:rsidR="006112DB" w:rsidRPr="006D5DC2" w:rsidRDefault="006112DB" w:rsidP="00953562">
      <w:pPr>
        <w:pStyle w:val="3"/>
      </w:pPr>
      <w:r w:rsidRPr="006D5DC2">
        <w:rPr>
          <w:rFonts w:hint="eastAsia"/>
        </w:rPr>
        <w:t>惟查</w:t>
      </w:r>
      <w:r w:rsidR="00ED4FE1" w:rsidRPr="006D5DC2">
        <w:rPr>
          <w:rFonts w:hint="eastAsia"/>
        </w:rPr>
        <w:t>，依行政院99年6月23日核定智慧型電表基礎建設推動方案，低壓AMI系統之推動，分技術測試、前期</w:t>
      </w:r>
      <w:r w:rsidR="00352322" w:rsidRPr="006D5DC2">
        <w:rPr>
          <w:rFonts w:hint="eastAsia"/>
        </w:rPr>
        <w:t>布建</w:t>
      </w:r>
      <w:r w:rsidR="00ED4FE1" w:rsidRPr="006D5DC2">
        <w:rPr>
          <w:rFonts w:hint="eastAsia"/>
        </w:rPr>
        <w:t>、基本</w:t>
      </w:r>
      <w:r w:rsidR="00352322" w:rsidRPr="006D5DC2">
        <w:rPr>
          <w:rFonts w:hint="eastAsia"/>
        </w:rPr>
        <w:t>布建</w:t>
      </w:r>
      <w:r w:rsidR="00ED4FE1" w:rsidRPr="006D5DC2">
        <w:rPr>
          <w:rFonts w:hint="eastAsia"/>
        </w:rPr>
        <w:t>、擴大</w:t>
      </w:r>
      <w:r w:rsidR="00352322" w:rsidRPr="006D5DC2">
        <w:rPr>
          <w:rFonts w:hint="eastAsia"/>
        </w:rPr>
        <w:t>布建</w:t>
      </w:r>
      <w:r w:rsidR="00ED4FE1" w:rsidRPr="006D5DC2">
        <w:rPr>
          <w:rFonts w:hint="eastAsia"/>
        </w:rPr>
        <w:t>等4階段，其中第1階段技術測試，特別是通訊系統可行性測試，於98年進行，</w:t>
      </w:r>
      <w:r w:rsidR="00F53CE3" w:rsidRPr="006D5DC2">
        <w:rPr>
          <w:rFonts w:hint="eastAsia"/>
        </w:rPr>
        <w:t>99年訂定功能標準，</w:t>
      </w:r>
      <w:r w:rsidR="00ED4FE1" w:rsidRPr="006D5DC2">
        <w:rPr>
          <w:rFonts w:hint="eastAsia"/>
        </w:rPr>
        <w:t>完成後方進入第2階段1萬戶基本</w:t>
      </w:r>
      <w:r w:rsidR="00352322" w:rsidRPr="006D5DC2">
        <w:rPr>
          <w:rFonts w:hint="eastAsia"/>
        </w:rPr>
        <w:t>布建</w:t>
      </w:r>
      <w:r w:rsidR="000C1E33" w:rsidRPr="006D5DC2">
        <w:rPr>
          <w:rFonts w:hint="eastAsia"/>
        </w:rPr>
        <w:t>(</w:t>
      </w:r>
      <w:r w:rsidR="00ED4FE1" w:rsidRPr="006D5DC2">
        <w:rPr>
          <w:rFonts w:hint="eastAsia"/>
        </w:rPr>
        <w:t>100</w:t>
      </w:r>
      <w:r w:rsidR="00852516" w:rsidRPr="006D5DC2">
        <w:rPr>
          <w:rFonts w:hint="eastAsia"/>
        </w:rPr>
        <w:t>年至</w:t>
      </w:r>
      <w:r w:rsidR="00ED4FE1" w:rsidRPr="006D5DC2">
        <w:rPr>
          <w:rFonts w:hint="eastAsia"/>
        </w:rPr>
        <w:t>101年</w:t>
      </w:r>
      <w:r w:rsidR="000C1E33" w:rsidRPr="006D5DC2">
        <w:rPr>
          <w:rFonts w:hint="eastAsia"/>
        </w:rPr>
        <w:t>)</w:t>
      </w:r>
      <w:r w:rsidR="00ED4FE1" w:rsidRPr="006D5DC2">
        <w:rPr>
          <w:rFonts w:hint="eastAsia"/>
        </w:rPr>
        <w:t>。經查台電公司</w:t>
      </w:r>
      <w:r w:rsidR="0033784F" w:rsidRPr="006D5DC2">
        <w:rPr>
          <w:rFonts w:hint="eastAsia"/>
        </w:rPr>
        <w:t>於</w:t>
      </w:r>
      <w:r w:rsidR="00ED4FE1" w:rsidRPr="006D5DC2">
        <w:rPr>
          <w:rFonts w:hint="eastAsia"/>
        </w:rPr>
        <w:t>101年2月公告「低壓智慧型電表讀表器建置採購規範」，並進行「低壓智慧型電表讀表器建置之招標作業</w:t>
      </w:r>
      <w:r w:rsidR="000C1E33" w:rsidRPr="006D5DC2">
        <w:rPr>
          <w:rFonts w:hint="eastAsia"/>
        </w:rPr>
        <w:t>(</w:t>
      </w:r>
      <w:r w:rsidR="00F55A12" w:rsidRPr="006D5DC2">
        <w:rPr>
          <w:rFonts w:hint="eastAsia"/>
        </w:rPr>
        <w:t>採購案號008-0101001</w:t>
      </w:r>
      <w:r w:rsidR="000C1E33" w:rsidRPr="006D5DC2">
        <w:rPr>
          <w:rFonts w:hint="eastAsia"/>
        </w:rPr>
        <w:t>)</w:t>
      </w:r>
      <w:r w:rsidR="00ED4FE1" w:rsidRPr="006D5DC2">
        <w:rPr>
          <w:rFonts w:hint="eastAsia"/>
        </w:rPr>
        <w:t>，</w:t>
      </w:r>
      <w:r w:rsidR="008113C1" w:rsidRPr="006D5DC2">
        <w:rPr>
          <w:rFonts w:hint="eastAsia"/>
        </w:rPr>
        <w:t>於規格標</w:t>
      </w:r>
      <w:r w:rsidR="008113C1" w:rsidRPr="006D5DC2">
        <w:rPr>
          <w:rStyle w:val="afe"/>
        </w:rPr>
        <w:footnoteReference w:id="22"/>
      </w:r>
      <w:r w:rsidR="008113C1" w:rsidRPr="006D5DC2">
        <w:rPr>
          <w:rFonts w:hint="eastAsia"/>
        </w:rPr>
        <w:t>時之測試僅針對功能面規範。</w:t>
      </w:r>
      <w:r w:rsidR="00ED4FE1" w:rsidRPr="006D5DC2">
        <w:rPr>
          <w:rFonts w:hint="eastAsia"/>
        </w:rPr>
        <w:t>同年7月17日由大同公司</w:t>
      </w:r>
      <w:r w:rsidR="00EF0094" w:rsidRPr="006D5DC2">
        <w:rPr>
          <w:rFonts w:hint="eastAsia"/>
        </w:rPr>
        <w:t>以最低價</w:t>
      </w:r>
      <w:r w:rsidR="00F55A12" w:rsidRPr="006D5DC2">
        <w:rPr>
          <w:rFonts w:hint="eastAsia"/>
        </w:rPr>
        <w:t>得標並訂約</w:t>
      </w:r>
      <w:r w:rsidR="000C1E33" w:rsidRPr="006D5DC2">
        <w:rPr>
          <w:rFonts w:hint="eastAsia"/>
        </w:rPr>
        <w:t>(</w:t>
      </w:r>
      <w:r w:rsidR="00F55A12" w:rsidRPr="006D5DC2">
        <w:rPr>
          <w:rFonts w:hint="eastAsia"/>
        </w:rPr>
        <w:t>契約編號008-010111001</w:t>
      </w:r>
      <w:r w:rsidR="000C1E33" w:rsidRPr="006D5DC2">
        <w:rPr>
          <w:rFonts w:hint="eastAsia"/>
        </w:rPr>
        <w:t>)</w:t>
      </w:r>
      <w:r w:rsidR="00F55A12" w:rsidRPr="006D5DC2">
        <w:rPr>
          <w:rFonts w:hint="eastAsia"/>
        </w:rPr>
        <w:t>，契約總金額</w:t>
      </w:r>
      <w:r w:rsidR="00EF0094" w:rsidRPr="006D5DC2">
        <w:rPr>
          <w:rFonts w:hint="eastAsia"/>
        </w:rPr>
        <w:t>242,487,000元</w:t>
      </w:r>
      <w:r w:rsidR="00F55A12" w:rsidRPr="006D5DC2">
        <w:rPr>
          <w:rFonts w:hint="eastAsia"/>
        </w:rPr>
        <w:t>。</w:t>
      </w:r>
      <w:r w:rsidR="0033784F" w:rsidRPr="006D5DC2">
        <w:rPr>
          <w:rFonts w:hint="eastAsia"/>
        </w:rPr>
        <w:t>案內讀表設定器及控制中心硬體設備，於101年11</w:t>
      </w:r>
      <w:r w:rsidR="00852516" w:rsidRPr="006D5DC2">
        <w:rPr>
          <w:rFonts w:hint="eastAsia"/>
        </w:rPr>
        <w:t>月至</w:t>
      </w:r>
      <w:r w:rsidR="0033784F" w:rsidRPr="006D5DC2">
        <w:rPr>
          <w:rFonts w:hint="eastAsia"/>
        </w:rPr>
        <w:t>12月間完成驗收，集中器及電表安裝，於102年10月21日完成</w:t>
      </w:r>
      <w:r w:rsidR="00F55A12" w:rsidRPr="006D5DC2">
        <w:rPr>
          <w:rFonts w:hint="eastAsia"/>
        </w:rPr>
        <w:t>交貨</w:t>
      </w:r>
      <w:r w:rsidR="0033784F" w:rsidRPr="006D5DC2">
        <w:rPr>
          <w:rFonts w:hint="eastAsia"/>
        </w:rPr>
        <w:t>及</w:t>
      </w:r>
      <w:r w:rsidR="00F55A12" w:rsidRPr="006D5DC2">
        <w:rPr>
          <w:rFonts w:hint="eastAsia"/>
        </w:rPr>
        <w:t>安裝作業，尚符契約期限，惟全案設備測試項目，含電表及集中器特性測試及安裝測試、控制中心功能測試及壓力測試、可用性測試、現場設備可用性</w:t>
      </w:r>
      <w:r w:rsidR="00F55A12" w:rsidRPr="006D5DC2">
        <w:rPr>
          <w:rFonts w:hint="eastAsia"/>
        </w:rPr>
        <w:lastRenderedPageBreak/>
        <w:t>測試，</w:t>
      </w:r>
      <w:r w:rsidR="0033784F" w:rsidRPr="006D5DC2">
        <w:rPr>
          <w:rFonts w:hint="eastAsia"/>
        </w:rPr>
        <w:t>全案</w:t>
      </w:r>
      <w:r w:rsidR="00EF0094" w:rsidRPr="006D5DC2">
        <w:rPr>
          <w:rFonts w:hint="eastAsia"/>
        </w:rPr>
        <w:t>迄</w:t>
      </w:r>
      <w:r w:rsidR="00852516" w:rsidRPr="006D5DC2">
        <w:rPr>
          <w:rFonts w:hint="eastAsia"/>
        </w:rPr>
        <w:t>至</w:t>
      </w:r>
      <w:r w:rsidR="0033784F" w:rsidRPr="006D5DC2">
        <w:rPr>
          <w:rFonts w:hint="eastAsia"/>
        </w:rPr>
        <w:t>104年5月25</w:t>
      </w:r>
      <w:r w:rsidR="00852516" w:rsidRPr="006D5DC2">
        <w:rPr>
          <w:rFonts w:hint="eastAsia"/>
        </w:rPr>
        <w:t>日至</w:t>
      </w:r>
      <w:r w:rsidR="0033784F" w:rsidRPr="006D5DC2">
        <w:rPr>
          <w:rFonts w:hint="eastAsia"/>
        </w:rPr>
        <w:t>26日辦理控制中心壓力測試作業</w:t>
      </w:r>
      <w:r w:rsidR="00EF0094" w:rsidRPr="006D5DC2">
        <w:rPr>
          <w:rFonts w:hint="eastAsia"/>
        </w:rPr>
        <w:t>，</w:t>
      </w:r>
      <w:r w:rsidR="00030C70" w:rsidRPr="006D5DC2">
        <w:rPr>
          <w:rFonts w:hint="eastAsia"/>
        </w:rPr>
        <w:t>台電公司同年8月7日函復檢視結果符合規範</w:t>
      </w:r>
      <w:r w:rsidR="000C1E33" w:rsidRPr="006D5DC2">
        <w:rPr>
          <w:rFonts w:hint="eastAsia"/>
        </w:rPr>
        <w:t>(</w:t>
      </w:r>
      <w:r w:rsidR="00030C70" w:rsidRPr="006D5DC2">
        <w:rPr>
          <w:rFonts w:hint="eastAsia"/>
        </w:rPr>
        <w:t>自101年7月17日簽約起算約3年</w:t>
      </w:r>
      <w:r w:rsidR="000C1E33" w:rsidRPr="006D5DC2">
        <w:rPr>
          <w:rFonts w:hint="eastAsia"/>
        </w:rPr>
        <w:t>)</w:t>
      </w:r>
      <w:r w:rsidR="00030C70" w:rsidRPr="006D5DC2">
        <w:rPr>
          <w:rFonts w:hint="eastAsia"/>
        </w:rPr>
        <w:t>。</w:t>
      </w:r>
      <w:r w:rsidR="006A631B" w:rsidRPr="006D5DC2">
        <w:rPr>
          <w:rFonts w:hint="eastAsia"/>
        </w:rPr>
        <w:t>全案雖</w:t>
      </w:r>
      <w:r w:rsidR="005D55C9" w:rsidRPr="006D5DC2">
        <w:rPr>
          <w:rFonts w:hint="eastAsia"/>
        </w:rPr>
        <w:t>按「低壓智慧型電表讀表器建置採購規範」</w:t>
      </w:r>
      <w:r w:rsidR="00852516" w:rsidRPr="006D5DC2">
        <w:rPr>
          <w:rFonts w:hint="eastAsia"/>
        </w:rPr>
        <w:t>第</w:t>
      </w:r>
      <w:r w:rsidR="005D55C9" w:rsidRPr="006D5DC2">
        <w:rPr>
          <w:rFonts w:hint="eastAsia"/>
        </w:rPr>
        <w:t>8.5</w:t>
      </w:r>
      <w:r w:rsidR="00852516" w:rsidRPr="006D5DC2">
        <w:rPr>
          <w:rFonts w:hint="eastAsia"/>
        </w:rPr>
        <w:t>節</w:t>
      </w:r>
      <w:r w:rsidR="005D55C9" w:rsidRPr="006D5DC2">
        <w:rPr>
          <w:rStyle w:val="afe"/>
        </w:rPr>
        <w:footnoteReference w:id="23"/>
      </w:r>
      <w:r w:rsidR="000C1E33" w:rsidRPr="006D5DC2">
        <w:rPr>
          <w:rFonts w:hint="eastAsia"/>
        </w:rPr>
        <w:t>(</w:t>
      </w:r>
      <w:r w:rsidR="005D55C9" w:rsidRPr="006D5DC2">
        <w:rPr>
          <w:rFonts w:hint="eastAsia"/>
        </w:rPr>
        <w:t>可用性測試</w:t>
      </w:r>
      <w:r w:rsidR="000C1E33" w:rsidRPr="006D5DC2">
        <w:rPr>
          <w:rFonts w:hint="eastAsia"/>
        </w:rPr>
        <w:t>)</w:t>
      </w:r>
      <w:r w:rsidR="005D55C9" w:rsidRPr="006D5DC2">
        <w:rPr>
          <w:rFonts w:hint="eastAsia"/>
        </w:rPr>
        <w:t>、</w:t>
      </w:r>
      <w:r w:rsidR="00852516" w:rsidRPr="006D5DC2">
        <w:rPr>
          <w:rFonts w:hint="eastAsia"/>
        </w:rPr>
        <w:t>第</w:t>
      </w:r>
      <w:r w:rsidR="005D55C9" w:rsidRPr="006D5DC2">
        <w:rPr>
          <w:rFonts w:hint="eastAsia"/>
        </w:rPr>
        <w:t>8.5.1</w:t>
      </w:r>
      <w:r w:rsidR="00852516" w:rsidRPr="006D5DC2">
        <w:rPr>
          <w:rFonts w:hint="eastAsia"/>
        </w:rPr>
        <w:t>節</w:t>
      </w:r>
      <w:r w:rsidR="005D55C9" w:rsidRPr="006D5DC2">
        <w:rPr>
          <w:rStyle w:val="afe"/>
        </w:rPr>
        <w:footnoteReference w:id="24"/>
      </w:r>
      <w:r w:rsidR="000C1E33" w:rsidRPr="006D5DC2">
        <w:rPr>
          <w:rFonts w:hint="eastAsia"/>
        </w:rPr>
        <w:t>(</w:t>
      </w:r>
      <w:r w:rsidR="005D55C9" w:rsidRPr="006D5DC2">
        <w:rPr>
          <w:rFonts w:hint="eastAsia"/>
        </w:rPr>
        <w:t>控制中心系統可用性測試</w:t>
      </w:r>
      <w:r w:rsidR="000C1E33" w:rsidRPr="006D5DC2">
        <w:rPr>
          <w:rFonts w:hint="eastAsia"/>
        </w:rPr>
        <w:t>)</w:t>
      </w:r>
      <w:r w:rsidR="005D55C9" w:rsidRPr="006D5DC2">
        <w:rPr>
          <w:rFonts w:hint="eastAsia"/>
        </w:rPr>
        <w:t>、</w:t>
      </w:r>
      <w:r w:rsidR="00852516" w:rsidRPr="006D5DC2">
        <w:rPr>
          <w:rFonts w:hint="eastAsia"/>
        </w:rPr>
        <w:t>第</w:t>
      </w:r>
      <w:r w:rsidR="005D55C9" w:rsidRPr="006D5DC2">
        <w:rPr>
          <w:rFonts w:hint="eastAsia"/>
        </w:rPr>
        <w:t>8.5.2</w:t>
      </w:r>
      <w:r w:rsidR="00852516" w:rsidRPr="006D5DC2">
        <w:rPr>
          <w:rFonts w:hint="eastAsia"/>
        </w:rPr>
        <w:t>節</w:t>
      </w:r>
      <w:r w:rsidR="005D55C9" w:rsidRPr="006D5DC2">
        <w:rPr>
          <w:rStyle w:val="afe"/>
        </w:rPr>
        <w:footnoteReference w:id="25"/>
      </w:r>
      <w:r w:rsidR="000C1E33" w:rsidRPr="006D5DC2">
        <w:rPr>
          <w:rFonts w:hint="eastAsia"/>
        </w:rPr>
        <w:t>(</w:t>
      </w:r>
      <w:r w:rsidR="005D55C9" w:rsidRPr="006D5DC2">
        <w:rPr>
          <w:rFonts w:hint="eastAsia"/>
        </w:rPr>
        <w:t>現場設備可用性測試</w:t>
      </w:r>
      <w:r w:rsidR="000C1E33" w:rsidRPr="006D5DC2">
        <w:rPr>
          <w:rFonts w:hint="eastAsia"/>
        </w:rPr>
        <w:t>)</w:t>
      </w:r>
      <w:r w:rsidR="005D55C9" w:rsidRPr="006D5DC2">
        <w:rPr>
          <w:rFonts w:hint="eastAsia"/>
        </w:rPr>
        <w:t>、</w:t>
      </w:r>
      <w:r w:rsidR="00852516" w:rsidRPr="006D5DC2">
        <w:rPr>
          <w:rFonts w:hint="eastAsia"/>
        </w:rPr>
        <w:t>第</w:t>
      </w:r>
      <w:r w:rsidR="005D55C9" w:rsidRPr="006D5DC2">
        <w:rPr>
          <w:rFonts w:hint="eastAsia"/>
        </w:rPr>
        <w:t>11.3.3</w:t>
      </w:r>
      <w:r w:rsidR="00852516" w:rsidRPr="006D5DC2">
        <w:rPr>
          <w:rFonts w:hint="eastAsia"/>
        </w:rPr>
        <w:t>節</w:t>
      </w:r>
      <w:r w:rsidR="005D55C9" w:rsidRPr="006D5DC2">
        <w:rPr>
          <w:rStyle w:val="afe"/>
        </w:rPr>
        <w:footnoteReference w:id="26"/>
      </w:r>
      <w:r w:rsidR="000C1E33" w:rsidRPr="006D5DC2">
        <w:rPr>
          <w:rFonts w:hint="eastAsia"/>
        </w:rPr>
        <w:t>(</w:t>
      </w:r>
      <w:r w:rsidR="005D55C9" w:rsidRPr="006D5DC2">
        <w:rPr>
          <w:rFonts w:hint="eastAsia"/>
        </w:rPr>
        <w:t>配合第3批交貨進行驗收之第3款規定</w:t>
      </w:r>
      <w:r w:rsidR="000C1E33" w:rsidRPr="006D5DC2">
        <w:rPr>
          <w:rFonts w:hint="eastAsia"/>
        </w:rPr>
        <w:t>)</w:t>
      </w:r>
      <w:r w:rsidR="005D55C9" w:rsidRPr="006D5DC2">
        <w:rPr>
          <w:rFonts w:hint="eastAsia"/>
        </w:rPr>
        <w:t>、</w:t>
      </w:r>
      <w:r w:rsidR="00852516" w:rsidRPr="006D5DC2">
        <w:rPr>
          <w:rFonts w:hint="eastAsia"/>
        </w:rPr>
        <w:t>第</w:t>
      </w:r>
      <w:r w:rsidR="005D55C9" w:rsidRPr="006D5DC2">
        <w:rPr>
          <w:rFonts w:hint="eastAsia"/>
        </w:rPr>
        <w:t>11.4.3</w:t>
      </w:r>
      <w:r w:rsidR="00852516" w:rsidRPr="006D5DC2">
        <w:rPr>
          <w:rFonts w:hint="eastAsia"/>
        </w:rPr>
        <w:t>節</w:t>
      </w:r>
      <w:r w:rsidR="005D55C9" w:rsidRPr="006D5DC2">
        <w:rPr>
          <w:rStyle w:val="afe"/>
        </w:rPr>
        <w:footnoteReference w:id="27"/>
      </w:r>
      <w:r w:rsidR="000C1E33" w:rsidRPr="006D5DC2">
        <w:rPr>
          <w:rFonts w:hint="eastAsia"/>
        </w:rPr>
        <w:t>(</w:t>
      </w:r>
      <w:r w:rsidR="005D55C9" w:rsidRPr="006D5DC2">
        <w:rPr>
          <w:rFonts w:hint="eastAsia"/>
        </w:rPr>
        <w:t>配合第4批交貨進行驗收之第3款規定</w:t>
      </w:r>
      <w:r w:rsidR="000C1E33" w:rsidRPr="006D5DC2">
        <w:rPr>
          <w:rFonts w:hint="eastAsia"/>
        </w:rPr>
        <w:t>)</w:t>
      </w:r>
      <w:r w:rsidR="005D55C9" w:rsidRPr="006D5DC2">
        <w:rPr>
          <w:rFonts w:hint="eastAsia"/>
        </w:rPr>
        <w:t>規定驗收合格，</w:t>
      </w:r>
      <w:r w:rsidR="006A631B" w:rsidRPr="006D5DC2">
        <w:rPr>
          <w:rFonts w:hint="eastAsia"/>
        </w:rPr>
        <w:t>惟全案因</w:t>
      </w:r>
      <w:r w:rsidR="00953562" w:rsidRPr="006D5DC2">
        <w:rPr>
          <w:rFonts w:hint="eastAsia"/>
        </w:rPr>
        <w:t>「</w:t>
      </w:r>
      <w:r w:rsidR="00953562" w:rsidRPr="006D5DC2">
        <w:rPr>
          <w:rFonts w:hint="eastAsia"/>
          <w:b/>
        </w:rPr>
        <w:t>1.</w:t>
      </w:r>
      <w:r w:rsidR="006A631B" w:rsidRPr="006D5DC2">
        <w:rPr>
          <w:rFonts w:hint="eastAsia"/>
          <w:b/>
        </w:rPr>
        <w:t>既設電表裝設位置為通訊死角</w:t>
      </w:r>
      <w:r w:rsidR="000C1E33" w:rsidRPr="006D5DC2">
        <w:rPr>
          <w:rFonts w:hint="eastAsia"/>
          <w:b/>
        </w:rPr>
        <w:t>(</w:t>
      </w:r>
      <w:r w:rsidR="006A631B" w:rsidRPr="006D5DC2">
        <w:rPr>
          <w:rFonts w:hint="eastAsia"/>
          <w:b/>
        </w:rPr>
        <w:t>如</w:t>
      </w:r>
      <w:r w:rsidR="00953562" w:rsidRPr="006D5DC2">
        <w:rPr>
          <w:rFonts w:hint="eastAsia"/>
          <w:b/>
        </w:rPr>
        <w:t>：地下室</w:t>
      </w:r>
      <w:r w:rsidR="000C1E33" w:rsidRPr="006D5DC2">
        <w:rPr>
          <w:rFonts w:hint="eastAsia"/>
          <w:b/>
        </w:rPr>
        <w:t>)</w:t>
      </w:r>
      <w:r w:rsidR="00953562" w:rsidRPr="006D5DC2">
        <w:rPr>
          <w:rFonts w:hint="eastAsia"/>
          <w:b/>
        </w:rPr>
        <w:t>，使得通訊效果不佳；2.無線電通訊技術Zigbee及WiFi僅能使用2.4GHz，傳輸距離受限</w:t>
      </w:r>
      <w:r w:rsidR="00B11BB6" w:rsidRPr="006D5DC2">
        <w:rPr>
          <w:rStyle w:val="afe"/>
          <w:b/>
        </w:rPr>
        <w:footnoteReference w:id="28"/>
      </w:r>
      <w:r w:rsidR="00953562" w:rsidRPr="006D5DC2">
        <w:rPr>
          <w:rFonts w:hint="eastAsia"/>
          <w:b/>
        </w:rPr>
        <w:t>；3.AMI採用之無線通訊技術Zigbee組網因已標準化，限縮集中器蒐集之電表數量</w:t>
      </w:r>
      <w:r w:rsidR="000C1E33" w:rsidRPr="006D5DC2">
        <w:rPr>
          <w:rFonts w:hint="eastAsia"/>
          <w:b/>
        </w:rPr>
        <w:t>(</w:t>
      </w:r>
      <w:r w:rsidR="00953562" w:rsidRPr="006D5DC2">
        <w:rPr>
          <w:rFonts w:hint="eastAsia"/>
          <w:b/>
        </w:rPr>
        <w:t>目前平均約50具，最多120具</w:t>
      </w:r>
      <w:r w:rsidR="000C1E33" w:rsidRPr="006D5DC2">
        <w:rPr>
          <w:rFonts w:hint="eastAsia"/>
          <w:b/>
        </w:rPr>
        <w:t>)</w:t>
      </w:r>
      <w:r w:rsidR="00953562" w:rsidRPr="006D5DC2">
        <w:rPr>
          <w:rFonts w:hint="eastAsia"/>
          <w:b/>
        </w:rPr>
        <w:t>4.</w:t>
      </w:r>
      <w:r w:rsidR="00953562" w:rsidRPr="006D5DC2">
        <w:rPr>
          <w:rFonts w:hAnsi="標楷體" w:hint="eastAsia"/>
          <w:b/>
        </w:rPr>
        <w:t>……</w:t>
      </w:r>
      <w:r w:rsidR="00953562" w:rsidRPr="006D5DC2">
        <w:rPr>
          <w:rFonts w:hint="eastAsia"/>
        </w:rPr>
        <w:t>」</w:t>
      </w:r>
      <w:r w:rsidR="006A631B" w:rsidRPr="006D5DC2">
        <w:rPr>
          <w:rFonts w:hint="eastAsia"/>
        </w:rPr>
        <w:t>，</w:t>
      </w:r>
      <w:r w:rsidR="00953562" w:rsidRPr="006D5DC2">
        <w:rPr>
          <w:rFonts w:hint="eastAsia"/>
        </w:rPr>
        <w:t>造成1萬戶所採用之通訊系統不適用於大量</w:t>
      </w:r>
      <w:r w:rsidR="00352322" w:rsidRPr="006D5DC2">
        <w:rPr>
          <w:rFonts w:hint="eastAsia"/>
        </w:rPr>
        <w:t>布建</w:t>
      </w:r>
      <w:r w:rsidR="00953562" w:rsidRPr="006D5DC2">
        <w:rPr>
          <w:rFonts w:hint="eastAsia"/>
        </w:rPr>
        <w:t>，加上</w:t>
      </w:r>
      <w:r w:rsidR="006A631B" w:rsidRPr="006D5DC2">
        <w:rPr>
          <w:rFonts w:hint="eastAsia"/>
        </w:rPr>
        <w:t>低壓AMI為內建通訊模組時，當通訊模組損壞或須</w:t>
      </w:r>
      <w:r w:rsidR="006A631B" w:rsidRPr="006D5DC2">
        <w:rPr>
          <w:rFonts w:hint="eastAsia"/>
        </w:rPr>
        <w:lastRenderedPageBreak/>
        <w:t>更換</w:t>
      </w:r>
      <w:r w:rsidR="000C1E33" w:rsidRPr="006D5DC2">
        <w:rPr>
          <w:rFonts w:hint="eastAsia"/>
        </w:rPr>
        <w:t>(</w:t>
      </w:r>
      <w:r w:rsidR="006A631B" w:rsidRPr="006D5DC2">
        <w:rPr>
          <w:rFonts w:hint="eastAsia"/>
        </w:rPr>
        <w:t>升級</w:t>
      </w:r>
      <w:r w:rsidR="000C1E33" w:rsidRPr="006D5DC2">
        <w:rPr>
          <w:rFonts w:hint="eastAsia"/>
        </w:rPr>
        <w:t>)</w:t>
      </w:r>
      <w:r w:rsidR="006A631B" w:rsidRPr="006D5DC2">
        <w:rPr>
          <w:rFonts w:hint="eastAsia"/>
        </w:rPr>
        <w:t>通訊方式，須整組低壓AMI電表更換，除用戶須配合停電造成不便外，亦增加</w:t>
      </w:r>
      <w:r w:rsidR="00352322" w:rsidRPr="006D5DC2">
        <w:rPr>
          <w:rFonts w:hint="eastAsia"/>
        </w:rPr>
        <w:t>布建</w:t>
      </w:r>
      <w:r w:rsidR="006A631B" w:rsidRPr="006D5DC2">
        <w:rPr>
          <w:rFonts w:hint="eastAsia"/>
        </w:rPr>
        <w:t>成本</w:t>
      </w:r>
      <w:r w:rsidR="00B11BB6" w:rsidRPr="006D5DC2">
        <w:rPr>
          <w:rStyle w:val="afe"/>
        </w:rPr>
        <w:footnoteReference w:id="29"/>
      </w:r>
      <w:r w:rsidR="006A631B" w:rsidRPr="006D5DC2">
        <w:rPr>
          <w:rFonts w:hint="eastAsia"/>
        </w:rPr>
        <w:t>，</w:t>
      </w:r>
      <w:r w:rsidR="002B6FF1" w:rsidRPr="006D5DC2">
        <w:rPr>
          <w:rFonts w:hint="eastAsia"/>
        </w:rPr>
        <w:t>經台電公司104</w:t>
      </w:r>
      <w:r w:rsidR="00D56823" w:rsidRPr="006D5DC2">
        <w:rPr>
          <w:rFonts w:hint="eastAsia"/>
        </w:rPr>
        <w:t>年</w:t>
      </w:r>
      <w:r w:rsidR="002B6FF1" w:rsidRPr="006D5DC2">
        <w:rPr>
          <w:rFonts w:hint="eastAsia"/>
        </w:rPr>
        <w:t>及105年多次與能源局針對低壓AMI後續推動進行開會討論，於105年7月28日函送能源局「低壓AMI後續推動之修正規劃(依行政院105年6月22日第三次院長政策列管會議院長提示修正版)及相關檢討說明」，而後亦再與能源局多次檢討加速低壓AMI</w:t>
      </w:r>
      <w:r w:rsidR="00352322" w:rsidRPr="006D5DC2">
        <w:rPr>
          <w:rFonts w:hint="eastAsia"/>
        </w:rPr>
        <w:t>布建</w:t>
      </w:r>
      <w:r w:rsidR="002B6FF1" w:rsidRPr="006D5DC2">
        <w:rPr>
          <w:rFonts w:hint="eastAsia"/>
        </w:rPr>
        <w:t>期程及作法，</w:t>
      </w:r>
      <w:r w:rsidR="009529D5" w:rsidRPr="006D5DC2">
        <w:rPr>
          <w:rFonts w:hint="eastAsia"/>
        </w:rPr>
        <w:t>方</w:t>
      </w:r>
      <w:r w:rsidR="002B6FF1" w:rsidRPr="006D5DC2">
        <w:rPr>
          <w:rFonts w:hint="eastAsia"/>
        </w:rPr>
        <w:t>於106年2月7日完成智慧電網總體規劃方案修正草案，並由經濟部函送行政院核定，行政院最後於106年2月18日准予核定</w:t>
      </w:r>
      <w:r w:rsidR="006A631B" w:rsidRPr="006D5DC2">
        <w:rPr>
          <w:rFonts w:hint="eastAsia"/>
        </w:rPr>
        <w:t>，決定採用穩健方式分階段推動。為通盤解決通訊問題，</w:t>
      </w:r>
      <w:r w:rsidR="005145CD" w:rsidRPr="006D5DC2">
        <w:rPr>
          <w:rFonts w:hint="eastAsia"/>
        </w:rPr>
        <w:t>決定</w:t>
      </w:r>
      <w:r w:rsidR="006A631B" w:rsidRPr="006D5DC2">
        <w:rPr>
          <w:rFonts w:hint="eastAsia"/>
        </w:rPr>
        <w:t>另委託專業服務廠商成立顧問團隊，協助辦理評選最適我國環境之AMI通訊系統，107年</w:t>
      </w:r>
      <w:r w:rsidR="000374CB" w:rsidRPr="006D5DC2">
        <w:rPr>
          <w:rFonts w:hint="eastAsia"/>
        </w:rPr>
        <w:t>20萬戶低壓AMI建置採模組化方式將AMI電表、通訊、控制中心分開方式辦理，其中</w:t>
      </w:r>
      <w:r w:rsidR="006A631B" w:rsidRPr="006D5DC2">
        <w:rPr>
          <w:rFonts w:hint="eastAsia"/>
        </w:rPr>
        <w:t>，</w:t>
      </w:r>
      <w:r w:rsidR="000374CB" w:rsidRPr="006D5DC2">
        <w:rPr>
          <w:rFonts w:hint="eastAsia"/>
        </w:rPr>
        <w:t>電表案</w:t>
      </w:r>
      <w:r w:rsidR="005972B3" w:rsidRPr="006D5DC2">
        <w:rPr>
          <w:rStyle w:val="afe"/>
        </w:rPr>
        <w:footnoteReference w:id="30"/>
      </w:r>
      <w:r w:rsidR="000374CB" w:rsidRPr="006D5DC2">
        <w:rPr>
          <w:rFonts w:hint="eastAsia"/>
        </w:rPr>
        <w:t>於106年7月17日及7月31日</w:t>
      </w:r>
      <w:r w:rsidR="005972B3" w:rsidRPr="006D5DC2">
        <w:rPr>
          <w:rFonts w:hint="eastAsia"/>
        </w:rPr>
        <w:t>決標</w:t>
      </w:r>
      <w:r w:rsidR="000C1E33" w:rsidRPr="006D5DC2">
        <w:rPr>
          <w:rFonts w:hint="eastAsia"/>
        </w:rPr>
        <w:t>(</w:t>
      </w:r>
      <w:r w:rsidR="000374CB" w:rsidRPr="006D5DC2">
        <w:rPr>
          <w:rFonts w:hint="eastAsia"/>
        </w:rPr>
        <w:t>複數決標</w:t>
      </w:r>
      <w:r w:rsidR="000C1E33" w:rsidRPr="006D5DC2">
        <w:rPr>
          <w:rFonts w:hint="eastAsia"/>
        </w:rPr>
        <w:t>)</w:t>
      </w:r>
      <w:r w:rsidR="000374CB" w:rsidRPr="006D5DC2">
        <w:rPr>
          <w:rFonts w:hint="eastAsia"/>
        </w:rPr>
        <w:t>，通訊案</w:t>
      </w:r>
      <w:r w:rsidR="005972B3" w:rsidRPr="006D5DC2">
        <w:rPr>
          <w:rStyle w:val="afe"/>
        </w:rPr>
        <w:footnoteReference w:id="31"/>
      </w:r>
      <w:r w:rsidR="000374CB" w:rsidRPr="006D5DC2">
        <w:rPr>
          <w:rFonts w:hint="eastAsia"/>
        </w:rPr>
        <w:t>於107年6月28日及7月5日</w:t>
      </w:r>
      <w:r w:rsidR="000C1E33" w:rsidRPr="006D5DC2">
        <w:rPr>
          <w:rFonts w:hint="eastAsia"/>
        </w:rPr>
        <w:t>(</w:t>
      </w:r>
      <w:r w:rsidR="000374CB" w:rsidRPr="006D5DC2">
        <w:rPr>
          <w:rFonts w:hint="eastAsia"/>
        </w:rPr>
        <w:t>複數決標</w:t>
      </w:r>
      <w:r w:rsidR="000C1E33" w:rsidRPr="006D5DC2">
        <w:rPr>
          <w:rFonts w:hint="eastAsia"/>
        </w:rPr>
        <w:t>)</w:t>
      </w:r>
      <w:r w:rsidR="000374CB" w:rsidRPr="006D5DC2">
        <w:rPr>
          <w:rFonts w:hint="eastAsia"/>
        </w:rPr>
        <w:t>，管理系統</w:t>
      </w:r>
      <w:r w:rsidR="005972B3" w:rsidRPr="006D5DC2">
        <w:rPr>
          <w:rStyle w:val="afe"/>
        </w:rPr>
        <w:footnoteReference w:id="32"/>
      </w:r>
      <w:r w:rsidR="000374CB" w:rsidRPr="006D5DC2">
        <w:rPr>
          <w:rFonts w:hint="eastAsia"/>
        </w:rPr>
        <w:t>於107年9月27日</w:t>
      </w:r>
      <w:r w:rsidR="002B2991" w:rsidRPr="006D5DC2">
        <w:rPr>
          <w:rFonts w:hint="eastAsia"/>
        </w:rPr>
        <w:t>決標</w:t>
      </w:r>
      <w:r w:rsidR="002A5B82" w:rsidRPr="006D5DC2">
        <w:rPr>
          <w:rFonts w:hint="eastAsia"/>
        </w:rPr>
        <w:t>，目前仍建置中</w:t>
      </w:r>
      <w:r w:rsidR="000374CB" w:rsidRPr="006D5DC2">
        <w:rPr>
          <w:rFonts w:hint="eastAsia"/>
        </w:rPr>
        <w:t>。</w:t>
      </w:r>
      <w:r w:rsidR="005360DA" w:rsidRPr="006D5DC2">
        <w:rPr>
          <w:rFonts w:hint="eastAsia"/>
        </w:rPr>
        <w:t>經濟部108年6月3日應詢資料所稱：「低壓AMI系統架構：國內低壓用戶約1</w:t>
      </w:r>
      <w:r w:rsidR="009529D5" w:rsidRPr="006D5DC2">
        <w:rPr>
          <w:rFonts w:hint="eastAsia"/>
        </w:rPr>
        <w:t>,</w:t>
      </w:r>
      <w:r w:rsidR="005360DA" w:rsidRPr="006D5DC2">
        <w:rPr>
          <w:rFonts w:hint="eastAsia"/>
        </w:rPr>
        <w:t>300萬戶，</w:t>
      </w:r>
      <w:r w:rsidR="005360DA" w:rsidRPr="006D5DC2">
        <w:rPr>
          <w:rFonts w:hAnsi="標楷體" w:hint="eastAsia"/>
        </w:rPr>
        <w:t>……</w:t>
      </w:r>
      <w:r w:rsidR="005360DA" w:rsidRPr="006D5DC2">
        <w:rPr>
          <w:rFonts w:hint="eastAsia"/>
        </w:rPr>
        <w:t>低壓AMI已於107年完成2</w:t>
      </w:r>
      <w:r w:rsidR="00B936C6" w:rsidRPr="006D5DC2">
        <w:rPr>
          <w:rFonts w:hint="eastAsia"/>
        </w:rPr>
        <w:t>3</w:t>
      </w:r>
      <w:r w:rsidR="005360DA" w:rsidRPr="006D5DC2">
        <w:rPr>
          <w:rFonts w:hint="eastAsia"/>
        </w:rPr>
        <w:t>萬戶建置，並持續推動辦理。」，係指電表完成安裝部分，各電表均尚未與系統構連，併此敘明。</w:t>
      </w:r>
    </w:p>
    <w:p w:rsidR="00030C70" w:rsidRPr="006D5DC2" w:rsidRDefault="002B2991" w:rsidP="009529D5">
      <w:pPr>
        <w:pStyle w:val="3"/>
      </w:pPr>
      <w:r w:rsidRPr="006D5DC2">
        <w:rPr>
          <w:rFonts w:hint="eastAsia"/>
        </w:rPr>
        <w:t>綜上，</w:t>
      </w:r>
      <w:r w:rsidR="009529D5" w:rsidRPr="006D5DC2">
        <w:rPr>
          <w:rFonts w:hint="eastAsia"/>
        </w:rPr>
        <w:t>行政院99年6月23日核定「智慧型電表基礎建設推動方案」，預</w:t>
      </w:r>
      <w:r w:rsidR="005762C3">
        <w:rPr>
          <w:rFonts w:hint="eastAsia"/>
        </w:rPr>
        <w:t>計</w:t>
      </w:r>
      <w:r w:rsidR="009529D5" w:rsidRPr="006D5DC2">
        <w:rPr>
          <w:rFonts w:hint="eastAsia"/>
        </w:rPr>
        <w:t>於100年至101年布建低壓智慧電表1萬戶，為達成該階段性目標，</w:t>
      </w:r>
      <w:r w:rsidR="00C51426" w:rsidRPr="006D5DC2">
        <w:rPr>
          <w:rFonts w:hint="eastAsia"/>
        </w:rPr>
        <w:t>經濟部能源局</w:t>
      </w:r>
      <w:r w:rsidR="009529D5" w:rsidRPr="006D5DC2">
        <w:rPr>
          <w:rFonts w:hint="eastAsia"/>
        </w:rPr>
        <w:lastRenderedPageBreak/>
        <w:t>依推動方案所訂工作項目，於98年至99年</w:t>
      </w:r>
      <w:r w:rsidR="00AD5200" w:rsidRPr="006D5DC2">
        <w:rPr>
          <w:rFonts w:hint="eastAsia"/>
        </w:rPr>
        <w:t>先辦理「通訊技術測試」，</w:t>
      </w:r>
      <w:r w:rsidR="00C51426" w:rsidRPr="006D5DC2">
        <w:rPr>
          <w:rFonts w:hint="eastAsia"/>
        </w:rPr>
        <w:t>台電公司參考該技術測試經驗，擬定</w:t>
      </w:r>
      <w:r w:rsidR="00C51426" w:rsidRPr="006D5DC2">
        <w:rPr>
          <w:rFonts w:hAnsi="標楷體" w:hint="eastAsia"/>
        </w:rPr>
        <w:t>「</w:t>
      </w:r>
      <w:r w:rsidR="00C51426" w:rsidRPr="006D5DC2">
        <w:rPr>
          <w:rFonts w:hint="eastAsia"/>
        </w:rPr>
        <w:t>低壓智慧型電表讀表器建置採購規範</w:t>
      </w:r>
      <w:r w:rsidR="00C51426" w:rsidRPr="006D5DC2">
        <w:rPr>
          <w:rFonts w:hAnsi="標楷體" w:hint="eastAsia"/>
        </w:rPr>
        <w:t>」</w:t>
      </w:r>
      <w:r w:rsidR="00C51426" w:rsidRPr="006D5DC2">
        <w:rPr>
          <w:rFonts w:hint="eastAsia"/>
        </w:rPr>
        <w:t>並進行上網招標，於規格標時之測試僅針對功能面，</w:t>
      </w:r>
      <w:r w:rsidR="00AD5200" w:rsidRPr="006D5DC2">
        <w:rPr>
          <w:rFonts w:hint="eastAsia"/>
        </w:rPr>
        <w:t>未考量既有電表裝設位置多位於</w:t>
      </w:r>
      <w:r w:rsidR="009529D5" w:rsidRPr="006D5DC2">
        <w:rPr>
          <w:rFonts w:hint="eastAsia"/>
        </w:rPr>
        <w:t>通訊死角、無線電通訊技術Zigbee及WiFi僅能使用2.4GHz，傳輸距離受限等因素</w:t>
      </w:r>
      <w:r w:rsidR="00C51426" w:rsidRPr="006D5DC2">
        <w:rPr>
          <w:rFonts w:hint="eastAsia"/>
        </w:rPr>
        <w:t>進行測試</w:t>
      </w:r>
      <w:r w:rsidR="009529D5" w:rsidRPr="006D5DC2">
        <w:rPr>
          <w:rFonts w:hint="eastAsia"/>
        </w:rPr>
        <w:t>，於101年率爾斥資2.4億元進行1萬戶之前期布建，加上驗收條款(如現場設備可用性測試)未盡明確，</w:t>
      </w:r>
      <w:r w:rsidR="005762C3">
        <w:rPr>
          <w:rFonts w:hint="eastAsia"/>
        </w:rPr>
        <w:t>使</w:t>
      </w:r>
      <w:r w:rsidR="00C51426" w:rsidRPr="006D5DC2">
        <w:rPr>
          <w:rFonts w:hint="eastAsia"/>
        </w:rPr>
        <w:t>驗收期程拉長，</w:t>
      </w:r>
      <w:r w:rsidR="009529D5" w:rsidRPr="006D5DC2">
        <w:rPr>
          <w:rFonts w:hint="eastAsia"/>
        </w:rPr>
        <w:t>前期布建所採通訊系統</w:t>
      </w:r>
      <w:r w:rsidR="00C51426" w:rsidRPr="006D5DC2">
        <w:rPr>
          <w:rFonts w:hint="eastAsia"/>
        </w:rPr>
        <w:t>因現場通訊設備(集中器)多且內建通訊模組等因素，將導致維運成本增加，不適合</w:t>
      </w:r>
      <w:r w:rsidR="009529D5" w:rsidRPr="006D5DC2">
        <w:rPr>
          <w:rFonts w:hint="eastAsia"/>
        </w:rPr>
        <w:t>為後續大量布建所用，致106年另啟爐灶，採電表、通訊系統及管理系統分案招標方式辦理，核有違失</w:t>
      </w:r>
      <w:r w:rsidR="005972B3" w:rsidRPr="006D5DC2">
        <w:rPr>
          <w:rFonts w:hint="eastAsia"/>
        </w:rPr>
        <w:t>。</w:t>
      </w:r>
    </w:p>
    <w:p w:rsidR="00BA3E79" w:rsidRPr="006D5DC2" w:rsidRDefault="000A7C9B" w:rsidP="000A7C9B">
      <w:pPr>
        <w:pStyle w:val="2"/>
        <w:rPr>
          <w:b/>
        </w:rPr>
      </w:pPr>
      <w:bookmarkStart w:id="61" w:name="_Toc22114182"/>
      <w:bookmarkStart w:id="62" w:name="_Toc23164732"/>
      <w:r w:rsidRPr="006D5DC2">
        <w:rPr>
          <w:rFonts w:hint="eastAsia"/>
          <w:b/>
        </w:rPr>
        <w:t>台電公司1萬戶低壓智慧電表</w:t>
      </w:r>
      <w:r w:rsidR="00352322" w:rsidRPr="006D5DC2">
        <w:rPr>
          <w:rFonts w:hint="eastAsia"/>
          <w:b/>
        </w:rPr>
        <w:t>布建</w:t>
      </w:r>
      <w:r w:rsidRPr="006D5DC2">
        <w:rPr>
          <w:rFonts w:hint="eastAsia"/>
          <w:b/>
        </w:rPr>
        <w:t>案，其中澎湖地區分配500戶，嗣為配合行政院「澎湖低碳島專案計畫」，戶數增為2</w:t>
      </w:r>
      <w:r w:rsidR="009529D5" w:rsidRPr="006D5DC2">
        <w:rPr>
          <w:rFonts w:hint="eastAsia"/>
          <w:b/>
        </w:rPr>
        <w:t>,</w:t>
      </w:r>
      <w:r w:rsidRPr="006D5DC2">
        <w:rPr>
          <w:rFonts w:hint="eastAsia"/>
          <w:b/>
        </w:rPr>
        <w:t>000戶，</w:t>
      </w:r>
      <w:r w:rsidR="006C311E" w:rsidRPr="006D5DC2">
        <w:rPr>
          <w:rFonts w:hint="eastAsia"/>
          <w:b/>
        </w:rPr>
        <w:t>台電公司</w:t>
      </w:r>
      <w:r w:rsidRPr="006D5DC2">
        <w:rPr>
          <w:rFonts w:hint="eastAsia"/>
          <w:b/>
        </w:rPr>
        <w:t>爰於</w:t>
      </w:r>
      <w:r w:rsidR="006C311E" w:rsidRPr="006D5DC2">
        <w:rPr>
          <w:rFonts w:hint="eastAsia"/>
          <w:b/>
        </w:rPr>
        <w:t>「104年澎湖地區低壓智慧電表建置」</w:t>
      </w:r>
      <w:r w:rsidRPr="006D5DC2">
        <w:rPr>
          <w:rFonts w:hint="eastAsia"/>
          <w:b/>
        </w:rPr>
        <w:t>案增購智慧</w:t>
      </w:r>
      <w:r w:rsidR="006C311E" w:rsidRPr="006D5DC2">
        <w:rPr>
          <w:rFonts w:hint="eastAsia"/>
          <w:b/>
        </w:rPr>
        <w:t>電表1</w:t>
      </w:r>
      <w:r w:rsidR="009529D5" w:rsidRPr="006D5DC2">
        <w:rPr>
          <w:rFonts w:hint="eastAsia"/>
          <w:b/>
        </w:rPr>
        <w:t>,</w:t>
      </w:r>
      <w:r w:rsidR="006C311E" w:rsidRPr="006D5DC2">
        <w:rPr>
          <w:rFonts w:hint="eastAsia"/>
          <w:b/>
        </w:rPr>
        <w:t>800具、集中器36具，惟</w:t>
      </w:r>
      <w:r w:rsidRPr="006D5DC2">
        <w:rPr>
          <w:rFonts w:hint="eastAsia"/>
          <w:b/>
        </w:rPr>
        <w:t>所</w:t>
      </w:r>
      <w:r w:rsidR="006C311E" w:rsidRPr="006D5DC2">
        <w:rPr>
          <w:rFonts w:hint="eastAsia"/>
          <w:b/>
        </w:rPr>
        <w:t>購</w:t>
      </w:r>
      <w:r w:rsidRPr="006D5DC2">
        <w:rPr>
          <w:rFonts w:hint="eastAsia"/>
          <w:b/>
        </w:rPr>
        <w:t>電表及集中器，因契約未</w:t>
      </w:r>
      <w:r w:rsidR="00AB3CDD" w:rsidRPr="006D5DC2">
        <w:rPr>
          <w:rFonts w:hint="eastAsia"/>
          <w:b/>
        </w:rPr>
        <w:t>明定</w:t>
      </w:r>
      <w:r w:rsidRPr="006D5DC2">
        <w:rPr>
          <w:rFonts w:hint="eastAsia"/>
          <w:b/>
        </w:rPr>
        <w:t>特性試驗、安裝測試、可用性測試</w:t>
      </w:r>
      <w:r w:rsidR="0009665F" w:rsidRPr="006D5DC2">
        <w:rPr>
          <w:rFonts w:hint="eastAsia"/>
          <w:b/>
        </w:rPr>
        <w:t>期限，全案</w:t>
      </w:r>
      <w:r w:rsidR="00952F32" w:rsidRPr="006D5DC2">
        <w:rPr>
          <w:rFonts w:hint="eastAsia"/>
          <w:b/>
        </w:rPr>
        <w:t>亦</w:t>
      </w:r>
      <w:r w:rsidR="0009665F" w:rsidRPr="006D5DC2">
        <w:rPr>
          <w:rFonts w:hint="eastAsia"/>
          <w:b/>
        </w:rPr>
        <w:t>無明確履約期限，導致</w:t>
      </w:r>
      <w:r w:rsidRPr="006D5DC2">
        <w:rPr>
          <w:rFonts w:hint="eastAsia"/>
          <w:b/>
        </w:rPr>
        <w:t>廠商</w:t>
      </w:r>
      <w:r w:rsidR="0009665F" w:rsidRPr="006D5DC2">
        <w:rPr>
          <w:rFonts w:hint="eastAsia"/>
          <w:b/>
        </w:rPr>
        <w:t>自</w:t>
      </w:r>
      <w:r w:rsidRPr="006D5DC2">
        <w:rPr>
          <w:rFonts w:hint="eastAsia"/>
          <w:b/>
        </w:rPr>
        <w:t>交貨</w:t>
      </w:r>
      <w:r w:rsidR="006C311E" w:rsidRPr="006D5DC2">
        <w:rPr>
          <w:rFonts w:hint="eastAsia"/>
          <w:b/>
        </w:rPr>
        <w:t>迄</w:t>
      </w:r>
      <w:r w:rsidRPr="006D5DC2">
        <w:rPr>
          <w:rFonts w:hint="eastAsia"/>
          <w:b/>
        </w:rPr>
        <w:t>驗收</w:t>
      </w:r>
      <w:r w:rsidR="006C311E" w:rsidRPr="006D5DC2">
        <w:rPr>
          <w:rFonts w:hint="eastAsia"/>
          <w:b/>
        </w:rPr>
        <w:t>完成歷時2年</w:t>
      </w:r>
      <w:r w:rsidRPr="006D5DC2">
        <w:rPr>
          <w:rFonts w:hint="eastAsia"/>
          <w:b/>
        </w:rPr>
        <w:t>餘，陳訴人所稱「完工後報驗，逾3年之久」尚屬實情，應</w:t>
      </w:r>
      <w:r w:rsidR="0009665F" w:rsidRPr="006D5DC2">
        <w:rPr>
          <w:rFonts w:hint="eastAsia"/>
          <w:b/>
        </w:rPr>
        <w:t>確實</w:t>
      </w:r>
      <w:r w:rsidRPr="006D5DC2">
        <w:rPr>
          <w:rFonts w:hint="eastAsia"/>
          <w:b/>
        </w:rPr>
        <w:t>檢討。</w:t>
      </w:r>
      <w:bookmarkEnd w:id="61"/>
      <w:bookmarkEnd w:id="62"/>
    </w:p>
    <w:p w:rsidR="004A5750" w:rsidRPr="006D5DC2" w:rsidRDefault="004A5750" w:rsidP="009543F6">
      <w:pPr>
        <w:pStyle w:val="3"/>
      </w:pPr>
      <w:r w:rsidRPr="006D5DC2">
        <w:rPr>
          <w:rFonts w:hint="eastAsia"/>
        </w:rPr>
        <w:t>查</w:t>
      </w:r>
      <w:r w:rsidR="00BC43D3" w:rsidRPr="006D5DC2">
        <w:rPr>
          <w:rFonts w:hint="eastAsia"/>
        </w:rPr>
        <w:t>台電公司</w:t>
      </w:r>
      <w:r w:rsidR="002B2410" w:rsidRPr="006D5DC2">
        <w:rPr>
          <w:rFonts w:hint="eastAsia"/>
        </w:rPr>
        <w:t>1萬戶低壓智慧型電表</w:t>
      </w:r>
      <w:r w:rsidR="00352322" w:rsidRPr="006D5DC2">
        <w:rPr>
          <w:rFonts w:hint="eastAsia"/>
        </w:rPr>
        <w:t>布建</w:t>
      </w:r>
      <w:r w:rsidR="002B2410" w:rsidRPr="006D5DC2">
        <w:rPr>
          <w:rFonts w:hint="eastAsia"/>
        </w:rPr>
        <w:t>案，其中澎湖地區獲配500戶，嗣配合行政院「澎湖低碳島專案計畫」，戶數增為2</w:t>
      </w:r>
      <w:r w:rsidR="009529D5" w:rsidRPr="006D5DC2">
        <w:rPr>
          <w:rFonts w:hint="eastAsia"/>
        </w:rPr>
        <w:t>,</w:t>
      </w:r>
      <w:r w:rsidR="002B2410" w:rsidRPr="006D5DC2">
        <w:rPr>
          <w:rFonts w:hint="eastAsia"/>
        </w:rPr>
        <w:t>000戶，台電公司爰104年8月13日公告</w:t>
      </w:r>
      <w:r w:rsidR="009543F6" w:rsidRPr="006D5DC2">
        <w:rPr>
          <w:rFonts w:hint="eastAsia"/>
        </w:rPr>
        <w:t>「104年度</w:t>
      </w:r>
      <w:r w:rsidRPr="006D5DC2">
        <w:rPr>
          <w:rFonts w:hint="eastAsia"/>
        </w:rPr>
        <w:t>澎湖地區低壓智慧電表</w:t>
      </w:r>
      <w:r w:rsidR="009543F6" w:rsidRPr="006D5DC2">
        <w:rPr>
          <w:rFonts w:hint="eastAsia"/>
        </w:rPr>
        <w:t>建置」財務</w:t>
      </w:r>
      <w:r w:rsidRPr="006D5DC2">
        <w:rPr>
          <w:rFonts w:hint="eastAsia"/>
        </w:rPr>
        <w:t>採購案</w:t>
      </w:r>
      <w:r w:rsidR="000C1E33" w:rsidRPr="006D5DC2">
        <w:rPr>
          <w:rFonts w:hint="eastAsia"/>
        </w:rPr>
        <w:t>(</w:t>
      </w:r>
      <w:r w:rsidR="002B2410" w:rsidRPr="006D5DC2">
        <w:rPr>
          <w:rFonts w:hint="eastAsia"/>
        </w:rPr>
        <w:t>採購案號008</w:t>
      </w:r>
      <w:r w:rsidR="00B20D4E" w:rsidRPr="006D5DC2">
        <w:rPr>
          <w:rFonts w:hint="eastAsia"/>
        </w:rPr>
        <w:t>-</w:t>
      </w:r>
      <w:r w:rsidR="002B2410" w:rsidRPr="006D5DC2">
        <w:rPr>
          <w:rFonts w:hint="eastAsia"/>
        </w:rPr>
        <w:t>0400059</w:t>
      </w:r>
      <w:r w:rsidR="000C1E33" w:rsidRPr="006D5DC2">
        <w:rPr>
          <w:rFonts w:hint="eastAsia"/>
        </w:rPr>
        <w:t>)</w:t>
      </w:r>
      <w:r w:rsidR="002B2410" w:rsidRPr="006D5DC2">
        <w:rPr>
          <w:rFonts w:hint="eastAsia"/>
        </w:rPr>
        <w:t>之招標作業</w:t>
      </w:r>
      <w:r w:rsidR="00E90979" w:rsidRPr="006D5DC2">
        <w:rPr>
          <w:rFonts w:hint="eastAsia"/>
        </w:rPr>
        <w:t>，採購電表1</w:t>
      </w:r>
      <w:r w:rsidR="009543F6" w:rsidRPr="006D5DC2">
        <w:rPr>
          <w:rFonts w:hint="eastAsia"/>
        </w:rPr>
        <w:t>,</w:t>
      </w:r>
      <w:r w:rsidR="00E90979" w:rsidRPr="006D5DC2">
        <w:rPr>
          <w:rFonts w:hint="eastAsia"/>
        </w:rPr>
        <w:t>800具、集中器36具，</w:t>
      </w:r>
      <w:r w:rsidR="009543F6" w:rsidRPr="006D5DC2">
        <w:rPr>
          <w:rFonts w:hint="eastAsia"/>
        </w:rPr>
        <w:t>預算金額：</w:t>
      </w:r>
      <w:r w:rsidR="009543F6" w:rsidRPr="006D5DC2">
        <w:rPr>
          <w:rFonts w:hint="eastAsia"/>
        </w:rPr>
        <w:tab/>
        <w:t>12,390,000元，104年10月30日決標，</w:t>
      </w:r>
      <w:r w:rsidR="0097153F" w:rsidRPr="006D5DC2">
        <w:rPr>
          <w:rFonts w:hint="eastAsia"/>
        </w:rPr>
        <w:t>由康舒科技</w:t>
      </w:r>
      <w:r w:rsidR="0097153F" w:rsidRPr="006D5DC2">
        <w:rPr>
          <w:rFonts w:hint="eastAsia"/>
        </w:rPr>
        <w:lastRenderedPageBreak/>
        <w:t>股份有限公司</w:t>
      </w:r>
      <w:r w:rsidR="000C1E33" w:rsidRPr="006D5DC2">
        <w:rPr>
          <w:rFonts w:hint="eastAsia"/>
        </w:rPr>
        <w:t>(</w:t>
      </w:r>
      <w:r w:rsidR="0097153F" w:rsidRPr="006D5DC2">
        <w:rPr>
          <w:rFonts w:hint="eastAsia"/>
        </w:rPr>
        <w:t>下稱康舒公司</w:t>
      </w:r>
      <w:r w:rsidR="000C1E33" w:rsidRPr="006D5DC2">
        <w:rPr>
          <w:rFonts w:hint="eastAsia"/>
        </w:rPr>
        <w:t>)</w:t>
      </w:r>
      <w:r w:rsidR="0097153F" w:rsidRPr="006D5DC2">
        <w:rPr>
          <w:rFonts w:hint="eastAsia"/>
        </w:rPr>
        <w:t>以</w:t>
      </w:r>
      <w:r w:rsidR="009543F6" w:rsidRPr="006D5DC2">
        <w:rPr>
          <w:rFonts w:hint="eastAsia"/>
        </w:rPr>
        <w:t>總決標金額11,151,000元</w:t>
      </w:r>
      <w:r w:rsidR="0097153F" w:rsidRPr="006D5DC2">
        <w:rPr>
          <w:rFonts w:hint="eastAsia"/>
        </w:rPr>
        <w:t>得標</w:t>
      </w:r>
      <w:r w:rsidR="000C1E33" w:rsidRPr="006D5DC2">
        <w:rPr>
          <w:rFonts w:hint="eastAsia"/>
        </w:rPr>
        <w:t>(</w:t>
      </w:r>
      <w:r w:rsidR="0097153F" w:rsidRPr="006D5DC2">
        <w:rPr>
          <w:rFonts w:hint="eastAsia"/>
        </w:rPr>
        <w:t>最低價</w:t>
      </w:r>
      <w:r w:rsidR="000C1E33" w:rsidRPr="006D5DC2">
        <w:rPr>
          <w:rFonts w:hint="eastAsia"/>
        </w:rPr>
        <w:t>)</w:t>
      </w:r>
      <w:r w:rsidR="00E90979" w:rsidRPr="006D5DC2">
        <w:rPr>
          <w:rFonts w:hint="eastAsia"/>
        </w:rPr>
        <w:t>，其第1、2批交貨之</w:t>
      </w:r>
      <w:r w:rsidR="00727E73" w:rsidRPr="006D5DC2">
        <w:rPr>
          <w:rFonts w:hint="eastAsia"/>
        </w:rPr>
        <w:t>特性試驗辦理</w:t>
      </w:r>
      <w:r w:rsidR="00E90979" w:rsidRPr="006D5DC2">
        <w:rPr>
          <w:rFonts w:hint="eastAsia"/>
        </w:rPr>
        <w:t>情形如下：</w:t>
      </w:r>
    </w:p>
    <w:tbl>
      <w:tblPr>
        <w:tblStyle w:val="13"/>
        <w:tblW w:w="7615" w:type="dxa"/>
        <w:tblInd w:w="1452" w:type="dxa"/>
        <w:tblLook w:val="04A0" w:firstRow="1" w:lastRow="0" w:firstColumn="1" w:lastColumn="0" w:noHBand="0" w:noVBand="1"/>
      </w:tblPr>
      <w:tblGrid>
        <w:gridCol w:w="2156"/>
        <w:gridCol w:w="2729"/>
        <w:gridCol w:w="2730"/>
      </w:tblGrid>
      <w:tr w:rsidR="00E90979" w:rsidRPr="006D5DC2" w:rsidTr="00E90979">
        <w:tc>
          <w:tcPr>
            <w:tcW w:w="2156" w:type="dxa"/>
            <w:tcBorders>
              <w:tl2br w:val="single" w:sz="4" w:space="0" w:color="auto"/>
            </w:tcBorders>
            <w:vAlign w:val="center"/>
          </w:tcPr>
          <w:p w:rsidR="00E90979" w:rsidRPr="006D5DC2" w:rsidRDefault="00E90979" w:rsidP="009529D5">
            <w:pPr>
              <w:spacing w:line="0" w:lineRule="atLeast"/>
              <w:jc w:val="right"/>
              <w:rPr>
                <w:rFonts w:ascii="Times New Roman" w:hAnsi="Times New Roman" w:cs="Times New Roman"/>
                <w:color w:val="000000"/>
                <w:spacing w:val="-14"/>
                <w:sz w:val="28"/>
                <w:szCs w:val="28"/>
              </w:rPr>
            </w:pPr>
            <w:r w:rsidRPr="006D5DC2">
              <w:rPr>
                <w:rFonts w:ascii="Times New Roman" w:hAnsi="Times New Roman" w:cs="Times New Roman"/>
                <w:color w:val="000000"/>
                <w:spacing w:val="-14"/>
                <w:sz w:val="28"/>
                <w:szCs w:val="28"/>
              </w:rPr>
              <w:t xml:space="preserve">      </w:t>
            </w:r>
            <w:r w:rsidRPr="006D5DC2">
              <w:rPr>
                <w:rFonts w:ascii="Times New Roman" w:hAnsi="Times New Roman" w:cs="Times New Roman"/>
                <w:color w:val="000000"/>
                <w:spacing w:val="-14"/>
                <w:sz w:val="28"/>
                <w:szCs w:val="28"/>
              </w:rPr>
              <w:t>批次</w:t>
            </w:r>
          </w:p>
          <w:p w:rsidR="00E90979" w:rsidRPr="006D5DC2" w:rsidRDefault="00E90979" w:rsidP="00E90979">
            <w:pPr>
              <w:spacing w:line="0" w:lineRule="atLeast"/>
              <w:rPr>
                <w:rFonts w:ascii="Times New Roman" w:hAnsi="Times New Roman" w:cs="Times New Roman"/>
                <w:color w:val="000000"/>
                <w:spacing w:val="-14"/>
                <w:sz w:val="28"/>
                <w:szCs w:val="28"/>
              </w:rPr>
            </w:pPr>
            <w:r w:rsidRPr="006D5DC2">
              <w:rPr>
                <w:rFonts w:hAnsi="標楷體" w:cs="新細明體" w:hint="eastAsia"/>
                <w:color w:val="000000" w:themeColor="text1"/>
                <w:spacing w:val="-14"/>
                <w:kern w:val="0"/>
                <w:sz w:val="28"/>
                <w:szCs w:val="28"/>
              </w:rPr>
              <w:t>驗收</w:t>
            </w:r>
            <w:r w:rsidRPr="006D5DC2">
              <w:rPr>
                <w:rFonts w:ascii="Times New Roman" w:hAnsi="Times New Roman" w:cs="Times New Roman"/>
                <w:color w:val="000000"/>
                <w:spacing w:val="-14"/>
                <w:sz w:val="28"/>
                <w:szCs w:val="28"/>
              </w:rPr>
              <w:t>程序</w:t>
            </w:r>
          </w:p>
        </w:tc>
        <w:tc>
          <w:tcPr>
            <w:tcW w:w="2729" w:type="dxa"/>
            <w:vAlign w:val="center"/>
          </w:tcPr>
          <w:p w:rsidR="00E90979" w:rsidRPr="006D5DC2" w:rsidRDefault="002151E4" w:rsidP="00E90979">
            <w:pPr>
              <w:spacing w:line="0" w:lineRule="atLeast"/>
              <w:jc w:val="center"/>
              <w:rPr>
                <w:rFonts w:ascii="Times New Roman" w:hAnsi="Times New Roman" w:cs="Times New Roman"/>
                <w:color w:val="000000"/>
                <w:spacing w:val="-14"/>
                <w:sz w:val="28"/>
                <w:szCs w:val="28"/>
              </w:rPr>
            </w:pPr>
            <w:r w:rsidRPr="006D5DC2">
              <w:rPr>
                <w:rFonts w:ascii="Times New Roman" w:hAnsi="Times New Roman" w:cs="Times New Roman"/>
                <w:color w:val="000000"/>
                <w:spacing w:val="-14"/>
                <w:sz w:val="28"/>
                <w:szCs w:val="28"/>
              </w:rPr>
              <w:t>第</w:t>
            </w:r>
            <w:r w:rsidRPr="006D5DC2">
              <w:rPr>
                <w:rFonts w:ascii="Times New Roman" w:hAnsi="Times New Roman" w:cs="Times New Roman"/>
                <w:color w:val="000000"/>
                <w:spacing w:val="-14"/>
                <w:sz w:val="28"/>
                <w:szCs w:val="28"/>
              </w:rPr>
              <w:t>1</w:t>
            </w:r>
            <w:r w:rsidRPr="006D5DC2">
              <w:rPr>
                <w:rFonts w:ascii="Times New Roman" w:hAnsi="Times New Roman" w:cs="Times New Roman"/>
                <w:color w:val="000000"/>
                <w:spacing w:val="-14"/>
                <w:sz w:val="28"/>
                <w:szCs w:val="28"/>
              </w:rPr>
              <w:t>批</w:t>
            </w:r>
          </w:p>
        </w:tc>
        <w:tc>
          <w:tcPr>
            <w:tcW w:w="2730" w:type="dxa"/>
            <w:vAlign w:val="center"/>
          </w:tcPr>
          <w:p w:rsidR="00E90979" w:rsidRPr="006D5DC2" w:rsidRDefault="002151E4" w:rsidP="00E90979">
            <w:pPr>
              <w:spacing w:line="0" w:lineRule="atLeast"/>
              <w:jc w:val="center"/>
              <w:rPr>
                <w:rFonts w:ascii="Times New Roman" w:hAnsi="Times New Roman" w:cs="Times New Roman"/>
                <w:color w:val="000000"/>
                <w:spacing w:val="-14"/>
                <w:sz w:val="28"/>
                <w:szCs w:val="28"/>
              </w:rPr>
            </w:pPr>
            <w:r w:rsidRPr="006D5DC2">
              <w:rPr>
                <w:rFonts w:ascii="Times New Roman" w:hAnsi="Times New Roman" w:cs="Times New Roman"/>
                <w:color w:val="000000"/>
                <w:spacing w:val="-14"/>
                <w:sz w:val="28"/>
                <w:szCs w:val="28"/>
              </w:rPr>
              <w:t>第</w:t>
            </w:r>
            <w:r w:rsidRPr="006D5DC2">
              <w:rPr>
                <w:rFonts w:ascii="Times New Roman" w:hAnsi="Times New Roman" w:cs="Times New Roman"/>
                <w:color w:val="000000"/>
                <w:spacing w:val="-14"/>
                <w:sz w:val="28"/>
                <w:szCs w:val="28"/>
              </w:rPr>
              <w:t>2</w:t>
            </w:r>
            <w:r w:rsidRPr="006D5DC2">
              <w:rPr>
                <w:rFonts w:ascii="Times New Roman" w:hAnsi="Times New Roman" w:cs="Times New Roman"/>
                <w:color w:val="000000"/>
                <w:spacing w:val="-14"/>
                <w:sz w:val="28"/>
                <w:szCs w:val="28"/>
              </w:rPr>
              <w:t>批</w:t>
            </w:r>
          </w:p>
        </w:tc>
      </w:tr>
      <w:tr w:rsidR="00E90979" w:rsidRPr="006D5DC2" w:rsidTr="00E90979">
        <w:tc>
          <w:tcPr>
            <w:tcW w:w="2156" w:type="dxa"/>
            <w:vAlign w:val="center"/>
          </w:tcPr>
          <w:p w:rsidR="00E90979" w:rsidRPr="006D5DC2" w:rsidRDefault="00E90979" w:rsidP="00E90979">
            <w:pPr>
              <w:spacing w:line="0" w:lineRule="atLeast"/>
              <w:jc w:val="center"/>
              <w:rPr>
                <w:rFonts w:ascii="Times New Roman" w:hAnsi="Times New Roman" w:cs="Times New Roman"/>
                <w:color w:val="000000"/>
                <w:spacing w:val="-14"/>
                <w:sz w:val="28"/>
                <w:szCs w:val="28"/>
              </w:rPr>
            </w:pPr>
            <w:r w:rsidRPr="006D5DC2">
              <w:rPr>
                <w:rFonts w:ascii="Times New Roman" w:hAnsi="Times New Roman" w:cs="Times New Roman" w:hint="eastAsia"/>
                <w:color w:val="000000"/>
                <w:spacing w:val="-14"/>
                <w:sz w:val="28"/>
                <w:szCs w:val="28"/>
              </w:rPr>
              <w:t>交貨項目</w:t>
            </w:r>
          </w:p>
        </w:tc>
        <w:tc>
          <w:tcPr>
            <w:tcW w:w="2729" w:type="dxa"/>
          </w:tcPr>
          <w:p w:rsidR="00E90979" w:rsidRPr="006D5DC2" w:rsidRDefault="00E90979" w:rsidP="00E90979">
            <w:pPr>
              <w:spacing w:line="0" w:lineRule="atLeast"/>
              <w:rPr>
                <w:rFonts w:ascii="Times New Roman" w:hAnsi="Times New Roman" w:cs="Times New Roman"/>
                <w:color w:val="000000"/>
                <w:spacing w:val="-14"/>
                <w:sz w:val="28"/>
                <w:szCs w:val="28"/>
              </w:rPr>
            </w:pPr>
            <w:r w:rsidRPr="006D5DC2">
              <w:rPr>
                <w:rFonts w:ascii="Times New Roman" w:hAnsi="Times New Roman" w:cs="Times New Roman" w:hint="eastAsia"/>
                <w:color w:val="000000"/>
                <w:spacing w:val="-14"/>
                <w:sz w:val="28"/>
                <w:szCs w:val="28"/>
              </w:rPr>
              <w:t>電表</w:t>
            </w:r>
            <w:r w:rsidRPr="006D5DC2">
              <w:rPr>
                <w:rFonts w:ascii="Times New Roman" w:hAnsi="Times New Roman" w:cs="Times New Roman" w:hint="eastAsia"/>
                <w:color w:val="000000"/>
                <w:spacing w:val="-14"/>
                <w:sz w:val="28"/>
                <w:szCs w:val="28"/>
              </w:rPr>
              <w:t>600</w:t>
            </w:r>
            <w:r w:rsidRPr="006D5DC2">
              <w:rPr>
                <w:rFonts w:ascii="Times New Roman" w:hAnsi="Times New Roman" w:cs="Times New Roman" w:hint="eastAsia"/>
                <w:color w:val="000000"/>
                <w:spacing w:val="-14"/>
                <w:sz w:val="28"/>
                <w:szCs w:val="28"/>
              </w:rPr>
              <w:t>具</w:t>
            </w:r>
          </w:p>
          <w:p w:rsidR="00E90979" w:rsidRPr="006D5DC2" w:rsidRDefault="00E90979" w:rsidP="00E90979">
            <w:pPr>
              <w:spacing w:line="0" w:lineRule="atLeast"/>
              <w:rPr>
                <w:rFonts w:ascii="Times New Roman" w:hAnsi="Times New Roman" w:cs="Times New Roman"/>
                <w:color w:val="000000"/>
                <w:spacing w:val="-14"/>
                <w:sz w:val="28"/>
                <w:szCs w:val="28"/>
              </w:rPr>
            </w:pPr>
            <w:r w:rsidRPr="006D5DC2">
              <w:rPr>
                <w:rFonts w:ascii="Times New Roman" w:hAnsi="Times New Roman" w:cs="Times New Roman" w:hint="eastAsia"/>
                <w:color w:val="000000"/>
                <w:spacing w:val="-14"/>
                <w:sz w:val="28"/>
                <w:szCs w:val="28"/>
              </w:rPr>
              <w:t>集中器</w:t>
            </w:r>
            <w:r w:rsidRPr="006D5DC2">
              <w:rPr>
                <w:rFonts w:ascii="Times New Roman" w:hAnsi="Times New Roman" w:cs="Times New Roman" w:hint="eastAsia"/>
                <w:color w:val="000000"/>
                <w:spacing w:val="-14"/>
                <w:sz w:val="28"/>
                <w:szCs w:val="28"/>
              </w:rPr>
              <w:t>2</w:t>
            </w:r>
            <w:r w:rsidRPr="006D5DC2">
              <w:rPr>
                <w:rFonts w:ascii="Times New Roman" w:hAnsi="Times New Roman" w:cs="Times New Roman" w:hint="eastAsia"/>
                <w:color w:val="000000"/>
                <w:spacing w:val="-14"/>
                <w:sz w:val="28"/>
                <w:szCs w:val="28"/>
              </w:rPr>
              <w:t>具</w:t>
            </w:r>
          </w:p>
        </w:tc>
        <w:tc>
          <w:tcPr>
            <w:tcW w:w="2730" w:type="dxa"/>
          </w:tcPr>
          <w:p w:rsidR="00E90979" w:rsidRPr="006D5DC2" w:rsidRDefault="00E90979" w:rsidP="00E90979">
            <w:pPr>
              <w:spacing w:line="0" w:lineRule="atLeast"/>
              <w:rPr>
                <w:rFonts w:ascii="Times New Roman" w:hAnsi="Times New Roman" w:cs="Times New Roman"/>
                <w:color w:val="000000"/>
                <w:spacing w:val="-14"/>
                <w:sz w:val="28"/>
                <w:szCs w:val="28"/>
              </w:rPr>
            </w:pPr>
            <w:r w:rsidRPr="006D5DC2">
              <w:rPr>
                <w:rFonts w:ascii="Times New Roman" w:hAnsi="Times New Roman" w:cs="Times New Roman" w:hint="eastAsia"/>
                <w:color w:val="000000"/>
                <w:spacing w:val="-14"/>
                <w:sz w:val="28"/>
                <w:szCs w:val="28"/>
              </w:rPr>
              <w:t>電表</w:t>
            </w:r>
            <w:r w:rsidRPr="006D5DC2">
              <w:rPr>
                <w:rFonts w:ascii="Times New Roman" w:hAnsi="Times New Roman" w:cs="Times New Roman" w:hint="eastAsia"/>
                <w:color w:val="000000"/>
                <w:spacing w:val="-14"/>
                <w:sz w:val="28"/>
                <w:szCs w:val="28"/>
              </w:rPr>
              <w:t>1</w:t>
            </w:r>
            <w:r w:rsidR="009529D5" w:rsidRPr="006D5DC2">
              <w:rPr>
                <w:rFonts w:ascii="Times New Roman" w:hAnsi="Times New Roman" w:cs="Times New Roman" w:hint="eastAsia"/>
                <w:color w:val="000000"/>
                <w:spacing w:val="-14"/>
                <w:sz w:val="28"/>
                <w:szCs w:val="28"/>
              </w:rPr>
              <w:t>,</w:t>
            </w:r>
            <w:r w:rsidRPr="006D5DC2">
              <w:rPr>
                <w:rFonts w:ascii="Times New Roman" w:hAnsi="Times New Roman" w:cs="Times New Roman" w:hint="eastAsia"/>
                <w:color w:val="000000"/>
                <w:spacing w:val="-14"/>
                <w:sz w:val="28"/>
                <w:szCs w:val="28"/>
              </w:rPr>
              <w:t>200</w:t>
            </w:r>
            <w:r w:rsidRPr="006D5DC2">
              <w:rPr>
                <w:rFonts w:ascii="Times New Roman" w:hAnsi="Times New Roman" w:cs="Times New Roman" w:hint="eastAsia"/>
                <w:color w:val="000000"/>
                <w:spacing w:val="-14"/>
                <w:sz w:val="28"/>
                <w:szCs w:val="28"/>
              </w:rPr>
              <w:t>具</w:t>
            </w:r>
          </w:p>
          <w:p w:rsidR="00E90979" w:rsidRPr="006D5DC2" w:rsidRDefault="00E90979" w:rsidP="00E90979">
            <w:pPr>
              <w:spacing w:line="0" w:lineRule="atLeast"/>
              <w:rPr>
                <w:rFonts w:ascii="Times New Roman" w:hAnsi="Times New Roman" w:cs="Times New Roman"/>
                <w:color w:val="000000"/>
                <w:spacing w:val="-14"/>
                <w:sz w:val="28"/>
                <w:szCs w:val="28"/>
              </w:rPr>
            </w:pPr>
            <w:r w:rsidRPr="006D5DC2">
              <w:rPr>
                <w:rFonts w:ascii="Times New Roman" w:hAnsi="Times New Roman" w:cs="Times New Roman" w:hint="eastAsia"/>
                <w:color w:val="000000"/>
                <w:spacing w:val="-14"/>
                <w:sz w:val="28"/>
                <w:szCs w:val="28"/>
              </w:rPr>
              <w:t>集中器</w:t>
            </w:r>
            <w:r w:rsidRPr="006D5DC2">
              <w:rPr>
                <w:rFonts w:ascii="Times New Roman" w:hAnsi="Times New Roman" w:cs="Times New Roman" w:hint="eastAsia"/>
                <w:color w:val="000000"/>
                <w:spacing w:val="-14"/>
                <w:sz w:val="28"/>
                <w:szCs w:val="28"/>
              </w:rPr>
              <w:t>34</w:t>
            </w:r>
            <w:r w:rsidRPr="006D5DC2">
              <w:rPr>
                <w:rFonts w:ascii="Times New Roman" w:hAnsi="Times New Roman" w:cs="Times New Roman" w:hint="eastAsia"/>
                <w:color w:val="000000"/>
                <w:spacing w:val="-14"/>
                <w:sz w:val="28"/>
                <w:szCs w:val="28"/>
              </w:rPr>
              <w:t>具</w:t>
            </w:r>
          </w:p>
        </w:tc>
      </w:tr>
      <w:tr w:rsidR="00E90979" w:rsidRPr="006D5DC2" w:rsidTr="00E90979">
        <w:tc>
          <w:tcPr>
            <w:tcW w:w="2156" w:type="dxa"/>
            <w:vAlign w:val="center"/>
          </w:tcPr>
          <w:p w:rsidR="00E90979" w:rsidRPr="006D5DC2" w:rsidRDefault="00E90979" w:rsidP="002B2410">
            <w:pPr>
              <w:spacing w:line="0" w:lineRule="atLeast"/>
              <w:jc w:val="center"/>
              <w:rPr>
                <w:rFonts w:ascii="Times New Roman" w:hAnsi="Times New Roman" w:cs="Times New Roman"/>
                <w:color w:val="000000"/>
                <w:spacing w:val="-14"/>
                <w:sz w:val="28"/>
                <w:szCs w:val="28"/>
              </w:rPr>
            </w:pPr>
            <w:r w:rsidRPr="006D5DC2">
              <w:rPr>
                <w:rFonts w:ascii="Times New Roman" w:hAnsi="Times New Roman" w:cs="Times New Roman" w:hint="eastAsia"/>
                <w:color w:val="000000"/>
                <w:spacing w:val="-14"/>
                <w:sz w:val="28"/>
                <w:szCs w:val="28"/>
              </w:rPr>
              <w:t>初驗日期</w:t>
            </w:r>
          </w:p>
        </w:tc>
        <w:tc>
          <w:tcPr>
            <w:tcW w:w="2729" w:type="dxa"/>
          </w:tcPr>
          <w:p w:rsidR="00E90979" w:rsidRPr="006D5DC2" w:rsidRDefault="00E90979" w:rsidP="00E90979">
            <w:pPr>
              <w:spacing w:line="0" w:lineRule="atLeast"/>
              <w:rPr>
                <w:rFonts w:ascii="Times New Roman" w:hAnsi="Times New Roman" w:cs="Times New Roman"/>
                <w:color w:val="000000"/>
                <w:spacing w:val="-14"/>
                <w:sz w:val="28"/>
                <w:szCs w:val="28"/>
              </w:rPr>
            </w:pPr>
            <w:r w:rsidRPr="006D5DC2">
              <w:rPr>
                <w:rFonts w:ascii="Times New Roman" w:hAnsi="Times New Roman" w:cs="Times New Roman"/>
                <w:color w:val="000000"/>
                <w:spacing w:val="-14"/>
                <w:sz w:val="28"/>
                <w:szCs w:val="28"/>
              </w:rPr>
              <w:t>104</w:t>
            </w:r>
            <w:r w:rsidRPr="006D5DC2">
              <w:rPr>
                <w:rFonts w:ascii="Times New Roman" w:hAnsi="Times New Roman" w:cs="Times New Roman" w:hint="eastAsia"/>
                <w:color w:val="000000"/>
                <w:spacing w:val="-14"/>
                <w:sz w:val="28"/>
                <w:szCs w:val="28"/>
              </w:rPr>
              <w:t>年</w:t>
            </w:r>
            <w:r w:rsidRPr="006D5DC2">
              <w:rPr>
                <w:rFonts w:ascii="Times New Roman" w:hAnsi="Times New Roman" w:cs="Times New Roman"/>
                <w:color w:val="000000"/>
                <w:spacing w:val="-14"/>
                <w:sz w:val="28"/>
                <w:szCs w:val="28"/>
              </w:rPr>
              <w:t>12</w:t>
            </w:r>
            <w:r w:rsidRPr="006D5DC2">
              <w:rPr>
                <w:rFonts w:ascii="Times New Roman" w:hAnsi="Times New Roman" w:cs="Times New Roman" w:hint="eastAsia"/>
                <w:color w:val="000000"/>
                <w:spacing w:val="-14"/>
                <w:sz w:val="28"/>
                <w:szCs w:val="28"/>
              </w:rPr>
              <w:t>月</w:t>
            </w:r>
            <w:r w:rsidRPr="006D5DC2">
              <w:rPr>
                <w:rFonts w:ascii="Times New Roman" w:hAnsi="Times New Roman" w:cs="Times New Roman"/>
                <w:color w:val="000000"/>
                <w:spacing w:val="-14"/>
                <w:sz w:val="28"/>
                <w:szCs w:val="28"/>
              </w:rPr>
              <w:t>4</w:t>
            </w:r>
            <w:r w:rsidRPr="006D5DC2">
              <w:rPr>
                <w:rFonts w:ascii="Times New Roman" w:hAnsi="Times New Roman" w:cs="Times New Roman" w:hint="eastAsia"/>
                <w:color w:val="000000"/>
                <w:spacing w:val="-14"/>
                <w:sz w:val="28"/>
                <w:szCs w:val="28"/>
              </w:rPr>
              <w:t>日</w:t>
            </w:r>
          </w:p>
        </w:tc>
        <w:tc>
          <w:tcPr>
            <w:tcW w:w="2730" w:type="dxa"/>
          </w:tcPr>
          <w:p w:rsidR="00E90979" w:rsidRPr="006D5DC2" w:rsidRDefault="00E90979" w:rsidP="00E90979">
            <w:pPr>
              <w:spacing w:line="0" w:lineRule="atLeast"/>
              <w:rPr>
                <w:rFonts w:ascii="Times New Roman" w:hAnsi="Times New Roman" w:cs="Times New Roman"/>
                <w:color w:val="000000"/>
                <w:spacing w:val="-14"/>
                <w:sz w:val="28"/>
                <w:szCs w:val="28"/>
              </w:rPr>
            </w:pPr>
            <w:r w:rsidRPr="006D5DC2">
              <w:rPr>
                <w:rFonts w:ascii="Times New Roman" w:hAnsi="Times New Roman" w:cs="Times New Roman"/>
                <w:color w:val="000000"/>
                <w:spacing w:val="-14"/>
                <w:sz w:val="28"/>
                <w:szCs w:val="28"/>
              </w:rPr>
              <w:t>104</w:t>
            </w:r>
            <w:r w:rsidRPr="006D5DC2">
              <w:rPr>
                <w:rFonts w:ascii="Times New Roman" w:hAnsi="Times New Roman" w:cs="Times New Roman" w:hint="eastAsia"/>
                <w:color w:val="000000"/>
                <w:spacing w:val="-14"/>
                <w:sz w:val="28"/>
                <w:szCs w:val="28"/>
              </w:rPr>
              <w:t>年</w:t>
            </w:r>
            <w:r w:rsidRPr="006D5DC2">
              <w:rPr>
                <w:rFonts w:ascii="Times New Roman" w:hAnsi="Times New Roman" w:cs="Times New Roman"/>
                <w:color w:val="000000"/>
                <w:spacing w:val="-14"/>
                <w:sz w:val="28"/>
                <w:szCs w:val="28"/>
              </w:rPr>
              <w:t>12</w:t>
            </w:r>
            <w:r w:rsidRPr="006D5DC2">
              <w:rPr>
                <w:rFonts w:ascii="Times New Roman" w:hAnsi="Times New Roman" w:cs="Times New Roman" w:hint="eastAsia"/>
                <w:color w:val="000000"/>
                <w:spacing w:val="-14"/>
                <w:sz w:val="28"/>
                <w:szCs w:val="28"/>
              </w:rPr>
              <w:t>月</w:t>
            </w:r>
            <w:r w:rsidRPr="006D5DC2">
              <w:rPr>
                <w:rFonts w:ascii="Times New Roman" w:hAnsi="Times New Roman" w:cs="Times New Roman"/>
                <w:color w:val="000000"/>
                <w:spacing w:val="-14"/>
                <w:sz w:val="28"/>
                <w:szCs w:val="28"/>
              </w:rPr>
              <w:t>10</w:t>
            </w:r>
            <w:r w:rsidRPr="006D5DC2">
              <w:rPr>
                <w:rFonts w:ascii="Times New Roman" w:hAnsi="Times New Roman" w:cs="Times New Roman" w:hint="eastAsia"/>
                <w:color w:val="000000"/>
                <w:spacing w:val="-14"/>
                <w:sz w:val="28"/>
                <w:szCs w:val="28"/>
              </w:rPr>
              <w:t>日</w:t>
            </w:r>
          </w:p>
        </w:tc>
      </w:tr>
      <w:tr w:rsidR="00E90979" w:rsidRPr="006D5DC2" w:rsidTr="00E90979">
        <w:tc>
          <w:tcPr>
            <w:tcW w:w="2156" w:type="dxa"/>
            <w:vAlign w:val="center"/>
          </w:tcPr>
          <w:p w:rsidR="00E90979" w:rsidRPr="006D5DC2" w:rsidRDefault="00E90979" w:rsidP="00E90979">
            <w:pPr>
              <w:spacing w:line="0" w:lineRule="atLeast"/>
              <w:jc w:val="center"/>
              <w:rPr>
                <w:rFonts w:ascii="Times New Roman" w:hAnsi="Times New Roman" w:cs="Times New Roman"/>
                <w:color w:val="000000"/>
                <w:spacing w:val="-14"/>
                <w:sz w:val="28"/>
                <w:szCs w:val="28"/>
              </w:rPr>
            </w:pPr>
            <w:r w:rsidRPr="006D5DC2">
              <w:rPr>
                <w:rFonts w:ascii="Times New Roman" w:hAnsi="Times New Roman" w:cs="Times New Roman" w:hint="eastAsia"/>
                <w:color w:val="000000"/>
                <w:spacing w:val="-14"/>
                <w:sz w:val="28"/>
                <w:szCs w:val="28"/>
              </w:rPr>
              <w:t>初驗結果</w:t>
            </w:r>
          </w:p>
          <w:p w:rsidR="00727E73" w:rsidRPr="006D5DC2" w:rsidRDefault="000C1E33" w:rsidP="00E90979">
            <w:pPr>
              <w:spacing w:line="0" w:lineRule="atLeast"/>
              <w:jc w:val="center"/>
              <w:rPr>
                <w:rFonts w:ascii="Times New Roman" w:hAnsi="Times New Roman" w:cs="Times New Roman"/>
                <w:color w:val="000000"/>
                <w:spacing w:val="-14"/>
                <w:sz w:val="28"/>
                <w:szCs w:val="28"/>
              </w:rPr>
            </w:pPr>
            <w:r w:rsidRPr="006D5DC2">
              <w:rPr>
                <w:rFonts w:ascii="Times New Roman" w:hAnsi="Times New Roman" w:cs="Times New Roman" w:hint="eastAsia"/>
                <w:color w:val="000000"/>
                <w:spacing w:val="-14"/>
                <w:sz w:val="28"/>
                <w:szCs w:val="28"/>
              </w:rPr>
              <w:t>(</w:t>
            </w:r>
            <w:r w:rsidR="00727E73" w:rsidRPr="006D5DC2">
              <w:rPr>
                <w:rFonts w:ascii="Times New Roman" w:hAnsi="Times New Roman" w:cs="Times New Roman" w:hint="eastAsia"/>
                <w:color w:val="000000"/>
                <w:spacing w:val="-14"/>
                <w:sz w:val="28"/>
                <w:szCs w:val="28"/>
              </w:rPr>
              <w:t>特性試驗</w:t>
            </w:r>
            <w:r w:rsidRPr="006D5DC2">
              <w:rPr>
                <w:rFonts w:ascii="Times New Roman" w:hAnsi="Times New Roman" w:cs="Times New Roman" w:hint="eastAsia"/>
                <w:color w:val="000000"/>
                <w:spacing w:val="-14"/>
                <w:sz w:val="28"/>
                <w:szCs w:val="28"/>
              </w:rPr>
              <w:t>)</w:t>
            </w:r>
          </w:p>
        </w:tc>
        <w:tc>
          <w:tcPr>
            <w:tcW w:w="2729" w:type="dxa"/>
          </w:tcPr>
          <w:p w:rsidR="00E90979" w:rsidRPr="006D5DC2" w:rsidRDefault="00E90979" w:rsidP="00727E73">
            <w:pPr>
              <w:spacing w:line="0" w:lineRule="atLeast"/>
              <w:rPr>
                <w:rFonts w:ascii="Times New Roman" w:hAnsi="Times New Roman" w:cs="Times New Roman"/>
                <w:b/>
                <w:color w:val="000000"/>
                <w:spacing w:val="-14"/>
                <w:sz w:val="28"/>
                <w:szCs w:val="28"/>
              </w:rPr>
            </w:pPr>
            <w:r w:rsidRPr="006D5DC2">
              <w:rPr>
                <w:rFonts w:ascii="Times New Roman" w:hAnsi="Times New Roman" w:cs="Times New Roman" w:hint="eastAsia"/>
                <w:b/>
                <w:color w:val="000000"/>
                <w:spacing w:val="-14"/>
                <w:sz w:val="28"/>
                <w:szCs w:val="28"/>
              </w:rPr>
              <w:t>電表</w:t>
            </w:r>
            <w:r w:rsidRPr="006D5DC2">
              <w:rPr>
                <w:rFonts w:ascii="Times New Roman" w:hAnsi="Times New Roman" w:cs="Times New Roman" w:hint="eastAsia"/>
                <w:b/>
                <w:color w:val="000000"/>
                <w:spacing w:val="-14"/>
                <w:sz w:val="28"/>
                <w:szCs w:val="28"/>
              </w:rPr>
              <w:t>600</w:t>
            </w:r>
            <w:r w:rsidRPr="006D5DC2">
              <w:rPr>
                <w:rFonts w:ascii="Times New Roman" w:hAnsi="Times New Roman" w:cs="Times New Roman" w:hint="eastAsia"/>
                <w:b/>
                <w:color w:val="000000"/>
                <w:spacing w:val="-14"/>
                <w:sz w:val="28"/>
                <w:szCs w:val="28"/>
              </w:rPr>
              <w:t>具及集中器</w:t>
            </w:r>
            <w:r w:rsidRPr="006D5DC2">
              <w:rPr>
                <w:rFonts w:ascii="Times New Roman" w:hAnsi="Times New Roman" w:cs="Times New Roman" w:hint="eastAsia"/>
                <w:b/>
                <w:color w:val="000000"/>
                <w:spacing w:val="-14"/>
                <w:sz w:val="28"/>
                <w:szCs w:val="28"/>
              </w:rPr>
              <w:t>2</w:t>
            </w:r>
            <w:r w:rsidRPr="006D5DC2">
              <w:rPr>
                <w:rFonts w:ascii="Times New Roman" w:hAnsi="Times New Roman" w:cs="Times New Roman" w:hint="eastAsia"/>
                <w:b/>
                <w:color w:val="000000"/>
                <w:spacing w:val="-14"/>
                <w:sz w:val="28"/>
                <w:szCs w:val="28"/>
              </w:rPr>
              <w:t>具</w:t>
            </w:r>
            <w:r w:rsidR="00727E73" w:rsidRPr="006D5DC2">
              <w:rPr>
                <w:rFonts w:ascii="Times New Roman" w:hAnsi="Times New Roman" w:cs="Times New Roman" w:hint="eastAsia"/>
                <w:b/>
                <w:color w:val="000000"/>
                <w:spacing w:val="-14"/>
                <w:sz w:val="28"/>
                <w:szCs w:val="28"/>
              </w:rPr>
              <w:t>，</w:t>
            </w:r>
            <w:r w:rsidRPr="006D5DC2">
              <w:rPr>
                <w:rFonts w:ascii="Times New Roman" w:hAnsi="Times New Roman" w:cs="Times New Roman" w:hint="eastAsia"/>
                <w:b/>
                <w:color w:val="000000"/>
                <w:spacing w:val="-14"/>
                <w:sz w:val="28"/>
                <w:szCs w:val="28"/>
              </w:rPr>
              <w:t>均不合格</w:t>
            </w:r>
          </w:p>
        </w:tc>
        <w:tc>
          <w:tcPr>
            <w:tcW w:w="2730" w:type="dxa"/>
          </w:tcPr>
          <w:p w:rsidR="00E90979" w:rsidRPr="006D5DC2" w:rsidRDefault="00E90979" w:rsidP="00E90979">
            <w:pPr>
              <w:spacing w:line="0" w:lineRule="atLeast"/>
              <w:rPr>
                <w:rFonts w:ascii="Times New Roman" w:hAnsi="Times New Roman" w:cs="Times New Roman"/>
                <w:color w:val="000000"/>
                <w:spacing w:val="-14"/>
                <w:sz w:val="28"/>
                <w:szCs w:val="28"/>
              </w:rPr>
            </w:pPr>
            <w:r w:rsidRPr="006D5DC2">
              <w:rPr>
                <w:rFonts w:ascii="Times New Roman" w:hAnsi="Times New Roman" w:cs="Times New Roman" w:hint="eastAsia"/>
                <w:color w:val="000000"/>
                <w:spacing w:val="-14"/>
                <w:sz w:val="28"/>
                <w:szCs w:val="28"/>
              </w:rPr>
              <w:t>電表</w:t>
            </w:r>
            <w:r w:rsidRPr="006D5DC2">
              <w:rPr>
                <w:rFonts w:ascii="Times New Roman" w:hAnsi="Times New Roman" w:cs="Times New Roman" w:hint="eastAsia"/>
                <w:color w:val="000000"/>
                <w:spacing w:val="-14"/>
                <w:sz w:val="28"/>
                <w:szCs w:val="28"/>
              </w:rPr>
              <w:t>500</w:t>
            </w:r>
            <w:r w:rsidRPr="006D5DC2">
              <w:rPr>
                <w:rFonts w:ascii="Times New Roman" w:hAnsi="Times New Roman" w:cs="Times New Roman" w:hint="eastAsia"/>
                <w:color w:val="000000"/>
                <w:spacing w:val="-14"/>
                <w:sz w:val="28"/>
                <w:szCs w:val="28"/>
              </w:rPr>
              <w:t>具合格、</w:t>
            </w:r>
            <w:r w:rsidRPr="006D5DC2">
              <w:rPr>
                <w:rFonts w:ascii="Times New Roman" w:hAnsi="Times New Roman" w:cs="Times New Roman" w:hint="eastAsia"/>
                <w:b/>
                <w:color w:val="000000"/>
                <w:spacing w:val="-14"/>
                <w:sz w:val="28"/>
                <w:szCs w:val="28"/>
              </w:rPr>
              <w:t>700</w:t>
            </w:r>
            <w:r w:rsidRPr="006D5DC2">
              <w:rPr>
                <w:rFonts w:ascii="Times New Roman" w:hAnsi="Times New Roman" w:cs="Times New Roman" w:hint="eastAsia"/>
                <w:b/>
                <w:color w:val="000000"/>
                <w:spacing w:val="-14"/>
                <w:sz w:val="28"/>
                <w:szCs w:val="28"/>
              </w:rPr>
              <w:t>具不合格，集中器</w:t>
            </w:r>
            <w:r w:rsidRPr="006D5DC2">
              <w:rPr>
                <w:rFonts w:ascii="Times New Roman" w:hAnsi="Times New Roman" w:cs="Times New Roman" w:hint="eastAsia"/>
                <w:b/>
                <w:color w:val="000000"/>
                <w:spacing w:val="-14"/>
                <w:sz w:val="28"/>
                <w:szCs w:val="28"/>
              </w:rPr>
              <w:t>34</w:t>
            </w:r>
            <w:r w:rsidRPr="006D5DC2">
              <w:rPr>
                <w:rFonts w:ascii="Times New Roman" w:hAnsi="Times New Roman" w:cs="Times New Roman" w:hint="eastAsia"/>
                <w:b/>
                <w:color w:val="000000"/>
                <w:spacing w:val="-14"/>
                <w:sz w:val="28"/>
                <w:szCs w:val="28"/>
              </w:rPr>
              <w:t>具不合格</w:t>
            </w:r>
          </w:p>
        </w:tc>
      </w:tr>
      <w:tr w:rsidR="00E90979" w:rsidRPr="006D5DC2" w:rsidTr="00E90979">
        <w:tc>
          <w:tcPr>
            <w:tcW w:w="2156" w:type="dxa"/>
            <w:vAlign w:val="center"/>
          </w:tcPr>
          <w:p w:rsidR="00E90979" w:rsidRPr="006D5DC2" w:rsidRDefault="00E90979" w:rsidP="00E90979">
            <w:pPr>
              <w:spacing w:line="0" w:lineRule="atLeast"/>
              <w:jc w:val="center"/>
              <w:rPr>
                <w:rFonts w:ascii="Times New Roman" w:hAnsi="Times New Roman" w:cs="Times New Roman"/>
                <w:color w:val="000000"/>
                <w:spacing w:val="-14"/>
                <w:sz w:val="28"/>
                <w:szCs w:val="28"/>
              </w:rPr>
            </w:pPr>
            <w:r w:rsidRPr="006D5DC2">
              <w:rPr>
                <w:rFonts w:ascii="Times New Roman" w:hAnsi="Times New Roman" w:cs="Times New Roman" w:hint="eastAsia"/>
                <w:color w:val="000000"/>
                <w:spacing w:val="-14"/>
                <w:sz w:val="28"/>
                <w:szCs w:val="28"/>
              </w:rPr>
              <w:t>複驗</w:t>
            </w:r>
            <w:r w:rsidRPr="006D5DC2">
              <w:rPr>
                <w:rFonts w:hAnsi="標楷體" w:cs="新細明體" w:hint="eastAsia"/>
                <w:color w:val="000000" w:themeColor="text1"/>
                <w:spacing w:val="-14"/>
                <w:kern w:val="0"/>
                <w:sz w:val="28"/>
                <w:szCs w:val="28"/>
              </w:rPr>
              <w:t>日期</w:t>
            </w:r>
          </w:p>
        </w:tc>
        <w:tc>
          <w:tcPr>
            <w:tcW w:w="2729" w:type="dxa"/>
          </w:tcPr>
          <w:p w:rsidR="00E90979" w:rsidRPr="006D5DC2" w:rsidRDefault="00E90979" w:rsidP="00E90979">
            <w:pPr>
              <w:spacing w:line="0" w:lineRule="atLeast"/>
              <w:rPr>
                <w:rFonts w:ascii="Times New Roman" w:hAnsi="Times New Roman" w:cs="Times New Roman"/>
                <w:color w:val="000000"/>
                <w:spacing w:val="-14"/>
                <w:sz w:val="28"/>
                <w:szCs w:val="28"/>
              </w:rPr>
            </w:pPr>
            <w:r w:rsidRPr="006D5DC2">
              <w:rPr>
                <w:rFonts w:ascii="Times New Roman" w:hAnsi="Times New Roman" w:cs="Times New Roman"/>
                <w:color w:val="000000"/>
                <w:spacing w:val="-14"/>
                <w:sz w:val="28"/>
                <w:szCs w:val="28"/>
              </w:rPr>
              <w:t>104</w:t>
            </w:r>
            <w:r w:rsidRPr="006D5DC2">
              <w:rPr>
                <w:rFonts w:ascii="Times New Roman" w:hAnsi="Times New Roman" w:cs="Times New Roman" w:hint="eastAsia"/>
                <w:color w:val="000000"/>
                <w:spacing w:val="-14"/>
                <w:sz w:val="28"/>
                <w:szCs w:val="28"/>
              </w:rPr>
              <w:t>年</w:t>
            </w:r>
            <w:r w:rsidRPr="006D5DC2">
              <w:rPr>
                <w:rFonts w:ascii="Times New Roman" w:hAnsi="Times New Roman" w:cs="Times New Roman"/>
                <w:color w:val="000000"/>
                <w:spacing w:val="-14"/>
                <w:sz w:val="28"/>
                <w:szCs w:val="28"/>
              </w:rPr>
              <w:t>12</w:t>
            </w:r>
            <w:r w:rsidRPr="006D5DC2">
              <w:rPr>
                <w:rFonts w:ascii="Times New Roman" w:hAnsi="Times New Roman" w:cs="Times New Roman" w:hint="eastAsia"/>
                <w:color w:val="000000"/>
                <w:spacing w:val="-14"/>
                <w:sz w:val="28"/>
                <w:szCs w:val="28"/>
              </w:rPr>
              <w:t>月</w:t>
            </w:r>
            <w:r w:rsidRPr="006D5DC2">
              <w:rPr>
                <w:rFonts w:ascii="Times New Roman" w:hAnsi="Times New Roman" w:cs="Times New Roman"/>
                <w:color w:val="000000"/>
                <w:spacing w:val="-14"/>
                <w:sz w:val="28"/>
                <w:szCs w:val="28"/>
              </w:rPr>
              <w:t>21</w:t>
            </w:r>
            <w:r w:rsidRPr="006D5DC2">
              <w:rPr>
                <w:rFonts w:ascii="Times New Roman" w:hAnsi="Times New Roman" w:cs="Times New Roman" w:hint="eastAsia"/>
                <w:color w:val="000000"/>
                <w:spacing w:val="-14"/>
                <w:sz w:val="28"/>
                <w:szCs w:val="28"/>
              </w:rPr>
              <w:t>日</w:t>
            </w:r>
          </w:p>
        </w:tc>
        <w:tc>
          <w:tcPr>
            <w:tcW w:w="2730" w:type="dxa"/>
          </w:tcPr>
          <w:p w:rsidR="00E90979" w:rsidRPr="006D5DC2" w:rsidRDefault="00E90979" w:rsidP="00E90979">
            <w:pPr>
              <w:spacing w:line="0" w:lineRule="atLeast"/>
              <w:rPr>
                <w:rFonts w:ascii="Times New Roman" w:hAnsi="Times New Roman" w:cs="Times New Roman"/>
                <w:color w:val="000000"/>
                <w:spacing w:val="-14"/>
                <w:sz w:val="28"/>
                <w:szCs w:val="28"/>
              </w:rPr>
            </w:pPr>
            <w:r w:rsidRPr="006D5DC2">
              <w:rPr>
                <w:rFonts w:ascii="Times New Roman" w:hAnsi="Times New Roman" w:cs="Times New Roman"/>
                <w:color w:val="000000"/>
                <w:spacing w:val="-14"/>
                <w:sz w:val="28"/>
                <w:szCs w:val="28"/>
              </w:rPr>
              <w:t>105</w:t>
            </w:r>
            <w:r w:rsidRPr="006D5DC2">
              <w:rPr>
                <w:rFonts w:ascii="Times New Roman" w:hAnsi="Times New Roman" w:cs="Times New Roman" w:hint="eastAsia"/>
                <w:color w:val="000000"/>
                <w:spacing w:val="-14"/>
                <w:sz w:val="28"/>
                <w:szCs w:val="28"/>
              </w:rPr>
              <w:t>年</w:t>
            </w:r>
            <w:r w:rsidRPr="006D5DC2">
              <w:rPr>
                <w:rFonts w:ascii="Times New Roman" w:hAnsi="Times New Roman" w:cs="Times New Roman"/>
                <w:color w:val="000000"/>
                <w:spacing w:val="-14"/>
                <w:sz w:val="28"/>
                <w:szCs w:val="28"/>
              </w:rPr>
              <w:t>1</w:t>
            </w:r>
            <w:r w:rsidRPr="006D5DC2">
              <w:rPr>
                <w:rFonts w:ascii="Times New Roman" w:hAnsi="Times New Roman" w:cs="Times New Roman" w:hint="eastAsia"/>
                <w:color w:val="000000"/>
                <w:spacing w:val="-14"/>
                <w:sz w:val="28"/>
                <w:szCs w:val="28"/>
              </w:rPr>
              <w:t>月</w:t>
            </w:r>
            <w:r w:rsidRPr="006D5DC2">
              <w:rPr>
                <w:rFonts w:ascii="Times New Roman" w:hAnsi="Times New Roman" w:cs="Times New Roman"/>
                <w:color w:val="000000"/>
                <w:spacing w:val="-14"/>
                <w:sz w:val="28"/>
                <w:szCs w:val="28"/>
              </w:rPr>
              <w:t>25</w:t>
            </w:r>
            <w:r w:rsidRPr="006D5DC2">
              <w:rPr>
                <w:rFonts w:ascii="Times New Roman" w:hAnsi="Times New Roman" w:cs="Times New Roman" w:hint="eastAsia"/>
                <w:color w:val="000000"/>
                <w:spacing w:val="-14"/>
                <w:sz w:val="28"/>
                <w:szCs w:val="28"/>
              </w:rPr>
              <w:t>日</w:t>
            </w:r>
          </w:p>
        </w:tc>
      </w:tr>
      <w:tr w:rsidR="00E90979" w:rsidRPr="006D5DC2" w:rsidTr="00E90979">
        <w:tc>
          <w:tcPr>
            <w:tcW w:w="2156" w:type="dxa"/>
            <w:vAlign w:val="center"/>
          </w:tcPr>
          <w:p w:rsidR="00E90979" w:rsidRPr="006D5DC2" w:rsidRDefault="00E90979" w:rsidP="00E90979">
            <w:pPr>
              <w:spacing w:line="0" w:lineRule="atLeast"/>
              <w:jc w:val="center"/>
              <w:rPr>
                <w:rFonts w:ascii="Times New Roman" w:hAnsi="Times New Roman" w:cs="Times New Roman"/>
                <w:color w:val="000000"/>
                <w:spacing w:val="-14"/>
                <w:sz w:val="28"/>
                <w:szCs w:val="28"/>
              </w:rPr>
            </w:pPr>
            <w:r w:rsidRPr="006D5DC2">
              <w:rPr>
                <w:rFonts w:ascii="Times New Roman" w:hAnsi="Times New Roman" w:cs="Times New Roman" w:hint="eastAsia"/>
                <w:color w:val="000000"/>
                <w:spacing w:val="-14"/>
                <w:sz w:val="28"/>
                <w:szCs w:val="28"/>
              </w:rPr>
              <w:t>複驗結果</w:t>
            </w:r>
          </w:p>
          <w:p w:rsidR="00727E73" w:rsidRPr="006D5DC2" w:rsidRDefault="000C1E33" w:rsidP="00E90979">
            <w:pPr>
              <w:spacing w:line="0" w:lineRule="atLeast"/>
              <w:jc w:val="center"/>
              <w:rPr>
                <w:rFonts w:ascii="Times New Roman" w:hAnsi="Times New Roman" w:cs="Times New Roman"/>
                <w:color w:val="000000"/>
                <w:spacing w:val="-14"/>
                <w:sz w:val="28"/>
                <w:szCs w:val="28"/>
              </w:rPr>
            </w:pPr>
            <w:r w:rsidRPr="006D5DC2">
              <w:rPr>
                <w:rFonts w:ascii="Times New Roman" w:hAnsi="Times New Roman" w:cs="Times New Roman" w:hint="eastAsia"/>
                <w:color w:val="000000"/>
                <w:spacing w:val="-14"/>
                <w:sz w:val="28"/>
                <w:szCs w:val="28"/>
              </w:rPr>
              <w:t>(</w:t>
            </w:r>
            <w:r w:rsidR="00727E73" w:rsidRPr="006D5DC2">
              <w:rPr>
                <w:rFonts w:ascii="Times New Roman" w:hAnsi="Times New Roman" w:cs="Times New Roman" w:hint="eastAsia"/>
                <w:color w:val="000000"/>
                <w:spacing w:val="-14"/>
                <w:sz w:val="28"/>
                <w:szCs w:val="28"/>
              </w:rPr>
              <w:t>特性試驗</w:t>
            </w:r>
            <w:r w:rsidRPr="006D5DC2">
              <w:rPr>
                <w:rFonts w:ascii="Times New Roman" w:hAnsi="Times New Roman" w:cs="Times New Roman" w:hint="eastAsia"/>
                <w:color w:val="000000"/>
                <w:spacing w:val="-14"/>
                <w:sz w:val="28"/>
                <w:szCs w:val="28"/>
              </w:rPr>
              <w:t>)</w:t>
            </w:r>
          </w:p>
        </w:tc>
        <w:tc>
          <w:tcPr>
            <w:tcW w:w="2729" w:type="dxa"/>
          </w:tcPr>
          <w:p w:rsidR="00E90979" w:rsidRPr="006D5DC2" w:rsidRDefault="00E90979" w:rsidP="00E90979">
            <w:pPr>
              <w:spacing w:line="0" w:lineRule="atLeast"/>
              <w:rPr>
                <w:rFonts w:ascii="Times New Roman" w:hAnsi="Times New Roman" w:cs="Times New Roman"/>
                <w:color w:val="000000"/>
                <w:spacing w:val="-14"/>
                <w:sz w:val="28"/>
                <w:szCs w:val="28"/>
              </w:rPr>
            </w:pPr>
            <w:r w:rsidRPr="006D5DC2">
              <w:rPr>
                <w:rFonts w:ascii="Times New Roman" w:hAnsi="Times New Roman" w:cs="Times New Roman" w:hint="eastAsia"/>
                <w:color w:val="000000"/>
                <w:spacing w:val="-14"/>
                <w:sz w:val="28"/>
                <w:szCs w:val="28"/>
              </w:rPr>
              <w:t>電表</w:t>
            </w:r>
            <w:r w:rsidRPr="006D5DC2">
              <w:rPr>
                <w:rFonts w:ascii="Times New Roman" w:hAnsi="Times New Roman" w:cs="Times New Roman" w:hint="eastAsia"/>
                <w:color w:val="000000"/>
                <w:spacing w:val="-14"/>
                <w:sz w:val="28"/>
                <w:szCs w:val="28"/>
              </w:rPr>
              <w:t>100</w:t>
            </w:r>
            <w:r w:rsidRPr="006D5DC2">
              <w:rPr>
                <w:rFonts w:ascii="Times New Roman" w:hAnsi="Times New Roman" w:cs="Times New Roman" w:hint="eastAsia"/>
                <w:color w:val="000000"/>
                <w:spacing w:val="-14"/>
                <w:sz w:val="28"/>
                <w:szCs w:val="28"/>
              </w:rPr>
              <w:t>具合格、</w:t>
            </w:r>
            <w:r w:rsidRPr="006D5DC2">
              <w:rPr>
                <w:rFonts w:ascii="Times New Roman" w:hAnsi="Times New Roman" w:cs="Times New Roman" w:hint="eastAsia"/>
                <w:b/>
                <w:color w:val="000000"/>
                <w:spacing w:val="-14"/>
                <w:sz w:val="28"/>
                <w:szCs w:val="28"/>
              </w:rPr>
              <w:t>500</w:t>
            </w:r>
            <w:r w:rsidRPr="006D5DC2">
              <w:rPr>
                <w:rFonts w:ascii="Times New Roman" w:hAnsi="Times New Roman" w:cs="Times New Roman" w:hint="eastAsia"/>
                <w:b/>
                <w:color w:val="000000"/>
                <w:spacing w:val="-14"/>
                <w:sz w:val="28"/>
                <w:szCs w:val="28"/>
              </w:rPr>
              <w:t>具不合格，集中器</w:t>
            </w:r>
            <w:r w:rsidRPr="006D5DC2">
              <w:rPr>
                <w:rFonts w:ascii="Times New Roman" w:hAnsi="Times New Roman" w:cs="Times New Roman" w:hint="eastAsia"/>
                <w:b/>
                <w:color w:val="000000"/>
                <w:spacing w:val="-14"/>
                <w:sz w:val="28"/>
                <w:szCs w:val="28"/>
              </w:rPr>
              <w:t>2</w:t>
            </w:r>
            <w:r w:rsidRPr="006D5DC2">
              <w:rPr>
                <w:rFonts w:ascii="Times New Roman" w:hAnsi="Times New Roman" w:cs="Times New Roman" w:hint="eastAsia"/>
                <w:b/>
                <w:color w:val="000000"/>
                <w:spacing w:val="-14"/>
                <w:sz w:val="28"/>
                <w:szCs w:val="28"/>
              </w:rPr>
              <w:t>具不合格</w:t>
            </w:r>
          </w:p>
        </w:tc>
        <w:tc>
          <w:tcPr>
            <w:tcW w:w="2730" w:type="dxa"/>
          </w:tcPr>
          <w:p w:rsidR="00E90979" w:rsidRPr="006D5DC2" w:rsidRDefault="00E90979" w:rsidP="00E90979">
            <w:pPr>
              <w:spacing w:line="0" w:lineRule="atLeast"/>
              <w:rPr>
                <w:rFonts w:ascii="Times New Roman" w:hAnsi="Times New Roman" w:cs="Times New Roman"/>
                <w:color w:val="000000"/>
                <w:spacing w:val="-14"/>
                <w:sz w:val="28"/>
                <w:szCs w:val="28"/>
              </w:rPr>
            </w:pPr>
            <w:r w:rsidRPr="006D5DC2">
              <w:rPr>
                <w:rFonts w:ascii="Times New Roman" w:hAnsi="Times New Roman" w:cs="Times New Roman" w:hint="eastAsia"/>
                <w:color w:val="000000"/>
                <w:spacing w:val="-14"/>
                <w:sz w:val="28"/>
                <w:szCs w:val="28"/>
              </w:rPr>
              <w:t>電表</w:t>
            </w:r>
            <w:r w:rsidRPr="006D5DC2">
              <w:rPr>
                <w:rFonts w:ascii="Times New Roman" w:hAnsi="Times New Roman" w:cs="Times New Roman" w:hint="eastAsia"/>
                <w:color w:val="000000"/>
                <w:spacing w:val="-14"/>
                <w:sz w:val="28"/>
                <w:szCs w:val="28"/>
              </w:rPr>
              <w:t>700</w:t>
            </w:r>
            <w:r w:rsidRPr="006D5DC2">
              <w:rPr>
                <w:rFonts w:ascii="Times New Roman" w:hAnsi="Times New Roman" w:cs="Times New Roman" w:hint="eastAsia"/>
                <w:color w:val="000000"/>
                <w:spacing w:val="-14"/>
                <w:sz w:val="28"/>
                <w:szCs w:val="28"/>
              </w:rPr>
              <w:t>具合格，集中器</w:t>
            </w:r>
            <w:r w:rsidRPr="006D5DC2">
              <w:rPr>
                <w:rFonts w:ascii="Times New Roman" w:hAnsi="Times New Roman" w:cs="Times New Roman" w:hint="eastAsia"/>
                <w:color w:val="000000"/>
                <w:spacing w:val="-14"/>
                <w:sz w:val="28"/>
                <w:szCs w:val="28"/>
              </w:rPr>
              <w:t>14</w:t>
            </w:r>
            <w:r w:rsidRPr="006D5DC2">
              <w:rPr>
                <w:rFonts w:ascii="Times New Roman" w:hAnsi="Times New Roman" w:cs="Times New Roman" w:hint="eastAsia"/>
                <w:color w:val="000000"/>
                <w:spacing w:val="-14"/>
                <w:sz w:val="28"/>
                <w:szCs w:val="28"/>
              </w:rPr>
              <w:t>具合格、</w:t>
            </w:r>
            <w:r w:rsidRPr="006D5DC2">
              <w:rPr>
                <w:rFonts w:ascii="Times New Roman" w:hAnsi="Times New Roman" w:cs="Times New Roman" w:hint="eastAsia"/>
                <w:b/>
                <w:color w:val="000000"/>
                <w:spacing w:val="-14"/>
                <w:sz w:val="28"/>
                <w:szCs w:val="28"/>
              </w:rPr>
              <w:t>20</w:t>
            </w:r>
            <w:r w:rsidRPr="006D5DC2">
              <w:rPr>
                <w:rFonts w:ascii="Times New Roman" w:hAnsi="Times New Roman" w:cs="Times New Roman" w:hint="eastAsia"/>
                <w:b/>
                <w:color w:val="000000"/>
                <w:spacing w:val="-14"/>
                <w:sz w:val="28"/>
                <w:szCs w:val="28"/>
              </w:rPr>
              <w:t>具不合格</w:t>
            </w:r>
          </w:p>
        </w:tc>
      </w:tr>
      <w:tr w:rsidR="00E90979" w:rsidRPr="006D5DC2" w:rsidTr="00E90979">
        <w:tc>
          <w:tcPr>
            <w:tcW w:w="2156" w:type="dxa"/>
            <w:vAlign w:val="center"/>
          </w:tcPr>
          <w:p w:rsidR="00E90979" w:rsidRPr="006D5DC2" w:rsidRDefault="00E90979" w:rsidP="00E90979">
            <w:pPr>
              <w:spacing w:line="0" w:lineRule="atLeast"/>
              <w:jc w:val="center"/>
              <w:rPr>
                <w:rFonts w:ascii="Times New Roman" w:hAnsi="Times New Roman" w:cs="Times New Roman"/>
                <w:color w:val="000000"/>
                <w:spacing w:val="-14"/>
                <w:sz w:val="28"/>
                <w:szCs w:val="28"/>
              </w:rPr>
            </w:pPr>
            <w:r w:rsidRPr="006D5DC2">
              <w:rPr>
                <w:rFonts w:ascii="Times New Roman" w:hAnsi="Times New Roman" w:cs="Times New Roman" w:hint="eastAsia"/>
                <w:color w:val="000000"/>
                <w:spacing w:val="-14"/>
                <w:sz w:val="28"/>
                <w:szCs w:val="28"/>
              </w:rPr>
              <w:t>減價收受</w:t>
            </w:r>
          </w:p>
          <w:p w:rsidR="00E90979" w:rsidRPr="006D5DC2" w:rsidRDefault="00E90979" w:rsidP="00E90979">
            <w:pPr>
              <w:spacing w:line="0" w:lineRule="atLeast"/>
              <w:jc w:val="center"/>
              <w:rPr>
                <w:rFonts w:ascii="Times New Roman" w:hAnsi="Times New Roman" w:cs="Times New Roman"/>
                <w:color w:val="000000"/>
                <w:spacing w:val="-14"/>
                <w:sz w:val="28"/>
                <w:szCs w:val="28"/>
              </w:rPr>
            </w:pPr>
            <w:r w:rsidRPr="006D5DC2">
              <w:rPr>
                <w:rFonts w:ascii="Times New Roman" w:hAnsi="Times New Roman" w:cs="Times New Roman" w:hint="eastAsia"/>
                <w:color w:val="000000"/>
                <w:spacing w:val="-14"/>
                <w:sz w:val="28"/>
                <w:szCs w:val="28"/>
              </w:rPr>
              <w:t>再驗報驗日期</w:t>
            </w:r>
          </w:p>
        </w:tc>
        <w:tc>
          <w:tcPr>
            <w:tcW w:w="5459" w:type="dxa"/>
            <w:gridSpan w:val="2"/>
            <w:vAlign w:val="center"/>
          </w:tcPr>
          <w:p w:rsidR="00E90979" w:rsidRPr="006D5DC2" w:rsidRDefault="00E90979" w:rsidP="00E90979">
            <w:pPr>
              <w:spacing w:line="0" w:lineRule="atLeast"/>
              <w:jc w:val="center"/>
              <w:rPr>
                <w:rFonts w:ascii="Times New Roman" w:hAnsi="Times New Roman" w:cs="Times New Roman"/>
                <w:color w:val="000000"/>
                <w:spacing w:val="-14"/>
                <w:sz w:val="28"/>
                <w:szCs w:val="28"/>
              </w:rPr>
            </w:pPr>
            <w:r w:rsidRPr="006D5DC2">
              <w:rPr>
                <w:rFonts w:ascii="Times New Roman" w:hAnsi="Times New Roman" w:cs="Times New Roman"/>
                <w:color w:val="000000"/>
                <w:spacing w:val="-14"/>
                <w:sz w:val="28"/>
                <w:szCs w:val="28"/>
              </w:rPr>
              <w:t>105</w:t>
            </w:r>
            <w:r w:rsidRPr="006D5DC2">
              <w:rPr>
                <w:rFonts w:ascii="Times New Roman" w:hAnsi="Times New Roman" w:cs="Times New Roman" w:hint="eastAsia"/>
                <w:color w:val="000000"/>
                <w:spacing w:val="-14"/>
                <w:sz w:val="28"/>
                <w:szCs w:val="28"/>
              </w:rPr>
              <w:t>年</w:t>
            </w:r>
            <w:r w:rsidRPr="006D5DC2">
              <w:rPr>
                <w:rFonts w:ascii="Times New Roman" w:hAnsi="Times New Roman" w:cs="Times New Roman"/>
                <w:color w:val="000000"/>
                <w:spacing w:val="-14"/>
                <w:sz w:val="28"/>
                <w:szCs w:val="28"/>
              </w:rPr>
              <w:t>12</w:t>
            </w:r>
            <w:r w:rsidRPr="006D5DC2">
              <w:rPr>
                <w:rFonts w:ascii="Times New Roman" w:hAnsi="Times New Roman" w:cs="Times New Roman" w:hint="eastAsia"/>
                <w:color w:val="000000"/>
                <w:spacing w:val="-14"/>
                <w:sz w:val="28"/>
                <w:szCs w:val="28"/>
              </w:rPr>
              <w:t>月</w:t>
            </w:r>
            <w:r w:rsidRPr="006D5DC2">
              <w:rPr>
                <w:rFonts w:ascii="Times New Roman" w:hAnsi="Times New Roman" w:cs="Times New Roman"/>
                <w:color w:val="000000"/>
                <w:spacing w:val="-14"/>
                <w:sz w:val="28"/>
                <w:szCs w:val="28"/>
              </w:rPr>
              <w:t>26</w:t>
            </w:r>
            <w:r w:rsidRPr="006D5DC2">
              <w:rPr>
                <w:rFonts w:ascii="Times New Roman" w:hAnsi="Times New Roman" w:cs="Times New Roman" w:hint="eastAsia"/>
                <w:color w:val="000000"/>
                <w:spacing w:val="-14"/>
                <w:sz w:val="28"/>
                <w:szCs w:val="28"/>
              </w:rPr>
              <w:t>日</w:t>
            </w:r>
          </w:p>
        </w:tc>
      </w:tr>
      <w:tr w:rsidR="00E90979" w:rsidRPr="006D5DC2" w:rsidTr="00E90979">
        <w:tc>
          <w:tcPr>
            <w:tcW w:w="2156" w:type="dxa"/>
            <w:vAlign w:val="center"/>
          </w:tcPr>
          <w:p w:rsidR="00E90979" w:rsidRPr="006D5DC2" w:rsidRDefault="00E90979" w:rsidP="00E90979">
            <w:pPr>
              <w:spacing w:line="0" w:lineRule="atLeast"/>
              <w:jc w:val="center"/>
              <w:rPr>
                <w:rFonts w:ascii="Times New Roman" w:hAnsi="Times New Roman" w:cs="Times New Roman"/>
                <w:color w:val="000000"/>
                <w:spacing w:val="-14"/>
                <w:sz w:val="28"/>
                <w:szCs w:val="28"/>
              </w:rPr>
            </w:pPr>
            <w:r w:rsidRPr="006D5DC2">
              <w:rPr>
                <w:rFonts w:ascii="Times New Roman" w:hAnsi="Times New Roman" w:cs="Times New Roman" w:hint="eastAsia"/>
                <w:color w:val="000000"/>
                <w:spacing w:val="-14"/>
                <w:sz w:val="28"/>
                <w:szCs w:val="28"/>
              </w:rPr>
              <w:t>減價收受</w:t>
            </w:r>
          </w:p>
          <w:p w:rsidR="00E90979" w:rsidRPr="006D5DC2" w:rsidRDefault="00E90979" w:rsidP="00E90979">
            <w:pPr>
              <w:spacing w:line="0" w:lineRule="atLeast"/>
              <w:jc w:val="center"/>
              <w:rPr>
                <w:rFonts w:ascii="Times New Roman" w:hAnsi="Times New Roman" w:cs="Times New Roman"/>
                <w:color w:val="000000"/>
                <w:spacing w:val="-14"/>
                <w:sz w:val="28"/>
                <w:szCs w:val="28"/>
              </w:rPr>
            </w:pPr>
            <w:r w:rsidRPr="006D5DC2">
              <w:rPr>
                <w:rFonts w:ascii="Times New Roman" w:hAnsi="Times New Roman" w:cs="Times New Roman" w:hint="eastAsia"/>
                <w:color w:val="000000"/>
                <w:spacing w:val="-14"/>
                <w:sz w:val="28"/>
                <w:szCs w:val="28"/>
              </w:rPr>
              <w:t>再驗試驗結果</w:t>
            </w:r>
          </w:p>
        </w:tc>
        <w:tc>
          <w:tcPr>
            <w:tcW w:w="5459" w:type="dxa"/>
            <w:gridSpan w:val="2"/>
          </w:tcPr>
          <w:p w:rsidR="00E90979" w:rsidRPr="006D5DC2" w:rsidRDefault="00E90979" w:rsidP="00E90979">
            <w:pPr>
              <w:spacing w:line="0" w:lineRule="atLeast"/>
              <w:rPr>
                <w:rFonts w:ascii="Times New Roman" w:hAnsi="Times New Roman" w:cs="Times New Roman"/>
                <w:color w:val="000000"/>
                <w:spacing w:val="-14"/>
                <w:sz w:val="28"/>
                <w:szCs w:val="28"/>
              </w:rPr>
            </w:pPr>
            <w:r w:rsidRPr="006D5DC2">
              <w:rPr>
                <w:rFonts w:ascii="Times New Roman" w:hAnsi="Times New Roman" w:cs="Times New Roman" w:hint="eastAsia"/>
                <w:color w:val="000000"/>
                <w:spacing w:val="-14"/>
                <w:sz w:val="28"/>
                <w:szCs w:val="28"/>
              </w:rPr>
              <w:t>電表</w:t>
            </w:r>
            <w:r w:rsidRPr="006D5DC2">
              <w:rPr>
                <w:rFonts w:ascii="Times New Roman" w:hAnsi="Times New Roman" w:cs="Times New Roman" w:hint="eastAsia"/>
                <w:color w:val="000000"/>
                <w:spacing w:val="-14"/>
                <w:sz w:val="28"/>
                <w:szCs w:val="28"/>
              </w:rPr>
              <w:t>500</w:t>
            </w:r>
            <w:r w:rsidRPr="006D5DC2">
              <w:rPr>
                <w:rFonts w:ascii="Times New Roman" w:hAnsi="Times New Roman" w:cs="Times New Roman" w:hint="eastAsia"/>
                <w:color w:val="000000"/>
                <w:spacing w:val="-14"/>
                <w:sz w:val="28"/>
                <w:szCs w:val="28"/>
              </w:rPr>
              <w:t>具及集中器</w:t>
            </w:r>
            <w:r w:rsidRPr="006D5DC2">
              <w:rPr>
                <w:rFonts w:ascii="Times New Roman" w:hAnsi="Times New Roman" w:cs="Times New Roman" w:hint="eastAsia"/>
                <w:color w:val="000000"/>
                <w:spacing w:val="-14"/>
                <w:sz w:val="28"/>
                <w:szCs w:val="28"/>
              </w:rPr>
              <w:t>22</w:t>
            </w:r>
            <w:r w:rsidRPr="006D5DC2">
              <w:rPr>
                <w:rFonts w:ascii="Times New Roman" w:hAnsi="Times New Roman" w:cs="Times New Roman" w:hint="eastAsia"/>
                <w:color w:val="000000"/>
                <w:spacing w:val="-14"/>
                <w:sz w:val="28"/>
                <w:szCs w:val="28"/>
              </w:rPr>
              <w:t>具均合格，惟其中</w:t>
            </w:r>
            <w:r w:rsidRPr="006D5DC2">
              <w:rPr>
                <w:rFonts w:ascii="Times New Roman" w:hAnsi="Times New Roman" w:cs="Times New Roman" w:hint="eastAsia"/>
                <w:color w:val="000000"/>
                <w:spacing w:val="-14"/>
                <w:sz w:val="28"/>
                <w:szCs w:val="28"/>
              </w:rPr>
              <w:t>1</w:t>
            </w:r>
            <w:r w:rsidRPr="006D5DC2">
              <w:rPr>
                <w:rFonts w:ascii="Times New Roman" w:hAnsi="Times New Roman" w:cs="Times New Roman" w:hint="eastAsia"/>
                <w:color w:val="000000"/>
                <w:spacing w:val="-14"/>
                <w:sz w:val="28"/>
                <w:szCs w:val="28"/>
              </w:rPr>
              <w:t>具電表送大電力檢定，判定不合格。</w:t>
            </w:r>
          </w:p>
        </w:tc>
      </w:tr>
    </w:tbl>
    <w:p w:rsidR="00E90979" w:rsidRPr="006D5DC2" w:rsidRDefault="00E90979" w:rsidP="00E90979">
      <w:pPr>
        <w:pStyle w:val="3"/>
      </w:pPr>
      <w:r w:rsidRPr="006D5DC2">
        <w:rPr>
          <w:rFonts w:hint="eastAsia"/>
        </w:rPr>
        <w:t>次查</w:t>
      </w:r>
      <w:r w:rsidR="00727E73" w:rsidRPr="006D5DC2">
        <w:rPr>
          <w:rFonts w:hint="eastAsia"/>
        </w:rPr>
        <w:t>旨揭電表及集中器</w:t>
      </w:r>
      <w:r w:rsidRPr="006D5DC2">
        <w:rPr>
          <w:rFonts w:hint="eastAsia"/>
        </w:rPr>
        <w:t>之可用性測試，須於器材驗收合格及現場安裝測試合格後，方得辦理「可用性測試」</w:t>
      </w:r>
      <w:r w:rsidR="000A7C9B" w:rsidRPr="006D5DC2">
        <w:rPr>
          <w:rFonts w:hint="eastAsia"/>
        </w:rPr>
        <w:t>。</w:t>
      </w:r>
      <w:r w:rsidRPr="006D5DC2">
        <w:rPr>
          <w:rFonts w:hint="eastAsia"/>
        </w:rPr>
        <w:t>本案驗收作業</w:t>
      </w:r>
      <w:r w:rsidR="000A7C9B" w:rsidRPr="006D5DC2">
        <w:rPr>
          <w:rFonts w:hint="eastAsia"/>
        </w:rPr>
        <w:t>，依台電公司108年4月9日電材字第1080004799號函，</w:t>
      </w:r>
      <w:r w:rsidRPr="006D5DC2">
        <w:rPr>
          <w:rFonts w:hint="eastAsia"/>
        </w:rPr>
        <w:t>因</w:t>
      </w:r>
      <w:r w:rsidR="000A7C9B" w:rsidRPr="006D5DC2">
        <w:rPr>
          <w:rFonts w:hint="eastAsia"/>
        </w:rPr>
        <w:t>器材驗收作業部分</w:t>
      </w:r>
      <w:r w:rsidRPr="006D5DC2">
        <w:rPr>
          <w:rFonts w:hint="eastAsia"/>
        </w:rPr>
        <w:t>交貨器材不符規範要求，而歷經初驗、複驗、廠商申請第</w:t>
      </w:r>
      <w:r w:rsidR="00491038" w:rsidRPr="006D5DC2">
        <w:rPr>
          <w:rFonts w:hint="eastAsia"/>
        </w:rPr>
        <w:t>三方</w:t>
      </w:r>
      <w:r w:rsidRPr="006D5DC2">
        <w:rPr>
          <w:rFonts w:hint="eastAsia"/>
        </w:rPr>
        <w:t>試驗及減價收受測試等程序，</w:t>
      </w:r>
      <w:r w:rsidR="00727E73" w:rsidRPr="006D5DC2">
        <w:rPr>
          <w:rFonts w:hint="eastAsia"/>
        </w:rPr>
        <w:t>迄106年5月23日始開始進行安裝</w:t>
      </w:r>
      <w:r w:rsidR="00952F32" w:rsidRPr="006D5DC2">
        <w:rPr>
          <w:rFonts w:hint="eastAsia"/>
        </w:rPr>
        <w:t>及測試</w:t>
      </w:r>
      <w:r w:rsidRPr="006D5DC2">
        <w:rPr>
          <w:rFonts w:hint="eastAsia"/>
        </w:rPr>
        <w:t>，</w:t>
      </w:r>
      <w:r w:rsidR="00952F32" w:rsidRPr="006D5DC2">
        <w:rPr>
          <w:rFonts w:hint="eastAsia"/>
        </w:rPr>
        <w:t>同年11月14日廠商完成可用性測試，台電公司同</w:t>
      </w:r>
      <w:r w:rsidRPr="006D5DC2">
        <w:rPr>
          <w:rFonts w:hint="eastAsia"/>
        </w:rPr>
        <w:t>年12月13日方完成「可用性測試」初次審查，不符合採購規範要求，台電公司於</w:t>
      </w:r>
      <w:r w:rsidR="000A7C9B" w:rsidRPr="006D5DC2">
        <w:rPr>
          <w:rFonts w:hint="eastAsia"/>
        </w:rPr>
        <w:t>106</w:t>
      </w:r>
      <w:r w:rsidRPr="006D5DC2">
        <w:rPr>
          <w:rFonts w:hint="eastAsia"/>
        </w:rPr>
        <w:t>年</w:t>
      </w:r>
      <w:r w:rsidR="000A7C9B" w:rsidRPr="006D5DC2">
        <w:rPr>
          <w:rFonts w:hint="eastAsia"/>
        </w:rPr>
        <w:t>12</w:t>
      </w:r>
      <w:r w:rsidRPr="006D5DC2">
        <w:rPr>
          <w:rFonts w:hint="eastAsia"/>
        </w:rPr>
        <w:t>月26日函告康舒公司，實際</w:t>
      </w:r>
      <w:r w:rsidR="00952F32" w:rsidRPr="006D5DC2">
        <w:rPr>
          <w:rFonts w:hint="eastAsia"/>
        </w:rPr>
        <w:t>驗收不</w:t>
      </w:r>
      <w:r w:rsidRPr="006D5DC2">
        <w:rPr>
          <w:rFonts w:hint="eastAsia"/>
        </w:rPr>
        <w:t>合格。</w:t>
      </w:r>
      <w:r w:rsidR="009543F6" w:rsidRPr="006D5DC2">
        <w:rPr>
          <w:rFonts w:hint="eastAsia"/>
        </w:rPr>
        <w:t>康舒公司於107年1月10日來函</w:t>
      </w:r>
      <w:r w:rsidR="00952F32" w:rsidRPr="006D5DC2">
        <w:rPr>
          <w:rFonts w:hint="eastAsia"/>
        </w:rPr>
        <w:t>申請可用性複驗</w:t>
      </w:r>
      <w:r w:rsidR="009543F6" w:rsidRPr="006D5DC2">
        <w:rPr>
          <w:rFonts w:hint="eastAsia"/>
        </w:rPr>
        <w:t>，台電公司考量契約並無可用性測試不合格複驗之相關規定，另依政</w:t>
      </w:r>
      <w:r w:rsidR="008A333A" w:rsidRPr="006D5DC2">
        <w:rPr>
          <w:rFonts w:hint="eastAsia"/>
        </w:rPr>
        <w:t>府</w:t>
      </w:r>
      <w:r w:rsidR="009543F6" w:rsidRPr="006D5DC2">
        <w:rPr>
          <w:rFonts w:hint="eastAsia"/>
        </w:rPr>
        <w:t>採購法第72條</w:t>
      </w:r>
      <w:r w:rsidR="00491038" w:rsidRPr="006D5DC2">
        <w:rPr>
          <w:rFonts w:hint="eastAsia"/>
        </w:rPr>
        <w:t>規定</w:t>
      </w:r>
      <w:r w:rsidR="009543F6" w:rsidRPr="006D5DC2">
        <w:rPr>
          <w:rFonts w:hint="eastAsia"/>
        </w:rPr>
        <w:t>略以「驗收結果與契約、圖說、貨樣規定不符者，應通知廠</w:t>
      </w:r>
      <w:r w:rsidR="009543F6" w:rsidRPr="006D5DC2">
        <w:rPr>
          <w:rFonts w:hint="eastAsia"/>
        </w:rPr>
        <w:lastRenderedPageBreak/>
        <w:t>商限期改善、拆除、重作、退貨或換貨」，於107年2月13日函知康舒公司限期改正後再辦理可用性測試驗收</w:t>
      </w:r>
      <w:r w:rsidR="00952F32" w:rsidRPr="006D5DC2">
        <w:rPr>
          <w:rFonts w:hint="eastAsia"/>
        </w:rPr>
        <w:t>，全案於107</w:t>
      </w:r>
      <w:r w:rsidR="009543F6" w:rsidRPr="006D5DC2">
        <w:rPr>
          <w:rFonts w:hint="eastAsia"/>
        </w:rPr>
        <w:t>年3月22日</w:t>
      </w:r>
      <w:r w:rsidR="00952F32" w:rsidRPr="006D5DC2">
        <w:rPr>
          <w:rFonts w:hint="eastAsia"/>
        </w:rPr>
        <w:t>再</w:t>
      </w:r>
      <w:r w:rsidR="009543F6" w:rsidRPr="006D5DC2">
        <w:rPr>
          <w:rFonts w:hint="eastAsia"/>
        </w:rPr>
        <w:t>進行可用性測試</w:t>
      </w:r>
      <w:r w:rsidR="0097153F" w:rsidRPr="006D5DC2">
        <w:rPr>
          <w:rFonts w:hint="eastAsia"/>
        </w:rPr>
        <w:t>，經複驗驗收結果合格</w:t>
      </w:r>
      <w:r w:rsidRPr="006D5DC2">
        <w:rPr>
          <w:rFonts w:hint="eastAsia"/>
        </w:rPr>
        <w:t>。</w:t>
      </w:r>
    </w:p>
    <w:p w:rsidR="009543F6" w:rsidRPr="006D5DC2" w:rsidRDefault="009543F6" w:rsidP="002B2410">
      <w:pPr>
        <w:pStyle w:val="3"/>
      </w:pPr>
      <w:r w:rsidRPr="006D5DC2">
        <w:rPr>
          <w:rFonts w:hint="eastAsia"/>
        </w:rPr>
        <w:t>惟查</w:t>
      </w:r>
      <w:r w:rsidR="0097153F" w:rsidRPr="006D5DC2">
        <w:rPr>
          <w:rFonts w:hint="eastAsia"/>
        </w:rPr>
        <w:t>台電公司「104年度澎湖地區低壓智慧電表建置」財務採購案，104年10月30日決標，迄107年3月22日「可用性測試」複驗驗收合格，歷時2年5個月，</w:t>
      </w:r>
      <w:r w:rsidR="00BC43D3" w:rsidRPr="006D5DC2">
        <w:rPr>
          <w:rFonts w:hint="eastAsia"/>
        </w:rPr>
        <w:t>與</w:t>
      </w:r>
      <w:r w:rsidR="0097153F" w:rsidRPr="006D5DC2">
        <w:rPr>
          <w:rFonts w:hint="eastAsia"/>
        </w:rPr>
        <w:t>陳訴人</w:t>
      </w:r>
      <w:r w:rsidR="00BC43D3" w:rsidRPr="006D5DC2">
        <w:rPr>
          <w:rFonts w:hint="eastAsia"/>
        </w:rPr>
        <w:t>所稱「完工後報驗，逾3年之久」</w:t>
      </w:r>
      <w:r w:rsidR="00A803A9" w:rsidRPr="006D5DC2">
        <w:rPr>
          <w:rFonts w:hint="eastAsia"/>
        </w:rPr>
        <w:t>相去不遠。經核，本案電表及集中器之驗收，依採購規範</w:t>
      </w:r>
      <w:r w:rsidR="00491038" w:rsidRPr="006D5DC2">
        <w:rPr>
          <w:rFonts w:hint="eastAsia"/>
        </w:rPr>
        <w:t>第</w:t>
      </w:r>
      <w:r w:rsidR="00A803A9" w:rsidRPr="006D5DC2">
        <w:rPr>
          <w:rFonts w:hint="eastAsia"/>
        </w:rPr>
        <w:t>11.1</w:t>
      </w:r>
      <w:r w:rsidR="00491038" w:rsidRPr="006D5DC2">
        <w:rPr>
          <w:rFonts w:hint="eastAsia"/>
        </w:rPr>
        <w:t>節</w:t>
      </w:r>
      <w:r w:rsidR="006C311E" w:rsidRPr="006D5DC2">
        <w:rPr>
          <w:rStyle w:val="afe"/>
        </w:rPr>
        <w:footnoteReference w:id="33"/>
      </w:r>
      <w:r w:rsidR="00A803A9" w:rsidRPr="006D5DC2">
        <w:rPr>
          <w:rFonts w:hint="eastAsia"/>
        </w:rPr>
        <w:t>、</w:t>
      </w:r>
      <w:r w:rsidR="00491038" w:rsidRPr="006D5DC2">
        <w:rPr>
          <w:rFonts w:hint="eastAsia"/>
        </w:rPr>
        <w:t>第</w:t>
      </w:r>
      <w:r w:rsidR="00A803A9" w:rsidRPr="006D5DC2">
        <w:rPr>
          <w:rFonts w:hint="eastAsia"/>
        </w:rPr>
        <w:t>11.2</w:t>
      </w:r>
      <w:r w:rsidR="00491038" w:rsidRPr="006D5DC2">
        <w:rPr>
          <w:rFonts w:hint="eastAsia"/>
        </w:rPr>
        <w:t>節</w:t>
      </w:r>
      <w:r w:rsidR="006C311E" w:rsidRPr="006D5DC2">
        <w:rPr>
          <w:rStyle w:val="afe"/>
        </w:rPr>
        <w:footnoteReference w:id="34"/>
      </w:r>
      <w:r w:rsidR="00A803A9" w:rsidRPr="006D5DC2">
        <w:rPr>
          <w:rFonts w:hint="eastAsia"/>
        </w:rPr>
        <w:t>、</w:t>
      </w:r>
      <w:r w:rsidR="00491038" w:rsidRPr="006D5DC2">
        <w:rPr>
          <w:rFonts w:hint="eastAsia"/>
        </w:rPr>
        <w:t>第</w:t>
      </w:r>
      <w:r w:rsidR="00A803A9" w:rsidRPr="006D5DC2">
        <w:rPr>
          <w:rFonts w:hint="eastAsia"/>
        </w:rPr>
        <w:t>11.3</w:t>
      </w:r>
      <w:r w:rsidR="00491038" w:rsidRPr="006D5DC2">
        <w:rPr>
          <w:rFonts w:hint="eastAsia"/>
        </w:rPr>
        <w:t>節</w:t>
      </w:r>
      <w:r w:rsidR="006C311E" w:rsidRPr="006D5DC2">
        <w:rPr>
          <w:rStyle w:val="afe"/>
        </w:rPr>
        <w:footnoteReference w:id="35"/>
      </w:r>
      <w:r w:rsidR="00A803A9" w:rsidRPr="006D5DC2">
        <w:rPr>
          <w:rFonts w:hint="eastAsia"/>
        </w:rPr>
        <w:t>規定，應依序辦理抽樣特性試驗及檢定作業、安裝測試、現場設備可用性測試，各測試之測試項目及程序於該規範</w:t>
      </w:r>
      <w:r w:rsidR="00491038" w:rsidRPr="006D5DC2">
        <w:rPr>
          <w:rFonts w:hint="eastAsia"/>
        </w:rPr>
        <w:t>第</w:t>
      </w:r>
      <w:r w:rsidR="00A803A9" w:rsidRPr="006D5DC2">
        <w:rPr>
          <w:rFonts w:hint="eastAsia"/>
        </w:rPr>
        <w:t>8.1、8.2、8.3</w:t>
      </w:r>
      <w:r w:rsidR="00491038" w:rsidRPr="006D5DC2">
        <w:rPr>
          <w:rFonts w:hint="eastAsia"/>
        </w:rPr>
        <w:t>節</w:t>
      </w:r>
      <w:r w:rsidR="00727E73" w:rsidRPr="006D5DC2">
        <w:rPr>
          <w:rFonts w:hint="eastAsia"/>
        </w:rPr>
        <w:t>定</w:t>
      </w:r>
      <w:r w:rsidR="00A803A9" w:rsidRPr="006D5DC2">
        <w:rPr>
          <w:rFonts w:hint="eastAsia"/>
        </w:rPr>
        <w:t>有明文。然</w:t>
      </w:r>
      <w:r w:rsidR="00727E73" w:rsidRPr="006D5DC2">
        <w:rPr>
          <w:rFonts w:hint="eastAsia"/>
        </w:rPr>
        <w:t>核其</w:t>
      </w:r>
      <w:r w:rsidR="00A803A9" w:rsidRPr="006D5DC2">
        <w:rPr>
          <w:rFonts w:hint="eastAsia"/>
        </w:rPr>
        <w:t>規範，</w:t>
      </w:r>
      <w:r w:rsidR="00727E73" w:rsidRPr="006D5DC2">
        <w:rPr>
          <w:rFonts w:hint="eastAsia"/>
        </w:rPr>
        <w:t>未律定各</w:t>
      </w:r>
      <w:r w:rsidR="00A803A9" w:rsidRPr="006D5DC2">
        <w:rPr>
          <w:rFonts w:hint="eastAsia"/>
        </w:rPr>
        <w:t>測試</w:t>
      </w:r>
      <w:r w:rsidR="00727E73" w:rsidRPr="006D5DC2">
        <w:rPr>
          <w:rFonts w:hint="eastAsia"/>
        </w:rPr>
        <w:t>之</w:t>
      </w:r>
      <w:r w:rsidR="00A803A9" w:rsidRPr="006D5DC2">
        <w:rPr>
          <w:rFonts w:hint="eastAsia"/>
        </w:rPr>
        <w:t>期限</w:t>
      </w:r>
      <w:r w:rsidR="00727E73" w:rsidRPr="006D5DC2">
        <w:rPr>
          <w:rFonts w:hint="eastAsia"/>
        </w:rPr>
        <w:t>及</w:t>
      </w:r>
      <w:r w:rsidR="00A803A9" w:rsidRPr="006D5DC2">
        <w:rPr>
          <w:rFonts w:hint="eastAsia"/>
        </w:rPr>
        <w:t>測試不合格之作法，導致測試不合格之後一再複驗至</w:t>
      </w:r>
      <w:r w:rsidR="006C311E" w:rsidRPr="006D5DC2">
        <w:rPr>
          <w:rFonts w:hint="eastAsia"/>
        </w:rPr>
        <w:t>合</w:t>
      </w:r>
      <w:r w:rsidR="00A803A9" w:rsidRPr="006D5DC2">
        <w:rPr>
          <w:rFonts w:hint="eastAsia"/>
        </w:rPr>
        <w:t>格</w:t>
      </w:r>
      <w:r w:rsidR="006C311E" w:rsidRPr="006D5DC2">
        <w:rPr>
          <w:rFonts w:hint="eastAsia"/>
        </w:rPr>
        <w:t>止，</w:t>
      </w:r>
      <w:r w:rsidR="000A7C9B" w:rsidRPr="006D5DC2">
        <w:rPr>
          <w:rFonts w:hint="eastAsia"/>
        </w:rPr>
        <w:t>確</w:t>
      </w:r>
      <w:r w:rsidR="006C311E" w:rsidRPr="006D5DC2">
        <w:rPr>
          <w:rFonts w:hint="eastAsia"/>
        </w:rPr>
        <w:t>有疏漏。</w:t>
      </w:r>
      <w:r w:rsidR="000A7C9B" w:rsidRPr="006D5DC2">
        <w:rPr>
          <w:rFonts w:hint="eastAsia"/>
        </w:rPr>
        <w:t>至</w:t>
      </w:r>
      <w:r w:rsidR="00727E73" w:rsidRPr="006D5DC2">
        <w:rPr>
          <w:rFonts w:hint="eastAsia"/>
        </w:rPr>
        <w:t>104年12月3日決標公告所載「</w:t>
      </w:r>
      <w:r w:rsidR="002B2410" w:rsidRPr="006D5DC2">
        <w:rPr>
          <w:rFonts w:hint="eastAsia"/>
        </w:rPr>
        <w:t>履約起迄日期</w:t>
      </w:r>
      <w:r w:rsidR="002B2410" w:rsidRPr="006D5DC2">
        <w:rPr>
          <w:rFonts w:hint="eastAsia"/>
        </w:rPr>
        <w:tab/>
      </w:r>
      <w:r w:rsidR="00727E73" w:rsidRPr="006D5DC2">
        <w:rPr>
          <w:rFonts w:hint="eastAsia"/>
        </w:rPr>
        <w:t>：</w:t>
      </w:r>
      <w:r w:rsidR="002B2410" w:rsidRPr="006D5DC2">
        <w:rPr>
          <w:rFonts w:hint="eastAsia"/>
        </w:rPr>
        <w:t>104</w:t>
      </w:r>
      <w:r w:rsidR="00727E73" w:rsidRPr="006D5DC2">
        <w:rPr>
          <w:rFonts w:hint="eastAsia"/>
        </w:rPr>
        <w:t>年</w:t>
      </w:r>
      <w:r w:rsidR="009529D5" w:rsidRPr="006D5DC2">
        <w:rPr>
          <w:rFonts w:hint="eastAsia"/>
        </w:rPr>
        <w:t>10</w:t>
      </w:r>
      <w:r w:rsidR="00727E73" w:rsidRPr="006D5DC2">
        <w:rPr>
          <w:rFonts w:hint="eastAsia"/>
        </w:rPr>
        <w:t>月31日-104年12月14日」</w:t>
      </w:r>
      <w:r w:rsidR="000A7C9B" w:rsidRPr="006D5DC2">
        <w:rPr>
          <w:rFonts w:hint="eastAsia"/>
        </w:rPr>
        <w:t>，</w:t>
      </w:r>
      <w:r w:rsidR="002B2410" w:rsidRPr="006D5DC2">
        <w:rPr>
          <w:rFonts w:hint="eastAsia"/>
        </w:rPr>
        <w:t>據台電公司表示，</w:t>
      </w:r>
      <w:r w:rsidR="000A7C9B" w:rsidRPr="006D5DC2">
        <w:rPr>
          <w:rFonts w:hint="eastAsia"/>
        </w:rPr>
        <w:t>係</w:t>
      </w:r>
      <w:r w:rsidR="00E43633" w:rsidRPr="006D5DC2">
        <w:rPr>
          <w:rFonts w:hint="eastAsia"/>
        </w:rPr>
        <w:t>財務部分的交貨期限</w:t>
      </w:r>
      <w:r w:rsidR="000A7C9B" w:rsidRPr="006D5DC2">
        <w:rPr>
          <w:rFonts w:hint="eastAsia"/>
        </w:rPr>
        <w:t>，</w:t>
      </w:r>
      <w:r w:rsidR="00727E73" w:rsidRPr="006D5DC2">
        <w:rPr>
          <w:rFonts w:hint="eastAsia"/>
        </w:rPr>
        <w:t>非履約期限，</w:t>
      </w:r>
      <w:r w:rsidR="000A7C9B" w:rsidRPr="006D5DC2">
        <w:rPr>
          <w:rFonts w:hint="eastAsia"/>
        </w:rPr>
        <w:t>併此敘明。</w:t>
      </w:r>
    </w:p>
    <w:p w:rsidR="0097153F" w:rsidRPr="006D5DC2" w:rsidRDefault="0097153F" w:rsidP="0009665F">
      <w:pPr>
        <w:pStyle w:val="3"/>
      </w:pPr>
      <w:r w:rsidRPr="006D5DC2">
        <w:rPr>
          <w:rFonts w:hint="eastAsia"/>
        </w:rPr>
        <w:t>綜上，</w:t>
      </w:r>
      <w:r w:rsidR="0009665F" w:rsidRPr="006D5DC2">
        <w:rPr>
          <w:rFonts w:hint="eastAsia"/>
        </w:rPr>
        <w:t>台電公司1萬戶低壓智慧電表</w:t>
      </w:r>
      <w:r w:rsidR="00352322" w:rsidRPr="006D5DC2">
        <w:rPr>
          <w:rFonts w:hint="eastAsia"/>
        </w:rPr>
        <w:t>布建</w:t>
      </w:r>
      <w:r w:rsidR="0009665F" w:rsidRPr="006D5DC2">
        <w:rPr>
          <w:rFonts w:hint="eastAsia"/>
        </w:rPr>
        <w:t>案，其中澎湖地區分配500戶，嗣為配合行政院「澎湖低碳島專案計畫」，戶數增為2</w:t>
      </w:r>
      <w:r w:rsidR="009529D5" w:rsidRPr="006D5DC2">
        <w:rPr>
          <w:rFonts w:hint="eastAsia"/>
        </w:rPr>
        <w:t>,</w:t>
      </w:r>
      <w:r w:rsidR="0009665F" w:rsidRPr="006D5DC2">
        <w:rPr>
          <w:rFonts w:hint="eastAsia"/>
        </w:rPr>
        <w:t>000戶，台電公司爰於「104年澎湖地區低壓智慧電表建置」案</w:t>
      </w:r>
      <w:r w:rsidR="00952F32" w:rsidRPr="006D5DC2">
        <w:rPr>
          <w:rFonts w:hint="eastAsia"/>
        </w:rPr>
        <w:t>另</w:t>
      </w:r>
      <w:r w:rsidR="0009665F" w:rsidRPr="006D5DC2">
        <w:rPr>
          <w:rFonts w:hint="eastAsia"/>
        </w:rPr>
        <w:t>購智慧電表</w:t>
      </w:r>
      <w:r w:rsidR="0009665F" w:rsidRPr="006D5DC2">
        <w:rPr>
          <w:rFonts w:hint="eastAsia"/>
        </w:rPr>
        <w:lastRenderedPageBreak/>
        <w:t>1</w:t>
      </w:r>
      <w:r w:rsidR="009529D5" w:rsidRPr="006D5DC2">
        <w:rPr>
          <w:rFonts w:hint="eastAsia"/>
        </w:rPr>
        <w:t>,</w:t>
      </w:r>
      <w:r w:rsidR="0009665F" w:rsidRPr="006D5DC2">
        <w:rPr>
          <w:rFonts w:hint="eastAsia"/>
        </w:rPr>
        <w:t>800具、集中器36具，惟所購電表及集中器，因契約未</w:t>
      </w:r>
      <w:r w:rsidR="003A6443" w:rsidRPr="006D5DC2">
        <w:rPr>
          <w:rFonts w:hint="eastAsia"/>
        </w:rPr>
        <w:t>規定</w:t>
      </w:r>
      <w:r w:rsidR="0009665F" w:rsidRPr="006D5DC2">
        <w:rPr>
          <w:rFonts w:hint="eastAsia"/>
        </w:rPr>
        <w:t>特性試驗、安裝測試、可用性測試期限，全案</w:t>
      </w:r>
      <w:r w:rsidR="00952F32" w:rsidRPr="006D5DC2">
        <w:rPr>
          <w:rFonts w:hint="eastAsia"/>
        </w:rPr>
        <w:t>亦</w:t>
      </w:r>
      <w:r w:rsidR="0009665F" w:rsidRPr="006D5DC2">
        <w:rPr>
          <w:rFonts w:hint="eastAsia"/>
        </w:rPr>
        <w:t>無明確履約期限，導致廠商自交貨迄驗收完成歷時2年餘，陳訴人所稱「完工後報驗，逾3年之久」尚屬實情，應確實檢討。</w:t>
      </w:r>
    </w:p>
    <w:p w:rsidR="0097153F" w:rsidRPr="006D5DC2" w:rsidRDefault="001C3BF5" w:rsidP="009A0BFC">
      <w:pPr>
        <w:pStyle w:val="2"/>
        <w:rPr>
          <w:b/>
        </w:rPr>
      </w:pPr>
      <w:bookmarkStart w:id="63" w:name="_Toc22114183"/>
      <w:bookmarkStart w:id="64" w:name="_Toc23164733"/>
      <w:r w:rsidRPr="006D5DC2">
        <w:rPr>
          <w:rFonts w:hint="eastAsia"/>
          <w:b/>
        </w:rPr>
        <w:t>台電公司為確保廠商製交</w:t>
      </w:r>
      <w:r w:rsidR="00193811" w:rsidRPr="006D5DC2">
        <w:rPr>
          <w:rFonts w:hint="eastAsia"/>
          <w:b/>
        </w:rPr>
        <w:t>0.5級</w:t>
      </w:r>
      <w:r w:rsidRPr="006D5DC2">
        <w:rPr>
          <w:rFonts w:hint="eastAsia"/>
          <w:b/>
        </w:rPr>
        <w:t>電子式電表之品質，要求</w:t>
      </w:r>
      <w:r w:rsidR="008A333A" w:rsidRPr="006D5DC2">
        <w:rPr>
          <w:rFonts w:hint="eastAsia"/>
          <w:b/>
        </w:rPr>
        <w:t>投</w:t>
      </w:r>
      <w:r w:rsidRPr="006D5DC2">
        <w:rPr>
          <w:rFonts w:hint="eastAsia"/>
          <w:b/>
        </w:rPr>
        <w:t>標廠商須取得「承製能力證明」，</w:t>
      </w:r>
      <w:r w:rsidR="00193811" w:rsidRPr="006D5DC2">
        <w:rPr>
          <w:rFonts w:hint="eastAsia"/>
          <w:b/>
        </w:rPr>
        <w:t>尚屬有據</w:t>
      </w:r>
      <w:r w:rsidR="00491038" w:rsidRPr="006D5DC2">
        <w:rPr>
          <w:rFonts w:hint="eastAsia"/>
          <w:b/>
        </w:rPr>
        <w:t>，惟</w:t>
      </w:r>
      <w:r w:rsidR="00193811" w:rsidRPr="006D5DC2">
        <w:rPr>
          <w:rFonts w:hint="eastAsia"/>
          <w:b/>
        </w:rPr>
        <w:t>不得對廠商差別待遇，</w:t>
      </w:r>
      <w:r w:rsidR="009A0BFC" w:rsidRPr="006D5DC2">
        <w:rPr>
          <w:rFonts w:hint="eastAsia"/>
          <w:b/>
        </w:rPr>
        <w:t>100年7月</w:t>
      </w:r>
      <w:r w:rsidR="00193811" w:rsidRPr="006D5DC2">
        <w:rPr>
          <w:rFonts w:hint="eastAsia"/>
          <w:b/>
        </w:rPr>
        <w:t>縱認</w:t>
      </w:r>
      <w:r w:rsidR="009A0BFC" w:rsidRPr="006D5DC2">
        <w:rPr>
          <w:rFonts w:hint="eastAsia"/>
          <w:b/>
        </w:rPr>
        <w:t>部分</w:t>
      </w:r>
      <w:r w:rsidR="00193811" w:rsidRPr="006D5DC2">
        <w:rPr>
          <w:rFonts w:hint="eastAsia"/>
          <w:b/>
        </w:rPr>
        <w:t>廠商</w:t>
      </w:r>
      <w:r w:rsidR="009A0BFC" w:rsidRPr="006D5DC2">
        <w:rPr>
          <w:rFonts w:hint="eastAsia"/>
          <w:b/>
        </w:rPr>
        <w:t>製交之電表得以長期運轉</w:t>
      </w:r>
      <w:r w:rsidR="00193811" w:rsidRPr="006D5DC2">
        <w:rPr>
          <w:rFonts w:hint="eastAsia"/>
          <w:b/>
        </w:rPr>
        <w:t>實績</w:t>
      </w:r>
      <w:r w:rsidR="009A0BFC" w:rsidRPr="006D5DC2">
        <w:rPr>
          <w:rFonts w:hint="eastAsia"/>
          <w:b/>
        </w:rPr>
        <w:t>代之，</w:t>
      </w:r>
      <w:r w:rsidR="00193811" w:rsidRPr="006D5DC2">
        <w:rPr>
          <w:rFonts w:hint="eastAsia"/>
          <w:b/>
        </w:rPr>
        <w:t>而免除</w:t>
      </w:r>
      <w:r w:rsidR="009A0BFC" w:rsidRPr="006D5DC2">
        <w:rPr>
          <w:rFonts w:hint="eastAsia"/>
          <w:b/>
        </w:rPr>
        <w:t>「</w:t>
      </w:r>
      <w:r w:rsidR="00193811" w:rsidRPr="006D5DC2">
        <w:rPr>
          <w:rFonts w:hint="eastAsia"/>
          <w:b/>
        </w:rPr>
        <w:t>210天穩定性運轉試驗</w:t>
      </w:r>
      <w:r w:rsidR="009A0BFC" w:rsidRPr="006D5DC2">
        <w:rPr>
          <w:rFonts w:hint="eastAsia"/>
          <w:b/>
        </w:rPr>
        <w:t>」</w:t>
      </w:r>
      <w:r w:rsidR="00193811" w:rsidRPr="006D5DC2">
        <w:rPr>
          <w:rFonts w:hint="eastAsia"/>
          <w:b/>
        </w:rPr>
        <w:t>，亦應於該評鑑說明書</w:t>
      </w:r>
      <w:r w:rsidR="00AB3CDD" w:rsidRPr="006D5DC2">
        <w:rPr>
          <w:rFonts w:hint="eastAsia"/>
          <w:b/>
        </w:rPr>
        <w:t>明定</w:t>
      </w:r>
      <w:r w:rsidR="00193811" w:rsidRPr="006D5DC2">
        <w:rPr>
          <w:rFonts w:hint="eastAsia"/>
          <w:b/>
        </w:rPr>
        <w:t>，</w:t>
      </w:r>
      <w:r w:rsidR="009A0BFC" w:rsidRPr="006D5DC2">
        <w:rPr>
          <w:rFonts w:hint="eastAsia"/>
          <w:b/>
        </w:rPr>
        <w:t>該公司迄103年6月始</w:t>
      </w:r>
      <w:r w:rsidR="00CF4BA1" w:rsidRPr="006D5DC2">
        <w:rPr>
          <w:rFonts w:hint="eastAsia"/>
          <w:b/>
        </w:rPr>
        <w:t>增訂</w:t>
      </w:r>
      <w:r w:rsidR="009A0BFC" w:rsidRPr="006D5DC2">
        <w:rPr>
          <w:rFonts w:hint="eastAsia"/>
          <w:b/>
        </w:rPr>
        <w:t>豁免條款，洵有瑕疵。</w:t>
      </w:r>
      <w:bookmarkEnd w:id="63"/>
      <w:bookmarkEnd w:id="64"/>
    </w:p>
    <w:p w:rsidR="00193811" w:rsidRPr="006D5DC2" w:rsidRDefault="00FB71B7" w:rsidP="00FB71B7">
      <w:pPr>
        <w:pStyle w:val="3"/>
      </w:pPr>
      <w:r w:rsidRPr="006D5DC2">
        <w:rPr>
          <w:rFonts w:hint="eastAsia"/>
        </w:rPr>
        <w:t>查</w:t>
      </w:r>
      <w:r w:rsidR="001C3BF5" w:rsidRPr="006D5DC2">
        <w:rPr>
          <w:rFonts w:hint="eastAsia"/>
        </w:rPr>
        <w:t>政府採購法第18條第2項</w:t>
      </w:r>
      <w:r w:rsidR="00ED567D" w:rsidRPr="006D5DC2">
        <w:rPr>
          <w:rFonts w:hint="eastAsia"/>
        </w:rPr>
        <w:t>規定</w:t>
      </w:r>
      <w:r w:rsidR="001C3BF5" w:rsidRPr="006D5DC2">
        <w:rPr>
          <w:rFonts w:hint="eastAsia"/>
        </w:rPr>
        <w:t>所稱選擇性招標，係以公告方式預先依一定資格條件辦理廠商資格審查後，再行邀請符合資格之廠商投標。本案台電公司為確保0.5級電表品質，訂定「0.5級電子式電表評鑑說明書」在案。</w:t>
      </w:r>
      <w:r w:rsidR="00193811" w:rsidRPr="006D5DC2">
        <w:rPr>
          <w:rFonts w:hint="eastAsia"/>
        </w:rPr>
        <w:t>惟</w:t>
      </w:r>
      <w:r w:rsidR="00ED567D" w:rsidRPr="006D5DC2">
        <w:rPr>
          <w:rFonts w:hint="eastAsia"/>
        </w:rPr>
        <w:t>有關</w:t>
      </w:r>
      <w:r w:rsidR="00193811" w:rsidRPr="006D5DC2">
        <w:rPr>
          <w:rFonts w:hint="eastAsia"/>
        </w:rPr>
        <w:t>該評鑑說明書六之</w:t>
      </w:r>
      <w:r w:rsidR="000C1E33" w:rsidRPr="006D5DC2">
        <w:rPr>
          <w:rFonts w:hint="eastAsia"/>
        </w:rPr>
        <w:t>(</w:t>
      </w:r>
      <w:r w:rsidR="00193811" w:rsidRPr="006D5DC2">
        <w:rPr>
          <w:rFonts w:hint="eastAsia"/>
        </w:rPr>
        <w:t>二</w:t>
      </w:r>
      <w:r w:rsidR="000C1E33" w:rsidRPr="006D5DC2">
        <w:rPr>
          <w:rFonts w:hint="eastAsia"/>
        </w:rPr>
        <w:t>)</w:t>
      </w:r>
      <w:r w:rsidR="00193811" w:rsidRPr="006D5DC2">
        <w:rPr>
          <w:rFonts w:hint="eastAsia"/>
        </w:rPr>
        <w:t>之5</w:t>
      </w:r>
      <w:r w:rsidR="00ED567D" w:rsidRPr="006D5DC2">
        <w:rPr>
          <w:rFonts w:hAnsi="標楷體" w:hint="eastAsia"/>
        </w:rPr>
        <w:t>「</w:t>
      </w:r>
      <w:r w:rsidR="00193811" w:rsidRPr="006D5DC2">
        <w:rPr>
          <w:rFonts w:hint="eastAsia"/>
        </w:rPr>
        <w:t>穩定性運轉試驗</w:t>
      </w:r>
      <w:r w:rsidR="00ED567D" w:rsidRPr="006D5DC2">
        <w:rPr>
          <w:rFonts w:hAnsi="標楷體" w:hint="eastAsia"/>
        </w:rPr>
        <w:t>」</w:t>
      </w:r>
      <w:r w:rsidR="00193811" w:rsidRPr="006D5DC2">
        <w:rPr>
          <w:rFonts w:hint="eastAsia"/>
        </w:rPr>
        <w:t>，</w:t>
      </w:r>
      <w:r w:rsidR="00491038" w:rsidRPr="006D5DC2">
        <w:rPr>
          <w:rFonts w:hint="eastAsia"/>
        </w:rPr>
        <w:t>陳</w:t>
      </w:r>
      <w:r w:rsidR="00ED567D" w:rsidRPr="006D5DC2">
        <w:rPr>
          <w:rFonts w:hint="eastAsia"/>
        </w:rPr>
        <w:t>訴人陳訴</w:t>
      </w:r>
      <w:r w:rsidR="00E43633" w:rsidRPr="006D5DC2">
        <w:rPr>
          <w:rFonts w:hint="eastAsia"/>
        </w:rPr>
        <w:t>略以：100年7月7日台電公司修訂0.5級電子式電表評鑑說明書，新增210天穩定性運轉，但中興</w:t>
      </w:r>
      <w:r w:rsidR="00DF1871" w:rsidRPr="006D5DC2">
        <w:rPr>
          <w:rFonts w:hint="eastAsia"/>
        </w:rPr>
        <w:t>公司</w:t>
      </w:r>
      <w:r w:rsidR="00E43633" w:rsidRPr="006D5DC2">
        <w:rPr>
          <w:rFonts w:hint="eastAsia"/>
        </w:rPr>
        <w:t>、大同</w:t>
      </w:r>
      <w:r w:rsidR="00DF1871" w:rsidRPr="006D5DC2">
        <w:rPr>
          <w:rFonts w:hint="eastAsia"/>
        </w:rPr>
        <w:t>公司</w:t>
      </w:r>
      <w:r w:rsidR="00E43633" w:rsidRPr="006D5DC2">
        <w:rPr>
          <w:rFonts w:hint="eastAsia"/>
        </w:rPr>
        <w:t>均未依該規定加作210天穩定性運轉，僅</w:t>
      </w:r>
      <w:r w:rsidR="00ED567D" w:rsidRPr="006D5DC2">
        <w:rPr>
          <w:rFonts w:hint="eastAsia"/>
        </w:rPr>
        <w:t>新</w:t>
      </w:r>
      <w:r w:rsidR="00E43633" w:rsidRPr="006D5DC2">
        <w:rPr>
          <w:rFonts w:hint="eastAsia"/>
        </w:rPr>
        <w:t>廠商申請評鑑時被要求如此做，造成廠商差別待遇等情</w:t>
      </w:r>
      <w:r w:rsidR="00ED567D" w:rsidRPr="006D5DC2">
        <w:rPr>
          <w:rFonts w:hint="eastAsia"/>
        </w:rPr>
        <w:t>。</w:t>
      </w:r>
    </w:p>
    <w:p w:rsidR="00FB71B7" w:rsidRPr="006D5DC2" w:rsidRDefault="00193811" w:rsidP="00FB71B7">
      <w:pPr>
        <w:pStyle w:val="3"/>
      </w:pPr>
      <w:r w:rsidRPr="006D5DC2">
        <w:rPr>
          <w:rFonts w:hint="eastAsia"/>
        </w:rPr>
        <w:t>次查</w:t>
      </w:r>
      <w:r w:rsidR="00E43633" w:rsidRPr="006D5DC2">
        <w:rPr>
          <w:rFonts w:hint="eastAsia"/>
        </w:rPr>
        <w:t>案經台電公司108年4月9說明略以：「</w:t>
      </w:r>
      <w:r w:rsidR="00FB71B7" w:rsidRPr="006D5DC2">
        <w:rPr>
          <w:rFonts w:hint="eastAsia"/>
        </w:rPr>
        <w:t>0.5級電子式電表評鑑說明書於107年7月7日修訂生效，將原</w:t>
      </w:r>
      <w:r w:rsidR="00E43633" w:rsidRPr="006D5DC2">
        <w:rPr>
          <w:rFonts w:hint="eastAsia"/>
        </w:rPr>
        <w:t>『</w:t>
      </w:r>
      <w:r w:rsidR="00FB71B7" w:rsidRPr="006D5DC2">
        <w:rPr>
          <w:rFonts w:hint="eastAsia"/>
        </w:rPr>
        <w:t>廠家須已成功研發本器材且具銷售實績</w:t>
      </w:r>
      <w:r w:rsidR="00E43633" w:rsidRPr="006D5DC2">
        <w:rPr>
          <w:rFonts w:hint="eastAsia"/>
        </w:rPr>
        <w:t>』</w:t>
      </w:r>
      <w:r w:rsidR="00FB71B7" w:rsidRPr="006D5DC2">
        <w:rPr>
          <w:rFonts w:hint="eastAsia"/>
        </w:rPr>
        <w:t>或</w:t>
      </w:r>
      <w:r w:rsidR="00E43633" w:rsidRPr="006D5DC2">
        <w:rPr>
          <w:rFonts w:hint="eastAsia"/>
        </w:rPr>
        <w:t>『</w:t>
      </w:r>
      <w:r w:rsidR="00FB71B7" w:rsidRPr="006D5DC2">
        <w:rPr>
          <w:rFonts w:hint="eastAsia"/>
        </w:rPr>
        <w:t>廠家須與具有本器材銷售實績之國外廠家技術合作</w:t>
      </w:r>
      <w:r w:rsidR="00E43633" w:rsidRPr="006D5DC2">
        <w:rPr>
          <w:rFonts w:hint="eastAsia"/>
        </w:rPr>
        <w:t>』</w:t>
      </w:r>
      <w:r w:rsidR="00FB71B7" w:rsidRPr="006D5DC2">
        <w:rPr>
          <w:rFonts w:hint="eastAsia"/>
        </w:rPr>
        <w:t>等相關規定，改由「210天穩定性運轉」替代。</w:t>
      </w:r>
      <w:r w:rsidR="00E43633" w:rsidRPr="006D5DC2">
        <w:rPr>
          <w:rFonts w:hint="eastAsia"/>
        </w:rPr>
        <w:t>」、「</w:t>
      </w:r>
      <w:r w:rsidR="00FB71B7" w:rsidRPr="006D5DC2">
        <w:rPr>
          <w:rFonts w:hint="eastAsia"/>
        </w:rPr>
        <w:t>當時大同</w:t>
      </w:r>
      <w:r w:rsidR="00DF1871" w:rsidRPr="006D5DC2">
        <w:rPr>
          <w:rFonts w:hint="eastAsia"/>
        </w:rPr>
        <w:t>公司</w:t>
      </w:r>
      <w:r w:rsidR="00FB71B7" w:rsidRPr="006D5DC2">
        <w:rPr>
          <w:rFonts w:hint="eastAsia"/>
        </w:rPr>
        <w:t>、中興</w:t>
      </w:r>
      <w:r w:rsidR="00DF1871" w:rsidRPr="006D5DC2">
        <w:rPr>
          <w:rFonts w:hint="eastAsia"/>
        </w:rPr>
        <w:t>公司</w:t>
      </w:r>
      <w:r w:rsidR="00E13462" w:rsidRPr="006D5DC2">
        <w:rPr>
          <w:rFonts w:hint="eastAsia"/>
        </w:rPr>
        <w:t>2</w:t>
      </w:r>
      <w:r w:rsidR="00FB71B7" w:rsidRPr="006D5DC2">
        <w:rPr>
          <w:rFonts w:hint="eastAsia"/>
        </w:rPr>
        <w:t>間公司已於94年至98年取得</w:t>
      </w:r>
      <w:r w:rsidR="00847EA4" w:rsidRPr="006D5DC2">
        <w:rPr>
          <w:rFonts w:hint="eastAsia"/>
        </w:rPr>
        <w:t>台電公司</w:t>
      </w:r>
      <w:r w:rsidR="00FB71B7" w:rsidRPr="006D5DC2">
        <w:rPr>
          <w:rFonts w:hint="eastAsia"/>
        </w:rPr>
        <w:t>部分規格之電子式電表承製能力資格，依循之標準為評鑑說明書修訂前之</w:t>
      </w:r>
      <w:r w:rsidR="00E43633" w:rsidRPr="006D5DC2">
        <w:rPr>
          <w:rFonts w:hint="eastAsia"/>
        </w:rPr>
        <w:t>『</w:t>
      </w:r>
      <w:r w:rsidR="00FB71B7" w:rsidRPr="006D5DC2">
        <w:rPr>
          <w:rFonts w:hint="eastAsia"/>
        </w:rPr>
        <w:t>廠家須</w:t>
      </w:r>
      <w:r w:rsidR="00FB71B7" w:rsidRPr="006D5DC2">
        <w:rPr>
          <w:rFonts w:hint="eastAsia"/>
        </w:rPr>
        <w:lastRenderedPageBreak/>
        <w:t>與具有本器材銷售實績之國外廠家技術合作</w:t>
      </w:r>
      <w:r w:rsidR="00E43633" w:rsidRPr="006D5DC2">
        <w:rPr>
          <w:rFonts w:hint="eastAsia"/>
        </w:rPr>
        <w:t>』</w:t>
      </w:r>
      <w:r w:rsidR="00FB71B7" w:rsidRPr="006D5DC2">
        <w:rPr>
          <w:rFonts w:hint="eastAsia"/>
        </w:rPr>
        <w:t>規定，考量迄評鑑說明書修訂前，該</w:t>
      </w:r>
      <w:r w:rsidR="00E13462" w:rsidRPr="006D5DC2">
        <w:rPr>
          <w:rFonts w:hint="eastAsia"/>
        </w:rPr>
        <w:t>2</w:t>
      </w:r>
      <w:r w:rsidR="00FB71B7" w:rsidRPr="006D5DC2">
        <w:rPr>
          <w:rFonts w:hint="eastAsia"/>
        </w:rPr>
        <w:t>間公司已廣泛製交</w:t>
      </w:r>
      <w:r w:rsidR="00E13462" w:rsidRPr="006D5DC2">
        <w:rPr>
          <w:rFonts w:hint="eastAsia"/>
        </w:rPr>
        <w:t>上萬具電表</w:t>
      </w:r>
      <w:r w:rsidR="00FB71B7" w:rsidRPr="006D5DC2">
        <w:rPr>
          <w:rFonts w:hint="eastAsia"/>
        </w:rPr>
        <w:t>使用於台電公司用戶，</w:t>
      </w:r>
      <w:r w:rsidR="00E43633" w:rsidRPr="006D5DC2">
        <w:rPr>
          <w:rFonts w:hint="eastAsia"/>
        </w:rPr>
        <w:t>且逾</w:t>
      </w:r>
      <w:r w:rsidR="00E13462" w:rsidRPr="006D5DC2">
        <w:rPr>
          <w:rFonts w:hint="eastAsia"/>
        </w:rPr>
        <w:t>2</w:t>
      </w:r>
      <w:r w:rsidR="00E43633" w:rsidRPr="006D5DC2">
        <w:rPr>
          <w:rFonts w:hint="eastAsia"/>
        </w:rPr>
        <w:t>季及210天以上之使用時間，並無接獲用料單位反映重大瑕疵情形，於</w:t>
      </w:r>
      <w:r w:rsidR="00E13462" w:rsidRPr="006D5DC2">
        <w:rPr>
          <w:rFonts w:hint="eastAsia"/>
        </w:rPr>
        <w:t>可</w:t>
      </w:r>
      <w:r w:rsidR="00E43633" w:rsidRPr="006D5DC2">
        <w:rPr>
          <w:rFonts w:hint="eastAsia"/>
        </w:rPr>
        <w:t>靠度方面尚屬良好無爭議瑕疵，應較210天穩定性運轉更具參考價值，</w:t>
      </w:r>
      <w:r w:rsidR="00E13462" w:rsidRPr="006D5DC2">
        <w:rPr>
          <w:rFonts w:hint="eastAsia"/>
        </w:rPr>
        <w:t>2</w:t>
      </w:r>
      <w:r w:rsidR="00E43633" w:rsidRPr="006D5DC2">
        <w:rPr>
          <w:rFonts w:hint="eastAsia"/>
        </w:rPr>
        <w:t>間公司免除施行210天穩定性運轉試驗，應屬合理。」等語</w:t>
      </w:r>
      <w:r w:rsidR="009A0BFC" w:rsidRPr="006D5DC2">
        <w:rPr>
          <w:rFonts w:hint="eastAsia"/>
        </w:rPr>
        <w:t>在案可稽</w:t>
      </w:r>
      <w:r w:rsidR="00E43633" w:rsidRPr="006D5DC2">
        <w:rPr>
          <w:rFonts w:hint="eastAsia"/>
        </w:rPr>
        <w:t>。</w:t>
      </w:r>
    </w:p>
    <w:p w:rsidR="00E43633" w:rsidRPr="006D5DC2" w:rsidRDefault="00E43633" w:rsidP="00FB71B7">
      <w:pPr>
        <w:pStyle w:val="3"/>
      </w:pPr>
      <w:r w:rsidRPr="006D5DC2">
        <w:rPr>
          <w:rFonts w:hint="eastAsia"/>
        </w:rPr>
        <w:t>惟查台電公司為辦理0.5</w:t>
      </w:r>
      <w:r w:rsidR="00CF4BA1" w:rsidRPr="006D5DC2">
        <w:rPr>
          <w:rFonts w:hint="eastAsia"/>
        </w:rPr>
        <w:t>級電子式電表之廠商評鑑作業，訂定</w:t>
      </w:r>
      <w:r w:rsidRPr="006D5DC2">
        <w:rPr>
          <w:rFonts w:hint="eastAsia"/>
        </w:rPr>
        <w:t>台灣電力公司0.5級電子式電表評鑑說明書，規定欲取得該器材承製能力之證明者，須依據該說明書之規定辦理。</w:t>
      </w:r>
      <w:r w:rsidR="009A0BFC" w:rsidRPr="006D5DC2">
        <w:rPr>
          <w:rFonts w:hint="eastAsia"/>
        </w:rPr>
        <w:t>經查100年7月7日修訂之評鑑說明書，增訂「210天穩定性運轉試驗」規定，無但書規定，當適用於所有廠商，惟實際上100年7月至103年6月期間</w:t>
      </w:r>
      <w:r w:rsidR="00CF4BA1" w:rsidRPr="006D5DC2">
        <w:rPr>
          <w:rFonts w:hint="eastAsia"/>
        </w:rPr>
        <w:t>，</w:t>
      </w:r>
      <w:r w:rsidR="009A0BFC" w:rsidRPr="006D5DC2">
        <w:rPr>
          <w:rFonts w:hint="eastAsia"/>
        </w:rPr>
        <w:t>卻允</w:t>
      </w:r>
      <w:r w:rsidR="00CF4BA1" w:rsidRPr="006D5DC2">
        <w:rPr>
          <w:rFonts w:hint="eastAsia"/>
        </w:rPr>
        <w:t>許</w:t>
      </w:r>
      <w:r w:rsidR="009A0BFC" w:rsidRPr="006D5DC2">
        <w:rPr>
          <w:rFonts w:hint="eastAsia"/>
        </w:rPr>
        <w:t>部分廠商以實績而免除210</w:t>
      </w:r>
      <w:r w:rsidR="00CF4BA1" w:rsidRPr="006D5DC2">
        <w:rPr>
          <w:rFonts w:hint="eastAsia"/>
        </w:rPr>
        <w:t>天穩定性運轉試驗，經其他</w:t>
      </w:r>
      <w:r w:rsidR="009A0BFC" w:rsidRPr="006D5DC2">
        <w:rPr>
          <w:rFonts w:hint="eastAsia"/>
        </w:rPr>
        <w:t>廠商抗議，迄103年6月18日始增訂第6款：「國內廠商產品已取得承製能力證明者，且依本器材規範規定製交</w:t>
      </w:r>
      <w:r w:rsidR="00847EA4" w:rsidRPr="006D5DC2">
        <w:rPr>
          <w:rFonts w:hint="eastAsia"/>
        </w:rPr>
        <w:t>台電公司</w:t>
      </w:r>
      <w:r w:rsidR="00CF4BA1" w:rsidRPr="006D5DC2">
        <w:rPr>
          <w:rFonts w:hint="eastAsia"/>
        </w:rPr>
        <w:t>，並以批量方式廣泛使用於用戶端，其時間跨越2</w:t>
      </w:r>
      <w:r w:rsidR="009A0BFC" w:rsidRPr="006D5DC2">
        <w:rPr>
          <w:rFonts w:hint="eastAsia"/>
        </w:rPr>
        <w:t>季並超過210天以上長期運轉，在可靠度係屬良好無爭議瑕疵，可免除施行本項試驗。」足徵台電公司100年7月增訂「210天穩定性運轉試驗」，無但書規定，卻允</w:t>
      </w:r>
      <w:r w:rsidR="00CF4BA1" w:rsidRPr="006D5DC2">
        <w:rPr>
          <w:rFonts w:hint="eastAsia"/>
        </w:rPr>
        <w:t>許</w:t>
      </w:r>
      <w:r w:rsidR="009A0BFC" w:rsidRPr="006D5DC2">
        <w:rPr>
          <w:rFonts w:hint="eastAsia"/>
        </w:rPr>
        <w:t>部分廠商免適用，顯欠周延。</w:t>
      </w:r>
    </w:p>
    <w:p w:rsidR="009A0BFC" w:rsidRPr="006D5DC2" w:rsidRDefault="009A0BFC" w:rsidP="009A0BFC">
      <w:pPr>
        <w:pStyle w:val="3"/>
      </w:pPr>
      <w:r w:rsidRPr="006D5DC2">
        <w:rPr>
          <w:rFonts w:hint="eastAsia"/>
        </w:rPr>
        <w:t>綜上，台電公司為確保廠商製交0.5級電子式電表之品質，要求</w:t>
      </w:r>
      <w:r w:rsidR="009F5A2E" w:rsidRPr="006D5DC2">
        <w:rPr>
          <w:rFonts w:hint="eastAsia"/>
        </w:rPr>
        <w:t>投</w:t>
      </w:r>
      <w:r w:rsidRPr="006D5DC2">
        <w:rPr>
          <w:rFonts w:hint="eastAsia"/>
        </w:rPr>
        <w:t>標廠商須取得「承製能力證明」，尚屬有據，惟不得對廠商差別待遇，縱認部分廠商製交之電表得以長期運轉實績代之，而免除「210天穩定性運轉試驗」，亦應於該評鑑說明書</w:t>
      </w:r>
      <w:r w:rsidR="00AB3CDD" w:rsidRPr="006D5DC2">
        <w:rPr>
          <w:rFonts w:hint="eastAsia"/>
        </w:rPr>
        <w:t>明定</w:t>
      </w:r>
      <w:r w:rsidRPr="006D5DC2">
        <w:rPr>
          <w:rFonts w:hint="eastAsia"/>
        </w:rPr>
        <w:t>，該公司迄103年6月始</w:t>
      </w:r>
      <w:r w:rsidR="00CF4BA1" w:rsidRPr="006D5DC2">
        <w:rPr>
          <w:rFonts w:hint="eastAsia"/>
        </w:rPr>
        <w:t>增訂</w:t>
      </w:r>
      <w:r w:rsidRPr="006D5DC2">
        <w:rPr>
          <w:rFonts w:hint="eastAsia"/>
        </w:rPr>
        <w:t>豁免條款，洵有瑕疵。</w:t>
      </w:r>
    </w:p>
    <w:p w:rsidR="00E118FA" w:rsidRPr="006D5DC2" w:rsidRDefault="00E118FA" w:rsidP="00DE4238">
      <w:pPr>
        <w:pStyle w:val="2"/>
        <w:rPr>
          <w:b/>
        </w:rPr>
      </w:pPr>
      <w:bookmarkStart w:id="65" w:name="_Toc22114184"/>
      <w:bookmarkStart w:id="66" w:name="_Toc23164734"/>
      <w:r w:rsidRPr="006D5DC2">
        <w:rPr>
          <w:rFonts w:hint="eastAsia"/>
          <w:b/>
        </w:rPr>
        <w:t>智慧型電表之備用電池係停電期間供電表時鐘運轉</w:t>
      </w:r>
      <w:r w:rsidRPr="006D5DC2">
        <w:rPr>
          <w:rFonts w:hint="eastAsia"/>
          <w:b/>
        </w:rPr>
        <w:lastRenderedPageBreak/>
        <w:t>使用，且廠商可設計裝拆口，</w:t>
      </w:r>
      <w:r w:rsidR="00C30FE6" w:rsidRPr="006D5DC2">
        <w:rPr>
          <w:rFonts w:hint="eastAsia"/>
          <w:b/>
        </w:rPr>
        <w:t>台電公司</w:t>
      </w:r>
      <w:r w:rsidRPr="006D5DC2">
        <w:rPr>
          <w:rFonts w:hint="eastAsia"/>
          <w:b/>
        </w:rPr>
        <w:t>105年以前</w:t>
      </w:r>
      <w:r w:rsidR="00C30FE6" w:rsidRPr="006D5DC2">
        <w:rPr>
          <w:rFonts w:hint="eastAsia"/>
          <w:b/>
        </w:rPr>
        <w:t>僅</w:t>
      </w:r>
      <w:r w:rsidRPr="006D5DC2">
        <w:rPr>
          <w:rFonts w:hint="eastAsia"/>
          <w:b/>
        </w:rPr>
        <w:t>訂</w:t>
      </w:r>
      <w:r w:rsidR="00C30FE6" w:rsidRPr="006D5DC2">
        <w:rPr>
          <w:rFonts w:hint="eastAsia"/>
          <w:b/>
        </w:rPr>
        <w:t>其</w:t>
      </w:r>
      <w:r w:rsidRPr="006D5DC2">
        <w:rPr>
          <w:rFonts w:hint="eastAsia"/>
          <w:b/>
        </w:rPr>
        <w:t>功能規範，並未列為重要原</w:t>
      </w:r>
      <w:r w:rsidR="003A4BAC" w:rsidRPr="006D5DC2">
        <w:rPr>
          <w:rFonts w:hint="eastAsia"/>
          <w:b/>
        </w:rPr>
        <w:t>件</w:t>
      </w:r>
      <w:r w:rsidRPr="006D5DC2">
        <w:rPr>
          <w:rFonts w:hint="eastAsia"/>
          <w:b/>
        </w:rPr>
        <w:t>管控範圍，核有疏失。</w:t>
      </w:r>
      <w:bookmarkEnd w:id="65"/>
      <w:bookmarkEnd w:id="66"/>
    </w:p>
    <w:p w:rsidR="00E118FA" w:rsidRPr="006D5DC2" w:rsidRDefault="00E118FA" w:rsidP="00E118FA">
      <w:pPr>
        <w:pStyle w:val="3"/>
      </w:pPr>
      <w:r w:rsidRPr="006D5DC2">
        <w:rPr>
          <w:rFonts w:hint="eastAsia"/>
        </w:rPr>
        <w:t>查台電公司智慧型電表之備用電池係停電期間供電表時鐘運轉使用，且廠商可設計拆裝口，在不需拆除檢定封印之情況下更換電池，屬備用電池且可更換。</w:t>
      </w:r>
      <w:r w:rsidR="00520DF2" w:rsidRPr="006D5DC2">
        <w:rPr>
          <w:rFonts w:hint="eastAsia"/>
        </w:rPr>
        <w:t>其功能規範，略以：</w:t>
      </w:r>
    </w:p>
    <w:p w:rsidR="00520DF2" w:rsidRPr="006D5DC2" w:rsidRDefault="00520DF2" w:rsidP="00520DF2">
      <w:pPr>
        <w:pStyle w:val="4"/>
      </w:pPr>
      <w:r w:rsidRPr="006D5DC2">
        <w:rPr>
          <w:rFonts w:hint="eastAsia"/>
        </w:rPr>
        <w:t>電池耐儲壽命達15年以上</w:t>
      </w:r>
      <w:r w:rsidR="000C1E33" w:rsidRPr="006D5DC2">
        <w:rPr>
          <w:rFonts w:hint="eastAsia"/>
        </w:rPr>
        <w:t>(</w:t>
      </w:r>
      <w:r w:rsidRPr="006D5DC2">
        <w:rPr>
          <w:rFonts w:hint="eastAsia"/>
        </w:rPr>
        <w:t>100年以前材料規範規定10年以上</w:t>
      </w:r>
      <w:r w:rsidR="000C1E33" w:rsidRPr="006D5DC2">
        <w:rPr>
          <w:rFonts w:hint="eastAsia"/>
        </w:rPr>
        <w:t>)</w:t>
      </w:r>
      <w:r w:rsidRPr="006D5DC2">
        <w:rPr>
          <w:rFonts w:hint="eastAsia"/>
        </w:rPr>
        <w:t>，其電量可供斷電時電表時鐘使用達15年以上</w:t>
      </w:r>
      <w:r w:rsidR="000C1E33" w:rsidRPr="006D5DC2">
        <w:rPr>
          <w:rFonts w:hint="eastAsia"/>
        </w:rPr>
        <w:t>(</w:t>
      </w:r>
      <w:r w:rsidRPr="006D5DC2">
        <w:rPr>
          <w:rFonts w:hint="eastAsia"/>
        </w:rPr>
        <w:t>100年以前材規規定8年以上</w:t>
      </w:r>
      <w:r w:rsidR="000C1E33" w:rsidRPr="006D5DC2">
        <w:rPr>
          <w:rFonts w:hint="eastAsia"/>
        </w:rPr>
        <w:t>)</w:t>
      </w:r>
      <w:r w:rsidRPr="006D5DC2">
        <w:rPr>
          <w:rFonts w:hint="eastAsia"/>
        </w:rPr>
        <w:t>可不具拆裝口。</w:t>
      </w:r>
    </w:p>
    <w:p w:rsidR="00520DF2" w:rsidRPr="006D5DC2" w:rsidRDefault="00520DF2" w:rsidP="00520DF2">
      <w:pPr>
        <w:pStyle w:val="4"/>
      </w:pPr>
      <w:r w:rsidRPr="006D5DC2">
        <w:rPr>
          <w:rFonts w:hint="eastAsia"/>
        </w:rPr>
        <w:t>具備電池裝拆口者，電池耐儲壽命達15年以上，其電量可供斷電時電表時鐘使用達360天以上。</w:t>
      </w:r>
    </w:p>
    <w:p w:rsidR="00520DF2" w:rsidRPr="006D5DC2" w:rsidRDefault="00520DF2" w:rsidP="00520DF2">
      <w:pPr>
        <w:pStyle w:val="4"/>
      </w:pPr>
      <w:r w:rsidRPr="006D5DC2">
        <w:rPr>
          <w:rFonts w:hint="eastAsia"/>
        </w:rPr>
        <w:t>試驗：定型試驗項目包括「備用電池電量持續時間試驗」，驗證電池是否合乎上述1.或2.之規定。</w:t>
      </w:r>
    </w:p>
    <w:p w:rsidR="00520DF2" w:rsidRPr="006D5DC2" w:rsidRDefault="00520DF2" w:rsidP="00520DF2">
      <w:pPr>
        <w:ind w:leftChars="300" w:left="1700" w:hangingChars="200" w:hanging="680"/>
      </w:pPr>
      <w:r w:rsidRPr="006D5DC2">
        <w:rPr>
          <w:rFonts w:hint="eastAsia"/>
        </w:rPr>
        <w:t>註：電池耐儲壽命</w:t>
      </w:r>
      <w:r w:rsidR="000C1E33" w:rsidRPr="006D5DC2">
        <w:rPr>
          <w:rFonts w:hint="eastAsia"/>
        </w:rPr>
        <w:t>(</w:t>
      </w:r>
      <w:r w:rsidRPr="006D5DC2">
        <w:rPr>
          <w:rFonts w:hint="eastAsia"/>
        </w:rPr>
        <w:t>Shelf Life</w:t>
      </w:r>
      <w:r w:rsidR="000C1E33" w:rsidRPr="006D5DC2">
        <w:rPr>
          <w:rFonts w:hint="eastAsia"/>
        </w:rPr>
        <w:t>)</w:t>
      </w:r>
      <w:r w:rsidRPr="006D5DC2">
        <w:rPr>
          <w:rFonts w:hint="eastAsia"/>
        </w:rPr>
        <w:t>即電池在未使用情形下之保存年限。</w:t>
      </w:r>
    </w:p>
    <w:p w:rsidR="00E118FA" w:rsidRPr="006D5DC2" w:rsidRDefault="00E118FA" w:rsidP="00E118FA">
      <w:pPr>
        <w:pStyle w:val="3"/>
      </w:pPr>
      <w:r w:rsidRPr="006D5DC2">
        <w:rPr>
          <w:rFonts w:hint="eastAsia"/>
        </w:rPr>
        <w:t>惟查</w:t>
      </w:r>
      <w:r w:rsidR="0031428B" w:rsidRPr="006D5DC2">
        <w:rPr>
          <w:rFonts w:hint="eastAsia"/>
        </w:rPr>
        <w:t>台電</w:t>
      </w:r>
      <w:r w:rsidRPr="006D5DC2">
        <w:rPr>
          <w:rFonts w:hint="eastAsia"/>
        </w:rPr>
        <w:t>公司</w:t>
      </w:r>
      <w:r w:rsidR="0031428B" w:rsidRPr="006D5DC2">
        <w:rPr>
          <w:rFonts w:hint="eastAsia"/>
        </w:rPr>
        <w:t>材料規範，</w:t>
      </w:r>
      <w:r w:rsidRPr="006D5DC2">
        <w:rPr>
          <w:rFonts w:hint="eastAsia"/>
        </w:rPr>
        <w:t>105年以前</w:t>
      </w:r>
      <w:r w:rsidR="0031428B" w:rsidRPr="006D5DC2">
        <w:rPr>
          <w:rFonts w:hint="eastAsia"/>
        </w:rPr>
        <w:t>僅</w:t>
      </w:r>
      <w:r w:rsidR="0019337E" w:rsidRPr="006D5DC2">
        <w:rPr>
          <w:rFonts w:hint="eastAsia"/>
        </w:rPr>
        <w:t>訂定</w:t>
      </w:r>
      <w:r w:rsidR="0031428B" w:rsidRPr="006D5DC2">
        <w:rPr>
          <w:rFonts w:hint="eastAsia"/>
        </w:rPr>
        <w:t>功能規範，</w:t>
      </w:r>
      <w:r w:rsidRPr="006D5DC2">
        <w:rPr>
          <w:rFonts w:hint="eastAsia"/>
        </w:rPr>
        <w:t>並未將備用電池列為重要元件管控範圍。</w:t>
      </w:r>
      <w:r w:rsidR="0031428B" w:rsidRPr="006D5DC2">
        <w:rPr>
          <w:rFonts w:hint="eastAsia"/>
        </w:rPr>
        <w:t>迄106年為管控電表品質，始要求電子式電表合格廠商提供重要電子元件及備用電池之廠牌、型號送台電公司審查，並納入認可圖面管控</w:t>
      </w:r>
      <w:r w:rsidR="00AA1D7A" w:rsidRPr="006D5DC2">
        <w:rPr>
          <w:rFonts w:hint="eastAsia"/>
        </w:rPr>
        <w:t>。</w:t>
      </w:r>
      <w:r w:rsidR="0031428B" w:rsidRPr="006D5DC2">
        <w:rPr>
          <w:rFonts w:hint="eastAsia"/>
        </w:rPr>
        <w:t>新增之管控項目認可圖面已於106年3月經台電公司核定，同年4月起開始管控。</w:t>
      </w:r>
    </w:p>
    <w:p w:rsidR="0031428B" w:rsidRPr="006D5DC2" w:rsidRDefault="0031428B" w:rsidP="00C30FE6">
      <w:pPr>
        <w:pStyle w:val="3"/>
      </w:pPr>
      <w:r w:rsidRPr="006D5DC2">
        <w:rPr>
          <w:rFonts w:hint="eastAsia"/>
        </w:rPr>
        <w:t>綜上，</w:t>
      </w:r>
      <w:r w:rsidR="00C30FE6" w:rsidRPr="006D5DC2">
        <w:rPr>
          <w:rFonts w:hint="eastAsia"/>
        </w:rPr>
        <w:t>智慧型電表之備用電池係停電期間供電表時鐘運轉使用，且廠商可設計裝拆口，台電公司105年以前僅訂功能規範，並未列為重要原</w:t>
      </w:r>
      <w:r w:rsidR="003A4BAC" w:rsidRPr="006D5DC2">
        <w:rPr>
          <w:rFonts w:hint="eastAsia"/>
        </w:rPr>
        <w:t>件</w:t>
      </w:r>
      <w:r w:rsidR="00C30FE6" w:rsidRPr="006D5DC2">
        <w:rPr>
          <w:rFonts w:hint="eastAsia"/>
        </w:rPr>
        <w:t>管控範圍，核有疏失。</w:t>
      </w:r>
    </w:p>
    <w:bookmarkEnd w:id="54"/>
    <w:p w:rsidR="003A5927" w:rsidRPr="006D5DC2" w:rsidRDefault="003A5927" w:rsidP="00DE4238">
      <w:pPr>
        <w:pStyle w:val="31"/>
        <w:ind w:left="1361" w:firstLine="680"/>
      </w:pPr>
    </w:p>
    <w:p w:rsidR="003A5927" w:rsidRPr="006D5DC2" w:rsidRDefault="003A5927" w:rsidP="00DE4238">
      <w:pPr>
        <w:pStyle w:val="31"/>
        <w:ind w:left="1361" w:firstLine="680"/>
      </w:pPr>
    </w:p>
    <w:p w:rsidR="00E25849" w:rsidRPr="006D5DC2" w:rsidRDefault="00E25849" w:rsidP="004E05A1">
      <w:pPr>
        <w:pStyle w:val="1"/>
        <w:ind w:left="2380" w:hanging="2380"/>
      </w:pPr>
      <w:bookmarkStart w:id="67" w:name="_Toc524895648"/>
      <w:bookmarkStart w:id="68" w:name="_Toc524896194"/>
      <w:bookmarkStart w:id="69" w:name="_Toc524896224"/>
      <w:bookmarkStart w:id="70" w:name="_Toc524902734"/>
      <w:bookmarkStart w:id="71" w:name="_Toc525066148"/>
      <w:bookmarkStart w:id="72" w:name="_Toc525070839"/>
      <w:bookmarkStart w:id="73" w:name="_Toc525938379"/>
      <w:bookmarkStart w:id="74" w:name="_Toc525939227"/>
      <w:bookmarkStart w:id="75" w:name="_Toc525939732"/>
      <w:bookmarkStart w:id="76" w:name="_Toc529218272"/>
      <w:bookmarkEnd w:id="51"/>
      <w:r w:rsidRPr="006D5DC2">
        <w:br w:type="page"/>
      </w:r>
      <w:bookmarkStart w:id="77" w:name="_Toc529222689"/>
      <w:bookmarkStart w:id="78" w:name="_Toc529223111"/>
      <w:bookmarkStart w:id="79" w:name="_Toc529223862"/>
      <w:bookmarkStart w:id="80" w:name="_Toc529228265"/>
      <w:bookmarkStart w:id="81" w:name="_Toc2400395"/>
      <w:bookmarkStart w:id="82" w:name="_Toc4316189"/>
      <w:bookmarkStart w:id="83" w:name="_Toc4473330"/>
      <w:bookmarkStart w:id="84" w:name="_Toc69556897"/>
      <w:bookmarkStart w:id="85" w:name="_Toc69556946"/>
      <w:bookmarkStart w:id="86" w:name="_Toc69609820"/>
      <w:bookmarkStart w:id="87" w:name="_Toc70241816"/>
      <w:bookmarkStart w:id="88" w:name="_Toc70242205"/>
      <w:bookmarkStart w:id="89" w:name="_Toc421794875"/>
      <w:bookmarkStart w:id="90" w:name="_Toc22114185"/>
      <w:bookmarkStart w:id="91" w:name="_Toc23164735"/>
      <w:r w:rsidRPr="006D5DC2">
        <w:rPr>
          <w:rFonts w:hint="eastAsia"/>
        </w:rPr>
        <w:lastRenderedPageBreak/>
        <w:t>處理辦法：</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7804FA" w:rsidRPr="006D5DC2">
        <w:t xml:space="preserve"> </w:t>
      </w:r>
    </w:p>
    <w:p w:rsidR="00FB7770" w:rsidRPr="006D5DC2" w:rsidRDefault="0057486C" w:rsidP="00770453">
      <w:pPr>
        <w:pStyle w:val="2"/>
        <w:spacing w:beforeLines="25" w:before="114"/>
        <w:ind w:left="1020" w:hanging="680"/>
      </w:pPr>
      <w:bookmarkStart w:id="92" w:name="_Toc524895649"/>
      <w:bookmarkStart w:id="93" w:name="_Toc524896195"/>
      <w:bookmarkStart w:id="94" w:name="_Toc524896225"/>
      <w:bookmarkStart w:id="95" w:name="_Toc70241820"/>
      <w:bookmarkStart w:id="96" w:name="_Toc70242209"/>
      <w:bookmarkStart w:id="97" w:name="_Toc421794876"/>
      <w:bookmarkStart w:id="98" w:name="_Toc421795442"/>
      <w:bookmarkStart w:id="99" w:name="_Toc421796023"/>
      <w:bookmarkStart w:id="100" w:name="_Toc422728958"/>
      <w:bookmarkStart w:id="101" w:name="_Toc422834161"/>
      <w:bookmarkStart w:id="102" w:name="_Toc22114186"/>
      <w:bookmarkStart w:id="103" w:name="_Toc23164736"/>
      <w:bookmarkStart w:id="104" w:name="_Toc2400396"/>
      <w:bookmarkStart w:id="105" w:name="_Toc4316190"/>
      <w:bookmarkStart w:id="106" w:name="_Toc4473331"/>
      <w:bookmarkStart w:id="107" w:name="_Toc69556898"/>
      <w:bookmarkStart w:id="108" w:name="_Toc69556947"/>
      <w:bookmarkStart w:id="109" w:name="_Toc69609821"/>
      <w:bookmarkStart w:id="110" w:name="_Toc70241817"/>
      <w:bookmarkStart w:id="111" w:name="_Toc70242206"/>
      <w:bookmarkStart w:id="112" w:name="_Toc524902735"/>
      <w:bookmarkStart w:id="113" w:name="_Toc525066149"/>
      <w:bookmarkStart w:id="114" w:name="_Toc525070840"/>
      <w:bookmarkStart w:id="115" w:name="_Toc525938380"/>
      <w:bookmarkStart w:id="116" w:name="_Toc525939228"/>
      <w:bookmarkStart w:id="117" w:name="_Toc525939733"/>
      <w:bookmarkStart w:id="118" w:name="_Toc529218273"/>
      <w:bookmarkStart w:id="119" w:name="_Toc529222690"/>
      <w:bookmarkStart w:id="120" w:name="_Toc529223112"/>
      <w:bookmarkStart w:id="121" w:name="_Toc529223863"/>
      <w:bookmarkStart w:id="122" w:name="_Toc529228266"/>
      <w:bookmarkEnd w:id="92"/>
      <w:bookmarkEnd w:id="93"/>
      <w:bookmarkEnd w:id="94"/>
      <w:r>
        <w:rPr>
          <w:rFonts w:hint="eastAsia"/>
        </w:rPr>
        <w:t>抄</w:t>
      </w:r>
      <w:r w:rsidR="00FB7770" w:rsidRPr="006D5DC2">
        <w:rPr>
          <w:rFonts w:hint="eastAsia"/>
        </w:rPr>
        <w:t>調查意見</w:t>
      </w:r>
      <w:r w:rsidR="00A90D6A" w:rsidRPr="006D5DC2">
        <w:rPr>
          <w:rFonts w:hint="eastAsia"/>
        </w:rPr>
        <w:t>一至三</w:t>
      </w:r>
      <w:r w:rsidR="00FB7770" w:rsidRPr="006D5DC2">
        <w:rPr>
          <w:rFonts w:hint="eastAsia"/>
        </w:rPr>
        <w:t>，提案糾正</w:t>
      </w:r>
      <w:r w:rsidR="00583DB2" w:rsidRPr="006D5DC2">
        <w:rPr>
          <w:rFonts w:hint="eastAsia"/>
        </w:rPr>
        <w:t>經濟部暨所屬台灣電力股份有限公司</w:t>
      </w:r>
      <w:bookmarkEnd w:id="95"/>
      <w:bookmarkEnd w:id="96"/>
      <w:bookmarkEnd w:id="97"/>
      <w:bookmarkEnd w:id="98"/>
      <w:bookmarkEnd w:id="99"/>
      <w:bookmarkEnd w:id="100"/>
      <w:bookmarkEnd w:id="101"/>
      <w:r w:rsidR="00583DB2" w:rsidRPr="006D5DC2">
        <w:rPr>
          <w:rFonts w:hint="eastAsia"/>
        </w:rPr>
        <w:t>。</w:t>
      </w:r>
      <w:bookmarkEnd w:id="102"/>
      <w:bookmarkEnd w:id="103"/>
    </w:p>
    <w:p w:rsidR="00E25849" w:rsidRPr="006D5DC2" w:rsidRDefault="0057486C">
      <w:pPr>
        <w:pStyle w:val="2"/>
      </w:pPr>
      <w:bookmarkStart w:id="123" w:name="_Toc421794877"/>
      <w:bookmarkStart w:id="124" w:name="_Toc421795443"/>
      <w:bookmarkStart w:id="125" w:name="_Toc421796024"/>
      <w:bookmarkStart w:id="126" w:name="_Toc422728959"/>
      <w:bookmarkStart w:id="127" w:name="_Toc422834162"/>
      <w:bookmarkStart w:id="128" w:name="_Toc22114187"/>
      <w:bookmarkStart w:id="129" w:name="_Toc23164737"/>
      <w:r>
        <w:rPr>
          <w:rFonts w:hint="eastAsia"/>
        </w:rPr>
        <w:t>抄</w:t>
      </w:r>
      <w:r w:rsidR="00E25849" w:rsidRPr="006D5DC2">
        <w:rPr>
          <w:rFonts w:hint="eastAsia"/>
        </w:rPr>
        <w:t>調查意見</w:t>
      </w:r>
      <w:r w:rsidR="00A90D6A" w:rsidRPr="006D5DC2">
        <w:rPr>
          <w:rFonts w:hint="eastAsia"/>
        </w:rPr>
        <w:t>四至六</w:t>
      </w:r>
      <w:r w:rsidR="00E25849" w:rsidRPr="006D5DC2">
        <w:rPr>
          <w:rFonts w:hint="eastAsia"/>
        </w:rPr>
        <w:t>，函請</w:t>
      </w:r>
      <w:r w:rsidR="00A90D6A" w:rsidRPr="006D5DC2">
        <w:rPr>
          <w:rFonts w:hint="eastAsia"/>
        </w:rPr>
        <w:t>台灣電力股份有限公司</w:t>
      </w:r>
      <w:r w:rsidR="00E25849" w:rsidRPr="006D5DC2">
        <w:rPr>
          <w:rFonts w:hint="eastAsia"/>
        </w:rPr>
        <w:t>確實檢討改進見復。</w:t>
      </w:r>
      <w:bookmarkEnd w:id="104"/>
      <w:bookmarkEnd w:id="105"/>
      <w:bookmarkEnd w:id="106"/>
      <w:bookmarkEnd w:id="107"/>
      <w:bookmarkEnd w:id="108"/>
      <w:bookmarkEnd w:id="109"/>
      <w:bookmarkEnd w:id="110"/>
      <w:bookmarkEnd w:id="111"/>
      <w:bookmarkEnd w:id="123"/>
      <w:bookmarkEnd w:id="124"/>
      <w:bookmarkEnd w:id="125"/>
      <w:bookmarkEnd w:id="126"/>
      <w:bookmarkEnd w:id="127"/>
      <w:bookmarkEnd w:id="128"/>
      <w:bookmarkEnd w:id="129"/>
    </w:p>
    <w:p w:rsidR="00583DB2" w:rsidRPr="006D5DC2" w:rsidRDefault="0057486C">
      <w:pPr>
        <w:pStyle w:val="2"/>
      </w:pPr>
      <w:bookmarkStart w:id="130" w:name="_Toc22114188"/>
      <w:bookmarkStart w:id="131" w:name="_Toc23164738"/>
      <w:r>
        <w:rPr>
          <w:rFonts w:hint="eastAsia"/>
        </w:rPr>
        <w:t>抄</w:t>
      </w:r>
      <w:r w:rsidR="00583DB2" w:rsidRPr="006D5DC2">
        <w:rPr>
          <w:rFonts w:hint="eastAsia"/>
        </w:rPr>
        <w:t>調查意見一至</w:t>
      </w:r>
      <w:r w:rsidR="00A90D6A" w:rsidRPr="006D5DC2">
        <w:rPr>
          <w:rFonts w:hint="eastAsia"/>
        </w:rPr>
        <w:t>六</w:t>
      </w:r>
      <w:r w:rsidR="00583DB2" w:rsidRPr="006D5DC2">
        <w:rPr>
          <w:rFonts w:hint="eastAsia"/>
        </w:rPr>
        <w:t>，函復陳訴人。</w:t>
      </w:r>
      <w:bookmarkEnd w:id="130"/>
      <w:bookmarkEnd w:id="131"/>
    </w:p>
    <w:p w:rsidR="00E25849" w:rsidRPr="006D5DC2" w:rsidRDefault="00843D0F">
      <w:pPr>
        <w:pStyle w:val="2"/>
      </w:pPr>
      <w:bookmarkStart w:id="132" w:name="_Toc69556899"/>
      <w:bookmarkStart w:id="133" w:name="_Toc69556948"/>
      <w:bookmarkStart w:id="134" w:name="_Toc69609822"/>
      <w:r w:rsidRPr="006D5DC2">
        <w:rPr>
          <w:rFonts w:hint="eastAsia"/>
        </w:rPr>
        <w:tab/>
      </w:r>
      <w:bookmarkStart w:id="135" w:name="_Toc2400397"/>
      <w:bookmarkStart w:id="136" w:name="_Toc4316191"/>
      <w:bookmarkStart w:id="137" w:name="_Toc4473332"/>
      <w:bookmarkStart w:id="138" w:name="_Toc69556901"/>
      <w:bookmarkStart w:id="139" w:name="_Toc69556950"/>
      <w:bookmarkStart w:id="140" w:name="_Toc69609824"/>
      <w:bookmarkStart w:id="141" w:name="_Toc70241822"/>
      <w:bookmarkStart w:id="142" w:name="_Toc70242211"/>
      <w:bookmarkStart w:id="143" w:name="_Toc421794881"/>
      <w:bookmarkStart w:id="144" w:name="_Toc421795447"/>
      <w:bookmarkStart w:id="145" w:name="_Toc421796028"/>
      <w:bookmarkStart w:id="146" w:name="_Toc422728963"/>
      <w:bookmarkStart w:id="147" w:name="_Toc422834166"/>
      <w:bookmarkStart w:id="148" w:name="_Toc22114190"/>
      <w:bookmarkStart w:id="149" w:name="_Toc23164739"/>
      <w:bookmarkEnd w:id="112"/>
      <w:bookmarkEnd w:id="113"/>
      <w:bookmarkEnd w:id="114"/>
      <w:bookmarkEnd w:id="115"/>
      <w:bookmarkEnd w:id="116"/>
      <w:bookmarkEnd w:id="117"/>
      <w:bookmarkEnd w:id="118"/>
      <w:bookmarkEnd w:id="119"/>
      <w:bookmarkEnd w:id="120"/>
      <w:bookmarkEnd w:id="121"/>
      <w:bookmarkEnd w:id="122"/>
      <w:bookmarkEnd w:id="132"/>
      <w:bookmarkEnd w:id="133"/>
      <w:bookmarkEnd w:id="134"/>
      <w:r w:rsidR="0057486C">
        <w:rPr>
          <w:rFonts w:hint="eastAsia"/>
          <w:color w:val="000000"/>
        </w:rPr>
        <w:t>調查報告之案由、調查意見及處理辦法上網公布</w:t>
      </w:r>
      <w:r w:rsidR="00E25849" w:rsidRPr="006D5DC2">
        <w:rPr>
          <w:rFonts w:hint="eastAsia"/>
          <w:color w:val="000000"/>
        </w:rPr>
        <w:t>。</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770453" w:rsidRPr="006D5DC2" w:rsidRDefault="00770453" w:rsidP="00770453">
      <w:pPr>
        <w:pStyle w:val="a8"/>
        <w:spacing w:beforeLines="50" w:before="228" w:afterLines="100" w:after="457"/>
        <w:ind w:leftChars="1100" w:left="3742"/>
        <w:rPr>
          <w:b w:val="0"/>
          <w:bCs/>
          <w:snapToGrid/>
          <w:spacing w:val="12"/>
          <w:kern w:val="0"/>
          <w:sz w:val="40"/>
        </w:rPr>
      </w:pPr>
    </w:p>
    <w:p w:rsidR="00E25849" w:rsidRPr="006D5DC2" w:rsidRDefault="00E25849" w:rsidP="0057486C">
      <w:pPr>
        <w:pStyle w:val="a8"/>
        <w:spacing w:before="0" w:after="0"/>
        <w:ind w:leftChars="800" w:left="2721"/>
        <w:rPr>
          <w:b w:val="0"/>
          <w:bCs/>
          <w:snapToGrid/>
          <w:spacing w:val="12"/>
          <w:kern w:val="0"/>
          <w:sz w:val="40"/>
        </w:rPr>
      </w:pPr>
      <w:r w:rsidRPr="006D5DC2">
        <w:rPr>
          <w:rFonts w:hint="eastAsia"/>
          <w:b w:val="0"/>
          <w:bCs/>
          <w:snapToGrid/>
          <w:spacing w:val="12"/>
          <w:kern w:val="0"/>
          <w:sz w:val="40"/>
        </w:rPr>
        <w:t>調查委員：</w:t>
      </w:r>
      <w:r w:rsidR="0057486C" w:rsidRPr="0057486C">
        <w:rPr>
          <w:rFonts w:hint="eastAsia"/>
          <w:b w:val="0"/>
          <w:bCs/>
          <w:snapToGrid/>
          <w:spacing w:val="12"/>
          <w:kern w:val="0"/>
          <w:sz w:val="40"/>
        </w:rPr>
        <w:t>瓦歷斯･貝林</w:t>
      </w:r>
    </w:p>
    <w:p w:rsidR="00770453" w:rsidRPr="006D5DC2" w:rsidRDefault="0057486C" w:rsidP="005A0D7E">
      <w:pPr>
        <w:pStyle w:val="a8"/>
        <w:spacing w:before="0" w:after="0"/>
        <w:ind w:leftChars="1470" w:left="5000"/>
        <w:rPr>
          <w:rFonts w:ascii="Times New Roman"/>
          <w:b w:val="0"/>
          <w:bCs/>
          <w:snapToGrid/>
          <w:spacing w:val="0"/>
          <w:kern w:val="0"/>
          <w:sz w:val="40"/>
        </w:rPr>
      </w:pPr>
      <w:r>
        <w:rPr>
          <w:rFonts w:ascii="Times New Roman" w:hint="eastAsia"/>
          <w:b w:val="0"/>
          <w:bCs/>
          <w:snapToGrid/>
          <w:spacing w:val="0"/>
          <w:kern w:val="0"/>
          <w:sz w:val="40"/>
        </w:rPr>
        <w:t>陳師孟</w:t>
      </w:r>
    </w:p>
    <w:p w:rsidR="009529D5" w:rsidRPr="006D5DC2" w:rsidRDefault="009529D5" w:rsidP="00770453">
      <w:pPr>
        <w:pStyle w:val="a8"/>
        <w:spacing w:before="0" w:after="0"/>
        <w:ind w:leftChars="1100" w:left="3742"/>
        <w:rPr>
          <w:rFonts w:ascii="Times New Roman"/>
          <w:b w:val="0"/>
          <w:bCs/>
          <w:snapToGrid/>
          <w:spacing w:val="0"/>
          <w:kern w:val="0"/>
          <w:sz w:val="40"/>
        </w:rPr>
      </w:pPr>
    </w:p>
    <w:p w:rsidR="0057486C" w:rsidRDefault="0057486C">
      <w:pPr>
        <w:pStyle w:val="ad"/>
        <w:rPr>
          <w:rFonts w:hAnsi="標楷體"/>
          <w:bCs/>
        </w:rPr>
      </w:pPr>
    </w:p>
    <w:p w:rsidR="0057486C" w:rsidRDefault="0057486C">
      <w:pPr>
        <w:pStyle w:val="ad"/>
        <w:rPr>
          <w:rFonts w:hAnsi="標楷體"/>
          <w:bCs/>
        </w:rPr>
      </w:pPr>
    </w:p>
    <w:p w:rsidR="0057486C" w:rsidRDefault="0057486C">
      <w:pPr>
        <w:pStyle w:val="ad"/>
        <w:rPr>
          <w:rFonts w:hAnsi="標楷體"/>
          <w:bCs/>
        </w:rPr>
      </w:pPr>
    </w:p>
    <w:p w:rsidR="00E25849" w:rsidRPr="006D5DC2" w:rsidRDefault="00E25849">
      <w:pPr>
        <w:pStyle w:val="ad"/>
        <w:rPr>
          <w:rFonts w:hAnsi="標楷體"/>
          <w:bCs/>
        </w:rPr>
      </w:pPr>
      <w:r w:rsidRPr="006D5DC2">
        <w:rPr>
          <w:rFonts w:hAnsi="標楷體" w:hint="eastAsia"/>
          <w:bCs/>
        </w:rPr>
        <w:t>中</w:t>
      </w:r>
      <w:r w:rsidR="00B5484D" w:rsidRPr="006D5DC2">
        <w:rPr>
          <w:rFonts w:hAnsi="標楷體" w:hint="eastAsia"/>
          <w:bCs/>
        </w:rPr>
        <w:t xml:space="preserve">  </w:t>
      </w:r>
      <w:r w:rsidRPr="006D5DC2">
        <w:rPr>
          <w:rFonts w:hAnsi="標楷體" w:hint="eastAsia"/>
          <w:bCs/>
        </w:rPr>
        <w:t>華</w:t>
      </w:r>
      <w:r w:rsidR="00B5484D" w:rsidRPr="006D5DC2">
        <w:rPr>
          <w:rFonts w:hAnsi="標楷體" w:hint="eastAsia"/>
          <w:bCs/>
        </w:rPr>
        <w:t xml:space="preserve">  </w:t>
      </w:r>
      <w:r w:rsidRPr="006D5DC2">
        <w:rPr>
          <w:rFonts w:hAnsi="標楷體" w:hint="eastAsia"/>
          <w:bCs/>
        </w:rPr>
        <w:t>民</w:t>
      </w:r>
      <w:r w:rsidR="00B5484D" w:rsidRPr="006D5DC2">
        <w:rPr>
          <w:rFonts w:hAnsi="標楷體" w:hint="eastAsia"/>
          <w:bCs/>
        </w:rPr>
        <w:t xml:space="preserve">  </w:t>
      </w:r>
      <w:r w:rsidRPr="006D5DC2">
        <w:rPr>
          <w:rFonts w:hAnsi="標楷體" w:hint="eastAsia"/>
          <w:bCs/>
        </w:rPr>
        <w:t xml:space="preserve">國　</w:t>
      </w:r>
      <w:r w:rsidR="001E74C2" w:rsidRPr="006D5DC2">
        <w:rPr>
          <w:rFonts w:hAnsi="標楷體" w:hint="eastAsia"/>
          <w:bCs/>
        </w:rPr>
        <w:t>10</w:t>
      </w:r>
      <w:r w:rsidR="005D71B7" w:rsidRPr="006D5DC2">
        <w:rPr>
          <w:rFonts w:hAnsi="標楷體" w:hint="eastAsia"/>
          <w:bCs/>
        </w:rPr>
        <w:t>8</w:t>
      </w:r>
      <w:r w:rsidRPr="006D5DC2">
        <w:rPr>
          <w:rFonts w:hAnsi="標楷體" w:hint="eastAsia"/>
          <w:bCs/>
        </w:rPr>
        <w:t xml:space="preserve">　年　</w:t>
      </w:r>
      <w:r w:rsidR="00583DB2" w:rsidRPr="006D5DC2">
        <w:rPr>
          <w:rFonts w:hAnsi="標楷體" w:hint="eastAsia"/>
          <w:bCs/>
        </w:rPr>
        <w:t>1</w:t>
      </w:r>
      <w:r w:rsidR="0057486C">
        <w:rPr>
          <w:rFonts w:hAnsi="標楷體" w:hint="eastAsia"/>
          <w:bCs/>
        </w:rPr>
        <w:t>1</w:t>
      </w:r>
      <w:r w:rsidR="00A07B4B" w:rsidRPr="006D5DC2">
        <w:rPr>
          <w:rFonts w:hAnsi="標楷體" w:hint="eastAsia"/>
          <w:bCs/>
        </w:rPr>
        <w:t xml:space="preserve"> </w:t>
      </w:r>
      <w:r w:rsidRPr="006D5DC2">
        <w:rPr>
          <w:rFonts w:hAnsi="標楷體" w:hint="eastAsia"/>
          <w:bCs/>
        </w:rPr>
        <w:t xml:space="preserve">　月　</w:t>
      </w:r>
      <w:r w:rsidR="005A0D7E">
        <w:rPr>
          <w:rFonts w:hAnsi="標楷體"/>
          <w:bCs/>
        </w:rPr>
        <w:t>19</w:t>
      </w:r>
      <w:r w:rsidRPr="006D5DC2">
        <w:rPr>
          <w:rFonts w:hAnsi="標楷體" w:hint="eastAsia"/>
          <w:bCs/>
        </w:rPr>
        <w:t xml:space="preserve">　日</w:t>
      </w:r>
    </w:p>
    <w:p w:rsidR="00416721" w:rsidRPr="003A1296" w:rsidRDefault="00416721" w:rsidP="00A07B4B">
      <w:pPr>
        <w:pStyle w:val="ae"/>
        <w:kinsoku/>
        <w:autoSpaceDE w:val="0"/>
        <w:spacing w:beforeLines="50" w:before="228"/>
        <w:ind w:left="1020" w:hanging="1020"/>
        <w:rPr>
          <w:bCs/>
        </w:rPr>
      </w:pPr>
    </w:p>
    <w:p w:rsidR="00B77D18" w:rsidRPr="00F816CB" w:rsidRDefault="00B77D18" w:rsidP="00D07368">
      <w:pPr>
        <w:widowControl/>
        <w:overflowPunct/>
        <w:autoSpaceDE/>
        <w:autoSpaceDN/>
        <w:jc w:val="left"/>
        <w:rPr>
          <w:szCs w:val="32"/>
        </w:rPr>
      </w:pPr>
    </w:p>
    <w:sectPr w:rsidR="00B77D18" w:rsidRPr="00F816C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725" w:rsidRDefault="00584725">
      <w:r>
        <w:separator/>
      </w:r>
    </w:p>
  </w:endnote>
  <w:endnote w:type="continuationSeparator" w:id="0">
    <w:p w:rsidR="00584725" w:rsidRDefault="0058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2C3" w:rsidRDefault="005762C3">
    <w:pPr>
      <w:pStyle w:val="af1"/>
      <w:framePr w:wrap="around" w:vAnchor="text" w:hAnchor="margin" w:xAlign="center" w:y="1"/>
      <w:rPr>
        <w:rStyle w:val="aa"/>
        <w:sz w:val="24"/>
      </w:rPr>
    </w:pPr>
    <w:r>
      <w:rPr>
        <w:rStyle w:val="aa"/>
        <w:sz w:val="24"/>
      </w:rPr>
      <w:fldChar w:fldCharType="begin"/>
    </w:r>
    <w:r>
      <w:rPr>
        <w:rStyle w:val="aa"/>
        <w:sz w:val="24"/>
      </w:rPr>
      <w:instrText xml:space="preserve">PAGE  </w:instrText>
    </w:r>
    <w:r>
      <w:rPr>
        <w:rStyle w:val="aa"/>
        <w:sz w:val="24"/>
      </w:rPr>
      <w:fldChar w:fldCharType="separate"/>
    </w:r>
    <w:r w:rsidR="00363392">
      <w:rPr>
        <w:rStyle w:val="aa"/>
        <w:noProof/>
        <w:sz w:val="24"/>
      </w:rPr>
      <w:t>8</w:t>
    </w:r>
    <w:r>
      <w:rPr>
        <w:rStyle w:val="aa"/>
        <w:sz w:val="24"/>
      </w:rPr>
      <w:fldChar w:fldCharType="end"/>
    </w:r>
  </w:p>
  <w:p w:rsidR="005762C3" w:rsidRDefault="005762C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725" w:rsidRDefault="00584725">
      <w:r>
        <w:separator/>
      </w:r>
    </w:p>
  </w:footnote>
  <w:footnote w:type="continuationSeparator" w:id="0">
    <w:p w:rsidR="00584725" w:rsidRDefault="00584725">
      <w:r>
        <w:continuationSeparator/>
      </w:r>
    </w:p>
  </w:footnote>
  <w:footnote w:id="1">
    <w:p w:rsidR="005762C3" w:rsidRDefault="005762C3" w:rsidP="006841A9">
      <w:pPr>
        <w:pStyle w:val="afc"/>
        <w:ind w:left="238" w:hangingChars="108" w:hanging="238"/>
      </w:pPr>
      <w:r>
        <w:rPr>
          <w:rStyle w:val="afe"/>
        </w:rPr>
        <w:footnoteRef/>
      </w:r>
      <w:r>
        <w:t xml:space="preserve"> </w:t>
      </w:r>
      <w:r>
        <w:rPr>
          <w:rFonts w:hint="eastAsia"/>
        </w:rPr>
        <w:t>與「智慧型電表基礎建設推動方案」規劃第2階段(100年至101年)</w:t>
      </w:r>
      <w:r w:rsidRPr="00690DB1">
        <w:rPr>
          <w:rFonts w:hint="eastAsia"/>
        </w:rPr>
        <w:t>完成所有高壓用戶</w:t>
      </w:r>
      <w:r>
        <w:rPr>
          <w:rFonts w:hint="eastAsia"/>
        </w:rPr>
        <w:t>布建相較，落後3年。</w:t>
      </w:r>
    </w:p>
  </w:footnote>
  <w:footnote w:id="2">
    <w:p w:rsidR="005762C3" w:rsidRDefault="005762C3" w:rsidP="006841A9">
      <w:pPr>
        <w:pStyle w:val="afc"/>
        <w:ind w:left="238" w:hangingChars="108" w:hanging="238"/>
      </w:pPr>
      <w:r>
        <w:rPr>
          <w:rStyle w:val="afe"/>
        </w:rPr>
        <w:footnoteRef/>
      </w:r>
      <w:r>
        <w:rPr>
          <w:rFonts w:hint="eastAsia"/>
        </w:rPr>
        <w:t xml:space="preserve"> 與「智慧型電表基礎建設推動方案」規劃第3階段(102年至104年)建置100萬戶電表相較，尚無落後。</w:t>
      </w:r>
    </w:p>
  </w:footnote>
  <w:footnote w:id="3">
    <w:p w:rsidR="005762C3" w:rsidRPr="00855E3F" w:rsidRDefault="005762C3" w:rsidP="00855E3F">
      <w:pPr>
        <w:pStyle w:val="afc"/>
        <w:ind w:left="284" w:hangingChars="129" w:hanging="284"/>
      </w:pPr>
      <w:r>
        <w:rPr>
          <w:rStyle w:val="afe"/>
        </w:rPr>
        <w:footnoteRef/>
      </w:r>
      <w:r>
        <w:rPr>
          <w:rFonts w:hint="eastAsia"/>
        </w:rPr>
        <w:t xml:space="preserve"> </w:t>
      </w:r>
      <w:r w:rsidRPr="00CC6074">
        <w:rPr>
          <w:rFonts w:hint="eastAsia"/>
        </w:rPr>
        <w:t>台電公司委託國立中山大學電機工程學系於101年3月1日至103年8月31日辦理「台電建置低壓AMI前期布建系統技術顧問、驗證及成本效益評估」研究案</w:t>
      </w:r>
      <w:r>
        <w:rPr>
          <w:rFonts w:hint="eastAsia"/>
        </w:rPr>
        <w:t>之分析</w:t>
      </w:r>
      <w:r w:rsidRPr="00855E3F">
        <w:rPr>
          <w:rFonts w:hint="eastAsia"/>
        </w:rPr>
        <w:t>。</w:t>
      </w:r>
    </w:p>
  </w:footnote>
  <w:footnote w:id="4">
    <w:p w:rsidR="005762C3" w:rsidRPr="004A5750" w:rsidRDefault="005762C3">
      <w:pPr>
        <w:pStyle w:val="afc"/>
      </w:pPr>
      <w:r>
        <w:rPr>
          <w:rStyle w:val="afe"/>
        </w:rPr>
        <w:footnoteRef/>
      </w:r>
      <w:r>
        <w:t xml:space="preserve"> </w:t>
      </w:r>
      <w:r>
        <w:rPr>
          <w:rFonts w:hint="eastAsia"/>
        </w:rPr>
        <w:t>未得標廠商華城藍吉爾股份有限公司、斯其大科技股份有限公司。</w:t>
      </w:r>
    </w:p>
  </w:footnote>
  <w:footnote w:id="5">
    <w:p w:rsidR="005762C3" w:rsidRPr="009C54FF" w:rsidRDefault="005762C3">
      <w:pPr>
        <w:pStyle w:val="afc"/>
      </w:pPr>
      <w:r>
        <w:rPr>
          <w:rStyle w:val="afe"/>
        </w:rPr>
        <w:footnoteRef/>
      </w:r>
      <w:r>
        <w:t xml:space="preserve"> </w:t>
      </w:r>
      <w:r>
        <w:rPr>
          <w:rFonts w:hint="eastAsia"/>
        </w:rPr>
        <w:t>驗收合格日起5年內之故障數。</w:t>
      </w:r>
    </w:p>
  </w:footnote>
  <w:footnote w:id="6">
    <w:p w:rsidR="005762C3" w:rsidRPr="00DB7918" w:rsidRDefault="005762C3" w:rsidP="00ED1560">
      <w:pPr>
        <w:pStyle w:val="afc"/>
        <w:ind w:left="141" w:hangingChars="64" w:hanging="141"/>
        <w:jc w:val="both"/>
      </w:pPr>
      <w:r>
        <w:rPr>
          <w:rStyle w:val="afe"/>
        </w:rPr>
        <w:footnoteRef/>
      </w:r>
      <w:r>
        <w:t xml:space="preserve"> </w:t>
      </w:r>
      <w:r>
        <w:rPr>
          <w:rFonts w:hint="eastAsia"/>
        </w:rPr>
        <w:t>依台電業務處材料標準Y334(98-09)3.1保證規定，自驗收合格日起5年內，同一契約案號電表(含選擇性配備)，其故障(不符合國家檢定標準)率達5%以上時，廠商須負責將器材全數回收並更換符合契約規範之檢定合格新品，且負擔衍生之相關費用。</w:t>
      </w:r>
    </w:p>
  </w:footnote>
  <w:footnote w:id="7">
    <w:p w:rsidR="005762C3" w:rsidRPr="0055562B" w:rsidRDefault="005762C3">
      <w:pPr>
        <w:pStyle w:val="afc"/>
      </w:pPr>
      <w:r>
        <w:rPr>
          <w:rStyle w:val="afe"/>
        </w:rPr>
        <w:footnoteRef/>
      </w:r>
      <w:r>
        <w:t xml:space="preserve"> </w:t>
      </w:r>
      <w:r>
        <w:rPr>
          <w:rFonts w:hint="eastAsia"/>
        </w:rPr>
        <w:t>同前註。</w:t>
      </w:r>
    </w:p>
  </w:footnote>
  <w:footnote w:id="8">
    <w:p w:rsidR="005762C3" w:rsidRPr="0055562B" w:rsidRDefault="005762C3" w:rsidP="00ED1560">
      <w:pPr>
        <w:pStyle w:val="afc"/>
        <w:ind w:left="141" w:hangingChars="64" w:hanging="141"/>
        <w:jc w:val="both"/>
      </w:pPr>
      <w:r>
        <w:rPr>
          <w:rStyle w:val="afe"/>
        </w:rPr>
        <w:footnoteRef/>
      </w:r>
      <w:r>
        <w:rPr>
          <w:rFonts w:hint="eastAsia"/>
        </w:rPr>
        <w:t xml:space="preserve"> 依台電業務處材料標準Y334(100-05)3.1保證規定，自驗收合格日起5年內，同一契約案號電表(含選擇性配備)，其故障(如不符合國家檢定標準或電子模組損壞等情形)率達1%以上時，廠商須負責將器材全數回收並更換符合契約規範之檢定合格新品，且負擔衍生之相關費用。</w:t>
      </w:r>
    </w:p>
  </w:footnote>
  <w:footnote w:id="9">
    <w:p w:rsidR="005762C3" w:rsidRDefault="005762C3" w:rsidP="00DB7918">
      <w:pPr>
        <w:pStyle w:val="afc"/>
      </w:pPr>
      <w:r>
        <w:rPr>
          <w:rStyle w:val="afe"/>
        </w:rPr>
        <w:footnoteRef/>
      </w:r>
      <w:r>
        <w:t xml:space="preserve"> </w:t>
      </w:r>
      <w:r>
        <w:rPr>
          <w:rFonts w:hint="eastAsia"/>
        </w:rPr>
        <w:t>分3批交貨，101.12.21為第3批驗收合格日。</w:t>
      </w:r>
    </w:p>
  </w:footnote>
  <w:footnote w:id="10">
    <w:p w:rsidR="005762C3" w:rsidRDefault="005762C3">
      <w:pPr>
        <w:pStyle w:val="afc"/>
      </w:pPr>
      <w:r>
        <w:rPr>
          <w:rStyle w:val="afe"/>
        </w:rPr>
        <w:footnoteRef/>
      </w:r>
      <w:r>
        <w:t xml:space="preserve"> </w:t>
      </w:r>
      <w:r>
        <w:rPr>
          <w:rFonts w:hint="eastAsia"/>
        </w:rPr>
        <w:t>同前註。</w:t>
      </w:r>
    </w:p>
  </w:footnote>
  <w:footnote w:id="11">
    <w:p w:rsidR="005762C3" w:rsidRPr="0031757A" w:rsidRDefault="005762C3">
      <w:pPr>
        <w:pStyle w:val="afc"/>
      </w:pPr>
      <w:r>
        <w:rPr>
          <w:rStyle w:val="afe"/>
        </w:rPr>
        <w:footnoteRef/>
      </w:r>
      <w:r>
        <w:rPr>
          <w:rFonts w:hint="eastAsia"/>
        </w:rPr>
        <w:t xml:space="preserve"> </w:t>
      </w:r>
      <w:r w:rsidRPr="0031757A">
        <w:rPr>
          <w:rFonts w:hint="eastAsia"/>
        </w:rPr>
        <w:t>材料標準規範(Y224)</w:t>
      </w:r>
      <w:r>
        <w:rPr>
          <w:rFonts w:hint="eastAsia"/>
        </w:rPr>
        <w:t>，</w:t>
      </w:r>
      <w:r w:rsidRPr="0031757A">
        <w:rPr>
          <w:rFonts w:hint="eastAsia"/>
        </w:rPr>
        <w:t>98-09版本要求5%；100-05版本要求1%</w:t>
      </w:r>
      <w:r>
        <w:rPr>
          <w:rFonts w:hint="eastAsia"/>
        </w:rPr>
        <w:t>。</w:t>
      </w:r>
    </w:p>
  </w:footnote>
  <w:footnote w:id="12">
    <w:p w:rsidR="005762C3" w:rsidRPr="00240288" w:rsidRDefault="005762C3" w:rsidP="0031757A">
      <w:pPr>
        <w:pStyle w:val="afc"/>
      </w:pPr>
      <w:r>
        <w:rPr>
          <w:rStyle w:val="afe"/>
        </w:rPr>
        <w:footnoteRef/>
      </w:r>
      <w:r>
        <w:t xml:space="preserve"> </w:t>
      </w:r>
      <w:r>
        <w:rPr>
          <w:rFonts w:hint="eastAsia"/>
        </w:rPr>
        <w:t>驗收後不履行保固責任者</w:t>
      </w:r>
      <w:r w:rsidRPr="00240288">
        <w:rPr>
          <w:rFonts w:hint="eastAsia"/>
        </w:rPr>
        <w:t>。</w:t>
      </w:r>
    </w:p>
  </w:footnote>
  <w:footnote w:id="13">
    <w:p w:rsidR="005762C3" w:rsidRDefault="005762C3" w:rsidP="0031757A">
      <w:pPr>
        <w:pStyle w:val="afc"/>
      </w:pPr>
      <w:r w:rsidRPr="00240288">
        <w:rPr>
          <w:rStyle w:val="afe"/>
        </w:rPr>
        <w:footnoteRef/>
      </w:r>
      <w:r w:rsidRPr="00240288">
        <w:t xml:space="preserve"> </w:t>
      </w:r>
      <w:r w:rsidRPr="00240288">
        <w:rPr>
          <w:rFonts w:hint="eastAsia"/>
        </w:rPr>
        <w:t>電材字第1078099473號函。</w:t>
      </w:r>
    </w:p>
  </w:footnote>
  <w:footnote w:id="14">
    <w:p w:rsidR="005762C3" w:rsidRPr="00B61EB1" w:rsidRDefault="005762C3" w:rsidP="00BF2C9A">
      <w:pPr>
        <w:pStyle w:val="afc"/>
      </w:pPr>
      <w:r>
        <w:rPr>
          <w:rStyle w:val="afe"/>
        </w:rPr>
        <w:footnoteRef/>
      </w:r>
      <w:r>
        <w:t xml:space="preserve"> </w:t>
      </w:r>
      <w:r>
        <w:rPr>
          <w:rFonts w:hint="eastAsia"/>
        </w:rPr>
        <w:t>訴之聲明</w:t>
      </w:r>
      <w:r>
        <w:rPr>
          <w:rFonts w:hAnsi="標楷體" w:hint="eastAsia"/>
        </w:rPr>
        <w:t>：</w:t>
      </w:r>
      <w:r>
        <w:rPr>
          <w:rFonts w:hint="eastAsia"/>
        </w:rPr>
        <w:t>被告(大同公司)應交付原告(台電公司)10,850具合格新品之智慧型電子式電表予原告。該案於</w:t>
      </w:r>
      <w:r w:rsidRPr="00BF2C9A">
        <w:rPr>
          <w:rFonts w:hint="eastAsia"/>
        </w:rPr>
        <w:t>108年8月28日進行一審第1次開庭，預計108年11月20日進行第2次開庭。</w:t>
      </w:r>
    </w:p>
  </w:footnote>
  <w:footnote w:id="15">
    <w:p w:rsidR="005762C3" w:rsidRPr="00AB17B7" w:rsidRDefault="005762C3">
      <w:pPr>
        <w:pStyle w:val="afc"/>
      </w:pPr>
      <w:r w:rsidRPr="00AB17B7">
        <w:rPr>
          <w:rStyle w:val="afe"/>
        </w:rPr>
        <w:footnoteRef/>
      </w:r>
      <w:r w:rsidRPr="00AB17B7">
        <w:rPr>
          <w:rFonts w:hint="eastAsia"/>
        </w:rPr>
        <w:t xml:space="preserve"> 請求確認他造當事人:「申請人所支付之產品應全數回收並支付全新產品及延長保固」主張為無理由。</w:t>
      </w:r>
    </w:p>
  </w:footnote>
  <w:footnote w:id="16">
    <w:p w:rsidR="005762C3" w:rsidRPr="00AB17B7" w:rsidRDefault="005762C3">
      <w:pPr>
        <w:pStyle w:val="afc"/>
      </w:pPr>
      <w:r w:rsidRPr="00AB17B7">
        <w:rPr>
          <w:rStyle w:val="afe"/>
        </w:rPr>
        <w:footnoteRef/>
      </w:r>
      <w:r w:rsidRPr="00AB17B7">
        <w:t xml:space="preserve"> </w:t>
      </w:r>
      <w:r w:rsidRPr="00AB17B7">
        <w:rPr>
          <w:rFonts w:hint="eastAsia"/>
        </w:rPr>
        <w:t>台電公司106年12月14日電密材字第1068121018號函。</w:t>
      </w:r>
    </w:p>
  </w:footnote>
  <w:footnote w:id="17">
    <w:p w:rsidR="005762C3" w:rsidRPr="00457963" w:rsidRDefault="005762C3">
      <w:pPr>
        <w:pStyle w:val="afc"/>
      </w:pPr>
      <w:r w:rsidRPr="00AB17B7">
        <w:rPr>
          <w:rStyle w:val="afe"/>
        </w:rPr>
        <w:footnoteRef/>
      </w:r>
      <w:r w:rsidRPr="00AB17B7">
        <w:t xml:space="preserve"> </w:t>
      </w:r>
      <w:r w:rsidRPr="00AB17B7">
        <w:rPr>
          <w:rFonts w:hint="eastAsia"/>
        </w:rPr>
        <w:t>異議所述之事項無理由，台電公司維持106年12月14日電密材字第1068121018號函之決定。</w:t>
      </w:r>
    </w:p>
  </w:footnote>
  <w:footnote w:id="18">
    <w:p w:rsidR="005762C3" w:rsidRPr="009F5A2E" w:rsidRDefault="005762C3" w:rsidP="00AC339E">
      <w:pPr>
        <w:pStyle w:val="afc"/>
      </w:pPr>
      <w:r>
        <w:rPr>
          <w:rStyle w:val="afe"/>
        </w:rPr>
        <w:footnoteRef/>
      </w:r>
      <w:r>
        <w:t xml:space="preserve"> </w:t>
      </w:r>
      <w:r w:rsidRPr="009F5A2E">
        <w:rPr>
          <w:rFonts w:hint="eastAsia"/>
        </w:rPr>
        <w:t>雖經召開6次調解會議，惟雙方無法合意，以政府採購法第85條之3第1項後段規定，調解不成立。</w:t>
      </w:r>
    </w:p>
  </w:footnote>
  <w:footnote w:id="19">
    <w:p w:rsidR="005762C3" w:rsidRPr="00B61EB1" w:rsidRDefault="005762C3" w:rsidP="00821CAD">
      <w:pPr>
        <w:pStyle w:val="afc"/>
      </w:pPr>
      <w:r w:rsidRPr="009F5A2E">
        <w:rPr>
          <w:rStyle w:val="afe"/>
        </w:rPr>
        <w:footnoteRef/>
      </w:r>
      <w:r w:rsidRPr="009F5A2E">
        <w:t xml:space="preserve"> </w:t>
      </w:r>
      <w:r w:rsidRPr="009F5A2E">
        <w:rPr>
          <w:rFonts w:hint="eastAsia"/>
        </w:rPr>
        <w:t>訴之聲明</w:t>
      </w:r>
      <w:r w:rsidRPr="009F5A2E">
        <w:rPr>
          <w:rFonts w:hAnsi="標楷體" w:hint="eastAsia"/>
        </w:rPr>
        <w:t>：</w:t>
      </w:r>
      <w:r w:rsidRPr="009F5A2E">
        <w:rPr>
          <w:rFonts w:hint="eastAsia"/>
        </w:rPr>
        <w:t>被告(大同公司)應交付原告(台電公司)10,850具合格新品之智慧型電子式電表予原告。</w:t>
      </w:r>
    </w:p>
  </w:footnote>
  <w:footnote w:id="20">
    <w:p w:rsidR="005762C3" w:rsidRPr="00527BCA" w:rsidRDefault="005762C3">
      <w:pPr>
        <w:pStyle w:val="afc"/>
      </w:pPr>
      <w:r>
        <w:rPr>
          <w:rStyle w:val="afe"/>
        </w:rPr>
        <w:footnoteRef/>
      </w:r>
      <w:r>
        <w:t xml:space="preserve"> </w:t>
      </w:r>
      <w:r>
        <w:rPr>
          <w:rFonts w:hint="eastAsia"/>
        </w:rPr>
        <w:t>同案中興公司、</w:t>
      </w:r>
      <w:r w:rsidRPr="00527BCA">
        <w:rPr>
          <w:rFonts w:hint="eastAsia"/>
        </w:rPr>
        <w:t>台灣源訊科技股份有限公司</w:t>
      </w:r>
      <w:r>
        <w:rPr>
          <w:rFonts w:hint="eastAsia"/>
        </w:rPr>
        <w:t>均</w:t>
      </w:r>
      <w:r w:rsidRPr="00527BCA">
        <w:rPr>
          <w:rFonts w:hint="eastAsia"/>
        </w:rPr>
        <w:t>規格文件未附或不符合規定</w:t>
      </w:r>
      <w:r>
        <w:rPr>
          <w:rFonts w:hint="eastAsia"/>
        </w:rPr>
        <w:t>。</w:t>
      </w:r>
    </w:p>
  </w:footnote>
  <w:footnote w:id="21">
    <w:p w:rsidR="005762C3" w:rsidRDefault="005762C3">
      <w:pPr>
        <w:pStyle w:val="afc"/>
      </w:pPr>
      <w:r>
        <w:rPr>
          <w:rStyle w:val="afe"/>
        </w:rPr>
        <w:footnoteRef/>
      </w:r>
      <w:r>
        <w:t xml:space="preserve"> </w:t>
      </w:r>
      <w:r>
        <w:rPr>
          <w:rFonts w:hint="eastAsia"/>
        </w:rPr>
        <w:t>決標金額約為預算金額</w:t>
      </w:r>
      <w:r w:rsidRPr="00735366">
        <w:rPr>
          <w:rFonts w:hint="eastAsia"/>
        </w:rPr>
        <w:t>434,046,900元</w:t>
      </w:r>
      <w:r>
        <w:rPr>
          <w:rFonts w:hint="eastAsia"/>
        </w:rPr>
        <w:t>之55.9%。</w:t>
      </w:r>
    </w:p>
  </w:footnote>
  <w:footnote w:id="22">
    <w:p w:rsidR="005762C3" w:rsidRPr="00D64BE3" w:rsidRDefault="005762C3" w:rsidP="008113C1">
      <w:pPr>
        <w:pStyle w:val="afc"/>
        <w:ind w:left="141" w:hangingChars="64" w:hanging="141"/>
      </w:pPr>
      <w:r>
        <w:rPr>
          <w:rStyle w:val="afe"/>
        </w:rPr>
        <w:footnoteRef/>
      </w:r>
      <w:r>
        <w:t xml:space="preserve"> </w:t>
      </w:r>
      <w:r>
        <w:rPr>
          <w:rFonts w:hint="eastAsia"/>
        </w:rPr>
        <w:t>本案採購規範第7.2節技術與整合能力測試律定測試項目如</w:t>
      </w:r>
      <w:r>
        <w:rPr>
          <w:rFonts w:hAnsi="標楷體" w:hint="eastAsia"/>
        </w:rPr>
        <w:t>「</w:t>
      </w:r>
      <w:r w:rsidRPr="005C62F0">
        <w:rPr>
          <w:rFonts w:hAnsi="標楷體" w:hint="eastAsia"/>
        </w:rPr>
        <w:t>低壓AMI系統須可透過集中器介接無線RF電表與PLC電表，測試時讀取無線RF電表與PLC</w:t>
      </w:r>
      <w:r>
        <w:rPr>
          <w:rFonts w:hAnsi="標楷體" w:hint="eastAsia"/>
        </w:rPr>
        <w:t>電表測試當天加載所產生之及時電表顯示資料及負載區段資料」等10項，測試不合格時，台電</w:t>
      </w:r>
      <w:r w:rsidRPr="005C62F0">
        <w:rPr>
          <w:rFonts w:hAnsi="標楷體" w:hint="eastAsia"/>
        </w:rPr>
        <w:t>公司將不再審查技術文件且規格標判為不合格標</w:t>
      </w:r>
      <w:r>
        <w:rPr>
          <w:rFonts w:hAnsi="標楷體" w:hint="eastAsia"/>
        </w:rPr>
        <w:t>。</w:t>
      </w:r>
    </w:p>
  </w:footnote>
  <w:footnote w:id="23">
    <w:p w:rsidR="005762C3" w:rsidRDefault="005762C3" w:rsidP="00ED1560">
      <w:pPr>
        <w:pStyle w:val="afc"/>
        <w:ind w:left="993" w:hangingChars="451" w:hanging="993"/>
      </w:pPr>
      <w:r>
        <w:rPr>
          <w:rStyle w:val="afe"/>
        </w:rPr>
        <w:footnoteRef/>
      </w:r>
      <w:r>
        <w:t xml:space="preserve"> </w:t>
      </w:r>
      <w:r>
        <w:rPr>
          <w:rFonts w:hint="eastAsia"/>
        </w:rPr>
        <w:t>第8.5節可用性測試</w:t>
      </w:r>
    </w:p>
    <w:p w:rsidR="005762C3" w:rsidRPr="009F5A2E" w:rsidRDefault="005762C3" w:rsidP="00ED1560">
      <w:pPr>
        <w:pStyle w:val="afc"/>
        <w:ind w:left="546" w:hangingChars="248" w:hanging="546"/>
      </w:pPr>
      <w:r>
        <w:rPr>
          <w:rFonts w:hint="eastAsia"/>
        </w:rPr>
        <w:t xml:space="preserve">     得標廠商於本案提供之低壓AMI系統、電表、集中器</w:t>
      </w:r>
      <w:r w:rsidRPr="009F5A2E">
        <w:rPr>
          <w:rFonts w:hint="eastAsia"/>
        </w:rPr>
        <w:t>等設備應在完成安裝及功能測試後進行30日曆天可用性測試，測試旨在檢驗系統於實際運轉環境下，能符合下列所訂的可用性需求。</w:t>
      </w:r>
    </w:p>
  </w:footnote>
  <w:footnote w:id="24">
    <w:p w:rsidR="005762C3" w:rsidRPr="009F5A2E" w:rsidRDefault="005762C3" w:rsidP="00ED1560">
      <w:pPr>
        <w:pStyle w:val="afc"/>
        <w:ind w:left="993" w:hangingChars="451" w:hanging="993"/>
      </w:pPr>
      <w:r w:rsidRPr="009F5A2E">
        <w:rPr>
          <w:rStyle w:val="afe"/>
        </w:rPr>
        <w:footnoteRef/>
      </w:r>
      <w:r w:rsidRPr="009F5A2E">
        <w:rPr>
          <w:rFonts w:hint="eastAsia"/>
        </w:rPr>
        <w:t>第8.5.1節控制中心系統可用性測試</w:t>
      </w:r>
    </w:p>
    <w:p w:rsidR="005762C3" w:rsidRPr="009F5A2E" w:rsidRDefault="005762C3" w:rsidP="00ED1560">
      <w:pPr>
        <w:pStyle w:val="afc"/>
        <w:ind w:left="546" w:hangingChars="248" w:hanging="546"/>
      </w:pPr>
      <w:r w:rsidRPr="009F5A2E">
        <w:rPr>
          <w:rFonts w:hint="eastAsia"/>
        </w:rPr>
        <w:t xml:space="preserve">     自控制中心系統可用性測試開始起算，運轉時間加上當機時間連續累計達到30日(期間之暫停時間不予計入)，系統可用性應達到99.5%，且其中最後48小時未發生當機時間，即為可用性測試合格，否則繼續延長測試直到其中有一段連續累計30日(暫停時間不計)之測試期間滿足上述條件為止，測試期間最長為90日(含暫停時間)，超過即視為不合格。可用性之定義如下：控制中心系統可用性＝運轉時間/(運轉時間+當機時間) X 100%</w:t>
      </w:r>
    </w:p>
  </w:footnote>
  <w:footnote w:id="25">
    <w:p w:rsidR="005762C3" w:rsidRPr="009F5A2E" w:rsidRDefault="005762C3" w:rsidP="00ED1560">
      <w:pPr>
        <w:pStyle w:val="afc"/>
        <w:ind w:left="993" w:hangingChars="451" w:hanging="993"/>
      </w:pPr>
      <w:r w:rsidRPr="009F5A2E">
        <w:rPr>
          <w:rStyle w:val="afe"/>
        </w:rPr>
        <w:footnoteRef/>
      </w:r>
      <w:r w:rsidRPr="009F5A2E">
        <w:rPr>
          <w:rFonts w:hint="eastAsia"/>
        </w:rPr>
        <w:t>第8.5.2節現場設備可用性測試</w:t>
      </w:r>
    </w:p>
    <w:p w:rsidR="005762C3" w:rsidRPr="005D55C9" w:rsidRDefault="005762C3" w:rsidP="00ED1560">
      <w:pPr>
        <w:pStyle w:val="afc"/>
        <w:ind w:left="546" w:hangingChars="248" w:hanging="546"/>
      </w:pPr>
      <w:r w:rsidRPr="009F5A2E">
        <w:rPr>
          <w:rFonts w:hint="eastAsia"/>
        </w:rPr>
        <w:t xml:space="preserve">     自現場設備(以每一電表及集中器個別計算)可用性測試開始起算，運轉時間加上當機時間連續累計達到30日(期間之暫停時間不予計入)，無同一電表及集中器發生連續2日曆天讀表失敗，且其可用性達90%，即為可用性測試合格，否則繼續延長測試直到其中有一段連續累計30日(暫停時間不計)之測試期間滿足上述條件為止，測試期間最長為90日(含暫停時間)，超過即視為不合格。可用性之定</w:t>
      </w:r>
      <w:r>
        <w:rPr>
          <w:rFonts w:hint="eastAsia"/>
        </w:rPr>
        <w:t>義如下：現場設備可用性＝(讀表成功日曆天數/30日曆天) X 100%</w:t>
      </w:r>
    </w:p>
  </w:footnote>
  <w:footnote w:id="26">
    <w:p w:rsidR="005762C3" w:rsidRPr="005D55C9" w:rsidRDefault="005762C3" w:rsidP="00B11BB6">
      <w:pPr>
        <w:pStyle w:val="afc"/>
        <w:ind w:left="284" w:hangingChars="129" w:hanging="284"/>
      </w:pPr>
      <w:r>
        <w:rPr>
          <w:rStyle w:val="afe"/>
        </w:rPr>
        <w:footnoteRef/>
      </w:r>
      <w:r>
        <w:rPr>
          <w:rFonts w:hint="eastAsia"/>
        </w:rPr>
        <w:t>第11.3.3節依表6.2所列數量至現場安裝之電表及集中器與控制中心功能測試妥後，進行契約規範第8.5.1節系統可用性測試及第8.5.2節現場設備可用性測試。(11.3 配合第3批交貨進行驗收)</w:t>
      </w:r>
    </w:p>
  </w:footnote>
  <w:footnote w:id="27">
    <w:p w:rsidR="005762C3" w:rsidRPr="005D55C9" w:rsidRDefault="005762C3" w:rsidP="00B11BB6">
      <w:pPr>
        <w:pStyle w:val="afc"/>
        <w:ind w:left="284" w:hangingChars="129" w:hanging="284"/>
      </w:pPr>
      <w:r>
        <w:rPr>
          <w:rStyle w:val="afe"/>
        </w:rPr>
        <w:footnoteRef/>
      </w:r>
      <w:r>
        <w:rPr>
          <w:rFonts w:hint="eastAsia"/>
        </w:rPr>
        <w:t xml:space="preserve"> 第11.4.3節依表6.2所列數量至現場安裝之電表及集中器與控制中心功能測試妥後，進行契約規範第8.5.1節系統可用性測試及第8.5.2節現場設備可用性測試。</w:t>
      </w:r>
    </w:p>
  </w:footnote>
  <w:footnote w:id="28">
    <w:p w:rsidR="005762C3" w:rsidRPr="00B11BB6" w:rsidRDefault="005762C3">
      <w:pPr>
        <w:pStyle w:val="afc"/>
      </w:pPr>
      <w:r>
        <w:rPr>
          <w:rStyle w:val="afe"/>
        </w:rPr>
        <w:footnoteRef/>
      </w:r>
      <w:r>
        <w:rPr>
          <w:rFonts w:hint="eastAsia"/>
        </w:rPr>
        <w:t xml:space="preserve"> 目前建置之低壓通訊介面單元已採用</w:t>
      </w:r>
      <w:r>
        <w:rPr>
          <w:rFonts w:hAnsi="標楷體" w:hint="eastAsia"/>
        </w:rPr>
        <w:t>「</w:t>
      </w:r>
      <w:r>
        <w:rPr>
          <w:rFonts w:hint="eastAsia"/>
        </w:rPr>
        <w:t>民生公用事業之智慧型讀表系統</w:t>
      </w:r>
      <w:r>
        <w:rPr>
          <w:rFonts w:hAnsi="標楷體" w:hint="eastAsia"/>
        </w:rPr>
        <w:t>」</w:t>
      </w:r>
      <w:r>
        <w:rPr>
          <w:rFonts w:hint="eastAsia"/>
        </w:rPr>
        <w:t>頻段839至847MHz。</w:t>
      </w:r>
    </w:p>
  </w:footnote>
  <w:footnote w:id="29">
    <w:p w:rsidR="005762C3" w:rsidRPr="00B11BB6" w:rsidRDefault="005762C3" w:rsidP="00B11BB6">
      <w:pPr>
        <w:pStyle w:val="afc"/>
        <w:ind w:left="284" w:hangingChars="129" w:hanging="284"/>
      </w:pPr>
      <w:r>
        <w:rPr>
          <w:rStyle w:val="afe"/>
        </w:rPr>
        <w:footnoteRef/>
      </w:r>
      <w:r>
        <w:rPr>
          <w:rFonts w:hint="eastAsia"/>
        </w:rPr>
        <w:t xml:space="preserve"> 檢討內容出自</w:t>
      </w:r>
      <w:r w:rsidRPr="00B11BB6">
        <w:rPr>
          <w:rFonts w:hint="eastAsia"/>
        </w:rPr>
        <w:t>「台電建置低壓AMI前期布建系統技術顧問、驗證及成本效益評估」研究案之研究成果</w:t>
      </w:r>
      <w:r>
        <w:rPr>
          <w:rFonts w:hint="eastAsia"/>
        </w:rPr>
        <w:t>。</w:t>
      </w:r>
    </w:p>
  </w:footnote>
  <w:footnote w:id="30">
    <w:p w:rsidR="005762C3" w:rsidRDefault="005762C3">
      <w:pPr>
        <w:pStyle w:val="afc"/>
      </w:pPr>
      <w:r>
        <w:rPr>
          <w:rStyle w:val="afe"/>
        </w:rPr>
        <w:footnoteRef/>
      </w:r>
      <w:r>
        <w:rPr>
          <w:rFonts w:hint="eastAsia"/>
        </w:rPr>
        <w:t xml:space="preserve"> 標案案號：</w:t>
      </w:r>
      <w:r w:rsidRPr="005972B3">
        <w:t>0080600018</w:t>
      </w:r>
      <w:r>
        <w:rPr>
          <w:rFonts w:hint="eastAsia"/>
        </w:rPr>
        <w:t>，標案名稱：</w:t>
      </w:r>
      <w:r w:rsidRPr="005972B3">
        <w:rPr>
          <w:rFonts w:hint="eastAsia"/>
        </w:rPr>
        <w:t>電子式電表一批(含購置暨安裝)</w:t>
      </w:r>
      <w:r>
        <w:rPr>
          <w:rFonts w:hint="eastAsia"/>
        </w:rPr>
        <w:t>。</w:t>
      </w:r>
    </w:p>
  </w:footnote>
  <w:footnote w:id="31">
    <w:p w:rsidR="005762C3" w:rsidRDefault="005762C3">
      <w:pPr>
        <w:pStyle w:val="afc"/>
      </w:pPr>
      <w:r>
        <w:rPr>
          <w:rStyle w:val="afe"/>
        </w:rPr>
        <w:footnoteRef/>
      </w:r>
      <w:r>
        <w:t xml:space="preserve"> </w:t>
      </w:r>
      <w:r>
        <w:rPr>
          <w:rFonts w:hint="eastAsia"/>
        </w:rPr>
        <w:t>標案案號：</w:t>
      </w:r>
      <w:r w:rsidRPr="005972B3">
        <w:t>0080700042</w:t>
      </w:r>
      <w:r>
        <w:rPr>
          <w:rFonts w:hint="eastAsia"/>
        </w:rPr>
        <w:t>，標案名稱：低壓AMI通訊介面單元一批(含購置暨安裝)。</w:t>
      </w:r>
    </w:p>
  </w:footnote>
  <w:footnote w:id="32">
    <w:p w:rsidR="005762C3" w:rsidRDefault="005762C3">
      <w:pPr>
        <w:pStyle w:val="afc"/>
      </w:pPr>
      <w:r>
        <w:rPr>
          <w:rStyle w:val="afe"/>
        </w:rPr>
        <w:footnoteRef/>
      </w:r>
      <w:r>
        <w:t xml:space="preserve"> </w:t>
      </w:r>
      <w:r>
        <w:rPr>
          <w:rFonts w:hint="eastAsia"/>
        </w:rPr>
        <w:t>標案案號：</w:t>
      </w:r>
      <w:r w:rsidRPr="005972B3">
        <w:t>0770700003</w:t>
      </w:r>
      <w:r>
        <w:rPr>
          <w:rFonts w:hint="eastAsia"/>
        </w:rPr>
        <w:t>，標案名稱：</w:t>
      </w:r>
      <w:r w:rsidRPr="002A5B82">
        <w:rPr>
          <w:rFonts w:hint="eastAsia"/>
        </w:rPr>
        <w:t>智慧型電表資料管理系統建置暨系統整合案</w:t>
      </w:r>
      <w:r>
        <w:rPr>
          <w:rFonts w:hint="eastAsia"/>
        </w:rPr>
        <w:t>。</w:t>
      </w:r>
    </w:p>
  </w:footnote>
  <w:footnote w:id="33">
    <w:p w:rsidR="005762C3" w:rsidRPr="006C311E" w:rsidRDefault="005762C3" w:rsidP="00ED1560">
      <w:pPr>
        <w:pStyle w:val="afc"/>
        <w:ind w:left="771" w:hangingChars="350" w:hanging="771"/>
      </w:pPr>
      <w:r>
        <w:rPr>
          <w:rStyle w:val="afe"/>
        </w:rPr>
        <w:footnoteRef/>
      </w:r>
      <w:r>
        <w:t xml:space="preserve"> </w:t>
      </w:r>
      <w:r>
        <w:rPr>
          <w:rFonts w:hint="eastAsia"/>
        </w:rPr>
        <w:t>第11.1.節 電表1800具、集中器36具(或台電公司同意之分段交貨數量)由台電公司派員在廠進行初步驗收，除辦理數量及外觀檢查外，依契約規範第8.1節規定辦理電表及集中器抽樣特性試驗及檢定作業。</w:t>
      </w:r>
    </w:p>
  </w:footnote>
  <w:footnote w:id="34">
    <w:p w:rsidR="005762C3" w:rsidRDefault="005762C3" w:rsidP="00ED1560">
      <w:pPr>
        <w:pStyle w:val="afc"/>
        <w:ind w:left="771" w:hangingChars="350" w:hanging="771"/>
      </w:pPr>
      <w:r>
        <w:rPr>
          <w:rStyle w:val="afe"/>
        </w:rPr>
        <w:footnoteRef/>
      </w:r>
      <w:r>
        <w:rPr>
          <w:rFonts w:hint="eastAsia"/>
        </w:rPr>
        <w:t>第11.2.節 得標廠商接獲台電公司通知之次日起5工作天內將初步驗收合格的電表及集中器送交台電公司澎湖區營業處，並由得標廠商於送達澎湖區營業處之次日起進行安裝，惟採分段交貨者，須餘個分段完成安裝時正式函知台電公司澎湖區營業處，且各分段合計於30工作天內完成安裝，各分段均安裝完成後，依第8.2節規定進行電表及集中器安裝測試，安裝測試紀錄於各分段均安裝完成日之次日起10個工作天送交台電公司審查。</w:t>
      </w:r>
    </w:p>
  </w:footnote>
  <w:footnote w:id="35">
    <w:p w:rsidR="005762C3" w:rsidRDefault="005762C3" w:rsidP="00ED1560">
      <w:pPr>
        <w:pStyle w:val="afc"/>
        <w:ind w:left="771" w:hangingChars="350" w:hanging="771"/>
      </w:pPr>
      <w:r>
        <w:rPr>
          <w:rStyle w:val="afe"/>
        </w:rPr>
        <w:footnoteRef/>
      </w:r>
      <w:r>
        <w:t xml:space="preserve"> </w:t>
      </w:r>
      <w:r>
        <w:rPr>
          <w:rFonts w:hint="eastAsia"/>
        </w:rPr>
        <w:t>第11.3.節 電表及集中器安裝測試紀錄於台電公司審查合格之次日起，進行契約規範第8.3.1節現場設備可用性測試，可用性測試紀錄於測試完成日之次日起5工作天內送台電公司審查。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460687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lvlText w:val="表%1　"/>
      <w:lvlJc w:val="left"/>
      <w:pPr>
        <w:ind w:left="481" w:hanging="480"/>
      </w:pPr>
      <w:rPr>
        <w:rFonts w:ascii="標楷體" w:eastAsia="標楷體" w:hint="eastAsia"/>
        <w:b w:val="0"/>
        <w:i w:val="0"/>
        <w:sz w:val="28"/>
        <w:lang w:val="en-US"/>
      </w:rPr>
    </w:lvl>
    <w:lvl w:ilvl="1" w:tplc="04090019">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7" w15:restartNumberingAfterBreak="0">
    <w:nsid w:val="52BA770F"/>
    <w:multiLevelType w:val="hybridMultilevel"/>
    <w:tmpl w:val="F8F090FE"/>
    <w:lvl w:ilvl="0" w:tplc="E0A0E0C8">
      <w:start w:val="1"/>
      <w:numFmt w:val="upperLetter"/>
      <w:pStyle w:val="a2"/>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3"/>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72B1EE7"/>
    <w:multiLevelType w:val="hybridMultilevel"/>
    <w:tmpl w:val="95DC85CC"/>
    <w:lvl w:ilvl="0" w:tplc="5E962AE8">
      <w:start w:val="1"/>
      <w:numFmt w:val="decimal"/>
      <w:lvlText w:val="%1."/>
      <w:lvlJc w:val="left"/>
      <w:pPr>
        <w:tabs>
          <w:tab w:val="num" w:pos="720"/>
        </w:tabs>
        <w:ind w:left="720" w:hanging="360"/>
      </w:pPr>
    </w:lvl>
    <w:lvl w:ilvl="1" w:tplc="62F48B38" w:tentative="1">
      <w:start w:val="1"/>
      <w:numFmt w:val="decimal"/>
      <w:lvlText w:val="%2."/>
      <w:lvlJc w:val="left"/>
      <w:pPr>
        <w:tabs>
          <w:tab w:val="num" w:pos="1440"/>
        </w:tabs>
        <w:ind w:left="1440" w:hanging="360"/>
      </w:pPr>
    </w:lvl>
    <w:lvl w:ilvl="2" w:tplc="56509810" w:tentative="1">
      <w:start w:val="1"/>
      <w:numFmt w:val="decimal"/>
      <w:lvlText w:val="%3."/>
      <w:lvlJc w:val="left"/>
      <w:pPr>
        <w:tabs>
          <w:tab w:val="num" w:pos="2160"/>
        </w:tabs>
        <w:ind w:left="2160" w:hanging="360"/>
      </w:pPr>
    </w:lvl>
    <w:lvl w:ilvl="3" w:tplc="0480DB9A" w:tentative="1">
      <w:start w:val="1"/>
      <w:numFmt w:val="decimal"/>
      <w:lvlText w:val="%4."/>
      <w:lvlJc w:val="left"/>
      <w:pPr>
        <w:tabs>
          <w:tab w:val="num" w:pos="2880"/>
        </w:tabs>
        <w:ind w:left="2880" w:hanging="360"/>
      </w:pPr>
    </w:lvl>
    <w:lvl w:ilvl="4" w:tplc="48B46FF4" w:tentative="1">
      <w:start w:val="1"/>
      <w:numFmt w:val="decimal"/>
      <w:lvlText w:val="%5."/>
      <w:lvlJc w:val="left"/>
      <w:pPr>
        <w:tabs>
          <w:tab w:val="num" w:pos="3600"/>
        </w:tabs>
        <w:ind w:left="3600" w:hanging="360"/>
      </w:pPr>
    </w:lvl>
    <w:lvl w:ilvl="5" w:tplc="5B265AA4" w:tentative="1">
      <w:start w:val="1"/>
      <w:numFmt w:val="decimal"/>
      <w:lvlText w:val="%6."/>
      <w:lvlJc w:val="left"/>
      <w:pPr>
        <w:tabs>
          <w:tab w:val="num" w:pos="4320"/>
        </w:tabs>
        <w:ind w:left="4320" w:hanging="360"/>
      </w:pPr>
    </w:lvl>
    <w:lvl w:ilvl="6" w:tplc="D89C7F3E" w:tentative="1">
      <w:start w:val="1"/>
      <w:numFmt w:val="decimal"/>
      <w:lvlText w:val="%7."/>
      <w:lvlJc w:val="left"/>
      <w:pPr>
        <w:tabs>
          <w:tab w:val="num" w:pos="5040"/>
        </w:tabs>
        <w:ind w:left="5040" w:hanging="360"/>
      </w:pPr>
    </w:lvl>
    <w:lvl w:ilvl="7" w:tplc="EFD67872" w:tentative="1">
      <w:start w:val="1"/>
      <w:numFmt w:val="decimal"/>
      <w:lvlText w:val="%8."/>
      <w:lvlJc w:val="left"/>
      <w:pPr>
        <w:tabs>
          <w:tab w:val="num" w:pos="5760"/>
        </w:tabs>
        <w:ind w:left="5760" w:hanging="360"/>
      </w:pPr>
    </w:lvl>
    <w:lvl w:ilvl="8" w:tplc="172403BA"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1"/>
  </w:num>
  <w:num w:numId="38">
    <w:abstractNumId w:val="1"/>
  </w:num>
  <w:num w:numId="39">
    <w:abstractNumId w:val="1"/>
  </w:num>
  <w:num w:numId="40">
    <w:abstractNumId w:val="1"/>
  </w:num>
  <w:num w:numId="41">
    <w:abstractNumId w:val="1"/>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4152"/>
    <w:rsid w:val="00016395"/>
    <w:rsid w:val="00016620"/>
    <w:rsid w:val="00017318"/>
    <w:rsid w:val="000229AD"/>
    <w:rsid w:val="000246F7"/>
    <w:rsid w:val="00025BBC"/>
    <w:rsid w:val="00030C70"/>
    <w:rsid w:val="0003114D"/>
    <w:rsid w:val="0003234B"/>
    <w:rsid w:val="00036582"/>
    <w:rsid w:val="00036661"/>
    <w:rsid w:val="00036D76"/>
    <w:rsid w:val="000374CB"/>
    <w:rsid w:val="00037F5D"/>
    <w:rsid w:val="00040AF5"/>
    <w:rsid w:val="000574AD"/>
    <w:rsid w:val="00057F32"/>
    <w:rsid w:val="00062A25"/>
    <w:rsid w:val="000653D3"/>
    <w:rsid w:val="00073CB5"/>
    <w:rsid w:val="0007425C"/>
    <w:rsid w:val="00076581"/>
    <w:rsid w:val="00077553"/>
    <w:rsid w:val="000851A2"/>
    <w:rsid w:val="00091589"/>
    <w:rsid w:val="0009352E"/>
    <w:rsid w:val="0009665F"/>
    <w:rsid w:val="00096B96"/>
    <w:rsid w:val="000A2F3F"/>
    <w:rsid w:val="000A7C9B"/>
    <w:rsid w:val="000B0B4A"/>
    <w:rsid w:val="000B279A"/>
    <w:rsid w:val="000B61D2"/>
    <w:rsid w:val="000B70A7"/>
    <w:rsid w:val="000B73DD"/>
    <w:rsid w:val="000C11BA"/>
    <w:rsid w:val="000C1E33"/>
    <w:rsid w:val="000C495F"/>
    <w:rsid w:val="000D66D9"/>
    <w:rsid w:val="000E6431"/>
    <w:rsid w:val="000E7C87"/>
    <w:rsid w:val="000F21A5"/>
    <w:rsid w:val="00102956"/>
    <w:rsid w:val="00102B9F"/>
    <w:rsid w:val="00104D26"/>
    <w:rsid w:val="001114CD"/>
    <w:rsid w:val="00112637"/>
    <w:rsid w:val="00112ABC"/>
    <w:rsid w:val="0012001E"/>
    <w:rsid w:val="00126A55"/>
    <w:rsid w:val="00133F08"/>
    <w:rsid w:val="001345E6"/>
    <w:rsid w:val="00135F16"/>
    <w:rsid w:val="001368CA"/>
    <w:rsid w:val="001378B0"/>
    <w:rsid w:val="00142E00"/>
    <w:rsid w:val="001441EA"/>
    <w:rsid w:val="00152793"/>
    <w:rsid w:val="00153B7E"/>
    <w:rsid w:val="00153EBD"/>
    <w:rsid w:val="001545A9"/>
    <w:rsid w:val="001637C7"/>
    <w:rsid w:val="0016401D"/>
    <w:rsid w:val="0016480E"/>
    <w:rsid w:val="00167D14"/>
    <w:rsid w:val="00171299"/>
    <w:rsid w:val="00174297"/>
    <w:rsid w:val="001745F4"/>
    <w:rsid w:val="00177FB2"/>
    <w:rsid w:val="00180E06"/>
    <w:rsid w:val="001817B3"/>
    <w:rsid w:val="00183014"/>
    <w:rsid w:val="0018539A"/>
    <w:rsid w:val="0019102D"/>
    <w:rsid w:val="0019337E"/>
    <w:rsid w:val="00193811"/>
    <w:rsid w:val="00194F17"/>
    <w:rsid w:val="001959C2"/>
    <w:rsid w:val="001A51E3"/>
    <w:rsid w:val="001A7968"/>
    <w:rsid w:val="001B0CF9"/>
    <w:rsid w:val="001B2E98"/>
    <w:rsid w:val="001B3483"/>
    <w:rsid w:val="001B3C1E"/>
    <w:rsid w:val="001B4494"/>
    <w:rsid w:val="001C0D8B"/>
    <w:rsid w:val="001C0DA8"/>
    <w:rsid w:val="001C189B"/>
    <w:rsid w:val="001C3BF5"/>
    <w:rsid w:val="001D4AD7"/>
    <w:rsid w:val="001D65AE"/>
    <w:rsid w:val="001E0D8A"/>
    <w:rsid w:val="001E2030"/>
    <w:rsid w:val="001E67BA"/>
    <w:rsid w:val="001E6C51"/>
    <w:rsid w:val="001E74C2"/>
    <w:rsid w:val="001F4F82"/>
    <w:rsid w:val="001F5A48"/>
    <w:rsid w:val="001F6260"/>
    <w:rsid w:val="00200007"/>
    <w:rsid w:val="002030A5"/>
    <w:rsid w:val="00203131"/>
    <w:rsid w:val="0021150E"/>
    <w:rsid w:val="00212E88"/>
    <w:rsid w:val="00213C9C"/>
    <w:rsid w:val="002151E4"/>
    <w:rsid w:val="00217122"/>
    <w:rsid w:val="00217E31"/>
    <w:rsid w:val="0022009E"/>
    <w:rsid w:val="00223241"/>
    <w:rsid w:val="0022425C"/>
    <w:rsid w:val="002246DE"/>
    <w:rsid w:val="00225126"/>
    <w:rsid w:val="00225767"/>
    <w:rsid w:val="00240288"/>
    <w:rsid w:val="002429E2"/>
    <w:rsid w:val="0024599A"/>
    <w:rsid w:val="00252BC4"/>
    <w:rsid w:val="00254014"/>
    <w:rsid w:val="00254659"/>
    <w:rsid w:val="00254B39"/>
    <w:rsid w:val="00264A82"/>
    <w:rsid w:val="0026504D"/>
    <w:rsid w:val="00267152"/>
    <w:rsid w:val="00273A2F"/>
    <w:rsid w:val="00276B5D"/>
    <w:rsid w:val="00277374"/>
    <w:rsid w:val="00280986"/>
    <w:rsid w:val="00281ECE"/>
    <w:rsid w:val="002831C7"/>
    <w:rsid w:val="00283765"/>
    <w:rsid w:val="002840C6"/>
    <w:rsid w:val="00287A8B"/>
    <w:rsid w:val="00295174"/>
    <w:rsid w:val="00296172"/>
    <w:rsid w:val="00296B92"/>
    <w:rsid w:val="002A2C22"/>
    <w:rsid w:val="002A5B82"/>
    <w:rsid w:val="002B02EB"/>
    <w:rsid w:val="002B2410"/>
    <w:rsid w:val="002B2991"/>
    <w:rsid w:val="002B652B"/>
    <w:rsid w:val="002B6FF1"/>
    <w:rsid w:val="002C0602"/>
    <w:rsid w:val="002D5C16"/>
    <w:rsid w:val="002F1C15"/>
    <w:rsid w:val="002F237A"/>
    <w:rsid w:val="002F2476"/>
    <w:rsid w:val="002F3DFF"/>
    <w:rsid w:val="002F5E05"/>
    <w:rsid w:val="00305B80"/>
    <w:rsid w:val="00307A76"/>
    <w:rsid w:val="0031428B"/>
    <w:rsid w:val="0031455E"/>
    <w:rsid w:val="00315A16"/>
    <w:rsid w:val="00317053"/>
    <w:rsid w:val="0031757A"/>
    <w:rsid w:val="0032109C"/>
    <w:rsid w:val="00322B45"/>
    <w:rsid w:val="00323809"/>
    <w:rsid w:val="00323D41"/>
    <w:rsid w:val="00325414"/>
    <w:rsid w:val="00330080"/>
    <w:rsid w:val="003302F1"/>
    <w:rsid w:val="00333ACB"/>
    <w:rsid w:val="0033784F"/>
    <w:rsid w:val="0034470E"/>
    <w:rsid w:val="003519E3"/>
    <w:rsid w:val="00352322"/>
    <w:rsid w:val="00352DB0"/>
    <w:rsid w:val="00361063"/>
    <w:rsid w:val="00363392"/>
    <w:rsid w:val="003663C0"/>
    <w:rsid w:val="003668B9"/>
    <w:rsid w:val="0036735E"/>
    <w:rsid w:val="0037094A"/>
    <w:rsid w:val="00371ED3"/>
    <w:rsid w:val="00372659"/>
    <w:rsid w:val="0037282C"/>
    <w:rsid w:val="00372FFC"/>
    <w:rsid w:val="00373117"/>
    <w:rsid w:val="00373AEA"/>
    <w:rsid w:val="0037728A"/>
    <w:rsid w:val="00380B7D"/>
    <w:rsid w:val="00381A99"/>
    <w:rsid w:val="003829C2"/>
    <w:rsid w:val="003830B2"/>
    <w:rsid w:val="0038430E"/>
    <w:rsid w:val="00384724"/>
    <w:rsid w:val="00387861"/>
    <w:rsid w:val="003919B7"/>
    <w:rsid w:val="00391D57"/>
    <w:rsid w:val="00392292"/>
    <w:rsid w:val="00394F45"/>
    <w:rsid w:val="003A1296"/>
    <w:rsid w:val="003A2773"/>
    <w:rsid w:val="003A4BAC"/>
    <w:rsid w:val="003A5927"/>
    <w:rsid w:val="003A6443"/>
    <w:rsid w:val="003B1017"/>
    <w:rsid w:val="003B3C07"/>
    <w:rsid w:val="003B6081"/>
    <w:rsid w:val="003B6775"/>
    <w:rsid w:val="003C1A36"/>
    <w:rsid w:val="003C274B"/>
    <w:rsid w:val="003C33AB"/>
    <w:rsid w:val="003C59BE"/>
    <w:rsid w:val="003C5C00"/>
    <w:rsid w:val="003C5FE2"/>
    <w:rsid w:val="003D05FB"/>
    <w:rsid w:val="003D1B16"/>
    <w:rsid w:val="003D2260"/>
    <w:rsid w:val="003D2422"/>
    <w:rsid w:val="003D3022"/>
    <w:rsid w:val="003D45BF"/>
    <w:rsid w:val="003D508A"/>
    <w:rsid w:val="003D537F"/>
    <w:rsid w:val="003D7B75"/>
    <w:rsid w:val="003E0208"/>
    <w:rsid w:val="003E4B57"/>
    <w:rsid w:val="003F27E1"/>
    <w:rsid w:val="003F437A"/>
    <w:rsid w:val="003F4BCD"/>
    <w:rsid w:val="003F5434"/>
    <w:rsid w:val="003F5C2B"/>
    <w:rsid w:val="00402240"/>
    <w:rsid w:val="004023E9"/>
    <w:rsid w:val="0040400B"/>
    <w:rsid w:val="0040454A"/>
    <w:rsid w:val="00413408"/>
    <w:rsid w:val="00413F83"/>
    <w:rsid w:val="0041490C"/>
    <w:rsid w:val="00416191"/>
    <w:rsid w:val="00416721"/>
    <w:rsid w:val="00421A0E"/>
    <w:rsid w:val="00421EF0"/>
    <w:rsid w:val="004224FA"/>
    <w:rsid w:val="00423D07"/>
    <w:rsid w:val="00427936"/>
    <w:rsid w:val="00433DF0"/>
    <w:rsid w:val="00436745"/>
    <w:rsid w:val="0044346F"/>
    <w:rsid w:val="0044644C"/>
    <w:rsid w:val="00453FF6"/>
    <w:rsid w:val="00457963"/>
    <w:rsid w:val="00457AAB"/>
    <w:rsid w:val="00460126"/>
    <w:rsid w:val="004609AB"/>
    <w:rsid w:val="0046520A"/>
    <w:rsid w:val="00465F70"/>
    <w:rsid w:val="004672AB"/>
    <w:rsid w:val="0046792C"/>
    <w:rsid w:val="00470431"/>
    <w:rsid w:val="004714FE"/>
    <w:rsid w:val="004722ED"/>
    <w:rsid w:val="0047793E"/>
    <w:rsid w:val="00477BAA"/>
    <w:rsid w:val="00483E63"/>
    <w:rsid w:val="00491038"/>
    <w:rsid w:val="00494B47"/>
    <w:rsid w:val="00495053"/>
    <w:rsid w:val="004A1F59"/>
    <w:rsid w:val="004A29BE"/>
    <w:rsid w:val="004A3225"/>
    <w:rsid w:val="004A33EE"/>
    <w:rsid w:val="004A3AA8"/>
    <w:rsid w:val="004A5750"/>
    <w:rsid w:val="004B13C7"/>
    <w:rsid w:val="004B5299"/>
    <w:rsid w:val="004B778F"/>
    <w:rsid w:val="004C0609"/>
    <w:rsid w:val="004C1631"/>
    <w:rsid w:val="004C639F"/>
    <w:rsid w:val="004D141F"/>
    <w:rsid w:val="004D2742"/>
    <w:rsid w:val="004D3D41"/>
    <w:rsid w:val="004D6310"/>
    <w:rsid w:val="004E0062"/>
    <w:rsid w:val="004E05A1"/>
    <w:rsid w:val="004E1244"/>
    <w:rsid w:val="004F472A"/>
    <w:rsid w:val="004F5E57"/>
    <w:rsid w:val="004F6710"/>
    <w:rsid w:val="00500C3E"/>
    <w:rsid w:val="00502849"/>
    <w:rsid w:val="00504334"/>
    <w:rsid w:val="0050498D"/>
    <w:rsid w:val="005104D7"/>
    <w:rsid w:val="00510B9E"/>
    <w:rsid w:val="00511B9E"/>
    <w:rsid w:val="005145CD"/>
    <w:rsid w:val="005153D7"/>
    <w:rsid w:val="00520DF2"/>
    <w:rsid w:val="00527BCA"/>
    <w:rsid w:val="005360DA"/>
    <w:rsid w:val="00536BC2"/>
    <w:rsid w:val="005423C8"/>
    <w:rsid w:val="005425E1"/>
    <w:rsid w:val="005427C5"/>
    <w:rsid w:val="00542CF6"/>
    <w:rsid w:val="005523D8"/>
    <w:rsid w:val="00553C03"/>
    <w:rsid w:val="0055562B"/>
    <w:rsid w:val="00560DDA"/>
    <w:rsid w:val="00563692"/>
    <w:rsid w:val="00571679"/>
    <w:rsid w:val="0057486C"/>
    <w:rsid w:val="005762C3"/>
    <w:rsid w:val="00576D9F"/>
    <w:rsid w:val="00583DB2"/>
    <w:rsid w:val="00584235"/>
    <w:rsid w:val="005844E7"/>
    <w:rsid w:val="00584725"/>
    <w:rsid w:val="00584B5F"/>
    <w:rsid w:val="00587D51"/>
    <w:rsid w:val="005908B8"/>
    <w:rsid w:val="00591CD4"/>
    <w:rsid w:val="00593B38"/>
    <w:rsid w:val="0059512E"/>
    <w:rsid w:val="005972B3"/>
    <w:rsid w:val="005A0D7E"/>
    <w:rsid w:val="005A3A49"/>
    <w:rsid w:val="005A4A6C"/>
    <w:rsid w:val="005A6DD2"/>
    <w:rsid w:val="005B1A35"/>
    <w:rsid w:val="005C385D"/>
    <w:rsid w:val="005C43E6"/>
    <w:rsid w:val="005C62F0"/>
    <w:rsid w:val="005D3B20"/>
    <w:rsid w:val="005D55C9"/>
    <w:rsid w:val="005D71B7"/>
    <w:rsid w:val="005D727E"/>
    <w:rsid w:val="005E4759"/>
    <w:rsid w:val="005E5C68"/>
    <w:rsid w:val="005E65C0"/>
    <w:rsid w:val="005F0390"/>
    <w:rsid w:val="005F112D"/>
    <w:rsid w:val="005F3D61"/>
    <w:rsid w:val="00606F2F"/>
    <w:rsid w:val="006072CD"/>
    <w:rsid w:val="006112DB"/>
    <w:rsid w:val="00612023"/>
    <w:rsid w:val="00614190"/>
    <w:rsid w:val="006175D8"/>
    <w:rsid w:val="00622A99"/>
    <w:rsid w:val="00622E67"/>
    <w:rsid w:val="00626935"/>
    <w:rsid w:val="00626B57"/>
    <w:rsid w:val="00626EDC"/>
    <w:rsid w:val="00632029"/>
    <w:rsid w:val="0063744D"/>
    <w:rsid w:val="0063761F"/>
    <w:rsid w:val="0064201E"/>
    <w:rsid w:val="006452D3"/>
    <w:rsid w:val="006470EC"/>
    <w:rsid w:val="006500C9"/>
    <w:rsid w:val="0065342F"/>
    <w:rsid w:val="006542D6"/>
    <w:rsid w:val="00654A3B"/>
    <w:rsid w:val="0065598E"/>
    <w:rsid w:val="00655AF2"/>
    <w:rsid w:val="00655BC5"/>
    <w:rsid w:val="006568BE"/>
    <w:rsid w:val="0066025D"/>
    <w:rsid w:val="0066030F"/>
    <w:rsid w:val="0066091A"/>
    <w:rsid w:val="00670AE8"/>
    <w:rsid w:val="006773EC"/>
    <w:rsid w:val="00677A5B"/>
    <w:rsid w:val="00677D39"/>
    <w:rsid w:val="00680504"/>
    <w:rsid w:val="00681692"/>
    <w:rsid w:val="00681CD9"/>
    <w:rsid w:val="00683E30"/>
    <w:rsid w:val="006841A9"/>
    <w:rsid w:val="00687024"/>
    <w:rsid w:val="00690DB1"/>
    <w:rsid w:val="00695E22"/>
    <w:rsid w:val="006A1A14"/>
    <w:rsid w:val="006A631B"/>
    <w:rsid w:val="006B32B7"/>
    <w:rsid w:val="006B7093"/>
    <w:rsid w:val="006B7417"/>
    <w:rsid w:val="006C311E"/>
    <w:rsid w:val="006C4173"/>
    <w:rsid w:val="006D31F9"/>
    <w:rsid w:val="006D3691"/>
    <w:rsid w:val="006D5DC2"/>
    <w:rsid w:val="006E2825"/>
    <w:rsid w:val="006E5EF0"/>
    <w:rsid w:val="006F3563"/>
    <w:rsid w:val="006F3C6D"/>
    <w:rsid w:val="006F42B9"/>
    <w:rsid w:val="006F6103"/>
    <w:rsid w:val="006F7BAD"/>
    <w:rsid w:val="007027BF"/>
    <w:rsid w:val="00703FCA"/>
    <w:rsid w:val="00704E00"/>
    <w:rsid w:val="00704E2A"/>
    <w:rsid w:val="00707561"/>
    <w:rsid w:val="0071587C"/>
    <w:rsid w:val="00716DE2"/>
    <w:rsid w:val="007176EC"/>
    <w:rsid w:val="007209E7"/>
    <w:rsid w:val="00721433"/>
    <w:rsid w:val="007239C4"/>
    <w:rsid w:val="00726182"/>
    <w:rsid w:val="00727635"/>
    <w:rsid w:val="00727E73"/>
    <w:rsid w:val="007321AB"/>
    <w:rsid w:val="00732329"/>
    <w:rsid w:val="007337CA"/>
    <w:rsid w:val="007341B5"/>
    <w:rsid w:val="00734CE4"/>
    <w:rsid w:val="00735123"/>
    <w:rsid w:val="00735366"/>
    <w:rsid w:val="00741837"/>
    <w:rsid w:val="007453E6"/>
    <w:rsid w:val="00770442"/>
    <w:rsid w:val="00770453"/>
    <w:rsid w:val="0077309D"/>
    <w:rsid w:val="007748B2"/>
    <w:rsid w:val="007774EE"/>
    <w:rsid w:val="007804FA"/>
    <w:rsid w:val="00781822"/>
    <w:rsid w:val="00783F21"/>
    <w:rsid w:val="00787159"/>
    <w:rsid w:val="0079043A"/>
    <w:rsid w:val="00791668"/>
    <w:rsid w:val="00791AA1"/>
    <w:rsid w:val="00796E29"/>
    <w:rsid w:val="007A3793"/>
    <w:rsid w:val="007A4147"/>
    <w:rsid w:val="007B071B"/>
    <w:rsid w:val="007B2B4C"/>
    <w:rsid w:val="007C0F04"/>
    <w:rsid w:val="007C1BA2"/>
    <w:rsid w:val="007C2B48"/>
    <w:rsid w:val="007D0F45"/>
    <w:rsid w:val="007D20E9"/>
    <w:rsid w:val="007D3E6C"/>
    <w:rsid w:val="007D49AD"/>
    <w:rsid w:val="007D7881"/>
    <w:rsid w:val="007D7E3A"/>
    <w:rsid w:val="007E0E10"/>
    <w:rsid w:val="007E4768"/>
    <w:rsid w:val="007E777B"/>
    <w:rsid w:val="007F2070"/>
    <w:rsid w:val="007F63C1"/>
    <w:rsid w:val="008043F9"/>
    <w:rsid w:val="008053F5"/>
    <w:rsid w:val="008075E9"/>
    <w:rsid w:val="00807AF7"/>
    <w:rsid w:val="00810198"/>
    <w:rsid w:val="008109E6"/>
    <w:rsid w:val="008113C1"/>
    <w:rsid w:val="00815DA8"/>
    <w:rsid w:val="0082194D"/>
    <w:rsid w:val="00821CAD"/>
    <w:rsid w:val="008221F9"/>
    <w:rsid w:val="00826EF5"/>
    <w:rsid w:val="00831693"/>
    <w:rsid w:val="00840104"/>
    <w:rsid w:val="00840C1F"/>
    <w:rsid w:val="008411C9"/>
    <w:rsid w:val="00841FC5"/>
    <w:rsid w:val="00842537"/>
    <w:rsid w:val="00843D0F"/>
    <w:rsid w:val="00845709"/>
    <w:rsid w:val="00846C19"/>
    <w:rsid w:val="00847EA4"/>
    <w:rsid w:val="00852516"/>
    <w:rsid w:val="00855E3F"/>
    <w:rsid w:val="008576BD"/>
    <w:rsid w:val="00860463"/>
    <w:rsid w:val="00861979"/>
    <w:rsid w:val="008727EB"/>
    <w:rsid w:val="00872C07"/>
    <w:rsid w:val="008733DA"/>
    <w:rsid w:val="008756E4"/>
    <w:rsid w:val="0087705A"/>
    <w:rsid w:val="008850E4"/>
    <w:rsid w:val="00891503"/>
    <w:rsid w:val="008939AB"/>
    <w:rsid w:val="00897C86"/>
    <w:rsid w:val="008A12F5"/>
    <w:rsid w:val="008A333A"/>
    <w:rsid w:val="008B1587"/>
    <w:rsid w:val="008B1B01"/>
    <w:rsid w:val="008B3BCD"/>
    <w:rsid w:val="008B6DF8"/>
    <w:rsid w:val="008C106C"/>
    <w:rsid w:val="008C10F1"/>
    <w:rsid w:val="008C1926"/>
    <w:rsid w:val="008C1E99"/>
    <w:rsid w:val="008D1D35"/>
    <w:rsid w:val="008E0085"/>
    <w:rsid w:val="008E00CC"/>
    <w:rsid w:val="008E2AA6"/>
    <w:rsid w:val="008E311B"/>
    <w:rsid w:val="008E43B9"/>
    <w:rsid w:val="008F130A"/>
    <w:rsid w:val="008F46E7"/>
    <w:rsid w:val="008F64CA"/>
    <w:rsid w:val="008F6F0B"/>
    <w:rsid w:val="008F7E4B"/>
    <w:rsid w:val="008F7F4C"/>
    <w:rsid w:val="00907BA7"/>
    <w:rsid w:val="0091064E"/>
    <w:rsid w:val="00911FC5"/>
    <w:rsid w:val="00931A10"/>
    <w:rsid w:val="00942209"/>
    <w:rsid w:val="00947967"/>
    <w:rsid w:val="009529D5"/>
    <w:rsid w:val="00952F32"/>
    <w:rsid w:val="00953327"/>
    <w:rsid w:val="00953562"/>
    <w:rsid w:val="009543F6"/>
    <w:rsid w:val="00954437"/>
    <w:rsid w:val="00955201"/>
    <w:rsid w:val="00965200"/>
    <w:rsid w:val="009668B3"/>
    <w:rsid w:val="00971471"/>
    <w:rsid w:val="0097153F"/>
    <w:rsid w:val="00975FE2"/>
    <w:rsid w:val="009849C2"/>
    <w:rsid w:val="00984D24"/>
    <w:rsid w:val="009858EB"/>
    <w:rsid w:val="0098673C"/>
    <w:rsid w:val="009A0BFC"/>
    <w:rsid w:val="009A3F47"/>
    <w:rsid w:val="009B0046"/>
    <w:rsid w:val="009C1440"/>
    <w:rsid w:val="009C2107"/>
    <w:rsid w:val="009C54FF"/>
    <w:rsid w:val="009C5D9E"/>
    <w:rsid w:val="009D2C3E"/>
    <w:rsid w:val="009E0625"/>
    <w:rsid w:val="009E3034"/>
    <w:rsid w:val="009E549F"/>
    <w:rsid w:val="009F28A8"/>
    <w:rsid w:val="009F473E"/>
    <w:rsid w:val="009F5247"/>
    <w:rsid w:val="009F5A2E"/>
    <w:rsid w:val="009F682A"/>
    <w:rsid w:val="00A0015F"/>
    <w:rsid w:val="00A02127"/>
    <w:rsid w:val="00A022BE"/>
    <w:rsid w:val="00A07B4B"/>
    <w:rsid w:val="00A144F9"/>
    <w:rsid w:val="00A21B4D"/>
    <w:rsid w:val="00A24C95"/>
    <w:rsid w:val="00A2599A"/>
    <w:rsid w:val="00A26094"/>
    <w:rsid w:val="00A26A04"/>
    <w:rsid w:val="00A301BF"/>
    <w:rsid w:val="00A302B2"/>
    <w:rsid w:val="00A31FBF"/>
    <w:rsid w:val="00A331B4"/>
    <w:rsid w:val="00A3484E"/>
    <w:rsid w:val="00A356D3"/>
    <w:rsid w:val="00A36ADA"/>
    <w:rsid w:val="00A37C4D"/>
    <w:rsid w:val="00A412CE"/>
    <w:rsid w:val="00A438D8"/>
    <w:rsid w:val="00A473F5"/>
    <w:rsid w:val="00A51F9D"/>
    <w:rsid w:val="00A5416A"/>
    <w:rsid w:val="00A54E5D"/>
    <w:rsid w:val="00A6332F"/>
    <w:rsid w:val="00A639F4"/>
    <w:rsid w:val="00A65864"/>
    <w:rsid w:val="00A65FAE"/>
    <w:rsid w:val="00A67F68"/>
    <w:rsid w:val="00A803A9"/>
    <w:rsid w:val="00A81A32"/>
    <w:rsid w:val="00A835BD"/>
    <w:rsid w:val="00A83C11"/>
    <w:rsid w:val="00A90D6A"/>
    <w:rsid w:val="00A9172D"/>
    <w:rsid w:val="00A97B15"/>
    <w:rsid w:val="00AA11AD"/>
    <w:rsid w:val="00AA1D7A"/>
    <w:rsid w:val="00AA42D5"/>
    <w:rsid w:val="00AA60F1"/>
    <w:rsid w:val="00AA7552"/>
    <w:rsid w:val="00AB17B7"/>
    <w:rsid w:val="00AB2FAB"/>
    <w:rsid w:val="00AB3CDD"/>
    <w:rsid w:val="00AB4496"/>
    <w:rsid w:val="00AB5C14"/>
    <w:rsid w:val="00AC18FB"/>
    <w:rsid w:val="00AC1984"/>
    <w:rsid w:val="00AC1EE7"/>
    <w:rsid w:val="00AC333F"/>
    <w:rsid w:val="00AC339E"/>
    <w:rsid w:val="00AC585C"/>
    <w:rsid w:val="00AD1925"/>
    <w:rsid w:val="00AD429D"/>
    <w:rsid w:val="00AD5200"/>
    <w:rsid w:val="00AD7503"/>
    <w:rsid w:val="00AE067D"/>
    <w:rsid w:val="00AE439B"/>
    <w:rsid w:val="00AF1181"/>
    <w:rsid w:val="00AF2F79"/>
    <w:rsid w:val="00AF4653"/>
    <w:rsid w:val="00AF7DB7"/>
    <w:rsid w:val="00B00EF5"/>
    <w:rsid w:val="00B014FA"/>
    <w:rsid w:val="00B01AA1"/>
    <w:rsid w:val="00B10D02"/>
    <w:rsid w:val="00B11BB6"/>
    <w:rsid w:val="00B201E2"/>
    <w:rsid w:val="00B20D4E"/>
    <w:rsid w:val="00B2781B"/>
    <w:rsid w:val="00B30C1A"/>
    <w:rsid w:val="00B35EC5"/>
    <w:rsid w:val="00B443E4"/>
    <w:rsid w:val="00B46BE3"/>
    <w:rsid w:val="00B5484D"/>
    <w:rsid w:val="00B563EA"/>
    <w:rsid w:val="00B56AE5"/>
    <w:rsid w:val="00B56CDF"/>
    <w:rsid w:val="00B60ACB"/>
    <w:rsid w:val="00B60E51"/>
    <w:rsid w:val="00B61EB1"/>
    <w:rsid w:val="00B63A54"/>
    <w:rsid w:val="00B747B4"/>
    <w:rsid w:val="00B77D18"/>
    <w:rsid w:val="00B8313A"/>
    <w:rsid w:val="00B93503"/>
    <w:rsid w:val="00B936C6"/>
    <w:rsid w:val="00B96368"/>
    <w:rsid w:val="00BA207B"/>
    <w:rsid w:val="00BA31E8"/>
    <w:rsid w:val="00BA3E79"/>
    <w:rsid w:val="00BA55E0"/>
    <w:rsid w:val="00BA6BD4"/>
    <w:rsid w:val="00BA6C7A"/>
    <w:rsid w:val="00BB17D1"/>
    <w:rsid w:val="00BB3752"/>
    <w:rsid w:val="00BB6688"/>
    <w:rsid w:val="00BC26D4"/>
    <w:rsid w:val="00BC43D3"/>
    <w:rsid w:val="00BE0C80"/>
    <w:rsid w:val="00BE1BDA"/>
    <w:rsid w:val="00BF2A42"/>
    <w:rsid w:val="00BF2C9A"/>
    <w:rsid w:val="00C0068E"/>
    <w:rsid w:val="00C03D8C"/>
    <w:rsid w:val="00C055EC"/>
    <w:rsid w:val="00C10DC9"/>
    <w:rsid w:val="00C12FB3"/>
    <w:rsid w:val="00C17341"/>
    <w:rsid w:val="00C22500"/>
    <w:rsid w:val="00C24EEF"/>
    <w:rsid w:val="00C25CF6"/>
    <w:rsid w:val="00C26C36"/>
    <w:rsid w:val="00C275C3"/>
    <w:rsid w:val="00C30C0D"/>
    <w:rsid w:val="00C30FE6"/>
    <w:rsid w:val="00C32768"/>
    <w:rsid w:val="00C3309F"/>
    <w:rsid w:val="00C35A3A"/>
    <w:rsid w:val="00C41B67"/>
    <w:rsid w:val="00C431DF"/>
    <w:rsid w:val="00C456BD"/>
    <w:rsid w:val="00C460B3"/>
    <w:rsid w:val="00C4776D"/>
    <w:rsid w:val="00C4783D"/>
    <w:rsid w:val="00C51426"/>
    <w:rsid w:val="00C530DC"/>
    <w:rsid w:val="00C5350D"/>
    <w:rsid w:val="00C6123C"/>
    <w:rsid w:val="00C6311A"/>
    <w:rsid w:val="00C65695"/>
    <w:rsid w:val="00C6593F"/>
    <w:rsid w:val="00C7029D"/>
    <w:rsid w:val="00C7084D"/>
    <w:rsid w:val="00C7315E"/>
    <w:rsid w:val="00C75895"/>
    <w:rsid w:val="00C811B0"/>
    <w:rsid w:val="00C83C9F"/>
    <w:rsid w:val="00C92C9B"/>
    <w:rsid w:val="00C94840"/>
    <w:rsid w:val="00CA4EE3"/>
    <w:rsid w:val="00CA720C"/>
    <w:rsid w:val="00CB027F"/>
    <w:rsid w:val="00CB0C4D"/>
    <w:rsid w:val="00CB3396"/>
    <w:rsid w:val="00CC0EBB"/>
    <w:rsid w:val="00CC6074"/>
    <w:rsid w:val="00CC6297"/>
    <w:rsid w:val="00CC7690"/>
    <w:rsid w:val="00CD0A4E"/>
    <w:rsid w:val="00CD1986"/>
    <w:rsid w:val="00CD30D0"/>
    <w:rsid w:val="00CD54BF"/>
    <w:rsid w:val="00CD5DC5"/>
    <w:rsid w:val="00CE1A1A"/>
    <w:rsid w:val="00CE4D5C"/>
    <w:rsid w:val="00CF05DA"/>
    <w:rsid w:val="00CF11A2"/>
    <w:rsid w:val="00CF2C86"/>
    <w:rsid w:val="00CF3094"/>
    <w:rsid w:val="00CF4BA1"/>
    <w:rsid w:val="00CF58EB"/>
    <w:rsid w:val="00CF6FEC"/>
    <w:rsid w:val="00D0106E"/>
    <w:rsid w:val="00D028D2"/>
    <w:rsid w:val="00D035E6"/>
    <w:rsid w:val="00D06383"/>
    <w:rsid w:val="00D07368"/>
    <w:rsid w:val="00D07B14"/>
    <w:rsid w:val="00D20E85"/>
    <w:rsid w:val="00D24615"/>
    <w:rsid w:val="00D2751B"/>
    <w:rsid w:val="00D2770F"/>
    <w:rsid w:val="00D37842"/>
    <w:rsid w:val="00D42DC2"/>
    <w:rsid w:val="00D4302B"/>
    <w:rsid w:val="00D509FB"/>
    <w:rsid w:val="00D53720"/>
    <w:rsid w:val="00D537E1"/>
    <w:rsid w:val="00D55BB2"/>
    <w:rsid w:val="00D56823"/>
    <w:rsid w:val="00D6091A"/>
    <w:rsid w:val="00D64BE3"/>
    <w:rsid w:val="00D6605A"/>
    <w:rsid w:val="00D6695F"/>
    <w:rsid w:val="00D71836"/>
    <w:rsid w:val="00D75644"/>
    <w:rsid w:val="00D7565D"/>
    <w:rsid w:val="00D81656"/>
    <w:rsid w:val="00D83D87"/>
    <w:rsid w:val="00D84A6D"/>
    <w:rsid w:val="00D86A30"/>
    <w:rsid w:val="00D92684"/>
    <w:rsid w:val="00D97CB4"/>
    <w:rsid w:val="00D97DD4"/>
    <w:rsid w:val="00DA5A8A"/>
    <w:rsid w:val="00DB1170"/>
    <w:rsid w:val="00DB1714"/>
    <w:rsid w:val="00DB26CD"/>
    <w:rsid w:val="00DB334A"/>
    <w:rsid w:val="00DB393D"/>
    <w:rsid w:val="00DB441C"/>
    <w:rsid w:val="00DB44AF"/>
    <w:rsid w:val="00DB7918"/>
    <w:rsid w:val="00DC1A53"/>
    <w:rsid w:val="00DC1F58"/>
    <w:rsid w:val="00DC339B"/>
    <w:rsid w:val="00DC5D40"/>
    <w:rsid w:val="00DC69A7"/>
    <w:rsid w:val="00DD30E9"/>
    <w:rsid w:val="00DD3BD8"/>
    <w:rsid w:val="00DD4F47"/>
    <w:rsid w:val="00DD7FBB"/>
    <w:rsid w:val="00DE0B9F"/>
    <w:rsid w:val="00DE2A9E"/>
    <w:rsid w:val="00DE4238"/>
    <w:rsid w:val="00DE657F"/>
    <w:rsid w:val="00DF1218"/>
    <w:rsid w:val="00DF1871"/>
    <w:rsid w:val="00DF6462"/>
    <w:rsid w:val="00E02FA0"/>
    <w:rsid w:val="00E036DC"/>
    <w:rsid w:val="00E10454"/>
    <w:rsid w:val="00E112E5"/>
    <w:rsid w:val="00E118FA"/>
    <w:rsid w:val="00E122D8"/>
    <w:rsid w:val="00E12CC8"/>
    <w:rsid w:val="00E13462"/>
    <w:rsid w:val="00E15352"/>
    <w:rsid w:val="00E21CC7"/>
    <w:rsid w:val="00E24D9E"/>
    <w:rsid w:val="00E25849"/>
    <w:rsid w:val="00E3197E"/>
    <w:rsid w:val="00E342F8"/>
    <w:rsid w:val="00E351ED"/>
    <w:rsid w:val="00E42B19"/>
    <w:rsid w:val="00E43633"/>
    <w:rsid w:val="00E45A7C"/>
    <w:rsid w:val="00E47832"/>
    <w:rsid w:val="00E52AE3"/>
    <w:rsid w:val="00E6034B"/>
    <w:rsid w:val="00E6049B"/>
    <w:rsid w:val="00E609C5"/>
    <w:rsid w:val="00E6549E"/>
    <w:rsid w:val="00E65EDE"/>
    <w:rsid w:val="00E70F81"/>
    <w:rsid w:val="00E77055"/>
    <w:rsid w:val="00E77460"/>
    <w:rsid w:val="00E8251D"/>
    <w:rsid w:val="00E835AC"/>
    <w:rsid w:val="00E83ABC"/>
    <w:rsid w:val="00E844F2"/>
    <w:rsid w:val="00E90979"/>
    <w:rsid w:val="00E90AD0"/>
    <w:rsid w:val="00E91AAE"/>
    <w:rsid w:val="00E92FCB"/>
    <w:rsid w:val="00E96620"/>
    <w:rsid w:val="00E9687B"/>
    <w:rsid w:val="00EA147F"/>
    <w:rsid w:val="00EA4A27"/>
    <w:rsid w:val="00EA4FA6"/>
    <w:rsid w:val="00EA59FD"/>
    <w:rsid w:val="00EA7134"/>
    <w:rsid w:val="00EB1A25"/>
    <w:rsid w:val="00EB590C"/>
    <w:rsid w:val="00EB7507"/>
    <w:rsid w:val="00EB7FE5"/>
    <w:rsid w:val="00EC7363"/>
    <w:rsid w:val="00ED03AB"/>
    <w:rsid w:val="00ED0E17"/>
    <w:rsid w:val="00ED1560"/>
    <w:rsid w:val="00ED1963"/>
    <w:rsid w:val="00ED1CD4"/>
    <w:rsid w:val="00ED1D2B"/>
    <w:rsid w:val="00ED4FE1"/>
    <w:rsid w:val="00ED567D"/>
    <w:rsid w:val="00ED64B5"/>
    <w:rsid w:val="00ED7E7C"/>
    <w:rsid w:val="00ED7FD0"/>
    <w:rsid w:val="00EE03A6"/>
    <w:rsid w:val="00EE15F9"/>
    <w:rsid w:val="00EE7CCA"/>
    <w:rsid w:val="00EF0094"/>
    <w:rsid w:val="00EF2653"/>
    <w:rsid w:val="00F06E53"/>
    <w:rsid w:val="00F137B8"/>
    <w:rsid w:val="00F1459B"/>
    <w:rsid w:val="00F16A14"/>
    <w:rsid w:val="00F2487D"/>
    <w:rsid w:val="00F27958"/>
    <w:rsid w:val="00F362D7"/>
    <w:rsid w:val="00F37D7B"/>
    <w:rsid w:val="00F40D23"/>
    <w:rsid w:val="00F41471"/>
    <w:rsid w:val="00F41710"/>
    <w:rsid w:val="00F5314C"/>
    <w:rsid w:val="00F53CE3"/>
    <w:rsid w:val="00F5502E"/>
    <w:rsid w:val="00F55A12"/>
    <w:rsid w:val="00F5688C"/>
    <w:rsid w:val="00F60048"/>
    <w:rsid w:val="00F635DD"/>
    <w:rsid w:val="00F6627B"/>
    <w:rsid w:val="00F7336E"/>
    <w:rsid w:val="00F734F2"/>
    <w:rsid w:val="00F75052"/>
    <w:rsid w:val="00F804D3"/>
    <w:rsid w:val="00F816CB"/>
    <w:rsid w:val="00F81CD2"/>
    <w:rsid w:val="00F82641"/>
    <w:rsid w:val="00F85A25"/>
    <w:rsid w:val="00F87EF5"/>
    <w:rsid w:val="00F90F18"/>
    <w:rsid w:val="00F91267"/>
    <w:rsid w:val="00F937E4"/>
    <w:rsid w:val="00F95EE7"/>
    <w:rsid w:val="00FA032F"/>
    <w:rsid w:val="00FA18D5"/>
    <w:rsid w:val="00FA39E6"/>
    <w:rsid w:val="00FA7BC9"/>
    <w:rsid w:val="00FB22E7"/>
    <w:rsid w:val="00FB378E"/>
    <w:rsid w:val="00FB37F1"/>
    <w:rsid w:val="00FB47C0"/>
    <w:rsid w:val="00FB501B"/>
    <w:rsid w:val="00FB719A"/>
    <w:rsid w:val="00FB71B7"/>
    <w:rsid w:val="00FB7770"/>
    <w:rsid w:val="00FC04CD"/>
    <w:rsid w:val="00FC0CC1"/>
    <w:rsid w:val="00FC2786"/>
    <w:rsid w:val="00FD3B91"/>
    <w:rsid w:val="00FD576B"/>
    <w:rsid w:val="00FD579E"/>
    <w:rsid w:val="00FD6845"/>
    <w:rsid w:val="00FD6BC4"/>
    <w:rsid w:val="00FE2FA1"/>
    <w:rsid w:val="00FE4516"/>
    <w:rsid w:val="00FE64C8"/>
    <w:rsid w:val="00FF52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243E1"/>
  <w15:docId w15:val="{109A768D-C099-4C6A-88E2-ACF19549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4"/>
    <w:qFormat/>
    <w:rsid w:val="004F5E57"/>
    <w:pPr>
      <w:numPr>
        <w:numId w:val="25"/>
      </w:numPr>
      <w:outlineLvl w:val="0"/>
    </w:pPr>
    <w:rPr>
      <w:rFonts w:hAnsi="Arial"/>
      <w:bCs/>
      <w:kern w:val="32"/>
      <w:szCs w:val="52"/>
    </w:rPr>
  </w:style>
  <w:style w:type="paragraph" w:styleId="2">
    <w:name w:val="heading 2"/>
    <w:basedOn w:val="a4"/>
    <w:link w:val="20"/>
    <w:qFormat/>
    <w:rsid w:val="004F5E57"/>
    <w:pPr>
      <w:numPr>
        <w:ilvl w:val="1"/>
        <w:numId w:val="25"/>
      </w:numPr>
      <w:outlineLvl w:val="1"/>
    </w:pPr>
    <w:rPr>
      <w:rFonts w:hAnsi="Arial"/>
      <w:bCs/>
      <w:kern w:val="32"/>
      <w:szCs w:val="48"/>
    </w:rPr>
  </w:style>
  <w:style w:type="paragraph" w:styleId="3">
    <w:name w:val="heading 3"/>
    <w:basedOn w:val="a4"/>
    <w:qFormat/>
    <w:rsid w:val="004F5E57"/>
    <w:pPr>
      <w:numPr>
        <w:ilvl w:val="2"/>
        <w:numId w:val="25"/>
      </w:numPr>
      <w:outlineLvl w:val="2"/>
    </w:pPr>
    <w:rPr>
      <w:rFonts w:hAnsi="Arial"/>
      <w:bCs/>
      <w:kern w:val="32"/>
      <w:szCs w:val="36"/>
    </w:rPr>
  </w:style>
  <w:style w:type="paragraph" w:styleId="4">
    <w:name w:val="heading 4"/>
    <w:basedOn w:val="a4"/>
    <w:qFormat/>
    <w:rsid w:val="004F5E57"/>
    <w:pPr>
      <w:numPr>
        <w:ilvl w:val="3"/>
        <w:numId w:val="25"/>
      </w:numPr>
      <w:outlineLvl w:val="3"/>
    </w:pPr>
    <w:rPr>
      <w:rFonts w:hAnsi="Arial"/>
      <w:kern w:val="32"/>
      <w:szCs w:val="36"/>
    </w:rPr>
  </w:style>
  <w:style w:type="paragraph" w:styleId="5">
    <w:name w:val="heading 5"/>
    <w:basedOn w:val="a4"/>
    <w:qFormat/>
    <w:rsid w:val="004F5E57"/>
    <w:pPr>
      <w:numPr>
        <w:ilvl w:val="4"/>
        <w:numId w:val="25"/>
      </w:numPr>
      <w:outlineLvl w:val="4"/>
    </w:pPr>
    <w:rPr>
      <w:rFonts w:hAnsi="Arial"/>
      <w:bCs/>
      <w:kern w:val="32"/>
      <w:szCs w:val="36"/>
    </w:rPr>
  </w:style>
  <w:style w:type="paragraph" w:styleId="6">
    <w:name w:val="heading 6"/>
    <w:basedOn w:val="a4"/>
    <w:qFormat/>
    <w:rsid w:val="004F5E57"/>
    <w:pPr>
      <w:numPr>
        <w:ilvl w:val="5"/>
        <w:numId w:val="25"/>
      </w:numPr>
      <w:tabs>
        <w:tab w:val="left" w:pos="2094"/>
      </w:tabs>
      <w:outlineLvl w:val="5"/>
    </w:pPr>
    <w:rPr>
      <w:rFonts w:hAnsi="Arial"/>
      <w:kern w:val="32"/>
      <w:szCs w:val="36"/>
    </w:rPr>
  </w:style>
  <w:style w:type="paragraph" w:styleId="7">
    <w:name w:val="heading 7"/>
    <w:basedOn w:val="a4"/>
    <w:qFormat/>
    <w:rsid w:val="004F5E57"/>
    <w:pPr>
      <w:numPr>
        <w:ilvl w:val="6"/>
        <w:numId w:val="25"/>
      </w:numPr>
      <w:outlineLvl w:val="6"/>
    </w:pPr>
    <w:rPr>
      <w:rFonts w:hAnsi="Arial"/>
      <w:bCs/>
      <w:kern w:val="32"/>
      <w:szCs w:val="36"/>
    </w:rPr>
  </w:style>
  <w:style w:type="paragraph" w:styleId="8">
    <w:name w:val="heading 8"/>
    <w:basedOn w:val="a4"/>
    <w:qFormat/>
    <w:rsid w:val="004F5E57"/>
    <w:pPr>
      <w:numPr>
        <w:ilvl w:val="7"/>
        <w:numId w:val="25"/>
      </w:numPr>
      <w:outlineLvl w:val="7"/>
    </w:pPr>
    <w:rPr>
      <w:rFonts w:hAnsi="Arial"/>
      <w:kern w:val="32"/>
      <w:szCs w:val="36"/>
    </w:rPr>
  </w:style>
  <w:style w:type="paragraph" w:styleId="9">
    <w:name w:val="heading 9"/>
    <w:basedOn w:val="a4"/>
    <w:link w:val="90"/>
    <w:uiPriority w:val="9"/>
    <w:unhideWhenUsed/>
    <w:qFormat/>
    <w:rsid w:val="00C055EC"/>
    <w:pPr>
      <w:numPr>
        <w:ilvl w:val="8"/>
        <w:numId w:val="25"/>
      </w:numPr>
      <w:outlineLvl w:val="8"/>
    </w:pPr>
    <w:rPr>
      <w:rFonts w:hAnsiTheme="majorHAnsi" w:cstheme="majorBidi"/>
      <w:kern w:val="32"/>
      <w:szCs w:val="3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Signature"/>
    <w:basedOn w:val="a4"/>
    <w:semiHidden/>
    <w:rsid w:val="004E0062"/>
    <w:pPr>
      <w:spacing w:before="720" w:after="720"/>
      <w:ind w:left="7371"/>
    </w:pPr>
    <w:rPr>
      <w:b/>
      <w:snapToGrid w:val="0"/>
      <w:spacing w:val="10"/>
      <w:sz w:val="36"/>
    </w:rPr>
  </w:style>
  <w:style w:type="paragraph" w:styleId="a9">
    <w:name w:val="endnote text"/>
    <w:basedOn w:val="a4"/>
    <w:semiHidden/>
    <w:rsid w:val="004E0062"/>
    <w:pPr>
      <w:kinsoku w:val="0"/>
      <w:autoSpaceDE/>
      <w:spacing w:before="240"/>
      <w:ind w:left="1021" w:hanging="1021"/>
    </w:pPr>
    <w:rPr>
      <w:snapToGrid w:val="0"/>
      <w:spacing w:val="10"/>
    </w:rPr>
  </w:style>
  <w:style w:type="paragraph" w:styleId="50">
    <w:name w:val="toc 5"/>
    <w:basedOn w:val="a4"/>
    <w:next w:val="a4"/>
    <w:autoRedefine/>
    <w:uiPriority w:val="39"/>
    <w:rsid w:val="004E0062"/>
    <w:pPr>
      <w:ind w:leftChars="400" w:left="600" w:rightChars="200" w:right="200" w:hangingChars="200" w:hanging="200"/>
    </w:pPr>
  </w:style>
  <w:style w:type="character" w:styleId="aa">
    <w:name w:val="page number"/>
    <w:basedOn w:val="a5"/>
    <w:semiHidden/>
    <w:rsid w:val="004E0062"/>
    <w:rPr>
      <w:rFonts w:ascii="標楷體" w:eastAsia="標楷體"/>
      <w:sz w:val="20"/>
    </w:rPr>
  </w:style>
  <w:style w:type="paragraph" w:styleId="60">
    <w:name w:val="toc 6"/>
    <w:basedOn w:val="a4"/>
    <w:next w:val="a4"/>
    <w:autoRedefine/>
    <w:uiPriority w:val="39"/>
    <w:rsid w:val="004E0062"/>
    <w:pPr>
      <w:ind w:leftChars="500" w:left="500"/>
    </w:pPr>
  </w:style>
  <w:style w:type="paragraph" w:customStyle="1" w:styleId="10">
    <w:name w:val="段落樣式1"/>
    <w:basedOn w:val="a4"/>
    <w:qFormat/>
    <w:rsid w:val="004F5E57"/>
    <w:pPr>
      <w:tabs>
        <w:tab w:val="left" w:pos="567"/>
      </w:tabs>
      <w:ind w:leftChars="200" w:left="200" w:firstLineChars="200" w:firstLine="200"/>
    </w:pPr>
    <w:rPr>
      <w:kern w:val="32"/>
    </w:rPr>
  </w:style>
  <w:style w:type="paragraph" w:customStyle="1" w:styleId="21">
    <w:name w:val="段落樣式2"/>
    <w:basedOn w:val="a4"/>
    <w:qFormat/>
    <w:rsid w:val="004F5E57"/>
    <w:pPr>
      <w:tabs>
        <w:tab w:val="left" w:pos="567"/>
      </w:tabs>
      <w:ind w:leftChars="300" w:left="300" w:firstLineChars="200" w:firstLine="200"/>
    </w:pPr>
    <w:rPr>
      <w:kern w:val="32"/>
    </w:rPr>
  </w:style>
  <w:style w:type="paragraph" w:styleId="11">
    <w:name w:val="toc 1"/>
    <w:basedOn w:val="a4"/>
    <w:next w:val="a4"/>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4"/>
    <w:next w:val="a4"/>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4"/>
    <w:next w:val="a4"/>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4"/>
    <w:next w:val="a4"/>
    <w:autoRedefine/>
    <w:uiPriority w:val="39"/>
    <w:rsid w:val="004E0062"/>
    <w:pPr>
      <w:kinsoku w:val="0"/>
      <w:ind w:leftChars="300" w:left="500" w:rightChars="200" w:right="200" w:hangingChars="200" w:hanging="200"/>
    </w:pPr>
  </w:style>
  <w:style w:type="paragraph" w:styleId="70">
    <w:name w:val="toc 7"/>
    <w:basedOn w:val="a4"/>
    <w:next w:val="a4"/>
    <w:autoRedefine/>
    <w:uiPriority w:val="39"/>
    <w:rsid w:val="004E0062"/>
    <w:pPr>
      <w:ind w:leftChars="600" w:left="800" w:hangingChars="200" w:hanging="200"/>
    </w:pPr>
  </w:style>
  <w:style w:type="paragraph" w:styleId="80">
    <w:name w:val="toc 8"/>
    <w:basedOn w:val="a4"/>
    <w:next w:val="a4"/>
    <w:autoRedefine/>
    <w:uiPriority w:val="39"/>
    <w:rsid w:val="004E0062"/>
    <w:pPr>
      <w:ind w:leftChars="700" w:left="900" w:hangingChars="200" w:hanging="200"/>
    </w:pPr>
  </w:style>
  <w:style w:type="paragraph" w:styleId="91">
    <w:name w:val="toc 9"/>
    <w:basedOn w:val="a4"/>
    <w:next w:val="a4"/>
    <w:autoRedefine/>
    <w:uiPriority w:val="39"/>
    <w:rsid w:val="004E0062"/>
    <w:pPr>
      <w:ind w:leftChars="1600" w:left="3840"/>
    </w:pPr>
  </w:style>
  <w:style w:type="paragraph" w:styleId="ab">
    <w:name w:val="header"/>
    <w:basedOn w:val="a4"/>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c">
    <w:name w:val="Hyperlink"/>
    <w:basedOn w:val="a5"/>
    <w:uiPriority w:val="99"/>
    <w:rsid w:val="004E0062"/>
    <w:rPr>
      <w:color w:val="0000FF"/>
      <w:u w:val="single"/>
    </w:rPr>
  </w:style>
  <w:style w:type="paragraph" w:customStyle="1" w:styleId="ad">
    <w:name w:val="簽名日期"/>
    <w:basedOn w:val="a4"/>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e">
    <w:name w:val="附件"/>
    <w:basedOn w:val="a9"/>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4"/>
    <w:qFormat/>
    <w:rsid w:val="00B77D18"/>
    <w:pPr>
      <w:keepNext/>
      <w:numPr>
        <w:numId w:val="2"/>
      </w:numPr>
      <w:tabs>
        <w:tab w:val="clear" w:pos="1440"/>
      </w:tabs>
      <w:ind w:left="400" w:hangingChars="400" w:hanging="400"/>
      <w:outlineLvl w:val="0"/>
    </w:pPr>
    <w:rPr>
      <w:kern w:val="32"/>
    </w:rPr>
  </w:style>
  <w:style w:type="paragraph" w:styleId="af">
    <w:name w:val="Body Text Indent"/>
    <w:basedOn w:val="a4"/>
    <w:semiHidden/>
    <w:rsid w:val="004E0062"/>
    <w:pPr>
      <w:ind w:left="698" w:hangingChars="200" w:hanging="698"/>
    </w:pPr>
  </w:style>
  <w:style w:type="paragraph" w:customStyle="1" w:styleId="af0">
    <w:name w:val="調查報告"/>
    <w:basedOn w:val="a9"/>
    <w:rsid w:val="00D75644"/>
    <w:pPr>
      <w:adjustRightInd w:val="0"/>
      <w:spacing w:before="0"/>
      <w:ind w:left="0" w:firstLine="0"/>
      <w:jc w:val="center"/>
    </w:pPr>
    <w:rPr>
      <w:b/>
      <w:snapToGrid/>
      <w:spacing w:val="200"/>
      <w:kern w:val="0"/>
      <w:sz w:val="40"/>
    </w:rPr>
  </w:style>
  <w:style w:type="paragraph" w:customStyle="1" w:styleId="14">
    <w:name w:val="表格14"/>
    <w:basedOn w:val="a4"/>
    <w:rsid w:val="006072CD"/>
    <w:pPr>
      <w:adjustRightInd w:val="0"/>
      <w:snapToGrid w:val="0"/>
      <w:spacing w:line="360" w:lineRule="exact"/>
    </w:pPr>
    <w:rPr>
      <w:snapToGrid w:val="0"/>
      <w:spacing w:val="-14"/>
      <w:kern w:val="0"/>
      <w:sz w:val="28"/>
    </w:rPr>
  </w:style>
  <w:style w:type="paragraph" w:customStyle="1" w:styleId="a">
    <w:name w:val="附圖樣式"/>
    <w:basedOn w:val="a4"/>
    <w:qFormat/>
    <w:rsid w:val="00B77D18"/>
    <w:pPr>
      <w:keepNext/>
      <w:numPr>
        <w:numId w:val="3"/>
      </w:numPr>
      <w:tabs>
        <w:tab w:val="clear" w:pos="1440"/>
      </w:tabs>
      <w:ind w:left="400" w:hangingChars="400" w:hanging="400"/>
      <w:outlineLvl w:val="0"/>
    </w:pPr>
    <w:rPr>
      <w:kern w:val="32"/>
    </w:rPr>
  </w:style>
  <w:style w:type="paragraph" w:styleId="af1">
    <w:name w:val="footer"/>
    <w:basedOn w:val="a4"/>
    <w:semiHidden/>
    <w:rsid w:val="004E0062"/>
    <w:pPr>
      <w:tabs>
        <w:tab w:val="center" w:pos="4153"/>
        <w:tab w:val="right" w:pos="8306"/>
      </w:tabs>
      <w:snapToGrid w:val="0"/>
    </w:pPr>
    <w:rPr>
      <w:sz w:val="20"/>
    </w:rPr>
  </w:style>
  <w:style w:type="paragraph" w:styleId="af2">
    <w:name w:val="table of figures"/>
    <w:basedOn w:val="a4"/>
    <w:next w:val="a4"/>
    <w:uiPriority w:val="99"/>
    <w:rsid w:val="004E0062"/>
    <w:pPr>
      <w:ind w:left="400" w:hangingChars="400" w:hanging="400"/>
    </w:pPr>
  </w:style>
  <w:style w:type="paragraph" w:customStyle="1" w:styleId="140">
    <w:name w:val="表格標題14"/>
    <w:basedOn w:val="a4"/>
    <w:rsid w:val="00E15352"/>
    <w:pPr>
      <w:keepNext/>
      <w:adjustRightInd w:val="0"/>
      <w:snapToGrid w:val="0"/>
      <w:spacing w:before="40" w:after="40" w:line="320" w:lineRule="exact"/>
      <w:jc w:val="center"/>
    </w:pPr>
    <w:rPr>
      <w:snapToGrid w:val="0"/>
      <w:spacing w:val="-10"/>
      <w:kern w:val="0"/>
      <w:sz w:val="28"/>
    </w:rPr>
  </w:style>
  <w:style w:type="paragraph" w:customStyle="1" w:styleId="af3">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4">
    <w:name w:val="資料來源"/>
    <w:basedOn w:val="a4"/>
    <w:rsid w:val="00F16A14"/>
    <w:pPr>
      <w:kinsoku w:val="0"/>
      <w:adjustRightInd w:val="0"/>
      <w:snapToGrid w:val="0"/>
      <w:spacing w:before="40" w:after="240" w:line="360" w:lineRule="exact"/>
    </w:pPr>
    <w:rPr>
      <w:spacing w:val="-10"/>
      <w:kern w:val="0"/>
      <w:sz w:val="28"/>
      <w:szCs w:val="22"/>
    </w:rPr>
  </w:style>
  <w:style w:type="paragraph" w:customStyle="1" w:styleId="af5">
    <w:name w:val="圖標題"/>
    <w:basedOn w:val="a4"/>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6"/>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2">
    <w:name w:val="附錄"/>
    <w:basedOn w:val="a4"/>
    <w:qFormat/>
    <w:rsid w:val="00B77D18"/>
    <w:pPr>
      <w:keepNext/>
      <w:numPr>
        <w:numId w:val="24"/>
      </w:numPr>
      <w:ind w:left="350" w:hangingChars="350" w:hanging="350"/>
      <w:outlineLvl w:val="0"/>
    </w:pPr>
    <w:rPr>
      <w:kern w:val="32"/>
    </w:rPr>
  </w:style>
  <w:style w:type="paragraph" w:styleId="af7">
    <w:name w:val="List Paragraph"/>
    <w:basedOn w:val="a4"/>
    <w:uiPriority w:val="34"/>
    <w:qFormat/>
    <w:rsid w:val="00687024"/>
    <w:pPr>
      <w:ind w:leftChars="200" w:left="480"/>
    </w:pPr>
  </w:style>
  <w:style w:type="paragraph" w:styleId="af8">
    <w:name w:val="Balloon Text"/>
    <w:basedOn w:val="a4"/>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5"/>
    <w:link w:val="af8"/>
    <w:uiPriority w:val="99"/>
    <w:semiHidden/>
    <w:rsid w:val="00C530DC"/>
    <w:rPr>
      <w:rFonts w:asciiTheme="majorHAnsi" w:eastAsiaTheme="majorEastAsia" w:hAnsiTheme="majorHAnsi" w:cstheme="majorBidi"/>
      <w:kern w:val="2"/>
      <w:sz w:val="18"/>
      <w:szCs w:val="18"/>
    </w:rPr>
  </w:style>
  <w:style w:type="paragraph" w:customStyle="1" w:styleId="a3">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4"/>
    <w:qFormat/>
    <w:rsid w:val="00B77D18"/>
    <w:pPr>
      <w:keepNext/>
      <w:numPr>
        <w:numId w:val="30"/>
      </w:numPr>
      <w:ind w:left="400" w:hangingChars="400" w:hanging="400"/>
      <w:outlineLvl w:val="0"/>
    </w:pPr>
    <w:rPr>
      <w:kern w:val="32"/>
    </w:rPr>
  </w:style>
  <w:style w:type="character" w:customStyle="1" w:styleId="90">
    <w:name w:val="標題 9 字元"/>
    <w:basedOn w:val="a5"/>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4"/>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5"/>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5"/>
    <w:link w:val="2"/>
    <w:rsid w:val="0031455E"/>
    <w:rPr>
      <w:rFonts w:ascii="標楷體" w:eastAsia="標楷體" w:hAnsi="Arial"/>
      <w:bCs/>
      <w:kern w:val="32"/>
      <w:sz w:val="32"/>
      <w:szCs w:val="48"/>
    </w:rPr>
  </w:style>
  <w:style w:type="paragraph" w:styleId="afc">
    <w:name w:val="footnote text"/>
    <w:basedOn w:val="a4"/>
    <w:link w:val="afd"/>
    <w:uiPriority w:val="99"/>
    <w:unhideWhenUsed/>
    <w:rsid w:val="00690DB1"/>
    <w:pPr>
      <w:snapToGrid w:val="0"/>
      <w:jc w:val="left"/>
    </w:pPr>
    <w:rPr>
      <w:sz w:val="20"/>
    </w:rPr>
  </w:style>
  <w:style w:type="character" w:customStyle="1" w:styleId="afd">
    <w:name w:val="註腳文字 字元"/>
    <w:basedOn w:val="a5"/>
    <w:link w:val="afc"/>
    <w:uiPriority w:val="99"/>
    <w:rsid w:val="00690DB1"/>
    <w:rPr>
      <w:rFonts w:ascii="標楷體" w:eastAsia="標楷體"/>
      <w:kern w:val="2"/>
    </w:rPr>
  </w:style>
  <w:style w:type="character" w:styleId="afe">
    <w:name w:val="footnote reference"/>
    <w:basedOn w:val="a5"/>
    <w:uiPriority w:val="99"/>
    <w:semiHidden/>
    <w:unhideWhenUsed/>
    <w:rsid w:val="00690DB1"/>
    <w:rPr>
      <w:vertAlign w:val="superscript"/>
    </w:rPr>
  </w:style>
  <w:style w:type="table" w:customStyle="1" w:styleId="13">
    <w:name w:val="表格格線1"/>
    <w:basedOn w:val="a6"/>
    <w:next w:val="af6"/>
    <w:uiPriority w:val="39"/>
    <w:rsid w:val="00E909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caption"/>
    <w:basedOn w:val="a4"/>
    <w:next w:val="a4"/>
    <w:uiPriority w:val="35"/>
    <w:unhideWhenUsed/>
    <w:qFormat/>
    <w:rsid w:val="00C3309F"/>
    <w:rPr>
      <w:sz w:val="20"/>
    </w:rPr>
  </w:style>
  <w:style w:type="paragraph" w:styleId="Web">
    <w:name w:val="Normal (Web)"/>
    <w:basedOn w:val="a4"/>
    <w:uiPriority w:val="99"/>
    <w:unhideWhenUsed/>
    <w:rsid w:val="007D0F4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39251488">
      <w:bodyDiv w:val="1"/>
      <w:marLeft w:val="0"/>
      <w:marRight w:val="0"/>
      <w:marTop w:val="0"/>
      <w:marBottom w:val="0"/>
      <w:divBdr>
        <w:top w:val="none" w:sz="0" w:space="0" w:color="auto"/>
        <w:left w:val="none" w:sz="0" w:space="0" w:color="auto"/>
        <w:bottom w:val="none" w:sz="0" w:space="0" w:color="auto"/>
        <w:right w:val="none" w:sz="0" w:space="0" w:color="auto"/>
      </w:divBdr>
    </w:div>
    <w:div w:id="1385833127">
      <w:bodyDiv w:val="1"/>
      <w:marLeft w:val="0"/>
      <w:marRight w:val="0"/>
      <w:marTop w:val="0"/>
      <w:marBottom w:val="0"/>
      <w:divBdr>
        <w:top w:val="none" w:sz="0" w:space="0" w:color="auto"/>
        <w:left w:val="none" w:sz="0" w:space="0" w:color="auto"/>
        <w:bottom w:val="none" w:sz="0" w:space="0" w:color="auto"/>
        <w:right w:val="none" w:sz="0" w:space="0" w:color="auto"/>
      </w:divBdr>
      <w:divsChild>
        <w:div w:id="1402219133">
          <w:marLeft w:val="274"/>
          <w:marRight w:val="0"/>
          <w:marTop w:val="0"/>
          <w:marBottom w:val="0"/>
          <w:divBdr>
            <w:top w:val="none" w:sz="0" w:space="0" w:color="auto"/>
            <w:left w:val="none" w:sz="0" w:space="0" w:color="auto"/>
            <w:bottom w:val="none" w:sz="0" w:space="0" w:color="auto"/>
            <w:right w:val="none" w:sz="0" w:space="0" w:color="auto"/>
          </w:divBdr>
        </w:div>
        <w:div w:id="63336383">
          <w:marLeft w:val="274"/>
          <w:marRight w:val="0"/>
          <w:marTop w:val="0"/>
          <w:marBottom w:val="0"/>
          <w:divBdr>
            <w:top w:val="none" w:sz="0" w:space="0" w:color="auto"/>
            <w:left w:val="none" w:sz="0" w:space="0" w:color="auto"/>
            <w:bottom w:val="none" w:sz="0" w:space="0" w:color="auto"/>
            <w:right w:val="none" w:sz="0" w:space="0" w:color="auto"/>
          </w:divBdr>
        </w:div>
        <w:div w:id="610941439">
          <w:marLeft w:val="274"/>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16D42-D172-4D7F-82F2-0829CE8D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22</Pages>
  <Words>1959</Words>
  <Characters>11171</Characters>
  <Application>Microsoft Office Word</Application>
  <DocSecurity>0</DocSecurity>
  <Lines>93</Lines>
  <Paragraphs>26</Paragraphs>
  <ScaleCrop>false</ScaleCrop>
  <Company>cy</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stud01</cp:lastModifiedBy>
  <cp:revision>5</cp:revision>
  <cp:lastPrinted>2019-10-28T06:26:00Z</cp:lastPrinted>
  <dcterms:created xsi:type="dcterms:W3CDTF">2019-11-05T07:08:00Z</dcterms:created>
  <dcterms:modified xsi:type="dcterms:W3CDTF">2019-11-21T07:20:00Z</dcterms:modified>
</cp:coreProperties>
</file>