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4D141F" w:rsidRDefault="00D75644" w:rsidP="00F37D7B">
      <w:pPr>
        <w:pStyle w:val="af1"/>
      </w:pPr>
      <w:r w:rsidRPr="004D141F">
        <w:rPr>
          <w:rFonts w:hint="eastAsia"/>
        </w:rPr>
        <w:t>調查報告</w:t>
      </w:r>
    </w:p>
    <w:p w:rsidR="00E25849" w:rsidRDefault="00E25849" w:rsidP="00EA0AAC">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22636555"/>
      <w:r w:rsidRPr="00C63FE2">
        <w:rPr>
          <w:rFonts w:hint="eastAsia"/>
          <w:b/>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EA0AAC" w:rsidRPr="00EA0AAC">
        <w:rPr>
          <w:rFonts w:hint="eastAsia"/>
        </w:rPr>
        <w:t>有關我國能源政策於各項再生能源目標值之設定是否合理？宜否務實調整？配套措施確切到位之合理時程規劃究應為何？</w:t>
      </w:r>
      <w:r w:rsidR="00243C9F" w:rsidRPr="00EA0AAC">
        <w:rPr>
          <w:rFonts w:hint="eastAsia"/>
        </w:rPr>
        <w:t>等</w:t>
      </w:r>
      <w:r w:rsidR="00EA0AAC" w:rsidRPr="00EA0AAC">
        <w:rPr>
          <w:rFonts w:hint="eastAsia"/>
        </w:rPr>
        <w:t>均有進一步探究之必要案。</w:t>
      </w:r>
      <w:bookmarkEnd w:id="25"/>
    </w:p>
    <w:p w:rsidR="008565F8" w:rsidRPr="00D66497" w:rsidRDefault="008565F8" w:rsidP="008565F8">
      <w:pPr>
        <w:pStyle w:val="1"/>
        <w:ind w:left="2380" w:hanging="2380"/>
        <w:rPr>
          <w:b/>
        </w:rPr>
      </w:pPr>
      <w:bookmarkStart w:id="26" w:name="_Toc524902730"/>
      <w:bookmarkStart w:id="27" w:name="_Toc421794873"/>
      <w:bookmarkStart w:id="28" w:name="_Toc422834158"/>
      <w:bookmarkStart w:id="29" w:name="_Toc524895646"/>
      <w:bookmarkStart w:id="30" w:name="_Toc524896192"/>
      <w:bookmarkStart w:id="31" w:name="_Toc524896222"/>
      <w:bookmarkStart w:id="32" w:name="_Toc524902729"/>
      <w:bookmarkStart w:id="33" w:name="_Toc525066145"/>
      <w:bookmarkStart w:id="34" w:name="_Toc525070836"/>
      <w:bookmarkStart w:id="35" w:name="_Toc525938376"/>
      <w:bookmarkStart w:id="36" w:name="_Toc525939224"/>
      <w:bookmarkStart w:id="37" w:name="_Toc525939729"/>
      <w:bookmarkStart w:id="38" w:name="_Toc529218269"/>
      <w:bookmarkStart w:id="39" w:name="_Toc529222686"/>
      <w:bookmarkStart w:id="40" w:name="_Toc529223108"/>
      <w:bookmarkStart w:id="41" w:name="_Toc529223859"/>
      <w:bookmarkStart w:id="42" w:name="_Toc529228262"/>
      <w:bookmarkStart w:id="43" w:name="_Toc2400392"/>
      <w:bookmarkStart w:id="44" w:name="_Toc4316186"/>
      <w:bookmarkStart w:id="45" w:name="_Toc4473327"/>
      <w:bookmarkStart w:id="46" w:name="_Toc69556894"/>
      <w:bookmarkStart w:id="47" w:name="_Toc69556943"/>
      <w:bookmarkStart w:id="48" w:name="_Toc69609817"/>
      <w:bookmarkStart w:id="49" w:name="_Toc70241813"/>
      <w:bookmarkStart w:id="50" w:name="_Toc70242202"/>
      <w:bookmarkStart w:id="51" w:name="_Toc421794872"/>
      <w:bookmarkStart w:id="52" w:name="_Toc422834157"/>
      <w:bookmarkStart w:id="53" w:name="_Toc17278138"/>
      <w:bookmarkStart w:id="54" w:name="_Toc22636584"/>
      <w:r w:rsidRPr="00D66497">
        <w:rPr>
          <w:rFonts w:hint="eastAsia"/>
          <w:b/>
        </w:rPr>
        <w:t>調查意見：</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251EBE" w:rsidRDefault="00EB32F0" w:rsidP="008565F8">
      <w:pPr>
        <w:pStyle w:val="11"/>
        <w:ind w:left="680" w:firstLine="680"/>
      </w:pPr>
      <w:r>
        <w:rPr>
          <w:rFonts w:hint="eastAsia"/>
        </w:rPr>
        <w:t>再生能源發展乃「能源轉型」過程中不可逆之趨勢，北歐丹麥經</w:t>
      </w:r>
      <w:r w:rsidR="00251EBE">
        <w:rPr>
          <w:rFonts w:hint="eastAsia"/>
        </w:rPr>
        <w:t>年發展已</w:t>
      </w:r>
      <w:r>
        <w:rPr>
          <w:rFonts w:hint="eastAsia"/>
        </w:rPr>
        <w:t>占</w:t>
      </w:r>
      <w:r w:rsidR="00251EBE">
        <w:rPr>
          <w:rFonts w:hint="eastAsia"/>
        </w:rPr>
        <w:t>其</w:t>
      </w:r>
      <w:r w:rsidR="00426AFC">
        <w:rPr>
          <w:rFonts w:hint="eastAsia"/>
        </w:rPr>
        <w:t>能源</w:t>
      </w:r>
      <w:r w:rsidR="00251EBE">
        <w:rPr>
          <w:rFonts w:hint="eastAsia"/>
        </w:rPr>
        <w:t>30-40﹪</w:t>
      </w:r>
      <w:r>
        <w:rPr>
          <w:rFonts w:hint="eastAsia"/>
        </w:rPr>
        <w:t>的配比，</w:t>
      </w:r>
      <w:r w:rsidR="00271B72">
        <w:rPr>
          <w:rFonts w:hint="eastAsia"/>
        </w:rPr>
        <w:t>亞洲日本再生能源發展腳步雖較遲</w:t>
      </w:r>
      <w:r w:rsidR="00251EBE">
        <w:rPr>
          <w:rFonts w:hint="eastAsia"/>
        </w:rPr>
        <w:t>，但近七、八年也已達10﹪左右。政府設定2025達成20</w:t>
      </w:r>
      <w:r>
        <w:rPr>
          <w:rFonts w:hint="eastAsia"/>
        </w:rPr>
        <w:t>﹪目標，就目前僅完成</w:t>
      </w:r>
      <w:r w:rsidR="00251EBE">
        <w:rPr>
          <w:rFonts w:hint="eastAsia"/>
        </w:rPr>
        <w:t>4.5﹪情境</w:t>
      </w:r>
      <w:r w:rsidR="00D5394C">
        <w:rPr>
          <w:rFonts w:hint="eastAsia"/>
        </w:rPr>
        <w:t xml:space="preserve">觀之，確有加大力度空間。事實上，發展「再生能源」不囿涉及創能，尚包括儲能、輸能、節能等諸多技術與管理層面，更涉及產業國際競爭過程之「綠色」標準，如2014年為因應氣候變遷於紐約所簽定之RE100（make the commitment </w:t>
      </w:r>
      <w:r>
        <w:rPr>
          <w:rFonts w:hint="eastAsia"/>
        </w:rPr>
        <w:t xml:space="preserve">to </w:t>
      </w:r>
      <w:r w:rsidR="00D5394C">
        <w:rPr>
          <w:rFonts w:hint="eastAsia"/>
        </w:rPr>
        <w:t>go 100﹪renewable），限於時間及人力，本調查案僅針對我國再生能源（太陽能光電、風電為主</w:t>
      </w:r>
      <w:r w:rsidR="00426AFC">
        <w:rPr>
          <w:rFonts w:hint="eastAsia"/>
        </w:rPr>
        <w:t>，地熱為輔）之創能部分先行</w:t>
      </w:r>
      <w:r w:rsidR="00254358">
        <w:rPr>
          <w:rFonts w:hint="eastAsia"/>
        </w:rPr>
        <w:t>探討</w:t>
      </w:r>
      <w:r w:rsidR="00426AFC">
        <w:rPr>
          <w:rFonts w:hint="eastAsia"/>
        </w:rPr>
        <w:t>。</w:t>
      </w:r>
    </w:p>
    <w:p w:rsidR="008565F8" w:rsidRDefault="008565F8" w:rsidP="008565F8">
      <w:pPr>
        <w:pStyle w:val="11"/>
        <w:ind w:left="680" w:firstLine="680"/>
      </w:pPr>
      <w:r>
        <w:rPr>
          <w:rFonts w:hint="eastAsia"/>
        </w:rPr>
        <w:t>案經調閱經濟</w:t>
      </w:r>
      <w:r w:rsidRPr="009C7FF2">
        <w:rPr>
          <w:rFonts w:hint="eastAsia"/>
        </w:rPr>
        <w:t>部、</w:t>
      </w:r>
      <w:r>
        <w:rPr>
          <w:rFonts w:hint="eastAsia"/>
        </w:rPr>
        <w:t>審計部、</w:t>
      </w:r>
      <w:r>
        <w:rPr>
          <w:rFonts w:hint="eastAsia"/>
          <w:szCs w:val="28"/>
        </w:rPr>
        <w:t>行政院環境保護署</w:t>
      </w:r>
      <w:r w:rsidR="00737C02">
        <w:rPr>
          <w:rFonts w:hint="eastAsia"/>
          <w:szCs w:val="28"/>
        </w:rPr>
        <w:t>（下稱環保署）</w:t>
      </w:r>
      <w:r>
        <w:rPr>
          <w:rFonts w:hint="eastAsia"/>
          <w:szCs w:val="28"/>
        </w:rPr>
        <w:t>、雲林縣政府及</w:t>
      </w:r>
      <w:r w:rsidRPr="007A399E">
        <w:rPr>
          <w:rFonts w:hAnsi="標楷體" w:hint="eastAsia"/>
          <w:szCs w:val="32"/>
        </w:rPr>
        <w:t>台灣電力股份有限公司</w:t>
      </w:r>
      <w:r>
        <w:rPr>
          <w:rFonts w:hAnsi="標楷體" w:hint="eastAsia"/>
          <w:szCs w:val="32"/>
        </w:rPr>
        <w:t>(下稱台電公司)</w:t>
      </w:r>
      <w:r w:rsidRPr="009C7FF2">
        <w:rPr>
          <w:rFonts w:hint="eastAsia"/>
        </w:rPr>
        <w:t>等機關</w:t>
      </w:r>
      <w:r>
        <w:rPr>
          <w:rFonts w:hint="eastAsia"/>
        </w:rPr>
        <w:t>(構)</w:t>
      </w:r>
      <w:r w:rsidRPr="009C7FF2">
        <w:rPr>
          <w:rFonts w:hint="eastAsia"/>
        </w:rPr>
        <w:t>卷證資料，並於</w:t>
      </w:r>
      <w:r w:rsidRPr="002B7392">
        <w:rPr>
          <w:rFonts w:hint="eastAsia"/>
        </w:rPr>
        <w:t>民國(下同)</w:t>
      </w:r>
      <w:r>
        <w:rPr>
          <w:rFonts w:hint="eastAsia"/>
        </w:rPr>
        <w:t>107</w:t>
      </w:r>
      <w:r w:rsidRPr="009C7FF2">
        <w:rPr>
          <w:rFonts w:hint="eastAsia"/>
        </w:rPr>
        <w:t>年</w:t>
      </w:r>
      <w:r>
        <w:rPr>
          <w:rFonts w:hint="eastAsia"/>
        </w:rPr>
        <w:t>10</w:t>
      </w:r>
      <w:r w:rsidRPr="009C7FF2">
        <w:rPr>
          <w:rFonts w:hint="eastAsia"/>
        </w:rPr>
        <w:t>月</w:t>
      </w:r>
      <w:r>
        <w:rPr>
          <w:rFonts w:hint="eastAsia"/>
        </w:rPr>
        <w:t>1</w:t>
      </w:r>
      <w:r w:rsidRPr="009C7FF2">
        <w:rPr>
          <w:rFonts w:hint="eastAsia"/>
        </w:rPr>
        <w:t>日</w:t>
      </w:r>
      <w:r>
        <w:rPr>
          <w:rFonts w:hint="eastAsia"/>
        </w:rPr>
        <w:t>邀請經濟部及同年12月20日邀請</w:t>
      </w:r>
      <w:r w:rsidRPr="00607F26">
        <w:rPr>
          <w:rFonts w:hint="eastAsia"/>
        </w:rPr>
        <w:t>行政院農業委</w:t>
      </w:r>
      <w:r>
        <w:rPr>
          <w:rFonts w:hint="eastAsia"/>
        </w:rPr>
        <w:t>員會（下稱農委會）就相關業務辦理情形到院簡報，同年</w:t>
      </w:r>
      <w:r w:rsidRPr="00607F26">
        <w:t>12月24日</w:t>
      </w:r>
      <w:r w:rsidRPr="009C7FF2">
        <w:rPr>
          <w:rFonts w:hint="eastAsia"/>
        </w:rPr>
        <w:t>現場履勘</w:t>
      </w:r>
      <w:r w:rsidRPr="00607F26">
        <w:t>彰化</w:t>
      </w:r>
      <w:r>
        <w:rPr>
          <w:rFonts w:hint="eastAsia"/>
        </w:rPr>
        <w:t>縣</w:t>
      </w:r>
      <w:r w:rsidRPr="00607F26">
        <w:t>漢寶畜牧場、臺中龍井太陽光電</w:t>
      </w:r>
      <w:r>
        <w:rPr>
          <w:rFonts w:hint="eastAsia"/>
        </w:rPr>
        <w:t>及</w:t>
      </w:r>
      <w:r w:rsidRPr="00607F26">
        <w:t>台電</w:t>
      </w:r>
      <w:r>
        <w:rPr>
          <w:rFonts w:hint="eastAsia"/>
        </w:rPr>
        <w:t>公司</w:t>
      </w:r>
      <w:r w:rsidRPr="00607F26">
        <w:t>大甲溪馬鞍壩</w:t>
      </w:r>
      <w:r w:rsidRPr="00607F26">
        <w:rPr>
          <w:rFonts w:hint="eastAsia"/>
        </w:rPr>
        <w:t xml:space="preserve"> </w:t>
      </w:r>
      <w:r w:rsidRPr="00607F26">
        <w:t>(後池)</w:t>
      </w:r>
      <w:r>
        <w:rPr>
          <w:rFonts w:hint="eastAsia"/>
        </w:rPr>
        <w:t>水上太陽光電、108年9月6日現場履勘雲林縣太吉企業溫室光電及台西漁電共生設施，與108年9月16日現場履勘宜蘭縣</w:t>
      </w:r>
      <w:r w:rsidRPr="00DD2100">
        <w:rPr>
          <w:rFonts w:hint="eastAsia"/>
        </w:rPr>
        <w:t>仁澤地熱井</w:t>
      </w:r>
      <w:r>
        <w:rPr>
          <w:rFonts w:hint="eastAsia"/>
        </w:rPr>
        <w:t>、</w:t>
      </w:r>
      <w:r w:rsidRPr="00ED2A50">
        <w:rPr>
          <w:rFonts w:hint="eastAsia"/>
        </w:rPr>
        <w:t>清水地熱井及</w:t>
      </w:r>
      <w:r w:rsidRPr="00DD2100">
        <w:rPr>
          <w:rFonts w:hint="eastAsia"/>
        </w:rPr>
        <w:t>清水地熱商轉電廠</w:t>
      </w:r>
      <w:r w:rsidRPr="00041F97">
        <w:rPr>
          <w:rFonts w:hint="eastAsia"/>
        </w:rPr>
        <w:t>設施</w:t>
      </w:r>
      <w:r w:rsidRPr="004F1C24">
        <w:rPr>
          <w:rFonts w:hint="eastAsia"/>
        </w:rPr>
        <w:t>，嗣於108年9月17日詢問經濟部能源局局長游振偉及專門委員鄭如閔、經濟部工業局組長林華宇、科長陳鵬詠、科長林</w:t>
      </w:r>
      <w:r w:rsidRPr="000F7AF6">
        <w:rPr>
          <w:rFonts w:hAnsi="標楷體" w:hint="eastAsia"/>
        </w:rPr>
        <w:t>瑋</w:t>
      </w:r>
      <w:r w:rsidRPr="000F7AF6">
        <w:rPr>
          <w:rFonts w:hAnsi="標楷體" w:hint="eastAsia"/>
        </w:rPr>
        <w:lastRenderedPageBreak/>
        <w:t>浩</w:t>
      </w:r>
      <w:r>
        <w:rPr>
          <w:rFonts w:hAnsi="標楷體" w:hint="eastAsia"/>
        </w:rPr>
        <w:t>及技正</w:t>
      </w:r>
      <w:r w:rsidRPr="000F7AF6">
        <w:rPr>
          <w:rFonts w:hAnsi="標楷體" w:hint="eastAsia"/>
        </w:rPr>
        <w:t>陳志賓</w:t>
      </w:r>
      <w:r>
        <w:rPr>
          <w:rFonts w:hAnsi="標楷體" w:hint="eastAsia"/>
        </w:rPr>
        <w:t>、經濟部國營事業委員會科長林柏相，與台電公司再生能源處處長陳一成、</w:t>
      </w:r>
      <w:r w:rsidRPr="004F1C24">
        <w:rPr>
          <w:rFonts w:hint="eastAsia"/>
        </w:rPr>
        <w:t>課長林啟文、會計處副處長王姚月及業務處組長林淑昭等機關（構）人員後，於108年9</w:t>
      </w:r>
      <w:r w:rsidRPr="004F1C24">
        <w:t>月</w:t>
      </w:r>
      <w:r w:rsidRPr="004F1C24">
        <w:rPr>
          <w:rFonts w:hint="eastAsia"/>
        </w:rPr>
        <w:t>27</w:t>
      </w:r>
      <w:r w:rsidRPr="004F1C24">
        <w:t>日</w:t>
      </w:r>
      <w:r w:rsidRPr="004F1C24">
        <w:rPr>
          <w:rFonts w:hint="eastAsia"/>
        </w:rPr>
        <w:t>再現場履勘苗栗離岸示範風場、彰化兄弟牧場畜電及嘉義鹽業用地光電等再生能源發電設施，業已調查完畢</w:t>
      </w:r>
      <w:r w:rsidRPr="009C7FF2">
        <w:rPr>
          <w:rFonts w:hint="eastAsia"/>
        </w:rPr>
        <w:t>，</w:t>
      </w:r>
      <w:r>
        <w:rPr>
          <w:rFonts w:hint="eastAsia"/>
        </w:rPr>
        <w:t>茲臚</w:t>
      </w:r>
      <w:r w:rsidRPr="009C7FF2">
        <w:rPr>
          <w:rFonts w:hint="eastAsia"/>
        </w:rPr>
        <w:t>列調查意見如下：</w:t>
      </w:r>
    </w:p>
    <w:p w:rsidR="00007237" w:rsidRPr="00150098" w:rsidRDefault="00007237" w:rsidP="00985604">
      <w:pPr>
        <w:pStyle w:val="2"/>
        <w:snapToGrid w:val="0"/>
        <w:spacing w:line="400" w:lineRule="exact"/>
        <w:ind w:hanging="680"/>
        <w:rPr>
          <w:b/>
        </w:rPr>
      </w:pPr>
      <w:bookmarkStart w:id="55" w:name="_Toc22636585"/>
      <w:r>
        <w:rPr>
          <w:rFonts w:hint="eastAsia"/>
          <w:b/>
        </w:rPr>
        <w:t>經濟部</w:t>
      </w:r>
      <w:r w:rsidRPr="00150098">
        <w:rPr>
          <w:rFonts w:hint="eastAsia"/>
          <w:b/>
        </w:rPr>
        <w:t>105年5月宣示</w:t>
      </w:r>
      <w:r w:rsidR="00DC6E52">
        <w:rPr>
          <w:rFonts w:hint="eastAsia"/>
          <w:b/>
        </w:rPr>
        <w:t>以綠代核</w:t>
      </w:r>
      <w:r w:rsidRPr="00150098">
        <w:rPr>
          <w:rFonts w:hint="eastAsia"/>
          <w:b/>
        </w:rPr>
        <w:t>，</w:t>
      </w:r>
      <w:r w:rsidR="00106FE1">
        <w:rPr>
          <w:rFonts w:hint="eastAsia"/>
          <w:b/>
        </w:rPr>
        <w:t>律定各類再生能源</w:t>
      </w:r>
      <w:r w:rsidR="008D2A09" w:rsidRPr="00150098">
        <w:rPr>
          <w:rFonts w:hint="eastAsia"/>
          <w:b/>
        </w:rPr>
        <w:t>114年</w:t>
      </w:r>
      <w:r w:rsidR="00106FE1">
        <w:rPr>
          <w:rFonts w:hint="eastAsia"/>
          <w:b/>
        </w:rPr>
        <w:t>目標量，其中，</w:t>
      </w:r>
      <w:r>
        <w:rPr>
          <w:rFonts w:hint="eastAsia"/>
          <w:b/>
        </w:rPr>
        <w:t>太陽光電</w:t>
      </w:r>
      <w:r w:rsidRPr="00150098">
        <w:rPr>
          <w:rFonts w:hint="eastAsia"/>
          <w:b/>
        </w:rPr>
        <w:t>目標裝置容量20GW，惟</w:t>
      </w:r>
      <w:r w:rsidR="00106FE1">
        <w:rPr>
          <w:rFonts w:hint="eastAsia"/>
          <w:b/>
        </w:rPr>
        <w:t>當時</w:t>
      </w:r>
      <w:r w:rsidRPr="00150098">
        <w:rPr>
          <w:rFonts w:hint="eastAsia"/>
          <w:b/>
        </w:rPr>
        <w:t>太陽光電</w:t>
      </w:r>
      <w:r w:rsidR="00B07025">
        <w:rPr>
          <w:rFonts w:hint="eastAsia"/>
          <w:b/>
        </w:rPr>
        <w:t>已屬</w:t>
      </w:r>
      <w:r w:rsidRPr="00150098">
        <w:rPr>
          <w:rFonts w:hint="eastAsia"/>
          <w:b/>
        </w:rPr>
        <w:t>成熟</w:t>
      </w:r>
      <w:r>
        <w:rPr>
          <w:rFonts w:hint="eastAsia"/>
          <w:b/>
        </w:rPr>
        <w:t>產業，該</w:t>
      </w:r>
      <w:r w:rsidRPr="00150098">
        <w:rPr>
          <w:rFonts w:hint="eastAsia"/>
          <w:b/>
        </w:rPr>
        <w:t>部迄107年10月</w:t>
      </w:r>
      <w:r w:rsidR="008D2A09">
        <w:rPr>
          <w:rFonts w:hint="eastAsia"/>
          <w:b/>
        </w:rPr>
        <w:t>（2年後）</w:t>
      </w:r>
      <w:r w:rsidRPr="00150098">
        <w:rPr>
          <w:rFonts w:hint="eastAsia"/>
          <w:b/>
        </w:rPr>
        <w:t>始訂定分年目標量，</w:t>
      </w:r>
      <w:r w:rsidR="00B07025">
        <w:rPr>
          <w:rFonts w:hint="eastAsia"/>
          <w:b/>
        </w:rPr>
        <w:t>且</w:t>
      </w:r>
      <w:r w:rsidRPr="00150098">
        <w:rPr>
          <w:rFonts w:hint="eastAsia"/>
          <w:b/>
        </w:rPr>
        <w:t>呈逐年遞增</w:t>
      </w:r>
      <w:r>
        <w:rPr>
          <w:rFonts w:hint="eastAsia"/>
          <w:b/>
        </w:rPr>
        <w:t>趨</w:t>
      </w:r>
      <w:r w:rsidRPr="00150098">
        <w:rPr>
          <w:rFonts w:hint="eastAsia"/>
          <w:b/>
        </w:rPr>
        <w:t>勢，然此</w:t>
      </w:r>
      <w:r>
        <w:rPr>
          <w:rFonts w:hint="eastAsia"/>
          <w:b/>
        </w:rPr>
        <w:t>一</w:t>
      </w:r>
      <w:r w:rsidR="00DC6E52">
        <w:rPr>
          <w:rFonts w:hint="eastAsia"/>
          <w:b/>
        </w:rPr>
        <w:t>分年目標量遞增</w:t>
      </w:r>
      <w:r>
        <w:rPr>
          <w:rFonts w:hint="eastAsia"/>
          <w:b/>
        </w:rPr>
        <w:t>趨</w:t>
      </w:r>
      <w:r w:rsidRPr="00150098">
        <w:rPr>
          <w:rFonts w:hint="eastAsia"/>
          <w:b/>
        </w:rPr>
        <w:t>勢，在資金與技術都不是問題</w:t>
      </w:r>
      <w:r>
        <w:rPr>
          <w:rFonts w:hint="eastAsia"/>
          <w:b/>
        </w:rPr>
        <w:t>，且有高躉購費率誘因</w:t>
      </w:r>
      <w:r w:rsidR="00B07025">
        <w:rPr>
          <w:rFonts w:hint="eastAsia"/>
          <w:b/>
        </w:rPr>
        <w:t>下</w:t>
      </w:r>
      <w:r w:rsidRPr="00150098">
        <w:rPr>
          <w:rFonts w:hint="eastAsia"/>
          <w:b/>
        </w:rPr>
        <w:t>，</w:t>
      </w:r>
      <w:r w:rsidR="00B07025">
        <w:rPr>
          <w:rFonts w:hint="eastAsia"/>
          <w:b/>
        </w:rPr>
        <w:t>原定</w:t>
      </w:r>
      <w:r w:rsidRPr="00150098">
        <w:rPr>
          <w:rFonts w:hint="eastAsia"/>
          <w:b/>
        </w:rPr>
        <w:t>107年</w:t>
      </w:r>
      <w:r w:rsidR="008D2A09">
        <w:rPr>
          <w:rFonts w:hint="eastAsia"/>
          <w:b/>
        </w:rPr>
        <w:t>目標</w:t>
      </w:r>
      <w:r>
        <w:rPr>
          <w:rFonts w:hint="eastAsia"/>
          <w:b/>
        </w:rPr>
        <w:t>裝置容量</w:t>
      </w:r>
      <w:r w:rsidR="008D2A09">
        <w:rPr>
          <w:rFonts w:hint="eastAsia"/>
          <w:b/>
        </w:rPr>
        <w:t>、</w:t>
      </w:r>
      <w:r w:rsidRPr="00150098">
        <w:rPr>
          <w:rFonts w:hint="eastAsia"/>
          <w:b/>
        </w:rPr>
        <w:t>發電量</w:t>
      </w:r>
      <w:r w:rsidR="008D2A09">
        <w:rPr>
          <w:rFonts w:hint="eastAsia"/>
          <w:b/>
        </w:rPr>
        <w:t>猶</w:t>
      </w:r>
      <w:r>
        <w:rPr>
          <w:rFonts w:hint="eastAsia"/>
          <w:b/>
        </w:rPr>
        <w:t>未達標，</w:t>
      </w:r>
      <w:r w:rsidRPr="00150098">
        <w:rPr>
          <w:rFonts w:hint="eastAsia"/>
          <w:b/>
        </w:rPr>
        <w:t>未來在</w:t>
      </w:r>
      <w:r w:rsidR="00B07025" w:rsidRPr="00150098">
        <w:rPr>
          <w:rFonts w:hint="eastAsia"/>
          <w:b/>
        </w:rPr>
        <w:t>逐年提高</w:t>
      </w:r>
      <w:r w:rsidRPr="00150098">
        <w:rPr>
          <w:rFonts w:hint="eastAsia"/>
          <w:b/>
        </w:rPr>
        <w:t>目標量之</w:t>
      </w:r>
      <w:r w:rsidR="00B07025">
        <w:rPr>
          <w:rFonts w:hint="eastAsia"/>
          <w:b/>
        </w:rPr>
        <w:t>前提</w:t>
      </w:r>
      <w:r w:rsidRPr="00150098">
        <w:rPr>
          <w:rFonts w:hint="eastAsia"/>
          <w:b/>
        </w:rPr>
        <w:t>下，挑戰更大，</w:t>
      </w:r>
      <w:r w:rsidR="00DC6E52">
        <w:rPr>
          <w:rFonts w:hint="eastAsia"/>
          <w:b/>
        </w:rPr>
        <w:t>經濟部</w:t>
      </w:r>
      <w:r w:rsidR="00B07025">
        <w:rPr>
          <w:rFonts w:hint="eastAsia"/>
          <w:b/>
        </w:rPr>
        <w:t>允</w:t>
      </w:r>
      <w:r w:rsidR="008D2A09">
        <w:rPr>
          <w:rFonts w:hint="eastAsia"/>
          <w:b/>
        </w:rPr>
        <w:t>宜就</w:t>
      </w:r>
      <w:r w:rsidR="00DC6E52">
        <w:rPr>
          <w:rFonts w:hint="eastAsia"/>
          <w:b/>
        </w:rPr>
        <w:t>先有114年總目標量</w:t>
      </w:r>
      <w:r w:rsidR="00A32093">
        <w:rPr>
          <w:rFonts w:hint="eastAsia"/>
          <w:b/>
        </w:rPr>
        <w:t>、</w:t>
      </w:r>
      <w:r w:rsidR="00DC6E52">
        <w:rPr>
          <w:rFonts w:hint="eastAsia"/>
          <w:b/>
        </w:rPr>
        <w:t>後有分年目標量</w:t>
      </w:r>
      <w:r w:rsidR="008D2A09">
        <w:rPr>
          <w:rFonts w:hint="eastAsia"/>
          <w:b/>
        </w:rPr>
        <w:t>，以及</w:t>
      </w:r>
      <w:r w:rsidR="00A32093">
        <w:rPr>
          <w:rFonts w:hint="eastAsia"/>
          <w:b/>
        </w:rPr>
        <w:t>太陽光電</w:t>
      </w:r>
      <w:r w:rsidR="008D2A09">
        <w:rPr>
          <w:rFonts w:hint="eastAsia"/>
          <w:b/>
        </w:rPr>
        <w:t>推動瓶頸，務實</w:t>
      </w:r>
      <w:r w:rsidRPr="00150098">
        <w:rPr>
          <w:rFonts w:hint="eastAsia"/>
          <w:b/>
        </w:rPr>
        <w:t>檢討。</w:t>
      </w:r>
      <w:bookmarkEnd w:id="55"/>
    </w:p>
    <w:p w:rsidR="00007237" w:rsidRDefault="00007237" w:rsidP="00985604">
      <w:pPr>
        <w:pStyle w:val="3"/>
        <w:snapToGrid w:val="0"/>
        <w:spacing w:line="400" w:lineRule="exact"/>
        <w:ind w:left="1276" w:hanging="680"/>
      </w:pPr>
      <w:r>
        <w:rPr>
          <w:rFonts w:hint="eastAsia"/>
        </w:rPr>
        <w:t>查本院為瞭解再生能源推動目標及時程，於107年9月4日函請經濟部說明太陽光電、風力、生質能及地熱等再生能源建置情形，案經該部107年10月4日函復到院，其中，110至114年我國再生能源發電目標裝置容量與實際裝置容量(MW)情形</w:t>
      </w:r>
      <w:r w:rsidR="00D06D34">
        <w:rPr>
          <w:rFonts w:hint="eastAsia"/>
        </w:rPr>
        <w:t>（</w:t>
      </w:r>
      <w:r>
        <w:rPr>
          <w:rFonts w:hint="eastAsia"/>
        </w:rPr>
        <w:t>如表</w:t>
      </w:r>
      <w:r w:rsidR="00747ABD">
        <w:t>1</w:t>
      </w:r>
      <w:r w:rsidR="00D06D34">
        <w:rPr>
          <w:rFonts w:hint="eastAsia"/>
        </w:rPr>
        <w:t>）</w:t>
      </w:r>
      <w:r w:rsidR="008D2A09">
        <w:rPr>
          <w:rFonts w:hint="eastAsia"/>
        </w:rPr>
        <w:t>；</w:t>
      </w:r>
      <w:r>
        <w:rPr>
          <w:rFonts w:hint="eastAsia"/>
        </w:rPr>
        <w:t>110至114年我國再生能源發電目標發電量與實際發電量(億度)情形</w:t>
      </w:r>
      <w:r w:rsidR="00D06D34">
        <w:rPr>
          <w:rFonts w:hint="eastAsia"/>
        </w:rPr>
        <w:t>（</w:t>
      </w:r>
      <w:r>
        <w:rPr>
          <w:rFonts w:hint="eastAsia"/>
        </w:rPr>
        <w:t>如表</w:t>
      </w:r>
      <w:r w:rsidR="008D2A09">
        <w:rPr>
          <w:rFonts w:hint="eastAsia"/>
        </w:rPr>
        <w:t>2</w:t>
      </w:r>
      <w:r w:rsidR="00D06D34">
        <w:rPr>
          <w:rFonts w:hint="eastAsia"/>
        </w:rPr>
        <w:t>）</w:t>
      </w:r>
      <w:r>
        <w:rPr>
          <w:rFonts w:hint="eastAsia"/>
        </w:rPr>
        <w:t>。</w:t>
      </w:r>
    </w:p>
    <w:p w:rsidR="00007237" w:rsidRPr="00150098" w:rsidRDefault="00007237" w:rsidP="00B07025">
      <w:pPr>
        <w:pStyle w:val="a2"/>
        <w:ind w:rightChars="-67" w:right="-228"/>
        <w:jc w:val="center"/>
        <w:rPr>
          <w:b/>
        </w:rPr>
      </w:pPr>
      <w:bookmarkStart w:id="56" w:name="_Toc22216344"/>
      <w:r w:rsidRPr="00150098">
        <w:rPr>
          <w:rFonts w:hint="eastAsia"/>
          <w:b/>
        </w:rPr>
        <w:lastRenderedPageBreak/>
        <w:t>10</w:t>
      </w:r>
      <w:r w:rsidR="00686E90">
        <w:rPr>
          <w:rFonts w:hint="eastAsia"/>
          <w:b/>
        </w:rPr>
        <w:t>4</w:t>
      </w:r>
      <w:r w:rsidRPr="00150098">
        <w:rPr>
          <w:rFonts w:hint="eastAsia"/>
          <w:b/>
        </w:rPr>
        <w:t>至114年我國再生能源目標裝置容量與實際裝置容量(MW)</w:t>
      </w:r>
      <w:r w:rsidR="00B07025">
        <w:rPr>
          <w:rFonts w:hint="eastAsia"/>
          <w:b/>
        </w:rPr>
        <w:t>對照</w:t>
      </w:r>
      <w:r w:rsidRPr="00150098">
        <w:rPr>
          <w:rFonts w:hint="eastAsia"/>
          <w:b/>
        </w:rPr>
        <w:t>表</w:t>
      </w:r>
      <w:bookmarkEnd w:id="56"/>
    </w:p>
    <w:p w:rsidR="00007237" w:rsidRDefault="000D30D6" w:rsidP="00D06D34">
      <w:pPr>
        <w:ind w:leftChars="-250" w:hangingChars="250" w:hanging="850"/>
      </w:pPr>
      <w:r>
        <w:rPr>
          <w:noProof/>
        </w:rPr>
        <w:drawing>
          <wp:inline distT="0" distB="0" distL="0" distR="0" wp14:anchorId="5537353D" wp14:editId="42024465">
            <wp:extent cx="6940431" cy="4114800"/>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CC635A.tmp"/>
                    <pic:cNvPicPr/>
                  </pic:nvPicPr>
                  <pic:blipFill>
                    <a:blip r:embed="rId9">
                      <a:extLst>
                        <a:ext uri="{28A0092B-C50C-407E-A947-70E740481C1C}">
                          <a14:useLocalDpi xmlns:a14="http://schemas.microsoft.com/office/drawing/2010/main" val="0"/>
                        </a:ext>
                      </a:extLst>
                    </a:blip>
                    <a:stretch>
                      <a:fillRect/>
                    </a:stretch>
                  </pic:blipFill>
                  <pic:spPr>
                    <a:xfrm>
                      <a:off x="0" y="0"/>
                      <a:ext cx="6940431" cy="4114800"/>
                    </a:xfrm>
                    <a:prstGeom prst="rect">
                      <a:avLst/>
                    </a:prstGeom>
                  </pic:spPr>
                </pic:pic>
              </a:graphicData>
            </a:graphic>
          </wp:inline>
        </w:drawing>
      </w:r>
    </w:p>
    <w:p w:rsidR="00007237" w:rsidRPr="00150098" w:rsidRDefault="00686E90" w:rsidP="00007237">
      <w:pPr>
        <w:pStyle w:val="a2"/>
        <w:jc w:val="center"/>
        <w:rPr>
          <w:b/>
        </w:rPr>
      </w:pPr>
      <w:bookmarkStart w:id="57" w:name="_Toc22216345"/>
      <w:r>
        <w:rPr>
          <w:rFonts w:hint="eastAsia"/>
          <w:b/>
        </w:rPr>
        <w:t>1</w:t>
      </w:r>
      <w:r w:rsidR="00007237" w:rsidRPr="00150098">
        <w:rPr>
          <w:rFonts w:hint="eastAsia"/>
          <w:b/>
        </w:rPr>
        <w:t>0</w:t>
      </w:r>
      <w:r>
        <w:rPr>
          <w:rFonts w:hint="eastAsia"/>
          <w:b/>
        </w:rPr>
        <w:t>4</w:t>
      </w:r>
      <w:r w:rsidR="00007237" w:rsidRPr="00150098">
        <w:rPr>
          <w:rFonts w:hint="eastAsia"/>
          <w:b/>
        </w:rPr>
        <w:t>至114年我國再生能源目標發電量與實際發電量(億度)</w:t>
      </w:r>
      <w:r w:rsidR="00B07025">
        <w:rPr>
          <w:rFonts w:hint="eastAsia"/>
          <w:b/>
        </w:rPr>
        <w:t>對照</w:t>
      </w:r>
      <w:r w:rsidR="00007237" w:rsidRPr="00150098">
        <w:rPr>
          <w:rFonts w:hint="eastAsia"/>
          <w:b/>
        </w:rPr>
        <w:t>表</w:t>
      </w:r>
      <w:bookmarkEnd w:id="57"/>
    </w:p>
    <w:p w:rsidR="00007237" w:rsidRDefault="000D30D6" w:rsidP="00271B72">
      <w:pPr>
        <w:snapToGrid w:val="0"/>
        <w:ind w:leftChars="-333" w:hangingChars="333" w:hanging="1133"/>
      </w:pPr>
      <w:r>
        <w:rPr>
          <w:noProof/>
        </w:rPr>
        <w:drawing>
          <wp:inline distT="0" distB="0" distL="0" distR="0" wp14:anchorId="6C06AB5C" wp14:editId="56E8CC00">
            <wp:extent cx="7193280" cy="3390900"/>
            <wp:effectExtent l="0" t="0" r="762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CC2256.tmp"/>
                    <pic:cNvPicPr/>
                  </pic:nvPicPr>
                  <pic:blipFill>
                    <a:blip r:embed="rId10">
                      <a:extLst>
                        <a:ext uri="{28A0092B-C50C-407E-A947-70E740481C1C}">
                          <a14:useLocalDpi xmlns:a14="http://schemas.microsoft.com/office/drawing/2010/main" val="0"/>
                        </a:ext>
                      </a:extLst>
                    </a:blip>
                    <a:stretch>
                      <a:fillRect/>
                    </a:stretch>
                  </pic:blipFill>
                  <pic:spPr>
                    <a:xfrm>
                      <a:off x="0" y="0"/>
                      <a:ext cx="7208588" cy="3398116"/>
                    </a:xfrm>
                    <a:prstGeom prst="rect">
                      <a:avLst/>
                    </a:prstGeom>
                  </pic:spPr>
                </pic:pic>
              </a:graphicData>
            </a:graphic>
          </wp:inline>
        </w:drawing>
      </w:r>
    </w:p>
    <w:p w:rsidR="00007237" w:rsidRDefault="00007237" w:rsidP="00574552">
      <w:pPr>
        <w:pStyle w:val="3"/>
        <w:ind w:left="1276"/>
      </w:pPr>
      <w:r>
        <w:rPr>
          <w:rFonts w:hint="eastAsia"/>
        </w:rPr>
        <w:t>次查本院為瞭解太陽光電分年建置量，依經濟部查</w:t>
      </w:r>
      <w:r>
        <w:rPr>
          <w:rFonts w:hint="eastAsia"/>
        </w:rPr>
        <w:lastRenderedPageBreak/>
        <w:t>復本院之「104-114年我國再生能源發電目標裝置容量與實際容量（MW）情形表」（表</w:t>
      </w:r>
      <w:r w:rsidR="00747ABD">
        <w:rPr>
          <w:rFonts w:hint="eastAsia"/>
        </w:rPr>
        <w:t>1</w:t>
      </w:r>
      <w:r>
        <w:rPr>
          <w:rFonts w:hint="eastAsia"/>
        </w:rPr>
        <w:t>），製作104-114年太陽光電目標裝置容量（MW，累計）</w:t>
      </w:r>
      <w:r w:rsidR="00E01C87">
        <w:rPr>
          <w:rFonts w:hint="eastAsia"/>
        </w:rPr>
        <w:t>，（</w:t>
      </w:r>
      <w:r>
        <w:rPr>
          <w:rFonts w:hint="eastAsia"/>
        </w:rPr>
        <w:t>如圖</w:t>
      </w:r>
      <w:r w:rsidR="00747ABD">
        <w:t>1</w:t>
      </w:r>
      <w:r w:rsidR="00E01C87">
        <w:rPr>
          <w:rFonts w:hint="eastAsia"/>
        </w:rPr>
        <w:t>）</w:t>
      </w:r>
      <w:r>
        <w:rPr>
          <w:rFonts w:hint="eastAsia"/>
        </w:rPr>
        <w:t>，分年目標裝置容量（MW）</w:t>
      </w:r>
      <w:r w:rsidR="00E01C87">
        <w:rPr>
          <w:rFonts w:hint="eastAsia"/>
        </w:rPr>
        <w:t>，（</w:t>
      </w:r>
      <w:r>
        <w:rPr>
          <w:rFonts w:hint="eastAsia"/>
        </w:rPr>
        <w:t>如圖</w:t>
      </w:r>
      <w:r w:rsidR="00747ABD">
        <w:t>2</w:t>
      </w:r>
      <w:r w:rsidR="00E01C87">
        <w:rPr>
          <w:rFonts w:hint="eastAsia"/>
        </w:rPr>
        <w:t>）</w:t>
      </w:r>
      <w:r>
        <w:rPr>
          <w:rFonts w:hint="eastAsia"/>
        </w:rPr>
        <w:t>。</w:t>
      </w:r>
    </w:p>
    <w:p w:rsidR="00007237" w:rsidRDefault="00007237" w:rsidP="00007237">
      <w:pPr>
        <w:ind w:leftChars="388" w:left="1320"/>
      </w:pPr>
      <w:r>
        <w:rPr>
          <w:noProof/>
        </w:rPr>
        <w:drawing>
          <wp:inline distT="0" distB="0" distL="0" distR="0" wp14:anchorId="3BE70546" wp14:editId="28C23023">
            <wp:extent cx="4739640" cy="2811780"/>
            <wp:effectExtent l="0" t="0" r="22860" b="26670"/>
            <wp:docPr id="34" name="圖表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07237" w:rsidRPr="00150098" w:rsidRDefault="00271B72" w:rsidP="00747ABD">
      <w:pPr>
        <w:pStyle w:val="af6"/>
        <w:numPr>
          <w:ilvl w:val="0"/>
          <w:numId w:val="4"/>
        </w:numPr>
        <w:spacing w:after="840"/>
        <w:ind w:left="697" w:firstLine="153"/>
        <w:rPr>
          <w:b/>
        </w:rPr>
      </w:pPr>
      <w:bookmarkStart w:id="58" w:name="_Toc22216431"/>
      <w:r>
        <w:rPr>
          <w:rFonts w:hint="eastAsia"/>
          <w:b/>
          <w:noProof/>
        </w:rPr>
        <mc:AlternateContent>
          <mc:Choice Requires="wps">
            <w:drawing>
              <wp:anchor distT="0" distB="0" distL="114300" distR="114300" simplePos="0" relativeHeight="251683840" behindDoc="0" locked="0" layoutInCell="1" allowOverlap="1">
                <wp:simplePos x="0" y="0"/>
                <wp:positionH relativeFrom="column">
                  <wp:posOffset>838200</wp:posOffset>
                </wp:positionH>
                <wp:positionV relativeFrom="paragraph">
                  <wp:posOffset>262255</wp:posOffset>
                </wp:positionV>
                <wp:extent cx="2888673" cy="332509"/>
                <wp:effectExtent l="0" t="0" r="6985" b="0"/>
                <wp:wrapNone/>
                <wp:docPr id="20" name="文字方塊 20"/>
                <wp:cNvGraphicFramePr/>
                <a:graphic xmlns:a="http://schemas.openxmlformats.org/drawingml/2006/main">
                  <a:graphicData uri="http://schemas.microsoft.com/office/word/2010/wordprocessingShape">
                    <wps:wsp>
                      <wps:cNvSpPr txBox="1"/>
                      <wps:spPr>
                        <a:xfrm>
                          <a:off x="0" y="0"/>
                          <a:ext cx="2888673" cy="33250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47ABD" w:rsidRDefault="00747ABD">
                            <w:r>
                              <w:rPr>
                                <w:rFonts w:hint="eastAsia"/>
                                <w:sz w:val="24"/>
                                <w:szCs w:val="24"/>
                              </w:rPr>
                              <w:t>資料來源：本報告彙整自經濟部提供資料。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0" o:spid="_x0000_s1026" type="#_x0000_t202" style="position:absolute;left:0;text-align:left;margin-left:66pt;margin-top:20.65pt;width:227.45pt;height:26.2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" fillcolor="white [3201]" stroked="f" strokeweight=".5pt">
                <v:textbox>
                  <w:txbxContent>
                    <w:p w:rsidR="00747ABD" w:rsidRDefault="00747ABD">
                      <w:r>
                        <w:rPr>
                          <w:rFonts w:hint="eastAsia"/>
                          <w:sz w:val="24"/>
                          <w:szCs w:val="24"/>
                        </w:rPr>
                        <w:t>資料來源：本報告彙整自經濟部提供資料。</w:t>
                      </w:r>
                    </w:p>
                  </w:txbxContent>
                </v:textbox>
              </v:shape>
            </w:pict>
          </mc:Fallback>
        </mc:AlternateContent>
      </w:r>
      <w:r w:rsidR="00007237" w:rsidRPr="00150098">
        <w:rPr>
          <w:rFonts w:hint="eastAsia"/>
          <w:b/>
        </w:rPr>
        <w:t>經濟部太陽光電目標裝置容量(MW)</w:t>
      </w:r>
      <w:bookmarkEnd w:id="58"/>
      <w:r w:rsidRPr="00271B72">
        <w:rPr>
          <w:rFonts w:hint="eastAsia"/>
          <w:b/>
        </w:rPr>
        <w:t xml:space="preserve"> </w:t>
      </w:r>
      <w:r>
        <w:rPr>
          <w:rFonts w:hint="eastAsia"/>
          <w:b/>
        </w:rPr>
        <w:t>（</w:t>
      </w:r>
      <w:r w:rsidRPr="00150098">
        <w:rPr>
          <w:rFonts w:hint="eastAsia"/>
          <w:b/>
        </w:rPr>
        <w:t>104-114年</w:t>
      </w:r>
      <w:r>
        <w:rPr>
          <w:rFonts w:hint="eastAsia"/>
          <w:b/>
        </w:rPr>
        <w:t>）</w:t>
      </w:r>
    </w:p>
    <w:p w:rsidR="00007237" w:rsidRDefault="00007237" w:rsidP="00007237">
      <w:pPr>
        <w:snapToGrid w:val="0"/>
        <w:ind w:leftChars="300" w:left="1020"/>
      </w:pPr>
      <w:r>
        <w:rPr>
          <w:noProof/>
        </w:rPr>
        <w:drawing>
          <wp:inline distT="0" distB="0" distL="0" distR="0" wp14:anchorId="3CBD8329" wp14:editId="4D5D8A92">
            <wp:extent cx="5012055" cy="3039533"/>
            <wp:effectExtent l="0" t="0" r="17145" b="8890"/>
            <wp:docPr id="24" name="圖表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07237" w:rsidRPr="001D6D67" w:rsidRDefault="00007237" w:rsidP="002C2BF1">
      <w:pPr>
        <w:pStyle w:val="af6"/>
        <w:numPr>
          <w:ilvl w:val="0"/>
          <w:numId w:val="4"/>
        </w:numPr>
        <w:ind w:left="697" w:hanging="697"/>
        <w:rPr>
          <w:b/>
        </w:rPr>
      </w:pPr>
      <w:bookmarkStart w:id="59" w:name="_Toc22216432"/>
      <w:r w:rsidRPr="001D6D67">
        <w:rPr>
          <w:rFonts w:hint="eastAsia"/>
          <w:b/>
        </w:rPr>
        <w:t>太陽光電分年目標建置量（MW）</w:t>
      </w:r>
      <w:bookmarkEnd w:id="59"/>
    </w:p>
    <w:p w:rsidR="00007237" w:rsidRDefault="00007237" w:rsidP="00287824">
      <w:pPr>
        <w:snapToGrid w:val="0"/>
        <w:ind w:leftChars="292" w:left="1360" w:hangingChars="141" w:hanging="367"/>
      </w:pPr>
      <w:r w:rsidRPr="000B0905">
        <w:rPr>
          <w:rFonts w:hint="eastAsia"/>
          <w:sz w:val="24"/>
          <w:szCs w:val="24"/>
        </w:rPr>
        <w:t>資料來源：</w:t>
      </w:r>
      <w:r w:rsidR="00B07025">
        <w:rPr>
          <w:rFonts w:hint="eastAsia"/>
          <w:sz w:val="24"/>
          <w:szCs w:val="24"/>
        </w:rPr>
        <w:t>本報告</w:t>
      </w:r>
      <w:r>
        <w:rPr>
          <w:rFonts w:hint="eastAsia"/>
          <w:sz w:val="24"/>
          <w:szCs w:val="24"/>
        </w:rPr>
        <w:t>彙整自經濟部提供資料。</w:t>
      </w:r>
    </w:p>
    <w:p w:rsidR="00007237" w:rsidRDefault="00007237" w:rsidP="00574552">
      <w:pPr>
        <w:pStyle w:val="3"/>
        <w:ind w:left="1276"/>
      </w:pPr>
      <w:r>
        <w:rPr>
          <w:rFonts w:hint="eastAsia"/>
        </w:rPr>
        <w:lastRenderedPageBreak/>
        <w:t>惟查表</w:t>
      </w:r>
      <w:r w:rsidR="00747ABD">
        <w:t>1</w:t>
      </w:r>
      <w:r w:rsidR="008D2A09">
        <w:rPr>
          <w:rFonts w:hint="eastAsia"/>
        </w:rPr>
        <w:t>~2</w:t>
      </w:r>
      <w:r>
        <w:rPr>
          <w:rFonts w:hint="eastAsia"/>
        </w:rPr>
        <w:t>，其中</w:t>
      </w:r>
      <w:r w:rsidRPr="00B6284E">
        <w:rPr>
          <w:rFonts w:hint="eastAsia"/>
        </w:rPr>
        <w:t>104-106年裝置容量、發電量之目標</w:t>
      </w:r>
      <w:r w:rsidR="00E01C87">
        <w:rPr>
          <w:rFonts w:hint="eastAsia"/>
        </w:rPr>
        <w:t>值與實際值均</w:t>
      </w:r>
      <w:r w:rsidR="00B07025">
        <w:rPr>
          <w:rFonts w:hint="eastAsia"/>
        </w:rPr>
        <w:t>相同，透露</w:t>
      </w:r>
      <w:r>
        <w:rPr>
          <w:rFonts w:hint="eastAsia"/>
        </w:rPr>
        <w:t>經濟部在本院函請提供分年目標值之前，僅有114年總目標值，並未規劃分年目標值。再者，以太陽光電為例，114年目標裝置容量20GW、目標發電量256億度固已預估，然細究其分年建置量，卻呈前小後大，逐年</w:t>
      </w:r>
      <w:r w:rsidR="008D2A09">
        <w:rPr>
          <w:rFonts w:hint="eastAsia"/>
        </w:rPr>
        <w:t>加</w:t>
      </w:r>
      <w:r w:rsidR="00E01C87">
        <w:rPr>
          <w:rFonts w:hint="eastAsia"/>
        </w:rPr>
        <w:t>速</w:t>
      </w:r>
      <w:r>
        <w:rPr>
          <w:rFonts w:hint="eastAsia"/>
        </w:rPr>
        <w:t>趨勢，此與太陽光電為成熟發電技術，</w:t>
      </w:r>
      <w:r w:rsidRPr="009B0944">
        <w:rPr>
          <w:rFonts w:hint="eastAsia"/>
        </w:rPr>
        <w:t>政府可穩健持續推動之政策相違。又，</w:t>
      </w:r>
      <w:r>
        <w:rPr>
          <w:rFonts w:hint="eastAsia"/>
        </w:rPr>
        <w:t>自105年經濟部規劃114年太陽光電目標裝置容量迄今，因104~106年係以實際裝置容量為目標容量，故差異數為零。至107年則不同，經濟部107年10月1日函稱107年目標裝置容量（2,837MW），而實際裝置容量，依能源統計資料查詢系統，合計2,737.9MW(台電</w:t>
      </w:r>
      <w:r w:rsidR="00F41282">
        <w:rPr>
          <w:rFonts w:hint="eastAsia"/>
        </w:rPr>
        <w:t>公司</w:t>
      </w:r>
      <w:r>
        <w:rPr>
          <w:rFonts w:hint="eastAsia"/>
        </w:rPr>
        <w:t>18.2MW、民營電廠62.5MW及自用發電設備2,657.2MW之合計），占目標裝置容量約96.5%；實際（毛）發電量27.396億度（台電</w:t>
      </w:r>
      <w:r w:rsidR="00F41282">
        <w:rPr>
          <w:rFonts w:hint="eastAsia"/>
        </w:rPr>
        <w:t>公司</w:t>
      </w:r>
      <w:r>
        <w:rPr>
          <w:rFonts w:hint="eastAsia"/>
        </w:rPr>
        <w:t>31.6百萬度、民營電廠80.6百萬度及自用發電設備2627.4百萬度之合計</w:t>
      </w:r>
      <w:r w:rsidRPr="009B0944">
        <w:rPr>
          <w:rFonts w:hint="eastAsia"/>
        </w:rPr>
        <w:t>數），則僅達目標發電量（35億度）</w:t>
      </w:r>
      <w:r>
        <w:rPr>
          <w:rFonts w:hint="eastAsia"/>
        </w:rPr>
        <w:t>的</w:t>
      </w:r>
      <w:r w:rsidRPr="009B0944">
        <w:rPr>
          <w:rFonts w:hint="eastAsia"/>
        </w:rPr>
        <w:t>78.27%。在太陽光電分年目標容量及目標發電量逐年提高</w:t>
      </w:r>
      <w:r w:rsidR="00B07025">
        <w:rPr>
          <w:rFonts w:hint="eastAsia"/>
        </w:rPr>
        <w:t>前提</w:t>
      </w:r>
      <w:r>
        <w:rPr>
          <w:rFonts w:hint="eastAsia"/>
        </w:rPr>
        <w:t>下，未來達成之難度亦將提高。</w:t>
      </w:r>
    </w:p>
    <w:p w:rsidR="00007237" w:rsidRDefault="00007237" w:rsidP="00574552">
      <w:pPr>
        <w:pStyle w:val="3"/>
        <w:ind w:left="1276"/>
      </w:pPr>
      <w:r>
        <w:rPr>
          <w:rFonts w:hint="eastAsia"/>
        </w:rPr>
        <w:t>綜上，</w:t>
      </w:r>
      <w:r w:rsidR="008D2A09" w:rsidRPr="008D2A09">
        <w:rPr>
          <w:rFonts w:hint="eastAsia"/>
        </w:rPr>
        <w:t>經濟部105年5月宣示以綠代核，律定各類再生能源114年目標量，其中，太陽光電目標裝置容量20GW</w:t>
      </w:r>
      <w:r w:rsidR="00B07025">
        <w:rPr>
          <w:rFonts w:hint="eastAsia"/>
        </w:rPr>
        <w:t>，惟當時太陽光電已屬</w:t>
      </w:r>
      <w:r w:rsidR="008D2A09" w:rsidRPr="008D2A09">
        <w:rPr>
          <w:rFonts w:hint="eastAsia"/>
        </w:rPr>
        <w:t>成熟產業，該部迄107年10月（2年後）始訂定分年目標量，</w:t>
      </w:r>
      <w:r w:rsidR="00B07025">
        <w:rPr>
          <w:rFonts w:hint="eastAsia"/>
        </w:rPr>
        <w:t>且</w:t>
      </w:r>
      <w:r w:rsidR="008D2A09" w:rsidRPr="008D2A09">
        <w:rPr>
          <w:rFonts w:hint="eastAsia"/>
        </w:rPr>
        <w:t>呈逐年遞增趨勢，然此一分年目標量遞增趨勢，在資金與技術都不是問題，且有高躉購費率誘因</w:t>
      </w:r>
      <w:r w:rsidR="00B07025">
        <w:rPr>
          <w:rFonts w:hint="eastAsia"/>
        </w:rPr>
        <w:t>下</w:t>
      </w:r>
      <w:r w:rsidR="008D2A09" w:rsidRPr="008D2A09">
        <w:rPr>
          <w:rFonts w:hint="eastAsia"/>
        </w:rPr>
        <w:t>，</w:t>
      </w:r>
      <w:r w:rsidR="00B07025">
        <w:rPr>
          <w:rFonts w:hint="eastAsia"/>
        </w:rPr>
        <w:t>原定</w:t>
      </w:r>
      <w:r w:rsidR="008D2A09" w:rsidRPr="008D2A09">
        <w:rPr>
          <w:rFonts w:hint="eastAsia"/>
        </w:rPr>
        <w:t>107年目標裝置容量、發電量猶未達標，未來在</w:t>
      </w:r>
      <w:r w:rsidR="00B07025" w:rsidRPr="008D2A09">
        <w:rPr>
          <w:rFonts w:hint="eastAsia"/>
        </w:rPr>
        <w:t>逐年提高</w:t>
      </w:r>
      <w:r w:rsidR="008D2A09" w:rsidRPr="008D2A09">
        <w:rPr>
          <w:rFonts w:hint="eastAsia"/>
        </w:rPr>
        <w:t>目標量之</w:t>
      </w:r>
      <w:r w:rsidR="00B07025">
        <w:rPr>
          <w:rFonts w:hint="eastAsia"/>
        </w:rPr>
        <w:t>前提</w:t>
      </w:r>
      <w:r w:rsidR="008D2A09" w:rsidRPr="008D2A09">
        <w:rPr>
          <w:rFonts w:hint="eastAsia"/>
        </w:rPr>
        <w:t>下，挑戰勢必更大，經濟部</w:t>
      </w:r>
      <w:r w:rsidR="00B07025">
        <w:rPr>
          <w:rFonts w:hint="eastAsia"/>
        </w:rPr>
        <w:t>允</w:t>
      </w:r>
      <w:r w:rsidR="008D2A09" w:rsidRPr="008D2A09">
        <w:rPr>
          <w:rFonts w:hint="eastAsia"/>
        </w:rPr>
        <w:t>宜就先有114年總目標量，後有分年目標量，以及推動瓶頸，務實檢討</w:t>
      </w:r>
      <w:r w:rsidRPr="004005CD">
        <w:rPr>
          <w:rFonts w:hint="eastAsia"/>
        </w:rPr>
        <w:t>。</w:t>
      </w:r>
    </w:p>
    <w:p w:rsidR="008D2A09" w:rsidRPr="005B2832" w:rsidRDefault="008D2A09" w:rsidP="008D2A09"/>
    <w:p w:rsidR="00BA4E13" w:rsidRDefault="00BA4E13" w:rsidP="00BA4E13">
      <w:pPr>
        <w:pStyle w:val="2"/>
        <w:rPr>
          <w:b/>
        </w:rPr>
      </w:pPr>
      <w:bookmarkStart w:id="60" w:name="_Toc22636586"/>
      <w:bookmarkStart w:id="61" w:name="_Toc534210130"/>
      <w:r>
        <w:rPr>
          <w:rFonts w:hint="eastAsia"/>
          <w:b/>
          <w:bCs w:val="0"/>
        </w:rPr>
        <w:lastRenderedPageBreak/>
        <w:t>「太陽光電2年推動計畫」地面型太陽光電達成率僅為目標值之37.07﹪。且截至108年8月，前揭計畫重點中之農業綠能推動成效，有9成屬屋頂型。</w:t>
      </w:r>
      <w:r w:rsidR="00B07025">
        <w:rPr>
          <w:rFonts w:hint="eastAsia"/>
          <w:b/>
          <w:bCs w:val="0"/>
        </w:rPr>
        <w:t>而</w:t>
      </w:r>
      <w:r>
        <w:rPr>
          <w:rFonts w:hint="eastAsia"/>
          <w:b/>
          <w:bCs w:val="0"/>
        </w:rPr>
        <w:t>農委會配合經濟部盤點地面型太陽光電所需土地後，包括不利農業經營區、埤塘圳路、養殖生產區(漁電共生)等，面積共計16,575公頃，經濟部即據以規劃設置目標容量為5,585MW</w:t>
      </w:r>
      <w:r w:rsidR="00B07025">
        <w:rPr>
          <w:rFonts w:hint="eastAsia"/>
          <w:b/>
          <w:bCs w:val="0"/>
        </w:rPr>
        <w:t>。然農委會卻指</w:t>
      </w:r>
      <w:r>
        <w:rPr>
          <w:rFonts w:hint="eastAsia"/>
          <w:b/>
          <w:bCs w:val="0"/>
        </w:rPr>
        <w:t>上開土地均為私</w:t>
      </w:r>
      <w:r w:rsidR="00B07025">
        <w:rPr>
          <w:rFonts w:hint="eastAsia"/>
          <w:b/>
          <w:bCs w:val="0"/>
        </w:rPr>
        <w:t>有</w:t>
      </w:r>
      <w:r>
        <w:rPr>
          <w:rFonts w:hint="eastAsia"/>
          <w:b/>
          <w:bCs w:val="0"/>
        </w:rPr>
        <w:t>土地，因持分複雜不易取得共識，復考量地主設置意願</w:t>
      </w:r>
      <w:r w:rsidR="00B07025">
        <w:rPr>
          <w:rFonts w:hint="eastAsia"/>
          <w:b/>
          <w:bCs w:val="0"/>
        </w:rPr>
        <w:t>等</w:t>
      </w:r>
      <w:r>
        <w:rPr>
          <w:rFonts w:hint="eastAsia"/>
          <w:b/>
          <w:bCs w:val="0"/>
        </w:rPr>
        <w:t>因素，該會爰合理推估目標容量僅為1,098MW</w:t>
      </w:r>
      <w:r w:rsidR="00B07025">
        <w:rPr>
          <w:rFonts w:hint="eastAsia"/>
          <w:b/>
          <w:bCs w:val="0"/>
        </w:rPr>
        <w:t>，明顯與經濟部規劃容量存有</w:t>
      </w:r>
      <w:r>
        <w:rPr>
          <w:rFonts w:hint="eastAsia"/>
          <w:b/>
          <w:bCs w:val="0"/>
        </w:rPr>
        <w:t>鉅幅</w:t>
      </w:r>
      <w:r w:rsidR="00B07025">
        <w:rPr>
          <w:rFonts w:hint="eastAsia"/>
          <w:b/>
          <w:bCs w:val="0"/>
        </w:rPr>
        <w:t>落</w:t>
      </w:r>
      <w:r>
        <w:rPr>
          <w:rFonts w:hint="eastAsia"/>
          <w:b/>
          <w:bCs w:val="0"/>
        </w:rPr>
        <w:t>差，案經農委會多次函知經濟部，並未獲正視採納。再依農業綠能迄今之推動情形，地面型漁電共生及農電共生尚處於初步試驗階段，仍待進一步驗證，復涉及地主、農業承租戶、養殖經營者及光電業者間之利益分配問題，政府亦應衡平考量</w:t>
      </w:r>
      <w:r w:rsidR="00B07025">
        <w:rPr>
          <w:rFonts w:hint="eastAsia"/>
          <w:b/>
          <w:bCs w:val="0"/>
        </w:rPr>
        <w:t>所涉利害關係人間之權益，以</w:t>
      </w:r>
      <w:r>
        <w:rPr>
          <w:rFonts w:hint="eastAsia"/>
          <w:b/>
          <w:bCs w:val="0"/>
        </w:rPr>
        <w:t>務實推動農業綠能計畫。</w:t>
      </w:r>
      <w:bookmarkEnd w:id="60"/>
    </w:p>
    <w:p w:rsidR="00BA4E13" w:rsidRDefault="00BA4E13" w:rsidP="00574552">
      <w:pPr>
        <w:pStyle w:val="3"/>
        <w:ind w:left="1276"/>
        <w:rPr>
          <w:bCs w:val="0"/>
        </w:rPr>
      </w:pPr>
      <w:r>
        <w:rPr>
          <w:rFonts w:hint="eastAsia"/>
        </w:rPr>
        <w:t>經濟部規劃農委會配合盤點土地之地面型太陽光電目標容量，並未考量地主設置意願因素，似嫌率斷</w:t>
      </w:r>
    </w:p>
    <w:p w:rsidR="00BA4E13" w:rsidRDefault="00BA4E13" w:rsidP="00BA4E13">
      <w:pPr>
        <w:pStyle w:val="4"/>
      </w:pPr>
      <w:r>
        <w:rPr>
          <w:rFonts w:hint="eastAsia"/>
        </w:rPr>
        <w:t>我國「太陽光電2年推動計畫」地面型太陽光電達成率僅為目標值之37.07﹪，明顯落後於計畫目標之原因，詢據經濟部稱，地面型太陽光電相對於屋頂型太陽光電規模較大、</w:t>
      </w:r>
      <w:r w:rsidR="00B07025">
        <w:rPr>
          <w:rFonts w:hint="eastAsia"/>
        </w:rPr>
        <w:t>施工時程較長，尚須依各用地類別及相關土地管制規範申請許可，涉及</w:t>
      </w:r>
      <w:r>
        <w:rPr>
          <w:rFonts w:hint="eastAsia"/>
        </w:rPr>
        <w:t>用地變更、容許使用或計畫變更等相關程序以取得土地使用證明文件，推動所需時間相對屋頂型太陽光電較長等情，符</w:t>
      </w:r>
      <w:r w:rsidR="00B07025">
        <w:rPr>
          <w:rFonts w:hint="eastAsia"/>
        </w:rPr>
        <w:t>合</w:t>
      </w:r>
      <w:r>
        <w:rPr>
          <w:rFonts w:hint="eastAsia"/>
        </w:rPr>
        <w:t>部分實情。</w:t>
      </w:r>
    </w:p>
    <w:p w:rsidR="00BA4E13" w:rsidRDefault="00BA4E13" w:rsidP="00BA4E13">
      <w:pPr>
        <w:pStyle w:val="4"/>
        <w:rPr>
          <w:rFonts w:ascii="Times New Roman" w:hAnsi="Times New Roman"/>
          <w:snapToGrid w:val="0"/>
        </w:rPr>
      </w:pPr>
      <w:r>
        <w:rPr>
          <w:rFonts w:hint="eastAsia"/>
        </w:rPr>
        <w:t>經查農委會前配合經濟部盤點地面型太陽光電所需土地，包括不利農業經營區、埤塘圳路、</w:t>
      </w:r>
      <w:r w:rsidRPr="00271B72">
        <w:rPr>
          <w:rFonts w:hint="eastAsia"/>
          <w:szCs w:val="32"/>
        </w:rPr>
        <w:t>養</w:t>
      </w:r>
      <w:r w:rsidRPr="00271B72">
        <w:rPr>
          <w:rFonts w:hint="eastAsia"/>
          <w:szCs w:val="32"/>
        </w:rPr>
        <w:lastRenderedPageBreak/>
        <w:t>殖</w:t>
      </w:r>
      <w:r>
        <w:rPr>
          <w:rFonts w:hint="eastAsia"/>
        </w:rPr>
        <w:t>生產區(漁電共生)等，面積共計16,575公頃</w:t>
      </w:r>
      <w:r w:rsidR="0040738F">
        <w:rPr>
          <w:rStyle w:val="aff0"/>
        </w:rPr>
        <w:footnoteReference w:id="1"/>
      </w:r>
      <w:r>
        <w:rPr>
          <w:rFonts w:hint="eastAsia"/>
        </w:rPr>
        <w:t>，經濟部即據以規劃設置目標容量為5,585MW。</w:t>
      </w:r>
    </w:p>
    <w:p w:rsidR="00BA4E13" w:rsidRDefault="00B07025" w:rsidP="00BA4E13">
      <w:pPr>
        <w:pStyle w:val="4"/>
        <w:rPr>
          <w:rFonts w:hAnsi="標楷體" w:cs="新細明體"/>
        </w:rPr>
      </w:pPr>
      <w:r>
        <w:rPr>
          <w:rFonts w:hint="eastAsia"/>
        </w:rPr>
        <w:t>惟據農委會指稱</w:t>
      </w:r>
      <w:r w:rsidR="00BA4E13">
        <w:rPr>
          <w:rFonts w:hint="eastAsia"/>
        </w:rPr>
        <w:t>，經濟部上開目標容量推估僅考量太陽能板法定遮蔽率上限，例如不利農業經營區上限為70%、埤塘為滿水位的50%、養殖生產區為40%</w:t>
      </w:r>
      <w:r>
        <w:rPr>
          <w:rFonts w:hint="eastAsia"/>
        </w:rPr>
        <w:t>等。然上開土地均屬</w:t>
      </w:r>
      <w:r w:rsidR="00254358">
        <w:rPr>
          <w:rFonts w:hint="eastAsia"/>
        </w:rPr>
        <w:t>私有</w:t>
      </w:r>
      <w:r w:rsidR="00BA4E13">
        <w:rPr>
          <w:rFonts w:hint="eastAsia"/>
        </w:rPr>
        <w:t>土地，且因持分複雜不易取得共識。因此，估算可設置太陽光電容量時須考量設置意願，嗣經農委會參照經濟部能源局推動「綠能屋頂全民參與推動計畫」，以全國建築物總屋頂面積約為466.3平方公里，概估可設置太陽光電潛量為3GW，其設置意願約6.43%。爰該會認為其配合盤點之土地，設置太陽光電潛量概估僅為10%，故目標容量合理推估應為1,098MW，前揭意見雖經該會於107年11月19日與108年1月10日、22日及108年8月28日分別函知經濟部，惟迄未獲該部正視採納。</w:t>
      </w:r>
    </w:p>
    <w:p w:rsidR="00BA4E13" w:rsidRDefault="00BA4E13" w:rsidP="00574552">
      <w:pPr>
        <w:pStyle w:val="3"/>
        <w:ind w:left="1276"/>
      </w:pPr>
      <w:r>
        <w:rPr>
          <w:rFonts w:hint="eastAsia"/>
        </w:rPr>
        <w:t>地面型漁電共生及農電共生太陽能光電，尚處於試驗階段，仍需至少1年時間始能驗證相關品項之再現性；復涉及地主、農業承租戶、養殖經營者及光電業者間之利益分配等問題，政府亦應重視</w:t>
      </w:r>
    </w:p>
    <w:p w:rsidR="00BA4E13" w:rsidRDefault="00BA4E13" w:rsidP="00BA4E13">
      <w:pPr>
        <w:pStyle w:val="4"/>
        <w:rPr>
          <w:snapToGrid w:val="0"/>
        </w:rPr>
      </w:pPr>
      <w:r>
        <w:rPr>
          <w:rFonts w:hint="eastAsia"/>
        </w:rPr>
        <w:t>查截至108年8月，我國農業綠能設置容量90%</w:t>
      </w:r>
      <w:r w:rsidR="009C2C8A">
        <w:rPr>
          <w:rFonts w:hint="eastAsia"/>
        </w:rPr>
        <w:t>，其中畜禽舍屋頂光電即</w:t>
      </w:r>
      <w:r>
        <w:rPr>
          <w:rFonts w:hint="eastAsia"/>
        </w:rPr>
        <w:t>占了70%，可見畜電共生之推動最具成效，</w:t>
      </w:r>
      <w:r w:rsidRPr="00307C06">
        <w:rPr>
          <w:rFonts w:hint="eastAsia"/>
        </w:rPr>
        <w:t>目前國內畜禽舍計有2,451場屋頂已附設太陽能設施</w:t>
      </w:r>
      <w:r w:rsidR="009C2C8A">
        <w:rPr>
          <w:rFonts w:hint="eastAsia"/>
        </w:rPr>
        <w:t>，約占</w:t>
      </w:r>
      <w:r w:rsidRPr="00307C06">
        <w:rPr>
          <w:rFonts w:hint="eastAsia"/>
        </w:rPr>
        <w:t>全國畜牧場的15.7%，</w:t>
      </w:r>
      <w:r>
        <w:rPr>
          <w:rFonts w:hint="eastAsia"/>
        </w:rPr>
        <w:t>農委會畜牧處並組成輔導團隊協助畜牧業者解決設置困難，已</w:t>
      </w:r>
      <w:r w:rsidR="009C2C8A">
        <w:rPr>
          <w:rFonts w:hint="eastAsia"/>
        </w:rPr>
        <w:t>初</w:t>
      </w:r>
      <w:r>
        <w:rPr>
          <w:rFonts w:hint="eastAsia"/>
        </w:rPr>
        <w:t>見成效。</w:t>
      </w:r>
    </w:p>
    <w:p w:rsidR="00BA4E13" w:rsidRDefault="00BA4E13" w:rsidP="00BA4E13">
      <w:pPr>
        <w:pStyle w:val="4"/>
        <w:rPr>
          <w:snapToGrid w:val="0"/>
        </w:rPr>
      </w:pPr>
      <w:r>
        <w:rPr>
          <w:rFonts w:hint="eastAsia"/>
        </w:rPr>
        <w:t>惟漁電共生及農電共生太陽能光電尚處於試驗</w:t>
      </w:r>
      <w:r>
        <w:rPr>
          <w:rFonts w:hint="eastAsia"/>
        </w:rPr>
        <w:lastRenderedPageBreak/>
        <w:t>階段，需再耗時驗證，且有用地利益競合問題</w:t>
      </w:r>
    </w:p>
    <w:p w:rsidR="00BA4E13" w:rsidRDefault="00BA4E13" w:rsidP="00BA4E13">
      <w:pPr>
        <w:pStyle w:val="4"/>
        <w:numPr>
          <w:ilvl w:val="0"/>
          <w:numId w:val="0"/>
        </w:numPr>
        <w:ind w:left="1701" w:firstLine="666"/>
        <w:rPr>
          <w:snapToGrid w:val="0"/>
        </w:rPr>
      </w:pPr>
      <w:r>
        <w:rPr>
          <w:rFonts w:hint="eastAsia"/>
          <w:snapToGrid w:val="0"/>
        </w:rPr>
        <w:t>經據農委會表示，</w:t>
      </w:r>
      <w:r>
        <w:rPr>
          <w:rFonts w:hint="eastAsia"/>
        </w:rPr>
        <w:t>有關漁電及農電之相關試驗期程，該會原則尊重所屬試驗所之專業判斷，尚需至少再1年時間，始能完整呈現，如相關品項有再現性的結果，始較具可行性；且地主、農漁民與光電業者間之利益調合問題，政府亦有協助創造</w:t>
      </w:r>
      <w:r w:rsidR="009C2C8A">
        <w:rPr>
          <w:rFonts w:hint="eastAsia"/>
        </w:rPr>
        <w:t>共贏之責任</w:t>
      </w:r>
      <w:r>
        <w:rPr>
          <w:rFonts w:hint="eastAsia"/>
        </w:rPr>
        <w:t>，茲敘述如下：</w:t>
      </w:r>
    </w:p>
    <w:p w:rsidR="00BA4E13" w:rsidRDefault="00BA4E13" w:rsidP="00BA4E13">
      <w:pPr>
        <w:pStyle w:val="5"/>
        <w:rPr>
          <w:snapToGrid w:val="0"/>
        </w:rPr>
      </w:pPr>
      <w:r>
        <w:rPr>
          <w:rFonts w:hint="eastAsia"/>
        </w:rPr>
        <w:t>漁電共生部分</w:t>
      </w:r>
    </w:p>
    <w:p w:rsidR="00BA4E13" w:rsidRDefault="00BA4E13" w:rsidP="00BA4E13">
      <w:pPr>
        <w:pStyle w:val="6"/>
        <w:rPr>
          <w:snapToGrid w:val="0"/>
        </w:rPr>
      </w:pPr>
      <w:r>
        <w:rPr>
          <w:rFonts w:hint="eastAsia"/>
        </w:rPr>
        <w:t>查農委會水產試驗所於107年11月初進行試驗，預計至108年11月中旬始能獲致一整年之試驗研究成果。且過去</w:t>
      </w:r>
      <w:r w:rsidR="009C2C8A">
        <w:rPr>
          <w:rFonts w:hint="eastAsia"/>
        </w:rPr>
        <w:t>並無</w:t>
      </w:r>
      <w:r>
        <w:rPr>
          <w:rFonts w:hint="eastAsia"/>
        </w:rPr>
        <w:t>漁業結合光電相關經驗，亦無國外成功案例，使得漁民擔心</w:t>
      </w:r>
      <w:r w:rsidR="009C2C8A">
        <w:rPr>
          <w:rFonts w:hint="eastAsia"/>
        </w:rPr>
        <w:t>會</w:t>
      </w:r>
      <w:r>
        <w:rPr>
          <w:rFonts w:hint="eastAsia"/>
        </w:rPr>
        <w:t>影響漁業生產，以及光電業者搶地造成租金高漲影響養殖承租戶之生計等疑慮，爰農委會希望透過試驗研究之科學數據，以專業的角度提供試驗成功的結果，解除漁民的疑慮，</w:t>
      </w:r>
      <w:r w:rsidR="009C2C8A">
        <w:rPr>
          <w:rFonts w:hint="eastAsia"/>
        </w:rPr>
        <w:t>以</w:t>
      </w:r>
      <w:r>
        <w:rPr>
          <w:rFonts w:hint="eastAsia"/>
        </w:rPr>
        <w:t>提高參與意願。</w:t>
      </w:r>
    </w:p>
    <w:p w:rsidR="00BA4E13" w:rsidRDefault="00BA4E13" w:rsidP="00BA4E13">
      <w:pPr>
        <w:pStyle w:val="6"/>
      </w:pPr>
      <w:r>
        <w:rPr>
          <w:rFonts w:hint="eastAsia"/>
        </w:rPr>
        <w:t>農委會水產試驗所目前負責科技部「農業綠能多元發展之整合性關鍵技術研發與推動」108年至111年為期4年之計畫，透過此科技計畫逐步建立10項主</w:t>
      </w:r>
      <w:r w:rsidR="009C2C8A">
        <w:rPr>
          <w:rFonts w:hint="eastAsia"/>
        </w:rPr>
        <w:t>要養殖物種的相關試驗，並與民間公司合作進行實體試驗，該所預計再花</w:t>
      </w:r>
      <w:r>
        <w:rPr>
          <w:rFonts w:hint="eastAsia"/>
        </w:rPr>
        <w:t>4</w:t>
      </w:r>
      <w:r w:rsidR="009C2C8A">
        <w:rPr>
          <w:rFonts w:hint="eastAsia"/>
        </w:rPr>
        <w:t>年計劃期間完成試驗，始能提供研究數據予</w:t>
      </w:r>
      <w:r>
        <w:rPr>
          <w:rFonts w:hint="eastAsia"/>
        </w:rPr>
        <w:t>行政部門</w:t>
      </w:r>
      <w:r w:rsidR="009C2C8A">
        <w:rPr>
          <w:rFonts w:hint="eastAsia"/>
        </w:rPr>
        <w:t>參考</w:t>
      </w:r>
      <w:r>
        <w:rPr>
          <w:rFonts w:hint="eastAsia"/>
        </w:rPr>
        <w:t>推動。</w:t>
      </w:r>
    </w:p>
    <w:p w:rsidR="00BA4E13" w:rsidRDefault="00BA4E13" w:rsidP="00BA4E13">
      <w:pPr>
        <w:pStyle w:val="6"/>
        <w:rPr>
          <w:snapToGrid w:val="0"/>
        </w:rPr>
      </w:pPr>
      <w:r>
        <w:rPr>
          <w:rFonts w:hint="eastAsia"/>
        </w:rPr>
        <w:t>復依本院108年9月6日履勘漁電共生試驗設施時，發現倘魚塭係承租而來，養殖漁民關心重點為工作權之保障，是以政府亦應一併考量地主、養殖經營者及光電業者等</w:t>
      </w:r>
      <w:r w:rsidR="009C2C8A">
        <w:rPr>
          <w:rFonts w:hint="eastAsia"/>
        </w:rPr>
        <w:t>利害關係人間權益</w:t>
      </w:r>
      <w:r>
        <w:rPr>
          <w:rFonts w:hint="eastAsia"/>
        </w:rPr>
        <w:t>之調合。</w:t>
      </w:r>
    </w:p>
    <w:p w:rsidR="00BA4E13" w:rsidRDefault="00BA4E13" w:rsidP="00BA4E13">
      <w:pPr>
        <w:pStyle w:val="5"/>
      </w:pPr>
      <w:r>
        <w:rPr>
          <w:rFonts w:hint="eastAsia"/>
        </w:rPr>
        <w:t>農電共生部分</w:t>
      </w:r>
    </w:p>
    <w:p w:rsidR="00BA4E13" w:rsidRDefault="00BA4E13" w:rsidP="00BA4E13">
      <w:pPr>
        <w:pStyle w:val="6"/>
        <w:rPr>
          <w:snapToGrid w:val="0"/>
        </w:rPr>
      </w:pPr>
      <w:r>
        <w:rPr>
          <w:rFonts w:hint="eastAsia"/>
        </w:rPr>
        <w:lastRenderedPageBreak/>
        <w:t>本院108年9月6日履勘農電共生設施發現，農委會農業試驗所已篩選出40%遮蔽率下，產量減少幅度低於30%之葉菜類、瓜果類、特用作物類及景觀植物類等22項38種品項，用以配合農電共生政策之推動。復據農委會稱，因作物特性、氣候條件及地區特性不同，因此規劃透過試驗成果進行數據證明後，再於下一階段穩健推動，以逐步達成綠能設置目標。且目前日本雖已進行先驅性試驗，然亦面臨到諸多問題，如植物生長需行光合作用、產銷問題、農民生計及農業生產環境永續等問題，均待主管機關詳加考量。</w:t>
      </w:r>
    </w:p>
    <w:p w:rsidR="00BA4E13" w:rsidRDefault="00BA4E13" w:rsidP="00BA4E13">
      <w:pPr>
        <w:pStyle w:val="6"/>
      </w:pPr>
      <w:r>
        <w:rPr>
          <w:rFonts w:hint="eastAsia"/>
        </w:rPr>
        <w:t>再者，部分農民對於農業結合太陽能仍存有疑慮，如設置太陽能板是否造成土地污染、影響農業生產以及農民生計，此外</w:t>
      </w:r>
      <w:r w:rsidRPr="00307C06">
        <w:rPr>
          <w:rFonts w:hint="eastAsia"/>
        </w:rPr>
        <w:t>農地租賃者亦可能因光電業者介入而造成租</w:t>
      </w:r>
      <w:r>
        <w:rPr>
          <w:rFonts w:hint="eastAsia"/>
        </w:rPr>
        <w:t>金高漲，部分地主可能因光電業者可提供較高租金，而不願繼續將土地租給實際從事農業生產之農民，從而產生地主、農業承租戶及光電業者間之利益衝突問題。</w:t>
      </w:r>
    </w:p>
    <w:p w:rsidR="00BA4E13" w:rsidRPr="008D2A09" w:rsidRDefault="00BA4E13" w:rsidP="00574552">
      <w:pPr>
        <w:pStyle w:val="3"/>
        <w:ind w:left="1276"/>
        <w:rPr>
          <w:b/>
        </w:rPr>
      </w:pPr>
      <w:r>
        <w:rPr>
          <w:rFonts w:hint="eastAsia"/>
        </w:rPr>
        <w:t>綜上，</w:t>
      </w:r>
      <w:r w:rsidR="00B07025" w:rsidRPr="00B07025">
        <w:rPr>
          <w:rFonts w:hint="eastAsia"/>
          <w:bCs w:val="0"/>
        </w:rPr>
        <w:t>「太陽光電2年推動計畫」地面型太陽光電達成率僅為目標值之37.07﹪。且截至108年8月，前揭計畫重點中之農業綠能推動成效，有9成屬屋頂型。而農委會配合經濟部盤點地面型太陽光電所需土地後，包括不利農業經營區、埤塘圳路、養殖生產區(漁電共生)等，面積共計16,575公頃，經濟部即據以規劃設置目標容量為5,585MW。然農委會卻指上開土地均為私有土地，因持分複雜不易取得共識，復考量地主設置意願等因素，該會爰合理推估目標容量僅為1,098MW，明顯與經濟部規劃容量存有鉅幅落差，</w:t>
      </w:r>
      <w:r w:rsidR="00B07025" w:rsidRPr="00B07025">
        <w:rPr>
          <w:rFonts w:hint="eastAsia"/>
          <w:bCs w:val="0"/>
        </w:rPr>
        <w:lastRenderedPageBreak/>
        <w:t>案經農委會多次函知經濟部，並未獲正視採納。再依農業綠能迄今之推動情形，地面型漁電共生及農電共生尚處於初步試驗階段，仍待進一步驗證，復涉及地主、農業承租戶、養殖經營者及光電業者間之利益分配問題，政府亦應衡平考量所涉利害關係人間之權益，以務實推動農業綠能計畫</w:t>
      </w:r>
      <w:r>
        <w:rPr>
          <w:rFonts w:hint="eastAsia"/>
        </w:rPr>
        <w:t>。</w:t>
      </w:r>
    </w:p>
    <w:p w:rsidR="008D2A09" w:rsidRDefault="008D2A09" w:rsidP="008D2A09"/>
    <w:p w:rsidR="001F1B34" w:rsidRPr="00E86E51" w:rsidRDefault="001F1B34" w:rsidP="001F1B34">
      <w:pPr>
        <w:pStyle w:val="2"/>
        <w:rPr>
          <w:b/>
        </w:rPr>
      </w:pPr>
      <w:bookmarkStart w:id="62" w:name="_Toc22636587"/>
      <w:r>
        <w:rPr>
          <w:rFonts w:hint="eastAsia"/>
          <w:b/>
        </w:rPr>
        <w:t>經濟部107年10月1日簡報自承「</w:t>
      </w:r>
      <w:r w:rsidRPr="00E86E51">
        <w:rPr>
          <w:rFonts w:hint="eastAsia"/>
          <w:b/>
        </w:rPr>
        <w:t>太陽光電2年推動計畫</w:t>
      </w:r>
      <w:r>
        <w:rPr>
          <w:rFonts w:hint="eastAsia"/>
          <w:b/>
        </w:rPr>
        <w:t>(</w:t>
      </w:r>
      <w:r w:rsidRPr="00E86E51">
        <w:rPr>
          <w:rFonts w:hint="eastAsia"/>
          <w:b/>
        </w:rPr>
        <w:t>105年7月至107年6月</w:t>
      </w:r>
      <w:r>
        <w:rPr>
          <w:rFonts w:hint="eastAsia"/>
          <w:b/>
        </w:rPr>
        <w:t>)推動目標</w:t>
      </w:r>
      <w:r w:rsidRPr="00E86E51">
        <w:rPr>
          <w:rFonts w:hint="eastAsia"/>
          <w:b/>
        </w:rPr>
        <w:t>1.52GW，</w:t>
      </w:r>
      <w:r>
        <w:rPr>
          <w:rFonts w:hint="eastAsia"/>
          <w:b/>
        </w:rPr>
        <w:t>累計至107年6月底，完工併聯量1.33GW，</w:t>
      </w:r>
      <w:r w:rsidRPr="00E86E51">
        <w:rPr>
          <w:rFonts w:hint="eastAsia"/>
          <w:b/>
        </w:rPr>
        <w:t>達成率</w:t>
      </w:r>
      <w:r w:rsidR="009C2C8A">
        <w:rPr>
          <w:rFonts w:hint="eastAsia"/>
          <w:b/>
        </w:rPr>
        <w:t>為</w:t>
      </w:r>
      <w:r w:rsidRPr="00E86E51">
        <w:rPr>
          <w:rFonts w:hint="eastAsia"/>
          <w:b/>
        </w:rPr>
        <w:t>87.43%</w:t>
      </w:r>
      <w:r>
        <w:rPr>
          <w:rFonts w:hint="eastAsia"/>
          <w:b/>
        </w:rPr>
        <w:t>，其中地面型進度較為緩慢」(37%)」在案，惟經濟部108年3月4日於立法院</w:t>
      </w:r>
      <w:r w:rsidRPr="00E86E51">
        <w:rPr>
          <w:rFonts w:hint="eastAsia"/>
          <w:b/>
        </w:rPr>
        <w:t>「因應公投結果能源政策評估檢討專案報告」</w:t>
      </w:r>
      <w:r w:rsidR="009C2C8A">
        <w:rPr>
          <w:rFonts w:hint="eastAsia"/>
          <w:b/>
        </w:rPr>
        <w:t>中</w:t>
      </w:r>
      <w:r>
        <w:rPr>
          <w:rFonts w:hint="eastAsia"/>
          <w:b/>
        </w:rPr>
        <w:t>，卻以</w:t>
      </w:r>
      <w:r w:rsidRPr="00E86E51">
        <w:rPr>
          <w:rFonts w:hint="eastAsia"/>
          <w:b/>
        </w:rPr>
        <w:t>「2016年7月起推動『太陽光電2年推動計畫』，迄2018年實際設置量達1.77GW，已</w:t>
      </w:r>
      <w:r>
        <w:rPr>
          <w:rFonts w:hint="eastAsia"/>
          <w:b/>
        </w:rPr>
        <w:t>逾</w:t>
      </w:r>
      <w:r w:rsidRPr="00E86E51">
        <w:rPr>
          <w:rFonts w:hint="eastAsia"/>
          <w:b/>
        </w:rPr>
        <w:t>原規劃</w:t>
      </w:r>
      <w:r>
        <w:rPr>
          <w:rFonts w:hint="eastAsia"/>
          <w:b/>
        </w:rPr>
        <w:t>之</w:t>
      </w:r>
      <w:r w:rsidRPr="00E86E51">
        <w:rPr>
          <w:rFonts w:hint="eastAsia"/>
          <w:b/>
        </w:rPr>
        <w:t>1.52GW設置目標」云云</w:t>
      </w:r>
      <w:r>
        <w:rPr>
          <w:rFonts w:hint="eastAsia"/>
          <w:b/>
        </w:rPr>
        <w:t>含糊其詞，說法前後不一，允宜</w:t>
      </w:r>
      <w:r w:rsidR="009C2C8A">
        <w:rPr>
          <w:rFonts w:hint="eastAsia"/>
          <w:b/>
        </w:rPr>
        <w:t>詳加盤點檢視</w:t>
      </w:r>
      <w:r>
        <w:rPr>
          <w:rFonts w:hint="eastAsia"/>
          <w:b/>
        </w:rPr>
        <w:t>，以正視聽</w:t>
      </w:r>
      <w:r w:rsidRPr="00E86E51">
        <w:rPr>
          <w:rFonts w:hint="eastAsia"/>
          <w:b/>
        </w:rPr>
        <w:t>。</w:t>
      </w:r>
      <w:bookmarkEnd w:id="62"/>
    </w:p>
    <w:p w:rsidR="001F1B34" w:rsidRDefault="001F1B34" w:rsidP="00574552">
      <w:pPr>
        <w:pStyle w:val="3"/>
        <w:ind w:left="1276"/>
      </w:pPr>
      <w:r>
        <w:rPr>
          <w:rFonts w:hint="eastAsia"/>
        </w:rPr>
        <w:t>查太陽光電2年推動計畫，期程105年7月至107年6月，計畫建置屋頂型1,055MW，地面型465MW，合計新增1,520MW。依經濟部107年10月1日簡報第16頁，截至107年6月底，完工併聯量達1,328.98MW，達成率87.43%。其中屋頂型推動量(109%)</w:t>
      </w:r>
      <w:r w:rsidR="00682820">
        <w:rPr>
          <w:rFonts w:hint="eastAsia"/>
        </w:rPr>
        <w:t>目標</w:t>
      </w:r>
      <w:r>
        <w:rPr>
          <w:rFonts w:hint="eastAsia"/>
        </w:rPr>
        <w:t>超前，地面型進度較為緩慢(37%)，計畫期間完工併聯情形如表</w:t>
      </w:r>
      <w:r w:rsidR="000042EF">
        <w:t>3</w:t>
      </w:r>
      <w:r>
        <w:rPr>
          <w:rFonts w:hint="eastAsia"/>
        </w:rPr>
        <w:t>。</w:t>
      </w:r>
    </w:p>
    <w:p w:rsidR="001F1B34" w:rsidRPr="001D6D67" w:rsidRDefault="001F1B34" w:rsidP="001F1B34">
      <w:pPr>
        <w:pStyle w:val="a2"/>
        <w:jc w:val="center"/>
        <w:rPr>
          <w:b/>
        </w:rPr>
      </w:pPr>
      <w:bookmarkStart w:id="63" w:name="_Toc22216346"/>
      <w:r w:rsidRPr="001D6D67">
        <w:rPr>
          <w:rFonts w:hint="eastAsia"/>
          <w:b/>
        </w:rPr>
        <w:lastRenderedPageBreak/>
        <w:t>太陽光電2年推動計畫目標及完工併聯情形</w:t>
      </w:r>
      <w:bookmarkEnd w:id="63"/>
    </w:p>
    <w:p w:rsidR="001F1B34" w:rsidRDefault="001F1B34" w:rsidP="00985604">
      <w:pPr>
        <w:ind w:leftChars="-250" w:left="1364" w:hangingChars="651" w:hanging="2214"/>
      </w:pPr>
      <w:r>
        <w:rPr>
          <w:noProof/>
        </w:rPr>
        <w:drawing>
          <wp:inline distT="0" distB="0" distL="0" distR="0" wp14:anchorId="1899D23E" wp14:editId="602347C6">
            <wp:extent cx="6728460" cy="3055620"/>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49C6.tmp"/>
                    <pic:cNvPicPr/>
                  </pic:nvPicPr>
                  <pic:blipFill>
                    <a:blip r:embed="rId13">
                      <a:extLst>
                        <a:ext uri="{28A0092B-C50C-407E-A947-70E740481C1C}">
                          <a14:useLocalDpi xmlns:a14="http://schemas.microsoft.com/office/drawing/2010/main" val="0"/>
                        </a:ext>
                      </a:extLst>
                    </a:blip>
                    <a:stretch>
                      <a:fillRect/>
                    </a:stretch>
                  </pic:blipFill>
                  <pic:spPr>
                    <a:xfrm>
                      <a:off x="0" y="0"/>
                      <a:ext cx="6728501" cy="3055639"/>
                    </a:xfrm>
                    <a:prstGeom prst="rect">
                      <a:avLst/>
                    </a:prstGeom>
                  </pic:spPr>
                </pic:pic>
              </a:graphicData>
            </a:graphic>
          </wp:inline>
        </w:drawing>
      </w:r>
    </w:p>
    <w:p w:rsidR="001F1B34" w:rsidRPr="000B0905" w:rsidRDefault="001F1B34" w:rsidP="00271B72">
      <w:pPr>
        <w:ind w:leftChars="-167" w:left="1360" w:hangingChars="741" w:hanging="1928"/>
        <w:rPr>
          <w:sz w:val="24"/>
          <w:szCs w:val="24"/>
        </w:rPr>
      </w:pPr>
      <w:r w:rsidRPr="000B0905">
        <w:rPr>
          <w:rFonts w:hint="eastAsia"/>
          <w:sz w:val="24"/>
          <w:szCs w:val="24"/>
        </w:rPr>
        <w:t>資料來源：經濟部。</w:t>
      </w:r>
    </w:p>
    <w:p w:rsidR="001F1B34" w:rsidRPr="00110E4B" w:rsidRDefault="001F1B34" w:rsidP="001F1B34">
      <w:pPr>
        <w:ind w:leftChars="400" w:left="1361"/>
        <w:rPr>
          <w:color w:val="FF0000"/>
          <w:sz w:val="24"/>
          <w:szCs w:val="24"/>
        </w:rPr>
      </w:pPr>
    </w:p>
    <w:p w:rsidR="001F1B34" w:rsidRDefault="001F1B34" w:rsidP="00985604">
      <w:pPr>
        <w:pStyle w:val="3"/>
        <w:snapToGrid w:val="0"/>
        <w:spacing w:line="400" w:lineRule="exact"/>
        <w:ind w:left="1275" w:hanging="680"/>
      </w:pPr>
      <w:r>
        <w:rPr>
          <w:rFonts w:hint="eastAsia"/>
        </w:rPr>
        <w:t>次查經濟部107年10月4日經授能字第1070028110號函</w:t>
      </w:r>
      <w:r w:rsidR="000D30D6">
        <w:rPr>
          <w:rFonts w:hint="eastAsia"/>
        </w:rPr>
        <w:t>表</w:t>
      </w:r>
      <w:r w:rsidR="000042EF">
        <w:t>1</w:t>
      </w:r>
      <w:r>
        <w:rPr>
          <w:rFonts w:hint="eastAsia"/>
        </w:rPr>
        <w:t>：「104至114年我國再生能源發電目標裝置容量與實際裝置容量(MW)情形表」、</w:t>
      </w:r>
      <w:r w:rsidR="000D30D6">
        <w:rPr>
          <w:rFonts w:hint="eastAsia"/>
        </w:rPr>
        <w:t>表2</w:t>
      </w:r>
      <w:r>
        <w:rPr>
          <w:rFonts w:hint="eastAsia"/>
        </w:rPr>
        <w:t>：「104至114年我國再生能源發電目標發電量與實際發電量(億度)情形表」，係經濟部應本院要求填復資料。前揭資料中，104年至106年太陽光電、陸域風電</w:t>
      </w:r>
      <w:r w:rsidR="009C2C8A">
        <w:rPr>
          <w:rFonts w:hint="eastAsia"/>
        </w:rPr>
        <w:t>及離岸風電等各項再生能源之目標容量、發電量與實際量相同等情，顯示</w:t>
      </w:r>
      <w:r>
        <w:rPr>
          <w:rFonts w:hint="eastAsia"/>
        </w:rPr>
        <w:t>經濟部在本院調卷之前，僅設定114年目標容量，並無各年度目標容量、目標發電量之預估值。再者，前揭</w:t>
      </w:r>
      <w:r w:rsidR="000D30D6">
        <w:rPr>
          <w:rFonts w:hint="eastAsia"/>
        </w:rPr>
        <w:t>表</w:t>
      </w:r>
      <w:r w:rsidR="000042EF">
        <w:rPr>
          <w:rFonts w:hint="eastAsia"/>
        </w:rPr>
        <w:t>1</w:t>
      </w:r>
      <w:r>
        <w:rPr>
          <w:rFonts w:hint="eastAsia"/>
        </w:rPr>
        <w:t>、</w:t>
      </w:r>
      <w:r w:rsidR="000D30D6">
        <w:rPr>
          <w:rFonts w:hint="eastAsia"/>
        </w:rPr>
        <w:t>表2</w:t>
      </w:r>
      <w:r>
        <w:rPr>
          <w:rFonts w:hint="eastAsia"/>
        </w:rPr>
        <w:t>所載104年至106年太陽光電目標裝置容量、發電量，與經濟部能源局「能源統計資料查詢系統」所載實際裝置容量、發電量同，然107年實際裝置容量(</w:t>
      </w:r>
      <w:r w:rsidRPr="005577F6">
        <w:t>2,737.9</w:t>
      </w:r>
      <w:r>
        <w:rPr>
          <w:rFonts w:hint="eastAsia"/>
        </w:rPr>
        <w:t>MW)則小於目標裝置容量(2,837MW)，實際發電量(27.396億度)亦小於目標發電量(35億度)。104-107年發電裝置容量及發電量統計如表</w:t>
      </w:r>
      <w:r w:rsidR="000042EF">
        <w:t>4</w:t>
      </w:r>
      <w:r>
        <w:rPr>
          <w:rFonts w:hint="eastAsia"/>
        </w:rPr>
        <w:t>。</w:t>
      </w:r>
    </w:p>
    <w:p w:rsidR="00287824" w:rsidRDefault="00287824" w:rsidP="00287824">
      <w:pPr>
        <w:pStyle w:val="3"/>
        <w:numPr>
          <w:ilvl w:val="0"/>
          <w:numId w:val="0"/>
        </w:numPr>
        <w:ind w:left="1276"/>
      </w:pPr>
    </w:p>
    <w:p w:rsidR="001F1B34" w:rsidRPr="001D6D67" w:rsidRDefault="008D2A09" w:rsidP="001F1B34">
      <w:pPr>
        <w:pStyle w:val="a2"/>
        <w:jc w:val="center"/>
        <w:rPr>
          <w:b/>
        </w:rPr>
      </w:pPr>
      <w:bookmarkStart w:id="64" w:name="_Toc22216347"/>
      <w:r>
        <w:rPr>
          <w:rFonts w:hint="eastAsia"/>
          <w:b/>
        </w:rPr>
        <w:lastRenderedPageBreak/>
        <w:t>104</w:t>
      </w:r>
      <w:r w:rsidR="001F1B34" w:rsidRPr="001D6D67">
        <w:rPr>
          <w:rFonts w:hint="eastAsia"/>
          <w:b/>
        </w:rPr>
        <w:t>~107年太陽光電裝置容量及發電量(能源統計)</w:t>
      </w:r>
      <w:bookmarkEnd w:id="64"/>
    </w:p>
    <w:tbl>
      <w:tblPr>
        <w:tblStyle w:val="af7"/>
        <w:tblW w:w="0" w:type="auto"/>
        <w:tblInd w:w="1101" w:type="dxa"/>
        <w:tblLook w:val="04A0" w:firstRow="1" w:lastRow="0" w:firstColumn="1" w:lastColumn="0" w:noHBand="0" w:noVBand="1"/>
      </w:tblPr>
      <w:tblGrid>
        <w:gridCol w:w="970"/>
        <w:gridCol w:w="1690"/>
        <w:gridCol w:w="1706"/>
        <w:gridCol w:w="1668"/>
        <w:gridCol w:w="1699"/>
      </w:tblGrid>
      <w:tr w:rsidR="001F1B34" w:rsidRPr="0075497B" w:rsidTr="006D7B6A">
        <w:tc>
          <w:tcPr>
            <w:tcW w:w="992" w:type="dxa"/>
            <w:vMerge w:val="restart"/>
            <w:tcBorders>
              <w:tl2br w:val="single" w:sz="4" w:space="0" w:color="auto"/>
            </w:tcBorders>
            <w:vAlign w:val="center"/>
          </w:tcPr>
          <w:p w:rsidR="001F1B34" w:rsidRPr="00682820" w:rsidRDefault="001F1B34" w:rsidP="006D7B6A">
            <w:pPr>
              <w:jc w:val="right"/>
              <w:rPr>
                <w:b/>
                <w:sz w:val="24"/>
                <w:szCs w:val="24"/>
              </w:rPr>
            </w:pPr>
            <w:r w:rsidRPr="00682820">
              <w:rPr>
                <w:rFonts w:hint="eastAsia"/>
                <w:b/>
                <w:sz w:val="24"/>
                <w:szCs w:val="24"/>
              </w:rPr>
              <w:t>項目</w:t>
            </w:r>
          </w:p>
          <w:p w:rsidR="001F1B34" w:rsidRPr="00682820" w:rsidRDefault="001F1B34" w:rsidP="006D7B6A">
            <w:pPr>
              <w:jc w:val="left"/>
              <w:rPr>
                <w:b/>
                <w:sz w:val="24"/>
                <w:szCs w:val="24"/>
              </w:rPr>
            </w:pPr>
            <w:r w:rsidRPr="00682820">
              <w:rPr>
                <w:rFonts w:hint="eastAsia"/>
                <w:b/>
                <w:sz w:val="24"/>
                <w:szCs w:val="24"/>
              </w:rPr>
              <w:t>年</w:t>
            </w:r>
          </w:p>
        </w:tc>
        <w:tc>
          <w:tcPr>
            <w:tcW w:w="3483" w:type="dxa"/>
            <w:gridSpan w:val="2"/>
            <w:vAlign w:val="center"/>
          </w:tcPr>
          <w:p w:rsidR="001F1B34" w:rsidRPr="00394250" w:rsidRDefault="001F1B34" w:rsidP="006D7B6A">
            <w:pPr>
              <w:jc w:val="center"/>
              <w:rPr>
                <w:b/>
                <w:sz w:val="24"/>
                <w:szCs w:val="24"/>
              </w:rPr>
            </w:pPr>
            <w:r w:rsidRPr="00394250">
              <w:rPr>
                <w:rFonts w:hint="eastAsia"/>
                <w:b/>
                <w:sz w:val="24"/>
                <w:szCs w:val="24"/>
              </w:rPr>
              <w:t>裝置容量(MW)</w:t>
            </w:r>
          </w:p>
        </w:tc>
        <w:tc>
          <w:tcPr>
            <w:tcW w:w="3484" w:type="dxa"/>
            <w:gridSpan w:val="2"/>
            <w:vAlign w:val="center"/>
          </w:tcPr>
          <w:p w:rsidR="001F1B34" w:rsidRPr="00394250" w:rsidRDefault="001F1B34" w:rsidP="006D7B6A">
            <w:pPr>
              <w:jc w:val="center"/>
              <w:rPr>
                <w:b/>
                <w:sz w:val="24"/>
                <w:szCs w:val="24"/>
              </w:rPr>
            </w:pPr>
            <w:r w:rsidRPr="00394250">
              <w:rPr>
                <w:rFonts w:hint="eastAsia"/>
                <w:b/>
                <w:sz w:val="24"/>
                <w:szCs w:val="24"/>
              </w:rPr>
              <w:t>發電量(億度)</w:t>
            </w:r>
          </w:p>
        </w:tc>
      </w:tr>
      <w:tr w:rsidR="001F1B34" w:rsidRPr="0075497B" w:rsidTr="006D7B6A">
        <w:tc>
          <w:tcPr>
            <w:tcW w:w="992" w:type="dxa"/>
            <w:vMerge/>
          </w:tcPr>
          <w:p w:rsidR="001F1B34" w:rsidRPr="00682820" w:rsidRDefault="001F1B34" w:rsidP="006D7B6A">
            <w:pPr>
              <w:rPr>
                <w:b/>
                <w:sz w:val="24"/>
                <w:szCs w:val="24"/>
              </w:rPr>
            </w:pPr>
          </w:p>
        </w:tc>
        <w:tc>
          <w:tcPr>
            <w:tcW w:w="1741" w:type="dxa"/>
            <w:vAlign w:val="center"/>
          </w:tcPr>
          <w:p w:rsidR="001F1B34" w:rsidRPr="00394250" w:rsidRDefault="001F1B34" w:rsidP="006D7B6A">
            <w:pPr>
              <w:jc w:val="center"/>
              <w:rPr>
                <w:b/>
                <w:sz w:val="24"/>
                <w:szCs w:val="24"/>
              </w:rPr>
            </w:pPr>
            <w:r w:rsidRPr="00394250">
              <w:rPr>
                <w:rFonts w:hint="eastAsia"/>
                <w:b/>
                <w:sz w:val="24"/>
                <w:szCs w:val="24"/>
              </w:rPr>
              <w:t>目標</w:t>
            </w:r>
          </w:p>
        </w:tc>
        <w:tc>
          <w:tcPr>
            <w:tcW w:w="1742" w:type="dxa"/>
            <w:vAlign w:val="center"/>
          </w:tcPr>
          <w:p w:rsidR="001F1B34" w:rsidRPr="00394250" w:rsidRDefault="001F1B34" w:rsidP="006D7B6A">
            <w:pPr>
              <w:jc w:val="center"/>
              <w:rPr>
                <w:b/>
                <w:sz w:val="24"/>
                <w:szCs w:val="24"/>
              </w:rPr>
            </w:pPr>
            <w:r w:rsidRPr="00394250">
              <w:rPr>
                <w:rFonts w:hint="eastAsia"/>
                <w:b/>
                <w:sz w:val="24"/>
                <w:szCs w:val="24"/>
              </w:rPr>
              <w:t>實際</w:t>
            </w:r>
          </w:p>
        </w:tc>
        <w:tc>
          <w:tcPr>
            <w:tcW w:w="1742" w:type="dxa"/>
            <w:vAlign w:val="center"/>
          </w:tcPr>
          <w:p w:rsidR="001F1B34" w:rsidRPr="00394250" w:rsidRDefault="001F1B34" w:rsidP="006D7B6A">
            <w:pPr>
              <w:jc w:val="center"/>
              <w:rPr>
                <w:b/>
                <w:sz w:val="24"/>
                <w:szCs w:val="24"/>
              </w:rPr>
            </w:pPr>
            <w:r w:rsidRPr="00394250">
              <w:rPr>
                <w:rFonts w:hint="eastAsia"/>
                <w:b/>
                <w:sz w:val="24"/>
                <w:szCs w:val="24"/>
              </w:rPr>
              <w:t>目標</w:t>
            </w:r>
          </w:p>
        </w:tc>
        <w:tc>
          <w:tcPr>
            <w:tcW w:w="1742" w:type="dxa"/>
            <w:vAlign w:val="center"/>
          </w:tcPr>
          <w:p w:rsidR="001F1B34" w:rsidRPr="00394250" w:rsidRDefault="001F1B34" w:rsidP="006D7B6A">
            <w:pPr>
              <w:jc w:val="center"/>
              <w:rPr>
                <w:b/>
                <w:sz w:val="24"/>
                <w:szCs w:val="24"/>
              </w:rPr>
            </w:pPr>
            <w:r w:rsidRPr="00394250">
              <w:rPr>
                <w:rFonts w:hint="eastAsia"/>
                <w:b/>
                <w:sz w:val="24"/>
                <w:szCs w:val="24"/>
              </w:rPr>
              <w:t>實際</w:t>
            </w:r>
          </w:p>
        </w:tc>
      </w:tr>
      <w:tr w:rsidR="001F1B34" w:rsidRPr="0075497B" w:rsidTr="006D7B6A">
        <w:tc>
          <w:tcPr>
            <w:tcW w:w="992" w:type="dxa"/>
            <w:vAlign w:val="center"/>
          </w:tcPr>
          <w:p w:rsidR="001F1B34" w:rsidRPr="00682820" w:rsidRDefault="001F1B34" w:rsidP="006D7B6A">
            <w:pPr>
              <w:jc w:val="center"/>
              <w:rPr>
                <w:b/>
                <w:sz w:val="24"/>
                <w:szCs w:val="24"/>
              </w:rPr>
            </w:pPr>
            <w:r w:rsidRPr="00682820">
              <w:rPr>
                <w:rFonts w:hint="eastAsia"/>
                <w:b/>
                <w:sz w:val="24"/>
                <w:szCs w:val="24"/>
              </w:rPr>
              <w:t>104</w:t>
            </w:r>
          </w:p>
        </w:tc>
        <w:tc>
          <w:tcPr>
            <w:tcW w:w="1741" w:type="dxa"/>
            <w:vAlign w:val="center"/>
          </w:tcPr>
          <w:p w:rsidR="001F1B34" w:rsidRPr="0075497B" w:rsidRDefault="001F1B34" w:rsidP="006D7B6A">
            <w:pPr>
              <w:jc w:val="center"/>
              <w:rPr>
                <w:sz w:val="24"/>
                <w:szCs w:val="24"/>
              </w:rPr>
            </w:pPr>
            <w:r>
              <w:rPr>
                <w:rFonts w:hint="eastAsia"/>
                <w:sz w:val="24"/>
                <w:szCs w:val="24"/>
              </w:rPr>
              <w:t>884</w:t>
            </w:r>
          </w:p>
        </w:tc>
        <w:tc>
          <w:tcPr>
            <w:tcW w:w="1742" w:type="dxa"/>
            <w:vAlign w:val="center"/>
          </w:tcPr>
          <w:p w:rsidR="001F1B34" w:rsidRPr="0075497B" w:rsidRDefault="001F1B34" w:rsidP="006D7B6A">
            <w:pPr>
              <w:jc w:val="center"/>
              <w:rPr>
                <w:sz w:val="24"/>
                <w:szCs w:val="24"/>
              </w:rPr>
            </w:pPr>
            <w:r>
              <w:rPr>
                <w:rFonts w:hint="eastAsia"/>
                <w:sz w:val="24"/>
                <w:szCs w:val="24"/>
              </w:rPr>
              <w:t>884</w:t>
            </w:r>
          </w:p>
        </w:tc>
        <w:tc>
          <w:tcPr>
            <w:tcW w:w="1742" w:type="dxa"/>
            <w:vAlign w:val="center"/>
          </w:tcPr>
          <w:p w:rsidR="001F1B34" w:rsidRPr="0075497B" w:rsidRDefault="001F1B34" w:rsidP="006D7B6A">
            <w:pPr>
              <w:jc w:val="center"/>
              <w:rPr>
                <w:sz w:val="24"/>
                <w:szCs w:val="24"/>
              </w:rPr>
            </w:pPr>
            <w:r>
              <w:rPr>
                <w:rFonts w:hint="eastAsia"/>
                <w:sz w:val="24"/>
                <w:szCs w:val="24"/>
              </w:rPr>
              <w:t>9</w:t>
            </w:r>
          </w:p>
        </w:tc>
        <w:tc>
          <w:tcPr>
            <w:tcW w:w="1742" w:type="dxa"/>
            <w:vAlign w:val="center"/>
          </w:tcPr>
          <w:p w:rsidR="001F1B34" w:rsidRPr="0075497B" w:rsidRDefault="001F1B34" w:rsidP="006D7B6A">
            <w:pPr>
              <w:jc w:val="center"/>
              <w:rPr>
                <w:sz w:val="24"/>
                <w:szCs w:val="24"/>
              </w:rPr>
            </w:pPr>
            <w:r>
              <w:rPr>
                <w:rFonts w:hint="eastAsia"/>
                <w:sz w:val="24"/>
                <w:szCs w:val="24"/>
              </w:rPr>
              <w:t>9</w:t>
            </w:r>
          </w:p>
        </w:tc>
      </w:tr>
      <w:tr w:rsidR="001F1B34" w:rsidRPr="0075497B" w:rsidTr="006D7B6A">
        <w:tc>
          <w:tcPr>
            <w:tcW w:w="992" w:type="dxa"/>
            <w:vAlign w:val="center"/>
          </w:tcPr>
          <w:p w:rsidR="001F1B34" w:rsidRPr="00682820" w:rsidRDefault="001F1B34" w:rsidP="006D7B6A">
            <w:pPr>
              <w:jc w:val="center"/>
              <w:rPr>
                <w:b/>
                <w:sz w:val="24"/>
                <w:szCs w:val="24"/>
              </w:rPr>
            </w:pPr>
            <w:r w:rsidRPr="00682820">
              <w:rPr>
                <w:rFonts w:hint="eastAsia"/>
                <w:b/>
                <w:sz w:val="24"/>
                <w:szCs w:val="24"/>
              </w:rPr>
              <w:t>105</w:t>
            </w:r>
          </w:p>
        </w:tc>
        <w:tc>
          <w:tcPr>
            <w:tcW w:w="1741" w:type="dxa"/>
            <w:vAlign w:val="center"/>
          </w:tcPr>
          <w:p w:rsidR="001F1B34" w:rsidRDefault="001F1B34" w:rsidP="006D7B6A">
            <w:pPr>
              <w:jc w:val="center"/>
              <w:rPr>
                <w:sz w:val="24"/>
                <w:szCs w:val="24"/>
              </w:rPr>
            </w:pPr>
            <w:r>
              <w:rPr>
                <w:rFonts w:hint="eastAsia"/>
                <w:sz w:val="24"/>
                <w:szCs w:val="24"/>
              </w:rPr>
              <w:t>1,245</w:t>
            </w:r>
          </w:p>
        </w:tc>
        <w:tc>
          <w:tcPr>
            <w:tcW w:w="1742" w:type="dxa"/>
            <w:vAlign w:val="center"/>
          </w:tcPr>
          <w:p w:rsidR="001F1B34" w:rsidRDefault="001F1B34" w:rsidP="006D7B6A">
            <w:pPr>
              <w:jc w:val="center"/>
              <w:rPr>
                <w:sz w:val="24"/>
                <w:szCs w:val="24"/>
              </w:rPr>
            </w:pPr>
            <w:r>
              <w:rPr>
                <w:rFonts w:hint="eastAsia"/>
                <w:sz w:val="24"/>
                <w:szCs w:val="24"/>
              </w:rPr>
              <w:t>1,245</w:t>
            </w:r>
          </w:p>
        </w:tc>
        <w:tc>
          <w:tcPr>
            <w:tcW w:w="1742" w:type="dxa"/>
            <w:vAlign w:val="center"/>
          </w:tcPr>
          <w:p w:rsidR="001F1B34" w:rsidRDefault="001F1B34" w:rsidP="006D7B6A">
            <w:pPr>
              <w:jc w:val="center"/>
              <w:rPr>
                <w:sz w:val="24"/>
                <w:szCs w:val="24"/>
              </w:rPr>
            </w:pPr>
            <w:r>
              <w:rPr>
                <w:rFonts w:hint="eastAsia"/>
                <w:sz w:val="24"/>
                <w:szCs w:val="24"/>
              </w:rPr>
              <w:t>11</w:t>
            </w:r>
          </w:p>
        </w:tc>
        <w:tc>
          <w:tcPr>
            <w:tcW w:w="1742" w:type="dxa"/>
            <w:vAlign w:val="center"/>
          </w:tcPr>
          <w:p w:rsidR="001F1B34" w:rsidRDefault="001F1B34" w:rsidP="006D7B6A">
            <w:pPr>
              <w:jc w:val="center"/>
              <w:rPr>
                <w:sz w:val="24"/>
                <w:szCs w:val="24"/>
              </w:rPr>
            </w:pPr>
            <w:r>
              <w:rPr>
                <w:rFonts w:hint="eastAsia"/>
                <w:sz w:val="24"/>
                <w:szCs w:val="24"/>
              </w:rPr>
              <w:t>11</w:t>
            </w:r>
          </w:p>
        </w:tc>
      </w:tr>
      <w:tr w:rsidR="001F1B34" w:rsidRPr="0075497B" w:rsidTr="006D7B6A">
        <w:tc>
          <w:tcPr>
            <w:tcW w:w="992" w:type="dxa"/>
            <w:vAlign w:val="center"/>
          </w:tcPr>
          <w:p w:rsidR="001F1B34" w:rsidRPr="00682820" w:rsidRDefault="001F1B34" w:rsidP="006D7B6A">
            <w:pPr>
              <w:jc w:val="center"/>
              <w:rPr>
                <w:b/>
                <w:sz w:val="24"/>
                <w:szCs w:val="24"/>
              </w:rPr>
            </w:pPr>
            <w:r w:rsidRPr="00682820">
              <w:rPr>
                <w:rFonts w:hint="eastAsia"/>
                <w:b/>
                <w:sz w:val="24"/>
                <w:szCs w:val="24"/>
              </w:rPr>
              <w:t>106</w:t>
            </w:r>
          </w:p>
        </w:tc>
        <w:tc>
          <w:tcPr>
            <w:tcW w:w="1741" w:type="dxa"/>
            <w:vAlign w:val="center"/>
          </w:tcPr>
          <w:p w:rsidR="001F1B34" w:rsidRPr="0075497B" w:rsidRDefault="001F1B34" w:rsidP="006D7B6A">
            <w:pPr>
              <w:jc w:val="center"/>
              <w:rPr>
                <w:sz w:val="24"/>
                <w:szCs w:val="24"/>
              </w:rPr>
            </w:pPr>
            <w:r>
              <w:rPr>
                <w:rFonts w:hint="eastAsia"/>
                <w:sz w:val="24"/>
                <w:szCs w:val="24"/>
              </w:rPr>
              <w:t>1,768</w:t>
            </w:r>
          </w:p>
        </w:tc>
        <w:tc>
          <w:tcPr>
            <w:tcW w:w="1742" w:type="dxa"/>
            <w:vAlign w:val="center"/>
          </w:tcPr>
          <w:p w:rsidR="001F1B34" w:rsidRPr="0075497B" w:rsidRDefault="001F1B34" w:rsidP="006D7B6A">
            <w:pPr>
              <w:jc w:val="center"/>
              <w:rPr>
                <w:sz w:val="24"/>
                <w:szCs w:val="24"/>
              </w:rPr>
            </w:pPr>
            <w:r>
              <w:rPr>
                <w:rFonts w:hint="eastAsia"/>
                <w:sz w:val="24"/>
                <w:szCs w:val="24"/>
              </w:rPr>
              <w:t>1,767.7</w:t>
            </w:r>
          </w:p>
        </w:tc>
        <w:tc>
          <w:tcPr>
            <w:tcW w:w="1742" w:type="dxa"/>
            <w:vAlign w:val="center"/>
          </w:tcPr>
          <w:p w:rsidR="001F1B34" w:rsidRPr="0075497B" w:rsidRDefault="001F1B34" w:rsidP="006D7B6A">
            <w:pPr>
              <w:jc w:val="center"/>
              <w:rPr>
                <w:sz w:val="24"/>
                <w:szCs w:val="24"/>
              </w:rPr>
            </w:pPr>
            <w:r>
              <w:rPr>
                <w:rFonts w:hint="eastAsia"/>
                <w:sz w:val="24"/>
                <w:szCs w:val="24"/>
              </w:rPr>
              <w:t>17</w:t>
            </w:r>
          </w:p>
        </w:tc>
        <w:tc>
          <w:tcPr>
            <w:tcW w:w="1742" w:type="dxa"/>
            <w:vAlign w:val="center"/>
          </w:tcPr>
          <w:p w:rsidR="001F1B34" w:rsidRPr="0075497B" w:rsidRDefault="001F1B34" w:rsidP="006D7B6A">
            <w:pPr>
              <w:jc w:val="center"/>
              <w:rPr>
                <w:sz w:val="24"/>
                <w:szCs w:val="24"/>
              </w:rPr>
            </w:pPr>
            <w:r>
              <w:rPr>
                <w:rFonts w:hint="eastAsia"/>
                <w:sz w:val="24"/>
                <w:szCs w:val="24"/>
              </w:rPr>
              <w:t>16.916</w:t>
            </w:r>
          </w:p>
        </w:tc>
      </w:tr>
      <w:tr w:rsidR="001F1B34" w:rsidRPr="0075497B" w:rsidTr="006D7B6A">
        <w:tc>
          <w:tcPr>
            <w:tcW w:w="992" w:type="dxa"/>
            <w:vAlign w:val="center"/>
          </w:tcPr>
          <w:p w:rsidR="001F1B34" w:rsidRPr="00682820" w:rsidRDefault="001F1B34" w:rsidP="006D7B6A">
            <w:pPr>
              <w:jc w:val="center"/>
              <w:rPr>
                <w:b/>
                <w:sz w:val="24"/>
                <w:szCs w:val="24"/>
                <w:shd w:val="pct15" w:color="auto" w:fill="FFFFFF"/>
              </w:rPr>
            </w:pPr>
            <w:r w:rsidRPr="00682820">
              <w:rPr>
                <w:rFonts w:hint="eastAsia"/>
                <w:b/>
                <w:sz w:val="24"/>
                <w:szCs w:val="24"/>
                <w:shd w:val="pct15" w:color="auto" w:fill="FFFFFF"/>
              </w:rPr>
              <w:t>107</w:t>
            </w:r>
          </w:p>
        </w:tc>
        <w:tc>
          <w:tcPr>
            <w:tcW w:w="1741" w:type="dxa"/>
            <w:vAlign w:val="center"/>
          </w:tcPr>
          <w:p w:rsidR="001F1B34" w:rsidRPr="00D53792" w:rsidRDefault="001F1B34" w:rsidP="006D7B6A">
            <w:pPr>
              <w:jc w:val="center"/>
              <w:rPr>
                <w:sz w:val="24"/>
                <w:szCs w:val="24"/>
                <w:shd w:val="pct15" w:color="auto" w:fill="FFFFFF"/>
              </w:rPr>
            </w:pPr>
            <w:r w:rsidRPr="00D53792">
              <w:rPr>
                <w:rFonts w:hint="eastAsia"/>
                <w:sz w:val="24"/>
                <w:szCs w:val="24"/>
                <w:shd w:val="pct15" w:color="auto" w:fill="FFFFFF"/>
              </w:rPr>
              <w:t>2,837</w:t>
            </w:r>
          </w:p>
        </w:tc>
        <w:tc>
          <w:tcPr>
            <w:tcW w:w="1742" w:type="dxa"/>
            <w:vAlign w:val="center"/>
          </w:tcPr>
          <w:p w:rsidR="001F1B34" w:rsidRPr="00D53792" w:rsidRDefault="001F1B34" w:rsidP="006D7B6A">
            <w:pPr>
              <w:jc w:val="center"/>
              <w:rPr>
                <w:sz w:val="24"/>
                <w:szCs w:val="24"/>
                <w:shd w:val="pct15" w:color="auto" w:fill="FFFFFF"/>
              </w:rPr>
            </w:pPr>
            <w:r w:rsidRPr="00D53792">
              <w:rPr>
                <w:rFonts w:hint="eastAsia"/>
                <w:sz w:val="24"/>
                <w:szCs w:val="24"/>
                <w:shd w:val="pct15" w:color="auto" w:fill="FFFFFF"/>
              </w:rPr>
              <w:t>2,737.9</w:t>
            </w:r>
          </w:p>
        </w:tc>
        <w:tc>
          <w:tcPr>
            <w:tcW w:w="1742" w:type="dxa"/>
            <w:vAlign w:val="center"/>
          </w:tcPr>
          <w:p w:rsidR="001F1B34" w:rsidRPr="00D53792" w:rsidRDefault="001F1B34" w:rsidP="006D7B6A">
            <w:pPr>
              <w:jc w:val="center"/>
              <w:rPr>
                <w:sz w:val="24"/>
                <w:szCs w:val="24"/>
                <w:shd w:val="pct15" w:color="auto" w:fill="FFFFFF"/>
              </w:rPr>
            </w:pPr>
            <w:r w:rsidRPr="00D53792">
              <w:rPr>
                <w:rFonts w:hint="eastAsia"/>
                <w:sz w:val="24"/>
                <w:szCs w:val="24"/>
                <w:shd w:val="pct15" w:color="auto" w:fill="FFFFFF"/>
              </w:rPr>
              <w:t>35</w:t>
            </w:r>
          </w:p>
        </w:tc>
        <w:tc>
          <w:tcPr>
            <w:tcW w:w="1742" w:type="dxa"/>
            <w:vAlign w:val="center"/>
          </w:tcPr>
          <w:p w:rsidR="001F1B34" w:rsidRPr="00D53792" w:rsidRDefault="001F1B34" w:rsidP="006D7B6A">
            <w:pPr>
              <w:jc w:val="center"/>
              <w:rPr>
                <w:sz w:val="24"/>
                <w:szCs w:val="24"/>
                <w:shd w:val="pct15" w:color="auto" w:fill="FFFFFF"/>
              </w:rPr>
            </w:pPr>
            <w:r w:rsidRPr="00D53792">
              <w:rPr>
                <w:rFonts w:hint="eastAsia"/>
                <w:sz w:val="24"/>
                <w:szCs w:val="24"/>
                <w:shd w:val="pct15" w:color="auto" w:fill="FFFFFF"/>
              </w:rPr>
              <w:t>27.396</w:t>
            </w:r>
          </w:p>
        </w:tc>
      </w:tr>
    </w:tbl>
    <w:p w:rsidR="001F1B34" w:rsidRPr="000B0905" w:rsidRDefault="001F1B34" w:rsidP="001F1B34">
      <w:pPr>
        <w:ind w:leftChars="292" w:left="1360" w:hangingChars="141" w:hanging="367"/>
        <w:rPr>
          <w:sz w:val="24"/>
          <w:szCs w:val="24"/>
        </w:rPr>
      </w:pPr>
      <w:r w:rsidRPr="000B0905">
        <w:rPr>
          <w:rFonts w:hint="eastAsia"/>
          <w:sz w:val="24"/>
          <w:szCs w:val="24"/>
        </w:rPr>
        <w:t>資料來源：</w:t>
      </w:r>
      <w:r w:rsidR="00682820" w:rsidRPr="000B0905">
        <w:rPr>
          <w:rFonts w:hint="eastAsia"/>
          <w:sz w:val="24"/>
          <w:szCs w:val="24"/>
        </w:rPr>
        <w:t>本案彙整</w:t>
      </w:r>
      <w:r w:rsidR="00682820">
        <w:rPr>
          <w:rFonts w:hint="eastAsia"/>
          <w:sz w:val="24"/>
          <w:szCs w:val="24"/>
        </w:rPr>
        <w:t>自</w:t>
      </w:r>
      <w:r w:rsidRPr="000B0905">
        <w:rPr>
          <w:rFonts w:hint="eastAsia"/>
          <w:sz w:val="24"/>
          <w:szCs w:val="24"/>
        </w:rPr>
        <w:t>經濟部</w:t>
      </w:r>
      <w:r w:rsidR="00682820">
        <w:rPr>
          <w:rFonts w:hint="eastAsia"/>
          <w:sz w:val="24"/>
          <w:szCs w:val="24"/>
        </w:rPr>
        <w:t>提供資料</w:t>
      </w:r>
      <w:r w:rsidRPr="000B0905">
        <w:rPr>
          <w:rFonts w:hint="eastAsia"/>
          <w:sz w:val="24"/>
          <w:szCs w:val="24"/>
        </w:rPr>
        <w:t>。</w:t>
      </w:r>
    </w:p>
    <w:p w:rsidR="001F1B34" w:rsidRDefault="001F1B34" w:rsidP="001F1B34">
      <w:pPr>
        <w:ind w:leftChars="292" w:left="1473" w:hangingChars="141" w:hanging="480"/>
      </w:pPr>
    </w:p>
    <w:p w:rsidR="001F1B34" w:rsidRDefault="001F1B34" w:rsidP="001F1B34">
      <w:pPr>
        <w:pStyle w:val="3"/>
      </w:pPr>
      <w:r>
        <w:rPr>
          <w:rFonts w:hint="eastAsia"/>
        </w:rPr>
        <w:t>其中，台電公司網頁動態圖表，106年實際裝置容量1,386.9MW，發電量16.209億度，均未達標。至107年度，目標裝置容量、發電量依序為2,837MW、35億度</w:t>
      </w:r>
      <w:r>
        <w:rPr>
          <w:rStyle w:val="aff0"/>
        </w:rPr>
        <w:footnoteReference w:id="2"/>
      </w:r>
      <w:r>
        <w:rPr>
          <w:rFonts w:hint="eastAsia"/>
        </w:rPr>
        <w:t>，而實際容量、發電量則依序為2,285MW、26.5543億度</w:t>
      </w:r>
      <w:r w:rsidR="008D2A09">
        <w:rPr>
          <w:rStyle w:val="aff0"/>
        </w:rPr>
        <w:footnoteReference w:id="3"/>
      </w:r>
      <w:r>
        <w:rPr>
          <w:rFonts w:hint="eastAsia"/>
        </w:rPr>
        <w:t>，亦未達標</w:t>
      </w:r>
      <w:r w:rsidR="004E464A">
        <w:rPr>
          <w:rFonts w:hint="eastAsia"/>
        </w:rPr>
        <w:t>，如表</w:t>
      </w:r>
      <w:r w:rsidR="000042EF">
        <w:t>5</w:t>
      </w:r>
      <w:r>
        <w:rPr>
          <w:rFonts w:hint="eastAsia"/>
        </w:rPr>
        <w:t>。</w:t>
      </w:r>
    </w:p>
    <w:p w:rsidR="00271B72" w:rsidRDefault="00271B72" w:rsidP="00271B72">
      <w:pPr>
        <w:pStyle w:val="1"/>
        <w:numPr>
          <w:ilvl w:val="0"/>
          <w:numId w:val="0"/>
        </w:numPr>
        <w:ind w:left="2381"/>
      </w:pPr>
    </w:p>
    <w:p w:rsidR="00271B72" w:rsidRDefault="00271B72" w:rsidP="00271B72">
      <w:pPr>
        <w:pStyle w:val="1"/>
        <w:numPr>
          <w:ilvl w:val="0"/>
          <w:numId w:val="0"/>
        </w:numPr>
        <w:ind w:left="2381"/>
      </w:pPr>
    </w:p>
    <w:p w:rsidR="00271B72" w:rsidRDefault="00271B72" w:rsidP="00271B72">
      <w:pPr>
        <w:pStyle w:val="1"/>
        <w:numPr>
          <w:ilvl w:val="0"/>
          <w:numId w:val="0"/>
        </w:numPr>
        <w:ind w:left="2381"/>
      </w:pPr>
    </w:p>
    <w:p w:rsidR="00271B72" w:rsidRDefault="00271B72" w:rsidP="00271B72">
      <w:pPr>
        <w:pStyle w:val="1"/>
        <w:numPr>
          <w:ilvl w:val="0"/>
          <w:numId w:val="0"/>
        </w:numPr>
        <w:ind w:left="2381"/>
      </w:pPr>
    </w:p>
    <w:p w:rsidR="00271B72" w:rsidRDefault="00271B72" w:rsidP="00271B72">
      <w:pPr>
        <w:pStyle w:val="1"/>
        <w:numPr>
          <w:ilvl w:val="0"/>
          <w:numId w:val="0"/>
        </w:numPr>
        <w:ind w:left="2381"/>
      </w:pPr>
    </w:p>
    <w:p w:rsidR="00271B72" w:rsidRDefault="00271B72" w:rsidP="00271B72">
      <w:pPr>
        <w:pStyle w:val="1"/>
        <w:numPr>
          <w:ilvl w:val="0"/>
          <w:numId w:val="0"/>
        </w:numPr>
        <w:ind w:left="2381"/>
      </w:pPr>
    </w:p>
    <w:p w:rsidR="00271B72" w:rsidRPr="000042EF" w:rsidRDefault="00271B72" w:rsidP="00271B72">
      <w:pPr>
        <w:pStyle w:val="1"/>
        <w:numPr>
          <w:ilvl w:val="0"/>
          <w:numId w:val="0"/>
        </w:numPr>
        <w:ind w:left="2381"/>
      </w:pPr>
    </w:p>
    <w:p w:rsidR="000042EF" w:rsidRDefault="000042EF">
      <w:pPr>
        <w:widowControl/>
        <w:overflowPunct/>
        <w:autoSpaceDE/>
        <w:autoSpaceDN/>
        <w:jc w:val="left"/>
        <w:rPr>
          <w:rFonts w:hAnsi="Arial"/>
          <w:bCs/>
          <w:kern w:val="32"/>
          <w:szCs w:val="52"/>
        </w:rPr>
      </w:pPr>
      <w:r>
        <w:br w:type="page"/>
      </w:r>
    </w:p>
    <w:p w:rsidR="001F1B34" w:rsidRPr="001D6D67" w:rsidRDefault="001F1B34" w:rsidP="001F1B34">
      <w:pPr>
        <w:pStyle w:val="a2"/>
        <w:jc w:val="center"/>
        <w:rPr>
          <w:b/>
        </w:rPr>
      </w:pPr>
      <w:bookmarkStart w:id="65" w:name="_Toc22216348"/>
      <w:r w:rsidRPr="001D6D67">
        <w:rPr>
          <w:rFonts w:hint="eastAsia"/>
          <w:b/>
        </w:rPr>
        <w:lastRenderedPageBreak/>
        <w:t>106~107年太陽光電裝置容量及發電量(台電公司)</w:t>
      </w:r>
      <w:bookmarkEnd w:id="65"/>
    </w:p>
    <w:tbl>
      <w:tblPr>
        <w:tblStyle w:val="af7"/>
        <w:tblW w:w="8931" w:type="dxa"/>
        <w:tblInd w:w="675" w:type="dxa"/>
        <w:tblLayout w:type="fixed"/>
        <w:tblLook w:val="04A0" w:firstRow="1" w:lastRow="0" w:firstColumn="1" w:lastColumn="0" w:noHBand="0" w:noVBand="1"/>
      </w:tblPr>
      <w:tblGrid>
        <w:gridCol w:w="709"/>
        <w:gridCol w:w="4130"/>
        <w:gridCol w:w="4092"/>
      </w:tblGrid>
      <w:tr w:rsidR="001F1B34" w:rsidRPr="00BA7A43" w:rsidTr="00682820">
        <w:tc>
          <w:tcPr>
            <w:tcW w:w="709" w:type="dxa"/>
          </w:tcPr>
          <w:p w:rsidR="001F1B34" w:rsidRPr="00BA7A43" w:rsidRDefault="001F1B34" w:rsidP="001F1B34">
            <w:pPr>
              <w:ind w:leftChars="-25" w:left="1" w:rightChars="-25" w:right="-85" w:hangingChars="33" w:hanging="86"/>
              <w:jc w:val="center"/>
              <w:rPr>
                <w:sz w:val="24"/>
                <w:szCs w:val="24"/>
              </w:rPr>
            </w:pPr>
            <w:r>
              <w:rPr>
                <w:rFonts w:hint="eastAsia"/>
                <w:sz w:val="24"/>
                <w:szCs w:val="24"/>
              </w:rPr>
              <w:t>年別</w:t>
            </w:r>
          </w:p>
        </w:tc>
        <w:tc>
          <w:tcPr>
            <w:tcW w:w="4130" w:type="dxa"/>
          </w:tcPr>
          <w:p w:rsidR="001F1B34" w:rsidRPr="00BA7A43" w:rsidRDefault="001F1B34" w:rsidP="006D7B6A">
            <w:pPr>
              <w:jc w:val="center"/>
              <w:rPr>
                <w:sz w:val="24"/>
                <w:szCs w:val="24"/>
              </w:rPr>
            </w:pPr>
            <w:r>
              <w:rPr>
                <w:rFonts w:hint="eastAsia"/>
                <w:sz w:val="24"/>
                <w:szCs w:val="24"/>
              </w:rPr>
              <w:t>實際</w:t>
            </w:r>
            <w:r w:rsidRPr="00BA7A43">
              <w:rPr>
                <w:rFonts w:hint="eastAsia"/>
                <w:sz w:val="24"/>
                <w:szCs w:val="24"/>
              </w:rPr>
              <w:t>裝置容量</w:t>
            </w:r>
          </w:p>
        </w:tc>
        <w:tc>
          <w:tcPr>
            <w:tcW w:w="4092" w:type="dxa"/>
          </w:tcPr>
          <w:p w:rsidR="001F1B34" w:rsidRPr="00BA7A43" w:rsidRDefault="001F1B34" w:rsidP="006D7B6A">
            <w:pPr>
              <w:jc w:val="center"/>
              <w:rPr>
                <w:sz w:val="24"/>
                <w:szCs w:val="24"/>
              </w:rPr>
            </w:pPr>
            <w:r>
              <w:rPr>
                <w:rFonts w:hint="eastAsia"/>
                <w:sz w:val="24"/>
                <w:szCs w:val="24"/>
              </w:rPr>
              <w:t>實際</w:t>
            </w:r>
            <w:r w:rsidRPr="00BA7A43">
              <w:rPr>
                <w:rFonts w:hint="eastAsia"/>
                <w:sz w:val="24"/>
                <w:szCs w:val="24"/>
              </w:rPr>
              <w:t>發電量</w:t>
            </w:r>
          </w:p>
        </w:tc>
      </w:tr>
      <w:tr w:rsidR="001F1B34" w:rsidRPr="00BA7A43" w:rsidTr="00682820">
        <w:trPr>
          <w:trHeight w:val="5108"/>
        </w:trPr>
        <w:tc>
          <w:tcPr>
            <w:tcW w:w="709" w:type="dxa"/>
          </w:tcPr>
          <w:p w:rsidR="001F1B34" w:rsidRPr="00BA7A43" w:rsidRDefault="001F1B34" w:rsidP="006D7B6A">
            <w:pPr>
              <w:rPr>
                <w:sz w:val="24"/>
                <w:szCs w:val="24"/>
              </w:rPr>
            </w:pPr>
            <w:r w:rsidRPr="00BA7A43">
              <w:rPr>
                <w:rFonts w:hint="eastAsia"/>
                <w:sz w:val="24"/>
                <w:szCs w:val="24"/>
              </w:rPr>
              <w:t>106</w:t>
            </w:r>
          </w:p>
        </w:tc>
        <w:tc>
          <w:tcPr>
            <w:tcW w:w="4130" w:type="dxa"/>
          </w:tcPr>
          <w:p w:rsidR="001F1B34" w:rsidRDefault="001F1B34" w:rsidP="006D7B6A">
            <w:pPr>
              <w:jc w:val="center"/>
              <w:rPr>
                <w:sz w:val="24"/>
                <w:szCs w:val="24"/>
              </w:rPr>
            </w:pPr>
          </w:p>
          <w:p w:rsidR="001F1B34" w:rsidRDefault="001F1B34" w:rsidP="006D7B6A">
            <w:pPr>
              <w:jc w:val="center"/>
              <w:rPr>
                <w:sz w:val="24"/>
                <w:szCs w:val="24"/>
              </w:rPr>
            </w:pPr>
            <w:r>
              <w:rPr>
                <w:rFonts w:hint="eastAsia"/>
                <w:noProof/>
                <w:sz w:val="24"/>
                <w:szCs w:val="24"/>
              </w:rPr>
              <w:drawing>
                <wp:inline distT="0" distB="0" distL="0" distR="0" wp14:anchorId="44855A0F" wp14:editId="4ADCD734">
                  <wp:extent cx="2285999" cy="2197100"/>
                  <wp:effectExtent l="0" t="0" r="635"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45482.tmp"/>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92636" cy="2203478"/>
                          </a:xfrm>
                          <a:prstGeom prst="rect">
                            <a:avLst/>
                          </a:prstGeom>
                        </pic:spPr>
                      </pic:pic>
                    </a:graphicData>
                  </a:graphic>
                </wp:inline>
              </w:drawing>
            </w:r>
          </w:p>
          <w:p w:rsidR="00682820" w:rsidRDefault="00682820" w:rsidP="006D7B6A">
            <w:pPr>
              <w:rPr>
                <w:sz w:val="24"/>
                <w:szCs w:val="24"/>
              </w:rPr>
            </w:pPr>
          </w:p>
          <w:p w:rsidR="001F1B34" w:rsidRDefault="001F1B34" w:rsidP="006D7B6A">
            <w:pPr>
              <w:rPr>
                <w:sz w:val="24"/>
                <w:szCs w:val="24"/>
              </w:rPr>
            </w:pPr>
            <w:r>
              <w:rPr>
                <w:rFonts w:hint="eastAsia"/>
                <w:sz w:val="24"/>
                <w:szCs w:val="24"/>
              </w:rPr>
              <w:t>說明：</w:t>
            </w:r>
          </w:p>
          <w:p w:rsidR="001F1B34" w:rsidRDefault="001F1B34" w:rsidP="006D7B6A">
            <w:pPr>
              <w:rPr>
                <w:sz w:val="24"/>
                <w:szCs w:val="24"/>
              </w:rPr>
            </w:pPr>
            <w:r>
              <w:rPr>
                <w:rFonts w:hint="eastAsia"/>
                <w:sz w:val="24"/>
                <w:szCs w:val="24"/>
              </w:rPr>
              <w:t>106年實際裝置容量1,386.9MW，未達目標裝置容量1,768MW。</w:t>
            </w:r>
          </w:p>
          <w:p w:rsidR="001F1B34" w:rsidRPr="00BA7A43" w:rsidRDefault="001F1B34" w:rsidP="006D7B6A">
            <w:pPr>
              <w:rPr>
                <w:sz w:val="24"/>
                <w:szCs w:val="24"/>
              </w:rPr>
            </w:pPr>
          </w:p>
        </w:tc>
        <w:tc>
          <w:tcPr>
            <w:tcW w:w="4092" w:type="dxa"/>
          </w:tcPr>
          <w:p w:rsidR="001F1B34" w:rsidRDefault="001F1B34" w:rsidP="006D7B6A">
            <w:pPr>
              <w:rPr>
                <w:sz w:val="24"/>
                <w:szCs w:val="24"/>
              </w:rPr>
            </w:pPr>
          </w:p>
          <w:p w:rsidR="001F1B34" w:rsidRDefault="001F1B34" w:rsidP="006D7B6A">
            <w:pPr>
              <w:rPr>
                <w:sz w:val="24"/>
                <w:szCs w:val="24"/>
              </w:rPr>
            </w:pPr>
            <w:r>
              <w:rPr>
                <w:rFonts w:hint="eastAsia"/>
                <w:noProof/>
                <w:sz w:val="24"/>
                <w:szCs w:val="24"/>
              </w:rPr>
              <w:drawing>
                <wp:inline distT="0" distB="0" distL="0" distR="0" wp14:anchorId="1538B2FF" wp14:editId="3B379097">
                  <wp:extent cx="2451100" cy="2108200"/>
                  <wp:effectExtent l="0" t="0" r="6350" b="635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48C1.tmp"/>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63360" cy="2118745"/>
                          </a:xfrm>
                          <a:prstGeom prst="rect">
                            <a:avLst/>
                          </a:prstGeom>
                        </pic:spPr>
                      </pic:pic>
                    </a:graphicData>
                  </a:graphic>
                </wp:inline>
              </w:drawing>
            </w:r>
          </w:p>
          <w:p w:rsidR="00682820" w:rsidRDefault="00682820" w:rsidP="006D7B6A">
            <w:pPr>
              <w:rPr>
                <w:sz w:val="24"/>
                <w:szCs w:val="24"/>
              </w:rPr>
            </w:pPr>
          </w:p>
          <w:p w:rsidR="001F1B34" w:rsidRDefault="001F1B34" w:rsidP="006D7B6A">
            <w:pPr>
              <w:rPr>
                <w:sz w:val="24"/>
                <w:szCs w:val="24"/>
              </w:rPr>
            </w:pPr>
            <w:r>
              <w:rPr>
                <w:rFonts w:hint="eastAsia"/>
                <w:sz w:val="24"/>
                <w:szCs w:val="24"/>
              </w:rPr>
              <w:t>說明：</w:t>
            </w:r>
          </w:p>
          <w:p w:rsidR="001F1B34" w:rsidRPr="00BA7A43" w:rsidRDefault="001F1B34" w:rsidP="006D7B6A">
            <w:pPr>
              <w:rPr>
                <w:sz w:val="24"/>
                <w:szCs w:val="24"/>
              </w:rPr>
            </w:pPr>
            <w:r>
              <w:rPr>
                <w:rFonts w:hint="eastAsia"/>
                <w:sz w:val="24"/>
                <w:szCs w:val="24"/>
              </w:rPr>
              <w:t>106年實際發電量16.209億W，未達目標發電量17億度。</w:t>
            </w:r>
          </w:p>
        </w:tc>
      </w:tr>
      <w:tr w:rsidR="001F1B34" w:rsidRPr="00BA7A43" w:rsidTr="00682820">
        <w:trPr>
          <w:trHeight w:val="4379"/>
        </w:trPr>
        <w:tc>
          <w:tcPr>
            <w:tcW w:w="709" w:type="dxa"/>
          </w:tcPr>
          <w:p w:rsidR="001F1B34" w:rsidRPr="00BA7A43" w:rsidRDefault="001F1B34" w:rsidP="006D7B6A">
            <w:pPr>
              <w:rPr>
                <w:sz w:val="24"/>
                <w:szCs w:val="24"/>
              </w:rPr>
            </w:pPr>
            <w:r w:rsidRPr="00BA7A43">
              <w:rPr>
                <w:rFonts w:hint="eastAsia"/>
                <w:sz w:val="24"/>
                <w:szCs w:val="24"/>
              </w:rPr>
              <w:t>107</w:t>
            </w:r>
          </w:p>
        </w:tc>
        <w:tc>
          <w:tcPr>
            <w:tcW w:w="4130" w:type="dxa"/>
          </w:tcPr>
          <w:p w:rsidR="001F1B34" w:rsidRDefault="001F1B34" w:rsidP="006D7B6A">
            <w:pPr>
              <w:jc w:val="center"/>
              <w:rPr>
                <w:sz w:val="24"/>
                <w:szCs w:val="24"/>
              </w:rPr>
            </w:pPr>
            <w:r>
              <w:rPr>
                <w:rFonts w:hint="eastAsia"/>
                <w:noProof/>
                <w:sz w:val="24"/>
                <w:szCs w:val="24"/>
              </w:rPr>
              <w:drawing>
                <wp:inline distT="0" distB="0" distL="0" distR="0" wp14:anchorId="5DB2D449" wp14:editId="3086CFC9">
                  <wp:extent cx="2311400" cy="2209800"/>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4FD7C.tm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12446" cy="2210800"/>
                          </a:xfrm>
                          <a:prstGeom prst="rect">
                            <a:avLst/>
                          </a:prstGeom>
                        </pic:spPr>
                      </pic:pic>
                    </a:graphicData>
                  </a:graphic>
                </wp:inline>
              </w:drawing>
            </w:r>
          </w:p>
          <w:p w:rsidR="00682820" w:rsidRDefault="00682820" w:rsidP="006D7B6A">
            <w:pPr>
              <w:rPr>
                <w:sz w:val="24"/>
                <w:szCs w:val="24"/>
              </w:rPr>
            </w:pPr>
          </w:p>
          <w:p w:rsidR="00682820" w:rsidRDefault="00682820" w:rsidP="006D7B6A">
            <w:pPr>
              <w:rPr>
                <w:sz w:val="24"/>
                <w:szCs w:val="24"/>
              </w:rPr>
            </w:pPr>
          </w:p>
          <w:p w:rsidR="001F1B34" w:rsidRDefault="001F1B34" w:rsidP="006D7B6A">
            <w:pPr>
              <w:rPr>
                <w:sz w:val="24"/>
                <w:szCs w:val="24"/>
              </w:rPr>
            </w:pPr>
            <w:r>
              <w:rPr>
                <w:rFonts w:hint="eastAsia"/>
                <w:sz w:val="24"/>
                <w:szCs w:val="24"/>
              </w:rPr>
              <w:t>說明：</w:t>
            </w:r>
          </w:p>
          <w:p w:rsidR="001F1B34" w:rsidRPr="00BA7A43" w:rsidRDefault="001F1B34" w:rsidP="006D7B6A">
            <w:pPr>
              <w:rPr>
                <w:sz w:val="24"/>
                <w:szCs w:val="24"/>
              </w:rPr>
            </w:pPr>
            <w:r>
              <w:rPr>
                <w:rFonts w:hint="eastAsia"/>
                <w:sz w:val="24"/>
                <w:szCs w:val="24"/>
              </w:rPr>
              <w:t>107年實際裝置容量2,342.29MW，未達目標裝置容量2,837MW。</w:t>
            </w:r>
          </w:p>
        </w:tc>
        <w:tc>
          <w:tcPr>
            <w:tcW w:w="4092" w:type="dxa"/>
          </w:tcPr>
          <w:p w:rsidR="001F1B34" w:rsidRDefault="001F1B34" w:rsidP="006D7B6A">
            <w:pPr>
              <w:rPr>
                <w:sz w:val="24"/>
                <w:szCs w:val="24"/>
              </w:rPr>
            </w:pPr>
          </w:p>
          <w:p w:rsidR="001F1B34" w:rsidRDefault="001F1B34" w:rsidP="006D7B6A">
            <w:pPr>
              <w:rPr>
                <w:sz w:val="24"/>
                <w:szCs w:val="24"/>
              </w:rPr>
            </w:pPr>
            <w:r>
              <w:rPr>
                <w:rFonts w:hint="eastAsia"/>
                <w:noProof/>
              </w:rPr>
              <w:drawing>
                <wp:inline distT="0" distB="0" distL="0" distR="0" wp14:anchorId="3EDE0EA3" wp14:editId="67E45B07">
                  <wp:extent cx="2457450" cy="1936750"/>
                  <wp:effectExtent l="0" t="0" r="0" b="635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4F3D9.tmp"/>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68197" cy="1945220"/>
                          </a:xfrm>
                          <a:prstGeom prst="rect">
                            <a:avLst/>
                          </a:prstGeom>
                        </pic:spPr>
                      </pic:pic>
                    </a:graphicData>
                  </a:graphic>
                </wp:inline>
              </w:drawing>
            </w:r>
          </w:p>
          <w:p w:rsidR="00682820" w:rsidRDefault="00682820" w:rsidP="006D7B6A">
            <w:pPr>
              <w:rPr>
                <w:sz w:val="24"/>
                <w:szCs w:val="24"/>
              </w:rPr>
            </w:pPr>
          </w:p>
          <w:p w:rsidR="00682820" w:rsidRDefault="00682820" w:rsidP="006D7B6A">
            <w:pPr>
              <w:rPr>
                <w:sz w:val="24"/>
                <w:szCs w:val="24"/>
              </w:rPr>
            </w:pPr>
          </w:p>
          <w:p w:rsidR="001F1B34" w:rsidRDefault="001F1B34" w:rsidP="006D7B6A">
            <w:pPr>
              <w:rPr>
                <w:sz w:val="24"/>
                <w:szCs w:val="24"/>
              </w:rPr>
            </w:pPr>
            <w:r>
              <w:rPr>
                <w:rFonts w:hint="eastAsia"/>
                <w:sz w:val="24"/>
                <w:szCs w:val="24"/>
              </w:rPr>
              <w:t>說明：</w:t>
            </w:r>
          </w:p>
          <w:p w:rsidR="001F1B34" w:rsidRPr="00BA7A43" w:rsidRDefault="001F1B34" w:rsidP="006D7B6A">
            <w:pPr>
              <w:rPr>
                <w:sz w:val="24"/>
                <w:szCs w:val="24"/>
              </w:rPr>
            </w:pPr>
            <w:r>
              <w:rPr>
                <w:rFonts w:hint="eastAsia"/>
                <w:sz w:val="24"/>
                <w:szCs w:val="24"/>
              </w:rPr>
              <w:t>1076年實際發電量26.5543億度，未達目標發電量35億度。</w:t>
            </w:r>
          </w:p>
        </w:tc>
      </w:tr>
    </w:tbl>
    <w:p w:rsidR="001F1B34" w:rsidRDefault="001F1B34" w:rsidP="00682820">
      <w:pPr>
        <w:ind w:leftChars="167" w:left="1359" w:hangingChars="304" w:hanging="791"/>
        <w:rPr>
          <w:sz w:val="24"/>
          <w:szCs w:val="24"/>
        </w:rPr>
      </w:pPr>
      <w:r w:rsidRPr="000B0905">
        <w:rPr>
          <w:rFonts w:hint="eastAsia"/>
          <w:sz w:val="24"/>
          <w:szCs w:val="24"/>
        </w:rPr>
        <w:t>資料來源：台電公司網站資料。</w:t>
      </w:r>
    </w:p>
    <w:p w:rsidR="00682820" w:rsidRPr="00682820" w:rsidRDefault="00682820" w:rsidP="00682820">
      <w:pPr>
        <w:ind w:leftChars="167" w:left="1602" w:hangingChars="304" w:hanging="1034"/>
      </w:pPr>
    </w:p>
    <w:p w:rsidR="001F1B34" w:rsidRDefault="001F1B34" w:rsidP="001F1B34">
      <w:pPr>
        <w:pStyle w:val="3"/>
      </w:pPr>
      <w:r>
        <w:rPr>
          <w:rFonts w:hint="eastAsia"/>
        </w:rPr>
        <w:t>惟查經濟部因應公投能源政策評估檢討，於108年3月4日向立法院第9屆第7會期經濟委員會第3次會議提出「</w:t>
      </w:r>
      <w:r w:rsidRPr="00E93072">
        <w:rPr>
          <w:rFonts w:hint="eastAsia"/>
        </w:rPr>
        <w:t>因應公投結果能源政策評</w:t>
      </w:r>
      <w:r w:rsidRPr="00E93072">
        <w:rPr>
          <w:rFonts w:hint="eastAsia"/>
        </w:rPr>
        <w:lastRenderedPageBreak/>
        <w:t>估檢討專案報告</w:t>
      </w:r>
      <w:r>
        <w:rPr>
          <w:rFonts w:hint="eastAsia"/>
        </w:rPr>
        <w:t>」，該報告臚列107年至114年各類再生能源裝置量及發電量規劃如表</w:t>
      </w:r>
      <w:r w:rsidR="000042EF">
        <w:t>6</w:t>
      </w:r>
      <w:r>
        <w:rPr>
          <w:rFonts w:hint="eastAsia"/>
        </w:rPr>
        <w:t>。其中，107年太陽光電目標裝置容量2,837MW，發電量35億度。並稱「</w:t>
      </w:r>
      <w:r w:rsidRPr="004B25FA">
        <w:rPr>
          <w:rFonts w:hint="eastAsia"/>
          <w:b/>
        </w:rPr>
        <w:t>2017、2018年已達標：2016年7月起推動</w:t>
      </w:r>
      <w:r>
        <w:rPr>
          <w:rFonts w:hint="eastAsia"/>
          <w:b/>
        </w:rPr>
        <w:t>『</w:t>
      </w:r>
      <w:r w:rsidRPr="004B25FA">
        <w:rPr>
          <w:rFonts w:hint="eastAsia"/>
          <w:b/>
        </w:rPr>
        <w:t>太陽光電2年推動計畫</w:t>
      </w:r>
      <w:r>
        <w:rPr>
          <w:rFonts w:hint="eastAsia"/>
          <w:b/>
        </w:rPr>
        <w:t>』</w:t>
      </w:r>
      <w:r w:rsidRPr="004B25FA">
        <w:rPr>
          <w:rFonts w:hint="eastAsia"/>
          <w:b/>
        </w:rPr>
        <w:t>，迄2018年實際設置量達1.77GW，已</w:t>
      </w:r>
      <w:r>
        <w:rPr>
          <w:rFonts w:hint="eastAsia"/>
          <w:b/>
        </w:rPr>
        <w:t>逾</w:t>
      </w:r>
      <w:r w:rsidRPr="004B25FA">
        <w:rPr>
          <w:rFonts w:hint="eastAsia"/>
          <w:b/>
        </w:rPr>
        <w:t>原規劃1.52GW設置目標，並建立永續推動制度及環境。</w:t>
      </w:r>
      <w:r>
        <w:rPr>
          <w:rFonts w:hint="eastAsia"/>
        </w:rPr>
        <w:t>」等語。然此一論述，太陽光電2年推動計畫設置目標1.52GW之期間係105年7月~107年6月，而所稱1.77GW則係2018</w:t>
      </w:r>
      <w:r w:rsidR="004E464A">
        <w:rPr>
          <w:rFonts w:hint="eastAsia"/>
        </w:rPr>
        <w:t>年實際裝置量，二者並不相同</w:t>
      </w:r>
      <w:r>
        <w:rPr>
          <w:rFonts w:hint="eastAsia"/>
        </w:rPr>
        <w:t>，以</w:t>
      </w:r>
      <w:r w:rsidRPr="00511006">
        <w:rPr>
          <w:rFonts w:hint="eastAsia"/>
        </w:rPr>
        <w:t>2018年實際設置量達1.77GW</w:t>
      </w:r>
      <w:r>
        <w:rPr>
          <w:rFonts w:hint="eastAsia"/>
        </w:rPr>
        <w:t>說明其已</w:t>
      </w:r>
      <w:r w:rsidR="00682820">
        <w:rPr>
          <w:rFonts w:hint="eastAsia"/>
        </w:rPr>
        <w:t>逾</w:t>
      </w:r>
      <w:r>
        <w:rPr>
          <w:rFonts w:hint="eastAsia"/>
        </w:rPr>
        <w:t>原規劃1.52GW設置目標，顯與經濟部107年10月1日「我國再生能源電力發展情形」簡報資料第16頁</w:t>
      </w:r>
      <w:r w:rsidR="004E464A">
        <w:rPr>
          <w:rFonts w:hint="eastAsia"/>
        </w:rPr>
        <w:t>自</w:t>
      </w:r>
      <w:r>
        <w:rPr>
          <w:rFonts w:hint="eastAsia"/>
        </w:rPr>
        <w:t>承「太陽光電2年計畫(105年7月~107年6月)推動目標1,520MW，累計至107年6月底，完工併聯量達1,328.98MW。總達成率87.43%」有間。</w:t>
      </w:r>
    </w:p>
    <w:p w:rsidR="001F1B34" w:rsidRPr="00394250" w:rsidRDefault="001F1B34" w:rsidP="001F1B34">
      <w:pPr>
        <w:pStyle w:val="a2"/>
        <w:jc w:val="center"/>
        <w:rPr>
          <w:b/>
        </w:rPr>
      </w:pPr>
      <w:bookmarkStart w:id="66" w:name="_Toc22216349"/>
      <w:r w:rsidRPr="00394250">
        <w:rPr>
          <w:rFonts w:hint="eastAsia"/>
          <w:b/>
        </w:rPr>
        <w:t>107-114年再生能源裝置容量及發電量規劃表</w:t>
      </w:r>
      <w:bookmarkEnd w:id="66"/>
    </w:p>
    <w:p w:rsidR="001F1B34" w:rsidRDefault="001F1B34" w:rsidP="001F1B34">
      <w:pPr>
        <w:ind w:leftChars="300" w:left="1020"/>
      </w:pPr>
      <w:r w:rsidRPr="00FC5C4D">
        <w:rPr>
          <w:rFonts w:hint="eastAsia"/>
          <w:bCs/>
          <w:noProof/>
          <w:szCs w:val="40"/>
        </w:rPr>
        <w:drawing>
          <wp:inline distT="0" distB="0" distL="0" distR="0" wp14:anchorId="3E851740" wp14:editId="12D9C7D2">
            <wp:extent cx="5615940" cy="1934334"/>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615940" cy="1934334"/>
                    </a:xfrm>
                    <a:prstGeom prst="rect">
                      <a:avLst/>
                    </a:prstGeom>
                  </pic:spPr>
                </pic:pic>
              </a:graphicData>
            </a:graphic>
          </wp:inline>
        </w:drawing>
      </w:r>
    </w:p>
    <w:p w:rsidR="001F1B34" w:rsidRDefault="001F1B34" w:rsidP="001F1B34">
      <w:pPr>
        <w:ind w:leftChars="300" w:left="1020"/>
      </w:pPr>
      <w:r w:rsidRPr="00FC5C4D">
        <w:rPr>
          <w:bCs/>
          <w:noProof/>
          <w:szCs w:val="40"/>
        </w:rPr>
        <w:lastRenderedPageBreak/>
        <w:drawing>
          <wp:inline distT="0" distB="0" distL="0" distR="0" wp14:anchorId="47D38766" wp14:editId="18FE322B">
            <wp:extent cx="5615940" cy="1943031"/>
            <wp:effectExtent l="0" t="0" r="381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15940" cy="1943031"/>
                    </a:xfrm>
                    <a:prstGeom prst="rect">
                      <a:avLst/>
                    </a:prstGeom>
                  </pic:spPr>
                </pic:pic>
              </a:graphicData>
            </a:graphic>
          </wp:inline>
        </w:drawing>
      </w:r>
    </w:p>
    <w:p w:rsidR="001F1B34" w:rsidRDefault="001F1B34" w:rsidP="001F1B34">
      <w:pPr>
        <w:pStyle w:val="3"/>
        <w:numPr>
          <w:ilvl w:val="0"/>
          <w:numId w:val="0"/>
        </w:numPr>
        <w:snapToGrid w:val="0"/>
        <w:ind w:leftChars="-1" w:left="-3" w:firstLineChars="381" w:firstLine="991"/>
        <w:rPr>
          <w:sz w:val="24"/>
          <w:szCs w:val="24"/>
        </w:rPr>
      </w:pPr>
      <w:r w:rsidRPr="000B0905">
        <w:rPr>
          <w:rFonts w:hint="eastAsia"/>
          <w:sz w:val="24"/>
          <w:szCs w:val="24"/>
        </w:rPr>
        <w:t>資料來源：經濟部。</w:t>
      </w:r>
    </w:p>
    <w:p w:rsidR="00307C06" w:rsidRPr="000B0905" w:rsidRDefault="00307C06" w:rsidP="00307C06">
      <w:pPr>
        <w:pStyle w:val="3"/>
        <w:numPr>
          <w:ilvl w:val="0"/>
          <w:numId w:val="0"/>
        </w:numPr>
        <w:snapToGrid w:val="0"/>
        <w:ind w:leftChars="-1" w:left="-3" w:firstLineChars="381" w:firstLine="1296"/>
      </w:pPr>
    </w:p>
    <w:p w:rsidR="001F1B34" w:rsidRPr="004E464A" w:rsidRDefault="001F1B34" w:rsidP="00574552">
      <w:pPr>
        <w:pStyle w:val="3"/>
        <w:ind w:left="1276"/>
        <w:rPr>
          <w:szCs w:val="48"/>
        </w:rPr>
      </w:pPr>
      <w:r>
        <w:rPr>
          <w:rFonts w:hint="eastAsia"/>
        </w:rPr>
        <w:t>綜上，</w:t>
      </w:r>
      <w:r w:rsidRPr="005B2832">
        <w:rPr>
          <w:rFonts w:hint="eastAsia"/>
        </w:rPr>
        <w:t>經濟部107年10月1日簡報自承「太陽光電2年推動計畫(105年7月至107年6月)推動目標1.52GW，累計至107年6月底，完工併聯量1.33GW，達成率87.43%，其中地面型進度較為緩慢」(37%)</w:t>
      </w:r>
      <w:r w:rsidR="004A5EAE">
        <w:rPr>
          <w:rFonts w:hint="eastAsia"/>
        </w:rPr>
        <w:t>」有</w:t>
      </w:r>
      <w:r w:rsidRPr="005B2832">
        <w:rPr>
          <w:rFonts w:hint="eastAsia"/>
        </w:rPr>
        <w:t>卷可稽，惟</w:t>
      </w:r>
      <w:r>
        <w:rPr>
          <w:rFonts w:hint="eastAsia"/>
        </w:rPr>
        <w:t>該部</w:t>
      </w:r>
      <w:r w:rsidRPr="005B2832">
        <w:rPr>
          <w:rFonts w:hint="eastAsia"/>
        </w:rPr>
        <w:t>108年3月4日</w:t>
      </w:r>
      <w:r>
        <w:rPr>
          <w:rFonts w:hint="eastAsia"/>
        </w:rPr>
        <w:t>於立法院</w:t>
      </w:r>
      <w:r w:rsidRPr="005B2832">
        <w:rPr>
          <w:rFonts w:hint="eastAsia"/>
        </w:rPr>
        <w:t>「因應公投結果能源政策評估檢討專案報告」</w:t>
      </w:r>
      <w:r w:rsidR="004A5EAE">
        <w:rPr>
          <w:rFonts w:hint="eastAsia"/>
        </w:rPr>
        <w:t>中</w:t>
      </w:r>
      <w:r>
        <w:rPr>
          <w:rFonts w:hint="eastAsia"/>
        </w:rPr>
        <w:t>，</w:t>
      </w:r>
      <w:r w:rsidRPr="005B2832">
        <w:rPr>
          <w:rFonts w:hint="eastAsia"/>
        </w:rPr>
        <w:t>卻以「2016年7月起推動『太陽光電2年推動計畫』，迄2018年實際設置量達1.77GW，已逾原規劃之1.52GW設置目標」云云</w:t>
      </w:r>
      <w:r w:rsidR="00682820">
        <w:rPr>
          <w:rFonts w:hint="eastAsia"/>
        </w:rPr>
        <w:t>，</w:t>
      </w:r>
      <w:r w:rsidRPr="005B2832">
        <w:rPr>
          <w:rFonts w:hint="eastAsia"/>
        </w:rPr>
        <w:t>含糊其詞，說法前後不一，允宜</w:t>
      </w:r>
      <w:r w:rsidR="004A5EAE">
        <w:rPr>
          <w:rFonts w:hint="eastAsia"/>
        </w:rPr>
        <w:t>詳加盤點</w:t>
      </w:r>
      <w:r w:rsidRPr="005B2832">
        <w:rPr>
          <w:rFonts w:hint="eastAsia"/>
        </w:rPr>
        <w:t>檢</w:t>
      </w:r>
      <w:r w:rsidR="004A5EAE">
        <w:rPr>
          <w:rFonts w:hint="eastAsia"/>
        </w:rPr>
        <w:t>視</w:t>
      </w:r>
      <w:r w:rsidRPr="005B2832">
        <w:rPr>
          <w:rFonts w:hint="eastAsia"/>
        </w:rPr>
        <w:t>，以正視聽</w:t>
      </w:r>
      <w:r>
        <w:rPr>
          <w:rFonts w:hint="eastAsia"/>
        </w:rPr>
        <w:t>。</w:t>
      </w:r>
    </w:p>
    <w:p w:rsidR="004E464A" w:rsidRPr="009F2AE9" w:rsidRDefault="004E464A" w:rsidP="004E464A"/>
    <w:p w:rsidR="00171F83" w:rsidRPr="00095EA4" w:rsidRDefault="000D6FF2" w:rsidP="000D6FF2">
      <w:pPr>
        <w:pStyle w:val="2"/>
        <w:rPr>
          <w:b/>
        </w:rPr>
      </w:pPr>
      <w:bookmarkStart w:id="67" w:name="_Toc22636588"/>
      <w:r w:rsidRPr="00095EA4">
        <w:rPr>
          <w:rFonts w:hint="eastAsia"/>
          <w:b/>
        </w:rPr>
        <w:t>經濟部為達成114年再生能源占比20%目標，</w:t>
      </w:r>
      <w:r w:rsidR="00B028C9">
        <w:rPr>
          <w:rFonts w:hint="eastAsia"/>
          <w:b/>
        </w:rPr>
        <w:t>以</w:t>
      </w:r>
      <w:r w:rsidR="00B74DFD" w:rsidRPr="00095EA4">
        <w:rPr>
          <w:rFonts w:hint="eastAsia"/>
          <w:b/>
        </w:rPr>
        <w:t>躉購費率</w:t>
      </w:r>
      <w:r w:rsidR="00B028C9">
        <w:rPr>
          <w:rFonts w:hint="eastAsia"/>
          <w:b/>
        </w:rPr>
        <w:t>為</w:t>
      </w:r>
      <w:r w:rsidR="00B74DFD" w:rsidRPr="00095EA4">
        <w:rPr>
          <w:rFonts w:hint="eastAsia"/>
          <w:b/>
        </w:rPr>
        <w:t>誘因，</w:t>
      </w:r>
      <w:r w:rsidRPr="00095EA4">
        <w:rPr>
          <w:rFonts w:hint="eastAsia"/>
          <w:b/>
        </w:rPr>
        <w:t>推動「風力發電4年推動計畫」（106~109年），</w:t>
      </w:r>
      <w:r w:rsidR="00B74DFD" w:rsidRPr="00095EA4">
        <w:rPr>
          <w:rFonts w:hint="eastAsia"/>
          <w:b/>
        </w:rPr>
        <w:t>規劃109年（短期）、114年（中長期）</w:t>
      </w:r>
      <w:r w:rsidR="00095EA4" w:rsidRPr="00095EA4">
        <w:rPr>
          <w:rFonts w:hint="eastAsia"/>
          <w:b/>
        </w:rPr>
        <w:t>離岸</w:t>
      </w:r>
      <w:r w:rsidR="00B74DFD" w:rsidRPr="00095EA4">
        <w:rPr>
          <w:rFonts w:hint="eastAsia"/>
          <w:b/>
        </w:rPr>
        <w:t>目標裝置量各為520MW及3</w:t>
      </w:r>
      <w:r w:rsidR="00095EA4" w:rsidRPr="00095EA4">
        <w:rPr>
          <w:rFonts w:hint="eastAsia"/>
          <w:b/>
        </w:rPr>
        <w:t>,</w:t>
      </w:r>
      <w:r w:rsidR="00B74DFD" w:rsidRPr="00095EA4">
        <w:rPr>
          <w:rFonts w:hint="eastAsia"/>
          <w:b/>
        </w:rPr>
        <w:t>000MW，</w:t>
      </w:r>
      <w:r w:rsidR="00095EA4" w:rsidRPr="00095EA4">
        <w:rPr>
          <w:rFonts w:hint="eastAsia"/>
          <w:b/>
        </w:rPr>
        <w:t>惟</w:t>
      </w:r>
      <w:r w:rsidR="00B74DFD" w:rsidRPr="00095EA4">
        <w:rPr>
          <w:rFonts w:hint="eastAsia"/>
          <w:b/>
        </w:rPr>
        <w:t>107年遴選與競價結果，114年目標裝置量增</w:t>
      </w:r>
      <w:r w:rsidR="00095EA4" w:rsidRPr="00095EA4">
        <w:rPr>
          <w:rFonts w:hint="eastAsia"/>
          <w:b/>
        </w:rPr>
        <w:t>至</w:t>
      </w:r>
      <w:r w:rsidR="00B74DFD" w:rsidRPr="00095EA4">
        <w:rPr>
          <w:rFonts w:hint="eastAsia"/>
          <w:b/>
        </w:rPr>
        <w:t>5</w:t>
      </w:r>
      <w:r w:rsidR="00095EA4" w:rsidRPr="00095EA4">
        <w:rPr>
          <w:rFonts w:hint="eastAsia"/>
          <w:b/>
        </w:rPr>
        <w:t>,</w:t>
      </w:r>
      <w:r w:rsidR="00B74DFD" w:rsidRPr="00095EA4">
        <w:rPr>
          <w:rFonts w:hint="eastAsia"/>
          <w:b/>
        </w:rPr>
        <w:t>500MW</w:t>
      </w:r>
      <w:r w:rsidR="00095EA4" w:rsidRPr="00095EA4">
        <w:rPr>
          <w:rFonts w:hint="eastAsia"/>
          <w:b/>
        </w:rPr>
        <w:t>（增幅83%</w:t>
      </w:r>
      <w:r w:rsidR="00DB6A9C">
        <w:rPr>
          <w:rFonts w:hint="eastAsia"/>
          <w:b/>
        </w:rPr>
        <w:t>-</w:t>
      </w:r>
      <w:r w:rsidR="00095EA4" w:rsidRPr="00095EA4">
        <w:rPr>
          <w:rFonts w:hint="eastAsia"/>
          <w:b/>
        </w:rPr>
        <w:t>遴選3,836MW，競價1,664MW，遴選3,098MW部分</w:t>
      </w:r>
      <w:r w:rsidR="00254358">
        <w:rPr>
          <w:rFonts w:hint="eastAsia"/>
          <w:b/>
        </w:rPr>
        <w:t>擔</w:t>
      </w:r>
      <w:r w:rsidR="00095EA4" w:rsidRPr="00095EA4">
        <w:rPr>
          <w:rFonts w:hint="eastAsia"/>
          <w:b/>
        </w:rPr>
        <w:t>負</w:t>
      </w:r>
      <w:r w:rsidR="00BE24A8">
        <w:rPr>
          <w:rFonts w:hint="eastAsia"/>
          <w:b/>
        </w:rPr>
        <w:t>有</w:t>
      </w:r>
      <w:r w:rsidR="00095EA4" w:rsidRPr="00095EA4">
        <w:rPr>
          <w:rFonts w:hint="eastAsia"/>
          <w:b/>
        </w:rPr>
        <w:t>國產化義務），且大多數風場由外商主導開發，其中國內唯一完成第一期離岸示範風場廠商</w:t>
      </w:r>
      <w:r w:rsidR="009438A0" w:rsidRPr="00095EA4">
        <w:rPr>
          <w:rFonts w:hint="eastAsia"/>
          <w:b/>
        </w:rPr>
        <w:t>上緯</w:t>
      </w:r>
      <w:r w:rsidR="00095EA4" w:rsidRPr="00095EA4">
        <w:rPr>
          <w:rFonts w:hint="eastAsia"/>
          <w:b/>
        </w:rPr>
        <w:t>，</w:t>
      </w:r>
      <w:r w:rsidR="009438A0" w:rsidRPr="00095EA4">
        <w:rPr>
          <w:rFonts w:hint="eastAsia"/>
          <w:b/>
        </w:rPr>
        <w:t>雖</w:t>
      </w:r>
      <w:r w:rsidR="00B74DFD" w:rsidRPr="00095EA4">
        <w:rPr>
          <w:rFonts w:hint="eastAsia"/>
          <w:b/>
        </w:rPr>
        <w:t>遴選</w:t>
      </w:r>
      <w:r w:rsidR="009438A0" w:rsidRPr="00095EA4">
        <w:rPr>
          <w:rFonts w:hint="eastAsia"/>
          <w:b/>
        </w:rPr>
        <w:t>獲得海能風場（378MW）開發權，但</w:t>
      </w:r>
      <w:r w:rsidR="00B028C9">
        <w:rPr>
          <w:rFonts w:hint="eastAsia"/>
          <w:b/>
        </w:rPr>
        <w:t>於</w:t>
      </w:r>
      <w:r w:rsidR="00095EA4" w:rsidRPr="00095EA4">
        <w:rPr>
          <w:rFonts w:hint="eastAsia"/>
          <w:b/>
        </w:rPr>
        <w:t>108年</w:t>
      </w:r>
      <w:r w:rsidR="009438A0" w:rsidRPr="00095EA4">
        <w:rPr>
          <w:rFonts w:hint="eastAsia"/>
          <w:b/>
        </w:rPr>
        <w:t>已出脫</w:t>
      </w:r>
      <w:r w:rsidR="00B028C9">
        <w:rPr>
          <w:rFonts w:hint="eastAsia"/>
          <w:b/>
        </w:rPr>
        <w:t>大部分</w:t>
      </w:r>
      <w:r w:rsidR="009438A0" w:rsidRPr="00095EA4">
        <w:rPr>
          <w:rFonts w:hint="eastAsia"/>
          <w:b/>
        </w:rPr>
        <w:t>持股，</w:t>
      </w:r>
      <w:r w:rsidR="00254358">
        <w:rPr>
          <w:rFonts w:hint="eastAsia"/>
          <w:b/>
        </w:rPr>
        <w:t>顯見其在外商環伺</w:t>
      </w:r>
      <w:r w:rsidR="00095EA4" w:rsidRPr="00095EA4">
        <w:rPr>
          <w:rFonts w:hint="eastAsia"/>
          <w:b/>
        </w:rPr>
        <w:t>下，立足不易而</w:t>
      </w:r>
      <w:r w:rsidR="004E464A">
        <w:rPr>
          <w:rFonts w:hint="eastAsia"/>
          <w:b/>
        </w:rPr>
        <w:t>淡出</w:t>
      </w:r>
      <w:r w:rsidR="00095EA4" w:rsidRPr="00095EA4">
        <w:rPr>
          <w:rFonts w:hint="eastAsia"/>
          <w:b/>
        </w:rPr>
        <w:t>市場，</w:t>
      </w:r>
      <w:r w:rsidR="00095EA4">
        <w:rPr>
          <w:rFonts w:hint="eastAsia"/>
          <w:b/>
        </w:rPr>
        <w:t>斲</w:t>
      </w:r>
      <w:r w:rsidR="00095EA4">
        <w:rPr>
          <w:rFonts w:hint="eastAsia"/>
          <w:b/>
        </w:rPr>
        <w:lastRenderedPageBreak/>
        <w:t>傷</w:t>
      </w:r>
      <w:r w:rsidR="004E464A">
        <w:rPr>
          <w:rFonts w:hint="eastAsia"/>
          <w:b/>
        </w:rPr>
        <w:t>扶植</w:t>
      </w:r>
      <w:r w:rsidR="00095EA4" w:rsidRPr="00095EA4">
        <w:rPr>
          <w:rFonts w:hint="eastAsia"/>
          <w:b/>
        </w:rPr>
        <w:t>國</w:t>
      </w:r>
      <w:r w:rsidR="004E464A">
        <w:rPr>
          <w:rFonts w:hint="eastAsia"/>
          <w:b/>
        </w:rPr>
        <w:t>內廠商</w:t>
      </w:r>
      <w:r w:rsidR="00095EA4" w:rsidRPr="00095EA4">
        <w:rPr>
          <w:rFonts w:hint="eastAsia"/>
          <w:b/>
        </w:rPr>
        <w:t>政策，</w:t>
      </w:r>
      <w:r w:rsidR="00BE24A8">
        <w:rPr>
          <w:rFonts w:hint="eastAsia"/>
          <w:b/>
        </w:rPr>
        <w:t>允</w:t>
      </w:r>
      <w:r w:rsidR="00095EA4" w:rsidRPr="00095EA4">
        <w:rPr>
          <w:rFonts w:hint="eastAsia"/>
          <w:b/>
        </w:rPr>
        <w:t>應確實檢討</w:t>
      </w:r>
      <w:r w:rsidRPr="00095EA4">
        <w:rPr>
          <w:rFonts w:hint="eastAsia"/>
          <w:b/>
        </w:rPr>
        <w:t>。</w:t>
      </w:r>
      <w:bookmarkEnd w:id="67"/>
    </w:p>
    <w:p w:rsidR="001D7C4B" w:rsidRDefault="0084548B" w:rsidP="007C6ED0">
      <w:pPr>
        <w:pStyle w:val="3"/>
        <w:ind w:left="1276"/>
      </w:pPr>
      <w:r>
        <w:rPr>
          <w:rFonts w:hint="eastAsia"/>
        </w:rPr>
        <w:t>查台電公司歷年發購電量如圖</w:t>
      </w:r>
      <w:r w:rsidR="000042EF">
        <w:t>3</w:t>
      </w:r>
      <w:r>
        <w:rPr>
          <w:rFonts w:hint="eastAsia"/>
        </w:rPr>
        <w:t>。其中</w:t>
      </w:r>
      <w:r w:rsidR="001D7C4B">
        <w:rPr>
          <w:rFonts w:hint="eastAsia"/>
        </w:rPr>
        <w:t>，</w:t>
      </w:r>
      <w:r>
        <w:rPr>
          <w:rFonts w:hint="eastAsia"/>
        </w:rPr>
        <w:t>105年發購電量2</w:t>
      </w:r>
      <w:r w:rsidR="001D7C4B">
        <w:rPr>
          <w:rFonts w:hint="eastAsia"/>
        </w:rPr>
        <w:t>,</w:t>
      </w:r>
      <w:r>
        <w:rPr>
          <w:rFonts w:hint="eastAsia"/>
        </w:rPr>
        <w:t>258億度，再生占5.1%。為達成114年</w:t>
      </w:r>
      <w:r w:rsidRPr="0084548B">
        <w:rPr>
          <w:rFonts w:hint="eastAsia"/>
        </w:rPr>
        <w:t>提升再生能源發電比例至20%</w:t>
      </w:r>
      <w:r>
        <w:rPr>
          <w:rFonts w:hint="eastAsia"/>
        </w:rPr>
        <w:t>，</w:t>
      </w:r>
      <w:r w:rsidR="001D7C4B">
        <w:rPr>
          <w:rFonts w:hint="eastAsia"/>
        </w:rPr>
        <w:t>經濟部推動「風力發電</w:t>
      </w:r>
      <w:r>
        <w:rPr>
          <w:rFonts w:hint="eastAsia"/>
        </w:rPr>
        <w:t>4年推動計畫</w:t>
      </w:r>
      <w:r w:rsidR="001D7C4B">
        <w:rPr>
          <w:rFonts w:hint="eastAsia"/>
        </w:rPr>
        <w:t>」</w:t>
      </w:r>
      <w:r>
        <w:rPr>
          <w:rFonts w:hint="eastAsia"/>
        </w:rPr>
        <w:t>（106~109年），</w:t>
      </w:r>
      <w:r w:rsidRPr="0084548B">
        <w:rPr>
          <w:rFonts w:hint="eastAsia"/>
        </w:rPr>
        <w:t>規劃各類再生能源推廣目標裝置容量及發電量</w:t>
      </w:r>
      <w:r w:rsidR="003C4DE4">
        <w:rPr>
          <w:rFonts w:hint="eastAsia"/>
        </w:rPr>
        <w:t>，</w:t>
      </w:r>
      <w:r w:rsidRPr="0084548B">
        <w:rPr>
          <w:rFonts w:hint="eastAsia"/>
        </w:rPr>
        <w:t>如表</w:t>
      </w:r>
      <w:r w:rsidR="000042EF">
        <w:t>7</w:t>
      </w:r>
      <w:r w:rsidRPr="0084548B">
        <w:rPr>
          <w:rFonts w:hint="eastAsia"/>
        </w:rPr>
        <w:t>及表</w:t>
      </w:r>
      <w:r w:rsidR="000042EF">
        <w:rPr>
          <w:rFonts w:hint="eastAsia"/>
        </w:rPr>
        <w:t>8</w:t>
      </w:r>
      <w:r w:rsidRPr="0084548B">
        <w:rPr>
          <w:rFonts w:hint="eastAsia"/>
        </w:rPr>
        <w:t>所示，其中風力發電長期目標</w:t>
      </w:r>
      <w:r w:rsidR="000951B6" w:rsidRPr="000B0905">
        <w:rPr>
          <w:rFonts w:hint="eastAsia"/>
        </w:rPr>
        <w:t>裝置容量</w:t>
      </w:r>
      <w:r w:rsidRPr="0084548B">
        <w:rPr>
          <w:rFonts w:hint="eastAsia"/>
        </w:rPr>
        <w:t>為114年達成4.2 GW</w:t>
      </w:r>
      <w:r w:rsidR="001D7C4B">
        <w:rPr>
          <w:rFonts w:hint="eastAsia"/>
        </w:rPr>
        <w:t>(</w:t>
      </w:r>
      <w:r w:rsidRPr="0084548B">
        <w:rPr>
          <w:rFonts w:hint="eastAsia"/>
        </w:rPr>
        <w:t>陸域風電1.2 GW，離岸風電3 GW</w:t>
      </w:r>
      <w:r w:rsidR="001D7C4B">
        <w:rPr>
          <w:rFonts w:hint="eastAsia"/>
        </w:rPr>
        <w:t>)，各類推廣目標發電量合計515億度。</w:t>
      </w:r>
      <w:r w:rsidR="00030F18">
        <w:rPr>
          <w:rFonts w:hint="eastAsia"/>
        </w:rPr>
        <w:t>嗣108年3月離岸風電目標裝置容量提高為5.7GW，各類推廣目標發電量提高至617億度。</w:t>
      </w:r>
    </w:p>
    <w:p w:rsidR="0084548B" w:rsidRDefault="0084548B" w:rsidP="00271B72">
      <w:pPr>
        <w:ind w:leftChars="-41" w:left="1341" w:hangingChars="435" w:hanging="1480"/>
      </w:pPr>
      <w:r>
        <w:rPr>
          <w:rFonts w:hint="eastAsia"/>
          <w:noProof/>
        </w:rPr>
        <w:drawing>
          <wp:inline distT="0" distB="0" distL="0" distR="0" wp14:anchorId="6AD7547D" wp14:editId="61D13A71">
            <wp:extent cx="6359236" cy="4315691"/>
            <wp:effectExtent l="0" t="0" r="3810" b="889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40EAC2.tmp"/>
                    <pic:cNvPicPr/>
                  </pic:nvPicPr>
                  <pic:blipFill>
                    <a:blip r:embed="rId20">
                      <a:extLst>
                        <a:ext uri="{28A0092B-C50C-407E-A947-70E740481C1C}">
                          <a14:useLocalDpi xmlns:a14="http://schemas.microsoft.com/office/drawing/2010/main" val="0"/>
                        </a:ext>
                      </a:extLst>
                    </a:blip>
                    <a:stretch>
                      <a:fillRect/>
                    </a:stretch>
                  </pic:blipFill>
                  <pic:spPr>
                    <a:xfrm>
                      <a:off x="0" y="0"/>
                      <a:ext cx="6377861" cy="4328331"/>
                    </a:xfrm>
                    <a:prstGeom prst="rect">
                      <a:avLst/>
                    </a:prstGeom>
                  </pic:spPr>
                </pic:pic>
              </a:graphicData>
            </a:graphic>
          </wp:inline>
        </w:drawing>
      </w:r>
    </w:p>
    <w:p w:rsidR="0084548B" w:rsidRPr="003C4DE4" w:rsidRDefault="0084548B" w:rsidP="002C2BF1">
      <w:pPr>
        <w:pStyle w:val="af6"/>
        <w:numPr>
          <w:ilvl w:val="0"/>
          <w:numId w:val="4"/>
        </w:numPr>
        <w:ind w:left="697" w:hanging="697"/>
        <w:rPr>
          <w:b/>
        </w:rPr>
      </w:pPr>
      <w:bookmarkStart w:id="68" w:name="_Toc22216433"/>
      <w:r w:rsidRPr="003C4DE4">
        <w:rPr>
          <w:rFonts w:hint="eastAsia"/>
          <w:b/>
        </w:rPr>
        <w:t>台電公司歷年發購電量</w:t>
      </w:r>
      <w:bookmarkEnd w:id="68"/>
    </w:p>
    <w:p w:rsidR="00110E4B" w:rsidRPr="00A1144D" w:rsidRDefault="00110E4B" w:rsidP="00271B72">
      <w:pPr>
        <w:ind w:leftChars="42" w:left="1361" w:hangingChars="468" w:hanging="1218"/>
        <w:rPr>
          <w:sz w:val="24"/>
          <w:szCs w:val="24"/>
        </w:rPr>
      </w:pPr>
      <w:bookmarkStart w:id="69" w:name="_Toc16080828"/>
      <w:r w:rsidRPr="00A1144D">
        <w:rPr>
          <w:rFonts w:hint="eastAsia"/>
          <w:sz w:val="24"/>
          <w:szCs w:val="24"/>
        </w:rPr>
        <w:t>資料來源：</w:t>
      </w:r>
      <w:bookmarkEnd w:id="69"/>
      <w:r w:rsidR="000B0905" w:rsidRPr="00A1144D">
        <w:rPr>
          <w:rFonts w:hint="eastAsia"/>
          <w:sz w:val="24"/>
          <w:szCs w:val="24"/>
        </w:rPr>
        <w:t>台電公司。</w:t>
      </w:r>
    </w:p>
    <w:p w:rsidR="0084548B" w:rsidRPr="003C4DE4" w:rsidRDefault="0084548B" w:rsidP="0084548B">
      <w:pPr>
        <w:pStyle w:val="a2"/>
        <w:jc w:val="center"/>
        <w:rPr>
          <w:b/>
        </w:rPr>
      </w:pPr>
      <w:bookmarkStart w:id="70" w:name="_Toc22216350"/>
      <w:r w:rsidRPr="003C4DE4">
        <w:rPr>
          <w:rFonts w:hint="eastAsia"/>
          <w:b/>
        </w:rPr>
        <w:lastRenderedPageBreak/>
        <w:t>各類</w:t>
      </w:r>
      <w:r w:rsidR="003C4DE4">
        <w:rPr>
          <w:rFonts w:hint="eastAsia"/>
          <w:b/>
        </w:rPr>
        <w:t>能源</w:t>
      </w:r>
      <w:r w:rsidRPr="003C4DE4">
        <w:rPr>
          <w:rFonts w:hint="eastAsia"/>
          <w:b/>
        </w:rPr>
        <w:t>推廣目標裝置容量（MW）</w:t>
      </w:r>
      <w:bookmarkEnd w:id="70"/>
    </w:p>
    <w:p w:rsidR="0084548B" w:rsidRDefault="0084548B" w:rsidP="00E01C87">
      <w:pPr>
        <w:ind w:leftChars="42" w:left="1340" w:hangingChars="352" w:hanging="1197"/>
      </w:pPr>
      <w:r>
        <w:rPr>
          <w:rFonts w:hint="eastAsia"/>
          <w:noProof/>
        </w:rPr>
        <w:drawing>
          <wp:inline distT="0" distB="0" distL="0" distR="0" wp14:anchorId="32BBE4C8" wp14:editId="6D449D6D">
            <wp:extent cx="5708650" cy="2279650"/>
            <wp:effectExtent l="0" t="0" r="6350" b="635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40130D.tmp"/>
                    <pic:cNvPicPr/>
                  </pic:nvPicPr>
                  <pic:blipFill>
                    <a:blip r:embed="rId21">
                      <a:extLst>
                        <a:ext uri="{28A0092B-C50C-407E-A947-70E740481C1C}">
                          <a14:useLocalDpi xmlns:a14="http://schemas.microsoft.com/office/drawing/2010/main" val="0"/>
                        </a:ext>
                      </a:extLst>
                    </a:blip>
                    <a:stretch>
                      <a:fillRect/>
                    </a:stretch>
                  </pic:blipFill>
                  <pic:spPr>
                    <a:xfrm>
                      <a:off x="0" y="0"/>
                      <a:ext cx="5721008" cy="2284585"/>
                    </a:xfrm>
                    <a:prstGeom prst="rect">
                      <a:avLst/>
                    </a:prstGeom>
                  </pic:spPr>
                </pic:pic>
              </a:graphicData>
            </a:graphic>
          </wp:inline>
        </w:drawing>
      </w:r>
    </w:p>
    <w:p w:rsidR="00030F18" w:rsidRPr="009B0944" w:rsidRDefault="00110E4B" w:rsidP="00287824">
      <w:pPr>
        <w:ind w:leftChars="63" w:left="1301" w:hangingChars="418" w:hanging="1087"/>
      </w:pPr>
      <w:r w:rsidRPr="009B0944">
        <w:rPr>
          <w:rFonts w:hint="eastAsia"/>
          <w:sz w:val="24"/>
          <w:szCs w:val="24"/>
        </w:rPr>
        <w:t>資料來源：經濟部。</w:t>
      </w:r>
    </w:p>
    <w:p w:rsidR="0084548B" w:rsidRPr="003C4DE4" w:rsidRDefault="0084548B" w:rsidP="0084548B">
      <w:pPr>
        <w:pStyle w:val="a2"/>
        <w:jc w:val="center"/>
        <w:rPr>
          <w:b/>
        </w:rPr>
      </w:pPr>
      <w:bookmarkStart w:id="71" w:name="_Toc22216351"/>
      <w:r w:rsidRPr="003C4DE4">
        <w:rPr>
          <w:rFonts w:hint="eastAsia"/>
          <w:b/>
        </w:rPr>
        <w:t>各類</w:t>
      </w:r>
      <w:r w:rsidR="003C4DE4">
        <w:rPr>
          <w:rFonts w:hint="eastAsia"/>
          <w:b/>
        </w:rPr>
        <w:t>能源</w:t>
      </w:r>
      <w:r w:rsidRPr="003C4DE4">
        <w:rPr>
          <w:rFonts w:hint="eastAsia"/>
          <w:b/>
        </w:rPr>
        <w:t>推廣目標發電量（億度）</w:t>
      </w:r>
      <w:bookmarkEnd w:id="71"/>
    </w:p>
    <w:p w:rsidR="0084548B" w:rsidRDefault="0084548B" w:rsidP="0084548B">
      <w:pPr>
        <w:ind w:leftChars="394" w:left="1340"/>
      </w:pPr>
      <w:r>
        <w:rPr>
          <w:rFonts w:hint="eastAsia"/>
          <w:noProof/>
        </w:rPr>
        <w:drawing>
          <wp:inline distT="0" distB="0" distL="0" distR="0" wp14:anchorId="7C585774" wp14:editId="641FFCE4">
            <wp:extent cx="4810602" cy="1674246"/>
            <wp:effectExtent l="0" t="0" r="0" b="254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402DAF.tmp"/>
                    <pic:cNvPicPr/>
                  </pic:nvPicPr>
                  <pic:blipFill>
                    <a:blip r:embed="rId22">
                      <a:extLst>
                        <a:ext uri="{28A0092B-C50C-407E-A947-70E740481C1C}">
                          <a14:useLocalDpi xmlns:a14="http://schemas.microsoft.com/office/drawing/2010/main" val="0"/>
                        </a:ext>
                      </a:extLst>
                    </a:blip>
                    <a:stretch>
                      <a:fillRect/>
                    </a:stretch>
                  </pic:blipFill>
                  <pic:spPr>
                    <a:xfrm>
                      <a:off x="0" y="0"/>
                      <a:ext cx="4812779" cy="1675004"/>
                    </a:xfrm>
                    <a:prstGeom prst="rect">
                      <a:avLst/>
                    </a:prstGeom>
                  </pic:spPr>
                </pic:pic>
              </a:graphicData>
            </a:graphic>
          </wp:inline>
        </w:drawing>
      </w:r>
    </w:p>
    <w:p w:rsidR="00110E4B" w:rsidRPr="009B0944" w:rsidRDefault="00110E4B" w:rsidP="0084548B">
      <w:pPr>
        <w:ind w:leftChars="394" w:left="1340"/>
        <w:rPr>
          <w:sz w:val="24"/>
          <w:szCs w:val="24"/>
        </w:rPr>
      </w:pPr>
      <w:r w:rsidRPr="009B0944">
        <w:rPr>
          <w:rFonts w:hint="eastAsia"/>
          <w:sz w:val="24"/>
          <w:szCs w:val="24"/>
        </w:rPr>
        <w:t>資料來源：經濟部。</w:t>
      </w:r>
    </w:p>
    <w:p w:rsidR="00110E4B" w:rsidRDefault="00110E4B" w:rsidP="0084548B">
      <w:pPr>
        <w:ind w:leftChars="394" w:left="1340"/>
      </w:pPr>
    </w:p>
    <w:p w:rsidR="0084548B" w:rsidRDefault="0084548B" w:rsidP="007C6ED0">
      <w:pPr>
        <w:pStyle w:val="3"/>
        <w:ind w:left="1276"/>
      </w:pPr>
      <w:r>
        <w:rPr>
          <w:rFonts w:hint="eastAsia"/>
        </w:rPr>
        <w:t>次查</w:t>
      </w:r>
      <w:r w:rsidR="001D7C4B">
        <w:rPr>
          <w:rFonts w:hint="eastAsia"/>
        </w:rPr>
        <w:t>風力發</w:t>
      </w:r>
      <w:r>
        <w:rPr>
          <w:rFonts w:hint="eastAsia"/>
        </w:rPr>
        <w:t>電推動策略，</w:t>
      </w:r>
      <w:r w:rsidR="001F76EA">
        <w:rPr>
          <w:rFonts w:hint="eastAsia"/>
        </w:rPr>
        <w:t>先開發優良風場、先示範/淺海，短期內先推動</w:t>
      </w:r>
      <w:r w:rsidR="00E01C87">
        <w:rPr>
          <w:rFonts w:hint="eastAsia"/>
        </w:rPr>
        <w:t>「</w:t>
      </w:r>
      <w:r w:rsidR="001F76EA">
        <w:rPr>
          <w:rFonts w:hint="eastAsia"/>
        </w:rPr>
        <w:t>風力發電4年</w:t>
      </w:r>
      <w:r w:rsidR="001D7C4B">
        <w:rPr>
          <w:rFonts w:hint="eastAsia"/>
        </w:rPr>
        <w:t>推</w:t>
      </w:r>
      <w:r w:rsidR="001F76EA">
        <w:rPr>
          <w:rFonts w:hint="eastAsia"/>
        </w:rPr>
        <w:t>動計畫</w:t>
      </w:r>
      <w:r w:rsidR="00E01C87">
        <w:rPr>
          <w:rFonts w:hint="eastAsia"/>
        </w:rPr>
        <w:t>」</w:t>
      </w:r>
      <w:r w:rsidR="001F76EA">
        <w:rPr>
          <w:rFonts w:hint="eastAsia"/>
        </w:rPr>
        <w:t>(106~109)，</w:t>
      </w:r>
      <w:r w:rsidR="00975E10">
        <w:rPr>
          <w:rFonts w:hint="eastAsia"/>
        </w:rPr>
        <w:t>109年</w:t>
      </w:r>
      <w:r w:rsidR="001F76EA">
        <w:rPr>
          <w:rFonts w:hint="eastAsia"/>
        </w:rPr>
        <w:t>陸域目標量：814MW，離岸目標量：520MW，新增：652MW；後開發次級風場、後區塊/深海，中長期推動計畫(累計)105年：682MW，109年：1,334MW</w:t>
      </w:r>
      <w:r w:rsidR="001D7C4B">
        <w:rPr>
          <w:rFonts w:hint="eastAsia"/>
        </w:rPr>
        <w:t>（陸域814MW、離岸520MW）</w:t>
      </w:r>
      <w:r w:rsidR="001F76EA">
        <w:rPr>
          <w:rFonts w:hint="eastAsia"/>
        </w:rPr>
        <w:t>，114年：6,700MW（陸域1,200MW，離岸5,500MW）</w:t>
      </w:r>
      <w:r w:rsidR="001D7C4B">
        <w:rPr>
          <w:rFonts w:hint="eastAsia"/>
        </w:rPr>
        <w:t>，如圖</w:t>
      </w:r>
      <w:r w:rsidR="000042EF">
        <w:t>4</w:t>
      </w:r>
      <w:r w:rsidR="001F76EA">
        <w:rPr>
          <w:rFonts w:hint="eastAsia"/>
        </w:rPr>
        <w:t>。</w:t>
      </w:r>
      <w:r>
        <w:rPr>
          <w:rFonts w:hint="eastAsia"/>
        </w:rPr>
        <w:t>其中離岸風電，原訂114年目標裝置容量3GW，惟107年</w:t>
      </w:r>
      <w:r w:rsidR="006D6E0A">
        <w:rPr>
          <w:rFonts w:hint="eastAsia"/>
        </w:rPr>
        <w:t>4月</w:t>
      </w:r>
      <w:r>
        <w:rPr>
          <w:rFonts w:hint="eastAsia"/>
        </w:rPr>
        <w:t>遴選及</w:t>
      </w:r>
      <w:r w:rsidR="006D6E0A">
        <w:rPr>
          <w:rFonts w:hint="eastAsia"/>
        </w:rPr>
        <w:t>6月</w:t>
      </w:r>
      <w:r>
        <w:rPr>
          <w:rFonts w:hint="eastAsia"/>
        </w:rPr>
        <w:t>競價結果，</w:t>
      </w:r>
      <w:r w:rsidR="001F76EA">
        <w:rPr>
          <w:rFonts w:hint="eastAsia"/>
        </w:rPr>
        <w:t>目標量上調至</w:t>
      </w:r>
      <w:r>
        <w:rPr>
          <w:rFonts w:hint="eastAsia"/>
        </w:rPr>
        <w:t>5.5GW</w:t>
      </w:r>
      <w:r w:rsidR="001F76EA">
        <w:rPr>
          <w:rFonts w:hint="eastAsia"/>
        </w:rPr>
        <w:t>，</w:t>
      </w:r>
      <w:r w:rsidR="001D7C4B" w:rsidRPr="001D7C4B">
        <w:rPr>
          <w:rFonts w:hint="eastAsia"/>
        </w:rPr>
        <w:t>遴選容量計3</w:t>
      </w:r>
      <w:r w:rsidR="001E023C">
        <w:rPr>
          <w:rFonts w:hint="eastAsia"/>
        </w:rPr>
        <w:t>,</w:t>
      </w:r>
      <w:r w:rsidR="001D7C4B" w:rsidRPr="001D7C4B">
        <w:rPr>
          <w:rFonts w:hint="eastAsia"/>
        </w:rPr>
        <w:t>836MW</w:t>
      </w:r>
      <w:r w:rsidR="003C4DE4">
        <w:rPr>
          <w:rFonts w:hint="eastAsia"/>
        </w:rPr>
        <w:t>（</w:t>
      </w:r>
      <w:r w:rsidR="001D7C4B" w:rsidRPr="001D7C4B">
        <w:rPr>
          <w:rFonts w:hint="eastAsia"/>
        </w:rPr>
        <w:t>如圖</w:t>
      </w:r>
      <w:r w:rsidR="000042EF">
        <w:t>5</w:t>
      </w:r>
      <w:r w:rsidR="003C4DE4">
        <w:rPr>
          <w:rFonts w:hint="eastAsia"/>
        </w:rPr>
        <w:t>）</w:t>
      </w:r>
      <w:r w:rsidR="001E023C">
        <w:rPr>
          <w:rFonts w:hint="eastAsia"/>
        </w:rPr>
        <w:t>，</w:t>
      </w:r>
      <w:r w:rsidR="001E023C" w:rsidRPr="001D7C4B">
        <w:rPr>
          <w:rFonts w:hint="eastAsia"/>
        </w:rPr>
        <w:t>其中</w:t>
      </w:r>
      <w:r w:rsidR="006D6E0A">
        <w:rPr>
          <w:rFonts w:hint="eastAsia"/>
        </w:rPr>
        <w:t>，</w:t>
      </w:r>
      <w:r w:rsidR="001E023C" w:rsidRPr="001D7C4B">
        <w:rPr>
          <w:rFonts w:hint="eastAsia"/>
        </w:rPr>
        <w:t>海能#5-6 378MW、</w:t>
      </w:r>
      <w:r w:rsidR="001E023C" w:rsidRPr="009B0944">
        <w:rPr>
          <w:rFonts w:hint="eastAsia"/>
        </w:rPr>
        <w:t>允能</w:t>
      </w:r>
      <w:r w:rsidR="001E023C" w:rsidRPr="009B0944">
        <w:rPr>
          <w:rFonts w:hint="eastAsia"/>
        </w:rPr>
        <w:lastRenderedPageBreak/>
        <w:t>360MW</w:t>
      </w:r>
      <w:r w:rsidR="000B0905" w:rsidRPr="009B0944">
        <w:rPr>
          <w:rStyle w:val="aff0"/>
        </w:rPr>
        <w:footnoteReference w:id="4"/>
      </w:r>
      <w:r w:rsidR="001E023C" w:rsidRPr="009B0944">
        <w:rPr>
          <w:rFonts w:hint="eastAsia"/>
        </w:rPr>
        <w:t>，</w:t>
      </w:r>
      <w:r w:rsidR="001E023C" w:rsidRPr="001D7C4B">
        <w:rPr>
          <w:rFonts w:hint="eastAsia"/>
        </w:rPr>
        <w:t>不負</w:t>
      </w:r>
      <w:r w:rsidR="00985604">
        <w:rPr>
          <w:rFonts w:hint="eastAsia"/>
        </w:rPr>
        <w:t>擔</w:t>
      </w:r>
      <w:r w:rsidR="001E023C" w:rsidRPr="001D7C4B">
        <w:rPr>
          <w:rFonts w:hint="eastAsia"/>
        </w:rPr>
        <w:t>國產化義務</w:t>
      </w:r>
      <w:r w:rsidR="001E023C">
        <w:rPr>
          <w:rFonts w:hint="eastAsia"/>
        </w:rPr>
        <w:t>，</w:t>
      </w:r>
      <w:r w:rsidR="001E023C" w:rsidRPr="001D7C4B">
        <w:rPr>
          <w:rFonts w:hint="eastAsia"/>
        </w:rPr>
        <w:t>須於109年完成，其餘則在114年之前完成</w:t>
      </w:r>
      <w:r w:rsidR="001E023C">
        <w:rPr>
          <w:rFonts w:hint="eastAsia"/>
        </w:rPr>
        <w:t>。競價結果</w:t>
      </w:r>
      <w:r w:rsidR="003C4DE4">
        <w:rPr>
          <w:rFonts w:hint="eastAsia"/>
        </w:rPr>
        <w:t>（</w:t>
      </w:r>
      <w:r w:rsidR="001E023C">
        <w:rPr>
          <w:rFonts w:hint="eastAsia"/>
        </w:rPr>
        <w:t>如圖</w:t>
      </w:r>
      <w:r w:rsidR="00201E0D">
        <w:t>6</w:t>
      </w:r>
      <w:r w:rsidR="003C4DE4">
        <w:rPr>
          <w:rFonts w:hint="eastAsia"/>
        </w:rPr>
        <w:t>）</w:t>
      </w:r>
      <w:r w:rsidR="001E023C">
        <w:rPr>
          <w:rFonts w:hint="eastAsia"/>
        </w:rPr>
        <w:t>，</w:t>
      </w:r>
      <w:r w:rsidR="001E023C" w:rsidRPr="001E023C">
        <w:rPr>
          <w:rFonts w:hint="eastAsia"/>
        </w:rPr>
        <w:t>共計2家開發商(4個離岸風場)獲選，總計容量達1,664 MW</w:t>
      </w:r>
      <w:r w:rsidR="001E023C">
        <w:rPr>
          <w:rFonts w:hint="eastAsia"/>
        </w:rPr>
        <w:t>。</w:t>
      </w:r>
      <w:r w:rsidR="001E023C" w:rsidRPr="001E023C">
        <w:rPr>
          <w:rFonts w:hint="eastAsia"/>
        </w:rPr>
        <w:t>114年完工併聯容量1,664MW，獲選競價價格為新臺幣2.2245~2.5481元/度</w:t>
      </w:r>
      <w:r w:rsidR="001D7C4B" w:rsidRPr="001D7C4B">
        <w:rPr>
          <w:rFonts w:hint="eastAsia"/>
        </w:rPr>
        <w:t>。</w:t>
      </w:r>
    </w:p>
    <w:p w:rsidR="00271B72" w:rsidRDefault="00271B72" w:rsidP="00271B72">
      <w:pPr>
        <w:pStyle w:val="3"/>
        <w:numPr>
          <w:ilvl w:val="0"/>
          <w:numId w:val="0"/>
        </w:numPr>
        <w:ind w:left="1276"/>
      </w:pPr>
    </w:p>
    <w:p w:rsidR="00271B72" w:rsidRDefault="00271B72" w:rsidP="00271B72">
      <w:pPr>
        <w:pStyle w:val="3"/>
        <w:numPr>
          <w:ilvl w:val="0"/>
          <w:numId w:val="0"/>
        </w:numPr>
        <w:ind w:left="1276"/>
      </w:pPr>
    </w:p>
    <w:p w:rsidR="0084548B" w:rsidRDefault="0084548B" w:rsidP="00002178">
      <w:pPr>
        <w:ind w:left="1361" w:hangingChars="400" w:hanging="1361"/>
      </w:pPr>
      <w:r>
        <w:rPr>
          <w:rFonts w:hint="eastAsia"/>
          <w:noProof/>
        </w:rPr>
        <w:drawing>
          <wp:inline distT="0" distB="0" distL="0" distR="0" wp14:anchorId="3A35AB7E" wp14:editId="3800D37F">
            <wp:extent cx="5958840" cy="3916680"/>
            <wp:effectExtent l="0" t="0" r="3810" b="762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40C454.tmp"/>
                    <pic:cNvPicPr/>
                  </pic:nvPicPr>
                  <pic:blipFill>
                    <a:blip r:embed="rId23">
                      <a:extLst>
                        <a:ext uri="{28A0092B-C50C-407E-A947-70E740481C1C}">
                          <a14:useLocalDpi xmlns:a14="http://schemas.microsoft.com/office/drawing/2010/main" val="0"/>
                        </a:ext>
                      </a:extLst>
                    </a:blip>
                    <a:stretch>
                      <a:fillRect/>
                    </a:stretch>
                  </pic:blipFill>
                  <pic:spPr>
                    <a:xfrm>
                      <a:off x="0" y="0"/>
                      <a:ext cx="5956083" cy="3914868"/>
                    </a:xfrm>
                    <a:prstGeom prst="rect">
                      <a:avLst/>
                    </a:prstGeom>
                  </pic:spPr>
                </pic:pic>
              </a:graphicData>
            </a:graphic>
          </wp:inline>
        </w:drawing>
      </w:r>
    </w:p>
    <w:p w:rsidR="001F76EA" w:rsidRPr="003C4DE4" w:rsidRDefault="001F76EA" w:rsidP="002C2BF1">
      <w:pPr>
        <w:pStyle w:val="af6"/>
        <w:numPr>
          <w:ilvl w:val="0"/>
          <w:numId w:val="4"/>
        </w:numPr>
        <w:ind w:left="697" w:hanging="697"/>
        <w:rPr>
          <w:b/>
        </w:rPr>
      </w:pPr>
      <w:bookmarkStart w:id="72" w:name="_Toc22216434"/>
      <w:r w:rsidRPr="003C4DE4">
        <w:rPr>
          <w:rFonts w:hint="eastAsia"/>
          <w:b/>
        </w:rPr>
        <w:t>風力發電目標裝置容量</w:t>
      </w:r>
      <w:bookmarkEnd w:id="72"/>
    </w:p>
    <w:p w:rsidR="00110E4B" w:rsidRDefault="00110E4B" w:rsidP="00002178">
      <w:pPr>
        <w:ind w:left="1361" w:hangingChars="523" w:hanging="1361"/>
        <w:rPr>
          <w:sz w:val="24"/>
          <w:szCs w:val="24"/>
        </w:rPr>
      </w:pPr>
      <w:bookmarkStart w:id="73" w:name="_Toc16080830"/>
      <w:r w:rsidRPr="003C5EFA">
        <w:rPr>
          <w:rFonts w:hint="eastAsia"/>
          <w:sz w:val="24"/>
          <w:szCs w:val="24"/>
        </w:rPr>
        <w:t>資料來源：經濟部。</w:t>
      </w:r>
      <w:bookmarkEnd w:id="73"/>
    </w:p>
    <w:p w:rsidR="00002178" w:rsidRDefault="00002178" w:rsidP="00002178">
      <w:pPr>
        <w:ind w:left="1361" w:hangingChars="523" w:hanging="1361"/>
        <w:rPr>
          <w:sz w:val="24"/>
          <w:szCs w:val="24"/>
        </w:rPr>
      </w:pPr>
    </w:p>
    <w:p w:rsidR="00002178" w:rsidRDefault="00002178" w:rsidP="00002178">
      <w:pPr>
        <w:ind w:left="1361" w:hangingChars="523" w:hanging="1361"/>
        <w:rPr>
          <w:sz w:val="24"/>
          <w:szCs w:val="24"/>
        </w:rPr>
      </w:pPr>
    </w:p>
    <w:p w:rsidR="00002178" w:rsidRDefault="00002178" w:rsidP="00002178">
      <w:pPr>
        <w:ind w:left="1361" w:hangingChars="523" w:hanging="1361"/>
        <w:rPr>
          <w:sz w:val="24"/>
          <w:szCs w:val="24"/>
        </w:rPr>
      </w:pPr>
    </w:p>
    <w:p w:rsidR="00002178" w:rsidRDefault="00002178" w:rsidP="00002178">
      <w:pPr>
        <w:ind w:left="1361" w:hangingChars="523" w:hanging="1361"/>
        <w:rPr>
          <w:sz w:val="24"/>
          <w:szCs w:val="24"/>
        </w:rPr>
      </w:pPr>
    </w:p>
    <w:p w:rsidR="00002178" w:rsidRDefault="00002178" w:rsidP="00002178">
      <w:pPr>
        <w:ind w:left="1361" w:hangingChars="523" w:hanging="1361"/>
        <w:rPr>
          <w:sz w:val="24"/>
          <w:szCs w:val="24"/>
        </w:rPr>
      </w:pPr>
    </w:p>
    <w:p w:rsidR="00002178" w:rsidRDefault="00002178" w:rsidP="00002178">
      <w:pPr>
        <w:ind w:left="1361" w:hangingChars="523" w:hanging="1361"/>
        <w:rPr>
          <w:sz w:val="24"/>
          <w:szCs w:val="24"/>
        </w:rPr>
      </w:pPr>
    </w:p>
    <w:p w:rsidR="00002178" w:rsidRDefault="00002178" w:rsidP="00002178">
      <w:pPr>
        <w:ind w:left="1361" w:hangingChars="523" w:hanging="1361"/>
        <w:rPr>
          <w:sz w:val="24"/>
          <w:szCs w:val="24"/>
        </w:rPr>
      </w:pPr>
    </w:p>
    <w:p w:rsidR="001D7C4B" w:rsidRDefault="00975E10" w:rsidP="00002178">
      <w:pPr>
        <w:ind w:leftChars="-249" w:left="1364" w:hangingChars="650" w:hanging="2211"/>
      </w:pPr>
      <w:r>
        <w:rPr>
          <w:rFonts w:hint="eastAsia"/>
          <w:noProof/>
        </w:rPr>
        <w:drawing>
          <wp:inline distT="0" distB="0" distL="0" distR="0" wp14:anchorId="12BE76FF" wp14:editId="2FE7CF88">
            <wp:extent cx="6684817" cy="6345382"/>
            <wp:effectExtent l="0" t="0" r="1905"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40A008.tmp"/>
                    <pic:cNvPicPr/>
                  </pic:nvPicPr>
                  <pic:blipFill>
                    <a:blip r:embed="rId24">
                      <a:extLst>
                        <a:ext uri="{28A0092B-C50C-407E-A947-70E740481C1C}">
                          <a14:useLocalDpi xmlns:a14="http://schemas.microsoft.com/office/drawing/2010/main" val="0"/>
                        </a:ext>
                      </a:extLst>
                    </a:blip>
                    <a:stretch>
                      <a:fillRect/>
                    </a:stretch>
                  </pic:blipFill>
                  <pic:spPr>
                    <a:xfrm>
                      <a:off x="0" y="0"/>
                      <a:ext cx="6687267" cy="6347708"/>
                    </a:xfrm>
                    <a:prstGeom prst="rect">
                      <a:avLst/>
                    </a:prstGeom>
                  </pic:spPr>
                </pic:pic>
              </a:graphicData>
            </a:graphic>
          </wp:inline>
        </w:drawing>
      </w:r>
    </w:p>
    <w:p w:rsidR="00975E10" w:rsidRPr="003C4DE4" w:rsidRDefault="00975E10" w:rsidP="002C2BF1">
      <w:pPr>
        <w:pStyle w:val="af6"/>
        <w:numPr>
          <w:ilvl w:val="0"/>
          <w:numId w:val="4"/>
        </w:numPr>
        <w:ind w:left="697" w:hanging="697"/>
        <w:rPr>
          <w:b/>
        </w:rPr>
      </w:pPr>
      <w:bookmarkStart w:id="74" w:name="_Toc22216435"/>
      <w:r w:rsidRPr="003C4DE4">
        <w:rPr>
          <w:rFonts w:hint="eastAsia"/>
          <w:b/>
        </w:rPr>
        <w:t>離岸風電遴選結果</w:t>
      </w:r>
      <w:bookmarkEnd w:id="74"/>
    </w:p>
    <w:p w:rsidR="00150B27" w:rsidRPr="009B0944" w:rsidRDefault="00150B27" w:rsidP="00002178">
      <w:pPr>
        <w:ind w:leftChars="-250" w:left="1361" w:hangingChars="850" w:hanging="2211"/>
      </w:pPr>
      <w:r w:rsidRPr="009B0944">
        <w:rPr>
          <w:rFonts w:hint="eastAsia"/>
          <w:sz w:val="24"/>
          <w:szCs w:val="24"/>
        </w:rPr>
        <w:t>資料來源：經濟部</w:t>
      </w:r>
      <w:r w:rsidR="00E01C87">
        <w:rPr>
          <w:rFonts w:hint="eastAsia"/>
          <w:sz w:val="24"/>
          <w:szCs w:val="24"/>
        </w:rPr>
        <w:t>能源局</w:t>
      </w:r>
      <w:r w:rsidRPr="009B0944">
        <w:rPr>
          <w:rFonts w:hint="eastAsia"/>
          <w:sz w:val="24"/>
          <w:szCs w:val="24"/>
        </w:rPr>
        <w:t>。</w:t>
      </w:r>
    </w:p>
    <w:p w:rsidR="001E023C" w:rsidRDefault="001E023C" w:rsidP="00975E10">
      <w:pPr>
        <w:ind w:leftChars="400" w:left="1361"/>
      </w:pPr>
      <w:r>
        <w:rPr>
          <w:rFonts w:hint="eastAsia"/>
          <w:noProof/>
        </w:rPr>
        <w:lastRenderedPageBreak/>
        <w:drawing>
          <wp:inline distT="0" distB="0" distL="0" distR="0" wp14:anchorId="6B116567" wp14:editId="156C07D2">
            <wp:extent cx="4885301" cy="4857130"/>
            <wp:effectExtent l="0" t="0" r="0" b="635"/>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405708.tmp"/>
                    <pic:cNvPicPr/>
                  </pic:nvPicPr>
                  <pic:blipFill>
                    <a:blip r:embed="rId25">
                      <a:extLst>
                        <a:ext uri="{28A0092B-C50C-407E-A947-70E740481C1C}">
                          <a14:useLocalDpi xmlns:a14="http://schemas.microsoft.com/office/drawing/2010/main" val="0"/>
                        </a:ext>
                      </a:extLst>
                    </a:blip>
                    <a:stretch>
                      <a:fillRect/>
                    </a:stretch>
                  </pic:blipFill>
                  <pic:spPr>
                    <a:xfrm>
                      <a:off x="0" y="0"/>
                      <a:ext cx="4887512" cy="4859328"/>
                    </a:xfrm>
                    <a:prstGeom prst="rect">
                      <a:avLst/>
                    </a:prstGeom>
                  </pic:spPr>
                </pic:pic>
              </a:graphicData>
            </a:graphic>
          </wp:inline>
        </w:drawing>
      </w:r>
    </w:p>
    <w:p w:rsidR="001E023C" w:rsidRPr="003C4DE4" w:rsidRDefault="001E023C" w:rsidP="002C2BF1">
      <w:pPr>
        <w:pStyle w:val="af6"/>
        <w:numPr>
          <w:ilvl w:val="0"/>
          <w:numId w:val="4"/>
        </w:numPr>
        <w:ind w:left="697" w:hanging="697"/>
        <w:rPr>
          <w:b/>
        </w:rPr>
      </w:pPr>
      <w:bookmarkStart w:id="75" w:name="_Toc22216436"/>
      <w:r w:rsidRPr="003C4DE4">
        <w:rPr>
          <w:rFonts w:hint="eastAsia"/>
          <w:b/>
        </w:rPr>
        <w:t>離岸風電競價結果</w:t>
      </w:r>
      <w:bookmarkEnd w:id="75"/>
    </w:p>
    <w:p w:rsidR="00F25704" w:rsidRDefault="00F25704" w:rsidP="001D6D67">
      <w:pPr>
        <w:ind w:leftChars="400" w:left="1361"/>
        <w:rPr>
          <w:sz w:val="24"/>
          <w:szCs w:val="24"/>
        </w:rPr>
      </w:pPr>
      <w:bookmarkStart w:id="76" w:name="_Toc16080833"/>
      <w:r w:rsidRPr="003C5EFA">
        <w:rPr>
          <w:rFonts w:hint="eastAsia"/>
          <w:sz w:val="24"/>
          <w:szCs w:val="24"/>
        </w:rPr>
        <w:t>資料來源：</w:t>
      </w:r>
      <w:r w:rsidR="003C4DE4">
        <w:rPr>
          <w:rFonts w:hint="eastAsia"/>
          <w:sz w:val="24"/>
          <w:szCs w:val="24"/>
        </w:rPr>
        <w:t>經濟部</w:t>
      </w:r>
      <w:r w:rsidR="003C5EFA" w:rsidRPr="003C5EFA">
        <w:rPr>
          <w:rFonts w:hint="eastAsia"/>
          <w:sz w:val="24"/>
          <w:szCs w:val="24"/>
        </w:rPr>
        <w:t>能源局</w:t>
      </w:r>
      <w:r w:rsidRPr="003C5EFA">
        <w:rPr>
          <w:rFonts w:hint="eastAsia"/>
          <w:sz w:val="24"/>
          <w:szCs w:val="24"/>
        </w:rPr>
        <w:t>。</w:t>
      </w:r>
      <w:bookmarkEnd w:id="76"/>
    </w:p>
    <w:p w:rsidR="003C5EFA" w:rsidRPr="003C5EFA" w:rsidRDefault="003C5EFA" w:rsidP="003C5EFA">
      <w:pPr>
        <w:pStyle w:val="af6"/>
        <w:ind w:left="697" w:firstLineChars="300" w:firstLine="840"/>
        <w:jc w:val="both"/>
      </w:pPr>
    </w:p>
    <w:p w:rsidR="009438A0" w:rsidRDefault="005B2832" w:rsidP="00797882">
      <w:pPr>
        <w:pStyle w:val="3"/>
        <w:ind w:left="1276" w:rightChars="-79" w:right="-269"/>
      </w:pPr>
      <w:r>
        <w:rPr>
          <w:rFonts w:hint="eastAsia"/>
        </w:rPr>
        <w:t>惟查</w:t>
      </w:r>
      <w:r w:rsidR="009438A0" w:rsidRPr="009438A0">
        <w:rPr>
          <w:rFonts w:hint="eastAsia"/>
        </w:rPr>
        <w:t>上緯新能源是上緯投控全資子公司，現有</w:t>
      </w:r>
      <w:r w:rsidR="009438A0">
        <w:rPr>
          <w:rFonts w:hint="eastAsia"/>
        </w:rPr>
        <w:t>3</w:t>
      </w:r>
      <w:r w:rsidR="009438A0" w:rsidRPr="009438A0">
        <w:rPr>
          <w:rFonts w:hint="eastAsia"/>
        </w:rPr>
        <w:t>座風場</w:t>
      </w:r>
      <w:r w:rsidR="001277FA">
        <w:rPr>
          <w:rFonts w:hint="eastAsia"/>
        </w:rPr>
        <w:t>，如表</w:t>
      </w:r>
      <w:r w:rsidR="00201E0D">
        <w:t>9</w:t>
      </w:r>
      <w:r w:rsidR="009438A0" w:rsidRPr="009438A0">
        <w:rPr>
          <w:rFonts w:hint="eastAsia"/>
        </w:rPr>
        <w:t>。</w:t>
      </w:r>
      <w:r w:rsidR="009438A0" w:rsidRPr="0069492E">
        <w:rPr>
          <w:rFonts w:hint="eastAsia"/>
          <w:b/>
        </w:rPr>
        <w:t>海洋風電</w:t>
      </w:r>
      <w:r w:rsidR="009438A0" w:rsidRPr="009438A0">
        <w:rPr>
          <w:rFonts w:hint="eastAsia"/>
        </w:rPr>
        <w:t>（Formosa I）總裝置容量為128MW，</w:t>
      </w:r>
      <w:r w:rsidR="001277FA" w:rsidRPr="001277FA">
        <w:rPr>
          <w:rFonts w:hint="eastAsia"/>
        </w:rPr>
        <w:t>位於苗栗竹南地區的海洋風場，自</w:t>
      </w:r>
      <w:r w:rsidR="001277FA">
        <w:rPr>
          <w:rFonts w:hint="eastAsia"/>
        </w:rPr>
        <w:t>102</w:t>
      </w:r>
      <w:r w:rsidR="001277FA" w:rsidRPr="001277FA">
        <w:rPr>
          <w:rFonts w:hint="eastAsia"/>
        </w:rPr>
        <w:t>年取得我國首座離岸風場示範案，上緯與澳洲能源商麥格理資本（Macquarie Capital）及全球離岸風電龍頭沃旭能源（</w:t>
      </w:r>
      <w:r w:rsidR="001277FA" w:rsidRPr="001277FA">
        <w:rPr>
          <w:rFonts w:hint="eastAsia"/>
        </w:rPr>
        <w:t>Ø</w:t>
      </w:r>
      <w:r w:rsidR="001277FA" w:rsidRPr="001277FA">
        <w:rPr>
          <w:rFonts w:hint="eastAsia"/>
        </w:rPr>
        <w:t>rsted）已於</w:t>
      </w:r>
      <w:r w:rsidR="001277FA">
        <w:rPr>
          <w:rFonts w:hint="eastAsia"/>
        </w:rPr>
        <w:t>106</w:t>
      </w:r>
      <w:r w:rsidR="001277FA" w:rsidRPr="001277FA">
        <w:rPr>
          <w:rFonts w:hint="eastAsia"/>
        </w:rPr>
        <w:t>年簽署合作協議，</w:t>
      </w:r>
      <w:r w:rsidR="001277FA">
        <w:rPr>
          <w:rFonts w:hint="eastAsia"/>
        </w:rPr>
        <w:t>107</w:t>
      </w:r>
      <w:r w:rsidR="001277FA" w:rsidRPr="001277FA">
        <w:rPr>
          <w:rFonts w:hint="eastAsia"/>
        </w:rPr>
        <w:t>年底日本電力公司（JERA）加入投資。上緯新能源負責統領海洋風電的開發與運維管理，沃旭能源提供風場開發的顧問諮詢，麥格理資本提供財務管理顧問與融資服務，</w:t>
      </w:r>
      <w:r w:rsidR="001277FA" w:rsidRPr="001277FA">
        <w:rPr>
          <w:rFonts w:hint="eastAsia"/>
        </w:rPr>
        <w:lastRenderedPageBreak/>
        <w:t>海洋風電過去已完成許多重要里程碑，</w:t>
      </w:r>
      <w:r w:rsidR="001277FA">
        <w:rPr>
          <w:rFonts w:hint="eastAsia"/>
        </w:rPr>
        <w:t>107</w:t>
      </w:r>
      <w:r w:rsidR="001277FA" w:rsidRPr="001277FA">
        <w:rPr>
          <w:rFonts w:hint="eastAsia"/>
        </w:rPr>
        <w:t>年執行海洋風場第一階段兩部示範風機</w:t>
      </w:r>
      <w:r w:rsidR="001277FA">
        <w:rPr>
          <w:rFonts w:hint="eastAsia"/>
        </w:rPr>
        <w:t>（8MW）</w:t>
      </w:r>
      <w:r w:rsidR="001277FA" w:rsidRPr="001277FA">
        <w:rPr>
          <w:rFonts w:hint="eastAsia"/>
        </w:rPr>
        <w:t>之運維以確保穩定供電，且完成第二階段風場環境影響評估審查、籌設許可以及取得施工許可，並由DNV-GL完成專案驗證，代表風電工程設計符合國際規範且具備國際規範所訂定之工程品質，後續將依照經驗證之工程設計文件進行元件製造與施工。並預計於</w:t>
      </w:r>
      <w:r w:rsidR="001277FA">
        <w:rPr>
          <w:rFonts w:hint="eastAsia"/>
        </w:rPr>
        <w:t>108年完成海洋風場施工作業與台電</w:t>
      </w:r>
      <w:r w:rsidR="00F41282">
        <w:rPr>
          <w:rFonts w:hint="eastAsia"/>
        </w:rPr>
        <w:t>公司</w:t>
      </w:r>
      <w:r w:rsidR="001277FA">
        <w:rPr>
          <w:rFonts w:hint="eastAsia"/>
        </w:rPr>
        <w:t>併聯供電</w:t>
      </w:r>
      <w:r w:rsidR="009438A0" w:rsidRPr="009438A0">
        <w:rPr>
          <w:rFonts w:hint="eastAsia"/>
        </w:rPr>
        <w:t>；</w:t>
      </w:r>
      <w:r w:rsidR="009438A0" w:rsidRPr="0069492E">
        <w:rPr>
          <w:rFonts w:hint="eastAsia"/>
          <w:b/>
        </w:rPr>
        <w:t>海能風電</w:t>
      </w:r>
      <w:r w:rsidR="009438A0" w:rsidRPr="009438A0">
        <w:rPr>
          <w:rFonts w:hint="eastAsia"/>
        </w:rPr>
        <w:t xml:space="preserve">（Formosa </w:t>
      </w:r>
      <w:r w:rsidRPr="0069492E">
        <w:rPr>
          <w:rFonts w:ascii="新細明體" w:eastAsia="新細明體" w:hAnsi="新細明體" w:hint="eastAsia"/>
        </w:rPr>
        <w:t>Ⅱ</w:t>
      </w:r>
      <w:r w:rsidR="009438A0" w:rsidRPr="009438A0">
        <w:rPr>
          <w:rFonts w:hint="eastAsia"/>
        </w:rPr>
        <w:t>），總裝置容量為</w:t>
      </w:r>
      <w:r w:rsidR="009438A0" w:rsidRPr="00E01C87">
        <w:rPr>
          <w:rFonts w:hint="eastAsia"/>
        </w:rPr>
        <w:t>378MW，</w:t>
      </w:r>
      <w:r w:rsidR="009438A0" w:rsidRPr="009438A0">
        <w:rPr>
          <w:rFonts w:hint="eastAsia"/>
        </w:rPr>
        <w:t>預計</w:t>
      </w:r>
      <w:r w:rsidR="009438A0">
        <w:rPr>
          <w:rFonts w:hint="eastAsia"/>
        </w:rPr>
        <w:t>109</w:t>
      </w:r>
      <w:r w:rsidR="009438A0" w:rsidRPr="009438A0">
        <w:rPr>
          <w:rFonts w:hint="eastAsia"/>
        </w:rPr>
        <w:t>年完工</w:t>
      </w:r>
      <w:r w:rsidR="009438A0">
        <w:rPr>
          <w:rFonts w:hint="eastAsia"/>
        </w:rPr>
        <w:t>。</w:t>
      </w:r>
      <w:r w:rsidR="009438A0" w:rsidRPr="00254358">
        <w:rPr>
          <w:rFonts w:hint="eastAsia"/>
          <w:b/>
        </w:rPr>
        <w:t>海鼎風電</w:t>
      </w:r>
      <w:r w:rsidR="009438A0" w:rsidRPr="009438A0">
        <w:rPr>
          <w:rFonts w:hint="eastAsia"/>
        </w:rPr>
        <w:t xml:space="preserve">（Formosa </w:t>
      </w:r>
      <w:r w:rsidRPr="0069492E">
        <w:rPr>
          <w:rFonts w:ascii="新細明體" w:eastAsia="新細明體" w:hAnsi="新細明體" w:hint="eastAsia"/>
        </w:rPr>
        <w:t>Ⅲ</w:t>
      </w:r>
      <w:r w:rsidR="009438A0" w:rsidRPr="009438A0">
        <w:rPr>
          <w:rFonts w:hint="eastAsia"/>
        </w:rPr>
        <w:t>），裝置容量約為</w:t>
      </w:r>
      <w:r w:rsidR="003531FF">
        <w:rPr>
          <w:rFonts w:hint="eastAsia"/>
        </w:rPr>
        <w:t>500~600</w:t>
      </w:r>
      <w:r w:rsidR="009438A0" w:rsidRPr="009438A0">
        <w:rPr>
          <w:rFonts w:hint="eastAsia"/>
        </w:rPr>
        <w:t>MW</w:t>
      </w:r>
      <w:r w:rsidR="001277FA">
        <w:rPr>
          <w:rFonts w:hint="eastAsia"/>
        </w:rPr>
        <w:t>，未獲遴選</w:t>
      </w:r>
      <w:r w:rsidR="009438A0">
        <w:rPr>
          <w:rFonts w:hint="eastAsia"/>
        </w:rPr>
        <w:t>。惟</w:t>
      </w:r>
      <w:r w:rsidR="009438A0" w:rsidRPr="009438A0">
        <w:rPr>
          <w:rFonts w:hint="eastAsia"/>
        </w:rPr>
        <w:t>上緯</w:t>
      </w:r>
      <w:r w:rsidR="00F1612C">
        <w:rPr>
          <w:rFonts w:hint="eastAsia"/>
        </w:rPr>
        <w:t>國際</w:t>
      </w:r>
      <w:r w:rsidR="009438A0" w:rsidRPr="009438A0">
        <w:rPr>
          <w:rFonts w:hint="eastAsia"/>
        </w:rPr>
        <w:t>投</w:t>
      </w:r>
      <w:r w:rsidR="00F1612C">
        <w:rPr>
          <w:rFonts w:hint="eastAsia"/>
        </w:rPr>
        <w:t>資</w:t>
      </w:r>
      <w:r w:rsidR="009438A0" w:rsidRPr="009438A0">
        <w:rPr>
          <w:rFonts w:hint="eastAsia"/>
        </w:rPr>
        <w:t>控</w:t>
      </w:r>
      <w:r w:rsidR="00F1612C">
        <w:rPr>
          <w:rFonts w:hint="eastAsia"/>
        </w:rPr>
        <w:t>股股份有限公司</w:t>
      </w:r>
      <w:r w:rsidR="009438A0">
        <w:rPr>
          <w:rFonts w:hint="eastAsia"/>
        </w:rPr>
        <w:t>於108年6月21日</w:t>
      </w:r>
      <w:r w:rsidR="009438A0" w:rsidRPr="009438A0">
        <w:rPr>
          <w:rFonts w:hint="eastAsia"/>
        </w:rPr>
        <w:t>宣布</w:t>
      </w:r>
      <w:r w:rsidR="00F1612C">
        <w:rPr>
          <w:rFonts w:hint="eastAsia"/>
        </w:rPr>
        <w:t>處分上緯新能源股份有限公司(含其轉投資公司)100%股權案</w:t>
      </w:r>
      <w:r w:rsidR="00F1612C">
        <w:rPr>
          <w:rStyle w:val="aff0"/>
        </w:rPr>
        <w:footnoteReference w:id="5"/>
      </w:r>
      <w:r w:rsidR="008565F8">
        <w:rPr>
          <w:rFonts w:hint="eastAsia"/>
        </w:rPr>
        <w:t>。實際上，</w:t>
      </w:r>
      <w:r w:rsidR="0069492E">
        <w:rPr>
          <w:rFonts w:hint="eastAsia"/>
        </w:rPr>
        <w:t>上緯投控(3708)於同年7月31日與Stonepeak簽約，出售95%上緯新能源股份有限公司(以下簡稱上緯新能源)股權</w:t>
      </w:r>
      <w:r w:rsidR="00BE24A8">
        <w:rPr>
          <w:rStyle w:val="aff0"/>
        </w:rPr>
        <w:footnoteReference w:id="6"/>
      </w:r>
      <w:r w:rsidR="0069492E">
        <w:rPr>
          <w:rFonts w:hint="eastAsia"/>
        </w:rPr>
        <w:t>。上緯新能源內含其子公司海能風力發電(以下簡稱海能風電)25%股權。上緯投控將保留上緯新能源5%股權與1席董事，以利台灣本土離岸風電開發及建置經驗傳承。</w:t>
      </w:r>
      <w:r w:rsidR="00F1612C">
        <w:rPr>
          <w:rFonts w:hint="eastAsia"/>
        </w:rPr>
        <w:t>對此，</w:t>
      </w:r>
      <w:r w:rsidR="004617B9">
        <w:rPr>
          <w:rFonts w:hint="eastAsia"/>
        </w:rPr>
        <w:t>108年9月19日</w:t>
      </w:r>
      <w:r w:rsidR="003531FF">
        <w:rPr>
          <w:rFonts w:hint="eastAsia"/>
        </w:rPr>
        <w:t>詢據</w:t>
      </w:r>
      <w:r w:rsidR="00F1612C">
        <w:rPr>
          <w:rFonts w:hint="eastAsia"/>
        </w:rPr>
        <w:t>經濟部</w:t>
      </w:r>
      <w:r w:rsidR="004617B9">
        <w:rPr>
          <w:rFonts w:hint="eastAsia"/>
        </w:rPr>
        <w:t>稱：</w:t>
      </w:r>
      <w:r w:rsidR="003531FF">
        <w:rPr>
          <w:rFonts w:hint="eastAsia"/>
        </w:rPr>
        <w:t>「業者若釋股後其原發起人及風場專案公司仍應依與本部簽訂之行政契約，負責完成風場建置連帶責任。」等語</w:t>
      </w:r>
      <w:r w:rsidR="001277FA">
        <w:rPr>
          <w:rFonts w:hint="eastAsia"/>
        </w:rPr>
        <w:t>。</w:t>
      </w:r>
      <w:r w:rsidR="003531FF">
        <w:rPr>
          <w:rFonts w:hint="eastAsia"/>
        </w:rPr>
        <w:t>然</w:t>
      </w:r>
      <w:r w:rsidR="001277FA">
        <w:rPr>
          <w:rFonts w:hint="eastAsia"/>
        </w:rPr>
        <w:t>國產化w-team領頭羊之中鋼公司也卸下台灣風力發電產業協會理事長</w:t>
      </w:r>
      <w:r w:rsidR="003531FF">
        <w:rPr>
          <w:rFonts w:hint="eastAsia"/>
        </w:rPr>
        <w:t>，經濟部不宜輕忽</w:t>
      </w:r>
      <w:r w:rsidR="001277FA">
        <w:rPr>
          <w:rFonts w:hint="eastAsia"/>
        </w:rPr>
        <w:t>。</w:t>
      </w:r>
      <w:r w:rsidR="00797882">
        <w:rPr>
          <w:rFonts w:hint="eastAsia"/>
        </w:rPr>
        <w:t>又，國家隊成員之一的台電公司迄今風場相關標案，招標3次均無人投標。突顯本身在缺乏離岸風電技術能力下，落實真正國產化目標之困境。</w:t>
      </w:r>
    </w:p>
    <w:p w:rsidR="001277FA" w:rsidRPr="003C4DE4" w:rsidRDefault="001277FA" w:rsidP="00287824">
      <w:pPr>
        <w:pStyle w:val="a2"/>
        <w:ind w:firstLine="371"/>
        <w:jc w:val="center"/>
        <w:rPr>
          <w:b/>
        </w:rPr>
      </w:pPr>
      <w:bookmarkStart w:id="77" w:name="_Toc22216352"/>
      <w:r>
        <w:rPr>
          <w:rFonts w:hint="eastAsia"/>
          <w:b/>
        </w:rPr>
        <w:lastRenderedPageBreak/>
        <w:t>上緯控股海洋</w:t>
      </w:r>
      <w:r w:rsidR="0069492E">
        <w:rPr>
          <w:rFonts w:hint="eastAsia"/>
          <w:b/>
        </w:rPr>
        <w:t>風電</w:t>
      </w:r>
      <w:r>
        <w:rPr>
          <w:rFonts w:hint="eastAsia"/>
          <w:b/>
        </w:rPr>
        <w:t>、海能</w:t>
      </w:r>
      <w:r w:rsidR="0069492E">
        <w:rPr>
          <w:rFonts w:hint="eastAsia"/>
          <w:b/>
        </w:rPr>
        <w:t>風電</w:t>
      </w:r>
      <w:r>
        <w:rPr>
          <w:rFonts w:hint="eastAsia"/>
          <w:b/>
        </w:rPr>
        <w:t>、海</w:t>
      </w:r>
      <w:r w:rsidR="0069492E">
        <w:rPr>
          <w:rFonts w:hint="eastAsia"/>
          <w:b/>
        </w:rPr>
        <w:t>鼎</w:t>
      </w:r>
      <w:r>
        <w:rPr>
          <w:rFonts w:hint="eastAsia"/>
          <w:b/>
        </w:rPr>
        <w:t>風電規劃表</w:t>
      </w:r>
      <w:bookmarkEnd w:id="77"/>
    </w:p>
    <w:p w:rsidR="001277FA" w:rsidRDefault="00841DC9" w:rsidP="009438A0">
      <w:pPr>
        <w:ind w:leftChars="400" w:left="1361"/>
      </w:pPr>
      <w:r>
        <w:rPr>
          <w:noProof/>
        </w:rPr>
        <mc:AlternateContent>
          <mc:Choice Requires="wps">
            <w:drawing>
              <wp:anchor distT="0" distB="0" distL="114300" distR="114300" simplePos="0" relativeHeight="251682816" behindDoc="0" locked="0" layoutInCell="1" allowOverlap="1" wp14:anchorId="762F4778" wp14:editId="0ED5BB43">
                <wp:simplePos x="0" y="0"/>
                <wp:positionH relativeFrom="column">
                  <wp:posOffset>863893</wp:posOffset>
                </wp:positionH>
                <wp:positionV relativeFrom="paragraph">
                  <wp:posOffset>2239400</wp:posOffset>
                </wp:positionV>
                <wp:extent cx="3253105" cy="334107"/>
                <wp:effectExtent l="0" t="0" r="4445" b="8890"/>
                <wp:wrapNone/>
                <wp:docPr id="270" name="文字方塊 270"/>
                <wp:cNvGraphicFramePr/>
                <a:graphic xmlns:a="http://schemas.openxmlformats.org/drawingml/2006/main">
                  <a:graphicData uri="http://schemas.microsoft.com/office/word/2010/wordprocessingShape">
                    <wps:wsp>
                      <wps:cNvSpPr txBox="1"/>
                      <wps:spPr>
                        <a:xfrm>
                          <a:off x="0" y="0"/>
                          <a:ext cx="3253105" cy="33410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47ABD" w:rsidRPr="00841DC9" w:rsidRDefault="00747ABD" w:rsidP="00841DC9">
                            <w:pPr>
                              <w:ind w:leftChars="-41" w:left="3" w:hangingChars="59" w:hanging="142"/>
                              <w:rPr>
                                <w:sz w:val="22"/>
                                <w:szCs w:val="22"/>
                              </w:rPr>
                            </w:pPr>
                            <w:r w:rsidRPr="00841DC9">
                              <w:rPr>
                                <w:rFonts w:hint="eastAsia"/>
                                <w:sz w:val="22"/>
                                <w:szCs w:val="22"/>
                              </w:rPr>
                              <w:t xml:space="preserve">資料來源：上緯公司網站資料。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2F4778" id="文字方塊 270" o:spid="_x0000_s1027" type="#_x0000_t202" style="position:absolute;left:0;text-align:left;margin-left:68pt;margin-top:176.35pt;width:256.15pt;height:26.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" fillcolor="white [3201]" stroked="f" strokeweight=".5pt">
                <v:textbox>
                  <w:txbxContent>
                    <w:p w:rsidR="00747ABD" w:rsidRPr="00841DC9" w:rsidRDefault="00747ABD" w:rsidP="00841DC9">
                      <w:pPr>
                        <w:ind w:leftChars="-41" w:left="3" w:hangingChars="59" w:hanging="142"/>
                        <w:rPr>
                          <w:sz w:val="22"/>
                          <w:szCs w:val="22"/>
                        </w:rPr>
                      </w:pPr>
                      <w:r w:rsidRPr="00841DC9">
                        <w:rPr>
                          <w:rFonts w:hint="eastAsia"/>
                          <w:sz w:val="22"/>
                          <w:szCs w:val="22"/>
                        </w:rPr>
                        <w:t xml:space="preserve">資料來源：上緯公司網站資料。 </w:t>
                      </w:r>
                    </w:p>
                  </w:txbxContent>
                </v:textbox>
              </v:shape>
            </w:pict>
          </mc:Fallback>
        </mc:AlternateContent>
      </w:r>
      <w:r w:rsidR="001277FA">
        <w:rPr>
          <w:rFonts w:hint="eastAsia"/>
          <w:noProof/>
        </w:rPr>
        <w:drawing>
          <wp:inline distT="0" distB="0" distL="0" distR="0" wp14:anchorId="65C3CCF3" wp14:editId="239A6C08">
            <wp:extent cx="4901481" cy="2313295"/>
            <wp:effectExtent l="0" t="0" r="0" b="0"/>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C8E5F4.tmp"/>
                    <pic:cNvPicPr/>
                  </pic:nvPicPr>
                  <pic:blipFill>
                    <a:blip r:embed="rId26">
                      <a:extLst>
                        <a:ext uri="{28A0092B-C50C-407E-A947-70E740481C1C}">
                          <a14:useLocalDpi xmlns:a14="http://schemas.microsoft.com/office/drawing/2010/main" val="0"/>
                        </a:ext>
                      </a:extLst>
                    </a:blip>
                    <a:stretch>
                      <a:fillRect/>
                    </a:stretch>
                  </pic:blipFill>
                  <pic:spPr>
                    <a:xfrm>
                      <a:off x="0" y="0"/>
                      <a:ext cx="4906711" cy="2315763"/>
                    </a:xfrm>
                    <a:prstGeom prst="rect">
                      <a:avLst/>
                    </a:prstGeom>
                  </pic:spPr>
                </pic:pic>
              </a:graphicData>
            </a:graphic>
          </wp:inline>
        </w:drawing>
      </w:r>
    </w:p>
    <w:p w:rsidR="009438A0" w:rsidRDefault="009438A0" w:rsidP="009438A0">
      <w:pPr>
        <w:ind w:leftChars="400" w:left="1361"/>
      </w:pPr>
    </w:p>
    <w:p w:rsidR="009438A0" w:rsidRDefault="005B2832" w:rsidP="007C6ED0">
      <w:pPr>
        <w:pStyle w:val="3"/>
        <w:ind w:left="1276"/>
      </w:pPr>
      <w:r>
        <w:rPr>
          <w:rFonts w:hint="eastAsia"/>
        </w:rPr>
        <w:t>再者，</w:t>
      </w:r>
      <w:r w:rsidR="009438A0">
        <w:rPr>
          <w:rFonts w:hint="eastAsia"/>
        </w:rPr>
        <w:t>經濟部為達成114年再生能源占比達20%目標，設定各類目標裝置容量及發電量如表</w:t>
      </w:r>
      <w:r w:rsidR="004E464A">
        <w:rPr>
          <w:rFonts w:hint="eastAsia"/>
        </w:rPr>
        <w:t>26~27</w:t>
      </w:r>
      <w:r w:rsidR="009438A0">
        <w:rPr>
          <w:rFonts w:hint="eastAsia"/>
        </w:rPr>
        <w:t>，以太陽光電、風力發電為主要目標，並先後推動「太陽光電2年推動計畫」（105年7月~107年6月）、「風力發電4年推動計畫」（106~109年），且於107年4月完成離岸風電遴選容量達3,836MW，6月完成競價容量1,664MW，合計5,500MW。依經濟部107年10月4日提供之104~114年我國再生能源目標裝置容量與發電量(表1~2)，107年陸域、離岸風電目標裝置容量745MW（陸域737MW，離岸8MW），目標發電量17.3億度（陸域17億度，離岸0.3億度），然查經濟部能源統計資料查詢系統，107年風力發電裝置容量僅704MW（台電</w:t>
      </w:r>
      <w:r w:rsidR="00F41282">
        <w:rPr>
          <w:rFonts w:hint="eastAsia"/>
        </w:rPr>
        <w:t>公司</w:t>
      </w:r>
      <w:r w:rsidR="009438A0">
        <w:rPr>
          <w:rFonts w:hint="eastAsia"/>
        </w:rPr>
        <w:t>294MW、民營電廠405.6MW、自用發電設備4.4MW之合計</w:t>
      </w:r>
      <w:r w:rsidR="009438A0" w:rsidRPr="009B0944">
        <w:rPr>
          <w:rFonts w:hint="eastAsia"/>
        </w:rPr>
        <w:t>數</w:t>
      </w:r>
      <w:r w:rsidR="009438A0">
        <w:rPr>
          <w:rFonts w:hint="eastAsia"/>
        </w:rPr>
        <w:t>），未達目標裝置容量745MW。至目標發電量17.3億度，實際發電量16.86億度（台電</w:t>
      </w:r>
      <w:r w:rsidR="00F41282">
        <w:rPr>
          <w:rFonts w:hint="eastAsia"/>
        </w:rPr>
        <w:t>公司</w:t>
      </w:r>
      <w:r w:rsidR="009438A0">
        <w:rPr>
          <w:rFonts w:hint="eastAsia"/>
        </w:rPr>
        <w:t>7.503億度、民營電廠9.264億度及自用發電設備0.093億度之合計），亦未達標。</w:t>
      </w:r>
    </w:p>
    <w:p w:rsidR="006D6E0A" w:rsidRDefault="000D6FF2" w:rsidP="007C6ED0">
      <w:pPr>
        <w:pStyle w:val="3"/>
        <w:ind w:left="1276"/>
      </w:pPr>
      <w:r>
        <w:rPr>
          <w:rFonts w:hint="eastAsia"/>
        </w:rPr>
        <w:t>綜上，</w:t>
      </w:r>
      <w:r w:rsidR="00C97746" w:rsidRPr="00C97746">
        <w:rPr>
          <w:rFonts w:hint="eastAsia"/>
        </w:rPr>
        <w:t>經濟部為達成114年再生能源占比20%目標，以躉購費率為誘因，推動「風力發電4年推動計畫」（106~109年），規劃109年（短期）、114年（中長期）</w:t>
      </w:r>
      <w:r w:rsidR="00C97746" w:rsidRPr="00C97746">
        <w:rPr>
          <w:rFonts w:hint="eastAsia"/>
        </w:rPr>
        <w:lastRenderedPageBreak/>
        <w:t>離岸目標裝置量各為520MW及3,000MW，惟107年遴選與競價結果，114年目標裝置量增至5,500MW（增幅83%-遴選3,836MW，競價1,664MW，遴選3,098MW部分</w:t>
      </w:r>
      <w:r w:rsidR="00254358">
        <w:rPr>
          <w:rFonts w:hint="eastAsia"/>
        </w:rPr>
        <w:t>擔</w:t>
      </w:r>
      <w:r w:rsidR="00C97746" w:rsidRPr="00C97746">
        <w:rPr>
          <w:rFonts w:hint="eastAsia"/>
        </w:rPr>
        <w:t>負有國產化義務），且大多數風場由外商主導開發，其中國內唯一完成第一期離岸示範風場廠商上緯，雖遴選獲得海能風場（378MW）開發權，但於108年已出脫大部分持股，顯見其在外商環繞下，立足不易而淡出市場，斲傷扶植國內廠商政策，允應確實檢討</w:t>
      </w:r>
      <w:r>
        <w:rPr>
          <w:rFonts w:hint="eastAsia"/>
        </w:rPr>
        <w:t>。</w:t>
      </w:r>
    </w:p>
    <w:p w:rsidR="004E464A" w:rsidRPr="005B2832" w:rsidRDefault="004E464A" w:rsidP="004E464A"/>
    <w:p w:rsidR="006D6E0A" w:rsidRPr="003E6CB9" w:rsidRDefault="00922C94" w:rsidP="00922C94">
      <w:pPr>
        <w:pStyle w:val="2"/>
        <w:rPr>
          <w:b/>
        </w:rPr>
      </w:pPr>
      <w:bookmarkStart w:id="78" w:name="_Toc22636589"/>
      <w:r w:rsidRPr="003E6CB9">
        <w:rPr>
          <w:rFonts w:hint="eastAsia"/>
          <w:b/>
        </w:rPr>
        <w:t>經濟部為達成114年再生能源占比20%目標，訂定離岸風電目標裝置容量5.5GW，並要求</w:t>
      </w:r>
      <w:r w:rsidR="002C3985">
        <w:rPr>
          <w:rFonts w:hint="eastAsia"/>
          <w:b/>
        </w:rPr>
        <w:t>110年併網</w:t>
      </w:r>
      <w:r w:rsidRPr="003E6CB9">
        <w:rPr>
          <w:rFonts w:hint="eastAsia"/>
          <w:b/>
        </w:rPr>
        <w:t>開發商</w:t>
      </w:r>
      <w:r w:rsidR="008352BA">
        <w:rPr>
          <w:rFonts w:hint="eastAsia"/>
          <w:b/>
        </w:rPr>
        <w:t>應</w:t>
      </w:r>
      <w:r w:rsidRPr="003E6CB9">
        <w:rPr>
          <w:rFonts w:hint="eastAsia"/>
          <w:b/>
        </w:rPr>
        <w:t>提出產業關聯方案，惟離岸風電技術門檻高，所需船舶類型多，</w:t>
      </w:r>
      <w:r w:rsidR="00183074" w:rsidRPr="003E6CB9">
        <w:rPr>
          <w:rFonts w:hint="eastAsia"/>
          <w:b/>
        </w:rPr>
        <w:t>且</w:t>
      </w:r>
      <w:r w:rsidRPr="003E6CB9">
        <w:rPr>
          <w:rFonts w:hint="eastAsia"/>
          <w:b/>
        </w:rPr>
        <w:t>併</w:t>
      </w:r>
      <w:r w:rsidR="005B2832">
        <w:rPr>
          <w:rFonts w:hint="eastAsia"/>
          <w:b/>
        </w:rPr>
        <w:t>網</w:t>
      </w:r>
      <w:r w:rsidR="00183074" w:rsidRPr="003E6CB9">
        <w:rPr>
          <w:rFonts w:hint="eastAsia"/>
          <w:b/>
        </w:rPr>
        <w:t>時間緊迫，</w:t>
      </w:r>
      <w:r w:rsidR="002C3985" w:rsidRPr="003E6CB9">
        <w:rPr>
          <w:rFonts w:hint="eastAsia"/>
          <w:b/>
        </w:rPr>
        <w:t>開發商沃旭及丹麥基礎建設基金</w:t>
      </w:r>
      <w:r w:rsidR="002C3985">
        <w:rPr>
          <w:rFonts w:hint="eastAsia"/>
          <w:b/>
        </w:rPr>
        <w:t>雖與</w:t>
      </w:r>
      <w:r w:rsidR="00183074" w:rsidRPr="003E6CB9">
        <w:rPr>
          <w:rFonts w:hint="eastAsia"/>
          <w:b/>
        </w:rPr>
        <w:t>穩晉</w:t>
      </w:r>
      <w:r w:rsidR="00C171DB" w:rsidRPr="009B0944">
        <w:rPr>
          <w:rFonts w:hint="eastAsia"/>
          <w:b/>
        </w:rPr>
        <w:t>港灣工程有限</w:t>
      </w:r>
      <w:r w:rsidR="00183074" w:rsidRPr="009B0944">
        <w:rPr>
          <w:rFonts w:hint="eastAsia"/>
          <w:b/>
        </w:rPr>
        <w:t>公</w:t>
      </w:r>
      <w:r w:rsidR="00183074" w:rsidRPr="003E6CB9">
        <w:rPr>
          <w:rFonts w:hint="eastAsia"/>
          <w:b/>
        </w:rPr>
        <w:t>司</w:t>
      </w:r>
      <w:r w:rsidR="008352BA">
        <w:rPr>
          <w:rFonts w:hint="eastAsia"/>
          <w:b/>
        </w:rPr>
        <w:t>原</w:t>
      </w:r>
      <w:r w:rsidR="002C3985" w:rsidRPr="003E6CB9">
        <w:rPr>
          <w:rFonts w:hint="eastAsia"/>
          <w:b/>
        </w:rPr>
        <w:t>簽訂</w:t>
      </w:r>
      <w:r w:rsidR="008352BA">
        <w:rPr>
          <w:rFonts w:hint="eastAsia"/>
          <w:b/>
        </w:rPr>
        <w:t>有</w:t>
      </w:r>
      <w:r w:rsidR="002C3985" w:rsidRPr="003E6CB9">
        <w:rPr>
          <w:rFonts w:hint="eastAsia"/>
          <w:b/>
        </w:rPr>
        <w:t>舖纜工程合約</w:t>
      </w:r>
      <w:r w:rsidRPr="003E6CB9">
        <w:rPr>
          <w:rFonts w:hint="eastAsia"/>
          <w:b/>
        </w:rPr>
        <w:t>，</w:t>
      </w:r>
      <w:r w:rsidR="000230DA">
        <w:rPr>
          <w:rFonts w:hint="eastAsia"/>
          <w:b/>
        </w:rPr>
        <w:t>終</w:t>
      </w:r>
      <w:r w:rsidR="00183074" w:rsidRPr="003E6CB9">
        <w:rPr>
          <w:rFonts w:hint="eastAsia"/>
          <w:b/>
        </w:rPr>
        <w:t>因</w:t>
      </w:r>
      <w:r w:rsidRPr="003E6CB9">
        <w:rPr>
          <w:rFonts w:hint="eastAsia"/>
          <w:b/>
        </w:rPr>
        <w:t>舖纜船造價高</w:t>
      </w:r>
      <w:r w:rsidR="00183074" w:rsidRPr="003E6CB9">
        <w:rPr>
          <w:rFonts w:hint="eastAsia"/>
          <w:b/>
        </w:rPr>
        <w:t>、</w:t>
      </w:r>
      <w:r w:rsidRPr="003E6CB9">
        <w:rPr>
          <w:rFonts w:hint="eastAsia"/>
          <w:b/>
        </w:rPr>
        <w:t>人員招募及培訓不易，</w:t>
      </w:r>
      <w:r w:rsidR="00183074" w:rsidRPr="003E6CB9">
        <w:rPr>
          <w:rFonts w:hint="eastAsia"/>
          <w:b/>
        </w:rPr>
        <w:t>而</w:t>
      </w:r>
      <w:r w:rsidRPr="003E6CB9">
        <w:rPr>
          <w:rFonts w:hint="eastAsia"/>
          <w:b/>
        </w:rPr>
        <w:t>於108年5月宣布解約，足見經濟部審查產業關聯方案時，未能</w:t>
      </w:r>
      <w:r w:rsidR="008E3BC3">
        <w:rPr>
          <w:rFonts w:hint="eastAsia"/>
          <w:b/>
        </w:rPr>
        <w:t>體察國內產業基礎、時程等</w:t>
      </w:r>
      <w:r w:rsidR="008352BA">
        <w:rPr>
          <w:rFonts w:hint="eastAsia"/>
          <w:b/>
        </w:rPr>
        <w:t>相</w:t>
      </w:r>
      <w:r w:rsidR="00183074" w:rsidRPr="003E6CB9">
        <w:rPr>
          <w:rFonts w:hint="eastAsia"/>
          <w:b/>
        </w:rPr>
        <w:t>關風險</w:t>
      </w:r>
      <w:r w:rsidRPr="003E6CB9">
        <w:rPr>
          <w:rFonts w:hint="eastAsia"/>
          <w:b/>
        </w:rPr>
        <w:t>，</w:t>
      </w:r>
      <w:r w:rsidR="007C6ED0" w:rsidRPr="007C6ED0">
        <w:rPr>
          <w:rFonts w:hint="eastAsia"/>
          <w:b/>
        </w:rPr>
        <w:t>近期似有將陳義過高之「國產化」目標調整為「在地化」之主張，引來外商再三試探政府政策底線，允應確實檢討</w:t>
      </w:r>
      <w:r w:rsidRPr="003E6CB9">
        <w:rPr>
          <w:rFonts w:hint="eastAsia"/>
          <w:b/>
        </w:rPr>
        <w:t>。</w:t>
      </w:r>
      <w:bookmarkEnd w:id="78"/>
    </w:p>
    <w:p w:rsidR="006D6E0A" w:rsidRDefault="006D6E0A" w:rsidP="007C6ED0">
      <w:pPr>
        <w:pStyle w:val="3"/>
        <w:ind w:left="1276"/>
      </w:pPr>
      <w:r>
        <w:rPr>
          <w:rFonts w:hint="eastAsia"/>
        </w:rPr>
        <w:t>查經濟部</w:t>
      </w:r>
      <w:r w:rsidRPr="006D6E0A">
        <w:rPr>
          <w:rFonts w:hint="eastAsia"/>
        </w:rPr>
        <w:t>107年4月30日公布</w:t>
      </w:r>
      <w:r>
        <w:rPr>
          <w:rFonts w:hint="eastAsia"/>
        </w:rPr>
        <w:t>離岸風電</w:t>
      </w:r>
      <w:r w:rsidRPr="006D6E0A">
        <w:rPr>
          <w:rFonts w:hint="eastAsia"/>
        </w:rPr>
        <w:t>遴選結果，</w:t>
      </w:r>
      <w:r>
        <w:rPr>
          <w:rFonts w:hint="eastAsia"/>
        </w:rPr>
        <w:t>核配</w:t>
      </w:r>
      <w:r w:rsidRPr="006D6E0A">
        <w:rPr>
          <w:rFonts w:hint="eastAsia"/>
        </w:rPr>
        <w:t>容量3,836MW</w:t>
      </w:r>
      <w:r w:rsidR="008E3BC3">
        <w:rPr>
          <w:rFonts w:hint="eastAsia"/>
        </w:rPr>
        <w:t>（</w:t>
      </w:r>
      <w:r>
        <w:rPr>
          <w:rFonts w:hint="eastAsia"/>
        </w:rPr>
        <w:t>如圖</w:t>
      </w:r>
      <w:r w:rsidR="006E10C0">
        <w:t>7</w:t>
      </w:r>
      <w:r w:rsidR="008E3BC3">
        <w:rPr>
          <w:rFonts w:hint="eastAsia"/>
        </w:rPr>
        <w:t>）</w:t>
      </w:r>
      <w:r>
        <w:rPr>
          <w:rFonts w:hint="eastAsia"/>
        </w:rPr>
        <w:t>。</w:t>
      </w:r>
      <w:r w:rsidRPr="006D6E0A">
        <w:rPr>
          <w:rFonts w:hint="eastAsia"/>
        </w:rPr>
        <w:t>計有</w:t>
      </w:r>
      <w:r>
        <w:rPr>
          <w:rFonts w:hint="eastAsia"/>
        </w:rPr>
        <w:t>德商達德、丹麥商沃旭、丹麥商哥本哈根基礎建設基金、上緯+澳洲麥格理、加拿大北陸電力、台電</w:t>
      </w:r>
      <w:r w:rsidR="00F41282">
        <w:rPr>
          <w:rFonts w:hint="eastAsia"/>
        </w:rPr>
        <w:t>公司</w:t>
      </w:r>
      <w:r>
        <w:rPr>
          <w:rFonts w:hint="eastAsia"/>
        </w:rPr>
        <w:t>及中鋼</w:t>
      </w:r>
      <w:r w:rsidR="00F41282">
        <w:rPr>
          <w:rFonts w:hint="eastAsia"/>
        </w:rPr>
        <w:t>公司</w:t>
      </w:r>
      <w:r>
        <w:rPr>
          <w:rFonts w:hint="eastAsia"/>
        </w:rPr>
        <w:t>等7家開發商獲選。</w:t>
      </w:r>
      <w:r w:rsidRPr="006D6E0A">
        <w:rPr>
          <w:rFonts w:hint="eastAsia"/>
        </w:rPr>
        <w:t>其中</w:t>
      </w:r>
      <w:r>
        <w:rPr>
          <w:rFonts w:hint="eastAsia"/>
        </w:rPr>
        <w:t>，</w:t>
      </w:r>
      <w:r w:rsidRPr="006D6E0A">
        <w:rPr>
          <w:rFonts w:hint="eastAsia"/>
        </w:rPr>
        <w:t>109年完工併聯遴選分配容量738MW</w:t>
      </w:r>
      <w:r>
        <w:rPr>
          <w:rFonts w:hint="eastAsia"/>
        </w:rPr>
        <w:t>（允能360MW、海能378MW）</w:t>
      </w:r>
      <w:r w:rsidR="003C4DE4">
        <w:rPr>
          <w:rFonts w:hint="eastAsia"/>
        </w:rPr>
        <w:t>（</w:t>
      </w:r>
      <w:r>
        <w:rPr>
          <w:rFonts w:hint="eastAsia"/>
        </w:rPr>
        <w:t>如表</w:t>
      </w:r>
      <w:r w:rsidR="006E10C0">
        <w:t>10</w:t>
      </w:r>
      <w:r w:rsidR="003C4DE4">
        <w:rPr>
          <w:rFonts w:hint="eastAsia"/>
        </w:rPr>
        <w:t>）</w:t>
      </w:r>
      <w:r>
        <w:rPr>
          <w:rFonts w:hint="eastAsia"/>
        </w:rPr>
        <w:t>；</w:t>
      </w:r>
      <w:r w:rsidRPr="006D6E0A">
        <w:rPr>
          <w:rFonts w:hint="eastAsia"/>
        </w:rPr>
        <w:t>110-114年完工併聯遴選分配容量3,098MW</w:t>
      </w:r>
      <w:r w:rsidR="003C4DE4">
        <w:rPr>
          <w:rFonts w:hint="eastAsia"/>
        </w:rPr>
        <w:t>（</w:t>
      </w:r>
      <w:r>
        <w:rPr>
          <w:rFonts w:hint="eastAsia"/>
        </w:rPr>
        <w:t>如表</w:t>
      </w:r>
      <w:r w:rsidR="006E10C0">
        <w:t>11</w:t>
      </w:r>
      <w:r w:rsidR="003C4DE4">
        <w:rPr>
          <w:rFonts w:hint="eastAsia"/>
        </w:rPr>
        <w:t>）</w:t>
      </w:r>
      <w:r>
        <w:rPr>
          <w:rFonts w:hint="eastAsia"/>
        </w:rPr>
        <w:t>，負</w:t>
      </w:r>
      <w:r w:rsidR="00002178">
        <w:rPr>
          <w:rFonts w:hint="eastAsia"/>
        </w:rPr>
        <w:t>擔有</w:t>
      </w:r>
      <w:r>
        <w:rPr>
          <w:rFonts w:hint="eastAsia"/>
        </w:rPr>
        <w:t>國產化義務</w:t>
      </w:r>
      <w:r w:rsidRPr="006D6E0A">
        <w:rPr>
          <w:rFonts w:hint="eastAsia"/>
        </w:rPr>
        <w:t>。</w:t>
      </w:r>
    </w:p>
    <w:p w:rsidR="006D6E0A" w:rsidRDefault="006D6E0A" w:rsidP="006D6E0A">
      <w:pPr>
        <w:ind w:leftChars="400" w:left="1361"/>
      </w:pPr>
      <w:r>
        <w:rPr>
          <w:noProof/>
        </w:rPr>
        <w:lastRenderedPageBreak/>
        <w:drawing>
          <wp:inline distT="0" distB="0" distL="0" distR="0" wp14:anchorId="4E2763BD" wp14:editId="582A321C">
            <wp:extent cx="4587073" cy="2798433"/>
            <wp:effectExtent l="0" t="0" r="4445" b="254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4587192" cy="2798506"/>
                    </a:xfrm>
                    <a:prstGeom prst="rect">
                      <a:avLst/>
                    </a:prstGeom>
                  </pic:spPr>
                </pic:pic>
              </a:graphicData>
            </a:graphic>
          </wp:inline>
        </w:drawing>
      </w:r>
    </w:p>
    <w:p w:rsidR="006D6E0A" w:rsidRPr="008E3BC3" w:rsidRDefault="006D6E0A" w:rsidP="002C2BF1">
      <w:pPr>
        <w:pStyle w:val="af6"/>
        <w:numPr>
          <w:ilvl w:val="0"/>
          <w:numId w:val="4"/>
        </w:numPr>
        <w:rPr>
          <w:b/>
        </w:rPr>
      </w:pPr>
      <w:r w:rsidRPr="008E3BC3">
        <w:rPr>
          <w:rFonts w:hint="eastAsia"/>
          <w:b/>
        </w:rPr>
        <w:tab/>
      </w:r>
      <w:bookmarkStart w:id="79" w:name="_Toc22216437"/>
      <w:r w:rsidRPr="008E3BC3">
        <w:rPr>
          <w:rFonts w:hint="eastAsia"/>
          <w:b/>
        </w:rPr>
        <w:t>離岸風電獲遴選開發商排序暨風場位置圖</w:t>
      </w:r>
      <w:bookmarkEnd w:id="79"/>
    </w:p>
    <w:p w:rsidR="003C5EFA" w:rsidRPr="003C5EFA" w:rsidRDefault="003C5EFA" w:rsidP="001D6D67">
      <w:pPr>
        <w:ind w:leftChars="400" w:left="1361"/>
      </w:pPr>
      <w:r w:rsidRPr="003C5EFA">
        <w:rPr>
          <w:rFonts w:hint="eastAsia"/>
          <w:sz w:val="24"/>
          <w:szCs w:val="24"/>
        </w:rPr>
        <w:t>資料來源：</w:t>
      </w:r>
      <w:r w:rsidR="00E01C87">
        <w:rPr>
          <w:rFonts w:hint="eastAsia"/>
          <w:sz w:val="24"/>
          <w:szCs w:val="24"/>
        </w:rPr>
        <w:t>經濟部</w:t>
      </w:r>
      <w:r>
        <w:rPr>
          <w:rFonts w:hint="eastAsia"/>
          <w:sz w:val="24"/>
          <w:szCs w:val="24"/>
        </w:rPr>
        <w:t>能源局</w:t>
      </w:r>
      <w:r w:rsidRPr="003C5EFA">
        <w:rPr>
          <w:rFonts w:hint="eastAsia"/>
          <w:sz w:val="24"/>
          <w:szCs w:val="24"/>
        </w:rPr>
        <w:t>。</w:t>
      </w:r>
    </w:p>
    <w:p w:rsidR="006D6E0A" w:rsidRPr="008E3BC3" w:rsidRDefault="006D6E0A" w:rsidP="001D6D67">
      <w:pPr>
        <w:pStyle w:val="a2"/>
        <w:ind w:left="0" w:firstLine="0"/>
        <w:jc w:val="center"/>
        <w:rPr>
          <w:b/>
        </w:rPr>
      </w:pPr>
      <w:bookmarkStart w:id="80" w:name="_Toc531620391"/>
      <w:bookmarkStart w:id="81" w:name="_Toc22216353"/>
      <w:r w:rsidRPr="008E3BC3">
        <w:rPr>
          <w:rFonts w:hint="eastAsia"/>
          <w:b/>
        </w:rPr>
        <w:t>109年</w:t>
      </w:r>
      <w:r w:rsidR="00243C9F">
        <w:rPr>
          <w:rFonts w:hint="eastAsia"/>
          <w:b/>
        </w:rPr>
        <w:t>離岸風電</w:t>
      </w:r>
      <w:r w:rsidRPr="008E3BC3">
        <w:rPr>
          <w:rFonts w:hint="eastAsia"/>
          <w:b/>
        </w:rPr>
        <w:t>完工併聯遴選結果一覽表</w:t>
      </w:r>
      <w:bookmarkEnd w:id="80"/>
      <w:bookmarkEnd w:id="81"/>
    </w:p>
    <w:tbl>
      <w:tblPr>
        <w:tblStyle w:val="af7"/>
        <w:tblW w:w="0" w:type="auto"/>
        <w:tblInd w:w="5" w:type="dxa"/>
        <w:tblCellMar>
          <w:left w:w="0" w:type="dxa"/>
          <w:right w:w="0" w:type="dxa"/>
        </w:tblCellMar>
        <w:tblLook w:val="04A0" w:firstRow="1" w:lastRow="0" w:firstColumn="1" w:lastColumn="0" w:noHBand="0" w:noVBand="1"/>
      </w:tblPr>
      <w:tblGrid>
        <w:gridCol w:w="425"/>
        <w:gridCol w:w="841"/>
        <w:gridCol w:w="844"/>
        <w:gridCol w:w="1125"/>
        <w:gridCol w:w="703"/>
        <w:gridCol w:w="704"/>
        <w:gridCol w:w="704"/>
        <w:gridCol w:w="2806"/>
        <w:gridCol w:w="677"/>
      </w:tblGrid>
      <w:tr w:rsidR="006D6E0A" w:rsidRPr="00E01C87" w:rsidTr="006D6E0A">
        <w:trPr>
          <w:trHeight w:val="95"/>
        </w:trPr>
        <w:tc>
          <w:tcPr>
            <w:tcW w:w="426" w:type="dxa"/>
            <w:vAlign w:val="center"/>
          </w:tcPr>
          <w:p w:rsidR="006D6E0A" w:rsidRPr="00E01C87" w:rsidRDefault="006D6E0A" w:rsidP="006D6E0A">
            <w:pPr>
              <w:pStyle w:val="11"/>
              <w:ind w:leftChars="0" w:left="0" w:firstLineChars="0" w:firstLine="0"/>
              <w:jc w:val="center"/>
              <w:rPr>
                <w:b/>
                <w:sz w:val="24"/>
              </w:rPr>
            </w:pPr>
            <w:r w:rsidRPr="00E01C87">
              <w:rPr>
                <w:rFonts w:hint="eastAsia"/>
                <w:b/>
                <w:sz w:val="24"/>
              </w:rPr>
              <w:t>序位</w:t>
            </w:r>
          </w:p>
        </w:tc>
        <w:tc>
          <w:tcPr>
            <w:tcW w:w="850" w:type="dxa"/>
            <w:vAlign w:val="center"/>
          </w:tcPr>
          <w:p w:rsidR="006D6E0A" w:rsidRPr="00E01C87" w:rsidRDefault="006D6E0A" w:rsidP="006D6E0A">
            <w:pPr>
              <w:pStyle w:val="11"/>
              <w:ind w:leftChars="0" w:left="0" w:firstLineChars="0" w:firstLine="0"/>
              <w:jc w:val="center"/>
              <w:rPr>
                <w:b/>
                <w:sz w:val="24"/>
              </w:rPr>
            </w:pPr>
            <w:r w:rsidRPr="00E01C87">
              <w:rPr>
                <w:rFonts w:hint="eastAsia"/>
                <w:b/>
                <w:sz w:val="24"/>
              </w:rPr>
              <w:t>申請案</w:t>
            </w:r>
          </w:p>
        </w:tc>
        <w:tc>
          <w:tcPr>
            <w:tcW w:w="851" w:type="dxa"/>
            <w:vAlign w:val="center"/>
          </w:tcPr>
          <w:p w:rsidR="006D6E0A" w:rsidRPr="00E01C87" w:rsidRDefault="006D6E0A" w:rsidP="006D6E0A">
            <w:pPr>
              <w:pStyle w:val="11"/>
              <w:ind w:leftChars="0" w:left="0" w:firstLineChars="0" w:firstLine="0"/>
              <w:jc w:val="center"/>
              <w:rPr>
                <w:b/>
                <w:sz w:val="24"/>
              </w:rPr>
            </w:pPr>
            <w:r w:rsidRPr="00E01C87">
              <w:rPr>
                <w:rFonts w:hint="eastAsia"/>
                <w:b/>
                <w:sz w:val="24"/>
              </w:rPr>
              <w:t>開發商</w:t>
            </w:r>
          </w:p>
        </w:tc>
        <w:tc>
          <w:tcPr>
            <w:tcW w:w="1134" w:type="dxa"/>
            <w:vAlign w:val="center"/>
          </w:tcPr>
          <w:p w:rsidR="006D6E0A" w:rsidRPr="00E01C87" w:rsidRDefault="006D6E0A" w:rsidP="006D6E0A">
            <w:pPr>
              <w:pStyle w:val="11"/>
              <w:ind w:leftChars="0" w:left="0" w:firstLineChars="0" w:firstLine="0"/>
              <w:jc w:val="center"/>
              <w:rPr>
                <w:b/>
                <w:sz w:val="24"/>
              </w:rPr>
            </w:pPr>
            <w:r w:rsidRPr="00E01C87">
              <w:rPr>
                <w:rFonts w:hint="eastAsia"/>
                <w:b/>
                <w:sz w:val="24"/>
              </w:rPr>
              <w:t>申請容量</w:t>
            </w:r>
          </w:p>
          <w:p w:rsidR="006D6E0A" w:rsidRPr="00E01C87" w:rsidRDefault="006D6E0A" w:rsidP="006D6E0A">
            <w:pPr>
              <w:pStyle w:val="11"/>
              <w:ind w:leftChars="0" w:left="0" w:firstLineChars="0" w:firstLine="0"/>
              <w:jc w:val="center"/>
              <w:rPr>
                <w:b/>
                <w:sz w:val="24"/>
              </w:rPr>
            </w:pPr>
            <w:r w:rsidRPr="00E01C87">
              <w:rPr>
                <w:rFonts w:hint="eastAsia"/>
                <w:b/>
                <w:sz w:val="24"/>
              </w:rPr>
              <w:t>(MW)</w:t>
            </w:r>
          </w:p>
        </w:tc>
        <w:tc>
          <w:tcPr>
            <w:tcW w:w="708" w:type="dxa"/>
            <w:vAlign w:val="center"/>
          </w:tcPr>
          <w:p w:rsidR="006D6E0A" w:rsidRPr="00E01C87" w:rsidRDefault="006D6E0A" w:rsidP="006D6E0A">
            <w:pPr>
              <w:pStyle w:val="11"/>
              <w:ind w:leftChars="0" w:left="0" w:firstLineChars="0" w:firstLine="0"/>
              <w:jc w:val="center"/>
              <w:rPr>
                <w:b/>
                <w:sz w:val="24"/>
              </w:rPr>
            </w:pPr>
            <w:r w:rsidRPr="00E01C87">
              <w:rPr>
                <w:rFonts w:hint="eastAsia"/>
                <w:b/>
                <w:sz w:val="24"/>
              </w:rPr>
              <w:t>核配</w:t>
            </w:r>
          </w:p>
          <w:p w:rsidR="006D6E0A" w:rsidRPr="00E01C87" w:rsidRDefault="006D6E0A" w:rsidP="006D6E0A">
            <w:pPr>
              <w:pStyle w:val="11"/>
              <w:ind w:leftChars="0" w:left="0" w:firstLineChars="0" w:firstLine="0"/>
              <w:jc w:val="center"/>
              <w:rPr>
                <w:b/>
                <w:sz w:val="24"/>
              </w:rPr>
            </w:pPr>
            <w:r w:rsidRPr="00E01C87">
              <w:rPr>
                <w:rFonts w:hint="eastAsia"/>
                <w:b/>
                <w:sz w:val="24"/>
              </w:rPr>
              <w:t>容量</w:t>
            </w:r>
          </w:p>
        </w:tc>
        <w:tc>
          <w:tcPr>
            <w:tcW w:w="709" w:type="dxa"/>
            <w:vAlign w:val="center"/>
          </w:tcPr>
          <w:p w:rsidR="006D6E0A" w:rsidRPr="00E01C87" w:rsidRDefault="006D6E0A" w:rsidP="006D6E0A">
            <w:pPr>
              <w:pStyle w:val="11"/>
              <w:ind w:leftChars="0" w:left="0" w:firstLineChars="0" w:firstLine="0"/>
              <w:jc w:val="center"/>
              <w:rPr>
                <w:b/>
                <w:sz w:val="24"/>
              </w:rPr>
            </w:pPr>
            <w:r w:rsidRPr="00E01C87">
              <w:rPr>
                <w:rFonts w:hint="eastAsia"/>
                <w:b/>
                <w:sz w:val="24"/>
              </w:rPr>
              <w:t>併聯</w:t>
            </w:r>
          </w:p>
          <w:p w:rsidR="006D6E0A" w:rsidRPr="00E01C87" w:rsidRDefault="006D6E0A" w:rsidP="006D6E0A">
            <w:pPr>
              <w:pStyle w:val="11"/>
              <w:ind w:leftChars="0" w:left="0" w:firstLineChars="0" w:firstLine="0"/>
              <w:jc w:val="center"/>
              <w:rPr>
                <w:b/>
                <w:sz w:val="24"/>
              </w:rPr>
            </w:pPr>
            <w:r w:rsidRPr="00E01C87">
              <w:rPr>
                <w:rFonts w:hint="eastAsia"/>
                <w:b/>
                <w:sz w:val="24"/>
              </w:rPr>
              <w:t>年度</w:t>
            </w:r>
          </w:p>
        </w:tc>
        <w:tc>
          <w:tcPr>
            <w:tcW w:w="709" w:type="dxa"/>
            <w:vAlign w:val="center"/>
          </w:tcPr>
          <w:p w:rsidR="006D6E0A" w:rsidRPr="00E01C87" w:rsidRDefault="006D6E0A" w:rsidP="006D6E0A">
            <w:pPr>
              <w:pStyle w:val="11"/>
              <w:ind w:leftChars="0" w:left="0" w:firstLineChars="0" w:firstLine="0"/>
              <w:jc w:val="center"/>
              <w:rPr>
                <w:b/>
                <w:sz w:val="24"/>
              </w:rPr>
            </w:pPr>
            <w:r w:rsidRPr="00E01C87">
              <w:rPr>
                <w:rFonts w:hint="eastAsia"/>
                <w:b/>
                <w:sz w:val="24"/>
              </w:rPr>
              <w:t>併接</w:t>
            </w:r>
          </w:p>
          <w:p w:rsidR="006D6E0A" w:rsidRPr="00E01C87" w:rsidRDefault="006D6E0A" w:rsidP="006D6E0A">
            <w:pPr>
              <w:pStyle w:val="11"/>
              <w:ind w:leftChars="0" w:left="0" w:firstLineChars="0" w:firstLine="0"/>
              <w:jc w:val="center"/>
              <w:rPr>
                <w:b/>
                <w:sz w:val="24"/>
              </w:rPr>
            </w:pPr>
            <w:r w:rsidRPr="00E01C87">
              <w:rPr>
                <w:rFonts w:hint="eastAsia"/>
                <w:b/>
                <w:sz w:val="24"/>
              </w:rPr>
              <w:t>點位</w:t>
            </w:r>
          </w:p>
        </w:tc>
        <w:tc>
          <w:tcPr>
            <w:tcW w:w="2835" w:type="dxa"/>
            <w:vAlign w:val="center"/>
          </w:tcPr>
          <w:p w:rsidR="006D6E0A" w:rsidRPr="00E01C87" w:rsidRDefault="006D6E0A" w:rsidP="006D6E0A">
            <w:pPr>
              <w:pStyle w:val="11"/>
              <w:ind w:leftChars="0" w:left="0" w:firstLineChars="0" w:firstLine="0"/>
              <w:jc w:val="center"/>
              <w:rPr>
                <w:b/>
                <w:sz w:val="24"/>
              </w:rPr>
            </w:pPr>
            <w:r w:rsidRPr="00E01C87">
              <w:rPr>
                <w:rFonts w:hint="eastAsia"/>
                <w:b/>
                <w:sz w:val="24"/>
              </w:rPr>
              <w:t>備註</w:t>
            </w:r>
          </w:p>
        </w:tc>
        <w:tc>
          <w:tcPr>
            <w:tcW w:w="627" w:type="dxa"/>
            <w:vAlign w:val="center"/>
          </w:tcPr>
          <w:p w:rsidR="006D6E0A" w:rsidRPr="00E01C87" w:rsidRDefault="006D6E0A" w:rsidP="006D6E0A">
            <w:pPr>
              <w:pStyle w:val="11"/>
              <w:ind w:leftChars="0" w:left="0" w:firstLineChars="0" w:firstLine="0"/>
              <w:jc w:val="center"/>
              <w:rPr>
                <w:b/>
                <w:sz w:val="24"/>
              </w:rPr>
            </w:pPr>
            <w:r w:rsidRPr="00E01C87">
              <w:rPr>
                <w:rFonts w:hint="eastAsia"/>
                <w:b/>
                <w:sz w:val="24"/>
              </w:rPr>
              <w:t>累計</w:t>
            </w:r>
          </w:p>
          <w:p w:rsidR="006D6E0A" w:rsidRPr="00E01C87" w:rsidRDefault="006D6E0A" w:rsidP="006D6E0A">
            <w:pPr>
              <w:pStyle w:val="11"/>
              <w:ind w:leftChars="0" w:left="0" w:firstLineChars="0" w:firstLine="0"/>
              <w:jc w:val="center"/>
              <w:rPr>
                <w:b/>
                <w:sz w:val="24"/>
              </w:rPr>
            </w:pPr>
            <w:r w:rsidRPr="00E01C87">
              <w:rPr>
                <w:rFonts w:hint="eastAsia"/>
                <w:b/>
                <w:sz w:val="24"/>
              </w:rPr>
              <w:t>容量</w:t>
            </w:r>
          </w:p>
          <w:p w:rsidR="008E3BC3" w:rsidRPr="00E01C87" w:rsidRDefault="008E3BC3" w:rsidP="006D6E0A">
            <w:pPr>
              <w:pStyle w:val="11"/>
              <w:ind w:leftChars="0" w:left="0" w:firstLineChars="0" w:firstLine="0"/>
              <w:jc w:val="center"/>
              <w:rPr>
                <w:b/>
                <w:sz w:val="24"/>
              </w:rPr>
            </w:pPr>
            <w:r w:rsidRPr="00E01C87">
              <w:rPr>
                <w:rFonts w:ascii="Times New Roman" w:hint="eastAsia"/>
                <w:b/>
                <w:sz w:val="24"/>
              </w:rPr>
              <w:t>(MW)</w:t>
            </w:r>
          </w:p>
        </w:tc>
      </w:tr>
      <w:tr w:rsidR="006D6E0A" w:rsidTr="006D6E0A">
        <w:tc>
          <w:tcPr>
            <w:tcW w:w="426" w:type="dxa"/>
            <w:vAlign w:val="center"/>
          </w:tcPr>
          <w:p w:rsidR="006D6E0A" w:rsidRPr="00E01C87" w:rsidRDefault="006D6E0A" w:rsidP="002C2BF1">
            <w:pPr>
              <w:pStyle w:val="11"/>
              <w:numPr>
                <w:ilvl w:val="0"/>
                <w:numId w:val="12"/>
              </w:numPr>
              <w:ind w:leftChars="0" w:firstLineChars="0"/>
              <w:jc w:val="center"/>
              <w:rPr>
                <w:b/>
                <w:sz w:val="24"/>
              </w:rPr>
            </w:pPr>
          </w:p>
        </w:tc>
        <w:tc>
          <w:tcPr>
            <w:tcW w:w="850" w:type="dxa"/>
            <w:vAlign w:val="center"/>
          </w:tcPr>
          <w:p w:rsidR="006D6E0A" w:rsidRPr="008916FE" w:rsidRDefault="006D6E0A" w:rsidP="006D6E0A">
            <w:pPr>
              <w:pStyle w:val="11"/>
              <w:ind w:leftChars="0" w:left="0" w:firstLineChars="0" w:firstLine="0"/>
              <w:jc w:val="center"/>
              <w:rPr>
                <w:sz w:val="24"/>
              </w:rPr>
            </w:pPr>
            <w:r>
              <w:rPr>
                <w:rFonts w:hint="eastAsia"/>
                <w:sz w:val="24"/>
              </w:rPr>
              <w:t>海能</w:t>
            </w:r>
          </w:p>
        </w:tc>
        <w:tc>
          <w:tcPr>
            <w:tcW w:w="851" w:type="dxa"/>
            <w:vAlign w:val="center"/>
          </w:tcPr>
          <w:p w:rsidR="006D6E0A" w:rsidRPr="008916FE" w:rsidRDefault="006D6E0A" w:rsidP="006D6E0A">
            <w:pPr>
              <w:pStyle w:val="11"/>
              <w:ind w:leftChars="0" w:left="0" w:firstLineChars="0" w:firstLine="0"/>
              <w:jc w:val="center"/>
              <w:rPr>
                <w:sz w:val="24"/>
              </w:rPr>
            </w:pPr>
            <w:r>
              <w:rPr>
                <w:rFonts w:hint="eastAsia"/>
                <w:sz w:val="24"/>
              </w:rPr>
              <w:t>上緯</w:t>
            </w:r>
          </w:p>
        </w:tc>
        <w:tc>
          <w:tcPr>
            <w:tcW w:w="1134" w:type="dxa"/>
            <w:vAlign w:val="center"/>
          </w:tcPr>
          <w:p w:rsidR="006D6E0A" w:rsidRPr="008916FE" w:rsidRDefault="006D6E0A" w:rsidP="006D6E0A">
            <w:pPr>
              <w:pStyle w:val="11"/>
              <w:ind w:leftChars="0" w:left="0" w:firstLineChars="0" w:firstLine="0"/>
              <w:jc w:val="center"/>
              <w:rPr>
                <w:sz w:val="24"/>
              </w:rPr>
            </w:pPr>
            <w:r>
              <w:rPr>
                <w:rFonts w:hint="eastAsia"/>
                <w:sz w:val="24"/>
              </w:rPr>
              <w:t>378</w:t>
            </w:r>
          </w:p>
        </w:tc>
        <w:tc>
          <w:tcPr>
            <w:tcW w:w="708" w:type="dxa"/>
            <w:vAlign w:val="center"/>
          </w:tcPr>
          <w:p w:rsidR="006D6E0A" w:rsidRPr="008916FE" w:rsidRDefault="006D6E0A" w:rsidP="006D6E0A">
            <w:pPr>
              <w:pStyle w:val="11"/>
              <w:ind w:leftChars="0" w:left="0" w:firstLineChars="0" w:firstLine="0"/>
              <w:jc w:val="center"/>
              <w:rPr>
                <w:sz w:val="24"/>
              </w:rPr>
            </w:pPr>
            <w:r>
              <w:rPr>
                <w:rFonts w:hint="eastAsia"/>
                <w:sz w:val="24"/>
              </w:rPr>
              <w:t>378</w:t>
            </w:r>
          </w:p>
        </w:tc>
        <w:tc>
          <w:tcPr>
            <w:tcW w:w="709" w:type="dxa"/>
            <w:vAlign w:val="center"/>
          </w:tcPr>
          <w:p w:rsidR="006D6E0A" w:rsidRPr="008916FE" w:rsidRDefault="006D6E0A" w:rsidP="006D6E0A">
            <w:pPr>
              <w:pStyle w:val="11"/>
              <w:ind w:leftChars="0" w:left="0" w:firstLineChars="0" w:firstLine="0"/>
              <w:jc w:val="center"/>
              <w:rPr>
                <w:sz w:val="24"/>
              </w:rPr>
            </w:pPr>
            <w:r>
              <w:rPr>
                <w:rFonts w:hint="eastAsia"/>
                <w:sz w:val="24"/>
              </w:rPr>
              <w:t>109</w:t>
            </w:r>
          </w:p>
        </w:tc>
        <w:tc>
          <w:tcPr>
            <w:tcW w:w="709" w:type="dxa"/>
            <w:vAlign w:val="center"/>
          </w:tcPr>
          <w:p w:rsidR="006D6E0A" w:rsidRDefault="006D6E0A" w:rsidP="006D6E0A">
            <w:pPr>
              <w:pStyle w:val="11"/>
              <w:ind w:leftChars="0" w:left="0" w:firstLineChars="0" w:firstLine="0"/>
              <w:jc w:val="center"/>
              <w:rPr>
                <w:sz w:val="24"/>
              </w:rPr>
            </w:pPr>
            <w:r>
              <w:rPr>
                <w:rFonts w:hint="eastAsia"/>
                <w:sz w:val="24"/>
              </w:rPr>
              <w:t>營盤</w:t>
            </w:r>
          </w:p>
          <w:p w:rsidR="006D6E0A" w:rsidRPr="008916FE" w:rsidRDefault="006D6E0A" w:rsidP="006D6E0A">
            <w:pPr>
              <w:pStyle w:val="11"/>
              <w:ind w:leftChars="0" w:left="0" w:firstLineChars="0" w:firstLine="0"/>
              <w:jc w:val="center"/>
              <w:rPr>
                <w:sz w:val="24"/>
              </w:rPr>
            </w:pPr>
            <w:r>
              <w:rPr>
                <w:rFonts w:hint="eastAsia"/>
                <w:sz w:val="24"/>
              </w:rPr>
              <w:t>D/S</w:t>
            </w:r>
          </w:p>
        </w:tc>
        <w:tc>
          <w:tcPr>
            <w:tcW w:w="2835" w:type="dxa"/>
            <w:vAlign w:val="center"/>
          </w:tcPr>
          <w:p w:rsidR="006D6E0A" w:rsidRPr="008916FE" w:rsidRDefault="006D6E0A" w:rsidP="006D6E0A">
            <w:pPr>
              <w:pStyle w:val="11"/>
              <w:ind w:leftChars="0" w:left="0" w:firstLineChars="0" w:firstLine="0"/>
              <w:rPr>
                <w:sz w:val="24"/>
              </w:rPr>
            </w:pPr>
            <w:r>
              <w:rPr>
                <w:rFonts w:hint="eastAsia"/>
                <w:sz w:val="24"/>
              </w:rPr>
              <w:t>依申請點位及完工併聯年度核配</w:t>
            </w:r>
          </w:p>
        </w:tc>
        <w:tc>
          <w:tcPr>
            <w:tcW w:w="627" w:type="dxa"/>
            <w:vAlign w:val="center"/>
          </w:tcPr>
          <w:p w:rsidR="006D6E0A" w:rsidRPr="008916FE" w:rsidRDefault="006D6E0A" w:rsidP="006D6E0A">
            <w:pPr>
              <w:pStyle w:val="11"/>
              <w:ind w:leftChars="0" w:left="0" w:firstLineChars="0" w:firstLine="0"/>
              <w:jc w:val="center"/>
              <w:rPr>
                <w:sz w:val="24"/>
              </w:rPr>
            </w:pPr>
            <w:r>
              <w:rPr>
                <w:rFonts w:hint="eastAsia"/>
                <w:sz w:val="24"/>
              </w:rPr>
              <w:t>378</w:t>
            </w:r>
          </w:p>
        </w:tc>
      </w:tr>
      <w:tr w:rsidR="006D6E0A" w:rsidTr="006D6E0A">
        <w:tc>
          <w:tcPr>
            <w:tcW w:w="426" w:type="dxa"/>
            <w:vAlign w:val="center"/>
          </w:tcPr>
          <w:p w:rsidR="006D6E0A" w:rsidRPr="00E01C87" w:rsidRDefault="006D6E0A" w:rsidP="002C2BF1">
            <w:pPr>
              <w:pStyle w:val="11"/>
              <w:numPr>
                <w:ilvl w:val="0"/>
                <w:numId w:val="12"/>
              </w:numPr>
              <w:ind w:leftChars="0" w:firstLineChars="0"/>
              <w:jc w:val="center"/>
              <w:rPr>
                <w:b/>
                <w:sz w:val="24"/>
              </w:rPr>
            </w:pPr>
          </w:p>
        </w:tc>
        <w:tc>
          <w:tcPr>
            <w:tcW w:w="850" w:type="dxa"/>
            <w:vAlign w:val="center"/>
          </w:tcPr>
          <w:p w:rsidR="006D6E0A" w:rsidRPr="008916FE" w:rsidRDefault="006D6E0A" w:rsidP="006D6E0A">
            <w:pPr>
              <w:pStyle w:val="11"/>
              <w:ind w:leftChars="0" w:left="0" w:firstLineChars="0" w:firstLine="0"/>
              <w:jc w:val="center"/>
              <w:rPr>
                <w:sz w:val="24"/>
              </w:rPr>
            </w:pPr>
            <w:r>
              <w:rPr>
                <w:rFonts w:hint="eastAsia"/>
                <w:sz w:val="24"/>
              </w:rPr>
              <w:t>允能</w:t>
            </w:r>
          </w:p>
        </w:tc>
        <w:tc>
          <w:tcPr>
            <w:tcW w:w="851" w:type="dxa"/>
            <w:vAlign w:val="center"/>
          </w:tcPr>
          <w:p w:rsidR="006D6E0A" w:rsidRPr="008916FE" w:rsidRDefault="006D6E0A" w:rsidP="006D6E0A">
            <w:pPr>
              <w:pStyle w:val="11"/>
              <w:ind w:leftChars="0" w:left="0" w:firstLineChars="0" w:firstLine="0"/>
              <w:jc w:val="center"/>
              <w:rPr>
                <w:sz w:val="24"/>
              </w:rPr>
            </w:pPr>
            <w:r>
              <w:rPr>
                <w:rFonts w:hint="eastAsia"/>
                <w:sz w:val="24"/>
              </w:rPr>
              <w:t>WPD</w:t>
            </w:r>
          </w:p>
        </w:tc>
        <w:tc>
          <w:tcPr>
            <w:tcW w:w="1134" w:type="dxa"/>
            <w:vAlign w:val="center"/>
          </w:tcPr>
          <w:p w:rsidR="006D6E0A" w:rsidRPr="008916FE" w:rsidRDefault="006D6E0A" w:rsidP="006D6E0A">
            <w:pPr>
              <w:pStyle w:val="11"/>
              <w:ind w:leftChars="0" w:left="0" w:firstLineChars="0" w:firstLine="0"/>
              <w:jc w:val="center"/>
              <w:rPr>
                <w:sz w:val="24"/>
              </w:rPr>
            </w:pPr>
            <w:r>
              <w:rPr>
                <w:rFonts w:hint="eastAsia"/>
                <w:sz w:val="24"/>
              </w:rPr>
              <w:t>708</w:t>
            </w:r>
          </w:p>
        </w:tc>
        <w:tc>
          <w:tcPr>
            <w:tcW w:w="708" w:type="dxa"/>
            <w:vAlign w:val="center"/>
          </w:tcPr>
          <w:p w:rsidR="006D6E0A" w:rsidRPr="008916FE" w:rsidRDefault="006D6E0A" w:rsidP="006D6E0A">
            <w:pPr>
              <w:pStyle w:val="11"/>
              <w:ind w:leftChars="0" w:left="0" w:firstLineChars="0" w:firstLine="0"/>
              <w:jc w:val="center"/>
              <w:rPr>
                <w:sz w:val="24"/>
              </w:rPr>
            </w:pPr>
            <w:r>
              <w:rPr>
                <w:rFonts w:hint="eastAsia"/>
                <w:sz w:val="24"/>
              </w:rPr>
              <w:t>360</w:t>
            </w:r>
          </w:p>
        </w:tc>
        <w:tc>
          <w:tcPr>
            <w:tcW w:w="709" w:type="dxa"/>
            <w:vAlign w:val="center"/>
          </w:tcPr>
          <w:p w:rsidR="006D6E0A" w:rsidRPr="008916FE" w:rsidRDefault="006D6E0A" w:rsidP="006D6E0A">
            <w:pPr>
              <w:pStyle w:val="11"/>
              <w:ind w:leftChars="0" w:left="0" w:firstLineChars="0" w:firstLine="0"/>
              <w:jc w:val="center"/>
              <w:rPr>
                <w:sz w:val="24"/>
              </w:rPr>
            </w:pPr>
            <w:r>
              <w:rPr>
                <w:rFonts w:hint="eastAsia"/>
                <w:sz w:val="24"/>
              </w:rPr>
              <w:t>109</w:t>
            </w:r>
          </w:p>
        </w:tc>
        <w:tc>
          <w:tcPr>
            <w:tcW w:w="709" w:type="dxa"/>
            <w:vAlign w:val="center"/>
          </w:tcPr>
          <w:p w:rsidR="006D6E0A" w:rsidRPr="008916FE" w:rsidRDefault="006D6E0A" w:rsidP="006D6E0A">
            <w:pPr>
              <w:pStyle w:val="11"/>
              <w:ind w:leftChars="0" w:left="0" w:firstLineChars="0" w:firstLine="0"/>
              <w:jc w:val="center"/>
              <w:rPr>
                <w:sz w:val="24"/>
              </w:rPr>
            </w:pPr>
            <w:r>
              <w:rPr>
                <w:rFonts w:hint="eastAsia"/>
                <w:sz w:val="24"/>
              </w:rPr>
              <w:t>四湖</w:t>
            </w:r>
          </w:p>
        </w:tc>
        <w:tc>
          <w:tcPr>
            <w:tcW w:w="2835" w:type="dxa"/>
            <w:vAlign w:val="center"/>
          </w:tcPr>
          <w:p w:rsidR="006D6E0A" w:rsidRPr="008916FE" w:rsidRDefault="006D6E0A" w:rsidP="006D6E0A">
            <w:pPr>
              <w:pStyle w:val="11"/>
              <w:ind w:leftChars="0" w:left="0" w:firstLineChars="0" w:firstLine="0"/>
              <w:rPr>
                <w:sz w:val="24"/>
              </w:rPr>
            </w:pPr>
            <w:r>
              <w:rPr>
                <w:rFonts w:hint="eastAsia"/>
                <w:sz w:val="24"/>
              </w:rPr>
              <w:t>核配122MW後已達500MW，依作業要點，考量風量完整性、開發效益及輸配電業公告併網容量等條件後，且本案非屬彰化地區，爰增加核配238MW，共計核配360MW。</w:t>
            </w:r>
          </w:p>
        </w:tc>
        <w:tc>
          <w:tcPr>
            <w:tcW w:w="627" w:type="dxa"/>
            <w:vAlign w:val="center"/>
          </w:tcPr>
          <w:p w:rsidR="006D6E0A" w:rsidRPr="008916FE" w:rsidRDefault="006D6E0A" w:rsidP="006D6E0A">
            <w:pPr>
              <w:pStyle w:val="11"/>
              <w:ind w:leftChars="0" w:left="0" w:firstLineChars="0" w:firstLine="0"/>
              <w:jc w:val="center"/>
              <w:rPr>
                <w:sz w:val="24"/>
              </w:rPr>
            </w:pPr>
            <w:r>
              <w:rPr>
                <w:rFonts w:hint="eastAsia"/>
                <w:sz w:val="24"/>
              </w:rPr>
              <w:t>738</w:t>
            </w:r>
          </w:p>
        </w:tc>
      </w:tr>
    </w:tbl>
    <w:p w:rsidR="006D6E0A" w:rsidRDefault="006D6E0A" w:rsidP="006D6E0A">
      <w:pPr>
        <w:pStyle w:val="11"/>
        <w:ind w:leftChars="0" w:left="692" w:hangingChars="266" w:hanging="692"/>
        <w:jc w:val="left"/>
        <w:rPr>
          <w:sz w:val="24"/>
        </w:rPr>
      </w:pPr>
      <w:r w:rsidRPr="00474519">
        <w:rPr>
          <w:rFonts w:hint="eastAsia"/>
          <w:sz w:val="24"/>
        </w:rPr>
        <w:t>資料來源：</w:t>
      </w:r>
      <w:r w:rsidR="008E3BC3">
        <w:rPr>
          <w:rFonts w:hint="eastAsia"/>
          <w:sz w:val="24"/>
        </w:rPr>
        <w:t>經濟部</w:t>
      </w:r>
      <w:r w:rsidRPr="00474519">
        <w:rPr>
          <w:rFonts w:hint="eastAsia"/>
          <w:sz w:val="24"/>
        </w:rPr>
        <w:t>能源局</w:t>
      </w:r>
      <w:r>
        <w:rPr>
          <w:rFonts w:hint="eastAsia"/>
          <w:sz w:val="24"/>
        </w:rPr>
        <w:t>。</w:t>
      </w:r>
    </w:p>
    <w:p w:rsidR="006D6E0A" w:rsidRPr="001D6D67" w:rsidRDefault="006D6E0A" w:rsidP="001D6D67">
      <w:pPr>
        <w:pStyle w:val="a2"/>
        <w:ind w:left="0" w:firstLine="0"/>
        <w:jc w:val="center"/>
        <w:rPr>
          <w:b/>
        </w:rPr>
      </w:pPr>
      <w:bookmarkStart w:id="82" w:name="_Toc531620392"/>
      <w:bookmarkStart w:id="83" w:name="_Toc22216354"/>
      <w:r w:rsidRPr="001D6D67">
        <w:rPr>
          <w:rFonts w:hint="eastAsia"/>
          <w:b/>
        </w:rPr>
        <w:t>110-114年</w:t>
      </w:r>
      <w:r w:rsidR="00243C9F">
        <w:rPr>
          <w:rFonts w:hint="eastAsia"/>
          <w:b/>
        </w:rPr>
        <w:t>離岸風電</w:t>
      </w:r>
      <w:r w:rsidRPr="001D6D67">
        <w:rPr>
          <w:rFonts w:hint="eastAsia"/>
          <w:b/>
        </w:rPr>
        <w:t>完工併聯遴選結果一覽表</w:t>
      </w:r>
      <w:bookmarkEnd w:id="82"/>
      <w:bookmarkEnd w:id="83"/>
    </w:p>
    <w:tbl>
      <w:tblPr>
        <w:tblStyle w:val="af7"/>
        <w:tblW w:w="9214" w:type="dxa"/>
        <w:tblInd w:w="5" w:type="dxa"/>
        <w:tblCellMar>
          <w:left w:w="0" w:type="dxa"/>
          <w:right w:w="0" w:type="dxa"/>
        </w:tblCellMar>
        <w:tblLook w:val="04A0" w:firstRow="1" w:lastRow="0" w:firstColumn="1" w:lastColumn="0" w:noHBand="0" w:noVBand="1"/>
      </w:tblPr>
      <w:tblGrid>
        <w:gridCol w:w="419"/>
        <w:gridCol w:w="824"/>
        <w:gridCol w:w="884"/>
        <w:gridCol w:w="1112"/>
        <w:gridCol w:w="705"/>
        <w:gridCol w:w="695"/>
        <w:gridCol w:w="700"/>
        <w:gridCol w:w="3025"/>
        <w:gridCol w:w="850"/>
      </w:tblGrid>
      <w:tr w:rsidR="006D6E0A" w:rsidRPr="00E01C87" w:rsidTr="006D6E0A">
        <w:trPr>
          <w:trHeight w:val="95"/>
          <w:tblHeader/>
        </w:trPr>
        <w:tc>
          <w:tcPr>
            <w:tcW w:w="419" w:type="dxa"/>
            <w:vAlign w:val="center"/>
          </w:tcPr>
          <w:p w:rsidR="006D6E0A" w:rsidRPr="00E01C87" w:rsidRDefault="006D6E0A" w:rsidP="006D6E0A">
            <w:pPr>
              <w:pStyle w:val="11"/>
              <w:ind w:leftChars="0" w:left="0" w:firstLineChars="0" w:firstLine="0"/>
              <w:jc w:val="center"/>
              <w:rPr>
                <w:rFonts w:ascii="Times New Roman"/>
                <w:b/>
                <w:sz w:val="24"/>
              </w:rPr>
            </w:pPr>
            <w:r w:rsidRPr="00E01C87">
              <w:rPr>
                <w:rFonts w:ascii="Times New Roman"/>
                <w:b/>
                <w:sz w:val="24"/>
              </w:rPr>
              <w:t>序位</w:t>
            </w:r>
          </w:p>
        </w:tc>
        <w:tc>
          <w:tcPr>
            <w:tcW w:w="824" w:type="dxa"/>
            <w:vAlign w:val="center"/>
          </w:tcPr>
          <w:p w:rsidR="006D6E0A" w:rsidRPr="00E01C87" w:rsidRDefault="006D6E0A" w:rsidP="006D6E0A">
            <w:pPr>
              <w:pStyle w:val="11"/>
              <w:ind w:leftChars="0" w:left="0" w:firstLineChars="0" w:firstLine="0"/>
              <w:jc w:val="center"/>
              <w:rPr>
                <w:rFonts w:ascii="Times New Roman"/>
                <w:b/>
                <w:sz w:val="24"/>
              </w:rPr>
            </w:pPr>
            <w:r w:rsidRPr="00E01C87">
              <w:rPr>
                <w:rFonts w:ascii="Times New Roman"/>
                <w:b/>
                <w:sz w:val="24"/>
              </w:rPr>
              <w:t>申請案</w:t>
            </w:r>
          </w:p>
        </w:tc>
        <w:tc>
          <w:tcPr>
            <w:tcW w:w="884" w:type="dxa"/>
            <w:vAlign w:val="center"/>
          </w:tcPr>
          <w:p w:rsidR="006D6E0A" w:rsidRPr="00E01C87" w:rsidRDefault="006D6E0A" w:rsidP="006D6E0A">
            <w:pPr>
              <w:pStyle w:val="11"/>
              <w:ind w:leftChars="0" w:left="0" w:firstLineChars="0" w:firstLine="0"/>
              <w:jc w:val="center"/>
              <w:rPr>
                <w:rFonts w:ascii="Times New Roman"/>
                <w:b/>
                <w:sz w:val="24"/>
              </w:rPr>
            </w:pPr>
            <w:r w:rsidRPr="00E01C87">
              <w:rPr>
                <w:rFonts w:ascii="Times New Roman"/>
                <w:b/>
                <w:sz w:val="24"/>
              </w:rPr>
              <w:t>開發商</w:t>
            </w:r>
          </w:p>
        </w:tc>
        <w:tc>
          <w:tcPr>
            <w:tcW w:w="1112" w:type="dxa"/>
            <w:vAlign w:val="center"/>
          </w:tcPr>
          <w:p w:rsidR="006D6E0A" w:rsidRPr="00E01C87" w:rsidRDefault="006D6E0A" w:rsidP="006D6E0A">
            <w:pPr>
              <w:pStyle w:val="11"/>
              <w:ind w:leftChars="0" w:left="0" w:firstLineChars="0" w:firstLine="0"/>
              <w:jc w:val="center"/>
              <w:rPr>
                <w:rFonts w:ascii="Times New Roman"/>
                <w:b/>
                <w:sz w:val="24"/>
              </w:rPr>
            </w:pPr>
            <w:r w:rsidRPr="00E01C87">
              <w:rPr>
                <w:rFonts w:ascii="Times New Roman"/>
                <w:b/>
                <w:sz w:val="24"/>
              </w:rPr>
              <w:t>申請容量</w:t>
            </w:r>
          </w:p>
          <w:p w:rsidR="006D6E0A" w:rsidRPr="00E01C87" w:rsidRDefault="006D6E0A" w:rsidP="006D6E0A">
            <w:pPr>
              <w:pStyle w:val="11"/>
              <w:ind w:leftChars="0" w:left="0" w:firstLineChars="0" w:firstLine="0"/>
              <w:jc w:val="center"/>
              <w:rPr>
                <w:rFonts w:ascii="Times New Roman"/>
                <w:b/>
                <w:sz w:val="24"/>
              </w:rPr>
            </w:pPr>
            <w:r w:rsidRPr="00E01C87">
              <w:rPr>
                <w:rFonts w:ascii="Times New Roman"/>
                <w:b/>
                <w:sz w:val="24"/>
              </w:rPr>
              <w:t>(MW)</w:t>
            </w:r>
          </w:p>
        </w:tc>
        <w:tc>
          <w:tcPr>
            <w:tcW w:w="705" w:type="dxa"/>
            <w:vAlign w:val="center"/>
          </w:tcPr>
          <w:p w:rsidR="006D6E0A" w:rsidRPr="00E01C87" w:rsidRDefault="006D6E0A" w:rsidP="006D6E0A">
            <w:pPr>
              <w:pStyle w:val="11"/>
              <w:ind w:leftChars="0" w:left="0" w:firstLineChars="0" w:firstLine="0"/>
              <w:jc w:val="center"/>
              <w:rPr>
                <w:rFonts w:ascii="Times New Roman"/>
                <w:b/>
                <w:sz w:val="24"/>
              </w:rPr>
            </w:pPr>
            <w:r w:rsidRPr="00E01C87">
              <w:rPr>
                <w:rFonts w:ascii="Times New Roman"/>
                <w:b/>
                <w:sz w:val="24"/>
              </w:rPr>
              <w:t>核配</w:t>
            </w:r>
          </w:p>
          <w:p w:rsidR="006D6E0A" w:rsidRPr="00E01C87" w:rsidRDefault="006D6E0A" w:rsidP="006D6E0A">
            <w:pPr>
              <w:pStyle w:val="11"/>
              <w:ind w:leftChars="0" w:left="0" w:firstLineChars="0" w:firstLine="0"/>
              <w:jc w:val="center"/>
              <w:rPr>
                <w:rFonts w:ascii="Times New Roman"/>
                <w:b/>
                <w:sz w:val="24"/>
              </w:rPr>
            </w:pPr>
            <w:r w:rsidRPr="00E01C87">
              <w:rPr>
                <w:rFonts w:ascii="Times New Roman"/>
                <w:b/>
                <w:sz w:val="24"/>
              </w:rPr>
              <w:t>容量</w:t>
            </w:r>
          </w:p>
        </w:tc>
        <w:tc>
          <w:tcPr>
            <w:tcW w:w="695" w:type="dxa"/>
            <w:vAlign w:val="center"/>
          </w:tcPr>
          <w:p w:rsidR="006D6E0A" w:rsidRPr="00E01C87" w:rsidRDefault="006D6E0A" w:rsidP="006D6E0A">
            <w:pPr>
              <w:pStyle w:val="11"/>
              <w:ind w:leftChars="0" w:left="0" w:firstLineChars="0" w:firstLine="0"/>
              <w:jc w:val="center"/>
              <w:rPr>
                <w:rFonts w:ascii="Times New Roman"/>
                <w:b/>
                <w:sz w:val="24"/>
              </w:rPr>
            </w:pPr>
            <w:r w:rsidRPr="00E01C87">
              <w:rPr>
                <w:rFonts w:ascii="Times New Roman"/>
                <w:b/>
                <w:sz w:val="24"/>
              </w:rPr>
              <w:t>併聯</w:t>
            </w:r>
          </w:p>
          <w:p w:rsidR="006D6E0A" w:rsidRPr="00E01C87" w:rsidRDefault="006D6E0A" w:rsidP="006D6E0A">
            <w:pPr>
              <w:pStyle w:val="11"/>
              <w:ind w:leftChars="0" w:left="0" w:firstLineChars="0" w:firstLine="0"/>
              <w:jc w:val="center"/>
              <w:rPr>
                <w:rFonts w:ascii="Times New Roman"/>
                <w:b/>
                <w:sz w:val="24"/>
              </w:rPr>
            </w:pPr>
            <w:r w:rsidRPr="00E01C87">
              <w:rPr>
                <w:rFonts w:ascii="Times New Roman"/>
                <w:b/>
                <w:sz w:val="24"/>
              </w:rPr>
              <w:t>年度</w:t>
            </w:r>
          </w:p>
        </w:tc>
        <w:tc>
          <w:tcPr>
            <w:tcW w:w="700" w:type="dxa"/>
            <w:vAlign w:val="center"/>
          </w:tcPr>
          <w:p w:rsidR="006D6E0A" w:rsidRPr="00E01C87" w:rsidRDefault="006D6E0A" w:rsidP="006D6E0A">
            <w:pPr>
              <w:pStyle w:val="11"/>
              <w:ind w:leftChars="0" w:left="0" w:firstLineChars="0" w:firstLine="0"/>
              <w:jc w:val="center"/>
              <w:rPr>
                <w:rFonts w:ascii="Times New Roman"/>
                <w:b/>
                <w:sz w:val="24"/>
              </w:rPr>
            </w:pPr>
            <w:r w:rsidRPr="00E01C87">
              <w:rPr>
                <w:rFonts w:ascii="Times New Roman"/>
                <w:b/>
                <w:sz w:val="24"/>
              </w:rPr>
              <w:t>併接</w:t>
            </w:r>
          </w:p>
          <w:p w:rsidR="006D6E0A" w:rsidRPr="00E01C87" w:rsidRDefault="006D6E0A" w:rsidP="006D6E0A">
            <w:pPr>
              <w:pStyle w:val="11"/>
              <w:ind w:leftChars="0" w:left="0" w:firstLineChars="0" w:firstLine="0"/>
              <w:jc w:val="center"/>
              <w:rPr>
                <w:rFonts w:ascii="Times New Roman"/>
                <w:b/>
                <w:sz w:val="24"/>
              </w:rPr>
            </w:pPr>
            <w:r w:rsidRPr="00E01C87">
              <w:rPr>
                <w:rFonts w:ascii="Times New Roman"/>
                <w:b/>
                <w:sz w:val="24"/>
              </w:rPr>
              <w:t>點位</w:t>
            </w:r>
          </w:p>
        </w:tc>
        <w:tc>
          <w:tcPr>
            <w:tcW w:w="3025" w:type="dxa"/>
            <w:vAlign w:val="center"/>
          </w:tcPr>
          <w:p w:rsidR="006D6E0A" w:rsidRPr="00E01C87" w:rsidRDefault="006D6E0A" w:rsidP="006D6E0A">
            <w:pPr>
              <w:pStyle w:val="11"/>
              <w:ind w:leftChars="0" w:left="0" w:firstLineChars="0" w:firstLine="0"/>
              <w:jc w:val="center"/>
              <w:rPr>
                <w:rFonts w:ascii="Times New Roman"/>
                <w:b/>
                <w:sz w:val="24"/>
              </w:rPr>
            </w:pPr>
            <w:r w:rsidRPr="00E01C87">
              <w:rPr>
                <w:rFonts w:ascii="Times New Roman"/>
                <w:b/>
                <w:sz w:val="24"/>
              </w:rPr>
              <w:t>備註</w:t>
            </w:r>
          </w:p>
        </w:tc>
        <w:tc>
          <w:tcPr>
            <w:tcW w:w="850" w:type="dxa"/>
            <w:vAlign w:val="center"/>
          </w:tcPr>
          <w:p w:rsidR="006D6E0A" w:rsidRPr="00E01C87" w:rsidRDefault="006D6E0A" w:rsidP="006D6E0A">
            <w:pPr>
              <w:pStyle w:val="11"/>
              <w:ind w:leftChars="0" w:left="0" w:firstLineChars="0" w:firstLine="0"/>
              <w:jc w:val="center"/>
              <w:rPr>
                <w:rFonts w:ascii="Times New Roman"/>
                <w:b/>
                <w:sz w:val="24"/>
              </w:rPr>
            </w:pPr>
            <w:r w:rsidRPr="00E01C87">
              <w:rPr>
                <w:rFonts w:ascii="Times New Roman"/>
                <w:b/>
                <w:sz w:val="24"/>
              </w:rPr>
              <w:t>累計</w:t>
            </w:r>
          </w:p>
          <w:p w:rsidR="006D6E0A" w:rsidRPr="00E01C87" w:rsidRDefault="006D6E0A" w:rsidP="006D6E0A">
            <w:pPr>
              <w:pStyle w:val="11"/>
              <w:ind w:leftChars="0" w:left="0" w:firstLineChars="0" w:firstLine="0"/>
              <w:jc w:val="center"/>
              <w:rPr>
                <w:rFonts w:ascii="Times New Roman"/>
                <w:b/>
                <w:sz w:val="24"/>
              </w:rPr>
            </w:pPr>
            <w:r w:rsidRPr="00E01C87">
              <w:rPr>
                <w:rFonts w:ascii="Times New Roman"/>
                <w:b/>
                <w:sz w:val="24"/>
              </w:rPr>
              <w:t>容量</w:t>
            </w:r>
          </w:p>
          <w:p w:rsidR="008E3BC3" w:rsidRPr="00E01C87" w:rsidRDefault="008E3BC3" w:rsidP="006D6E0A">
            <w:pPr>
              <w:pStyle w:val="11"/>
              <w:ind w:leftChars="0" w:left="0" w:firstLineChars="0" w:firstLine="0"/>
              <w:jc w:val="center"/>
              <w:rPr>
                <w:rFonts w:ascii="Times New Roman"/>
                <w:b/>
                <w:sz w:val="24"/>
              </w:rPr>
            </w:pPr>
            <w:r w:rsidRPr="00E01C87">
              <w:rPr>
                <w:rFonts w:ascii="Times New Roman" w:hint="eastAsia"/>
                <w:b/>
                <w:sz w:val="24"/>
              </w:rPr>
              <w:t>(MW)</w:t>
            </w:r>
          </w:p>
        </w:tc>
      </w:tr>
      <w:tr w:rsidR="006D6E0A" w:rsidTr="006D6E0A">
        <w:tc>
          <w:tcPr>
            <w:tcW w:w="419" w:type="dxa"/>
            <w:vAlign w:val="center"/>
          </w:tcPr>
          <w:p w:rsidR="006D6E0A" w:rsidRPr="00E01C87" w:rsidRDefault="006D6E0A" w:rsidP="002C2BF1">
            <w:pPr>
              <w:pStyle w:val="11"/>
              <w:numPr>
                <w:ilvl w:val="0"/>
                <w:numId w:val="13"/>
              </w:numPr>
              <w:ind w:leftChars="0" w:firstLineChars="0"/>
              <w:jc w:val="center"/>
              <w:rPr>
                <w:rFonts w:ascii="Times New Roman"/>
                <w:b/>
                <w:sz w:val="24"/>
              </w:rPr>
            </w:pPr>
          </w:p>
        </w:tc>
        <w:tc>
          <w:tcPr>
            <w:tcW w:w="824"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麗威</w:t>
            </w:r>
          </w:p>
        </w:tc>
        <w:tc>
          <w:tcPr>
            <w:tcW w:w="884"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WPD(1)</w:t>
            </w:r>
          </w:p>
        </w:tc>
        <w:tc>
          <w:tcPr>
            <w:tcW w:w="1112"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363</w:t>
            </w:r>
          </w:p>
        </w:tc>
        <w:tc>
          <w:tcPr>
            <w:tcW w:w="705"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350</w:t>
            </w:r>
          </w:p>
        </w:tc>
        <w:tc>
          <w:tcPr>
            <w:tcW w:w="695"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110</w:t>
            </w:r>
          </w:p>
        </w:tc>
        <w:tc>
          <w:tcPr>
            <w:tcW w:w="700"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塘尾</w:t>
            </w:r>
            <w:r w:rsidRPr="00D57A5B">
              <w:rPr>
                <w:rFonts w:ascii="Times New Roman"/>
                <w:sz w:val="24"/>
              </w:rPr>
              <w:t>D/S</w:t>
            </w:r>
          </w:p>
        </w:tc>
        <w:tc>
          <w:tcPr>
            <w:tcW w:w="3025" w:type="dxa"/>
          </w:tcPr>
          <w:p w:rsidR="00062222" w:rsidRDefault="006D6E0A" w:rsidP="006D6E0A">
            <w:pPr>
              <w:pStyle w:val="11"/>
              <w:ind w:leftChars="0" w:left="0" w:firstLineChars="0" w:firstLine="0"/>
              <w:rPr>
                <w:rFonts w:ascii="Times New Roman"/>
                <w:sz w:val="24"/>
              </w:rPr>
            </w:pPr>
            <w:r>
              <w:rPr>
                <w:rFonts w:ascii="Times New Roman" w:hint="eastAsia"/>
                <w:sz w:val="24"/>
              </w:rPr>
              <w:t>依申請點位及完工併聯</w:t>
            </w:r>
          </w:p>
          <w:p w:rsidR="006D6E0A" w:rsidRPr="00D57A5B" w:rsidRDefault="006D6E0A" w:rsidP="006D6E0A">
            <w:pPr>
              <w:pStyle w:val="11"/>
              <w:ind w:leftChars="0" w:left="0" w:firstLineChars="0" w:firstLine="0"/>
              <w:rPr>
                <w:rFonts w:ascii="Times New Roman"/>
                <w:sz w:val="24"/>
              </w:rPr>
            </w:pPr>
            <w:r>
              <w:rPr>
                <w:rFonts w:ascii="Times New Roman" w:hint="eastAsia"/>
                <w:sz w:val="24"/>
              </w:rPr>
              <w:t>年度</w:t>
            </w:r>
            <w:r>
              <w:rPr>
                <w:rFonts w:ascii="Times New Roman" w:hint="eastAsia"/>
                <w:sz w:val="24"/>
              </w:rPr>
              <w:t>(</w:t>
            </w:r>
            <w:r>
              <w:rPr>
                <w:rFonts w:ascii="Times New Roman" w:hint="eastAsia"/>
                <w:sz w:val="24"/>
              </w:rPr>
              <w:t>僅勾選</w:t>
            </w:r>
            <w:r>
              <w:rPr>
                <w:rFonts w:ascii="Times New Roman" w:hint="eastAsia"/>
                <w:sz w:val="24"/>
              </w:rPr>
              <w:t>110</w:t>
            </w:r>
            <w:r>
              <w:rPr>
                <w:rFonts w:ascii="Times New Roman" w:hint="eastAsia"/>
                <w:sz w:val="24"/>
              </w:rPr>
              <w:t>年</w:t>
            </w:r>
            <w:r>
              <w:rPr>
                <w:rFonts w:ascii="Times New Roman" w:hint="eastAsia"/>
                <w:sz w:val="24"/>
              </w:rPr>
              <w:t>)</w:t>
            </w:r>
            <w:r>
              <w:rPr>
                <w:rFonts w:ascii="Times New Roman" w:hint="eastAsia"/>
                <w:sz w:val="24"/>
              </w:rPr>
              <w:t>，當年度台電塘尾</w:t>
            </w:r>
            <w:r>
              <w:rPr>
                <w:rFonts w:ascii="Times New Roman" w:hint="eastAsia"/>
                <w:sz w:val="24"/>
              </w:rPr>
              <w:t>D/S</w:t>
            </w:r>
            <w:r>
              <w:rPr>
                <w:rFonts w:ascii="Times New Roman" w:hint="eastAsia"/>
                <w:sz w:val="24"/>
              </w:rPr>
              <w:t>僅提供併網容量為</w:t>
            </w:r>
            <w:r>
              <w:rPr>
                <w:rFonts w:ascii="Times New Roman" w:hint="eastAsia"/>
                <w:sz w:val="24"/>
              </w:rPr>
              <w:t>350MW</w:t>
            </w:r>
            <w:r>
              <w:rPr>
                <w:rFonts w:ascii="Times New Roman" w:hint="eastAsia"/>
                <w:sz w:val="24"/>
              </w:rPr>
              <w:t>。爰核配</w:t>
            </w:r>
            <w:r>
              <w:rPr>
                <w:rFonts w:ascii="Times New Roman" w:hint="eastAsia"/>
                <w:sz w:val="24"/>
              </w:rPr>
              <w:t>350MW</w:t>
            </w:r>
            <w:r>
              <w:rPr>
                <w:rFonts w:ascii="Times New Roman" w:hint="eastAsia"/>
                <w:sz w:val="24"/>
              </w:rPr>
              <w:t>。</w:t>
            </w:r>
          </w:p>
        </w:tc>
        <w:tc>
          <w:tcPr>
            <w:tcW w:w="850" w:type="dxa"/>
            <w:vAlign w:val="center"/>
          </w:tcPr>
          <w:p w:rsidR="006D6E0A" w:rsidRPr="00D57A5B" w:rsidRDefault="006D6E0A" w:rsidP="008E3BC3">
            <w:pPr>
              <w:pStyle w:val="11"/>
              <w:ind w:leftChars="0" w:left="0" w:firstLineChars="0" w:firstLine="0"/>
              <w:jc w:val="center"/>
              <w:rPr>
                <w:rFonts w:ascii="Times New Roman"/>
                <w:sz w:val="24"/>
              </w:rPr>
            </w:pPr>
            <w:r w:rsidRPr="00D57A5B">
              <w:rPr>
                <w:rFonts w:ascii="Times New Roman"/>
                <w:sz w:val="24"/>
              </w:rPr>
              <w:t>350</w:t>
            </w:r>
          </w:p>
        </w:tc>
      </w:tr>
      <w:tr w:rsidR="006D6E0A" w:rsidTr="006D6E0A">
        <w:tc>
          <w:tcPr>
            <w:tcW w:w="419" w:type="dxa"/>
            <w:vAlign w:val="center"/>
          </w:tcPr>
          <w:p w:rsidR="006D6E0A" w:rsidRPr="00E01C87" w:rsidRDefault="006D6E0A" w:rsidP="002C2BF1">
            <w:pPr>
              <w:pStyle w:val="11"/>
              <w:numPr>
                <w:ilvl w:val="0"/>
                <w:numId w:val="13"/>
              </w:numPr>
              <w:ind w:leftChars="0" w:firstLineChars="0"/>
              <w:jc w:val="center"/>
              <w:rPr>
                <w:rFonts w:ascii="Times New Roman"/>
                <w:b/>
                <w:sz w:val="24"/>
              </w:rPr>
            </w:pPr>
          </w:p>
        </w:tc>
        <w:tc>
          <w:tcPr>
            <w:tcW w:w="824" w:type="dxa"/>
            <w:vAlign w:val="center"/>
          </w:tcPr>
          <w:p w:rsidR="006D6E0A" w:rsidRDefault="006D6E0A" w:rsidP="006D6E0A">
            <w:pPr>
              <w:pStyle w:val="11"/>
              <w:ind w:leftChars="0" w:left="0" w:firstLineChars="0" w:firstLine="0"/>
              <w:jc w:val="center"/>
              <w:rPr>
                <w:rFonts w:ascii="Times New Roman"/>
                <w:sz w:val="24"/>
              </w:rPr>
            </w:pPr>
            <w:r w:rsidRPr="00D57A5B">
              <w:rPr>
                <w:rFonts w:ascii="Times New Roman"/>
                <w:sz w:val="24"/>
              </w:rPr>
              <w:t>大彰化</w:t>
            </w:r>
          </w:p>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東南</w:t>
            </w:r>
          </w:p>
        </w:tc>
        <w:tc>
          <w:tcPr>
            <w:tcW w:w="884"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沃旭</w:t>
            </w:r>
            <w:r w:rsidRPr="00D57A5B">
              <w:rPr>
                <w:rFonts w:ascii="Times New Roman"/>
                <w:sz w:val="24"/>
              </w:rPr>
              <w:t>(2)</w:t>
            </w:r>
          </w:p>
        </w:tc>
        <w:tc>
          <w:tcPr>
            <w:tcW w:w="1112"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605.2</w:t>
            </w:r>
          </w:p>
        </w:tc>
        <w:tc>
          <w:tcPr>
            <w:tcW w:w="705"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605.2</w:t>
            </w:r>
          </w:p>
        </w:tc>
        <w:tc>
          <w:tcPr>
            <w:tcW w:w="695"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110</w:t>
            </w:r>
          </w:p>
        </w:tc>
        <w:tc>
          <w:tcPr>
            <w:tcW w:w="700"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彰一</w:t>
            </w:r>
            <w:r w:rsidRPr="00D57A5B">
              <w:rPr>
                <w:rFonts w:ascii="Times New Roman"/>
                <w:sz w:val="24"/>
              </w:rPr>
              <w:t>(</w:t>
            </w:r>
            <w:r w:rsidRPr="00D57A5B">
              <w:rPr>
                <w:rFonts w:ascii="Times New Roman"/>
                <w:sz w:val="24"/>
              </w:rPr>
              <w:t>甲</w:t>
            </w:r>
            <w:r w:rsidRPr="00D57A5B">
              <w:rPr>
                <w:rFonts w:ascii="Times New Roman"/>
                <w:sz w:val="24"/>
              </w:rPr>
              <w:t>)</w:t>
            </w:r>
          </w:p>
        </w:tc>
        <w:tc>
          <w:tcPr>
            <w:tcW w:w="3025" w:type="dxa"/>
          </w:tcPr>
          <w:p w:rsidR="008E3BC3" w:rsidRDefault="006D6E0A" w:rsidP="008E3BC3">
            <w:pPr>
              <w:pStyle w:val="11"/>
              <w:ind w:leftChars="0" w:left="0" w:firstLineChars="0" w:firstLine="0"/>
              <w:jc w:val="distribute"/>
              <w:rPr>
                <w:rFonts w:ascii="Times New Roman"/>
                <w:sz w:val="24"/>
              </w:rPr>
            </w:pPr>
            <w:r>
              <w:rPr>
                <w:rFonts w:ascii="Times New Roman" w:hint="eastAsia"/>
                <w:sz w:val="24"/>
              </w:rPr>
              <w:t>依申請點位及完工併聯</w:t>
            </w:r>
          </w:p>
          <w:p w:rsidR="006D6E0A" w:rsidRPr="00D57A5B" w:rsidRDefault="006D6E0A" w:rsidP="006D6E0A">
            <w:pPr>
              <w:pStyle w:val="11"/>
              <w:ind w:leftChars="0" w:left="0" w:firstLineChars="0" w:firstLine="0"/>
              <w:rPr>
                <w:rFonts w:ascii="Times New Roman"/>
                <w:sz w:val="24"/>
              </w:rPr>
            </w:pPr>
            <w:r>
              <w:rPr>
                <w:rFonts w:ascii="Times New Roman" w:hint="eastAsia"/>
                <w:sz w:val="24"/>
              </w:rPr>
              <w:t>年度核配。</w:t>
            </w:r>
          </w:p>
        </w:tc>
        <w:tc>
          <w:tcPr>
            <w:tcW w:w="850"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955.2</w:t>
            </w:r>
          </w:p>
        </w:tc>
      </w:tr>
      <w:tr w:rsidR="006D6E0A" w:rsidTr="006D6E0A">
        <w:tc>
          <w:tcPr>
            <w:tcW w:w="419" w:type="dxa"/>
            <w:vAlign w:val="center"/>
          </w:tcPr>
          <w:p w:rsidR="006D6E0A" w:rsidRPr="00E01C87" w:rsidRDefault="006D6E0A" w:rsidP="002C2BF1">
            <w:pPr>
              <w:pStyle w:val="11"/>
              <w:numPr>
                <w:ilvl w:val="0"/>
                <w:numId w:val="13"/>
              </w:numPr>
              <w:ind w:leftChars="0" w:firstLineChars="0"/>
              <w:jc w:val="center"/>
              <w:rPr>
                <w:rFonts w:ascii="Times New Roman"/>
                <w:b/>
                <w:sz w:val="24"/>
              </w:rPr>
            </w:pPr>
          </w:p>
        </w:tc>
        <w:tc>
          <w:tcPr>
            <w:tcW w:w="824"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允能</w:t>
            </w:r>
          </w:p>
        </w:tc>
        <w:tc>
          <w:tcPr>
            <w:tcW w:w="884"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WPD(1)</w:t>
            </w:r>
          </w:p>
        </w:tc>
        <w:tc>
          <w:tcPr>
            <w:tcW w:w="1112"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348</w:t>
            </w:r>
          </w:p>
        </w:tc>
        <w:tc>
          <w:tcPr>
            <w:tcW w:w="705"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348</w:t>
            </w:r>
          </w:p>
        </w:tc>
        <w:tc>
          <w:tcPr>
            <w:tcW w:w="695"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110</w:t>
            </w:r>
          </w:p>
        </w:tc>
        <w:tc>
          <w:tcPr>
            <w:tcW w:w="700"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台西</w:t>
            </w:r>
            <w:r w:rsidRPr="00D57A5B">
              <w:rPr>
                <w:rFonts w:ascii="Times New Roman"/>
                <w:sz w:val="24"/>
              </w:rPr>
              <w:t>D/S</w:t>
            </w:r>
          </w:p>
        </w:tc>
        <w:tc>
          <w:tcPr>
            <w:tcW w:w="3025" w:type="dxa"/>
          </w:tcPr>
          <w:p w:rsidR="008E3BC3" w:rsidRDefault="006D6E0A" w:rsidP="008E3BC3">
            <w:pPr>
              <w:pStyle w:val="11"/>
              <w:ind w:leftChars="0" w:left="0" w:firstLineChars="0" w:firstLine="0"/>
              <w:jc w:val="distribute"/>
              <w:rPr>
                <w:rFonts w:ascii="Times New Roman"/>
                <w:sz w:val="24"/>
              </w:rPr>
            </w:pPr>
            <w:r>
              <w:rPr>
                <w:rFonts w:ascii="Times New Roman" w:hint="eastAsia"/>
                <w:sz w:val="24"/>
              </w:rPr>
              <w:t>依申請點位及完工併聯</w:t>
            </w:r>
          </w:p>
          <w:p w:rsidR="006D6E0A" w:rsidRPr="00D57A5B" w:rsidRDefault="006D6E0A" w:rsidP="006D6E0A">
            <w:pPr>
              <w:pStyle w:val="11"/>
              <w:ind w:leftChars="0" w:left="0" w:firstLineChars="0" w:firstLine="0"/>
              <w:rPr>
                <w:rFonts w:ascii="Times New Roman"/>
                <w:sz w:val="24"/>
              </w:rPr>
            </w:pPr>
            <w:r>
              <w:rPr>
                <w:rFonts w:ascii="Times New Roman" w:hint="eastAsia"/>
                <w:sz w:val="24"/>
              </w:rPr>
              <w:t>年度核配。</w:t>
            </w:r>
          </w:p>
        </w:tc>
        <w:tc>
          <w:tcPr>
            <w:tcW w:w="850"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1</w:t>
            </w:r>
            <w:r w:rsidR="008E3BC3">
              <w:rPr>
                <w:rFonts w:ascii="Times New Roman" w:hint="eastAsia"/>
                <w:sz w:val="24"/>
              </w:rPr>
              <w:t>,</w:t>
            </w:r>
            <w:r w:rsidRPr="00D57A5B">
              <w:rPr>
                <w:rFonts w:ascii="Times New Roman"/>
                <w:sz w:val="24"/>
              </w:rPr>
              <w:t>303.2</w:t>
            </w:r>
          </w:p>
        </w:tc>
      </w:tr>
      <w:tr w:rsidR="006D6E0A" w:rsidTr="006D6E0A">
        <w:tc>
          <w:tcPr>
            <w:tcW w:w="419" w:type="dxa"/>
            <w:vAlign w:val="center"/>
          </w:tcPr>
          <w:p w:rsidR="006D6E0A" w:rsidRPr="00E01C87" w:rsidRDefault="006D6E0A" w:rsidP="002C2BF1">
            <w:pPr>
              <w:pStyle w:val="11"/>
              <w:numPr>
                <w:ilvl w:val="0"/>
                <w:numId w:val="13"/>
              </w:numPr>
              <w:ind w:leftChars="0" w:firstLineChars="0"/>
              <w:jc w:val="center"/>
              <w:rPr>
                <w:rFonts w:ascii="Times New Roman"/>
                <w:b/>
                <w:sz w:val="24"/>
              </w:rPr>
            </w:pPr>
          </w:p>
        </w:tc>
        <w:tc>
          <w:tcPr>
            <w:tcW w:w="824" w:type="dxa"/>
            <w:vAlign w:val="center"/>
          </w:tcPr>
          <w:p w:rsidR="006D6E0A" w:rsidRDefault="006D6E0A" w:rsidP="006D6E0A">
            <w:pPr>
              <w:pStyle w:val="11"/>
              <w:ind w:leftChars="0" w:left="0" w:firstLineChars="0" w:firstLine="0"/>
              <w:jc w:val="center"/>
              <w:rPr>
                <w:rFonts w:ascii="Times New Roman"/>
                <w:sz w:val="24"/>
              </w:rPr>
            </w:pPr>
            <w:r w:rsidRPr="00D57A5B">
              <w:rPr>
                <w:rFonts w:ascii="Times New Roman"/>
                <w:sz w:val="24"/>
              </w:rPr>
              <w:t>大彰化</w:t>
            </w:r>
          </w:p>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西南</w:t>
            </w:r>
          </w:p>
        </w:tc>
        <w:tc>
          <w:tcPr>
            <w:tcW w:w="884"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沃旭</w:t>
            </w:r>
            <w:r w:rsidRPr="00D57A5B">
              <w:rPr>
                <w:rFonts w:ascii="Times New Roman"/>
                <w:sz w:val="24"/>
              </w:rPr>
              <w:t>(2)</w:t>
            </w:r>
          </w:p>
        </w:tc>
        <w:tc>
          <w:tcPr>
            <w:tcW w:w="1112"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631.9</w:t>
            </w:r>
          </w:p>
        </w:tc>
        <w:tc>
          <w:tcPr>
            <w:tcW w:w="705"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294.8</w:t>
            </w:r>
          </w:p>
        </w:tc>
        <w:tc>
          <w:tcPr>
            <w:tcW w:w="695"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110</w:t>
            </w:r>
          </w:p>
        </w:tc>
        <w:tc>
          <w:tcPr>
            <w:tcW w:w="700"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彰一</w:t>
            </w:r>
            <w:r w:rsidRPr="00D57A5B">
              <w:rPr>
                <w:rFonts w:ascii="Times New Roman"/>
                <w:sz w:val="24"/>
              </w:rPr>
              <w:t>(</w:t>
            </w:r>
            <w:r w:rsidRPr="00D57A5B">
              <w:rPr>
                <w:rFonts w:ascii="Times New Roman"/>
                <w:sz w:val="24"/>
              </w:rPr>
              <w:t>甲</w:t>
            </w:r>
            <w:r w:rsidRPr="00D57A5B">
              <w:rPr>
                <w:rFonts w:ascii="Times New Roman"/>
                <w:sz w:val="24"/>
              </w:rPr>
              <w:t>)</w:t>
            </w:r>
          </w:p>
        </w:tc>
        <w:tc>
          <w:tcPr>
            <w:tcW w:w="3025" w:type="dxa"/>
          </w:tcPr>
          <w:p w:rsidR="00062222" w:rsidRDefault="006D6E0A" w:rsidP="008E3BC3">
            <w:pPr>
              <w:pStyle w:val="11"/>
              <w:ind w:leftChars="0" w:left="0" w:firstLineChars="0" w:firstLine="0"/>
              <w:jc w:val="distribute"/>
              <w:rPr>
                <w:rFonts w:ascii="Times New Roman"/>
                <w:sz w:val="24"/>
              </w:rPr>
            </w:pPr>
            <w:r>
              <w:rPr>
                <w:rFonts w:ascii="Times New Roman" w:hint="eastAsia"/>
                <w:sz w:val="24"/>
              </w:rPr>
              <w:t>核配</w:t>
            </w:r>
            <w:r>
              <w:rPr>
                <w:rFonts w:ascii="Times New Roman" w:hint="eastAsia"/>
                <w:sz w:val="24"/>
              </w:rPr>
              <w:t>294.8MW</w:t>
            </w:r>
            <w:r>
              <w:rPr>
                <w:rFonts w:ascii="Times New Roman" w:hint="eastAsia"/>
                <w:sz w:val="24"/>
              </w:rPr>
              <w:t>後，</w:t>
            </w:r>
          </w:p>
          <w:p w:rsidR="006D6E0A" w:rsidRPr="00D57A5B" w:rsidRDefault="006D6E0A" w:rsidP="00062222">
            <w:pPr>
              <w:pStyle w:val="11"/>
              <w:ind w:leftChars="0" w:left="0" w:firstLineChars="0" w:firstLine="0"/>
              <w:rPr>
                <w:rFonts w:ascii="Times New Roman"/>
                <w:sz w:val="24"/>
              </w:rPr>
            </w:pPr>
            <w:r>
              <w:rPr>
                <w:rFonts w:ascii="Times New Roman" w:hint="eastAsia"/>
                <w:sz w:val="24"/>
              </w:rPr>
              <w:t>達第</w:t>
            </w:r>
            <w:r>
              <w:rPr>
                <w:rFonts w:ascii="Times New Roman" w:hint="eastAsia"/>
                <w:sz w:val="24"/>
              </w:rPr>
              <w:t>2</w:t>
            </w:r>
            <w:r>
              <w:rPr>
                <w:rFonts w:ascii="Times New Roman" w:hint="eastAsia"/>
                <w:sz w:val="24"/>
              </w:rPr>
              <w:t>序位開發商</w:t>
            </w:r>
            <w:r>
              <w:rPr>
                <w:rFonts w:ascii="Times New Roman" w:hint="eastAsia"/>
                <w:sz w:val="24"/>
              </w:rPr>
              <w:t>900MW</w:t>
            </w:r>
            <w:r>
              <w:rPr>
                <w:rFonts w:ascii="Times New Roman" w:hint="eastAsia"/>
                <w:sz w:val="24"/>
              </w:rPr>
              <w:t>容量上限。</w:t>
            </w:r>
          </w:p>
        </w:tc>
        <w:tc>
          <w:tcPr>
            <w:tcW w:w="850"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1</w:t>
            </w:r>
            <w:r w:rsidR="008E3BC3">
              <w:rPr>
                <w:rFonts w:ascii="Times New Roman" w:hint="eastAsia"/>
                <w:sz w:val="24"/>
              </w:rPr>
              <w:t>,</w:t>
            </w:r>
            <w:r w:rsidRPr="00D57A5B">
              <w:rPr>
                <w:rFonts w:ascii="Times New Roman"/>
                <w:sz w:val="24"/>
              </w:rPr>
              <w:t>598</w:t>
            </w:r>
          </w:p>
        </w:tc>
      </w:tr>
      <w:tr w:rsidR="006D6E0A" w:rsidTr="006D6E0A">
        <w:tc>
          <w:tcPr>
            <w:tcW w:w="419" w:type="dxa"/>
            <w:vMerge w:val="restart"/>
            <w:vAlign w:val="center"/>
          </w:tcPr>
          <w:p w:rsidR="006D6E0A" w:rsidRPr="00E01C87" w:rsidRDefault="006D6E0A" w:rsidP="002C2BF1">
            <w:pPr>
              <w:pStyle w:val="11"/>
              <w:numPr>
                <w:ilvl w:val="0"/>
                <w:numId w:val="13"/>
              </w:numPr>
              <w:ind w:leftChars="0" w:firstLineChars="0"/>
              <w:jc w:val="center"/>
              <w:rPr>
                <w:rFonts w:ascii="Times New Roman"/>
                <w:b/>
                <w:sz w:val="24"/>
              </w:rPr>
            </w:pPr>
          </w:p>
        </w:tc>
        <w:tc>
          <w:tcPr>
            <w:tcW w:w="824" w:type="dxa"/>
            <w:vMerge w:val="restart"/>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彰芳</w:t>
            </w:r>
          </w:p>
        </w:tc>
        <w:tc>
          <w:tcPr>
            <w:tcW w:w="884" w:type="dxa"/>
            <w:vMerge w:val="restart"/>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CIP(3)</w:t>
            </w:r>
          </w:p>
        </w:tc>
        <w:tc>
          <w:tcPr>
            <w:tcW w:w="1112" w:type="dxa"/>
            <w:vMerge w:val="restart"/>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552</w:t>
            </w:r>
          </w:p>
        </w:tc>
        <w:tc>
          <w:tcPr>
            <w:tcW w:w="705"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100</w:t>
            </w:r>
          </w:p>
        </w:tc>
        <w:tc>
          <w:tcPr>
            <w:tcW w:w="695"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110</w:t>
            </w:r>
          </w:p>
        </w:tc>
        <w:tc>
          <w:tcPr>
            <w:tcW w:w="700"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彰一</w:t>
            </w:r>
            <w:r w:rsidRPr="00D57A5B">
              <w:rPr>
                <w:rFonts w:ascii="Times New Roman"/>
                <w:sz w:val="24"/>
              </w:rPr>
              <w:t>(</w:t>
            </w:r>
            <w:r w:rsidRPr="00D57A5B">
              <w:rPr>
                <w:rFonts w:ascii="Times New Roman"/>
                <w:sz w:val="24"/>
              </w:rPr>
              <w:t>甲</w:t>
            </w:r>
            <w:r w:rsidRPr="00D57A5B">
              <w:rPr>
                <w:rFonts w:ascii="Times New Roman"/>
                <w:sz w:val="24"/>
              </w:rPr>
              <w:t>)</w:t>
            </w:r>
          </w:p>
        </w:tc>
        <w:tc>
          <w:tcPr>
            <w:tcW w:w="3025" w:type="dxa"/>
          </w:tcPr>
          <w:p w:rsidR="006D6E0A" w:rsidRPr="00D57A5B" w:rsidRDefault="006D6E0A" w:rsidP="006D6E0A">
            <w:pPr>
              <w:pStyle w:val="11"/>
              <w:ind w:leftChars="0" w:left="0" w:firstLineChars="0" w:firstLine="0"/>
              <w:rPr>
                <w:rFonts w:ascii="Times New Roman"/>
                <w:sz w:val="24"/>
              </w:rPr>
            </w:pPr>
            <w:r>
              <w:rPr>
                <w:rFonts w:ascii="Times New Roman" w:hint="eastAsia"/>
                <w:sz w:val="24"/>
              </w:rPr>
              <w:t>核配</w:t>
            </w:r>
            <w:r>
              <w:rPr>
                <w:rFonts w:ascii="Times New Roman" w:hint="eastAsia"/>
                <w:sz w:val="24"/>
              </w:rPr>
              <w:t>100MW</w:t>
            </w:r>
            <w:r>
              <w:rPr>
                <w:rFonts w:ascii="Times New Roman" w:hint="eastAsia"/>
                <w:sz w:val="24"/>
              </w:rPr>
              <w:t>後，台電提供彰化</w:t>
            </w:r>
            <w:r>
              <w:rPr>
                <w:rFonts w:ascii="Times New Roman" w:hint="eastAsia"/>
                <w:sz w:val="24"/>
              </w:rPr>
              <w:t>110</w:t>
            </w:r>
            <w:r>
              <w:rPr>
                <w:rFonts w:ascii="Times New Roman" w:hint="eastAsia"/>
                <w:sz w:val="24"/>
              </w:rPr>
              <w:t>年</w:t>
            </w:r>
            <w:r>
              <w:rPr>
                <w:rFonts w:ascii="Times New Roman" w:hint="eastAsia"/>
                <w:sz w:val="24"/>
              </w:rPr>
              <w:t>1GW</w:t>
            </w:r>
            <w:r>
              <w:rPr>
                <w:rFonts w:ascii="Times New Roman" w:hint="eastAsia"/>
                <w:sz w:val="24"/>
              </w:rPr>
              <w:t>全數分配完畢。</w:t>
            </w:r>
          </w:p>
        </w:tc>
        <w:tc>
          <w:tcPr>
            <w:tcW w:w="850" w:type="dxa"/>
            <w:vMerge w:val="restart"/>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2</w:t>
            </w:r>
            <w:r w:rsidR="008E3BC3">
              <w:rPr>
                <w:rFonts w:ascii="Times New Roman" w:hint="eastAsia"/>
                <w:sz w:val="24"/>
              </w:rPr>
              <w:t>,</w:t>
            </w:r>
            <w:r w:rsidRPr="00D57A5B">
              <w:rPr>
                <w:rFonts w:ascii="Times New Roman"/>
                <w:sz w:val="24"/>
              </w:rPr>
              <w:t>150</w:t>
            </w:r>
          </w:p>
        </w:tc>
      </w:tr>
      <w:tr w:rsidR="006D6E0A" w:rsidTr="006D6E0A">
        <w:tc>
          <w:tcPr>
            <w:tcW w:w="419" w:type="dxa"/>
            <w:vMerge/>
            <w:vAlign w:val="center"/>
          </w:tcPr>
          <w:p w:rsidR="006D6E0A" w:rsidRPr="00E01C87" w:rsidRDefault="006D6E0A" w:rsidP="006D6E0A">
            <w:pPr>
              <w:pStyle w:val="11"/>
              <w:ind w:leftChars="0" w:left="0" w:firstLineChars="0" w:firstLine="0"/>
              <w:jc w:val="center"/>
              <w:rPr>
                <w:rFonts w:ascii="Times New Roman"/>
                <w:b/>
                <w:sz w:val="24"/>
              </w:rPr>
            </w:pPr>
          </w:p>
        </w:tc>
        <w:tc>
          <w:tcPr>
            <w:tcW w:w="824" w:type="dxa"/>
            <w:vMerge/>
            <w:vAlign w:val="center"/>
          </w:tcPr>
          <w:p w:rsidR="006D6E0A" w:rsidRPr="00D57A5B" w:rsidRDefault="006D6E0A" w:rsidP="006D6E0A">
            <w:pPr>
              <w:pStyle w:val="11"/>
              <w:ind w:leftChars="0" w:left="0" w:firstLineChars="0" w:firstLine="0"/>
              <w:jc w:val="center"/>
              <w:rPr>
                <w:rFonts w:ascii="Times New Roman"/>
                <w:sz w:val="24"/>
              </w:rPr>
            </w:pPr>
          </w:p>
        </w:tc>
        <w:tc>
          <w:tcPr>
            <w:tcW w:w="884" w:type="dxa"/>
            <w:vMerge/>
            <w:vAlign w:val="center"/>
          </w:tcPr>
          <w:p w:rsidR="006D6E0A" w:rsidRPr="00D57A5B" w:rsidRDefault="006D6E0A" w:rsidP="006D6E0A">
            <w:pPr>
              <w:pStyle w:val="11"/>
              <w:ind w:leftChars="0" w:left="0" w:firstLineChars="0" w:firstLine="0"/>
              <w:jc w:val="center"/>
              <w:rPr>
                <w:rFonts w:ascii="Times New Roman"/>
                <w:sz w:val="24"/>
              </w:rPr>
            </w:pPr>
          </w:p>
        </w:tc>
        <w:tc>
          <w:tcPr>
            <w:tcW w:w="1112" w:type="dxa"/>
            <w:vMerge/>
            <w:vAlign w:val="center"/>
          </w:tcPr>
          <w:p w:rsidR="006D6E0A" w:rsidRPr="00D57A5B" w:rsidRDefault="006D6E0A" w:rsidP="006D6E0A">
            <w:pPr>
              <w:pStyle w:val="11"/>
              <w:ind w:leftChars="0" w:left="0" w:firstLineChars="0" w:firstLine="0"/>
              <w:jc w:val="center"/>
              <w:rPr>
                <w:rFonts w:ascii="Times New Roman"/>
                <w:sz w:val="24"/>
              </w:rPr>
            </w:pPr>
          </w:p>
        </w:tc>
        <w:tc>
          <w:tcPr>
            <w:tcW w:w="705"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452</w:t>
            </w:r>
          </w:p>
        </w:tc>
        <w:tc>
          <w:tcPr>
            <w:tcW w:w="695"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112</w:t>
            </w:r>
          </w:p>
        </w:tc>
        <w:tc>
          <w:tcPr>
            <w:tcW w:w="700"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彰一</w:t>
            </w:r>
            <w:r w:rsidRPr="00D57A5B">
              <w:rPr>
                <w:rFonts w:ascii="Times New Roman"/>
                <w:sz w:val="24"/>
              </w:rPr>
              <w:t>(</w:t>
            </w:r>
            <w:r w:rsidRPr="00D57A5B">
              <w:rPr>
                <w:rFonts w:ascii="Times New Roman"/>
                <w:sz w:val="24"/>
              </w:rPr>
              <w:t>乙</w:t>
            </w:r>
            <w:r w:rsidRPr="00D57A5B">
              <w:rPr>
                <w:rFonts w:ascii="Times New Roman"/>
                <w:sz w:val="24"/>
              </w:rPr>
              <w:t>)</w:t>
            </w:r>
          </w:p>
        </w:tc>
        <w:tc>
          <w:tcPr>
            <w:tcW w:w="3025" w:type="dxa"/>
          </w:tcPr>
          <w:p w:rsidR="00062222" w:rsidRDefault="006D6E0A" w:rsidP="008E3BC3">
            <w:pPr>
              <w:pStyle w:val="11"/>
              <w:ind w:leftChars="0" w:left="0" w:firstLineChars="0" w:firstLine="0"/>
              <w:rPr>
                <w:rFonts w:ascii="Times New Roman"/>
                <w:sz w:val="24"/>
              </w:rPr>
            </w:pPr>
            <w:r>
              <w:rPr>
                <w:rFonts w:ascii="Times New Roman" w:hint="eastAsia"/>
                <w:sz w:val="24"/>
              </w:rPr>
              <w:t>本案同意分割，不足分配之</w:t>
            </w:r>
            <w:r>
              <w:rPr>
                <w:rFonts w:ascii="Times New Roman" w:hint="eastAsia"/>
                <w:sz w:val="24"/>
              </w:rPr>
              <w:t>452MW</w:t>
            </w:r>
            <w:r>
              <w:rPr>
                <w:rFonts w:ascii="Times New Roman" w:hint="eastAsia"/>
                <w:sz w:val="24"/>
              </w:rPr>
              <w:t>，分割至次一可</w:t>
            </w:r>
          </w:p>
          <w:p w:rsidR="00062222" w:rsidRDefault="006D6E0A" w:rsidP="008E3BC3">
            <w:pPr>
              <w:pStyle w:val="11"/>
              <w:ind w:leftChars="0" w:left="0" w:firstLineChars="0" w:firstLine="0"/>
              <w:rPr>
                <w:rFonts w:ascii="Times New Roman"/>
                <w:sz w:val="24"/>
              </w:rPr>
            </w:pPr>
            <w:r>
              <w:rPr>
                <w:rFonts w:ascii="Times New Roman" w:hint="eastAsia"/>
                <w:sz w:val="24"/>
              </w:rPr>
              <w:t>提供容量年度</w:t>
            </w:r>
            <w:r>
              <w:rPr>
                <w:rFonts w:ascii="Times New Roman" w:hint="eastAsia"/>
                <w:sz w:val="24"/>
              </w:rPr>
              <w:t>(112</w:t>
            </w:r>
            <w:r>
              <w:rPr>
                <w:rFonts w:ascii="Times New Roman" w:hint="eastAsia"/>
                <w:sz w:val="24"/>
              </w:rPr>
              <w:t>年</w:t>
            </w:r>
            <w:r>
              <w:rPr>
                <w:rFonts w:ascii="Times New Roman" w:hint="eastAsia"/>
                <w:sz w:val="24"/>
              </w:rPr>
              <w:t>)</w:t>
            </w:r>
          </w:p>
          <w:p w:rsidR="006D6E0A" w:rsidRDefault="006D6E0A" w:rsidP="008E3BC3">
            <w:pPr>
              <w:pStyle w:val="11"/>
              <w:ind w:leftChars="0" w:left="0" w:firstLineChars="0" w:firstLine="0"/>
              <w:rPr>
                <w:rFonts w:ascii="Times New Roman"/>
                <w:sz w:val="24"/>
              </w:rPr>
            </w:pPr>
            <w:r>
              <w:rPr>
                <w:rFonts w:ascii="Times New Roman" w:hint="eastAsia"/>
                <w:sz w:val="24"/>
              </w:rPr>
              <w:t>併網。</w:t>
            </w:r>
          </w:p>
          <w:p w:rsidR="00E01C87" w:rsidRDefault="006D6E0A" w:rsidP="008E3BC3">
            <w:pPr>
              <w:pStyle w:val="11"/>
              <w:ind w:leftChars="0" w:left="0" w:firstLineChars="100" w:firstLine="260"/>
              <w:rPr>
                <w:rFonts w:ascii="Times New Roman"/>
                <w:sz w:val="24"/>
              </w:rPr>
            </w:pPr>
            <w:r>
              <w:rPr>
                <w:rFonts w:ascii="Times New Roman" w:hint="eastAsia"/>
                <w:sz w:val="24"/>
              </w:rPr>
              <w:t>核配</w:t>
            </w:r>
            <w:r>
              <w:rPr>
                <w:rFonts w:ascii="Times New Roman" w:hint="eastAsia"/>
                <w:sz w:val="24"/>
              </w:rPr>
              <w:t>452MW</w:t>
            </w:r>
            <w:r>
              <w:rPr>
                <w:rFonts w:ascii="Times New Roman" w:hint="eastAsia"/>
                <w:sz w:val="24"/>
              </w:rPr>
              <w:t>後，彰化</w:t>
            </w:r>
            <w:r>
              <w:rPr>
                <w:rFonts w:ascii="Times New Roman" w:hint="eastAsia"/>
                <w:sz w:val="24"/>
              </w:rPr>
              <w:t>112</w:t>
            </w:r>
            <w:r>
              <w:rPr>
                <w:rFonts w:ascii="Times New Roman" w:hint="eastAsia"/>
                <w:sz w:val="24"/>
              </w:rPr>
              <w:t>年併網容量僅剩</w:t>
            </w:r>
            <w:r>
              <w:rPr>
                <w:rFonts w:ascii="Times New Roman" w:hint="eastAsia"/>
                <w:sz w:val="24"/>
              </w:rPr>
              <w:t>48MW</w:t>
            </w:r>
            <w:r>
              <w:rPr>
                <w:rFonts w:ascii="Times New Roman" w:hint="eastAsia"/>
                <w:sz w:val="24"/>
              </w:rPr>
              <w:t>，</w:t>
            </w:r>
          </w:p>
          <w:p w:rsidR="006D6E0A" w:rsidRPr="002F5EFC" w:rsidRDefault="006D6E0A" w:rsidP="004B721D">
            <w:pPr>
              <w:pStyle w:val="11"/>
              <w:ind w:leftChars="0" w:left="0" w:firstLineChars="18" w:firstLine="47"/>
              <w:rPr>
                <w:rFonts w:ascii="Times New Roman"/>
                <w:sz w:val="24"/>
              </w:rPr>
            </w:pPr>
            <w:r>
              <w:rPr>
                <w:rFonts w:ascii="Times New Roman" w:hint="eastAsia"/>
                <w:sz w:val="24"/>
              </w:rPr>
              <w:t>依要點規定，小於</w:t>
            </w:r>
            <w:r>
              <w:rPr>
                <w:rFonts w:ascii="Times New Roman" w:hint="eastAsia"/>
                <w:sz w:val="24"/>
              </w:rPr>
              <w:t>100MW</w:t>
            </w:r>
            <w:r>
              <w:rPr>
                <w:rFonts w:ascii="Times New Roman" w:hint="eastAsia"/>
                <w:sz w:val="24"/>
              </w:rPr>
              <w:t>不再辦理</w:t>
            </w:r>
            <w:r>
              <w:rPr>
                <w:rFonts w:ascii="Times New Roman" w:hint="eastAsia"/>
                <w:sz w:val="24"/>
              </w:rPr>
              <w:t>112</w:t>
            </w:r>
            <w:r>
              <w:rPr>
                <w:rFonts w:ascii="Times New Roman" w:hint="eastAsia"/>
                <w:sz w:val="24"/>
              </w:rPr>
              <w:t>年容量分配。</w:t>
            </w:r>
          </w:p>
        </w:tc>
        <w:tc>
          <w:tcPr>
            <w:tcW w:w="850" w:type="dxa"/>
            <w:vMerge/>
            <w:vAlign w:val="center"/>
          </w:tcPr>
          <w:p w:rsidR="006D6E0A" w:rsidRPr="00D57A5B" w:rsidRDefault="006D6E0A" w:rsidP="006D6E0A">
            <w:pPr>
              <w:pStyle w:val="11"/>
              <w:ind w:leftChars="0" w:left="0" w:firstLineChars="0" w:firstLine="0"/>
              <w:jc w:val="center"/>
              <w:rPr>
                <w:rFonts w:ascii="Times New Roman"/>
                <w:sz w:val="24"/>
              </w:rPr>
            </w:pPr>
          </w:p>
        </w:tc>
      </w:tr>
      <w:tr w:rsidR="006D6E0A" w:rsidTr="006D6E0A">
        <w:tc>
          <w:tcPr>
            <w:tcW w:w="419" w:type="dxa"/>
            <w:vAlign w:val="center"/>
          </w:tcPr>
          <w:p w:rsidR="006D6E0A" w:rsidRPr="00E01C87" w:rsidRDefault="006D6E0A" w:rsidP="002C2BF1">
            <w:pPr>
              <w:pStyle w:val="11"/>
              <w:numPr>
                <w:ilvl w:val="0"/>
                <w:numId w:val="13"/>
              </w:numPr>
              <w:ind w:leftChars="0" w:firstLineChars="0"/>
              <w:jc w:val="center"/>
              <w:rPr>
                <w:rFonts w:ascii="Times New Roman"/>
                <w:b/>
                <w:sz w:val="24"/>
              </w:rPr>
            </w:pPr>
          </w:p>
        </w:tc>
        <w:tc>
          <w:tcPr>
            <w:tcW w:w="824"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中能</w:t>
            </w:r>
          </w:p>
        </w:tc>
        <w:tc>
          <w:tcPr>
            <w:tcW w:w="884"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中鋼</w:t>
            </w:r>
            <w:r w:rsidRPr="00D57A5B">
              <w:rPr>
                <w:rFonts w:ascii="Times New Roman"/>
                <w:sz w:val="24"/>
              </w:rPr>
              <w:t>(4)</w:t>
            </w:r>
          </w:p>
        </w:tc>
        <w:tc>
          <w:tcPr>
            <w:tcW w:w="1112"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480</w:t>
            </w:r>
          </w:p>
        </w:tc>
        <w:tc>
          <w:tcPr>
            <w:tcW w:w="705"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300</w:t>
            </w:r>
          </w:p>
        </w:tc>
        <w:tc>
          <w:tcPr>
            <w:tcW w:w="695"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113</w:t>
            </w:r>
          </w:p>
        </w:tc>
        <w:tc>
          <w:tcPr>
            <w:tcW w:w="700"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彰一</w:t>
            </w:r>
            <w:r w:rsidRPr="00D57A5B">
              <w:rPr>
                <w:rFonts w:ascii="Times New Roman"/>
                <w:sz w:val="24"/>
              </w:rPr>
              <w:t>(</w:t>
            </w:r>
            <w:r w:rsidRPr="00D57A5B">
              <w:rPr>
                <w:rFonts w:ascii="Times New Roman"/>
                <w:sz w:val="24"/>
              </w:rPr>
              <w:t>乙</w:t>
            </w:r>
            <w:r w:rsidRPr="00D57A5B">
              <w:rPr>
                <w:rFonts w:ascii="Times New Roman"/>
                <w:sz w:val="24"/>
              </w:rPr>
              <w:t>)</w:t>
            </w:r>
          </w:p>
        </w:tc>
        <w:tc>
          <w:tcPr>
            <w:tcW w:w="3025" w:type="dxa"/>
          </w:tcPr>
          <w:p w:rsidR="006D6E0A" w:rsidRPr="00D57A5B" w:rsidRDefault="006D6E0A" w:rsidP="006D6E0A">
            <w:pPr>
              <w:pStyle w:val="11"/>
              <w:ind w:leftChars="0" w:left="0" w:firstLineChars="0" w:firstLine="0"/>
              <w:rPr>
                <w:rFonts w:ascii="Times New Roman"/>
                <w:sz w:val="24"/>
              </w:rPr>
            </w:pPr>
            <w:r>
              <w:rPr>
                <w:rFonts w:ascii="Times New Roman" w:hint="eastAsia"/>
                <w:sz w:val="24"/>
              </w:rPr>
              <w:t>核配</w:t>
            </w:r>
            <w:r>
              <w:rPr>
                <w:rFonts w:ascii="Times New Roman" w:hint="eastAsia"/>
                <w:sz w:val="24"/>
              </w:rPr>
              <w:t>300MW</w:t>
            </w:r>
            <w:r>
              <w:rPr>
                <w:rFonts w:ascii="Times New Roman" w:hint="eastAsia"/>
                <w:sz w:val="24"/>
              </w:rPr>
              <w:t>後，達第</w:t>
            </w:r>
            <w:r>
              <w:rPr>
                <w:rFonts w:ascii="Times New Roman" w:hint="eastAsia"/>
                <w:sz w:val="24"/>
              </w:rPr>
              <w:t>4</w:t>
            </w:r>
            <w:r>
              <w:rPr>
                <w:rFonts w:ascii="Times New Roman" w:hint="eastAsia"/>
                <w:sz w:val="24"/>
              </w:rPr>
              <w:t>序位開發商</w:t>
            </w:r>
            <w:r>
              <w:rPr>
                <w:rFonts w:ascii="Times New Roman" w:hint="eastAsia"/>
                <w:sz w:val="24"/>
              </w:rPr>
              <w:t>300MW</w:t>
            </w:r>
            <w:r>
              <w:rPr>
                <w:rFonts w:ascii="Times New Roman" w:hint="eastAsia"/>
                <w:sz w:val="24"/>
              </w:rPr>
              <w:t>容量上限。</w:t>
            </w:r>
          </w:p>
        </w:tc>
        <w:tc>
          <w:tcPr>
            <w:tcW w:w="850"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2</w:t>
            </w:r>
            <w:r w:rsidR="008E3BC3">
              <w:rPr>
                <w:rFonts w:ascii="Times New Roman" w:hint="eastAsia"/>
                <w:sz w:val="24"/>
              </w:rPr>
              <w:t>,</w:t>
            </w:r>
            <w:r w:rsidRPr="00D57A5B">
              <w:rPr>
                <w:rFonts w:ascii="Times New Roman"/>
                <w:sz w:val="24"/>
              </w:rPr>
              <w:t>450</w:t>
            </w:r>
          </w:p>
        </w:tc>
      </w:tr>
      <w:tr w:rsidR="006D6E0A" w:rsidTr="006D6E0A">
        <w:tc>
          <w:tcPr>
            <w:tcW w:w="419" w:type="dxa"/>
            <w:vAlign w:val="center"/>
          </w:tcPr>
          <w:p w:rsidR="006D6E0A" w:rsidRPr="00E01C87" w:rsidRDefault="006D6E0A" w:rsidP="002C2BF1">
            <w:pPr>
              <w:pStyle w:val="11"/>
              <w:numPr>
                <w:ilvl w:val="0"/>
                <w:numId w:val="13"/>
              </w:numPr>
              <w:ind w:leftChars="0" w:firstLineChars="0"/>
              <w:jc w:val="center"/>
              <w:rPr>
                <w:rFonts w:ascii="Times New Roman"/>
                <w:b/>
                <w:sz w:val="24"/>
              </w:rPr>
            </w:pPr>
          </w:p>
        </w:tc>
        <w:tc>
          <w:tcPr>
            <w:tcW w:w="824"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西島</w:t>
            </w:r>
          </w:p>
        </w:tc>
        <w:tc>
          <w:tcPr>
            <w:tcW w:w="884"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CIP(3)</w:t>
            </w:r>
          </w:p>
        </w:tc>
        <w:tc>
          <w:tcPr>
            <w:tcW w:w="1112"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400</w:t>
            </w:r>
          </w:p>
        </w:tc>
        <w:tc>
          <w:tcPr>
            <w:tcW w:w="705"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48</w:t>
            </w:r>
          </w:p>
        </w:tc>
        <w:tc>
          <w:tcPr>
            <w:tcW w:w="695"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113</w:t>
            </w:r>
          </w:p>
        </w:tc>
        <w:tc>
          <w:tcPr>
            <w:tcW w:w="700"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彰一</w:t>
            </w:r>
            <w:r w:rsidRPr="00D57A5B">
              <w:rPr>
                <w:rFonts w:ascii="Times New Roman"/>
                <w:sz w:val="24"/>
              </w:rPr>
              <w:t>(</w:t>
            </w:r>
            <w:r w:rsidRPr="00D57A5B">
              <w:rPr>
                <w:rFonts w:ascii="Times New Roman"/>
                <w:sz w:val="24"/>
              </w:rPr>
              <w:t>乙</w:t>
            </w:r>
            <w:r w:rsidRPr="00D57A5B">
              <w:rPr>
                <w:rFonts w:ascii="Times New Roman"/>
                <w:sz w:val="24"/>
              </w:rPr>
              <w:t>)</w:t>
            </w:r>
          </w:p>
        </w:tc>
        <w:tc>
          <w:tcPr>
            <w:tcW w:w="3025" w:type="dxa"/>
          </w:tcPr>
          <w:p w:rsidR="006D6E0A" w:rsidRPr="00D57A5B" w:rsidRDefault="006D6E0A" w:rsidP="006D6E0A">
            <w:pPr>
              <w:pStyle w:val="11"/>
              <w:ind w:leftChars="0" w:left="0" w:firstLineChars="0" w:firstLine="0"/>
              <w:rPr>
                <w:rFonts w:ascii="Times New Roman"/>
                <w:sz w:val="24"/>
              </w:rPr>
            </w:pPr>
            <w:r>
              <w:rPr>
                <w:rFonts w:ascii="Times New Roman" w:hint="eastAsia"/>
                <w:sz w:val="24"/>
              </w:rPr>
              <w:t>核配</w:t>
            </w:r>
            <w:r>
              <w:rPr>
                <w:rFonts w:ascii="Times New Roman" w:hint="eastAsia"/>
                <w:sz w:val="24"/>
              </w:rPr>
              <w:t>48MW</w:t>
            </w:r>
            <w:r>
              <w:rPr>
                <w:rFonts w:ascii="Times New Roman" w:hint="eastAsia"/>
                <w:sz w:val="24"/>
              </w:rPr>
              <w:t>後，達第</w:t>
            </w:r>
            <w:r>
              <w:rPr>
                <w:rFonts w:ascii="Times New Roman" w:hint="eastAsia"/>
                <w:sz w:val="24"/>
              </w:rPr>
              <w:t>3</w:t>
            </w:r>
            <w:r>
              <w:rPr>
                <w:rFonts w:ascii="Times New Roman" w:hint="eastAsia"/>
                <w:sz w:val="24"/>
              </w:rPr>
              <w:t>序位開發商</w:t>
            </w:r>
            <w:r>
              <w:rPr>
                <w:rFonts w:ascii="Times New Roman" w:hint="eastAsia"/>
                <w:sz w:val="24"/>
              </w:rPr>
              <w:t>600MW</w:t>
            </w:r>
            <w:r>
              <w:rPr>
                <w:rFonts w:ascii="Times New Roman" w:hint="eastAsia"/>
                <w:sz w:val="24"/>
              </w:rPr>
              <w:t>容量上限。</w:t>
            </w:r>
          </w:p>
        </w:tc>
        <w:tc>
          <w:tcPr>
            <w:tcW w:w="850"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2</w:t>
            </w:r>
            <w:r w:rsidR="008E3BC3">
              <w:rPr>
                <w:rFonts w:ascii="Times New Roman" w:hint="eastAsia"/>
                <w:sz w:val="24"/>
              </w:rPr>
              <w:t>,</w:t>
            </w:r>
            <w:r w:rsidRPr="00D57A5B">
              <w:rPr>
                <w:rFonts w:ascii="Times New Roman"/>
                <w:sz w:val="24"/>
              </w:rPr>
              <w:t>498</w:t>
            </w:r>
          </w:p>
        </w:tc>
      </w:tr>
      <w:tr w:rsidR="006D6E0A" w:rsidTr="006D6E0A">
        <w:tc>
          <w:tcPr>
            <w:tcW w:w="419" w:type="dxa"/>
            <w:vAlign w:val="center"/>
          </w:tcPr>
          <w:p w:rsidR="006D6E0A" w:rsidRPr="00E01C87" w:rsidRDefault="006D6E0A" w:rsidP="002C2BF1">
            <w:pPr>
              <w:pStyle w:val="11"/>
              <w:numPr>
                <w:ilvl w:val="0"/>
                <w:numId w:val="13"/>
              </w:numPr>
              <w:ind w:leftChars="0" w:firstLineChars="0"/>
              <w:jc w:val="center"/>
              <w:rPr>
                <w:rFonts w:ascii="Times New Roman"/>
                <w:b/>
                <w:sz w:val="24"/>
              </w:rPr>
            </w:pPr>
          </w:p>
        </w:tc>
        <w:tc>
          <w:tcPr>
            <w:tcW w:w="824" w:type="dxa"/>
            <w:vAlign w:val="center"/>
          </w:tcPr>
          <w:p w:rsidR="006D6E0A" w:rsidRDefault="006D6E0A" w:rsidP="006D6E0A">
            <w:pPr>
              <w:pStyle w:val="11"/>
              <w:ind w:leftChars="0" w:left="0" w:firstLineChars="0" w:firstLine="0"/>
              <w:jc w:val="center"/>
              <w:rPr>
                <w:rFonts w:ascii="Times New Roman"/>
                <w:sz w:val="24"/>
              </w:rPr>
            </w:pPr>
            <w:r w:rsidRPr="00D57A5B">
              <w:rPr>
                <w:rFonts w:ascii="Times New Roman"/>
                <w:sz w:val="24"/>
              </w:rPr>
              <w:t>大彰化</w:t>
            </w:r>
          </w:p>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東北</w:t>
            </w:r>
          </w:p>
        </w:tc>
        <w:tc>
          <w:tcPr>
            <w:tcW w:w="884"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沃旭</w:t>
            </w:r>
            <w:r w:rsidRPr="00D57A5B">
              <w:rPr>
                <w:rFonts w:ascii="Times New Roman"/>
                <w:sz w:val="24"/>
              </w:rPr>
              <w:t>(2)</w:t>
            </w:r>
          </w:p>
        </w:tc>
        <w:tc>
          <w:tcPr>
            <w:tcW w:w="1112"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560.7</w:t>
            </w:r>
          </w:p>
        </w:tc>
        <w:tc>
          <w:tcPr>
            <w:tcW w:w="705"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0</w:t>
            </w:r>
          </w:p>
        </w:tc>
        <w:tc>
          <w:tcPr>
            <w:tcW w:w="695"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w:t>
            </w:r>
          </w:p>
        </w:tc>
        <w:tc>
          <w:tcPr>
            <w:tcW w:w="700" w:type="dxa"/>
            <w:vAlign w:val="center"/>
          </w:tcPr>
          <w:p w:rsidR="006D6E0A" w:rsidRPr="00D57A5B" w:rsidRDefault="006D6E0A" w:rsidP="006D6E0A">
            <w:pPr>
              <w:pStyle w:val="11"/>
              <w:ind w:leftChars="0" w:left="0" w:firstLineChars="0" w:firstLine="0"/>
              <w:jc w:val="center"/>
              <w:rPr>
                <w:rFonts w:ascii="Times New Roman"/>
                <w:sz w:val="24"/>
              </w:rPr>
            </w:pPr>
          </w:p>
        </w:tc>
        <w:tc>
          <w:tcPr>
            <w:tcW w:w="3025" w:type="dxa"/>
          </w:tcPr>
          <w:p w:rsidR="006D6E0A" w:rsidRPr="00D57A5B" w:rsidRDefault="006D6E0A" w:rsidP="006D6E0A">
            <w:pPr>
              <w:pStyle w:val="11"/>
              <w:ind w:leftChars="0" w:left="0" w:firstLineChars="0" w:firstLine="0"/>
              <w:rPr>
                <w:rFonts w:ascii="Times New Roman"/>
                <w:sz w:val="24"/>
              </w:rPr>
            </w:pPr>
            <w:r>
              <w:rPr>
                <w:rFonts w:ascii="Times New Roman" w:hint="eastAsia"/>
                <w:sz w:val="24"/>
              </w:rPr>
              <w:t>已達第</w:t>
            </w:r>
            <w:r>
              <w:rPr>
                <w:rFonts w:ascii="Times New Roman" w:hint="eastAsia"/>
                <w:sz w:val="24"/>
              </w:rPr>
              <w:t>2</w:t>
            </w:r>
            <w:r>
              <w:rPr>
                <w:rFonts w:ascii="Times New Roman" w:hint="eastAsia"/>
                <w:sz w:val="24"/>
              </w:rPr>
              <w:t>序位開發商</w:t>
            </w:r>
            <w:r>
              <w:rPr>
                <w:rFonts w:ascii="Times New Roman" w:hint="eastAsia"/>
                <w:sz w:val="24"/>
              </w:rPr>
              <w:t>900MW</w:t>
            </w:r>
            <w:r>
              <w:rPr>
                <w:rFonts w:ascii="Times New Roman" w:hint="eastAsia"/>
                <w:sz w:val="24"/>
              </w:rPr>
              <w:t>容量上限不分配。</w:t>
            </w:r>
          </w:p>
        </w:tc>
        <w:tc>
          <w:tcPr>
            <w:tcW w:w="850"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2</w:t>
            </w:r>
            <w:r w:rsidR="008E3BC3">
              <w:rPr>
                <w:rFonts w:ascii="Times New Roman" w:hint="eastAsia"/>
                <w:sz w:val="24"/>
              </w:rPr>
              <w:t>,</w:t>
            </w:r>
            <w:r w:rsidRPr="00D57A5B">
              <w:rPr>
                <w:rFonts w:ascii="Times New Roman"/>
                <w:sz w:val="24"/>
              </w:rPr>
              <w:t>498</w:t>
            </w:r>
          </w:p>
        </w:tc>
      </w:tr>
      <w:tr w:rsidR="006D6E0A" w:rsidTr="006D6E0A">
        <w:tc>
          <w:tcPr>
            <w:tcW w:w="419" w:type="dxa"/>
            <w:vAlign w:val="center"/>
          </w:tcPr>
          <w:p w:rsidR="006D6E0A" w:rsidRPr="00E01C87" w:rsidRDefault="006D6E0A" w:rsidP="002C2BF1">
            <w:pPr>
              <w:pStyle w:val="11"/>
              <w:numPr>
                <w:ilvl w:val="0"/>
                <w:numId w:val="13"/>
              </w:numPr>
              <w:ind w:leftChars="0" w:firstLineChars="0"/>
              <w:jc w:val="center"/>
              <w:rPr>
                <w:rFonts w:ascii="Times New Roman"/>
                <w:b/>
                <w:sz w:val="24"/>
              </w:rPr>
            </w:pPr>
          </w:p>
        </w:tc>
        <w:tc>
          <w:tcPr>
            <w:tcW w:w="824"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台電</w:t>
            </w:r>
          </w:p>
        </w:tc>
        <w:tc>
          <w:tcPr>
            <w:tcW w:w="884"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台電</w:t>
            </w:r>
            <w:r w:rsidRPr="00D57A5B">
              <w:rPr>
                <w:rFonts w:ascii="Times New Roman"/>
                <w:sz w:val="24"/>
              </w:rPr>
              <w:t>(5)</w:t>
            </w:r>
          </w:p>
        </w:tc>
        <w:tc>
          <w:tcPr>
            <w:tcW w:w="1112"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720</w:t>
            </w:r>
          </w:p>
        </w:tc>
        <w:tc>
          <w:tcPr>
            <w:tcW w:w="705"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300</w:t>
            </w:r>
          </w:p>
        </w:tc>
        <w:tc>
          <w:tcPr>
            <w:tcW w:w="695"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113</w:t>
            </w:r>
          </w:p>
        </w:tc>
        <w:tc>
          <w:tcPr>
            <w:tcW w:w="700"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彰一</w:t>
            </w:r>
            <w:r w:rsidRPr="00D57A5B">
              <w:rPr>
                <w:rFonts w:ascii="Times New Roman"/>
                <w:sz w:val="24"/>
              </w:rPr>
              <w:t>(</w:t>
            </w:r>
            <w:r w:rsidRPr="00D57A5B">
              <w:rPr>
                <w:rFonts w:ascii="Times New Roman"/>
                <w:sz w:val="24"/>
              </w:rPr>
              <w:t>乙</w:t>
            </w:r>
            <w:r w:rsidRPr="00D57A5B">
              <w:rPr>
                <w:rFonts w:ascii="Times New Roman"/>
                <w:sz w:val="24"/>
              </w:rPr>
              <w:t>)</w:t>
            </w:r>
          </w:p>
        </w:tc>
        <w:tc>
          <w:tcPr>
            <w:tcW w:w="3025" w:type="dxa"/>
          </w:tcPr>
          <w:p w:rsidR="006D6E0A" w:rsidRPr="00D57A5B" w:rsidRDefault="006D6E0A" w:rsidP="006D6E0A">
            <w:pPr>
              <w:pStyle w:val="11"/>
              <w:ind w:leftChars="0" w:left="0" w:firstLineChars="0" w:firstLine="0"/>
              <w:rPr>
                <w:rFonts w:ascii="Times New Roman"/>
                <w:sz w:val="24"/>
              </w:rPr>
            </w:pPr>
            <w:r>
              <w:rPr>
                <w:rFonts w:ascii="Times New Roman" w:hint="eastAsia"/>
                <w:sz w:val="24"/>
              </w:rPr>
              <w:t>核配</w:t>
            </w:r>
            <w:r>
              <w:rPr>
                <w:rFonts w:ascii="Times New Roman" w:hint="eastAsia"/>
                <w:sz w:val="24"/>
              </w:rPr>
              <w:t>300MW</w:t>
            </w:r>
            <w:r>
              <w:rPr>
                <w:rFonts w:ascii="Times New Roman" w:hint="eastAsia"/>
                <w:sz w:val="24"/>
              </w:rPr>
              <w:t>後，達第</w:t>
            </w:r>
            <w:r>
              <w:rPr>
                <w:rFonts w:ascii="Times New Roman" w:hint="eastAsia"/>
                <w:sz w:val="24"/>
              </w:rPr>
              <w:t>5</w:t>
            </w:r>
            <w:r>
              <w:rPr>
                <w:rFonts w:ascii="Times New Roman" w:hint="eastAsia"/>
                <w:sz w:val="24"/>
              </w:rPr>
              <w:t>序位開發商</w:t>
            </w:r>
            <w:r>
              <w:rPr>
                <w:rFonts w:ascii="Times New Roman" w:hint="eastAsia"/>
                <w:sz w:val="24"/>
              </w:rPr>
              <w:t>300MW</w:t>
            </w:r>
            <w:r>
              <w:rPr>
                <w:rFonts w:ascii="Times New Roman" w:hint="eastAsia"/>
                <w:sz w:val="24"/>
              </w:rPr>
              <w:t>容量上限。</w:t>
            </w:r>
          </w:p>
        </w:tc>
        <w:tc>
          <w:tcPr>
            <w:tcW w:w="850"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2</w:t>
            </w:r>
            <w:r w:rsidR="008E3BC3">
              <w:rPr>
                <w:rFonts w:ascii="Times New Roman" w:hint="eastAsia"/>
                <w:sz w:val="24"/>
              </w:rPr>
              <w:t>,</w:t>
            </w:r>
            <w:r w:rsidRPr="00D57A5B">
              <w:rPr>
                <w:rFonts w:ascii="Times New Roman"/>
                <w:sz w:val="24"/>
              </w:rPr>
              <w:t>798</w:t>
            </w:r>
          </w:p>
        </w:tc>
      </w:tr>
      <w:tr w:rsidR="006D6E0A" w:rsidTr="006D6E0A">
        <w:tc>
          <w:tcPr>
            <w:tcW w:w="419" w:type="dxa"/>
            <w:vAlign w:val="center"/>
          </w:tcPr>
          <w:p w:rsidR="006D6E0A" w:rsidRPr="00E01C87" w:rsidRDefault="006D6E0A" w:rsidP="002C2BF1">
            <w:pPr>
              <w:pStyle w:val="11"/>
              <w:numPr>
                <w:ilvl w:val="0"/>
                <w:numId w:val="13"/>
              </w:numPr>
              <w:ind w:leftChars="0" w:firstLineChars="0"/>
              <w:jc w:val="center"/>
              <w:rPr>
                <w:rFonts w:ascii="Times New Roman"/>
                <w:b/>
                <w:sz w:val="24"/>
              </w:rPr>
            </w:pPr>
          </w:p>
        </w:tc>
        <w:tc>
          <w:tcPr>
            <w:tcW w:w="824" w:type="dxa"/>
            <w:vAlign w:val="center"/>
          </w:tcPr>
          <w:p w:rsidR="006D6E0A" w:rsidRDefault="006D6E0A" w:rsidP="006D6E0A">
            <w:pPr>
              <w:pStyle w:val="11"/>
              <w:ind w:leftChars="0" w:left="0" w:firstLineChars="0" w:firstLine="0"/>
              <w:jc w:val="center"/>
              <w:rPr>
                <w:rFonts w:ascii="Times New Roman"/>
                <w:sz w:val="24"/>
              </w:rPr>
            </w:pPr>
            <w:r w:rsidRPr="00D57A5B">
              <w:rPr>
                <w:rFonts w:ascii="Times New Roman"/>
                <w:sz w:val="24"/>
              </w:rPr>
              <w:t>海龍</w:t>
            </w:r>
          </w:p>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二號</w:t>
            </w:r>
          </w:p>
        </w:tc>
        <w:tc>
          <w:tcPr>
            <w:tcW w:w="884"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NPI(6)</w:t>
            </w:r>
          </w:p>
        </w:tc>
        <w:tc>
          <w:tcPr>
            <w:tcW w:w="1112"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532</w:t>
            </w:r>
          </w:p>
        </w:tc>
        <w:tc>
          <w:tcPr>
            <w:tcW w:w="705"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300</w:t>
            </w:r>
          </w:p>
        </w:tc>
        <w:tc>
          <w:tcPr>
            <w:tcW w:w="695"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113</w:t>
            </w:r>
          </w:p>
        </w:tc>
        <w:tc>
          <w:tcPr>
            <w:tcW w:w="700"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彰一</w:t>
            </w:r>
            <w:r w:rsidRPr="00D57A5B">
              <w:rPr>
                <w:rFonts w:ascii="Times New Roman"/>
                <w:sz w:val="24"/>
              </w:rPr>
              <w:t>(</w:t>
            </w:r>
            <w:r w:rsidRPr="00D57A5B">
              <w:rPr>
                <w:rFonts w:ascii="Times New Roman"/>
                <w:sz w:val="24"/>
              </w:rPr>
              <w:t>乙</w:t>
            </w:r>
            <w:r w:rsidRPr="00D57A5B">
              <w:rPr>
                <w:rFonts w:ascii="Times New Roman"/>
                <w:sz w:val="24"/>
              </w:rPr>
              <w:t>)</w:t>
            </w:r>
          </w:p>
        </w:tc>
        <w:tc>
          <w:tcPr>
            <w:tcW w:w="3025" w:type="dxa"/>
          </w:tcPr>
          <w:p w:rsidR="006D6E0A" w:rsidRPr="00D57A5B" w:rsidRDefault="006D6E0A" w:rsidP="006D6E0A">
            <w:pPr>
              <w:pStyle w:val="11"/>
              <w:ind w:leftChars="0" w:left="0" w:firstLineChars="0" w:firstLine="0"/>
              <w:rPr>
                <w:rFonts w:ascii="Times New Roman"/>
                <w:sz w:val="24"/>
              </w:rPr>
            </w:pPr>
            <w:r>
              <w:rPr>
                <w:rFonts w:ascii="Times New Roman" w:hint="eastAsia"/>
                <w:sz w:val="24"/>
              </w:rPr>
              <w:t>核配</w:t>
            </w:r>
            <w:r>
              <w:rPr>
                <w:rFonts w:ascii="Times New Roman" w:hint="eastAsia"/>
                <w:sz w:val="24"/>
              </w:rPr>
              <w:t>300MW</w:t>
            </w:r>
            <w:r>
              <w:rPr>
                <w:rFonts w:ascii="Times New Roman" w:hint="eastAsia"/>
                <w:sz w:val="24"/>
              </w:rPr>
              <w:t>後，達第</w:t>
            </w:r>
            <w:r>
              <w:rPr>
                <w:rFonts w:ascii="Times New Roman" w:hint="eastAsia"/>
                <w:sz w:val="24"/>
              </w:rPr>
              <w:t>6</w:t>
            </w:r>
            <w:r>
              <w:rPr>
                <w:rFonts w:ascii="Times New Roman" w:hint="eastAsia"/>
                <w:sz w:val="24"/>
              </w:rPr>
              <w:t>序位開發商</w:t>
            </w:r>
            <w:r>
              <w:rPr>
                <w:rFonts w:ascii="Times New Roman" w:hint="eastAsia"/>
                <w:sz w:val="24"/>
              </w:rPr>
              <w:t>300MW</w:t>
            </w:r>
            <w:r>
              <w:rPr>
                <w:rFonts w:ascii="Times New Roman" w:hint="eastAsia"/>
                <w:sz w:val="24"/>
              </w:rPr>
              <w:t>容量上限。</w:t>
            </w:r>
          </w:p>
        </w:tc>
        <w:tc>
          <w:tcPr>
            <w:tcW w:w="850" w:type="dxa"/>
            <w:vAlign w:val="center"/>
          </w:tcPr>
          <w:p w:rsidR="006D6E0A" w:rsidRPr="00D57A5B" w:rsidRDefault="006D6E0A" w:rsidP="006D6E0A">
            <w:pPr>
              <w:pStyle w:val="11"/>
              <w:ind w:leftChars="0" w:left="0" w:firstLineChars="0" w:firstLine="0"/>
              <w:jc w:val="center"/>
              <w:rPr>
                <w:rFonts w:ascii="Times New Roman"/>
                <w:sz w:val="24"/>
              </w:rPr>
            </w:pPr>
            <w:r w:rsidRPr="00D57A5B">
              <w:rPr>
                <w:rFonts w:ascii="Times New Roman"/>
                <w:sz w:val="24"/>
              </w:rPr>
              <w:t>3</w:t>
            </w:r>
            <w:r w:rsidR="008E3BC3">
              <w:rPr>
                <w:rFonts w:ascii="Times New Roman" w:hint="eastAsia"/>
                <w:sz w:val="24"/>
              </w:rPr>
              <w:t>,</w:t>
            </w:r>
            <w:r w:rsidRPr="00D57A5B">
              <w:rPr>
                <w:rFonts w:ascii="Times New Roman"/>
                <w:sz w:val="24"/>
              </w:rPr>
              <w:t>098</w:t>
            </w:r>
          </w:p>
        </w:tc>
      </w:tr>
      <w:tr w:rsidR="00C4632B" w:rsidRPr="009B0944" w:rsidTr="000B0905">
        <w:tc>
          <w:tcPr>
            <w:tcW w:w="3239" w:type="dxa"/>
            <w:gridSpan w:val="4"/>
            <w:vAlign w:val="center"/>
          </w:tcPr>
          <w:p w:rsidR="00C4632B" w:rsidRPr="009B0944" w:rsidRDefault="00C4632B" w:rsidP="006D6E0A">
            <w:pPr>
              <w:pStyle w:val="11"/>
              <w:ind w:leftChars="0" w:left="0" w:firstLineChars="0" w:firstLine="0"/>
              <w:jc w:val="center"/>
              <w:rPr>
                <w:rFonts w:ascii="Times New Roman"/>
                <w:sz w:val="24"/>
              </w:rPr>
            </w:pPr>
            <w:r w:rsidRPr="009B0944">
              <w:rPr>
                <w:rFonts w:ascii="Times New Roman" w:hint="eastAsia"/>
                <w:sz w:val="24"/>
              </w:rPr>
              <w:t>合計</w:t>
            </w:r>
          </w:p>
        </w:tc>
        <w:tc>
          <w:tcPr>
            <w:tcW w:w="705" w:type="dxa"/>
            <w:vAlign w:val="center"/>
          </w:tcPr>
          <w:p w:rsidR="00C4632B" w:rsidRPr="009B0944" w:rsidRDefault="00C4632B" w:rsidP="006D6E0A">
            <w:pPr>
              <w:pStyle w:val="11"/>
              <w:ind w:leftChars="0" w:left="0" w:firstLineChars="0" w:firstLine="0"/>
              <w:jc w:val="center"/>
              <w:rPr>
                <w:rFonts w:ascii="Times New Roman"/>
                <w:sz w:val="24"/>
              </w:rPr>
            </w:pPr>
            <w:r w:rsidRPr="009B0944">
              <w:rPr>
                <w:rFonts w:ascii="Times New Roman" w:hint="eastAsia"/>
                <w:sz w:val="24"/>
              </w:rPr>
              <w:t>3,098</w:t>
            </w:r>
          </w:p>
        </w:tc>
        <w:tc>
          <w:tcPr>
            <w:tcW w:w="695" w:type="dxa"/>
            <w:vAlign w:val="center"/>
          </w:tcPr>
          <w:p w:rsidR="00C4632B" w:rsidRPr="009B0944" w:rsidRDefault="00C4632B" w:rsidP="006D6E0A">
            <w:pPr>
              <w:pStyle w:val="11"/>
              <w:ind w:leftChars="0" w:left="0" w:firstLineChars="0" w:firstLine="0"/>
              <w:jc w:val="center"/>
              <w:rPr>
                <w:rFonts w:ascii="Times New Roman"/>
                <w:sz w:val="24"/>
              </w:rPr>
            </w:pPr>
          </w:p>
        </w:tc>
        <w:tc>
          <w:tcPr>
            <w:tcW w:w="700" w:type="dxa"/>
            <w:vAlign w:val="center"/>
          </w:tcPr>
          <w:p w:rsidR="00C4632B" w:rsidRPr="009B0944" w:rsidRDefault="00C4632B" w:rsidP="006D6E0A">
            <w:pPr>
              <w:pStyle w:val="11"/>
              <w:ind w:leftChars="0" w:left="0" w:firstLineChars="0" w:firstLine="0"/>
              <w:jc w:val="center"/>
              <w:rPr>
                <w:rFonts w:ascii="Times New Roman"/>
                <w:sz w:val="24"/>
              </w:rPr>
            </w:pPr>
          </w:p>
        </w:tc>
        <w:tc>
          <w:tcPr>
            <w:tcW w:w="3025" w:type="dxa"/>
          </w:tcPr>
          <w:p w:rsidR="00C4632B" w:rsidRPr="009B0944" w:rsidRDefault="00C4632B" w:rsidP="006D6E0A">
            <w:pPr>
              <w:pStyle w:val="11"/>
              <w:ind w:leftChars="0" w:left="0" w:firstLineChars="0" w:firstLine="0"/>
              <w:rPr>
                <w:rFonts w:ascii="Times New Roman"/>
                <w:sz w:val="24"/>
              </w:rPr>
            </w:pPr>
          </w:p>
        </w:tc>
        <w:tc>
          <w:tcPr>
            <w:tcW w:w="850" w:type="dxa"/>
            <w:vAlign w:val="center"/>
          </w:tcPr>
          <w:p w:rsidR="00C4632B" w:rsidRPr="009B0944" w:rsidRDefault="00C4632B" w:rsidP="006D6E0A">
            <w:pPr>
              <w:pStyle w:val="11"/>
              <w:ind w:leftChars="0" w:left="0" w:firstLineChars="0" w:firstLine="0"/>
              <w:jc w:val="center"/>
              <w:rPr>
                <w:rFonts w:ascii="Times New Roman"/>
                <w:sz w:val="24"/>
              </w:rPr>
            </w:pPr>
          </w:p>
        </w:tc>
      </w:tr>
    </w:tbl>
    <w:p w:rsidR="006D6E0A" w:rsidRDefault="006D6E0A" w:rsidP="006D6E0A">
      <w:pPr>
        <w:pStyle w:val="11"/>
        <w:ind w:leftChars="0" w:left="692" w:hangingChars="266" w:hanging="692"/>
        <w:jc w:val="left"/>
      </w:pPr>
      <w:r w:rsidRPr="00474519">
        <w:rPr>
          <w:rFonts w:hint="eastAsia"/>
          <w:sz w:val="24"/>
        </w:rPr>
        <w:t>資料來源：</w:t>
      </w:r>
      <w:r w:rsidR="008E3BC3">
        <w:rPr>
          <w:rFonts w:hint="eastAsia"/>
          <w:sz w:val="24"/>
        </w:rPr>
        <w:t>經濟部</w:t>
      </w:r>
      <w:r w:rsidRPr="00474519">
        <w:rPr>
          <w:rFonts w:hint="eastAsia"/>
          <w:sz w:val="24"/>
        </w:rPr>
        <w:t>能源局</w:t>
      </w:r>
      <w:r>
        <w:rPr>
          <w:rFonts w:hint="eastAsia"/>
          <w:sz w:val="24"/>
        </w:rPr>
        <w:t>。</w:t>
      </w:r>
    </w:p>
    <w:p w:rsidR="006D6E0A" w:rsidRPr="006D6E0A" w:rsidRDefault="006D6E0A" w:rsidP="006D6E0A">
      <w:pPr>
        <w:ind w:leftChars="394" w:left="1340"/>
      </w:pPr>
    </w:p>
    <w:p w:rsidR="006D6E0A" w:rsidRDefault="006D6E0A" w:rsidP="007C6ED0">
      <w:pPr>
        <w:pStyle w:val="3"/>
        <w:ind w:left="1276"/>
      </w:pPr>
      <w:r>
        <w:rPr>
          <w:rFonts w:hint="eastAsia"/>
        </w:rPr>
        <w:t>次查</w:t>
      </w:r>
      <w:r w:rsidR="001858E0">
        <w:rPr>
          <w:rFonts w:hint="eastAsia"/>
        </w:rPr>
        <w:t>經濟部工業局108年6月18日新聞稿</w:t>
      </w:r>
      <w:r w:rsidR="00062222">
        <w:rPr>
          <w:rFonts w:hint="eastAsia"/>
        </w:rPr>
        <w:t>指出</w:t>
      </w:r>
      <w:r w:rsidR="001858E0">
        <w:rPr>
          <w:rFonts w:hint="eastAsia"/>
        </w:rPr>
        <w:t>，</w:t>
      </w:r>
      <w:r w:rsidR="001858E0" w:rsidRPr="001858E0">
        <w:rPr>
          <w:rFonts w:hint="eastAsia"/>
        </w:rPr>
        <w:t>針對將於110年併網之達德、沃旭、CIP(丹麥哥本哈根基礎建設基金)等3家業者</w:t>
      </w:r>
      <w:r w:rsidR="00062222">
        <w:rPr>
          <w:rFonts w:hint="eastAsia"/>
        </w:rPr>
        <w:t>，</w:t>
      </w:r>
      <w:r w:rsidR="001858E0" w:rsidRPr="001858E0">
        <w:rPr>
          <w:rFonts w:hint="eastAsia"/>
        </w:rPr>
        <w:t>經濟部工業局已於107年12月16日完成產業關聯執行方案計畫書審查，經濟部將持續推動112~113年併網之開發商與系統廠與國內業者合作，落實產業在地化。CIP、中鋼</w:t>
      </w:r>
      <w:r w:rsidR="00F41282">
        <w:rPr>
          <w:rFonts w:hint="eastAsia"/>
        </w:rPr>
        <w:t>公司</w:t>
      </w:r>
      <w:r w:rsidR="001858E0" w:rsidRPr="001858E0">
        <w:rPr>
          <w:rFonts w:hint="eastAsia"/>
        </w:rPr>
        <w:t>、台</w:t>
      </w:r>
      <w:r w:rsidR="001858E0" w:rsidRPr="001858E0">
        <w:rPr>
          <w:rFonts w:hint="eastAsia"/>
        </w:rPr>
        <w:lastRenderedPageBreak/>
        <w:t>電</w:t>
      </w:r>
      <w:r w:rsidR="00F41282">
        <w:rPr>
          <w:rFonts w:hint="eastAsia"/>
        </w:rPr>
        <w:t>公司</w:t>
      </w:r>
      <w:r w:rsidR="001858E0" w:rsidRPr="001858E0">
        <w:rPr>
          <w:rFonts w:hint="eastAsia"/>
        </w:rPr>
        <w:t>及NPI(北陸能源)共計</w:t>
      </w:r>
      <w:r w:rsidR="001858E0">
        <w:rPr>
          <w:rFonts w:hint="eastAsia"/>
        </w:rPr>
        <w:t>4</w:t>
      </w:r>
      <w:r w:rsidR="001858E0" w:rsidRPr="001858E0">
        <w:rPr>
          <w:rFonts w:hint="eastAsia"/>
        </w:rPr>
        <w:t>家業者、5個風場(彰芳、中能、西島、台電</w:t>
      </w:r>
      <w:r w:rsidR="00F41282">
        <w:rPr>
          <w:rFonts w:hint="eastAsia"/>
        </w:rPr>
        <w:t>公司</w:t>
      </w:r>
      <w:r w:rsidR="001858E0" w:rsidRPr="001858E0">
        <w:rPr>
          <w:rFonts w:hint="eastAsia"/>
        </w:rPr>
        <w:t>二期、海龍二號)預計於108年11月15日前，提交離岸風力發電產業關聯執行方案計畫書，逐步建立本土產業供應鏈。</w:t>
      </w:r>
      <w:r w:rsidR="001858E0">
        <w:rPr>
          <w:rFonts w:hint="eastAsia"/>
        </w:rPr>
        <w:t>以沃旭大彰化東南605.2MW、大彰化西南294.8MW為例，合計900MW併網容量，分別於107年10月23日與經濟部簽署行政契約在案。</w:t>
      </w:r>
    </w:p>
    <w:p w:rsidR="001858E0" w:rsidRDefault="00880780" w:rsidP="007C6ED0">
      <w:pPr>
        <w:pStyle w:val="3"/>
        <w:ind w:left="1276"/>
      </w:pPr>
      <w:r>
        <w:rPr>
          <w:rFonts w:hint="eastAsia"/>
        </w:rPr>
        <w:t>惟查為引導產業發展離岸風電相關技術，鼓勵業者切入國際供應鏈市場，以提升新興離岸風電產業製造能量與附加價值，並創造產業聚落，經濟部工業局於107年1月18日公布離岸風力發電產業發展政策，針對「離岸風力機組裝暨零組件與電力設施」、「水下基礎製造」及「船舶製造」，將2021年至2025年分為前置期（2021-2022年）、第一階段（2023年）及第二階段（2024-2025年），三階段分別制訂產業發展項目與時程，逐步增加產業發展項目</w:t>
      </w:r>
      <w:r w:rsidR="008E3BC3">
        <w:rPr>
          <w:rFonts w:hint="eastAsia"/>
        </w:rPr>
        <w:t>(</w:t>
      </w:r>
      <w:r w:rsidR="00C821BD">
        <w:rPr>
          <w:rFonts w:hint="eastAsia"/>
        </w:rPr>
        <w:t>如表</w:t>
      </w:r>
      <w:r w:rsidR="004E464A">
        <w:rPr>
          <w:rFonts w:hint="eastAsia"/>
        </w:rPr>
        <w:t>1</w:t>
      </w:r>
      <w:r w:rsidR="006E10C0">
        <w:t>2</w:t>
      </w:r>
      <w:r w:rsidR="008E3BC3">
        <w:rPr>
          <w:rFonts w:hint="eastAsia"/>
        </w:rPr>
        <w:t>)</w:t>
      </w:r>
      <w:r w:rsidR="00BA4D6C">
        <w:rPr>
          <w:rFonts w:hint="eastAsia"/>
        </w:rPr>
        <w:t>，其中關鍵之風機恆速控制系統未納入</w:t>
      </w:r>
      <w:r w:rsidR="00C821BD">
        <w:rPr>
          <w:rFonts w:hint="eastAsia"/>
        </w:rPr>
        <w:t>。</w:t>
      </w:r>
      <w:r w:rsidR="001858E0">
        <w:rPr>
          <w:rFonts w:hint="eastAsia"/>
        </w:rPr>
        <w:t>產業關聯執行方案，離岸風電產業政策中指定</w:t>
      </w:r>
      <w:r>
        <w:rPr>
          <w:rFonts w:hint="eastAsia"/>
        </w:rPr>
        <w:t>五類船舶作為110年併網風電計畫的產業發展項目，分別為調查類、支援船隻類、整理船隻類、交通類船隻及舖纜類船隻；至於運輸類船隻及安裝類船隻則屬112年第一階段計畫之發展項目。卷查沃旭產業關聯執行方案計畫書，</w:t>
      </w:r>
      <w:r w:rsidR="0094428D">
        <w:rPr>
          <w:rFonts w:hint="eastAsia"/>
        </w:rPr>
        <w:t>產業發展項目含</w:t>
      </w:r>
      <w:r>
        <w:rPr>
          <w:rFonts w:hint="eastAsia"/>
        </w:rPr>
        <w:t>風力機組裝及零組件、</w:t>
      </w:r>
      <w:r w:rsidR="0094428D">
        <w:rPr>
          <w:rFonts w:hint="eastAsia"/>
        </w:rPr>
        <w:t>陸上電力設施</w:t>
      </w:r>
      <w:r w:rsidR="00254358">
        <w:rPr>
          <w:rFonts w:hint="eastAsia"/>
        </w:rPr>
        <w:t>、</w:t>
      </w:r>
      <w:r w:rsidR="0094428D">
        <w:rPr>
          <w:rFonts w:hint="eastAsia"/>
        </w:rPr>
        <w:t>水下基礎製造及船舶製造四類。其中船舶製造，復分為調查類、支援類、整理類、交通類及舖纜類等五類，舖纜所需陣列海纜舖纜船，沃旭於產業關聯方案表示「已與本地廠商穩晉公司簽署陣列海纜安裝合約，穩晉公司並已決定購置新船。」等語，惟此項舖纜合約，</w:t>
      </w:r>
      <w:r w:rsidR="00C171DB" w:rsidRPr="009B0944">
        <w:rPr>
          <w:rFonts w:hint="eastAsia"/>
        </w:rPr>
        <w:t>穩晉港灣工程有限公司（下稱穩晉公司）</w:t>
      </w:r>
      <w:r w:rsidR="0094428D" w:rsidRPr="009B0944">
        <w:rPr>
          <w:rFonts w:hint="eastAsia"/>
        </w:rPr>
        <w:t>於108年5月表示，原預計要為沃旭的合約花20億元打造新</w:t>
      </w:r>
      <w:r w:rsidR="0094428D" w:rsidRPr="009B0944">
        <w:rPr>
          <w:rFonts w:hint="eastAsia"/>
        </w:rPr>
        <w:lastRenderedPageBreak/>
        <w:t>船，但後續評估離岸風電技術門檻高，所需投資資金恐高於原先估計，風險也將超出公司可承受的範圍，此外，</w:t>
      </w:r>
      <w:r w:rsidR="00C821BD" w:rsidRPr="009B0944">
        <w:rPr>
          <w:rFonts w:hint="eastAsia"/>
        </w:rPr>
        <w:t>由於沃旭的風場2021年就需完工，</w:t>
      </w:r>
      <w:r w:rsidR="00C4632B" w:rsidRPr="009B0944">
        <w:rPr>
          <w:rFonts w:hint="eastAsia"/>
        </w:rPr>
        <w:t>穩晉公司</w:t>
      </w:r>
      <w:r w:rsidR="00C821BD" w:rsidRPr="009B0944">
        <w:rPr>
          <w:rFonts w:hint="eastAsia"/>
        </w:rPr>
        <w:t>也評估短時間內恐無</w:t>
      </w:r>
      <w:r w:rsidR="00C821BD">
        <w:rPr>
          <w:rFonts w:hint="eastAsia"/>
        </w:rPr>
        <w:t>法招募及培訓足夠的技術人員，因此決定先與沃旭解約，後續再評估是否要參與風電市場。</w:t>
      </w:r>
    </w:p>
    <w:p w:rsidR="004617B9" w:rsidRDefault="004617B9" w:rsidP="004617B9">
      <w:pPr>
        <w:pStyle w:val="3"/>
        <w:numPr>
          <w:ilvl w:val="0"/>
          <w:numId w:val="0"/>
        </w:numPr>
        <w:ind w:left="1361"/>
      </w:pPr>
    </w:p>
    <w:p w:rsidR="00C821BD" w:rsidRPr="008E3BC3" w:rsidRDefault="00C821BD" w:rsidP="00C821BD">
      <w:pPr>
        <w:pStyle w:val="a2"/>
        <w:spacing w:before="0" w:after="0" w:line="240" w:lineRule="auto"/>
        <w:ind w:left="482" w:hanging="482"/>
        <w:jc w:val="center"/>
        <w:rPr>
          <w:b/>
        </w:rPr>
      </w:pPr>
      <w:bookmarkStart w:id="84" w:name="_Toc531620400"/>
      <w:bookmarkStart w:id="85" w:name="_Toc22216355"/>
      <w:r w:rsidRPr="008E3BC3">
        <w:rPr>
          <w:rFonts w:hint="eastAsia"/>
          <w:b/>
        </w:rPr>
        <w:t>離岸風場開發遴選之產業發展項目與時程</w:t>
      </w:r>
      <w:bookmarkEnd w:id="84"/>
      <w:bookmarkEnd w:id="85"/>
    </w:p>
    <w:p w:rsidR="00C821BD" w:rsidRDefault="00C821BD" w:rsidP="00002178">
      <w:pPr>
        <w:ind w:leftChars="-125" w:left="680" w:hangingChars="325" w:hanging="1105"/>
      </w:pPr>
      <w:r>
        <w:rPr>
          <w:rFonts w:hint="eastAsia"/>
          <w:noProof/>
        </w:rPr>
        <w:drawing>
          <wp:inline distT="0" distB="0" distL="0" distR="0" wp14:anchorId="65D13DF4" wp14:editId="2742950E">
            <wp:extent cx="6380018" cy="4024746"/>
            <wp:effectExtent l="0" t="0" r="1905" b="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41A1D.tmp"/>
                    <pic:cNvPicPr/>
                  </pic:nvPicPr>
                  <pic:blipFill>
                    <a:blip r:embed="rId28">
                      <a:extLst>
                        <a:ext uri="{28A0092B-C50C-407E-A947-70E740481C1C}">
                          <a14:useLocalDpi xmlns:a14="http://schemas.microsoft.com/office/drawing/2010/main" val="0"/>
                        </a:ext>
                      </a:extLst>
                    </a:blip>
                    <a:stretch>
                      <a:fillRect/>
                    </a:stretch>
                  </pic:blipFill>
                  <pic:spPr>
                    <a:xfrm>
                      <a:off x="0" y="0"/>
                      <a:ext cx="6385533" cy="4028225"/>
                    </a:xfrm>
                    <a:prstGeom prst="rect">
                      <a:avLst/>
                    </a:prstGeom>
                  </pic:spPr>
                </pic:pic>
              </a:graphicData>
            </a:graphic>
          </wp:inline>
        </w:drawing>
      </w:r>
    </w:p>
    <w:p w:rsidR="00C821BD" w:rsidRDefault="00C821BD" w:rsidP="00002178">
      <w:pPr>
        <w:ind w:leftChars="-102" w:left="683" w:hangingChars="396" w:hanging="1030"/>
        <w:rPr>
          <w:sz w:val="24"/>
          <w:szCs w:val="24"/>
        </w:rPr>
      </w:pPr>
      <w:r w:rsidRPr="009B280D">
        <w:rPr>
          <w:rFonts w:hint="eastAsia"/>
          <w:sz w:val="24"/>
          <w:szCs w:val="24"/>
        </w:rPr>
        <w:t>資料來源：經濟部107年5月1日簡報</w:t>
      </w:r>
      <w:r>
        <w:rPr>
          <w:rFonts w:hint="eastAsia"/>
          <w:sz w:val="24"/>
          <w:szCs w:val="24"/>
        </w:rPr>
        <w:t>，</w:t>
      </w:r>
      <w:r w:rsidRPr="009B280D">
        <w:rPr>
          <w:rFonts w:hint="eastAsia"/>
          <w:sz w:val="24"/>
          <w:szCs w:val="24"/>
        </w:rPr>
        <w:t>第</w:t>
      </w:r>
      <w:r>
        <w:rPr>
          <w:rFonts w:hint="eastAsia"/>
          <w:sz w:val="24"/>
          <w:szCs w:val="24"/>
        </w:rPr>
        <w:t>13</w:t>
      </w:r>
      <w:r w:rsidRPr="009B280D">
        <w:rPr>
          <w:rFonts w:hint="eastAsia"/>
          <w:sz w:val="24"/>
          <w:szCs w:val="24"/>
        </w:rPr>
        <w:t>頁。</w:t>
      </w:r>
    </w:p>
    <w:p w:rsidR="003C5EFA" w:rsidRPr="009B280D" w:rsidRDefault="003C5EFA" w:rsidP="00C821BD">
      <w:pPr>
        <w:ind w:leftChars="200" w:left="680"/>
        <w:rPr>
          <w:sz w:val="24"/>
          <w:szCs w:val="24"/>
        </w:rPr>
      </w:pPr>
    </w:p>
    <w:p w:rsidR="00C821BD" w:rsidRDefault="00C821BD" w:rsidP="00136CEF">
      <w:pPr>
        <w:pStyle w:val="3"/>
        <w:snapToGrid w:val="0"/>
        <w:spacing w:line="400" w:lineRule="exact"/>
        <w:ind w:left="1275" w:hanging="680"/>
      </w:pPr>
      <w:r>
        <w:rPr>
          <w:rFonts w:hint="eastAsia"/>
        </w:rPr>
        <w:t>綜上，</w:t>
      </w:r>
      <w:r w:rsidR="00074E9B">
        <w:rPr>
          <w:rFonts w:hint="eastAsia"/>
        </w:rPr>
        <w:t>經濟部107年4月核配容量3</w:t>
      </w:r>
      <w:r w:rsidR="00C4632B">
        <w:rPr>
          <w:rFonts w:hint="eastAsia"/>
        </w:rPr>
        <w:t>,</w:t>
      </w:r>
      <w:r w:rsidR="00074E9B">
        <w:rPr>
          <w:rFonts w:hint="eastAsia"/>
        </w:rPr>
        <w:t>836MWM，除109年併網（上緯海能378MW、達德允能360MW）外，餘皆</w:t>
      </w:r>
      <w:r w:rsidR="00254358">
        <w:rPr>
          <w:rFonts w:hint="eastAsia"/>
        </w:rPr>
        <w:t>需擔</w:t>
      </w:r>
      <w:r w:rsidR="00074E9B">
        <w:rPr>
          <w:rFonts w:hint="eastAsia"/>
        </w:rPr>
        <w:t>負產業國產化義務，其中，110年完工併聯者計有達德麗威350MW、允能（348MW）、沃旭大彰化東南605.2MW、大彰化西南294.8MW及丹麥哥本哈根基礎建設基金彰芳等風場，其產業關聯執行方案前經工業局核准在案。經查有關海纜舖設，</w:t>
      </w:r>
      <w:r w:rsidR="00922C94">
        <w:rPr>
          <w:rFonts w:hint="eastAsia"/>
        </w:rPr>
        <w:t>除達德以外商為</w:t>
      </w:r>
      <w:r w:rsidR="00922C94">
        <w:rPr>
          <w:rFonts w:hint="eastAsia"/>
        </w:rPr>
        <w:lastRenderedPageBreak/>
        <w:t>統包商，宏華營造為在地化關聯執行廠商外，餘</w:t>
      </w:r>
      <w:r w:rsidR="00074E9B">
        <w:rPr>
          <w:rFonts w:hint="eastAsia"/>
        </w:rPr>
        <w:t>沃旭與</w:t>
      </w:r>
      <w:r w:rsidR="00C4632B" w:rsidRPr="009B0944">
        <w:rPr>
          <w:rFonts w:hint="eastAsia"/>
        </w:rPr>
        <w:t>穩晉公司</w:t>
      </w:r>
      <w:r w:rsidR="00922C94" w:rsidRPr="009B0944">
        <w:rPr>
          <w:rFonts w:hint="eastAsia"/>
        </w:rPr>
        <w:t>雙方於107年9月12日</w:t>
      </w:r>
      <w:r w:rsidR="00074E9B" w:rsidRPr="009B0944">
        <w:rPr>
          <w:rFonts w:hint="eastAsia"/>
        </w:rPr>
        <w:t>簽署</w:t>
      </w:r>
      <w:r w:rsidR="00922C94" w:rsidRPr="009B0944">
        <w:rPr>
          <w:rFonts w:hint="eastAsia"/>
        </w:rPr>
        <w:t>價值10億元的29條陣列海纜舖設合約</w:t>
      </w:r>
      <w:r w:rsidR="00074E9B" w:rsidRPr="009B0944">
        <w:rPr>
          <w:rFonts w:hint="eastAsia"/>
        </w:rPr>
        <w:t>，丹麥哥本哈根基礎建設基金107年11月8日亦與</w:t>
      </w:r>
      <w:r w:rsidR="00C4632B" w:rsidRPr="009B0944">
        <w:rPr>
          <w:rFonts w:hint="eastAsia"/>
        </w:rPr>
        <w:t>穩晉公司</w:t>
      </w:r>
      <w:r w:rsidR="00074E9B" w:rsidRPr="009B0944">
        <w:rPr>
          <w:rFonts w:hint="eastAsia"/>
        </w:rPr>
        <w:t>簽</w:t>
      </w:r>
      <w:r w:rsidR="00074E9B">
        <w:rPr>
          <w:rFonts w:hint="eastAsia"/>
        </w:rPr>
        <w:t>署產業關聯方案合約，</w:t>
      </w:r>
      <w:r w:rsidR="00922C94">
        <w:rPr>
          <w:rFonts w:hint="eastAsia"/>
        </w:rPr>
        <w:t>惟穩晉公司108年5月因舖纜船投資資金高出原估計，以及短期內無法招募及培訓足夠技術人員為由，決定與沃旭解約，足見離岸風電技術門檻高，經濟部審查其產業關聯方案時，未能</w:t>
      </w:r>
      <w:r w:rsidR="008E3BC3">
        <w:rPr>
          <w:rFonts w:hint="eastAsia"/>
        </w:rPr>
        <w:t>體察國內產業基礎及時程等有關風險</w:t>
      </w:r>
      <w:r w:rsidR="00062222">
        <w:rPr>
          <w:rFonts w:hint="eastAsia"/>
          <w:b/>
        </w:rPr>
        <w:t>，</w:t>
      </w:r>
      <w:r w:rsidR="00062222" w:rsidRPr="00062222">
        <w:rPr>
          <w:rFonts w:hint="eastAsia"/>
        </w:rPr>
        <w:t>致近期似有將陳義過高之「國產化」目標調整為「在地化」之主張，引來外商再三試探政府政策底線，允</w:t>
      </w:r>
      <w:r w:rsidR="00030F18">
        <w:rPr>
          <w:rFonts w:hint="eastAsia"/>
        </w:rPr>
        <w:t>應確實</w:t>
      </w:r>
      <w:r w:rsidR="00922C94">
        <w:rPr>
          <w:rFonts w:hint="eastAsia"/>
        </w:rPr>
        <w:t>檢討。</w:t>
      </w:r>
    </w:p>
    <w:p w:rsidR="003C5EFA" w:rsidRDefault="003C5EFA" w:rsidP="003C5EFA">
      <w:pPr>
        <w:pStyle w:val="3"/>
        <w:numPr>
          <w:ilvl w:val="0"/>
          <w:numId w:val="0"/>
        </w:numPr>
        <w:ind w:left="1361"/>
      </w:pPr>
    </w:p>
    <w:p w:rsidR="00AE08CD" w:rsidRPr="00F75094" w:rsidRDefault="00607A2D" w:rsidP="00F75094">
      <w:pPr>
        <w:pStyle w:val="2"/>
        <w:rPr>
          <w:b/>
        </w:rPr>
      </w:pPr>
      <w:bookmarkStart w:id="86" w:name="_Toc22636590"/>
      <w:r w:rsidRPr="00F75094">
        <w:rPr>
          <w:rFonts w:hint="eastAsia"/>
          <w:b/>
        </w:rPr>
        <w:t>依台電</w:t>
      </w:r>
      <w:r w:rsidR="00184932">
        <w:rPr>
          <w:rFonts w:hint="eastAsia"/>
          <w:b/>
        </w:rPr>
        <w:t>公司</w:t>
      </w:r>
      <w:r w:rsidRPr="00F75094">
        <w:rPr>
          <w:rFonts w:hint="eastAsia"/>
          <w:b/>
        </w:rPr>
        <w:t>委託工研院完成之「地熱發電潛能廠址研究計畫」，</w:t>
      </w:r>
      <w:r w:rsidR="00AE08CD" w:rsidRPr="00F75094">
        <w:rPr>
          <w:rFonts w:hint="eastAsia"/>
          <w:b/>
        </w:rPr>
        <w:t>國內傳統型</w:t>
      </w:r>
      <w:r w:rsidRPr="00F75094">
        <w:rPr>
          <w:rFonts w:hint="eastAsia"/>
          <w:b/>
        </w:rPr>
        <w:t>地熱</w:t>
      </w:r>
      <w:r w:rsidR="00AE08CD" w:rsidRPr="00F75094">
        <w:rPr>
          <w:rFonts w:hint="eastAsia"/>
          <w:b/>
        </w:rPr>
        <w:t>總發電潛能約1</w:t>
      </w:r>
      <w:r w:rsidRPr="00F75094">
        <w:rPr>
          <w:rFonts w:hint="eastAsia"/>
          <w:b/>
        </w:rPr>
        <w:t>,</w:t>
      </w:r>
      <w:r w:rsidR="00AE08CD" w:rsidRPr="00F75094">
        <w:rPr>
          <w:rFonts w:hint="eastAsia"/>
          <w:b/>
        </w:rPr>
        <w:t>000MW，然迄今運轉</w:t>
      </w:r>
      <w:r w:rsidRPr="00F75094">
        <w:rPr>
          <w:rFonts w:hint="eastAsia"/>
          <w:b/>
        </w:rPr>
        <w:t>（0.3MW）</w:t>
      </w:r>
      <w:r w:rsidR="00AE08CD" w:rsidRPr="00F75094">
        <w:rPr>
          <w:rFonts w:hint="eastAsia"/>
          <w:b/>
        </w:rPr>
        <w:t>、籌設</w:t>
      </w:r>
      <w:r w:rsidRPr="00F75094">
        <w:rPr>
          <w:rFonts w:hint="eastAsia"/>
          <w:b/>
        </w:rPr>
        <w:t>（4.2MW）</w:t>
      </w:r>
      <w:r w:rsidR="00AE08CD" w:rsidRPr="00F75094">
        <w:rPr>
          <w:rFonts w:hint="eastAsia"/>
          <w:b/>
        </w:rPr>
        <w:t>及規劃</w:t>
      </w:r>
      <w:r w:rsidRPr="00F75094">
        <w:rPr>
          <w:rFonts w:hint="eastAsia"/>
          <w:b/>
        </w:rPr>
        <w:t>中（8.5MW）之總裝置容量</w:t>
      </w:r>
      <w:r w:rsidR="00AE08CD" w:rsidRPr="00F75094">
        <w:rPr>
          <w:rFonts w:hint="eastAsia"/>
          <w:b/>
        </w:rPr>
        <w:t>僅13MW，占比低，</w:t>
      </w:r>
      <w:r w:rsidR="00062222">
        <w:rPr>
          <w:rFonts w:hint="eastAsia"/>
          <w:b/>
        </w:rPr>
        <w:t>而</w:t>
      </w:r>
      <w:r w:rsidR="00AE08CD" w:rsidRPr="00F75094">
        <w:rPr>
          <w:rFonts w:hint="eastAsia"/>
          <w:b/>
        </w:rPr>
        <w:t>相較以往清水</w:t>
      </w:r>
      <w:r w:rsidRPr="00F75094">
        <w:rPr>
          <w:rFonts w:hint="eastAsia"/>
          <w:b/>
        </w:rPr>
        <w:t>地熱熱液產能因孔內結垢問題造成逐年衰減</w:t>
      </w:r>
      <w:r w:rsidR="00AE08CD" w:rsidRPr="00F75094">
        <w:rPr>
          <w:rFonts w:hint="eastAsia"/>
          <w:b/>
        </w:rPr>
        <w:t>，</w:t>
      </w:r>
      <w:r w:rsidRPr="00F75094">
        <w:rPr>
          <w:rFonts w:hint="eastAsia"/>
          <w:b/>
        </w:rPr>
        <w:t>未來改採回注井、管垢控制及</w:t>
      </w:r>
      <w:r w:rsidR="00370DE0">
        <w:rPr>
          <w:rFonts w:hint="eastAsia"/>
          <w:b/>
        </w:rPr>
        <w:t>雙循環發電機組</w:t>
      </w:r>
      <w:r w:rsidR="00AE08CD" w:rsidRPr="00F75094">
        <w:rPr>
          <w:rFonts w:hint="eastAsia"/>
          <w:b/>
        </w:rPr>
        <w:t>，</w:t>
      </w:r>
      <w:r w:rsidRPr="00F75094">
        <w:rPr>
          <w:rFonts w:hint="eastAsia"/>
          <w:b/>
        </w:rPr>
        <w:t>地熱發</w:t>
      </w:r>
      <w:r w:rsidR="00AE08CD" w:rsidRPr="00F75094">
        <w:rPr>
          <w:rFonts w:hint="eastAsia"/>
          <w:b/>
        </w:rPr>
        <w:t>電潛力大，</w:t>
      </w:r>
      <w:r w:rsidR="00FD59B8">
        <w:rPr>
          <w:rFonts w:hint="eastAsia"/>
          <w:b/>
        </w:rPr>
        <w:t>在能源開發多元化考量下，</w:t>
      </w:r>
      <w:r w:rsidR="00AE08CD" w:rsidRPr="00F75094">
        <w:rPr>
          <w:rFonts w:hint="eastAsia"/>
          <w:b/>
        </w:rPr>
        <w:t>經濟部允宜創造誘因，鼓勵業者投入</w:t>
      </w:r>
      <w:r w:rsidR="00F75094" w:rsidRPr="00F75094">
        <w:rPr>
          <w:rFonts w:hint="eastAsia"/>
          <w:b/>
        </w:rPr>
        <w:t>，</w:t>
      </w:r>
      <w:r w:rsidR="00FD59B8">
        <w:rPr>
          <w:rFonts w:hint="eastAsia"/>
          <w:b/>
        </w:rPr>
        <w:t>以積極</w:t>
      </w:r>
      <w:r w:rsidR="00F75094" w:rsidRPr="00F75094">
        <w:rPr>
          <w:rFonts w:hint="eastAsia"/>
          <w:b/>
        </w:rPr>
        <w:t>發</w:t>
      </w:r>
      <w:r w:rsidR="00FD59B8">
        <w:rPr>
          <w:rFonts w:hint="eastAsia"/>
          <w:b/>
        </w:rPr>
        <w:t>掘</w:t>
      </w:r>
      <w:r w:rsidR="00F75094" w:rsidRPr="00F75094">
        <w:rPr>
          <w:rFonts w:hint="eastAsia"/>
          <w:b/>
        </w:rPr>
        <w:t>地熱潛能。</w:t>
      </w:r>
      <w:bookmarkEnd w:id="86"/>
    </w:p>
    <w:p w:rsidR="009A3314" w:rsidRDefault="006D7B6A" w:rsidP="007C6ED0">
      <w:pPr>
        <w:pStyle w:val="3"/>
        <w:ind w:left="1276"/>
      </w:pPr>
      <w:r>
        <w:rPr>
          <w:rFonts w:hint="eastAsia"/>
        </w:rPr>
        <w:t>依98年7月8日公布之</w:t>
      </w:r>
      <w:r w:rsidR="00FD59B8">
        <w:rPr>
          <w:rFonts w:hint="eastAsia"/>
        </w:rPr>
        <w:t>「</w:t>
      </w:r>
      <w:r>
        <w:rPr>
          <w:rFonts w:hint="eastAsia"/>
        </w:rPr>
        <w:t>再生能源發展條例</w:t>
      </w:r>
      <w:r w:rsidR="00FD59B8">
        <w:rPr>
          <w:rFonts w:hint="eastAsia"/>
        </w:rPr>
        <w:t>」</w:t>
      </w:r>
      <w:r>
        <w:rPr>
          <w:rFonts w:hint="eastAsia"/>
        </w:rPr>
        <w:t>第11條規定：「對於具發展潛力之再生能源發電設備，於技術發展初期階段，中央主管機關得基於示範之目的，於一定期間內，給予相關獎勵。」基於鼓勵國內業者投入地熱能發電開發，經濟部於102年1月9日經濟部經能字第10104608580號令訂定發布「</w:t>
      </w:r>
      <w:r w:rsidRPr="0042110B">
        <w:rPr>
          <w:rFonts w:hint="eastAsia"/>
        </w:rPr>
        <w:t>地熱能發電系統示範獎勵辦法</w:t>
      </w:r>
      <w:r>
        <w:rPr>
          <w:rFonts w:hint="eastAsia"/>
        </w:rPr>
        <w:t>」</w:t>
      </w:r>
      <w:r w:rsidR="0042110B">
        <w:rPr>
          <w:rFonts w:hint="eastAsia"/>
        </w:rPr>
        <w:t>，全文13條；並自發布日施行。嗣</w:t>
      </w:r>
      <w:r>
        <w:rPr>
          <w:rFonts w:hint="eastAsia"/>
        </w:rPr>
        <w:t>鑑於該辦法自訂定發布施行之日起，無相關廠商申請地熱能發電系統示範獎勵，為提升廠商投入地熱能發電開發之意願，爰於105年2月17日修正</w:t>
      </w:r>
      <w:r w:rsidR="001D660A">
        <w:rPr>
          <w:rFonts w:hint="eastAsia"/>
        </w:rPr>
        <w:t>。其次，鑑於我國地熱資源徵兆區業已明朗，為提升廠商投</w:t>
      </w:r>
      <w:r w:rsidR="001D660A">
        <w:rPr>
          <w:rFonts w:hint="eastAsia"/>
        </w:rPr>
        <w:lastRenderedPageBreak/>
        <w:t>入地熱能發電開發之意願，加快地熱發電設置以達再生能源施政目標，降低業者限制條件並提高獎勵誘因，分攤業者地熱發電探勘風險，以促進民間投入地熱電廠之開發與營運，爰於107年5月23日再次修正。至</w:t>
      </w:r>
      <w:r w:rsidR="0042110B">
        <w:rPr>
          <w:rFonts w:hint="eastAsia"/>
        </w:rPr>
        <w:t>108年8月6日</w:t>
      </w:r>
      <w:r w:rsidR="001D660A">
        <w:rPr>
          <w:rFonts w:hint="eastAsia"/>
        </w:rPr>
        <w:t>之</w:t>
      </w:r>
      <w:r w:rsidR="0042110B">
        <w:rPr>
          <w:rFonts w:hint="eastAsia"/>
        </w:rPr>
        <w:t>修正，</w:t>
      </w:r>
      <w:r w:rsidR="001D660A">
        <w:rPr>
          <w:rFonts w:hint="eastAsia"/>
        </w:rPr>
        <w:t>按新修正之</w:t>
      </w:r>
      <w:r w:rsidR="003871D1">
        <w:rPr>
          <w:rFonts w:hint="eastAsia"/>
        </w:rPr>
        <w:t>「</w:t>
      </w:r>
      <w:r w:rsidR="001D660A">
        <w:rPr>
          <w:rFonts w:hint="eastAsia"/>
        </w:rPr>
        <w:t>再生能源發展條例</w:t>
      </w:r>
      <w:r w:rsidR="003871D1">
        <w:rPr>
          <w:rFonts w:hint="eastAsia"/>
        </w:rPr>
        <w:t>」</w:t>
      </w:r>
      <w:r w:rsidR="001D660A">
        <w:rPr>
          <w:rFonts w:hint="eastAsia"/>
        </w:rPr>
        <w:t>，已於108年5月1日修正公布，鑑於該條例第11條</w:t>
      </w:r>
      <w:r w:rsidR="001949BF">
        <w:rPr>
          <w:rStyle w:val="aff0"/>
        </w:rPr>
        <w:footnoteReference w:id="7"/>
      </w:r>
      <w:r w:rsidR="001D660A">
        <w:rPr>
          <w:rFonts w:hint="eastAsia"/>
        </w:rPr>
        <w:t>第2項已移列原條文第3項，爰配合酌修該辦法第1條文字。</w:t>
      </w:r>
    </w:p>
    <w:p w:rsidR="0079575C" w:rsidRDefault="0079575C" w:rsidP="007C6ED0">
      <w:pPr>
        <w:pStyle w:val="3"/>
        <w:ind w:left="1276"/>
      </w:pPr>
      <w:r>
        <w:rPr>
          <w:rFonts w:hint="eastAsia"/>
        </w:rPr>
        <w:t>次查臺灣地熱現況</w:t>
      </w:r>
      <w:r w:rsidR="00607A2D">
        <w:rPr>
          <w:rStyle w:val="aff0"/>
        </w:rPr>
        <w:footnoteReference w:id="8"/>
      </w:r>
      <w:r>
        <w:rPr>
          <w:rFonts w:hint="eastAsia"/>
        </w:rPr>
        <w:t>，略以：</w:t>
      </w:r>
    </w:p>
    <w:p w:rsidR="0079575C" w:rsidRDefault="0079575C" w:rsidP="0079575C">
      <w:pPr>
        <w:pStyle w:val="4"/>
      </w:pPr>
      <w:r>
        <w:rPr>
          <w:rFonts w:hint="eastAsia"/>
        </w:rPr>
        <w:t xml:space="preserve">國內對地熱開發之推動工作分為以下幾個時期：1966年起，由經濟部礦業研究所進行探勘工作，大規模之探勘調查工作集中在臺灣北部之大屯火山群地熱區。經6年之調查探勘研究，發現該地區地熱潛能相當豐富，評估其發電潛能可達500 </w:t>
      </w:r>
      <w:r w:rsidR="00A32093">
        <w:rPr>
          <w:rFonts w:hint="eastAsia"/>
        </w:rPr>
        <w:t>MW</w:t>
      </w:r>
      <w:r>
        <w:rPr>
          <w:rFonts w:hint="eastAsia"/>
        </w:rPr>
        <w:t>，惜因所產熱水為酸性，具相當腐蝕性，如欲開發利用，需高價耐酸抗蝕生產設備，</w:t>
      </w:r>
      <w:r w:rsidR="00FD59B8">
        <w:rPr>
          <w:rFonts w:hint="eastAsia"/>
        </w:rPr>
        <w:t>不</w:t>
      </w:r>
      <w:r>
        <w:rPr>
          <w:rFonts w:hint="eastAsia"/>
        </w:rPr>
        <w:t>符經濟</w:t>
      </w:r>
      <w:r w:rsidR="00FD59B8">
        <w:rPr>
          <w:rFonts w:hint="eastAsia"/>
        </w:rPr>
        <w:t>效益</w:t>
      </w:r>
      <w:r>
        <w:rPr>
          <w:rFonts w:hint="eastAsia"/>
        </w:rPr>
        <w:t>，因此探勘開發工作暫時停頓；相關探勘活動並移轉至清水、土場與全省其他</w:t>
      </w:r>
      <w:r w:rsidR="00FD59B8">
        <w:rPr>
          <w:rFonts w:hint="eastAsia"/>
        </w:rPr>
        <w:t>地熱</w:t>
      </w:r>
      <w:r>
        <w:rPr>
          <w:rFonts w:hint="eastAsia"/>
        </w:rPr>
        <w:t>潛能區。但</w:t>
      </w:r>
      <w:r w:rsidR="00197407">
        <w:rPr>
          <w:rFonts w:hint="eastAsia"/>
        </w:rPr>
        <w:t>原</w:t>
      </w:r>
      <w:r>
        <w:rPr>
          <w:rFonts w:hint="eastAsia"/>
        </w:rPr>
        <w:t>中國農村復興聯合委員會（現行政院農業委員會）則續於大屯火山群地熱區，興建地熱農業利用研究中心，利用地熱進行木材乾燥、花卉溫室栽培、畜產恆溫養殖等地熱直接利用研究。</w:t>
      </w:r>
    </w:p>
    <w:p w:rsidR="0079575C" w:rsidRDefault="0079575C" w:rsidP="0079575C">
      <w:pPr>
        <w:pStyle w:val="4"/>
      </w:pPr>
      <w:r>
        <w:rPr>
          <w:rFonts w:hint="eastAsia"/>
        </w:rPr>
        <w:t>大屯山探勘結束後，1973</w:t>
      </w:r>
      <w:r w:rsidR="00FD59B8">
        <w:rPr>
          <w:rFonts w:hint="eastAsia"/>
        </w:rPr>
        <w:t>年第一次能源危機爆發，為</w:t>
      </w:r>
      <w:r>
        <w:rPr>
          <w:rFonts w:hint="eastAsia"/>
        </w:rPr>
        <w:t>加速國內地熱能源的探勘開發，經濟部指示進行全國地熱區資源普查。根據地熱區普查結</w:t>
      </w:r>
      <w:r>
        <w:rPr>
          <w:rFonts w:hint="eastAsia"/>
        </w:rPr>
        <w:lastRenderedPageBreak/>
        <w:t xml:space="preserve">果，工研院選定宜蘭清水地熱區為首要潛能區，並進行系統性探勘。1976年中油公司加入探勘行列，在該區鑽探深井成功，地熱流體產能與品質甚佳。有鑑於此，國科會邀集學者專家組成地熱發電小組，並責成工研院、中油公司及台電公司三機構分別負責探勘、生產及發電，於1977年秋建造第一座1,500 kW先驅型地熱試驗電廠，供各項試驗研究與示範；隨後於1981年4月構建3 </w:t>
      </w:r>
      <w:r w:rsidR="00A32093">
        <w:rPr>
          <w:rFonts w:hint="eastAsia"/>
        </w:rPr>
        <w:t>MW</w:t>
      </w:r>
      <w:r>
        <w:rPr>
          <w:rFonts w:hint="eastAsia"/>
        </w:rPr>
        <w:t>閃發式地熱電廠，同年9月移交台電公司營運，但由於熱液產能因孔內結垢問題造成逐年衰減，以致發電量隨之遞減，運轉12年後於1993年停止發電試驗。</w:t>
      </w:r>
    </w:p>
    <w:p w:rsidR="0079575C" w:rsidRDefault="0079575C" w:rsidP="0079575C">
      <w:pPr>
        <w:pStyle w:val="4"/>
      </w:pPr>
      <w:r>
        <w:rPr>
          <w:rFonts w:hint="eastAsia"/>
        </w:rPr>
        <w:t>國內地熱潛能區除大屯山為火山型地熱系統外，其餘地熱區皆屬非火山型地熱系統，地熱流體之蒸汽含量並不高，清水地熱3</w:t>
      </w:r>
      <w:r w:rsidR="00A32093">
        <w:rPr>
          <w:rFonts w:hint="eastAsia"/>
        </w:rPr>
        <w:t>MW</w:t>
      </w:r>
      <w:r>
        <w:rPr>
          <w:rFonts w:hint="eastAsia"/>
        </w:rPr>
        <w:t>電廠採用閃發式發電系統，只利用到熱液分離後之蒸汽發電，大部份之熱水皆廢棄，殊為可惜。有鑑於此，經濟部能源局（前為能源委員會）於1985年委託工研院在土場地熱區建構260 kW雙循環式發電試驗系統，充分利用地熱流體之熱能，並進行二氧化碳副產品回收、地熱生產與防垢技術之研究與地熱直接利用研究與示範。土場地熱電廠經數年運轉試驗証實雙循環發電系統之實用性頗佳，且地熱產能在適當調節控制下並無衰減現象，1994年由於該計畫已完成階段性任務而終止。</w:t>
      </w:r>
    </w:p>
    <w:p w:rsidR="0079575C" w:rsidRDefault="0079575C" w:rsidP="006E3BCA">
      <w:pPr>
        <w:pStyle w:val="4"/>
        <w:spacing w:line="400" w:lineRule="exact"/>
      </w:pPr>
      <w:r>
        <w:rPr>
          <w:rFonts w:hint="eastAsia"/>
        </w:rPr>
        <w:t>清水電廠於1993年終止發電後，8口生產井因電廠終止運轉而全數關閉，宜蘭縣政府為配合政府推動再生能源發電之政策，重新主導清水地熱區之開發。2000年中油公司將清水地熱礦權歸還經濟部，完成地熱井報廢手續，並將8口地熱井與管</w:t>
      </w:r>
      <w:r>
        <w:rPr>
          <w:rFonts w:hint="eastAsia"/>
        </w:rPr>
        <w:lastRenderedPageBreak/>
        <w:t>線設備撥贈給宜蘭縣政府；台電公司亦將地熱電廠設施，無償移轉宜蘭縣政府。2005年取得13公頃地熱區土地之國有財產局撥用程序。</w:t>
      </w:r>
    </w:p>
    <w:p w:rsidR="0079575C" w:rsidRDefault="0079575C" w:rsidP="006E3BCA">
      <w:pPr>
        <w:pStyle w:val="4"/>
        <w:spacing w:line="400" w:lineRule="exact"/>
      </w:pPr>
      <w:r>
        <w:rPr>
          <w:rFonts w:hint="eastAsia"/>
        </w:rPr>
        <w:t>2002年宜蘭縣政府開始推動清水地熱BOT開發計畫，初步規劃以地熱發電為主，搭配多目標利用規劃為輔，該招商計畫因僅有一家</w:t>
      </w:r>
      <w:r w:rsidR="00FD59B8">
        <w:rPr>
          <w:rFonts w:hint="eastAsia"/>
        </w:rPr>
        <w:t>廠商</w:t>
      </w:r>
      <w:r>
        <w:rPr>
          <w:rFonts w:hint="eastAsia"/>
        </w:rPr>
        <w:t>投標，且因資格要件不符而流標。2012年改以ROT</w:t>
      </w:r>
      <w:r w:rsidR="00FD59B8">
        <w:rPr>
          <w:rFonts w:hint="eastAsia"/>
        </w:rPr>
        <w:t>方式</w:t>
      </w:r>
      <w:r>
        <w:rPr>
          <w:rFonts w:hint="eastAsia"/>
        </w:rPr>
        <w:t xml:space="preserve">推動開發，同年12月宜蘭縣府與噶瑪蘭清水股份有限公司完成合約簽訂，基本發電裝置容量1 </w:t>
      </w:r>
      <w:r w:rsidR="00A32093">
        <w:rPr>
          <w:rFonts w:hint="eastAsia"/>
        </w:rPr>
        <w:t>MW</w:t>
      </w:r>
      <w:r>
        <w:rPr>
          <w:rFonts w:hint="eastAsia"/>
        </w:rPr>
        <w:t xml:space="preserve">，正式營運後，可於簽約後三年內，提擴廠申請至3 </w:t>
      </w:r>
      <w:r w:rsidR="00A32093">
        <w:rPr>
          <w:rFonts w:hint="eastAsia"/>
        </w:rPr>
        <w:t>MW</w:t>
      </w:r>
      <w:r>
        <w:rPr>
          <w:rFonts w:hint="eastAsia"/>
        </w:rPr>
        <w:t>。</w:t>
      </w:r>
    </w:p>
    <w:p w:rsidR="0079575C" w:rsidRDefault="0079575C" w:rsidP="006E3BCA">
      <w:pPr>
        <w:pStyle w:val="4"/>
        <w:spacing w:line="400" w:lineRule="exact"/>
      </w:pPr>
      <w:r>
        <w:rPr>
          <w:rFonts w:hint="eastAsia"/>
        </w:rPr>
        <w:t>再生能源的推動為國家重要政策，為加速地熱能源的推廣利用，並促進國內地熱發電技術及相關產業的發展，經濟部能源局於2006年起委託工研院在清水地熱區進行地熱資源開發再生計畫，除陸續完成IC-9、13及19之修井作業，以及IC-20與IC-21兩口地熱井的新井鑽鑿與產能測試外，並利用現有地熱井作為地熱發電技術的研發平台，邀請國內與國際團隊共同參與，建立結垢抑制技術、尾水回注技術、生產井況模擬等技術，進行發電系統評估與測試、儲集層連通試驗等相關研究，目前已掌握傳統地熱開發之各項關鍵技術。</w:t>
      </w:r>
    </w:p>
    <w:p w:rsidR="001A1ED9" w:rsidRDefault="001A1ED9" w:rsidP="00136CEF">
      <w:pPr>
        <w:pStyle w:val="3"/>
        <w:snapToGrid w:val="0"/>
        <w:spacing w:line="420" w:lineRule="exact"/>
        <w:ind w:left="1275" w:hanging="680"/>
      </w:pPr>
      <w:r>
        <w:rPr>
          <w:rFonts w:hint="eastAsia"/>
        </w:rPr>
        <w:t>惟查台灣地區地熱分區，如圖</w:t>
      </w:r>
      <w:r w:rsidR="006E10C0">
        <w:t>8</w:t>
      </w:r>
      <w:r w:rsidR="00B3717E">
        <w:rPr>
          <w:rFonts w:hint="eastAsia"/>
        </w:rPr>
        <w:t>，主要有三：火成岩區、變質岩區及沈積岩區</w:t>
      </w:r>
      <w:r>
        <w:rPr>
          <w:rFonts w:hint="eastAsia"/>
        </w:rPr>
        <w:t>。地熱區分布，</w:t>
      </w:r>
      <w:r w:rsidR="00B3717E">
        <w:rPr>
          <w:rFonts w:hint="eastAsia"/>
        </w:rPr>
        <w:t>如圖</w:t>
      </w:r>
      <w:r w:rsidR="006E10C0">
        <w:t>9</w:t>
      </w:r>
      <w:r w:rsidR="00B3717E">
        <w:rPr>
          <w:rFonts w:hint="eastAsia"/>
        </w:rPr>
        <w:t>，依中油公司108年9月16日簡報，</w:t>
      </w:r>
      <w:r w:rsidR="00955870">
        <w:rPr>
          <w:rFonts w:hint="eastAsia"/>
        </w:rPr>
        <w:t>中油</w:t>
      </w:r>
      <w:r w:rsidR="00B3717E">
        <w:rPr>
          <w:rFonts w:hint="eastAsia"/>
        </w:rPr>
        <w:t>公司於53年成立地熱工作小組</w:t>
      </w:r>
      <w:r w:rsidR="00555B49">
        <w:rPr>
          <w:rFonts w:hint="eastAsia"/>
        </w:rPr>
        <w:t>，</w:t>
      </w:r>
      <w:r w:rsidR="00B3717E">
        <w:rPr>
          <w:rFonts w:hint="eastAsia"/>
        </w:rPr>
        <w:t>評估大屯山地熱區，</w:t>
      </w:r>
      <w:r w:rsidR="00555B49">
        <w:rPr>
          <w:rFonts w:hint="eastAsia"/>
        </w:rPr>
        <w:t>於</w:t>
      </w:r>
      <w:r w:rsidR="00B3717E">
        <w:rPr>
          <w:rFonts w:hint="eastAsia"/>
        </w:rPr>
        <w:t>57~59年間鑽探4口地熱井，嗣因強酸熱水汽腐蝕性強不易開發</w:t>
      </w:r>
      <w:r>
        <w:rPr>
          <w:rFonts w:hint="eastAsia"/>
        </w:rPr>
        <w:t>。</w:t>
      </w:r>
      <w:r w:rsidR="00555B49">
        <w:rPr>
          <w:rFonts w:hint="eastAsia"/>
        </w:rPr>
        <w:t>65年復成立地熱組，以宜蘭清水區為重點，於65~70年間計於清水區鑽11口井，嗣該公司地熱組擴大編制為地熱處，於70~76年間於內員山、清水、仁澤土場、廬山、瑞穗、紅葉、知本、棲蘭及金崙地區</w:t>
      </w:r>
      <w:r w:rsidR="00955870">
        <w:rPr>
          <w:rFonts w:hint="eastAsia"/>
        </w:rPr>
        <w:t>共</w:t>
      </w:r>
      <w:r w:rsidR="00555B49">
        <w:rPr>
          <w:rFonts w:hint="eastAsia"/>
        </w:rPr>
        <w:t>鑽23口井。析言之，</w:t>
      </w:r>
      <w:r w:rsidR="00955870">
        <w:rPr>
          <w:rFonts w:hint="eastAsia"/>
        </w:rPr>
        <w:t>自</w:t>
      </w:r>
      <w:r w:rsidR="00555B49">
        <w:rPr>
          <w:rFonts w:hint="eastAsia"/>
        </w:rPr>
        <w:t>中油公司65</w:t>
      </w:r>
      <w:r w:rsidR="000F0252">
        <w:rPr>
          <w:rFonts w:hint="eastAsia"/>
        </w:rPr>
        <w:t>年</w:t>
      </w:r>
      <w:r w:rsidR="00955870">
        <w:rPr>
          <w:rFonts w:hint="eastAsia"/>
        </w:rPr>
        <w:t>加入探勘行列，迄</w:t>
      </w:r>
      <w:r w:rsidR="00555B49">
        <w:rPr>
          <w:rFonts w:hint="eastAsia"/>
        </w:rPr>
        <w:t>76年</w:t>
      </w:r>
      <w:r w:rsidR="00955870">
        <w:rPr>
          <w:rFonts w:hint="eastAsia"/>
        </w:rPr>
        <w:t>結束地熱鑽井，共鑽34口井，</w:t>
      </w:r>
      <w:r w:rsidR="00555B49">
        <w:rPr>
          <w:rFonts w:hint="eastAsia"/>
        </w:rPr>
        <w:t>其中清水</w:t>
      </w:r>
      <w:r w:rsidR="00955870" w:rsidRPr="00955870">
        <w:rPr>
          <w:rFonts w:hint="eastAsia"/>
        </w:rPr>
        <w:t>閃發式地</w:t>
      </w:r>
      <w:r w:rsidR="00955870" w:rsidRPr="00955870">
        <w:rPr>
          <w:rFonts w:hint="eastAsia"/>
        </w:rPr>
        <w:lastRenderedPageBreak/>
        <w:t>熱電廠</w:t>
      </w:r>
      <w:r w:rsidR="00555B49">
        <w:rPr>
          <w:rFonts w:hint="eastAsia"/>
        </w:rPr>
        <w:t>（3</w:t>
      </w:r>
      <w:r w:rsidR="00A32093">
        <w:rPr>
          <w:rFonts w:hint="eastAsia"/>
        </w:rPr>
        <w:t>MW</w:t>
      </w:r>
      <w:r w:rsidR="00555B49">
        <w:rPr>
          <w:rFonts w:hint="eastAsia"/>
        </w:rPr>
        <w:t>）</w:t>
      </w:r>
      <w:r w:rsidR="00955870">
        <w:rPr>
          <w:rFonts w:hint="eastAsia"/>
        </w:rPr>
        <w:t>，由於</w:t>
      </w:r>
      <w:r w:rsidR="00955870" w:rsidRPr="00955870">
        <w:rPr>
          <w:rFonts w:hint="eastAsia"/>
        </w:rPr>
        <w:t>熱液產能因孔內結垢問題造成逐年衰減，以致發電量隨之遞減，運轉12年後於</w:t>
      </w:r>
      <w:r w:rsidR="00955870">
        <w:rPr>
          <w:rFonts w:hint="eastAsia"/>
        </w:rPr>
        <w:t>82</w:t>
      </w:r>
      <w:r w:rsidR="00955870" w:rsidRPr="00955870">
        <w:rPr>
          <w:rFonts w:hint="eastAsia"/>
        </w:rPr>
        <w:t>年停止發電試驗。</w:t>
      </w:r>
      <w:r w:rsidR="00F75094">
        <w:rPr>
          <w:rFonts w:hint="eastAsia"/>
        </w:rPr>
        <w:t>鑑於</w:t>
      </w:r>
      <w:r w:rsidR="0040795D">
        <w:rPr>
          <w:rFonts w:hint="eastAsia"/>
        </w:rPr>
        <w:t>「</w:t>
      </w:r>
      <w:r w:rsidR="00F75094">
        <w:rPr>
          <w:rFonts w:hint="eastAsia"/>
        </w:rPr>
        <w:t>結元能源開發</w:t>
      </w:r>
      <w:r w:rsidR="0040795D">
        <w:rPr>
          <w:rFonts w:hint="eastAsia"/>
        </w:rPr>
        <w:t>」</w:t>
      </w:r>
      <w:r w:rsidR="00F75094">
        <w:rPr>
          <w:rFonts w:hint="eastAsia"/>
        </w:rPr>
        <w:t>與工研院業於清水地熱成功利用</w:t>
      </w:r>
      <w:r w:rsidR="00F75094" w:rsidRPr="00607A2D">
        <w:rPr>
          <w:rFonts w:hint="eastAsia"/>
        </w:rPr>
        <w:t>有機朗肯循環</w:t>
      </w:r>
      <w:r w:rsidR="00F75094">
        <w:rPr>
          <w:rFonts w:hint="eastAsia"/>
        </w:rPr>
        <w:t>（ORC，</w:t>
      </w:r>
      <w:r w:rsidR="00F75094" w:rsidRPr="00607A2D">
        <w:rPr>
          <w:rFonts w:hint="eastAsia"/>
        </w:rPr>
        <w:t>Organic Rankine Cycle</w:t>
      </w:r>
      <w:r w:rsidR="00F75094">
        <w:rPr>
          <w:rFonts w:hint="eastAsia"/>
        </w:rPr>
        <w:t>）發電機組</w:t>
      </w:r>
      <w:r w:rsidR="00555B49">
        <w:rPr>
          <w:rFonts w:hint="eastAsia"/>
        </w:rPr>
        <w:t>經驗，</w:t>
      </w:r>
      <w:r w:rsidR="00F75094">
        <w:rPr>
          <w:rFonts w:hint="eastAsia"/>
        </w:rPr>
        <w:t>據中油公司108年9月16日表示，未來與台電公司合作開發之</w:t>
      </w:r>
      <w:r w:rsidR="00555B49">
        <w:rPr>
          <w:rFonts w:hint="eastAsia"/>
        </w:rPr>
        <w:t>仁澤-土場</w:t>
      </w:r>
      <w:r w:rsidR="00955870">
        <w:rPr>
          <w:rFonts w:hint="eastAsia"/>
        </w:rPr>
        <w:t>地熱</w:t>
      </w:r>
      <w:r w:rsidR="00555B49">
        <w:rPr>
          <w:rFonts w:hint="eastAsia"/>
        </w:rPr>
        <w:t>，將</w:t>
      </w:r>
      <w:r w:rsidR="00F75094">
        <w:rPr>
          <w:rFonts w:hint="eastAsia"/>
        </w:rPr>
        <w:t>採</w:t>
      </w:r>
      <w:r w:rsidR="00370DE0">
        <w:rPr>
          <w:rFonts w:hint="eastAsia"/>
        </w:rPr>
        <w:t>雙循環發電機組</w:t>
      </w:r>
      <w:r w:rsidR="001C3727">
        <w:rPr>
          <w:rStyle w:val="aff0"/>
        </w:rPr>
        <w:footnoteReference w:id="9"/>
      </w:r>
      <w:r w:rsidR="00555B49">
        <w:rPr>
          <w:rFonts w:hint="eastAsia"/>
        </w:rPr>
        <w:t>、回注</w:t>
      </w:r>
      <w:r w:rsidR="00F75094">
        <w:rPr>
          <w:rFonts w:hint="eastAsia"/>
        </w:rPr>
        <w:t>井</w:t>
      </w:r>
      <w:r w:rsidR="00555B49">
        <w:rPr>
          <w:rFonts w:hint="eastAsia"/>
        </w:rPr>
        <w:t>及管垢控制等方式</w:t>
      </w:r>
      <w:r w:rsidR="00370DE0">
        <w:rPr>
          <w:rFonts w:hint="eastAsia"/>
        </w:rPr>
        <w:t>（如圖</w:t>
      </w:r>
      <w:r w:rsidR="00025B76">
        <w:rPr>
          <w:rFonts w:hint="eastAsia"/>
        </w:rPr>
        <w:t>1</w:t>
      </w:r>
      <w:r w:rsidR="006E10C0">
        <w:t>0</w:t>
      </w:r>
      <w:r w:rsidR="00370DE0">
        <w:rPr>
          <w:rFonts w:hint="eastAsia"/>
        </w:rPr>
        <w:t>）</w:t>
      </w:r>
      <w:r w:rsidR="00555B49">
        <w:rPr>
          <w:rFonts w:hint="eastAsia"/>
        </w:rPr>
        <w:t>，</w:t>
      </w:r>
      <w:r w:rsidR="00F75094">
        <w:rPr>
          <w:rFonts w:hint="eastAsia"/>
        </w:rPr>
        <w:t>避免</w:t>
      </w:r>
      <w:r w:rsidR="00FD59B8">
        <w:rPr>
          <w:rFonts w:hint="eastAsia"/>
        </w:rPr>
        <w:t>再發生</w:t>
      </w:r>
      <w:r w:rsidR="00F75094">
        <w:rPr>
          <w:rFonts w:hint="eastAsia"/>
        </w:rPr>
        <w:t>前述清水</w:t>
      </w:r>
      <w:r w:rsidR="00F75094" w:rsidRPr="00955870">
        <w:rPr>
          <w:rFonts w:hint="eastAsia"/>
        </w:rPr>
        <w:t>閃發式地熱電廠</w:t>
      </w:r>
      <w:r w:rsidR="00F75094">
        <w:rPr>
          <w:rFonts w:hint="eastAsia"/>
        </w:rPr>
        <w:t>類案</w:t>
      </w:r>
      <w:r w:rsidR="00555B49">
        <w:rPr>
          <w:rFonts w:hint="eastAsia"/>
        </w:rPr>
        <w:t>。</w:t>
      </w:r>
      <w:r w:rsidR="00F75094">
        <w:rPr>
          <w:rFonts w:hint="eastAsia"/>
        </w:rPr>
        <w:t>再者，</w:t>
      </w:r>
      <w:r>
        <w:rPr>
          <w:rFonts w:hint="eastAsia"/>
        </w:rPr>
        <w:t>依經濟部地熱發電網</w:t>
      </w:r>
      <w:r>
        <w:rPr>
          <w:rStyle w:val="aff0"/>
        </w:rPr>
        <w:footnoteReference w:id="10"/>
      </w:r>
      <w:r w:rsidR="00A02A23">
        <w:rPr>
          <w:rFonts w:hint="eastAsia"/>
        </w:rPr>
        <w:t>，各地地熱徵兆區，計新北市（大屯山、烏來）、宜蘭縣（土場、清水、四區、五區、臭乾、茂邊、礁溪）、花蓮縣（富源、瑞穗）、台東縣（霧鹿、紅葉、桃林、知本、</w:t>
      </w:r>
      <w:r w:rsidR="00A02A23" w:rsidRPr="00A02A23">
        <w:rPr>
          <w:rFonts w:hint="eastAsia"/>
        </w:rPr>
        <w:t>比魯/金峰</w:t>
      </w:r>
      <w:r w:rsidR="00A02A23">
        <w:rPr>
          <w:rFonts w:hint="eastAsia"/>
        </w:rPr>
        <w:t>、</w:t>
      </w:r>
      <w:r w:rsidR="00A02A23" w:rsidRPr="00A02A23">
        <w:rPr>
          <w:rFonts w:hint="eastAsia"/>
        </w:rPr>
        <w:t>金崙</w:t>
      </w:r>
      <w:r w:rsidR="00A02A23">
        <w:rPr>
          <w:rFonts w:hint="eastAsia"/>
        </w:rPr>
        <w:t>、綠島）、高雄市（寶來）、台南市（</w:t>
      </w:r>
      <w:r w:rsidR="00A02A23" w:rsidRPr="00A02A23">
        <w:rPr>
          <w:rFonts w:hint="eastAsia"/>
        </w:rPr>
        <w:t>關仔嶺</w:t>
      </w:r>
      <w:r w:rsidR="00A02A23">
        <w:rPr>
          <w:rFonts w:hint="eastAsia"/>
        </w:rPr>
        <w:t>）、嘉義縣（</w:t>
      </w:r>
      <w:r w:rsidR="00A02A23" w:rsidRPr="00A02A23">
        <w:rPr>
          <w:rFonts w:hint="eastAsia"/>
        </w:rPr>
        <w:t>中崙</w:t>
      </w:r>
      <w:r w:rsidR="00A02A23">
        <w:rPr>
          <w:rFonts w:hint="eastAsia"/>
        </w:rPr>
        <w:t>）、</w:t>
      </w:r>
      <w:r w:rsidR="00B3717E">
        <w:rPr>
          <w:rFonts w:hint="eastAsia"/>
        </w:rPr>
        <w:t>南投縣（</w:t>
      </w:r>
      <w:r w:rsidR="00B3717E" w:rsidRPr="00B3717E">
        <w:rPr>
          <w:rFonts w:hint="eastAsia"/>
        </w:rPr>
        <w:t>紅香</w:t>
      </w:r>
      <w:r w:rsidR="00B3717E">
        <w:rPr>
          <w:rFonts w:hint="eastAsia"/>
        </w:rPr>
        <w:t>、</w:t>
      </w:r>
      <w:r w:rsidR="00B3717E" w:rsidRPr="00B3717E">
        <w:rPr>
          <w:rFonts w:hint="eastAsia"/>
        </w:rPr>
        <w:t>廬山</w:t>
      </w:r>
      <w:r w:rsidR="00B3717E">
        <w:rPr>
          <w:rFonts w:hint="eastAsia"/>
        </w:rPr>
        <w:t>、</w:t>
      </w:r>
      <w:r w:rsidR="00B3717E" w:rsidRPr="00B3717E">
        <w:rPr>
          <w:rFonts w:hint="eastAsia"/>
        </w:rPr>
        <w:t>東埔</w:t>
      </w:r>
      <w:r w:rsidR="00B3717E">
        <w:rPr>
          <w:rFonts w:hint="eastAsia"/>
        </w:rPr>
        <w:t>、</w:t>
      </w:r>
      <w:r w:rsidR="00B3717E" w:rsidRPr="00B3717E">
        <w:rPr>
          <w:rFonts w:hint="eastAsia"/>
        </w:rPr>
        <w:t>樂樂</w:t>
      </w:r>
      <w:r w:rsidR="00B3717E">
        <w:rPr>
          <w:rFonts w:hint="eastAsia"/>
        </w:rPr>
        <w:t>）、臺中市（谷關、</w:t>
      </w:r>
      <w:r w:rsidR="00B3717E" w:rsidRPr="00B3717E">
        <w:rPr>
          <w:rFonts w:hint="eastAsia"/>
        </w:rPr>
        <w:t>馬陵</w:t>
      </w:r>
      <w:r w:rsidR="00B3717E">
        <w:rPr>
          <w:rFonts w:hint="eastAsia"/>
        </w:rPr>
        <w:t>），</w:t>
      </w:r>
      <w:r w:rsidR="00F75094">
        <w:rPr>
          <w:rFonts w:hint="eastAsia"/>
        </w:rPr>
        <w:t>目前</w:t>
      </w:r>
      <w:r w:rsidR="00B3717E">
        <w:rPr>
          <w:rFonts w:hint="eastAsia"/>
        </w:rPr>
        <w:t>運轉中者僅宜蘭縣清水地熱1家</w:t>
      </w:r>
      <w:r w:rsidR="00B3717E" w:rsidRPr="00B3717E">
        <w:t>/0.3MW</w:t>
      </w:r>
      <w:r w:rsidR="00B3717E">
        <w:rPr>
          <w:rFonts w:hint="eastAsia"/>
        </w:rPr>
        <w:t>，籌設中者僅清水地熱</w:t>
      </w:r>
      <w:r w:rsidR="00B3717E" w:rsidRPr="00B3717E">
        <w:t>1</w:t>
      </w:r>
      <w:r w:rsidR="00B3717E">
        <w:rPr>
          <w:rFonts w:hint="eastAsia"/>
        </w:rPr>
        <w:t>家</w:t>
      </w:r>
      <w:r w:rsidR="00B3717E" w:rsidRPr="00B3717E">
        <w:t>/4.2MW</w:t>
      </w:r>
      <w:r w:rsidR="00B3717E">
        <w:rPr>
          <w:rFonts w:hint="eastAsia"/>
        </w:rPr>
        <w:t>，規劃中者</w:t>
      </w:r>
      <w:r w:rsidR="00F75094">
        <w:rPr>
          <w:rFonts w:hint="eastAsia"/>
        </w:rPr>
        <w:t>7家/8.5MW（</w:t>
      </w:r>
      <w:r w:rsidR="00B3717E">
        <w:rPr>
          <w:rFonts w:hint="eastAsia"/>
        </w:rPr>
        <w:t>土場1家2.0MW、大屯山2家/1.5MW、紅葉1家/1.0MW、</w:t>
      </w:r>
      <w:r w:rsidR="00B3717E" w:rsidRPr="00A02A23">
        <w:rPr>
          <w:rFonts w:hint="eastAsia"/>
        </w:rPr>
        <w:t>金崙</w:t>
      </w:r>
      <w:r w:rsidR="00B3717E">
        <w:rPr>
          <w:rFonts w:hint="eastAsia"/>
        </w:rPr>
        <w:t>2家2.0MW及綠島1家2.0MW</w:t>
      </w:r>
      <w:r w:rsidR="00F75094">
        <w:rPr>
          <w:rFonts w:hint="eastAsia"/>
        </w:rPr>
        <w:t>）</w:t>
      </w:r>
      <w:r w:rsidR="00B3717E">
        <w:rPr>
          <w:rFonts w:hint="eastAsia"/>
        </w:rPr>
        <w:t>，運轉、籌設及規劃合計13MW，</w:t>
      </w:r>
      <w:r w:rsidR="00F75094">
        <w:rPr>
          <w:rFonts w:hint="eastAsia"/>
        </w:rPr>
        <w:t>其</w:t>
      </w:r>
      <w:r w:rsidR="00B3717E">
        <w:rPr>
          <w:rFonts w:hint="eastAsia"/>
        </w:rPr>
        <w:t>規模與台電公司委託財團法人環境與發展基金會、財團法人工業技術研究院於102年完成「臺灣地熱發電潛能廠址研究計畫」</w:t>
      </w:r>
      <w:r w:rsidR="00555B49">
        <w:rPr>
          <w:rFonts w:hint="eastAsia"/>
        </w:rPr>
        <w:t>摘要揭示「根據以往研究資料顯示，國內具開發潛能地熱區有26處，理論蘊藏量約1</w:t>
      </w:r>
      <w:r w:rsidR="00182780">
        <w:rPr>
          <w:rFonts w:hint="eastAsia"/>
        </w:rPr>
        <w:t>,</w:t>
      </w:r>
      <w:r w:rsidR="00555B49">
        <w:rPr>
          <w:rFonts w:hint="eastAsia"/>
        </w:rPr>
        <w:t>000MW」</w:t>
      </w:r>
      <w:r w:rsidR="00182780">
        <w:rPr>
          <w:rFonts w:hint="eastAsia"/>
        </w:rPr>
        <w:t>相較，</w:t>
      </w:r>
      <w:r w:rsidR="00F75094">
        <w:rPr>
          <w:rFonts w:hint="eastAsia"/>
        </w:rPr>
        <w:t>顯示國內地熱潛能亟待開發</w:t>
      </w:r>
      <w:r w:rsidR="00182780">
        <w:rPr>
          <w:rFonts w:hint="eastAsia"/>
        </w:rPr>
        <w:t>。</w:t>
      </w:r>
    </w:p>
    <w:p w:rsidR="00370DE0" w:rsidRDefault="00370DE0" w:rsidP="00370DE0">
      <w:pPr>
        <w:ind w:leftChars="388" w:left="1320"/>
      </w:pPr>
    </w:p>
    <w:tbl>
      <w:tblPr>
        <w:tblStyle w:val="af7"/>
        <w:tblW w:w="10632" w:type="dxa"/>
        <w:tblInd w:w="-459" w:type="dxa"/>
        <w:tblLook w:val="04A0" w:firstRow="1" w:lastRow="0" w:firstColumn="1" w:lastColumn="0" w:noHBand="0" w:noVBand="1"/>
      </w:tblPr>
      <w:tblGrid>
        <w:gridCol w:w="5588"/>
        <w:gridCol w:w="5044"/>
      </w:tblGrid>
      <w:tr w:rsidR="001A1ED9" w:rsidTr="00FD59B8">
        <w:tc>
          <w:tcPr>
            <w:tcW w:w="5529" w:type="dxa"/>
          </w:tcPr>
          <w:p w:rsidR="001A1ED9" w:rsidRDefault="000A025A" w:rsidP="001A1ED9">
            <w:r w:rsidRPr="001A1ED9">
              <w:rPr>
                <w:noProof/>
              </w:rPr>
              <w:lastRenderedPageBreak/>
              <mc:AlternateContent>
                <mc:Choice Requires="wps">
                  <w:drawing>
                    <wp:anchor distT="0" distB="0" distL="114300" distR="114300" simplePos="0" relativeHeight="251675648" behindDoc="0" locked="0" layoutInCell="1" allowOverlap="1" wp14:anchorId="69990B7D" wp14:editId="2F5A9A18">
                      <wp:simplePos x="0" y="0"/>
                      <wp:positionH relativeFrom="column">
                        <wp:posOffset>111760</wp:posOffset>
                      </wp:positionH>
                      <wp:positionV relativeFrom="paragraph">
                        <wp:posOffset>1579245</wp:posOffset>
                      </wp:positionV>
                      <wp:extent cx="739775" cy="335915"/>
                      <wp:effectExtent l="0" t="209550" r="898525" b="26035"/>
                      <wp:wrapNone/>
                      <wp:docPr id="57" name="矩形圖說文字 48"/>
                      <wp:cNvGraphicFramePr/>
                      <a:graphic xmlns:a="http://schemas.openxmlformats.org/drawingml/2006/main">
                        <a:graphicData uri="http://schemas.microsoft.com/office/word/2010/wordprocessingShape">
                          <wps:wsp>
                            <wps:cNvSpPr/>
                            <wps:spPr bwMode="auto">
                              <a:xfrm>
                                <a:off x="0" y="0"/>
                                <a:ext cx="739775" cy="335915"/>
                              </a:xfrm>
                              <a:prstGeom prst="wedgeRectCallout">
                                <a:avLst>
                                  <a:gd name="adj1" fmla="val 166863"/>
                                  <a:gd name="adj2" fmla="val -106795"/>
                                </a:avLst>
                              </a:prstGeom>
                              <a:solidFill>
                                <a:srgbClr val="FFFFCC"/>
                              </a:solidFill>
                              <a:ln w="12700" cap="flat" cmpd="sng" algn="ctr">
                                <a:solidFill>
                                  <a:sysClr val="windowText" lastClr="000000"/>
                                </a:solidFill>
                                <a:prstDash val="solid"/>
                                <a:round/>
                                <a:headEnd type="none" w="med" len="med"/>
                                <a:tailEnd type="none" w="med" len="med"/>
                              </a:ln>
                              <a:effectLst/>
                              <a:extLst/>
                            </wps:spPr>
                            <wps:txbx>
                              <w:txbxContent>
                                <w:p w:rsidR="00747ABD" w:rsidRPr="001A1ED9" w:rsidRDefault="00747ABD" w:rsidP="001A1ED9">
                                  <w:pPr>
                                    <w:pStyle w:val="Web"/>
                                    <w:spacing w:before="0" w:beforeAutospacing="0" w:after="0" w:afterAutospacing="0"/>
                                    <w:textAlignment w:val="baseline"/>
                                  </w:pPr>
                                  <w:r w:rsidRPr="001A1ED9">
                                    <w:rPr>
                                      <w:rFonts w:ascii="Times New Roman" w:eastAsia="標楷體" w:hAnsi="標楷體" w:cstheme="minorBidi" w:hint="eastAsia"/>
                                      <w:b/>
                                      <w:bCs/>
                                      <w:color w:val="000000"/>
                                      <w14:shadow w14:blurRad="38100" w14:dist="38100" w14:dir="2700000" w14:sx="100000" w14:sy="100000" w14:kx="0" w14:ky="0" w14:algn="tl">
                                        <w14:srgbClr w14:val="000000">
                                          <w14:alpha w14:val="57000"/>
                                        </w14:srgbClr>
                                      </w14:shadow>
                                    </w:rPr>
                                    <w:t>沉積岩區</w:t>
                                  </w:r>
                                </w:p>
                              </w:txbxContent>
                            </wps:txbx>
                            <wps:bodyPr vert="horz" wrap="square" lIns="91440" tIns="45720" rIns="91440" bIns="45720" numCol="1" rtlCol="0"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990B7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矩形圖說文字 48" o:spid="_x0000_s1028" type="#_x0000_t61" style="position:absolute;left:0;text-align:left;margin-left:8.8pt;margin-top:124.35pt;width:58.25pt;height:26.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" adj="46842,-12268" fillcolor="#ffc" strokecolor="windowText" strokeweight="1pt">
                      <v:stroke joinstyle="round"/>
                      <v:textbox>
                        <w:txbxContent>
                          <w:p w:rsidR="00747ABD" w:rsidRPr="001A1ED9" w:rsidRDefault="00747ABD" w:rsidP="001A1ED9">
                            <w:pPr>
                              <w:pStyle w:val="Web"/>
                              <w:spacing w:before="0" w:beforeAutospacing="0" w:after="0" w:afterAutospacing="0"/>
                              <w:textAlignment w:val="baseline"/>
                            </w:pPr>
                            <w:r w:rsidRPr="001A1ED9">
                              <w:rPr>
                                <w:rFonts w:ascii="Times New Roman" w:eastAsia="標楷體" w:hAnsi="標楷體" w:cstheme="minorBidi" w:hint="eastAsia"/>
                                <w:b/>
                                <w:bCs/>
                                <w:color w:val="000000"/>
                                <w14:shadow w14:blurRad="38100" w14:dist="38100" w14:dir="2700000" w14:sx="100000" w14:sy="100000" w14:kx="0" w14:ky="0" w14:algn="tl">
                                  <w14:srgbClr w14:val="000000">
                                    <w14:alpha w14:val="57000"/>
                                  </w14:srgbClr>
                                </w14:shadow>
                              </w:rPr>
                              <w:t>沉積岩區</w:t>
                            </w:r>
                          </w:p>
                        </w:txbxContent>
                      </v:textbox>
                    </v:shape>
                  </w:pict>
                </mc:Fallback>
              </mc:AlternateContent>
            </w:r>
            <w:r w:rsidRPr="001A1ED9">
              <w:rPr>
                <w:noProof/>
              </w:rPr>
              <mc:AlternateContent>
                <mc:Choice Requires="wps">
                  <w:drawing>
                    <wp:anchor distT="0" distB="0" distL="114300" distR="114300" simplePos="0" relativeHeight="251677696" behindDoc="0" locked="0" layoutInCell="1" allowOverlap="1" wp14:anchorId="162654D3" wp14:editId="5790D06F">
                      <wp:simplePos x="0" y="0"/>
                      <wp:positionH relativeFrom="column">
                        <wp:posOffset>2538095</wp:posOffset>
                      </wp:positionH>
                      <wp:positionV relativeFrom="paragraph">
                        <wp:posOffset>1910715</wp:posOffset>
                      </wp:positionV>
                      <wp:extent cx="730250" cy="353695"/>
                      <wp:effectExtent l="247650" t="381000" r="12700" b="27305"/>
                      <wp:wrapNone/>
                      <wp:docPr id="58" name="矩形圖說文字 50"/>
                      <wp:cNvGraphicFramePr/>
                      <a:graphic xmlns:a="http://schemas.openxmlformats.org/drawingml/2006/main">
                        <a:graphicData uri="http://schemas.microsoft.com/office/word/2010/wordprocessingShape">
                          <wps:wsp>
                            <wps:cNvSpPr/>
                            <wps:spPr bwMode="auto">
                              <a:xfrm>
                                <a:off x="0" y="0"/>
                                <a:ext cx="730250" cy="353695"/>
                              </a:xfrm>
                              <a:prstGeom prst="wedgeRectCallout">
                                <a:avLst>
                                  <a:gd name="adj1" fmla="val -83368"/>
                                  <a:gd name="adj2" fmla="val -151964"/>
                                </a:avLst>
                              </a:prstGeom>
                              <a:solidFill>
                                <a:srgbClr val="14967C">
                                  <a:lumMod val="75000"/>
                                </a:srgbClr>
                              </a:solidFill>
                              <a:ln w="9525" cap="flat" cmpd="sng" algn="ctr">
                                <a:solidFill>
                                  <a:sysClr val="windowText" lastClr="000000"/>
                                </a:solidFill>
                                <a:prstDash val="solid"/>
                                <a:round/>
                                <a:headEnd type="none" w="med" len="med"/>
                                <a:tailEnd type="none" w="med" len="med"/>
                              </a:ln>
                              <a:effectLst/>
                              <a:extLst/>
                            </wps:spPr>
                            <wps:txbx>
                              <w:txbxContent>
                                <w:p w:rsidR="00747ABD" w:rsidRDefault="00747ABD" w:rsidP="001A1ED9">
                                  <w:pPr>
                                    <w:pStyle w:val="Web"/>
                                    <w:spacing w:before="0" w:beforeAutospacing="0" w:after="0" w:afterAutospacing="0"/>
                                    <w:rPr>
                                      <w:rFonts w:ascii="Times New Roman" w:eastAsia="標楷體" w:hAnsi="標楷體" w:cstheme="minorBidi"/>
                                      <w:position w:val="1"/>
                                      <w14:shadow w14:blurRad="38100" w14:dist="38100" w14:dir="2700000" w14:sx="100000" w14:sy="100000" w14:kx="0" w14:ky="0" w14:algn="tl">
                                        <w14:srgbClr w14:val="000000">
                                          <w14:alpha w14:val="57000"/>
                                        </w14:srgbClr>
                                      </w14:shadow>
                                      <w14:textFill>
                                        <w14:solidFill>
                                          <w14:srgbClr w14:val="FFFFFF"/>
                                        </w14:solidFill>
                                      </w14:textFill>
                                    </w:rPr>
                                  </w:pPr>
                                  <w:r>
                                    <w:rPr>
                                      <w:rFonts w:ascii="Times New Roman" w:eastAsia="標楷體" w:hAnsi="標楷體" w:cstheme="minorBidi" w:hint="eastAsia"/>
                                      <w:position w:val="1"/>
                                      <w14:shadow w14:blurRad="38100" w14:dist="38100" w14:dir="2700000" w14:sx="100000" w14:sy="100000" w14:kx="0" w14:ky="0" w14:algn="tl">
                                        <w14:srgbClr w14:val="000000">
                                          <w14:alpha w14:val="57000"/>
                                        </w14:srgbClr>
                                      </w14:shadow>
                                      <w14:textFill>
                                        <w14:solidFill>
                                          <w14:srgbClr w14:val="FFFFFF"/>
                                        </w14:solidFill>
                                      </w14:textFill>
                                    </w:rPr>
                                    <w:t>變質岩</w:t>
                                  </w:r>
                                </w:p>
                                <w:p w:rsidR="00747ABD" w:rsidRPr="001A1ED9" w:rsidRDefault="00747ABD" w:rsidP="001A1ED9">
                                  <w:pPr>
                                    <w:pStyle w:val="Web"/>
                                    <w:spacing w:before="0" w:beforeAutospacing="0" w:after="0" w:afterAutospacing="0"/>
                                  </w:pPr>
                                  <w:r>
                                    <w:rPr>
                                      <w:rFonts w:ascii="Times New Roman" w:eastAsia="標楷體" w:hAnsi="標楷體" w:cstheme="minorBidi" w:hint="eastAsia"/>
                                      <w:position w:val="1"/>
                                      <w14:shadow w14:blurRad="38100" w14:dist="38100" w14:dir="2700000" w14:sx="100000" w14:sy="100000" w14:kx="0" w14:ky="0" w14:algn="tl">
                                        <w14:srgbClr w14:val="000000">
                                          <w14:alpha w14:val="57000"/>
                                        </w14:srgbClr>
                                      </w14:shadow>
                                      <w14:textFill>
                                        <w14:solidFill>
                                          <w14:srgbClr w14:val="FFFFFF"/>
                                        </w14:solidFill>
                                      </w14:textFill>
                                    </w:rPr>
                                    <w:t>岩</w:t>
                                  </w:r>
                                </w:p>
                              </w:txbxContent>
                            </wps:txbx>
                            <wps:bodyPr vert="horz" wrap="square" lIns="91440" tIns="45720" rIns="91440" bIns="45720" numCol="1" rtlCol="0"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2654D3" id="矩形圖說文字 50" o:spid="_x0000_s1029" type="#_x0000_t61" style="position:absolute;left:0;text-align:left;margin-left:199.85pt;margin-top:150.45pt;width:57.5pt;height:27.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" adj="-7207,-22024" fillcolor="#0f715d" strokecolor="windowText">
                      <v:stroke joinstyle="round"/>
                      <v:textbox>
                        <w:txbxContent>
                          <w:p w:rsidR="00747ABD" w:rsidRDefault="00747ABD" w:rsidP="001A1ED9">
                            <w:pPr>
                              <w:pStyle w:val="Web"/>
                              <w:spacing w:before="0" w:beforeAutospacing="0" w:after="0" w:afterAutospacing="0"/>
                              <w:rPr>
                                <w:rFonts w:ascii="Times New Roman" w:eastAsia="標楷體" w:hAnsi="標楷體" w:cstheme="minorBidi"/>
                                <w:position w:val="1"/>
                                <w14:shadow w14:blurRad="38100" w14:dist="38100" w14:dir="2700000" w14:sx="100000" w14:sy="100000" w14:kx="0" w14:ky="0" w14:algn="tl">
                                  <w14:srgbClr w14:val="000000">
                                    <w14:alpha w14:val="57000"/>
                                  </w14:srgbClr>
                                </w14:shadow>
                                <w14:textFill>
                                  <w14:solidFill>
                                    <w14:srgbClr w14:val="FFFFFF"/>
                                  </w14:solidFill>
                                </w14:textFill>
                              </w:rPr>
                            </w:pPr>
                            <w:r>
                              <w:rPr>
                                <w:rFonts w:ascii="Times New Roman" w:eastAsia="標楷體" w:hAnsi="標楷體" w:cstheme="minorBidi" w:hint="eastAsia"/>
                                <w:position w:val="1"/>
                                <w14:shadow w14:blurRad="38100" w14:dist="38100" w14:dir="2700000" w14:sx="100000" w14:sy="100000" w14:kx="0" w14:ky="0" w14:algn="tl">
                                  <w14:srgbClr w14:val="000000">
                                    <w14:alpha w14:val="57000"/>
                                  </w14:srgbClr>
                                </w14:shadow>
                                <w14:textFill>
                                  <w14:solidFill>
                                    <w14:srgbClr w14:val="FFFFFF"/>
                                  </w14:solidFill>
                                </w14:textFill>
                              </w:rPr>
                              <w:t>變質岩</w:t>
                            </w:r>
                          </w:p>
                          <w:p w:rsidR="00747ABD" w:rsidRPr="001A1ED9" w:rsidRDefault="00747ABD" w:rsidP="001A1ED9">
                            <w:pPr>
                              <w:pStyle w:val="Web"/>
                              <w:spacing w:before="0" w:beforeAutospacing="0" w:after="0" w:afterAutospacing="0"/>
                            </w:pPr>
                            <w:r>
                              <w:rPr>
                                <w:rFonts w:ascii="Times New Roman" w:eastAsia="標楷體" w:hAnsi="標楷體" w:cstheme="minorBidi" w:hint="eastAsia"/>
                                <w:position w:val="1"/>
                                <w14:shadow w14:blurRad="38100" w14:dist="38100" w14:dir="2700000" w14:sx="100000" w14:sy="100000" w14:kx="0" w14:ky="0" w14:algn="tl">
                                  <w14:srgbClr w14:val="000000">
                                    <w14:alpha w14:val="57000"/>
                                  </w14:srgbClr>
                                </w14:shadow>
                                <w14:textFill>
                                  <w14:solidFill>
                                    <w14:srgbClr w14:val="FFFFFF"/>
                                  </w14:solidFill>
                                </w14:textFill>
                              </w:rPr>
                              <w:t>岩</w:t>
                            </w:r>
                          </w:p>
                        </w:txbxContent>
                      </v:textbox>
                    </v:shape>
                  </w:pict>
                </mc:Fallback>
              </mc:AlternateContent>
            </w:r>
            <w:r w:rsidR="001A1ED9" w:rsidRPr="001A1ED9">
              <w:rPr>
                <w:noProof/>
              </w:rPr>
              <mc:AlternateContent>
                <mc:Choice Requires="wps">
                  <w:drawing>
                    <wp:anchor distT="0" distB="0" distL="114300" distR="114300" simplePos="0" relativeHeight="251673600" behindDoc="0" locked="0" layoutInCell="1" allowOverlap="1" wp14:anchorId="6539B819" wp14:editId="72589615">
                      <wp:simplePos x="0" y="0"/>
                      <wp:positionH relativeFrom="column">
                        <wp:posOffset>2800927</wp:posOffset>
                      </wp:positionH>
                      <wp:positionV relativeFrom="paragraph">
                        <wp:posOffset>96463</wp:posOffset>
                      </wp:positionV>
                      <wp:extent cx="743585" cy="255270"/>
                      <wp:effectExtent l="190500" t="0" r="18415" b="106680"/>
                      <wp:wrapNone/>
                      <wp:docPr id="55" name="矩形圖說文字 49"/>
                      <wp:cNvGraphicFramePr/>
                      <a:graphic xmlns:a="http://schemas.openxmlformats.org/drawingml/2006/main">
                        <a:graphicData uri="http://schemas.microsoft.com/office/word/2010/wordprocessingShape">
                          <wps:wsp>
                            <wps:cNvSpPr/>
                            <wps:spPr bwMode="auto">
                              <a:xfrm>
                                <a:off x="0" y="0"/>
                                <a:ext cx="743585" cy="255270"/>
                              </a:xfrm>
                              <a:prstGeom prst="wedgeRectCallout">
                                <a:avLst>
                                  <a:gd name="adj1" fmla="val -73102"/>
                                  <a:gd name="adj2" fmla="val 87742"/>
                                </a:avLst>
                              </a:prstGeom>
                              <a:solidFill>
                                <a:srgbClr val="C62324">
                                  <a:lumMod val="40000"/>
                                  <a:lumOff val="60000"/>
                                </a:srgbClr>
                              </a:solidFill>
                              <a:ln w="9525" cap="flat" cmpd="sng" algn="ctr">
                                <a:solidFill>
                                  <a:sysClr val="windowText" lastClr="000000"/>
                                </a:solidFill>
                                <a:prstDash val="solid"/>
                                <a:round/>
                                <a:headEnd type="none" w="med" len="med"/>
                                <a:tailEnd type="none" w="med" len="med"/>
                              </a:ln>
                              <a:effectLst/>
                              <a:extLst/>
                            </wps:spPr>
                            <wps:txbx>
                              <w:txbxContent>
                                <w:p w:rsidR="00747ABD" w:rsidRPr="001A1ED9" w:rsidRDefault="00747ABD" w:rsidP="001A1ED9">
                                  <w:pPr>
                                    <w:pStyle w:val="Web"/>
                                    <w:spacing w:before="0" w:beforeAutospacing="0" w:after="0" w:afterAutospacing="0" w:line="240" w:lineRule="exact"/>
                                    <w:rPr>
                                      <w:szCs w:val="28"/>
                                    </w:rPr>
                                  </w:pPr>
                                  <w:r w:rsidRPr="001A1ED9">
                                    <w:rPr>
                                      <w:rFonts w:ascii="Times New Roman" w:eastAsia="標楷體" w:hAnsi="標楷體" w:cstheme="minorBidi" w:hint="eastAsia"/>
                                      <w:color w:val="000000"/>
                                      <w:position w:val="1"/>
                                      <w:szCs w:val="28"/>
                                      <w14:shadow w14:blurRad="38100" w14:dist="38100" w14:dir="2700000" w14:sx="100000" w14:sy="100000" w14:kx="0" w14:ky="0" w14:algn="tl">
                                        <w14:srgbClr w14:val="000000">
                                          <w14:alpha w14:val="57000"/>
                                        </w14:srgbClr>
                                      </w14:shadow>
                                    </w:rPr>
                                    <w:t>火成岩</w:t>
                                  </w:r>
                                </w:p>
                              </w:txbxContent>
                            </wps:txbx>
                            <wps:bodyPr vert="horz" wrap="square" lIns="91440" tIns="45720" rIns="91440" bIns="45720" numCol="1" rtlCol="0"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39B819" id="矩形圖說文字 49" o:spid="_x0000_s1030" type="#_x0000_t61" style="position:absolute;left:0;text-align:left;margin-left:220.55pt;margin-top:7.6pt;width:58.55pt;height:20.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" adj="-4990,29752" fillcolor="#eea1a1" strokecolor="windowText">
                      <v:stroke joinstyle="round"/>
                      <v:textbox>
                        <w:txbxContent>
                          <w:p w:rsidR="00747ABD" w:rsidRPr="001A1ED9" w:rsidRDefault="00747ABD" w:rsidP="001A1ED9">
                            <w:pPr>
                              <w:pStyle w:val="Web"/>
                              <w:spacing w:before="0" w:beforeAutospacing="0" w:after="0" w:afterAutospacing="0" w:line="240" w:lineRule="exact"/>
                              <w:rPr>
                                <w:szCs w:val="28"/>
                              </w:rPr>
                            </w:pPr>
                            <w:r w:rsidRPr="001A1ED9">
                              <w:rPr>
                                <w:rFonts w:ascii="Times New Roman" w:eastAsia="標楷體" w:hAnsi="標楷體" w:cstheme="minorBidi" w:hint="eastAsia"/>
                                <w:color w:val="000000"/>
                                <w:position w:val="1"/>
                                <w:szCs w:val="28"/>
                                <w14:shadow w14:blurRad="38100" w14:dist="38100" w14:dir="2700000" w14:sx="100000" w14:sy="100000" w14:kx="0" w14:ky="0" w14:algn="tl">
                                  <w14:srgbClr w14:val="000000">
                                    <w14:alpha w14:val="57000"/>
                                  </w14:srgbClr>
                                </w14:shadow>
                              </w:rPr>
                              <w:t>火成岩</w:t>
                            </w:r>
                          </w:p>
                        </w:txbxContent>
                      </v:textbox>
                    </v:shape>
                  </w:pict>
                </mc:Fallback>
              </mc:AlternateContent>
            </w:r>
            <w:r w:rsidR="001A1ED9" w:rsidRPr="001A1ED9">
              <w:rPr>
                <w:noProof/>
              </w:rPr>
              <w:drawing>
                <wp:inline distT="0" distB="0" distL="0" distR="0" wp14:anchorId="36B26AE2" wp14:editId="75BB3D89">
                  <wp:extent cx="3411415" cy="3572934"/>
                  <wp:effectExtent l="0" t="0" r="0" b="8890"/>
                  <wp:docPr id="45"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圖片 44"/>
                          <pic:cNvPicPr>
                            <a:picLocks noChangeAspect="1"/>
                          </pic:cNvPicPr>
                        </pic:nvPicPr>
                        <pic:blipFill rotWithShape="1">
                          <a:blip r:embed="rId29" cstate="print">
                            <a:extLst>
                              <a:ext uri="{28A0092B-C50C-407E-A947-70E740481C1C}">
                                <a14:useLocalDpi xmlns:a14="http://schemas.microsoft.com/office/drawing/2010/main" val="0"/>
                              </a:ext>
                            </a:extLst>
                          </a:blip>
                          <a:srcRect l="2372" t="5534" r="6815" b="9308"/>
                          <a:stretch/>
                        </pic:blipFill>
                        <pic:spPr>
                          <a:xfrm>
                            <a:off x="0" y="0"/>
                            <a:ext cx="3411442" cy="3572962"/>
                          </a:xfrm>
                          <a:prstGeom prst="rect">
                            <a:avLst/>
                          </a:prstGeom>
                        </pic:spPr>
                      </pic:pic>
                    </a:graphicData>
                  </a:graphic>
                </wp:inline>
              </w:drawing>
            </w:r>
          </w:p>
          <w:p w:rsidR="001A1ED9" w:rsidRPr="00A32093" w:rsidRDefault="006E3BCA" w:rsidP="002C2BF1">
            <w:pPr>
              <w:pStyle w:val="af6"/>
              <w:numPr>
                <w:ilvl w:val="0"/>
                <w:numId w:val="4"/>
              </w:numPr>
              <w:rPr>
                <w:b/>
              </w:rPr>
            </w:pPr>
            <w:bookmarkStart w:id="87" w:name="_Toc22216438"/>
            <w:r>
              <w:rPr>
                <w:noProof/>
              </w:rPr>
              <mc:AlternateContent>
                <mc:Choice Requires="wps">
                  <w:drawing>
                    <wp:anchor distT="0" distB="0" distL="114300" distR="114300" simplePos="0" relativeHeight="251680768" behindDoc="0" locked="0" layoutInCell="1" allowOverlap="1" wp14:anchorId="4D2D800C" wp14:editId="65962B72">
                      <wp:simplePos x="0" y="0"/>
                      <wp:positionH relativeFrom="column">
                        <wp:posOffset>-118745</wp:posOffset>
                      </wp:positionH>
                      <wp:positionV relativeFrom="paragraph">
                        <wp:posOffset>516313</wp:posOffset>
                      </wp:positionV>
                      <wp:extent cx="1811020" cy="421640"/>
                      <wp:effectExtent l="0" t="0" r="0" b="0"/>
                      <wp:wrapNone/>
                      <wp:docPr id="268" name="文字方塊 268"/>
                      <wp:cNvGraphicFramePr/>
                      <a:graphic xmlns:a="http://schemas.openxmlformats.org/drawingml/2006/main">
                        <a:graphicData uri="http://schemas.microsoft.com/office/word/2010/wordprocessingShape">
                          <wps:wsp>
                            <wps:cNvSpPr txBox="1"/>
                            <wps:spPr>
                              <a:xfrm>
                                <a:off x="0" y="0"/>
                                <a:ext cx="1811020" cy="4216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47ABD" w:rsidRPr="00981A86" w:rsidRDefault="00747ABD">
                                  <w:pPr>
                                    <w:rPr>
                                      <w:sz w:val="20"/>
                                    </w:rPr>
                                  </w:pPr>
                                  <w:r w:rsidRPr="00981A86">
                                    <w:rPr>
                                      <w:rFonts w:hint="eastAsia"/>
                                      <w:sz w:val="20"/>
                                    </w:rPr>
                                    <w:t>資料來源：中油公司</w:t>
                                  </w:r>
                                  <w:r>
                                    <w:rPr>
                                      <w:rFonts w:hint="eastAsia"/>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2D800C" id="文字方塊 268" o:spid="_x0000_s1031" type="#_x0000_t202" style="position:absolute;left:0;text-align:left;margin-left:-9.35pt;margin-top:40.65pt;width:142.6pt;height:33.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" fillcolor="white [3201]" stroked="f" strokeweight=".5pt">
                      <v:textbox>
                        <w:txbxContent>
                          <w:p w:rsidR="00747ABD" w:rsidRPr="00981A86" w:rsidRDefault="00747ABD">
                            <w:pPr>
                              <w:rPr>
                                <w:sz w:val="20"/>
                              </w:rPr>
                            </w:pPr>
                            <w:r w:rsidRPr="00981A86">
                              <w:rPr>
                                <w:rFonts w:hint="eastAsia"/>
                                <w:sz w:val="20"/>
                              </w:rPr>
                              <w:t>資料來源：中油公司</w:t>
                            </w:r>
                            <w:r>
                              <w:rPr>
                                <w:rFonts w:hint="eastAsia"/>
                                <w:sz w:val="20"/>
                              </w:rPr>
                              <w:t>。</w:t>
                            </w:r>
                          </w:p>
                        </w:txbxContent>
                      </v:textbox>
                    </v:shape>
                  </w:pict>
                </mc:Fallback>
              </mc:AlternateContent>
            </w:r>
            <w:r w:rsidR="001A1ED9" w:rsidRPr="00A32093">
              <w:rPr>
                <w:rFonts w:hint="eastAsia"/>
                <w:b/>
              </w:rPr>
              <w:t>臺灣地熱分區</w:t>
            </w:r>
            <w:bookmarkEnd w:id="87"/>
          </w:p>
        </w:tc>
        <w:tc>
          <w:tcPr>
            <w:tcW w:w="5103" w:type="dxa"/>
          </w:tcPr>
          <w:p w:rsidR="001A1ED9" w:rsidRDefault="001A1ED9" w:rsidP="001A1ED9">
            <w:r w:rsidRPr="001A1ED9">
              <w:rPr>
                <w:noProof/>
              </w:rPr>
              <w:drawing>
                <wp:inline distT="0" distB="0" distL="0" distR="0" wp14:anchorId="3F2ED4B7" wp14:editId="02A348D3">
                  <wp:extent cx="3036277" cy="3522784"/>
                  <wp:effectExtent l="0" t="0" r="0" b="1905"/>
                  <wp:docPr id="3"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圖片 31"/>
                          <pic:cNvPicPr>
                            <a:picLocks noChangeAspect="1"/>
                          </pic:cNvPicPr>
                        </pic:nvPicPr>
                        <pic:blipFill rotWithShape="1">
                          <a:blip r:embed="rId30" cstate="print">
                            <a:extLst>
                              <a:ext uri="{28A0092B-C50C-407E-A947-70E740481C1C}">
                                <a14:useLocalDpi xmlns:a14="http://schemas.microsoft.com/office/drawing/2010/main" val="0"/>
                              </a:ext>
                            </a:extLst>
                          </a:blip>
                          <a:srcRect t="2196" r="3415" b="1974"/>
                          <a:stretch/>
                        </pic:blipFill>
                        <pic:spPr>
                          <a:xfrm>
                            <a:off x="0" y="0"/>
                            <a:ext cx="3035022" cy="3521328"/>
                          </a:xfrm>
                          <a:prstGeom prst="rect">
                            <a:avLst/>
                          </a:prstGeom>
                        </pic:spPr>
                      </pic:pic>
                    </a:graphicData>
                  </a:graphic>
                </wp:inline>
              </w:drawing>
            </w:r>
          </w:p>
          <w:p w:rsidR="001A1ED9" w:rsidRPr="00A32093" w:rsidRDefault="001A1ED9" w:rsidP="002C2BF1">
            <w:pPr>
              <w:pStyle w:val="af6"/>
              <w:numPr>
                <w:ilvl w:val="0"/>
                <w:numId w:val="4"/>
              </w:numPr>
              <w:rPr>
                <w:b/>
              </w:rPr>
            </w:pPr>
            <w:bookmarkStart w:id="88" w:name="_Toc22216439"/>
            <w:r w:rsidRPr="00A32093">
              <w:rPr>
                <w:rFonts w:hint="eastAsia"/>
                <w:b/>
              </w:rPr>
              <w:t>地熱井分布</w:t>
            </w:r>
            <w:bookmarkEnd w:id="88"/>
          </w:p>
        </w:tc>
      </w:tr>
    </w:tbl>
    <w:p w:rsidR="00025B76" w:rsidRDefault="00025B76" w:rsidP="00025B76">
      <w:pPr>
        <w:ind w:leftChars="388" w:left="1320"/>
        <w:jc w:val="center"/>
      </w:pPr>
      <w:r>
        <w:rPr>
          <w:noProof/>
        </w:rPr>
        <w:drawing>
          <wp:inline distT="0" distB="0" distL="0" distR="0" wp14:anchorId="14116EC9" wp14:editId="7BD3C8F1">
            <wp:extent cx="4927143" cy="3854824"/>
            <wp:effectExtent l="0" t="0" r="6985"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CC441F.tmp"/>
                    <pic:cNvPicPr/>
                  </pic:nvPicPr>
                  <pic:blipFill>
                    <a:blip r:embed="rId31">
                      <a:extLst>
                        <a:ext uri="{28A0092B-C50C-407E-A947-70E740481C1C}">
                          <a14:useLocalDpi xmlns:a14="http://schemas.microsoft.com/office/drawing/2010/main" val="0"/>
                        </a:ext>
                      </a:extLst>
                    </a:blip>
                    <a:stretch>
                      <a:fillRect/>
                    </a:stretch>
                  </pic:blipFill>
                  <pic:spPr>
                    <a:xfrm>
                      <a:off x="0" y="0"/>
                      <a:ext cx="4937765" cy="3863135"/>
                    </a:xfrm>
                    <a:prstGeom prst="rect">
                      <a:avLst/>
                    </a:prstGeom>
                  </pic:spPr>
                </pic:pic>
              </a:graphicData>
            </a:graphic>
          </wp:inline>
        </w:drawing>
      </w:r>
    </w:p>
    <w:p w:rsidR="00025B76" w:rsidRPr="00A32093" w:rsidRDefault="004C605B" w:rsidP="002C2BF1">
      <w:pPr>
        <w:pStyle w:val="af6"/>
        <w:numPr>
          <w:ilvl w:val="0"/>
          <w:numId w:val="4"/>
        </w:numPr>
        <w:rPr>
          <w:b/>
        </w:rPr>
      </w:pPr>
      <w:bookmarkStart w:id="89" w:name="_Toc22216440"/>
      <w:r>
        <w:rPr>
          <w:rFonts w:hint="eastAsia"/>
          <w:b/>
          <w:noProof/>
        </w:rPr>
        <mc:AlternateContent>
          <mc:Choice Requires="wps">
            <w:drawing>
              <wp:anchor distT="0" distB="0" distL="114300" distR="114300" simplePos="0" relativeHeight="251681792" behindDoc="0" locked="0" layoutInCell="1" allowOverlap="1">
                <wp:simplePos x="0" y="0"/>
                <wp:positionH relativeFrom="column">
                  <wp:posOffset>1352794</wp:posOffset>
                </wp:positionH>
                <wp:positionV relativeFrom="paragraph">
                  <wp:posOffset>312176</wp:posOffset>
                </wp:positionV>
                <wp:extent cx="1658816" cy="322384"/>
                <wp:effectExtent l="0" t="0" r="0" b="1905"/>
                <wp:wrapNone/>
                <wp:docPr id="269" name="文字方塊 269"/>
                <wp:cNvGraphicFramePr/>
                <a:graphic xmlns:a="http://schemas.openxmlformats.org/drawingml/2006/main">
                  <a:graphicData uri="http://schemas.microsoft.com/office/word/2010/wordprocessingShape">
                    <wps:wsp>
                      <wps:cNvSpPr txBox="1"/>
                      <wps:spPr>
                        <a:xfrm>
                          <a:off x="0" y="0"/>
                          <a:ext cx="1658816" cy="32238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47ABD" w:rsidRPr="004C605B" w:rsidRDefault="00747ABD">
                            <w:pPr>
                              <w:rPr>
                                <w:sz w:val="20"/>
                              </w:rPr>
                            </w:pPr>
                            <w:r w:rsidRPr="004C605B">
                              <w:rPr>
                                <w:rFonts w:hint="eastAsia"/>
                                <w:sz w:val="20"/>
                              </w:rPr>
                              <w:t>資料來源：台電公司</w:t>
                            </w:r>
                            <w:r>
                              <w:rPr>
                                <w:rFonts w:hint="eastAsia"/>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269" o:spid="_x0000_s1032" type="#_x0000_t202" style="position:absolute;left:0;text-align:left;margin-left:106.5pt;margin-top:24.6pt;width:130.6pt;height:25.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" fillcolor="white [3201]" stroked="f" strokeweight=".5pt">
                <v:textbox>
                  <w:txbxContent>
                    <w:p w:rsidR="00747ABD" w:rsidRPr="004C605B" w:rsidRDefault="00747ABD">
                      <w:pPr>
                        <w:rPr>
                          <w:sz w:val="20"/>
                        </w:rPr>
                      </w:pPr>
                      <w:r w:rsidRPr="004C605B">
                        <w:rPr>
                          <w:rFonts w:hint="eastAsia"/>
                          <w:sz w:val="20"/>
                        </w:rPr>
                        <w:t>資料來源：台電公司</w:t>
                      </w:r>
                      <w:r>
                        <w:rPr>
                          <w:rFonts w:hint="eastAsia"/>
                          <w:sz w:val="20"/>
                        </w:rPr>
                        <w:t>。</w:t>
                      </w:r>
                    </w:p>
                  </w:txbxContent>
                </v:textbox>
              </v:shape>
            </w:pict>
          </mc:Fallback>
        </mc:AlternateContent>
      </w:r>
      <w:r w:rsidR="00025B76" w:rsidRPr="00A32093">
        <w:rPr>
          <w:rFonts w:hint="eastAsia"/>
          <w:b/>
        </w:rPr>
        <w:t>雙循環發電機組</w:t>
      </w:r>
      <w:bookmarkEnd w:id="89"/>
    </w:p>
    <w:p w:rsidR="00025B76" w:rsidRDefault="00025B76" w:rsidP="00025B76"/>
    <w:p w:rsidR="00AE08CD" w:rsidRDefault="00182780" w:rsidP="007C6ED0">
      <w:pPr>
        <w:pStyle w:val="3"/>
        <w:ind w:left="1276"/>
      </w:pPr>
      <w:r>
        <w:rPr>
          <w:rFonts w:hint="eastAsia"/>
        </w:rPr>
        <w:t>綜上，</w:t>
      </w:r>
      <w:r w:rsidR="00F75094" w:rsidRPr="00F75094">
        <w:rPr>
          <w:rFonts w:hint="eastAsia"/>
        </w:rPr>
        <w:t>依台電</w:t>
      </w:r>
      <w:r w:rsidR="00F41282">
        <w:rPr>
          <w:rFonts w:hint="eastAsia"/>
        </w:rPr>
        <w:t>公司</w:t>
      </w:r>
      <w:r w:rsidR="00F75094" w:rsidRPr="00F75094">
        <w:rPr>
          <w:rFonts w:hint="eastAsia"/>
        </w:rPr>
        <w:t>委託工研院完成之「地熱發電潛能廠址研究計畫」，國內傳統型地熱總發電潛能約1,000MW，然迄今運轉（0.3MW）、籌設（4.2MW）及規劃中（8.5MW）之總裝置容量僅13MW，占比低，然相較以往清水地熱熱液產能因孔內結垢問題造成逐年衰減，未來改採回注井、管垢控制及</w:t>
      </w:r>
      <w:r w:rsidR="00025B76">
        <w:rPr>
          <w:rFonts w:hint="eastAsia"/>
        </w:rPr>
        <w:t>雙循環</w:t>
      </w:r>
      <w:r w:rsidR="00F75094" w:rsidRPr="00F75094">
        <w:rPr>
          <w:rFonts w:hint="eastAsia"/>
        </w:rPr>
        <w:t>發電機組，地熱發電潛力大，</w:t>
      </w:r>
      <w:r w:rsidR="00FD59B8">
        <w:rPr>
          <w:rFonts w:hint="eastAsia"/>
        </w:rPr>
        <w:t>於能源開發多元化考量下，經濟部允宜</w:t>
      </w:r>
      <w:r w:rsidR="00F75094" w:rsidRPr="00F75094">
        <w:rPr>
          <w:rFonts w:hint="eastAsia"/>
        </w:rPr>
        <w:t>創造誘因，鼓勵業者投入</w:t>
      </w:r>
      <w:r w:rsidR="00F75094">
        <w:rPr>
          <w:rFonts w:hint="eastAsia"/>
        </w:rPr>
        <w:t>，</w:t>
      </w:r>
      <w:r w:rsidR="00FD59B8">
        <w:rPr>
          <w:rFonts w:hint="eastAsia"/>
        </w:rPr>
        <w:t>以積極</w:t>
      </w:r>
      <w:r w:rsidR="00F75094">
        <w:rPr>
          <w:rFonts w:hint="eastAsia"/>
        </w:rPr>
        <w:t>發</w:t>
      </w:r>
      <w:r w:rsidR="00FD59B8">
        <w:rPr>
          <w:rFonts w:hint="eastAsia"/>
        </w:rPr>
        <w:t>掘</w:t>
      </w:r>
      <w:r w:rsidR="00025B76">
        <w:rPr>
          <w:rFonts w:hint="eastAsia"/>
        </w:rPr>
        <w:t>國內</w:t>
      </w:r>
      <w:r w:rsidR="00F75094">
        <w:rPr>
          <w:rFonts w:hint="eastAsia"/>
        </w:rPr>
        <w:t>地熱潛能。</w:t>
      </w:r>
    </w:p>
    <w:p w:rsidR="00370DE0" w:rsidRPr="00AE08CD" w:rsidRDefault="00370DE0" w:rsidP="00370DE0"/>
    <w:p w:rsidR="006426CF" w:rsidRPr="003C5EFA" w:rsidRDefault="00FB4172" w:rsidP="006D6E0A">
      <w:pPr>
        <w:pStyle w:val="2"/>
      </w:pPr>
      <w:bookmarkStart w:id="90" w:name="_Toc22636591"/>
      <w:r w:rsidRPr="003C5EFA">
        <w:rPr>
          <w:rFonts w:hint="eastAsia"/>
          <w:b/>
        </w:rPr>
        <w:t>經濟部能源局為能源主管機關，掌理能源供需之預測、規劃及推動事項</w:t>
      </w:r>
      <w:r w:rsidR="00951C36" w:rsidRPr="003C5EFA">
        <w:rPr>
          <w:rFonts w:hint="eastAsia"/>
          <w:b/>
        </w:rPr>
        <w:t>，對能源統計資料</w:t>
      </w:r>
      <w:r w:rsidR="00FD59B8">
        <w:rPr>
          <w:rFonts w:hint="eastAsia"/>
          <w:b/>
        </w:rPr>
        <w:t>理</w:t>
      </w:r>
      <w:r w:rsidR="00951C36" w:rsidRPr="003C5EFA">
        <w:rPr>
          <w:rFonts w:hint="eastAsia"/>
          <w:b/>
        </w:rPr>
        <w:t>應慎重，惟查107年再生能源發電量，「107年全國電力</w:t>
      </w:r>
      <w:r w:rsidR="00284D8D">
        <w:rPr>
          <w:rFonts w:hint="eastAsia"/>
          <w:b/>
        </w:rPr>
        <w:t>資源</w:t>
      </w:r>
      <w:r w:rsidR="00951C36" w:rsidRPr="003C5EFA">
        <w:rPr>
          <w:rFonts w:hint="eastAsia"/>
          <w:b/>
        </w:rPr>
        <w:t>供需報告」記載為127億度，與「能源統計資料查詢系統」統計值</w:t>
      </w:r>
      <w:r w:rsidR="00E443FB" w:rsidRPr="00E443FB">
        <w:rPr>
          <w:rFonts w:hint="eastAsia"/>
          <w:b/>
        </w:rPr>
        <w:t>160億度（含水力發電77億度）</w:t>
      </w:r>
      <w:r w:rsidR="00951C36" w:rsidRPr="003C5EFA">
        <w:rPr>
          <w:rFonts w:hint="eastAsia"/>
          <w:b/>
        </w:rPr>
        <w:t>出入</w:t>
      </w:r>
      <w:r w:rsidRPr="003C5EFA">
        <w:rPr>
          <w:rFonts w:hint="eastAsia"/>
          <w:b/>
        </w:rPr>
        <w:t>甚</w:t>
      </w:r>
      <w:r w:rsidR="008E3BC3">
        <w:rPr>
          <w:rFonts w:hint="eastAsia"/>
          <w:b/>
        </w:rPr>
        <w:t>巨</w:t>
      </w:r>
      <w:r w:rsidR="006E3BCA">
        <w:rPr>
          <w:rFonts w:hint="eastAsia"/>
          <w:b/>
        </w:rPr>
        <w:t>，</w:t>
      </w:r>
      <w:r w:rsidR="00951C36" w:rsidRPr="003C5EFA">
        <w:rPr>
          <w:rFonts w:hint="eastAsia"/>
          <w:b/>
        </w:rPr>
        <w:t>顯有</w:t>
      </w:r>
      <w:r w:rsidR="008E3BC3">
        <w:rPr>
          <w:rFonts w:hint="eastAsia"/>
          <w:b/>
        </w:rPr>
        <w:t>怠</w:t>
      </w:r>
      <w:r w:rsidR="00951C36" w:rsidRPr="003C5EFA">
        <w:rPr>
          <w:rFonts w:hint="eastAsia"/>
          <w:b/>
        </w:rPr>
        <w:t>失</w:t>
      </w:r>
      <w:r w:rsidR="00951C36" w:rsidRPr="003C5EFA">
        <w:rPr>
          <w:rFonts w:hint="eastAsia"/>
        </w:rPr>
        <w:t>。</w:t>
      </w:r>
      <w:bookmarkEnd w:id="90"/>
    </w:p>
    <w:p w:rsidR="006426CF" w:rsidRDefault="006426CF" w:rsidP="007C6ED0">
      <w:pPr>
        <w:pStyle w:val="3"/>
        <w:ind w:left="1276"/>
      </w:pPr>
      <w:r>
        <w:rPr>
          <w:rFonts w:hint="eastAsia"/>
        </w:rPr>
        <w:t>查經濟部108年3月4日於立法院第9屆第7會期經濟委員會第3次會議報告「因應公投</w:t>
      </w:r>
      <w:r w:rsidR="00951C36">
        <w:rPr>
          <w:rFonts w:hint="eastAsia"/>
        </w:rPr>
        <w:t>結</w:t>
      </w:r>
      <w:r>
        <w:rPr>
          <w:rFonts w:hint="eastAsia"/>
        </w:rPr>
        <w:t>果能源政策評估檢討專案報告」</w:t>
      </w:r>
      <w:r w:rsidR="00FD59B8">
        <w:rPr>
          <w:rFonts w:hint="eastAsia"/>
        </w:rPr>
        <w:t>中</w:t>
      </w:r>
      <w:r>
        <w:rPr>
          <w:rFonts w:hint="eastAsia"/>
        </w:rPr>
        <w:t>，預估未來</w:t>
      </w:r>
      <w:r w:rsidR="00E03ECD">
        <w:rPr>
          <w:rFonts w:hint="eastAsia"/>
        </w:rPr>
        <w:t>（2018~2025年）電力需求年平均成長率為1.86%，各年預估總用電量</w:t>
      </w:r>
      <w:r w:rsidR="008E3BC3">
        <w:rPr>
          <w:rFonts w:hint="eastAsia"/>
        </w:rPr>
        <w:t>（</w:t>
      </w:r>
      <w:r w:rsidR="00E03ECD">
        <w:rPr>
          <w:rFonts w:hint="eastAsia"/>
        </w:rPr>
        <w:t>如表</w:t>
      </w:r>
      <w:r w:rsidR="006E10C0">
        <w:rPr>
          <w:rFonts w:hint="eastAsia"/>
        </w:rPr>
        <w:t>1</w:t>
      </w:r>
      <w:r w:rsidR="00BA4D6C">
        <w:rPr>
          <w:rFonts w:hint="eastAsia"/>
        </w:rPr>
        <w:t>3</w:t>
      </w:r>
      <w:r w:rsidR="008E3BC3">
        <w:rPr>
          <w:rFonts w:hint="eastAsia"/>
        </w:rPr>
        <w:t>）</w:t>
      </w:r>
      <w:r w:rsidR="00596F6E">
        <w:rPr>
          <w:rFonts w:hint="eastAsia"/>
        </w:rPr>
        <w:t>。另同報告第6~7頁亦記載2018~2025年各類再生能源發電裝置量（MW）及發電量（億度）</w:t>
      </w:r>
      <w:r w:rsidR="008E3BC3">
        <w:rPr>
          <w:rFonts w:hint="eastAsia"/>
        </w:rPr>
        <w:t>（</w:t>
      </w:r>
      <w:r w:rsidR="00596F6E">
        <w:rPr>
          <w:rFonts w:hint="eastAsia"/>
        </w:rPr>
        <w:t>如表</w:t>
      </w:r>
      <w:r w:rsidR="006E10C0">
        <w:rPr>
          <w:rFonts w:hint="eastAsia"/>
        </w:rPr>
        <w:t>14</w:t>
      </w:r>
      <w:r w:rsidR="008E3BC3">
        <w:rPr>
          <w:rFonts w:hint="eastAsia"/>
        </w:rPr>
        <w:t>）</w:t>
      </w:r>
      <w:r w:rsidR="00596F6E">
        <w:rPr>
          <w:rFonts w:hint="eastAsia"/>
        </w:rPr>
        <w:t>。其中107年再生能源發電量</w:t>
      </w:r>
      <w:r w:rsidR="008E3BC3">
        <w:rPr>
          <w:rFonts w:hint="eastAsia"/>
        </w:rPr>
        <w:t>為</w:t>
      </w:r>
      <w:r w:rsidR="00596F6E">
        <w:rPr>
          <w:rFonts w:hint="eastAsia"/>
        </w:rPr>
        <w:t>153億度。</w:t>
      </w:r>
    </w:p>
    <w:p w:rsidR="00FD59B8" w:rsidRDefault="00FD59B8" w:rsidP="00FD59B8">
      <w:pPr>
        <w:pStyle w:val="3"/>
        <w:numPr>
          <w:ilvl w:val="0"/>
          <w:numId w:val="0"/>
        </w:numPr>
        <w:ind w:left="1361"/>
      </w:pPr>
    </w:p>
    <w:p w:rsidR="00E03ECD" w:rsidRPr="00FB4172" w:rsidRDefault="00E03ECD" w:rsidP="00E03ECD">
      <w:pPr>
        <w:pStyle w:val="a2"/>
        <w:spacing w:before="0" w:after="0" w:line="240" w:lineRule="auto"/>
        <w:ind w:left="482" w:hanging="482"/>
        <w:jc w:val="center"/>
        <w:rPr>
          <w:b/>
        </w:rPr>
      </w:pPr>
      <w:bookmarkStart w:id="91" w:name="_Toc22216356"/>
      <w:r w:rsidRPr="00FB4172">
        <w:rPr>
          <w:rFonts w:hint="eastAsia"/>
          <w:b/>
        </w:rPr>
        <w:t>2018~2025年總用電量預估</w:t>
      </w:r>
      <w:bookmarkEnd w:id="91"/>
    </w:p>
    <w:p w:rsidR="00E03ECD" w:rsidRDefault="00E03ECD" w:rsidP="004B721D">
      <w:pPr>
        <w:ind w:leftChars="167" w:left="1361" w:hangingChars="233" w:hanging="793"/>
      </w:pPr>
      <w:r>
        <w:rPr>
          <w:rFonts w:hint="eastAsia"/>
          <w:noProof/>
        </w:rPr>
        <w:drawing>
          <wp:inline distT="0" distB="0" distL="0" distR="0" wp14:anchorId="06D0C109" wp14:editId="118A36F0">
            <wp:extent cx="5270500" cy="857020"/>
            <wp:effectExtent l="0" t="0" r="6350" b="635"/>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01FF5.tmp"/>
                    <pic:cNvPicPr/>
                  </pic:nvPicPr>
                  <pic:blipFill>
                    <a:blip r:embed="rId32">
                      <a:extLst>
                        <a:ext uri="{28A0092B-C50C-407E-A947-70E740481C1C}">
                          <a14:useLocalDpi xmlns:a14="http://schemas.microsoft.com/office/drawing/2010/main" val="0"/>
                        </a:ext>
                      </a:extLst>
                    </a:blip>
                    <a:stretch>
                      <a:fillRect/>
                    </a:stretch>
                  </pic:blipFill>
                  <pic:spPr>
                    <a:xfrm>
                      <a:off x="0" y="0"/>
                      <a:ext cx="5281736" cy="858847"/>
                    </a:xfrm>
                    <a:prstGeom prst="rect">
                      <a:avLst/>
                    </a:prstGeom>
                  </pic:spPr>
                </pic:pic>
              </a:graphicData>
            </a:graphic>
          </wp:inline>
        </w:drawing>
      </w:r>
    </w:p>
    <w:p w:rsidR="00E03ECD" w:rsidRDefault="00FB4172" w:rsidP="004B721D">
      <w:pPr>
        <w:snapToGrid w:val="0"/>
        <w:ind w:leftChars="181" w:left="2692" w:hangingChars="798" w:hanging="2076"/>
        <w:rPr>
          <w:sz w:val="24"/>
          <w:szCs w:val="24"/>
        </w:rPr>
      </w:pPr>
      <w:r w:rsidRPr="003C5EFA">
        <w:rPr>
          <w:rFonts w:hint="eastAsia"/>
          <w:sz w:val="24"/>
          <w:szCs w:val="24"/>
        </w:rPr>
        <w:t>資料來源：</w:t>
      </w:r>
      <w:r w:rsidR="008E3BC3">
        <w:rPr>
          <w:rFonts w:hint="eastAsia"/>
          <w:sz w:val="24"/>
          <w:szCs w:val="24"/>
        </w:rPr>
        <w:t>經濟部</w:t>
      </w:r>
      <w:r w:rsidR="00FD59B8">
        <w:rPr>
          <w:rFonts w:hint="eastAsia"/>
          <w:sz w:val="24"/>
          <w:szCs w:val="24"/>
        </w:rPr>
        <w:t>，</w:t>
      </w:r>
      <w:r w:rsidRPr="003C5EFA">
        <w:rPr>
          <w:rFonts w:hint="eastAsia"/>
          <w:sz w:val="24"/>
          <w:szCs w:val="24"/>
        </w:rPr>
        <w:t>「因應公投結果能源政策評估檢討專案報告」</w:t>
      </w:r>
      <w:r w:rsidR="00FD59B8">
        <w:rPr>
          <w:rFonts w:hint="eastAsia"/>
          <w:sz w:val="24"/>
          <w:szCs w:val="24"/>
        </w:rPr>
        <w:t>，</w:t>
      </w:r>
      <w:r w:rsidR="008E3BC3">
        <w:rPr>
          <w:rFonts w:hint="eastAsia"/>
          <w:sz w:val="24"/>
          <w:szCs w:val="24"/>
        </w:rPr>
        <w:t>第1頁</w:t>
      </w:r>
      <w:r w:rsidRPr="003C5EFA">
        <w:rPr>
          <w:rFonts w:hint="eastAsia"/>
          <w:sz w:val="24"/>
          <w:szCs w:val="24"/>
        </w:rPr>
        <w:t>。</w:t>
      </w:r>
    </w:p>
    <w:p w:rsidR="00FD59B8" w:rsidRPr="003C5EFA" w:rsidRDefault="00FD59B8" w:rsidP="004B721D">
      <w:pPr>
        <w:snapToGrid w:val="0"/>
        <w:ind w:leftChars="181" w:left="2692" w:hangingChars="798" w:hanging="2076"/>
        <w:rPr>
          <w:sz w:val="24"/>
          <w:szCs w:val="24"/>
        </w:rPr>
      </w:pPr>
    </w:p>
    <w:p w:rsidR="00596F6E" w:rsidRPr="001D6D67" w:rsidRDefault="00596F6E" w:rsidP="004B721D">
      <w:pPr>
        <w:pStyle w:val="a2"/>
        <w:spacing w:before="0" w:after="0" w:line="240" w:lineRule="auto"/>
        <w:ind w:left="482" w:firstLine="794"/>
        <w:jc w:val="center"/>
        <w:rPr>
          <w:b/>
        </w:rPr>
      </w:pPr>
      <w:bookmarkStart w:id="92" w:name="_Toc22216357"/>
      <w:r w:rsidRPr="001D6D67">
        <w:rPr>
          <w:rFonts w:hint="eastAsia"/>
          <w:b/>
        </w:rPr>
        <w:t>2018~2025年再生能源裝置量（MW）及發電量（億度）</w:t>
      </w:r>
      <w:bookmarkEnd w:id="92"/>
    </w:p>
    <w:p w:rsidR="00596F6E" w:rsidRDefault="00596F6E" w:rsidP="00E03ECD">
      <w:pPr>
        <w:ind w:leftChars="400" w:left="1361"/>
      </w:pPr>
      <w:r>
        <w:rPr>
          <w:rFonts w:hint="eastAsia"/>
          <w:noProof/>
        </w:rPr>
        <w:drawing>
          <wp:inline distT="0" distB="0" distL="0" distR="0" wp14:anchorId="7E6A3F4B" wp14:editId="4D0B2398">
            <wp:extent cx="4787900" cy="3443130"/>
            <wp:effectExtent l="0" t="0" r="0" b="508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09BBB.tmp"/>
                    <pic:cNvPicPr/>
                  </pic:nvPicPr>
                  <pic:blipFill>
                    <a:blip r:embed="rId33">
                      <a:extLst>
                        <a:ext uri="{28A0092B-C50C-407E-A947-70E740481C1C}">
                          <a14:useLocalDpi xmlns:a14="http://schemas.microsoft.com/office/drawing/2010/main" val="0"/>
                        </a:ext>
                      </a:extLst>
                    </a:blip>
                    <a:stretch>
                      <a:fillRect/>
                    </a:stretch>
                  </pic:blipFill>
                  <pic:spPr>
                    <a:xfrm>
                      <a:off x="0" y="0"/>
                      <a:ext cx="4787900" cy="3443130"/>
                    </a:xfrm>
                    <a:prstGeom prst="rect">
                      <a:avLst/>
                    </a:prstGeom>
                  </pic:spPr>
                </pic:pic>
              </a:graphicData>
            </a:graphic>
          </wp:inline>
        </w:drawing>
      </w:r>
    </w:p>
    <w:p w:rsidR="00FB4172" w:rsidRPr="003C5EFA" w:rsidRDefault="00FB4172" w:rsidP="008E3BC3">
      <w:pPr>
        <w:snapToGrid w:val="0"/>
        <w:ind w:leftChars="400" w:left="2646" w:hangingChars="494" w:hanging="1285"/>
        <w:rPr>
          <w:sz w:val="24"/>
          <w:szCs w:val="24"/>
        </w:rPr>
      </w:pPr>
      <w:r w:rsidRPr="003C5EFA">
        <w:rPr>
          <w:rFonts w:hint="eastAsia"/>
          <w:sz w:val="24"/>
          <w:szCs w:val="24"/>
        </w:rPr>
        <w:t>資料來源：</w:t>
      </w:r>
      <w:r w:rsidR="008E3BC3">
        <w:rPr>
          <w:rFonts w:hint="eastAsia"/>
          <w:sz w:val="24"/>
          <w:szCs w:val="24"/>
        </w:rPr>
        <w:t>經濟部</w:t>
      </w:r>
      <w:r w:rsidR="004B721D">
        <w:rPr>
          <w:rFonts w:hint="eastAsia"/>
          <w:sz w:val="24"/>
          <w:szCs w:val="24"/>
        </w:rPr>
        <w:t>，</w:t>
      </w:r>
      <w:r w:rsidRPr="003C5EFA">
        <w:rPr>
          <w:rFonts w:hint="eastAsia"/>
          <w:sz w:val="24"/>
          <w:szCs w:val="24"/>
        </w:rPr>
        <w:t>「因應公投結果能源政策評估檢討專案報告」</w:t>
      </w:r>
      <w:r w:rsidR="00FD59B8">
        <w:rPr>
          <w:rFonts w:hint="eastAsia"/>
          <w:sz w:val="24"/>
          <w:szCs w:val="24"/>
        </w:rPr>
        <w:t>，</w:t>
      </w:r>
      <w:r w:rsidR="008E3BC3">
        <w:rPr>
          <w:rFonts w:hint="eastAsia"/>
          <w:sz w:val="24"/>
          <w:szCs w:val="24"/>
        </w:rPr>
        <w:t>第7頁</w:t>
      </w:r>
      <w:r w:rsidRPr="003C5EFA">
        <w:rPr>
          <w:rFonts w:hint="eastAsia"/>
          <w:sz w:val="24"/>
          <w:szCs w:val="24"/>
        </w:rPr>
        <w:t>。</w:t>
      </w:r>
    </w:p>
    <w:p w:rsidR="00FB4172" w:rsidRDefault="00FB4172" w:rsidP="00E03ECD">
      <w:pPr>
        <w:ind w:leftChars="400" w:left="1361"/>
      </w:pPr>
    </w:p>
    <w:p w:rsidR="00596F6E" w:rsidRDefault="00596F6E" w:rsidP="005D55FF">
      <w:pPr>
        <w:pStyle w:val="3"/>
        <w:ind w:left="1276"/>
      </w:pPr>
      <w:r>
        <w:rPr>
          <w:rFonts w:hint="eastAsia"/>
        </w:rPr>
        <w:t>次查107年全國電力</w:t>
      </w:r>
      <w:r w:rsidR="00284D8D">
        <w:rPr>
          <w:rFonts w:hint="eastAsia"/>
        </w:rPr>
        <w:t>資源</w:t>
      </w:r>
      <w:r>
        <w:rPr>
          <w:rFonts w:hint="eastAsia"/>
        </w:rPr>
        <w:t>供需報告，第3~4頁記載107年全國總發電量2</w:t>
      </w:r>
      <w:r w:rsidR="002C50E4">
        <w:rPr>
          <w:rFonts w:hint="eastAsia"/>
        </w:rPr>
        <w:t>,</w:t>
      </w:r>
      <w:r>
        <w:rPr>
          <w:rFonts w:hint="eastAsia"/>
        </w:rPr>
        <w:t>736億度，以燃煤發電1</w:t>
      </w:r>
      <w:r w:rsidR="002C50E4">
        <w:rPr>
          <w:rFonts w:hint="eastAsia"/>
        </w:rPr>
        <w:t>,</w:t>
      </w:r>
      <w:r>
        <w:rPr>
          <w:rFonts w:hint="eastAsia"/>
        </w:rPr>
        <w:t>266億度及燃氣發電948億度為大宗，分別占全國總發電量</w:t>
      </w:r>
      <w:r w:rsidR="008E3BC3">
        <w:rPr>
          <w:rFonts w:hint="eastAsia"/>
        </w:rPr>
        <w:t>的</w:t>
      </w:r>
      <w:r>
        <w:rPr>
          <w:rFonts w:hint="eastAsia"/>
        </w:rPr>
        <w:t>46%及35%；此外再生能源在政府大</w:t>
      </w:r>
      <w:r w:rsidR="008E3BC3">
        <w:rPr>
          <w:rFonts w:hint="eastAsia"/>
        </w:rPr>
        <w:t>力</w:t>
      </w:r>
      <w:r>
        <w:rPr>
          <w:rFonts w:hint="eastAsia"/>
        </w:rPr>
        <w:t>推廣設置下，107年度發電量達127億度，占全國總發電量</w:t>
      </w:r>
      <w:r w:rsidR="00FD59B8">
        <w:rPr>
          <w:rFonts w:hint="eastAsia"/>
        </w:rPr>
        <w:t>約</w:t>
      </w:r>
      <w:r>
        <w:rPr>
          <w:rFonts w:hint="eastAsia"/>
        </w:rPr>
        <w:t>5%；在各類再生能源中，以慣常水力45億度</w:t>
      </w:r>
      <w:r w:rsidR="008E3BC3">
        <w:rPr>
          <w:rFonts w:hint="eastAsia"/>
        </w:rPr>
        <w:t>之</w:t>
      </w:r>
      <w:r>
        <w:rPr>
          <w:rFonts w:hint="eastAsia"/>
        </w:rPr>
        <w:t>貢獻最多，占全國總發電量</w:t>
      </w:r>
      <w:r w:rsidR="008E3BC3">
        <w:rPr>
          <w:rFonts w:hint="eastAsia"/>
        </w:rPr>
        <w:t>的</w:t>
      </w:r>
      <w:r>
        <w:rPr>
          <w:rFonts w:hint="eastAsia"/>
        </w:rPr>
        <w:t>2%，再者為其他類別發電（主要為垃圾發電）39億度，其餘則為太陽光電</w:t>
      </w:r>
      <w:r w:rsidR="003C5EFA" w:rsidRPr="003C5EFA">
        <w:rPr>
          <w:rFonts w:hint="eastAsia"/>
        </w:rPr>
        <w:t>及風力發電</w:t>
      </w:r>
      <w:r>
        <w:rPr>
          <w:rFonts w:hint="eastAsia"/>
        </w:rPr>
        <w:t>，發電量各約27億度及17億度</w:t>
      </w:r>
      <w:r w:rsidR="00DF76A6">
        <w:rPr>
          <w:rFonts w:hint="eastAsia"/>
        </w:rPr>
        <w:t>，占全國總發電量</w:t>
      </w:r>
      <w:r w:rsidR="008E3BC3">
        <w:rPr>
          <w:rFonts w:hint="eastAsia"/>
        </w:rPr>
        <w:t>的</w:t>
      </w:r>
      <w:r w:rsidR="00DF76A6">
        <w:rPr>
          <w:rFonts w:hint="eastAsia"/>
        </w:rPr>
        <w:t>1%</w:t>
      </w:r>
      <w:r w:rsidR="008E3BC3">
        <w:rPr>
          <w:rFonts w:hint="eastAsia"/>
        </w:rPr>
        <w:t>（</w:t>
      </w:r>
      <w:r w:rsidR="00DF76A6">
        <w:rPr>
          <w:rFonts w:hint="eastAsia"/>
        </w:rPr>
        <w:t>詳見</w:t>
      </w:r>
      <w:r w:rsidR="00DF76A6" w:rsidRPr="003C5EFA">
        <w:rPr>
          <w:rFonts w:hint="eastAsia"/>
        </w:rPr>
        <w:t>圖</w:t>
      </w:r>
      <w:r w:rsidR="00BA4D6C">
        <w:rPr>
          <w:rFonts w:hint="eastAsia"/>
        </w:rPr>
        <w:t>1</w:t>
      </w:r>
      <w:r w:rsidR="006E10C0">
        <w:t>1</w:t>
      </w:r>
      <w:r w:rsidR="008E3BC3">
        <w:rPr>
          <w:rFonts w:hint="eastAsia"/>
        </w:rPr>
        <w:t>）</w:t>
      </w:r>
      <w:r w:rsidR="002C50E4" w:rsidRPr="003C5EFA">
        <w:rPr>
          <w:rFonts w:hint="eastAsia"/>
        </w:rPr>
        <w:t>。</w:t>
      </w:r>
    </w:p>
    <w:p w:rsidR="00596F6E" w:rsidRDefault="002C50E4" w:rsidP="00CA4A50">
      <w:pPr>
        <w:snapToGrid w:val="0"/>
        <w:ind w:leftChars="400" w:left="1361"/>
      </w:pPr>
      <w:r>
        <w:rPr>
          <w:rFonts w:hint="eastAsia"/>
          <w:noProof/>
        </w:rPr>
        <w:lastRenderedPageBreak/>
        <mc:AlternateContent>
          <mc:Choice Requires="wps">
            <w:drawing>
              <wp:anchor distT="0" distB="0" distL="114300" distR="114300" simplePos="0" relativeHeight="251662336" behindDoc="0" locked="0" layoutInCell="1" allowOverlap="1" wp14:anchorId="3F616818" wp14:editId="16E32D73">
                <wp:simplePos x="0" y="0"/>
                <wp:positionH relativeFrom="column">
                  <wp:posOffset>964334</wp:posOffset>
                </wp:positionH>
                <wp:positionV relativeFrom="paragraph">
                  <wp:posOffset>2321156</wp:posOffset>
                </wp:positionV>
                <wp:extent cx="4461164" cy="450273"/>
                <wp:effectExtent l="0" t="0" r="0" b="6985"/>
                <wp:wrapNone/>
                <wp:docPr id="1" name="文字方塊 1"/>
                <wp:cNvGraphicFramePr/>
                <a:graphic xmlns:a="http://schemas.openxmlformats.org/drawingml/2006/main">
                  <a:graphicData uri="http://schemas.microsoft.com/office/word/2010/wordprocessingShape">
                    <wps:wsp>
                      <wps:cNvSpPr txBox="1"/>
                      <wps:spPr>
                        <a:xfrm>
                          <a:off x="0" y="0"/>
                          <a:ext cx="4461164" cy="450273"/>
                        </a:xfrm>
                        <a:prstGeom prst="rect">
                          <a:avLst/>
                        </a:prstGeom>
                        <a:solidFill>
                          <a:schemeClr val="bg1"/>
                        </a:solidFill>
                        <a:ln w="0">
                          <a:noFill/>
                        </a:ln>
                        <a:effectLst/>
                      </wps:spPr>
                      <wps:style>
                        <a:lnRef idx="0">
                          <a:schemeClr val="accent1"/>
                        </a:lnRef>
                        <a:fillRef idx="0">
                          <a:schemeClr val="accent1"/>
                        </a:fillRef>
                        <a:effectRef idx="0">
                          <a:schemeClr val="accent1"/>
                        </a:effectRef>
                        <a:fontRef idx="minor">
                          <a:schemeClr val="dk1"/>
                        </a:fontRef>
                      </wps:style>
                      <wps:txbx>
                        <w:txbxContent>
                          <w:p w:rsidR="00747ABD" w:rsidRDefault="00747A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616818" id="文字方塊 1" o:spid="_x0000_s1033" type="#_x0000_t202" style="position:absolute;left:0;text-align:left;margin-left:75.95pt;margin-top:182.75pt;width:351.25pt;height:35.4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" fillcolor="white [3212]" stroked="f" strokeweight="0">
                <v:textbox>
                  <w:txbxContent>
                    <w:p w:rsidR="00747ABD" w:rsidRDefault="00747ABD"/>
                  </w:txbxContent>
                </v:textbox>
              </v:shape>
            </w:pict>
          </mc:Fallback>
        </mc:AlternateContent>
      </w:r>
      <w:r w:rsidR="00596F6E">
        <w:rPr>
          <w:rFonts w:hint="eastAsia"/>
          <w:noProof/>
        </w:rPr>
        <w:drawing>
          <wp:inline distT="0" distB="0" distL="0" distR="0" wp14:anchorId="24534841" wp14:editId="2A07B749">
            <wp:extent cx="4892839" cy="2802705"/>
            <wp:effectExtent l="0" t="0" r="3175" b="0"/>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09123.tmp"/>
                    <pic:cNvPicPr/>
                  </pic:nvPicPr>
                  <pic:blipFill>
                    <a:blip r:embed="rId34">
                      <a:extLst>
                        <a:ext uri="{28A0092B-C50C-407E-A947-70E740481C1C}">
                          <a14:useLocalDpi xmlns:a14="http://schemas.microsoft.com/office/drawing/2010/main" val="0"/>
                        </a:ext>
                      </a:extLst>
                    </a:blip>
                    <a:stretch>
                      <a:fillRect/>
                    </a:stretch>
                  </pic:blipFill>
                  <pic:spPr>
                    <a:xfrm>
                      <a:off x="0" y="0"/>
                      <a:ext cx="4895053" cy="2803973"/>
                    </a:xfrm>
                    <a:prstGeom prst="rect">
                      <a:avLst/>
                    </a:prstGeom>
                  </pic:spPr>
                </pic:pic>
              </a:graphicData>
            </a:graphic>
          </wp:inline>
        </w:drawing>
      </w:r>
    </w:p>
    <w:p w:rsidR="00596F6E" w:rsidRPr="008E3BC3" w:rsidRDefault="00DF76A6" w:rsidP="002C2BF1">
      <w:pPr>
        <w:pStyle w:val="af6"/>
        <w:numPr>
          <w:ilvl w:val="0"/>
          <w:numId w:val="4"/>
        </w:numPr>
        <w:rPr>
          <w:b/>
        </w:rPr>
      </w:pPr>
      <w:bookmarkStart w:id="93" w:name="_Toc22216441"/>
      <w:r w:rsidRPr="008E3BC3">
        <w:rPr>
          <w:rFonts w:hint="eastAsia"/>
          <w:b/>
        </w:rPr>
        <w:t>107年全國總發電量及占比</w:t>
      </w:r>
      <w:r w:rsidR="00284D8D">
        <w:rPr>
          <w:rFonts w:hint="eastAsia"/>
          <w:b/>
        </w:rPr>
        <w:t>（燃料別）</w:t>
      </w:r>
      <w:bookmarkEnd w:id="93"/>
    </w:p>
    <w:p w:rsidR="002C50E4" w:rsidRPr="003C5EFA" w:rsidRDefault="002C50E4" w:rsidP="001D6D67">
      <w:pPr>
        <w:ind w:leftChars="400" w:left="1361"/>
        <w:rPr>
          <w:sz w:val="24"/>
          <w:szCs w:val="24"/>
        </w:rPr>
      </w:pPr>
      <w:bookmarkStart w:id="94" w:name="_Toc16080836"/>
      <w:r w:rsidRPr="003C5EFA">
        <w:rPr>
          <w:rFonts w:hint="eastAsia"/>
          <w:sz w:val="24"/>
          <w:szCs w:val="24"/>
        </w:rPr>
        <w:t>資料來源：</w:t>
      </w:r>
      <w:r w:rsidR="00FD59B8">
        <w:rPr>
          <w:rFonts w:hint="eastAsia"/>
          <w:sz w:val="24"/>
          <w:szCs w:val="24"/>
        </w:rPr>
        <w:t>經濟部</w:t>
      </w:r>
      <w:r w:rsidR="00FD59B8" w:rsidRPr="003C5EFA">
        <w:rPr>
          <w:rFonts w:hint="eastAsia"/>
          <w:sz w:val="24"/>
          <w:szCs w:val="24"/>
        </w:rPr>
        <w:t>能源局</w:t>
      </w:r>
      <w:r w:rsidR="00FD59B8">
        <w:rPr>
          <w:rFonts w:hint="eastAsia"/>
          <w:sz w:val="24"/>
          <w:szCs w:val="24"/>
        </w:rPr>
        <w:t>，</w:t>
      </w:r>
      <w:r w:rsidR="00284D8D">
        <w:rPr>
          <w:rFonts w:hint="eastAsia"/>
          <w:sz w:val="24"/>
          <w:szCs w:val="24"/>
        </w:rPr>
        <w:t>107年全國電力資源供需報告</w:t>
      </w:r>
      <w:r w:rsidR="00FD59B8">
        <w:rPr>
          <w:rFonts w:hint="eastAsia"/>
          <w:sz w:val="24"/>
          <w:szCs w:val="24"/>
        </w:rPr>
        <w:t>，</w:t>
      </w:r>
      <w:r w:rsidR="00284D8D">
        <w:rPr>
          <w:rFonts w:hint="eastAsia"/>
          <w:sz w:val="24"/>
          <w:szCs w:val="24"/>
        </w:rPr>
        <w:t>第4頁</w:t>
      </w:r>
      <w:r w:rsidRPr="003C5EFA">
        <w:rPr>
          <w:rFonts w:hint="eastAsia"/>
          <w:sz w:val="24"/>
          <w:szCs w:val="24"/>
        </w:rPr>
        <w:t>。</w:t>
      </w:r>
      <w:bookmarkEnd w:id="94"/>
    </w:p>
    <w:p w:rsidR="00596F6E" w:rsidRDefault="00596F6E" w:rsidP="00596F6E">
      <w:pPr>
        <w:ind w:leftChars="400" w:left="1361"/>
      </w:pPr>
    </w:p>
    <w:p w:rsidR="00DF76A6" w:rsidRDefault="00DF76A6" w:rsidP="005D55FF">
      <w:pPr>
        <w:pStyle w:val="3"/>
        <w:ind w:left="1276"/>
      </w:pPr>
      <w:r>
        <w:rPr>
          <w:rFonts w:hint="eastAsia"/>
        </w:rPr>
        <w:t>惟查經濟部能源局掌理「能源政策及法規之擬訂事項，能源供需之預測、規劃及推動事項，</w:t>
      </w:r>
      <w:r w:rsidRPr="00951C36">
        <w:rPr>
          <w:rFonts w:hAnsi="標楷體" w:hint="eastAsia"/>
        </w:rPr>
        <w:t>……</w:t>
      </w:r>
      <w:r>
        <w:rPr>
          <w:rFonts w:hint="eastAsia"/>
        </w:rPr>
        <w:t>能源資料之建立事項。」該局組織條例第2條定有明文。</w:t>
      </w:r>
      <w:r w:rsidR="00951C36">
        <w:rPr>
          <w:rFonts w:hint="eastAsia"/>
        </w:rPr>
        <w:t>然有關發電量之統計，依</w:t>
      </w:r>
      <w:r w:rsidR="003C5EFA">
        <w:rPr>
          <w:rFonts w:hint="eastAsia"/>
        </w:rPr>
        <w:t>「</w:t>
      </w:r>
      <w:r>
        <w:rPr>
          <w:rFonts w:hint="eastAsia"/>
        </w:rPr>
        <w:t>能源統計資料查詢系統</w:t>
      </w:r>
      <w:r w:rsidR="003C5EFA">
        <w:rPr>
          <w:rFonts w:hint="eastAsia"/>
        </w:rPr>
        <w:t>」</w:t>
      </w:r>
      <w:r>
        <w:rPr>
          <w:rFonts w:hint="eastAsia"/>
        </w:rPr>
        <w:t>，107年度發電量（百萬度）</w:t>
      </w:r>
      <w:r w:rsidR="00284D8D">
        <w:rPr>
          <w:rFonts w:hint="eastAsia"/>
        </w:rPr>
        <w:t>（</w:t>
      </w:r>
      <w:r>
        <w:rPr>
          <w:rFonts w:hint="eastAsia"/>
        </w:rPr>
        <w:t>如表</w:t>
      </w:r>
      <w:r w:rsidR="006E10C0">
        <w:t>15</w:t>
      </w:r>
      <w:r w:rsidR="00284D8D">
        <w:rPr>
          <w:rFonts w:hint="eastAsia"/>
        </w:rPr>
        <w:t>）。</w:t>
      </w:r>
      <w:r>
        <w:rPr>
          <w:rFonts w:hint="eastAsia"/>
        </w:rPr>
        <w:t>其中，再生能源發電量，台電</w:t>
      </w:r>
      <w:r w:rsidR="00F41282">
        <w:rPr>
          <w:rFonts w:hint="eastAsia"/>
        </w:rPr>
        <w:t>公司</w:t>
      </w:r>
      <w:r>
        <w:rPr>
          <w:rFonts w:hint="eastAsia"/>
        </w:rPr>
        <w:t>781.8百萬度，民營電廠1</w:t>
      </w:r>
      <w:r w:rsidR="002C50E4">
        <w:rPr>
          <w:rFonts w:hint="eastAsia"/>
        </w:rPr>
        <w:t>,</w:t>
      </w:r>
      <w:r>
        <w:rPr>
          <w:rFonts w:hint="eastAsia"/>
        </w:rPr>
        <w:t>141.2百萬度，自用發電設備6,379.8百萬度</w:t>
      </w:r>
      <w:r w:rsidR="00E443FB">
        <w:rPr>
          <w:rFonts w:hint="eastAsia"/>
        </w:rPr>
        <w:t>及水力發電7,704.9百萬度</w:t>
      </w:r>
      <w:r>
        <w:rPr>
          <w:rFonts w:hint="eastAsia"/>
        </w:rPr>
        <w:t>，合計</w:t>
      </w:r>
      <w:r w:rsidR="00E443FB">
        <w:rPr>
          <w:rFonts w:hint="eastAsia"/>
        </w:rPr>
        <w:t>16</w:t>
      </w:r>
      <w:r>
        <w:rPr>
          <w:rFonts w:hint="eastAsia"/>
        </w:rPr>
        <w:t>,</w:t>
      </w:r>
      <w:r w:rsidR="00E443FB">
        <w:rPr>
          <w:rFonts w:hint="eastAsia"/>
        </w:rPr>
        <w:t>007</w:t>
      </w:r>
      <w:r>
        <w:rPr>
          <w:rFonts w:hint="eastAsia"/>
        </w:rPr>
        <w:t>.</w:t>
      </w:r>
      <w:r w:rsidR="00E443FB">
        <w:rPr>
          <w:rFonts w:hint="eastAsia"/>
        </w:rPr>
        <w:t>7</w:t>
      </w:r>
      <w:r>
        <w:rPr>
          <w:rFonts w:hint="eastAsia"/>
        </w:rPr>
        <w:t>百萬度（</w:t>
      </w:r>
      <w:r w:rsidR="00E443FB">
        <w:rPr>
          <w:rFonts w:hint="eastAsia"/>
        </w:rPr>
        <w:t>160</w:t>
      </w:r>
      <w:r>
        <w:rPr>
          <w:rFonts w:hint="eastAsia"/>
        </w:rPr>
        <w:t>億度），與前揭</w:t>
      </w:r>
      <w:r w:rsidR="00284D8D">
        <w:rPr>
          <w:rFonts w:hint="eastAsia"/>
        </w:rPr>
        <w:t>「</w:t>
      </w:r>
      <w:r>
        <w:rPr>
          <w:rFonts w:hint="eastAsia"/>
        </w:rPr>
        <w:t>107年全國電力</w:t>
      </w:r>
      <w:r w:rsidR="00284D8D">
        <w:rPr>
          <w:rFonts w:hint="eastAsia"/>
        </w:rPr>
        <w:t>資源</w:t>
      </w:r>
      <w:r>
        <w:rPr>
          <w:rFonts w:hint="eastAsia"/>
        </w:rPr>
        <w:t>供需報告</w:t>
      </w:r>
      <w:r w:rsidR="00284D8D">
        <w:rPr>
          <w:rFonts w:hint="eastAsia"/>
        </w:rPr>
        <w:t>」</w:t>
      </w:r>
      <w:r>
        <w:rPr>
          <w:rFonts w:hint="eastAsia"/>
        </w:rPr>
        <w:t>第</w:t>
      </w:r>
      <w:r w:rsidR="00284D8D">
        <w:rPr>
          <w:rFonts w:hint="eastAsia"/>
        </w:rPr>
        <w:t>3</w:t>
      </w:r>
      <w:r>
        <w:rPr>
          <w:rFonts w:hint="eastAsia"/>
        </w:rPr>
        <w:t>頁所稱再生能源發電量127億度顯有出入。再者，能源統計107年總發電量2,755.8億度，亦與107年全國電力</w:t>
      </w:r>
      <w:r w:rsidR="00284D8D">
        <w:rPr>
          <w:rFonts w:hint="eastAsia"/>
        </w:rPr>
        <w:t>資源</w:t>
      </w:r>
      <w:r>
        <w:rPr>
          <w:rFonts w:hint="eastAsia"/>
        </w:rPr>
        <w:t>供需報</w:t>
      </w:r>
      <w:r w:rsidR="00284D8D">
        <w:rPr>
          <w:rFonts w:hint="eastAsia"/>
        </w:rPr>
        <w:t>告</w:t>
      </w:r>
      <w:r>
        <w:rPr>
          <w:rFonts w:hint="eastAsia"/>
        </w:rPr>
        <w:t>第4頁「全國總發電量2,736億度」有別，</w:t>
      </w:r>
      <w:r w:rsidR="00951C36">
        <w:rPr>
          <w:rFonts w:hint="eastAsia"/>
        </w:rPr>
        <w:t>經濟部能源局為能源統計之主管機關，相關資料有此出入，顯有</w:t>
      </w:r>
      <w:r w:rsidR="00284D8D">
        <w:rPr>
          <w:rFonts w:hint="eastAsia"/>
        </w:rPr>
        <w:t>怠</w:t>
      </w:r>
      <w:r w:rsidR="00951C36">
        <w:rPr>
          <w:rFonts w:hint="eastAsia"/>
        </w:rPr>
        <w:t>失。</w:t>
      </w:r>
    </w:p>
    <w:p w:rsidR="00DF76A6" w:rsidRPr="00284D8D" w:rsidRDefault="00DF76A6" w:rsidP="00DF76A6">
      <w:pPr>
        <w:pStyle w:val="a2"/>
        <w:spacing w:before="0" w:after="0" w:line="240" w:lineRule="auto"/>
        <w:ind w:left="482" w:hanging="482"/>
        <w:jc w:val="center"/>
        <w:rPr>
          <w:b/>
        </w:rPr>
      </w:pPr>
      <w:bookmarkStart w:id="95" w:name="_Toc22216358"/>
      <w:r w:rsidRPr="00284D8D">
        <w:rPr>
          <w:rFonts w:hint="eastAsia"/>
          <w:b/>
        </w:rPr>
        <w:lastRenderedPageBreak/>
        <w:t>107年發電量（能源統計）</w:t>
      </w:r>
      <w:bookmarkEnd w:id="95"/>
    </w:p>
    <w:p w:rsidR="00DF76A6" w:rsidRDefault="00DF76A6" w:rsidP="00DF76A6">
      <w:pPr>
        <w:ind w:leftChars="400" w:left="1361"/>
      </w:pPr>
      <w:r>
        <w:rPr>
          <w:rFonts w:hint="eastAsia"/>
          <w:noProof/>
        </w:rPr>
        <w:drawing>
          <wp:inline distT="0" distB="0" distL="0" distR="0" wp14:anchorId="050F44EA" wp14:editId="35D36CDF">
            <wp:extent cx="5022850" cy="1083059"/>
            <wp:effectExtent l="0" t="0" r="6350" b="3175"/>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0A57F.tmp"/>
                    <pic:cNvPicPr/>
                  </pic:nvPicPr>
                  <pic:blipFill>
                    <a:blip r:embed="rId35">
                      <a:extLst>
                        <a:ext uri="{28A0092B-C50C-407E-A947-70E740481C1C}">
                          <a14:useLocalDpi xmlns:a14="http://schemas.microsoft.com/office/drawing/2010/main" val="0"/>
                        </a:ext>
                      </a:extLst>
                    </a:blip>
                    <a:stretch>
                      <a:fillRect/>
                    </a:stretch>
                  </pic:blipFill>
                  <pic:spPr>
                    <a:xfrm>
                      <a:off x="0" y="0"/>
                      <a:ext cx="5025123" cy="1083549"/>
                    </a:xfrm>
                    <a:prstGeom prst="rect">
                      <a:avLst/>
                    </a:prstGeom>
                  </pic:spPr>
                </pic:pic>
              </a:graphicData>
            </a:graphic>
          </wp:inline>
        </w:drawing>
      </w:r>
    </w:p>
    <w:p w:rsidR="00DF76A6" w:rsidRDefault="00DF76A6" w:rsidP="00DF76A6">
      <w:pPr>
        <w:ind w:leftChars="400" w:left="1361"/>
      </w:pPr>
      <w:r>
        <w:rPr>
          <w:rFonts w:hint="eastAsia"/>
          <w:noProof/>
        </w:rPr>
        <w:drawing>
          <wp:inline distT="0" distB="0" distL="0" distR="0" wp14:anchorId="0B0472C5" wp14:editId="44B3952E">
            <wp:extent cx="4799102" cy="1122721"/>
            <wp:effectExtent l="0" t="0" r="1905" b="1270"/>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071B3.tmp"/>
                    <pic:cNvPicPr/>
                  </pic:nvPicPr>
                  <pic:blipFill>
                    <a:blip r:embed="rId36">
                      <a:extLst>
                        <a:ext uri="{28A0092B-C50C-407E-A947-70E740481C1C}">
                          <a14:useLocalDpi xmlns:a14="http://schemas.microsoft.com/office/drawing/2010/main" val="0"/>
                        </a:ext>
                      </a:extLst>
                    </a:blip>
                    <a:stretch>
                      <a:fillRect/>
                    </a:stretch>
                  </pic:blipFill>
                  <pic:spPr>
                    <a:xfrm>
                      <a:off x="0" y="0"/>
                      <a:ext cx="4801274" cy="1123229"/>
                    </a:xfrm>
                    <a:prstGeom prst="rect">
                      <a:avLst/>
                    </a:prstGeom>
                  </pic:spPr>
                </pic:pic>
              </a:graphicData>
            </a:graphic>
          </wp:inline>
        </w:drawing>
      </w:r>
    </w:p>
    <w:p w:rsidR="00DF76A6" w:rsidRDefault="00DF76A6" w:rsidP="00DF76A6">
      <w:pPr>
        <w:ind w:leftChars="400" w:left="1361"/>
      </w:pPr>
      <w:r>
        <w:rPr>
          <w:rFonts w:hint="eastAsia"/>
          <w:noProof/>
        </w:rPr>
        <w:drawing>
          <wp:inline distT="0" distB="0" distL="0" distR="0" wp14:anchorId="386EE698" wp14:editId="119129BE">
            <wp:extent cx="4674342" cy="1117600"/>
            <wp:effectExtent l="0" t="0" r="0" b="635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0FA83.tmp"/>
                    <pic:cNvPicPr/>
                  </pic:nvPicPr>
                  <pic:blipFill>
                    <a:blip r:embed="rId37">
                      <a:extLst>
                        <a:ext uri="{28A0092B-C50C-407E-A947-70E740481C1C}">
                          <a14:useLocalDpi xmlns:a14="http://schemas.microsoft.com/office/drawing/2010/main" val="0"/>
                        </a:ext>
                      </a:extLst>
                    </a:blip>
                    <a:stretch>
                      <a:fillRect/>
                    </a:stretch>
                  </pic:blipFill>
                  <pic:spPr>
                    <a:xfrm>
                      <a:off x="0" y="0"/>
                      <a:ext cx="4686396" cy="1120482"/>
                    </a:xfrm>
                    <a:prstGeom prst="rect">
                      <a:avLst/>
                    </a:prstGeom>
                  </pic:spPr>
                </pic:pic>
              </a:graphicData>
            </a:graphic>
          </wp:inline>
        </w:drawing>
      </w:r>
    </w:p>
    <w:p w:rsidR="00DF76A6" w:rsidRDefault="00DF76A6" w:rsidP="00DF76A6">
      <w:pPr>
        <w:ind w:leftChars="400" w:left="1361"/>
      </w:pPr>
      <w:r>
        <w:rPr>
          <w:rFonts w:hint="eastAsia"/>
          <w:noProof/>
        </w:rPr>
        <w:drawing>
          <wp:inline distT="0" distB="0" distL="0" distR="0" wp14:anchorId="08FB0D4F" wp14:editId="223A346B">
            <wp:extent cx="3553321" cy="1581371"/>
            <wp:effectExtent l="0" t="0" r="0" b="0"/>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0C5CF.tmp"/>
                    <pic:cNvPicPr/>
                  </pic:nvPicPr>
                  <pic:blipFill>
                    <a:blip r:embed="rId38">
                      <a:extLst>
                        <a:ext uri="{28A0092B-C50C-407E-A947-70E740481C1C}">
                          <a14:useLocalDpi xmlns:a14="http://schemas.microsoft.com/office/drawing/2010/main" val="0"/>
                        </a:ext>
                      </a:extLst>
                    </a:blip>
                    <a:stretch>
                      <a:fillRect/>
                    </a:stretch>
                  </pic:blipFill>
                  <pic:spPr>
                    <a:xfrm>
                      <a:off x="0" y="0"/>
                      <a:ext cx="3553321" cy="1581371"/>
                    </a:xfrm>
                    <a:prstGeom prst="rect">
                      <a:avLst/>
                    </a:prstGeom>
                  </pic:spPr>
                </pic:pic>
              </a:graphicData>
            </a:graphic>
          </wp:inline>
        </w:drawing>
      </w:r>
    </w:p>
    <w:p w:rsidR="002C50E4" w:rsidRDefault="002C50E4" w:rsidP="00DF76A6">
      <w:pPr>
        <w:ind w:leftChars="400" w:left="1361"/>
        <w:rPr>
          <w:sz w:val="24"/>
          <w:szCs w:val="24"/>
        </w:rPr>
      </w:pPr>
      <w:r w:rsidRPr="003C5EFA">
        <w:rPr>
          <w:rFonts w:hint="eastAsia"/>
          <w:sz w:val="24"/>
          <w:szCs w:val="24"/>
        </w:rPr>
        <w:t>資料來源：</w:t>
      </w:r>
      <w:r w:rsidR="00284D8D">
        <w:rPr>
          <w:rFonts w:hint="eastAsia"/>
          <w:sz w:val="24"/>
          <w:szCs w:val="24"/>
        </w:rPr>
        <w:t>經濟部能源局</w:t>
      </w:r>
      <w:r w:rsidR="003C5EFA" w:rsidRPr="003C5EFA">
        <w:rPr>
          <w:rFonts w:hint="eastAsia"/>
          <w:sz w:val="24"/>
          <w:szCs w:val="24"/>
        </w:rPr>
        <w:t>「能源統計資料查詢系統」。</w:t>
      </w:r>
    </w:p>
    <w:p w:rsidR="003C5EFA" w:rsidRPr="003C5EFA" w:rsidRDefault="003C5EFA" w:rsidP="00DF76A6">
      <w:pPr>
        <w:ind w:leftChars="400" w:left="1361"/>
        <w:rPr>
          <w:sz w:val="24"/>
          <w:szCs w:val="24"/>
        </w:rPr>
      </w:pPr>
    </w:p>
    <w:p w:rsidR="00596F6E" w:rsidRDefault="00951C36" w:rsidP="005D55FF">
      <w:pPr>
        <w:pStyle w:val="3"/>
        <w:ind w:left="1276"/>
      </w:pPr>
      <w:r>
        <w:rPr>
          <w:rFonts w:hint="eastAsia"/>
        </w:rPr>
        <w:t>綜上，經濟部能源局為能源主管機關，掌理能源供需之預測、規劃及推動事項能，對於能源統計資料</w:t>
      </w:r>
      <w:r w:rsidR="00284D8D">
        <w:rPr>
          <w:rFonts w:hint="eastAsia"/>
        </w:rPr>
        <w:t>自</w:t>
      </w:r>
      <w:r>
        <w:rPr>
          <w:rFonts w:hint="eastAsia"/>
        </w:rPr>
        <w:t>應慎重，惟查107年再生能源發電量，107年全國電力</w:t>
      </w:r>
      <w:r w:rsidR="00284D8D">
        <w:rPr>
          <w:rFonts w:hint="eastAsia"/>
        </w:rPr>
        <w:t>資源</w:t>
      </w:r>
      <w:r>
        <w:rPr>
          <w:rFonts w:hint="eastAsia"/>
        </w:rPr>
        <w:t>供需報告記載為127億度，與</w:t>
      </w:r>
      <w:r w:rsidR="002C50E4">
        <w:rPr>
          <w:rFonts w:hint="eastAsia"/>
        </w:rPr>
        <w:t>「</w:t>
      </w:r>
      <w:r>
        <w:rPr>
          <w:rFonts w:hint="eastAsia"/>
        </w:rPr>
        <w:t>能源統計資料查詢系統</w:t>
      </w:r>
      <w:r w:rsidR="002C50E4">
        <w:rPr>
          <w:rFonts w:hint="eastAsia"/>
        </w:rPr>
        <w:t>」</w:t>
      </w:r>
      <w:r>
        <w:rPr>
          <w:rFonts w:hint="eastAsia"/>
        </w:rPr>
        <w:t>統計值</w:t>
      </w:r>
      <w:r w:rsidR="00E443FB" w:rsidRPr="00E443FB">
        <w:rPr>
          <w:rFonts w:hint="eastAsia"/>
          <w:szCs w:val="32"/>
        </w:rPr>
        <w:t>160億度（含水力發電77億度）</w:t>
      </w:r>
      <w:r>
        <w:rPr>
          <w:rFonts w:hint="eastAsia"/>
        </w:rPr>
        <w:t>出入</w:t>
      </w:r>
      <w:r w:rsidR="002C50E4">
        <w:rPr>
          <w:rFonts w:hint="eastAsia"/>
        </w:rPr>
        <w:t>甚</w:t>
      </w:r>
      <w:r w:rsidR="00284D8D">
        <w:rPr>
          <w:rFonts w:hint="eastAsia"/>
        </w:rPr>
        <w:t>巨</w:t>
      </w:r>
      <w:r>
        <w:rPr>
          <w:rFonts w:hint="eastAsia"/>
        </w:rPr>
        <w:t>，顯有</w:t>
      </w:r>
      <w:r w:rsidR="00284D8D">
        <w:rPr>
          <w:rFonts w:hint="eastAsia"/>
        </w:rPr>
        <w:t>怠</w:t>
      </w:r>
      <w:r>
        <w:rPr>
          <w:rFonts w:hint="eastAsia"/>
        </w:rPr>
        <w:t>失。</w:t>
      </w:r>
    </w:p>
    <w:p w:rsidR="002C50E4" w:rsidRDefault="002C50E4" w:rsidP="002C50E4">
      <w:pPr>
        <w:pStyle w:val="3"/>
        <w:numPr>
          <w:ilvl w:val="0"/>
          <w:numId w:val="0"/>
        </w:numPr>
        <w:ind w:left="1361"/>
      </w:pPr>
    </w:p>
    <w:p w:rsidR="00003FF5" w:rsidRPr="001117D7" w:rsidRDefault="009D2FD6" w:rsidP="004B0868">
      <w:pPr>
        <w:pStyle w:val="2"/>
        <w:rPr>
          <w:b/>
        </w:rPr>
      </w:pPr>
      <w:bookmarkStart w:id="96" w:name="_Toc22636592"/>
      <w:r>
        <w:rPr>
          <w:rFonts w:hint="eastAsia"/>
          <w:b/>
        </w:rPr>
        <w:t>全國工業</w:t>
      </w:r>
      <w:r w:rsidR="004B0868">
        <w:rPr>
          <w:rFonts w:hint="eastAsia"/>
          <w:b/>
        </w:rPr>
        <w:t>總</w:t>
      </w:r>
      <w:r>
        <w:rPr>
          <w:rFonts w:hint="eastAsia"/>
          <w:b/>
        </w:rPr>
        <w:t>會</w:t>
      </w:r>
      <w:r w:rsidR="004B0868">
        <w:rPr>
          <w:rFonts w:hint="eastAsia"/>
          <w:b/>
        </w:rPr>
        <w:t>2019白皮書</w:t>
      </w:r>
      <w:r w:rsidR="00A1144D">
        <w:rPr>
          <w:rFonts w:hint="eastAsia"/>
          <w:b/>
        </w:rPr>
        <w:t>指出</w:t>
      </w:r>
      <w:r w:rsidR="004B0868">
        <w:rPr>
          <w:rFonts w:hint="eastAsia"/>
          <w:b/>
        </w:rPr>
        <w:t>，</w:t>
      </w:r>
      <w:r w:rsidR="004B0868" w:rsidRPr="004B0868">
        <w:rPr>
          <w:rFonts w:hint="eastAsia"/>
          <w:b/>
        </w:rPr>
        <w:t>2025年北部尖峰負載將比2017年增加204.6萬瓩，隨著核一、核二及協和電</w:t>
      </w:r>
      <w:r w:rsidR="004B0868" w:rsidRPr="004B0868">
        <w:rPr>
          <w:rFonts w:hint="eastAsia"/>
          <w:b/>
        </w:rPr>
        <w:lastRenderedPageBreak/>
        <w:t>廠除役，</w:t>
      </w:r>
      <w:r w:rsidR="00066347">
        <w:rPr>
          <w:rFonts w:hint="eastAsia"/>
          <w:b/>
        </w:rPr>
        <w:t>復</w:t>
      </w:r>
      <w:r w:rsidR="004B0868" w:rsidRPr="004B0868">
        <w:rPr>
          <w:rFonts w:hint="eastAsia"/>
          <w:b/>
        </w:rPr>
        <w:t>加深澳燃煤電廠</w:t>
      </w:r>
      <w:r w:rsidR="00EB5FBD" w:rsidRPr="004B0868">
        <w:rPr>
          <w:rFonts w:hint="eastAsia"/>
          <w:b/>
        </w:rPr>
        <w:t>停建</w:t>
      </w:r>
      <w:r w:rsidR="004B0868" w:rsidRPr="004B0868">
        <w:rPr>
          <w:rFonts w:hint="eastAsia"/>
          <w:b/>
        </w:rPr>
        <w:t>，即使新增加機組（大潭八及九號發電機）商轉供電，北部電力缺口將由2017年的57.3萬瓩擴大到288.1萬瓩以上</w:t>
      </w:r>
      <w:r w:rsidR="004B0868">
        <w:rPr>
          <w:rFonts w:hint="eastAsia"/>
          <w:b/>
        </w:rPr>
        <w:t>，</w:t>
      </w:r>
      <w:r w:rsidR="00A1144D">
        <w:rPr>
          <w:rFonts w:hint="eastAsia"/>
          <w:b/>
        </w:rPr>
        <w:t>此一</w:t>
      </w:r>
      <w:r w:rsidR="004B0868">
        <w:rPr>
          <w:rFonts w:hint="eastAsia"/>
          <w:b/>
        </w:rPr>
        <w:t>北部區域供電失衡問題，</w:t>
      </w:r>
      <w:r w:rsidR="00A1144D">
        <w:rPr>
          <w:rFonts w:hint="eastAsia"/>
          <w:b/>
        </w:rPr>
        <w:t>以及</w:t>
      </w:r>
      <w:r w:rsidR="001117D7" w:rsidRPr="001117D7">
        <w:rPr>
          <w:rFonts w:hint="eastAsia"/>
          <w:b/>
        </w:rPr>
        <w:t>台電公司電網供電現況，迄今仍有12處電網瓶頸線路及霧峰、彰濱、龍崎北及高雄等超高壓變電所主變</w:t>
      </w:r>
      <w:r w:rsidR="0043645D">
        <w:rPr>
          <w:rFonts w:hint="eastAsia"/>
          <w:b/>
        </w:rPr>
        <w:t>壓器</w:t>
      </w:r>
      <w:r w:rsidR="005F7608">
        <w:rPr>
          <w:rFonts w:hint="eastAsia"/>
          <w:b/>
        </w:rPr>
        <w:t>利用率高於「可靠利用率」情形，影響供電穩定，與</w:t>
      </w:r>
      <w:r w:rsidR="00B5017E">
        <w:rPr>
          <w:rFonts w:hint="eastAsia"/>
          <w:b/>
        </w:rPr>
        <w:t>台</w:t>
      </w:r>
      <w:r w:rsidR="006E3BCA">
        <w:rPr>
          <w:rFonts w:hint="eastAsia"/>
          <w:b/>
        </w:rPr>
        <w:t>北市日本工商會本（2019）</w:t>
      </w:r>
      <w:r w:rsidR="005F7608">
        <w:rPr>
          <w:rFonts w:hint="eastAsia"/>
          <w:b/>
        </w:rPr>
        <w:t>年</w:t>
      </w:r>
      <w:r w:rsidR="006E3BCA">
        <w:rPr>
          <w:rFonts w:hint="eastAsia"/>
          <w:b/>
        </w:rPr>
        <w:t>所提白皮書的六大建議中，亦直指「解決供電疑慮」為排除對台投資事業時之主要阻礙因素之一，均</w:t>
      </w:r>
      <w:r>
        <w:rPr>
          <w:rFonts w:hint="eastAsia"/>
          <w:b/>
        </w:rPr>
        <w:t>宜檢討</w:t>
      </w:r>
      <w:r w:rsidR="001117D7">
        <w:rPr>
          <w:rFonts w:hint="eastAsia"/>
          <w:b/>
        </w:rPr>
        <w:t>。</w:t>
      </w:r>
      <w:bookmarkEnd w:id="96"/>
    </w:p>
    <w:p w:rsidR="00003FF5" w:rsidRDefault="00003FF5" w:rsidP="005D55FF">
      <w:pPr>
        <w:pStyle w:val="3"/>
        <w:ind w:left="1276"/>
      </w:pPr>
      <w:r>
        <w:rPr>
          <w:rFonts w:hint="eastAsia"/>
        </w:rPr>
        <w:t>查經濟部能源局107年全國電力</w:t>
      </w:r>
      <w:r w:rsidR="006E69EF">
        <w:rPr>
          <w:rFonts w:hint="eastAsia"/>
        </w:rPr>
        <w:t>資源</w:t>
      </w:r>
      <w:r>
        <w:rPr>
          <w:rFonts w:hint="eastAsia"/>
        </w:rPr>
        <w:t>供需報告，第9頁載述108~114年能源發電結構，如表</w:t>
      </w:r>
      <w:r w:rsidR="006E10C0">
        <w:t>16</w:t>
      </w:r>
      <w:r>
        <w:rPr>
          <w:rFonts w:hint="eastAsia"/>
        </w:rPr>
        <w:t>。規劃114年再生能源發電量達617億度，占總發電量3</w:t>
      </w:r>
      <w:r w:rsidR="0043645D">
        <w:rPr>
          <w:rFonts w:hint="eastAsia"/>
        </w:rPr>
        <w:t>,</w:t>
      </w:r>
      <w:r>
        <w:rPr>
          <w:rFonts w:hint="eastAsia"/>
        </w:rPr>
        <w:t>132億度</w:t>
      </w:r>
      <w:r w:rsidR="0043645D">
        <w:rPr>
          <w:rFonts w:hint="eastAsia"/>
        </w:rPr>
        <w:t>之</w:t>
      </w:r>
      <w:r>
        <w:rPr>
          <w:rFonts w:hint="eastAsia"/>
        </w:rPr>
        <w:t>20%。此再生能源取代核電之做法，同報告第15頁亦</w:t>
      </w:r>
      <w:r w:rsidR="00370955">
        <w:rPr>
          <w:rFonts w:hint="eastAsia"/>
        </w:rPr>
        <w:t>稱未來隨著經濟成長、氣候變遷及推動產業發展之影響下，用電需求將逐年增加；政府除積極推動節電方案及強化需量反應措施外，逐年增加再生能源發電機設置以配合空污減排，而為確保電源供應穩定，預計108年起將可達成備用容量率15%、備轉容量率10%之目標，詳如表</w:t>
      </w:r>
      <w:r w:rsidR="00D92CBF">
        <w:t>17</w:t>
      </w:r>
      <w:r w:rsidR="00370955">
        <w:rPr>
          <w:rFonts w:hint="eastAsia"/>
        </w:rPr>
        <w:t>及圖</w:t>
      </w:r>
      <w:r w:rsidR="00BA4D6C">
        <w:rPr>
          <w:rFonts w:hint="eastAsia"/>
        </w:rPr>
        <w:t>1</w:t>
      </w:r>
      <w:r w:rsidR="00D92CBF">
        <w:t>2</w:t>
      </w:r>
      <w:r w:rsidR="00370955">
        <w:rPr>
          <w:rFonts w:hint="eastAsia"/>
        </w:rPr>
        <w:t>所示。</w:t>
      </w:r>
    </w:p>
    <w:p w:rsidR="003C5EFA" w:rsidRDefault="003C5EFA" w:rsidP="003C5EFA">
      <w:pPr>
        <w:pStyle w:val="3"/>
        <w:numPr>
          <w:ilvl w:val="0"/>
          <w:numId w:val="0"/>
        </w:numPr>
        <w:ind w:left="1361"/>
      </w:pPr>
    </w:p>
    <w:p w:rsidR="00003FF5" w:rsidRPr="003C5EFA" w:rsidRDefault="00003FF5" w:rsidP="00003FF5">
      <w:pPr>
        <w:pStyle w:val="a2"/>
        <w:spacing w:before="0" w:after="0" w:line="240" w:lineRule="auto"/>
        <w:ind w:left="482" w:hanging="482"/>
        <w:jc w:val="center"/>
        <w:rPr>
          <w:b/>
        </w:rPr>
      </w:pPr>
      <w:bookmarkStart w:id="97" w:name="_Toc22216359"/>
      <w:r w:rsidRPr="003C5EFA">
        <w:rPr>
          <w:rFonts w:hint="eastAsia"/>
          <w:b/>
        </w:rPr>
        <w:t>108~114年能源發電結構</w:t>
      </w:r>
      <w:bookmarkEnd w:id="97"/>
    </w:p>
    <w:p w:rsidR="00003FF5" w:rsidRDefault="00CA4A50" w:rsidP="00003FF5">
      <w:pPr>
        <w:ind w:leftChars="400" w:left="1361"/>
      </w:pPr>
      <w:r>
        <w:rPr>
          <w:rFonts w:hint="eastAsia"/>
          <w:noProof/>
        </w:rPr>
        <mc:AlternateContent>
          <mc:Choice Requires="wps">
            <w:drawing>
              <wp:anchor distT="0" distB="0" distL="114300" distR="114300" simplePos="0" relativeHeight="251663360" behindDoc="0" locked="0" layoutInCell="1" allowOverlap="1" wp14:anchorId="2DF9A080" wp14:editId="5C8F07BE">
                <wp:simplePos x="0" y="0"/>
                <wp:positionH relativeFrom="column">
                  <wp:posOffset>901989</wp:posOffset>
                </wp:positionH>
                <wp:positionV relativeFrom="paragraph">
                  <wp:posOffset>1669530</wp:posOffset>
                </wp:positionV>
                <wp:extent cx="3338945" cy="318655"/>
                <wp:effectExtent l="0" t="0" r="0" b="5715"/>
                <wp:wrapNone/>
                <wp:docPr id="9" name="文字方塊 9"/>
                <wp:cNvGraphicFramePr/>
                <a:graphic xmlns:a="http://schemas.openxmlformats.org/drawingml/2006/main">
                  <a:graphicData uri="http://schemas.microsoft.com/office/word/2010/wordprocessingShape">
                    <wps:wsp>
                      <wps:cNvSpPr txBox="1"/>
                      <wps:spPr>
                        <a:xfrm>
                          <a:off x="0" y="0"/>
                          <a:ext cx="3338945" cy="3186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47ABD" w:rsidRPr="00CA4A50" w:rsidRDefault="00747ABD" w:rsidP="004B721D">
                            <w:pPr>
                              <w:ind w:leftChars="-41" w:left="1" w:hangingChars="54" w:hanging="140"/>
                              <w:rPr>
                                <w:sz w:val="24"/>
                                <w:szCs w:val="24"/>
                              </w:rPr>
                            </w:pPr>
                            <w:r w:rsidRPr="00CA4A50">
                              <w:rPr>
                                <w:rFonts w:hint="eastAsia"/>
                                <w:sz w:val="24"/>
                                <w:szCs w:val="24"/>
                              </w:rPr>
                              <w:t>資料來源：</w:t>
                            </w:r>
                            <w:r>
                              <w:rPr>
                                <w:rFonts w:hint="eastAsia"/>
                                <w:sz w:val="24"/>
                                <w:szCs w:val="24"/>
                              </w:rPr>
                              <w:t>經濟部</w:t>
                            </w:r>
                            <w:r w:rsidRPr="00CA4A50">
                              <w:rPr>
                                <w:rFonts w:hint="eastAsia"/>
                                <w:sz w:val="24"/>
                                <w:szCs w:val="24"/>
                              </w:rPr>
                              <w:t>能源局。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F9A080" id="文字方塊 9" o:spid="_x0000_s1034" type="#_x0000_t202" style="position:absolute;left:0;text-align:left;margin-left:71pt;margin-top:131.45pt;width:262.9pt;height:25.1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" fillcolor="white [3201]" stroked="f" strokeweight=".5pt">
                <v:textbox>
                  <w:txbxContent>
                    <w:p w:rsidR="00747ABD" w:rsidRPr="00CA4A50" w:rsidRDefault="00747ABD" w:rsidP="004B721D">
                      <w:pPr>
                        <w:ind w:leftChars="-41" w:left="1" w:hangingChars="54" w:hanging="140"/>
                        <w:rPr>
                          <w:sz w:val="24"/>
                          <w:szCs w:val="24"/>
                        </w:rPr>
                      </w:pPr>
                      <w:r w:rsidRPr="00CA4A50">
                        <w:rPr>
                          <w:rFonts w:hint="eastAsia"/>
                          <w:sz w:val="24"/>
                          <w:szCs w:val="24"/>
                        </w:rPr>
                        <w:t>資料來源：</w:t>
                      </w:r>
                      <w:r>
                        <w:rPr>
                          <w:rFonts w:hint="eastAsia"/>
                          <w:sz w:val="24"/>
                          <w:szCs w:val="24"/>
                        </w:rPr>
                        <w:t>經濟部</w:t>
                      </w:r>
                      <w:r w:rsidRPr="00CA4A50">
                        <w:rPr>
                          <w:rFonts w:hint="eastAsia"/>
                          <w:sz w:val="24"/>
                          <w:szCs w:val="24"/>
                        </w:rPr>
                        <w:t>能源局。</w:t>
                      </w:r>
                    </w:p>
                  </w:txbxContent>
                </v:textbox>
              </v:shape>
            </w:pict>
          </mc:Fallback>
        </mc:AlternateContent>
      </w:r>
      <w:r w:rsidR="00003FF5">
        <w:rPr>
          <w:rFonts w:hint="eastAsia"/>
          <w:noProof/>
        </w:rPr>
        <w:drawing>
          <wp:inline distT="0" distB="0" distL="0" distR="0" wp14:anchorId="7628FB88" wp14:editId="1D4685BF">
            <wp:extent cx="4610100" cy="1940684"/>
            <wp:effectExtent l="0" t="0" r="0" b="254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0FA5A.tmp"/>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621714" cy="1945573"/>
                    </a:xfrm>
                    <a:prstGeom prst="rect">
                      <a:avLst/>
                    </a:prstGeom>
                  </pic:spPr>
                </pic:pic>
              </a:graphicData>
            </a:graphic>
          </wp:inline>
        </w:drawing>
      </w:r>
    </w:p>
    <w:p w:rsidR="00370955" w:rsidRDefault="00370955" w:rsidP="00003FF5">
      <w:pPr>
        <w:ind w:leftChars="400" w:left="1361"/>
      </w:pPr>
    </w:p>
    <w:p w:rsidR="00003FF5" w:rsidRPr="003C5EFA" w:rsidRDefault="00370955" w:rsidP="00370955">
      <w:pPr>
        <w:pStyle w:val="a2"/>
        <w:spacing w:before="0" w:after="0" w:line="240" w:lineRule="auto"/>
        <w:ind w:left="482" w:hanging="482"/>
        <w:jc w:val="center"/>
        <w:rPr>
          <w:b/>
        </w:rPr>
      </w:pPr>
      <w:bookmarkStart w:id="98" w:name="_Toc22216360"/>
      <w:r w:rsidRPr="003C5EFA">
        <w:rPr>
          <w:rFonts w:hint="eastAsia"/>
          <w:b/>
        </w:rPr>
        <w:lastRenderedPageBreak/>
        <w:t>107~114年逐年備用/備轉容量率目標規劃</w:t>
      </w:r>
      <w:bookmarkEnd w:id="98"/>
    </w:p>
    <w:p w:rsidR="00370955" w:rsidRDefault="00CA4A50" w:rsidP="00003FF5">
      <w:pPr>
        <w:ind w:leftChars="400" w:left="1361"/>
      </w:pPr>
      <w:r>
        <w:rPr>
          <w:rFonts w:hint="eastAsia"/>
          <w:noProof/>
        </w:rPr>
        <mc:AlternateContent>
          <mc:Choice Requires="wps">
            <w:drawing>
              <wp:anchor distT="0" distB="0" distL="114300" distR="114300" simplePos="0" relativeHeight="251665408" behindDoc="0" locked="0" layoutInCell="1" allowOverlap="1" wp14:anchorId="3585B53F" wp14:editId="658708F4">
                <wp:simplePos x="0" y="0"/>
                <wp:positionH relativeFrom="column">
                  <wp:posOffset>966470</wp:posOffset>
                </wp:positionH>
                <wp:positionV relativeFrom="paragraph">
                  <wp:posOffset>849630</wp:posOffset>
                </wp:positionV>
                <wp:extent cx="3346450" cy="641350"/>
                <wp:effectExtent l="0" t="0" r="6350" b="6350"/>
                <wp:wrapNone/>
                <wp:docPr id="18" name="文字方塊 18"/>
                <wp:cNvGraphicFramePr/>
                <a:graphic xmlns:a="http://schemas.openxmlformats.org/drawingml/2006/main">
                  <a:graphicData uri="http://schemas.microsoft.com/office/word/2010/wordprocessingShape">
                    <wps:wsp>
                      <wps:cNvSpPr txBox="1"/>
                      <wps:spPr>
                        <a:xfrm>
                          <a:off x="0" y="0"/>
                          <a:ext cx="3346450" cy="641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47ABD" w:rsidRPr="00066347" w:rsidRDefault="00747ABD" w:rsidP="00CA4A50">
                            <w:pPr>
                              <w:rPr>
                                <w:sz w:val="20"/>
                              </w:rPr>
                            </w:pPr>
                            <w:r w:rsidRPr="00066347">
                              <w:rPr>
                                <w:rFonts w:hint="eastAsia"/>
                                <w:sz w:val="20"/>
                              </w:rPr>
                              <w:t>註：淨尖峰供電能力不包括核一廠2部機組。</w:t>
                            </w:r>
                          </w:p>
                          <w:p w:rsidR="00747ABD" w:rsidRPr="00066347" w:rsidRDefault="00747ABD" w:rsidP="00CA4A50">
                            <w:pPr>
                              <w:snapToGrid w:val="0"/>
                              <w:rPr>
                                <w:sz w:val="20"/>
                              </w:rPr>
                            </w:pPr>
                            <w:r w:rsidRPr="00066347">
                              <w:rPr>
                                <w:rFonts w:hint="eastAsia"/>
                                <w:sz w:val="20"/>
                              </w:rPr>
                              <w:t>資料來源：經濟部能源局。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5B53F" id="文字方塊 18" o:spid="_x0000_s1035" type="#_x0000_t202" style="position:absolute;left:0;text-align:left;margin-left:76.1pt;margin-top:66.9pt;width:263.5pt;height:5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" fillcolor="white [3201]" stroked="f" strokeweight=".5pt">
                <v:textbox>
                  <w:txbxContent>
                    <w:p w:rsidR="00747ABD" w:rsidRPr="00066347" w:rsidRDefault="00747ABD" w:rsidP="00CA4A50">
                      <w:pPr>
                        <w:rPr>
                          <w:sz w:val="20"/>
                        </w:rPr>
                      </w:pPr>
                      <w:r w:rsidRPr="00066347">
                        <w:rPr>
                          <w:rFonts w:hint="eastAsia"/>
                          <w:sz w:val="20"/>
                        </w:rPr>
                        <w:t>註：淨尖峰供電能力不包括核一廠2部機組。</w:t>
                      </w:r>
                    </w:p>
                    <w:p w:rsidR="00747ABD" w:rsidRPr="00066347" w:rsidRDefault="00747ABD" w:rsidP="00CA4A50">
                      <w:pPr>
                        <w:snapToGrid w:val="0"/>
                        <w:rPr>
                          <w:sz w:val="20"/>
                        </w:rPr>
                      </w:pPr>
                      <w:r w:rsidRPr="00066347">
                        <w:rPr>
                          <w:rFonts w:hint="eastAsia"/>
                          <w:sz w:val="20"/>
                        </w:rPr>
                        <w:t>資料來源：經濟部能源局。</w:t>
                      </w:r>
                    </w:p>
                  </w:txbxContent>
                </v:textbox>
              </v:shape>
            </w:pict>
          </mc:Fallback>
        </mc:AlternateContent>
      </w:r>
      <w:r w:rsidR="00370955">
        <w:rPr>
          <w:rFonts w:hint="eastAsia"/>
          <w:noProof/>
        </w:rPr>
        <w:drawing>
          <wp:inline distT="0" distB="0" distL="0" distR="0" wp14:anchorId="086F5508" wp14:editId="321DC5F6">
            <wp:extent cx="4743450" cy="1145101"/>
            <wp:effectExtent l="0" t="0" r="0" b="0"/>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0D437.tmp"/>
                    <pic:cNvPicPr/>
                  </pic:nvPicPr>
                  <pic:blipFill>
                    <a:blip r:embed="rId40">
                      <a:extLst>
                        <a:ext uri="{28A0092B-C50C-407E-A947-70E740481C1C}">
                          <a14:useLocalDpi xmlns:a14="http://schemas.microsoft.com/office/drawing/2010/main" val="0"/>
                        </a:ext>
                      </a:extLst>
                    </a:blip>
                    <a:stretch>
                      <a:fillRect/>
                    </a:stretch>
                  </pic:blipFill>
                  <pic:spPr>
                    <a:xfrm>
                      <a:off x="0" y="0"/>
                      <a:ext cx="4770548" cy="1151643"/>
                    </a:xfrm>
                    <a:prstGeom prst="rect">
                      <a:avLst/>
                    </a:prstGeom>
                  </pic:spPr>
                </pic:pic>
              </a:graphicData>
            </a:graphic>
          </wp:inline>
        </w:drawing>
      </w:r>
    </w:p>
    <w:p w:rsidR="00066347" w:rsidRDefault="00066347" w:rsidP="00003FF5">
      <w:pPr>
        <w:ind w:leftChars="400" w:left="1361"/>
      </w:pPr>
    </w:p>
    <w:p w:rsidR="00370955" w:rsidRDefault="009C43B1" w:rsidP="00066347">
      <w:pPr>
        <w:ind w:leftChars="-250" w:left="1361" w:hangingChars="650" w:hanging="2211"/>
      </w:pPr>
      <w:r>
        <w:rPr>
          <w:rFonts w:hint="eastAsia"/>
          <w:noProof/>
        </w:rPr>
        <mc:AlternateContent>
          <mc:Choice Requires="wps">
            <w:drawing>
              <wp:anchor distT="0" distB="0" distL="114300" distR="114300" simplePos="0" relativeHeight="251679744" behindDoc="0" locked="0" layoutInCell="1" allowOverlap="1" wp14:anchorId="3B402EBB" wp14:editId="284D96E6">
                <wp:simplePos x="0" y="0"/>
                <wp:positionH relativeFrom="column">
                  <wp:posOffset>267970</wp:posOffset>
                </wp:positionH>
                <wp:positionV relativeFrom="paragraph">
                  <wp:posOffset>2973705</wp:posOffset>
                </wp:positionV>
                <wp:extent cx="1212850" cy="177800"/>
                <wp:effectExtent l="0" t="0" r="6350" b="0"/>
                <wp:wrapNone/>
                <wp:docPr id="267" name="文字方塊 267"/>
                <wp:cNvGraphicFramePr/>
                <a:graphic xmlns:a="http://schemas.openxmlformats.org/drawingml/2006/main">
                  <a:graphicData uri="http://schemas.microsoft.com/office/word/2010/wordprocessingShape">
                    <wps:wsp>
                      <wps:cNvSpPr txBox="1"/>
                      <wps:spPr>
                        <a:xfrm>
                          <a:off x="0" y="0"/>
                          <a:ext cx="1212850" cy="177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47ABD" w:rsidRDefault="00747A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402EBB" id="文字方塊 267" o:spid="_x0000_s1036" type="#_x0000_t202" style="position:absolute;left:0;text-align:left;margin-left:21.1pt;margin-top:234.15pt;width:95.5pt;height:14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" fillcolor="white [3201]" stroked="f" strokeweight=".5pt">
                <v:textbox>
                  <w:txbxContent>
                    <w:p w:rsidR="00747ABD" w:rsidRDefault="00747ABD"/>
                  </w:txbxContent>
                </v:textbox>
              </v:shape>
            </w:pict>
          </mc:Fallback>
        </mc:AlternateContent>
      </w:r>
      <w:r w:rsidR="00CA4A50">
        <w:rPr>
          <w:rFonts w:hint="eastAsia"/>
          <w:noProof/>
        </w:rPr>
        <mc:AlternateContent>
          <mc:Choice Requires="wps">
            <w:drawing>
              <wp:anchor distT="0" distB="0" distL="114300" distR="114300" simplePos="0" relativeHeight="251668480" behindDoc="0" locked="0" layoutInCell="1" allowOverlap="1" wp14:anchorId="43A2BCA9" wp14:editId="552C87B2">
                <wp:simplePos x="0" y="0"/>
                <wp:positionH relativeFrom="column">
                  <wp:posOffset>1378643</wp:posOffset>
                </wp:positionH>
                <wp:positionV relativeFrom="paragraph">
                  <wp:posOffset>2896120</wp:posOffset>
                </wp:positionV>
                <wp:extent cx="1059872" cy="256309"/>
                <wp:effectExtent l="0" t="0" r="6985" b="0"/>
                <wp:wrapNone/>
                <wp:docPr id="21" name="文字方塊 21"/>
                <wp:cNvGraphicFramePr/>
                <a:graphic xmlns:a="http://schemas.openxmlformats.org/drawingml/2006/main">
                  <a:graphicData uri="http://schemas.microsoft.com/office/word/2010/wordprocessingShape">
                    <wps:wsp>
                      <wps:cNvSpPr txBox="1"/>
                      <wps:spPr>
                        <a:xfrm>
                          <a:off x="0" y="0"/>
                          <a:ext cx="1059872" cy="25630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47ABD" w:rsidRDefault="00747A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A2BCA9" id="文字方塊 21" o:spid="_x0000_s1037" type="#_x0000_t202" style="position:absolute;left:0;text-align:left;margin-left:108.55pt;margin-top:228.05pt;width:83.45pt;height:20.2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" fillcolor="white [3201]" stroked="f" strokeweight=".5pt">
                <v:textbox>
                  <w:txbxContent>
                    <w:p w:rsidR="00747ABD" w:rsidRDefault="00747ABD"/>
                  </w:txbxContent>
                </v:textbox>
              </v:shape>
            </w:pict>
          </mc:Fallback>
        </mc:AlternateContent>
      </w:r>
      <w:r w:rsidR="00370955">
        <w:rPr>
          <w:rFonts w:hint="eastAsia"/>
          <w:noProof/>
        </w:rPr>
        <w:drawing>
          <wp:inline distT="0" distB="0" distL="0" distR="0" wp14:anchorId="285E8B83" wp14:editId="4E1ADDE1">
            <wp:extent cx="6835139" cy="3108960"/>
            <wp:effectExtent l="0" t="0" r="4445" b="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0A829.tmp"/>
                    <pic:cNvPicPr/>
                  </pic:nvPicPr>
                  <pic:blipFill>
                    <a:blip r:embed="rId41">
                      <a:extLst>
                        <a:ext uri="{28A0092B-C50C-407E-A947-70E740481C1C}">
                          <a14:useLocalDpi xmlns:a14="http://schemas.microsoft.com/office/drawing/2010/main" val="0"/>
                        </a:ext>
                      </a:extLst>
                    </a:blip>
                    <a:stretch>
                      <a:fillRect/>
                    </a:stretch>
                  </pic:blipFill>
                  <pic:spPr>
                    <a:xfrm>
                      <a:off x="0" y="0"/>
                      <a:ext cx="6834625" cy="3108726"/>
                    </a:xfrm>
                    <a:prstGeom prst="rect">
                      <a:avLst/>
                    </a:prstGeom>
                  </pic:spPr>
                </pic:pic>
              </a:graphicData>
            </a:graphic>
          </wp:inline>
        </w:drawing>
      </w:r>
    </w:p>
    <w:p w:rsidR="00003FF5" w:rsidRPr="0043645D" w:rsidRDefault="00370955" w:rsidP="002C2BF1">
      <w:pPr>
        <w:pStyle w:val="af6"/>
        <w:numPr>
          <w:ilvl w:val="0"/>
          <w:numId w:val="4"/>
        </w:numPr>
        <w:rPr>
          <w:b/>
        </w:rPr>
      </w:pPr>
      <w:bookmarkStart w:id="99" w:name="_Toc22216442"/>
      <w:r w:rsidRPr="0043645D">
        <w:rPr>
          <w:rFonts w:hint="eastAsia"/>
          <w:b/>
        </w:rPr>
        <w:t>107~114年新增及除役機組時程規劃</w:t>
      </w:r>
      <w:bookmarkEnd w:id="99"/>
    </w:p>
    <w:p w:rsidR="00CA4A50" w:rsidRDefault="009C43B1" w:rsidP="001447C2">
      <w:pPr>
        <w:pStyle w:val="af6"/>
        <w:spacing w:before="0" w:after="0" w:line="240" w:lineRule="auto"/>
        <w:ind w:leftChars="-209" w:hangingChars="296" w:hanging="711"/>
        <w:jc w:val="both"/>
      </w:pPr>
      <w:r w:rsidRPr="00CA4A50">
        <w:rPr>
          <w:rFonts w:hint="eastAsia"/>
          <w:sz w:val="24"/>
          <w:szCs w:val="24"/>
        </w:rPr>
        <w:t>資料來源：</w:t>
      </w:r>
      <w:r>
        <w:rPr>
          <w:rFonts w:hint="eastAsia"/>
          <w:sz w:val="24"/>
          <w:szCs w:val="24"/>
        </w:rPr>
        <w:t>經濟部</w:t>
      </w:r>
      <w:r w:rsidRPr="00CA4A50">
        <w:rPr>
          <w:rFonts w:hint="eastAsia"/>
          <w:sz w:val="24"/>
          <w:szCs w:val="24"/>
        </w:rPr>
        <w:t>。</w:t>
      </w:r>
    </w:p>
    <w:p w:rsidR="00E9303F" w:rsidRDefault="00E9303F" w:rsidP="005D55FF">
      <w:pPr>
        <w:pStyle w:val="3"/>
        <w:ind w:left="1276"/>
      </w:pPr>
      <w:r>
        <w:rPr>
          <w:rFonts w:hint="eastAsia"/>
        </w:rPr>
        <w:t>次查</w:t>
      </w:r>
      <w:r w:rsidR="004B0868">
        <w:rPr>
          <w:rFonts w:hint="eastAsia"/>
        </w:rPr>
        <w:t>全國工業總會2019年白皮書第三章對政府建言，</w:t>
      </w:r>
      <w:r w:rsidR="00A1144D">
        <w:rPr>
          <w:rFonts w:hint="eastAsia"/>
        </w:rPr>
        <w:t>其中，</w:t>
      </w:r>
      <w:r w:rsidR="004B0868">
        <w:rPr>
          <w:rFonts w:hint="eastAsia"/>
        </w:rPr>
        <w:t>議題一：重新檢討國家能源政策第二項載述：「2025年北部尖峰負載將比2017年增加204.6萬</w:t>
      </w:r>
      <w:r w:rsidR="004B0868" w:rsidRPr="004B0868">
        <w:rPr>
          <w:rFonts w:hAnsi="標楷體" w:hint="eastAsia"/>
        </w:rPr>
        <w:t>瓩</w:t>
      </w:r>
      <w:r w:rsidR="004B0868">
        <w:rPr>
          <w:rFonts w:hint="eastAsia"/>
        </w:rPr>
        <w:t>，隨著核一、核二及協和電廠除役，加上停建深澳燃煤電廠，即使有新增加機組（大潭八及九號發電機）商轉供電，北部電力缺口將由2017年的57.3萬</w:t>
      </w:r>
      <w:r w:rsidR="004B0868" w:rsidRPr="004B0868">
        <w:rPr>
          <w:rFonts w:hAnsi="標楷體" w:hint="eastAsia"/>
        </w:rPr>
        <w:t>瓩擴大到288.1萬瓩以上。由中到北如有一電塔倒塌，北部地區將會大停電。」，議題二：檢討北部地區供電失衡問題亦載述「台灣電廠過於集中於大潭、臺中及興達電廠</w:t>
      </w:r>
      <w:r w:rsidR="00F055AE">
        <w:rPr>
          <w:rFonts w:hAnsi="標楷體" w:hint="eastAsia"/>
        </w:rPr>
        <w:t>，且北部區域除面臨核一、核二除役，尚有協和電廠除役及深澳電廠停建</w:t>
      </w:r>
      <w:r w:rsidR="004B0868" w:rsidRPr="004B0868">
        <w:rPr>
          <w:rFonts w:hAnsi="標楷體" w:hint="eastAsia"/>
        </w:rPr>
        <w:t>等問題，未來供電</w:t>
      </w:r>
      <w:r w:rsidR="004B0868" w:rsidRPr="004B0868">
        <w:rPr>
          <w:rFonts w:hAnsi="標楷體" w:hint="eastAsia"/>
        </w:rPr>
        <w:lastRenderedPageBreak/>
        <w:t>將嚴重不足，加上中北部輸電幹線負荷過大，也會影響供電穩定性。以2017年為例，北部供電缺口133億度，雙北用電缺口更達174億度，未來核一、核二除役後，北部地區用電缺口更加擴大。因此，建議政府應及早規劃北部區域的電源供應能力，消除產業界對電力穩定供應的疑慮。」等語可稽。本院</w:t>
      </w:r>
      <w:r w:rsidR="004B0868">
        <w:rPr>
          <w:rFonts w:hAnsi="標楷體" w:hint="eastAsia"/>
        </w:rPr>
        <w:t>為瞭解</w:t>
      </w:r>
      <w:r>
        <w:rPr>
          <w:rFonts w:hint="eastAsia"/>
        </w:rPr>
        <w:t>北部、中部、南部及東部區域用電情形，以108年8月6日14時為例</w:t>
      </w:r>
      <w:r w:rsidR="004B0868">
        <w:rPr>
          <w:rFonts w:hint="eastAsia"/>
        </w:rPr>
        <w:t>（如圖</w:t>
      </w:r>
      <w:r w:rsidR="00BA4D6C">
        <w:rPr>
          <w:rFonts w:hint="eastAsia"/>
        </w:rPr>
        <w:t>1</w:t>
      </w:r>
      <w:r w:rsidR="00D92CBF">
        <w:t>3</w:t>
      </w:r>
      <w:r w:rsidR="004B0868">
        <w:rPr>
          <w:rFonts w:hint="eastAsia"/>
        </w:rPr>
        <w:t>）</w:t>
      </w:r>
      <w:r>
        <w:rPr>
          <w:rFonts w:hint="eastAsia"/>
        </w:rPr>
        <w:t>，</w:t>
      </w:r>
      <w:r w:rsidR="004B0868">
        <w:rPr>
          <w:rFonts w:hint="eastAsia"/>
        </w:rPr>
        <w:t>查知</w:t>
      </w:r>
      <w:r>
        <w:rPr>
          <w:rFonts w:hint="eastAsia"/>
        </w:rPr>
        <w:t>北部用電占40.1%，北部發電僅34.6%，不足約5.6%電力，僅能</w:t>
      </w:r>
      <w:r w:rsidR="004B721D">
        <w:rPr>
          <w:rFonts w:hint="eastAsia"/>
        </w:rPr>
        <w:t>仰賴</w:t>
      </w:r>
      <w:r>
        <w:rPr>
          <w:rFonts w:hint="eastAsia"/>
        </w:rPr>
        <w:t>中（南）電北送</w:t>
      </w:r>
      <w:r w:rsidR="000726C6">
        <w:rPr>
          <w:rFonts w:hint="eastAsia"/>
        </w:rPr>
        <w:t>。</w:t>
      </w:r>
    </w:p>
    <w:p w:rsidR="00E9303F" w:rsidRDefault="00E9303F" w:rsidP="004B721D">
      <w:pPr>
        <w:ind w:leftChars="209" w:left="1361" w:hangingChars="191" w:hanging="650"/>
      </w:pPr>
      <w:r>
        <w:rPr>
          <w:rFonts w:hint="eastAsia"/>
          <w:noProof/>
        </w:rPr>
        <w:drawing>
          <wp:inline distT="0" distB="0" distL="0" distR="0" wp14:anchorId="77BEF0E7" wp14:editId="732CCAE5">
            <wp:extent cx="5092700" cy="3362948"/>
            <wp:effectExtent l="0" t="0" r="0" b="9525"/>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01D12.tmp"/>
                    <pic:cNvPicPr/>
                  </pic:nvPicPr>
                  <pic:blipFill>
                    <a:blip r:embed="rId42">
                      <a:extLst>
                        <a:ext uri="{28A0092B-C50C-407E-A947-70E740481C1C}">
                          <a14:useLocalDpi xmlns:a14="http://schemas.microsoft.com/office/drawing/2010/main" val="0"/>
                        </a:ext>
                      </a:extLst>
                    </a:blip>
                    <a:stretch>
                      <a:fillRect/>
                    </a:stretch>
                  </pic:blipFill>
                  <pic:spPr>
                    <a:xfrm>
                      <a:off x="0" y="0"/>
                      <a:ext cx="5102119" cy="3369168"/>
                    </a:xfrm>
                    <a:prstGeom prst="rect">
                      <a:avLst/>
                    </a:prstGeom>
                  </pic:spPr>
                </pic:pic>
              </a:graphicData>
            </a:graphic>
          </wp:inline>
        </w:drawing>
      </w:r>
    </w:p>
    <w:p w:rsidR="00E9303F" w:rsidRDefault="00E9303F" w:rsidP="002C2BF1">
      <w:pPr>
        <w:pStyle w:val="af6"/>
        <w:numPr>
          <w:ilvl w:val="0"/>
          <w:numId w:val="4"/>
        </w:numPr>
        <w:rPr>
          <w:b/>
        </w:rPr>
      </w:pPr>
      <w:bookmarkStart w:id="100" w:name="_Toc22216443"/>
      <w:r w:rsidRPr="0043645D">
        <w:rPr>
          <w:rFonts w:hint="eastAsia"/>
          <w:b/>
        </w:rPr>
        <w:t>區域用電情形（按北部、中部、南部及東部分列）</w:t>
      </w:r>
      <w:bookmarkEnd w:id="100"/>
    </w:p>
    <w:p w:rsidR="00390100" w:rsidRDefault="00390100" w:rsidP="00390100">
      <w:pPr>
        <w:pStyle w:val="af6"/>
        <w:spacing w:before="0" w:after="0" w:line="240" w:lineRule="auto"/>
        <w:ind w:left="482"/>
        <w:jc w:val="both"/>
        <w:rPr>
          <w:sz w:val="24"/>
          <w:szCs w:val="24"/>
        </w:rPr>
      </w:pPr>
      <w:r w:rsidRPr="00CA4A50">
        <w:rPr>
          <w:rFonts w:hint="eastAsia"/>
          <w:sz w:val="24"/>
          <w:szCs w:val="24"/>
        </w:rPr>
        <w:t>資料來源：</w:t>
      </w:r>
      <w:r>
        <w:rPr>
          <w:rFonts w:hint="eastAsia"/>
          <w:sz w:val="24"/>
          <w:szCs w:val="24"/>
        </w:rPr>
        <w:t>台電公司網站資料</w:t>
      </w:r>
      <w:r w:rsidRPr="00CA4A50">
        <w:rPr>
          <w:rFonts w:hint="eastAsia"/>
          <w:sz w:val="24"/>
          <w:szCs w:val="24"/>
        </w:rPr>
        <w:t>。</w:t>
      </w:r>
    </w:p>
    <w:p w:rsidR="00390100" w:rsidRDefault="00390100" w:rsidP="00390100">
      <w:pPr>
        <w:pStyle w:val="af6"/>
        <w:spacing w:before="0" w:after="0" w:line="240" w:lineRule="auto"/>
        <w:ind w:left="482"/>
        <w:jc w:val="both"/>
        <w:rPr>
          <w:b/>
        </w:rPr>
      </w:pPr>
    </w:p>
    <w:p w:rsidR="000726C6" w:rsidRDefault="005B2832" w:rsidP="005D55FF">
      <w:pPr>
        <w:pStyle w:val="3"/>
        <w:ind w:left="1276"/>
      </w:pPr>
      <w:r>
        <w:rPr>
          <w:rFonts w:hint="eastAsia"/>
        </w:rPr>
        <w:t>再</w:t>
      </w:r>
      <w:r w:rsidR="00A25187">
        <w:rPr>
          <w:rFonts w:hint="eastAsia"/>
        </w:rPr>
        <w:t>查</w:t>
      </w:r>
      <w:r w:rsidR="000726C6">
        <w:rPr>
          <w:rFonts w:hint="eastAsia"/>
        </w:rPr>
        <w:t>108年8月6日台電公司資訊揭露/電力供需資訊/電網供電資訊/電網供電現況網頁</w:t>
      </w:r>
      <w:r w:rsidR="000726C6">
        <w:rPr>
          <w:rStyle w:val="aff0"/>
        </w:rPr>
        <w:footnoteReference w:id="11"/>
      </w:r>
      <w:r w:rsidR="000726C6">
        <w:rPr>
          <w:rFonts w:hint="eastAsia"/>
        </w:rPr>
        <w:t>，揭示北部、中部、南部及東部超高壓變電所主變</w:t>
      </w:r>
      <w:r w:rsidR="001B69F2" w:rsidRPr="001B69F2">
        <w:rPr>
          <w:rFonts w:hint="eastAsia"/>
        </w:rPr>
        <w:t>壓器</w:t>
      </w:r>
      <w:r w:rsidR="000726C6">
        <w:rPr>
          <w:rFonts w:hint="eastAsia"/>
        </w:rPr>
        <w:t>利用率</w:t>
      </w:r>
      <w:r w:rsidR="00A1144D">
        <w:rPr>
          <w:rFonts w:hint="eastAsia"/>
        </w:rPr>
        <w:t>（圖</w:t>
      </w:r>
      <w:r w:rsidR="00BA4D6C">
        <w:rPr>
          <w:rFonts w:hint="eastAsia"/>
        </w:rPr>
        <w:lastRenderedPageBreak/>
        <w:t>1</w:t>
      </w:r>
      <w:r w:rsidR="00D92CBF">
        <w:t>4</w:t>
      </w:r>
      <w:r w:rsidR="00A1144D">
        <w:rPr>
          <w:rFonts w:hint="eastAsia"/>
        </w:rPr>
        <w:t>）</w:t>
      </w:r>
      <w:r w:rsidR="000726C6">
        <w:rPr>
          <w:rFonts w:hint="eastAsia"/>
        </w:rPr>
        <w:t>，其中霧峰</w:t>
      </w:r>
      <w:r w:rsidR="00A25187">
        <w:rPr>
          <w:rFonts w:hint="eastAsia"/>
        </w:rPr>
        <w:t>（圖</w:t>
      </w:r>
      <w:r w:rsidR="00BA4D6C">
        <w:rPr>
          <w:rFonts w:hint="eastAsia"/>
        </w:rPr>
        <w:t>1</w:t>
      </w:r>
      <w:r w:rsidR="00D92CBF">
        <w:t>5</w:t>
      </w:r>
      <w:r w:rsidR="00A25187">
        <w:rPr>
          <w:rFonts w:hint="eastAsia"/>
        </w:rPr>
        <w:t>）</w:t>
      </w:r>
      <w:r w:rsidR="000726C6">
        <w:rPr>
          <w:rFonts w:hint="eastAsia"/>
        </w:rPr>
        <w:t>、彰濱</w:t>
      </w:r>
      <w:r w:rsidR="00A25187">
        <w:rPr>
          <w:rFonts w:hint="eastAsia"/>
        </w:rPr>
        <w:t>（圖</w:t>
      </w:r>
      <w:r w:rsidR="00BA4D6C">
        <w:rPr>
          <w:rFonts w:hint="eastAsia"/>
        </w:rPr>
        <w:t>1</w:t>
      </w:r>
      <w:r w:rsidR="00D92CBF">
        <w:t>6</w:t>
      </w:r>
      <w:r w:rsidR="00A25187">
        <w:rPr>
          <w:rFonts w:hint="eastAsia"/>
        </w:rPr>
        <w:t>）</w:t>
      </w:r>
      <w:r w:rsidR="000726C6">
        <w:rPr>
          <w:rFonts w:hint="eastAsia"/>
        </w:rPr>
        <w:t>、龍崎北</w:t>
      </w:r>
      <w:r w:rsidR="00A25187">
        <w:rPr>
          <w:rFonts w:hint="eastAsia"/>
        </w:rPr>
        <w:t>（圖</w:t>
      </w:r>
      <w:r w:rsidR="00BA4D6C">
        <w:rPr>
          <w:rFonts w:hint="eastAsia"/>
        </w:rPr>
        <w:t>1</w:t>
      </w:r>
      <w:r w:rsidR="00D92CBF">
        <w:t>7</w:t>
      </w:r>
      <w:r w:rsidR="00A25187">
        <w:rPr>
          <w:rFonts w:hint="eastAsia"/>
        </w:rPr>
        <w:t>）及高雄（圖</w:t>
      </w:r>
      <w:r w:rsidR="00D92CBF">
        <w:t>18</w:t>
      </w:r>
      <w:r w:rsidR="00A25187">
        <w:rPr>
          <w:rFonts w:hint="eastAsia"/>
        </w:rPr>
        <w:t>）</w:t>
      </w:r>
      <w:r w:rsidR="000726C6">
        <w:rPr>
          <w:rFonts w:hint="eastAsia"/>
        </w:rPr>
        <w:t>超高壓變電所主</w:t>
      </w:r>
      <w:r w:rsidR="000726C6" w:rsidRPr="001B69F2">
        <w:rPr>
          <w:rFonts w:hint="eastAsia"/>
        </w:rPr>
        <w:t>變</w:t>
      </w:r>
      <w:r w:rsidR="001B69F2" w:rsidRPr="001B69F2">
        <w:rPr>
          <w:rFonts w:hint="eastAsia"/>
        </w:rPr>
        <w:t>壓器</w:t>
      </w:r>
      <w:r w:rsidR="000726C6">
        <w:rPr>
          <w:rFonts w:hint="eastAsia"/>
        </w:rPr>
        <w:t>利用率均有</w:t>
      </w:r>
      <w:r w:rsidR="00A25187">
        <w:rPr>
          <w:rFonts w:hint="eastAsia"/>
        </w:rPr>
        <w:t>高於可靠利用率情形。</w:t>
      </w:r>
    </w:p>
    <w:p w:rsidR="000726C6" w:rsidRDefault="000726C6" w:rsidP="000726C6">
      <w:pPr>
        <w:ind w:leftChars="400" w:left="1361"/>
      </w:pPr>
      <w:r>
        <w:rPr>
          <w:rFonts w:hint="eastAsia"/>
          <w:noProof/>
        </w:rPr>
        <w:drawing>
          <wp:inline distT="0" distB="0" distL="0" distR="0" wp14:anchorId="1870B27F" wp14:editId="367C7CFE">
            <wp:extent cx="5068278" cy="5431608"/>
            <wp:effectExtent l="0" t="0" r="0" b="0"/>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0C1DC.tmp"/>
                    <pic:cNvPicPr/>
                  </pic:nvPicPr>
                  <pic:blipFill>
                    <a:blip r:embed="rId43">
                      <a:extLst>
                        <a:ext uri="{28A0092B-C50C-407E-A947-70E740481C1C}">
                          <a14:useLocalDpi xmlns:a14="http://schemas.microsoft.com/office/drawing/2010/main" val="0"/>
                        </a:ext>
                      </a:extLst>
                    </a:blip>
                    <a:stretch>
                      <a:fillRect/>
                    </a:stretch>
                  </pic:blipFill>
                  <pic:spPr>
                    <a:xfrm>
                      <a:off x="0" y="0"/>
                      <a:ext cx="5070571" cy="5434066"/>
                    </a:xfrm>
                    <a:prstGeom prst="rect">
                      <a:avLst/>
                    </a:prstGeom>
                  </pic:spPr>
                </pic:pic>
              </a:graphicData>
            </a:graphic>
          </wp:inline>
        </w:drawing>
      </w:r>
    </w:p>
    <w:p w:rsidR="000726C6" w:rsidRPr="001447C2" w:rsidRDefault="000726C6" w:rsidP="002C2BF1">
      <w:pPr>
        <w:pStyle w:val="af6"/>
        <w:widowControl/>
        <w:numPr>
          <w:ilvl w:val="0"/>
          <w:numId w:val="4"/>
        </w:numPr>
        <w:overflowPunct/>
        <w:autoSpaceDE/>
        <w:autoSpaceDN/>
        <w:spacing w:before="0" w:after="0"/>
        <w:ind w:left="482" w:hanging="482"/>
        <w:rPr>
          <w:rFonts w:hAnsi="Arial"/>
          <w:kern w:val="32"/>
          <w:szCs w:val="36"/>
        </w:rPr>
      </w:pPr>
      <w:bookmarkStart w:id="101" w:name="_Toc22216444"/>
      <w:r w:rsidRPr="0043645D">
        <w:rPr>
          <w:rFonts w:hint="eastAsia"/>
          <w:b/>
        </w:rPr>
        <w:t>超高壓變電所主變</w:t>
      </w:r>
      <w:r w:rsidR="00BD59E0" w:rsidRPr="00BD59E0">
        <w:rPr>
          <w:rFonts w:hint="eastAsia"/>
          <w:b/>
        </w:rPr>
        <w:t>壓器</w:t>
      </w:r>
      <w:r w:rsidRPr="0043645D">
        <w:rPr>
          <w:rFonts w:hint="eastAsia"/>
          <w:b/>
        </w:rPr>
        <w:t>利用率</w:t>
      </w:r>
      <w:bookmarkEnd w:id="101"/>
    </w:p>
    <w:p w:rsidR="001447C2" w:rsidRDefault="001447C2" w:rsidP="001447C2">
      <w:pPr>
        <w:pStyle w:val="af6"/>
        <w:spacing w:before="0" w:after="0" w:line="240" w:lineRule="auto"/>
        <w:ind w:left="482" w:firstLineChars="449" w:firstLine="1078"/>
        <w:jc w:val="both"/>
        <w:rPr>
          <w:b/>
        </w:rPr>
      </w:pPr>
      <w:r w:rsidRPr="00CA4A50">
        <w:rPr>
          <w:rFonts w:hint="eastAsia"/>
          <w:sz w:val="24"/>
          <w:szCs w:val="24"/>
        </w:rPr>
        <w:t>資料來源：</w:t>
      </w:r>
      <w:r>
        <w:rPr>
          <w:rFonts w:hint="eastAsia"/>
          <w:sz w:val="24"/>
          <w:szCs w:val="24"/>
        </w:rPr>
        <w:t>台電公司網站資料</w:t>
      </w:r>
      <w:r w:rsidRPr="00CA4A50">
        <w:rPr>
          <w:rFonts w:hint="eastAsia"/>
          <w:sz w:val="24"/>
          <w:szCs w:val="24"/>
        </w:rPr>
        <w:t>。</w:t>
      </w:r>
    </w:p>
    <w:p w:rsidR="001447C2" w:rsidRPr="001447C2" w:rsidRDefault="001447C2" w:rsidP="001447C2">
      <w:pPr>
        <w:pStyle w:val="af6"/>
        <w:widowControl/>
        <w:overflowPunct/>
        <w:autoSpaceDE/>
        <w:autoSpaceDN/>
        <w:ind w:left="480"/>
        <w:jc w:val="both"/>
        <w:rPr>
          <w:rFonts w:hAnsi="Arial"/>
          <w:kern w:val="32"/>
          <w:szCs w:val="36"/>
        </w:rPr>
      </w:pPr>
    </w:p>
    <w:p w:rsidR="001447C2" w:rsidRPr="0043645D" w:rsidRDefault="001447C2" w:rsidP="001447C2">
      <w:pPr>
        <w:pStyle w:val="af6"/>
        <w:widowControl/>
        <w:overflowPunct/>
        <w:autoSpaceDE/>
        <w:autoSpaceDN/>
        <w:ind w:left="480"/>
        <w:jc w:val="both"/>
        <w:rPr>
          <w:rFonts w:hAnsi="Arial"/>
          <w:kern w:val="32"/>
          <w:szCs w:val="36"/>
        </w:rPr>
      </w:pPr>
    </w:p>
    <w:p w:rsidR="000726C6" w:rsidRDefault="000726C6" w:rsidP="000726C6">
      <w:pPr>
        <w:ind w:leftChars="400" w:left="1361"/>
      </w:pPr>
      <w:r>
        <w:rPr>
          <w:rFonts w:hint="eastAsia"/>
          <w:noProof/>
        </w:rPr>
        <w:lastRenderedPageBreak/>
        <w:drawing>
          <wp:inline distT="0" distB="0" distL="0" distR="0" wp14:anchorId="60D3E15B" wp14:editId="3B794C08">
            <wp:extent cx="4832536" cy="3418948"/>
            <wp:effectExtent l="0" t="0" r="6350" b="0"/>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0A82A.tmp"/>
                    <pic:cNvPicPr/>
                  </pic:nvPicPr>
                  <pic:blipFill>
                    <a:blip r:embed="rId44">
                      <a:extLst>
                        <a:ext uri="{28A0092B-C50C-407E-A947-70E740481C1C}">
                          <a14:useLocalDpi xmlns:a14="http://schemas.microsoft.com/office/drawing/2010/main" val="0"/>
                        </a:ext>
                      </a:extLst>
                    </a:blip>
                    <a:stretch>
                      <a:fillRect/>
                    </a:stretch>
                  </pic:blipFill>
                  <pic:spPr>
                    <a:xfrm>
                      <a:off x="0" y="0"/>
                      <a:ext cx="4834723" cy="3420495"/>
                    </a:xfrm>
                    <a:prstGeom prst="rect">
                      <a:avLst/>
                    </a:prstGeom>
                  </pic:spPr>
                </pic:pic>
              </a:graphicData>
            </a:graphic>
          </wp:inline>
        </w:drawing>
      </w:r>
    </w:p>
    <w:p w:rsidR="000726C6" w:rsidRPr="0043645D" w:rsidRDefault="000726C6" w:rsidP="002C2BF1">
      <w:pPr>
        <w:pStyle w:val="af6"/>
        <w:numPr>
          <w:ilvl w:val="0"/>
          <w:numId w:val="4"/>
        </w:numPr>
        <w:rPr>
          <w:b/>
        </w:rPr>
      </w:pPr>
      <w:bookmarkStart w:id="102" w:name="_Toc22216445"/>
      <w:r w:rsidRPr="0043645D">
        <w:rPr>
          <w:rFonts w:hint="eastAsia"/>
          <w:b/>
        </w:rPr>
        <w:t>霧峰超高壓主變</w:t>
      </w:r>
      <w:r w:rsidR="00BD59E0" w:rsidRPr="00BD59E0">
        <w:rPr>
          <w:rFonts w:hint="eastAsia"/>
          <w:b/>
        </w:rPr>
        <w:t>壓器</w:t>
      </w:r>
      <w:r w:rsidRPr="0043645D">
        <w:rPr>
          <w:rFonts w:hint="eastAsia"/>
          <w:b/>
        </w:rPr>
        <w:t>利用率</w:t>
      </w:r>
      <w:bookmarkEnd w:id="102"/>
    </w:p>
    <w:p w:rsidR="001447C2" w:rsidRDefault="001447C2" w:rsidP="001447C2">
      <w:pPr>
        <w:pStyle w:val="af6"/>
        <w:ind w:left="480"/>
        <w:jc w:val="both"/>
        <w:rPr>
          <w:b/>
        </w:rPr>
      </w:pPr>
      <w:r w:rsidRPr="00CA4A50">
        <w:rPr>
          <w:rFonts w:hint="eastAsia"/>
          <w:sz w:val="24"/>
          <w:szCs w:val="24"/>
        </w:rPr>
        <w:t>資料來源：</w:t>
      </w:r>
      <w:r>
        <w:rPr>
          <w:rFonts w:hint="eastAsia"/>
          <w:sz w:val="24"/>
          <w:szCs w:val="24"/>
        </w:rPr>
        <w:t>台電公司網站資料</w:t>
      </w:r>
      <w:r w:rsidRPr="00CA4A50">
        <w:rPr>
          <w:rFonts w:hint="eastAsia"/>
          <w:sz w:val="24"/>
          <w:szCs w:val="24"/>
        </w:rPr>
        <w:t>。</w:t>
      </w:r>
    </w:p>
    <w:p w:rsidR="000726C6" w:rsidRDefault="000726C6" w:rsidP="000726C6">
      <w:pPr>
        <w:ind w:leftChars="200" w:left="680"/>
      </w:pPr>
      <w:r>
        <w:rPr>
          <w:rFonts w:hint="eastAsia"/>
          <w:noProof/>
        </w:rPr>
        <w:drawing>
          <wp:inline distT="0" distB="0" distL="0" distR="0" wp14:anchorId="37669EEE" wp14:editId="76EBE9FF">
            <wp:extent cx="5219700" cy="3457372"/>
            <wp:effectExtent l="0" t="0" r="0" b="0"/>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014F2.tmp"/>
                    <pic:cNvPicPr/>
                  </pic:nvPicPr>
                  <pic:blipFill>
                    <a:blip r:embed="rId45">
                      <a:extLst>
                        <a:ext uri="{28A0092B-C50C-407E-A947-70E740481C1C}">
                          <a14:useLocalDpi xmlns:a14="http://schemas.microsoft.com/office/drawing/2010/main" val="0"/>
                        </a:ext>
                      </a:extLst>
                    </a:blip>
                    <a:stretch>
                      <a:fillRect/>
                    </a:stretch>
                  </pic:blipFill>
                  <pic:spPr>
                    <a:xfrm>
                      <a:off x="0" y="0"/>
                      <a:ext cx="5223831" cy="3460109"/>
                    </a:xfrm>
                    <a:prstGeom prst="rect">
                      <a:avLst/>
                    </a:prstGeom>
                  </pic:spPr>
                </pic:pic>
              </a:graphicData>
            </a:graphic>
          </wp:inline>
        </w:drawing>
      </w:r>
    </w:p>
    <w:p w:rsidR="000726C6" w:rsidRPr="0043645D" w:rsidRDefault="002349D8" w:rsidP="002C2BF1">
      <w:pPr>
        <w:pStyle w:val="af6"/>
        <w:numPr>
          <w:ilvl w:val="0"/>
          <w:numId w:val="4"/>
        </w:numPr>
        <w:rPr>
          <w:b/>
        </w:rPr>
      </w:pPr>
      <w:bookmarkStart w:id="103" w:name="_Toc22216446"/>
      <w:r w:rsidRPr="0043645D">
        <w:rPr>
          <w:rFonts w:hint="eastAsia"/>
          <w:b/>
        </w:rPr>
        <w:t>彰濱</w:t>
      </w:r>
      <w:r w:rsidR="000726C6" w:rsidRPr="0043645D">
        <w:rPr>
          <w:rFonts w:hint="eastAsia"/>
          <w:b/>
        </w:rPr>
        <w:t>北超高壓主變</w:t>
      </w:r>
      <w:r w:rsidR="00BD59E0" w:rsidRPr="00BD59E0">
        <w:rPr>
          <w:rFonts w:hint="eastAsia"/>
          <w:b/>
        </w:rPr>
        <w:t>壓器</w:t>
      </w:r>
      <w:r w:rsidR="000726C6" w:rsidRPr="0043645D">
        <w:rPr>
          <w:rFonts w:hint="eastAsia"/>
          <w:b/>
        </w:rPr>
        <w:t>利用率</w:t>
      </w:r>
      <w:bookmarkEnd w:id="103"/>
    </w:p>
    <w:p w:rsidR="001447C2" w:rsidRDefault="001447C2" w:rsidP="001447C2">
      <w:pPr>
        <w:pStyle w:val="af6"/>
        <w:ind w:left="480"/>
        <w:jc w:val="both"/>
        <w:rPr>
          <w:b/>
        </w:rPr>
      </w:pPr>
      <w:r w:rsidRPr="00CA4A50">
        <w:rPr>
          <w:rFonts w:hint="eastAsia"/>
          <w:sz w:val="24"/>
          <w:szCs w:val="24"/>
        </w:rPr>
        <w:t>資料來源：</w:t>
      </w:r>
      <w:r>
        <w:rPr>
          <w:rFonts w:hint="eastAsia"/>
          <w:sz w:val="24"/>
          <w:szCs w:val="24"/>
        </w:rPr>
        <w:t>台電公司網站資料</w:t>
      </w:r>
      <w:r w:rsidRPr="00CA4A50">
        <w:rPr>
          <w:rFonts w:hint="eastAsia"/>
          <w:sz w:val="24"/>
          <w:szCs w:val="24"/>
        </w:rPr>
        <w:t>。</w:t>
      </w:r>
    </w:p>
    <w:p w:rsidR="000726C6" w:rsidRPr="001447C2" w:rsidRDefault="000726C6" w:rsidP="000726C6">
      <w:pPr>
        <w:ind w:leftChars="200" w:left="680"/>
      </w:pPr>
    </w:p>
    <w:p w:rsidR="000726C6" w:rsidRDefault="000726C6" w:rsidP="000726C6">
      <w:pPr>
        <w:ind w:leftChars="400" w:left="1361"/>
      </w:pPr>
      <w:r>
        <w:rPr>
          <w:rFonts w:hint="eastAsia"/>
          <w:noProof/>
        </w:rPr>
        <w:drawing>
          <wp:inline distT="0" distB="0" distL="0" distR="0" wp14:anchorId="537CDE29" wp14:editId="7863B4EA">
            <wp:extent cx="4952230" cy="3139100"/>
            <wp:effectExtent l="0" t="0" r="1270" b="4445"/>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0F531.tmp"/>
                    <pic:cNvPicPr/>
                  </pic:nvPicPr>
                  <pic:blipFill>
                    <a:blip r:embed="rId46">
                      <a:extLst>
                        <a:ext uri="{28A0092B-C50C-407E-A947-70E740481C1C}">
                          <a14:useLocalDpi xmlns:a14="http://schemas.microsoft.com/office/drawing/2010/main" val="0"/>
                        </a:ext>
                      </a:extLst>
                    </a:blip>
                    <a:stretch>
                      <a:fillRect/>
                    </a:stretch>
                  </pic:blipFill>
                  <pic:spPr>
                    <a:xfrm>
                      <a:off x="0" y="0"/>
                      <a:ext cx="4954471" cy="3140520"/>
                    </a:xfrm>
                    <a:prstGeom prst="rect">
                      <a:avLst/>
                    </a:prstGeom>
                  </pic:spPr>
                </pic:pic>
              </a:graphicData>
            </a:graphic>
          </wp:inline>
        </w:drawing>
      </w:r>
    </w:p>
    <w:p w:rsidR="000726C6" w:rsidRPr="0043645D" w:rsidRDefault="000726C6" w:rsidP="002C2BF1">
      <w:pPr>
        <w:pStyle w:val="af6"/>
        <w:numPr>
          <w:ilvl w:val="0"/>
          <w:numId w:val="4"/>
        </w:numPr>
        <w:rPr>
          <w:b/>
        </w:rPr>
      </w:pPr>
      <w:bookmarkStart w:id="104" w:name="_Toc22216447"/>
      <w:r w:rsidRPr="0043645D">
        <w:rPr>
          <w:rFonts w:hint="eastAsia"/>
          <w:b/>
        </w:rPr>
        <w:t>龍崎北超高壓主變</w:t>
      </w:r>
      <w:r w:rsidR="00BD59E0" w:rsidRPr="00BD59E0">
        <w:rPr>
          <w:rFonts w:hint="eastAsia"/>
          <w:b/>
        </w:rPr>
        <w:t>壓器</w:t>
      </w:r>
      <w:r w:rsidRPr="0043645D">
        <w:rPr>
          <w:rFonts w:hint="eastAsia"/>
          <w:b/>
        </w:rPr>
        <w:t>利用率</w:t>
      </w:r>
      <w:bookmarkEnd w:id="104"/>
    </w:p>
    <w:p w:rsidR="001447C2" w:rsidRDefault="001447C2" w:rsidP="001447C2">
      <w:pPr>
        <w:pStyle w:val="af6"/>
        <w:ind w:left="480" w:firstLineChars="390" w:firstLine="937"/>
        <w:jc w:val="both"/>
        <w:rPr>
          <w:b/>
        </w:rPr>
      </w:pPr>
      <w:r w:rsidRPr="00CA4A50">
        <w:rPr>
          <w:rFonts w:hint="eastAsia"/>
          <w:sz w:val="24"/>
          <w:szCs w:val="24"/>
        </w:rPr>
        <w:t>資料來源：</w:t>
      </w:r>
      <w:r>
        <w:rPr>
          <w:rFonts w:hint="eastAsia"/>
          <w:sz w:val="24"/>
          <w:szCs w:val="24"/>
        </w:rPr>
        <w:t>台電公司網站資料</w:t>
      </w:r>
      <w:r w:rsidRPr="00CA4A50">
        <w:rPr>
          <w:rFonts w:hint="eastAsia"/>
          <w:sz w:val="24"/>
          <w:szCs w:val="24"/>
        </w:rPr>
        <w:t>。</w:t>
      </w:r>
    </w:p>
    <w:p w:rsidR="000726C6" w:rsidRDefault="000726C6" w:rsidP="000726C6">
      <w:pPr>
        <w:ind w:leftChars="200" w:left="680"/>
      </w:pPr>
      <w:r>
        <w:rPr>
          <w:rFonts w:hint="eastAsia"/>
          <w:noProof/>
        </w:rPr>
        <w:drawing>
          <wp:inline distT="0" distB="0" distL="0" distR="0" wp14:anchorId="24207609" wp14:editId="0C5D0905">
            <wp:extent cx="5049463" cy="3282950"/>
            <wp:effectExtent l="0" t="0" r="0" b="0"/>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05EED.tmp"/>
                    <pic:cNvPicPr/>
                  </pic:nvPicPr>
                  <pic:blipFill>
                    <a:blip r:embed="rId47">
                      <a:extLst>
                        <a:ext uri="{28A0092B-C50C-407E-A947-70E740481C1C}">
                          <a14:useLocalDpi xmlns:a14="http://schemas.microsoft.com/office/drawing/2010/main" val="0"/>
                        </a:ext>
                      </a:extLst>
                    </a:blip>
                    <a:stretch>
                      <a:fillRect/>
                    </a:stretch>
                  </pic:blipFill>
                  <pic:spPr>
                    <a:xfrm>
                      <a:off x="0" y="0"/>
                      <a:ext cx="5055962" cy="3287176"/>
                    </a:xfrm>
                    <a:prstGeom prst="rect">
                      <a:avLst/>
                    </a:prstGeom>
                  </pic:spPr>
                </pic:pic>
              </a:graphicData>
            </a:graphic>
          </wp:inline>
        </w:drawing>
      </w:r>
    </w:p>
    <w:p w:rsidR="000726C6" w:rsidRPr="0043645D" w:rsidRDefault="00A25187" w:rsidP="002C2BF1">
      <w:pPr>
        <w:pStyle w:val="af6"/>
        <w:numPr>
          <w:ilvl w:val="0"/>
          <w:numId w:val="4"/>
        </w:numPr>
        <w:rPr>
          <w:b/>
        </w:rPr>
      </w:pPr>
      <w:bookmarkStart w:id="105" w:name="_Toc22216448"/>
      <w:r w:rsidRPr="0043645D">
        <w:rPr>
          <w:rFonts w:hint="eastAsia"/>
          <w:b/>
        </w:rPr>
        <w:t>高雄</w:t>
      </w:r>
      <w:r w:rsidR="000726C6" w:rsidRPr="0043645D">
        <w:rPr>
          <w:rFonts w:hint="eastAsia"/>
          <w:b/>
        </w:rPr>
        <w:t>超高壓主變</w:t>
      </w:r>
      <w:r w:rsidR="00BD59E0" w:rsidRPr="00BD59E0">
        <w:rPr>
          <w:rFonts w:hint="eastAsia"/>
          <w:b/>
        </w:rPr>
        <w:t>壓器</w:t>
      </w:r>
      <w:r w:rsidR="000726C6" w:rsidRPr="0043645D">
        <w:rPr>
          <w:rFonts w:hint="eastAsia"/>
          <w:b/>
        </w:rPr>
        <w:t>利用率</w:t>
      </w:r>
      <w:bookmarkEnd w:id="105"/>
    </w:p>
    <w:p w:rsidR="001447C2" w:rsidRDefault="001447C2" w:rsidP="001447C2">
      <w:pPr>
        <w:pStyle w:val="af6"/>
        <w:ind w:left="480" w:firstLineChars="154" w:firstLine="370"/>
        <w:jc w:val="both"/>
        <w:rPr>
          <w:b/>
        </w:rPr>
      </w:pPr>
      <w:r w:rsidRPr="00CA4A50">
        <w:rPr>
          <w:rFonts w:hint="eastAsia"/>
          <w:sz w:val="24"/>
          <w:szCs w:val="24"/>
        </w:rPr>
        <w:t>資料來源：</w:t>
      </w:r>
      <w:r>
        <w:rPr>
          <w:rFonts w:hint="eastAsia"/>
          <w:sz w:val="24"/>
          <w:szCs w:val="24"/>
        </w:rPr>
        <w:t>台電公司網站資料</w:t>
      </w:r>
      <w:r w:rsidRPr="00CA4A50">
        <w:rPr>
          <w:rFonts w:hint="eastAsia"/>
          <w:sz w:val="24"/>
          <w:szCs w:val="24"/>
        </w:rPr>
        <w:t>。</w:t>
      </w:r>
    </w:p>
    <w:p w:rsidR="000726C6" w:rsidRPr="001447C2" w:rsidRDefault="000726C6" w:rsidP="000726C6">
      <w:pPr>
        <w:ind w:leftChars="200" w:left="680"/>
      </w:pPr>
    </w:p>
    <w:p w:rsidR="00370955" w:rsidRDefault="00370955" w:rsidP="005D55FF">
      <w:pPr>
        <w:pStyle w:val="3"/>
        <w:ind w:left="1276"/>
      </w:pPr>
      <w:r>
        <w:rPr>
          <w:rFonts w:hint="eastAsia"/>
        </w:rPr>
        <w:t>惟查</w:t>
      </w:r>
      <w:r w:rsidR="00A25187">
        <w:rPr>
          <w:rFonts w:hint="eastAsia"/>
        </w:rPr>
        <w:t>電網供電現況，</w:t>
      </w:r>
      <w:r w:rsidR="00C72F6B">
        <w:rPr>
          <w:rFonts w:hint="eastAsia"/>
        </w:rPr>
        <w:t>目前</w:t>
      </w:r>
      <w:r w:rsidR="00C72F6B" w:rsidRPr="00C72F6B">
        <w:rPr>
          <w:rFonts w:hint="eastAsia"/>
        </w:rPr>
        <w:t>霧峰（圖1</w:t>
      </w:r>
      <w:r w:rsidR="00D92CBF">
        <w:t>5</w:t>
      </w:r>
      <w:r w:rsidR="00C72F6B" w:rsidRPr="00C72F6B">
        <w:rPr>
          <w:rFonts w:hint="eastAsia"/>
        </w:rPr>
        <w:t>）、彰濱（圖1</w:t>
      </w:r>
      <w:r w:rsidR="00D92CBF">
        <w:t>6</w:t>
      </w:r>
      <w:r w:rsidR="00C72F6B" w:rsidRPr="00C72F6B">
        <w:rPr>
          <w:rFonts w:hint="eastAsia"/>
        </w:rPr>
        <w:t>）、龍崎北（圖</w:t>
      </w:r>
      <w:r w:rsidR="00BA4D6C">
        <w:rPr>
          <w:rFonts w:hint="eastAsia"/>
        </w:rPr>
        <w:t>1</w:t>
      </w:r>
      <w:r w:rsidR="00D92CBF">
        <w:t>7</w:t>
      </w:r>
      <w:r w:rsidR="00C72F6B" w:rsidRPr="00C72F6B">
        <w:rPr>
          <w:rFonts w:hint="eastAsia"/>
        </w:rPr>
        <w:t>）及高雄（圖</w:t>
      </w:r>
      <w:r w:rsidR="00D92CBF">
        <w:t>18</w:t>
      </w:r>
      <w:r w:rsidR="00C72F6B" w:rsidRPr="00C72F6B">
        <w:rPr>
          <w:rFonts w:hint="eastAsia"/>
        </w:rPr>
        <w:t>）超高壓變電所主變</w:t>
      </w:r>
      <w:r w:rsidR="00BD59E0" w:rsidRPr="00BD59E0">
        <w:rPr>
          <w:rFonts w:hint="eastAsia"/>
        </w:rPr>
        <w:t>壓器</w:t>
      </w:r>
      <w:r w:rsidR="00C72F6B" w:rsidRPr="00C72F6B">
        <w:rPr>
          <w:rFonts w:hint="eastAsia"/>
        </w:rPr>
        <w:t>利用率均有高於</w:t>
      </w:r>
      <w:r w:rsidR="00C72F6B">
        <w:rPr>
          <w:rFonts w:hint="eastAsia"/>
        </w:rPr>
        <w:t>「</w:t>
      </w:r>
      <w:r w:rsidR="00C72F6B" w:rsidRPr="00C72F6B">
        <w:rPr>
          <w:rFonts w:hint="eastAsia"/>
        </w:rPr>
        <w:t>可靠利用率</w:t>
      </w:r>
      <w:r w:rsidR="00C72F6B">
        <w:rPr>
          <w:rFonts w:hint="eastAsia"/>
        </w:rPr>
        <w:t>」</w:t>
      </w:r>
      <w:r w:rsidR="00C72F6B" w:rsidRPr="00C72F6B">
        <w:rPr>
          <w:rFonts w:hint="eastAsia"/>
        </w:rPr>
        <w:t>情形</w:t>
      </w:r>
      <w:r w:rsidR="00C72F6B">
        <w:rPr>
          <w:rFonts w:hint="eastAsia"/>
        </w:rPr>
        <w:t>，已如前述。另檢視</w:t>
      </w:r>
      <w:r w:rsidR="00E9303F" w:rsidRPr="00E9303F">
        <w:rPr>
          <w:rFonts w:hint="eastAsia"/>
        </w:rPr>
        <w:t>北部</w:t>
      </w:r>
      <w:r w:rsidR="00E9303F">
        <w:rPr>
          <w:rFonts w:hint="eastAsia"/>
        </w:rPr>
        <w:t>107~114年電源開發及期程規劃，雖陸續增加通霄、大潭、興達、台中、協和</w:t>
      </w:r>
      <w:r w:rsidR="002349D8">
        <w:rPr>
          <w:rFonts w:hint="eastAsia"/>
        </w:rPr>
        <w:t>及</w:t>
      </w:r>
      <w:r w:rsidR="00E9303F">
        <w:rPr>
          <w:rFonts w:hint="eastAsia"/>
        </w:rPr>
        <w:t>嘉惠等燃氣機組，並大幅增加太陽光電、風力發電裝置量，預計2025年之前約有12GW新增燃氣裝置容量，然新增機組及再生能源大部分</w:t>
      </w:r>
      <w:r w:rsidR="00066347">
        <w:rPr>
          <w:rFonts w:hint="eastAsia"/>
        </w:rPr>
        <w:t>位於</w:t>
      </w:r>
      <w:r w:rsidR="00E9303F">
        <w:rPr>
          <w:rFonts w:hint="eastAsia"/>
        </w:rPr>
        <w:t>中、南部，</w:t>
      </w:r>
      <w:r w:rsidR="002349D8" w:rsidRPr="009B0944">
        <w:rPr>
          <w:rFonts w:hint="eastAsia"/>
        </w:rPr>
        <w:t>且</w:t>
      </w:r>
      <w:r w:rsidR="00E9303F" w:rsidRPr="009B0944">
        <w:rPr>
          <w:rFonts w:hint="eastAsia"/>
        </w:rPr>
        <w:t>受再生能源非穩定能源</w:t>
      </w:r>
      <w:r w:rsidR="00066347">
        <w:rPr>
          <w:rFonts w:hint="eastAsia"/>
        </w:rPr>
        <w:t>屬性</w:t>
      </w:r>
      <w:r w:rsidR="00E9303F" w:rsidRPr="009B0944">
        <w:rPr>
          <w:rFonts w:hint="eastAsia"/>
        </w:rPr>
        <w:t>影響，熱待機之火力機組勢必增加，研判上開北部電力不足情形，於110年3月核二#1號機（98.5萬</w:t>
      </w:r>
      <w:r w:rsidR="00E9303F" w:rsidRPr="00A1144D">
        <w:rPr>
          <w:rFonts w:hAnsi="標楷體" w:hint="eastAsia"/>
        </w:rPr>
        <w:t>瓩</w:t>
      </w:r>
      <w:r w:rsidR="00E9303F" w:rsidRPr="009B0944">
        <w:rPr>
          <w:rFonts w:hint="eastAsia"/>
        </w:rPr>
        <w:t>）、112年3月核二#2號機（98.5</w:t>
      </w:r>
      <w:r w:rsidR="002349D8" w:rsidRPr="009B0944">
        <w:rPr>
          <w:rFonts w:hint="eastAsia"/>
        </w:rPr>
        <w:t>萬</w:t>
      </w:r>
      <w:r w:rsidR="002349D8" w:rsidRPr="00A1144D">
        <w:rPr>
          <w:rFonts w:hAnsi="標楷體" w:hint="eastAsia"/>
        </w:rPr>
        <w:t>瓩</w:t>
      </w:r>
      <w:r w:rsidR="00E9303F" w:rsidRPr="009B0944">
        <w:rPr>
          <w:rFonts w:hint="eastAsia"/>
        </w:rPr>
        <w:t>）</w:t>
      </w:r>
      <w:r w:rsidR="00E9303F" w:rsidRPr="00E9303F">
        <w:rPr>
          <w:rFonts w:hint="eastAsia"/>
        </w:rPr>
        <w:t>陸續除役後，</w:t>
      </w:r>
      <w:r w:rsidR="00A1144D">
        <w:rPr>
          <w:rFonts w:hint="eastAsia"/>
        </w:rPr>
        <w:t>縱</w:t>
      </w:r>
      <w:r w:rsidR="00E9303F" w:rsidRPr="00E9303F">
        <w:rPr>
          <w:rFonts w:hint="eastAsia"/>
        </w:rPr>
        <w:t>大潭</w:t>
      </w:r>
      <w:r w:rsidR="00E9303F">
        <w:rPr>
          <w:rFonts w:hint="eastAsia"/>
        </w:rPr>
        <w:t>第8號複循環機組</w:t>
      </w:r>
      <w:r w:rsidR="00E9303F" w:rsidRPr="00E9303F">
        <w:rPr>
          <w:rFonts w:hint="eastAsia"/>
        </w:rPr>
        <w:t>CC#8（110</w:t>
      </w:r>
      <w:r w:rsidR="002349D8">
        <w:rPr>
          <w:rFonts w:hint="eastAsia"/>
        </w:rPr>
        <w:t>萬</w:t>
      </w:r>
      <w:r w:rsidR="002349D8" w:rsidRPr="00A1144D">
        <w:rPr>
          <w:rFonts w:hAnsi="標楷體" w:hint="eastAsia"/>
        </w:rPr>
        <w:t>瓩</w:t>
      </w:r>
      <w:r w:rsidR="00E9303F" w:rsidRPr="00E9303F">
        <w:rPr>
          <w:rFonts w:hint="eastAsia"/>
        </w:rPr>
        <w:t>）、CC#9（110</w:t>
      </w:r>
      <w:r w:rsidR="002349D8">
        <w:rPr>
          <w:rFonts w:hint="eastAsia"/>
        </w:rPr>
        <w:t>萬</w:t>
      </w:r>
      <w:r w:rsidR="002349D8" w:rsidRPr="00A1144D">
        <w:rPr>
          <w:rFonts w:hAnsi="標楷體" w:hint="eastAsia"/>
        </w:rPr>
        <w:t>瓩</w:t>
      </w:r>
      <w:r w:rsidR="00E9303F" w:rsidRPr="00E9303F">
        <w:rPr>
          <w:rFonts w:hint="eastAsia"/>
        </w:rPr>
        <w:t>）</w:t>
      </w:r>
      <w:r w:rsidR="00A1144D">
        <w:rPr>
          <w:rFonts w:hint="eastAsia"/>
        </w:rPr>
        <w:t>如期於</w:t>
      </w:r>
      <w:r w:rsidR="00E9303F" w:rsidRPr="00E9303F">
        <w:rPr>
          <w:rFonts w:hint="eastAsia"/>
        </w:rPr>
        <w:t>111年6月、112年6月併網</w:t>
      </w:r>
      <w:r w:rsidR="00A1144D">
        <w:rPr>
          <w:rFonts w:hint="eastAsia"/>
        </w:rPr>
        <w:t>供電</w:t>
      </w:r>
      <w:r w:rsidR="00E9303F" w:rsidRPr="00E9303F">
        <w:rPr>
          <w:rFonts w:hint="eastAsia"/>
        </w:rPr>
        <w:t>，</w:t>
      </w:r>
      <w:r w:rsidR="00A1144D">
        <w:rPr>
          <w:rFonts w:hint="eastAsia"/>
        </w:rPr>
        <w:t>依工總2019白皮書，</w:t>
      </w:r>
      <w:r w:rsidR="00E9303F" w:rsidRPr="00E9303F">
        <w:rPr>
          <w:rFonts w:hint="eastAsia"/>
        </w:rPr>
        <w:t>北部</w:t>
      </w:r>
      <w:r w:rsidR="00A1144D">
        <w:rPr>
          <w:rFonts w:hint="eastAsia"/>
        </w:rPr>
        <w:t>供電缺口仍將由57.3萬</w:t>
      </w:r>
      <w:r w:rsidR="00A1144D" w:rsidRPr="00A1144D">
        <w:rPr>
          <w:rFonts w:hAnsi="標楷體" w:hint="eastAsia"/>
        </w:rPr>
        <w:t>瓩擴大到288.1萬瓩以上，降低電力系統韌性。</w:t>
      </w:r>
      <w:r w:rsidR="00E9303F">
        <w:rPr>
          <w:rFonts w:hint="eastAsia"/>
        </w:rPr>
        <w:t>況</w:t>
      </w:r>
      <w:r w:rsidR="00C72F6B">
        <w:rPr>
          <w:rFonts w:hint="eastAsia"/>
        </w:rPr>
        <w:t>依台電</w:t>
      </w:r>
      <w:r w:rsidR="00F41282">
        <w:rPr>
          <w:rFonts w:hint="eastAsia"/>
        </w:rPr>
        <w:t>公司</w:t>
      </w:r>
      <w:r w:rsidR="00C72F6B">
        <w:rPr>
          <w:rFonts w:hint="eastAsia"/>
        </w:rPr>
        <w:t>網頁所列，目前仍有電網瓶頸線路</w:t>
      </w:r>
      <w:r w:rsidR="0043645D">
        <w:rPr>
          <w:rFonts w:hint="eastAsia"/>
        </w:rPr>
        <w:t>（</w:t>
      </w:r>
      <w:r w:rsidR="00C72F6B">
        <w:rPr>
          <w:rFonts w:hint="eastAsia"/>
        </w:rPr>
        <w:t>如圖</w:t>
      </w:r>
      <w:r w:rsidR="00D92CBF">
        <w:rPr>
          <w:color w:val="000000" w:themeColor="text1"/>
        </w:rPr>
        <w:t>19</w:t>
      </w:r>
      <w:r w:rsidR="0043645D" w:rsidRPr="00A1144D">
        <w:rPr>
          <w:rFonts w:hint="eastAsia"/>
        </w:rPr>
        <w:t>）</w:t>
      </w:r>
      <w:r w:rsidR="00C72F6B">
        <w:rPr>
          <w:rFonts w:hint="eastAsia"/>
        </w:rPr>
        <w:t>。未來，在再</w:t>
      </w:r>
      <w:r w:rsidR="001B69F2">
        <w:rPr>
          <w:rFonts w:hint="eastAsia"/>
        </w:rPr>
        <w:t>生能源大幅增加，以及電廠集中化影響下，台電公司允宜掌握電力潮流、</w:t>
      </w:r>
      <w:r w:rsidR="00C72F6B">
        <w:rPr>
          <w:rFonts w:hint="eastAsia"/>
        </w:rPr>
        <w:t>電網瓶頸</w:t>
      </w:r>
      <w:r w:rsidR="001B69F2">
        <w:rPr>
          <w:rFonts w:hint="eastAsia"/>
        </w:rPr>
        <w:t>及預估台商因應中美貿易戰回流投資之用電需求增加</w:t>
      </w:r>
      <w:r w:rsidR="00C72F6B">
        <w:rPr>
          <w:rFonts w:hint="eastAsia"/>
        </w:rPr>
        <w:t>，尤應避免</w:t>
      </w:r>
      <w:r w:rsidR="00E9303F">
        <w:rPr>
          <w:rFonts w:hint="eastAsia"/>
        </w:rPr>
        <w:t>引發大規模之限電事件</w:t>
      </w:r>
      <w:r w:rsidR="00066347">
        <w:rPr>
          <w:rFonts w:hint="eastAsia"/>
        </w:rPr>
        <w:t>再度發生</w:t>
      </w:r>
      <w:r w:rsidR="00E9303F">
        <w:rPr>
          <w:rFonts w:hint="eastAsia"/>
        </w:rPr>
        <w:t>。</w:t>
      </w:r>
    </w:p>
    <w:p w:rsidR="006E3BCA" w:rsidRDefault="006E3BCA" w:rsidP="00B5017E">
      <w:pPr>
        <w:pStyle w:val="3"/>
        <w:snapToGrid w:val="0"/>
        <w:spacing w:line="400" w:lineRule="exact"/>
        <w:ind w:left="1275" w:hanging="680"/>
      </w:pPr>
      <w:r>
        <w:rPr>
          <w:rFonts w:hint="eastAsia"/>
        </w:rPr>
        <w:t>末以，</w:t>
      </w:r>
      <w:r w:rsidR="00B5017E">
        <w:rPr>
          <w:rFonts w:hint="eastAsia"/>
        </w:rPr>
        <w:t>台</w:t>
      </w:r>
      <w:r w:rsidRPr="005F7608">
        <w:rPr>
          <w:rFonts w:hint="eastAsia"/>
        </w:rPr>
        <w:t>北市日本工商會本（2019）</w:t>
      </w:r>
      <w:r w:rsidR="00B5017E">
        <w:rPr>
          <w:rFonts w:hint="eastAsia"/>
        </w:rPr>
        <w:t>年</w:t>
      </w:r>
      <w:r w:rsidRPr="005F7608">
        <w:rPr>
          <w:rFonts w:hint="eastAsia"/>
        </w:rPr>
        <w:t>所提白皮書亦指出，</w:t>
      </w:r>
      <w:r>
        <w:rPr>
          <w:rFonts w:hint="eastAsia"/>
        </w:rPr>
        <w:t>要在2025年將台灣能源結構調整為5（天然氣）:3（煤）:2（再生能源）之配比，至少應滿足以下兩要件：1.制定案件開發計畫，且2026年之後也能持續穩定；2.符合產業界的生產能力之國產化要求。且該工商會甚至建議台灣能源局在國安審查委員會審查前提下，現階段應可考慮允許使用中國製船舶（TIV:Turbine Installation Vessel）協助離岸風電之開發。</w:t>
      </w:r>
    </w:p>
    <w:p w:rsidR="00C72F6B" w:rsidRDefault="00C72F6B" w:rsidP="00C72F6B">
      <w:pPr>
        <w:ind w:leftChars="400" w:left="1361"/>
      </w:pPr>
      <w:r>
        <w:rPr>
          <w:rFonts w:hint="eastAsia"/>
          <w:noProof/>
        </w:rPr>
        <w:lastRenderedPageBreak/>
        <w:drawing>
          <wp:inline distT="0" distB="0" distL="0" distR="0" wp14:anchorId="682FBECF" wp14:editId="0AB7FBAC">
            <wp:extent cx="4730530" cy="5446207"/>
            <wp:effectExtent l="0" t="0" r="0" b="2540"/>
            <wp:docPr id="54"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05D69.tmp"/>
                    <pic:cNvPicPr/>
                  </pic:nvPicPr>
                  <pic:blipFill>
                    <a:blip r:embed="rId48">
                      <a:extLst>
                        <a:ext uri="{28A0092B-C50C-407E-A947-70E740481C1C}">
                          <a14:useLocalDpi xmlns:a14="http://schemas.microsoft.com/office/drawing/2010/main" val="0"/>
                        </a:ext>
                      </a:extLst>
                    </a:blip>
                    <a:stretch>
                      <a:fillRect/>
                    </a:stretch>
                  </pic:blipFill>
                  <pic:spPr>
                    <a:xfrm>
                      <a:off x="0" y="0"/>
                      <a:ext cx="4732921" cy="5448960"/>
                    </a:xfrm>
                    <a:prstGeom prst="rect">
                      <a:avLst/>
                    </a:prstGeom>
                  </pic:spPr>
                </pic:pic>
              </a:graphicData>
            </a:graphic>
          </wp:inline>
        </w:drawing>
      </w:r>
    </w:p>
    <w:p w:rsidR="00C72F6B" w:rsidRDefault="00C72F6B" w:rsidP="002C2BF1">
      <w:pPr>
        <w:pStyle w:val="af6"/>
        <w:numPr>
          <w:ilvl w:val="0"/>
          <w:numId w:val="4"/>
        </w:numPr>
        <w:rPr>
          <w:b/>
        </w:rPr>
      </w:pPr>
      <w:bookmarkStart w:id="106" w:name="_Toc22216449"/>
      <w:r w:rsidRPr="001D6D67">
        <w:rPr>
          <w:rFonts w:hint="eastAsia"/>
          <w:b/>
        </w:rPr>
        <w:t>電網瓶頸線路（108年8月6日）</w:t>
      </w:r>
      <w:bookmarkEnd w:id="106"/>
    </w:p>
    <w:p w:rsidR="001447C2" w:rsidRDefault="001447C2" w:rsidP="001447C2">
      <w:pPr>
        <w:pStyle w:val="af6"/>
        <w:spacing w:before="0" w:after="0" w:line="240" w:lineRule="auto"/>
        <w:ind w:left="482" w:firstLineChars="390" w:firstLine="937"/>
        <w:jc w:val="both"/>
        <w:rPr>
          <w:b/>
        </w:rPr>
      </w:pPr>
      <w:r w:rsidRPr="00CA4A50">
        <w:rPr>
          <w:rFonts w:hint="eastAsia"/>
          <w:sz w:val="24"/>
          <w:szCs w:val="24"/>
        </w:rPr>
        <w:t>資料來源：</w:t>
      </w:r>
      <w:r>
        <w:rPr>
          <w:rFonts w:hint="eastAsia"/>
          <w:sz w:val="24"/>
          <w:szCs w:val="24"/>
        </w:rPr>
        <w:t>台電公司網站資料</w:t>
      </w:r>
      <w:r w:rsidRPr="00CA4A50">
        <w:rPr>
          <w:rFonts w:hint="eastAsia"/>
          <w:sz w:val="24"/>
          <w:szCs w:val="24"/>
        </w:rPr>
        <w:t>。</w:t>
      </w:r>
    </w:p>
    <w:p w:rsidR="001447C2" w:rsidRPr="001447C2" w:rsidRDefault="001447C2" w:rsidP="001447C2">
      <w:pPr>
        <w:pStyle w:val="af6"/>
        <w:ind w:left="480"/>
        <w:jc w:val="both"/>
        <w:rPr>
          <w:b/>
        </w:rPr>
      </w:pPr>
    </w:p>
    <w:p w:rsidR="001447C2" w:rsidRDefault="000726C6" w:rsidP="001447C2">
      <w:pPr>
        <w:pStyle w:val="3"/>
        <w:ind w:leftChars="400" w:left="2042"/>
      </w:pPr>
      <w:r>
        <w:rPr>
          <w:rFonts w:hint="eastAsia"/>
        </w:rPr>
        <w:t>綜上，</w:t>
      </w:r>
      <w:r w:rsidR="00A32093">
        <w:rPr>
          <w:rFonts w:hint="eastAsia"/>
        </w:rPr>
        <w:t>全國</w:t>
      </w:r>
      <w:r w:rsidR="00A1144D" w:rsidRPr="00A1144D">
        <w:rPr>
          <w:rFonts w:hint="eastAsia"/>
        </w:rPr>
        <w:t>工</w:t>
      </w:r>
      <w:r w:rsidR="00A32093">
        <w:rPr>
          <w:rFonts w:hint="eastAsia"/>
        </w:rPr>
        <w:t>業</w:t>
      </w:r>
      <w:r w:rsidR="00A1144D" w:rsidRPr="00A1144D">
        <w:rPr>
          <w:rFonts w:hint="eastAsia"/>
        </w:rPr>
        <w:t>總</w:t>
      </w:r>
      <w:r w:rsidR="00A32093">
        <w:rPr>
          <w:rFonts w:hint="eastAsia"/>
        </w:rPr>
        <w:t>會</w:t>
      </w:r>
      <w:r w:rsidR="00A1144D" w:rsidRPr="00A1144D">
        <w:rPr>
          <w:rFonts w:hint="eastAsia"/>
        </w:rPr>
        <w:t>2019白皮書指出，隨著核一、核二及協和電廠除役，加上停建深澳燃煤電廠，即使有新增加機組（大潭八及九號發電機）商轉供電，</w:t>
      </w:r>
      <w:r w:rsidR="00A1144D">
        <w:rPr>
          <w:rFonts w:hint="eastAsia"/>
        </w:rPr>
        <w:t>2025年</w:t>
      </w:r>
      <w:r w:rsidR="00A1144D" w:rsidRPr="00A1144D">
        <w:rPr>
          <w:rFonts w:hint="eastAsia"/>
        </w:rPr>
        <w:t>北部電力缺口將由2017年的57.3萬瓩擴大到288.1萬瓩以上，此一北部區域供電失衡問題，以及電網供電現況，迄今仍有12處電網瓶頸線路及霧峰、彰濱、龍崎</w:t>
      </w:r>
      <w:r w:rsidR="00A1144D" w:rsidRPr="00A1144D">
        <w:rPr>
          <w:rFonts w:hint="eastAsia"/>
        </w:rPr>
        <w:lastRenderedPageBreak/>
        <w:t>北及高雄等超高壓變電所主變</w:t>
      </w:r>
      <w:r w:rsidR="00A1144D">
        <w:rPr>
          <w:rFonts w:hint="eastAsia"/>
        </w:rPr>
        <w:t>壓器</w:t>
      </w:r>
      <w:r w:rsidR="00A1144D" w:rsidRPr="00A1144D">
        <w:rPr>
          <w:rFonts w:hint="eastAsia"/>
        </w:rPr>
        <w:t>利用率高於「可靠利用率」情形，影響供電穩定</w:t>
      </w:r>
      <w:r w:rsidR="006E3BCA">
        <w:rPr>
          <w:rFonts w:hint="eastAsia"/>
        </w:rPr>
        <w:t>；而日本工商會2019白皮書亦直言「對於被要求國產化的部分產品，台灣並不具備依據政府計畫的時間表所必須之生產能力。」，均</w:t>
      </w:r>
      <w:r w:rsidR="009D2FD6" w:rsidRPr="009D2FD6">
        <w:rPr>
          <w:rFonts w:hint="eastAsia"/>
        </w:rPr>
        <w:t>宜</w:t>
      </w:r>
      <w:r w:rsidR="00066347">
        <w:rPr>
          <w:rFonts w:hint="eastAsia"/>
        </w:rPr>
        <w:t>確實</w:t>
      </w:r>
      <w:r w:rsidR="009D2FD6" w:rsidRPr="009D2FD6">
        <w:rPr>
          <w:rFonts w:hint="eastAsia"/>
        </w:rPr>
        <w:t>檢討</w:t>
      </w:r>
      <w:r w:rsidR="00A1144D" w:rsidRPr="00A1144D">
        <w:rPr>
          <w:rFonts w:hint="eastAsia"/>
        </w:rPr>
        <w:t>。</w:t>
      </w:r>
      <w:r w:rsidR="001447C2">
        <w:br w:type="page"/>
      </w:r>
    </w:p>
    <w:p w:rsidR="00E25849" w:rsidRPr="00D66497" w:rsidRDefault="00E25849" w:rsidP="004E05A1">
      <w:pPr>
        <w:pStyle w:val="1"/>
        <w:ind w:left="2380" w:hanging="2380"/>
        <w:rPr>
          <w:b/>
        </w:rPr>
      </w:pPr>
      <w:bookmarkStart w:id="107" w:name="_Toc524895648"/>
      <w:bookmarkStart w:id="108" w:name="_Toc524896194"/>
      <w:bookmarkStart w:id="109" w:name="_Toc524896224"/>
      <w:bookmarkStart w:id="110" w:name="_Toc524902734"/>
      <w:bookmarkStart w:id="111" w:name="_Toc525066148"/>
      <w:bookmarkStart w:id="112" w:name="_Toc525070839"/>
      <w:bookmarkStart w:id="113" w:name="_Toc525938379"/>
      <w:bookmarkStart w:id="114" w:name="_Toc525939227"/>
      <w:bookmarkStart w:id="115" w:name="_Toc525939732"/>
      <w:bookmarkStart w:id="116" w:name="_Toc529218272"/>
      <w:bookmarkStart w:id="117" w:name="_Toc529222689"/>
      <w:bookmarkStart w:id="118" w:name="_Toc529223111"/>
      <w:bookmarkStart w:id="119" w:name="_Toc529223862"/>
      <w:bookmarkStart w:id="120" w:name="_Toc529228265"/>
      <w:bookmarkStart w:id="121" w:name="_Toc2400395"/>
      <w:bookmarkStart w:id="122" w:name="_Toc4316189"/>
      <w:bookmarkStart w:id="123" w:name="_Toc4473330"/>
      <w:bookmarkStart w:id="124" w:name="_Toc69556897"/>
      <w:bookmarkStart w:id="125" w:name="_Toc69556946"/>
      <w:bookmarkStart w:id="126" w:name="_Toc69609820"/>
      <w:bookmarkStart w:id="127" w:name="_Toc70241816"/>
      <w:bookmarkStart w:id="128" w:name="_Toc70242205"/>
      <w:bookmarkStart w:id="129" w:name="_Toc421794875"/>
      <w:bookmarkStart w:id="130" w:name="_Toc422834160"/>
      <w:bookmarkStart w:id="131" w:name="_Toc22636593"/>
      <w:bookmarkEnd w:id="26"/>
      <w:bookmarkEnd w:id="27"/>
      <w:bookmarkEnd w:id="28"/>
      <w:bookmarkEnd w:id="61"/>
      <w:r w:rsidRPr="00D66497">
        <w:rPr>
          <w:rFonts w:hint="eastAsia"/>
          <w:b/>
        </w:rPr>
        <w:lastRenderedPageBreak/>
        <w:t>處理辦法：</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rsidR="00E25849" w:rsidRDefault="002806C0">
      <w:pPr>
        <w:pStyle w:val="2"/>
      </w:pPr>
      <w:bookmarkStart w:id="132" w:name="_Toc524895649"/>
      <w:bookmarkStart w:id="133" w:name="_Toc524896195"/>
      <w:bookmarkStart w:id="134" w:name="_Toc524896225"/>
      <w:bookmarkStart w:id="135" w:name="_Toc2400396"/>
      <w:bookmarkStart w:id="136" w:name="_Toc4316190"/>
      <w:bookmarkStart w:id="137" w:name="_Toc4473331"/>
      <w:bookmarkStart w:id="138" w:name="_Toc69556898"/>
      <w:bookmarkStart w:id="139" w:name="_Toc69556947"/>
      <w:bookmarkStart w:id="140" w:name="_Toc69609821"/>
      <w:bookmarkStart w:id="141" w:name="_Toc70241817"/>
      <w:bookmarkStart w:id="142" w:name="_Toc70242206"/>
      <w:bookmarkStart w:id="143" w:name="_Toc421794877"/>
      <w:bookmarkStart w:id="144" w:name="_Toc421795443"/>
      <w:bookmarkStart w:id="145" w:name="_Toc421796024"/>
      <w:bookmarkStart w:id="146" w:name="_Toc422728959"/>
      <w:bookmarkStart w:id="147" w:name="_Toc422834162"/>
      <w:bookmarkStart w:id="148" w:name="_Toc22636594"/>
      <w:bookmarkStart w:id="149" w:name="_Toc524902735"/>
      <w:bookmarkStart w:id="150" w:name="_Toc525066149"/>
      <w:bookmarkStart w:id="151" w:name="_Toc525070840"/>
      <w:bookmarkStart w:id="152" w:name="_Toc525938380"/>
      <w:bookmarkStart w:id="153" w:name="_Toc525939228"/>
      <w:bookmarkStart w:id="154" w:name="_Toc525939733"/>
      <w:bookmarkStart w:id="155" w:name="_Toc529218273"/>
      <w:bookmarkStart w:id="156" w:name="_Toc529222690"/>
      <w:bookmarkStart w:id="157" w:name="_Toc529223112"/>
      <w:bookmarkStart w:id="158" w:name="_Toc529223863"/>
      <w:bookmarkStart w:id="159" w:name="_Toc529228266"/>
      <w:bookmarkEnd w:id="132"/>
      <w:bookmarkEnd w:id="133"/>
      <w:bookmarkEnd w:id="134"/>
      <w:r>
        <w:t>抄</w:t>
      </w:r>
      <w:r w:rsidR="00E25849">
        <w:rPr>
          <w:rFonts w:hint="eastAsia"/>
        </w:rPr>
        <w:t>調查意見</w:t>
      </w:r>
      <w:r w:rsidR="00C72F6B">
        <w:rPr>
          <w:rFonts w:hint="eastAsia"/>
        </w:rPr>
        <w:t>一至</w:t>
      </w:r>
      <w:r w:rsidR="009A3314">
        <w:rPr>
          <w:rFonts w:hint="eastAsia"/>
        </w:rPr>
        <w:t>八</w:t>
      </w:r>
      <w:r w:rsidR="00E25849">
        <w:rPr>
          <w:rFonts w:hint="eastAsia"/>
        </w:rPr>
        <w:t>，函請</w:t>
      </w:r>
      <w:r w:rsidR="00C72F6B">
        <w:rPr>
          <w:rFonts w:hint="eastAsia"/>
        </w:rPr>
        <w:t>經濟部</w:t>
      </w:r>
      <w:r w:rsidR="00E25849">
        <w:rPr>
          <w:rFonts w:hint="eastAsia"/>
        </w:rPr>
        <w:t>確實檢討改進見復。</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rsidR="00E25849" w:rsidRDefault="002806C0">
      <w:pPr>
        <w:pStyle w:val="2"/>
      </w:pPr>
      <w:bookmarkStart w:id="160" w:name="_Toc2400397"/>
      <w:bookmarkStart w:id="161" w:name="_Toc4316191"/>
      <w:bookmarkStart w:id="162" w:name="_Toc4473332"/>
      <w:bookmarkStart w:id="163" w:name="_Toc69556901"/>
      <w:bookmarkStart w:id="164" w:name="_Toc69556950"/>
      <w:bookmarkStart w:id="165" w:name="_Toc69609824"/>
      <w:bookmarkStart w:id="166" w:name="_Toc70241822"/>
      <w:bookmarkStart w:id="167" w:name="_Toc70242211"/>
      <w:bookmarkStart w:id="168" w:name="_Toc421794881"/>
      <w:bookmarkStart w:id="169" w:name="_Toc421795447"/>
      <w:bookmarkStart w:id="170" w:name="_Toc421796028"/>
      <w:bookmarkStart w:id="171" w:name="_Toc422728963"/>
      <w:bookmarkStart w:id="172" w:name="_Toc422834166"/>
      <w:bookmarkStart w:id="173" w:name="_Toc22636595"/>
      <w:bookmarkEnd w:id="149"/>
      <w:bookmarkEnd w:id="150"/>
      <w:bookmarkEnd w:id="151"/>
      <w:bookmarkEnd w:id="152"/>
      <w:bookmarkEnd w:id="153"/>
      <w:bookmarkEnd w:id="154"/>
      <w:bookmarkEnd w:id="155"/>
      <w:bookmarkEnd w:id="156"/>
      <w:bookmarkEnd w:id="157"/>
      <w:bookmarkEnd w:id="158"/>
      <w:bookmarkEnd w:id="159"/>
      <w:r>
        <w:rPr>
          <w:color w:val="000000"/>
        </w:rPr>
        <w:t>調查報告之案由、調查意見及處理辦法上網公布</w:t>
      </w:r>
      <w:r w:rsidR="00E25849">
        <w:rPr>
          <w:rFonts w:hint="eastAsia"/>
          <w:color w:val="000000"/>
        </w:rPr>
        <w:t>。</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rsidR="00770453" w:rsidRDefault="00770453" w:rsidP="00770453">
      <w:pPr>
        <w:pStyle w:val="a9"/>
        <w:spacing w:beforeLines="50" w:before="228" w:afterLines="100" w:after="457"/>
        <w:ind w:leftChars="1100" w:left="3742"/>
        <w:rPr>
          <w:b w:val="0"/>
          <w:bCs/>
          <w:snapToGrid/>
          <w:spacing w:val="12"/>
          <w:kern w:val="0"/>
          <w:sz w:val="40"/>
        </w:rPr>
      </w:pPr>
    </w:p>
    <w:p w:rsidR="00E25849" w:rsidRDefault="00E25849" w:rsidP="00770453">
      <w:pPr>
        <w:pStyle w:val="a9"/>
        <w:spacing w:beforeLines="50" w:before="228" w:afterLines="100" w:after="457"/>
        <w:ind w:leftChars="1100" w:left="3742"/>
        <w:rPr>
          <w:rFonts w:hint="eastAsia"/>
          <w:b w:val="0"/>
          <w:bCs/>
          <w:snapToGrid/>
          <w:spacing w:val="12"/>
          <w:kern w:val="0"/>
          <w:sz w:val="40"/>
        </w:rPr>
      </w:pPr>
      <w:r>
        <w:rPr>
          <w:rFonts w:hint="eastAsia"/>
          <w:b w:val="0"/>
          <w:bCs/>
          <w:snapToGrid/>
          <w:spacing w:val="12"/>
          <w:kern w:val="0"/>
          <w:sz w:val="40"/>
        </w:rPr>
        <w:t>調查委員：</w:t>
      </w:r>
      <w:r w:rsidR="002806C0">
        <w:rPr>
          <w:b w:val="0"/>
          <w:bCs/>
          <w:snapToGrid/>
          <w:spacing w:val="12"/>
          <w:kern w:val="0"/>
          <w:sz w:val="40"/>
        </w:rPr>
        <w:t>陳小紅</w:t>
      </w:r>
    </w:p>
    <w:p w:rsidR="00770453" w:rsidRDefault="00770453" w:rsidP="00770453">
      <w:pPr>
        <w:pStyle w:val="a9"/>
        <w:spacing w:before="0" w:after="0"/>
        <w:ind w:leftChars="1100" w:left="3742"/>
        <w:rPr>
          <w:rFonts w:ascii="Times New Roman"/>
          <w:b w:val="0"/>
          <w:bCs/>
          <w:snapToGrid/>
          <w:spacing w:val="0"/>
          <w:kern w:val="0"/>
          <w:sz w:val="40"/>
        </w:rPr>
      </w:pPr>
    </w:p>
    <w:p w:rsidR="00E25849" w:rsidRDefault="00E25849">
      <w:pPr>
        <w:pStyle w:val="ae"/>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10</w:t>
      </w:r>
      <w:r w:rsidR="005D71B7">
        <w:rPr>
          <w:rFonts w:hAnsi="標楷體" w:hint="eastAsia"/>
          <w:bCs/>
        </w:rPr>
        <w:t>8</w:t>
      </w:r>
      <w:r>
        <w:rPr>
          <w:rFonts w:hAnsi="標楷體" w:hint="eastAsia"/>
          <w:bCs/>
        </w:rPr>
        <w:t xml:space="preserve">　年</w:t>
      </w:r>
      <w:r w:rsidR="002806C0">
        <w:rPr>
          <w:rFonts w:hAnsi="標楷體" w:hint="eastAsia"/>
          <w:bCs/>
        </w:rPr>
        <w:t xml:space="preserve"> </w:t>
      </w:r>
      <w:r w:rsidR="00704C2B">
        <w:rPr>
          <w:rFonts w:hAnsi="標楷體" w:hint="eastAsia"/>
          <w:bCs/>
        </w:rPr>
        <w:t>11</w:t>
      </w:r>
      <w:r w:rsidR="002806C0">
        <w:rPr>
          <w:rFonts w:hAnsi="標楷體"/>
          <w:bCs/>
        </w:rPr>
        <w:t xml:space="preserve"> </w:t>
      </w:r>
      <w:r>
        <w:rPr>
          <w:rFonts w:hAnsi="標楷體" w:hint="eastAsia"/>
          <w:bCs/>
        </w:rPr>
        <w:t>月</w:t>
      </w:r>
      <w:r w:rsidR="002806C0">
        <w:rPr>
          <w:rFonts w:hAnsi="標楷體" w:hint="eastAsia"/>
          <w:bCs/>
        </w:rPr>
        <w:t xml:space="preserve"> </w:t>
      </w:r>
      <w:r w:rsidR="002806C0">
        <w:rPr>
          <w:rFonts w:hAnsi="標楷體"/>
          <w:bCs/>
        </w:rPr>
        <w:t xml:space="preserve">19 </w:t>
      </w:r>
      <w:r>
        <w:rPr>
          <w:rFonts w:hAnsi="標楷體" w:hint="eastAsia"/>
          <w:bCs/>
        </w:rPr>
        <w:t>日</w:t>
      </w:r>
    </w:p>
    <w:p w:rsidR="00416721" w:rsidRDefault="00416721" w:rsidP="00A07B4B">
      <w:pPr>
        <w:pStyle w:val="af"/>
        <w:kinsoku/>
        <w:autoSpaceDE w:val="0"/>
        <w:spacing w:beforeLines="50" w:before="228"/>
        <w:ind w:left="1020" w:hanging="1020"/>
        <w:rPr>
          <w:bCs/>
        </w:rPr>
      </w:pPr>
    </w:p>
    <w:p w:rsidR="000D30D6" w:rsidRDefault="000D30D6">
      <w:pPr>
        <w:widowControl/>
        <w:overflowPunct/>
        <w:autoSpaceDE/>
        <w:autoSpaceDN/>
        <w:jc w:val="left"/>
        <w:rPr>
          <w:bCs/>
          <w:kern w:val="0"/>
        </w:rPr>
      </w:pPr>
      <w:bookmarkStart w:id="174" w:name="_GoBack"/>
      <w:bookmarkEnd w:id="174"/>
    </w:p>
    <w:sectPr w:rsidR="000D30D6" w:rsidSect="00D92CBF">
      <w:footerReference w:type="default" r:id="rId49"/>
      <w:pgSz w:w="11907" w:h="16840" w:code="9"/>
      <w:pgMar w:top="1418" w:right="1418" w:bottom="1701"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67F3" w:rsidRDefault="009867F3">
      <w:r>
        <w:separator/>
      </w:r>
    </w:p>
  </w:endnote>
  <w:endnote w:type="continuationSeparator" w:id="0">
    <w:p w:rsidR="009867F3" w:rsidRDefault="00986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標楷體U....">
    <w:altName w:val="新細明體"/>
    <w:panose1 w:val="00000000000000000000"/>
    <w:charset w:val="88"/>
    <w:family w:val="roman"/>
    <w:notTrueType/>
    <w:pitch w:val="default"/>
    <w:sig w:usb0="00000001" w:usb1="08080000" w:usb2="00000010" w:usb3="00000000" w:csb0="00100000" w:csb1="00000000"/>
  </w:font>
  <w:font w:name="EUAlbertina">
    <w:altName w:val="新細明體"/>
    <w:panose1 w:val="00000000000000000000"/>
    <w:charset w:val="88"/>
    <w:family w:val="roman"/>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7ABD" w:rsidRDefault="00747ABD">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sidR="00D92CBF">
      <w:rPr>
        <w:rStyle w:val="ab"/>
        <w:noProof/>
        <w:sz w:val="24"/>
      </w:rPr>
      <w:t>47</w:t>
    </w:r>
    <w:r>
      <w:rPr>
        <w:rStyle w:val="ab"/>
        <w:sz w:val="24"/>
      </w:rPr>
      <w:fldChar w:fldCharType="end"/>
    </w:r>
  </w:p>
  <w:p w:rsidR="00747ABD" w:rsidRDefault="00747ABD">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67F3" w:rsidRDefault="009867F3">
      <w:r>
        <w:separator/>
      </w:r>
    </w:p>
  </w:footnote>
  <w:footnote w:type="continuationSeparator" w:id="0">
    <w:p w:rsidR="009867F3" w:rsidRDefault="009867F3">
      <w:r>
        <w:continuationSeparator/>
      </w:r>
    </w:p>
  </w:footnote>
  <w:footnote w:id="1">
    <w:p w:rsidR="00747ABD" w:rsidRPr="0040738F" w:rsidRDefault="00747ABD" w:rsidP="0040738F">
      <w:pPr>
        <w:pStyle w:val="afc"/>
        <w:snapToGrid w:val="0"/>
      </w:pPr>
      <w:r>
        <w:rPr>
          <w:rStyle w:val="aff0"/>
        </w:rPr>
        <w:footnoteRef/>
      </w:r>
      <w:r w:rsidRPr="0040738F">
        <w:rPr>
          <w:rFonts w:ascii="標楷體" w:hAnsi="Times New Roman" w:cs="Times New Roman" w:hint="eastAsia"/>
          <w:color w:val="auto"/>
          <w:sz w:val="20"/>
          <w:szCs w:val="20"/>
        </w:rPr>
        <w:t>不利農業經營區</w:t>
      </w:r>
      <w:r w:rsidRPr="0040738F">
        <w:rPr>
          <w:rFonts w:ascii="標楷體" w:hAnsi="Times New Roman" w:cs="Times New Roman"/>
          <w:color w:val="auto"/>
          <w:sz w:val="20"/>
          <w:szCs w:val="20"/>
        </w:rPr>
        <w:t>2</w:t>
      </w:r>
      <w:r>
        <w:rPr>
          <w:rFonts w:ascii="標楷體" w:hAnsi="Times New Roman" w:cs="Times New Roman" w:hint="eastAsia"/>
          <w:color w:val="auto"/>
          <w:sz w:val="20"/>
          <w:szCs w:val="20"/>
        </w:rPr>
        <w:t>,</w:t>
      </w:r>
      <w:r w:rsidRPr="0040738F">
        <w:rPr>
          <w:rFonts w:ascii="標楷體" w:hAnsi="Times New Roman" w:cs="Times New Roman"/>
          <w:color w:val="auto"/>
          <w:sz w:val="20"/>
          <w:szCs w:val="20"/>
        </w:rPr>
        <w:t>375</w:t>
      </w:r>
      <w:r w:rsidRPr="0040738F">
        <w:rPr>
          <w:rFonts w:ascii="標楷體" w:hAnsi="Times New Roman" w:cs="Times New Roman" w:hint="eastAsia"/>
          <w:color w:val="auto"/>
          <w:sz w:val="20"/>
          <w:szCs w:val="20"/>
        </w:rPr>
        <w:t>公頃、埤塘</w:t>
      </w:r>
      <w:r w:rsidRPr="0040738F">
        <w:rPr>
          <w:rFonts w:ascii="標楷體" w:hAnsi="Times New Roman" w:cs="Times New Roman"/>
          <w:color w:val="auto"/>
          <w:sz w:val="20"/>
          <w:szCs w:val="20"/>
        </w:rPr>
        <w:t>1</w:t>
      </w:r>
      <w:r>
        <w:rPr>
          <w:rFonts w:ascii="標楷體" w:hAnsi="Times New Roman" w:cs="Times New Roman" w:hint="eastAsia"/>
          <w:color w:val="auto"/>
          <w:sz w:val="20"/>
          <w:szCs w:val="20"/>
        </w:rPr>
        <w:t>,</w:t>
      </w:r>
      <w:r w:rsidRPr="0040738F">
        <w:rPr>
          <w:rFonts w:ascii="標楷體" w:hAnsi="Times New Roman" w:cs="Times New Roman"/>
          <w:color w:val="auto"/>
          <w:sz w:val="20"/>
          <w:szCs w:val="20"/>
        </w:rPr>
        <w:t>015</w:t>
      </w:r>
      <w:r w:rsidRPr="0040738F">
        <w:rPr>
          <w:rFonts w:ascii="標楷體" w:hAnsi="Times New Roman" w:cs="Times New Roman" w:hint="eastAsia"/>
          <w:color w:val="auto"/>
          <w:sz w:val="20"/>
          <w:szCs w:val="20"/>
        </w:rPr>
        <w:t>公頃、圳路</w:t>
      </w:r>
      <w:r w:rsidRPr="0040738F">
        <w:rPr>
          <w:rFonts w:ascii="標楷體" w:hAnsi="Times New Roman" w:cs="Times New Roman"/>
          <w:color w:val="auto"/>
          <w:sz w:val="20"/>
          <w:szCs w:val="20"/>
        </w:rPr>
        <w:t>94</w:t>
      </w:r>
      <w:r w:rsidRPr="0040738F">
        <w:rPr>
          <w:rFonts w:ascii="標楷體" w:hAnsi="Times New Roman" w:cs="Times New Roman" w:hint="eastAsia"/>
          <w:color w:val="auto"/>
          <w:sz w:val="20"/>
          <w:szCs w:val="20"/>
        </w:rPr>
        <w:t>公頃及養殖生產區</w:t>
      </w:r>
      <w:r w:rsidRPr="0040738F">
        <w:rPr>
          <w:rFonts w:ascii="標楷體" w:hAnsi="Times New Roman" w:cs="Times New Roman"/>
          <w:color w:val="auto"/>
          <w:sz w:val="20"/>
          <w:szCs w:val="20"/>
        </w:rPr>
        <w:t>13</w:t>
      </w:r>
      <w:r>
        <w:rPr>
          <w:rFonts w:ascii="標楷體" w:hAnsi="Times New Roman" w:cs="Times New Roman" w:hint="eastAsia"/>
          <w:color w:val="auto"/>
          <w:sz w:val="20"/>
          <w:szCs w:val="20"/>
        </w:rPr>
        <w:t>,</w:t>
      </w:r>
      <w:r w:rsidRPr="0040738F">
        <w:rPr>
          <w:rFonts w:ascii="標楷體" w:hAnsi="Times New Roman" w:cs="Times New Roman"/>
          <w:color w:val="auto"/>
          <w:sz w:val="20"/>
          <w:szCs w:val="20"/>
        </w:rPr>
        <w:t>091</w:t>
      </w:r>
      <w:r w:rsidRPr="0040738F">
        <w:rPr>
          <w:rFonts w:ascii="標楷體" w:hAnsi="Times New Roman" w:cs="Times New Roman" w:hint="eastAsia"/>
          <w:color w:val="auto"/>
          <w:sz w:val="20"/>
          <w:szCs w:val="20"/>
        </w:rPr>
        <w:t>公頃，合計</w:t>
      </w:r>
      <w:r w:rsidRPr="0040738F">
        <w:rPr>
          <w:rFonts w:ascii="標楷體" w:hAnsi="Times New Roman" w:cs="Times New Roman"/>
          <w:color w:val="auto"/>
          <w:sz w:val="20"/>
          <w:szCs w:val="20"/>
        </w:rPr>
        <w:t>16</w:t>
      </w:r>
      <w:r w:rsidRPr="0040738F">
        <w:rPr>
          <w:rFonts w:ascii="標楷體" w:hAnsi="Times New Roman" w:cs="Times New Roman" w:hint="eastAsia"/>
          <w:color w:val="auto"/>
          <w:sz w:val="20"/>
          <w:szCs w:val="20"/>
        </w:rPr>
        <w:t>,</w:t>
      </w:r>
      <w:r w:rsidRPr="0040738F">
        <w:rPr>
          <w:rFonts w:ascii="標楷體" w:hAnsi="Times New Roman" w:cs="Times New Roman"/>
          <w:color w:val="auto"/>
          <w:sz w:val="20"/>
          <w:szCs w:val="20"/>
        </w:rPr>
        <w:t>575</w:t>
      </w:r>
      <w:r w:rsidRPr="0040738F">
        <w:rPr>
          <w:rFonts w:ascii="標楷體" w:hAnsi="Times New Roman" w:cs="Times New Roman" w:hint="eastAsia"/>
          <w:color w:val="auto"/>
          <w:sz w:val="20"/>
          <w:szCs w:val="20"/>
        </w:rPr>
        <w:t>公頃。</w:t>
      </w:r>
    </w:p>
  </w:footnote>
  <w:footnote w:id="2">
    <w:p w:rsidR="00747ABD" w:rsidRDefault="00747ABD" w:rsidP="001F1B34">
      <w:pPr>
        <w:pStyle w:val="afe"/>
      </w:pPr>
      <w:r>
        <w:rPr>
          <w:rStyle w:val="aff0"/>
        </w:rPr>
        <w:footnoteRef/>
      </w:r>
      <w:r>
        <w:t xml:space="preserve"> </w:t>
      </w:r>
      <w:r>
        <w:rPr>
          <w:rFonts w:hint="eastAsia"/>
        </w:rPr>
        <w:t>資料來源：經濟部因應公投能源政策檢討立院專案報告，第7頁。</w:t>
      </w:r>
    </w:p>
  </w:footnote>
  <w:footnote w:id="3">
    <w:p w:rsidR="00747ABD" w:rsidRDefault="00747ABD">
      <w:pPr>
        <w:pStyle w:val="afe"/>
      </w:pPr>
      <w:r>
        <w:rPr>
          <w:rStyle w:val="aff0"/>
        </w:rPr>
        <w:footnoteRef/>
      </w:r>
      <w:r>
        <w:t xml:space="preserve"> </w:t>
      </w:r>
      <w:r>
        <w:rPr>
          <w:rFonts w:hint="eastAsia"/>
        </w:rPr>
        <w:t>資料來源：</w:t>
      </w:r>
      <w:r w:rsidRPr="008D2A09">
        <w:rPr>
          <w:rFonts w:hint="eastAsia"/>
        </w:rPr>
        <w:t>能源統計資料查詢系統</w:t>
      </w:r>
      <w:r>
        <w:rPr>
          <w:rFonts w:hint="eastAsia"/>
        </w:rPr>
        <w:t>。</w:t>
      </w:r>
    </w:p>
  </w:footnote>
  <w:footnote w:id="4">
    <w:p w:rsidR="00747ABD" w:rsidRPr="000B0905" w:rsidRDefault="00747ABD">
      <w:pPr>
        <w:pStyle w:val="afe"/>
      </w:pPr>
      <w:r>
        <w:rPr>
          <w:rStyle w:val="aff0"/>
        </w:rPr>
        <w:footnoteRef/>
      </w:r>
      <w:r>
        <w:rPr>
          <w:rFonts w:hint="eastAsia"/>
        </w:rPr>
        <w:t>參表</w:t>
      </w:r>
      <w:r w:rsidR="00201E0D">
        <w:t>6</w:t>
      </w:r>
      <w:r>
        <w:rPr>
          <w:rFonts w:hint="eastAsia"/>
        </w:rPr>
        <w:t>資料。</w:t>
      </w:r>
    </w:p>
  </w:footnote>
  <w:footnote w:id="5">
    <w:p w:rsidR="00747ABD" w:rsidRPr="00F1612C" w:rsidRDefault="00747ABD">
      <w:pPr>
        <w:pStyle w:val="afe"/>
      </w:pPr>
      <w:r>
        <w:rPr>
          <w:rStyle w:val="aff0"/>
        </w:rPr>
        <w:footnoteRef/>
      </w:r>
      <w:r>
        <w:t xml:space="preserve"> </w:t>
      </w:r>
      <w:r>
        <w:rPr>
          <w:rFonts w:hint="eastAsia"/>
        </w:rPr>
        <w:t>詳公開資訊觀測站，上緯投控公司代號：3708。</w:t>
      </w:r>
    </w:p>
  </w:footnote>
  <w:footnote w:id="6">
    <w:p w:rsidR="00747ABD" w:rsidRPr="00BE24A8" w:rsidRDefault="00747ABD" w:rsidP="00136CEF">
      <w:pPr>
        <w:pStyle w:val="afe"/>
        <w:ind w:left="209" w:hangingChars="95" w:hanging="209"/>
      </w:pPr>
      <w:r>
        <w:rPr>
          <w:rStyle w:val="aff0"/>
        </w:rPr>
        <w:footnoteRef/>
      </w:r>
      <w:r>
        <w:t xml:space="preserve"> </w:t>
      </w:r>
      <w:r>
        <w:rPr>
          <w:rFonts w:hint="eastAsia"/>
        </w:rPr>
        <w:t>本案於108年9月27日參訪苗栗外海示範風場時，據上緯董事長室特助提及，因離岸風電投資金額龐大，該公司為利日後營運及資金調度，不得不先處理持股，以有較多資金可靈活運用。另並提及早年即與位於苗栗的「長春石化」熟稔，未來也可能專注於「樹脂生產」業務，投資離岸風電所需葉片，可成為所有風場該組件之供應商。</w:t>
      </w:r>
    </w:p>
  </w:footnote>
  <w:footnote w:id="7">
    <w:p w:rsidR="00747ABD" w:rsidRPr="001949BF" w:rsidRDefault="00747ABD" w:rsidP="001949BF">
      <w:pPr>
        <w:pStyle w:val="afe"/>
        <w:ind w:left="284" w:hangingChars="129" w:hanging="284"/>
      </w:pPr>
      <w:r>
        <w:rPr>
          <w:rStyle w:val="aff0"/>
        </w:rPr>
        <w:footnoteRef/>
      </w:r>
      <w:r>
        <w:t xml:space="preserve"> </w:t>
      </w:r>
      <w:r w:rsidRPr="001949BF">
        <w:rPr>
          <w:rFonts w:hint="eastAsia"/>
        </w:rPr>
        <w:t>108年5月1日修正之「再生能源發展條例」第11條：「</w:t>
      </w:r>
      <w:r>
        <w:rPr>
          <w:rFonts w:hint="eastAsia"/>
        </w:rPr>
        <w:t>（第1項）對於具發展潛力之再生能源發電設備及儲能設備，於技術發展初期階段，中央主管機關得基於示範之目的，於一定期間內，給予相關獎勵。</w:t>
      </w:r>
      <w:r w:rsidRPr="001949BF">
        <w:rPr>
          <w:rFonts w:hint="eastAsia"/>
        </w:rPr>
        <w:t>「</w:t>
      </w:r>
      <w:r>
        <w:rPr>
          <w:rFonts w:hint="eastAsia"/>
        </w:rPr>
        <w:t>（第2項）對於合作社、社區公開募集之公民電廠或設置於原住民族地區之再生能源發電設備及儲能設備，中央主管機關得基於示範之目的，於一定期間內，給予相關獎勵。</w:t>
      </w:r>
      <w:r w:rsidRPr="001949BF">
        <w:rPr>
          <w:rFonts w:hint="eastAsia"/>
        </w:rPr>
        <w:t>「</w:t>
      </w:r>
      <w:r>
        <w:rPr>
          <w:rFonts w:hint="eastAsia"/>
        </w:rPr>
        <w:t>（第3項）前二項示範獎勵辦法由中央主管機關定之。</w:t>
      </w:r>
      <w:r>
        <w:rPr>
          <w:rFonts w:ascii="細明體" w:eastAsia="細明體" w:hAnsi="細明體" w:hint="eastAsia"/>
          <w:sz w:val="23"/>
          <w:szCs w:val="23"/>
        </w:rPr>
        <w:t>」</w:t>
      </w:r>
    </w:p>
  </w:footnote>
  <w:footnote w:id="8">
    <w:p w:rsidR="00747ABD" w:rsidRPr="00607A2D" w:rsidRDefault="00747ABD" w:rsidP="00136CEF">
      <w:pPr>
        <w:pStyle w:val="afe"/>
        <w:ind w:left="181" w:hangingChars="82" w:hanging="181"/>
      </w:pPr>
      <w:r>
        <w:rPr>
          <w:rStyle w:val="aff0"/>
        </w:rPr>
        <w:footnoteRef/>
      </w:r>
      <w:r>
        <w:t xml:space="preserve"> </w:t>
      </w:r>
      <w:r>
        <w:rPr>
          <w:rFonts w:hint="eastAsia"/>
        </w:rPr>
        <w:t>資料來源：</w:t>
      </w:r>
      <w:r w:rsidRPr="00FD59B8">
        <w:t>https://www.geothermal-taiwan.org.tw/Area/page_zone002</w:t>
      </w:r>
      <w:r>
        <w:rPr>
          <w:rFonts w:hint="eastAsia"/>
        </w:rPr>
        <w:t>，經濟部地熱發電資訊網。</w:t>
      </w:r>
    </w:p>
  </w:footnote>
  <w:footnote w:id="9">
    <w:p w:rsidR="00747ABD" w:rsidRDefault="00747ABD">
      <w:pPr>
        <w:pStyle w:val="afe"/>
      </w:pPr>
      <w:r>
        <w:rPr>
          <w:rStyle w:val="aff0"/>
        </w:rPr>
        <w:footnoteRef/>
      </w:r>
      <w:r>
        <w:t xml:space="preserve"> </w:t>
      </w:r>
      <w:r>
        <w:rPr>
          <w:rFonts w:hint="eastAsia"/>
        </w:rPr>
        <w:t>發電方式：地熱流體透過熱交換器加熱工作流體，再以汽化之工作流體推動渦輪機。</w:t>
      </w:r>
    </w:p>
    <w:p w:rsidR="00747ABD" w:rsidRPr="001C3727" w:rsidRDefault="00747ABD">
      <w:pPr>
        <w:pStyle w:val="afe"/>
      </w:pPr>
      <w:r>
        <w:rPr>
          <w:rFonts w:hint="eastAsia"/>
        </w:rPr>
        <w:t xml:space="preserve">  特色：適用性較廣、能源利用率高（有利用熱液）、運轉率較高、渦輪機不發生結垢。</w:t>
      </w:r>
    </w:p>
  </w:footnote>
  <w:footnote w:id="10">
    <w:p w:rsidR="00747ABD" w:rsidRPr="001A1ED9" w:rsidRDefault="00747ABD">
      <w:pPr>
        <w:pStyle w:val="afe"/>
      </w:pPr>
      <w:r>
        <w:rPr>
          <w:rStyle w:val="aff0"/>
        </w:rPr>
        <w:footnoteRef/>
      </w:r>
      <w:r>
        <w:t xml:space="preserve"> </w:t>
      </w:r>
      <w:r>
        <w:rPr>
          <w:rFonts w:hint="eastAsia"/>
        </w:rPr>
        <w:t>網址：</w:t>
      </w:r>
      <w:r w:rsidRPr="00254358">
        <w:t>https://www.geothermal-taiwan.org.tw/#goToC-map</w:t>
      </w:r>
    </w:p>
  </w:footnote>
  <w:footnote w:id="11">
    <w:p w:rsidR="00747ABD" w:rsidRPr="000726C6" w:rsidRDefault="00747ABD">
      <w:pPr>
        <w:pStyle w:val="afe"/>
      </w:pPr>
      <w:r>
        <w:rPr>
          <w:rStyle w:val="aff0"/>
        </w:rPr>
        <w:footnoteRef/>
      </w:r>
      <w:r>
        <w:t xml:space="preserve"> </w:t>
      </w:r>
      <w:r w:rsidRPr="00066347">
        <w:t>https://www.taipower.com.tw/tc/page.aspx?mid=211&amp;cid=2660&amp;cchk=4cd153ea-07b3-412c-aa4b-b9dd9cca7836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6ACCBB2"/>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81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099"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0A46834"/>
    <w:multiLevelType w:val="hybridMultilevel"/>
    <w:tmpl w:val="C0DE8A90"/>
    <w:lvl w:ilvl="0" w:tplc="E418198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EAF1237"/>
    <w:multiLevelType w:val="hybridMultilevel"/>
    <w:tmpl w:val="1480F22A"/>
    <w:lvl w:ilvl="0" w:tplc="82ECFDF2">
      <w:start w:val="1"/>
      <w:numFmt w:val="bullet"/>
      <w:lvlText w:val="•"/>
      <w:lvlJc w:val="left"/>
      <w:pPr>
        <w:ind w:left="480" w:hanging="480"/>
      </w:pPr>
      <w:rPr>
        <w:rFonts w:ascii="Times New Roman"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04241E00"/>
    <w:lvl w:ilvl="0" w:tplc="2BBE94EC">
      <w:start w:val="1"/>
      <w:numFmt w:val="decimal"/>
      <w:pStyle w:val="a2"/>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4FE5C82"/>
    <w:multiLevelType w:val="hybridMultilevel"/>
    <w:tmpl w:val="50DEC8C2"/>
    <w:lvl w:ilvl="0" w:tplc="82ECFDF2">
      <w:start w:val="1"/>
      <w:numFmt w:val="bullet"/>
      <w:lvlText w:val="•"/>
      <w:lvlJc w:val="left"/>
      <w:pPr>
        <w:ind w:left="480" w:hanging="480"/>
      </w:pPr>
      <w:rPr>
        <w:rFonts w:ascii="Times New Roman"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0F97ED9"/>
    <w:multiLevelType w:val="hybridMultilevel"/>
    <w:tmpl w:val="C0DE8A90"/>
    <w:lvl w:ilvl="0" w:tplc="E418198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E5B4F69"/>
    <w:multiLevelType w:val="multilevel"/>
    <w:tmpl w:val="C3DC72E4"/>
    <w:lvl w:ilvl="0">
      <w:start w:val="1"/>
      <w:numFmt w:val="taiwaneseCountingThousand"/>
      <w:pStyle w:val="10"/>
      <w:suff w:val="nothing"/>
      <w:lvlText w:val="%1、"/>
      <w:lvlJc w:val="left"/>
      <w:pPr>
        <w:ind w:left="555"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rPr>
    </w:lvl>
    <w:lvl w:ilvl="1">
      <w:start w:val="1"/>
      <w:numFmt w:val="taiwaneseCountingThousand"/>
      <w:suff w:val="nothing"/>
      <w:lvlText w:val="(%2)"/>
      <w:lvlJc w:val="left"/>
      <w:pPr>
        <w:ind w:left="838"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2">
      <w:start w:val="1"/>
      <w:numFmt w:val="decimal"/>
      <w:pStyle w:val="30"/>
      <w:suff w:val="nothing"/>
      <w:lvlText w:val="%3、"/>
      <w:lvlJc w:val="left"/>
      <w:pPr>
        <w:ind w:left="1122"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rPr>
    </w:lvl>
    <w:lvl w:ilvl="3">
      <w:start w:val="1"/>
      <w:numFmt w:val="decimal"/>
      <w:pStyle w:val="40"/>
      <w:suff w:val="nothing"/>
      <w:lvlText w:val="(%4)"/>
      <w:lvlJc w:val="left"/>
      <w:pPr>
        <w:ind w:left="1405" w:hanging="419"/>
      </w:pPr>
      <w:rPr>
        <w:rFonts w:ascii="Times New Roman" w:eastAsia="標楷體" w:hAnsi="Times New Roman" w:cs="Times New Roman" w:hint="default"/>
        <w:b w:val="0"/>
        <w:i w:val="0"/>
        <w:caps w:val="0"/>
        <w:strike w:val="0"/>
        <w:dstrike w:val="0"/>
        <w:snapToGrid/>
        <w:vanish w:val="0"/>
        <w:color w:val="auto"/>
        <w:spacing w:val="0"/>
        <w:w w:val="100"/>
        <w:kern w:val="28"/>
        <w:position w:val="0"/>
        <w:sz w:val="32"/>
        <w:szCs w:val="32"/>
        <w:u w:val="none"/>
        <w:vertAlign w:val="baseline"/>
        <w:em w:val="none"/>
      </w:rPr>
    </w:lvl>
    <w:lvl w:ilvl="4">
      <w:start w:val="1"/>
      <w:numFmt w:val="decimal"/>
      <w:pStyle w:val="50"/>
      <w:suff w:val="nothing"/>
      <w:lvlText w:val="&lt;%5&gt;"/>
      <w:lvlJc w:val="left"/>
      <w:pPr>
        <w:ind w:left="1689"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5">
      <w:start w:val="1"/>
      <w:numFmt w:val="none"/>
      <w:lvlText w:val="%6"/>
      <w:lvlJc w:val="right"/>
      <w:pPr>
        <w:ind w:left="2889" w:hanging="480"/>
      </w:pPr>
      <w:rPr>
        <w:rFonts w:hint="eastAsia"/>
      </w:rPr>
    </w:lvl>
    <w:lvl w:ilvl="6">
      <w:start w:val="1"/>
      <w:numFmt w:val="none"/>
      <w:lvlText w:val="%7"/>
      <w:lvlJc w:val="left"/>
      <w:pPr>
        <w:ind w:left="3369" w:hanging="480"/>
      </w:pPr>
      <w:rPr>
        <w:rFonts w:hint="eastAsia"/>
      </w:rPr>
    </w:lvl>
    <w:lvl w:ilvl="7">
      <w:start w:val="1"/>
      <w:numFmt w:val="none"/>
      <w:lvlText w:val="%8"/>
      <w:lvlJc w:val="left"/>
      <w:pPr>
        <w:ind w:left="3849" w:hanging="480"/>
      </w:pPr>
      <w:rPr>
        <w:rFonts w:hint="eastAsia"/>
      </w:rPr>
    </w:lvl>
    <w:lvl w:ilvl="8">
      <w:start w:val="1"/>
      <w:numFmt w:val="none"/>
      <w:lvlText w:val="%9"/>
      <w:lvlJc w:val="right"/>
      <w:pPr>
        <w:ind w:left="4329" w:hanging="480"/>
      </w:pPr>
      <w:rPr>
        <w:rFonts w:hint="eastAsia"/>
      </w:rPr>
    </w:lvl>
  </w:abstractNum>
  <w:num w:numId="1">
    <w:abstractNumId w:val="2"/>
  </w:num>
  <w:num w:numId="2">
    <w:abstractNumId w:val="0"/>
  </w:num>
  <w:num w:numId="3">
    <w:abstractNumId w:val="7"/>
  </w:num>
  <w:num w:numId="4">
    <w:abstractNumId w:val="4"/>
  </w:num>
  <w:num w:numId="5">
    <w:abstractNumId w:val="8"/>
  </w:num>
  <w:num w:numId="6">
    <w:abstractNumId w:val="1"/>
  </w:num>
  <w:num w:numId="7">
    <w:abstractNumId w:val="10"/>
  </w:num>
  <w:num w:numId="8">
    <w:abstractNumId w:val="6"/>
  </w:num>
  <w:num w:numId="9">
    <w:abstractNumId w:val="5"/>
  </w:num>
  <w:num w:numId="10">
    <w:abstractNumId w:val="9"/>
  </w:num>
  <w:num w:numId="11">
    <w:abstractNumId w:val="12"/>
  </w:num>
  <w:num w:numId="12">
    <w:abstractNumId w:val="11"/>
  </w:num>
  <w:num w:numId="13">
    <w:abstractNumId w:val="3"/>
  </w:num>
  <w:num w:numId="14">
    <w:abstractNumId w:val="1"/>
  </w:num>
  <w:num w:numId="15">
    <w:abstractNumId w:val="1"/>
  </w:num>
  <w:num w:numId="16">
    <w:abstractNumId w:val="1"/>
  </w:num>
  <w:num w:numId="17">
    <w:abstractNumId w:val="1"/>
  </w:num>
  <w:num w:numId="18">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178"/>
    <w:rsid w:val="00003FF5"/>
    <w:rsid w:val="000042EF"/>
    <w:rsid w:val="000054C5"/>
    <w:rsid w:val="00006961"/>
    <w:rsid w:val="00007237"/>
    <w:rsid w:val="000112BF"/>
    <w:rsid w:val="00012233"/>
    <w:rsid w:val="00012821"/>
    <w:rsid w:val="00014F5A"/>
    <w:rsid w:val="00017318"/>
    <w:rsid w:val="000229AD"/>
    <w:rsid w:val="000230DA"/>
    <w:rsid w:val="00023D6C"/>
    <w:rsid w:val="000246F7"/>
    <w:rsid w:val="00025B76"/>
    <w:rsid w:val="000261C7"/>
    <w:rsid w:val="00026FAF"/>
    <w:rsid w:val="00030F18"/>
    <w:rsid w:val="0003114D"/>
    <w:rsid w:val="00036D76"/>
    <w:rsid w:val="00055E98"/>
    <w:rsid w:val="00057F32"/>
    <w:rsid w:val="00062222"/>
    <w:rsid w:val="00062457"/>
    <w:rsid w:val="00062A25"/>
    <w:rsid w:val="00066347"/>
    <w:rsid w:val="000674D4"/>
    <w:rsid w:val="000726C6"/>
    <w:rsid w:val="00073CB5"/>
    <w:rsid w:val="0007425C"/>
    <w:rsid w:val="00074E9B"/>
    <w:rsid w:val="00077553"/>
    <w:rsid w:val="000851A2"/>
    <w:rsid w:val="0009352E"/>
    <w:rsid w:val="000951B6"/>
    <w:rsid w:val="000956D1"/>
    <w:rsid w:val="00095EA4"/>
    <w:rsid w:val="00096B96"/>
    <w:rsid w:val="000A025A"/>
    <w:rsid w:val="000A037E"/>
    <w:rsid w:val="000A2F3F"/>
    <w:rsid w:val="000B0905"/>
    <w:rsid w:val="000B0B4A"/>
    <w:rsid w:val="000B279A"/>
    <w:rsid w:val="000B2B9A"/>
    <w:rsid w:val="000B5594"/>
    <w:rsid w:val="000B61D2"/>
    <w:rsid w:val="000B6F15"/>
    <w:rsid w:val="000B70A7"/>
    <w:rsid w:val="000B73DD"/>
    <w:rsid w:val="000C495F"/>
    <w:rsid w:val="000C4F50"/>
    <w:rsid w:val="000D24B7"/>
    <w:rsid w:val="000D30D6"/>
    <w:rsid w:val="000D66D9"/>
    <w:rsid w:val="000D6FF2"/>
    <w:rsid w:val="000E6431"/>
    <w:rsid w:val="000F0252"/>
    <w:rsid w:val="000F21A5"/>
    <w:rsid w:val="00102B9F"/>
    <w:rsid w:val="00106FE1"/>
    <w:rsid w:val="00110E4B"/>
    <w:rsid w:val="001117D7"/>
    <w:rsid w:val="00112637"/>
    <w:rsid w:val="00112ABC"/>
    <w:rsid w:val="0012001E"/>
    <w:rsid w:val="00125826"/>
    <w:rsid w:val="00126A55"/>
    <w:rsid w:val="001277FA"/>
    <w:rsid w:val="00133F08"/>
    <w:rsid w:val="001345E6"/>
    <w:rsid w:val="0013604A"/>
    <w:rsid w:val="00136CEF"/>
    <w:rsid w:val="001378B0"/>
    <w:rsid w:val="00142E00"/>
    <w:rsid w:val="001447C2"/>
    <w:rsid w:val="00150098"/>
    <w:rsid w:val="001507E3"/>
    <w:rsid w:val="00150B27"/>
    <w:rsid w:val="00152793"/>
    <w:rsid w:val="00153B7E"/>
    <w:rsid w:val="001545A9"/>
    <w:rsid w:val="0015505A"/>
    <w:rsid w:val="001637C7"/>
    <w:rsid w:val="0016480E"/>
    <w:rsid w:val="001649D1"/>
    <w:rsid w:val="00164BF9"/>
    <w:rsid w:val="00166DC3"/>
    <w:rsid w:val="001706B3"/>
    <w:rsid w:val="00171F83"/>
    <w:rsid w:val="00174297"/>
    <w:rsid w:val="00180E06"/>
    <w:rsid w:val="001817B3"/>
    <w:rsid w:val="00182780"/>
    <w:rsid w:val="00183014"/>
    <w:rsid w:val="00183074"/>
    <w:rsid w:val="00184932"/>
    <w:rsid w:val="001858E0"/>
    <w:rsid w:val="001949BF"/>
    <w:rsid w:val="001959C2"/>
    <w:rsid w:val="00197407"/>
    <w:rsid w:val="001A1ED9"/>
    <w:rsid w:val="001A51E3"/>
    <w:rsid w:val="001A5A13"/>
    <w:rsid w:val="001A77DF"/>
    <w:rsid w:val="001A7968"/>
    <w:rsid w:val="001B2E98"/>
    <w:rsid w:val="001B3483"/>
    <w:rsid w:val="001B3C1E"/>
    <w:rsid w:val="001B4494"/>
    <w:rsid w:val="001B60D1"/>
    <w:rsid w:val="001B69F2"/>
    <w:rsid w:val="001C0D8B"/>
    <w:rsid w:val="001C0DA8"/>
    <w:rsid w:val="001C3727"/>
    <w:rsid w:val="001D4AD7"/>
    <w:rsid w:val="001D594A"/>
    <w:rsid w:val="001D660A"/>
    <w:rsid w:val="001D6D67"/>
    <w:rsid w:val="001D7C4B"/>
    <w:rsid w:val="001E023C"/>
    <w:rsid w:val="001E0D8A"/>
    <w:rsid w:val="001E3C52"/>
    <w:rsid w:val="001E67BA"/>
    <w:rsid w:val="001E74C2"/>
    <w:rsid w:val="001F1B34"/>
    <w:rsid w:val="001F1B5E"/>
    <w:rsid w:val="001F4F82"/>
    <w:rsid w:val="001F5A48"/>
    <w:rsid w:val="001F6260"/>
    <w:rsid w:val="001F76EA"/>
    <w:rsid w:val="00200007"/>
    <w:rsid w:val="002019BE"/>
    <w:rsid w:val="00201E0D"/>
    <w:rsid w:val="002030A5"/>
    <w:rsid w:val="00203131"/>
    <w:rsid w:val="00205B04"/>
    <w:rsid w:val="00212E88"/>
    <w:rsid w:val="00213C9C"/>
    <w:rsid w:val="0022009E"/>
    <w:rsid w:val="002204E0"/>
    <w:rsid w:val="002206EC"/>
    <w:rsid w:val="00223241"/>
    <w:rsid w:val="0022425C"/>
    <w:rsid w:val="002246DE"/>
    <w:rsid w:val="002349D8"/>
    <w:rsid w:val="002350ED"/>
    <w:rsid w:val="002429E2"/>
    <w:rsid w:val="002431AC"/>
    <w:rsid w:val="00243C9F"/>
    <w:rsid w:val="002458D5"/>
    <w:rsid w:val="00250A8A"/>
    <w:rsid w:val="00251EBE"/>
    <w:rsid w:val="00252BC4"/>
    <w:rsid w:val="00252C59"/>
    <w:rsid w:val="00254014"/>
    <w:rsid w:val="00254358"/>
    <w:rsid w:val="00254B39"/>
    <w:rsid w:val="0026504D"/>
    <w:rsid w:val="00271B72"/>
    <w:rsid w:val="00271FC7"/>
    <w:rsid w:val="00273A2F"/>
    <w:rsid w:val="002806C0"/>
    <w:rsid w:val="00280986"/>
    <w:rsid w:val="00281ECE"/>
    <w:rsid w:val="002831C7"/>
    <w:rsid w:val="002840C6"/>
    <w:rsid w:val="00284D8D"/>
    <w:rsid w:val="00287824"/>
    <w:rsid w:val="00291D2F"/>
    <w:rsid w:val="00295174"/>
    <w:rsid w:val="00296172"/>
    <w:rsid w:val="00296B92"/>
    <w:rsid w:val="00297328"/>
    <w:rsid w:val="002A2C22"/>
    <w:rsid w:val="002A44AD"/>
    <w:rsid w:val="002B02EB"/>
    <w:rsid w:val="002B0D84"/>
    <w:rsid w:val="002B2D78"/>
    <w:rsid w:val="002B4DD8"/>
    <w:rsid w:val="002C0602"/>
    <w:rsid w:val="002C158B"/>
    <w:rsid w:val="002C2BF1"/>
    <w:rsid w:val="002C3985"/>
    <w:rsid w:val="002C50E4"/>
    <w:rsid w:val="002D444C"/>
    <w:rsid w:val="002D5C16"/>
    <w:rsid w:val="002E4D11"/>
    <w:rsid w:val="002E7772"/>
    <w:rsid w:val="002F2476"/>
    <w:rsid w:val="002F3DFF"/>
    <w:rsid w:val="002F5E05"/>
    <w:rsid w:val="003019F7"/>
    <w:rsid w:val="003045DE"/>
    <w:rsid w:val="00307A76"/>
    <w:rsid w:val="00307C06"/>
    <w:rsid w:val="003125F3"/>
    <w:rsid w:val="0031455E"/>
    <w:rsid w:val="00315343"/>
    <w:rsid w:val="00315A16"/>
    <w:rsid w:val="00317053"/>
    <w:rsid w:val="0032109C"/>
    <w:rsid w:val="00322B45"/>
    <w:rsid w:val="00323809"/>
    <w:rsid w:val="00323D41"/>
    <w:rsid w:val="00324825"/>
    <w:rsid w:val="00325414"/>
    <w:rsid w:val="003302F1"/>
    <w:rsid w:val="003315F0"/>
    <w:rsid w:val="00337938"/>
    <w:rsid w:val="0034470E"/>
    <w:rsid w:val="00352DB0"/>
    <w:rsid w:val="003531FF"/>
    <w:rsid w:val="00353535"/>
    <w:rsid w:val="00354931"/>
    <w:rsid w:val="00361063"/>
    <w:rsid w:val="00361171"/>
    <w:rsid w:val="00365E51"/>
    <w:rsid w:val="0037094A"/>
    <w:rsid w:val="00370955"/>
    <w:rsid w:val="00370DE0"/>
    <w:rsid w:val="00371ED3"/>
    <w:rsid w:val="00372659"/>
    <w:rsid w:val="00372FFC"/>
    <w:rsid w:val="0037728A"/>
    <w:rsid w:val="003805D4"/>
    <w:rsid w:val="00380B7D"/>
    <w:rsid w:val="00381A99"/>
    <w:rsid w:val="003829C2"/>
    <w:rsid w:val="003830B2"/>
    <w:rsid w:val="00384724"/>
    <w:rsid w:val="003871D1"/>
    <w:rsid w:val="00390100"/>
    <w:rsid w:val="00390105"/>
    <w:rsid w:val="003919B7"/>
    <w:rsid w:val="00391D57"/>
    <w:rsid w:val="0039205E"/>
    <w:rsid w:val="00392292"/>
    <w:rsid w:val="00394250"/>
    <w:rsid w:val="00394F45"/>
    <w:rsid w:val="003A1CBD"/>
    <w:rsid w:val="003A5927"/>
    <w:rsid w:val="003B1017"/>
    <w:rsid w:val="003B1691"/>
    <w:rsid w:val="003B359F"/>
    <w:rsid w:val="003B3C07"/>
    <w:rsid w:val="003B6081"/>
    <w:rsid w:val="003B6775"/>
    <w:rsid w:val="003C1898"/>
    <w:rsid w:val="003C4DE4"/>
    <w:rsid w:val="003C5EFA"/>
    <w:rsid w:val="003C5FE2"/>
    <w:rsid w:val="003D05FB"/>
    <w:rsid w:val="003D1B16"/>
    <w:rsid w:val="003D45BF"/>
    <w:rsid w:val="003D508A"/>
    <w:rsid w:val="003D537F"/>
    <w:rsid w:val="003D7815"/>
    <w:rsid w:val="003D7B75"/>
    <w:rsid w:val="003E0208"/>
    <w:rsid w:val="003E4B57"/>
    <w:rsid w:val="003E4EB1"/>
    <w:rsid w:val="003E6CB9"/>
    <w:rsid w:val="003E72B4"/>
    <w:rsid w:val="003F27DD"/>
    <w:rsid w:val="003F27E1"/>
    <w:rsid w:val="003F437A"/>
    <w:rsid w:val="003F5C2B"/>
    <w:rsid w:val="004005CD"/>
    <w:rsid w:val="00402240"/>
    <w:rsid w:val="004023E9"/>
    <w:rsid w:val="004043B5"/>
    <w:rsid w:val="0040454A"/>
    <w:rsid w:val="0040738F"/>
    <w:rsid w:val="0040795D"/>
    <w:rsid w:val="00410ADC"/>
    <w:rsid w:val="00413F83"/>
    <w:rsid w:val="0041490C"/>
    <w:rsid w:val="00416191"/>
    <w:rsid w:val="00416721"/>
    <w:rsid w:val="0042110B"/>
    <w:rsid w:val="00421EF0"/>
    <w:rsid w:val="004224FA"/>
    <w:rsid w:val="0042374E"/>
    <w:rsid w:val="00423D07"/>
    <w:rsid w:val="00426AFC"/>
    <w:rsid w:val="00427936"/>
    <w:rsid w:val="00427E02"/>
    <w:rsid w:val="00430EE4"/>
    <w:rsid w:val="00431A67"/>
    <w:rsid w:val="00434BBD"/>
    <w:rsid w:val="0043645D"/>
    <w:rsid w:val="00442149"/>
    <w:rsid w:val="0044346F"/>
    <w:rsid w:val="0044508F"/>
    <w:rsid w:val="0044774A"/>
    <w:rsid w:val="00453FF6"/>
    <w:rsid w:val="00460CEB"/>
    <w:rsid w:val="004617B9"/>
    <w:rsid w:val="0046520A"/>
    <w:rsid w:val="004672AB"/>
    <w:rsid w:val="00467F6D"/>
    <w:rsid w:val="004714FE"/>
    <w:rsid w:val="00477BAA"/>
    <w:rsid w:val="00481037"/>
    <w:rsid w:val="00495053"/>
    <w:rsid w:val="004A193B"/>
    <w:rsid w:val="004A1F59"/>
    <w:rsid w:val="004A29BE"/>
    <w:rsid w:val="004A3225"/>
    <w:rsid w:val="004A33EE"/>
    <w:rsid w:val="004A3AA8"/>
    <w:rsid w:val="004A5EAE"/>
    <w:rsid w:val="004B0868"/>
    <w:rsid w:val="004B13C7"/>
    <w:rsid w:val="004B1673"/>
    <w:rsid w:val="004B17F2"/>
    <w:rsid w:val="004B25FA"/>
    <w:rsid w:val="004B3EAA"/>
    <w:rsid w:val="004B721D"/>
    <w:rsid w:val="004B778F"/>
    <w:rsid w:val="004C0609"/>
    <w:rsid w:val="004C605B"/>
    <w:rsid w:val="004C6353"/>
    <w:rsid w:val="004C639F"/>
    <w:rsid w:val="004D141F"/>
    <w:rsid w:val="004D2742"/>
    <w:rsid w:val="004D3364"/>
    <w:rsid w:val="004D6310"/>
    <w:rsid w:val="004E0062"/>
    <w:rsid w:val="004E05A1"/>
    <w:rsid w:val="004E407D"/>
    <w:rsid w:val="004E464A"/>
    <w:rsid w:val="004F280A"/>
    <w:rsid w:val="004F472A"/>
    <w:rsid w:val="004F5E57"/>
    <w:rsid w:val="004F6244"/>
    <w:rsid w:val="004F6710"/>
    <w:rsid w:val="00500C3E"/>
    <w:rsid w:val="00502849"/>
    <w:rsid w:val="00504334"/>
    <w:rsid w:val="0050498D"/>
    <w:rsid w:val="005104D7"/>
    <w:rsid w:val="00510B9E"/>
    <w:rsid w:val="00511006"/>
    <w:rsid w:val="00531E77"/>
    <w:rsid w:val="00536BC2"/>
    <w:rsid w:val="005405E1"/>
    <w:rsid w:val="005424E7"/>
    <w:rsid w:val="005425E1"/>
    <w:rsid w:val="005427C5"/>
    <w:rsid w:val="00542CF6"/>
    <w:rsid w:val="00544244"/>
    <w:rsid w:val="005474C1"/>
    <w:rsid w:val="005476C6"/>
    <w:rsid w:val="00547996"/>
    <w:rsid w:val="00550980"/>
    <w:rsid w:val="00553C03"/>
    <w:rsid w:val="00555B49"/>
    <w:rsid w:val="005577F6"/>
    <w:rsid w:val="0056091A"/>
    <w:rsid w:val="00560DDA"/>
    <w:rsid w:val="00563692"/>
    <w:rsid w:val="00571679"/>
    <w:rsid w:val="00573B1D"/>
    <w:rsid w:val="00574552"/>
    <w:rsid w:val="00584235"/>
    <w:rsid w:val="005844E7"/>
    <w:rsid w:val="005908B8"/>
    <w:rsid w:val="0059512E"/>
    <w:rsid w:val="00596F6E"/>
    <w:rsid w:val="005A3B70"/>
    <w:rsid w:val="005A6DD2"/>
    <w:rsid w:val="005B2832"/>
    <w:rsid w:val="005B72E4"/>
    <w:rsid w:val="005C2EBF"/>
    <w:rsid w:val="005C2FA4"/>
    <w:rsid w:val="005C385D"/>
    <w:rsid w:val="005D3B20"/>
    <w:rsid w:val="005D55FF"/>
    <w:rsid w:val="005D71B7"/>
    <w:rsid w:val="005D71B8"/>
    <w:rsid w:val="005E0110"/>
    <w:rsid w:val="005E4759"/>
    <w:rsid w:val="005E5C68"/>
    <w:rsid w:val="005E65C0"/>
    <w:rsid w:val="005F0390"/>
    <w:rsid w:val="005F0DBB"/>
    <w:rsid w:val="005F5D25"/>
    <w:rsid w:val="005F7608"/>
    <w:rsid w:val="0060728D"/>
    <w:rsid w:val="006072CD"/>
    <w:rsid w:val="00607A2D"/>
    <w:rsid w:val="00612023"/>
    <w:rsid w:val="00614190"/>
    <w:rsid w:val="00622A99"/>
    <w:rsid w:val="00622E67"/>
    <w:rsid w:val="00626B57"/>
    <w:rsid w:val="00626EDC"/>
    <w:rsid w:val="00635A5F"/>
    <w:rsid w:val="006426CF"/>
    <w:rsid w:val="00643FAF"/>
    <w:rsid w:val="006452D3"/>
    <w:rsid w:val="006470EC"/>
    <w:rsid w:val="006473E0"/>
    <w:rsid w:val="006514A3"/>
    <w:rsid w:val="006542D6"/>
    <w:rsid w:val="0065598E"/>
    <w:rsid w:val="00655AF2"/>
    <w:rsid w:val="00655BC5"/>
    <w:rsid w:val="006568BE"/>
    <w:rsid w:val="0066025D"/>
    <w:rsid w:val="0066091A"/>
    <w:rsid w:val="006763B6"/>
    <w:rsid w:val="006773EC"/>
    <w:rsid w:val="00680501"/>
    <w:rsid w:val="00680504"/>
    <w:rsid w:val="00681CD9"/>
    <w:rsid w:val="00682820"/>
    <w:rsid w:val="00683E30"/>
    <w:rsid w:val="00684E48"/>
    <w:rsid w:val="00686387"/>
    <w:rsid w:val="006869D0"/>
    <w:rsid w:val="00686E90"/>
    <w:rsid w:val="00687024"/>
    <w:rsid w:val="0069492E"/>
    <w:rsid w:val="00695E22"/>
    <w:rsid w:val="006A74A6"/>
    <w:rsid w:val="006B7093"/>
    <w:rsid w:val="006B7417"/>
    <w:rsid w:val="006C7C3E"/>
    <w:rsid w:val="006D31F9"/>
    <w:rsid w:val="006D3691"/>
    <w:rsid w:val="006D6E0A"/>
    <w:rsid w:val="006D7B6A"/>
    <w:rsid w:val="006E10C0"/>
    <w:rsid w:val="006E3BCA"/>
    <w:rsid w:val="006E5EF0"/>
    <w:rsid w:val="006E69EF"/>
    <w:rsid w:val="006F20FE"/>
    <w:rsid w:val="006F3563"/>
    <w:rsid w:val="006F42B9"/>
    <w:rsid w:val="006F6103"/>
    <w:rsid w:val="006F78FC"/>
    <w:rsid w:val="00704C2B"/>
    <w:rsid w:val="00704E00"/>
    <w:rsid w:val="0070691D"/>
    <w:rsid w:val="007126B3"/>
    <w:rsid w:val="007209E7"/>
    <w:rsid w:val="0072175B"/>
    <w:rsid w:val="00726182"/>
    <w:rsid w:val="00727635"/>
    <w:rsid w:val="007314E9"/>
    <w:rsid w:val="00732329"/>
    <w:rsid w:val="00732E32"/>
    <w:rsid w:val="007337CA"/>
    <w:rsid w:val="00734CE4"/>
    <w:rsid w:val="00735123"/>
    <w:rsid w:val="00737C02"/>
    <w:rsid w:val="00741837"/>
    <w:rsid w:val="00744C2E"/>
    <w:rsid w:val="007453E6"/>
    <w:rsid w:val="00747ABD"/>
    <w:rsid w:val="0075497B"/>
    <w:rsid w:val="007604E0"/>
    <w:rsid w:val="007609B3"/>
    <w:rsid w:val="00763D1F"/>
    <w:rsid w:val="00770453"/>
    <w:rsid w:val="0077309D"/>
    <w:rsid w:val="007774EE"/>
    <w:rsid w:val="0077788C"/>
    <w:rsid w:val="00781822"/>
    <w:rsid w:val="00782B22"/>
    <w:rsid w:val="00783773"/>
    <w:rsid w:val="00783F21"/>
    <w:rsid w:val="00786603"/>
    <w:rsid w:val="00787159"/>
    <w:rsid w:val="0079043A"/>
    <w:rsid w:val="007911CE"/>
    <w:rsid w:val="00791668"/>
    <w:rsid w:val="0079169C"/>
    <w:rsid w:val="00791AA1"/>
    <w:rsid w:val="00792814"/>
    <w:rsid w:val="00792E25"/>
    <w:rsid w:val="0079575C"/>
    <w:rsid w:val="00795997"/>
    <w:rsid w:val="00797882"/>
    <w:rsid w:val="007A3793"/>
    <w:rsid w:val="007A44EC"/>
    <w:rsid w:val="007B10A9"/>
    <w:rsid w:val="007B14CA"/>
    <w:rsid w:val="007B39F1"/>
    <w:rsid w:val="007C1BA2"/>
    <w:rsid w:val="007C2B48"/>
    <w:rsid w:val="007C6ED0"/>
    <w:rsid w:val="007C7F26"/>
    <w:rsid w:val="007D1638"/>
    <w:rsid w:val="007D20E9"/>
    <w:rsid w:val="007D7881"/>
    <w:rsid w:val="007D7E3A"/>
    <w:rsid w:val="007E0E10"/>
    <w:rsid w:val="007E4768"/>
    <w:rsid w:val="007E63D7"/>
    <w:rsid w:val="007E777B"/>
    <w:rsid w:val="007F2070"/>
    <w:rsid w:val="007F63C1"/>
    <w:rsid w:val="00800929"/>
    <w:rsid w:val="008018F0"/>
    <w:rsid w:val="00802FF9"/>
    <w:rsid w:val="008053F5"/>
    <w:rsid w:val="008058E8"/>
    <w:rsid w:val="00807AF7"/>
    <w:rsid w:val="00810198"/>
    <w:rsid w:val="00815DA8"/>
    <w:rsid w:val="0082194D"/>
    <w:rsid w:val="008221F9"/>
    <w:rsid w:val="00823486"/>
    <w:rsid w:val="008248F1"/>
    <w:rsid w:val="00824DA2"/>
    <w:rsid w:val="008260C9"/>
    <w:rsid w:val="00826EF5"/>
    <w:rsid w:val="00827170"/>
    <w:rsid w:val="00831693"/>
    <w:rsid w:val="008352BA"/>
    <w:rsid w:val="00840104"/>
    <w:rsid w:val="00840C1F"/>
    <w:rsid w:val="008411C9"/>
    <w:rsid w:val="00841DC9"/>
    <w:rsid w:val="00841FC5"/>
    <w:rsid w:val="00843D0F"/>
    <w:rsid w:val="0084548B"/>
    <w:rsid w:val="00845709"/>
    <w:rsid w:val="008565F8"/>
    <w:rsid w:val="008576BD"/>
    <w:rsid w:val="0085783B"/>
    <w:rsid w:val="00860463"/>
    <w:rsid w:val="0086665D"/>
    <w:rsid w:val="00866773"/>
    <w:rsid w:val="008733DA"/>
    <w:rsid w:val="008740F7"/>
    <w:rsid w:val="00875562"/>
    <w:rsid w:val="00880780"/>
    <w:rsid w:val="00883544"/>
    <w:rsid w:val="008850E4"/>
    <w:rsid w:val="008916B5"/>
    <w:rsid w:val="008939AB"/>
    <w:rsid w:val="008A12F5"/>
    <w:rsid w:val="008A1DB1"/>
    <w:rsid w:val="008A5B5D"/>
    <w:rsid w:val="008B12DD"/>
    <w:rsid w:val="008B1587"/>
    <w:rsid w:val="008B1B01"/>
    <w:rsid w:val="008B3BCD"/>
    <w:rsid w:val="008B6DF8"/>
    <w:rsid w:val="008C106C"/>
    <w:rsid w:val="008C10F1"/>
    <w:rsid w:val="008C1926"/>
    <w:rsid w:val="008C1E99"/>
    <w:rsid w:val="008C44AC"/>
    <w:rsid w:val="008D2A09"/>
    <w:rsid w:val="008E0085"/>
    <w:rsid w:val="008E2AA6"/>
    <w:rsid w:val="008E311B"/>
    <w:rsid w:val="008E3BC3"/>
    <w:rsid w:val="008F41E7"/>
    <w:rsid w:val="008F46E7"/>
    <w:rsid w:val="008F64CA"/>
    <w:rsid w:val="008F6F0B"/>
    <w:rsid w:val="008F7E4B"/>
    <w:rsid w:val="00901FFF"/>
    <w:rsid w:val="009032C0"/>
    <w:rsid w:val="009060AA"/>
    <w:rsid w:val="00907BA7"/>
    <w:rsid w:val="0091064E"/>
    <w:rsid w:val="00911FC5"/>
    <w:rsid w:val="00922C94"/>
    <w:rsid w:val="00923AC4"/>
    <w:rsid w:val="00931A10"/>
    <w:rsid w:val="009438A0"/>
    <w:rsid w:val="00943E78"/>
    <w:rsid w:val="0094428D"/>
    <w:rsid w:val="00944B89"/>
    <w:rsid w:val="00947967"/>
    <w:rsid w:val="00951C36"/>
    <w:rsid w:val="00955201"/>
    <w:rsid w:val="00955870"/>
    <w:rsid w:val="0096053E"/>
    <w:rsid w:val="00962DD4"/>
    <w:rsid w:val="00965200"/>
    <w:rsid w:val="009668B3"/>
    <w:rsid w:val="00971471"/>
    <w:rsid w:val="00973390"/>
    <w:rsid w:val="00975E10"/>
    <w:rsid w:val="00981A86"/>
    <w:rsid w:val="009849C2"/>
    <w:rsid w:val="00984D24"/>
    <w:rsid w:val="00985604"/>
    <w:rsid w:val="009858EB"/>
    <w:rsid w:val="009867F3"/>
    <w:rsid w:val="009953DD"/>
    <w:rsid w:val="00995A5C"/>
    <w:rsid w:val="009A3314"/>
    <w:rsid w:val="009A3F47"/>
    <w:rsid w:val="009A6115"/>
    <w:rsid w:val="009A7C1C"/>
    <w:rsid w:val="009B0046"/>
    <w:rsid w:val="009B0944"/>
    <w:rsid w:val="009B398E"/>
    <w:rsid w:val="009C01C1"/>
    <w:rsid w:val="009C1440"/>
    <w:rsid w:val="009C2065"/>
    <w:rsid w:val="009C2107"/>
    <w:rsid w:val="009C2C8A"/>
    <w:rsid w:val="009C43B1"/>
    <w:rsid w:val="009C5D9E"/>
    <w:rsid w:val="009C72D3"/>
    <w:rsid w:val="009D2C3E"/>
    <w:rsid w:val="009D2FD6"/>
    <w:rsid w:val="009E0625"/>
    <w:rsid w:val="009E3034"/>
    <w:rsid w:val="009E549F"/>
    <w:rsid w:val="009F28A8"/>
    <w:rsid w:val="009F2AE9"/>
    <w:rsid w:val="009F473E"/>
    <w:rsid w:val="009F5247"/>
    <w:rsid w:val="009F682A"/>
    <w:rsid w:val="00A022BE"/>
    <w:rsid w:val="00A02A23"/>
    <w:rsid w:val="00A02F89"/>
    <w:rsid w:val="00A07B4B"/>
    <w:rsid w:val="00A1144D"/>
    <w:rsid w:val="00A24C95"/>
    <w:rsid w:val="00A25187"/>
    <w:rsid w:val="00A2599A"/>
    <w:rsid w:val="00A26094"/>
    <w:rsid w:val="00A301BF"/>
    <w:rsid w:val="00A302B2"/>
    <w:rsid w:val="00A31F90"/>
    <w:rsid w:val="00A32093"/>
    <w:rsid w:val="00A331B4"/>
    <w:rsid w:val="00A3484E"/>
    <w:rsid w:val="00A356D3"/>
    <w:rsid w:val="00A36ADA"/>
    <w:rsid w:val="00A37C4D"/>
    <w:rsid w:val="00A438D8"/>
    <w:rsid w:val="00A473F5"/>
    <w:rsid w:val="00A51F9D"/>
    <w:rsid w:val="00A5377A"/>
    <w:rsid w:val="00A5416A"/>
    <w:rsid w:val="00A54B18"/>
    <w:rsid w:val="00A56CA8"/>
    <w:rsid w:val="00A639F4"/>
    <w:rsid w:val="00A639F7"/>
    <w:rsid w:val="00A65864"/>
    <w:rsid w:val="00A65FAE"/>
    <w:rsid w:val="00A75433"/>
    <w:rsid w:val="00A759B8"/>
    <w:rsid w:val="00A75A9D"/>
    <w:rsid w:val="00A81A32"/>
    <w:rsid w:val="00A835BD"/>
    <w:rsid w:val="00A840EE"/>
    <w:rsid w:val="00A92859"/>
    <w:rsid w:val="00A9407D"/>
    <w:rsid w:val="00A97B15"/>
    <w:rsid w:val="00AA42D5"/>
    <w:rsid w:val="00AB2FAB"/>
    <w:rsid w:val="00AB39DB"/>
    <w:rsid w:val="00AB5C14"/>
    <w:rsid w:val="00AC1EE7"/>
    <w:rsid w:val="00AC333F"/>
    <w:rsid w:val="00AC585C"/>
    <w:rsid w:val="00AC5C83"/>
    <w:rsid w:val="00AD1925"/>
    <w:rsid w:val="00AD1B1C"/>
    <w:rsid w:val="00AE0100"/>
    <w:rsid w:val="00AE067D"/>
    <w:rsid w:val="00AE08CD"/>
    <w:rsid w:val="00AF1181"/>
    <w:rsid w:val="00AF13FD"/>
    <w:rsid w:val="00AF21C3"/>
    <w:rsid w:val="00AF2F79"/>
    <w:rsid w:val="00AF4653"/>
    <w:rsid w:val="00AF47C9"/>
    <w:rsid w:val="00AF77A4"/>
    <w:rsid w:val="00AF7AD6"/>
    <w:rsid w:val="00AF7DB7"/>
    <w:rsid w:val="00B028C9"/>
    <w:rsid w:val="00B0347B"/>
    <w:rsid w:val="00B07025"/>
    <w:rsid w:val="00B10D02"/>
    <w:rsid w:val="00B136DE"/>
    <w:rsid w:val="00B201E2"/>
    <w:rsid w:val="00B3717E"/>
    <w:rsid w:val="00B443E4"/>
    <w:rsid w:val="00B5017E"/>
    <w:rsid w:val="00B50460"/>
    <w:rsid w:val="00B54320"/>
    <w:rsid w:val="00B5484D"/>
    <w:rsid w:val="00B563EA"/>
    <w:rsid w:val="00B56CDF"/>
    <w:rsid w:val="00B60E51"/>
    <w:rsid w:val="00B6284E"/>
    <w:rsid w:val="00B63A54"/>
    <w:rsid w:val="00B65F1A"/>
    <w:rsid w:val="00B667BA"/>
    <w:rsid w:val="00B74DFD"/>
    <w:rsid w:val="00B77D18"/>
    <w:rsid w:val="00B82D9B"/>
    <w:rsid w:val="00B8313A"/>
    <w:rsid w:val="00B87387"/>
    <w:rsid w:val="00B93503"/>
    <w:rsid w:val="00B94D33"/>
    <w:rsid w:val="00B95E83"/>
    <w:rsid w:val="00BA0B53"/>
    <w:rsid w:val="00BA270E"/>
    <w:rsid w:val="00BA31E8"/>
    <w:rsid w:val="00BA4D6C"/>
    <w:rsid w:val="00BA4E13"/>
    <w:rsid w:val="00BA55E0"/>
    <w:rsid w:val="00BA5C38"/>
    <w:rsid w:val="00BA6BD4"/>
    <w:rsid w:val="00BA6C7A"/>
    <w:rsid w:val="00BA7A43"/>
    <w:rsid w:val="00BB17D1"/>
    <w:rsid w:val="00BB3752"/>
    <w:rsid w:val="00BB6688"/>
    <w:rsid w:val="00BB6E4D"/>
    <w:rsid w:val="00BC094D"/>
    <w:rsid w:val="00BC26D4"/>
    <w:rsid w:val="00BC5D2C"/>
    <w:rsid w:val="00BC763F"/>
    <w:rsid w:val="00BD59E0"/>
    <w:rsid w:val="00BE0C80"/>
    <w:rsid w:val="00BE1961"/>
    <w:rsid w:val="00BE24A8"/>
    <w:rsid w:val="00BF0752"/>
    <w:rsid w:val="00BF2A42"/>
    <w:rsid w:val="00BF474B"/>
    <w:rsid w:val="00C03D8C"/>
    <w:rsid w:val="00C055EC"/>
    <w:rsid w:val="00C070A7"/>
    <w:rsid w:val="00C10DC9"/>
    <w:rsid w:val="00C111A9"/>
    <w:rsid w:val="00C12FB3"/>
    <w:rsid w:val="00C171DB"/>
    <w:rsid w:val="00C17341"/>
    <w:rsid w:val="00C22500"/>
    <w:rsid w:val="00C24EEF"/>
    <w:rsid w:val="00C25CF6"/>
    <w:rsid w:val="00C26A32"/>
    <w:rsid w:val="00C26C36"/>
    <w:rsid w:val="00C32768"/>
    <w:rsid w:val="00C4102B"/>
    <w:rsid w:val="00C431DF"/>
    <w:rsid w:val="00C456BD"/>
    <w:rsid w:val="00C460B3"/>
    <w:rsid w:val="00C4632B"/>
    <w:rsid w:val="00C52141"/>
    <w:rsid w:val="00C530DC"/>
    <w:rsid w:val="00C5350D"/>
    <w:rsid w:val="00C55217"/>
    <w:rsid w:val="00C6025D"/>
    <w:rsid w:val="00C608C2"/>
    <w:rsid w:val="00C60DF9"/>
    <w:rsid w:val="00C6123C"/>
    <w:rsid w:val="00C6311A"/>
    <w:rsid w:val="00C63FE2"/>
    <w:rsid w:val="00C7084D"/>
    <w:rsid w:val="00C72F6B"/>
    <w:rsid w:val="00C7315E"/>
    <w:rsid w:val="00C73EC9"/>
    <w:rsid w:val="00C75895"/>
    <w:rsid w:val="00C821BD"/>
    <w:rsid w:val="00C83C9F"/>
    <w:rsid w:val="00C93E37"/>
    <w:rsid w:val="00C94353"/>
    <w:rsid w:val="00C94840"/>
    <w:rsid w:val="00C97746"/>
    <w:rsid w:val="00CA4A50"/>
    <w:rsid w:val="00CA4EE3"/>
    <w:rsid w:val="00CB027F"/>
    <w:rsid w:val="00CB4A13"/>
    <w:rsid w:val="00CB4AC3"/>
    <w:rsid w:val="00CB77DA"/>
    <w:rsid w:val="00CC0EBB"/>
    <w:rsid w:val="00CC6297"/>
    <w:rsid w:val="00CC7690"/>
    <w:rsid w:val="00CD1986"/>
    <w:rsid w:val="00CD54BF"/>
    <w:rsid w:val="00CD7B4D"/>
    <w:rsid w:val="00CE198E"/>
    <w:rsid w:val="00CE4D5C"/>
    <w:rsid w:val="00CF05DA"/>
    <w:rsid w:val="00CF58EB"/>
    <w:rsid w:val="00CF6FEC"/>
    <w:rsid w:val="00D0106E"/>
    <w:rsid w:val="00D06383"/>
    <w:rsid w:val="00D06D34"/>
    <w:rsid w:val="00D1026C"/>
    <w:rsid w:val="00D10D76"/>
    <w:rsid w:val="00D20E85"/>
    <w:rsid w:val="00D24615"/>
    <w:rsid w:val="00D319BB"/>
    <w:rsid w:val="00D326F0"/>
    <w:rsid w:val="00D336BD"/>
    <w:rsid w:val="00D3472A"/>
    <w:rsid w:val="00D37842"/>
    <w:rsid w:val="00D42DC2"/>
    <w:rsid w:val="00D4302B"/>
    <w:rsid w:val="00D455AD"/>
    <w:rsid w:val="00D518FF"/>
    <w:rsid w:val="00D53792"/>
    <w:rsid w:val="00D537E1"/>
    <w:rsid w:val="00D5394C"/>
    <w:rsid w:val="00D55BB2"/>
    <w:rsid w:val="00D6091A"/>
    <w:rsid w:val="00D6605A"/>
    <w:rsid w:val="00D66497"/>
    <w:rsid w:val="00D6695F"/>
    <w:rsid w:val="00D673CD"/>
    <w:rsid w:val="00D67860"/>
    <w:rsid w:val="00D75644"/>
    <w:rsid w:val="00D81656"/>
    <w:rsid w:val="00D82FDF"/>
    <w:rsid w:val="00D83D87"/>
    <w:rsid w:val="00D84365"/>
    <w:rsid w:val="00D848D9"/>
    <w:rsid w:val="00D84A6D"/>
    <w:rsid w:val="00D869A5"/>
    <w:rsid w:val="00D86A30"/>
    <w:rsid w:val="00D91D69"/>
    <w:rsid w:val="00D92CBF"/>
    <w:rsid w:val="00D9432A"/>
    <w:rsid w:val="00D94B4C"/>
    <w:rsid w:val="00D97CB4"/>
    <w:rsid w:val="00D97DD4"/>
    <w:rsid w:val="00DA3C66"/>
    <w:rsid w:val="00DA5A8A"/>
    <w:rsid w:val="00DB1170"/>
    <w:rsid w:val="00DB26CD"/>
    <w:rsid w:val="00DB383E"/>
    <w:rsid w:val="00DB441C"/>
    <w:rsid w:val="00DB44AF"/>
    <w:rsid w:val="00DB6A9C"/>
    <w:rsid w:val="00DC1F58"/>
    <w:rsid w:val="00DC339B"/>
    <w:rsid w:val="00DC3BF7"/>
    <w:rsid w:val="00DC4456"/>
    <w:rsid w:val="00DC4DC1"/>
    <w:rsid w:val="00DC5D40"/>
    <w:rsid w:val="00DC69A7"/>
    <w:rsid w:val="00DC6E52"/>
    <w:rsid w:val="00DD30E9"/>
    <w:rsid w:val="00DD4F47"/>
    <w:rsid w:val="00DD7FBB"/>
    <w:rsid w:val="00DE0B9F"/>
    <w:rsid w:val="00DE2A9E"/>
    <w:rsid w:val="00DE4238"/>
    <w:rsid w:val="00DE593B"/>
    <w:rsid w:val="00DE657F"/>
    <w:rsid w:val="00DE6EA7"/>
    <w:rsid w:val="00DF1218"/>
    <w:rsid w:val="00DF6462"/>
    <w:rsid w:val="00DF76A6"/>
    <w:rsid w:val="00E00D70"/>
    <w:rsid w:val="00E01C87"/>
    <w:rsid w:val="00E02FA0"/>
    <w:rsid w:val="00E036DC"/>
    <w:rsid w:val="00E03ECD"/>
    <w:rsid w:val="00E10454"/>
    <w:rsid w:val="00E10E04"/>
    <w:rsid w:val="00E112E5"/>
    <w:rsid w:val="00E122D8"/>
    <w:rsid w:val="00E12CC8"/>
    <w:rsid w:val="00E15352"/>
    <w:rsid w:val="00E21CC7"/>
    <w:rsid w:val="00E235C6"/>
    <w:rsid w:val="00E24D9E"/>
    <w:rsid w:val="00E25849"/>
    <w:rsid w:val="00E3197E"/>
    <w:rsid w:val="00E3319C"/>
    <w:rsid w:val="00E342F8"/>
    <w:rsid w:val="00E351ED"/>
    <w:rsid w:val="00E37F01"/>
    <w:rsid w:val="00E42B19"/>
    <w:rsid w:val="00E43C78"/>
    <w:rsid w:val="00E443FB"/>
    <w:rsid w:val="00E6034B"/>
    <w:rsid w:val="00E62B25"/>
    <w:rsid w:val="00E6549E"/>
    <w:rsid w:val="00E65EDE"/>
    <w:rsid w:val="00E678B1"/>
    <w:rsid w:val="00E70F81"/>
    <w:rsid w:val="00E77055"/>
    <w:rsid w:val="00E77460"/>
    <w:rsid w:val="00E77CCB"/>
    <w:rsid w:val="00E83480"/>
    <w:rsid w:val="00E83ABC"/>
    <w:rsid w:val="00E844F2"/>
    <w:rsid w:val="00E86E51"/>
    <w:rsid w:val="00E90AD0"/>
    <w:rsid w:val="00E92FCB"/>
    <w:rsid w:val="00E9303F"/>
    <w:rsid w:val="00E93072"/>
    <w:rsid w:val="00E96D62"/>
    <w:rsid w:val="00EA0AAC"/>
    <w:rsid w:val="00EA147F"/>
    <w:rsid w:val="00EA29ED"/>
    <w:rsid w:val="00EA4A27"/>
    <w:rsid w:val="00EA4FA6"/>
    <w:rsid w:val="00EA70D0"/>
    <w:rsid w:val="00EB1A25"/>
    <w:rsid w:val="00EB32F0"/>
    <w:rsid w:val="00EB37F9"/>
    <w:rsid w:val="00EB5FBD"/>
    <w:rsid w:val="00EB73E9"/>
    <w:rsid w:val="00EC7363"/>
    <w:rsid w:val="00ED03AB"/>
    <w:rsid w:val="00ED1963"/>
    <w:rsid w:val="00ED1CD4"/>
    <w:rsid w:val="00ED1D2B"/>
    <w:rsid w:val="00ED64B5"/>
    <w:rsid w:val="00EE24CF"/>
    <w:rsid w:val="00EE7CCA"/>
    <w:rsid w:val="00EF7093"/>
    <w:rsid w:val="00F00AA5"/>
    <w:rsid w:val="00F035FA"/>
    <w:rsid w:val="00F050BA"/>
    <w:rsid w:val="00F055AE"/>
    <w:rsid w:val="00F05B8B"/>
    <w:rsid w:val="00F06E53"/>
    <w:rsid w:val="00F111AE"/>
    <w:rsid w:val="00F1612C"/>
    <w:rsid w:val="00F16A14"/>
    <w:rsid w:val="00F22303"/>
    <w:rsid w:val="00F251D0"/>
    <w:rsid w:val="00F25704"/>
    <w:rsid w:val="00F26DAB"/>
    <w:rsid w:val="00F362D7"/>
    <w:rsid w:val="00F37D7B"/>
    <w:rsid w:val="00F37F08"/>
    <w:rsid w:val="00F41282"/>
    <w:rsid w:val="00F50A06"/>
    <w:rsid w:val="00F5314C"/>
    <w:rsid w:val="00F54726"/>
    <w:rsid w:val="00F5688C"/>
    <w:rsid w:val="00F57696"/>
    <w:rsid w:val="00F60048"/>
    <w:rsid w:val="00F61F49"/>
    <w:rsid w:val="00F635DD"/>
    <w:rsid w:val="00F6627B"/>
    <w:rsid w:val="00F71E4E"/>
    <w:rsid w:val="00F7336E"/>
    <w:rsid w:val="00F734F2"/>
    <w:rsid w:val="00F75052"/>
    <w:rsid w:val="00F75094"/>
    <w:rsid w:val="00F804D3"/>
    <w:rsid w:val="00F816CB"/>
    <w:rsid w:val="00F81CD2"/>
    <w:rsid w:val="00F82641"/>
    <w:rsid w:val="00F90F18"/>
    <w:rsid w:val="00F937E4"/>
    <w:rsid w:val="00F95EE7"/>
    <w:rsid w:val="00FA39E6"/>
    <w:rsid w:val="00FA7BC9"/>
    <w:rsid w:val="00FB378E"/>
    <w:rsid w:val="00FB37F1"/>
    <w:rsid w:val="00FB4172"/>
    <w:rsid w:val="00FB44D3"/>
    <w:rsid w:val="00FB47C0"/>
    <w:rsid w:val="00FB501B"/>
    <w:rsid w:val="00FB719A"/>
    <w:rsid w:val="00FB7770"/>
    <w:rsid w:val="00FB7846"/>
    <w:rsid w:val="00FC69AC"/>
    <w:rsid w:val="00FD0D4A"/>
    <w:rsid w:val="00FD3B91"/>
    <w:rsid w:val="00FD54CC"/>
    <w:rsid w:val="00FD576B"/>
    <w:rsid w:val="00FD579E"/>
    <w:rsid w:val="00FD59B8"/>
    <w:rsid w:val="00FD6845"/>
    <w:rsid w:val="00FE3D07"/>
    <w:rsid w:val="00FE4516"/>
    <w:rsid w:val="00FE64C8"/>
    <w:rsid w:val="00FE66C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820AB2"/>
  <w15:docId w15:val="{A601E00F-86A5-4512-AD90-C59F9E1D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6"/>
      </w:numPr>
      <w:outlineLvl w:val="0"/>
    </w:pPr>
    <w:rPr>
      <w:rFonts w:hAnsi="Arial"/>
      <w:bCs/>
      <w:kern w:val="32"/>
      <w:szCs w:val="52"/>
    </w:rPr>
  </w:style>
  <w:style w:type="paragraph" w:styleId="2">
    <w:name w:val="heading 2"/>
    <w:basedOn w:val="a5"/>
    <w:link w:val="20"/>
    <w:qFormat/>
    <w:rsid w:val="004F5E57"/>
    <w:pPr>
      <w:numPr>
        <w:ilvl w:val="1"/>
        <w:numId w:val="6"/>
      </w:numPr>
      <w:ind w:left="1021"/>
      <w:outlineLvl w:val="1"/>
    </w:pPr>
    <w:rPr>
      <w:rFonts w:hAnsi="Arial"/>
      <w:bCs/>
      <w:kern w:val="32"/>
      <w:szCs w:val="48"/>
    </w:rPr>
  </w:style>
  <w:style w:type="paragraph" w:styleId="3">
    <w:name w:val="heading 3"/>
    <w:basedOn w:val="a5"/>
    <w:link w:val="31"/>
    <w:qFormat/>
    <w:rsid w:val="004F5E57"/>
    <w:pPr>
      <w:numPr>
        <w:ilvl w:val="2"/>
        <w:numId w:val="6"/>
      </w:numPr>
      <w:outlineLvl w:val="2"/>
    </w:pPr>
    <w:rPr>
      <w:rFonts w:hAnsi="Arial"/>
      <w:bCs/>
      <w:kern w:val="32"/>
      <w:szCs w:val="36"/>
    </w:rPr>
  </w:style>
  <w:style w:type="paragraph" w:styleId="4">
    <w:name w:val="heading 4"/>
    <w:aliases w:val="表格,一"/>
    <w:basedOn w:val="a5"/>
    <w:qFormat/>
    <w:rsid w:val="004F5E57"/>
    <w:pPr>
      <w:numPr>
        <w:ilvl w:val="3"/>
        <w:numId w:val="6"/>
      </w:numPr>
      <w:outlineLvl w:val="3"/>
    </w:pPr>
    <w:rPr>
      <w:rFonts w:hAnsi="Arial"/>
      <w:kern w:val="32"/>
      <w:szCs w:val="36"/>
    </w:rPr>
  </w:style>
  <w:style w:type="paragraph" w:styleId="5">
    <w:name w:val="heading 5"/>
    <w:basedOn w:val="a5"/>
    <w:qFormat/>
    <w:rsid w:val="004F5E57"/>
    <w:pPr>
      <w:numPr>
        <w:ilvl w:val="4"/>
        <w:numId w:val="6"/>
      </w:numPr>
      <w:outlineLvl w:val="4"/>
    </w:pPr>
    <w:rPr>
      <w:rFonts w:hAnsi="Arial"/>
      <w:bCs/>
      <w:kern w:val="32"/>
      <w:szCs w:val="36"/>
    </w:rPr>
  </w:style>
  <w:style w:type="paragraph" w:styleId="6">
    <w:name w:val="heading 6"/>
    <w:basedOn w:val="a5"/>
    <w:qFormat/>
    <w:rsid w:val="004F5E57"/>
    <w:pPr>
      <w:numPr>
        <w:ilvl w:val="5"/>
        <w:numId w:val="6"/>
      </w:numPr>
      <w:tabs>
        <w:tab w:val="left" w:pos="2094"/>
      </w:tabs>
      <w:outlineLvl w:val="5"/>
    </w:pPr>
    <w:rPr>
      <w:rFonts w:hAnsi="Arial"/>
      <w:kern w:val="32"/>
      <w:szCs w:val="36"/>
    </w:rPr>
  </w:style>
  <w:style w:type="paragraph" w:styleId="7">
    <w:name w:val="heading 7"/>
    <w:basedOn w:val="a5"/>
    <w:qFormat/>
    <w:rsid w:val="004F5E57"/>
    <w:pPr>
      <w:numPr>
        <w:ilvl w:val="6"/>
        <w:numId w:val="6"/>
      </w:numPr>
      <w:outlineLvl w:val="6"/>
    </w:pPr>
    <w:rPr>
      <w:rFonts w:hAnsi="Arial"/>
      <w:bCs/>
      <w:kern w:val="32"/>
      <w:szCs w:val="36"/>
    </w:rPr>
  </w:style>
  <w:style w:type="paragraph" w:styleId="8">
    <w:name w:val="heading 8"/>
    <w:basedOn w:val="a5"/>
    <w:qFormat/>
    <w:rsid w:val="004F5E57"/>
    <w:pPr>
      <w:numPr>
        <w:ilvl w:val="7"/>
        <w:numId w:val="6"/>
      </w:numPr>
      <w:outlineLvl w:val="7"/>
    </w:pPr>
    <w:rPr>
      <w:rFonts w:hAnsi="Arial"/>
      <w:kern w:val="32"/>
      <w:szCs w:val="36"/>
    </w:rPr>
  </w:style>
  <w:style w:type="paragraph" w:styleId="9">
    <w:name w:val="heading 9"/>
    <w:basedOn w:val="a5"/>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1">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1">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2">
    <w:name w:val="toc 1"/>
    <w:basedOn w:val="a5"/>
    <w:next w:val="a5"/>
    <w:autoRedefine/>
    <w:uiPriority w:val="39"/>
    <w:rsid w:val="00E37F01"/>
    <w:pPr>
      <w:tabs>
        <w:tab w:val="right" w:leader="hyphen" w:pos="8834"/>
      </w:tabs>
      <w:kinsoku w:val="0"/>
      <w:ind w:leftChars="124" w:left="3119" w:rightChars="100" w:right="340" w:hangingChars="793" w:hanging="2697"/>
    </w:pPr>
    <w:rPr>
      <w:noProof/>
      <w:szCs w:val="32"/>
    </w:rPr>
  </w:style>
  <w:style w:type="paragraph" w:styleId="22">
    <w:name w:val="toc 2"/>
    <w:basedOn w:val="a5"/>
    <w:next w:val="a5"/>
    <w:autoRedefine/>
    <w:uiPriority w:val="39"/>
    <w:rsid w:val="008260C9"/>
    <w:pPr>
      <w:tabs>
        <w:tab w:val="right" w:leader="hyphen" w:pos="8834"/>
      </w:tabs>
      <w:kinsoku w:val="0"/>
      <w:ind w:leftChars="231" w:left="1677" w:rightChars="100" w:right="340" w:hangingChars="262" w:hanging="891"/>
    </w:pPr>
    <w:rPr>
      <w:noProof/>
    </w:rPr>
  </w:style>
  <w:style w:type="paragraph" w:styleId="32">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2">
    <w:name w:val="段落樣式4"/>
    <w:basedOn w:val="33"/>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2">
    <w:name w:val="footer"/>
    <w:basedOn w:val="a5"/>
    <w:link w:val="af3"/>
    <w:uiPriority w:val="99"/>
    <w:rsid w:val="004E0062"/>
    <w:pPr>
      <w:tabs>
        <w:tab w:val="center" w:pos="4153"/>
        <w:tab w:val="right" w:pos="8306"/>
      </w:tabs>
      <w:snapToGrid w:val="0"/>
    </w:pPr>
    <w:rPr>
      <w:sz w:val="20"/>
    </w:rPr>
  </w:style>
  <w:style w:type="paragraph" w:styleId="af4">
    <w:name w:val="table of figures"/>
    <w:basedOn w:val="a5"/>
    <w:next w:val="a5"/>
    <w:uiPriority w:val="99"/>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f6">
    <w:name w:val="圖標題"/>
    <w:basedOn w:val="a5"/>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7"/>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5"/>
      </w:numPr>
      <w:ind w:left="350" w:hangingChars="350" w:hanging="350"/>
      <w:outlineLvl w:val="0"/>
    </w:pPr>
    <w:rPr>
      <w:kern w:val="32"/>
    </w:rPr>
  </w:style>
  <w:style w:type="paragraph" w:styleId="af8">
    <w:name w:val="List Paragraph"/>
    <w:aliases w:val="1.1.1.1清單段落,列點,(二),List Paragraph,Recommendation,Footnote Sam,List Paragraph (numbered (a)),Text,Noise heading,RUS List,Rec para,Dot pt,F5 List Paragraph,No Spacing1,List Paragraph Char Char Char,Indicator Text,Numbered Para 1,標1,圖標號,標題一,標題 (4),卑南壹"/>
    <w:basedOn w:val="a5"/>
    <w:link w:val="af9"/>
    <w:uiPriority w:val="34"/>
    <w:qFormat/>
    <w:rsid w:val="00687024"/>
    <w:pPr>
      <w:ind w:leftChars="200" w:left="480"/>
    </w:pPr>
  </w:style>
  <w:style w:type="paragraph" w:styleId="afa">
    <w:name w:val="Balloon Text"/>
    <w:basedOn w:val="a5"/>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6"/>
    <w:link w:val="afa"/>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8"/>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5"/>
    <w:link w:val="afd"/>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6"/>
    <w:link w:val="afc"/>
    <w:uiPriority w:val="99"/>
    <w:rsid w:val="004F472A"/>
    <w:rPr>
      <w:rFonts w:ascii="Calibri" w:eastAsia="標楷體" w:hAnsi="Courier New" w:cs="Courier New"/>
      <w:color w:val="244061" w:themeColor="accent1" w:themeShade="80"/>
      <w:sz w:val="28"/>
      <w:szCs w:val="24"/>
    </w:rPr>
  </w:style>
  <w:style w:type="character" w:customStyle="1" w:styleId="20">
    <w:name w:val="標題 2 字元"/>
    <w:basedOn w:val="a6"/>
    <w:link w:val="2"/>
    <w:rsid w:val="0031455E"/>
    <w:rPr>
      <w:rFonts w:ascii="標楷體" w:eastAsia="標楷體" w:hAnsi="Arial"/>
      <w:bCs/>
      <w:kern w:val="32"/>
      <w:sz w:val="32"/>
      <w:szCs w:val="48"/>
    </w:rPr>
  </w:style>
  <w:style w:type="paragraph" w:customStyle="1" w:styleId="Default">
    <w:name w:val="Default"/>
    <w:rsid w:val="00EE24CF"/>
    <w:pPr>
      <w:widowControl w:val="0"/>
      <w:autoSpaceDE w:val="0"/>
      <w:autoSpaceDN w:val="0"/>
      <w:adjustRightInd w:val="0"/>
    </w:pPr>
    <w:rPr>
      <w:rFonts w:ascii="標楷體U...." w:eastAsia="標楷體U...." w:cs="標楷體U...."/>
      <w:color w:val="000000"/>
      <w:sz w:val="24"/>
      <w:szCs w:val="24"/>
    </w:rPr>
  </w:style>
  <w:style w:type="character" w:customStyle="1" w:styleId="af9">
    <w:name w:val="清單段落 字元"/>
    <w:aliases w:val="1.1.1.1清單段落 字元,列點 字元,(二) 字元,List Paragraph 字元,Recommendation 字元,Footnote Sam 字元,List Paragraph (numbered (a)) 字元,Text 字元,Noise heading 字元,RUS List 字元,Rec para 字元,Dot pt 字元,F5 List Paragraph 字元,No Spacing1 字元,List Paragraph Char Char Char 字元"/>
    <w:link w:val="af8"/>
    <w:uiPriority w:val="34"/>
    <w:qFormat/>
    <w:locked/>
    <w:rsid w:val="00A31F90"/>
    <w:rPr>
      <w:rFonts w:ascii="標楷體" w:eastAsia="標楷體"/>
      <w:kern w:val="2"/>
      <w:sz w:val="32"/>
    </w:rPr>
  </w:style>
  <w:style w:type="paragraph" w:styleId="afe">
    <w:name w:val="footnote text"/>
    <w:basedOn w:val="a5"/>
    <w:link w:val="aff"/>
    <w:uiPriority w:val="99"/>
    <w:unhideWhenUsed/>
    <w:rsid w:val="006C7C3E"/>
    <w:pPr>
      <w:snapToGrid w:val="0"/>
      <w:jc w:val="left"/>
    </w:pPr>
    <w:rPr>
      <w:sz w:val="20"/>
    </w:rPr>
  </w:style>
  <w:style w:type="character" w:customStyle="1" w:styleId="aff">
    <w:name w:val="註腳文字 字元"/>
    <w:basedOn w:val="a6"/>
    <w:link w:val="afe"/>
    <w:uiPriority w:val="99"/>
    <w:rsid w:val="006C7C3E"/>
    <w:rPr>
      <w:rFonts w:ascii="標楷體" w:eastAsia="標楷體"/>
      <w:kern w:val="2"/>
    </w:rPr>
  </w:style>
  <w:style w:type="character" w:styleId="aff0">
    <w:name w:val="footnote reference"/>
    <w:basedOn w:val="a6"/>
    <w:uiPriority w:val="99"/>
    <w:semiHidden/>
    <w:unhideWhenUsed/>
    <w:rsid w:val="006C7C3E"/>
    <w:rPr>
      <w:vertAlign w:val="superscript"/>
    </w:rPr>
  </w:style>
  <w:style w:type="table" w:customStyle="1" w:styleId="13">
    <w:name w:val="表格格線1"/>
    <w:uiPriority w:val="99"/>
    <w:rsid w:val="006C7C3E"/>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5"/>
    <w:uiPriority w:val="99"/>
    <w:unhideWhenUsed/>
    <w:rsid w:val="00B95E8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10">
    <w:name w:val="標題1"/>
    <w:basedOn w:val="a5"/>
    <w:qFormat/>
    <w:rsid w:val="00B54320"/>
    <w:pPr>
      <w:numPr>
        <w:numId w:val="11"/>
      </w:numPr>
      <w:outlineLvl w:val="0"/>
    </w:pPr>
    <w:rPr>
      <w:kern w:val="28"/>
      <w:sz w:val="28"/>
      <w:szCs w:val="24"/>
    </w:rPr>
  </w:style>
  <w:style w:type="paragraph" w:customStyle="1" w:styleId="30">
    <w:name w:val="標題3"/>
    <w:basedOn w:val="a5"/>
    <w:qFormat/>
    <w:rsid w:val="00B54320"/>
    <w:pPr>
      <w:numPr>
        <w:ilvl w:val="2"/>
        <w:numId w:val="11"/>
      </w:numPr>
      <w:outlineLvl w:val="2"/>
    </w:pPr>
    <w:rPr>
      <w:kern w:val="28"/>
      <w:sz w:val="28"/>
      <w:szCs w:val="24"/>
    </w:rPr>
  </w:style>
  <w:style w:type="paragraph" w:customStyle="1" w:styleId="40">
    <w:name w:val="標題4"/>
    <w:basedOn w:val="30"/>
    <w:qFormat/>
    <w:rsid w:val="00B54320"/>
    <w:pPr>
      <w:numPr>
        <w:ilvl w:val="3"/>
      </w:numPr>
      <w:outlineLvl w:val="3"/>
    </w:pPr>
  </w:style>
  <w:style w:type="paragraph" w:customStyle="1" w:styleId="50">
    <w:name w:val="標題5"/>
    <w:basedOn w:val="40"/>
    <w:qFormat/>
    <w:rsid w:val="00B54320"/>
    <w:pPr>
      <w:numPr>
        <w:ilvl w:val="4"/>
      </w:numPr>
      <w:outlineLvl w:val="4"/>
    </w:pPr>
  </w:style>
  <w:style w:type="paragraph" w:customStyle="1" w:styleId="k02">
    <w:name w:val="k02"/>
    <w:basedOn w:val="a5"/>
    <w:link w:val="k020"/>
    <w:uiPriority w:val="99"/>
    <w:rsid w:val="00783773"/>
    <w:pPr>
      <w:tabs>
        <w:tab w:val="left" w:pos="960"/>
        <w:tab w:val="left" w:pos="1920"/>
        <w:tab w:val="left" w:pos="2880"/>
        <w:tab w:val="left" w:pos="3840"/>
        <w:tab w:val="left" w:pos="4800"/>
        <w:tab w:val="left" w:pos="5760"/>
      </w:tabs>
      <w:adjustRightInd w:val="0"/>
      <w:spacing w:before="240" w:after="50" w:line="600" w:lineRule="exact"/>
      <w:ind w:firstLineChars="200" w:firstLine="200"/>
      <w:textAlignment w:val="center"/>
    </w:pPr>
    <w:rPr>
      <w:rFonts w:ascii="Times New Roman"/>
      <w:spacing w:val="10"/>
      <w:sz w:val="40"/>
      <w:szCs w:val="24"/>
    </w:rPr>
  </w:style>
  <w:style w:type="character" w:customStyle="1" w:styleId="k020">
    <w:name w:val="k02 字元"/>
    <w:link w:val="k02"/>
    <w:uiPriority w:val="99"/>
    <w:locked/>
    <w:rsid w:val="00783773"/>
    <w:rPr>
      <w:rFonts w:eastAsia="標楷體"/>
      <w:spacing w:val="10"/>
      <w:kern w:val="2"/>
      <w:sz w:val="40"/>
      <w:szCs w:val="24"/>
    </w:rPr>
  </w:style>
  <w:style w:type="paragraph" w:customStyle="1" w:styleId="koot-22">
    <w:name w:val="koot-22"/>
    <w:basedOn w:val="a5"/>
    <w:uiPriority w:val="99"/>
    <w:rsid w:val="00783773"/>
    <w:pPr>
      <w:tabs>
        <w:tab w:val="left" w:pos="960"/>
        <w:tab w:val="left" w:pos="1920"/>
        <w:tab w:val="left" w:pos="2880"/>
        <w:tab w:val="left" w:pos="3840"/>
        <w:tab w:val="left" w:pos="4800"/>
        <w:tab w:val="left" w:pos="5760"/>
      </w:tabs>
      <w:overflowPunct/>
      <w:adjustRightInd w:val="0"/>
      <w:spacing w:before="240" w:after="240" w:line="600" w:lineRule="exact"/>
      <w:jc w:val="center"/>
      <w:textAlignment w:val="center"/>
    </w:pPr>
    <w:rPr>
      <w:rFonts w:ascii="Times New Roman"/>
      <w:b/>
      <w:bCs/>
      <w:sz w:val="44"/>
      <w:szCs w:val="24"/>
    </w:rPr>
  </w:style>
  <w:style w:type="paragraph" w:styleId="aff1">
    <w:name w:val="annotation text"/>
    <w:basedOn w:val="a5"/>
    <w:link w:val="aff2"/>
    <w:uiPriority w:val="99"/>
    <w:semiHidden/>
    <w:unhideWhenUsed/>
    <w:rsid w:val="005D71B8"/>
    <w:pPr>
      <w:overflowPunct/>
      <w:autoSpaceDE/>
      <w:autoSpaceDN/>
      <w:jc w:val="left"/>
    </w:pPr>
    <w:rPr>
      <w:rFonts w:ascii="Times New Roman" w:eastAsia="新細明體"/>
      <w:sz w:val="24"/>
      <w:szCs w:val="24"/>
    </w:rPr>
  </w:style>
  <w:style w:type="character" w:customStyle="1" w:styleId="aff2">
    <w:name w:val="註解文字 字元"/>
    <w:basedOn w:val="a6"/>
    <w:link w:val="aff1"/>
    <w:uiPriority w:val="99"/>
    <w:semiHidden/>
    <w:rsid w:val="005D71B8"/>
    <w:rPr>
      <w:kern w:val="2"/>
      <w:sz w:val="24"/>
      <w:szCs w:val="24"/>
    </w:rPr>
  </w:style>
  <w:style w:type="character" w:customStyle="1" w:styleId="31">
    <w:name w:val="標題 3 字元"/>
    <w:basedOn w:val="a6"/>
    <w:link w:val="3"/>
    <w:rsid w:val="00AC5C83"/>
    <w:rPr>
      <w:rFonts w:ascii="標楷體" w:eastAsia="標楷體" w:hAnsi="Arial"/>
      <w:bCs/>
      <w:kern w:val="32"/>
      <w:sz w:val="32"/>
      <w:szCs w:val="36"/>
    </w:rPr>
  </w:style>
  <w:style w:type="character" w:styleId="aff3">
    <w:name w:val="Emphasis"/>
    <w:basedOn w:val="a6"/>
    <w:uiPriority w:val="20"/>
    <w:qFormat/>
    <w:rsid w:val="00F26DAB"/>
    <w:rPr>
      <w:b/>
      <w:bCs/>
      <w:i w:val="0"/>
      <w:iCs w:val="0"/>
    </w:rPr>
  </w:style>
  <w:style w:type="character" w:customStyle="1" w:styleId="af3">
    <w:name w:val="頁尾 字元"/>
    <w:basedOn w:val="a6"/>
    <w:link w:val="af2"/>
    <w:uiPriority w:val="99"/>
    <w:rsid w:val="003045DE"/>
    <w:rPr>
      <w:rFonts w:ascii="標楷體" w:eastAsia="標楷體"/>
      <w:kern w:val="2"/>
    </w:rPr>
  </w:style>
  <w:style w:type="paragraph" w:customStyle="1" w:styleId="CM1">
    <w:name w:val="CM1"/>
    <w:basedOn w:val="Default"/>
    <w:next w:val="Default"/>
    <w:uiPriority w:val="99"/>
    <w:rsid w:val="008565F8"/>
    <w:rPr>
      <w:rFonts w:ascii="EUAlbertina" w:eastAsia="EUAlbertina" w:cs="Times New Roman"/>
      <w:color w:val="auto"/>
    </w:rPr>
  </w:style>
  <w:style w:type="paragraph" w:customStyle="1" w:styleId="CM3">
    <w:name w:val="CM3"/>
    <w:basedOn w:val="Default"/>
    <w:next w:val="Default"/>
    <w:uiPriority w:val="99"/>
    <w:rsid w:val="008565F8"/>
    <w:rPr>
      <w:rFonts w:ascii="EUAlbertina" w:eastAsia="EUAlbertina" w:cs="Times New Roman"/>
      <w:color w:val="auto"/>
    </w:rPr>
  </w:style>
  <w:style w:type="paragraph" w:styleId="aff4">
    <w:name w:val="Date"/>
    <w:basedOn w:val="a5"/>
    <w:next w:val="a5"/>
    <w:link w:val="aff5"/>
    <w:uiPriority w:val="99"/>
    <w:semiHidden/>
    <w:unhideWhenUsed/>
    <w:rsid w:val="002806C0"/>
    <w:pPr>
      <w:jc w:val="right"/>
    </w:pPr>
  </w:style>
  <w:style w:type="character" w:customStyle="1" w:styleId="aff5">
    <w:name w:val="日期 字元"/>
    <w:basedOn w:val="a6"/>
    <w:link w:val="aff4"/>
    <w:uiPriority w:val="99"/>
    <w:semiHidden/>
    <w:rsid w:val="002806C0"/>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0498">
      <w:bodyDiv w:val="1"/>
      <w:marLeft w:val="0"/>
      <w:marRight w:val="0"/>
      <w:marTop w:val="0"/>
      <w:marBottom w:val="0"/>
      <w:divBdr>
        <w:top w:val="none" w:sz="0" w:space="0" w:color="auto"/>
        <w:left w:val="none" w:sz="0" w:space="0" w:color="auto"/>
        <w:bottom w:val="none" w:sz="0" w:space="0" w:color="auto"/>
        <w:right w:val="none" w:sz="0" w:space="0" w:color="auto"/>
      </w:divBdr>
    </w:div>
    <w:div w:id="136607608">
      <w:bodyDiv w:val="1"/>
      <w:marLeft w:val="0"/>
      <w:marRight w:val="0"/>
      <w:marTop w:val="0"/>
      <w:marBottom w:val="0"/>
      <w:divBdr>
        <w:top w:val="none" w:sz="0" w:space="0" w:color="auto"/>
        <w:left w:val="none" w:sz="0" w:space="0" w:color="auto"/>
        <w:bottom w:val="none" w:sz="0" w:space="0" w:color="auto"/>
        <w:right w:val="none" w:sz="0" w:space="0" w:color="auto"/>
      </w:divBdr>
      <w:divsChild>
        <w:div w:id="1088694642">
          <w:marLeft w:val="850"/>
          <w:marRight w:val="0"/>
          <w:marTop w:val="0"/>
          <w:marBottom w:val="0"/>
          <w:divBdr>
            <w:top w:val="none" w:sz="0" w:space="0" w:color="auto"/>
            <w:left w:val="none" w:sz="0" w:space="0" w:color="auto"/>
            <w:bottom w:val="none" w:sz="0" w:space="0" w:color="auto"/>
            <w:right w:val="none" w:sz="0" w:space="0" w:color="auto"/>
          </w:divBdr>
        </w:div>
      </w:divsChild>
    </w:div>
    <w:div w:id="208612710">
      <w:bodyDiv w:val="1"/>
      <w:marLeft w:val="0"/>
      <w:marRight w:val="0"/>
      <w:marTop w:val="0"/>
      <w:marBottom w:val="0"/>
      <w:divBdr>
        <w:top w:val="none" w:sz="0" w:space="0" w:color="auto"/>
        <w:left w:val="none" w:sz="0" w:space="0" w:color="auto"/>
        <w:bottom w:val="none" w:sz="0" w:space="0" w:color="auto"/>
        <w:right w:val="none" w:sz="0" w:space="0" w:color="auto"/>
      </w:divBdr>
    </w:div>
    <w:div w:id="580018494">
      <w:bodyDiv w:val="1"/>
      <w:marLeft w:val="0"/>
      <w:marRight w:val="0"/>
      <w:marTop w:val="0"/>
      <w:marBottom w:val="0"/>
      <w:divBdr>
        <w:top w:val="none" w:sz="0" w:space="0" w:color="auto"/>
        <w:left w:val="none" w:sz="0" w:space="0" w:color="auto"/>
        <w:bottom w:val="none" w:sz="0" w:space="0" w:color="auto"/>
        <w:right w:val="none" w:sz="0" w:space="0" w:color="auto"/>
      </w:divBdr>
    </w:div>
    <w:div w:id="80578201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47093418">
      <w:bodyDiv w:val="1"/>
      <w:marLeft w:val="0"/>
      <w:marRight w:val="0"/>
      <w:marTop w:val="0"/>
      <w:marBottom w:val="0"/>
      <w:divBdr>
        <w:top w:val="none" w:sz="0" w:space="0" w:color="auto"/>
        <w:left w:val="none" w:sz="0" w:space="0" w:color="auto"/>
        <w:bottom w:val="none" w:sz="0" w:space="0" w:color="auto"/>
        <w:right w:val="none" w:sz="0" w:space="0" w:color="auto"/>
      </w:divBdr>
    </w:div>
    <w:div w:id="1210726584">
      <w:bodyDiv w:val="1"/>
      <w:marLeft w:val="0"/>
      <w:marRight w:val="0"/>
      <w:marTop w:val="0"/>
      <w:marBottom w:val="0"/>
      <w:divBdr>
        <w:top w:val="none" w:sz="0" w:space="0" w:color="auto"/>
        <w:left w:val="none" w:sz="0" w:space="0" w:color="auto"/>
        <w:bottom w:val="none" w:sz="0" w:space="0" w:color="auto"/>
        <w:right w:val="none" w:sz="0" w:space="0" w:color="auto"/>
      </w:divBdr>
    </w:div>
    <w:div w:id="1248804823">
      <w:bodyDiv w:val="1"/>
      <w:marLeft w:val="0"/>
      <w:marRight w:val="0"/>
      <w:marTop w:val="0"/>
      <w:marBottom w:val="0"/>
      <w:divBdr>
        <w:top w:val="none" w:sz="0" w:space="0" w:color="auto"/>
        <w:left w:val="none" w:sz="0" w:space="0" w:color="auto"/>
        <w:bottom w:val="none" w:sz="0" w:space="0" w:color="auto"/>
        <w:right w:val="none" w:sz="0" w:space="0" w:color="auto"/>
      </w:divBdr>
      <w:divsChild>
        <w:div w:id="596325585">
          <w:marLeft w:val="850"/>
          <w:marRight w:val="0"/>
          <w:marTop w:val="0"/>
          <w:marBottom w:val="0"/>
          <w:divBdr>
            <w:top w:val="none" w:sz="0" w:space="0" w:color="auto"/>
            <w:left w:val="none" w:sz="0" w:space="0" w:color="auto"/>
            <w:bottom w:val="none" w:sz="0" w:space="0" w:color="auto"/>
            <w:right w:val="none" w:sz="0" w:space="0" w:color="auto"/>
          </w:divBdr>
        </w:div>
      </w:divsChild>
    </w:div>
    <w:div w:id="1620338563">
      <w:bodyDiv w:val="1"/>
      <w:marLeft w:val="0"/>
      <w:marRight w:val="0"/>
      <w:marTop w:val="0"/>
      <w:marBottom w:val="0"/>
      <w:divBdr>
        <w:top w:val="none" w:sz="0" w:space="0" w:color="auto"/>
        <w:left w:val="none" w:sz="0" w:space="0" w:color="auto"/>
        <w:bottom w:val="none" w:sz="0" w:space="0" w:color="auto"/>
        <w:right w:val="none" w:sz="0" w:space="0" w:color="auto"/>
      </w:divBdr>
      <w:divsChild>
        <w:div w:id="843596040">
          <w:marLeft w:val="850"/>
          <w:marRight w:val="0"/>
          <w:marTop w:val="0"/>
          <w:marBottom w:val="0"/>
          <w:divBdr>
            <w:top w:val="none" w:sz="0" w:space="0" w:color="auto"/>
            <w:left w:val="none" w:sz="0" w:space="0" w:color="auto"/>
            <w:bottom w:val="none" w:sz="0" w:space="0" w:color="auto"/>
            <w:right w:val="none" w:sz="0" w:space="0" w:color="auto"/>
          </w:divBdr>
        </w:div>
      </w:divsChild>
    </w:div>
    <w:div w:id="166103271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tmp"/><Relationship Id="rId18" Type="http://schemas.openxmlformats.org/officeDocument/2006/relationships/image" Target="media/image8.png"/><Relationship Id="rId26" Type="http://schemas.openxmlformats.org/officeDocument/2006/relationships/image" Target="media/image16.tmp"/><Relationship Id="rId39" Type="http://schemas.openxmlformats.org/officeDocument/2006/relationships/image" Target="media/image29.tmp"/><Relationship Id="rId3" Type="http://schemas.openxmlformats.org/officeDocument/2006/relationships/numbering" Target="numbering.xml"/><Relationship Id="rId21" Type="http://schemas.openxmlformats.org/officeDocument/2006/relationships/image" Target="media/image11.tmp"/><Relationship Id="rId34" Type="http://schemas.openxmlformats.org/officeDocument/2006/relationships/image" Target="media/image24.tmp"/><Relationship Id="rId42" Type="http://schemas.openxmlformats.org/officeDocument/2006/relationships/image" Target="media/image32.tmp"/><Relationship Id="rId47" Type="http://schemas.openxmlformats.org/officeDocument/2006/relationships/image" Target="media/image37.tmp"/><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image" Target="media/image7.tmp"/><Relationship Id="rId25" Type="http://schemas.openxmlformats.org/officeDocument/2006/relationships/image" Target="media/image15.tmp"/><Relationship Id="rId33" Type="http://schemas.openxmlformats.org/officeDocument/2006/relationships/image" Target="media/image23.tmp"/><Relationship Id="rId38" Type="http://schemas.openxmlformats.org/officeDocument/2006/relationships/image" Target="media/image28.tmp"/><Relationship Id="rId46" Type="http://schemas.openxmlformats.org/officeDocument/2006/relationships/image" Target="media/image36.tmp"/><Relationship Id="rId2" Type="http://schemas.openxmlformats.org/officeDocument/2006/relationships/customXml" Target="../customXml/item1.xml"/><Relationship Id="rId16" Type="http://schemas.openxmlformats.org/officeDocument/2006/relationships/image" Target="media/image6.tmp"/><Relationship Id="rId20" Type="http://schemas.openxmlformats.org/officeDocument/2006/relationships/image" Target="media/image10.tmp"/><Relationship Id="rId29" Type="http://schemas.openxmlformats.org/officeDocument/2006/relationships/image" Target="media/image19.jpeg"/><Relationship Id="rId41" Type="http://schemas.openxmlformats.org/officeDocument/2006/relationships/image" Target="media/image31.tmp"/><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image" Target="media/image14.tmp"/><Relationship Id="rId32" Type="http://schemas.openxmlformats.org/officeDocument/2006/relationships/image" Target="media/image22.tmp"/><Relationship Id="rId37" Type="http://schemas.openxmlformats.org/officeDocument/2006/relationships/image" Target="media/image27.tmp"/><Relationship Id="rId40" Type="http://schemas.openxmlformats.org/officeDocument/2006/relationships/image" Target="media/image30.tmp"/><Relationship Id="rId45" Type="http://schemas.openxmlformats.org/officeDocument/2006/relationships/image" Target="media/image35.tmp"/><Relationship Id="rId5" Type="http://schemas.openxmlformats.org/officeDocument/2006/relationships/settings" Target="settings.xml"/><Relationship Id="rId15" Type="http://schemas.openxmlformats.org/officeDocument/2006/relationships/image" Target="media/image5.tmp"/><Relationship Id="rId23" Type="http://schemas.openxmlformats.org/officeDocument/2006/relationships/image" Target="media/image13.tmp"/><Relationship Id="rId28" Type="http://schemas.openxmlformats.org/officeDocument/2006/relationships/image" Target="media/image18.tmp"/><Relationship Id="rId36" Type="http://schemas.openxmlformats.org/officeDocument/2006/relationships/image" Target="media/image26.tmp"/><Relationship Id="rId49" Type="http://schemas.openxmlformats.org/officeDocument/2006/relationships/footer" Target="footer1.xml"/><Relationship Id="rId10" Type="http://schemas.openxmlformats.org/officeDocument/2006/relationships/image" Target="media/image2.tmp"/><Relationship Id="rId19" Type="http://schemas.openxmlformats.org/officeDocument/2006/relationships/image" Target="media/image9.png"/><Relationship Id="rId31" Type="http://schemas.openxmlformats.org/officeDocument/2006/relationships/image" Target="media/image21.tmp"/><Relationship Id="rId44" Type="http://schemas.openxmlformats.org/officeDocument/2006/relationships/image" Target="media/image34.tmp"/><Relationship Id="rId4" Type="http://schemas.openxmlformats.org/officeDocument/2006/relationships/styles" Target="styles.xml"/><Relationship Id="rId9" Type="http://schemas.openxmlformats.org/officeDocument/2006/relationships/image" Target="media/image1.tmp"/><Relationship Id="rId14" Type="http://schemas.openxmlformats.org/officeDocument/2006/relationships/image" Target="media/image4.tmp"/><Relationship Id="rId22" Type="http://schemas.openxmlformats.org/officeDocument/2006/relationships/image" Target="media/image12.tmp"/><Relationship Id="rId27" Type="http://schemas.openxmlformats.org/officeDocument/2006/relationships/image" Target="media/image17.png"/><Relationship Id="rId30" Type="http://schemas.openxmlformats.org/officeDocument/2006/relationships/image" Target="media/image20.jpeg"/><Relationship Id="rId35" Type="http://schemas.openxmlformats.org/officeDocument/2006/relationships/image" Target="media/image25.tmp"/><Relationship Id="rId43" Type="http://schemas.openxmlformats.org/officeDocument/2006/relationships/image" Target="media/image33.tmp"/><Relationship Id="rId48" Type="http://schemas.openxmlformats.org/officeDocument/2006/relationships/image" Target="media/image38.tmp"/><Relationship Id="rId8" Type="http://schemas.openxmlformats.org/officeDocument/2006/relationships/endnotes" Target="endnotes.xml"/><Relationship Id="rId51"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35519;&#26597;&#26696;&#20214;107\&#20877;&#29983;&#33021;&#28304;&#30332;&#23637;&#26696;&#65288;&#38515;&#23567;&#32005;&#65289;\&#22826;&#38525;&#20809;&#38651;\PV&#30446;&#27161;&#35037;&#32622;&#23481;&#37327;104~11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35519;&#26597;&#26696;&#20214;107\&#20877;&#29983;&#33021;&#28304;&#30332;&#23637;&#26696;&#65288;&#38515;&#23567;&#32005;&#65289;\&#22826;&#38525;&#20809;&#38651;\PV&#30446;&#27161;&#35037;&#32622;&#23481;&#37327;104~11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manualLayout>
          <c:layoutTarget val="inner"/>
          <c:xMode val="edge"/>
          <c:yMode val="edge"/>
          <c:x val="0.12744685039370079"/>
          <c:y val="0.20151647710702827"/>
          <c:w val="0.83648512685914256"/>
          <c:h val="0.68250364537766117"/>
        </c:manualLayout>
      </c:layout>
      <c:barChart>
        <c:barDir val="col"/>
        <c:grouping val="clustered"/>
        <c:varyColors val="0"/>
        <c:ser>
          <c:idx val="0"/>
          <c:order val="0"/>
          <c:tx>
            <c:strRef>
              <c:f>太陽光電!$B$1</c:f>
              <c:strCache>
                <c:ptCount val="1"/>
                <c:pt idx="0">
                  <c:v>太陽光電目標裝置容量(MW)</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太陽光電!$A$2:$A$12</c:f>
              <c:numCache>
                <c:formatCode>General</c:formatCode>
                <c:ptCount val="11"/>
                <c:pt idx="0">
                  <c:v>104</c:v>
                </c:pt>
                <c:pt idx="1">
                  <c:v>105</c:v>
                </c:pt>
                <c:pt idx="2">
                  <c:v>106</c:v>
                </c:pt>
                <c:pt idx="3">
                  <c:v>107</c:v>
                </c:pt>
                <c:pt idx="4">
                  <c:v>108</c:v>
                </c:pt>
                <c:pt idx="5">
                  <c:v>109</c:v>
                </c:pt>
                <c:pt idx="6">
                  <c:v>110</c:v>
                </c:pt>
                <c:pt idx="7">
                  <c:v>111</c:v>
                </c:pt>
                <c:pt idx="8">
                  <c:v>112</c:v>
                </c:pt>
                <c:pt idx="9">
                  <c:v>113</c:v>
                </c:pt>
                <c:pt idx="10">
                  <c:v>114</c:v>
                </c:pt>
              </c:numCache>
            </c:numRef>
          </c:cat>
          <c:val>
            <c:numRef>
              <c:f>太陽光電!$B$2:$B$12</c:f>
              <c:numCache>
                <c:formatCode>#,##0_ </c:formatCode>
                <c:ptCount val="11"/>
                <c:pt idx="0">
                  <c:v>884</c:v>
                </c:pt>
                <c:pt idx="1">
                  <c:v>1245</c:v>
                </c:pt>
                <c:pt idx="2">
                  <c:v>1768</c:v>
                </c:pt>
                <c:pt idx="3">
                  <c:v>2837</c:v>
                </c:pt>
                <c:pt idx="4">
                  <c:v>4500</c:v>
                </c:pt>
                <c:pt idx="5">
                  <c:v>6500</c:v>
                </c:pt>
                <c:pt idx="6">
                  <c:v>8750</c:v>
                </c:pt>
                <c:pt idx="7">
                  <c:v>11250</c:v>
                </c:pt>
                <c:pt idx="8">
                  <c:v>14000</c:v>
                </c:pt>
                <c:pt idx="9">
                  <c:v>17000</c:v>
                </c:pt>
                <c:pt idx="10">
                  <c:v>20000</c:v>
                </c:pt>
              </c:numCache>
            </c:numRef>
          </c:val>
          <c:extLst>
            <c:ext xmlns:c16="http://schemas.microsoft.com/office/drawing/2014/chart" uri="{C3380CC4-5D6E-409C-BE32-E72D297353CC}">
              <c16:uniqueId val="{00000000-D7B0-43E5-8668-A071F9256C8F}"/>
            </c:ext>
          </c:extLst>
        </c:ser>
        <c:dLbls>
          <c:showLegendKey val="0"/>
          <c:showVal val="0"/>
          <c:showCatName val="0"/>
          <c:showSerName val="0"/>
          <c:showPercent val="0"/>
          <c:showBubbleSize val="0"/>
        </c:dLbls>
        <c:gapWidth val="150"/>
        <c:axId val="95161856"/>
        <c:axId val="158451392"/>
      </c:barChart>
      <c:catAx>
        <c:axId val="95161856"/>
        <c:scaling>
          <c:orientation val="minMax"/>
        </c:scaling>
        <c:delete val="0"/>
        <c:axPos val="b"/>
        <c:numFmt formatCode="General" sourceLinked="1"/>
        <c:majorTickMark val="out"/>
        <c:minorTickMark val="none"/>
        <c:tickLblPos val="nextTo"/>
        <c:crossAx val="158451392"/>
        <c:crosses val="autoZero"/>
        <c:auto val="1"/>
        <c:lblAlgn val="ctr"/>
        <c:lblOffset val="100"/>
        <c:noMultiLvlLbl val="0"/>
      </c:catAx>
      <c:valAx>
        <c:axId val="158451392"/>
        <c:scaling>
          <c:orientation val="minMax"/>
        </c:scaling>
        <c:delete val="0"/>
        <c:axPos val="l"/>
        <c:majorGridlines/>
        <c:numFmt formatCode="#,##0_ " sourceLinked="1"/>
        <c:majorTickMark val="out"/>
        <c:minorTickMark val="none"/>
        <c:tickLblPos val="nextTo"/>
        <c:crossAx val="95161856"/>
        <c:crosses val="autoZero"/>
        <c:crossBetween val="between"/>
      </c:valAx>
    </c:plotArea>
    <c:legend>
      <c:legendPos val="r"/>
      <c:layout>
        <c:manualLayout>
          <c:xMode val="edge"/>
          <c:yMode val="edge"/>
          <c:x val="0.25282086614173227"/>
          <c:y val="0.2228222513852435"/>
          <c:w val="0.32495691163604551"/>
          <c:h val="0.13965660542432196"/>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manualLayout>
          <c:layoutTarget val="inner"/>
          <c:xMode val="edge"/>
          <c:yMode val="edge"/>
          <c:x val="0.11423840769903762"/>
          <c:y val="5.1400554097404488E-2"/>
          <c:w val="0.86080468066491689"/>
          <c:h val="0.8326195683872849"/>
        </c:manualLayout>
      </c:layout>
      <c:barChart>
        <c:barDir val="col"/>
        <c:grouping val="clustered"/>
        <c:varyColors val="0"/>
        <c:ser>
          <c:idx val="1"/>
          <c:order val="0"/>
          <c:tx>
            <c:strRef>
              <c:f>太陽光電!$E$1</c:f>
              <c:strCache>
                <c:ptCount val="1"/>
                <c:pt idx="0">
                  <c:v>分年目標量</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太陽光電!$A$2:$A$12</c:f>
              <c:numCache>
                <c:formatCode>General</c:formatCode>
                <c:ptCount val="11"/>
                <c:pt idx="0">
                  <c:v>104</c:v>
                </c:pt>
                <c:pt idx="1">
                  <c:v>105</c:v>
                </c:pt>
                <c:pt idx="2">
                  <c:v>106</c:v>
                </c:pt>
                <c:pt idx="3">
                  <c:v>107</c:v>
                </c:pt>
                <c:pt idx="4">
                  <c:v>108</c:v>
                </c:pt>
                <c:pt idx="5">
                  <c:v>109</c:v>
                </c:pt>
                <c:pt idx="6">
                  <c:v>110</c:v>
                </c:pt>
                <c:pt idx="7">
                  <c:v>111</c:v>
                </c:pt>
                <c:pt idx="8">
                  <c:v>112</c:v>
                </c:pt>
                <c:pt idx="9">
                  <c:v>113</c:v>
                </c:pt>
                <c:pt idx="10">
                  <c:v>114</c:v>
                </c:pt>
              </c:numCache>
            </c:numRef>
          </c:cat>
          <c:val>
            <c:numRef>
              <c:f>太陽光電!$E$2:$E$12</c:f>
              <c:numCache>
                <c:formatCode>#,##0_ </c:formatCode>
                <c:ptCount val="11"/>
                <c:pt idx="0" formatCode="General">
                  <c:v>248</c:v>
                </c:pt>
                <c:pt idx="1">
                  <c:v>361</c:v>
                </c:pt>
                <c:pt idx="2">
                  <c:v>523</c:v>
                </c:pt>
                <c:pt idx="3">
                  <c:v>1069</c:v>
                </c:pt>
                <c:pt idx="4">
                  <c:v>1663</c:v>
                </c:pt>
                <c:pt idx="5">
                  <c:v>2000</c:v>
                </c:pt>
                <c:pt idx="6">
                  <c:v>2250</c:v>
                </c:pt>
                <c:pt idx="7">
                  <c:v>2500</c:v>
                </c:pt>
                <c:pt idx="8">
                  <c:v>2750</c:v>
                </c:pt>
                <c:pt idx="9">
                  <c:v>3000</c:v>
                </c:pt>
                <c:pt idx="10">
                  <c:v>3000</c:v>
                </c:pt>
              </c:numCache>
            </c:numRef>
          </c:val>
          <c:extLst>
            <c:ext xmlns:c16="http://schemas.microsoft.com/office/drawing/2014/chart" uri="{C3380CC4-5D6E-409C-BE32-E72D297353CC}">
              <c16:uniqueId val="{00000000-5A57-4EEB-943F-981CDCF83F7C}"/>
            </c:ext>
          </c:extLst>
        </c:ser>
        <c:dLbls>
          <c:showLegendKey val="0"/>
          <c:showVal val="0"/>
          <c:showCatName val="0"/>
          <c:showSerName val="0"/>
          <c:showPercent val="0"/>
          <c:showBubbleSize val="0"/>
        </c:dLbls>
        <c:gapWidth val="150"/>
        <c:axId val="120035840"/>
        <c:axId val="158453696"/>
      </c:barChart>
      <c:catAx>
        <c:axId val="120035840"/>
        <c:scaling>
          <c:orientation val="minMax"/>
        </c:scaling>
        <c:delete val="0"/>
        <c:axPos val="b"/>
        <c:numFmt formatCode="General" sourceLinked="1"/>
        <c:majorTickMark val="out"/>
        <c:minorTickMark val="none"/>
        <c:tickLblPos val="nextTo"/>
        <c:crossAx val="158453696"/>
        <c:crosses val="autoZero"/>
        <c:auto val="1"/>
        <c:lblAlgn val="ctr"/>
        <c:lblOffset val="100"/>
        <c:noMultiLvlLbl val="0"/>
      </c:catAx>
      <c:valAx>
        <c:axId val="158453696"/>
        <c:scaling>
          <c:orientation val="minMax"/>
        </c:scaling>
        <c:delete val="0"/>
        <c:axPos val="l"/>
        <c:majorGridlines/>
        <c:numFmt formatCode="General" sourceLinked="1"/>
        <c:majorTickMark val="out"/>
        <c:minorTickMark val="none"/>
        <c:tickLblPos val="nextTo"/>
        <c:crossAx val="120035840"/>
        <c:crosses val="autoZero"/>
        <c:crossBetween val="between"/>
      </c:valAx>
    </c:plotArea>
    <c:legend>
      <c:legendPos val="r"/>
      <c:layout>
        <c:manualLayout>
          <c:xMode val="edge"/>
          <c:yMode val="edge"/>
          <c:x val="0.15837642169728783"/>
          <c:y val="7.3306357538641009E-2"/>
          <c:w val="0.32495691163604551"/>
          <c:h val="0.27931321084864391"/>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9A904-4ECE-41EE-A78F-432AB9032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47</Pages>
  <Words>2914</Words>
  <Characters>16610</Characters>
  <Application>Microsoft Office Word</Application>
  <DocSecurity>0</DocSecurity>
  <Lines>138</Lines>
  <Paragraphs>38</Paragraphs>
  <ScaleCrop>false</ScaleCrop>
  <Company>cy</Company>
  <LinksUpToDate>false</LinksUpToDate>
  <CharactersWithSpaces>19486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stud01</cp:lastModifiedBy>
  <cp:revision>2</cp:revision>
  <cp:lastPrinted>2019-11-19T10:07:00Z</cp:lastPrinted>
  <dcterms:created xsi:type="dcterms:W3CDTF">2019-11-21T03:54:00Z</dcterms:created>
  <dcterms:modified xsi:type="dcterms:W3CDTF">2019-11-21T03:54:00Z</dcterms:modified>
</cp:coreProperties>
</file>