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831CE" w:rsidRDefault="00E95AD7" w:rsidP="00F37D7B">
      <w:pPr>
        <w:pStyle w:val="af2"/>
        <w:rPr>
          <w:rFonts w:hAnsi="標楷體"/>
        </w:rPr>
      </w:pPr>
      <w:r>
        <w:rPr>
          <w:rFonts w:hAnsi="標楷體" w:hint="eastAsia"/>
        </w:rPr>
        <w:t xml:space="preserve"> </w:t>
      </w:r>
      <w:r w:rsidR="00D75644" w:rsidRPr="004831CE">
        <w:rPr>
          <w:rFonts w:hAnsi="標楷體" w:hint="eastAsia"/>
        </w:rPr>
        <w:t>調查報告</w:t>
      </w:r>
      <w:r w:rsidRPr="00E95AD7">
        <w:rPr>
          <w:rFonts w:hAnsi="標楷體" w:hint="eastAsia"/>
          <w:b w:val="0"/>
          <w:spacing w:val="0"/>
          <w:sz w:val="24"/>
          <w:szCs w:val="24"/>
        </w:rPr>
        <w:t>(</w:t>
      </w:r>
      <w:r w:rsidRPr="00E95AD7">
        <w:rPr>
          <w:rFonts w:hAnsi="標楷體" w:hint="eastAsia"/>
          <w:b w:val="0"/>
          <w:spacing w:val="0"/>
          <w:sz w:val="24"/>
          <w:szCs w:val="24"/>
          <w:lang w:eastAsia="zh-HK"/>
        </w:rPr>
        <w:t>公布版)</w:t>
      </w:r>
    </w:p>
    <w:p w:rsidR="00E25849" w:rsidRPr="00C444EB" w:rsidRDefault="00E25849" w:rsidP="004E05A1">
      <w:pPr>
        <w:pStyle w:val="1"/>
        <w:ind w:left="2380" w:hanging="2380"/>
        <w:rPr>
          <w:rFonts w:hAnsi="標楷體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831CE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410521" w:rsidRPr="00C444EB">
        <w:rPr>
          <w:rFonts w:hAnsi="標楷體"/>
          <w:color w:val="000000" w:themeColor="text1"/>
        </w:rPr>
        <w:fldChar w:fldCharType="begin"/>
      </w:r>
      <w:r w:rsidR="00410521" w:rsidRPr="00C444EB">
        <w:rPr>
          <w:rFonts w:hAnsi="標楷體"/>
          <w:color w:val="000000" w:themeColor="text1"/>
        </w:rPr>
        <w:instrText xml:space="preserve"> MERGEFIELD </w:instrText>
      </w:r>
      <w:r w:rsidR="00410521" w:rsidRPr="00C444EB">
        <w:rPr>
          <w:rFonts w:hAnsi="標楷體" w:hint="eastAsia"/>
          <w:color w:val="000000" w:themeColor="text1"/>
        </w:rPr>
        <w:instrText>案由</w:instrText>
      </w:r>
      <w:r w:rsidR="00410521" w:rsidRPr="00C444EB">
        <w:rPr>
          <w:rFonts w:hAnsi="標楷體"/>
          <w:color w:val="000000" w:themeColor="text1"/>
        </w:rPr>
        <w:instrText xml:space="preserve"> </w:instrText>
      </w:r>
      <w:r w:rsidR="00410521" w:rsidRPr="00C444EB">
        <w:rPr>
          <w:rFonts w:hAnsi="標楷體"/>
          <w:color w:val="000000" w:themeColor="text1"/>
        </w:rPr>
        <w:fldChar w:fldCharType="separate"/>
      </w:r>
      <w:r w:rsidR="00410521" w:rsidRPr="00C444EB">
        <w:rPr>
          <w:rFonts w:hAnsi="標楷體" w:hint="eastAsia"/>
          <w:color w:val="000000" w:themeColor="text1"/>
        </w:rPr>
        <w:t>據訴，臺北榮民總醫院於104年2月辦理該院生活廣場整建營運移轉案，未察同年月設立之申請廠商</w:t>
      </w:r>
      <w:r w:rsidR="009314CF">
        <w:rPr>
          <w:rFonts w:hAnsi="標楷體" w:hint="eastAsia"/>
          <w:color w:val="000000" w:themeColor="text1"/>
        </w:rPr>
        <w:t>義○○○</w:t>
      </w:r>
      <w:r w:rsidR="00410521" w:rsidRPr="00C444EB">
        <w:rPr>
          <w:rFonts w:hAnsi="標楷體" w:hint="eastAsia"/>
          <w:color w:val="000000" w:themeColor="text1"/>
        </w:rPr>
        <w:t>股份有限公司，並無任何過去5年之經營實績及最近3年內之財務資料等資格條件，該公司於營運管理計畫書內逕自引用母公司</w:t>
      </w:r>
      <w:r w:rsidR="009314CF">
        <w:rPr>
          <w:rFonts w:hAnsi="標楷體" w:hint="eastAsia"/>
          <w:color w:val="000000" w:themeColor="text1"/>
        </w:rPr>
        <w:t>義○</w:t>
      </w:r>
      <w:r w:rsidR="00410521" w:rsidRPr="00C444EB">
        <w:rPr>
          <w:rFonts w:hAnsi="標楷體" w:hint="eastAsia"/>
          <w:color w:val="000000" w:themeColor="text1"/>
        </w:rPr>
        <w:t>食品股份有限公司之經營實績及財務資料，與本案申請須知規定不符且不相關，屬錯誤之事實及資訊，經財政部促參申訴審議會審議及行政法院判決俱認，顯非適法且影響評審結果，</w:t>
      </w:r>
      <w:r w:rsidR="00C52932" w:rsidRPr="00C444EB">
        <w:rPr>
          <w:rFonts w:hAnsi="標楷體" w:hint="eastAsia"/>
          <w:color w:val="000000" w:themeColor="text1"/>
        </w:rPr>
        <w:t>臺北榮民總醫院重新</w:t>
      </w:r>
      <w:r w:rsidR="00410521" w:rsidRPr="00C444EB">
        <w:rPr>
          <w:rFonts w:hAnsi="標楷體" w:hint="eastAsia"/>
          <w:color w:val="000000" w:themeColor="text1"/>
        </w:rPr>
        <w:t>辦理甄審，</w:t>
      </w:r>
      <w:r w:rsidR="00C52932" w:rsidRPr="00C444EB">
        <w:rPr>
          <w:rFonts w:hAnsi="標楷體" w:hint="eastAsia"/>
          <w:color w:val="000000" w:themeColor="text1"/>
        </w:rPr>
        <w:t>一再將該公司評</w:t>
      </w:r>
      <w:r w:rsidR="00230D77" w:rsidRPr="00C444EB">
        <w:rPr>
          <w:rFonts w:hAnsi="標楷體" w:hint="eastAsia"/>
          <w:color w:val="000000" w:themeColor="text1"/>
        </w:rPr>
        <w:t>定</w:t>
      </w:r>
      <w:r w:rsidR="00410521" w:rsidRPr="00C444EB">
        <w:rPr>
          <w:rFonts w:hAnsi="標楷體" w:hint="eastAsia"/>
          <w:color w:val="000000" w:themeColor="text1"/>
        </w:rPr>
        <w:t>為最優申請人，甄審過程是否涉有瑕疵？有無獨厚特定廠商？等，均有進一步調查釐清之必要案。</w:t>
      </w:r>
      <w:r w:rsidR="00410521" w:rsidRPr="00C444EB">
        <w:rPr>
          <w:rFonts w:hAnsi="標楷體"/>
          <w:color w:val="000000" w:themeColor="text1"/>
        </w:rPr>
        <w:fldChar w:fldCharType="end"/>
      </w:r>
    </w:p>
    <w:p w:rsidR="00E25849" w:rsidRPr="004831CE" w:rsidRDefault="00E25849" w:rsidP="004E05A1">
      <w:pPr>
        <w:pStyle w:val="1"/>
        <w:ind w:left="2380" w:hanging="2380"/>
        <w:rPr>
          <w:rFonts w:hAnsi="標楷體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4831CE">
        <w:rPr>
          <w:rFonts w:hAnsi="標楷體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413D3F" w:rsidRDefault="00E479DB" w:rsidP="00A639F4">
      <w:pPr>
        <w:pStyle w:val="10"/>
        <w:ind w:left="680" w:firstLine="680"/>
        <w:rPr>
          <w:rFonts w:hAnsi="標楷體"/>
        </w:rPr>
      </w:pPr>
      <w:bookmarkStart w:id="49" w:name="_Toc524902730"/>
      <w:r w:rsidRPr="004831CE">
        <w:rPr>
          <w:rFonts w:hAnsi="標楷體" w:hint="eastAsia"/>
        </w:rPr>
        <w:t>本案緣於</w:t>
      </w:r>
      <w:r w:rsidR="00FD45EF" w:rsidRPr="004831CE">
        <w:rPr>
          <w:rFonts w:hAnsi="標楷體" w:hint="eastAsia"/>
        </w:rPr>
        <w:t>民眾陳訴</w:t>
      </w:r>
      <w:r w:rsidR="00DA75E2" w:rsidRPr="004831CE">
        <w:rPr>
          <w:rFonts w:hAnsi="標楷體" w:hint="eastAsia"/>
        </w:rPr>
        <w:t>：</w:t>
      </w:r>
      <w:proofErr w:type="gramStart"/>
      <w:r w:rsidR="00DA75E2" w:rsidRPr="004831CE">
        <w:rPr>
          <w:rFonts w:hAnsi="標楷體" w:hint="eastAsia"/>
        </w:rPr>
        <w:t>臺</w:t>
      </w:r>
      <w:proofErr w:type="gramEnd"/>
      <w:r w:rsidR="00DA75E2" w:rsidRPr="004831CE">
        <w:rPr>
          <w:rFonts w:hAnsi="標楷體" w:hint="eastAsia"/>
        </w:rPr>
        <w:t>北榮民總醫院（下稱</w:t>
      </w:r>
      <w:proofErr w:type="gramStart"/>
      <w:r w:rsidR="00DA75E2" w:rsidRPr="004831CE">
        <w:rPr>
          <w:rFonts w:hAnsi="標楷體" w:hint="eastAsia"/>
        </w:rPr>
        <w:t>臺</w:t>
      </w:r>
      <w:proofErr w:type="gramEnd"/>
      <w:r w:rsidR="00DA75E2" w:rsidRPr="004831CE">
        <w:rPr>
          <w:rFonts w:hAnsi="標楷體" w:hint="eastAsia"/>
        </w:rPr>
        <w:t>北榮總）辦理</w:t>
      </w:r>
      <w:r w:rsidR="00FE6E00">
        <w:rPr>
          <w:rFonts w:ascii="新細明體" w:eastAsia="新細明體" w:hAnsi="新細明體" w:hint="eastAsia"/>
        </w:rPr>
        <w:t>「</w:t>
      </w:r>
      <w:r w:rsidRPr="004831CE">
        <w:rPr>
          <w:rFonts w:hAnsi="標楷體" w:hint="eastAsia"/>
        </w:rPr>
        <w:t>生活廣場整建營運移轉</w:t>
      </w:r>
      <w:r w:rsidR="00A46C35" w:rsidRPr="004831CE">
        <w:rPr>
          <w:rFonts w:hAnsi="標楷體" w:hint="eastAsia"/>
        </w:rPr>
        <w:t>案</w:t>
      </w:r>
      <w:r w:rsidR="00FE6E00">
        <w:rPr>
          <w:rFonts w:ascii="新細明體" w:eastAsia="新細明體" w:hAnsi="新細明體" w:hint="eastAsia"/>
        </w:rPr>
        <w:t>」</w:t>
      </w:r>
      <w:r w:rsidR="00A46C35" w:rsidRPr="004831CE">
        <w:rPr>
          <w:rFonts w:hAnsi="標楷體" w:hint="eastAsia"/>
        </w:rPr>
        <w:t>，</w:t>
      </w:r>
      <w:proofErr w:type="gramStart"/>
      <w:r w:rsidR="00FE6E00">
        <w:rPr>
          <w:rFonts w:hAnsi="標楷體" w:hint="eastAsia"/>
        </w:rPr>
        <w:t>甄</w:t>
      </w:r>
      <w:proofErr w:type="gramEnd"/>
      <w:r w:rsidR="00FE6E00">
        <w:rPr>
          <w:rFonts w:hAnsi="標楷體" w:hint="eastAsia"/>
        </w:rPr>
        <w:t>審評定</w:t>
      </w:r>
      <w:r w:rsidR="009314CF">
        <w:rPr>
          <w:rFonts w:hAnsi="標楷體" w:hint="eastAsia"/>
        </w:rPr>
        <w:t>義○○○</w:t>
      </w:r>
      <w:r w:rsidR="00FE6E00">
        <w:rPr>
          <w:rFonts w:hAnsi="標楷體" w:hint="eastAsia"/>
        </w:rPr>
        <w:t>股份有限公司（下稱</w:t>
      </w:r>
      <w:r w:rsidR="009314CF">
        <w:rPr>
          <w:rFonts w:hAnsi="標楷體" w:hint="eastAsia"/>
        </w:rPr>
        <w:t>義○○○</w:t>
      </w:r>
      <w:r w:rsidR="00FE6E00">
        <w:rPr>
          <w:rFonts w:hAnsi="標楷體" w:hint="eastAsia"/>
        </w:rPr>
        <w:t>公司）為最優申請人，因</w:t>
      </w:r>
      <w:proofErr w:type="gramStart"/>
      <w:r w:rsidR="00A46C35" w:rsidRPr="004831CE">
        <w:rPr>
          <w:rFonts w:hAnsi="標楷體" w:hint="eastAsia"/>
        </w:rPr>
        <w:t>甄</w:t>
      </w:r>
      <w:proofErr w:type="gramEnd"/>
      <w:r w:rsidR="00A46C35" w:rsidRPr="004831CE">
        <w:rPr>
          <w:rFonts w:hAnsi="標楷體" w:hint="eastAsia"/>
        </w:rPr>
        <w:t>審作業有</w:t>
      </w:r>
      <w:r w:rsidRPr="004831CE">
        <w:rPr>
          <w:rFonts w:hAnsi="標楷體" w:hint="eastAsia"/>
        </w:rPr>
        <w:t>重大瑕疵，</w:t>
      </w:r>
      <w:proofErr w:type="gramStart"/>
      <w:r w:rsidR="00283095" w:rsidRPr="004831CE">
        <w:rPr>
          <w:rFonts w:hAnsi="標楷體" w:hint="eastAsia"/>
        </w:rPr>
        <w:t>爰</w:t>
      </w:r>
      <w:proofErr w:type="gramEnd"/>
      <w:r w:rsidR="00CB2ACC" w:rsidRPr="004831CE">
        <w:rPr>
          <w:rFonts w:hAnsi="標楷體" w:hint="eastAsia"/>
        </w:rPr>
        <w:t>經</w:t>
      </w:r>
      <w:r w:rsidRPr="004831CE">
        <w:rPr>
          <w:rFonts w:hAnsi="標楷體" w:hint="eastAsia"/>
        </w:rPr>
        <w:t>行政法院判決撤銷</w:t>
      </w:r>
      <w:r w:rsidR="00830777" w:rsidRPr="004831CE">
        <w:rPr>
          <w:rFonts w:hAnsi="標楷體" w:hint="eastAsia"/>
        </w:rPr>
        <w:t>原處分</w:t>
      </w:r>
      <w:r w:rsidR="00A46C35" w:rsidRPr="004831CE">
        <w:rPr>
          <w:rFonts w:hAnsi="標楷體" w:hint="eastAsia"/>
        </w:rPr>
        <w:t>，</w:t>
      </w:r>
      <w:r w:rsidR="00830777" w:rsidRPr="004831CE">
        <w:rPr>
          <w:rFonts w:hAnsi="標楷體" w:hint="eastAsia"/>
        </w:rPr>
        <w:t>該院卻未依</w:t>
      </w:r>
      <w:r w:rsidR="00283095" w:rsidRPr="004831CE">
        <w:rPr>
          <w:rFonts w:hAnsi="標楷體" w:hint="eastAsia"/>
        </w:rPr>
        <w:t>行政法院</w:t>
      </w:r>
      <w:r w:rsidRPr="004831CE">
        <w:rPr>
          <w:rFonts w:hAnsi="標楷體" w:hint="eastAsia"/>
        </w:rPr>
        <w:t>判決意旨辦理</w:t>
      </w:r>
      <w:r w:rsidR="00283095" w:rsidRPr="004831CE">
        <w:rPr>
          <w:rFonts w:hAnsi="標楷體" w:hint="eastAsia"/>
        </w:rPr>
        <w:t>，</w:t>
      </w:r>
      <w:r w:rsidR="00CD1456">
        <w:rPr>
          <w:rFonts w:hAnsi="標楷體" w:hint="eastAsia"/>
        </w:rPr>
        <w:t>執意</w:t>
      </w:r>
      <w:r w:rsidR="00B77E86">
        <w:rPr>
          <w:rFonts w:hAnsi="標楷體" w:hint="eastAsia"/>
        </w:rPr>
        <w:t>作成</w:t>
      </w:r>
      <w:r w:rsidR="00B87708" w:rsidRPr="004831CE">
        <w:rPr>
          <w:rFonts w:hAnsi="標楷體" w:hint="eastAsia"/>
        </w:rPr>
        <w:t>該公司為最優申請人</w:t>
      </w:r>
      <w:r w:rsidR="00B77E86">
        <w:rPr>
          <w:rFonts w:hAnsi="標楷體" w:hint="eastAsia"/>
        </w:rPr>
        <w:t>之處分</w:t>
      </w:r>
      <w:r w:rsidR="00B87708" w:rsidRPr="004831CE">
        <w:rPr>
          <w:rFonts w:hAnsi="標楷體" w:hint="eastAsia"/>
        </w:rPr>
        <w:t>，</w:t>
      </w:r>
      <w:r w:rsidR="00283095" w:rsidRPr="004831CE">
        <w:rPr>
          <w:rFonts w:hAnsi="標楷體" w:hint="eastAsia"/>
        </w:rPr>
        <w:t>涉有違</w:t>
      </w:r>
      <w:proofErr w:type="gramStart"/>
      <w:r w:rsidR="00283095" w:rsidRPr="004831CE">
        <w:rPr>
          <w:rFonts w:hAnsi="標楷體" w:hint="eastAsia"/>
        </w:rPr>
        <w:t>失</w:t>
      </w:r>
      <w:r w:rsidRPr="004831CE">
        <w:rPr>
          <w:rFonts w:hAnsi="標楷體" w:hint="eastAsia"/>
        </w:rPr>
        <w:t>等情</w:t>
      </w:r>
      <w:proofErr w:type="gramEnd"/>
      <w:r w:rsidRPr="004831CE">
        <w:rPr>
          <w:rFonts w:hAnsi="標楷體" w:hint="eastAsia"/>
        </w:rPr>
        <w:t>。案經</w:t>
      </w:r>
      <w:r w:rsidR="00CB2ACC" w:rsidRPr="004831CE">
        <w:rPr>
          <w:rFonts w:hAnsi="標楷體" w:hint="eastAsia"/>
        </w:rPr>
        <w:t>本院</w:t>
      </w:r>
      <w:r w:rsidRPr="004831CE">
        <w:rPr>
          <w:rFonts w:hAnsi="標楷體" w:hint="eastAsia"/>
        </w:rPr>
        <w:t>向</w:t>
      </w:r>
      <w:r w:rsidR="00A1330C" w:rsidRPr="004831CE">
        <w:rPr>
          <w:rFonts w:hAnsi="標楷體" w:hint="eastAsia"/>
        </w:rPr>
        <w:t>相關機關</w:t>
      </w:r>
      <w:r w:rsidRPr="004831CE">
        <w:rPr>
          <w:rFonts w:hAnsi="標楷體" w:hint="eastAsia"/>
        </w:rPr>
        <w:t>調閱卷證資料</w:t>
      </w:r>
      <w:r w:rsidR="00FE6E00">
        <w:rPr>
          <w:rFonts w:hAnsi="標楷體" w:hint="eastAsia"/>
        </w:rPr>
        <w:t>詳閱</w:t>
      </w:r>
      <w:r w:rsidRPr="004831CE">
        <w:rPr>
          <w:rFonts w:hAnsi="標楷體" w:hint="eastAsia"/>
        </w:rPr>
        <w:t>，並</w:t>
      </w:r>
      <w:r w:rsidR="00591838">
        <w:rPr>
          <w:rFonts w:hAnsi="標楷體" w:hint="eastAsia"/>
        </w:rPr>
        <w:t>於</w:t>
      </w:r>
      <w:r w:rsidR="00595AD9">
        <w:rPr>
          <w:rFonts w:hAnsi="標楷體" w:hint="eastAsia"/>
        </w:rPr>
        <w:t>民國</w:t>
      </w:r>
      <w:r w:rsidR="00595AD9">
        <w:rPr>
          <w:rFonts w:ascii="新細明體" w:eastAsia="新細明體" w:hAnsi="新細明體" w:hint="eastAsia"/>
        </w:rPr>
        <w:t>（</w:t>
      </w:r>
      <w:r w:rsidR="00595AD9">
        <w:rPr>
          <w:rFonts w:hAnsi="標楷體" w:hint="eastAsia"/>
        </w:rPr>
        <w:t>下同）</w:t>
      </w:r>
      <w:r w:rsidR="00591838">
        <w:rPr>
          <w:rFonts w:hAnsi="標楷體" w:hint="eastAsia"/>
        </w:rPr>
        <w:t>108年8月28日</w:t>
      </w:r>
      <w:r w:rsidRPr="004831CE">
        <w:rPr>
          <w:rFonts w:hAnsi="標楷體" w:hint="eastAsia"/>
        </w:rPr>
        <w:t>詢問</w:t>
      </w:r>
      <w:r w:rsidR="00A1330C" w:rsidRPr="004831CE">
        <w:rPr>
          <w:rFonts w:hAnsi="標楷體" w:hint="eastAsia"/>
        </w:rPr>
        <w:t>國軍退除役官兵輔導委員會（下稱退輔會）</w:t>
      </w:r>
      <w:r w:rsidR="00CB2ACC" w:rsidRPr="004831CE">
        <w:rPr>
          <w:rFonts w:hAnsi="標楷體" w:hint="eastAsia"/>
        </w:rPr>
        <w:t>及</w:t>
      </w:r>
      <w:proofErr w:type="gramStart"/>
      <w:r w:rsidRPr="00413D3F">
        <w:rPr>
          <w:rFonts w:hAnsi="標楷體" w:hint="eastAsia"/>
        </w:rPr>
        <w:t>臺</w:t>
      </w:r>
      <w:proofErr w:type="gramEnd"/>
      <w:r w:rsidRPr="00413D3F">
        <w:rPr>
          <w:rFonts w:hAnsi="標楷體" w:hint="eastAsia"/>
        </w:rPr>
        <w:t>北榮總等機關人員，</w:t>
      </w:r>
      <w:r w:rsidR="00FB501B" w:rsidRPr="00413D3F">
        <w:rPr>
          <w:rFonts w:hAnsi="標楷體" w:hint="eastAsia"/>
        </w:rPr>
        <w:t>已</w:t>
      </w:r>
      <w:proofErr w:type="gramStart"/>
      <w:r w:rsidR="00FB501B" w:rsidRPr="00413D3F">
        <w:rPr>
          <w:rFonts w:hAnsi="標楷體" w:hint="eastAsia"/>
        </w:rPr>
        <w:t>調查竣</w:t>
      </w:r>
      <w:r w:rsidR="00307A76" w:rsidRPr="00413D3F">
        <w:rPr>
          <w:rFonts w:hAnsi="標楷體" w:hint="eastAsia"/>
        </w:rPr>
        <w:t>事</w:t>
      </w:r>
      <w:proofErr w:type="gramEnd"/>
      <w:r w:rsidR="00FB501B" w:rsidRPr="00413D3F">
        <w:rPr>
          <w:rFonts w:hAnsi="標楷體" w:hint="eastAsia"/>
        </w:rPr>
        <w:t>，</w:t>
      </w:r>
      <w:r w:rsidR="009351F5" w:rsidRPr="00413D3F">
        <w:rPr>
          <w:rFonts w:hAnsi="標楷體" w:hint="eastAsia"/>
        </w:rPr>
        <w:t>調查發現，本案</w:t>
      </w:r>
      <w:proofErr w:type="gramStart"/>
      <w:r w:rsidR="009351F5" w:rsidRPr="00413D3F">
        <w:rPr>
          <w:rFonts w:hAnsi="標楷體" w:hint="eastAsia"/>
        </w:rPr>
        <w:t>臺</w:t>
      </w:r>
      <w:proofErr w:type="gramEnd"/>
      <w:r w:rsidR="009351F5" w:rsidRPr="00413D3F">
        <w:rPr>
          <w:rFonts w:hAnsi="標楷體" w:hint="eastAsia"/>
        </w:rPr>
        <w:t>北榮總</w:t>
      </w:r>
      <w:r w:rsidR="00413D3F" w:rsidRPr="00413D3F">
        <w:rPr>
          <w:rFonts w:hAnsi="標楷體" w:hint="eastAsia"/>
        </w:rPr>
        <w:t>於</w:t>
      </w:r>
      <w:r w:rsidR="002C3E08">
        <w:rPr>
          <w:rFonts w:hAnsi="標楷體" w:hint="eastAsia"/>
        </w:rPr>
        <w:t>10</w:t>
      </w:r>
      <w:r w:rsidR="00413D3F" w:rsidRPr="00413D3F">
        <w:rPr>
          <w:rFonts w:hAnsi="標楷體" w:hint="eastAsia"/>
        </w:rPr>
        <w:t>4年3月作成</w:t>
      </w:r>
      <w:r w:rsidR="009314CF">
        <w:rPr>
          <w:rFonts w:hAnsi="標楷體" w:hint="eastAsia"/>
        </w:rPr>
        <w:t>義○○○</w:t>
      </w:r>
      <w:r w:rsidR="00413D3F" w:rsidRPr="00413D3F">
        <w:rPr>
          <w:rFonts w:hAnsi="標楷體" w:hint="eastAsia"/>
        </w:rPr>
        <w:t>公司為最優申請人之行政處分後，因利害關係人不服，向財政部促參申訴審議會提出申訴，經該會撤銷原處分後，該院於同年11月</w:t>
      </w:r>
      <w:r w:rsidR="00413D3F">
        <w:rPr>
          <w:rFonts w:hAnsi="標楷體" w:hint="eastAsia"/>
        </w:rPr>
        <w:t>再</w:t>
      </w:r>
      <w:r w:rsidR="00413D3F" w:rsidRPr="00413D3F">
        <w:rPr>
          <w:rFonts w:hAnsi="標楷體" w:hint="eastAsia"/>
        </w:rPr>
        <w:t>度作</w:t>
      </w:r>
      <w:r w:rsidR="00413D3F">
        <w:rPr>
          <w:rFonts w:hAnsi="標楷體" w:hint="eastAsia"/>
        </w:rPr>
        <w:t>成</w:t>
      </w:r>
      <w:r w:rsidR="00413D3F" w:rsidRPr="00413D3F">
        <w:rPr>
          <w:rFonts w:hAnsi="標楷體" w:hint="eastAsia"/>
        </w:rPr>
        <w:t>該公司為最優申請人之處分，</w:t>
      </w:r>
      <w:proofErr w:type="gramStart"/>
      <w:r w:rsidR="00413D3F" w:rsidRPr="00413D3F">
        <w:rPr>
          <w:rFonts w:hAnsi="標楷體" w:hint="eastAsia"/>
        </w:rPr>
        <w:t>嗣</w:t>
      </w:r>
      <w:proofErr w:type="gramEnd"/>
      <w:r w:rsidR="00413D3F" w:rsidRPr="00413D3F">
        <w:rPr>
          <w:rFonts w:hAnsi="標楷體" w:hint="eastAsia"/>
        </w:rPr>
        <w:t>利害關係提起行</w:t>
      </w:r>
      <w:r w:rsidR="00413D3F" w:rsidRPr="00413D3F">
        <w:rPr>
          <w:rFonts w:hAnsi="標楷體" w:hint="eastAsia"/>
        </w:rPr>
        <w:lastRenderedPageBreak/>
        <w:t>政訴訟，經行政法院判決</w:t>
      </w:r>
      <w:r w:rsidR="00413D3F">
        <w:rPr>
          <w:rFonts w:hAnsi="標楷體" w:hint="eastAsia"/>
        </w:rPr>
        <w:t>確定</w:t>
      </w:r>
      <w:r w:rsidR="00413D3F" w:rsidRPr="00413D3F">
        <w:rPr>
          <w:rFonts w:hAnsi="標楷體" w:hint="eastAsia"/>
        </w:rPr>
        <w:t>撤銷原處分後，該院於107年10月第3度作成該公司為最優申請人之處分，</w:t>
      </w:r>
      <w:r w:rsidR="00413D3F">
        <w:rPr>
          <w:rFonts w:hAnsi="標楷體" w:hint="eastAsia"/>
        </w:rPr>
        <w:t>遂引發質疑</w:t>
      </w:r>
      <w:r w:rsidR="00413D3F">
        <w:rPr>
          <w:rFonts w:ascii="新細明體" w:eastAsia="新細明體" w:hAnsi="新細明體" w:hint="eastAsia"/>
        </w:rPr>
        <w:t>。</w:t>
      </w:r>
      <w:r w:rsidR="00307A76" w:rsidRPr="00413D3F">
        <w:rPr>
          <w:rFonts w:hAnsi="標楷體" w:hint="eastAsia"/>
        </w:rPr>
        <w:t>茲</w:t>
      </w:r>
      <w:proofErr w:type="gramStart"/>
      <w:r w:rsidR="00307A76" w:rsidRPr="00413D3F">
        <w:rPr>
          <w:rFonts w:hAnsi="標楷體" w:hint="eastAsia"/>
        </w:rPr>
        <w:t>臚</w:t>
      </w:r>
      <w:proofErr w:type="gramEnd"/>
      <w:r w:rsidR="00FB501B" w:rsidRPr="00413D3F">
        <w:rPr>
          <w:rFonts w:hAnsi="標楷體" w:hint="eastAsia"/>
        </w:rPr>
        <w:t>列調查意見如下：</w:t>
      </w:r>
    </w:p>
    <w:p w:rsidR="00073CB5" w:rsidRPr="004831CE" w:rsidRDefault="00104835" w:rsidP="00DE4238">
      <w:pPr>
        <w:pStyle w:val="2"/>
        <w:rPr>
          <w:rFonts w:hAnsi="標楷體"/>
          <w:b/>
        </w:rPr>
      </w:pPr>
      <w:proofErr w:type="gramStart"/>
      <w:r w:rsidRPr="004831CE">
        <w:rPr>
          <w:rFonts w:hAnsi="標楷體" w:hint="eastAsia"/>
          <w:b/>
        </w:rPr>
        <w:t>臺</w:t>
      </w:r>
      <w:proofErr w:type="gramEnd"/>
      <w:r w:rsidRPr="004831CE">
        <w:rPr>
          <w:rFonts w:hAnsi="標楷體" w:hint="eastAsia"/>
          <w:b/>
        </w:rPr>
        <w:t>北榮總「生活廣場整建營運移轉案」</w:t>
      </w:r>
      <w:r w:rsidR="00A81461" w:rsidRPr="004831CE">
        <w:rPr>
          <w:rFonts w:hAnsi="標楷體" w:hint="eastAsia"/>
          <w:b/>
        </w:rPr>
        <w:t>申請須知</w:t>
      </w:r>
      <w:r w:rsidR="0000202B">
        <w:rPr>
          <w:rFonts w:hAnsi="標楷體" w:hint="eastAsia"/>
          <w:b/>
        </w:rPr>
        <w:t>有關</w:t>
      </w:r>
      <w:r w:rsidR="008103BE" w:rsidRPr="004831CE">
        <w:rPr>
          <w:rFonts w:hAnsi="標楷體" w:hint="eastAsia"/>
          <w:b/>
        </w:rPr>
        <w:t>「申請資格條件」</w:t>
      </w:r>
      <w:r w:rsidR="0000202B">
        <w:rPr>
          <w:rFonts w:hAnsi="標楷體" w:hint="eastAsia"/>
          <w:b/>
        </w:rPr>
        <w:t>一節</w:t>
      </w:r>
      <w:r w:rsidR="00A81461" w:rsidRPr="004831CE">
        <w:rPr>
          <w:rFonts w:hAnsi="標楷體" w:hint="eastAsia"/>
          <w:b/>
        </w:rPr>
        <w:t>並無</w:t>
      </w:r>
      <w:r w:rsidR="00CD04E6">
        <w:rPr>
          <w:rFonts w:hAnsi="標楷體" w:hint="eastAsia"/>
          <w:b/>
        </w:rPr>
        <w:t>經營實績之</w:t>
      </w:r>
      <w:r w:rsidR="00AF679D">
        <w:rPr>
          <w:rFonts w:hAnsi="標楷體" w:hint="eastAsia"/>
          <w:b/>
        </w:rPr>
        <w:t>限制</w:t>
      </w:r>
      <w:r w:rsidR="006F1207" w:rsidRPr="004831CE">
        <w:rPr>
          <w:rFonts w:hAnsi="標楷體" w:hint="eastAsia"/>
          <w:b/>
        </w:rPr>
        <w:t>，惟</w:t>
      </w:r>
      <w:r w:rsidR="004C4849">
        <w:rPr>
          <w:rFonts w:hAnsi="標楷體" w:hint="eastAsia"/>
          <w:b/>
        </w:rPr>
        <w:t>要</w:t>
      </w:r>
      <w:r w:rsidR="004C4849" w:rsidRPr="0000202B">
        <w:rPr>
          <w:rFonts w:hAnsi="標楷體" w:hint="eastAsia"/>
          <w:b/>
        </w:rPr>
        <w:t>求申請人提交的</w:t>
      </w:r>
      <w:r w:rsidR="00670838" w:rsidRPr="0000202B">
        <w:rPr>
          <w:rFonts w:hAnsi="標楷體" w:hint="eastAsia"/>
          <w:b/>
        </w:rPr>
        <w:t>「營運管理計畫書」</w:t>
      </w:r>
      <w:r w:rsidR="00B535A0">
        <w:rPr>
          <w:rFonts w:hAnsi="標楷體" w:hint="eastAsia"/>
          <w:b/>
        </w:rPr>
        <w:t>內容及</w:t>
      </w:r>
      <w:r w:rsidR="0000202B" w:rsidRPr="0000202B">
        <w:rPr>
          <w:rFonts w:hAnsi="標楷體" w:hint="eastAsia"/>
          <w:b/>
        </w:rPr>
        <w:t>評審</w:t>
      </w:r>
      <w:r w:rsidR="00EB7A26" w:rsidRPr="0000202B">
        <w:rPr>
          <w:rFonts w:hAnsi="標楷體" w:hint="eastAsia"/>
          <w:b/>
        </w:rPr>
        <w:t>項目</w:t>
      </w:r>
      <w:r w:rsidR="009B13D0" w:rsidRPr="004831CE">
        <w:rPr>
          <w:rFonts w:hAnsi="標楷體" w:hint="eastAsia"/>
          <w:b/>
        </w:rPr>
        <w:t>規定</w:t>
      </w:r>
      <w:r w:rsidR="00B535A0">
        <w:rPr>
          <w:rFonts w:ascii="新細明體" w:eastAsia="新細明體" w:hAnsi="新細明體" w:hint="eastAsia"/>
          <w:b/>
        </w:rPr>
        <w:t>，</w:t>
      </w:r>
      <w:r w:rsidR="00A81461" w:rsidRPr="004831CE">
        <w:rPr>
          <w:rFonts w:hAnsi="標楷體" w:hint="eastAsia"/>
          <w:b/>
        </w:rPr>
        <w:t>卻包含</w:t>
      </w:r>
      <w:r w:rsidR="001E3170" w:rsidRPr="004831CE">
        <w:rPr>
          <w:rFonts w:hAnsi="標楷體" w:hint="eastAsia"/>
          <w:b/>
        </w:rPr>
        <w:t>最近5</w:t>
      </w:r>
      <w:r w:rsidR="00A81461" w:rsidRPr="004831CE">
        <w:rPr>
          <w:rFonts w:hAnsi="標楷體" w:hint="eastAsia"/>
          <w:b/>
        </w:rPr>
        <w:t>年</w:t>
      </w:r>
      <w:r w:rsidR="001E3170" w:rsidRPr="004831CE">
        <w:rPr>
          <w:rFonts w:hAnsi="標楷體" w:hint="eastAsia"/>
          <w:b/>
        </w:rPr>
        <w:t>履約實績及最近3</w:t>
      </w:r>
      <w:r w:rsidR="00670838" w:rsidRPr="004831CE">
        <w:rPr>
          <w:rFonts w:hAnsi="標楷體" w:hint="eastAsia"/>
          <w:b/>
        </w:rPr>
        <w:t>年財力證明</w:t>
      </w:r>
      <w:r w:rsidR="001E3170" w:rsidRPr="004831CE">
        <w:rPr>
          <w:rFonts w:hAnsi="標楷體" w:hint="eastAsia"/>
          <w:b/>
        </w:rPr>
        <w:t>，</w:t>
      </w:r>
      <w:r w:rsidR="008103BE" w:rsidRPr="004831CE">
        <w:rPr>
          <w:rFonts w:hAnsi="標楷體" w:hint="eastAsia"/>
          <w:b/>
        </w:rPr>
        <w:t>廠商資格條件規定有</w:t>
      </w:r>
      <w:r w:rsidR="00670838" w:rsidRPr="004831CE">
        <w:rPr>
          <w:rFonts w:hAnsi="標楷體" w:hint="eastAsia"/>
          <w:b/>
        </w:rPr>
        <w:t>欠明確</w:t>
      </w:r>
      <w:r w:rsidR="008103BE" w:rsidRPr="004831CE">
        <w:rPr>
          <w:rFonts w:hAnsi="標楷體" w:hint="eastAsia"/>
          <w:b/>
        </w:rPr>
        <w:t>，</w:t>
      </w:r>
      <w:r w:rsidR="00F60755">
        <w:rPr>
          <w:rFonts w:hAnsi="標楷體" w:hint="eastAsia"/>
          <w:b/>
        </w:rPr>
        <w:t>衍</w:t>
      </w:r>
      <w:r w:rsidR="00FB49AA" w:rsidRPr="004831CE">
        <w:rPr>
          <w:rFonts w:hAnsi="標楷體" w:hint="eastAsia"/>
          <w:b/>
        </w:rPr>
        <w:t>生</w:t>
      </w:r>
      <w:r w:rsidR="00083852">
        <w:rPr>
          <w:rFonts w:hAnsi="標楷體" w:hint="eastAsia"/>
          <w:b/>
        </w:rPr>
        <w:t>爭執</w:t>
      </w:r>
      <w:r w:rsidR="003B5273" w:rsidRPr="004831CE">
        <w:rPr>
          <w:rFonts w:hAnsi="標楷體" w:hint="eastAsia"/>
          <w:b/>
        </w:rPr>
        <w:t>，</w:t>
      </w:r>
      <w:r w:rsidR="008103BE" w:rsidRPr="004831CE">
        <w:rPr>
          <w:rFonts w:hAnsi="標楷體" w:hint="eastAsia"/>
          <w:b/>
        </w:rPr>
        <w:t>又</w:t>
      </w:r>
      <w:r w:rsidR="0000202B">
        <w:rPr>
          <w:rFonts w:hAnsi="標楷體" w:hint="eastAsia"/>
          <w:b/>
        </w:rPr>
        <w:t>申請人</w:t>
      </w:r>
      <w:r w:rsidR="009314CF">
        <w:rPr>
          <w:rFonts w:hAnsi="標楷體" w:hint="eastAsia"/>
          <w:b/>
        </w:rPr>
        <w:t>義○○○</w:t>
      </w:r>
      <w:r w:rsidR="00F7462C" w:rsidRPr="004831CE">
        <w:rPr>
          <w:rFonts w:hAnsi="標楷體" w:hint="eastAsia"/>
          <w:b/>
        </w:rPr>
        <w:t>公司</w:t>
      </w:r>
      <w:r w:rsidR="00424382" w:rsidRPr="004831CE">
        <w:rPr>
          <w:rFonts w:hAnsi="標楷體" w:hint="eastAsia"/>
          <w:b/>
        </w:rPr>
        <w:t>提</w:t>
      </w:r>
      <w:r w:rsidR="00ED5F9A" w:rsidRPr="004831CE">
        <w:rPr>
          <w:rFonts w:hAnsi="標楷體" w:hint="eastAsia"/>
          <w:b/>
        </w:rPr>
        <w:t>交之</w:t>
      </w:r>
      <w:r w:rsidR="009B13D0" w:rsidRPr="004831CE">
        <w:rPr>
          <w:rFonts w:hAnsi="標楷體" w:hint="eastAsia"/>
          <w:b/>
        </w:rPr>
        <w:t>「</w:t>
      </w:r>
      <w:r w:rsidR="00424382" w:rsidRPr="004831CE">
        <w:rPr>
          <w:rFonts w:hAnsi="標楷體" w:hint="eastAsia"/>
          <w:b/>
        </w:rPr>
        <w:t>營運管理計畫書</w:t>
      </w:r>
      <w:r w:rsidR="009B13D0" w:rsidRPr="004831CE">
        <w:rPr>
          <w:rFonts w:hAnsi="標楷體" w:hint="eastAsia"/>
          <w:b/>
        </w:rPr>
        <w:t>」</w:t>
      </w:r>
      <w:r w:rsidR="002A645F" w:rsidRPr="004831CE">
        <w:rPr>
          <w:rFonts w:hAnsi="標楷體" w:hint="eastAsia"/>
          <w:b/>
        </w:rPr>
        <w:t>內容</w:t>
      </w:r>
      <w:r w:rsidR="00AF679D">
        <w:rPr>
          <w:rFonts w:hAnsi="標楷體" w:hint="eastAsia"/>
          <w:b/>
        </w:rPr>
        <w:t>大量</w:t>
      </w:r>
      <w:r w:rsidR="00163774" w:rsidRPr="004831CE">
        <w:rPr>
          <w:rFonts w:hAnsi="標楷體" w:hint="eastAsia"/>
          <w:b/>
        </w:rPr>
        <w:t>引用母公司</w:t>
      </w:r>
      <w:r w:rsidR="009314CF">
        <w:rPr>
          <w:rFonts w:hAnsi="標楷體" w:hint="eastAsia"/>
          <w:b/>
        </w:rPr>
        <w:t>義○</w:t>
      </w:r>
      <w:r w:rsidR="00163774" w:rsidRPr="004831CE">
        <w:rPr>
          <w:rFonts w:hAnsi="標楷體" w:hint="eastAsia"/>
          <w:b/>
        </w:rPr>
        <w:t>食品</w:t>
      </w:r>
      <w:r w:rsidR="003E1A00" w:rsidRPr="004831CE">
        <w:rPr>
          <w:rFonts w:hAnsi="標楷體" w:hint="eastAsia"/>
          <w:b/>
        </w:rPr>
        <w:t>股份有限</w:t>
      </w:r>
      <w:r w:rsidR="00163774" w:rsidRPr="004831CE">
        <w:rPr>
          <w:rFonts w:hAnsi="標楷體" w:hint="eastAsia"/>
          <w:b/>
        </w:rPr>
        <w:t>公司</w:t>
      </w:r>
      <w:r w:rsidR="002A645F" w:rsidRPr="004831CE">
        <w:rPr>
          <w:rFonts w:hAnsi="標楷體" w:hint="eastAsia"/>
          <w:b/>
        </w:rPr>
        <w:t>之經驗</w:t>
      </w:r>
      <w:r w:rsidR="00163774" w:rsidRPr="004831CE">
        <w:rPr>
          <w:rFonts w:hAnsi="標楷體" w:hint="eastAsia"/>
          <w:b/>
        </w:rPr>
        <w:t>實績</w:t>
      </w:r>
      <w:r w:rsidR="002A645F" w:rsidRPr="004831CE">
        <w:rPr>
          <w:rFonts w:hAnsi="標楷體" w:hint="eastAsia"/>
          <w:b/>
        </w:rPr>
        <w:t>，</w:t>
      </w:r>
      <w:r w:rsidR="008029DB" w:rsidRPr="004831CE">
        <w:rPr>
          <w:rFonts w:hAnsi="標楷體" w:hint="eastAsia"/>
          <w:b/>
        </w:rPr>
        <w:t>該院工作小組</w:t>
      </w:r>
      <w:r w:rsidR="00C64EB0" w:rsidRPr="004831CE">
        <w:rPr>
          <w:rFonts w:hAnsi="標楷體" w:hint="eastAsia"/>
          <w:b/>
        </w:rPr>
        <w:t>初審意見</w:t>
      </w:r>
      <w:r w:rsidR="00CD04E6">
        <w:rPr>
          <w:rFonts w:hAnsi="標楷體" w:hint="eastAsia"/>
          <w:b/>
        </w:rPr>
        <w:t>混淆誤認</w:t>
      </w:r>
      <w:r w:rsidR="00AF679D" w:rsidRPr="00AF679D">
        <w:rPr>
          <w:rFonts w:hAnsi="標楷體" w:hint="eastAsia"/>
          <w:b/>
        </w:rPr>
        <w:t>兩家公司</w:t>
      </w:r>
      <w:r w:rsidR="00AF679D">
        <w:rPr>
          <w:rFonts w:hAnsi="標楷體" w:hint="eastAsia"/>
          <w:b/>
        </w:rPr>
        <w:t>的</w:t>
      </w:r>
      <w:r w:rsidR="00AF679D" w:rsidRPr="00AF679D">
        <w:rPr>
          <w:rFonts w:hAnsi="標楷體" w:hint="eastAsia"/>
          <w:b/>
        </w:rPr>
        <w:t>經驗實績，</w:t>
      </w:r>
      <w:r w:rsidR="008029DB" w:rsidRPr="004831CE">
        <w:rPr>
          <w:rFonts w:hAnsi="標楷體" w:hint="eastAsia"/>
          <w:b/>
        </w:rPr>
        <w:t>未將</w:t>
      </w:r>
      <w:r w:rsidR="00F27D53" w:rsidRPr="004831CE">
        <w:rPr>
          <w:rFonts w:hAnsi="標楷體" w:hint="eastAsia"/>
          <w:b/>
        </w:rPr>
        <w:t>錯誤事實</w:t>
      </w:r>
      <w:r w:rsidR="00C64EB0" w:rsidRPr="004831CE">
        <w:rPr>
          <w:rFonts w:hAnsi="標楷體" w:hint="eastAsia"/>
          <w:b/>
        </w:rPr>
        <w:t>及資訊</w:t>
      </w:r>
      <w:r w:rsidR="00CD04E6">
        <w:rPr>
          <w:rFonts w:hAnsi="標楷體" w:hint="eastAsia"/>
          <w:b/>
        </w:rPr>
        <w:t>予以</w:t>
      </w:r>
      <w:r w:rsidR="00F27D53" w:rsidRPr="004831CE">
        <w:rPr>
          <w:rFonts w:hAnsi="標楷體" w:hint="eastAsia"/>
          <w:b/>
        </w:rPr>
        <w:t>排除，</w:t>
      </w:r>
      <w:proofErr w:type="gramStart"/>
      <w:r w:rsidR="00A81461" w:rsidRPr="004831CE">
        <w:rPr>
          <w:rFonts w:hAnsi="標楷體" w:hint="eastAsia"/>
          <w:b/>
        </w:rPr>
        <w:t>甄</w:t>
      </w:r>
      <w:proofErr w:type="gramEnd"/>
      <w:r w:rsidR="00A81461" w:rsidRPr="004831CE">
        <w:rPr>
          <w:rFonts w:hAnsi="標楷體" w:hint="eastAsia"/>
          <w:b/>
        </w:rPr>
        <w:t>審</w:t>
      </w:r>
      <w:r w:rsidR="00CB29B8" w:rsidRPr="004831CE">
        <w:rPr>
          <w:rFonts w:hAnsi="標楷體" w:hint="eastAsia"/>
          <w:b/>
        </w:rPr>
        <w:t>會</w:t>
      </w:r>
      <w:r w:rsidR="00CD04E6">
        <w:rPr>
          <w:rFonts w:hAnsi="標楷體" w:hint="eastAsia"/>
          <w:b/>
        </w:rPr>
        <w:t>亦</w:t>
      </w:r>
      <w:r w:rsidR="00CB29B8" w:rsidRPr="004831CE">
        <w:rPr>
          <w:rFonts w:hAnsi="標楷體" w:hint="eastAsia"/>
          <w:b/>
        </w:rPr>
        <w:t>疏</w:t>
      </w:r>
      <w:r w:rsidR="00ED5F9A" w:rsidRPr="004831CE">
        <w:rPr>
          <w:rFonts w:hAnsi="標楷體" w:hint="eastAsia"/>
          <w:b/>
        </w:rPr>
        <w:t>未察</w:t>
      </w:r>
      <w:r w:rsidR="002D3641" w:rsidRPr="004831CE">
        <w:rPr>
          <w:rFonts w:hAnsi="標楷體" w:hint="eastAsia"/>
          <w:b/>
        </w:rPr>
        <w:t>覺</w:t>
      </w:r>
      <w:r w:rsidR="008103BE" w:rsidRPr="004831CE">
        <w:rPr>
          <w:rFonts w:hAnsi="標楷體" w:hint="eastAsia"/>
          <w:b/>
        </w:rPr>
        <w:t>而</w:t>
      </w:r>
      <w:r w:rsidR="00F27D53" w:rsidRPr="004831CE">
        <w:rPr>
          <w:rFonts w:hAnsi="標楷體" w:hint="eastAsia"/>
          <w:b/>
        </w:rPr>
        <w:t>納入評分考量，</w:t>
      </w:r>
      <w:r w:rsidR="009B3E73" w:rsidRPr="004831CE">
        <w:rPr>
          <w:rFonts w:hAnsi="標楷體" w:hint="eastAsia"/>
          <w:b/>
        </w:rPr>
        <w:t>該院</w:t>
      </w:r>
      <w:r w:rsidR="00B61C8E" w:rsidRPr="004831CE">
        <w:rPr>
          <w:rFonts w:hAnsi="標楷體" w:hint="eastAsia"/>
          <w:b/>
        </w:rPr>
        <w:t>1</w:t>
      </w:r>
      <w:r w:rsidR="002A645F" w:rsidRPr="004831CE">
        <w:rPr>
          <w:rFonts w:hAnsi="標楷體" w:hint="eastAsia"/>
          <w:b/>
        </w:rPr>
        <w:t>04年</w:t>
      </w:r>
      <w:r w:rsidR="00062CC3" w:rsidRPr="004831CE">
        <w:rPr>
          <w:rFonts w:hAnsi="標楷體" w:hint="eastAsia"/>
          <w:b/>
        </w:rPr>
        <w:t>3月</w:t>
      </w:r>
      <w:r w:rsidR="003310C1" w:rsidRPr="004831CE">
        <w:rPr>
          <w:rFonts w:hAnsi="標楷體" w:hint="eastAsia"/>
          <w:b/>
        </w:rPr>
        <w:t>評定</w:t>
      </w:r>
      <w:r w:rsidR="009314CF">
        <w:rPr>
          <w:rFonts w:hAnsi="標楷體" w:hint="eastAsia"/>
          <w:b/>
        </w:rPr>
        <w:t>義○○○</w:t>
      </w:r>
      <w:r w:rsidR="002A645F" w:rsidRPr="004831CE">
        <w:rPr>
          <w:rFonts w:hAnsi="標楷體" w:hint="eastAsia"/>
          <w:b/>
        </w:rPr>
        <w:t>公司為最優申請人</w:t>
      </w:r>
      <w:r w:rsidR="00F95BF2" w:rsidRPr="004831CE">
        <w:rPr>
          <w:rFonts w:hAnsi="標楷體" w:hint="eastAsia"/>
          <w:b/>
        </w:rPr>
        <w:t>之處分，核</w:t>
      </w:r>
      <w:r w:rsidR="009B3E73" w:rsidRPr="004831CE">
        <w:rPr>
          <w:rFonts w:hAnsi="標楷體" w:hint="eastAsia"/>
          <w:b/>
        </w:rPr>
        <w:t>有違法瑕疵</w:t>
      </w:r>
      <w:r w:rsidR="00ED5F9A" w:rsidRPr="004831CE">
        <w:rPr>
          <w:rFonts w:hAnsi="標楷體" w:hint="eastAsia"/>
          <w:b/>
        </w:rPr>
        <w:t>，</w:t>
      </w:r>
      <w:r w:rsidR="00E50650" w:rsidRPr="004831CE">
        <w:rPr>
          <w:rFonts w:hAnsi="標楷體" w:hint="eastAsia"/>
          <w:b/>
        </w:rPr>
        <w:t>本案廠商資格條件</w:t>
      </w:r>
      <w:r w:rsidR="00F60755">
        <w:rPr>
          <w:rFonts w:hAnsi="標楷體" w:hint="eastAsia"/>
          <w:b/>
        </w:rPr>
        <w:t>之相關</w:t>
      </w:r>
      <w:r w:rsidR="00B56E59" w:rsidRPr="004831CE">
        <w:rPr>
          <w:rFonts w:hAnsi="標楷體" w:hint="eastAsia"/>
          <w:b/>
        </w:rPr>
        <w:t>規</w:t>
      </w:r>
      <w:r w:rsidR="00F27D53" w:rsidRPr="004831CE">
        <w:rPr>
          <w:rFonts w:hAnsi="標楷體" w:hint="eastAsia"/>
          <w:b/>
        </w:rPr>
        <w:t>定</w:t>
      </w:r>
      <w:r w:rsidR="00046874" w:rsidRPr="004831CE">
        <w:rPr>
          <w:rFonts w:hAnsi="標楷體" w:hint="eastAsia"/>
          <w:b/>
        </w:rPr>
        <w:t>未盡周延，</w:t>
      </w:r>
      <w:proofErr w:type="gramStart"/>
      <w:r w:rsidR="00203DBF" w:rsidRPr="004831CE">
        <w:rPr>
          <w:rFonts w:hAnsi="標楷體" w:hint="eastAsia"/>
          <w:b/>
        </w:rPr>
        <w:t>甄</w:t>
      </w:r>
      <w:proofErr w:type="gramEnd"/>
      <w:r w:rsidR="008029DB" w:rsidRPr="004831CE">
        <w:rPr>
          <w:rFonts w:hAnsi="標楷體" w:hint="eastAsia"/>
          <w:b/>
        </w:rPr>
        <w:t>審</w:t>
      </w:r>
      <w:r w:rsidR="00B56E59" w:rsidRPr="004831CE">
        <w:rPr>
          <w:rFonts w:hAnsi="標楷體" w:hint="eastAsia"/>
          <w:b/>
        </w:rPr>
        <w:t>作業</w:t>
      </w:r>
      <w:r w:rsidR="00046874" w:rsidRPr="004831CE">
        <w:rPr>
          <w:rFonts w:hAnsi="標楷體" w:hint="eastAsia"/>
          <w:b/>
        </w:rPr>
        <w:t>有失</w:t>
      </w:r>
      <w:r w:rsidR="00163774" w:rsidRPr="004831CE">
        <w:rPr>
          <w:rFonts w:hAnsi="標楷體" w:hint="eastAsia"/>
          <w:b/>
        </w:rPr>
        <w:t>謹慎，允應</w:t>
      </w:r>
      <w:r w:rsidR="002D3641" w:rsidRPr="004831CE">
        <w:rPr>
          <w:rFonts w:hAnsi="標楷體" w:hint="eastAsia"/>
          <w:b/>
        </w:rPr>
        <w:t>確實</w:t>
      </w:r>
      <w:r w:rsidR="00163774" w:rsidRPr="004831CE">
        <w:rPr>
          <w:rFonts w:hAnsi="標楷體" w:hint="eastAsia"/>
          <w:b/>
        </w:rPr>
        <w:t>檢討改善</w:t>
      </w:r>
      <w:r w:rsidR="00F27D53" w:rsidRPr="004831CE">
        <w:rPr>
          <w:rFonts w:hAnsi="標楷體" w:hint="eastAsia"/>
          <w:b/>
        </w:rPr>
        <w:t>。</w:t>
      </w:r>
    </w:p>
    <w:p w:rsidR="00073CB5" w:rsidRPr="004831CE" w:rsidRDefault="0084033A" w:rsidP="00DE4238">
      <w:pPr>
        <w:pStyle w:val="3"/>
        <w:rPr>
          <w:rFonts w:hAnsi="標楷體"/>
        </w:rPr>
      </w:pP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</w:t>
      </w:r>
      <w:r w:rsidR="00046874" w:rsidRPr="004831CE">
        <w:rPr>
          <w:rFonts w:hAnsi="標楷體" w:hint="eastAsia"/>
        </w:rPr>
        <w:t>為使</w:t>
      </w:r>
      <w:r w:rsidR="0063318D" w:rsidRPr="004831CE">
        <w:rPr>
          <w:rFonts w:hAnsi="標楷體" w:hint="eastAsia"/>
        </w:rPr>
        <w:t>前往該院</w:t>
      </w:r>
      <w:r w:rsidR="002320B5" w:rsidRPr="004831CE">
        <w:rPr>
          <w:rFonts w:hAnsi="標楷體" w:hint="eastAsia"/>
        </w:rPr>
        <w:t>之</w:t>
      </w:r>
      <w:r w:rsidR="00046874" w:rsidRPr="004831CE">
        <w:rPr>
          <w:rFonts w:hAnsi="標楷體" w:hint="eastAsia"/>
        </w:rPr>
        <w:t>病友</w:t>
      </w:r>
      <w:r w:rsidR="0063318D" w:rsidRPr="004831CE">
        <w:rPr>
          <w:rFonts w:hAnsi="標楷體" w:hint="eastAsia"/>
        </w:rPr>
        <w:t>有優質消費與休憩處所，鼓勵民間投資，</w:t>
      </w:r>
      <w:r w:rsidR="00B57E1A" w:rsidRPr="004831CE">
        <w:rPr>
          <w:rFonts w:hAnsi="標楷體" w:hint="eastAsia"/>
        </w:rPr>
        <w:t>期</w:t>
      </w:r>
      <w:r w:rsidR="0063318D" w:rsidRPr="004831CE">
        <w:rPr>
          <w:rFonts w:hAnsi="標楷體" w:hint="eastAsia"/>
        </w:rPr>
        <w:t>提升經營效率</w:t>
      </w:r>
      <w:r w:rsidR="00B57E1A" w:rsidRPr="004831CE">
        <w:rPr>
          <w:rFonts w:hAnsi="標楷體" w:hint="eastAsia"/>
        </w:rPr>
        <w:t>並</w:t>
      </w:r>
      <w:r w:rsidR="0063318D" w:rsidRPr="004831CE">
        <w:rPr>
          <w:rFonts w:hAnsi="標楷體" w:hint="eastAsia"/>
        </w:rPr>
        <w:t>減少政府財政支出，</w:t>
      </w:r>
      <w:proofErr w:type="gramStart"/>
      <w:r w:rsidR="0063318D" w:rsidRPr="004831CE">
        <w:rPr>
          <w:rFonts w:hAnsi="標楷體" w:hint="eastAsia"/>
        </w:rPr>
        <w:t>爰</w:t>
      </w:r>
      <w:proofErr w:type="gramEnd"/>
      <w:r w:rsidR="0063318D" w:rsidRPr="004831CE">
        <w:rPr>
          <w:rFonts w:hAnsi="標楷體" w:hint="eastAsia"/>
        </w:rPr>
        <w:t>規劃</w:t>
      </w:r>
      <w:r w:rsidRPr="004831CE">
        <w:rPr>
          <w:rFonts w:hAnsi="標楷體" w:hint="eastAsia"/>
        </w:rPr>
        <w:t>「生活廣場整建營運移轉案」</w:t>
      </w:r>
      <w:r w:rsidR="0080193E" w:rsidRPr="004831CE">
        <w:rPr>
          <w:rFonts w:hAnsi="標楷體" w:hint="eastAsia"/>
        </w:rPr>
        <w:t>（下稱本案）</w:t>
      </w:r>
      <w:r w:rsidRPr="004831CE">
        <w:rPr>
          <w:rFonts w:hAnsi="標楷體" w:hint="eastAsia"/>
        </w:rPr>
        <w:t>，</w:t>
      </w:r>
      <w:r w:rsidR="000B5AF4" w:rsidRPr="004831CE">
        <w:rPr>
          <w:rFonts w:hAnsi="標楷體" w:hint="eastAsia"/>
        </w:rPr>
        <w:t>簽奉退輔會於104年1月14日核定授權該院辦理招商、簽約及履約督導等事宜</w:t>
      </w:r>
      <w:r w:rsidR="008B791A" w:rsidRPr="004831CE">
        <w:rPr>
          <w:rFonts w:hAnsi="標楷體" w:hint="eastAsia"/>
        </w:rPr>
        <w:t>。</w:t>
      </w:r>
      <w:r w:rsidR="007C6A05" w:rsidRPr="004831CE">
        <w:rPr>
          <w:rFonts w:hAnsi="標楷體" w:hint="eastAsia"/>
        </w:rPr>
        <w:t>該院</w:t>
      </w:r>
      <w:proofErr w:type="gramStart"/>
      <w:r w:rsidR="0063318D" w:rsidRPr="004831CE">
        <w:rPr>
          <w:rFonts w:hAnsi="標楷體" w:hint="eastAsia"/>
        </w:rPr>
        <w:t>嗣</w:t>
      </w:r>
      <w:proofErr w:type="gramEnd"/>
      <w:r w:rsidR="007C6A05" w:rsidRPr="004831CE">
        <w:rPr>
          <w:rFonts w:hAnsi="標楷體" w:hint="eastAsia"/>
        </w:rPr>
        <w:t>依</w:t>
      </w:r>
      <w:r w:rsidR="004C7BFA" w:rsidRPr="004831CE">
        <w:rPr>
          <w:rFonts w:hAnsi="標楷體" w:hint="eastAsia"/>
        </w:rPr>
        <w:t>「民間參與公共建設</w:t>
      </w:r>
      <w:proofErr w:type="gramStart"/>
      <w:r w:rsidR="004C7BFA" w:rsidRPr="004831CE">
        <w:rPr>
          <w:rFonts w:hAnsi="標楷體" w:hint="eastAsia"/>
        </w:rPr>
        <w:t>甄</w:t>
      </w:r>
      <w:proofErr w:type="gramEnd"/>
      <w:r w:rsidR="004C7BFA" w:rsidRPr="004831CE">
        <w:rPr>
          <w:rFonts w:hAnsi="標楷體" w:hint="eastAsia"/>
        </w:rPr>
        <w:t>審委員會組織及評審辦法」（下稱</w:t>
      </w:r>
      <w:proofErr w:type="gramStart"/>
      <w:r w:rsidR="004C7BFA" w:rsidRPr="004831CE">
        <w:rPr>
          <w:rFonts w:hAnsi="標楷體" w:hint="eastAsia"/>
        </w:rPr>
        <w:t>甄</w:t>
      </w:r>
      <w:proofErr w:type="gramEnd"/>
      <w:r w:rsidR="004C7BFA" w:rsidRPr="004831CE">
        <w:rPr>
          <w:rFonts w:hAnsi="標楷體" w:hint="eastAsia"/>
        </w:rPr>
        <w:t>審辦法）第</w:t>
      </w:r>
      <w:r w:rsidR="004C7BFA" w:rsidRPr="004831CE">
        <w:rPr>
          <w:rFonts w:hAnsi="標楷體"/>
        </w:rPr>
        <w:t>4</w:t>
      </w:r>
      <w:r w:rsidR="004C7BFA" w:rsidRPr="004831CE">
        <w:rPr>
          <w:rFonts w:hAnsi="標楷體" w:hint="eastAsia"/>
        </w:rPr>
        <w:t>條規定籌組</w:t>
      </w:r>
      <w:proofErr w:type="gramStart"/>
      <w:r w:rsidR="004C7BFA" w:rsidRPr="004831CE">
        <w:rPr>
          <w:rFonts w:hAnsi="標楷體" w:hint="eastAsia"/>
        </w:rPr>
        <w:t>甄</w:t>
      </w:r>
      <w:proofErr w:type="gramEnd"/>
      <w:r w:rsidR="004C7BFA" w:rsidRPr="004831CE">
        <w:rPr>
          <w:rFonts w:hAnsi="標楷體" w:hint="eastAsia"/>
        </w:rPr>
        <w:t>審</w:t>
      </w:r>
      <w:r w:rsidR="002320B5" w:rsidRPr="004831CE">
        <w:rPr>
          <w:rFonts w:hAnsi="標楷體" w:hint="eastAsia"/>
        </w:rPr>
        <w:t>委員</w:t>
      </w:r>
      <w:r w:rsidR="004C7BFA" w:rsidRPr="004831CE">
        <w:rPr>
          <w:rFonts w:hAnsi="標楷體" w:hint="eastAsia"/>
        </w:rPr>
        <w:t>會</w:t>
      </w:r>
      <w:r w:rsidR="002320B5" w:rsidRPr="004831CE">
        <w:rPr>
          <w:rFonts w:hAnsi="標楷體" w:hint="eastAsia"/>
        </w:rPr>
        <w:t>（下稱</w:t>
      </w:r>
      <w:proofErr w:type="gramStart"/>
      <w:r w:rsidR="002320B5" w:rsidRPr="004831CE">
        <w:rPr>
          <w:rFonts w:hAnsi="標楷體" w:hint="eastAsia"/>
        </w:rPr>
        <w:t>甄</w:t>
      </w:r>
      <w:proofErr w:type="gramEnd"/>
      <w:r w:rsidR="002320B5" w:rsidRPr="004831CE">
        <w:rPr>
          <w:rFonts w:hAnsi="標楷體" w:hint="eastAsia"/>
        </w:rPr>
        <w:t>審會）</w:t>
      </w:r>
      <w:r w:rsidR="004C7BFA" w:rsidRPr="004831CE">
        <w:rPr>
          <w:rFonts w:hAnsi="標楷體" w:hint="eastAsia"/>
        </w:rPr>
        <w:t>，置委員11</w:t>
      </w:r>
      <w:r w:rsidR="00CE4DCB" w:rsidRPr="004831CE">
        <w:rPr>
          <w:rFonts w:hAnsi="標楷體" w:hint="eastAsia"/>
        </w:rPr>
        <w:t>人（院派人員</w:t>
      </w:r>
      <w:r w:rsidR="004C7BFA" w:rsidRPr="004831CE">
        <w:rPr>
          <w:rFonts w:hAnsi="標楷體" w:hint="eastAsia"/>
        </w:rPr>
        <w:t>5人，外聘</w:t>
      </w:r>
      <w:r w:rsidR="00CE4DCB" w:rsidRPr="004831CE">
        <w:rPr>
          <w:rFonts w:hAnsi="標楷體" w:hint="eastAsia"/>
        </w:rPr>
        <w:t>專家學者</w:t>
      </w:r>
      <w:r w:rsidR="004C7BFA" w:rsidRPr="004831CE">
        <w:rPr>
          <w:rFonts w:hAnsi="標楷體" w:hint="eastAsia"/>
        </w:rPr>
        <w:t>6人）</w:t>
      </w:r>
      <w:r w:rsidR="00CD7840" w:rsidRPr="004831CE">
        <w:rPr>
          <w:rFonts w:hAnsi="標楷體" w:hint="eastAsia"/>
        </w:rPr>
        <w:t>，並依</w:t>
      </w:r>
      <w:proofErr w:type="gramStart"/>
      <w:r w:rsidR="00CD7840" w:rsidRPr="004831CE">
        <w:rPr>
          <w:rFonts w:hAnsi="標楷體" w:hint="eastAsia"/>
        </w:rPr>
        <w:t>甄</w:t>
      </w:r>
      <w:proofErr w:type="gramEnd"/>
      <w:r w:rsidR="00CD7840" w:rsidRPr="004831CE">
        <w:rPr>
          <w:rFonts w:hAnsi="標楷體" w:hint="eastAsia"/>
        </w:rPr>
        <w:t>審辦法第13條第1、2項規定成立工作小組。</w:t>
      </w:r>
      <w:r w:rsidR="00EA1E76" w:rsidRPr="00EA1E76">
        <w:rPr>
          <w:rFonts w:hAnsi="標楷體" w:hint="eastAsia"/>
        </w:rPr>
        <w:t>依</w:t>
      </w:r>
      <w:proofErr w:type="gramStart"/>
      <w:r w:rsidR="00EA1E76" w:rsidRPr="00EA1E76">
        <w:rPr>
          <w:rFonts w:hAnsi="標楷體" w:hint="eastAsia"/>
        </w:rPr>
        <w:t>甄</w:t>
      </w:r>
      <w:proofErr w:type="gramEnd"/>
      <w:r w:rsidR="00EA1E76" w:rsidRPr="00EA1E76">
        <w:rPr>
          <w:rFonts w:hAnsi="標楷體" w:hint="eastAsia"/>
        </w:rPr>
        <w:t>審辦法第16條、第17條及第18條規定，評審作業分資格審查及綜合評審二階段，由工作小組就申請人提送之資格文件進行審查，工作小組就合格廠商提出初審意見，送請</w:t>
      </w:r>
      <w:proofErr w:type="gramStart"/>
      <w:r w:rsidR="00EA1E76" w:rsidRPr="00EA1E76">
        <w:rPr>
          <w:rFonts w:hAnsi="標楷體" w:hint="eastAsia"/>
        </w:rPr>
        <w:t>甄</w:t>
      </w:r>
      <w:proofErr w:type="gramEnd"/>
      <w:r w:rsidR="00EA1E76" w:rsidRPr="00EA1E76">
        <w:rPr>
          <w:rFonts w:hAnsi="標楷體" w:hint="eastAsia"/>
        </w:rPr>
        <w:t>審會綜合評審，</w:t>
      </w:r>
      <w:proofErr w:type="gramStart"/>
      <w:r w:rsidR="00EA1E76" w:rsidRPr="00EA1E76">
        <w:rPr>
          <w:rFonts w:hAnsi="標楷體" w:hint="eastAsia"/>
        </w:rPr>
        <w:t>採</w:t>
      </w:r>
      <w:proofErr w:type="gramEnd"/>
      <w:r w:rsidR="00EA1E76" w:rsidRPr="00EA1E76">
        <w:rPr>
          <w:rFonts w:hAnsi="標楷體" w:hint="eastAsia"/>
        </w:rPr>
        <w:t>序位法評定最優申請人與次優申請人。</w:t>
      </w:r>
      <w:r w:rsidR="00EA1E76">
        <w:rPr>
          <w:rFonts w:hAnsi="標楷體" w:hint="eastAsia"/>
        </w:rPr>
        <w:t>另</w:t>
      </w:r>
      <w:r w:rsidR="00CD7840" w:rsidRPr="004831CE">
        <w:rPr>
          <w:rFonts w:hAnsi="標楷體" w:hint="eastAsia"/>
        </w:rPr>
        <w:t>該院於同年1月28日召開第1次</w:t>
      </w:r>
      <w:proofErr w:type="gramStart"/>
      <w:r w:rsidR="00CD7840" w:rsidRPr="004831CE">
        <w:rPr>
          <w:rFonts w:hAnsi="標楷體" w:hint="eastAsia"/>
        </w:rPr>
        <w:t>甄</w:t>
      </w:r>
      <w:proofErr w:type="gramEnd"/>
      <w:r w:rsidR="00CD7840" w:rsidRPr="004831CE">
        <w:rPr>
          <w:rFonts w:hAnsi="標楷體" w:hint="eastAsia"/>
        </w:rPr>
        <w:t>審會議決議通過本案「</w:t>
      </w:r>
      <w:proofErr w:type="gramStart"/>
      <w:r w:rsidR="00CD7840" w:rsidRPr="004831CE">
        <w:rPr>
          <w:rFonts w:hAnsi="標楷體" w:hint="eastAsia"/>
        </w:rPr>
        <w:t>甄</w:t>
      </w:r>
      <w:proofErr w:type="gramEnd"/>
      <w:r w:rsidR="00CD7840" w:rsidRPr="004831CE">
        <w:rPr>
          <w:rFonts w:hAnsi="標楷體" w:hint="eastAsia"/>
        </w:rPr>
        <w:t>審</w:t>
      </w:r>
      <w:r w:rsidR="00CD7840" w:rsidRPr="004831CE">
        <w:rPr>
          <w:rFonts w:hAnsi="標楷體" w:hint="eastAsia"/>
        </w:rPr>
        <w:lastRenderedPageBreak/>
        <w:t>委員會評審辦法」（下稱</w:t>
      </w:r>
      <w:r w:rsidR="00342FFA">
        <w:rPr>
          <w:rFonts w:hAnsi="標楷體" w:hint="eastAsia"/>
        </w:rPr>
        <w:t>本案</w:t>
      </w:r>
      <w:r w:rsidR="00CD7840" w:rsidRPr="004831CE">
        <w:rPr>
          <w:rFonts w:hAnsi="標楷體" w:hint="eastAsia"/>
        </w:rPr>
        <w:t>評審辦法），</w:t>
      </w:r>
      <w:r w:rsidR="002320B5" w:rsidRPr="004831CE">
        <w:rPr>
          <w:rFonts w:hAnsi="標楷體" w:hint="eastAsia"/>
        </w:rPr>
        <w:t>並據以</w:t>
      </w:r>
      <w:r w:rsidR="00CD7840" w:rsidRPr="004831CE">
        <w:rPr>
          <w:rFonts w:hAnsi="標楷體" w:hint="eastAsia"/>
        </w:rPr>
        <w:t>訂定</w:t>
      </w:r>
      <w:r w:rsidR="008B791A" w:rsidRPr="004831CE">
        <w:rPr>
          <w:rFonts w:hAnsi="標楷體" w:hint="eastAsia"/>
        </w:rPr>
        <w:t>「綜合評審</w:t>
      </w:r>
      <w:proofErr w:type="gramStart"/>
      <w:r w:rsidR="008B791A" w:rsidRPr="004831CE">
        <w:rPr>
          <w:rFonts w:hAnsi="標楷體" w:hint="eastAsia"/>
        </w:rPr>
        <w:t>配分表</w:t>
      </w:r>
      <w:proofErr w:type="gramEnd"/>
      <w:r w:rsidR="008B791A" w:rsidRPr="004831CE">
        <w:rPr>
          <w:rFonts w:hAnsi="標楷體" w:hint="eastAsia"/>
        </w:rPr>
        <w:t>」</w:t>
      </w:r>
      <w:r w:rsidR="00EA1E76">
        <w:rPr>
          <w:rFonts w:ascii="新細明體" w:eastAsia="新細明體" w:hAnsi="新細明體" w:hint="eastAsia"/>
        </w:rPr>
        <w:t>，</w:t>
      </w:r>
      <w:r w:rsidR="00EA1E76">
        <w:rPr>
          <w:rFonts w:hAnsi="標楷體" w:hint="eastAsia"/>
        </w:rPr>
        <w:t>明定評審項目及配分。</w:t>
      </w:r>
    </w:p>
    <w:p w:rsidR="004C7BFA" w:rsidRPr="00C87BAD" w:rsidRDefault="00725DF5" w:rsidP="00DE4238">
      <w:pPr>
        <w:pStyle w:val="3"/>
        <w:rPr>
          <w:rFonts w:hAnsi="標楷體"/>
        </w:rPr>
      </w:pPr>
      <w:r>
        <w:rPr>
          <w:rFonts w:hAnsi="標楷體" w:hint="eastAsia"/>
        </w:rPr>
        <w:t>依</w:t>
      </w:r>
      <w:r w:rsidR="0057138C" w:rsidRPr="004831CE">
        <w:rPr>
          <w:rFonts w:hAnsi="標楷體" w:hint="eastAsia"/>
        </w:rPr>
        <w:t>本案</w:t>
      </w:r>
      <w:r w:rsidR="00B16BE7" w:rsidRPr="004831CE">
        <w:rPr>
          <w:rFonts w:hAnsi="標楷體" w:hint="eastAsia"/>
        </w:rPr>
        <w:t>申請須知貳、二</w:t>
      </w:r>
      <w:r>
        <w:rPr>
          <w:rFonts w:hAnsi="標楷體" w:hint="eastAsia"/>
        </w:rPr>
        <w:t>規定</w:t>
      </w:r>
      <w:r>
        <w:rPr>
          <w:rFonts w:ascii="新細明體" w:eastAsia="新細明體" w:hAnsi="新細明體" w:hint="eastAsia"/>
        </w:rPr>
        <w:t>，</w:t>
      </w:r>
      <w:r w:rsidR="00EC6D4B" w:rsidRPr="004831CE">
        <w:rPr>
          <w:rFonts w:hAnsi="標楷體" w:hint="eastAsia"/>
        </w:rPr>
        <w:t>「申請資格條件及應檢具之資格文件」為</w:t>
      </w:r>
      <w:r w:rsidR="00B16BE7" w:rsidRPr="004831CE">
        <w:rPr>
          <w:rFonts w:hAnsi="標楷體" w:hint="eastAsia"/>
        </w:rPr>
        <w:t>「申請人公司或法人登記或設立之證明」、「最近一期或前一期營業稅納稅證明，或所得稅納稅證明」、「</w:t>
      </w:r>
      <w:r w:rsidR="00A64C34" w:rsidRPr="004831CE">
        <w:rPr>
          <w:rFonts w:hAnsi="標楷體" w:hint="eastAsia"/>
        </w:rPr>
        <w:t>信用證明」等3項</w:t>
      </w:r>
      <w:r w:rsidR="00A05C8C" w:rsidRPr="004831CE">
        <w:rPr>
          <w:rFonts w:hAnsi="標楷體" w:hint="eastAsia"/>
        </w:rPr>
        <w:t>，並無經營實績與年限之</w:t>
      </w:r>
      <w:r w:rsidR="00EC6D4B" w:rsidRPr="004831CE">
        <w:rPr>
          <w:rFonts w:hAnsi="標楷體" w:hint="eastAsia"/>
        </w:rPr>
        <w:t>限制</w:t>
      </w:r>
      <w:r w:rsidR="00583ACA" w:rsidRPr="004831CE">
        <w:rPr>
          <w:rFonts w:hAnsi="標楷體" w:hint="eastAsia"/>
        </w:rPr>
        <w:t>。</w:t>
      </w:r>
      <w:r w:rsidR="007D5D79" w:rsidRPr="004831CE">
        <w:rPr>
          <w:rFonts w:hAnsi="標楷體" w:hint="eastAsia"/>
        </w:rPr>
        <w:t>惟</w:t>
      </w:r>
      <w:r w:rsidR="00C87BAD">
        <w:rPr>
          <w:rFonts w:hAnsi="標楷體" w:hint="eastAsia"/>
        </w:rPr>
        <w:t>本案申請須知貳、四</w:t>
      </w:r>
      <w:r>
        <w:rPr>
          <w:rFonts w:hAnsi="標楷體" w:hint="eastAsia"/>
        </w:rPr>
        <w:t>有關</w:t>
      </w:r>
      <w:r w:rsidR="00EC6D4B" w:rsidRPr="004831CE">
        <w:rPr>
          <w:rFonts w:hAnsi="標楷體" w:hint="eastAsia"/>
        </w:rPr>
        <w:t>「營運管理計畫書」</w:t>
      </w:r>
      <w:r>
        <w:rPr>
          <w:rFonts w:hAnsi="標楷體" w:hint="eastAsia"/>
        </w:rPr>
        <w:t>之</w:t>
      </w:r>
      <w:r w:rsidR="00280459">
        <w:rPr>
          <w:rFonts w:hAnsi="標楷體" w:hint="eastAsia"/>
        </w:rPr>
        <w:t>內容</w:t>
      </w:r>
      <w:r w:rsidR="00EC6D4B" w:rsidRPr="004831CE">
        <w:rPr>
          <w:rFonts w:hAnsi="標楷體" w:hint="eastAsia"/>
        </w:rPr>
        <w:t>及</w:t>
      </w:r>
      <w:r w:rsidR="00BF40B0" w:rsidRPr="004831CE">
        <w:rPr>
          <w:rFonts w:hAnsi="標楷體" w:hint="eastAsia"/>
        </w:rPr>
        <w:t>本案</w:t>
      </w:r>
      <w:r w:rsidR="00CD7840" w:rsidRPr="004831CE">
        <w:rPr>
          <w:rFonts w:hAnsi="標楷體" w:hint="eastAsia"/>
        </w:rPr>
        <w:t>「</w:t>
      </w:r>
      <w:r w:rsidR="00BF40B0" w:rsidRPr="004831CE">
        <w:rPr>
          <w:rFonts w:hAnsi="標楷體" w:hint="eastAsia"/>
        </w:rPr>
        <w:t>綜合評審</w:t>
      </w:r>
      <w:proofErr w:type="gramStart"/>
      <w:r w:rsidR="00BF40B0" w:rsidRPr="004831CE">
        <w:rPr>
          <w:rFonts w:hAnsi="標楷體" w:hint="eastAsia"/>
        </w:rPr>
        <w:t>配分</w:t>
      </w:r>
      <w:r w:rsidR="00BF40B0" w:rsidRPr="00C87BAD">
        <w:rPr>
          <w:rFonts w:hAnsi="標楷體" w:hint="eastAsia"/>
        </w:rPr>
        <w:t>表</w:t>
      </w:r>
      <w:proofErr w:type="gramEnd"/>
      <w:r w:rsidR="00BF40B0" w:rsidRPr="00C87BAD">
        <w:rPr>
          <w:rFonts w:hAnsi="標楷體" w:hint="eastAsia"/>
        </w:rPr>
        <w:t>」</w:t>
      </w:r>
      <w:r w:rsidR="00EC6D4B" w:rsidRPr="00C87BAD">
        <w:rPr>
          <w:rFonts w:hAnsi="標楷體" w:hint="eastAsia"/>
        </w:rPr>
        <w:t>「</w:t>
      </w:r>
      <w:r w:rsidR="00834F99" w:rsidRPr="00C87BAD">
        <w:rPr>
          <w:rFonts w:hAnsi="標楷體" w:hint="eastAsia"/>
        </w:rPr>
        <w:t>經營企劃及管理能力」</w:t>
      </w:r>
      <w:r w:rsidR="00FA34BB">
        <w:rPr>
          <w:rFonts w:hAnsi="標楷體" w:hint="eastAsia"/>
        </w:rPr>
        <w:t>一項</w:t>
      </w:r>
      <w:r w:rsidR="00C87BAD">
        <w:rPr>
          <w:rFonts w:ascii="新細明體" w:eastAsia="新細明體" w:hAnsi="新細明體" w:hint="eastAsia"/>
        </w:rPr>
        <w:t>，</w:t>
      </w:r>
      <w:r w:rsidR="009F1966" w:rsidRPr="00C87BAD">
        <w:rPr>
          <w:rFonts w:hAnsi="標楷體" w:hint="eastAsia"/>
        </w:rPr>
        <w:t>「經驗與實績」</w:t>
      </w:r>
      <w:r w:rsidR="00C87BAD" w:rsidRPr="00C87BAD">
        <w:rPr>
          <w:rFonts w:hAnsi="標楷體" w:hint="eastAsia"/>
        </w:rPr>
        <w:t>明定</w:t>
      </w:r>
      <w:r w:rsidR="009F1966" w:rsidRPr="00C87BAD">
        <w:rPr>
          <w:rFonts w:hAnsi="標楷體" w:hint="eastAsia"/>
        </w:rPr>
        <w:t>為「截止投標日前</w:t>
      </w:r>
      <w:r w:rsidR="004E69C4" w:rsidRPr="00C87BAD">
        <w:rPr>
          <w:rFonts w:hAnsi="標楷體" w:hint="eastAsia"/>
        </w:rPr>
        <w:t>5</w:t>
      </w:r>
      <w:r w:rsidR="009F1966" w:rsidRPr="00C87BAD">
        <w:rPr>
          <w:rFonts w:hAnsi="標楷體" w:hint="eastAsia"/>
        </w:rPr>
        <w:t>年內，經營與標的物同性質或相當之契約，與下游廠商及員工之合作關係，過去履約表現。」另「財務管理計畫」</w:t>
      </w:r>
      <w:r w:rsidR="00BF40B0" w:rsidRPr="00C87BAD">
        <w:rPr>
          <w:rFonts w:hAnsi="標楷體" w:hint="eastAsia"/>
        </w:rPr>
        <w:t>一</w:t>
      </w:r>
      <w:r w:rsidR="00FA34BB">
        <w:rPr>
          <w:rFonts w:hAnsi="標楷體" w:hint="eastAsia"/>
        </w:rPr>
        <w:t>項</w:t>
      </w:r>
      <w:r w:rsidR="00E11BFB" w:rsidRPr="00C87BAD">
        <w:rPr>
          <w:rFonts w:hAnsi="標楷體" w:hint="eastAsia"/>
        </w:rPr>
        <w:t>，</w:t>
      </w:r>
      <w:r w:rsidR="009F1966" w:rsidRPr="00C87BAD">
        <w:rPr>
          <w:rFonts w:hAnsi="標楷體" w:hint="eastAsia"/>
        </w:rPr>
        <w:t>「營運財務管理」</w:t>
      </w:r>
      <w:r w:rsidR="004F2B53" w:rsidRPr="00C87BAD">
        <w:rPr>
          <w:rFonts w:hAnsi="標楷體" w:hint="eastAsia"/>
        </w:rPr>
        <w:t>之</w:t>
      </w:r>
      <w:r w:rsidR="009F1966" w:rsidRPr="00C87BAD">
        <w:rPr>
          <w:rFonts w:hAnsi="標楷體" w:hint="eastAsia"/>
        </w:rPr>
        <w:t>「</w:t>
      </w:r>
      <w:r w:rsidR="004F2B53" w:rsidRPr="00C87BAD">
        <w:rPr>
          <w:rFonts w:hAnsi="標楷體" w:hint="eastAsia"/>
        </w:rPr>
        <w:t>財力證明</w:t>
      </w:r>
      <w:r w:rsidR="00A50009" w:rsidRPr="00C87BAD">
        <w:rPr>
          <w:rFonts w:hAnsi="標楷體" w:hint="eastAsia"/>
        </w:rPr>
        <w:t>」</w:t>
      </w:r>
      <w:r w:rsidR="00C87BAD">
        <w:rPr>
          <w:rFonts w:hAnsi="標楷體" w:hint="eastAsia"/>
        </w:rPr>
        <w:t>明</w:t>
      </w:r>
      <w:r w:rsidR="0002506E" w:rsidRPr="00C87BAD">
        <w:rPr>
          <w:rFonts w:hAnsi="標楷體" w:hint="eastAsia"/>
        </w:rPr>
        <w:t>定</w:t>
      </w:r>
      <w:r w:rsidR="00A50009" w:rsidRPr="00C87BAD">
        <w:rPr>
          <w:rFonts w:hAnsi="標楷體" w:hint="eastAsia"/>
        </w:rPr>
        <w:t>為「最近3年年報及半年報、繳稅證明、資金籌措</w:t>
      </w:r>
      <w:r w:rsidR="004E69C4" w:rsidRPr="00C87BAD">
        <w:rPr>
          <w:rFonts w:hAnsi="標楷體" w:hint="eastAsia"/>
        </w:rPr>
        <w:t>及履約能力。」</w:t>
      </w:r>
      <w:r w:rsidR="00C87BAD">
        <w:rPr>
          <w:rFonts w:hAnsi="標楷體" w:hint="eastAsia"/>
        </w:rPr>
        <w:t>究</w:t>
      </w:r>
      <w:r>
        <w:rPr>
          <w:rFonts w:hAnsi="標楷體" w:hint="eastAsia"/>
        </w:rPr>
        <w:t>申請人</w:t>
      </w:r>
      <w:r w:rsidR="007D5D79" w:rsidRPr="00C87BAD">
        <w:rPr>
          <w:rFonts w:hAnsi="標楷體" w:hint="eastAsia"/>
        </w:rPr>
        <w:t>是否</w:t>
      </w:r>
      <w:r w:rsidR="004E69C4" w:rsidRPr="00C87BAD">
        <w:rPr>
          <w:rFonts w:hAnsi="標楷體" w:hint="eastAsia"/>
        </w:rPr>
        <w:t>須</w:t>
      </w:r>
      <w:r w:rsidR="00FA34BB">
        <w:rPr>
          <w:rFonts w:hAnsi="標楷體" w:hint="eastAsia"/>
        </w:rPr>
        <w:t>至少</w:t>
      </w:r>
      <w:r w:rsidR="004E69C4" w:rsidRPr="00C87BAD">
        <w:rPr>
          <w:rFonts w:hAnsi="標楷體" w:hint="eastAsia"/>
        </w:rPr>
        <w:t>經營滿3</w:t>
      </w:r>
      <w:r w:rsidR="00583ACA" w:rsidRPr="00C87BAD">
        <w:rPr>
          <w:rFonts w:hAnsi="標楷體" w:hint="eastAsia"/>
        </w:rPr>
        <w:t>年且有履約實績</w:t>
      </w:r>
      <w:r w:rsidR="004E69C4" w:rsidRPr="00C87BAD">
        <w:rPr>
          <w:rFonts w:hAnsi="標楷體" w:hint="eastAsia"/>
        </w:rPr>
        <w:t>，方具有參加</w:t>
      </w:r>
      <w:proofErr w:type="gramStart"/>
      <w:r w:rsidR="004E69C4" w:rsidRPr="00C87BAD">
        <w:rPr>
          <w:rFonts w:hAnsi="標楷體" w:hint="eastAsia"/>
        </w:rPr>
        <w:t>甄</w:t>
      </w:r>
      <w:proofErr w:type="gramEnd"/>
      <w:r w:rsidR="004E69C4" w:rsidRPr="00C87BAD">
        <w:rPr>
          <w:rFonts w:hAnsi="標楷體" w:hint="eastAsia"/>
        </w:rPr>
        <w:t>審資格，</w:t>
      </w:r>
      <w:r w:rsidR="00E11BFB" w:rsidRPr="00C87BAD">
        <w:rPr>
          <w:rFonts w:hAnsi="標楷體" w:hint="eastAsia"/>
        </w:rPr>
        <w:t>相關規定</w:t>
      </w:r>
      <w:r w:rsidR="004F2B53" w:rsidRPr="00C87BAD">
        <w:rPr>
          <w:rFonts w:hAnsi="標楷體" w:hint="eastAsia"/>
        </w:rPr>
        <w:t>有欠明確，</w:t>
      </w:r>
      <w:proofErr w:type="gramStart"/>
      <w:r w:rsidR="00C87BAD">
        <w:rPr>
          <w:rFonts w:hAnsi="標楷體" w:hint="eastAsia"/>
        </w:rPr>
        <w:t>遂</w:t>
      </w:r>
      <w:r w:rsidR="008D021A" w:rsidRPr="00C87BAD">
        <w:rPr>
          <w:rFonts w:hAnsi="標楷體" w:hint="eastAsia"/>
        </w:rPr>
        <w:t>生爭執</w:t>
      </w:r>
      <w:proofErr w:type="gramEnd"/>
      <w:r w:rsidR="00D15F8D" w:rsidRPr="00C87BAD">
        <w:rPr>
          <w:rFonts w:hAnsi="標楷體" w:hint="eastAsia"/>
        </w:rPr>
        <w:t>。</w:t>
      </w:r>
    </w:p>
    <w:p w:rsidR="00B50D9F" w:rsidRPr="004831CE" w:rsidRDefault="00E11BFB" w:rsidP="003E1A00">
      <w:pPr>
        <w:pStyle w:val="3"/>
        <w:rPr>
          <w:rFonts w:hAnsi="標楷體"/>
          <w:b/>
        </w:rPr>
      </w:pPr>
      <w:r w:rsidRPr="004831CE">
        <w:rPr>
          <w:rFonts w:hAnsi="標楷體" w:hint="eastAsia"/>
        </w:rPr>
        <w:t>經查，</w:t>
      </w:r>
      <w:proofErr w:type="gramStart"/>
      <w:r w:rsidR="00DD2B62" w:rsidRPr="004831CE">
        <w:rPr>
          <w:rFonts w:hAnsi="標楷體" w:hint="eastAsia"/>
        </w:rPr>
        <w:t>臺</w:t>
      </w:r>
      <w:proofErr w:type="gramEnd"/>
      <w:r w:rsidR="00DD2B62" w:rsidRPr="004831CE">
        <w:rPr>
          <w:rFonts w:hAnsi="標楷體" w:hint="eastAsia"/>
        </w:rPr>
        <w:t>北榮總於104年2月5日</w:t>
      </w:r>
      <w:r w:rsidR="00B61C8E" w:rsidRPr="004831CE">
        <w:rPr>
          <w:rFonts w:hAnsi="標楷體" w:hint="eastAsia"/>
        </w:rPr>
        <w:t>公告徵求民間參與</w:t>
      </w:r>
      <w:r w:rsidR="00DD2B62" w:rsidRPr="004831CE">
        <w:rPr>
          <w:rFonts w:hAnsi="標楷體" w:hint="eastAsia"/>
        </w:rPr>
        <w:t>，</w:t>
      </w:r>
      <w:r w:rsidRPr="004831CE">
        <w:rPr>
          <w:rFonts w:hAnsi="標楷體" w:hint="eastAsia"/>
        </w:rPr>
        <w:t>計</w:t>
      </w:r>
      <w:r w:rsidR="00E20AFE" w:rsidRPr="004831CE">
        <w:rPr>
          <w:rFonts w:hAnsi="標楷體" w:hint="eastAsia"/>
        </w:rPr>
        <w:t>有</w:t>
      </w:r>
      <w:r w:rsidR="009314CF">
        <w:rPr>
          <w:rFonts w:hAnsi="標楷體" w:hint="eastAsia"/>
        </w:rPr>
        <w:t>義○○○</w:t>
      </w:r>
      <w:r w:rsidR="00E20AFE" w:rsidRPr="004831CE">
        <w:rPr>
          <w:rFonts w:hAnsi="標楷體" w:hint="eastAsia"/>
        </w:rPr>
        <w:t>公司等6家廠商提出申請，</w:t>
      </w:r>
      <w:r w:rsidRPr="004831CE">
        <w:rPr>
          <w:rFonts w:hAnsi="標楷體" w:hint="eastAsia"/>
        </w:rPr>
        <w:t>該院工作小組</w:t>
      </w:r>
      <w:r w:rsidR="003F2553" w:rsidRPr="004831CE">
        <w:rPr>
          <w:rFonts w:hAnsi="標楷體" w:hint="eastAsia"/>
        </w:rPr>
        <w:t>通過6家廠商</w:t>
      </w:r>
      <w:r w:rsidR="00E20AFE" w:rsidRPr="004831CE">
        <w:rPr>
          <w:rFonts w:hAnsi="標楷體" w:hint="eastAsia"/>
        </w:rPr>
        <w:t>之資格審查後</w:t>
      </w:r>
      <w:r w:rsidR="003F2553" w:rsidRPr="004831CE">
        <w:rPr>
          <w:rFonts w:hAnsi="標楷體" w:hint="eastAsia"/>
        </w:rPr>
        <w:t>，擬具初審意見表送</w:t>
      </w:r>
      <w:r w:rsidR="007D0C47" w:rsidRPr="004831CE">
        <w:rPr>
          <w:rFonts w:hAnsi="標楷體" w:hint="eastAsia"/>
        </w:rPr>
        <w:t>請</w:t>
      </w:r>
      <w:r w:rsidR="003F2553" w:rsidRPr="004831CE">
        <w:rPr>
          <w:rFonts w:hAnsi="標楷體" w:hint="eastAsia"/>
        </w:rPr>
        <w:t>該院</w:t>
      </w:r>
      <w:proofErr w:type="gramStart"/>
      <w:r w:rsidR="003F2553" w:rsidRPr="004831CE">
        <w:rPr>
          <w:rFonts w:hAnsi="標楷體" w:hint="eastAsia"/>
        </w:rPr>
        <w:t>甄</w:t>
      </w:r>
      <w:proofErr w:type="gramEnd"/>
      <w:r w:rsidR="003F2553" w:rsidRPr="004831CE">
        <w:rPr>
          <w:rFonts w:hAnsi="標楷體" w:hint="eastAsia"/>
        </w:rPr>
        <w:t>審會</w:t>
      </w:r>
      <w:r w:rsidR="00E20AFE" w:rsidRPr="004831CE">
        <w:rPr>
          <w:rFonts w:hAnsi="標楷體" w:hint="eastAsia"/>
        </w:rPr>
        <w:t>進行綜合</w:t>
      </w:r>
      <w:r w:rsidR="00450634">
        <w:rPr>
          <w:rFonts w:hAnsi="標楷體" w:hint="eastAsia"/>
        </w:rPr>
        <w:t>評審，該院</w:t>
      </w:r>
      <w:r w:rsidR="003F2553" w:rsidRPr="004831CE">
        <w:rPr>
          <w:rFonts w:hAnsi="標楷體" w:hint="eastAsia"/>
        </w:rPr>
        <w:t>於同年3月19日召開第2</w:t>
      </w:r>
      <w:r w:rsidR="00450634">
        <w:rPr>
          <w:rFonts w:hAnsi="標楷體" w:hint="eastAsia"/>
        </w:rPr>
        <w:t>次</w:t>
      </w:r>
      <w:proofErr w:type="gramStart"/>
      <w:r w:rsidR="00390CD6">
        <w:rPr>
          <w:rFonts w:hAnsi="標楷體" w:hint="eastAsia"/>
        </w:rPr>
        <w:t>甄</w:t>
      </w:r>
      <w:proofErr w:type="gramEnd"/>
      <w:r w:rsidR="00390CD6">
        <w:rPr>
          <w:rFonts w:hAnsi="標楷體" w:hint="eastAsia"/>
        </w:rPr>
        <w:t>審</w:t>
      </w:r>
      <w:r w:rsidR="003F2553" w:rsidRPr="004831CE">
        <w:rPr>
          <w:rFonts w:hAnsi="標楷體" w:hint="eastAsia"/>
        </w:rPr>
        <w:t>會</w:t>
      </w:r>
      <w:r w:rsidR="005C0553" w:rsidRPr="004831CE">
        <w:rPr>
          <w:rFonts w:hAnsi="標楷體" w:hint="eastAsia"/>
        </w:rPr>
        <w:t>議</w:t>
      </w:r>
      <w:r w:rsidR="007D0C47" w:rsidRPr="004831CE">
        <w:rPr>
          <w:rFonts w:hAnsi="標楷體" w:hint="eastAsia"/>
        </w:rPr>
        <w:t>，評定</w:t>
      </w:r>
      <w:r w:rsidR="009314CF">
        <w:rPr>
          <w:rFonts w:hAnsi="標楷體" w:hint="eastAsia"/>
        </w:rPr>
        <w:t>義○○○</w:t>
      </w:r>
      <w:r w:rsidR="00E20AFE" w:rsidRPr="004831CE">
        <w:rPr>
          <w:rFonts w:hAnsi="標楷體" w:hint="eastAsia"/>
        </w:rPr>
        <w:t>公司為最優申請人，</w:t>
      </w:r>
      <w:r w:rsidR="009314CF">
        <w:rPr>
          <w:rFonts w:hAnsi="標楷體" w:hint="eastAsia"/>
        </w:rPr>
        <w:t>大○○○</w:t>
      </w:r>
      <w:r w:rsidR="00CB2ACC" w:rsidRPr="004831CE">
        <w:rPr>
          <w:rFonts w:hAnsi="標楷體" w:hint="eastAsia"/>
        </w:rPr>
        <w:t>企業股份有限</w:t>
      </w:r>
      <w:r w:rsidR="00E20AFE" w:rsidRPr="004831CE">
        <w:rPr>
          <w:rFonts w:hAnsi="標楷體" w:hint="eastAsia"/>
        </w:rPr>
        <w:t>公司</w:t>
      </w:r>
      <w:r w:rsidR="00CB2ACC" w:rsidRPr="004831CE">
        <w:rPr>
          <w:rFonts w:hAnsi="標楷體" w:hint="eastAsia"/>
        </w:rPr>
        <w:t>（下稱</w:t>
      </w:r>
      <w:r w:rsidR="009314CF">
        <w:rPr>
          <w:rFonts w:hAnsi="標楷體" w:hint="eastAsia"/>
        </w:rPr>
        <w:t>大○○○</w:t>
      </w:r>
      <w:r w:rsidR="00CB2ACC" w:rsidRPr="004831CE">
        <w:rPr>
          <w:rFonts w:hAnsi="標楷體" w:hint="eastAsia"/>
        </w:rPr>
        <w:t>公司）</w:t>
      </w:r>
      <w:r w:rsidR="00390CD6">
        <w:rPr>
          <w:rFonts w:hAnsi="標楷體" w:hint="eastAsia"/>
        </w:rPr>
        <w:t>為次優申請人，</w:t>
      </w:r>
      <w:proofErr w:type="gramStart"/>
      <w:r w:rsidR="00E20AFE" w:rsidRPr="004831CE">
        <w:rPr>
          <w:rFonts w:hAnsi="標楷體" w:hint="eastAsia"/>
        </w:rPr>
        <w:t>嗣</w:t>
      </w:r>
      <w:proofErr w:type="gramEnd"/>
      <w:r w:rsidR="007D0C47" w:rsidRPr="004831CE">
        <w:rPr>
          <w:rFonts w:hAnsi="標楷體" w:hint="eastAsia"/>
        </w:rPr>
        <w:t>於同年3月27日</w:t>
      </w:r>
      <w:r w:rsidR="00DA6CAA" w:rsidRPr="004831CE">
        <w:rPr>
          <w:rFonts w:hAnsi="標楷體" w:hint="eastAsia"/>
        </w:rPr>
        <w:t>以北總營字第1030008362號函</w:t>
      </w:r>
      <w:r w:rsidR="007D0C47" w:rsidRPr="004831CE">
        <w:rPr>
          <w:rFonts w:hAnsi="標楷體" w:hint="eastAsia"/>
        </w:rPr>
        <w:t>將</w:t>
      </w:r>
      <w:proofErr w:type="gramStart"/>
      <w:r w:rsidR="007D0C47" w:rsidRPr="004831CE">
        <w:rPr>
          <w:rFonts w:hAnsi="標楷體" w:hint="eastAsia"/>
        </w:rPr>
        <w:t>甄</w:t>
      </w:r>
      <w:proofErr w:type="gramEnd"/>
      <w:r w:rsidR="007D0C47" w:rsidRPr="004831CE">
        <w:rPr>
          <w:rFonts w:hAnsi="標楷體" w:hint="eastAsia"/>
        </w:rPr>
        <w:t>審</w:t>
      </w:r>
      <w:r w:rsidR="00DA6CAA" w:rsidRPr="004831CE">
        <w:rPr>
          <w:rFonts w:hAnsi="標楷體" w:hint="eastAsia"/>
        </w:rPr>
        <w:t>結果通</w:t>
      </w:r>
      <w:r w:rsidR="007D0C47" w:rsidRPr="004831CE">
        <w:rPr>
          <w:rFonts w:hAnsi="標楷體" w:hint="eastAsia"/>
        </w:rPr>
        <w:t>知各申請人，對外作成</w:t>
      </w:r>
      <w:proofErr w:type="gramStart"/>
      <w:r w:rsidR="007D0C47" w:rsidRPr="004831CE">
        <w:rPr>
          <w:rFonts w:hAnsi="標楷體" w:hint="eastAsia"/>
        </w:rPr>
        <w:t>甄</w:t>
      </w:r>
      <w:proofErr w:type="gramEnd"/>
      <w:r w:rsidR="007D0C47" w:rsidRPr="004831CE">
        <w:rPr>
          <w:rFonts w:hAnsi="標楷體" w:hint="eastAsia"/>
        </w:rPr>
        <w:t>審處分。經查，</w:t>
      </w:r>
      <w:r w:rsidR="009314CF">
        <w:rPr>
          <w:rFonts w:hAnsi="標楷體" w:hint="eastAsia"/>
        </w:rPr>
        <w:t>義○○○</w:t>
      </w:r>
      <w:r w:rsidR="007D0C47" w:rsidRPr="004831CE">
        <w:rPr>
          <w:rFonts w:hAnsi="標楷體" w:hint="eastAsia"/>
        </w:rPr>
        <w:t>公司</w:t>
      </w:r>
      <w:r w:rsidR="00390CD6">
        <w:rPr>
          <w:rFonts w:hAnsi="標楷體" w:hint="eastAsia"/>
        </w:rPr>
        <w:t>為</w:t>
      </w:r>
      <w:proofErr w:type="gramStart"/>
      <w:r w:rsidR="00E20AFE" w:rsidRPr="004831CE">
        <w:rPr>
          <w:rFonts w:hAnsi="標楷體" w:hint="eastAsia"/>
        </w:rPr>
        <w:t>臺</w:t>
      </w:r>
      <w:proofErr w:type="gramEnd"/>
      <w:r w:rsidR="00E20AFE" w:rsidRPr="004831CE">
        <w:rPr>
          <w:rFonts w:hAnsi="標楷體" w:hint="eastAsia"/>
        </w:rPr>
        <w:t>北榮總</w:t>
      </w:r>
      <w:r w:rsidR="00702B7B" w:rsidRPr="004831CE">
        <w:rPr>
          <w:rFonts w:hAnsi="標楷體" w:hint="eastAsia"/>
        </w:rPr>
        <w:t>公開招商後，於104年2月25日始行設立，自無過去5年內之經營實績與最近3年內之財報資料，該公司於</w:t>
      </w:r>
      <w:r w:rsidR="003B47CD" w:rsidRPr="004831CE">
        <w:rPr>
          <w:rFonts w:hAnsi="標楷體" w:hint="eastAsia"/>
        </w:rPr>
        <w:t>提送之</w:t>
      </w:r>
      <w:r w:rsidRPr="004831CE">
        <w:rPr>
          <w:rFonts w:hAnsi="標楷體" w:hint="eastAsia"/>
        </w:rPr>
        <w:t>「</w:t>
      </w:r>
      <w:r w:rsidR="003B47CD" w:rsidRPr="004831CE">
        <w:rPr>
          <w:rFonts w:hAnsi="標楷體" w:hint="eastAsia"/>
        </w:rPr>
        <w:t>營運管理計畫書</w:t>
      </w:r>
      <w:r w:rsidRPr="004831CE">
        <w:rPr>
          <w:rFonts w:hAnsi="標楷體" w:hint="eastAsia"/>
        </w:rPr>
        <w:t>」</w:t>
      </w:r>
      <w:r w:rsidR="003B47CD" w:rsidRPr="004831CE">
        <w:rPr>
          <w:rFonts w:hAnsi="標楷體" w:hint="eastAsia"/>
        </w:rPr>
        <w:t>明載：「</w:t>
      </w:r>
      <w:r w:rsidR="00901213" w:rsidRPr="004831CE">
        <w:rPr>
          <w:rFonts w:hAnsi="標楷體" w:hint="eastAsia"/>
        </w:rPr>
        <w:t>本公司成立於</w:t>
      </w:r>
      <w:r w:rsidR="003E1A00" w:rsidRPr="004831CE">
        <w:rPr>
          <w:rFonts w:hAnsi="標楷體" w:hint="eastAsia"/>
        </w:rPr>
        <w:t>104年2月25日，檢附</w:t>
      </w:r>
      <w:proofErr w:type="gramStart"/>
      <w:r w:rsidR="003E1A00" w:rsidRPr="004831CE">
        <w:rPr>
          <w:rFonts w:hAnsi="標楷體" w:hint="eastAsia"/>
        </w:rPr>
        <w:t>104</w:t>
      </w:r>
      <w:proofErr w:type="gramEnd"/>
      <w:r w:rsidR="003E1A00" w:rsidRPr="004831CE">
        <w:rPr>
          <w:rFonts w:hAnsi="標楷體" w:hint="eastAsia"/>
        </w:rPr>
        <w:t>年度財務報表，本公司股權係由</w:t>
      </w:r>
      <w:r w:rsidR="009314CF">
        <w:rPr>
          <w:rFonts w:hAnsi="標楷體" w:hint="eastAsia"/>
        </w:rPr>
        <w:t>義○</w:t>
      </w:r>
      <w:r w:rsidR="003E1A00" w:rsidRPr="004831CE">
        <w:rPr>
          <w:rFonts w:hAnsi="標楷體" w:hint="eastAsia"/>
        </w:rPr>
        <w:t>食品股份有限公司</w:t>
      </w:r>
      <w:r w:rsidR="00F55A69" w:rsidRPr="004831CE">
        <w:rPr>
          <w:rFonts w:hAnsi="標楷體" w:hint="eastAsia"/>
        </w:rPr>
        <w:t>（下稱</w:t>
      </w:r>
      <w:r w:rsidR="009314CF">
        <w:rPr>
          <w:rFonts w:hAnsi="標楷體" w:hint="eastAsia"/>
        </w:rPr>
        <w:lastRenderedPageBreak/>
        <w:t>義○</w:t>
      </w:r>
      <w:r w:rsidR="00F55A69" w:rsidRPr="004831CE">
        <w:rPr>
          <w:rFonts w:hAnsi="標楷體" w:hint="eastAsia"/>
        </w:rPr>
        <w:t>食品公司）</w:t>
      </w:r>
      <w:r w:rsidR="003E1A00" w:rsidRPr="004831CE">
        <w:rPr>
          <w:rFonts w:hAnsi="標楷體" w:hint="eastAsia"/>
        </w:rPr>
        <w:t>百分之百持有，為全資子公司，</w:t>
      </w:r>
      <w:proofErr w:type="gramStart"/>
      <w:r w:rsidR="003E1A00" w:rsidRPr="004831CE">
        <w:rPr>
          <w:rFonts w:hAnsi="標楷體" w:hint="eastAsia"/>
        </w:rPr>
        <w:t>特檢附母公司</w:t>
      </w:r>
      <w:proofErr w:type="gramEnd"/>
      <w:r w:rsidR="009314CF">
        <w:rPr>
          <w:rFonts w:hAnsi="標楷體" w:hint="eastAsia"/>
        </w:rPr>
        <w:t>義○</w:t>
      </w:r>
      <w:r w:rsidR="001755D0" w:rsidRPr="004831CE">
        <w:rPr>
          <w:rFonts w:hAnsi="標楷體" w:hint="eastAsia"/>
        </w:rPr>
        <w:t>食品公司</w:t>
      </w:r>
      <w:r w:rsidR="003E1A00" w:rsidRPr="004831CE">
        <w:rPr>
          <w:rFonts w:hAnsi="標楷體" w:hint="eastAsia"/>
        </w:rPr>
        <w:t>最近</w:t>
      </w:r>
      <w:proofErr w:type="gramStart"/>
      <w:r w:rsidR="003E1A00" w:rsidRPr="004831CE">
        <w:rPr>
          <w:rFonts w:hAnsi="標楷體" w:hint="eastAsia"/>
        </w:rPr>
        <w:t>三</w:t>
      </w:r>
      <w:proofErr w:type="gramEnd"/>
      <w:r w:rsidR="003E1A00" w:rsidRPr="004831CE">
        <w:rPr>
          <w:rFonts w:hAnsi="標楷體" w:hint="eastAsia"/>
        </w:rPr>
        <w:t>年度…</w:t>
      </w:r>
      <w:proofErr w:type="gramStart"/>
      <w:r w:rsidR="003E1A00" w:rsidRPr="004831CE">
        <w:rPr>
          <w:rFonts w:hAnsi="標楷體" w:hint="eastAsia"/>
        </w:rPr>
        <w:t>…</w:t>
      </w:r>
      <w:proofErr w:type="gramEnd"/>
      <w:r w:rsidR="003E1A00" w:rsidRPr="004831CE">
        <w:rPr>
          <w:rFonts w:hAnsi="標楷體" w:hint="eastAsia"/>
        </w:rPr>
        <w:t>經會計師查核簽證</w:t>
      </w:r>
      <w:proofErr w:type="gramStart"/>
      <w:r w:rsidR="003E1A00" w:rsidRPr="004831CE">
        <w:rPr>
          <w:rFonts w:hAnsi="標楷體" w:hint="eastAsia"/>
        </w:rPr>
        <w:t>之財簽報告</w:t>
      </w:r>
      <w:proofErr w:type="gramEnd"/>
      <w:r w:rsidR="003E1A00" w:rsidRPr="004831CE">
        <w:rPr>
          <w:rFonts w:hAnsi="標楷體" w:hint="eastAsia"/>
        </w:rPr>
        <w:t>…</w:t>
      </w:r>
      <w:proofErr w:type="gramStart"/>
      <w:r w:rsidR="003E1A00" w:rsidRPr="004831CE">
        <w:rPr>
          <w:rFonts w:hAnsi="標楷體" w:hint="eastAsia"/>
        </w:rPr>
        <w:t>…</w:t>
      </w:r>
      <w:proofErr w:type="gramEnd"/>
      <w:r w:rsidR="003E1A00" w:rsidRPr="004831CE">
        <w:rPr>
          <w:rFonts w:hAnsi="標楷體" w:hint="eastAsia"/>
        </w:rPr>
        <w:t>說明財務結構及狀況作為信用及財力證明」。</w:t>
      </w:r>
      <w:proofErr w:type="gramStart"/>
      <w:r w:rsidR="003E1A00" w:rsidRPr="004831CE">
        <w:rPr>
          <w:rFonts w:hAnsi="標楷體" w:hint="eastAsia"/>
        </w:rPr>
        <w:t>惟</w:t>
      </w:r>
      <w:r w:rsidR="00E20AFE" w:rsidRPr="004831CE">
        <w:rPr>
          <w:rFonts w:hAnsi="標楷體" w:hint="eastAsia"/>
        </w:rPr>
        <w:t>查</w:t>
      </w:r>
      <w:r w:rsidRPr="004831CE">
        <w:rPr>
          <w:rFonts w:hAnsi="標楷體" w:hint="eastAsia"/>
        </w:rPr>
        <w:t>，</w:t>
      </w:r>
      <w:r w:rsidR="003E1A00" w:rsidRPr="004831CE">
        <w:rPr>
          <w:rFonts w:hAnsi="標楷體" w:hint="eastAsia"/>
        </w:rPr>
        <w:t>臺</w:t>
      </w:r>
      <w:proofErr w:type="gramEnd"/>
      <w:r w:rsidR="003E1A00" w:rsidRPr="004831CE">
        <w:rPr>
          <w:rFonts w:hAnsi="標楷體" w:hint="eastAsia"/>
        </w:rPr>
        <w:t>北榮總</w:t>
      </w:r>
      <w:r w:rsidRPr="004831CE">
        <w:rPr>
          <w:rFonts w:hAnsi="標楷體" w:hint="eastAsia"/>
        </w:rPr>
        <w:t>工作小組初審意見</w:t>
      </w:r>
      <w:r w:rsidR="00487889" w:rsidRPr="004831CE">
        <w:rPr>
          <w:rFonts w:hAnsi="標楷體" w:hint="eastAsia"/>
        </w:rPr>
        <w:t>卻將</w:t>
      </w:r>
      <w:r w:rsidR="009314CF">
        <w:rPr>
          <w:rFonts w:hAnsi="標楷體" w:hint="eastAsia"/>
        </w:rPr>
        <w:t>義○○○</w:t>
      </w:r>
      <w:r w:rsidR="00487889" w:rsidRPr="004831CE">
        <w:rPr>
          <w:rFonts w:hAnsi="標楷體" w:hint="eastAsia"/>
        </w:rPr>
        <w:t>公司</w:t>
      </w:r>
      <w:r w:rsidR="003E1A00" w:rsidRPr="004831CE">
        <w:rPr>
          <w:rFonts w:hAnsi="標楷體" w:hint="eastAsia"/>
        </w:rPr>
        <w:t xml:space="preserve">「經營企劃及管理能力」項目中之「1. </w:t>
      </w:r>
      <w:r w:rsidR="00487889" w:rsidRPr="004831CE">
        <w:rPr>
          <w:rFonts w:hAnsi="標楷體" w:hint="eastAsia"/>
        </w:rPr>
        <w:t>經驗與實績」</w:t>
      </w:r>
      <w:r w:rsidR="003E1A00" w:rsidRPr="004831CE">
        <w:rPr>
          <w:rFonts w:hAnsi="標楷體" w:hint="eastAsia"/>
        </w:rPr>
        <w:t>記載為：「…</w:t>
      </w:r>
      <w:proofErr w:type="gramStart"/>
      <w:r w:rsidR="003E1A00" w:rsidRPr="004831CE">
        <w:rPr>
          <w:rFonts w:hAnsi="標楷體" w:hint="eastAsia"/>
        </w:rPr>
        <w:t>…</w:t>
      </w:r>
      <w:proofErr w:type="gramEnd"/>
      <w:r w:rsidR="003E1A00" w:rsidRPr="004831CE">
        <w:rPr>
          <w:rFonts w:hAnsi="標楷體" w:hint="eastAsia"/>
        </w:rPr>
        <w:t>P.35.實績：直營店90餘家、成大、慈濟、秀傳銷售櫃、各百貨專櫃、97迄今年桃園二航商場、97年高速公路服務區、捷運門市等</w:t>
      </w:r>
      <w:r w:rsidR="00702B7B" w:rsidRPr="004831CE">
        <w:rPr>
          <w:rFonts w:hAnsi="標楷體" w:hint="eastAsia"/>
        </w:rPr>
        <w:t>…</w:t>
      </w:r>
      <w:proofErr w:type="gramStart"/>
      <w:r w:rsidR="00702B7B" w:rsidRPr="004831CE">
        <w:rPr>
          <w:rFonts w:hAnsi="標楷體" w:hint="eastAsia"/>
        </w:rPr>
        <w:t>…</w:t>
      </w:r>
      <w:proofErr w:type="gramEnd"/>
      <w:r w:rsidR="003E1A00" w:rsidRPr="004831CE">
        <w:rPr>
          <w:rFonts w:hAnsi="標楷體" w:hint="eastAsia"/>
        </w:rPr>
        <w:t>P.40獲獎：101年食安楷模、103年桃園機場特優餐廳、優良觀光工廠、第12屆金</w:t>
      </w:r>
      <w:proofErr w:type="gramStart"/>
      <w:r w:rsidR="003E1A00" w:rsidRPr="004831CE">
        <w:rPr>
          <w:rFonts w:hAnsi="標楷體" w:hint="eastAsia"/>
        </w:rPr>
        <w:t>擘</w:t>
      </w:r>
      <w:proofErr w:type="gramEnd"/>
      <w:r w:rsidR="003E1A00" w:rsidRPr="004831CE">
        <w:rPr>
          <w:rFonts w:hAnsi="標楷體" w:hint="eastAsia"/>
        </w:rPr>
        <w:t>獎(二航)</w:t>
      </w:r>
      <w:r w:rsidR="00702B7B" w:rsidRPr="004831CE">
        <w:rPr>
          <w:rFonts w:hAnsi="標楷體" w:hint="eastAsia"/>
        </w:rPr>
        <w:t>等」，</w:t>
      </w:r>
      <w:r w:rsidR="00DA6CAA" w:rsidRPr="004831CE">
        <w:rPr>
          <w:rFonts w:hAnsi="標楷體" w:hint="eastAsia"/>
        </w:rPr>
        <w:t>顯見該院工作小組有混淆</w:t>
      </w:r>
      <w:r w:rsidR="009314CF">
        <w:rPr>
          <w:rFonts w:hAnsi="標楷體" w:hint="eastAsia"/>
        </w:rPr>
        <w:t>義○○○</w:t>
      </w:r>
      <w:r w:rsidR="00DA6CAA" w:rsidRPr="004831CE">
        <w:rPr>
          <w:rFonts w:hAnsi="標楷體" w:hint="eastAsia"/>
        </w:rPr>
        <w:t>與</w:t>
      </w:r>
      <w:r w:rsidR="009314CF">
        <w:rPr>
          <w:rFonts w:hAnsi="標楷體" w:hint="eastAsia"/>
        </w:rPr>
        <w:t>義○</w:t>
      </w:r>
      <w:r w:rsidR="00DA6CAA" w:rsidRPr="004831CE">
        <w:rPr>
          <w:rFonts w:hAnsi="標楷體" w:hint="eastAsia"/>
        </w:rPr>
        <w:t>食品兩家公司</w:t>
      </w:r>
      <w:r w:rsidR="00F8523F" w:rsidRPr="004831CE">
        <w:rPr>
          <w:rFonts w:hAnsi="標楷體" w:hint="eastAsia"/>
        </w:rPr>
        <w:t>經營實績之嫌，</w:t>
      </w:r>
      <w:proofErr w:type="gramStart"/>
      <w:r w:rsidR="00F8523F" w:rsidRPr="004831CE">
        <w:rPr>
          <w:rFonts w:hAnsi="標楷體" w:hint="eastAsia"/>
        </w:rPr>
        <w:t>臺</w:t>
      </w:r>
      <w:proofErr w:type="gramEnd"/>
      <w:r w:rsidR="00F8523F" w:rsidRPr="004831CE">
        <w:rPr>
          <w:rFonts w:hAnsi="標楷體" w:hint="eastAsia"/>
        </w:rPr>
        <w:t>北榮總工作小組初審意見未將</w:t>
      </w:r>
      <w:r w:rsidR="009314CF">
        <w:rPr>
          <w:rFonts w:hAnsi="標楷體" w:hint="eastAsia"/>
        </w:rPr>
        <w:t>義○○○</w:t>
      </w:r>
      <w:r w:rsidR="00DA6CAA" w:rsidRPr="004831CE">
        <w:rPr>
          <w:rFonts w:hAnsi="標楷體" w:hint="eastAsia"/>
        </w:rPr>
        <w:t>公司所提營運管理計畫書之</w:t>
      </w:r>
      <w:r w:rsidR="00F8523F" w:rsidRPr="004831CE">
        <w:rPr>
          <w:rFonts w:hAnsi="標楷體" w:hint="eastAsia"/>
        </w:rPr>
        <w:t>部分錯誤事實及資訊予以排除，經</w:t>
      </w:r>
      <w:proofErr w:type="gramStart"/>
      <w:r w:rsidR="00F8523F" w:rsidRPr="004831CE">
        <w:rPr>
          <w:rFonts w:hAnsi="標楷體" w:hint="eastAsia"/>
        </w:rPr>
        <w:t>甄</w:t>
      </w:r>
      <w:proofErr w:type="gramEnd"/>
      <w:r w:rsidR="00F8523F" w:rsidRPr="004831CE">
        <w:rPr>
          <w:rFonts w:hAnsi="標楷體" w:hint="eastAsia"/>
        </w:rPr>
        <w:t>審委員納入評分考量，</w:t>
      </w:r>
      <w:r w:rsidRPr="004831CE">
        <w:rPr>
          <w:rFonts w:hAnsi="標楷體" w:hint="eastAsia"/>
        </w:rPr>
        <w:t>核</w:t>
      </w:r>
      <w:r w:rsidR="00F8523F" w:rsidRPr="004831CE">
        <w:rPr>
          <w:rFonts w:hAnsi="標楷體" w:hint="eastAsia"/>
        </w:rPr>
        <w:t>與</w:t>
      </w:r>
      <w:r w:rsidR="00E20AFE" w:rsidRPr="004831CE">
        <w:rPr>
          <w:rFonts w:hAnsi="標楷體" w:hint="eastAsia"/>
        </w:rPr>
        <w:t>本案</w:t>
      </w:r>
      <w:r w:rsidRPr="004831CE">
        <w:rPr>
          <w:rFonts w:hAnsi="標楷體" w:hint="eastAsia"/>
        </w:rPr>
        <w:t>申請須知貳、四</w:t>
      </w:r>
      <w:r w:rsidR="00390CD6" w:rsidRPr="00390CD6">
        <w:rPr>
          <w:rFonts w:hAnsi="標楷體" w:hint="eastAsia"/>
        </w:rPr>
        <w:t>「營運管理計畫書」</w:t>
      </w:r>
      <w:r w:rsidRPr="004831CE">
        <w:rPr>
          <w:rFonts w:hAnsi="標楷體" w:hint="eastAsia"/>
        </w:rPr>
        <w:t>及</w:t>
      </w:r>
      <w:r w:rsidR="00E20AFE" w:rsidRPr="004831CE">
        <w:rPr>
          <w:rFonts w:hAnsi="標楷體" w:hint="eastAsia"/>
        </w:rPr>
        <w:t>「綜合評審</w:t>
      </w:r>
      <w:proofErr w:type="gramStart"/>
      <w:r w:rsidR="00E20AFE" w:rsidRPr="004831CE">
        <w:rPr>
          <w:rFonts w:hAnsi="標楷體" w:hint="eastAsia"/>
        </w:rPr>
        <w:t>配分表</w:t>
      </w:r>
      <w:proofErr w:type="gramEnd"/>
      <w:r w:rsidR="00E20AFE" w:rsidRPr="004831CE">
        <w:rPr>
          <w:rFonts w:hAnsi="標楷體" w:hint="eastAsia"/>
        </w:rPr>
        <w:t>」</w:t>
      </w:r>
      <w:r w:rsidR="00390CD6">
        <w:rPr>
          <w:rFonts w:hAnsi="標楷體" w:hint="eastAsia"/>
        </w:rPr>
        <w:t>所</w:t>
      </w:r>
      <w:r w:rsidR="00E20AFE" w:rsidRPr="004831CE">
        <w:rPr>
          <w:rFonts w:hAnsi="標楷體" w:hint="eastAsia"/>
        </w:rPr>
        <w:t>定</w:t>
      </w:r>
      <w:r w:rsidR="00390CD6">
        <w:rPr>
          <w:rFonts w:ascii="新細明體" w:eastAsia="新細明體" w:hAnsi="新細明體" w:hint="eastAsia"/>
        </w:rPr>
        <w:t>，</w:t>
      </w:r>
      <w:r w:rsidR="00390CD6">
        <w:rPr>
          <w:rFonts w:hAnsi="標楷體" w:hint="eastAsia"/>
        </w:rPr>
        <w:t>限於申請人本身的經驗實績</w:t>
      </w:r>
      <w:r w:rsidR="00390CD6">
        <w:rPr>
          <w:rFonts w:ascii="新細明體" w:eastAsia="新細明體" w:hAnsi="新細明體" w:hint="eastAsia"/>
        </w:rPr>
        <w:t>，</w:t>
      </w:r>
      <w:r w:rsidR="00E20AFE" w:rsidRPr="004831CE">
        <w:rPr>
          <w:rFonts w:hAnsi="標楷體" w:hint="eastAsia"/>
        </w:rPr>
        <w:t>有所不符。</w:t>
      </w:r>
    </w:p>
    <w:p w:rsidR="003E1A00" w:rsidRPr="004831CE" w:rsidRDefault="009314CF" w:rsidP="003E1A00">
      <w:pPr>
        <w:pStyle w:val="3"/>
        <w:rPr>
          <w:rFonts w:hAnsi="標楷體"/>
          <w:b/>
        </w:rPr>
      </w:pPr>
      <w:r>
        <w:rPr>
          <w:rFonts w:hAnsi="標楷體" w:hint="eastAsia"/>
        </w:rPr>
        <w:t>大○○○</w:t>
      </w:r>
      <w:r w:rsidR="00B50D9F" w:rsidRPr="004831CE">
        <w:rPr>
          <w:rFonts w:hAnsi="標楷體" w:hint="eastAsia"/>
        </w:rPr>
        <w:t>公司不服</w:t>
      </w:r>
      <w:proofErr w:type="gramStart"/>
      <w:r w:rsidR="00B50D9F" w:rsidRPr="004831CE">
        <w:rPr>
          <w:rFonts w:hAnsi="標楷體" w:hint="eastAsia"/>
        </w:rPr>
        <w:t>臺</w:t>
      </w:r>
      <w:proofErr w:type="gramEnd"/>
      <w:r w:rsidR="00B50D9F" w:rsidRPr="004831CE">
        <w:rPr>
          <w:rFonts w:hAnsi="標楷體" w:hint="eastAsia"/>
        </w:rPr>
        <w:t>北榮總評定</w:t>
      </w:r>
      <w:r>
        <w:rPr>
          <w:rFonts w:hAnsi="標楷體" w:hint="eastAsia"/>
        </w:rPr>
        <w:t>義○○○</w:t>
      </w:r>
      <w:r w:rsidR="00B50D9F" w:rsidRPr="004831CE">
        <w:rPr>
          <w:rFonts w:hAnsi="標楷體" w:hint="eastAsia"/>
        </w:rPr>
        <w:t>公司最優申請人</w:t>
      </w:r>
      <w:r w:rsidR="00E20AFE" w:rsidRPr="004831CE">
        <w:rPr>
          <w:rFonts w:hAnsi="標楷體" w:hint="eastAsia"/>
        </w:rPr>
        <w:t>之處分，向</w:t>
      </w:r>
      <w:r w:rsidR="00DA6CAA" w:rsidRPr="004831CE">
        <w:rPr>
          <w:rFonts w:hAnsi="標楷體" w:hint="eastAsia"/>
        </w:rPr>
        <w:t>該院</w:t>
      </w:r>
      <w:r w:rsidR="00B50D9F" w:rsidRPr="004831CE">
        <w:rPr>
          <w:rFonts w:hAnsi="標楷體" w:hint="eastAsia"/>
        </w:rPr>
        <w:t>異議</w:t>
      </w:r>
      <w:r w:rsidR="00DA6CAA" w:rsidRPr="004831CE">
        <w:rPr>
          <w:rFonts w:hAnsi="標楷體" w:hint="eastAsia"/>
        </w:rPr>
        <w:t>遭</w:t>
      </w:r>
      <w:r w:rsidR="00B50D9F" w:rsidRPr="004831CE">
        <w:rPr>
          <w:rFonts w:hAnsi="標楷體" w:hint="eastAsia"/>
        </w:rPr>
        <w:t>駁回後，向財政部促參申訴審議會提起申訴，案經該</w:t>
      </w:r>
      <w:r w:rsidR="00450634">
        <w:rPr>
          <w:rFonts w:hAnsi="標楷體" w:hint="eastAsia"/>
        </w:rPr>
        <w:t>會</w:t>
      </w:r>
      <w:r w:rsidR="002E74B6" w:rsidRPr="004831CE">
        <w:rPr>
          <w:rFonts w:hAnsi="標楷體" w:hint="eastAsia"/>
        </w:rPr>
        <w:t>審議認為</w:t>
      </w:r>
      <w:proofErr w:type="gramStart"/>
      <w:r w:rsidR="002E74B6" w:rsidRPr="004831CE">
        <w:rPr>
          <w:rFonts w:hAnsi="標楷體" w:hint="eastAsia"/>
        </w:rPr>
        <w:t>臺</w:t>
      </w:r>
      <w:proofErr w:type="gramEnd"/>
      <w:r w:rsidR="002E74B6" w:rsidRPr="004831CE">
        <w:rPr>
          <w:rFonts w:hAnsi="標楷體" w:hint="eastAsia"/>
        </w:rPr>
        <w:t>北榮總</w:t>
      </w:r>
      <w:r w:rsidR="00450634">
        <w:rPr>
          <w:rFonts w:hAnsi="標楷體" w:hint="eastAsia"/>
        </w:rPr>
        <w:t>所為的</w:t>
      </w:r>
      <w:proofErr w:type="gramStart"/>
      <w:r w:rsidR="002E74B6" w:rsidRPr="004831CE">
        <w:rPr>
          <w:rFonts w:hAnsi="標楷體" w:hint="eastAsia"/>
        </w:rPr>
        <w:t>原處分確有</w:t>
      </w:r>
      <w:proofErr w:type="gramEnd"/>
      <w:r w:rsidR="002E74B6" w:rsidRPr="004831CE">
        <w:rPr>
          <w:rFonts w:hAnsi="標楷體" w:hint="eastAsia"/>
        </w:rPr>
        <w:t>違法瑕疵，而將該院異議處理結果予以撤銷（參見財政部104年8月3日促1040002號申訴審議判斷書）。其後，</w:t>
      </w:r>
      <w:proofErr w:type="gramStart"/>
      <w:r w:rsidR="004D2B79" w:rsidRPr="004831CE">
        <w:rPr>
          <w:rFonts w:hAnsi="標楷體" w:hint="eastAsia"/>
        </w:rPr>
        <w:t>臺</w:t>
      </w:r>
      <w:proofErr w:type="gramEnd"/>
      <w:r w:rsidR="004D2B79" w:rsidRPr="004831CE">
        <w:rPr>
          <w:rFonts w:hAnsi="標楷體" w:hint="eastAsia"/>
        </w:rPr>
        <w:t>北榮總雖</w:t>
      </w:r>
      <w:r w:rsidR="00E11BFB" w:rsidRPr="004831CE">
        <w:rPr>
          <w:rFonts w:hAnsi="標楷體" w:hint="eastAsia"/>
        </w:rPr>
        <w:t>再次</w:t>
      </w:r>
      <w:r w:rsidR="004D2B79" w:rsidRPr="004831CE">
        <w:rPr>
          <w:rFonts w:hAnsi="標楷體" w:hint="eastAsia"/>
        </w:rPr>
        <w:t>召開</w:t>
      </w:r>
      <w:proofErr w:type="gramStart"/>
      <w:r w:rsidR="004D2B79" w:rsidRPr="004831CE">
        <w:rPr>
          <w:rFonts w:hAnsi="標楷體" w:hint="eastAsia"/>
        </w:rPr>
        <w:t>甄</w:t>
      </w:r>
      <w:proofErr w:type="gramEnd"/>
      <w:r w:rsidR="004D2B79" w:rsidRPr="004831CE">
        <w:rPr>
          <w:rFonts w:hAnsi="標楷體" w:hint="eastAsia"/>
        </w:rPr>
        <w:t>審會，惟</w:t>
      </w:r>
      <w:proofErr w:type="gramStart"/>
      <w:r w:rsidR="00450634">
        <w:rPr>
          <w:rFonts w:hAnsi="標楷體" w:hint="eastAsia"/>
        </w:rPr>
        <w:t>甄</w:t>
      </w:r>
      <w:proofErr w:type="gramEnd"/>
      <w:r w:rsidR="00450634">
        <w:rPr>
          <w:rFonts w:hAnsi="標楷體" w:hint="eastAsia"/>
        </w:rPr>
        <w:t>審評定結果</w:t>
      </w:r>
      <w:r w:rsidR="00450634">
        <w:rPr>
          <w:rFonts w:ascii="新細明體" w:eastAsia="新細明體" w:hAnsi="新細明體" w:hint="eastAsia"/>
        </w:rPr>
        <w:t>，</w:t>
      </w:r>
      <w:r w:rsidR="004D2B79" w:rsidRPr="004831CE">
        <w:rPr>
          <w:rFonts w:hAnsi="標楷體" w:hint="eastAsia"/>
        </w:rPr>
        <w:t>最優申請人仍為</w:t>
      </w:r>
      <w:r>
        <w:rPr>
          <w:rFonts w:hAnsi="標楷體" w:hint="eastAsia"/>
        </w:rPr>
        <w:t>義○○○</w:t>
      </w:r>
      <w:r w:rsidR="004D2B79" w:rsidRPr="004831CE">
        <w:rPr>
          <w:rFonts w:hAnsi="標楷體" w:hint="eastAsia"/>
        </w:rPr>
        <w:t>公司，</w:t>
      </w:r>
      <w:r>
        <w:rPr>
          <w:rFonts w:hAnsi="標楷體" w:hint="eastAsia"/>
        </w:rPr>
        <w:t>大○○○</w:t>
      </w:r>
      <w:r w:rsidR="004D2B79" w:rsidRPr="004831CE">
        <w:rPr>
          <w:rFonts w:hAnsi="標楷體" w:hint="eastAsia"/>
        </w:rPr>
        <w:t>公司質疑</w:t>
      </w:r>
      <w:r w:rsidR="00DA6CAA" w:rsidRPr="004831CE">
        <w:rPr>
          <w:rFonts w:hAnsi="標楷體" w:hint="eastAsia"/>
        </w:rPr>
        <w:t>該</w:t>
      </w:r>
      <w:r w:rsidR="004D2B79" w:rsidRPr="004831CE">
        <w:rPr>
          <w:rFonts w:hAnsi="標楷體" w:hint="eastAsia"/>
        </w:rPr>
        <w:t>公司</w:t>
      </w:r>
      <w:proofErr w:type="gramStart"/>
      <w:r w:rsidR="004D2B79" w:rsidRPr="004831CE">
        <w:rPr>
          <w:rFonts w:hAnsi="標楷體" w:hint="eastAsia"/>
        </w:rPr>
        <w:t>不具參審</w:t>
      </w:r>
      <w:proofErr w:type="gramEnd"/>
      <w:r w:rsidR="004D2B79" w:rsidRPr="004831CE">
        <w:rPr>
          <w:rFonts w:hAnsi="標楷體" w:hint="eastAsia"/>
        </w:rPr>
        <w:t>資格，相關爭議目前刻由</w:t>
      </w:r>
      <w:proofErr w:type="gramStart"/>
      <w:r w:rsidR="004D2B79" w:rsidRPr="004831CE">
        <w:rPr>
          <w:rFonts w:hAnsi="標楷體" w:hint="eastAsia"/>
        </w:rPr>
        <w:t>臺</w:t>
      </w:r>
      <w:proofErr w:type="gramEnd"/>
      <w:r w:rsidR="004D2B79" w:rsidRPr="004831CE">
        <w:rPr>
          <w:rFonts w:hAnsi="標楷體" w:hint="eastAsia"/>
        </w:rPr>
        <w:t>北高等行政法院審理中。</w:t>
      </w:r>
    </w:p>
    <w:p w:rsidR="00123AF8" w:rsidRPr="004831CE" w:rsidRDefault="00123AF8" w:rsidP="003E1A00">
      <w:pPr>
        <w:pStyle w:val="3"/>
        <w:rPr>
          <w:rFonts w:hAnsi="標楷體"/>
          <w:b/>
        </w:rPr>
      </w:pPr>
      <w:r w:rsidRPr="004831CE">
        <w:rPr>
          <w:rFonts w:hAnsi="標楷體" w:hint="eastAsia"/>
        </w:rPr>
        <w:t>有關廠商資格條件</w:t>
      </w:r>
      <w:r w:rsidR="00B263FC" w:rsidRPr="004831CE">
        <w:rPr>
          <w:rFonts w:hAnsi="標楷體" w:hint="eastAsia"/>
        </w:rPr>
        <w:t>之爭議</w:t>
      </w:r>
      <w:r w:rsidRPr="004831CE">
        <w:rPr>
          <w:rFonts w:hAnsi="標楷體" w:hint="eastAsia"/>
        </w:rPr>
        <w:t>，</w:t>
      </w: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</w:t>
      </w:r>
      <w:r w:rsidR="00B263FC" w:rsidRPr="004831CE">
        <w:rPr>
          <w:rFonts w:hAnsi="標楷體" w:hint="eastAsia"/>
        </w:rPr>
        <w:t>於本院詢問時</w:t>
      </w:r>
      <w:r w:rsidR="009B13D0" w:rsidRPr="004831CE">
        <w:rPr>
          <w:rFonts w:hAnsi="標楷體" w:hint="eastAsia"/>
        </w:rPr>
        <w:t>檢討</w:t>
      </w:r>
      <w:r w:rsidR="00AC240F">
        <w:rPr>
          <w:rFonts w:hAnsi="標楷體" w:hint="eastAsia"/>
        </w:rPr>
        <w:t>認為</w:t>
      </w:r>
      <w:r w:rsidR="00AC240F">
        <w:rPr>
          <w:rFonts w:ascii="新細明體" w:eastAsia="新細明體" w:hAnsi="新細明體" w:hint="eastAsia"/>
        </w:rPr>
        <w:t>，</w:t>
      </w:r>
      <w:r w:rsidR="00B263FC" w:rsidRPr="004831CE">
        <w:rPr>
          <w:rFonts w:hAnsi="標楷體" w:hint="eastAsia"/>
        </w:rPr>
        <w:t>招商文件及評審規定</w:t>
      </w:r>
      <w:r w:rsidR="009B13D0" w:rsidRPr="004831CE">
        <w:rPr>
          <w:rFonts w:hAnsi="標楷體" w:hint="eastAsia"/>
        </w:rPr>
        <w:t>確有未盡之處，</w:t>
      </w:r>
      <w:r w:rsidR="00195830">
        <w:rPr>
          <w:rFonts w:hAnsi="標楷體" w:hint="eastAsia"/>
        </w:rPr>
        <w:t>該院</w:t>
      </w:r>
      <w:r w:rsidR="00B16666">
        <w:rPr>
          <w:rFonts w:hAnsi="標楷體" w:hint="eastAsia"/>
        </w:rPr>
        <w:t>說明略</w:t>
      </w:r>
      <w:proofErr w:type="gramStart"/>
      <w:r w:rsidR="00B16666">
        <w:rPr>
          <w:rFonts w:hAnsi="標楷體" w:hint="eastAsia"/>
        </w:rPr>
        <w:t>以</w:t>
      </w:r>
      <w:proofErr w:type="gramEnd"/>
      <w:r w:rsidRPr="004831CE">
        <w:rPr>
          <w:rFonts w:hAnsi="標楷體" w:hint="eastAsia"/>
        </w:rPr>
        <w:t>：爾後將視各該公共建設之性質，明定或限制申請人之資格是否僅限於已有實際經營實</w:t>
      </w:r>
      <w:r w:rsidRPr="004831CE">
        <w:rPr>
          <w:rFonts w:hAnsi="標楷體" w:hint="eastAsia"/>
        </w:rPr>
        <w:lastRenderedPageBreak/>
        <w:t>績與年限者、能否以新設公司擔任申請人、能否以母公司或關係企業或協力廠商之實績、信用紀錄作為申請人應具之資格，並將相關同意或限制與附加條件之原因，於初期可行性評估或規劃時，即列入分析考量並具體敘明理由，必要時得</w:t>
      </w:r>
      <w:proofErr w:type="gramStart"/>
      <w:r w:rsidRPr="004831CE">
        <w:rPr>
          <w:rFonts w:hAnsi="標楷體" w:hint="eastAsia"/>
        </w:rPr>
        <w:t>刊載於招商</w:t>
      </w:r>
      <w:proofErr w:type="gramEnd"/>
      <w:r w:rsidRPr="004831CE">
        <w:rPr>
          <w:rFonts w:hAnsi="標楷體" w:hint="eastAsia"/>
        </w:rPr>
        <w:t>文件</w:t>
      </w:r>
      <w:proofErr w:type="gramStart"/>
      <w:r w:rsidRPr="004831CE">
        <w:rPr>
          <w:rFonts w:hAnsi="標楷體" w:hint="eastAsia"/>
        </w:rPr>
        <w:t>或於招商</w:t>
      </w:r>
      <w:proofErr w:type="gramEnd"/>
      <w:r w:rsidRPr="004831CE">
        <w:rPr>
          <w:rFonts w:hAnsi="標楷體" w:hint="eastAsia"/>
        </w:rPr>
        <w:t>說明會時加以說明，以避免爭議。往後於擬定評審規定時（包括廠商資格及評審項目等），將特別注意廠商資格與評審項目之設計上，是否可能有</w:t>
      </w:r>
      <w:proofErr w:type="gramStart"/>
      <w:r w:rsidRPr="004831CE">
        <w:rPr>
          <w:rFonts w:hAnsi="標楷體" w:hint="eastAsia"/>
        </w:rPr>
        <w:t>扞</w:t>
      </w:r>
      <w:proofErr w:type="gramEnd"/>
      <w:r w:rsidRPr="004831CE">
        <w:rPr>
          <w:rFonts w:hAnsi="標楷體" w:hint="eastAsia"/>
        </w:rPr>
        <w:t>格之處。以本案為例，依廠商資格規定，並未限制需經營滿</w:t>
      </w:r>
      <w:r w:rsidRPr="004831CE">
        <w:rPr>
          <w:rFonts w:hAnsi="標楷體"/>
        </w:rPr>
        <w:t>3</w:t>
      </w:r>
      <w:r w:rsidRPr="004831CE">
        <w:rPr>
          <w:rFonts w:hAnsi="標楷體" w:hint="eastAsia"/>
        </w:rPr>
        <w:t>年之廠商方有投標資格，故</w:t>
      </w:r>
      <w:proofErr w:type="gramStart"/>
      <w:r w:rsidRPr="004831CE">
        <w:rPr>
          <w:rFonts w:hAnsi="標楷體" w:hint="eastAsia"/>
        </w:rPr>
        <w:t>甫</w:t>
      </w:r>
      <w:proofErr w:type="gramEnd"/>
      <w:r w:rsidRPr="004831CE">
        <w:rPr>
          <w:rFonts w:hAnsi="標楷體" w:hint="eastAsia"/>
        </w:rPr>
        <w:t>成立之廠商亦可投標，然評審項目中，卻有「最近</w:t>
      </w:r>
      <w:r w:rsidRPr="004831CE">
        <w:rPr>
          <w:rFonts w:hAnsi="標楷體"/>
        </w:rPr>
        <w:t>3</w:t>
      </w:r>
      <w:r w:rsidRPr="004831CE">
        <w:rPr>
          <w:rFonts w:hAnsi="標楷體" w:hint="eastAsia"/>
        </w:rPr>
        <w:t>年財務情況」之評分</w:t>
      </w:r>
      <w:proofErr w:type="gramStart"/>
      <w:r w:rsidRPr="004831CE">
        <w:rPr>
          <w:rFonts w:hAnsi="標楷體" w:hint="eastAsia"/>
        </w:rPr>
        <w:t>審酌細項</w:t>
      </w:r>
      <w:proofErr w:type="gramEnd"/>
      <w:r w:rsidRPr="004831CE">
        <w:rPr>
          <w:rFonts w:hAnsi="標楷體" w:hint="eastAsia"/>
        </w:rPr>
        <w:t>，而可能引人誤解必須經營滿</w:t>
      </w:r>
      <w:r w:rsidRPr="004831CE">
        <w:rPr>
          <w:rFonts w:hAnsi="標楷體"/>
        </w:rPr>
        <w:t>3</w:t>
      </w:r>
      <w:r w:rsidRPr="004831CE">
        <w:rPr>
          <w:rFonts w:hAnsi="標楷體" w:hint="eastAsia"/>
        </w:rPr>
        <w:t>年之廠商方有投標資格</w:t>
      </w:r>
      <w:r w:rsidR="00B263FC" w:rsidRPr="004831CE">
        <w:rPr>
          <w:rFonts w:hAnsi="標楷體" w:hint="eastAsia"/>
        </w:rPr>
        <w:t>等語</w:t>
      </w:r>
      <w:r w:rsidRPr="004831CE">
        <w:rPr>
          <w:rFonts w:hAnsi="標楷體" w:hint="eastAsia"/>
        </w:rPr>
        <w:t>。</w:t>
      </w:r>
    </w:p>
    <w:p w:rsidR="00D15F8D" w:rsidRPr="004831CE" w:rsidRDefault="005338F6" w:rsidP="00DE4238">
      <w:pPr>
        <w:pStyle w:val="3"/>
        <w:rPr>
          <w:rFonts w:hAnsi="標楷體"/>
        </w:rPr>
      </w:pPr>
      <w:r w:rsidRPr="004831CE">
        <w:rPr>
          <w:rFonts w:hAnsi="標楷體" w:hint="eastAsia"/>
        </w:rPr>
        <w:t>綜上，</w:t>
      </w:r>
      <w:proofErr w:type="gramStart"/>
      <w:r w:rsidR="00B535A0">
        <w:rPr>
          <w:rFonts w:hAnsi="標楷體" w:hint="eastAsia"/>
        </w:rPr>
        <w:t>臺</w:t>
      </w:r>
      <w:proofErr w:type="gramEnd"/>
      <w:r w:rsidR="00B535A0">
        <w:rPr>
          <w:rFonts w:hAnsi="標楷體" w:hint="eastAsia"/>
        </w:rPr>
        <w:t>北榮總「生活廣場整建營運移轉案」</w:t>
      </w:r>
      <w:r w:rsidR="00B16666" w:rsidRPr="00B16666">
        <w:rPr>
          <w:rFonts w:hAnsi="標楷體" w:hint="eastAsia"/>
        </w:rPr>
        <w:t>申請須知有關「申請資格條件」一節並無經營實績之限制，惟要求申請人提交的「營運管理計畫書」</w:t>
      </w:r>
      <w:r w:rsidR="00B535A0">
        <w:rPr>
          <w:rFonts w:hAnsi="標楷體" w:hint="eastAsia"/>
        </w:rPr>
        <w:t>內容及評審項目</w:t>
      </w:r>
      <w:r w:rsidR="00B16666" w:rsidRPr="00B16666">
        <w:rPr>
          <w:rFonts w:hAnsi="標楷體" w:hint="eastAsia"/>
        </w:rPr>
        <w:t>規定</w:t>
      </w:r>
      <w:r w:rsidR="00B535A0">
        <w:rPr>
          <w:rFonts w:ascii="新細明體" w:eastAsia="新細明體" w:hAnsi="新細明體" w:hint="eastAsia"/>
        </w:rPr>
        <w:t>，</w:t>
      </w:r>
      <w:r w:rsidR="00B16666" w:rsidRPr="00B16666">
        <w:rPr>
          <w:rFonts w:hAnsi="標楷體" w:hint="eastAsia"/>
        </w:rPr>
        <w:t>卻包含最近5年履約實績及最近3年財力證明，廠商資格條件規定有欠明確，衍生爭執，又申請人</w:t>
      </w:r>
      <w:r w:rsidR="009314CF">
        <w:rPr>
          <w:rFonts w:hAnsi="標楷體" w:hint="eastAsia"/>
        </w:rPr>
        <w:t>義○○○</w:t>
      </w:r>
      <w:r w:rsidR="00B16666" w:rsidRPr="00B16666">
        <w:rPr>
          <w:rFonts w:hAnsi="標楷體" w:hint="eastAsia"/>
        </w:rPr>
        <w:t>公司提交之「營運管理計畫書」內容大量引用母公司</w:t>
      </w:r>
      <w:r w:rsidR="009314CF">
        <w:rPr>
          <w:rFonts w:hAnsi="標楷體" w:hint="eastAsia"/>
        </w:rPr>
        <w:t>義○</w:t>
      </w:r>
      <w:r w:rsidR="00B16666" w:rsidRPr="00B16666">
        <w:rPr>
          <w:rFonts w:hAnsi="標楷體" w:hint="eastAsia"/>
        </w:rPr>
        <w:t>食品股份有限公司之經驗實績，該院工作小組初審意見混淆誤認兩家公司的經驗實績，未將錯誤的事實及資訊予以排除，</w:t>
      </w:r>
      <w:proofErr w:type="gramStart"/>
      <w:r w:rsidR="00B16666" w:rsidRPr="00B16666">
        <w:rPr>
          <w:rFonts w:hAnsi="標楷體" w:hint="eastAsia"/>
        </w:rPr>
        <w:t>甄</w:t>
      </w:r>
      <w:proofErr w:type="gramEnd"/>
      <w:r w:rsidR="00B16666" w:rsidRPr="00B16666">
        <w:rPr>
          <w:rFonts w:hAnsi="標楷體" w:hint="eastAsia"/>
        </w:rPr>
        <w:t>審會亦疏未察覺而納入評分考量，該院104年3月評定</w:t>
      </w:r>
      <w:r w:rsidR="009314CF">
        <w:rPr>
          <w:rFonts w:hAnsi="標楷體" w:hint="eastAsia"/>
        </w:rPr>
        <w:t>義○○○</w:t>
      </w:r>
      <w:r w:rsidR="00B16666" w:rsidRPr="00B16666">
        <w:rPr>
          <w:rFonts w:hAnsi="標楷體" w:hint="eastAsia"/>
        </w:rPr>
        <w:t>公司為最優申請人之處分，核有違法瑕疵，本案廠商資格條件之相關規定未盡周延，</w:t>
      </w:r>
      <w:proofErr w:type="gramStart"/>
      <w:r w:rsidR="00B16666" w:rsidRPr="00B16666">
        <w:rPr>
          <w:rFonts w:hAnsi="標楷體" w:hint="eastAsia"/>
        </w:rPr>
        <w:t>甄</w:t>
      </w:r>
      <w:proofErr w:type="gramEnd"/>
      <w:r w:rsidR="00B16666" w:rsidRPr="00B16666">
        <w:rPr>
          <w:rFonts w:hAnsi="標楷體" w:hint="eastAsia"/>
        </w:rPr>
        <w:t>審作業有失謹慎，允應確實檢討改善</w:t>
      </w:r>
      <w:r w:rsidRPr="004831CE">
        <w:rPr>
          <w:rFonts w:hAnsi="標楷體" w:hint="eastAsia"/>
        </w:rPr>
        <w:t>。</w:t>
      </w:r>
    </w:p>
    <w:p w:rsidR="00112F79" w:rsidRPr="00477339" w:rsidRDefault="00112F79" w:rsidP="00112F79">
      <w:pPr>
        <w:pStyle w:val="2"/>
        <w:rPr>
          <w:rFonts w:hAnsi="標楷體"/>
          <w:b/>
        </w:rPr>
      </w:pPr>
      <w:proofErr w:type="gramStart"/>
      <w:r w:rsidRPr="004831CE">
        <w:rPr>
          <w:rFonts w:hAnsi="標楷體" w:hint="eastAsia"/>
          <w:b/>
        </w:rPr>
        <w:t>臺</w:t>
      </w:r>
      <w:proofErr w:type="gramEnd"/>
      <w:r w:rsidRPr="004831CE">
        <w:rPr>
          <w:rFonts w:hAnsi="標楷體" w:hint="eastAsia"/>
          <w:b/>
        </w:rPr>
        <w:t>北榮總</w:t>
      </w:r>
      <w:r w:rsidR="00F84BD3" w:rsidRPr="004831CE">
        <w:rPr>
          <w:rFonts w:hAnsi="標楷體" w:hint="eastAsia"/>
          <w:b/>
        </w:rPr>
        <w:t>於</w:t>
      </w:r>
      <w:r w:rsidR="00752C7C">
        <w:rPr>
          <w:rFonts w:hAnsi="標楷體" w:hint="eastAsia"/>
          <w:b/>
        </w:rPr>
        <w:t>財政部促參申訴審議會判斷原</w:t>
      </w:r>
      <w:proofErr w:type="gramStart"/>
      <w:r w:rsidR="00752C7C">
        <w:rPr>
          <w:rFonts w:hAnsi="標楷體" w:hint="eastAsia"/>
          <w:b/>
        </w:rPr>
        <w:t>甄</w:t>
      </w:r>
      <w:proofErr w:type="gramEnd"/>
      <w:r w:rsidR="00752C7C">
        <w:rPr>
          <w:rFonts w:hAnsi="標楷體" w:hint="eastAsia"/>
          <w:b/>
        </w:rPr>
        <w:t>審結果</w:t>
      </w:r>
      <w:r w:rsidR="009B3CA1">
        <w:rPr>
          <w:rFonts w:hAnsi="標楷體" w:hint="eastAsia"/>
          <w:b/>
        </w:rPr>
        <w:t>有違法瑕疵後，</w:t>
      </w:r>
      <w:r w:rsidR="00AF0762" w:rsidRPr="00752C7C">
        <w:rPr>
          <w:rFonts w:hAnsi="標楷體" w:hint="eastAsia"/>
          <w:b/>
        </w:rPr>
        <w:t>104</w:t>
      </w:r>
      <w:r w:rsidR="00F84BD3" w:rsidRPr="00752C7C">
        <w:rPr>
          <w:rFonts w:hAnsi="標楷體" w:hint="eastAsia"/>
          <w:b/>
        </w:rPr>
        <w:t>年</w:t>
      </w:r>
      <w:r w:rsidR="00D00182" w:rsidRPr="00752C7C">
        <w:rPr>
          <w:rFonts w:hAnsi="標楷體" w:hint="eastAsia"/>
          <w:b/>
        </w:rPr>
        <w:t>9</w:t>
      </w:r>
      <w:r w:rsidR="00712187" w:rsidRPr="00752C7C">
        <w:rPr>
          <w:rFonts w:hAnsi="標楷體" w:hint="eastAsia"/>
          <w:b/>
        </w:rPr>
        <w:t>月再次</w:t>
      </w:r>
      <w:proofErr w:type="gramStart"/>
      <w:r w:rsidR="00F06211">
        <w:rPr>
          <w:rFonts w:hAnsi="標楷體" w:hint="eastAsia"/>
          <w:b/>
        </w:rPr>
        <w:t>甄</w:t>
      </w:r>
      <w:proofErr w:type="gramEnd"/>
      <w:r w:rsidR="00F06211">
        <w:rPr>
          <w:rFonts w:hAnsi="標楷體" w:hint="eastAsia"/>
          <w:b/>
        </w:rPr>
        <w:t>審結果</w:t>
      </w:r>
      <w:r w:rsidR="0050703D" w:rsidRPr="00752C7C">
        <w:rPr>
          <w:rFonts w:hAnsi="標楷體" w:hint="eastAsia"/>
          <w:b/>
        </w:rPr>
        <w:t>仍評定</w:t>
      </w:r>
      <w:r w:rsidR="009314CF">
        <w:rPr>
          <w:rFonts w:hAnsi="標楷體" w:hint="eastAsia"/>
          <w:b/>
        </w:rPr>
        <w:t>義○○○</w:t>
      </w:r>
      <w:r w:rsidR="0050703D" w:rsidRPr="004831CE">
        <w:rPr>
          <w:rFonts w:hAnsi="標楷體" w:hint="eastAsia"/>
          <w:b/>
        </w:rPr>
        <w:t>公司為最優申請人</w:t>
      </w:r>
      <w:r w:rsidR="00F84BD3" w:rsidRPr="004831CE">
        <w:rPr>
          <w:rFonts w:hAnsi="標楷體" w:hint="eastAsia"/>
          <w:b/>
        </w:rPr>
        <w:t>，</w:t>
      </w:r>
      <w:r w:rsidR="0050703D" w:rsidRPr="004831CE">
        <w:rPr>
          <w:rFonts w:hAnsi="標楷體" w:hint="eastAsia"/>
          <w:b/>
        </w:rPr>
        <w:t>本次</w:t>
      </w:r>
      <w:proofErr w:type="gramStart"/>
      <w:r w:rsidR="0050703D" w:rsidRPr="004831CE">
        <w:rPr>
          <w:rFonts w:hAnsi="標楷體" w:hint="eastAsia"/>
          <w:b/>
        </w:rPr>
        <w:t>甄</w:t>
      </w:r>
      <w:proofErr w:type="gramEnd"/>
      <w:r w:rsidR="0050703D" w:rsidRPr="004831CE">
        <w:rPr>
          <w:rFonts w:hAnsi="標楷體" w:hint="eastAsia"/>
          <w:b/>
        </w:rPr>
        <w:t>審作業，</w:t>
      </w:r>
      <w:r w:rsidR="00F84BD3" w:rsidRPr="004831CE">
        <w:rPr>
          <w:rFonts w:hAnsi="標楷體" w:hint="eastAsia"/>
          <w:b/>
        </w:rPr>
        <w:t>該院工作小組</w:t>
      </w:r>
      <w:r w:rsidR="00C64EB0" w:rsidRPr="004831CE">
        <w:rPr>
          <w:rFonts w:hAnsi="標楷體" w:hint="eastAsia"/>
          <w:b/>
        </w:rPr>
        <w:t>雖已</w:t>
      </w:r>
      <w:r w:rsidR="00F84BD3" w:rsidRPr="004831CE">
        <w:rPr>
          <w:rFonts w:hAnsi="標楷體" w:hint="eastAsia"/>
          <w:b/>
        </w:rPr>
        <w:t>修正初審意見，</w:t>
      </w:r>
      <w:r w:rsidRPr="004831CE">
        <w:rPr>
          <w:rFonts w:hAnsi="標楷體" w:hint="eastAsia"/>
          <w:b/>
        </w:rPr>
        <w:t>惟</w:t>
      </w:r>
      <w:proofErr w:type="gramStart"/>
      <w:r w:rsidR="00F84BD3" w:rsidRPr="004831CE">
        <w:rPr>
          <w:rFonts w:hAnsi="標楷體" w:hint="eastAsia"/>
          <w:b/>
        </w:rPr>
        <w:t>甄</w:t>
      </w:r>
      <w:proofErr w:type="gramEnd"/>
      <w:r w:rsidR="00F84BD3" w:rsidRPr="004831CE">
        <w:rPr>
          <w:rFonts w:hAnsi="標楷體" w:hint="eastAsia"/>
          <w:b/>
        </w:rPr>
        <w:t>審</w:t>
      </w:r>
      <w:r w:rsidR="00964171" w:rsidRPr="004831CE">
        <w:rPr>
          <w:rFonts w:hAnsi="標楷體" w:hint="eastAsia"/>
          <w:b/>
        </w:rPr>
        <w:t>會</w:t>
      </w:r>
      <w:r w:rsidR="00CE7FE7" w:rsidRPr="004831CE">
        <w:rPr>
          <w:rFonts w:hAnsi="標楷體" w:hint="eastAsia"/>
          <w:b/>
        </w:rPr>
        <w:t>未重行</w:t>
      </w:r>
      <w:r w:rsidR="00F84BD3" w:rsidRPr="004831CE">
        <w:rPr>
          <w:rFonts w:hAnsi="標楷體" w:hint="eastAsia"/>
          <w:b/>
        </w:rPr>
        <w:t>評分，</w:t>
      </w:r>
      <w:r w:rsidR="00964171" w:rsidRPr="004831CE">
        <w:rPr>
          <w:rFonts w:hAnsi="標楷體" w:hint="eastAsia"/>
          <w:b/>
        </w:rPr>
        <w:t>沿用原分</w:t>
      </w:r>
      <w:r w:rsidR="00964171" w:rsidRPr="004831CE">
        <w:rPr>
          <w:rFonts w:hAnsi="標楷體" w:hint="eastAsia"/>
          <w:b/>
        </w:rPr>
        <w:lastRenderedPageBreak/>
        <w:t>數作成處分，</w:t>
      </w:r>
      <w:r w:rsidR="00830A17" w:rsidRPr="004831CE">
        <w:rPr>
          <w:rFonts w:hAnsi="標楷體" w:hint="eastAsia"/>
          <w:b/>
        </w:rPr>
        <w:t>卻</w:t>
      </w:r>
      <w:r w:rsidR="007E4D0B" w:rsidRPr="004831CE">
        <w:rPr>
          <w:rFonts w:hAnsi="標楷體" w:hint="eastAsia"/>
          <w:b/>
        </w:rPr>
        <w:t>未能合</w:t>
      </w:r>
      <w:r w:rsidR="0050703D" w:rsidRPr="004831CE">
        <w:rPr>
          <w:rFonts w:hAnsi="標楷體" w:hint="eastAsia"/>
          <w:b/>
        </w:rPr>
        <w:t>理說明</w:t>
      </w:r>
      <w:r w:rsidR="00A173FF" w:rsidRPr="004831CE">
        <w:rPr>
          <w:rFonts w:hAnsi="標楷體" w:hint="eastAsia"/>
          <w:b/>
        </w:rPr>
        <w:t>該公司於</w:t>
      </w:r>
      <w:r w:rsidR="00830A17" w:rsidRPr="004831CE">
        <w:rPr>
          <w:rFonts w:hAnsi="標楷體" w:hint="eastAsia"/>
          <w:b/>
        </w:rPr>
        <w:t>「經營企劃及管理能力」此一評審項目，</w:t>
      </w:r>
      <w:r w:rsidR="0050703D" w:rsidRPr="004831CE">
        <w:rPr>
          <w:rFonts w:hAnsi="標楷體" w:hint="eastAsia"/>
          <w:b/>
        </w:rPr>
        <w:t>何以</w:t>
      </w:r>
      <w:r w:rsidR="00A173FF" w:rsidRPr="004831CE">
        <w:rPr>
          <w:rFonts w:hAnsi="標楷體" w:hint="eastAsia"/>
          <w:b/>
        </w:rPr>
        <w:t>在剔除</w:t>
      </w:r>
      <w:r w:rsidR="00CC3D05" w:rsidRPr="004831CE">
        <w:rPr>
          <w:rFonts w:hAnsi="標楷體" w:hint="eastAsia"/>
          <w:b/>
        </w:rPr>
        <w:t>錯誤</w:t>
      </w:r>
      <w:r w:rsidR="00F06211">
        <w:rPr>
          <w:rFonts w:hAnsi="標楷體" w:hint="eastAsia"/>
          <w:b/>
        </w:rPr>
        <w:t>的經營</w:t>
      </w:r>
      <w:r w:rsidR="00712187" w:rsidRPr="004831CE">
        <w:rPr>
          <w:rFonts w:hAnsi="標楷體" w:hint="eastAsia"/>
          <w:b/>
        </w:rPr>
        <w:t>實績</w:t>
      </w:r>
      <w:r w:rsidR="000A3EB7" w:rsidRPr="004831CE">
        <w:rPr>
          <w:rFonts w:hAnsi="標楷體" w:hint="eastAsia"/>
          <w:b/>
        </w:rPr>
        <w:t>後</w:t>
      </w:r>
      <w:r w:rsidR="0050703D" w:rsidRPr="004831CE">
        <w:rPr>
          <w:rFonts w:hAnsi="標楷體" w:hint="eastAsia"/>
          <w:b/>
        </w:rPr>
        <w:t>，</w:t>
      </w:r>
      <w:r w:rsidR="00A173FF" w:rsidRPr="004831CE">
        <w:rPr>
          <w:rFonts w:hAnsi="標楷體" w:hint="eastAsia"/>
          <w:b/>
        </w:rPr>
        <w:t>仍能獲得</w:t>
      </w:r>
      <w:r w:rsidR="00806F84" w:rsidRPr="004831CE">
        <w:rPr>
          <w:rFonts w:hAnsi="標楷體" w:hint="eastAsia"/>
          <w:b/>
        </w:rPr>
        <w:t>高分</w:t>
      </w:r>
      <w:r w:rsidR="000A3EB7" w:rsidRPr="004831CE">
        <w:rPr>
          <w:rFonts w:hAnsi="標楷體" w:hint="eastAsia"/>
          <w:b/>
        </w:rPr>
        <w:t>之理由，</w:t>
      </w:r>
      <w:r w:rsidR="00B6684B" w:rsidRPr="004831CE">
        <w:rPr>
          <w:rFonts w:hAnsi="標楷體" w:hint="eastAsia"/>
          <w:b/>
        </w:rPr>
        <w:t>本</w:t>
      </w:r>
      <w:r w:rsidR="00CC3D05" w:rsidRPr="004831CE">
        <w:rPr>
          <w:rFonts w:hAnsi="標楷體" w:hint="eastAsia"/>
          <w:b/>
        </w:rPr>
        <w:t>次</w:t>
      </w:r>
      <w:proofErr w:type="gramStart"/>
      <w:r w:rsidR="00CC3D05" w:rsidRPr="004831CE">
        <w:rPr>
          <w:rFonts w:hAnsi="標楷體" w:hint="eastAsia"/>
          <w:b/>
        </w:rPr>
        <w:t>甄</w:t>
      </w:r>
      <w:proofErr w:type="gramEnd"/>
      <w:r w:rsidR="00CC3D05" w:rsidRPr="004831CE">
        <w:rPr>
          <w:rFonts w:hAnsi="標楷體" w:hint="eastAsia"/>
          <w:b/>
        </w:rPr>
        <w:t>審</w:t>
      </w:r>
      <w:r w:rsidR="00830A17" w:rsidRPr="004831CE">
        <w:rPr>
          <w:rFonts w:hAnsi="標楷體" w:hint="eastAsia"/>
          <w:b/>
        </w:rPr>
        <w:t>結果之</w:t>
      </w:r>
      <w:r w:rsidR="000A3EB7" w:rsidRPr="004831CE">
        <w:rPr>
          <w:rFonts w:hAnsi="標楷體" w:hint="eastAsia"/>
          <w:b/>
        </w:rPr>
        <w:t>處分仍係基於錯誤事實及資訊</w:t>
      </w:r>
      <w:r w:rsidR="00A173FF" w:rsidRPr="004831CE">
        <w:rPr>
          <w:rFonts w:hAnsi="標楷體" w:hint="eastAsia"/>
          <w:b/>
        </w:rPr>
        <w:t>而作成，</w:t>
      </w:r>
      <w:proofErr w:type="gramStart"/>
      <w:r w:rsidR="00A173FF" w:rsidRPr="004831CE">
        <w:rPr>
          <w:rFonts w:hAnsi="標楷體" w:hint="eastAsia"/>
          <w:b/>
        </w:rPr>
        <w:t>爰</w:t>
      </w:r>
      <w:proofErr w:type="gramEnd"/>
      <w:r w:rsidR="00A173FF" w:rsidRPr="004831CE">
        <w:rPr>
          <w:rFonts w:hAnsi="標楷體" w:hint="eastAsia"/>
          <w:b/>
        </w:rPr>
        <w:t>遭行政法院</w:t>
      </w:r>
      <w:r w:rsidR="00964171" w:rsidRPr="004831CE">
        <w:rPr>
          <w:rFonts w:hAnsi="標楷體" w:hint="eastAsia"/>
          <w:b/>
        </w:rPr>
        <w:t>判決撤銷，</w:t>
      </w:r>
      <w:r w:rsidR="00746079">
        <w:rPr>
          <w:rFonts w:hAnsi="標楷體" w:hint="eastAsia"/>
          <w:b/>
        </w:rPr>
        <w:t>深</w:t>
      </w:r>
      <w:r w:rsidR="00B6684B" w:rsidRPr="004831CE">
        <w:rPr>
          <w:rFonts w:hAnsi="標楷體" w:hint="eastAsia"/>
          <w:b/>
        </w:rPr>
        <w:t>究本次</w:t>
      </w:r>
      <w:proofErr w:type="gramStart"/>
      <w:r w:rsidR="007E4D0B" w:rsidRPr="004831CE">
        <w:rPr>
          <w:rFonts w:hAnsi="標楷體" w:hint="eastAsia"/>
          <w:b/>
        </w:rPr>
        <w:t>甄</w:t>
      </w:r>
      <w:proofErr w:type="gramEnd"/>
      <w:r w:rsidR="007E4D0B" w:rsidRPr="004831CE">
        <w:rPr>
          <w:rFonts w:hAnsi="標楷體" w:hint="eastAsia"/>
          <w:b/>
        </w:rPr>
        <w:t>審處分瑕疵</w:t>
      </w:r>
      <w:r w:rsidR="00830A17" w:rsidRPr="004831CE">
        <w:rPr>
          <w:rFonts w:hAnsi="標楷體" w:hint="eastAsia"/>
          <w:b/>
        </w:rPr>
        <w:t>問題</w:t>
      </w:r>
      <w:r w:rsidR="007E4D0B" w:rsidRPr="004831CE">
        <w:rPr>
          <w:rFonts w:hAnsi="標楷體" w:hint="eastAsia"/>
          <w:b/>
        </w:rPr>
        <w:t>，</w:t>
      </w:r>
      <w:r w:rsidR="008C010A" w:rsidRPr="004831CE">
        <w:rPr>
          <w:rFonts w:hAnsi="標楷體" w:hint="eastAsia"/>
          <w:b/>
        </w:rPr>
        <w:t>該院雖有意使</w:t>
      </w:r>
      <w:proofErr w:type="gramStart"/>
      <w:r w:rsidR="008C010A" w:rsidRPr="004831CE">
        <w:rPr>
          <w:rFonts w:hAnsi="標楷體" w:hint="eastAsia"/>
          <w:b/>
        </w:rPr>
        <w:t>甄</w:t>
      </w:r>
      <w:proofErr w:type="gramEnd"/>
      <w:r w:rsidR="008C010A" w:rsidRPr="004831CE">
        <w:rPr>
          <w:rFonts w:hAnsi="標楷體" w:hint="eastAsia"/>
          <w:b/>
        </w:rPr>
        <w:t>審委員對於「經營企劃及管理能力」</w:t>
      </w:r>
      <w:r w:rsidR="00752C7C">
        <w:rPr>
          <w:rFonts w:hAnsi="標楷體" w:hint="eastAsia"/>
          <w:b/>
        </w:rPr>
        <w:t>項目</w:t>
      </w:r>
      <w:r w:rsidR="008C010A" w:rsidRPr="004831CE">
        <w:rPr>
          <w:rFonts w:hAnsi="標楷體" w:hint="eastAsia"/>
          <w:b/>
        </w:rPr>
        <w:t>有一致評比</w:t>
      </w:r>
      <w:r w:rsidR="008C010A" w:rsidRPr="00477339">
        <w:rPr>
          <w:rFonts w:hAnsi="標楷體" w:hint="eastAsia"/>
          <w:b/>
        </w:rPr>
        <w:t>標準，</w:t>
      </w:r>
      <w:r w:rsidR="00522845" w:rsidRPr="00477339">
        <w:rPr>
          <w:rFonts w:hAnsi="標楷體" w:hint="eastAsia"/>
          <w:b/>
        </w:rPr>
        <w:t>因</w:t>
      </w:r>
      <w:r w:rsidR="008C010A" w:rsidRPr="00477339">
        <w:rPr>
          <w:rFonts w:hAnsi="標楷體" w:hint="eastAsia"/>
          <w:b/>
        </w:rPr>
        <w:t>而</w:t>
      </w:r>
      <w:r w:rsidR="00752C7C" w:rsidRPr="00477339">
        <w:rPr>
          <w:rFonts w:hAnsi="標楷體" w:hint="eastAsia"/>
          <w:b/>
        </w:rPr>
        <w:t>細分</w:t>
      </w:r>
      <w:proofErr w:type="gramStart"/>
      <w:r w:rsidR="00752C7C" w:rsidRPr="00477339">
        <w:rPr>
          <w:rFonts w:hAnsi="標楷體" w:hint="eastAsia"/>
          <w:b/>
        </w:rPr>
        <w:t>評量</w:t>
      </w:r>
      <w:r w:rsidR="008C010A" w:rsidRPr="00477339">
        <w:rPr>
          <w:rFonts w:hAnsi="標楷體" w:hint="eastAsia"/>
          <w:b/>
        </w:rPr>
        <w:t>子項</w:t>
      </w:r>
      <w:proofErr w:type="gramEnd"/>
      <w:r w:rsidR="008C010A" w:rsidRPr="00477339">
        <w:rPr>
          <w:rFonts w:hAnsi="標楷體" w:hint="eastAsia"/>
          <w:b/>
        </w:rPr>
        <w:t>，卻無相對應的細項配分，</w:t>
      </w:r>
      <w:r w:rsidR="007E2226">
        <w:rPr>
          <w:rFonts w:hAnsi="標楷體" w:hint="eastAsia"/>
          <w:b/>
        </w:rPr>
        <w:t>仍</w:t>
      </w:r>
      <w:r w:rsidR="008C010A" w:rsidRPr="00477339">
        <w:rPr>
          <w:rFonts w:hAnsi="標楷體" w:hint="eastAsia"/>
          <w:b/>
        </w:rPr>
        <w:t>使</w:t>
      </w:r>
      <w:proofErr w:type="gramStart"/>
      <w:r w:rsidR="008C010A" w:rsidRPr="00477339">
        <w:rPr>
          <w:rFonts w:hAnsi="標楷體" w:hint="eastAsia"/>
          <w:b/>
        </w:rPr>
        <w:t>甄</w:t>
      </w:r>
      <w:proofErr w:type="gramEnd"/>
      <w:r w:rsidR="008C010A" w:rsidRPr="00477339">
        <w:rPr>
          <w:rFonts w:hAnsi="標楷體" w:hint="eastAsia"/>
          <w:b/>
        </w:rPr>
        <w:t>審委員</w:t>
      </w:r>
      <w:r w:rsidR="007E2226">
        <w:rPr>
          <w:rFonts w:hAnsi="標楷體" w:hint="eastAsia"/>
          <w:b/>
        </w:rPr>
        <w:t>的</w:t>
      </w:r>
      <w:r w:rsidR="00F06211" w:rsidRPr="00477339">
        <w:rPr>
          <w:rFonts w:hAnsi="標楷體" w:hint="eastAsia"/>
          <w:b/>
        </w:rPr>
        <w:t>評分</w:t>
      </w:r>
      <w:r w:rsidR="007E2226">
        <w:rPr>
          <w:rFonts w:ascii="新細明體" w:eastAsia="新細明體" w:hAnsi="新細明體" w:hint="eastAsia"/>
          <w:b/>
        </w:rPr>
        <w:t>，</w:t>
      </w:r>
      <w:r w:rsidR="008C010A" w:rsidRPr="00477339">
        <w:rPr>
          <w:rFonts w:hAnsi="標楷體" w:hint="eastAsia"/>
          <w:b/>
        </w:rPr>
        <w:t>有於評審</w:t>
      </w:r>
      <w:r w:rsidR="00D30E80">
        <w:rPr>
          <w:rFonts w:hAnsi="標楷體" w:hint="eastAsia"/>
          <w:b/>
        </w:rPr>
        <w:t>項目</w:t>
      </w:r>
      <w:r w:rsidR="008C010A" w:rsidRPr="00477339">
        <w:rPr>
          <w:rFonts w:hAnsi="標楷體" w:hint="eastAsia"/>
          <w:b/>
        </w:rPr>
        <w:t>大項</w:t>
      </w:r>
      <w:r w:rsidR="00BB5240" w:rsidRPr="00477339">
        <w:rPr>
          <w:rFonts w:hAnsi="標楷體" w:hint="eastAsia"/>
          <w:b/>
        </w:rPr>
        <w:t>之間</w:t>
      </w:r>
      <w:r w:rsidR="008C010A" w:rsidRPr="00477339">
        <w:rPr>
          <w:rFonts w:hAnsi="標楷體" w:hint="eastAsia"/>
          <w:b/>
        </w:rPr>
        <w:t>恣意</w:t>
      </w:r>
      <w:r w:rsidR="00F06211" w:rsidRPr="00477339">
        <w:rPr>
          <w:rFonts w:hAnsi="標楷體" w:hint="eastAsia"/>
          <w:b/>
        </w:rPr>
        <w:t>遊走的空間</w:t>
      </w:r>
      <w:r w:rsidR="00477339">
        <w:rPr>
          <w:rFonts w:hAnsi="標楷體" w:hint="eastAsia"/>
          <w:b/>
        </w:rPr>
        <w:t>，</w:t>
      </w:r>
      <w:r w:rsidR="008C010A" w:rsidRPr="00477339">
        <w:rPr>
          <w:rFonts w:hAnsi="標楷體" w:hint="eastAsia"/>
          <w:b/>
        </w:rPr>
        <w:t>難於事後對外消弭公平性疑慮</w:t>
      </w:r>
      <w:r w:rsidR="003D19EF" w:rsidRPr="00477339">
        <w:rPr>
          <w:rFonts w:hAnsi="標楷體" w:hint="eastAsia"/>
          <w:b/>
        </w:rPr>
        <w:t>，</w:t>
      </w:r>
      <w:r w:rsidR="00477339" w:rsidRPr="00477339">
        <w:rPr>
          <w:rFonts w:hAnsi="標楷體" w:hint="eastAsia"/>
          <w:b/>
        </w:rPr>
        <w:t>為免爾後促參案件再生類此爭議，退輔會</w:t>
      </w:r>
      <w:r w:rsidR="00F06211" w:rsidRPr="00477339">
        <w:rPr>
          <w:rFonts w:hAnsi="標楷體" w:hint="eastAsia"/>
          <w:b/>
        </w:rPr>
        <w:t>允</w:t>
      </w:r>
      <w:r w:rsidR="003D19EF" w:rsidRPr="00477339">
        <w:rPr>
          <w:rFonts w:hAnsi="標楷體" w:hint="eastAsia"/>
          <w:b/>
        </w:rPr>
        <w:t>應</w:t>
      </w:r>
      <w:r w:rsidR="00477339" w:rsidRPr="00477339">
        <w:rPr>
          <w:rFonts w:hAnsi="標楷體" w:hint="eastAsia"/>
          <w:b/>
        </w:rPr>
        <w:t>督促所屬</w:t>
      </w:r>
      <w:r w:rsidR="00F06211" w:rsidRPr="00477339">
        <w:rPr>
          <w:rFonts w:hAnsi="標楷體" w:hint="eastAsia"/>
          <w:b/>
        </w:rPr>
        <w:t>深入</w:t>
      </w:r>
      <w:r w:rsidR="000A3EB7" w:rsidRPr="00477339">
        <w:rPr>
          <w:rFonts w:hAnsi="標楷體" w:hint="eastAsia"/>
          <w:b/>
        </w:rPr>
        <w:t>檢討</w:t>
      </w:r>
      <w:proofErr w:type="gramStart"/>
      <w:r w:rsidR="000A3EB7" w:rsidRPr="00477339">
        <w:rPr>
          <w:rFonts w:hAnsi="標楷體" w:hint="eastAsia"/>
          <w:b/>
        </w:rPr>
        <w:t>研</w:t>
      </w:r>
      <w:proofErr w:type="gramEnd"/>
      <w:r w:rsidR="000A3EB7" w:rsidRPr="00477339">
        <w:rPr>
          <w:rFonts w:hAnsi="標楷體" w:hint="eastAsia"/>
          <w:b/>
        </w:rPr>
        <w:t>議</w:t>
      </w:r>
      <w:r w:rsidR="003D19EF" w:rsidRPr="00477339">
        <w:rPr>
          <w:rFonts w:hAnsi="標楷體" w:hint="eastAsia"/>
          <w:b/>
        </w:rPr>
        <w:t>改善。</w:t>
      </w:r>
    </w:p>
    <w:p w:rsidR="00346B44" w:rsidRPr="004831CE" w:rsidRDefault="009E38BE" w:rsidP="009E38BE">
      <w:pPr>
        <w:pStyle w:val="3"/>
        <w:rPr>
          <w:rFonts w:hAnsi="標楷體"/>
        </w:rPr>
      </w:pPr>
      <w:r w:rsidRPr="004831CE">
        <w:rPr>
          <w:rFonts w:hAnsi="標楷體" w:hint="eastAsia"/>
        </w:rPr>
        <w:t>經查，</w:t>
      </w: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北榮總於財政部作成促1040002號申訴審議判斷書，撤銷該院</w:t>
      </w:r>
      <w:r w:rsidR="005C0553" w:rsidRPr="004831CE">
        <w:rPr>
          <w:rFonts w:hAnsi="標楷體" w:hint="eastAsia"/>
        </w:rPr>
        <w:t>對於</w:t>
      </w:r>
      <w:r w:rsidR="009314CF">
        <w:rPr>
          <w:rFonts w:hAnsi="標楷體" w:hint="eastAsia"/>
        </w:rPr>
        <w:t>大○○○</w:t>
      </w:r>
      <w:r w:rsidRPr="004831CE">
        <w:rPr>
          <w:rFonts w:hAnsi="標楷體" w:hint="eastAsia"/>
        </w:rPr>
        <w:t>公司</w:t>
      </w:r>
      <w:r w:rsidR="0040743D" w:rsidRPr="004831CE">
        <w:rPr>
          <w:rFonts w:hAnsi="標楷體" w:hint="eastAsia"/>
        </w:rPr>
        <w:t>之</w:t>
      </w:r>
      <w:r w:rsidR="00E25A2F" w:rsidRPr="004831CE">
        <w:rPr>
          <w:rFonts w:hAnsi="標楷體" w:hint="eastAsia"/>
        </w:rPr>
        <w:t>異議處理結果後，</w:t>
      </w:r>
      <w:r w:rsidRPr="004831CE">
        <w:rPr>
          <w:rFonts w:hAnsi="標楷體" w:hint="eastAsia"/>
        </w:rPr>
        <w:t>於104年9月15日召開第3次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審會</w:t>
      </w:r>
      <w:r w:rsidR="00DC0097" w:rsidRPr="004831CE">
        <w:rPr>
          <w:rFonts w:hAnsi="標楷體" w:hint="eastAsia"/>
        </w:rPr>
        <w:t>議，維持</w:t>
      </w:r>
      <w:r w:rsidR="00E25A2F" w:rsidRPr="004831CE">
        <w:rPr>
          <w:rFonts w:hAnsi="標楷體" w:hint="eastAsia"/>
        </w:rPr>
        <w:t>評定</w:t>
      </w:r>
      <w:r w:rsidR="009314CF">
        <w:rPr>
          <w:rFonts w:hAnsi="標楷體" w:hint="eastAsia"/>
        </w:rPr>
        <w:t>義○○○</w:t>
      </w:r>
      <w:r w:rsidR="00DC0097" w:rsidRPr="004831CE">
        <w:rPr>
          <w:rFonts w:hAnsi="標楷體" w:hint="eastAsia"/>
        </w:rPr>
        <w:t>公司為最優申請人、</w:t>
      </w:r>
      <w:r w:rsidR="009314CF">
        <w:rPr>
          <w:rFonts w:hAnsi="標楷體" w:hint="eastAsia"/>
        </w:rPr>
        <w:t>大○○○</w:t>
      </w:r>
      <w:r w:rsidR="00DC0097" w:rsidRPr="004831CE">
        <w:rPr>
          <w:rFonts w:hAnsi="標楷體" w:hint="eastAsia"/>
        </w:rPr>
        <w:t>公司為次優申請人，</w:t>
      </w:r>
      <w:r w:rsidR="00E25A2F" w:rsidRPr="004831CE">
        <w:rPr>
          <w:rFonts w:hAnsi="標楷體" w:hint="eastAsia"/>
        </w:rPr>
        <w:t>並</w:t>
      </w:r>
      <w:r w:rsidR="005C0553" w:rsidRPr="004831CE">
        <w:rPr>
          <w:rFonts w:hAnsi="標楷體" w:hint="eastAsia"/>
        </w:rPr>
        <w:t>於同</w:t>
      </w:r>
      <w:r w:rsidRPr="004831CE">
        <w:rPr>
          <w:rFonts w:hAnsi="標楷體" w:hint="eastAsia"/>
        </w:rPr>
        <w:t>年11月10日</w:t>
      </w:r>
      <w:r w:rsidR="005C0553" w:rsidRPr="004831CE">
        <w:rPr>
          <w:rFonts w:hAnsi="標楷體" w:hint="eastAsia"/>
        </w:rPr>
        <w:t>將</w:t>
      </w:r>
      <w:proofErr w:type="gramStart"/>
      <w:r w:rsidR="005C0553" w:rsidRPr="004831CE">
        <w:rPr>
          <w:rFonts w:hAnsi="標楷體" w:hint="eastAsia"/>
        </w:rPr>
        <w:t>甄</w:t>
      </w:r>
      <w:proofErr w:type="gramEnd"/>
      <w:r w:rsidR="005C0553" w:rsidRPr="004831CE">
        <w:rPr>
          <w:rFonts w:hAnsi="標楷體" w:hint="eastAsia"/>
        </w:rPr>
        <w:t>審結果以</w:t>
      </w:r>
      <w:r w:rsidRPr="004831CE">
        <w:rPr>
          <w:rFonts w:hAnsi="標楷體" w:hint="eastAsia"/>
        </w:rPr>
        <w:t>北總營字第1041200060號函通知</w:t>
      </w:r>
      <w:r w:rsidR="005C0553" w:rsidRPr="004831CE">
        <w:rPr>
          <w:rFonts w:hAnsi="標楷體" w:hint="eastAsia"/>
        </w:rPr>
        <w:t>各申請人</w:t>
      </w:r>
      <w:r w:rsidRPr="004831CE">
        <w:rPr>
          <w:rFonts w:hAnsi="標楷體" w:hint="eastAsia"/>
        </w:rPr>
        <w:t>，</w:t>
      </w:r>
      <w:r w:rsidR="00DC0097" w:rsidRPr="004831CE">
        <w:rPr>
          <w:rFonts w:hAnsi="標楷體" w:hint="eastAsia"/>
        </w:rPr>
        <w:t>再度</w:t>
      </w:r>
      <w:r w:rsidR="005C0553" w:rsidRPr="004831CE">
        <w:rPr>
          <w:rFonts w:hAnsi="標楷體" w:hint="eastAsia"/>
        </w:rPr>
        <w:t>對外作成</w:t>
      </w:r>
      <w:r w:rsidR="0040743D" w:rsidRPr="004831CE">
        <w:rPr>
          <w:rFonts w:hAnsi="標楷體" w:hint="eastAsia"/>
        </w:rPr>
        <w:t>最優申請人及次優申請人之</w:t>
      </w:r>
      <w:r w:rsidR="005C0553" w:rsidRPr="004831CE">
        <w:rPr>
          <w:rFonts w:hAnsi="標楷體" w:hint="eastAsia"/>
        </w:rPr>
        <w:t>處分，</w:t>
      </w:r>
      <w:r w:rsidR="009314CF">
        <w:rPr>
          <w:rFonts w:hAnsi="標楷體" w:hint="eastAsia"/>
        </w:rPr>
        <w:t>大○○○</w:t>
      </w:r>
      <w:r w:rsidR="005C0553" w:rsidRPr="004831CE">
        <w:rPr>
          <w:rFonts w:hAnsi="標楷體" w:hint="eastAsia"/>
        </w:rPr>
        <w:t>公司</w:t>
      </w:r>
      <w:r w:rsidRPr="004831CE">
        <w:rPr>
          <w:rFonts w:hAnsi="標楷體" w:hint="eastAsia"/>
        </w:rPr>
        <w:t>不服</w:t>
      </w:r>
      <w:r w:rsidR="005C0553" w:rsidRPr="004831CE">
        <w:rPr>
          <w:rFonts w:hAnsi="標楷體" w:hint="eastAsia"/>
        </w:rPr>
        <w:t>，</w:t>
      </w:r>
      <w:r w:rsidRPr="004831CE">
        <w:rPr>
          <w:rFonts w:hAnsi="標楷體" w:hint="eastAsia"/>
        </w:rPr>
        <w:t>提出異議</w:t>
      </w:r>
      <w:r w:rsidR="005C0553" w:rsidRPr="004831CE">
        <w:rPr>
          <w:rFonts w:hAnsi="標楷體" w:hint="eastAsia"/>
        </w:rPr>
        <w:t>、申訴</w:t>
      </w:r>
      <w:r w:rsidRPr="004831CE">
        <w:rPr>
          <w:rFonts w:hAnsi="標楷體" w:hint="eastAsia"/>
        </w:rPr>
        <w:t>，</w:t>
      </w:r>
      <w:proofErr w:type="gramStart"/>
      <w:r w:rsidR="005C0553" w:rsidRPr="004831CE">
        <w:rPr>
          <w:rFonts w:hAnsi="標楷體" w:hint="eastAsia"/>
        </w:rPr>
        <w:t>均遭駁回</w:t>
      </w:r>
      <w:proofErr w:type="gramEnd"/>
      <w:r w:rsidR="005C0553" w:rsidRPr="004831CE">
        <w:rPr>
          <w:rFonts w:hAnsi="標楷體" w:hint="eastAsia"/>
        </w:rPr>
        <w:t>，</w:t>
      </w:r>
      <w:r w:rsidR="00CE7FE7" w:rsidRPr="004831CE">
        <w:rPr>
          <w:rFonts w:hAnsi="標楷體" w:hint="eastAsia"/>
        </w:rPr>
        <w:t>遂</w:t>
      </w:r>
      <w:r w:rsidR="005C0553" w:rsidRPr="004831CE">
        <w:rPr>
          <w:rFonts w:hAnsi="標楷體" w:hint="eastAsia"/>
        </w:rPr>
        <w:t>向</w:t>
      </w:r>
      <w:proofErr w:type="gramStart"/>
      <w:r w:rsidR="00CE7FE7" w:rsidRPr="004831CE">
        <w:rPr>
          <w:rFonts w:hAnsi="標楷體" w:hint="eastAsia"/>
        </w:rPr>
        <w:t>臺</w:t>
      </w:r>
      <w:proofErr w:type="gramEnd"/>
      <w:r w:rsidR="005C0553" w:rsidRPr="004831CE">
        <w:rPr>
          <w:rFonts w:hAnsi="標楷體" w:hint="eastAsia"/>
        </w:rPr>
        <w:t>北高等行政法院提起</w:t>
      </w:r>
      <w:r w:rsidRPr="004831CE">
        <w:rPr>
          <w:rFonts w:hAnsi="標楷體" w:hint="eastAsia"/>
        </w:rPr>
        <w:t>行政訴訟</w:t>
      </w:r>
      <w:r w:rsidR="00CE7FE7" w:rsidRPr="004831CE">
        <w:rPr>
          <w:rFonts w:hAnsi="標楷體" w:hint="eastAsia"/>
        </w:rPr>
        <w:t>，案經</w:t>
      </w:r>
      <w:proofErr w:type="gramStart"/>
      <w:r w:rsidR="0040743D" w:rsidRPr="004831CE">
        <w:rPr>
          <w:rFonts w:hAnsi="標楷體" w:hint="eastAsia"/>
        </w:rPr>
        <w:t>臺</w:t>
      </w:r>
      <w:proofErr w:type="gramEnd"/>
      <w:r w:rsidR="0040743D" w:rsidRPr="004831CE">
        <w:rPr>
          <w:rFonts w:hAnsi="標楷體" w:hint="eastAsia"/>
        </w:rPr>
        <w:t>北高等行政法院審理後，以</w:t>
      </w:r>
      <w:proofErr w:type="gramStart"/>
      <w:r w:rsidR="00234388" w:rsidRPr="004831CE">
        <w:rPr>
          <w:rFonts w:hAnsi="標楷體" w:hint="eastAsia"/>
        </w:rPr>
        <w:t>105年度訴字第1426號</w:t>
      </w:r>
      <w:proofErr w:type="gramEnd"/>
      <w:r w:rsidR="00234388" w:rsidRPr="004831CE">
        <w:rPr>
          <w:rFonts w:hAnsi="標楷體" w:hint="eastAsia"/>
        </w:rPr>
        <w:t>判決撤銷上開</w:t>
      </w:r>
      <w:proofErr w:type="gramStart"/>
      <w:r w:rsidR="00234388" w:rsidRPr="004831CE">
        <w:rPr>
          <w:rFonts w:hAnsi="標楷體" w:hint="eastAsia"/>
        </w:rPr>
        <w:t>甄</w:t>
      </w:r>
      <w:proofErr w:type="gramEnd"/>
      <w:r w:rsidR="00234388" w:rsidRPr="004831CE">
        <w:rPr>
          <w:rFonts w:hAnsi="標楷體" w:hint="eastAsia"/>
        </w:rPr>
        <w:t>審評定結果，</w:t>
      </w:r>
      <w:proofErr w:type="gramStart"/>
      <w:r w:rsidR="00231B6F" w:rsidRPr="004831CE">
        <w:rPr>
          <w:rFonts w:hAnsi="標楷體" w:hint="eastAsia"/>
        </w:rPr>
        <w:t>臺</w:t>
      </w:r>
      <w:proofErr w:type="gramEnd"/>
      <w:r w:rsidR="00231B6F" w:rsidRPr="004831CE">
        <w:rPr>
          <w:rFonts w:hAnsi="標楷體" w:hint="eastAsia"/>
        </w:rPr>
        <w:t>北榮總及</w:t>
      </w:r>
      <w:r w:rsidR="009314CF">
        <w:rPr>
          <w:rFonts w:hAnsi="標楷體" w:hint="eastAsia"/>
        </w:rPr>
        <w:t>義○○○</w:t>
      </w:r>
      <w:r w:rsidR="00231B6F" w:rsidRPr="004831CE">
        <w:rPr>
          <w:rFonts w:hAnsi="標楷體" w:hint="eastAsia"/>
        </w:rPr>
        <w:t>公司就上開判決向最高行政法院提起上訴，經最高行政法院以</w:t>
      </w:r>
      <w:proofErr w:type="gramStart"/>
      <w:r w:rsidR="00231B6F" w:rsidRPr="004831CE">
        <w:rPr>
          <w:rFonts w:hAnsi="標楷體" w:hint="eastAsia"/>
        </w:rPr>
        <w:t>107</w:t>
      </w:r>
      <w:proofErr w:type="gramEnd"/>
      <w:r w:rsidR="00231B6F" w:rsidRPr="004831CE">
        <w:rPr>
          <w:rFonts w:hAnsi="標楷體" w:hint="eastAsia"/>
        </w:rPr>
        <w:t>年度判字第168號判決駁回。</w:t>
      </w:r>
      <w:proofErr w:type="gramStart"/>
      <w:r w:rsidR="00231B6F" w:rsidRPr="004831CE">
        <w:rPr>
          <w:rFonts w:hAnsi="標楷體" w:hint="eastAsia"/>
        </w:rPr>
        <w:t>臺</w:t>
      </w:r>
      <w:proofErr w:type="gramEnd"/>
      <w:r w:rsidR="00231B6F" w:rsidRPr="004831CE">
        <w:rPr>
          <w:rFonts w:hAnsi="標楷體" w:hint="eastAsia"/>
        </w:rPr>
        <w:t>北高等行政法院判決</w:t>
      </w:r>
      <w:r w:rsidR="00234388" w:rsidRPr="004831CE">
        <w:rPr>
          <w:rFonts w:hAnsi="標楷體" w:hint="eastAsia"/>
        </w:rPr>
        <w:t>理由主要係為：</w:t>
      </w:r>
    </w:p>
    <w:p w:rsidR="00234388" w:rsidRPr="004831CE" w:rsidRDefault="009314CF" w:rsidP="00234388">
      <w:pPr>
        <w:pStyle w:val="4"/>
        <w:rPr>
          <w:rFonts w:hAnsi="標楷體"/>
        </w:rPr>
      </w:pPr>
      <w:r>
        <w:rPr>
          <w:rFonts w:hAnsi="標楷體" w:hint="eastAsia"/>
        </w:rPr>
        <w:t>義○○○</w:t>
      </w:r>
      <w:r w:rsidR="00830A17" w:rsidRPr="004831CE">
        <w:rPr>
          <w:rFonts w:hAnsi="標楷體" w:hint="eastAsia"/>
        </w:rPr>
        <w:t>公司與</w:t>
      </w:r>
      <w:r>
        <w:rPr>
          <w:rFonts w:hAnsi="標楷體" w:hint="eastAsia"/>
        </w:rPr>
        <w:t>義○</w:t>
      </w:r>
      <w:r w:rsidR="001755D0" w:rsidRPr="004831CE">
        <w:rPr>
          <w:rFonts w:hAnsi="標楷體" w:hint="eastAsia"/>
        </w:rPr>
        <w:t>食品公司</w:t>
      </w:r>
      <w:r w:rsidR="00830A17" w:rsidRPr="004831CE">
        <w:rPr>
          <w:rFonts w:hAnsi="標楷體" w:hint="eastAsia"/>
        </w:rPr>
        <w:t>二者具有獨立法人人格，</w:t>
      </w:r>
      <w:proofErr w:type="gramStart"/>
      <w:r w:rsidR="00830A17" w:rsidRPr="004831CE">
        <w:rPr>
          <w:rFonts w:hAnsi="標楷體" w:hint="eastAsia"/>
        </w:rPr>
        <w:t>不容相混</w:t>
      </w:r>
      <w:proofErr w:type="gramEnd"/>
      <w:r w:rsidR="00830A17" w:rsidRPr="004831CE">
        <w:rPr>
          <w:rFonts w:hAnsi="標楷體" w:hint="eastAsia"/>
        </w:rPr>
        <w:t>，</w:t>
      </w:r>
      <w:r>
        <w:rPr>
          <w:rFonts w:hAnsi="標楷體" w:hint="eastAsia"/>
        </w:rPr>
        <w:t>義○○○</w:t>
      </w:r>
      <w:r w:rsidR="00830A17" w:rsidRPr="004831CE">
        <w:rPr>
          <w:rFonts w:hAnsi="標楷體" w:hint="eastAsia"/>
        </w:rPr>
        <w:t>公司提出他人之履約經驗、優良實績認證及最近3年之財務資料，</w:t>
      </w:r>
      <w:r w:rsidR="002D3641" w:rsidRPr="004831CE">
        <w:rPr>
          <w:rFonts w:hAnsi="標楷體" w:hint="eastAsia"/>
        </w:rPr>
        <w:t>與本案申請須知之規定不符，且不相關，而有混淆誤認之虞，</w:t>
      </w:r>
      <w:proofErr w:type="gramStart"/>
      <w:r w:rsidR="002D3641" w:rsidRPr="004831CE">
        <w:rPr>
          <w:rFonts w:hAnsi="標楷體" w:hint="eastAsia"/>
        </w:rPr>
        <w:t>核屬錯誤</w:t>
      </w:r>
      <w:proofErr w:type="gramEnd"/>
      <w:r w:rsidR="002D3641" w:rsidRPr="004831CE">
        <w:rPr>
          <w:rFonts w:hAnsi="標楷體" w:hint="eastAsia"/>
        </w:rPr>
        <w:t>之事實及資料，應予排</w:t>
      </w:r>
      <w:r w:rsidR="002D3641" w:rsidRPr="004831CE">
        <w:rPr>
          <w:rFonts w:hAnsi="標楷體" w:hint="eastAsia"/>
        </w:rPr>
        <w:lastRenderedPageBreak/>
        <w:t>除，始可作為公平判斷之基礎。</w:t>
      </w:r>
      <w:proofErr w:type="gramStart"/>
      <w:r w:rsidR="002D3641" w:rsidRPr="004831CE">
        <w:rPr>
          <w:rFonts w:hAnsi="標楷體" w:hint="eastAsia"/>
        </w:rPr>
        <w:t>臺</w:t>
      </w:r>
      <w:proofErr w:type="gramEnd"/>
      <w:r w:rsidR="002D3641" w:rsidRPr="004831CE">
        <w:rPr>
          <w:rFonts w:hAnsi="標楷體" w:hint="eastAsia"/>
        </w:rPr>
        <w:t>北榮總工作小組未就錯誤之資料予以排除，全部</w:t>
      </w:r>
      <w:r w:rsidR="00F0070C" w:rsidRPr="004831CE">
        <w:rPr>
          <w:rFonts w:hAnsi="標楷體" w:hint="eastAsia"/>
        </w:rPr>
        <w:t>引用作成初審意見，送請</w:t>
      </w:r>
      <w:proofErr w:type="gramStart"/>
      <w:r w:rsidR="00F0070C" w:rsidRPr="004831CE">
        <w:rPr>
          <w:rFonts w:hAnsi="標楷體" w:hint="eastAsia"/>
        </w:rPr>
        <w:t>甄</w:t>
      </w:r>
      <w:proofErr w:type="gramEnd"/>
      <w:r w:rsidR="00F0070C" w:rsidRPr="004831CE">
        <w:rPr>
          <w:rFonts w:hAnsi="標楷體" w:hint="eastAsia"/>
        </w:rPr>
        <w:t>審委員參考，作為</w:t>
      </w:r>
      <w:proofErr w:type="gramStart"/>
      <w:r w:rsidR="00F0070C" w:rsidRPr="004831CE">
        <w:rPr>
          <w:rFonts w:hAnsi="標楷體" w:hint="eastAsia"/>
        </w:rPr>
        <w:t>甄</w:t>
      </w:r>
      <w:proofErr w:type="gramEnd"/>
      <w:r w:rsidR="00F0070C" w:rsidRPr="004831CE">
        <w:rPr>
          <w:rFonts w:hAnsi="標楷體" w:hint="eastAsia"/>
        </w:rPr>
        <w:t>審會之評審資料，</w:t>
      </w:r>
      <w:proofErr w:type="gramStart"/>
      <w:r w:rsidR="00F0070C" w:rsidRPr="004831CE">
        <w:rPr>
          <w:rFonts w:hAnsi="標楷體" w:hint="eastAsia"/>
        </w:rPr>
        <w:t>甄</w:t>
      </w:r>
      <w:proofErr w:type="gramEnd"/>
      <w:r w:rsidR="00F0070C" w:rsidRPr="004831CE">
        <w:rPr>
          <w:rFonts w:hAnsi="標楷體" w:hint="eastAsia"/>
        </w:rPr>
        <w:t>審委員基於錯誤之</w:t>
      </w:r>
      <w:proofErr w:type="gramStart"/>
      <w:r w:rsidR="00F0070C" w:rsidRPr="004831CE">
        <w:rPr>
          <w:rFonts w:hAnsi="標楷體" w:hint="eastAsia"/>
        </w:rPr>
        <w:t>甄</w:t>
      </w:r>
      <w:proofErr w:type="gramEnd"/>
      <w:r w:rsidR="00F0070C" w:rsidRPr="004831CE">
        <w:rPr>
          <w:rFonts w:hAnsi="標楷體" w:hint="eastAsia"/>
        </w:rPr>
        <w:t>審資料及錯誤之工作小組初審意見，作成評定</w:t>
      </w:r>
      <w:r>
        <w:rPr>
          <w:rFonts w:hAnsi="標楷體" w:hint="eastAsia"/>
        </w:rPr>
        <w:t>義○○○</w:t>
      </w:r>
      <w:r w:rsidR="00F0070C" w:rsidRPr="004831CE">
        <w:rPr>
          <w:rFonts w:hAnsi="標楷體" w:hint="eastAsia"/>
        </w:rPr>
        <w:t>公司為最優申請人之判斷，</w:t>
      </w:r>
      <w:proofErr w:type="gramStart"/>
      <w:r w:rsidR="00F0070C" w:rsidRPr="004831CE">
        <w:rPr>
          <w:rFonts w:hAnsi="標楷體" w:hint="eastAsia"/>
        </w:rPr>
        <w:t>臺</w:t>
      </w:r>
      <w:proofErr w:type="gramEnd"/>
      <w:r w:rsidR="00F0070C" w:rsidRPr="004831CE">
        <w:rPr>
          <w:rFonts w:hAnsi="標楷體" w:hint="eastAsia"/>
        </w:rPr>
        <w:t>北榮總</w:t>
      </w:r>
      <w:proofErr w:type="gramStart"/>
      <w:r w:rsidR="00F0070C" w:rsidRPr="004831CE">
        <w:rPr>
          <w:rFonts w:hAnsi="標楷體" w:hint="eastAsia"/>
        </w:rPr>
        <w:t>104年3月27日函據以</w:t>
      </w:r>
      <w:proofErr w:type="gramEnd"/>
      <w:r w:rsidR="00F0070C" w:rsidRPr="004831CE">
        <w:rPr>
          <w:rFonts w:hAnsi="標楷體" w:hint="eastAsia"/>
        </w:rPr>
        <w:t>評定該公司為最優申請人，即有違法。</w:t>
      </w:r>
    </w:p>
    <w:p w:rsidR="002D3641" w:rsidRPr="004831CE" w:rsidRDefault="00DC0097" w:rsidP="00234388">
      <w:pPr>
        <w:pStyle w:val="4"/>
        <w:rPr>
          <w:rFonts w:hAnsi="標楷體"/>
        </w:rPr>
      </w:pP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</w:t>
      </w:r>
      <w:r w:rsidR="00D00182" w:rsidRPr="004831CE">
        <w:rPr>
          <w:rFonts w:hAnsi="標楷體" w:hint="eastAsia"/>
        </w:rPr>
        <w:t>於</w:t>
      </w:r>
      <w:r w:rsidRPr="004831CE">
        <w:rPr>
          <w:rFonts w:hAnsi="標楷體" w:hint="eastAsia"/>
        </w:rPr>
        <w:t>104年9月15日召開</w:t>
      </w:r>
      <w:r w:rsidR="00D00182" w:rsidRPr="004831CE">
        <w:rPr>
          <w:rFonts w:hAnsi="標楷體" w:hint="eastAsia"/>
        </w:rPr>
        <w:t>之</w:t>
      </w:r>
      <w:r w:rsidRPr="004831CE">
        <w:rPr>
          <w:rFonts w:hAnsi="標楷體" w:hint="eastAsia"/>
        </w:rPr>
        <w:t>第3次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審會議，工作小組雖依據第1</w:t>
      </w:r>
      <w:r w:rsidR="00E25A2F" w:rsidRPr="004831CE">
        <w:rPr>
          <w:rFonts w:hAnsi="標楷體" w:hint="eastAsia"/>
        </w:rPr>
        <w:t>次申訴審議判斷所指出的缺失，修正初審意見有關「經驗與實績」之</w:t>
      </w:r>
      <w:proofErr w:type="gramStart"/>
      <w:r w:rsidR="00E25A2F" w:rsidRPr="004831CE">
        <w:rPr>
          <w:rFonts w:hAnsi="標楷體" w:hint="eastAsia"/>
        </w:rPr>
        <w:t>評審</w:t>
      </w:r>
      <w:r w:rsidRPr="004831CE">
        <w:rPr>
          <w:rFonts w:hAnsi="標楷體" w:hint="eastAsia"/>
        </w:rPr>
        <w:t>子項</w:t>
      </w:r>
      <w:proofErr w:type="gramEnd"/>
      <w:r w:rsidRPr="004831CE">
        <w:rPr>
          <w:rFonts w:hAnsi="標楷體" w:hint="eastAsia"/>
        </w:rPr>
        <w:t>，並於分類經營實績說明差異性，惟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審會出席委員認為並無被誤導之情事，決議不再重新評分，有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審會議紀錄可按。</w:t>
      </w:r>
      <w:r w:rsidR="00D00182" w:rsidRPr="004831CE">
        <w:rPr>
          <w:rFonts w:hAnsi="標楷體" w:hint="eastAsia"/>
        </w:rPr>
        <w:t>而</w:t>
      </w:r>
      <w:r w:rsidR="00537213" w:rsidRPr="004831CE">
        <w:rPr>
          <w:rFonts w:hAnsi="標楷體" w:hint="eastAsia"/>
        </w:rPr>
        <w:t>第3次</w:t>
      </w:r>
      <w:proofErr w:type="gramStart"/>
      <w:r w:rsidR="00537213" w:rsidRPr="004831CE">
        <w:rPr>
          <w:rFonts w:hAnsi="標楷體" w:hint="eastAsia"/>
        </w:rPr>
        <w:t>甄</w:t>
      </w:r>
      <w:proofErr w:type="gramEnd"/>
      <w:r w:rsidR="00537213" w:rsidRPr="004831CE">
        <w:rPr>
          <w:rFonts w:hAnsi="標楷體" w:hint="eastAsia"/>
        </w:rPr>
        <w:t>審會中，</w:t>
      </w:r>
      <w:proofErr w:type="gramStart"/>
      <w:r w:rsidR="00537213" w:rsidRPr="004831CE">
        <w:rPr>
          <w:rFonts w:hAnsi="標楷體" w:hint="eastAsia"/>
        </w:rPr>
        <w:t>甄</w:t>
      </w:r>
      <w:proofErr w:type="gramEnd"/>
      <w:r w:rsidR="00537213" w:rsidRPr="004831CE">
        <w:rPr>
          <w:rFonts w:hAnsi="標楷體" w:hint="eastAsia"/>
        </w:rPr>
        <w:t>審委員雖表示未被</w:t>
      </w:r>
      <w:r w:rsidR="00932DF9" w:rsidRPr="004831CE">
        <w:rPr>
          <w:rFonts w:hAnsi="標楷體" w:hint="eastAsia"/>
        </w:rPr>
        <w:t>工作小組原初審意見混淆，然在</w:t>
      </w:r>
      <w:r w:rsidR="009314CF">
        <w:rPr>
          <w:rFonts w:hAnsi="標楷體" w:hint="eastAsia"/>
        </w:rPr>
        <w:t>義○○○</w:t>
      </w:r>
      <w:r w:rsidR="00932DF9" w:rsidRPr="004831CE">
        <w:rPr>
          <w:rFonts w:hAnsi="標楷體" w:hint="eastAsia"/>
        </w:rPr>
        <w:t>公司缺乏「經驗與實績」之情形下，何以僅「營運組織」及「人力資源及管理」2項，在配分20分中，即可得到17-18分之高分，該院未能提出合理說明，應認其判斷違背一般經驗法則，出於恣意。</w:t>
      </w:r>
    </w:p>
    <w:p w:rsidR="00231B6F" w:rsidRPr="004831CE" w:rsidRDefault="00D95272" w:rsidP="00231B6F">
      <w:pPr>
        <w:pStyle w:val="3"/>
        <w:rPr>
          <w:rFonts w:hAnsi="標楷體"/>
        </w:rPr>
      </w:pPr>
      <w:r w:rsidRPr="004831CE">
        <w:rPr>
          <w:rFonts w:hAnsi="標楷體" w:hint="eastAsia"/>
        </w:rPr>
        <w:t>細究本次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審處分瑕疵問題，</w:t>
      </w:r>
      <w:r w:rsidR="00F459A9" w:rsidRPr="004831CE">
        <w:rPr>
          <w:rFonts w:hAnsi="標楷體" w:hint="eastAsia"/>
        </w:rPr>
        <w:t>實與該院未就</w:t>
      </w:r>
      <w:proofErr w:type="gramStart"/>
      <w:r w:rsidR="00F459A9" w:rsidRPr="004831CE">
        <w:rPr>
          <w:rFonts w:hAnsi="標楷體" w:hint="eastAsia"/>
        </w:rPr>
        <w:t>評審子項再</w:t>
      </w:r>
      <w:proofErr w:type="gramEnd"/>
      <w:r w:rsidR="00F459A9" w:rsidRPr="004831CE">
        <w:rPr>
          <w:rFonts w:hAnsi="標楷體" w:hint="eastAsia"/>
        </w:rPr>
        <w:t>予細部配分有關，依本案評審辦法訂定之「綜合評審</w:t>
      </w:r>
      <w:proofErr w:type="gramStart"/>
      <w:r w:rsidR="00F459A9" w:rsidRPr="004831CE">
        <w:rPr>
          <w:rFonts w:hAnsi="標楷體" w:hint="eastAsia"/>
        </w:rPr>
        <w:t>配分表</w:t>
      </w:r>
      <w:proofErr w:type="gramEnd"/>
      <w:r w:rsidR="00F459A9" w:rsidRPr="004831CE">
        <w:rPr>
          <w:rFonts w:hAnsi="標楷體" w:hint="eastAsia"/>
        </w:rPr>
        <w:t>」所示，綜合評審項目分為「營運企劃內容」、「財務管理計畫」、「場所設計與空間佈局」、「安全、衛生及教育訓練措施」等4大項目，其中「營運企劃內容」又分為「服務內容與品質」以及「經營企劃及管理能力」等2個子項目，分別配分20分，「經營企劃及管理能力」此一</w:t>
      </w:r>
      <w:proofErr w:type="gramStart"/>
      <w:r w:rsidR="00F459A9" w:rsidRPr="004831CE">
        <w:rPr>
          <w:rFonts w:hAnsi="標楷體" w:hint="eastAsia"/>
        </w:rPr>
        <w:t>子項又</w:t>
      </w:r>
      <w:proofErr w:type="gramEnd"/>
      <w:r w:rsidR="00F459A9" w:rsidRPr="004831CE">
        <w:rPr>
          <w:rFonts w:hAnsi="標楷體" w:hint="eastAsia"/>
        </w:rPr>
        <w:t>分為「經驗與實績」、「營運組織」、「人力資源及管理」等3個細項，</w:t>
      </w:r>
      <w:r w:rsidR="00567DEA" w:rsidRPr="004831CE">
        <w:rPr>
          <w:rFonts w:hAnsi="標楷體" w:hint="eastAsia"/>
        </w:rPr>
        <w:t>然</w:t>
      </w:r>
      <w:proofErr w:type="gramStart"/>
      <w:r w:rsidR="00E25A2F" w:rsidRPr="004831CE">
        <w:rPr>
          <w:rFonts w:hAnsi="標楷體" w:hint="eastAsia"/>
        </w:rPr>
        <w:t>不</w:t>
      </w:r>
      <w:proofErr w:type="gramEnd"/>
      <w:r w:rsidR="00E25A2F" w:rsidRPr="004831CE">
        <w:rPr>
          <w:rFonts w:hAnsi="標楷體" w:hint="eastAsia"/>
        </w:rPr>
        <w:t>就</w:t>
      </w:r>
      <w:r w:rsidR="00F459A9" w:rsidRPr="004831CE">
        <w:rPr>
          <w:rFonts w:hAnsi="標楷體" w:hint="eastAsia"/>
        </w:rPr>
        <w:t>此3個細項</w:t>
      </w:r>
      <w:r w:rsidR="00866D5D" w:rsidRPr="004831CE">
        <w:rPr>
          <w:rFonts w:hAnsi="標楷體" w:hint="eastAsia"/>
        </w:rPr>
        <w:t>再予個別配分。</w:t>
      </w:r>
      <w:r w:rsidR="00213A24" w:rsidRPr="004831CE">
        <w:rPr>
          <w:rFonts w:hAnsi="標楷體" w:hint="eastAsia"/>
        </w:rPr>
        <w:t>是</w:t>
      </w:r>
      <w:proofErr w:type="gramStart"/>
      <w:r w:rsidR="00213A24" w:rsidRPr="004831CE">
        <w:rPr>
          <w:rFonts w:hAnsi="標楷體" w:hint="eastAsia"/>
        </w:rPr>
        <w:t>以</w:t>
      </w:r>
      <w:proofErr w:type="gramEnd"/>
      <w:r w:rsidR="00213A24" w:rsidRPr="004831CE">
        <w:rPr>
          <w:rFonts w:hAnsi="標楷體" w:hint="eastAsia"/>
        </w:rPr>
        <w:t>，</w:t>
      </w:r>
      <w:r w:rsidR="00A16EC2" w:rsidRPr="004831CE">
        <w:rPr>
          <w:rFonts w:hAnsi="標楷體" w:hint="eastAsia"/>
        </w:rPr>
        <w:t>該院雖有意使</w:t>
      </w:r>
      <w:proofErr w:type="gramStart"/>
      <w:r w:rsidR="00A16EC2" w:rsidRPr="004831CE">
        <w:rPr>
          <w:rFonts w:hAnsi="標楷體" w:hint="eastAsia"/>
        </w:rPr>
        <w:t>甄</w:t>
      </w:r>
      <w:proofErr w:type="gramEnd"/>
      <w:r w:rsidR="00A16EC2" w:rsidRPr="004831CE">
        <w:rPr>
          <w:rFonts w:hAnsi="標楷體" w:hint="eastAsia"/>
        </w:rPr>
        <w:t>審委員對於「經營企劃及管理</w:t>
      </w:r>
      <w:r w:rsidR="00A16EC2" w:rsidRPr="004831CE">
        <w:rPr>
          <w:rFonts w:hAnsi="標楷體" w:hint="eastAsia"/>
        </w:rPr>
        <w:lastRenderedPageBreak/>
        <w:t>能力」</w:t>
      </w:r>
      <w:r w:rsidR="00752C7C">
        <w:rPr>
          <w:rFonts w:hAnsi="標楷體" w:hint="eastAsia"/>
        </w:rPr>
        <w:t>評審項目</w:t>
      </w:r>
      <w:r w:rsidR="00A16EC2" w:rsidRPr="004831CE">
        <w:rPr>
          <w:rFonts w:hAnsi="標楷體" w:hint="eastAsia"/>
        </w:rPr>
        <w:t>有一致評比標準，</w:t>
      </w:r>
      <w:r w:rsidR="00E25A2F" w:rsidRPr="004831CE">
        <w:rPr>
          <w:rFonts w:hAnsi="標楷體" w:hint="eastAsia"/>
        </w:rPr>
        <w:t>因而</w:t>
      </w:r>
      <w:r w:rsidR="00752C7C">
        <w:rPr>
          <w:rFonts w:hAnsi="標楷體" w:hint="eastAsia"/>
        </w:rPr>
        <w:t>細分</w:t>
      </w:r>
      <w:proofErr w:type="gramStart"/>
      <w:r w:rsidR="00752C7C">
        <w:rPr>
          <w:rFonts w:hAnsi="標楷體" w:hint="eastAsia"/>
        </w:rPr>
        <w:t>評量</w:t>
      </w:r>
      <w:r w:rsidR="00CE7D94" w:rsidRPr="004831CE">
        <w:rPr>
          <w:rFonts w:hAnsi="標楷體" w:hint="eastAsia"/>
        </w:rPr>
        <w:t>子項</w:t>
      </w:r>
      <w:proofErr w:type="gramEnd"/>
      <w:r w:rsidR="00CE7D94" w:rsidRPr="004831CE">
        <w:rPr>
          <w:rFonts w:hAnsi="標楷體" w:hint="eastAsia"/>
        </w:rPr>
        <w:t>，卻無相對應的細項</w:t>
      </w:r>
      <w:r w:rsidR="00A16EC2" w:rsidRPr="004831CE">
        <w:rPr>
          <w:rFonts w:hAnsi="標楷體" w:hint="eastAsia"/>
        </w:rPr>
        <w:t>配分</w:t>
      </w:r>
      <w:r w:rsidR="00ED2DD0" w:rsidRPr="004831CE">
        <w:rPr>
          <w:rFonts w:hAnsi="標楷體" w:hint="eastAsia"/>
        </w:rPr>
        <w:t>規定</w:t>
      </w:r>
      <w:r w:rsidR="00A16EC2" w:rsidRPr="004831CE">
        <w:rPr>
          <w:rFonts w:hAnsi="標楷體" w:hint="eastAsia"/>
        </w:rPr>
        <w:t>，</w:t>
      </w:r>
      <w:r w:rsidR="007E2226">
        <w:rPr>
          <w:rFonts w:hAnsi="標楷體" w:hint="eastAsia"/>
        </w:rPr>
        <w:t>仍</w:t>
      </w:r>
      <w:r w:rsidR="00A16EC2" w:rsidRPr="004831CE">
        <w:rPr>
          <w:rFonts w:hAnsi="標楷體" w:hint="eastAsia"/>
        </w:rPr>
        <w:t>使</w:t>
      </w:r>
      <w:proofErr w:type="gramStart"/>
      <w:r w:rsidR="00A16EC2" w:rsidRPr="004831CE">
        <w:rPr>
          <w:rFonts w:hAnsi="標楷體" w:hint="eastAsia"/>
        </w:rPr>
        <w:t>甄</w:t>
      </w:r>
      <w:proofErr w:type="gramEnd"/>
      <w:r w:rsidR="00A16EC2" w:rsidRPr="004831CE">
        <w:rPr>
          <w:rFonts w:hAnsi="標楷體" w:hint="eastAsia"/>
        </w:rPr>
        <w:t>審委員的評分，有於評審</w:t>
      </w:r>
      <w:r w:rsidR="00BB5240">
        <w:rPr>
          <w:rFonts w:hAnsi="標楷體" w:hint="eastAsia"/>
        </w:rPr>
        <w:t>項目的</w:t>
      </w:r>
      <w:r w:rsidR="00E25A2F" w:rsidRPr="004831CE">
        <w:rPr>
          <w:rFonts w:hAnsi="標楷體" w:hint="eastAsia"/>
        </w:rPr>
        <w:t>大項</w:t>
      </w:r>
      <w:r w:rsidR="00BB5240">
        <w:rPr>
          <w:rFonts w:hAnsi="標楷體" w:hint="eastAsia"/>
        </w:rPr>
        <w:t>之間</w:t>
      </w:r>
      <w:r w:rsidR="00D80AAD" w:rsidRPr="004831CE">
        <w:rPr>
          <w:rFonts w:hAnsi="標楷體" w:hint="eastAsia"/>
        </w:rPr>
        <w:t>恣意</w:t>
      </w:r>
      <w:r w:rsidR="007E2226">
        <w:rPr>
          <w:rFonts w:hAnsi="標楷體" w:hint="eastAsia"/>
        </w:rPr>
        <w:t>遊走的空間</w:t>
      </w:r>
      <w:r w:rsidR="00A16EC2" w:rsidRPr="004831CE">
        <w:rPr>
          <w:rFonts w:hAnsi="標楷體" w:hint="eastAsia"/>
        </w:rPr>
        <w:t>，</w:t>
      </w:r>
      <w:r w:rsidR="00D80AAD" w:rsidRPr="004831CE">
        <w:rPr>
          <w:rFonts w:hAnsi="標楷體" w:hint="eastAsia"/>
        </w:rPr>
        <w:t>難於事後對外消弭公平性疑慮。</w:t>
      </w:r>
    </w:p>
    <w:p w:rsidR="00C16B76" w:rsidRPr="004831CE" w:rsidRDefault="00C16B76" w:rsidP="00231B6F">
      <w:pPr>
        <w:pStyle w:val="3"/>
        <w:rPr>
          <w:rFonts w:hAnsi="標楷體"/>
        </w:rPr>
      </w:pPr>
      <w:r w:rsidRPr="004831CE">
        <w:rPr>
          <w:rFonts w:hAnsi="標楷體" w:hint="eastAsia"/>
        </w:rPr>
        <w:t>有關評審項目配分問題，退輔會與</w:t>
      </w: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北榮總於本院詢問時</w:t>
      </w:r>
      <w:r w:rsidR="00CC281F" w:rsidRPr="004831CE">
        <w:rPr>
          <w:rFonts w:hAnsi="標楷體" w:hint="eastAsia"/>
        </w:rPr>
        <w:t>亦認有檢討必要，</w:t>
      </w:r>
      <w:r w:rsidR="00431303" w:rsidRPr="004831CE">
        <w:rPr>
          <w:rFonts w:hAnsi="標楷體" w:hint="eastAsia"/>
        </w:rPr>
        <w:t>據</w:t>
      </w:r>
      <w:r w:rsidR="003E4F6D" w:rsidRPr="004831CE">
        <w:rPr>
          <w:rFonts w:hAnsi="標楷體" w:hint="eastAsia"/>
        </w:rPr>
        <w:t>該等機關</w:t>
      </w:r>
      <w:proofErr w:type="gramStart"/>
      <w:r w:rsidR="003E4F6D" w:rsidRPr="004831CE">
        <w:rPr>
          <w:rFonts w:hAnsi="標楷體" w:hint="eastAsia"/>
        </w:rPr>
        <w:t>檢討</w:t>
      </w:r>
      <w:r w:rsidR="00CC281F" w:rsidRPr="004831CE">
        <w:rPr>
          <w:rFonts w:hAnsi="標楷體" w:hint="eastAsia"/>
        </w:rPr>
        <w:t>略</w:t>
      </w:r>
      <w:r w:rsidR="003E4F6D" w:rsidRPr="004831CE">
        <w:rPr>
          <w:rFonts w:hAnsi="標楷體" w:hint="eastAsia"/>
        </w:rPr>
        <w:t>稱</w:t>
      </w:r>
      <w:proofErr w:type="gramEnd"/>
      <w:r w:rsidRPr="004831CE">
        <w:rPr>
          <w:rFonts w:hAnsi="標楷體" w:hint="eastAsia"/>
        </w:rPr>
        <w:t>：爾後將視各該公共建設之性質，明確各該公共建設所擬達成之主要、次要目標，</w:t>
      </w:r>
      <w:proofErr w:type="gramStart"/>
      <w:r w:rsidRPr="004831CE">
        <w:rPr>
          <w:rFonts w:hAnsi="標楷體" w:hint="eastAsia"/>
        </w:rPr>
        <w:t>敦聘與</w:t>
      </w:r>
      <w:proofErr w:type="gramEnd"/>
      <w:r w:rsidRPr="004831CE">
        <w:rPr>
          <w:rFonts w:hAnsi="標楷體" w:hint="eastAsia"/>
        </w:rPr>
        <w:t>各該目標具較高度專業關聯或參與促參案件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審經驗豐富之外部專家協助參與招商文件撰擬，並促請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審委員會考量該公共建設之條件、招商之難易度，依據主要、次要目標來議定評審項目與配分比。就各個項目配分比決定，雖將繼續依法尊重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審委員之獨立性與專業性決議，並遵守保密之原則，惟</w:t>
      </w:r>
      <w:r w:rsidR="008C010A" w:rsidRPr="004831CE">
        <w:rPr>
          <w:rFonts w:hAnsi="標楷體" w:hint="eastAsia"/>
        </w:rPr>
        <w:t>工作小組將適度提醒</w:t>
      </w:r>
      <w:proofErr w:type="gramStart"/>
      <w:r w:rsidR="008C010A" w:rsidRPr="004831CE">
        <w:rPr>
          <w:rFonts w:hAnsi="標楷體" w:hint="eastAsia"/>
        </w:rPr>
        <w:t>甄</w:t>
      </w:r>
      <w:proofErr w:type="gramEnd"/>
      <w:r w:rsidR="008C010A" w:rsidRPr="004831CE">
        <w:rPr>
          <w:rFonts w:hAnsi="標楷體" w:hint="eastAsia"/>
        </w:rPr>
        <w:t>審委員會在兼顧公共目的及能順利完成案件下，盡</w:t>
      </w:r>
      <w:r w:rsidRPr="004831CE">
        <w:rPr>
          <w:rFonts w:hAnsi="標楷體" w:hint="eastAsia"/>
        </w:rPr>
        <w:t>量採取較透明或明確、細緻之評分方式，必要時並得請專業律師提供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審委員會參考意見，以避免有申請人因不了解或誤會招商條件而發生爭議，因而</w:t>
      </w:r>
      <w:proofErr w:type="gramStart"/>
      <w:r w:rsidRPr="004831CE">
        <w:rPr>
          <w:rFonts w:hAnsi="標楷體" w:hint="eastAsia"/>
        </w:rPr>
        <w:t>延滯或妨礙</w:t>
      </w:r>
      <w:proofErr w:type="gramEnd"/>
      <w:r w:rsidRPr="004831CE">
        <w:rPr>
          <w:rFonts w:hAnsi="標楷體" w:hint="eastAsia"/>
        </w:rPr>
        <w:t>案件之進行。將建議</w:t>
      </w:r>
      <w:proofErr w:type="gramStart"/>
      <w:r w:rsidRPr="004831CE">
        <w:rPr>
          <w:rFonts w:hAnsi="標楷體" w:hint="eastAsia"/>
        </w:rPr>
        <w:t>甄</w:t>
      </w:r>
      <w:proofErr w:type="gramEnd"/>
      <w:r w:rsidRPr="004831CE">
        <w:rPr>
          <w:rFonts w:hAnsi="標楷體" w:hint="eastAsia"/>
        </w:rPr>
        <w:t>審會考量除針對評審項目之大項給予配分外，就大項內</w:t>
      </w:r>
      <w:proofErr w:type="gramStart"/>
      <w:r w:rsidRPr="004831CE">
        <w:rPr>
          <w:rFonts w:hAnsi="標楷體" w:hint="eastAsia"/>
        </w:rPr>
        <w:t>之子項亦與予配分</w:t>
      </w:r>
      <w:proofErr w:type="gramEnd"/>
      <w:r w:rsidRPr="004831CE">
        <w:rPr>
          <w:rFonts w:hAnsi="標楷體" w:hint="eastAsia"/>
        </w:rPr>
        <w:t>，以減少爭議。</w:t>
      </w:r>
    </w:p>
    <w:p w:rsidR="00D80AAD" w:rsidRPr="004831CE" w:rsidRDefault="00D80AAD" w:rsidP="00231B6F">
      <w:pPr>
        <w:pStyle w:val="3"/>
        <w:rPr>
          <w:rFonts w:hAnsi="標楷體"/>
        </w:rPr>
      </w:pPr>
      <w:r w:rsidRPr="004831CE">
        <w:rPr>
          <w:rFonts w:hAnsi="標楷體" w:hint="eastAsia"/>
        </w:rPr>
        <w:t>綜上，</w:t>
      </w:r>
      <w:proofErr w:type="gramStart"/>
      <w:r w:rsidR="009B3CA1" w:rsidRPr="009B3CA1">
        <w:rPr>
          <w:rFonts w:hAnsi="標楷體" w:hint="eastAsia"/>
        </w:rPr>
        <w:t>臺</w:t>
      </w:r>
      <w:proofErr w:type="gramEnd"/>
      <w:r w:rsidR="009B3CA1" w:rsidRPr="009B3CA1">
        <w:rPr>
          <w:rFonts w:hAnsi="標楷體" w:hint="eastAsia"/>
        </w:rPr>
        <w:t>北榮總於財政部促參申訴審議會判斷原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審結果有違法瑕疵後，104年9月再次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審結果仍評定</w:t>
      </w:r>
      <w:r w:rsidR="009314CF">
        <w:rPr>
          <w:rFonts w:hAnsi="標楷體" w:hint="eastAsia"/>
        </w:rPr>
        <w:t>義○○○</w:t>
      </w:r>
      <w:r w:rsidR="009B3CA1" w:rsidRPr="009B3CA1">
        <w:rPr>
          <w:rFonts w:hAnsi="標楷體" w:hint="eastAsia"/>
        </w:rPr>
        <w:t>公司為最優申請人，本次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審作業，該院工作小組雖已修正初審意見，惟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審會未重行評分，沿用原分數作成處分，卻未能合理說明該公司於「經營企劃及管理能力」此一評審項目，何以在剔除錯誤的經營實績後，仍能獲得高分之理由，本次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</w:t>
      </w:r>
      <w:r w:rsidR="000F27DB">
        <w:rPr>
          <w:rFonts w:hAnsi="標楷體" w:hint="eastAsia"/>
        </w:rPr>
        <w:t>結果之處分仍係基於錯誤事實及資訊而作成，</w:t>
      </w:r>
      <w:proofErr w:type="gramStart"/>
      <w:r w:rsidR="000F27DB">
        <w:rPr>
          <w:rFonts w:hAnsi="標楷體" w:hint="eastAsia"/>
        </w:rPr>
        <w:t>爰</w:t>
      </w:r>
      <w:proofErr w:type="gramEnd"/>
      <w:r w:rsidR="000F27DB">
        <w:rPr>
          <w:rFonts w:hAnsi="標楷體" w:hint="eastAsia"/>
        </w:rPr>
        <w:t>遭行政法院判決撤銷，深</w:t>
      </w:r>
      <w:r w:rsidR="009B3CA1" w:rsidRPr="009B3CA1">
        <w:rPr>
          <w:rFonts w:hAnsi="標楷體" w:hint="eastAsia"/>
        </w:rPr>
        <w:t>究本次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審處分瑕</w:t>
      </w:r>
      <w:r w:rsidR="009B3CA1" w:rsidRPr="009B3CA1">
        <w:rPr>
          <w:rFonts w:hAnsi="標楷體" w:hint="eastAsia"/>
        </w:rPr>
        <w:lastRenderedPageBreak/>
        <w:t>疵問題，該院雖有意使</w:t>
      </w:r>
      <w:proofErr w:type="gramStart"/>
      <w:r w:rsidR="009B3CA1" w:rsidRPr="009B3CA1">
        <w:rPr>
          <w:rFonts w:hAnsi="標楷體" w:hint="eastAsia"/>
        </w:rPr>
        <w:t>甄</w:t>
      </w:r>
      <w:proofErr w:type="gramEnd"/>
      <w:r w:rsidR="009B3CA1" w:rsidRPr="009B3CA1">
        <w:rPr>
          <w:rFonts w:hAnsi="標楷體" w:hint="eastAsia"/>
        </w:rPr>
        <w:t>審委員對於「經營企劃及管理能力</w:t>
      </w:r>
      <w:r w:rsidR="000F27DB">
        <w:rPr>
          <w:rFonts w:hAnsi="標楷體" w:hint="eastAsia"/>
        </w:rPr>
        <w:t>」項目有一致評比標準，因而細分</w:t>
      </w:r>
      <w:proofErr w:type="gramStart"/>
      <w:r w:rsidR="000F27DB">
        <w:rPr>
          <w:rFonts w:hAnsi="標楷體" w:hint="eastAsia"/>
        </w:rPr>
        <w:t>評量子項</w:t>
      </w:r>
      <w:proofErr w:type="gramEnd"/>
      <w:r w:rsidR="000F27DB">
        <w:rPr>
          <w:rFonts w:hAnsi="標楷體" w:hint="eastAsia"/>
        </w:rPr>
        <w:t>，卻無相對應的細項配分</w:t>
      </w:r>
      <w:r w:rsidR="00D30E80">
        <w:rPr>
          <w:rFonts w:hAnsi="標楷體" w:hint="eastAsia"/>
        </w:rPr>
        <w:t>，仍使</w:t>
      </w:r>
      <w:proofErr w:type="gramStart"/>
      <w:r w:rsidR="00D30E80">
        <w:rPr>
          <w:rFonts w:hAnsi="標楷體" w:hint="eastAsia"/>
        </w:rPr>
        <w:t>甄</w:t>
      </w:r>
      <w:proofErr w:type="gramEnd"/>
      <w:r w:rsidR="00D30E80">
        <w:rPr>
          <w:rFonts w:hAnsi="標楷體" w:hint="eastAsia"/>
        </w:rPr>
        <w:t>審委員的評分，有於評審項目</w:t>
      </w:r>
      <w:r w:rsidR="009B3CA1" w:rsidRPr="009B3CA1">
        <w:rPr>
          <w:rFonts w:hAnsi="標楷體" w:hint="eastAsia"/>
        </w:rPr>
        <w:t>大項之間恣意遊走的空間，難於事後對外消弭公平性疑慮，為</w:t>
      </w:r>
      <w:r w:rsidR="000F27DB">
        <w:rPr>
          <w:rFonts w:hAnsi="標楷體" w:hint="eastAsia"/>
        </w:rPr>
        <w:t>免爾後促參案件再生類此爭議，退輔會允應</w:t>
      </w:r>
      <w:r w:rsidR="00E435D7">
        <w:rPr>
          <w:rFonts w:hAnsi="標楷體" w:hint="eastAsia"/>
        </w:rPr>
        <w:t>督促所屬深入檢討</w:t>
      </w:r>
      <w:proofErr w:type="gramStart"/>
      <w:r w:rsidR="009B3CA1" w:rsidRPr="009B3CA1">
        <w:rPr>
          <w:rFonts w:hAnsi="標楷體" w:hint="eastAsia"/>
        </w:rPr>
        <w:t>研</w:t>
      </w:r>
      <w:proofErr w:type="gramEnd"/>
      <w:r w:rsidR="009B3CA1" w:rsidRPr="009B3CA1">
        <w:rPr>
          <w:rFonts w:hAnsi="標楷體" w:hint="eastAsia"/>
        </w:rPr>
        <w:t>議改善</w:t>
      </w:r>
      <w:r w:rsidRPr="004831CE">
        <w:rPr>
          <w:rFonts w:hAnsi="標楷體" w:hint="eastAsia"/>
        </w:rPr>
        <w:t>。</w:t>
      </w:r>
    </w:p>
    <w:p w:rsidR="000B0053" w:rsidRPr="004831CE" w:rsidRDefault="00455B0D" w:rsidP="00112F79">
      <w:pPr>
        <w:pStyle w:val="2"/>
        <w:rPr>
          <w:rFonts w:hAnsi="標楷體"/>
          <w:b/>
        </w:rPr>
      </w:pPr>
      <w:proofErr w:type="gramStart"/>
      <w:r w:rsidRPr="004831CE">
        <w:rPr>
          <w:rFonts w:hAnsi="標楷體" w:hint="eastAsia"/>
          <w:b/>
        </w:rPr>
        <w:t>臺</w:t>
      </w:r>
      <w:proofErr w:type="gramEnd"/>
      <w:r w:rsidRPr="004831CE">
        <w:rPr>
          <w:rFonts w:hAnsi="標楷體" w:hint="eastAsia"/>
          <w:b/>
        </w:rPr>
        <w:t>北榮總於</w:t>
      </w:r>
      <w:r w:rsidR="00BD1FE3" w:rsidRPr="004831CE">
        <w:rPr>
          <w:rFonts w:hAnsi="標楷體" w:hint="eastAsia"/>
          <w:b/>
        </w:rPr>
        <w:t>行政法院判決撤銷原處分後，於</w:t>
      </w:r>
      <w:r w:rsidR="003F7E21" w:rsidRPr="004831CE">
        <w:rPr>
          <w:rFonts w:hAnsi="標楷體" w:hint="eastAsia"/>
          <w:b/>
        </w:rPr>
        <w:t>107年</w:t>
      </w:r>
      <w:r w:rsidR="00D00182" w:rsidRPr="004831CE">
        <w:rPr>
          <w:rFonts w:hAnsi="標楷體" w:hint="eastAsia"/>
          <w:b/>
        </w:rPr>
        <w:t>10</w:t>
      </w:r>
      <w:r w:rsidR="00431303" w:rsidRPr="004831CE">
        <w:rPr>
          <w:rFonts w:hAnsi="標楷體" w:hint="eastAsia"/>
          <w:b/>
        </w:rPr>
        <w:t>月</w:t>
      </w:r>
      <w:r w:rsidR="00EF5B7C">
        <w:rPr>
          <w:rFonts w:hAnsi="標楷體" w:hint="eastAsia"/>
          <w:b/>
        </w:rPr>
        <w:t>重</w:t>
      </w:r>
      <w:r w:rsidR="00C3023C">
        <w:rPr>
          <w:rFonts w:hAnsi="標楷體" w:hint="eastAsia"/>
          <w:b/>
        </w:rPr>
        <w:t>為</w:t>
      </w:r>
      <w:proofErr w:type="gramStart"/>
      <w:r w:rsidR="00C3023C">
        <w:rPr>
          <w:rFonts w:hAnsi="標楷體" w:hint="eastAsia"/>
          <w:b/>
        </w:rPr>
        <w:t>甄</w:t>
      </w:r>
      <w:proofErr w:type="gramEnd"/>
      <w:r w:rsidR="00C3023C">
        <w:rPr>
          <w:rFonts w:hAnsi="標楷體" w:hint="eastAsia"/>
          <w:b/>
        </w:rPr>
        <w:t>審結果</w:t>
      </w:r>
      <w:r w:rsidR="002576F3" w:rsidRPr="004831CE">
        <w:rPr>
          <w:rFonts w:hAnsi="標楷體" w:hint="eastAsia"/>
          <w:b/>
        </w:rPr>
        <w:t>，</w:t>
      </w:r>
      <w:r w:rsidR="0010573F" w:rsidRPr="004831CE">
        <w:rPr>
          <w:rFonts w:hAnsi="標楷體" w:hint="eastAsia"/>
          <w:b/>
        </w:rPr>
        <w:t>仍評定</w:t>
      </w:r>
      <w:r w:rsidR="009314CF">
        <w:rPr>
          <w:rFonts w:hAnsi="標楷體" w:hint="eastAsia"/>
          <w:b/>
        </w:rPr>
        <w:t>義○○○</w:t>
      </w:r>
      <w:r w:rsidR="0010573F" w:rsidRPr="004831CE">
        <w:rPr>
          <w:rFonts w:hAnsi="標楷體" w:hint="eastAsia"/>
          <w:b/>
        </w:rPr>
        <w:t>公司</w:t>
      </w:r>
      <w:r w:rsidR="003F7E21" w:rsidRPr="004831CE">
        <w:rPr>
          <w:rFonts w:hAnsi="標楷體" w:hint="eastAsia"/>
          <w:b/>
        </w:rPr>
        <w:t>為最優申請人，</w:t>
      </w:r>
      <w:r w:rsidR="00D95272" w:rsidRPr="004831CE">
        <w:rPr>
          <w:rFonts w:hAnsi="標楷體" w:hint="eastAsia"/>
          <w:b/>
        </w:rPr>
        <w:t>雖</w:t>
      </w:r>
      <w:r w:rsidR="0082185E" w:rsidRPr="004831CE">
        <w:rPr>
          <w:rFonts w:hAnsi="標楷體" w:hint="eastAsia"/>
          <w:b/>
        </w:rPr>
        <w:t>據</w:t>
      </w:r>
      <w:r w:rsidR="003B5273" w:rsidRPr="004831CE">
        <w:rPr>
          <w:rFonts w:hAnsi="標楷體" w:hint="eastAsia"/>
          <w:b/>
        </w:rPr>
        <w:t>該院</w:t>
      </w:r>
      <w:r w:rsidR="0082185E" w:rsidRPr="004831CE">
        <w:rPr>
          <w:rFonts w:hAnsi="標楷體" w:hint="eastAsia"/>
          <w:b/>
        </w:rPr>
        <w:t>表示</w:t>
      </w:r>
      <w:r w:rsidR="009C18EC" w:rsidRPr="004831CE">
        <w:rPr>
          <w:rFonts w:hAnsi="標楷體" w:hint="eastAsia"/>
          <w:b/>
        </w:rPr>
        <w:t>，</w:t>
      </w:r>
      <w:r w:rsidR="003F7E21" w:rsidRPr="004831CE">
        <w:rPr>
          <w:rFonts w:hAnsi="標楷體" w:hint="eastAsia"/>
          <w:b/>
        </w:rPr>
        <w:t>工作小組初審意見已排除錯誤資訊，</w:t>
      </w:r>
      <w:proofErr w:type="gramStart"/>
      <w:r w:rsidR="003F7E21" w:rsidRPr="004831CE">
        <w:rPr>
          <w:rFonts w:hAnsi="標楷體" w:hint="eastAsia"/>
          <w:b/>
        </w:rPr>
        <w:t>甄</w:t>
      </w:r>
      <w:proofErr w:type="gramEnd"/>
      <w:r w:rsidR="003F7E21" w:rsidRPr="004831CE">
        <w:rPr>
          <w:rFonts w:hAnsi="標楷體" w:hint="eastAsia"/>
          <w:b/>
        </w:rPr>
        <w:t>審會</w:t>
      </w:r>
      <w:r w:rsidR="003E05E4" w:rsidRPr="004831CE">
        <w:rPr>
          <w:rFonts w:hAnsi="標楷體" w:hint="eastAsia"/>
          <w:b/>
        </w:rPr>
        <w:t>亦</w:t>
      </w:r>
      <w:r w:rsidR="00712187" w:rsidRPr="004831CE">
        <w:rPr>
          <w:rFonts w:hAnsi="標楷體" w:hint="eastAsia"/>
          <w:b/>
        </w:rPr>
        <w:t>重新評分</w:t>
      </w:r>
      <w:r w:rsidR="003F7E21" w:rsidRPr="004831CE">
        <w:rPr>
          <w:rFonts w:hAnsi="標楷體" w:hint="eastAsia"/>
          <w:b/>
        </w:rPr>
        <w:t>，</w:t>
      </w:r>
      <w:proofErr w:type="gramStart"/>
      <w:r w:rsidR="009847B4" w:rsidRPr="004831CE">
        <w:rPr>
          <w:rFonts w:hAnsi="標楷體" w:hint="eastAsia"/>
          <w:b/>
        </w:rPr>
        <w:t>甄</w:t>
      </w:r>
      <w:proofErr w:type="gramEnd"/>
      <w:r w:rsidR="009847B4" w:rsidRPr="004831CE">
        <w:rPr>
          <w:rFonts w:hAnsi="標楷體" w:hint="eastAsia"/>
          <w:b/>
        </w:rPr>
        <w:t>審結果係</w:t>
      </w:r>
      <w:proofErr w:type="gramStart"/>
      <w:r w:rsidR="009847B4" w:rsidRPr="004831CE">
        <w:rPr>
          <w:rFonts w:hAnsi="標楷體" w:hint="eastAsia"/>
          <w:b/>
        </w:rPr>
        <w:t>甄</w:t>
      </w:r>
      <w:proofErr w:type="gramEnd"/>
      <w:r w:rsidR="009847B4" w:rsidRPr="004831CE">
        <w:rPr>
          <w:rFonts w:hAnsi="標楷體" w:hint="eastAsia"/>
          <w:b/>
        </w:rPr>
        <w:t>審委員</w:t>
      </w:r>
      <w:r w:rsidR="00712187" w:rsidRPr="004831CE">
        <w:rPr>
          <w:rFonts w:hAnsi="標楷體" w:hint="eastAsia"/>
          <w:b/>
        </w:rPr>
        <w:t>各</w:t>
      </w:r>
      <w:r w:rsidR="0082185E" w:rsidRPr="004831CE">
        <w:rPr>
          <w:rFonts w:hAnsi="標楷體" w:hint="eastAsia"/>
          <w:b/>
        </w:rPr>
        <w:t>自</w:t>
      </w:r>
      <w:r w:rsidR="00712187" w:rsidRPr="004831CE">
        <w:rPr>
          <w:rFonts w:hAnsi="標楷體" w:hint="eastAsia"/>
          <w:b/>
        </w:rPr>
        <w:t>本</w:t>
      </w:r>
      <w:r w:rsidR="0082185E" w:rsidRPr="004831CE">
        <w:rPr>
          <w:rFonts w:hAnsi="標楷體" w:hint="eastAsia"/>
          <w:b/>
        </w:rPr>
        <w:t>於</w:t>
      </w:r>
      <w:r w:rsidR="009847B4" w:rsidRPr="004831CE">
        <w:rPr>
          <w:rFonts w:hAnsi="標楷體" w:hint="eastAsia"/>
          <w:b/>
        </w:rPr>
        <w:t>專業</w:t>
      </w:r>
      <w:r w:rsidR="00CA63CE" w:rsidRPr="004831CE">
        <w:rPr>
          <w:rFonts w:hAnsi="標楷體" w:hint="eastAsia"/>
          <w:b/>
        </w:rPr>
        <w:t>所為之判斷</w:t>
      </w:r>
      <w:r w:rsidR="00BB0940" w:rsidRPr="004831CE">
        <w:rPr>
          <w:rFonts w:hAnsi="標楷體" w:hint="eastAsia"/>
          <w:b/>
        </w:rPr>
        <w:t>，退輔會亦稱，因兩次</w:t>
      </w:r>
      <w:proofErr w:type="gramStart"/>
      <w:r w:rsidR="00BB0940" w:rsidRPr="004831CE">
        <w:rPr>
          <w:rFonts w:hAnsi="標楷體" w:hint="eastAsia"/>
          <w:b/>
        </w:rPr>
        <w:t>甄</w:t>
      </w:r>
      <w:proofErr w:type="gramEnd"/>
      <w:r w:rsidR="00BB0940" w:rsidRPr="004831CE">
        <w:rPr>
          <w:rFonts w:hAnsi="標楷體" w:hint="eastAsia"/>
          <w:b/>
        </w:rPr>
        <w:t>審會議時隔3年半，且出席評分委員已有部分不同，難以分數</w:t>
      </w:r>
      <w:proofErr w:type="gramStart"/>
      <w:r w:rsidR="00BB0940" w:rsidRPr="004831CE">
        <w:rPr>
          <w:rFonts w:hAnsi="標楷體" w:hint="eastAsia"/>
          <w:b/>
        </w:rPr>
        <w:t>消長及序位</w:t>
      </w:r>
      <w:proofErr w:type="gramEnd"/>
      <w:r w:rsidR="00BB0940" w:rsidRPr="004831CE">
        <w:rPr>
          <w:rFonts w:hAnsi="標楷體" w:hint="eastAsia"/>
          <w:b/>
        </w:rPr>
        <w:t>變動，</w:t>
      </w:r>
      <w:proofErr w:type="gramStart"/>
      <w:r w:rsidR="00BB0940" w:rsidRPr="004831CE">
        <w:rPr>
          <w:rFonts w:hAnsi="標楷體" w:hint="eastAsia"/>
          <w:b/>
        </w:rPr>
        <w:t>遽</w:t>
      </w:r>
      <w:proofErr w:type="gramEnd"/>
      <w:r w:rsidR="00BB0940" w:rsidRPr="004831CE">
        <w:rPr>
          <w:rFonts w:hAnsi="標楷體" w:hint="eastAsia"/>
          <w:b/>
        </w:rPr>
        <w:t>認有評分恣意之違誤云云，然因</w:t>
      </w:r>
      <w:proofErr w:type="gramStart"/>
      <w:r w:rsidR="00BB0940" w:rsidRPr="004831CE">
        <w:rPr>
          <w:rFonts w:hAnsi="標楷體" w:hint="eastAsia"/>
          <w:b/>
        </w:rPr>
        <w:t>臺</w:t>
      </w:r>
      <w:proofErr w:type="gramEnd"/>
      <w:r w:rsidR="00BB0940" w:rsidRPr="004831CE">
        <w:rPr>
          <w:rFonts w:hAnsi="標楷體" w:hint="eastAsia"/>
          <w:b/>
        </w:rPr>
        <w:t>北榮總於</w:t>
      </w:r>
      <w:proofErr w:type="gramStart"/>
      <w:r w:rsidR="00BB0940" w:rsidRPr="004831CE">
        <w:rPr>
          <w:rFonts w:hAnsi="標楷體" w:hint="eastAsia"/>
          <w:b/>
        </w:rPr>
        <w:t>本案招商</w:t>
      </w:r>
      <w:proofErr w:type="gramEnd"/>
      <w:r w:rsidR="00BB0940" w:rsidRPr="004831CE">
        <w:rPr>
          <w:rFonts w:hAnsi="標楷體" w:hint="eastAsia"/>
          <w:b/>
        </w:rPr>
        <w:t>時未就</w:t>
      </w:r>
      <w:proofErr w:type="gramStart"/>
      <w:r w:rsidR="00BB0940" w:rsidRPr="004831CE">
        <w:rPr>
          <w:rFonts w:hAnsi="標楷體" w:hint="eastAsia"/>
          <w:b/>
        </w:rPr>
        <w:t>評審子項予以</w:t>
      </w:r>
      <w:proofErr w:type="gramEnd"/>
      <w:r w:rsidR="00BB0940" w:rsidRPr="004831CE">
        <w:rPr>
          <w:rFonts w:hAnsi="標楷體" w:hint="eastAsia"/>
          <w:b/>
        </w:rPr>
        <w:t>細部配分，</w:t>
      </w:r>
      <w:r w:rsidR="00752C7C">
        <w:rPr>
          <w:rFonts w:hAnsi="標楷體" w:hint="eastAsia"/>
          <w:b/>
        </w:rPr>
        <w:t>難杜</w:t>
      </w:r>
      <w:r w:rsidR="00BB0940" w:rsidRPr="004831CE">
        <w:rPr>
          <w:rFonts w:hAnsi="標楷體" w:hint="eastAsia"/>
          <w:b/>
        </w:rPr>
        <w:t>爭議，已如前述，</w:t>
      </w:r>
      <w:r w:rsidR="00431303" w:rsidRPr="004831CE">
        <w:rPr>
          <w:rFonts w:hAnsi="標楷體" w:hint="eastAsia"/>
          <w:b/>
        </w:rPr>
        <w:t>何以</w:t>
      </w:r>
      <w:r w:rsidR="009314CF">
        <w:rPr>
          <w:rFonts w:hAnsi="標楷體" w:hint="eastAsia"/>
          <w:b/>
        </w:rPr>
        <w:t>義○○○</w:t>
      </w:r>
      <w:r w:rsidR="00431303" w:rsidRPr="004831CE">
        <w:rPr>
          <w:rFonts w:hAnsi="標楷體" w:hint="eastAsia"/>
          <w:b/>
        </w:rPr>
        <w:t>公司</w:t>
      </w:r>
      <w:r w:rsidR="00BA46A7" w:rsidRPr="004831CE">
        <w:rPr>
          <w:rFonts w:hAnsi="標楷體" w:hint="eastAsia"/>
          <w:b/>
        </w:rPr>
        <w:t>所送</w:t>
      </w:r>
      <w:r w:rsidR="00CB00E1" w:rsidRPr="004831CE">
        <w:rPr>
          <w:rFonts w:hAnsi="標楷體" w:hint="eastAsia"/>
          <w:b/>
        </w:rPr>
        <w:t>「</w:t>
      </w:r>
      <w:r w:rsidR="00BA46A7" w:rsidRPr="004831CE">
        <w:rPr>
          <w:rFonts w:hAnsi="標楷體" w:hint="eastAsia"/>
          <w:b/>
        </w:rPr>
        <w:t>營運管理計畫書</w:t>
      </w:r>
      <w:r w:rsidR="00CB00E1" w:rsidRPr="004831CE">
        <w:rPr>
          <w:rFonts w:hAnsi="標楷體" w:hint="eastAsia"/>
          <w:b/>
        </w:rPr>
        <w:t>」</w:t>
      </w:r>
      <w:r w:rsidR="009B4789">
        <w:rPr>
          <w:rFonts w:hAnsi="標楷體" w:hint="eastAsia"/>
          <w:b/>
        </w:rPr>
        <w:t>之</w:t>
      </w:r>
      <w:r w:rsidR="00EF5B7C">
        <w:rPr>
          <w:rFonts w:hAnsi="標楷體" w:hint="eastAsia"/>
          <w:b/>
        </w:rPr>
        <w:t>內容</w:t>
      </w:r>
      <w:r w:rsidR="00431303" w:rsidRPr="004831CE">
        <w:rPr>
          <w:rFonts w:hAnsi="標楷體" w:hint="eastAsia"/>
          <w:b/>
        </w:rPr>
        <w:t>剔除錯誤實績，而其他</w:t>
      </w:r>
      <w:r w:rsidR="00CB00E1" w:rsidRPr="004831CE">
        <w:rPr>
          <w:rFonts w:hAnsi="標楷體" w:hint="eastAsia"/>
          <w:b/>
        </w:rPr>
        <w:t>參審</w:t>
      </w:r>
      <w:r w:rsidR="00431303" w:rsidRPr="004831CE">
        <w:rPr>
          <w:rFonts w:hAnsi="標楷體" w:hint="eastAsia"/>
          <w:b/>
        </w:rPr>
        <w:t>廠商所送</w:t>
      </w:r>
      <w:r w:rsidR="00BA46A7" w:rsidRPr="004831CE">
        <w:rPr>
          <w:rFonts w:hAnsi="標楷體" w:hint="eastAsia"/>
          <w:b/>
        </w:rPr>
        <w:t>申請資料並無</w:t>
      </w:r>
      <w:r w:rsidR="00431303" w:rsidRPr="004831CE">
        <w:rPr>
          <w:rFonts w:hAnsi="標楷體" w:hint="eastAsia"/>
          <w:b/>
        </w:rPr>
        <w:t>變</w:t>
      </w:r>
      <w:r w:rsidR="00BA46A7" w:rsidRPr="004831CE">
        <w:rPr>
          <w:rFonts w:hAnsi="標楷體" w:hint="eastAsia"/>
          <w:b/>
        </w:rPr>
        <w:t>動</w:t>
      </w:r>
      <w:r w:rsidR="00BD04F1" w:rsidRPr="004831CE">
        <w:rPr>
          <w:rFonts w:hAnsi="標楷體" w:hint="eastAsia"/>
          <w:b/>
        </w:rPr>
        <w:t>，</w:t>
      </w:r>
      <w:r w:rsidR="00EF5B7C">
        <w:rPr>
          <w:rFonts w:hAnsi="標楷體" w:hint="eastAsia"/>
          <w:b/>
        </w:rPr>
        <w:t>於</w:t>
      </w:r>
      <w:r w:rsidR="00752C7C">
        <w:rPr>
          <w:rFonts w:hAnsi="標楷體" w:hint="eastAsia"/>
          <w:b/>
        </w:rPr>
        <w:t>此情形下的</w:t>
      </w:r>
      <w:r w:rsidR="00BA46A7" w:rsidRPr="004831CE">
        <w:rPr>
          <w:rFonts w:hAnsi="標楷體" w:hint="eastAsia"/>
          <w:b/>
        </w:rPr>
        <w:t>評審結果，</w:t>
      </w:r>
      <w:r w:rsidR="009314CF">
        <w:rPr>
          <w:rFonts w:hAnsi="標楷體" w:hint="eastAsia"/>
          <w:b/>
        </w:rPr>
        <w:t>大○○○</w:t>
      </w:r>
      <w:r w:rsidR="00BA46A7" w:rsidRPr="004831CE">
        <w:rPr>
          <w:rFonts w:hAnsi="標楷體" w:hint="eastAsia"/>
          <w:b/>
        </w:rPr>
        <w:t>公</w:t>
      </w:r>
      <w:r w:rsidR="00CB00E1" w:rsidRPr="004831CE">
        <w:rPr>
          <w:rFonts w:hAnsi="標楷體" w:hint="eastAsia"/>
          <w:b/>
        </w:rPr>
        <w:t>司</w:t>
      </w:r>
      <w:r w:rsidR="000D279E">
        <w:rPr>
          <w:rFonts w:hAnsi="標楷體" w:hint="eastAsia"/>
          <w:b/>
        </w:rPr>
        <w:t>的</w:t>
      </w:r>
      <w:r w:rsidR="00CB00E1" w:rsidRPr="004831CE">
        <w:rPr>
          <w:rFonts w:hAnsi="標楷體" w:hint="eastAsia"/>
          <w:b/>
        </w:rPr>
        <w:t>序位卻</w:t>
      </w:r>
      <w:r w:rsidR="00BA46A7" w:rsidRPr="004831CE">
        <w:rPr>
          <w:rFonts w:hAnsi="標楷體" w:hint="eastAsia"/>
          <w:b/>
        </w:rPr>
        <w:t>由</w:t>
      </w:r>
      <w:r w:rsidR="00752C7C">
        <w:rPr>
          <w:rFonts w:hAnsi="標楷體" w:hint="eastAsia"/>
          <w:b/>
        </w:rPr>
        <w:t>第二變成</w:t>
      </w:r>
      <w:r w:rsidR="00BA46A7" w:rsidRPr="004831CE">
        <w:rPr>
          <w:rFonts w:hAnsi="標楷體" w:hint="eastAsia"/>
          <w:b/>
        </w:rPr>
        <w:t>第三</w:t>
      </w:r>
      <w:r w:rsidR="00CB00E1" w:rsidRPr="004831CE">
        <w:rPr>
          <w:rFonts w:hAnsi="標楷體" w:hint="eastAsia"/>
          <w:b/>
        </w:rPr>
        <w:t>，退輔會與</w:t>
      </w:r>
      <w:proofErr w:type="gramStart"/>
      <w:r w:rsidR="00CB00E1" w:rsidRPr="004831CE">
        <w:rPr>
          <w:rFonts w:hAnsi="標楷體" w:hint="eastAsia"/>
          <w:b/>
        </w:rPr>
        <w:t>臺</w:t>
      </w:r>
      <w:proofErr w:type="gramEnd"/>
      <w:r w:rsidR="00CB00E1" w:rsidRPr="004831CE">
        <w:rPr>
          <w:rFonts w:hAnsi="標楷體" w:hint="eastAsia"/>
          <w:b/>
        </w:rPr>
        <w:t>北榮總</w:t>
      </w:r>
      <w:r w:rsidR="00382348" w:rsidRPr="004831CE">
        <w:rPr>
          <w:rFonts w:hAnsi="標楷體" w:hint="eastAsia"/>
          <w:b/>
        </w:rPr>
        <w:t>所為</w:t>
      </w:r>
      <w:r w:rsidR="00EF5B7C">
        <w:rPr>
          <w:rFonts w:hAnsi="標楷體" w:hint="eastAsia"/>
          <w:b/>
        </w:rPr>
        <w:t>之說明，尚</w:t>
      </w:r>
      <w:r w:rsidR="00C61CA0" w:rsidRPr="004831CE">
        <w:rPr>
          <w:rFonts w:hAnsi="標楷體" w:hint="eastAsia"/>
          <w:b/>
        </w:rPr>
        <w:t>未能</w:t>
      </w:r>
      <w:r w:rsidR="00E479DB" w:rsidRPr="004831CE">
        <w:rPr>
          <w:rFonts w:hAnsi="標楷體" w:hint="eastAsia"/>
          <w:b/>
        </w:rPr>
        <w:t>盡</w:t>
      </w:r>
      <w:r w:rsidR="00C61CA0" w:rsidRPr="004831CE">
        <w:rPr>
          <w:rFonts w:hAnsi="標楷體" w:hint="eastAsia"/>
          <w:b/>
        </w:rPr>
        <w:t>釋</w:t>
      </w:r>
      <w:r w:rsidR="00E479DB" w:rsidRPr="004831CE">
        <w:rPr>
          <w:rFonts w:hAnsi="標楷體" w:hint="eastAsia"/>
          <w:b/>
        </w:rPr>
        <w:t>民</w:t>
      </w:r>
      <w:proofErr w:type="gramStart"/>
      <w:r w:rsidR="00C61CA0" w:rsidRPr="004831CE">
        <w:rPr>
          <w:rFonts w:hAnsi="標楷體" w:hint="eastAsia"/>
          <w:b/>
        </w:rPr>
        <w:t>疑</w:t>
      </w:r>
      <w:proofErr w:type="gramEnd"/>
      <w:r w:rsidR="00BA46A7" w:rsidRPr="004831CE">
        <w:rPr>
          <w:rFonts w:hAnsi="標楷體" w:hint="eastAsia"/>
          <w:b/>
        </w:rPr>
        <w:t>，</w:t>
      </w:r>
      <w:r w:rsidR="00CB00E1" w:rsidRPr="004831CE">
        <w:rPr>
          <w:rFonts w:hAnsi="標楷體" w:hint="eastAsia"/>
          <w:b/>
        </w:rPr>
        <w:t>經</w:t>
      </w:r>
      <w:r w:rsidR="00BA46A7" w:rsidRPr="004831CE">
        <w:rPr>
          <w:rFonts w:hAnsi="標楷體" w:hint="eastAsia"/>
          <w:b/>
        </w:rPr>
        <w:t>查，</w:t>
      </w:r>
      <w:r w:rsidR="009314CF">
        <w:rPr>
          <w:rFonts w:hAnsi="標楷體" w:hint="eastAsia"/>
          <w:b/>
        </w:rPr>
        <w:t>大○○○</w:t>
      </w:r>
      <w:r w:rsidR="00E479DB" w:rsidRPr="004831CE">
        <w:rPr>
          <w:rFonts w:hAnsi="標楷體" w:hint="eastAsia"/>
          <w:b/>
        </w:rPr>
        <w:t>公司</w:t>
      </w:r>
      <w:r w:rsidR="00BA46A7" w:rsidRPr="004831CE">
        <w:rPr>
          <w:rFonts w:hAnsi="標楷體" w:hint="eastAsia"/>
          <w:b/>
        </w:rPr>
        <w:t>已就</w:t>
      </w:r>
      <w:r w:rsidR="009314CF">
        <w:rPr>
          <w:rFonts w:hAnsi="標楷體" w:hint="eastAsia"/>
          <w:b/>
        </w:rPr>
        <w:t>義○○○</w:t>
      </w:r>
      <w:r w:rsidR="00EF264F" w:rsidRPr="004831CE">
        <w:rPr>
          <w:rFonts w:hAnsi="標楷體" w:hint="eastAsia"/>
          <w:b/>
        </w:rPr>
        <w:t>公司</w:t>
      </w:r>
      <w:r w:rsidR="00C73650" w:rsidRPr="004831CE">
        <w:rPr>
          <w:rFonts w:hAnsi="標楷體" w:hint="eastAsia"/>
          <w:b/>
        </w:rPr>
        <w:t>是否具有參審資格及</w:t>
      </w:r>
      <w:r w:rsidR="00CB00E1" w:rsidRPr="004831CE">
        <w:rPr>
          <w:rFonts w:hAnsi="標楷體" w:hint="eastAsia"/>
          <w:b/>
        </w:rPr>
        <w:t>上開</w:t>
      </w:r>
      <w:r w:rsidR="00CA63CE" w:rsidRPr="004831CE">
        <w:rPr>
          <w:rFonts w:hAnsi="標楷體" w:hint="eastAsia"/>
          <w:b/>
        </w:rPr>
        <w:t>評</w:t>
      </w:r>
      <w:r w:rsidR="003E1A00" w:rsidRPr="004831CE">
        <w:rPr>
          <w:rFonts w:hAnsi="標楷體" w:hint="eastAsia"/>
          <w:b/>
        </w:rPr>
        <w:t>審</w:t>
      </w:r>
      <w:r w:rsidR="00CB00E1" w:rsidRPr="004831CE">
        <w:rPr>
          <w:rFonts w:hAnsi="標楷體" w:hint="eastAsia"/>
          <w:b/>
        </w:rPr>
        <w:t>結果</w:t>
      </w:r>
      <w:r w:rsidR="00C73650" w:rsidRPr="004831CE">
        <w:rPr>
          <w:rFonts w:hAnsi="標楷體" w:hint="eastAsia"/>
          <w:b/>
        </w:rPr>
        <w:t>是否仍流於恣意等</w:t>
      </w:r>
      <w:r w:rsidR="009B4789">
        <w:rPr>
          <w:rFonts w:hAnsi="標楷體" w:hint="eastAsia"/>
          <w:b/>
        </w:rPr>
        <w:t>問題</w:t>
      </w:r>
      <w:r w:rsidR="00EF5B7C">
        <w:rPr>
          <w:rFonts w:hAnsi="標楷體" w:hint="eastAsia"/>
          <w:b/>
        </w:rPr>
        <w:t>尋求司法救濟</w:t>
      </w:r>
      <w:r w:rsidR="001F223F" w:rsidRPr="004831CE">
        <w:rPr>
          <w:rFonts w:hAnsi="標楷體" w:hint="eastAsia"/>
          <w:b/>
        </w:rPr>
        <w:t>，向</w:t>
      </w:r>
      <w:proofErr w:type="gramStart"/>
      <w:r w:rsidR="001F223F" w:rsidRPr="004831CE">
        <w:rPr>
          <w:rFonts w:hAnsi="標楷體" w:hint="eastAsia"/>
          <w:b/>
        </w:rPr>
        <w:t>臺</w:t>
      </w:r>
      <w:proofErr w:type="gramEnd"/>
      <w:r w:rsidR="001F223F" w:rsidRPr="004831CE">
        <w:rPr>
          <w:rFonts w:hAnsi="標楷體" w:hint="eastAsia"/>
          <w:b/>
        </w:rPr>
        <w:t>北高等行政法院</w:t>
      </w:r>
      <w:r w:rsidR="003A20C1" w:rsidRPr="004831CE">
        <w:rPr>
          <w:rFonts w:hAnsi="標楷體" w:hint="eastAsia"/>
          <w:b/>
        </w:rPr>
        <w:t>提起行政訴訟，</w:t>
      </w:r>
      <w:r w:rsidR="001F223F" w:rsidRPr="004831CE">
        <w:rPr>
          <w:rFonts w:hAnsi="標楷體" w:hint="eastAsia"/>
          <w:b/>
        </w:rPr>
        <w:t>刻由法院</w:t>
      </w:r>
      <w:r w:rsidR="00C73650" w:rsidRPr="004831CE">
        <w:rPr>
          <w:rFonts w:hAnsi="標楷體" w:hint="eastAsia"/>
          <w:b/>
        </w:rPr>
        <w:t>審理中，</w:t>
      </w:r>
      <w:r w:rsidR="001F223F" w:rsidRPr="004831CE">
        <w:rPr>
          <w:rFonts w:hAnsi="標楷體" w:hint="eastAsia"/>
          <w:b/>
        </w:rPr>
        <w:t>相關爭執</w:t>
      </w:r>
      <w:r w:rsidR="0082185E" w:rsidRPr="004831CE">
        <w:rPr>
          <w:rFonts w:hAnsi="標楷體" w:hint="eastAsia"/>
          <w:b/>
        </w:rPr>
        <w:t>事項，</w:t>
      </w:r>
      <w:r w:rsidR="003A20C1" w:rsidRPr="004831CE">
        <w:rPr>
          <w:rFonts w:hAnsi="標楷體" w:hint="eastAsia"/>
          <w:b/>
        </w:rPr>
        <w:t>允應</w:t>
      </w:r>
      <w:r w:rsidR="001F223F" w:rsidRPr="004831CE">
        <w:rPr>
          <w:rFonts w:hAnsi="標楷體" w:hint="eastAsia"/>
          <w:b/>
        </w:rPr>
        <w:t>尊重</w:t>
      </w:r>
      <w:r w:rsidR="002874C0" w:rsidRPr="004831CE">
        <w:rPr>
          <w:rFonts w:hAnsi="標楷體" w:hint="eastAsia"/>
          <w:b/>
        </w:rPr>
        <w:t>司法</w:t>
      </w:r>
      <w:r w:rsidR="001F223F" w:rsidRPr="004831CE">
        <w:rPr>
          <w:rFonts w:hAnsi="標楷體" w:hint="eastAsia"/>
          <w:b/>
        </w:rPr>
        <w:t>判決，</w:t>
      </w:r>
      <w:r w:rsidR="006D1741" w:rsidRPr="004831CE">
        <w:rPr>
          <w:rFonts w:hAnsi="標楷體" w:hint="eastAsia"/>
          <w:b/>
        </w:rPr>
        <w:t>以</w:t>
      </w:r>
      <w:r w:rsidR="001F223F" w:rsidRPr="004831CE">
        <w:rPr>
          <w:rFonts w:hAnsi="標楷體" w:hint="eastAsia"/>
          <w:b/>
        </w:rPr>
        <w:t>定</w:t>
      </w:r>
      <w:proofErr w:type="gramStart"/>
      <w:r w:rsidR="001F223F" w:rsidRPr="004831CE">
        <w:rPr>
          <w:rFonts w:hAnsi="標楷體" w:hint="eastAsia"/>
          <w:b/>
        </w:rPr>
        <w:t>紛</w:t>
      </w:r>
      <w:proofErr w:type="gramEnd"/>
      <w:r w:rsidR="001F223F" w:rsidRPr="004831CE">
        <w:rPr>
          <w:rFonts w:hAnsi="標楷體" w:hint="eastAsia"/>
          <w:b/>
        </w:rPr>
        <w:t>止爭</w:t>
      </w:r>
      <w:r w:rsidR="00C73650" w:rsidRPr="004831CE">
        <w:rPr>
          <w:rFonts w:hAnsi="標楷體" w:hint="eastAsia"/>
          <w:b/>
        </w:rPr>
        <w:t>。</w:t>
      </w:r>
    </w:p>
    <w:p w:rsidR="005F19E7" w:rsidRPr="004831CE" w:rsidRDefault="00D00182" w:rsidP="005F19E7">
      <w:pPr>
        <w:pStyle w:val="3"/>
        <w:rPr>
          <w:rFonts w:hAnsi="標楷體"/>
        </w:rPr>
      </w:pP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北榮總104年</w:t>
      </w:r>
      <w:r w:rsidR="003C2AB8" w:rsidRPr="003C2AB8">
        <w:rPr>
          <w:rFonts w:hAnsi="標楷體" w:hint="eastAsia"/>
        </w:rPr>
        <w:t>9月15日</w:t>
      </w:r>
      <w:r w:rsidR="003C2AB8">
        <w:rPr>
          <w:rFonts w:hAnsi="標楷體" w:hint="eastAsia"/>
        </w:rPr>
        <w:t>召開</w:t>
      </w:r>
      <w:proofErr w:type="gramStart"/>
      <w:r w:rsidR="003C2AB8">
        <w:rPr>
          <w:rFonts w:hAnsi="標楷體" w:hint="eastAsia"/>
        </w:rPr>
        <w:t>甄</w:t>
      </w:r>
      <w:proofErr w:type="gramEnd"/>
      <w:r w:rsidR="003C2AB8">
        <w:rPr>
          <w:rFonts w:hAnsi="標楷體" w:hint="eastAsia"/>
        </w:rPr>
        <w:t>審會議</w:t>
      </w:r>
      <w:r w:rsidR="003C2AB8">
        <w:rPr>
          <w:rFonts w:ascii="新細明體" w:eastAsia="新細明體" w:hAnsi="新細明體" w:hint="eastAsia"/>
        </w:rPr>
        <w:t>，</w:t>
      </w:r>
      <w:r w:rsidR="003C2AB8">
        <w:rPr>
          <w:rFonts w:hAnsi="標楷體" w:hint="eastAsia"/>
        </w:rPr>
        <w:t>於同年</w:t>
      </w:r>
      <w:r w:rsidRPr="004831CE">
        <w:rPr>
          <w:rFonts w:hAnsi="標楷體" w:hint="eastAsia"/>
        </w:rPr>
        <w:t>11月10日</w:t>
      </w:r>
      <w:r w:rsidR="003C2AB8">
        <w:rPr>
          <w:rFonts w:hAnsi="標楷體" w:hint="eastAsia"/>
        </w:rPr>
        <w:t>所為</w:t>
      </w:r>
      <w:r w:rsidR="000332BA" w:rsidRPr="004831CE">
        <w:rPr>
          <w:rFonts w:hAnsi="標楷體" w:hint="eastAsia"/>
        </w:rPr>
        <w:t>通知各申請人</w:t>
      </w:r>
      <w:proofErr w:type="gramStart"/>
      <w:r w:rsidR="000332BA" w:rsidRPr="004831CE">
        <w:rPr>
          <w:rFonts w:hAnsi="標楷體" w:hint="eastAsia"/>
        </w:rPr>
        <w:t>甄</w:t>
      </w:r>
      <w:proofErr w:type="gramEnd"/>
      <w:r w:rsidR="000332BA" w:rsidRPr="004831CE">
        <w:rPr>
          <w:rFonts w:hAnsi="標楷體" w:hint="eastAsia"/>
        </w:rPr>
        <w:t>審結果之處分，經</w:t>
      </w:r>
      <w:proofErr w:type="gramStart"/>
      <w:r w:rsidR="000332BA" w:rsidRPr="004831CE">
        <w:rPr>
          <w:rFonts w:hAnsi="標楷體" w:hint="eastAsia"/>
        </w:rPr>
        <w:t>臺</w:t>
      </w:r>
      <w:proofErr w:type="gramEnd"/>
      <w:r w:rsidR="000332BA" w:rsidRPr="004831CE">
        <w:rPr>
          <w:rFonts w:hAnsi="標楷體" w:hint="eastAsia"/>
        </w:rPr>
        <w:t>北行政法院判決撤銷，</w:t>
      </w:r>
      <w:r w:rsidR="003C2AB8">
        <w:rPr>
          <w:rFonts w:hAnsi="標楷體" w:hint="eastAsia"/>
        </w:rPr>
        <w:t>並經最高</w:t>
      </w:r>
      <w:r w:rsidR="000332BA" w:rsidRPr="004831CE">
        <w:rPr>
          <w:rFonts w:hAnsi="標楷體" w:hint="eastAsia"/>
        </w:rPr>
        <w:t>行政法院駁回該院及</w:t>
      </w:r>
      <w:r w:rsidR="009314CF">
        <w:rPr>
          <w:rFonts w:hAnsi="標楷體" w:hint="eastAsia"/>
        </w:rPr>
        <w:t>義○○○</w:t>
      </w:r>
      <w:r w:rsidR="000332BA" w:rsidRPr="004831CE">
        <w:rPr>
          <w:rFonts w:hAnsi="標楷體" w:hint="eastAsia"/>
        </w:rPr>
        <w:t>公司</w:t>
      </w:r>
      <w:r w:rsidR="003C2AB8">
        <w:rPr>
          <w:rFonts w:hAnsi="標楷體" w:hint="eastAsia"/>
        </w:rPr>
        <w:t>之上訴</w:t>
      </w:r>
      <w:r w:rsidR="003C2AB8">
        <w:rPr>
          <w:rFonts w:ascii="新細明體" w:eastAsia="新細明體" w:hAnsi="新細明體" w:hint="eastAsia"/>
        </w:rPr>
        <w:t>（</w:t>
      </w:r>
      <w:r w:rsidR="003C2AB8">
        <w:rPr>
          <w:rFonts w:hAnsi="標楷體" w:hint="eastAsia"/>
        </w:rPr>
        <w:t>參見最高行政法院</w:t>
      </w:r>
      <w:proofErr w:type="gramStart"/>
      <w:r w:rsidR="003C2AB8" w:rsidRPr="003C2AB8">
        <w:rPr>
          <w:rFonts w:hAnsi="標楷體" w:hint="eastAsia"/>
        </w:rPr>
        <w:t>107</w:t>
      </w:r>
      <w:proofErr w:type="gramEnd"/>
      <w:r w:rsidR="003C2AB8" w:rsidRPr="003C2AB8">
        <w:rPr>
          <w:rFonts w:hAnsi="標楷體" w:hint="eastAsia"/>
        </w:rPr>
        <w:t>年度判字第168號判決</w:t>
      </w:r>
      <w:r w:rsidR="003C2AB8">
        <w:rPr>
          <w:rFonts w:hAnsi="標楷體" w:hint="eastAsia"/>
        </w:rPr>
        <w:t>）</w:t>
      </w:r>
      <w:r w:rsidR="00792C8C" w:rsidRPr="00792C8C">
        <w:rPr>
          <w:rFonts w:hAnsi="標楷體" w:hint="eastAsia"/>
        </w:rPr>
        <w:t>後</w:t>
      </w:r>
      <w:r w:rsidR="003C2AB8">
        <w:rPr>
          <w:rFonts w:ascii="新細明體" w:eastAsia="新細明體" w:hAnsi="新細明體" w:hint="eastAsia"/>
        </w:rPr>
        <w:t>，</w:t>
      </w:r>
      <w:r w:rsidR="000332BA" w:rsidRPr="004831CE">
        <w:rPr>
          <w:rFonts w:hAnsi="標楷體" w:hint="eastAsia"/>
        </w:rPr>
        <w:t>於107年10月8日召開第5次</w:t>
      </w:r>
      <w:proofErr w:type="gramStart"/>
      <w:r w:rsidR="000332BA" w:rsidRPr="004831CE">
        <w:rPr>
          <w:rFonts w:hAnsi="標楷體" w:hint="eastAsia"/>
        </w:rPr>
        <w:t>甄</w:t>
      </w:r>
      <w:proofErr w:type="gramEnd"/>
      <w:r w:rsidR="000332BA" w:rsidRPr="004831CE">
        <w:rPr>
          <w:rFonts w:hAnsi="標楷體" w:hint="eastAsia"/>
        </w:rPr>
        <w:t>審會議，作成第3</w:t>
      </w:r>
      <w:r w:rsidR="003C2AB8">
        <w:rPr>
          <w:rFonts w:hAnsi="標楷體" w:hint="eastAsia"/>
        </w:rPr>
        <w:t>次</w:t>
      </w:r>
      <w:proofErr w:type="gramStart"/>
      <w:r w:rsidR="003C2AB8">
        <w:rPr>
          <w:rFonts w:hAnsi="標楷體" w:hint="eastAsia"/>
        </w:rPr>
        <w:t>甄</w:t>
      </w:r>
      <w:proofErr w:type="gramEnd"/>
      <w:r w:rsidR="003C2AB8">
        <w:rPr>
          <w:rFonts w:hAnsi="標楷體" w:hint="eastAsia"/>
        </w:rPr>
        <w:t>審決定，仍評定</w:t>
      </w:r>
      <w:r w:rsidR="009314CF">
        <w:rPr>
          <w:rFonts w:hAnsi="標楷體" w:hint="eastAsia"/>
        </w:rPr>
        <w:t>義○○○</w:t>
      </w:r>
      <w:r w:rsidR="003C2AB8">
        <w:rPr>
          <w:rFonts w:hAnsi="標楷體" w:hint="eastAsia"/>
        </w:rPr>
        <w:t>公</w:t>
      </w:r>
      <w:r w:rsidR="003C2AB8">
        <w:rPr>
          <w:rFonts w:hAnsi="標楷體" w:hint="eastAsia"/>
        </w:rPr>
        <w:lastRenderedPageBreak/>
        <w:t>司為最優申請人，</w:t>
      </w:r>
      <w:proofErr w:type="gramStart"/>
      <w:r w:rsidR="003C2AB8">
        <w:rPr>
          <w:rFonts w:hAnsi="標楷體" w:hint="eastAsia"/>
        </w:rPr>
        <w:t>嗣</w:t>
      </w:r>
      <w:proofErr w:type="gramEnd"/>
      <w:r w:rsidR="000332BA" w:rsidRPr="004831CE">
        <w:rPr>
          <w:rFonts w:hAnsi="標楷體" w:hint="eastAsia"/>
        </w:rPr>
        <w:t>於同年10月23日</w:t>
      </w:r>
      <w:r w:rsidR="00346E8B">
        <w:rPr>
          <w:rFonts w:hAnsi="標楷體" w:hint="eastAsia"/>
        </w:rPr>
        <w:t>以</w:t>
      </w:r>
      <w:r w:rsidR="000332BA" w:rsidRPr="004831CE">
        <w:rPr>
          <w:rFonts w:hAnsi="標楷體" w:hint="eastAsia"/>
        </w:rPr>
        <w:t>北總榮營字第1071200182號函</w:t>
      </w:r>
      <w:r w:rsidR="00346E8B">
        <w:rPr>
          <w:rFonts w:hAnsi="標楷體" w:hint="eastAsia"/>
        </w:rPr>
        <w:t>通知各申請人</w:t>
      </w:r>
      <w:r w:rsidR="00346E8B">
        <w:rPr>
          <w:rFonts w:ascii="新細明體" w:eastAsia="新細明體" w:hAnsi="新細明體" w:hint="eastAsia"/>
        </w:rPr>
        <w:t>，</w:t>
      </w:r>
      <w:r w:rsidR="00346E8B">
        <w:rPr>
          <w:rFonts w:hAnsi="標楷體" w:hint="eastAsia"/>
        </w:rPr>
        <w:t>作成</w:t>
      </w:r>
      <w:proofErr w:type="gramStart"/>
      <w:r w:rsidR="00346E8B">
        <w:rPr>
          <w:rFonts w:hAnsi="標楷體" w:hint="eastAsia"/>
        </w:rPr>
        <w:t>甄</w:t>
      </w:r>
      <w:proofErr w:type="gramEnd"/>
      <w:r w:rsidR="00346E8B">
        <w:rPr>
          <w:rFonts w:hAnsi="標楷體" w:hint="eastAsia"/>
        </w:rPr>
        <w:t>審結果之</w:t>
      </w:r>
      <w:r w:rsidR="004E4ACE" w:rsidRPr="004831CE">
        <w:rPr>
          <w:rFonts w:hAnsi="標楷體" w:hint="eastAsia"/>
        </w:rPr>
        <w:t>處分。</w:t>
      </w:r>
    </w:p>
    <w:p w:rsidR="009773D7" w:rsidRPr="004831CE" w:rsidRDefault="004E4ACE" w:rsidP="005F19E7">
      <w:pPr>
        <w:pStyle w:val="3"/>
        <w:rPr>
          <w:rFonts w:hAnsi="標楷體"/>
        </w:rPr>
      </w:pPr>
      <w:r w:rsidRPr="004831CE">
        <w:rPr>
          <w:rFonts w:hAnsi="標楷體" w:hint="eastAsia"/>
        </w:rPr>
        <w:t>雖</w:t>
      </w:r>
      <w:proofErr w:type="gramStart"/>
      <w:r w:rsidRPr="004831CE">
        <w:rPr>
          <w:rFonts w:hAnsi="標楷體" w:hint="eastAsia"/>
        </w:rPr>
        <w:t>詢</w:t>
      </w:r>
      <w:proofErr w:type="gramEnd"/>
      <w:r w:rsidRPr="004831CE">
        <w:rPr>
          <w:rFonts w:hAnsi="標楷體" w:hint="eastAsia"/>
        </w:rPr>
        <w:t>據</w:t>
      </w:r>
      <w:proofErr w:type="gramStart"/>
      <w:r w:rsidRPr="004831CE">
        <w:rPr>
          <w:rFonts w:hAnsi="標楷體" w:hint="eastAsia"/>
        </w:rPr>
        <w:t>臺</w:t>
      </w:r>
      <w:proofErr w:type="gramEnd"/>
      <w:r w:rsidRPr="004831CE">
        <w:rPr>
          <w:rFonts w:hAnsi="標楷體" w:hint="eastAsia"/>
        </w:rPr>
        <w:t>北榮總表示：</w:t>
      </w:r>
      <w:r w:rsidR="009773D7" w:rsidRPr="004831CE">
        <w:rPr>
          <w:rFonts w:hAnsi="標楷體" w:hint="eastAsia"/>
        </w:rPr>
        <w:t>該院於行政法院判決撤銷原處分後，委請3家律師事務所進行評估</w:t>
      </w:r>
      <w:r w:rsidR="00D064D6">
        <w:rPr>
          <w:rFonts w:ascii="新細明體" w:eastAsia="新細明體" w:hAnsi="新細明體" w:hint="eastAsia"/>
        </w:rPr>
        <w:t>、</w:t>
      </w:r>
      <w:r w:rsidR="003D28D1">
        <w:rPr>
          <w:rFonts w:hAnsi="標楷體" w:hint="eastAsia"/>
        </w:rPr>
        <w:t>函</w:t>
      </w:r>
      <w:proofErr w:type="gramStart"/>
      <w:r w:rsidR="003D28D1">
        <w:rPr>
          <w:rFonts w:hAnsi="標楷體" w:hint="eastAsia"/>
        </w:rPr>
        <w:t>詢</w:t>
      </w:r>
      <w:proofErr w:type="gramEnd"/>
      <w:r w:rsidR="003D28D1">
        <w:rPr>
          <w:rFonts w:hAnsi="標楷體" w:hint="eastAsia"/>
        </w:rPr>
        <w:t>財政部意見，</w:t>
      </w:r>
      <w:r w:rsidR="00D064D6">
        <w:rPr>
          <w:rFonts w:hAnsi="標楷體" w:hint="eastAsia"/>
        </w:rPr>
        <w:t>並</w:t>
      </w:r>
      <w:r w:rsidR="009773D7" w:rsidRPr="004831CE">
        <w:rPr>
          <w:rFonts w:hAnsi="標楷體" w:hint="eastAsia"/>
        </w:rPr>
        <w:t>陳報退輔會後，</w:t>
      </w:r>
      <w:proofErr w:type="gramStart"/>
      <w:r w:rsidR="009773D7" w:rsidRPr="004831CE">
        <w:rPr>
          <w:rFonts w:hAnsi="標楷體" w:hint="eastAsia"/>
        </w:rPr>
        <w:t>採</w:t>
      </w:r>
      <w:proofErr w:type="gramEnd"/>
      <w:r w:rsidR="009773D7" w:rsidRPr="004831CE">
        <w:rPr>
          <w:rFonts w:hAnsi="標楷體" w:hint="eastAsia"/>
        </w:rPr>
        <w:t>重行召開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審會</w:t>
      </w:r>
      <w:proofErr w:type="gramStart"/>
      <w:r w:rsidR="009773D7" w:rsidRPr="004831CE">
        <w:rPr>
          <w:rFonts w:hAnsi="標楷體" w:hint="eastAsia"/>
        </w:rPr>
        <w:t>就</w:t>
      </w:r>
      <w:r w:rsidR="003D28D1">
        <w:rPr>
          <w:rFonts w:hAnsi="標楷體" w:hint="eastAsia"/>
        </w:rPr>
        <w:t>原</w:t>
      </w:r>
      <w:r w:rsidR="009773D7" w:rsidRPr="004831CE">
        <w:rPr>
          <w:rFonts w:hAnsi="標楷體" w:hint="eastAsia"/>
        </w:rPr>
        <w:t>參審</w:t>
      </w:r>
      <w:proofErr w:type="gramEnd"/>
      <w:r w:rsidR="009773D7" w:rsidRPr="004831CE">
        <w:rPr>
          <w:rFonts w:hAnsi="標楷體" w:hint="eastAsia"/>
        </w:rPr>
        <w:t>廠商重為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審評分方式辦理，該院工作小組初審意見已排除錯誤資訊，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審會亦重新評分，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審結果係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審委員各自本於專業所為之判斷</w:t>
      </w:r>
      <w:r w:rsidR="003D28D1">
        <w:rPr>
          <w:rFonts w:hAnsi="標楷體" w:hint="eastAsia"/>
        </w:rPr>
        <w:t>等情</w:t>
      </w:r>
      <w:r w:rsidR="009773D7" w:rsidRPr="004831CE">
        <w:rPr>
          <w:rFonts w:hAnsi="標楷體" w:hint="eastAsia"/>
        </w:rPr>
        <w:t>。</w:t>
      </w:r>
      <w:r w:rsidR="00752C7C">
        <w:rPr>
          <w:rFonts w:hAnsi="標楷體" w:hint="eastAsia"/>
        </w:rPr>
        <w:t>本院請</w:t>
      </w:r>
      <w:r w:rsidR="009773D7" w:rsidRPr="004831CE">
        <w:rPr>
          <w:rFonts w:hAnsi="標楷體" w:hint="eastAsia"/>
        </w:rPr>
        <w:t>退輔會</w:t>
      </w:r>
      <w:r w:rsidR="00752C7C">
        <w:rPr>
          <w:rFonts w:hAnsi="標楷體" w:hint="eastAsia"/>
        </w:rPr>
        <w:t>本於監督權責進行</w:t>
      </w:r>
      <w:r w:rsidR="009773D7" w:rsidRPr="004831CE">
        <w:rPr>
          <w:rFonts w:hAnsi="標楷體" w:hint="eastAsia"/>
        </w:rPr>
        <w:t>檢討</w:t>
      </w:r>
      <w:r w:rsidR="00752C7C">
        <w:rPr>
          <w:rFonts w:ascii="新細明體" w:eastAsia="新細明體" w:hAnsi="新細明體" w:hint="eastAsia"/>
        </w:rPr>
        <w:t>，</w:t>
      </w:r>
      <w:r w:rsidR="00752C7C">
        <w:rPr>
          <w:rFonts w:hAnsi="標楷體" w:hint="eastAsia"/>
        </w:rPr>
        <w:t>該會</w:t>
      </w:r>
      <w:r w:rsidR="009773D7" w:rsidRPr="004831CE">
        <w:rPr>
          <w:rFonts w:hAnsi="標楷體" w:hint="eastAsia"/>
        </w:rPr>
        <w:t>亦稱：</w:t>
      </w:r>
      <w:r w:rsidR="00752C7C" w:rsidRPr="00752C7C">
        <w:rPr>
          <w:rFonts w:hAnsi="標楷體" w:hint="eastAsia"/>
        </w:rPr>
        <w:t>本案分別於104年3月19日第2次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審會及107年10月8日第5次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審會辦理評分，因兩次會議出席評分之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審委員已有4名不同</w:t>
      </w:r>
      <w:r w:rsidR="00752C7C">
        <w:rPr>
          <w:rFonts w:hAnsi="標楷體" w:hint="eastAsia"/>
        </w:rPr>
        <w:t>，且</w:t>
      </w:r>
      <w:proofErr w:type="gramStart"/>
      <w:r w:rsidR="00752C7C">
        <w:rPr>
          <w:rFonts w:hAnsi="標楷體" w:hint="eastAsia"/>
        </w:rPr>
        <w:t>時間相隔3</w:t>
      </w:r>
      <w:r w:rsidR="00752C7C" w:rsidRPr="00752C7C">
        <w:rPr>
          <w:rFonts w:hAnsi="標楷體" w:hint="eastAsia"/>
        </w:rPr>
        <w:t>年半</w:t>
      </w:r>
      <w:proofErr w:type="gramEnd"/>
      <w:r w:rsidR="00752C7C" w:rsidRPr="00752C7C">
        <w:rPr>
          <w:rFonts w:hAnsi="標楷體" w:hint="eastAsia"/>
        </w:rPr>
        <w:t>，縱使曾參與第2次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審會評分之委員，亦係在第5次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審會時重行評分，並未沿用第2次</w:t>
      </w:r>
      <w:proofErr w:type="gramStart"/>
      <w:r w:rsidR="00752C7C" w:rsidRPr="00752C7C">
        <w:rPr>
          <w:rFonts w:hAnsi="標楷體" w:hint="eastAsia"/>
        </w:rPr>
        <w:t>甄</w:t>
      </w:r>
      <w:proofErr w:type="gramEnd"/>
      <w:r w:rsidR="00752C7C" w:rsidRPr="00752C7C">
        <w:rPr>
          <w:rFonts w:hAnsi="標楷體" w:hint="eastAsia"/>
        </w:rPr>
        <w:t>審會分數，</w:t>
      </w:r>
      <w:proofErr w:type="gramStart"/>
      <w:r w:rsidR="00752C7C" w:rsidRPr="00752C7C">
        <w:rPr>
          <w:rFonts w:hAnsi="標楷體" w:hint="eastAsia"/>
        </w:rPr>
        <w:t>故衡情</w:t>
      </w:r>
      <w:proofErr w:type="gramEnd"/>
      <w:r w:rsidR="00752C7C" w:rsidRPr="00752C7C">
        <w:rPr>
          <w:rFonts w:hAnsi="標楷體" w:hint="eastAsia"/>
        </w:rPr>
        <w:t>6</w:t>
      </w:r>
      <w:r w:rsidR="00752C7C">
        <w:rPr>
          <w:rFonts w:hAnsi="標楷體" w:hint="eastAsia"/>
        </w:rPr>
        <w:t>家申請廠商之各項分數雖有</w:t>
      </w:r>
      <w:r w:rsidR="00752C7C" w:rsidRPr="00752C7C">
        <w:rPr>
          <w:rFonts w:hAnsi="標楷體" w:hint="eastAsia"/>
        </w:rPr>
        <w:t>消長更迭，然此情形應亦與常理相符</w:t>
      </w:r>
      <w:r w:rsidR="00752C7C">
        <w:rPr>
          <w:rFonts w:ascii="新細明體" w:eastAsia="新細明體" w:hAnsi="新細明體" w:hint="eastAsia"/>
        </w:rPr>
        <w:t>，</w:t>
      </w:r>
      <w:r w:rsidR="00752C7C">
        <w:rPr>
          <w:rFonts w:hAnsi="標楷體" w:hint="eastAsia"/>
        </w:rPr>
        <w:t>且本案既</w:t>
      </w:r>
      <w:proofErr w:type="gramStart"/>
      <w:r w:rsidR="00752C7C">
        <w:rPr>
          <w:rFonts w:hAnsi="標楷體" w:hint="eastAsia"/>
        </w:rPr>
        <w:t>採</w:t>
      </w:r>
      <w:proofErr w:type="gramEnd"/>
      <w:r w:rsidR="00752C7C">
        <w:rPr>
          <w:rFonts w:hAnsi="標楷體" w:hint="eastAsia"/>
        </w:rPr>
        <w:t>序位法，</w:t>
      </w:r>
      <w:r w:rsidR="00752C7C" w:rsidRPr="00752C7C">
        <w:rPr>
          <w:rFonts w:hAnsi="標楷體" w:hint="eastAsia"/>
        </w:rPr>
        <w:t>各申請廠商之絕對分數高低變化</w:t>
      </w:r>
      <w:r w:rsidR="00752C7C">
        <w:rPr>
          <w:rFonts w:ascii="新細明體" w:eastAsia="新細明體" w:hAnsi="新細明體" w:hint="eastAsia"/>
        </w:rPr>
        <w:t>，</w:t>
      </w:r>
      <w:r w:rsidR="00752C7C" w:rsidRPr="00752C7C">
        <w:rPr>
          <w:rFonts w:hAnsi="標楷體" w:hint="eastAsia"/>
        </w:rPr>
        <w:t>無從代表評選結果</w:t>
      </w:r>
      <w:r w:rsidR="009773D7" w:rsidRPr="004831CE">
        <w:rPr>
          <w:rFonts w:hAnsi="標楷體" w:hint="eastAsia"/>
        </w:rPr>
        <w:t>云云。</w:t>
      </w:r>
    </w:p>
    <w:p w:rsidR="000332BA" w:rsidRPr="00A9734F" w:rsidRDefault="00370712" w:rsidP="005F19E7">
      <w:pPr>
        <w:pStyle w:val="3"/>
        <w:rPr>
          <w:rFonts w:hAnsi="標楷體"/>
        </w:rPr>
      </w:pPr>
      <w:r w:rsidRPr="004831CE">
        <w:rPr>
          <w:rFonts w:hAnsi="標楷體" w:hint="eastAsia"/>
        </w:rPr>
        <w:t>然</w:t>
      </w:r>
      <w:r w:rsidR="00BB0940" w:rsidRPr="004831CE">
        <w:rPr>
          <w:rFonts w:hAnsi="標楷體" w:hint="eastAsia"/>
        </w:rPr>
        <w:t>因</w:t>
      </w:r>
      <w:proofErr w:type="gramStart"/>
      <w:r w:rsidR="00623281">
        <w:rPr>
          <w:rFonts w:hAnsi="標楷體" w:hint="eastAsia"/>
        </w:rPr>
        <w:t>臺</w:t>
      </w:r>
      <w:proofErr w:type="gramEnd"/>
      <w:r w:rsidR="00623281">
        <w:rPr>
          <w:rFonts w:hAnsi="標楷體" w:hint="eastAsia"/>
        </w:rPr>
        <w:t>北榮總於</w:t>
      </w:r>
      <w:proofErr w:type="gramStart"/>
      <w:r w:rsidR="00623281">
        <w:rPr>
          <w:rFonts w:hAnsi="標楷體" w:hint="eastAsia"/>
        </w:rPr>
        <w:t>本案招商</w:t>
      </w:r>
      <w:proofErr w:type="gramEnd"/>
      <w:r w:rsidR="00623281">
        <w:rPr>
          <w:rFonts w:hAnsi="標楷體" w:hint="eastAsia"/>
        </w:rPr>
        <w:t>時未就</w:t>
      </w:r>
      <w:proofErr w:type="gramStart"/>
      <w:r w:rsidR="00623281">
        <w:rPr>
          <w:rFonts w:hAnsi="標楷體" w:hint="eastAsia"/>
        </w:rPr>
        <w:t>評量</w:t>
      </w:r>
      <w:r w:rsidR="00BB0940" w:rsidRPr="004831CE">
        <w:rPr>
          <w:rFonts w:hAnsi="標楷體" w:hint="eastAsia"/>
        </w:rPr>
        <w:t>子項</w:t>
      </w:r>
      <w:r w:rsidR="00623281">
        <w:rPr>
          <w:rFonts w:hAnsi="標楷體" w:hint="eastAsia"/>
        </w:rPr>
        <w:t>再</w:t>
      </w:r>
      <w:proofErr w:type="gramEnd"/>
      <w:r w:rsidR="009773D7" w:rsidRPr="004831CE">
        <w:rPr>
          <w:rFonts w:hAnsi="標楷體" w:hint="eastAsia"/>
        </w:rPr>
        <w:t>予</w:t>
      </w:r>
      <w:r w:rsidR="00BB0940" w:rsidRPr="004831CE">
        <w:rPr>
          <w:rFonts w:hAnsi="標楷體" w:hint="eastAsia"/>
        </w:rPr>
        <w:t>細部配分，</w:t>
      </w:r>
      <w:r w:rsidR="00752C7C">
        <w:rPr>
          <w:rFonts w:hAnsi="標楷體" w:hint="eastAsia"/>
        </w:rPr>
        <w:t>難杜</w:t>
      </w:r>
      <w:r w:rsidR="000F2528">
        <w:rPr>
          <w:rFonts w:hAnsi="標楷體" w:hint="eastAsia"/>
        </w:rPr>
        <w:t>爭議，已如前述</w:t>
      </w:r>
      <w:r w:rsidR="000F2528">
        <w:rPr>
          <w:rFonts w:ascii="新細明體" w:eastAsia="新細明體" w:hAnsi="新細明體" w:hint="eastAsia"/>
        </w:rPr>
        <w:t>，</w:t>
      </w:r>
      <w:r w:rsidR="000F2528">
        <w:rPr>
          <w:rFonts w:hAnsi="標楷體" w:hint="eastAsia"/>
        </w:rPr>
        <w:t>又</w:t>
      </w:r>
      <w:proofErr w:type="gramStart"/>
      <w:r w:rsidR="009773D7" w:rsidRPr="004831CE">
        <w:rPr>
          <w:rFonts w:hAnsi="標楷體" w:hint="eastAsia"/>
        </w:rPr>
        <w:t>臺</w:t>
      </w:r>
      <w:proofErr w:type="gramEnd"/>
      <w:r w:rsidR="009773D7" w:rsidRPr="004831CE">
        <w:rPr>
          <w:rFonts w:hAnsi="標楷體" w:hint="eastAsia"/>
        </w:rPr>
        <w:t>北榮總107年10月重新</w:t>
      </w:r>
      <w:proofErr w:type="gramStart"/>
      <w:r w:rsidR="009773D7" w:rsidRPr="004831CE">
        <w:rPr>
          <w:rFonts w:hAnsi="標楷體" w:hint="eastAsia"/>
        </w:rPr>
        <w:t>甄</w:t>
      </w:r>
      <w:proofErr w:type="gramEnd"/>
      <w:r w:rsidR="009773D7" w:rsidRPr="004831CE">
        <w:rPr>
          <w:rFonts w:hAnsi="標楷體" w:hint="eastAsia"/>
        </w:rPr>
        <w:t>審結果</w:t>
      </w:r>
      <w:r w:rsidR="00C61CA0" w:rsidRPr="004831CE">
        <w:rPr>
          <w:rFonts w:hAnsi="標楷體" w:hint="eastAsia"/>
        </w:rPr>
        <w:t>，除仍維持</w:t>
      </w:r>
      <w:r w:rsidR="009314CF">
        <w:rPr>
          <w:rFonts w:hAnsi="標楷體" w:hint="eastAsia"/>
        </w:rPr>
        <w:t>義○○○</w:t>
      </w:r>
      <w:r w:rsidR="00C61CA0" w:rsidRPr="004831CE">
        <w:rPr>
          <w:rFonts w:hAnsi="標楷體" w:hint="eastAsia"/>
        </w:rPr>
        <w:t>公司為最優申請人之評定外，</w:t>
      </w:r>
      <w:r w:rsidR="009314CF">
        <w:rPr>
          <w:rFonts w:hAnsi="標楷體" w:hint="eastAsia"/>
        </w:rPr>
        <w:t>大○○○</w:t>
      </w:r>
      <w:r w:rsidR="00C61CA0" w:rsidRPr="004831CE">
        <w:rPr>
          <w:rFonts w:hAnsi="標楷體" w:hint="eastAsia"/>
        </w:rPr>
        <w:t>公司</w:t>
      </w:r>
      <w:r w:rsidR="000D279E">
        <w:rPr>
          <w:rFonts w:hAnsi="標楷體" w:hint="eastAsia"/>
        </w:rPr>
        <w:t>的</w:t>
      </w:r>
      <w:r w:rsidR="00C61CA0" w:rsidRPr="004831CE">
        <w:rPr>
          <w:rFonts w:hAnsi="標楷體" w:hint="eastAsia"/>
        </w:rPr>
        <w:t>序位，竟由</w:t>
      </w:r>
      <w:r w:rsidR="000D279E">
        <w:rPr>
          <w:rFonts w:hAnsi="標楷體" w:hint="eastAsia"/>
        </w:rPr>
        <w:t>第二</w:t>
      </w:r>
      <w:r w:rsidR="00BB0940" w:rsidRPr="004831CE">
        <w:rPr>
          <w:rFonts w:hAnsi="標楷體" w:hint="eastAsia"/>
        </w:rPr>
        <w:t>變成第三</w:t>
      </w:r>
      <w:r w:rsidR="00C61CA0" w:rsidRPr="004831CE">
        <w:rPr>
          <w:rFonts w:hAnsi="標楷體" w:hint="eastAsia"/>
        </w:rPr>
        <w:t>，</w:t>
      </w:r>
      <w:r w:rsidR="009773D7" w:rsidRPr="004831CE">
        <w:rPr>
          <w:rFonts w:hAnsi="標楷體" w:hint="eastAsia"/>
        </w:rPr>
        <w:t>何以</w:t>
      </w:r>
      <w:r w:rsidR="009314CF">
        <w:rPr>
          <w:rFonts w:hAnsi="標楷體" w:hint="eastAsia"/>
        </w:rPr>
        <w:t>義○○○</w:t>
      </w:r>
      <w:r w:rsidR="009773D7" w:rsidRPr="004831CE">
        <w:rPr>
          <w:rFonts w:hAnsi="標楷體" w:hint="eastAsia"/>
        </w:rPr>
        <w:t>公司所送</w:t>
      </w:r>
      <w:r w:rsidR="00BB0940" w:rsidRPr="004831CE">
        <w:rPr>
          <w:rFonts w:hAnsi="標楷體" w:hint="eastAsia"/>
        </w:rPr>
        <w:t>「</w:t>
      </w:r>
      <w:r w:rsidR="009773D7" w:rsidRPr="004831CE">
        <w:rPr>
          <w:rFonts w:hAnsi="標楷體" w:hint="eastAsia"/>
        </w:rPr>
        <w:t>營運管理計畫書</w:t>
      </w:r>
      <w:r w:rsidR="00BB0940" w:rsidRPr="004831CE">
        <w:rPr>
          <w:rFonts w:hAnsi="標楷體" w:hint="eastAsia"/>
        </w:rPr>
        <w:t>」</w:t>
      </w:r>
      <w:r w:rsidR="00EF5B7C">
        <w:rPr>
          <w:rFonts w:hAnsi="標楷體" w:hint="eastAsia"/>
        </w:rPr>
        <w:t>之</w:t>
      </w:r>
      <w:r w:rsidR="009773D7" w:rsidRPr="004831CE">
        <w:rPr>
          <w:rFonts w:hAnsi="標楷體" w:hint="eastAsia"/>
        </w:rPr>
        <w:t>內容剔除錯誤實績，而其他參加評審廠商所送申請資料並無變動</w:t>
      </w:r>
      <w:r w:rsidR="000D279E">
        <w:rPr>
          <w:rFonts w:ascii="新細明體" w:eastAsia="新細明體" w:hAnsi="新細明體" w:hint="eastAsia"/>
        </w:rPr>
        <w:t>，</w:t>
      </w:r>
      <w:r w:rsidR="00EF5B7C">
        <w:rPr>
          <w:rFonts w:hAnsi="標楷體" w:hint="eastAsia"/>
        </w:rPr>
        <w:t>於</w:t>
      </w:r>
      <w:r w:rsidR="000D279E">
        <w:rPr>
          <w:rFonts w:hAnsi="標楷體" w:hint="eastAsia"/>
        </w:rPr>
        <w:t>此</w:t>
      </w:r>
      <w:r w:rsidR="009773D7" w:rsidRPr="004831CE">
        <w:rPr>
          <w:rFonts w:hAnsi="標楷體" w:hint="eastAsia"/>
        </w:rPr>
        <w:t>情形下，</w:t>
      </w:r>
      <w:r w:rsidR="00792C8C">
        <w:rPr>
          <w:rFonts w:hAnsi="標楷體" w:hint="eastAsia"/>
        </w:rPr>
        <w:t>卻有如此評定</w:t>
      </w:r>
      <w:r w:rsidR="009773D7" w:rsidRPr="004831CE">
        <w:rPr>
          <w:rFonts w:hAnsi="標楷體" w:hint="eastAsia"/>
        </w:rPr>
        <w:t>結果，</w:t>
      </w:r>
      <w:r w:rsidR="00883CEB" w:rsidRPr="004831CE">
        <w:rPr>
          <w:rFonts w:hAnsi="標楷體" w:hint="eastAsia"/>
        </w:rPr>
        <w:t>退輔會與</w:t>
      </w:r>
      <w:proofErr w:type="gramStart"/>
      <w:r w:rsidR="00C61CA0" w:rsidRPr="004831CE">
        <w:rPr>
          <w:rFonts w:hAnsi="標楷體" w:hint="eastAsia"/>
        </w:rPr>
        <w:t>臺</w:t>
      </w:r>
      <w:proofErr w:type="gramEnd"/>
      <w:r w:rsidR="00C61CA0" w:rsidRPr="004831CE">
        <w:rPr>
          <w:rFonts w:hAnsi="標楷體" w:hint="eastAsia"/>
        </w:rPr>
        <w:t>北榮總</w:t>
      </w:r>
      <w:r w:rsidR="00883CEB" w:rsidRPr="004831CE">
        <w:rPr>
          <w:rFonts w:hAnsi="標楷體" w:hint="eastAsia"/>
        </w:rPr>
        <w:t>所為</w:t>
      </w:r>
      <w:r w:rsidR="00C61CA0" w:rsidRPr="004831CE">
        <w:rPr>
          <w:rFonts w:hAnsi="標楷體" w:hint="eastAsia"/>
        </w:rPr>
        <w:t>之說明，尚未能</w:t>
      </w:r>
      <w:r w:rsidR="00E479DB" w:rsidRPr="004831CE">
        <w:rPr>
          <w:rFonts w:hAnsi="標楷體" w:hint="eastAsia"/>
        </w:rPr>
        <w:t>盡</w:t>
      </w:r>
      <w:r w:rsidR="00C61CA0" w:rsidRPr="00A9734F">
        <w:rPr>
          <w:rFonts w:hAnsi="標楷體" w:hint="eastAsia"/>
        </w:rPr>
        <w:t>釋</w:t>
      </w:r>
      <w:r w:rsidR="00E479DB" w:rsidRPr="00A9734F">
        <w:rPr>
          <w:rFonts w:hAnsi="標楷體" w:hint="eastAsia"/>
        </w:rPr>
        <w:t>民</w:t>
      </w:r>
      <w:proofErr w:type="gramStart"/>
      <w:r w:rsidR="00C61CA0" w:rsidRPr="00A9734F">
        <w:rPr>
          <w:rFonts w:hAnsi="標楷體" w:hint="eastAsia"/>
        </w:rPr>
        <w:t>疑</w:t>
      </w:r>
      <w:proofErr w:type="gramEnd"/>
      <w:r w:rsidR="00346E8B" w:rsidRPr="00A9734F">
        <w:rPr>
          <w:rFonts w:hAnsi="標楷體" w:hint="eastAsia"/>
        </w:rPr>
        <w:t>，</w:t>
      </w:r>
      <w:r w:rsidR="00A9734F" w:rsidRPr="00A9734F">
        <w:rPr>
          <w:rFonts w:hAnsi="標楷體" w:hint="eastAsia"/>
        </w:rPr>
        <w:t>經查，</w:t>
      </w:r>
      <w:r w:rsidR="009314CF">
        <w:rPr>
          <w:rFonts w:hAnsi="標楷體" w:hint="eastAsia"/>
        </w:rPr>
        <w:t>大○○○</w:t>
      </w:r>
      <w:r w:rsidR="00346E8B" w:rsidRPr="00A9734F">
        <w:rPr>
          <w:rFonts w:hAnsi="標楷體" w:hint="eastAsia"/>
        </w:rPr>
        <w:t>公司不服</w:t>
      </w:r>
      <w:r w:rsidR="000F2528">
        <w:rPr>
          <w:rFonts w:hAnsi="標楷體" w:hint="eastAsia"/>
        </w:rPr>
        <w:t>本次</w:t>
      </w:r>
      <w:proofErr w:type="gramStart"/>
      <w:r w:rsidR="000F2528">
        <w:rPr>
          <w:rFonts w:hAnsi="標楷體" w:hint="eastAsia"/>
        </w:rPr>
        <w:t>甄</w:t>
      </w:r>
      <w:proofErr w:type="gramEnd"/>
      <w:r w:rsidR="000F2528">
        <w:rPr>
          <w:rFonts w:hAnsi="標楷體" w:hint="eastAsia"/>
        </w:rPr>
        <w:t>審結果</w:t>
      </w:r>
      <w:r w:rsidR="00792C8C">
        <w:rPr>
          <w:rFonts w:hAnsi="標楷體" w:hint="eastAsia"/>
        </w:rPr>
        <w:t>，提起異議、</w:t>
      </w:r>
      <w:proofErr w:type="gramStart"/>
      <w:r w:rsidR="00792C8C">
        <w:rPr>
          <w:rFonts w:hAnsi="標楷體" w:hint="eastAsia"/>
        </w:rPr>
        <w:t>申訴俱</w:t>
      </w:r>
      <w:r w:rsidR="00346E8B" w:rsidRPr="00A9734F">
        <w:rPr>
          <w:rFonts w:hAnsi="標楷體" w:hint="eastAsia"/>
        </w:rPr>
        <w:t>遭駁回</w:t>
      </w:r>
      <w:proofErr w:type="gramEnd"/>
      <w:r w:rsidR="00346E8B" w:rsidRPr="00A9734F">
        <w:rPr>
          <w:rFonts w:hAnsi="標楷體" w:hint="eastAsia"/>
        </w:rPr>
        <w:t>（參見財政部108年5月15日促10700004號申訴審議判斷書）後，已於108年7月12日向</w:t>
      </w:r>
      <w:proofErr w:type="gramStart"/>
      <w:r w:rsidR="00346E8B" w:rsidRPr="00A9734F">
        <w:rPr>
          <w:rFonts w:hAnsi="標楷體" w:hint="eastAsia"/>
        </w:rPr>
        <w:t>臺</w:t>
      </w:r>
      <w:proofErr w:type="gramEnd"/>
      <w:r w:rsidR="00346E8B" w:rsidRPr="00A9734F">
        <w:rPr>
          <w:rFonts w:hAnsi="標楷體" w:hint="eastAsia"/>
        </w:rPr>
        <w:t>北高等行政法院提起行政訴訟</w:t>
      </w:r>
      <w:r w:rsidR="00CA6A30">
        <w:rPr>
          <w:rFonts w:hAnsi="標楷體" w:hint="eastAsia"/>
        </w:rPr>
        <w:t>，刻由</w:t>
      </w:r>
      <w:r w:rsidR="00AD1C11">
        <w:rPr>
          <w:rFonts w:hAnsi="標楷體" w:hint="eastAsia"/>
        </w:rPr>
        <w:t>法</w:t>
      </w:r>
      <w:r w:rsidR="00EF5B7C" w:rsidRPr="00A9734F">
        <w:rPr>
          <w:rFonts w:hAnsi="標楷體" w:hint="eastAsia"/>
        </w:rPr>
        <w:t>院審</w:t>
      </w:r>
      <w:r w:rsidR="00EF5B7C" w:rsidRPr="00A9734F">
        <w:rPr>
          <w:rFonts w:hAnsi="標楷體" w:hint="eastAsia"/>
        </w:rPr>
        <w:lastRenderedPageBreak/>
        <w:t>理中，</w:t>
      </w:r>
      <w:r w:rsidR="00346E8B" w:rsidRPr="00A9734F">
        <w:rPr>
          <w:rFonts w:hAnsi="標楷體" w:hint="eastAsia"/>
        </w:rPr>
        <w:t>有關</w:t>
      </w:r>
      <w:r w:rsidR="009314CF">
        <w:rPr>
          <w:rFonts w:hAnsi="標楷體" w:hint="eastAsia"/>
        </w:rPr>
        <w:t>義○○○</w:t>
      </w:r>
      <w:r w:rsidR="004B2D08">
        <w:rPr>
          <w:rFonts w:hAnsi="標楷體" w:hint="eastAsia"/>
        </w:rPr>
        <w:t>公司是否具有參審資格及上開評審結果是否</w:t>
      </w:r>
      <w:r w:rsidR="00A9496E">
        <w:rPr>
          <w:rFonts w:hAnsi="標楷體" w:hint="eastAsia"/>
        </w:rPr>
        <w:t>仍</w:t>
      </w:r>
      <w:r w:rsidR="00AD2C52">
        <w:rPr>
          <w:rFonts w:hAnsi="標楷體" w:hint="eastAsia"/>
        </w:rPr>
        <w:t>流於恣意等問題，業</w:t>
      </w:r>
      <w:r w:rsidR="00346E8B" w:rsidRPr="00A9734F">
        <w:rPr>
          <w:rFonts w:hAnsi="標楷體" w:hint="eastAsia"/>
        </w:rPr>
        <w:t>經</w:t>
      </w:r>
      <w:r w:rsidR="009314CF">
        <w:rPr>
          <w:rFonts w:hAnsi="標楷體" w:hint="eastAsia"/>
        </w:rPr>
        <w:t>大○○○</w:t>
      </w:r>
      <w:r w:rsidR="00346E8B" w:rsidRPr="00A9734F">
        <w:rPr>
          <w:rFonts w:hAnsi="標楷體" w:hint="eastAsia"/>
        </w:rPr>
        <w:t>公司尋求司法救濟，</w:t>
      </w:r>
      <w:r w:rsidR="00EF5B7C" w:rsidRPr="00A9734F">
        <w:rPr>
          <w:rFonts w:hAnsi="標楷體" w:hint="eastAsia"/>
        </w:rPr>
        <w:t>相關爭執事項</w:t>
      </w:r>
      <w:r w:rsidR="00C61CA0" w:rsidRPr="00A9734F">
        <w:rPr>
          <w:rFonts w:hAnsi="標楷體" w:hint="eastAsia"/>
        </w:rPr>
        <w:t>允應尊重司法判決，以定</w:t>
      </w:r>
      <w:proofErr w:type="gramStart"/>
      <w:r w:rsidR="00C61CA0" w:rsidRPr="00A9734F">
        <w:rPr>
          <w:rFonts w:hAnsi="標楷體" w:hint="eastAsia"/>
        </w:rPr>
        <w:t>紛</w:t>
      </w:r>
      <w:proofErr w:type="gramEnd"/>
      <w:r w:rsidR="00C61CA0" w:rsidRPr="00A9734F">
        <w:rPr>
          <w:rFonts w:hAnsi="標楷體" w:hint="eastAsia"/>
        </w:rPr>
        <w:t>止爭。</w:t>
      </w:r>
    </w:p>
    <w:p w:rsidR="003A5927" w:rsidRPr="004831CE" w:rsidRDefault="003A5927" w:rsidP="00DE4238">
      <w:pPr>
        <w:pStyle w:val="32"/>
        <w:ind w:left="1361" w:firstLine="680"/>
        <w:rPr>
          <w:rFonts w:hAnsi="標楷體"/>
        </w:rPr>
      </w:pPr>
    </w:p>
    <w:p w:rsidR="003A5927" w:rsidRPr="004831CE" w:rsidRDefault="003A5927" w:rsidP="00DE4238">
      <w:pPr>
        <w:pStyle w:val="32"/>
        <w:ind w:left="1361" w:firstLine="680"/>
        <w:rPr>
          <w:rFonts w:hAnsi="標楷體"/>
        </w:rPr>
      </w:pPr>
    </w:p>
    <w:bookmarkEnd w:id="49"/>
    <w:p w:rsidR="00E25849" w:rsidRPr="00E95AD7" w:rsidRDefault="00E25849" w:rsidP="00E95AD7">
      <w:pPr>
        <w:pStyle w:val="aa"/>
        <w:spacing w:beforeLines="50" w:before="228" w:afterLines="100" w:after="457"/>
        <w:ind w:left="0" w:firstLineChars="600" w:firstLine="2667"/>
        <w:rPr>
          <w:rFonts w:hAnsi="標楷體"/>
          <w:bCs/>
          <w:snapToGrid/>
          <w:spacing w:val="12"/>
          <w:kern w:val="0"/>
          <w:sz w:val="40"/>
        </w:rPr>
      </w:pPr>
      <w:r w:rsidRPr="00E95AD7">
        <w:rPr>
          <w:rFonts w:hAnsi="標楷體" w:hint="eastAsia"/>
          <w:bCs/>
          <w:snapToGrid/>
          <w:spacing w:val="12"/>
          <w:kern w:val="0"/>
          <w:sz w:val="40"/>
        </w:rPr>
        <w:t>調查委員：</w:t>
      </w:r>
      <w:r w:rsidR="008D25AD" w:rsidRPr="00E95AD7">
        <w:rPr>
          <w:rFonts w:hAnsi="標楷體" w:hint="eastAsia"/>
          <w:bCs/>
          <w:snapToGrid/>
          <w:spacing w:val="12"/>
          <w:kern w:val="0"/>
          <w:sz w:val="40"/>
        </w:rPr>
        <w:t>仉桂美</w:t>
      </w:r>
    </w:p>
    <w:p w:rsidR="00770453" w:rsidRPr="004831CE" w:rsidRDefault="00770453" w:rsidP="00770453">
      <w:pPr>
        <w:pStyle w:val="aa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CC424C" w:rsidRPr="004831CE" w:rsidRDefault="00CC424C" w:rsidP="00770453">
      <w:pPr>
        <w:pStyle w:val="aa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E25849" w:rsidRPr="004831CE" w:rsidRDefault="00E25849">
      <w:pPr>
        <w:pStyle w:val="af"/>
        <w:rPr>
          <w:rFonts w:hAnsi="標楷體"/>
          <w:bCs/>
        </w:rPr>
      </w:pPr>
      <w:r w:rsidRPr="004831CE">
        <w:rPr>
          <w:rFonts w:hAnsi="標楷體" w:hint="eastAsia"/>
          <w:bCs/>
        </w:rPr>
        <w:t xml:space="preserve">　</w:t>
      </w:r>
    </w:p>
    <w:p w:rsidR="001F248E" w:rsidRDefault="005D21EE" w:rsidP="001F248E">
      <w:pPr>
        <w:pStyle w:val="af0"/>
        <w:kinsoku/>
        <w:autoSpaceDE w:val="0"/>
        <w:snapToGrid w:val="0"/>
        <w:ind w:left="1020" w:hanging="1020"/>
        <w:rPr>
          <w:rFonts w:hAnsi="標楷體"/>
          <w:bCs/>
        </w:rPr>
      </w:pPr>
      <w:r>
        <w:rPr>
          <w:rFonts w:hAnsi="標楷體"/>
          <w:bCs/>
          <w:color w:val="000000" w:themeColor="text1"/>
        </w:rPr>
        <w:br w:type="page"/>
      </w:r>
      <w:r w:rsidR="001F248E" w:rsidRPr="00AB190C">
        <w:rPr>
          <w:rFonts w:hAnsi="標楷體" w:hint="eastAsia"/>
          <w:bCs/>
        </w:rPr>
        <w:lastRenderedPageBreak/>
        <w:t>附表一、本案綜合評審配分表</w:t>
      </w:r>
    </w:p>
    <w:p w:rsidR="001F248E" w:rsidRDefault="001F248E" w:rsidP="001F248E">
      <w:pPr>
        <w:pStyle w:val="af0"/>
        <w:kinsoku/>
        <w:autoSpaceDE w:val="0"/>
        <w:snapToGrid w:val="0"/>
        <w:ind w:left="1020" w:hanging="1020"/>
        <w:rPr>
          <w:rFonts w:hAnsi="標楷體"/>
          <w:bCs/>
        </w:rPr>
      </w:pPr>
      <w:r>
        <w:rPr>
          <w:noProof/>
        </w:rPr>
        <w:drawing>
          <wp:inline distT="0" distB="0" distL="0" distR="0" wp14:anchorId="7FFDC3F4" wp14:editId="45535B08">
            <wp:extent cx="5486400" cy="7712710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48E" w:rsidRDefault="001F248E" w:rsidP="001F248E">
      <w:pPr>
        <w:overflowPunct/>
        <w:autoSpaceDE/>
        <w:autoSpaceDN/>
        <w:jc w:val="left"/>
        <w:rPr>
          <w:b/>
          <w:sz w:val="24"/>
        </w:rPr>
        <w:sectPr w:rsidR="001F248E" w:rsidSect="005D21EE">
          <w:footerReference w:type="default" r:id="rId11"/>
          <w:type w:val="continuous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p w:rsidR="001F248E" w:rsidRDefault="001F248E" w:rsidP="001F248E">
      <w:pPr>
        <w:overflowPunct/>
        <w:autoSpaceDE/>
        <w:autoSpaceDN/>
        <w:jc w:val="left"/>
        <w:rPr>
          <w:rFonts w:hAnsi="標楷體"/>
          <w:bCs/>
        </w:rPr>
      </w:pPr>
      <w:r>
        <w:rPr>
          <w:rFonts w:hAnsi="標楷體" w:hint="eastAsia"/>
          <w:bCs/>
        </w:rPr>
        <w:lastRenderedPageBreak/>
        <w:t>附表二</w:t>
      </w:r>
      <w:r>
        <w:rPr>
          <w:rFonts w:ascii="新細明體" w:eastAsia="新細明體" w:hAnsi="新細明體" w:hint="eastAsia"/>
          <w:bCs/>
        </w:rPr>
        <w:t>、</w:t>
      </w:r>
      <w:r>
        <w:rPr>
          <w:rFonts w:hAnsi="標楷體" w:hint="eastAsia"/>
          <w:bCs/>
        </w:rPr>
        <w:t>本案</w:t>
      </w:r>
      <w:r w:rsidRPr="004831CE">
        <w:rPr>
          <w:rFonts w:hAnsi="標楷體" w:hint="eastAsia"/>
          <w:bCs/>
        </w:rPr>
        <w:t>3</w:t>
      </w:r>
      <w:r>
        <w:rPr>
          <w:rFonts w:hAnsi="標楷體" w:hint="eastAsia"/>
          <w:bCs/>
        </w:rPr>
        <w:t>次</w:t>
      </w:r>
      <w:proofErr w:type="gramStart"/>
      <w:r>
        <w:rPr>
          <w:rFonts w:hAnsi="標楷體" w:hint="eastAsia"/>
          <w:bCs/>
        </w:rPr>
        <w:t>甄</w:t>
      </w:r>
      <w:proofErr w:type="gramEnd"/>
      <w:r>
        <w:rPr>
          <w:rFonts w:hAnsi="標楷體" w:hint="eastAsia"/>
          <w:bCs/>
        </w:rPr>
        <w:t>審經過</w:t>
      </w:r>
      <w:r w:rsidRPr="004831CE">
        <w:rPr>
          <w:rFonts w:hAnsi="標楷體" w:hint="eastAsia"/>
          <w:bCs/>
        </w:rPr>
        <w:t>及行政救濟情形彙整表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2835"/>
        <w:gridCol w:w="2981"/>
        <w:gridCol w:w="3051"/>
      </w:tblGrid>
      <w:tr w:rsidR="001F248E" w:rsidRPr="004831CE" w:rsidTr="00E91C0C">
        <w:tc>
          <w:tcPr>
            <w:tcW w:w="1668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/>
                <w:b/>
                <w:bCs/>
                <w:noProof/>
                <w:kern w:val="3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C10DA" wp14:editId="573F515D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15875</wp:posOffset>
                      </wp:positionV>
                      <wp:extent cx="1057275" cy="762000"/>
                      <wp:effectExtent l="0" t="0" r="2857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762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.25pt" to="77.6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" strokecolor="#4a7ebb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審會議</w:t>
            </w:r>
            <w:r w:rsidRPr="004831CE">
              <w:rPr>
                <w:rFonts w:hAnsi="標楷體"/>
                <w:b/>
                <w:bCs/>
                <w:kern w:val="32"/>
                <w:sz w:val="24"/>
                <w:szCs w:val="24"/>
              </w:rPr>
              <w:br/>
            </w: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時間</w:t>
            </w:r>
          </w:p>
        </w:tc>
        <w:tc>
          <w:tcPr>
            <w:tcW w:w="1843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處分作成時間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（通知</w:t>
            </w:r>
            <w:r w:rsidR="00163011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義○○○</w:t>
            </w: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為最優申請人函文日期）</w:t>
            </w:r>
          </w:p>
        </w:tc>
        <w:tc>
          <w:tcPr>
            <w:tcW w:w="2835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行政救濟情形</w:t>
            </w:r>
          </w:p>
        </w:tc>
        <w:tc>
          <w:tcPr>
            <w:tcW w:w="2981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行政救濟指摘之瑕疵</w:t>
            </w:r>
          </w:p>
        </w:tc>
        <w:tc>
          <w:tcPr>
            <w:tcW w:w="3051" w:type="dxa"/>
            <w:vAlign w:val="center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center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北榮總</w:t>
            </w:r>
            <w:r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後續</w:t>
            </w: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因應處理情形</w:t>
            </w:r>
          </w:p>
        </w:tc>
      </w:tr>
      <w:tr w:rsidR="001F248E" w:rsidRPr="004831CE" w:rsidTr="00E91C0C">
        <w:tc>
          <w:tcPr>
            <w:tcW w:w="1668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第一次</w:t>
            </w:r>
            <w:proofErr w:type="gramStart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審評定</w:t>
            </w:r>
          </w:p>
        </w:tc>
        <w:tc>
          <w:tcPr>
            <w:tcW w:w="1559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104.3.19</w:t>
            </w: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（第2次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審會）</w:t>
            </w: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備註: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第1次</w:t>
            </w: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審會</w:t>
            </w:r>
            <w:r>
              <w:rPr>
                <w:rFonts w:ascii="新細明體" w:eastAsia="新細明體" w:hAnsi="新細明體" w:hint="eastAsia"/>
                <w:bCs/>
                <w:kern w:val="32"/>
                <w:sz w:val="24"/>
                <w:szCs w:val="24"/>
              </w:rPr>
              <w:t>，</w:t>
            </w:r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係討論決議本案評審項目及</w:t>
            </w:r>
            <w:proofErr w:type="gramStart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配分表</w:t>
            </w:r>
            <w:proofErr w:type="gramEnd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。</w:t>
            </w:r>
          </w:p>
        </w:tc>
        <w:tc>
          <w:tcPr>
            <w:tcW w:w="1843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104.3.27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248E" w:rsidRPr="004831CE" w:rsidRDefault="00163011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公司提出異議、申訴，財政部（促參申訴審議會）於104.8.3作成申訴審議判斷，原處分及原異議處理結果均撤銷。</w:t>
            </w:r>
          </w:p>
        </w:tc>
        <w:tc>
          <w:tcPr>
            <w:tcW w:w="2981" w:type="dxa"/>
          </w:tcPr>
          <w:p w:rsidR="001F248E" w:rsidRPr="00163011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財政部促參申訴審議會判斷指出</w:t>
            </w:r>
            <w:r w:rsidRPr="00163011">
              <w:rPr>
                <w:rFonts w:ascii="新細明體" w:eastAsia="新細明體" w:hAnsi="新細明體" w:hint="eastAsia"/>
                <w:bCs/>
                <w:kern w:val="32"/>
                <w:sz w:val="24"/>
                <w:szCs w:val="24"/>
              </w:rPr>
              <w:t>：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</w:rPr>
              <w:br/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依系爭促參案招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商文件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審委員會評審辦法附件「綜合評審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配分表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」，其中評審項目「營運企劃內容」之第二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評量子項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「經營企劃及管理能力」載明：「1.</w:t>
            </w:r>
            <w:r w:rsidRPr="0016301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經驗與實績：截止投標日前五年內，經營與標的物同性質或相當之契約，與下游廠商及員工之合作關係，過去履約表現」；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此外，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評審項目「財務管理計畫」之第一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評量子項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「營運財務管理」載明：「2.財務狀況：最近3年年報及半年報、繳稅證明、資金籌措及履約能力」。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系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爭促參案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工作小組初審意見不無混淆</w:t>
            </w:r>
            <w:r w:rsidR="00163011"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義○○○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公司與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lastRenderedPageBreak/>
              <w:t>母公司</w:t>
            </w:r>
            <w:r w:rsidR="00163011"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義○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食品公司實績之嫌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。</w:t>
            </w:r>
          </w:p>
        </w:tc>
        <w:tc>
          <w:tcPr>
            <w:tcW w:w="3051" w:type="dxa"/>
          </w:tcPr>
          <w:p w:rsidR="001F248E" w:rsidRPr="00163011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臺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北榮總工作小組依申訴審議判斷意旨，修正初審意見，指明</w:t>
            </w:r>
            <w:r w:rsidR="00163011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公司無履約實績，並向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審會說明工作小組修正後的初審意見，請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審會就上開財政部指出之作業瑕疵進行適法處理。</w:t>
            </w:r>
          </w:p>
          <w:p w:rsidR="001F248E" w:rsidRPr="00163011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因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審委員均表示於第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  <w:u w:val="single"/>
              </w:rPr>
              <w:t>2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次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審會中之評分並未被工作小組原初審意見混淆，決議不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採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  <w:u w:val="single"/>
              </w:rPr>
              <w:t>重評方式辦理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，並就第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</w:rPr>
              <w:t>2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審會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複評中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「不同委員之評審結果有明顯差異」情形，依行為時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審辦法第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</w:rPr>
              <w:t>24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條規定，決議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採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刪除有明顯差異之委員分數方式辦理。</w:t>
            </w:r>
          </w:p>
        </w:tc>
      </w:tr>
      <w:tr w:rsidR="001F248E" w:rsidRPr="004831CE" w:rsidTr="00E91C0C">
        <w:tc>
          <w:tcPr>
            <w:tcW w:w="1668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lastRenderedPageBreak/>
              <w:t>第二次</w:t>
            </w:r>
            <w:proofErr w:type="gramStart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審評定</w:t>
            </w:r>
          </w:p>
        </w:tc>
        <w:tc>
          <w:tcPr>
            <w:tcW w:w="1559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104.9.15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（第3次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審會）</w:t>
            </w:r>
          </w:p>
        </w:tc>
        <w:tc>
          <w:tcPr>
            <w:tcW w:w="1843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104.11.10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48E" w:rsidRPr="004831CE" w:rsidRDefault="00163011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仍為序位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第一，為最優申請人。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公司不服，提出異議、申訴，財政部（促參申訴審議會）駁回其申訴，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公司提</w:t>
            </w:r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起行政訴訟。</w:t>
            </w:r>
            <w:proofErr w:type="gramStart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北高等行政法院以</w:t>
            </w:r>
            <w:proofErr w:type="gramStart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105年度訴字第1426號</w:t>
            </w:r>
            <w:proofErr w:type="gramEnd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判決撤銷申訴審議判斷、異議處理結果及原處分，</w:t>
            </w:r>
            <w:proofErr w:type="gramStart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北榮總及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proofErr w:type="gramStart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公司均表不服</w:t>
            </w:r>
            <w:proofErr w:type="gramEnd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，提起上訴，最高行政法院以</w:t>
            </w:r>
            <w:proofErr w:type="gramStart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107</w:t>
            </w:r>
            <w:proofErr w:type="gramEnd"/>
            <w:r w:rsidR="001F248E"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年度判字第168號判決駁回渠等上訴。</w:t>
            </w:r>
          </w:p>
        </w:tc>
        <w:tc>
          <w:tcPr>
            <w:tcW w:w="2981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（一）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北高等行政法院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判決指出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：</w:t>
            </w:r>
          </w:p>
          <w:p w:rsidR="001F248E" w:rsidRPr="00163011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工作小組雖嗣後有修正初審意見，但第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</w:rPr>
              <w:t>3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審會仍沿用第</w:t>
            </w:r>
            <w:r w:rsidRPr="00163011">
              <w:rPr>
                <w:rFonts w:hAnsi="標楷體"/>
                <w:bCs/>
                <w:kern w:val="32"/>
                <w:sz w:val="24"/>
                <w:szCs w:val="24"/>
              </w:rPr>
              <w:t>2</w:t>
            </w:r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163011">
              <w:rPr>
                <w:rFonts w:hAnsi="標楷體" w:hint="eastAsia"/>
                <w:bCs/>
                <w:kern w:val="32"/>
                <w:sz w:val="24"/>
                <w:szCs w:val="24"/>
              </w:rPr>
              <w:t>審會評分結果、並未重新評分，故仍係出於錯誤之事實及資訊所為之評分。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3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審會中，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審委員雖表示自己未被工作小組原初審意見混淆，亦即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審委員於評分時知悉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公司為無實績，但為何於「營運企劃內容」之「經營企劃及管理能力」項目中，僅針對「營運組織」及「人力資源及管理」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等兩細項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，即給予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17-18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分之高分，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北榮總未提出合理說明，故應認為此判斷違背一般經驗法則，出於恣意。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（二）最高行政法院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判決指出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：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審委員雖均主觀認為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沒有被工作小組初審意見中有關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公司引用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食品公司之經驗實績所誤導，然此種主觀認知，或是因為協力廠商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食品公司信譽卓著，專業能力與經驗無庸置疑，保證能完成系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爭促參案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執行，或是因為本件綜合評審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配分表僅有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六大項目配分，而不需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分成子項或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細項評分，以致忽略細項之區分；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惟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營運管理計畫書有關協力廠商之記載是否有誤導之虞，本應從客觀之角度以一般人之判斷標準予以觀察，而非以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審委員之主觀認知為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準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，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本件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公司之營運管理計畫書內容，與本案申請須知規定不符且不相關，依一般人之客觀觀察顯有混淆誤認之虞，故該等資料仍屬錯誤之事實及資訊，原判決之認定並無違誤。</w:t>
            </w:r>
          </w:p>
        </w:tc>
        <w:tc>
          <w:tcPr>
            <w:tcW w:w="3051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臺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北榮總依行政法院判決意旨，委請律師評估、函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詢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財政部、陳報退輔會，以「重開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審會重新進行綜合評審」方向辦理。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嗣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召開第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4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審會決議</w:t>
            </w:r>
            <w:bookmarkStart w:id="50" w:name="_GoBack"/>
            <w:bookmarkEnd w:id="50"/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審程序進行方式。</w:t>
            </w:r>
          </w:p>
        </w:tc>
      </w:tr>
      <w:tr w:rsidR="001F248E" w:rsidRPr="004831CE" w:rsidTr="00E91C0C">
        <w:tc>
          <w:tcPr>
            <w:tcW w:w="1668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lastRenderedPageBreak/>
              <w:t>第三次</w:t>
            </w:r>
            <w:proofErr w:type="gramStart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t>審</w:t>
            </w:r>
            <w:r w:rsidRPr="004831CE">
              <w:rPr>
                <w:rFonts w:hAnsi="標楷體" w:hint="eastAsia"/>
                <w:b/>
                <w:bCs/>
                <w:kern w:val="32"/>
                <w:sz w:val="24"/>
                <w:szCs w:val="24"/>
              </w:rPr>
              <w:lastRenderedPageBreak/>
              <w:t>評定</w:t>
            </w:r>
          </w:p>
        </w:tc>
        <w:tc>
          <w:tcPr>
            <w:tcW w:w="1559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107.10.8</w:t>
            </w: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（第5次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審會）</w:t>
            </w:r>
          </w:p>
          <w:p w:rsidR="001F248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ascii="新細明體" w:eastAsia="新細明體" w:hAnsi="新細明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備註</w:t>
            </w:r>
            <w:r>
              <w:rPr>
                <w:rFonts w:ascii="新細明體" w:eastAsia="新細明體" w:hAnsi="新細明體" w:hint="eastAsia"/>
                <w:bCs/>
                <w:kern w:val="32"/>
                <w:sz w:val="24"/>
                <w:szCs w:val="24"/>
              </w:rPr>
              <w:t>：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第4次</w:t>
            </w: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審會</w:t>
            </w:r>
            <w:r>
              <w:rPr>
                <w:rFonts w:ascii="新細明體" w:eastAsia="新細明體" w:hAnsi="新細明體" w:hint="eastAsia"/>
                <w:bCs/>
                <w:kern w:val="32"/>
                <w:sz w:val="24"/>
                <w:szCs w:val="24"/>
              </w:rPr>
              <w:t>，</w:t>
            </w:r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係討論決議</w:t>
            </w:r>
            <w:proofErr w:type="gramStart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北高等行政法院撤銷原處分後，應如何辦理重新</w:t>
            </w:r>
            <w:proofErr w:type="gramStart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701CDC">
              <w:rPr>
                <w:rFonts w:hAnsi="標楷體" w:hint="eastAsia"/>
                <w:bCs/>
                <w:kern w:val="32"/>
                <w:sz w:val="24"/>
                <w:szCs w:val="24"/>
              </w:rPr>
              <w:t>審作業。</w:t>
            </w:r>
          </w:p>
        </w:tc>
        <w:tc>
          <w:tcPr>
            <w:tcW w:w="1843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jc w:val="left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107.10.23</w:t>
            </w:r>
          </w:p>
        </w:tc>
        <w:tc>
          <w:tcPr>
            <w:tcW w:w="2835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審結果，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義○○○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司序位第一為最優申請人，誠品生活股份有限公司序位第二為次優申請人，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公司序位第三。</w:t>
            </w:r>
          </w:p>
          <w:p w:rsidR="001F248E" w:rsidRPr="004831CE" w:rsidRDefault="00163011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公司不服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審結果，提起異議、申訴，另向行政法院聲請停止執行本次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審決定。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北高等行政法院以</w:t>
            </w:r>
            <w:proofErr w:type="gramStart"/>
            <w:r w:rsidR="001F248E" w:rsidRPr="004831CE">
              <w:rPr>
                <w:rFonts w:hAnsi="標楷體"/>
                <w:bCs/>
                <w:kern w:val="32"/>
                <w:sz w:val="24"/>
                <w:szCs w:val="24"/>
              </w:rPr>
              <w:t>107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年度停字第</w:t>
            </w:r>
            <w:r w:rsidR="001F248E" w:rsidRPr="004831CE">
              <w:rPr>
                <w:rFonts w:hAnsi="標楷體"/>
                <w:bCs/>
                <w:kern w:val="32"/>
                <w:sz w:val="24"/>
                <w:szCs w:val="24"/>
              </w:rPr>
              <w:t>94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號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裁定駁回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公司聲請停止執行，最高行政法院以</w:t>
            </w:r>
            <w:proofErr w:type="gramStart"/>
            <w:r w:rsidR="001F248E" w:rsidRPr="004831CE">
              <w:rPr>
                <w:rFonts w:hAnsi="標楷體"/>
                <w:bCs/>
                <w:kern w:val="32"/>
                <w:sz w:val="24"/>
                <w:szCs w:val="24"/>
              </w:rPr>
              <w:t>108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年度裁字第</w:t>
            </w:r>
            <w:r w:rsidR="001F248E" w:rsidRPr="004831CE">
              <w:rPr>
                <w:rFonts w:hAnsi="標楷體"/>
                <w:bCs/>
                <w:kern w:val="32"/>
                <w:sz w:val="24"/>
                <w:szCs w:val="24"/>
              </w:rPr>
              <w:t>440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號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裁定駁回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公司抗告。財政部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嗣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於108.5.15作成促</w:t>
            </w:r>
            <w:r w:rsidR="001F248E" w:rsidRPr="004831CE">
              <w:rPr>
                <w:rFonts w:hAnsi="標楷體"/>
                <w:bCs/>
                <w:kern w:val="32"/>
                <w:sz w:val="24"/>
                <w:szCs w:val="24"/>
              </w:rPr>
              <w:t>1070004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號申訴審議判斷書駁回申訴，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公司不服，提起行政訴訟，現由</w:t>
            </w:r>
            <w:proofErr w:type="gramStart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="001F248E"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北高等行政法院審理中。</w:t>
            </w:r>
          </w:p>
        </w:tc>
        <w:tc>
          <w:tcPr>
            <w:tcW w:w="2981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臺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北高等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行政法院</w:t>
            </w: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107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年度停字第94號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裁定及最高行政法院</w:t>
            </w: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108年度裁字第440號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裁定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駁回</w:t>
            </w:r>
            <w:r w:rsidR="00163011">
              <w:rPr>
                <w:rFonts w:hAnsi="標楷體" w:hint="eastAsia"/>
                <w:bCs/>
                <w:kern w:val="32"/>
                <w:sz w:val="24"/>
                <w:szCs w:val="24"/>
              </w:rPr>
              <w:t>大○○○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公司聲請停止執行</w:t>
            </w:r>
            <w:r>
              <w:rPr>
                <w:rFonts w:ascii="新細明體" w:eastAsia="新細明體" w:hAnsi="新細明體" w:hint="eastAsia"/>
                <w:bCs/>
                <w:kern w:val="32"/>
                <w:sz w:val="24"/>
                <w:szCs w:val="24"/>
              </w:rPr>
              <w:t>，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以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及財政部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108年5月15日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促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1070004申訴審議判斷書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駁回該公司申訴，</w:t>
            </w:r>
            <w:proofErr w:type="gramStart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均未指摘臺</w:t>
            </w:r>
            <w:proofErr w:type="gramEnd"/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北榮總107年10月所為之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</w:t>
            </w:r>
            <w:r>
              <w:rPr>
                <w:rFonts w:hAnsi="標楷體" w:hint="eastAsia"/>
                <w:bCs/>
                <w:kern w:val="32"/>
                <w:sz w:val="24"/>
                <w:szCs w:val="24"/>
              </w:rPr>
              <w:t>處分有違法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瑕疵。</w:t>
            </w:r>
          </w:p>
        </w:tc>
        <w:tc>
          <w:tcPr>
            <w:tcW w:w="3051" w:type="dxa"/>
          </w:tcPr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（行政訴訟中）</w:t>
            </w:r>
          </w:p>
          <w:p w:rsidR="001F248E" w:rsidRPr="004831CE" w:rsidRDefault="001F248E" w:rsidP="00E91C0C">
            <w:pPr>
              <w:widowControl/>
              <w:overflowPunct/>
              <w:autoSpaceDE/>
              <w:autoSpaceDN/>
              <w:snapToGrid w:val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lastRenderedPageBreak/>
              <w:t>退輔會前於108年5月8日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函復本院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：</w:t>
            </w:r>
          </w:p>
          <w:p w:rsidR="001F248E" w:rsidRPr="004831CE" w:rsidRDefault="001F248E" w:rsidP="00E91C0C">
            <w:pPr>
              <w:pStyle w:val="af8"/>
              <w:widowControl/>
              <w:numPr>
                <w:ilvl w:val="0"/>
                <w:numId w:val="9"/>
              </w:numPr>
              <w:overflowPunct/>
              <w:autoSpaceDE/>
              <w:autoSpaceDN/>
              <w:snapToGrid w:val="0"/>
              <w:ind w:leftChars="0"/>
              <w:rPr>
                <w:rFonts w:hAnsi="標楷體"/>
                <w:bCs/>
                <w:kern w:val="32"/>
                <w:sz w:val="24"/>
                <w:szCs w:val="24"/>
              </w:rPr>
            </w:pP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北榮總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104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年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3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月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19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日第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2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審會及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107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年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10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月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8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日第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5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審會辦理評分，因兩次會議出席評分之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審委員已有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4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名不同，且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時間相隔三年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半，縱使曾參與第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2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審會評分之委員，亦係在第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5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審會時重行評分，並未沿用第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2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次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甄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審會分數，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故衡情</w:t>
            </w:r>
            <w:proofErr w:type="gramEnd"/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6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家申請廠商之各項分數雖有所消長更迭，然此情形應亦與常理相符。且本案既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採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序位法，故各申請廠商之絕對分數高低變化無從代表評選結果。</w:t>
            </w:r>
          </w:p>
          <w:p w:rsidR="001F248E" w:rsidRPr="004831CE" w:rsidRDefault="001F248E" w:rsidP="00E91C0C">
            <w:pPr>
              <w:pStyle w:val="af8"/>
              <w:widowControl/>
              <w:numPr>
                <w:ilvl w:val="0"/>
                <w:numId w:val="9"/>
              </w:numPr>
              <w:overflowPunct/>
              <w:autoSpaceDE/>
              <w:autoSpaceDN/>
              <w:snapToGrid w:val="0"/>
              <w:ind w:leftChars="0"/>
              <w:rPr>
                <w:rFonts w:hAnsi="標楷體"/>
                <w:bCs/>
                <w:kern w:val="32"/>
                <w:sz w:val="24"/>
                <w:szCs w:val="24"/>
              </w:rPr>
            </w:pP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該會檢視</w:t>
            </w:r>
            <w:proofErr w:type="gramStart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臺</w:t>
            </w:r>
            <w:proofErr w:type="gramEnd"/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北榮總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107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年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10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月</w:t>
            </w:r>
            <w:r w:rsidRPr="004831CE">
              <w:rPr>
                <w:rFonts w:hAnsi="標楷體"/>
                <w:bCs/>
                <w:kern w:val="32"/>
                <w:sz w:val="24"/>
                <w:szCs w:val="24"/>
              </w:rPr>
              <w:t>8</w:t>
            </w:r>
            <w:r w:rsidRPr="004831CE">
              <w:rPr>
                <w:rFonts w:hAnsi="標楷體" w:hint="eastAsia"/>
                <w:bCs/>
                <w:kern w:val="32"/>
                <w:sz w:val="24"/>
                <w:szCs w:val="24"/>
              </w:rPr>
              <w:t>日重行評審結果，尚未發現顯有違反經驗法則之不合理處，而無從判斷有恣意之違誤。</w:t>
            </w:r>
          </w:p>
        </w:tc>
      </w:tr>
    </w:tbl>
    <w:p w:rsidR="005D21EE" w:rsidRPr="001F248E" w:rsidRDefault="005D21EE">
      <w:pPr>
        <w:widowControl/>
        <w:overflowPunct/>
        <w:autoSpaceDE/>
        <w:autoSpaceDN/>
        <w:jc w:val="left"/>
        <w:rPr>
          <w:rFonts w:hAnsi="標楷體"/>
          <w:bCs/>
          <w:color w:val="000000" w:themeColor="text1"/>
          <w:kern w:val="0"/>
        </w:rPr>
      </w:pPr>
    </w:p>
    <w:sectPr w:rsidR="005D21EE" w:rsidRPr="001F248E" w:rsidSect="00AC5F24">
      <w:pgSz w:w="16840" w:h="11907" w:orient="landscape" w:code="9"/>
      <w:pgMar w:top="1418" w:right="1701" w:bottom="1418" w:left="1418" w:header="851" w:footer="851" w:gutter="227"/>
      <w:pgNumType w:start="13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60" w:rsidRDefault="00024C60">
      <w:r>
        <w:separator/>
      </w:r>
    </w:p>
  </w:endnote>
  <w:endnote w:type="continuationSeparator" w:id="0">
    <w:p w:rsidR="00024C60" w:rsidRDefault="000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8E" w:rsidRDefault="001F248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63011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1F248E" w:rsidRDefault="001F248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60" w:rsidRDefault="00024C60">
      <w:r>
        <w:separator/>
      </w:r>
    </w:p>
  </w:footnote>
  <w:footnote w:type="continuationSeparator" w:id="0">
    <w:p w:rsidR="00024C60" w:rsidRDefault="0002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4C5CE0"/>
    <w:multiLevelType w:val="hybridMultilevel"/>
    <w:tmpl w:val="96B08A76"/>
    <w:lvl w:ilvl="0" w:tplc="0EC05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0E010C"/>
    <w:multiLevelType w:val="multilevel"/>
    <w:tmpl w:val="015470C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E4677F"/>
    <w:multiLevelType w:val="hybridMultilevel"/>
    <w:tmpl w:val="7F7E6B96"/>
    <w:lvl w:ilvl="0" w:tplc="F8742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6E7F3F"/>
    <w:multiLevelType w:val="hybridMultilevel"/>
    <w:tmpl w:val="E18433EE"/>
    <w:lvl w:ilvl="0" w:tplc="5D8C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517E73"/>
    <w:multiLevelType w:val="hybridMultilevel"/>
    <w:tmpl w:val="0A8873AE"/>
    <w:lvl w:ilvl="0" w:tplc="BEB6C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3E4966"/>
    <w:multiLevelType w:val="hybridMultilevel"/>
    <w:tmpl w:val="2826B05C"/>
    <w:lvl w:ilvl="0" w:tplc="1BD62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F247D95"/>
    <w:multiLevelType w:val="hybridMultilevel"/>
    <w:tmpl w:val="B1DE2F0E"/>
    <w:lvl w:ilvl="0" w:tplc="AB0A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6C3352"/>
    <w:multiLevelType w:val="hybridMultilevel"/>
    <w:tmpl w:val="B8AE9BA6"/>
    <w:lvl w:ilvl="0" w:tplc="CD48EB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202B"/>
    <w:rsid w:val="00006961"/>
    <w:rsid w:val="000112BF"/>
    <w:rsid w:val="00012233"/>
    <w:rsid w:val="00017318"/>
    <w:rsid w:val="00017AD4"/>
    <w:rsid w:val="000229AD"/>
    <w:rsid w:val="000246F7"/>
    <w:rsid w:val="00024C60"/>
    <w:rsid w:val="0002506E"/>
    <w:rsid w:val="0003114D"/>
    <w:rsid w:val="000332BA"/>
    <w:rsid w:val="000369C3"/>
    <w:rsid w:val="00036D76"/>
    <w:rsid w:val="00046874"/>
    <w:rsid w:val="00054F6A"/>
    <w:rsid w:val="00057F32"/>
    <w:rsid w:val="00062A25"/>
    <w:rsid w:val="00062CC3"/>
    <w:rsid w:val="00073CB5"/>
    <w:rsid w:val="0007425C"/>
    <w:rsid w:val="00077553"/>
    <w:rsid w:val="00083852"/>
    <w:rsid w:val="000851A2"/>
    <w:rsid w:val="00090EF9"/>
    <w:rsid w:val="0009352E"/>
    <w:rsid w:val="00096403"/>
    <w:rsid w:val="00096B96"/>
    <w:rsid w:val="000A2F3F"/>
    <w:rsid w:val="000A3EB7"/>
    <w:rsid w:val="000B0053"/>
    <w:rsid w:val="000B0B4A"/>
    <w:rsid w:val="000B279A"/>
    <w:rsid w:val="000B5AF4"/>
    <w:rsid w:val="000B61D2"/>
    <w:rsid w:val="000B70A7"/>
    <w:rsid w:val="000B73DD"/>
    <w:rsid w:val="000C0F6E"/>
    <w:rsid w:val="000C4769"/>
    <w:rsid w:val="000C495F"/>
    <w:rsid w:val="000C6BA7"/>
    <w:rsid w:val="000C74D5"/>
    <w:rsid w:val="000D0B75"/>
    <w:rsid w:val="000D279E"/>
    <w:rsid w:val="000D66D9"/>
    <w:rsid w:val="000E6431"/>
    <w:rsid w:val="000F21A5"/>
    <w:rsid w:val="000F2528"/>
    <w:rsid w:val="000F27DB"/>
    <w:rsid w:val="000F5839"/>
    <w:rsid w:val="00102B9F"/>
    <w:rsid w:val="00104835"/>
    <w:rsid w:val="0010573F"/>
    <w:rsid w:val="00112637"/>
    <w:rsid w:val="00112ABC"/>
    <w:rsid w:val="00112F79"/>
    <w:rsid w:val="00115C67"/>
    <w:rsid w:val="0012001E"/>
    <w:rsid w:val="00123AF8"/>
    <w:rsid w:val="00126A55"/>
    <w:rsid w:val="00133F08"/>
    <w:rsid w:val="001345E6"/>
    <w:rsid w:val="001378B0"/>
    <w:rsid w:val="00142E00"/>
    <w:rsid w:val="00152793"/>
    <w:rsid w:val="00153B7E"/>
    <w:rsid w:val="001545A9"/>
    <w:rsid w:val="001550DC"/>
    <w:rsid w:val="00163011"/>
    <w:rsid w:val="00163774"/>
    <w:rsid w:val="001637C7"/>
    <w:rsid w:val="0016480E"/>
    <w:rsid w:val="00165EFA"/>
    <w:rsid w:val="00174297"/>
    <w:rsid w:val="001755D0"/>
    <w:rsid w:val="00180E06"/>
    <w:rsid w:val="001817B3"/>
    <w:rsid w:val="00183014"/>
    <w:rsid w:val="00187D17"/>
    <w:rsid w:val="0019180E"/>
    <w:rsid w:val="001932CE"/>
    <w:rsid w:val="0019356B"/>
    <w:rsid w:val="00195830"/>
    <w:rsid w:val="001959C2"/>
    <w:rsid w:val="001A0D8C"/>
    <w:rsid w:val="001A0DB3"/>
    <w:rsid w:val="001A51E3"/>
    <w:rsid w:val="001A7968"/>
    <w:rsid w:val="001B1F0B"/>
    <w:rsid w:val="001B2E98"/>
    <w:rsid w:val="001B3483"/>
    <w:rsid w:val="001B3C1E"/>
    <w:rsid w:val="001B4494"/>
    <w:rsid w:val="001C0D8B"/>
    <w:rsid w:val="001C0DA8"/>
    <w:rsid w:val="001C55F6"/>
    <w:rsid w:val="001D4AD7"/>
    <w:rsid w:val="001E0D8A"/>
    <w:rsid w:val="001E3170"/>
    <w:rsid w:val="001E32AB"/>
    <w:rsid w:val="001E67BA"/>
    <w:rsid w:val="001E74C2"/>
    <w:rsid w:val="001F223F"/>
    <w:rsid w:val="001F248E"/>
    <w:rsid w:val="001F3AF4"/>
    <w:rsid w:val="001F4F82"/>
    <w:rsid w:val="001F5A48"/>
    <w:rsid w:val="001F6260"/>
    <w:rsid w:val="00200007"/>
    <w:rsid w:val="002030A5"/>
    <w:rsid w:val="00203131"/>
    <w:rsid w:val="00203DBF"/>
    <w:rsid w:val="002067AF"/>
    <w:rsid w:val="00212E88"/>
    <w:rsid w:val="00213A24"/>
    <w:rsid w:val="00213C9C"/>
    <w:rsid w:val="0022009E"/>
    <w:rsid w:val="00223241"/>
    <w:rsid w:val="0022425C"/>
    <w:rsid w:val="002246DE"/>
    <w:rsid w:val="002268CC"/>
    <w:rsid w:val="002274A0"/>
    <w:rsid w:val="00230D77"/>
    <w:rsid w:val="00231B6F"/>
    <w:rsid w:val="002320B5"/>
    <w:rsid w:val="00234388"/>
    <w:rsid w:val="00237013"/>
    <w:rsid w:val="002429E2"/>
    <w:rsid w:val="002442BD"/>
    <w:rsid w:val="00251987"/>
    <w:rsid w:val="00252BC4"/>
    <w:rsid w:val="002536A9"/>
    <w:rsid w:val="00254014"/>
    <w:rsid w:val="00254B39"/>
    <w:rsid w:val="002552A0"/>
    <w:rsid w:val="002576F3"/>
    <w:rsid w:val="00261234"/>
    <w:rsid w:val="00263DAF"/>
    <w:rsid w:val="00264E42"/>
    <w:rsid w:val="0026504D"/>
    <w:rsid w:val="00273A2F"/>
    <w:rsid w:val="0027606C"/>
    <w:rsid w:val="00280459"/>
    <w:rsid w:val="00280986"/>
    <w:rsid w:val="00281ECE"/>
    <w:rsid w:val="00283095"/>
    <w:rsid w:val="002831C7"/>
    <w:rsid w:val="002840C6"/>
    <w:rsid w:val="00285683"/>
    <w:rsid w:val="002874C0"/>
    <w:rsid w:val="00287E6D"/>
    <w:rsid w:val="00291B64"/>
    <w:rsid w:val="00295174"/>
    <w:rsid w:val="00296172"/>
    <w:rsid w:val="00296B92"/>
    <w:rsid w:val="002A2C22"/>
    <w:rsid w:val="002A645F"/>
    <w:rsid w:val="002A65AB"/>
    <w:rsid w:val="002B02EB"/>
    <w:rsid w:val="002B317F"/>
    <w:rsid w:val="002B5A1E"/>
    <w:rsid w:val="002B7777"/>
    <w:rsid w:val="002C0602"/>
    <w:rsid w:val="002C1979"/>
    <w:rsid w:val="002C1EDA"/>
    <w:rsid w:val="002C3E08"/>
    <w:rsid w:val="002C4245"/>
    <w:rsid w:val="002D3641"/>
    <w:rsid w:val="002D5C16"/>
    <w:rsid w:val="002E2B2C"/>
    <w:rsid w:val="002E550C"/>
    <w:rsid w:val="002E74B6"/>
    <w:rsid w:val="002F17E4"/>
    <w:rsid w:val="002F2476"/>
    <w:rsid w:val="002F38C5"/>
    <w:rsid w:val="002F3DFF"/>
    <w:rsid w:val="002F43D6"/>
    <w:rsid w:val="002F5E05"/>
    <w:rsid w:val="00305843"/>
    <w:rsid w:val="00307A76"/>
    <w:rsid w:val="00310F2B"/>
    <w:rsid w:val="0031455E"/>
    <w:rsid w:val="00315A16"/>
    <w:rsid w:val="00317053"/>
    <w:rsid w:val="0032109C"/>
    <w:rsid w:val="00322B45"/>
    <w:rsid w:val="00323809"/>
    <w:rsid w:val="00323D41"/>
    <w:rsid w:val="00325414"/>
    <w:rsid w:val="003269DE"/>
    <w:rsid w:val="003302F1"/>
    <w:rsid w:val="003310C1"/>
    <w:rsid w:val="00342FFA"/>
    <w:rsid w:val="0034470E"/>
    <w:rsid w:val="003457A7"/>
    <w:rsid w:val="00346B44"/>
    <w:rsid w:val="00346E8B"/>
    <w:rsid w:val="00347DF1"/>
    <w:rsid w:val="00352DB0"/>
    <w:rsid w:val="00361063"/>
    <w:rsid w:val="0036575C"/>
    <w:rsid w:val="00370712"/>
    <w:rsid w:val="0037094A"/>
    <w:rsid w:val="00371ED3"/>
    <w:rsid w:val="00372659"/>
    <w:rsid w:val="00372FFC"/>
    <w:rsid w:val="0037728A"/>
    <w:rsid w:val="00380B7D"/>
    <w:rsid w:val="00381A99"/>
    <w:rsid w:val="00382348"/>
    <w:rsid w:val="003829C2"/>
    <w:rsid w:val="003830B2"/>
    <w:rsid w:val="00384724"/>
    <w:rsid w:val="003866B2"/>
    <w:rsid w:val="00390CD6"/>
    <w:rsid w:val="003919B7"/>
    <w:rsid w:val="00391D57"/>
    <w:rsid w:val="00392292"/>
    <w:rsid w:val="00394F45"/>
    <w:rsid w:val="003A20C1"/>
    <w:rsid w:val="003A5927"/>
    <w:rsid w:val="003A7A1F"/>
    <w:rsid w:val="003B1017"/>
    <w:rsid w:val="003B3C07"/>
    <w:rsid w:val="003B47CD"/>
    <w:rsid w:val="003B5273"/>
    <w:rsid w:val="003B6081"/>
    <w:rsid w:val="003B6775"/>
    <w:rsid w:val="003C2AB8"/>
    <w:rsid w:val="003C5FE2"/>
    <w:rsid w:val="003D05FB"/>
    <w:rsid w:val="003D19EF"/>
    <w:rsid w:val="003D1B16"/>
    <w:rsid w:val="003D28D1"/>
    <w:rsid w:val="003D45BF"/>
    <w:rsid w:val="003D508A"/>
    <w:rsid w:val="003D537F"/>
    <w:rsid w:val="003D7B75"/>
    <w:rsid w:val="003E0208"/>
    <w:rsid w:val="003E05E4"/>
    <w:rsid w:val="003E1A00"/>
    <w:rsid w:val="003E4AFB"/>
    <w:rsid w:val="003E4B57"/>
    <w:rsid w:val="003E4F6D"/>
    <w:rsid w:val="003F042D"/>
    <w:rsid w:val="003F2553"/>
    <w:rsid w:val="003F27E1"/>
    <w:rsid w:val="003F437A"/>
    <w:rsid w:val="003F5C2B"/>
    <w:rsid w:val="003F7D70"/>
    <w:rsid w:val="003F7E21"/>
    <w:rsid w:val="00402240"/>
    <w:rsid w:val="004023E9"/>
    <w:rsid w:val="0040454A"/>
    <w:rsid w:val="0040743D"/>
    <w:rsid w:val="00410521"/>
    <w:rsid w:val="0041172E"/>
    <w:rsid w:val="0041364E"/>
    <w:rsid w:val="00413D3F"/>
    <w:rsid w:val="00413F83"/>
    <w:rsid w:val="0041490C"/>
    <w:rsid w:val="00416191"/>
    <w:rsid w:val="00416721"/>
    <w:rsid w:val="004202DC"/>
    <w:rsid w:val="00421EF0"/>
    <w:rsid w:val="004224FA"/>
    <w:rsid w:val="00423CDD"/>
    <w:rsid w:val="00423D07"/>
    <w:rsid w:val="00424382"/>
    <w:rsid w:val="00427936"/>
    <w:rsid w:val="00431303"/>
    <w:rsid w:val="0044346F"/>
    <w:rsid w:val="00450634"/>
    <w:rsid w:val="004534F7"/>
    <w:rsid w:val="00453FF6"/>
    <w:rsid w:val="00455B0D"/>
    <w:rsid w:val="00457EE8"/>
    <w:rsid w:val="0046520A"/>
    <w:rsid w:val="004672AB"/>
    <w:rsid w:val="004714FE"/>
    <w:rsid w:val="00477339"/>
    <w:rsid w:val="00477BAA"/>
    <w:rsid w:val="004831CE"/>
    <w:rsid w:val="00487889"/>
    <w:rsid w:val="00495053"/>
    <w:rsid w:val="004A1F59"/>
    <w:rsid w:val="004A29BE"/>
    <w:rsid w:val="004A3225"/>
    <w:rsid w:val="004A33EE"/>
    <w:rsid w:val="004A3AA8"/>
    <w:rsid w:val="004B13C7"/>
    <w:rsid w:val="004B2D08"/>
    <w:rsid w:val="004B778F"/>
    <w:rsid w:val="004C0609"/>
    <w:rsid w:val="004C407D"/>
    <w:rsid w:val="004C4849"/>
    <w:rsid w:val="004C639F"/>
    <w:rsid w:val="004C7BFA"/>
    <w:rsid w:val="004D141F"/>
    <w:rsid w:val="004D2742"/>
    <w:rsid w:val="004D2B79"/>
    <w:rsid w:val="004D6310"/>
    <w:rsid w:val="004E0062"/>
    <w:rsid w:val="004E05A1"/>
    <w:rsid w:val="004E349B"/>
    <w:rsid w:val="004E4ACE"/>
    <w:rsid w:val="004E62AB"/>
    <w:rsid w:val="004E69C4"/>
    <w:rsid w:val="004F2B53"/>
    <w:rsid w:val="004F2D97"/>
    <w:rsid w:val="004F472A"/>
    <w:rsid w:val="004F5E57"/>
    <w:rsid w:val="004F6710"/>
    <w:rsid w:val="004F7894"/>
    <w:rsid w:val="00500C3E"/>
    <w:rsid w:val="00502849"/>
    <w:rsid w:val="00504334"/>
    <w:rsid w:val="0050498D"/>
    <w:rsid w:val="0050703D"/>
    <w:rsid w:val="00507B06"/>
    <w:rsid w:val="005104D7"/>
    <w:rsid w:val="00510B9E"/>
    <w:rsid w:val="00513AB8"/>
    <w:rsid w:val="00520844"/>
    <w:rsid w:val="00522845"/>
    <w:rsid w:val="00524755"/>
    <w:rsid w:val="005338F6"/>
    <w:rsid w:val="00536BC2"/>
    <w:rsid w:val="00537213"/>
    <w:rsid w:val="005425E1"/>
    <w:rsid w:val="005427C5"/>
    <w:rsid w:val="00542CF6"/>
    <w:rsid w:val="005441F2"/>
    <w:rsid w:val="00546467"/>
    <w:rsid w:val="00553C03"/>
    <w:rsid w:val="0055604C"/>
    <w:rsid w:val="00560DDA"/>
    <w:rsid w:val="00562078"/>
    <w:rsid w:val="00563692"/>
    <w:rsid w:val="00567DEA"/>
    <w:rsid w:val="0057138C"/>
    <w:rsid w:val="00571679"/>
    <w:rsid w:val="00573694"/>
    <w:rsid w:val="00576867"/>
    <w:rsid w:val="00583ACA"/>
    <w:rsid w:val="00584235"/>
    <w:rsid w:val="005844E7"/>
    <w:rsid w:val="005908B8"/>
    <w:rsid w:val="00591838"/>
    <w:rsid w:val="0059512E"/>
    <w:rsid w:val="00595AD9"/>
    <w:rsid w:val="005A6DD2"/>
    <w:rsid w:val="005B662B"/>
    <w:rsid w:val="005B753F"/>
    <w:rsid w:val="005B7C7C"/>
    <w:rsid w:val="005C041D"/>
    <w:rsid w:val="005C0553"/>
    <w:rsid w:val="005C385D"/>
    <w:rsid w:val="005D0C3A"/>
    <w:rsid w:val="005D1037"/>
    <w:rsid w:val="005D1F2D"/>
    <w:rsid w:val="005D21EE"/>
    <w:rsid w:val="005D3B20"/>
    <w:rsid w:val="005D7138"/>
    <w:rsid w:val="005D71B7"/>
    <w:rsid w:val="005E3DB5"/>
    <w:rsid w:val="005E4759"/>
    <w:rsid w:val="005E5C68"/>
    <w:rsid w:val="005E65C0"/>
    <w:rsid w:val="005F0390"/>
    <w:rsid w:val="005F19E7"/>
    <w:rsid w:val="006072CD"/>
    <w:rsid w:val="006073FC"/>
    <w:rsid w:val="00612023"/>
    <w:rsid w:val="00614190"/>
    <w:rsid w:val="00617170"/>
    <w:rsid w:val="00622A99"/>
    <w:rsid w:val="00622E67"/>
    <w:rsid w:val="00623281"/>
    <w:rsid w:val="00626B57"/>
    <w:rsid w:val="00626EDC"/>
    <w:rsid w:val="00630F6C"/>
    <w:rsid w:val="0063318D"/>
    <w:rsid w:val="006452D3"/>
    <w:rsid w:val="006470EC"/>
    <w:rsid w:val="006542D6"/>
    <w:rsid w:val="0065598E"/>
    <w:rsid w:val="00655AF2"/>
    <w:rsid w:val="00655BC5"/>
    <w:rsid w:val="006568BE"/>
    <w:rsid w:val="0066025D"/>
    <w:rsid w:val="006607D4"/>
    <w:rsid w:val="0066091A"/>
    <w:rsid w:val="0066290A"/>
    <w:rsid w:val="0066507C"/>
    <w:rsid w:val="00670838"/>
    <w:rsid w:val="006773EC"/>
    <w:rsid w:val="00677B3A"/>
    <w:rsid w:val="00680504"/>
    <w:rsid w:val="00681CD9"/>
    <w:rsid w:val="00683314"/>
    <w:rsid w:val="00683E30"/>
    <w:rsid w:val="00687024"/>
    <w:rsid w:val="0069194B"/>
    <w:rsid w:val="00693930"/>
    <w:rsid w:val="00695E22"/>
    <w:rsid w:val="006B18C8"/>
    <w:rsid w:val="006B7093"/>
    <w:rsid w:val="006B7417"/>
    <w:rsid w:val="006C105A"/>
    <w:rsid w:val="006D013B"/>
    <w:rsid w:val="006D1741"/>
    <w:rsid w:val="006D1B1E"/>
    <w:rsid w:val="006D31F9"/>
    <w:rsid w:val="006D3691"/>
    <w:rsid w:val="006E5D91"/>
    <w:rsid w:val="006E5EF0"/>
    <w:rsid w:val="006E7E9F"/>
    <w:rsid w:val="006F1207"/>
    <w:rsid w:val="006F3563"/>
    <w:rsid w:val="006F42B9"/>
    <w:rsid w:val="006F6103"/>
    <w:rsid w:val="00701CDC"/>
    <w:rsid w:val="00702B7B"/>
    <w:rsid w:val="00704E00"/>
    <w:rsid w:val="00706B03"/>
    <w:rsid w:val="00712187"/>
    <w:rsid w:val="00716FEB"/>
    <w:rsid w:val="007209E7"/>
    <w:rsid w:val="00725DF5"/>
    <w:rsid w:val="00726182"/>
    <w:rsid w:val="007261CC"/>
    <w:rsid w:val="00727635"/>
    <w:rsid w:val="00731416"/>
    <w:rsid w:val="00732329"/>
    <w:rsid w:val="00732616"/>
    <w:rsid w:val="007337CA"/>
    <w:rsid w:val="00734CE4"/>
    <w:rsid w:val="00735123"/>
    <w:rsid w:val="007375B6"/>
    <w:rsid w:val="00741837"/>
    <w:rsid w:val="007453E6"/>
    <w:rsid w:val="00746079"/>
    <w:rsid w:val="00750B04"/>
    <w:rsid w:val="00752C7C"/>
    <w:rsid w:val="00762A2D"/>
    <w:rsid w:val="00770453"/>
    <w:rsid w:val="0077309D"/>
    <w:rsid w:val="007774EE"/>
    <w:rsid w:val="00781822"/>
    <w:rsid w:val="00782484"/>
    <w:rsid w:val="00783F21"/>
    <w:rsid w:val="00787159"/>
    <w:rsid w:val="0079043A"/>
    <w:rsid w:val="00791668"/>
    <w:rsid w:val="00791AA1"/>
    <w:rsid w:val="00792C8C"/>
    <w:rsid w:val="0079637B"/>
    <w:rsid w:val="007A3793"/>
    <w:rsid w:val="007B63A0"/>
    <w:rsid w:val="007C1BA2"/>
    <w:rsid w:val="007C26C2"/>
    <w:rsid w:val="007C2B48"/>
    <w:rsid w:val="007C6A05"/>
    <w:rsid w:val="007D0C47"/>
    <w:rsid w:val="007D20E9"/>
    <w:rsid w:val="007D5D79"/>
    <w:rsid w:val="007D7881"/>
    <w:rsid w:val="007D7E3A"/>
    <w:rsid w:val="007E0E10"/>
    <w:rsid w:val="007E2226"/>
    <w:rsid w:val="007E4768"/>
    <w:rsid w:val="007E4D0B"/>
    <w:rsid w:val="007E777B"/>
    <w:rsid w:val="007F2070"/>
    <w:rsid w:val="007F63C1"/>
    <w:rsid w:val="0080193E"/>
    <w:rsid w:val="008029DB"/>
    <w:rsid w:val="00804BD9"/>
    <w:rsid w:val="008053F5"/>
    <w:rsid w:val="00806F84"/>
    <w:rsid w:val="00807AF7"/>
    <w:rsid w:val="00810198"/>
    <w:rsid w:val="008103BE"/>
    <w:rsid w:val="00812724"/>
    <w:rsid w:val="00815DA8"/>
    <w:rsid w:val="0082185E"/>
    <w:rsid w:val="0082194D"/>
    <w:rsid w:val="008221F9"/>
    <w:rsid w:val="00826584"/>
    <w:rsid w:val="00826EF5"/>
    <w:rsid w:val="00827B06"/>
    <w:rsid w:val="00830777"/>
    <w:rsid w:val="00830A17"/>
    <w:rsid w:val="00831693"/>
    <w:rsid w:val="00834F99"/>
    <w:rsid w:val="0083697C"/>
    <w:rsid w:val="00840104"/>
    <w:rsid w:val="0084033A"/>
    <w:rsid w:val="00840C1F"/>
    <w:rsid w:val="008411C9"/>
    <w:rsid w:val="00841FC5"/>
    <w:rsid w:val="00843D0F"/>
    <w:rsid w:val="00845709"/>
    <w:rsid w:val="00846C9E"/>
    <w:rsid w:val="008506F4"/>
    <w:rsid w:val="008576BD"/>
    <w:rsid w:val="00860463"/>
    <w:rsid w:val="00866D5D"/>
    <w:rsid w:val="008733DA"/>
    <w:rsid w:val="00883CEB"/>
    <w:rsid w:val="008850E4"/>
    <w:rsid w:val="00891171"/>
    <w:rsid w:val="008939AB"/>
    <w:rsid w:val="00894402"/>
    <w:rsid w:val="008A12F5"/>
    <w:rsid w:val="008B1587"/>
    <w:rsid w:val="008B1B01"/>
    <w:rsid w:val="008B3385"/>
    <w:rsid w:val="008B392B"/>
    <w:rsid w:val="008B3BCD"/>
    <w:rsid w:val="008B6DF8"/>
    <w:rsid w:val="008B791A"/>
    <w:rsid w:val="008C010A"/>
    <w:rsid w:val="008C106C"/>
    <w:rsid w:val="008C10F1"/>
    <w:rsid w:val="008C1926"/>
    <w:rsid w:val="008C1E99"/>
    <w:rsid w:val="008D021A"/>
    <w:rsid w:val="008D02BA"/>
    <w:rsid w:val="008D067A"/>
    <w:rsid w:val="008D25AD"/>
    <w:rsid w:val="008D33C6"/>
    <w:rsid w:val="008E0085"/>
    <w:rsid w:val="008E2AA6"/>
    <w:rsid w:val="008E311B"/>
    <w:rsid w:val="008F46E7"/>
    <w:rsid w:val="008F64CA"/>
    <w:rsid w:val="008F6F0B"/>
    <w:rsid w:val="008F7E4B"/>
    <w:rsid w:val="00901213"/>
    <w:rsid w:val="00907BA7"/>
    <w:rsid w:val="0091064E"/>
    <w:rsid w:val="00911FC5"/>
    <w:rsid w:val="009314CF"/>
    <w:rsid w:val="00931A10"/>
    <w:rsid w:val="00932DF9"/>
    <w:rsid w:val="009351F5"/>
    <w:rsid w:val="0094206C"/>
    <w:rsid w:val="00946438"/>
    <w:rsid w:val="00947967"/>
    <w:rsid w:val="00951108"/>
    <w:rsid w:val="00955201"/>
    <w:rsid w:val="00964171"/>
    <w:rsid w:val="00965200"/>
    <w:rsid w:val="009668B3"/>
    <w:rsid w:val="00971471"/>
    <w:rsid w:val="0097285A"/>
    <w:rsid w:val="009773D7"/>
    <w:rsid w:val="009829C2"/>
    <w:rsid w:val="009847B4"/>
    <w:rsid w:val="009849C2"/>
    <w:rsid w:val="00984D24"/>
    <w:rsid w:val="009858EB"/>
    <w:rsid w:val="00996818"/>
    <w:rsid w:val="009A3F47"/>
    <w:rsid w:val="009B0046"/>
    <w:rsid w:val="009B13D0"/>
    <w:rsid w:val="009B24C8"/>
    <w:rsid w:val="009B3CA1"/>
    <w:rsid w:val="009B3E73"/>
    <w:rsid w:val="009B4789"/>
    <w:rsid w:val="009C1440"/>
    <w:rsid w:val="009C18EC"/>
    <w:rsid w:val="009C2107"/>
    <w:rsid w:val="009C5D9E"/>
    <w:rsid w:val="009D2C3E"/>
    <w:rsid w:val="009E0625"/>
    <w:rsid w:val="009E3034"/>
    <w:rsid w:val="009E38BE"/>
    <w:rsid w:val="009E549F"/>
    <w:rsid w:val="009F1966"/>
    <w:rsid w:val="009F28A8"/>
    <w:rsid w:val="009F3F2A"/>
    <w:rsid w:val="009F473E"/>
    <w:rsid w:val="009F5247"/>
    <w:rsid w:val="009F682A"/>
    <w:rsid w:val="00A0149A"/>
    <w:rsid w:val="00A022BE"/>
    <w:rsid w:val="00A04F66"/>
    <w:rsid w:val="00A051F5"/>
    <w:rsid w:val="00A05C8C"/>
    <w:rsid w:val="00A07B4B"/>
    <w:rsid w:val="00A1330C"/>
    <w:rsid w:val="00A16EC2"/>
    <w:rsid w:val="00A173FF"/>
    <w:rsid w:val="00A24690"/>
    <w:rsid w:val="00A24C95"/>
    <w:rsid w:val="00A2599A"/>
    <w:rsid w:val="00A26094"/>
    <w:rsid w:val="00A301BF"/>
    <w:rsid w:val="00A302B2"/>
    <w:rsid w:val="00A331B4"/>
    <w:rsid w:val="00A333DB"/>
    <w:rsid w:val="00A33ACB"/>
    <w:rsid w:val="00A3484E"/>
    <w:rsid w:val="00A356D3"/>
    <w:rsid w:val="00A36ADA"/>
    <w:rsid w:val="00A37C4D"/>
    <w:rsid w:val="00A37DC1"/>
    <w:rsid w:val="00A4215A"/>
    <w:rsid w:val="00A42ED0"/>
    <w:rsid w:val="00A438D8"/>
    <w:rsid w:val="00A45E85"/>
    <w:rsid w:val="00A46C35"/>
    <w:rsid w:val="00A473F5"/>
    <w:rsid w:val="00A50009"/>
    <w:rsid w:val="00A51F9D"/>
    <w:rsid w:val="00A5416A"/>
    <w:rsid w:val="00A639F4"/>
    <w:rsid w:val="00A6420B"/>
    <w:rsid w:val="00A64C34"/>
    <w:rsid w:val="00A65864"/>
    <w:rsid w:val="00A65FAE"/>
    <w:rsid w:val="00A76A38"/>
    <w:rsid w:val="00A777A9"/>
    <w:rsid w:val="00A81461"/>
    <w:rsid w:val="00A81A32"/>
    <w:rsid w:val="00A82A4C"/>
    <w:rsid w:val="00A835BD"/>
    <w:rsid w:val="00A910C8"/>
    <w:rsid w:val="00A9496E"/>
    <w:rsid w:val="00A9734F"/>
    <w:rsid w:val="00A97B15"/>
    <w:rsid w:val="00AA42D5"/>
    <w:rsid w:val="00AB190C"/>
    <w:rsid w:val="00AB2FAB"/>
    <w:rsid w:val="00AB5C14"/>
    <w:rsid w:val="00AC0211"/>
    <w:rsid w:val="00AC1EE7"/>
    <w:rsid w:val="00AC240F"/>
    <w:rsid w:val="00AC333F"/>
    <w:rsid w:val="00AC585C"/>
    <w:rsid w:val="00AC5F24"/>
    <w:rsid w:val="00AD1925"/>
    <w:rsid w:val="00AD1C11"/>
    <w:rsid w:val="00AD2C52"/>
    <w:rsid w:val="00AE067D"/>
    <w:rsid w:val="00AE26DC"/>
    <w:rsid w:val="00AE3A15"/>
    <w:rsid w:val="00AF0762"/>
    <w:rsid w:val="00AF0985"/>
    <w:rsid w:val="00AF1181"/>
    <w:rsid w:val="00AF2F79"/>
    <w:rsid w:val="00AF4653"/>
    <w:rsid w:val="00AF679D"/>
    <w:rsid w:val="00AF7DB7"/>
    <w:rsid w:val="00B04E00"/>
    <w:rsid w:val="00B10D02"/>
    <w:rsid w:val="00B16666"/>
    <w:rsid w:val="00B16BE7"/>
    <w:rsid w:val="00B201E2"/>
    <w:rsid w:val="00B203C3"/>
    <w:rsid w:val="00B24312"/>
    <w:rsid w:val="00B263FC"/>
    <w:rsid w:val="00B3006F"/>
    <w:rsid w:val="00B31093"/>
    <w:rsid w:val="00B443E4"/>
    <w:rsid w:val="00B5076B"/>
    <w:rsid w:val="00B50D9F"/>
    <w:rsid w:val="00B535A0"/>
    <w:rsid w:val="00B5484D"/>
    <w:rsid w:val="00B563EA"/>
    <w:rsid w:val="00B56CDF"/>
    <w:rsid w:val="00B56E59"/>
    <w:rsid w:val="00B57E1A"/>
    <w:rsid w:val="00B60E51"/>
    <w:rsid w:val="00B61C8E"/>
    <w:rsid w:val="00B63A54"/>
    <w:rsid w:val="00B6684B"/>
    <w:rsid w:val="00B7695A"/>
    <w:rsid w:val="00B76C7F"/>
    <w:rsid w:val="00B77D18"/>
    <w:rsid w:val="00B77E86"/>
    <w:rsid w:val="00B80703"/>
    <w:rsid w:val="00B81E3F"/>
    <w:rsid w:val="00B8313A"/>
    <w:rsid w:val="00B87708"/>
    <w:rsid w:val="00B91FE9"/>
    <w:rsid w:val="00B93503"/>
    <w:rsid w:val="00BA31E8"/>
    <w:rsid w:val="00BA46A7"/>
    <w:rsid w:val="00BA55E0"/>
    <w:rsid w:val="00BA5644"/>
    <w:rsid w:val="00BA6BD4"/>
    <w:rsid w:val="00BA6C7A"/>
    <w:rsid w:val="00BB0940"/>
    <w:rsid w:val="00BB17D1"/>
    <w:rsid w:val="00BB3752"/>
    <w:rsid w:val="00BB3876"/>
    <w:rsid w:val="00BB5240"/>
    <w:rsid w:val="00BB6688"/>
    <w:rsid w:val="00BC0C62"/>
    <w:rsid w:val="00BC21E3"/>
    <w:rsid w:val="00BC26D4"/>
    <w:rsid w:val="00BD04F1"/>
    <w:rsid w:val="00BD0E3A"/>
    <w:rsid w:val="00BD0F2E"/>
    <w:rsid w:val="00BD1FE3"/>
    <w:rsid w:val="00BE0C80"/>
    <w:rsid w:val="00BF2A42"/>
    <w:rsid w:val="00BF40B0"/>
    <w:rsid w:val="00C03D8C"/>
    <w:rsid w:val="00C055EC"/>
    <w:rsid w:val="00C10DC9"/>
    <w:rsid w:val="00C12FB3"/>
    <w:rsid w:val="00C16B76"/>
    <w:rsid w:val="00C17341"/>
    <w:rsid w:val="00C22500"/>
    <w:rsid w:val="00C24EEF"/>
    <w:rsid w:val="00C25CF6"/>
    <w:rsid w:val="00C26C36"/>
    <w:rsid w:val="00C3023C"/>
    <w:rsid w:val="00C32768"/>
    <w:rsid w:val="00C431DF"/>
    <w:rsid w:val="00C444EB"/>
    <w:rsid w:val="00C456BD"/>
    <w:rsid w:val="00C460B3"/>
    <w:rsid w:val="00C52932"/>
    <w:rsid w:val="00C530DC"/>
    <w:rsid w:val="00C5350D"/>
    <w:rsid w:val="00C5518F"/>
    <w:rsid w:val="00C6123C"/>
    <w:rsid w:val="00C61CA0"/>
    <w:rsid w:val="00C6311A"/>
    <w:rsid w:val="00C64EB0"/>
    <w:rsid w:val="00C66521"/>
    <w:rsid w:val="00C7084D"/>
    <w:rsid w:val="00C7315E"/>
    <w:rsid w:val="00C73650"/>
    <w:rsid w:val="00C75895"/>
    <w:rsid w:val="00C8098A"/>
    <w:rsid w:val="00C83C9F"/>
    <w:rsid w:val="00C8766B"/>
    <w:rsid w:val="00C87BAD"/>
    <w:rsid w:val="00C94840"/>
    <w:rsid w:val="00C972C5"/>
    <w:rsid w:val="00CA0A5A"/>
    <w:rsid w:val="00CA3674"/>
    <w:rsid w:val="00CA4EE3"/>
    <w:rsid w:val="00CA63CE"/>
    <w:rsid w:val="00CA6A30"/>
    <w:rsid w:val="00CA7411"/>
    <w:rsid w:val="00CB00E1"/>
    <w:rsid w:val="00CB027F"/>
    <w:rsid w:val="00CB29B8"/>
    <w:rsid w:val="00CB2ACC"/>
    <w:rsid w:val="00CB32EC"/>
    <w:rsid w:val="00CB6C85"/>
    <w:rsid w:val="00CC0EBB"/>
    <w:rsid w:val="00CC281F"/>
    <w:rsid w:val="00CC3D05"/>
    <w:rsid w:val="00CC424C"/>
    <w:rsid w:val="00CC6297"/>
    <w:rsid w:val="00CC7690"/>
    <w:rsid w:val="00CD04E6"/>
    <w:rsid w:val="00CD1456"/>
    <w:rsid w:val="00CD1986"/>
    <w:rsid w:val="00CD54BF"/>
    <w:rsid w:val="00CD64EE"/>
    <w:rsid w:val="00CD7840"/>
    <w:rsid w:val="00CD7B19"/>
    <w:rsid w:val="00CE0A52"/>
    <w:rsid w:val="00CE4D5C"/>
    <w:rsid w:val="00CE4DCB"/>
    <w:rsid w:val="00CE7D94"/>
    <w:rsid w:val="00CE7FE7"/>
    <w:rsid w:val="00CF05DA"/>
    <w:rsid w:val="00CF1F67"/>
    <w:rsid w:val="00CF58EB"/>
    <w:rsid w:val="00CF6FEC"/>
    <w:rsid w:val="00D00182"/>
    <w:rsid w:val="00D0106E"/>
    <w:rsid w:val="00D06383"/>
    <w:rsid w:val="00D064D6"/>
    <w:rsid w:val="00D06AE5"/>
    <w:rsid w:val="00D14332"/>
    <w:rsid w:val="00D15F8D"/>
    <w:rsid w:val="00D17895"/>
    <w:rsid w:val="00D20E85"/>
    <w:rsid w:val="00D245F6"/>
    <w:rsid w:val="00D24615"/>
    <w:rsid w:val="00D26406"/>
    <w:rsid w:val="00D30E80"/>
    <w:rsid w:val="00D37842"/>
    <w:rsid w:val="00D42DC2"/>
    <w:rsid w:val="00D4302B"/>
    <w:rsid w:val="00D52FF4"/>
    <w:rsid w:val="00D537E1"/>
    <w:rsid w:val="00D55BB2"/>
    <w:rsid w:val="00D6026E"/>
    <w:rsid w:val="00D6091A"/>
    <w:rsid w:val="00D6605A"/>
    <w:rsid w:val="00D6610A"/>
    <w:rsid w:val="00D6695F"/>
    <w:rsid w:val="00D70EC0"/>
    <w:rsid w:val="00D74C2C"/>
    <w:rsid w:val="00D75644"/>
    <w:rsid w:val="00D80AAD"/>
    <w:rsid w:val="00D81656"/>
    <w:rsid w:val="00D83D87"/>
    <w:rsid w:val="00D84077"/>
    <w:rsid w:val="00D84A6D"/>
    <w:rsid w:val="00D85BB3"/>
    <w:rsid w:val="00D86A30"/>
    <w:rsid w:val="00D86C51"/>
    <w:rsid w:val="00D900E6"/>
    <w:rsid w:val="00D95272"/>
    <w:rsid w:val="00D95D72"/>
    <w:rsid w:val="00D97CB4"/>
    <w:rsid w:val="00D97DD4"/>
    <w:rsid w:val="00DA1C0E"/>
    <w:rsid w:val="00DA5A8A"/>
    <w:rsid w:val="00DA6CAA"/>
    <w:rsid w:val="00DA75E2"/>
    <w:rsid w:val="00DB1170"/>
    <w:rsid w:val="00DB26CD"/>
    <w:rsid w:val="00DB441C"/>
    <w:rsid w:val="00DB44AF"/>
    <w:rsid w:val="00DB65B3"/>
    <w:rsid w:val="00DC0097"/>
    <w:rsid w:val="00DC1F58"/>
    <w:rsid w:val="00DC339B"/>
    <w:rsid w:val="00DC5D40"/>
    <w:rsid w:val="00DC69A7"/>
    <w:rsid w:val="00DD2B62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DF6744"/>
    <w:rsid w:val="00E02FA0"/>
    <w:rsid w:val="00E036DC"/>
    <w:rsid w:val="00E10454"/>
    <w:rsid w:val="00E112E5"/>
    <w:rsid w:val="00E11BFB"/>
    <w:rsid w:val="00E122D8"/>
    <w:rsid w:val="00E12CC8"/>
    <w:rsid w:val="00E15017"/>
    <w:rsid w:val="00E15352"/>
    <w:rsid w:val="00E201BD"/>
    <w:rsid w:val="00E20AFE"/>
    <w:rsid w:val="00E21A18"/>
    <w:rsid w:val="00E21CC7"/>
    <w:rsid w:val="00E24D9E"/>
    <w:rsid w:val="00E25849"/>
    <w:rsid w:val="00E25A2F"/>
    <w:rsid w:val="00E2757A"/>
    <w:rsid w:val="00E3197E"/>
    <w:rsid w:val="00E342F8"/>
    <w:rsid w:val="00E3481A"/>
    <w:rsid w:val="00E351ED"/>
    <w:rsid w:val="00E42B19"/>
    <w:rsid w:val="00E435D7"/>
    <w:rsid w:val="00E479DB"/>
    <w:rsid w:val="00E50650"/>
    <w:rsid w:val="00E6034B"/>
    <w:rsid w:val="00E6410F"/>
    <w:rsid w:val="00E6549E"/>
    <w:rsid w:val="00E658A4"/>
    <w:rsid w:val="00E65EDE"/>
    <w:rsid w:val="00E70F81"/>
    <w:rsid w:val="00E77055"/>
    <w:rsid w:val="00E77460"/>
    <w:rsid w:val="00E825CB"/>
    <w:rsid w:val="00E82C6A"/>
    <w:rsid w:val="00E83ABC"/>
    <w:rsid w:val="00E844F2"/>
    <w:rsid w:val="00E90AD0"/>
    <w:rsid w:val="00E92FCB"/>
    <w:rsid w:val="00E95AD7"/>
    <w:rsid w:val="00EA147F"/>
    <w:rsid w:val="00EA1E76"/>
    <w:rsid w:val="00EA4A27"/>
    <w:rsid w:val="00EA4FA6"/>
    <w:rsid w:val="00EB1A25"/>
    <w:rsid w:val="00EB7A26"/>
    <w:rsid w:val="00EC6D4B"/>
    <w:rsid w:val="00EC7363"/>
    <w:rsid w:val="00ED03AB"/>
    <w:rsid w:val="00ED0584"/>
    <w:rsid w:val="00ED1963"/>
    <w:rsid w:val="00ED1CD4"/>
    <w:rsid w:val="00ED1D2B"/>
    <w:rsid w:val="00ED2DD0"/>
    <w:rsid w:val="00ED2F4A"/>
    <w:rsid w:val="00ED5F9A"/>
    <w:rsid w:val="00ED64B5"/>
    <w:rsid w:val="00EE2417"/>
    <w:rsid w:val="00EE7CCA"/>
    <w:rsid w:val="00EF264F"/>
    <w:rsid w:val="00EF5B7C"/>
    <w:rsid w:val="00F0070C"/>
    <w:rsid w:val="00F06211"/>
    <w:rsid w:val="00F06E53"/>
    <w:rsid w:val="00F06FD2"/>
    <w:rsid w:val="00F16A14"/>
    <w:rsid w:val="00F216F4"/>
    <w:rsid w:val="00F21A16"/>
    <w:rsid w:val="00F27D53"/>
    <w:rsid w:val="00F362D7"/>
    <w:rsid w:val="00F37D7B"/>
    <w:rsid w:val="00F459A9"/>
    <w:rsid w:val="00F5314C"/>
    <w:rsid w:val="00F55A69"/>
    <w:rsid w:val="00F5688C"/>
    <w:rsid w:val="00F60048"/>
    <w:rsid w:val="00F60755"/>
    <w:rsid w:val="00F635DD"/>
    <w:rsid w:val="00F6627B"/>
    <w:rsid w:val="00F7336E"/>
    <w:rsid w:val="00F734F2"/>
    <w:rsid w:val="00F7462C"/>
    <w:rsid w:val="00F75052"/>
    <w:rsid w:val="00F77F48"/>
    <w:rsid w:val="00F804D3"/>
    <w:rsid w:val="00F816CB"/>
    <w:rsid w:val="00F81C54"/>
    <w:rsid w:val="00F81CD2"/>
    <w:rsid w:val="00F82641"/>
    <w:rsid w:val="00F84BD3"/>
    <w:rsid w:val="00F8523F"/>
    <w:rsid w:val="00F90F18"/>
    <w:rsid w:val="00F937E4"/>
    <w:rsid w:val="00F95BF2"/>
    <w:rsid w:val="00F95EE7"/>
    <w:rsid w:val="00FA34BB"/>
    <w:rsid w:val="00FA39E6"/>
    <w:rsid w:val="00FA5CA5"/>
    <w:rsid w:val="00FA6FC0"/>
    <w:rsid w:val="00FA7BC9"/>
    <w:rsid w:val="00FB0C39"/>
    <w:rsid w:val="00FB378E"/>
    <w:rsid w:val="00FB37F1"/>
    <w:rsid w:val="00FB47C0"/>
    <w:rsid w:val="00FB49AA"/>
    <w:rsid w:val="00FB4A9A"/>
    <w:rsid w:val="00FB501B"/>
    <w:rsid w:val="00FB719A"/>
    <w:rsid w:val="00FB7770"/>
    <w:rsid w:val="00FD3B91"/>
    <w:rsid w:val="00FD45EF"/>
    <w:rsid w:val="00FD576B"/>
    <w:rsid w:val="00FD579E"/>
    <w:rsid w:val="00FD6845"/>
    <w:rsid w:val="00FE4516"/>
    <w:rsid w:val="00FE64C8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0369C3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0369C3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0369C3"/>
    <w:rPr>
      <w:vertAlign w:val="superscript"/>
    </w:rPr>
  </w:style>
  <w:style w:type="character" w:customStyle="1" w:styleId="30">
    <w:name w:val="標題 3 字元"/>
    <w:basedOn w:val="a7"/>
    <w:link w:val="3"/>
    <w:rsid w:val="004C484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4C4849"/>
    <w:rPr>
      <w:rFonts w:ascii="標楷體" w:eastAsia="標楷體" w:hAnsi="Arial"/>
      <w:kern w:val="32"/>
      <w:sz w:val="32"/>
      <w:szCs w:val="36"/>
    </w:rPr>
  </w:style>
  <w:style w:type="paragraph" w:styleId="23">
    <w:name w:val="Body Text Indent 2"/>
    <w:basedOn w:val="a6"/>
    <w:link w:val="24"/>
    <w:uiPriority w:val="99"/>
    <w:semiHidden/>
    <w:unhideWhenUsed/>
    <w:rsid w:val="00AB190C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7"/>
    <w:link w:val="23"/>
    <w:uiPriority w:val="99"/>
    <w:semiHidden/>
    <w:rsid w:val="00AB190C"/>
    <w:rPr>
      <w:rFonts w:ascii="標楷體" w:eastAsia="標楷體"/>
      <w:kern w:val="2"/>
      <w:sz w:val="32"/>
    </w:rPr>
  </w:style>
  <w:style w:type="character" w:customStyle="1" w:styleId="af4">
    <w:name w:val="頁尾 字元"/>
    <w:basedOn w:val="a7"/>
    <w:link w:val="af3"/>
    <w:uiPriority w:val="99"/>
    <w:rsid w:val="00AC5F24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0369C3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0369C3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0369C3"/>
    <w:rPr>
      <w:vertAlign w:val="superscript"/>
    </w:rPr>
  </w:style>
  <w:style w:type="character" w:customStyle="1" w:styleId="30">
    <w:name w:val="標題 3 字元"/>
    <w:basedOn w:val="a7"/>
    <w:link w:val="3"/>
    <w:rsid w:val="004C484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4C4849"/>
    <w:rPr>
      <w:rFonts w:ascii="標楷體" w:eastAsia="標楷體" w:hAnsi="Arial"/>
      <w:kern w:val="32"/>
      <w:sz w:val="32"/>
      <w:szCs w:val="36"/>
    </w:rPr>
  </w:style>
  <w:style w:type="paragraph" w:styleId="23">
    <w:name w:val="Body Text Indent 2"/>
    <w:basedOn w:val="a6"/>
    <w:link w:val="24"/>
    <w:uiPriority w:val="99"/>
    <w:semiHidden/>
    <w:unhideWhenUsed/>
    <w:rsid w:val="00AB190C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7"/>
    <w:link w:val="23"/>
    <w:uiPriority w:val="99"/>
    <w:semiHidden/>
    <w:rsid w:val="00AB190C"/>
    <w:rPr>
      <w:rFonts w:ascii="標楷體" w:eastAsia="標楷體"/>
      <w:kern w:val="2"/>
      <w:sz w:val="32"/>
    </w:rPr>
  </w:style>
  <w:style w:type="character" w:customStyle="1" w:styleId="af4">
    <w:name w:val="頁尾 字元"/>
    <w:basedOn w:val="a7"/>
    <w:link w:val="af3"/>
    <w:uiPriority w:val="99"/>
    <w:rsid w:val="00AC5F24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58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5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53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59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5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5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8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03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5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6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8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6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1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5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8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8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4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8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8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50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62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5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2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70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12E4-95B5-4C47-B635-98DDF82D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17</Pages>
  <Words>1323</Words>
  <Characters>7546</Characters>
  <Application>Microsoft Office Word</Application>
  <DocSecurity>0</DocSecurity>
  <Lines>62</Lines>
  <Paragraphs>17</Paragraphs>
  <ScaleCrop>false</ScaleCrop>
  <Company>cy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邱俊能</cp:lastModifiedBy>
  <cp:revision>2</cp:revision>
  <cp:lastPrinted>2019-09-06T07:42:00Z</cp:lastPrinted>
  <dcterms:created xsi:type="dcterms:W3CDTF">2019-10-17T11:19:00Z</dcterms:created>
  <dcterms:modified xsi:type="dcterms:W3CDTF">2019-10-17T11:19:00Z</dcterms:modified>
</cp:coreProperties>
</file>