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820" w:rsidRPr="00964664" w:rsidRDefault="00316820" w:rsidP="00316820">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64664">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964664">
        <w:rPr>
          <w:rFonts w:hAnsi="標楷體"/>
          <w:szCs w:val="32"/>
        </w:rPr>
        <w:t>據訴，花蓮縣秀林鄉公所疑將渠先父5</w:t>
      </w:r>
      <w:r w:rsidRPr="00964664">
        <w:rPr>
          <w:rFonts w:hAnsi="標楷體" w:hint="eastAsia"/>
          <w:szCs w:val="32"/>
        </w:rPr>
        <w:t>8</w:t>
      </w:r>
      <w:r w:rsidRPr="00964664">
        <w:rPr>
          <w:rFonts w:hAnsi="標楷體"/>
          <w:szCs w:val="32"/>
        </w:rPr>
        <w:t>年間原取得坐落該縣秀林鄉富世段5筆地號耕作權之土地，強制移撥已取得當地礦業權之台陽股份有限公司使用，迄至78年間台陽股份有限公司逕將該礦業權讓與亞洲水泥股份有限公司，亞洲水泥股份有限公司以將發給回饋金為由，偕同渠先父至地政機關辦理塗銷該等土地權</w:t>
      </w:r>
      <w:r w:rsidRPr="00964664">
        <w:rPr>
          <w:rFonts w:hAnsi="標楷體" w:hint="eastAsia"/>
          <w:szCs w:val="32"/>
        </w:rPr>
        <w:t>利</w:t>
      </w:r>
      <w:r w:rsidRPr="00964664">
        <w:rPr>
          <w:rFonts w:hAnsi="標楷體"/>
          <w:szCs w:val="32"/>
        </w:rPr>
        <w:t>登記，惟亞洲水泥股份有限公司既於79年間放棄使用該等土地並返還渠先父，陳請協助恢復上開土地耕作權等情。究經濟部核准台陽股份有限公司讓與亞洲水泥股份有限公司上開礦業權之處理情形是否適法？該縣花蓮地政事務所辦理塗銷上開土地耕作權登記作業之始末經過為何？是否符合相關法令規定？該縣秀林鄉公所有無善盡主管機關之責，查明上開土地耕作權經塗銷後未承租使用之情形？陳訴人陳請恢復上開土地耕作權是否可行？均有深入調查之必要案。</w:t>
      </w:r>
    </w:p>
    <w:p w:rsidR="00316820" w:rsidRPr="00316820" w:rsidRDefault="00316820" w:rsidP="00B61459">
      <w:pPr>
        <w:pStyle w:val="1"/>
        <w:numPr>
          <w:ilvl w:val="0"/>
          <w:numId w:val="0"/>
        </w:numPr>
        <w:ind w:left="2381" w:hanging="2381"/>
      </w:pPr>
    </w:p>
    <w:p w:rsidR="00316820" w:rsidRDefault="00316820" w:rsidP="00B61459">
      <w:pPr>
        <w:pStyle w:val="1"/>
        <w:numPr>
          <w:ilvl w:val="0"/>
          <w:numId w:val="0"/>
        </w:numPr>
        <w:ind w:left="2381" w:hanging="2381"/>
      </w:pPr>
    </w:p>
    <w:p w:rsidR="00316820" w:rsidRDefault="00316820" w:rsidP="00B61459">
      <w:pPr>
        <w:pStyle w:val="1"/>
        <w:numPr>
          <w:ilvl w:val="0"/>
          <w:numId w:val="0"/>
        </w:numPr>
        <w:ind w:left="2381" w:hanging="2381"/>
      </w:pPr>
    </w:p>
    <w:p w:rsidR="00316820" w:rsidRDefault="00316820" w:rsidP="00B61459">
      <w:pPr>
        <w:pStyle w:val="1"/>
        <w:numPr>
          <w:ilvl w:val="0"/>
          <w:numId w:val="0"/>
        </w:numPr>
        <w:ind w:left="2381" w:hanging="2381"/>
      </w:pPr>
    </w:p>
    <w:p w:rsidR="00316820" w:rsidRDefault="00316820" w:rsidP="00B61459">
      <w:pPr>
        <w:pStyle w:val="1"/>
        <w:numPr>
          <w:ilvl w:val="0"/>
          <w:numId w:val="0"/>
        </w:numPr>
        <w:ind w:left="2381" w:hanging="2381"/>
      </w:pPr>
    </w:p>
    <w:p w:rsidR="00316820" w:rsidRDefault="00316820" w:rsidP="00B61459">
      <w:pPr>
        <w:pStyle w:val="1"/>
        <w:numPr>
          <w:ilvl w:val="0"/>
          <w:numId w:val="0"/>
        </w:numPr>
        <w:ind w:left="2381" w:hanging="2381"/>
      </w:pPr>
    </w:p>
    <w:p w:rsidR="00316820" w:rsidRDefault="00316820" w:rsidP="00B61459">
      <w:pPr>
        <w:pStyle w:val="1"/>
        <w:numPr>
          <w:ilvl w:val="0"/>
          <w:numId w:val="0"/>
        </w:numPr>
        <w:ind w:left="2381" w:hanging="2381"/>
      </w:pPr>
    </w:p>
    <w:p w:rsidR="00316820" w:rsidRDefault="00316820" w:rsidP="00B61459">
      <w:pPr>
        <w:pStyle w:val="1"/>
        <w:numPr>
          <w:ilvl w:val="0"/>
          <w:numId w:val="0"/>
        </w:numPr>
        <w:ind w:left="2381" w:hanging="2381"/>
      </w:pPr>
    </w:p>
    <w:p w:rsidR="00316820" w:rsidRDefault="00316820" w:rsidP="00B61459">
      <w:pPr>
        <w:pStyle w:val="1"/>
        <w:numPr>
          <w:ilvl w:val="0"/>
          <w:numId w:val="0"/>
        </w:numPr>
        <w:ind w:left="2381" w:hanging="2381"/>
      </w:pPr>
    </w:p>
    <w:p w:rsidR="00316820" w:rsidRDefault="00316820" w:rsidP="00B61459">
      <w:pPr>
        <w:pStyle w:val="1"/>
        <w:numPr>
          <w:ilvl w:val="0"/>
          <w:numId w:val="0"/>
        </w:numPr>
        <w:ind w:left="2381" w:hanging="2381"/>
      </w:pPr>
    </w:p>
    <w:p w:rsidR="00316820" w:rsidRDefault="00316820" w:rsidP="00B61459">
      <w:pPr>
        <w:pStyle w:val="1"/>
        <w:numPr>
          <w:ilvl w:val="0"/>
          <w:numId w:val="0"/>
        </w:numPr>
        <w:ind w:left="2381" w:hanging="2381"/>
      </w:pPr>
    </w:p>
    <w:p w:rsidR="00B61459" w:rsidRPr="00964664" w:rsidRDefault="00316820" w:rsidP="00316820">
      <w:pPr>
        <w:pStyle w:val="1"/>
        <w:numPr>
          <w:ilvl w:val="0"/>
          <w:numId w:val="0"/>
        </w:numPr>
        <w:ind w:left="2381" w:hanging="2381"/>
      </w:pPr>
      <w:r>
        <w:rPr>
          <w:rFonts w:hint="eastAsia"/>
        </w:rPr>
        <w:lastRenderedPageBreak/>
        <w:t>貳、</w:t>
      </w:r>
      <w:r w:rsidR="00B61459" w:rsidRPr="00964664">
        <w:rPr>
          <w:rFonts w:hint="eastAsia"/>
        </w:rPr>
        <w:t>調查意見：</w:t>
      </w:r>
    </w:p>
    <w:p w:rsidR="00B61459" w:rsidRPr="00964664" w:rsidRDefault="00B61459" w:rsidP="00B61459">
      <w:pPr>
        <w:pStyle w:val="11"/>
        <w:ind w:left="520" w:firstLine="680"/>
        <w:rPr>
          <w:rFonts w:hAnsi="標楷體"/>
          <w:szCs w:val="32"/>
        </w:rPr>
      </w:pPr>
      <w:bookmarkStart w:id="25" w:name="_Toc524902730"/>
      <w:r w:rsidRPr="00964664">
        <w:rPr>
          <w:rFonts w:hAnsi="標楷體"/>
          <w:szCs w:val="32"/>
        </w:rPr>
        <w:t>據訴，花蓮縣秀林鄉公所疑將渠先父</w:t>
      </w:r>
      <w:r w:rsidRPr="00964664">
        <w:rPr>
          <w:rFonts w:hAnsi="標楷體" w:hint="eastAsia"/>
          <w:szCs w:val="32"/>
        </w:rPr>
        <w:t>民國(下同)</w:t>
      </w:r>
      <w:r w:rsidRPr="00964664">
        <w:rPr>
          <w:rFonts w:hAnsi="標楷體"/>
          <w:szCs w:val="32"/>
        </w:rPr>
        <w:t>5</w:t>
      </w:r>
      <w:r w:rsidRPr="00964664">
        <w:rPr>
          <w:rFonts w:hAnsi="標楷體" w:hint="eastAsia"/>
          <w:szCs w:val="32"/>
        </w:rPr>
        <w:t>8</w:t>
      </w:r>
      <w:r w:rsidRPr="00964664">
        <w:rPr>
          <w:rFonts w:hAnsi="標楷體"/>
          <w:szCs w:val="32"/>
        </w:rPr>
        <w:t>年間原取得坐落該縣秀林鄉富世段5筆地號耕作權之土地，強制移撥已取得當地礦業權之台陽股份有限公司使用，迄至78年間台陽股份有限公司逕將該礦業權讓與亞洲水泥股份有限公司，亞洲水泥股份有限公司以將發給回饋金為由，偕同渠先父至地政機關辦理塗銷該等土地權</w:t>
      </w:r>
      <w:r w:rsidRPr="00964664">
        <w:rPr>
          <w:rFonts w:hAnsi="標楷體" w:hint="eastAsia"/>
          <w:szCs w:val="32"/>
        </w:rPr>
        <w:t>利</w:t>
      </w:r>
      <w:r w:rsidRPr="00964664">
        <w:rPr>
          <w:rFonts w:hAnsi="標楷體"/>
          <w:szCs w:val="32"/>
        </w:rPr>
        <w:t>登記，惟亞洲水泥股份有限公司既於79年間放棄使用該等土地並返還渠先父，陳請協助恢復上開土地耕作權等情。究經濟部核准台陽股份有限公司讓與亞洲水泥股份有限公司上開礦業權之處理情形是否適法？該縣花蓮地政事務所辦理塗銷上開土地耕作權登記作業之始末經過為何？是否符合相關法令規定？該縣秀林鄉公所有無善盡主管機關之責，查明上開土地耕作權經塗銷後未承租使用之情形？陳訴人陳請恢復上開土地耕作權是否可行？均有深入調查之必要。</w:t>
      </w:r>
    </w:p>
    <w:p w:rsidR="00B61459" w:rsidRPr="00964664" w:rsidRDefault="00B61459" w:rsidP="00B61459">
      <w:pPr>
        <w:pStyle w:val="11"/>
        <w:ind w:left="520" w:firstLine="680"/>
      </w:pPr>
      <w:r w:rsidRPr="00964664">
        <w:t>案</w:t>
      </w:r>
      <w:r w:rsidRPr="00964664">
        <w:rPr>
          <w:rFonts w:hAnsi="標楷體" w:hint="eastAsia"/>
          <w:szCs w:val="32"/>
        </w:rPr>
        <w:t>經函詢及調閱花蓮縣政府、經濟部、原住民族委員會、內政部卷證資料，並於107年7月26日邀請</w:t>
      </w:r>
      <w:r>
        <w:rPr>
          <w:rFonts w:hAnsi="標楷體" w:hint="eastAsia"/>
          <w:szCs w:val="32"/>
        </w:rPr>
        <w:t>專家學者</w:t>
      </w:r>
      <w:r w:rsidRPr="00964664">
        <w:rPr>
          <w:rFonts w:hAnsi="標楷體" w:hint="eastAsia"/>
          <w:szCs w:val="32"/>
        </w:rPr>
        <w:t>就本案相關議題諮詢、交流意見及提供建言，107年12月3日、108年7月15日詢問花蓮縣政府、花蓮縣秀林鄉公所(下稱秀林鄉公所)、原住民族委員會、經濟部等相關主管人員，108年8月28日赴現地履勘、訪談陳訴人，全案已調查完畢，</w:t>
      </w:r>
      <w:r w:rsidRPr="00964664">
        <w:rPr>
          <w:rFonts w:hint="eastAsia"/>
        </w:rPr>
        <w:t>列述</w:t>
      </w:r>
      <w:r w:rsidRPr="00964664">
        <w:rPr>
          <w:rFonts w:hAnsi="標楷體" w:hint="eastAsia"/>
          <w:szCs w:val="32"/>
        </w:rPr>
        <w:t>調查意見如下：</w:t>
      </w:r>
    </w:p>
    <w:p w:rsidR="00B61459" w:rsidRPr="00964664" w:rsidRDefault="00B61459" w:rsidP="00B61459">
      <w:pPr>
        <w:pStyle w:val="2"/>
        <w:numPr>
          <w:ilvl w:val="1"/>
          <w:numId w:val="1"/>
        </w:numPr>
        <w:ind w:left="966"/>
        <w:rPr>
          <w:b/>
        </w:rPr>
      </w:pPr>
      <w:r w:rsidRPr="00964664">
        <w:rPr>
          <w:rFonts w:hAnsi="標楷體" w:hint="eastAsia"/>
          <w:b/>
          <w:szCs w:val="32"/>
        </w:rPr>
        <w:t>原住民保留地制度旨在保障原住民生計，政府應輔導原住民開發保留地並取得耕作權及所有權，以保障原住民土地使用、安定原住民生活。詎料，本案陳訴人之父</w:t>
      </w:r>
      <w:r w:rsidR="00536825">
        <w:rPr>
          <w:rFonts w:hAnsi="標楷體" w:hint="eastAsia"/>
          <w:b/>
          <w:szCs w:val="32"/>
        </w:rPr>
        <w:t>金○○</w:t>
      </w:r>
      <w:r w:rsidRPr="00964664">
        <w:rPr>
          <w:rFonts w:hAnsi="標楷體" w:hint="eastAsia"/>
          <w:b/>
          <w:szCs w:val="32"/>
        </w:rPr>
        <w:t>於58年12月31日取得花蓮縣秀林鄉富世段7</w:t>
      </w:r>
      <w:r w:rsidR="00316820">
        <w:rPr>
          <w:rFonts w:hAnsi="標楷體" w:hint="eastAsia"/>
          <w:b/>
          <w:szCs w:val="32"/>
        </w:rPr>
        <w:t>○○</w:t>
      </w:r>
      <w:r w:rsidRPr="00964664">
        <w:rPr>
          <w:rFonts w:hAnsi="標楷體" w:hint="eastAsia"/>
          <w:b/>
          <w:szCs w:val="32"/>
        </w:rPr>
        <w:t>、7</w:t>
      </w:r>
      <w:r w:rsidR="00316820">
        <w:rPr>
          <w:rFonts w:hAnsi="標楷體" w:hint="eastAsia"/>
          <w:b/>
          <w:szCs w:val="32"/>
        </w:rPr>
        <w:t>○○</w:t>
      </w:r>
      <w:r w:rsidRPr="00964664">
        <w:rPr>
          <w:rFonts w:hAnsi="標楷體" w:hint="eastAsia"/>
          <w:b/>
          <w:szCs w:val="32"/>
        </w:rPr>
        <w:t>、7</w:t>
      </w:r>
      <w:r w:rsidR="00316820">
        <w:rPr>
          <w:rFonts w:hAnsi="標楷體" w:hint="eastAsia"/>
          <w:b/>
          <w:szCs w:val="32"/>
        </w:rPr>
        <w:t>○○</w:t>
      </w:r>
      <w:r w:rsidRPr="00964664">
        <w:rPr>
          <w:rFonts w:hAnsi="標楷體" w:hint="eastAsia"/>
          <w:b/>
          <w:szCs w:val="32"/>
        </w:rPr>
        <w:t>、7</w:t>
      </w:r>
      <w:r w:rsidR="00316820">
        <w:rPr>
          <w:rFonts w:hAnsi="標楷體" w:hint="eastAsia"/>
          <w:b/>
          <w:szCs w:val="32"/>
        </w:rPr>
        <w:t>○○</w:t>
      </w:r>
      <w:r w:rsidRPr="00964664">
        <w:rPr>
          <w:rFonts w:hAnsi="標楷體" w:hint="eastAsia"/>
          <w:b/>
          <w:szCs w:val="32"/>
        </w:rPr>
        <w:t>、7</w:t>
      </w:r>
      <w:r w:rsidR="00316820">
        <w:rPr>
          <w:rFonts w:hAnsi="標楷體" w:hint="eastAsia"/>
          <w:b/>
          <w:szCs w:val="32"/>
        </w:rPr>
        <w:t>○○</w:t>
      </w:r>
      <w:r w:rsidRPr="00964664">
        <w:rPr>
          <w:rFonts w:hAnsi="標楷體" w:hint="eastAsia"/>
          <w:b/>
          <w:szCs w:val="32"/>
        </w:rPr>
        <w:t>地號等5筆原住民保留地耕作權後，政府旋於1個月內核准</w:t>
      </w:r>
      <w:r w:rsidRPr="00964664">
        <w:rPr>
          <w:rFonts w:hAnsi="標楷體"/>
          <w:b/>
          <w:szCs w:val="32"/>
        </w:rPr>
        <w:t>台陽股份有限公司</w:t>
      </w:r>
      <w:r w:rsidRPr="00964664">
        <w:rPr>
          <w:rFonts w:hAnsi="標楷體" w:hint="eastAsia"/>
          <w:b/>
          <w:szCs w:val="32"/>
        </w:rPr>
        <w:t>租用系爭保留地採礦，以致</w:t>
      </w:r>
      <w:r w:rsidR="00536825">
        <w:rPr>
          <w:rFonts w:hAnsi="標楷體" w:hint="eastAsia"/>
          <w:b/>
          <w:szCs w:val="32"/>
        </w:rPr>
        <w:t>金○○</w:t>
      </w:r>
      <w:r w:rsidRPr="00964664">
        <w:rPr>
          <w:rFonts w:hAnsi="標楷體" w:hint="eastAsia"/>
          <w:b/>
          <w:szCs w:val="32"/>
        </w:rPr>
        <w:t>耕作權與</w:t>
      </w:r>
      <w:r w:rsidRPr="00964664">
        <w:rPr>
          <w:rFonts w:hAnsi="標楷體"/>
          <w:b/>
          <w:szCs w:val="32"/>
        </w:rPr>
        <w:t>台</w:t>
      </w:r>
      <w:r w:rsidRPr="00964664">
        <w:rPr>
          <w:rFonts w:hAnsi="標楷體"/>
          <w:b/>
          <w:szCs w:val="32"/>
        </w:rPr>
        <w:lastRenderedPageBreak/>
        <w:t>陽股份有限公司</w:t>
      </w:r>
      <w:r w:rsidRPr="00964664">
        <w:rPr>
          <w:rFonts w:hAnsi="標楷體" w:hint="eastAsia"/>
          <w:b/>
          <w:szCs w:val="32"/>
        </w:rPr>
        <w:t>礦業權發生競合。嗣</w:t>
      </w:r>
      <w:r w:rsidR="00536825">
        <w:rPr>
          <w:rFonts w:hAnsi="標楷體" w:hint="eastAsia"/>
          <w:b/>
          <w:szCs w:val="32"/>
        </w:rPr>
        <w:t>金○○</w:t>
      </w:r>
      <w:r w:rsidRPr="00964664">
        <w:rPr>
          <w:rFonts w:hAnsi="標楷體" w:hint="eastAsia"/>
          <w:b/>
          <w:szCs w:val="32"/>
        </w:rPr>
        <w:t>雖於69年5月21日取得系爭保留地所有權，卻因政府早與</w:t>
      </w:r>
      <w:r w:rsidRPr="00964664">
        <w:rPr>
          <w:rFonts w:hAnsi="標楷體"/>
          <w:b/>
          <w:szCs w:val="32"/>
        </w:rPr>
        <w:t>台陽股份有限公司</w:t>
      </w:r>
      <w:r w:rsidRPr="00964664">
        <w:rPr>
          <w:rFonts w:hAnsi="標楷體" w:hint="eastAsia"/>
          <w:b/>
          <w:szCs w:val="32"/>
        </w:rPr>
        <w:t>續訂租約至77年2月28日，致其依舊無法</w:t>
      </w:r>
      <w:r w:rsidRPr="00964664">
        <w:rPr>
          <w:rFonts w:hAnsi="標楷體"/>
          <w:b/>
          <w:szCs w:val="32"/>
        </w:rPr>
        <w:t>自由使用、收益</w:t>
      </w:r>
      <w:r w:rsidRPr="00964664">
        <w:rPr>
          <w:rFonts w:hAnsi="標楷體" w:hint="eastAsia"/>
          <w:b/>
          <w:szCs w:val="32"/>
        </w:rPr>
        <w:t>系爭保留地。政府上開作為不僅喪失保障原住民生計之立場，更已侵害</w:t>
      </w:r>
      <w:r w:rsidR="00536825">
        <w:rPr>
          <w:rFonts w:hAnsi="標楷體" w:hint="eastAsia"/>
          <w:b/>
          <w:szCs w:val="32"/>
        </w:rPr>
        <w:t>金○○</w:t>
      </w:r>
      <w:r w:rsidRPr="00964664">
        <w:rPr>
          <w:rFonts w:hAnsi="標楷體" w:hint="eastAsia"/>
          <w:b/>
          <w:szCs w:val="32"/>
        </w:rPr>
        <w:t>應有之財產權益，違失之咎甚明。</w:t>
      </w:r>
    </w:p>
    <w:p w:rsidR="00B61459" w:rsidRPr="00964664" w:rsidRDefault="00B61459" w:rsidP="00B61459">
      <w:pPr>
        <w:pStyle w:val="3"/>
        <w:rPr>
          <w:rFonts w:hAnsi="標楷體"/>
          <w:kern w:val="2"/>
        </w:rPr>
      </w:pPr>
      <w:r w:rsidRPr="00964664">
        <w:rPr>
          <w:rFonts w:hAnsi="標楷體" w:cs="夹发砰"/>
          <w:kern w:val="0"/>
          <w:szCs w:val="32"/>
        </w:rPr>
        <w:t>臺灣光復後，</w:t>
      </w:r>
      <w:r w:rsidRPr="00964664">
        <w:rPr>
          <w:rFonts w:hAnsi="標楷體" w:cs="夹发砰" w:hint="eastAsia"/>
          <w:kern w:val="0"/>
          <w:szCs w:val="32"/>
        </w:rPr>
        <w:t>政府鑑於山地社會文化落後、生活艱困，遂於</w:t>
      </w:r>
      <w:r w:rsidRPr="00964664">
        <w:rPr>
          <w:rFonts w:hAnsi="標楷體" w:cs="夹发砰"/>
          <w:kern w:val="0"/>
          <w:szCs w:val="32"/>
        </w:rPr>
        <w:t>36</w:t>
      </w:r>
      <w:r w:rsidRPr="00964664">
        <w:rPr>
          <w:rFonts w:hAnsi="標楷體" w:cs="夹发砰" w:hint="eastAsia"/>
          <w:kern w:val="0"/>
          <w:szCs w:val="32"/>
        </w:rPr>
        <w:t>年</w:t>
      </w:r>
      <w:r w:rsidRPr="00964664">
        <w:rPr>
          <w:rFonts w:hint="eastAsia"/>
        </w:rPr>
        <w:t>成立</w:t>
      </w:r>
      <w:r w:rsidRPr="00964664">
        <w:rPr>
          <w:rFonts w:hAnsi="標楷體" w:cs="夹发砰" w:hint="eastAsia"/>
          <w:kern w:val="0"/>
          <w:szCs w:val="32"/>
        </w:rPr>
        <w:t>專案小組，決定將承襲日據時期「準要存置林野」之土地命名為「山地保留地」，專供維護原住民生計及推行山地行政之用</w:t>
      </w:r>
      <w:r w:rsidRPr="00964664">
        <w:rPr>
          <w:rFonts w:hAnsi="標楷體" w:cs="夹发砰"/>
          <w:kern w:val="0"/>
          <w:szCs w:val="32"/>
        </w:rPr>
        <w:t>(</w:t>
      </w:r>
      <w:r w:rsidRPr="00964664">
        <w:rPr>
          <w:rFonts w:hAnsi="標楷體" w:cs="夹发砰" w:hint="eastAsia"/>
          <w:kern w:val="0"/>
        </w:rPr>
        <w:t>原住民族委員會104年委外研究</w:t>
      </w:r>
      <w:r w:rsidRPr="00964664">
        <w:rPr>
          <w:rStyle w:val="ab"/>
          <w:rFonts w:hAnsi="標楷體"/>
          <w:bCs w:val="0"/>
        </w:rPr>
        <w:footnoteReference w:id="1"/>
      </w:r>
      <w:r w:rsidRPr="00964664">
        <w:rPr>
          <w:rFonts w:hAnsi="標楷體" w:cs="夹发砰" w:hint="eastAsia"/>
          <w:kern w:val="0"/>
        </w:rPr>
        <w:t>參照</w:t>
      </w:r>
      <w:r w:rsidRPr="00964664">
        <w:rPr>
          <w:rFonts w:hAnsi="標楷體" w:cs="夹发砰" w:hint="eastAsia"/>
          <w:kern w:val="0"/>
          <w:szCs w:val="32"/>
        </w:rPr>
        <w:t>)，並於37年訂定</w:t>
      </w:r>
      <w:r w:rsidRPr="00964664">
        <w:rPr>
          <w:rFonts w:hAnsi="標楷體" w:hint="eastAsia"/>
          <w:b/>
          <w:szCs w:val="32"/>
        </w:rPr>
        <w:t>「</w:t>
      </w:r>
      <w:r w:rsidRPr="00964664">
        <w:rPr>
          <w:rFonts w:hAnsi="標楷體" w:hint="eastAsia"/>
        </w:rPr>
        <w:t>臺灣省各縣山地保留地管理辦法</w:t>
      </w:r>
      <w:r w:rsidRPr="00964664">
        <w:rPr>
          <w:rFonts w:hAnsi="標楷體" w:hint="eastAsia"/>
          <w:b/>
          <w:szCs w:val="32"/>
        </w:rPr>
        <w:t>」</w:t>
      </w:r>
      <w:r w:rsidRPr="00964664">
        <w:rPr>
          <w:rFonts w:hAnsi="標楷體" w:hint="eastAsia"/>
        </w:rPr>
        <w:t>，作為開發、管理及利用</w:t>
      </w:r>
      <w:r w:rsidRPr="00964664">
        <w:rPr>
          <w:rFonts w:hAnsi="標楷體" w:cs="夹发砰" w:hint="eastAsia"/>
          <w:kern w:val="0"/>
          <w:szCs w:val="32"/>
        </w:rPr>
        <w:t>「山地保留地」之依據。</w:t>
      </w:r>
    </w:p>
    <w:p w:rsidR="00B61459" w:rsidRPr="00964664" w:rsidRDefault="00B61459" w:rsidP="00B61459">
      <w:pPr>
        <w:pStyle w:val="3"/>
        <w:rPr>
          <w:rFonts w:hAnsi="標楷體" w:cs="夹发砰"/>
          <w:kern w:val="0"/>
          <w:szCs w:val="32"/>
        </w:rPr>
      </w:pPr>
      <w:r w:rsidRPr="00964664">
        <w:rPr>
          <w:rFonts w:hAnsi="標楷體" w:cs="夹发砰" w:hint="eastAsia"/>
          <w:kern w:val="0"/>
          <w:szCs w:val="32"/>
        </w:rPr>
        <w:t>按</w:t>
      </w:r>
      <w:r w:rsidRPr="00964664">
        <w:rPr>
          <w:rFonts w:hAnsi="標楷體" w:cs="夹发砰"/>
          <w:kern w:val="0"/>
          <w:szCs w:val="32"/>
        </w:rPr>
        <w:t>55</w:t>
      </w:r>
      <w:r w:rsidRPr="00964664">
        <w:rPr>
          <w:rFonts w:hAnsi="標楷體" w:cs="夹发砰" w:hint="eastAsia"/>
          <w:kern w:val="0"/>
          <w:szCs w:val="32"/>
        </w:rPr>
        <w:t>年</w:t>
      </w:r>
      <w:r w:rsidRPr="00964664">
        <w:rPr>
          <w:rFonts w:hAnsi="標楷體" w:cs="夹发砰"/>
          <w:kern w:val="0"/>
          <w:szCs w:val="32"/>
        </w:rPr>
        <w:t>1</w:t>
      </w:r>
      <w:r w:rsidRPr="00964664">
        <w:rPr>
          <w:rFonts w:hAnsi="標楷體" w:cs="夹发砰" w:hint="eastAsia"/>
          <w:kern w:val="0"/>
          <w:szCs w:val="32"/>
        </w:rPr>
        <w:t>月</w:t>
      </w:r>
      <w:r w:rsidRPr="00964664">
        <w:rPr>
          <w:rFonts w:hAnsi="標楷體" w:cs="夹发砰"/>
          <w:kern w:val="0"/>
          <w:szCs w:val="32"/>
        </w:rPr>
        <w:t>5</w:t>
      </w:r>
      <w:r w:rsidRPr="00964664">
        <w:rPr>
          <w:rFonts w:hAnsi="標楷體" w:cs="夹发砰" w:hint="eastAsia"/>
          <w:kern w:val="0"/>
          <w:szCs w:val="32"/>
        </w:rPr>
        <w:t>日修正</w:t>
      </w:r>
      <w:r>
        <w:rPr>
          <w:rFonts w:hAnsi="標楷體" w:cs="夹发砰" w:hint="eastAsia"/>
          <w:kern w:val="0"/>
          <w:szCs w:val="32"/>
        </w:rPr>
        <w:t>發</w:t>
      </w:r>
      <w:r w:rsidRPr="00964664">
        <w:rPr>
          <w:rFonts w:hAnsi="標楷體" w:cs="夹发砰" w:hint="eastAsia"/>
          <w:kern w:val="0"/>
          <w:szCs w:val="32"/>
        </w:rPr>
        <w:t>布之臺灣省山地保留地管理辦法第1條規定：｢臺灣省政府(以下簡稱本府)為保障山地人民土地使用，促進山地保留地合理利用，以安定山地人民生活，發展山地經濟起見，特訂定本辦法。」同辦法</w:t>
      </w:r>
      <w:r w:rsidRPr="00964664">
        <w:rPr>
          <w:rFonts w:hAnsi="標楷體" w:hint="eastAsia"/>
          <w:szCs w:val="32"/>
        </w:rPr>
        <w:t>第7條規定</w:t>
      </w:r>
      <w:r w:rsidRPr="00964664">
        <w:rPr>
          <w:rFonts w:ascii="新細明體" w:eastAsia="新細明體" w:hAnsi="新細明體" w:hint="eastAsia"/>
          <w:szCs w:val="32"/>
        </w:rPr>
        <w:t>：</w:t>
      </w:r>
      <w:r w:rsidRPr="00964664">
        <w:rPr>
          <w:rFonts w:hAnsi="標楷體" w:hint="eastAsia"/>
          <w:szCs w:val="32"/>
        </w:rPr>
        <w:t>「地籍測量完竣地區，山地人民對其所使用之山地保留地，應按左列規定取得土地權利：一、農地登記耕作權，於登記後繼續耕作滿10年時，無償取得土地所有權……。」據上，政府應輔導原住民開發保留地並取得耕作權及所有權，以</w:t>
      </w:r>
      <w:r w:rsidRPr="00964664">
        <w:rPr>
          <w:rFonts w:hAnsi="標楷體" w:cs="夹发砰" w:hint="eastAsia"/>
          <w:kern w:val="0"/>
          <w:szCs w:val="32"/>
        </w:rPr>
        <w:t>保障原住民土地使用、安定原住民生活</w:t>
      </w:r>
      <w:r w:rsidRPr="00964664">
        <w:rPr>
          <w:rFonts w:hint="eastAsia"/>
        </w:rPr>
        <w:t>。</w:t>
      </w:r>
    </w:p>
    <w:p w:rsidR="00B61459" w:rsidRPr="00964664" w:rsidRDefault="00B61459" w:rsidP="00B61459">
      <w:pPr>
        <w:pStyle w:val="3"/>
        <w:rPr>
          <w:rFonts w:hAnsi="標楷體" w:cs="夹发砰"/>
          <w:kern w:val="0"/>
          <w:szCs w:val="32"/>
        </w:rPr>
      </w:pPr>
      <w:r w:rsidRPr="00964664">
        <w:rPr>
          <w:rFonts w:hAnsi="標楷體" w:cs="夹发砰" w:hint="eastAsia"/>
          <w:kern w:val="0"/>
          <w:szCs w:val="32"/>
        </w:rPr>
        <w:t>再按</w:t>
      </w:r>
      <w:r w:rsidRPr="00964664">
        <w:rPr>
          <w:rFonts w:hAnsi="標楷體" w:hint="eastAsia"/>
          <w:b/>
          <w:szCs w:val="32"/>
        </w:rPr>
        <w:t>「</w:t>
      </w:r>
      <w:r w:rsidRPr="00964664">
        <w:rPr>
          <w:rFonts w:hAnsi="標楷體" w:cs="夹发砰" w:hint="eastAsia"/>
          <w:kern w:val="0"/>
          <w:szCs w:val="32"/>
        </w:rPr>
        <w:t>臺灣省山地保留地管理辦法</w:t>
      </w:r>
      <w:r w:rsidRPr="00964664">
        <w:rPr>
          <w:rFonts w:hAnsi="標楷體" w:hint="eastAsia"/>
          <w:b/>
          <w:szCs w:val="32"/>
        </w:rPr>
        <w:t>」</w:t>
      </w:r>
      <w:r w:rsidRPr="00964664">
        <w:rPr>
          <w:rFonts w:hAnsi="標楷體" w:cs="夹发砰" w:hint="eastAsia"/>
          <w:kern w:val="0"/>
          <w:szCs w:val="32"/>
        </w:rPr>
        <w:t>第33條規定：「合法公私營企業組織或個人，為開發礦產、採取土石、施設交通、發展觀光事業、開設工廠所需土地或合法團體所需建築用地，以不妨害山地人民生</w:t>
      </w:r>
      <w:r w:rsidRPr="00964664">
        <w:rPr>
          <w:rFonts w:hAnsi="標楷體" w:cs="夹发砰" w:hint="eastAsia"/>
          <w:kern w:val="0"/>
          <w:szCs w:val="32"/>
        </w:rPr>
        <w:lastRenderedPageBreak/>
        <w:t>活及山地行政為限，得擬具詳細計畫，向鄉公所申請，轉報縣政府勘查並加具處理意見，層報民政廳核准租用或使用山地保留地。」明白揭示各級政府審核企業租用原住民保留地開發礦產、採取土石，應嚴格把關以不妨害原住民生活為限。</w:t>
      </w:r>
    </w:p>
    <w:p w:rsidR="00B61459" w:rsidRPr="00964664" w:rsidRDefault="00B61459" w:rsidP="00B61459">
      <w:pPr>
        <w:pStyle w:val="3"/>
      </w:pPr>
      <w:r w:rsidRPr="00964664">
        <w:rPr>
          <w:rFonts w:hint="eastAsia"/>
        </w:rPr>
        <w:t>查陳訴人之父</w:t>
      </w:r>
      <w:r w:rsidR="00536825">
        <w:rPr>
          <w:rFonts w:hAnsi="標楷體" w:hint="eastAsia"/>
          <w:szCs w:val="32"/>
        </w:rPr>
        <w:t>金○○</w:t>
      </w:r>
      <w:r w:rsidRPr="00964664">
        <w:rPr>
          <w:rFonts w:hint="eastAsia"/>
        </w:rPr>
        <w:t>於58年12月31日取得坐落花蓮縣秀林鄉富世段7</w:t>
      </w:r>
      <w:r w:rsidR="00316820">
        <w:rPr>
          <w:rFonts w:hAnsi="標楷體" w:hint="eastAsia"/>
          <w:b/>
          <w:szCs w:val="32"/>
        </w:rPr>
        <w:t>○○</w:t>
      </w:r>
      <w:r w:rsidRPr="00964664">
        <w:rPr>
          <w:rFonts w:hint="eastAsia"/>
        </w:rPr>
        <w:t>、7</w:t>
      </w:r>
      <w:r w:rsidR="00316820">
        <w:rPr>
          <w:rFonts w:hAnsi="標楷體" w:hint="eastAsia"/>
          <w:b/>
          <w:szCs w:val="32"/>
        </w:rPr>
        <w:t>○○</w:t>
      </w:r>
      <w:r w:rsidRPr="00964664">
        <w:rPr>
          <w:rFonts w:hint="eastAsia"/>
        </w:rPr>
        <w:t>、7</w:t>
      </w:r>
      <w:r w:rsidR="00316820">
        <w:rPr>
          <w:rFonts w:hAnsi="標楷體" w:hint="eastAsia"/>
          <w:b/>
          <w:szCs w:val="32"/>
        </w:rPr>
        <w:t>○○</w:t>
      </w:r>
      <w:r w:rsidRPr="00964664">
        <w:rPr>
          <w:rFonts w:hint="eastAsia"/>
        </w:rPr>
        <w:t>、7</w:t>
      </w:r>
      <w:r w:rsidR="00316820">
        <w:rPr>
          <w:rFonts w:hAnsi="標楷體" w:hint="eastAsia"/>
          <w:b/>
          <w:szCs w:val="32"/>
        </w:rPr>
        <w:t>○○</w:t>
      </w:r>
      <w:r w:rsidRPr="00964664">
        <w:rPr>
          <w:rFonts w:hint="eastAsia"/>
        </w:rPr>
        <w:t>、7</w:t>
      </w:r>
      <w:r w:rsidR="00316820">
        <w:rPr>
          <w:rFonts w:hAnsi="標楷體" w:hint="eastAsia"/>
          <w:b/>
          <w:szCs w:val="32"/>
        </w:rPr>
        <w:t>○○</w:t>
      </w:r>
      <w:r w:rsidRPr="00964664">
        <w:rPr>
          <w:rFonts w:hint="eastAsia"/>
        </w:rPr>
        <w:t>地號等5筆原住民保留地(重測後為玻士岸段7</w:t>
      </w:r>
      <w:r w:rsidR="00316820">
        <w:rPr>
          <w:rFonts w:hAnsi="標楷體" w:hint="eastAsia"/>
          <w:b/>
          <w:szCs w:val="32"/>
        </w:rPr>
        <w:t>○○</w:t>
      </w:r>
      <w:r w:rsidRPr="00964664">
        <w:rPr>
          <w:rFonts w:hint="eastAsia"/>
        </w:rPr>
        <w:t>、7</w:t>
      </w:r>
      <w:r w:rsidR="00316820">
        <w:rPr>
          <w:rFonts w:hAnsi="標楷體" w:hint="eastAsia"/>
          <w:b/>
          <w:szCs w:val="32"/>
        </w:rPr>
        <w:t>○○</w:t>
      </w:r>
      <w:r w:rsidRPr="00964664">
        <w:rPr>
          <w:rFonts w:hint="eastAsia"/>
        </w:rPr>
        <w:t>、8</w:t>
      </w:r>
      <w:r w:rsidR="00316820">
        <w:rPr>
          <w:rFonts w:hAnsi="標楷體" w:hint="eastAsia"/>
          <w:b/>
          <w:szCs w:val="32"/>
        </w:rPr>
        <w:t>○○</w:t>
      </w:r>
      <w:r w:rsidRPr="00964664">
        <w:rPr>
          <w:rFonts w:hint="eastAsia"/>
        </w:rPr>
        <w:t>、7</w:t>
      </w:r>
      <w:r w:rsidR="00316820">
        <w:rPr>
          <w:rFonts w:hAnsi="標楷體" w:hint="eastAsia"/>
          <w:b/>
          <w:szCs w:val="32"/>
        </w:rPr>
        <w:t>○○</w:t>
      </w:r>
      <w:r w:rsidRPr="00964664">
        <w:rPr>
          <w:rFonts w:hint="eastAsia"/>
        </w:rPr>
        <w:t>地號及太魯閣段2</w:t>
      </w:r>
      <w:r w:rsidR="00316820">
        <w:rPr>
          <w:rFonts w:hAnsi="標楷體" w:hint="eastAsia"/>
          <w:b/>
          <w:szCs w:val="32"/>
        </w:rPr>
        <w:t>○○</w:t>
      </w:r>
      <w:r w:rsidRPr="00964664">
        <w:rPr>
          <w:rFonts w:hint="eastAsia"/>
        </w:rPr>
        <w:t>地號，下稱系爭保留地)耕作權。然而，不到1個月間，花蓮縣政府旋以59年1月19日府山經字第2036號函核准</w:t>
      </w:r>
      <w:r w:rsidRPr="00964664">
        <w:t>台陽股份有限公司</w:t>
      </w:r>
      <w:r w:rsidRPr="00964664">
        <w:rPr>
          <w:rFonts w:hint="eastAsia"/>
        </w:rPr>
        <w:t>租用系爭保留地進行採礦，並經臺灣省政府建設廳59年1月28日建二字第1637號函，依據行為時礦業法第60條</w:t>
      </w:r>
      <w:r w:rsidRPr="00964664">
        <w:rPr>
          <w:rStyle w:val="ab"/>
          <w:rFonts w:hAnsi="標楷體"/>
          <w:szCs w:val="32"/>
        </w:rPr>
        <w:footnoteReference w:id="2"/>
      </w:r>
      <w:r w:rsidRPr="00964664">
        <w:rPr>
          <w:rFonts w:hint="eastAsia"/>
        </w:rPr>
        <w:t>、第64條</w:t>
      </w:r>
      <w:r w:rsidRPr="00964664">
        <w:rPr>
          <w:rStyle w:val="ab"/>
          <w:rFonts w:hAnsi="標楷體"/>
          <w:szCs w:val="32"/>
        </w:rPr>
        <w:footnoteReference w:id="3"/>
      </w:r>
      <w:r w:rsidRPr="00964664">
        <w:rPr>
          <w:rFonts w:hint="eastAsia"/>
        </w:rPr>
        <w:t>暨臺灣省山地保留地管理辦法之規定，由該府建設廳會同民政廳派員勘查後，核定</w:t>
      </w:r>
      <w:r w:rsidRPr="00964664">
        <w:t>台陽股份有限公司</w:t>
      </w:r>
      <w:r w:rsidRPr="00964664">
        <w:rPr>
          <w:rFonts w:hint="eastAsia"/>
        </w:rPr>
        <w:t>使用系爭保留地，租賃期間自59年3月1日起至68年2月28日止，以致</w:t>
      </w:r>
      <w:r w:rsidR="00536825">
        <w:rPr>
          <w:rFonts w:hAnsi="標楷體" w:hint="eastAsia"/>
          <w:szCs w:val="32"/>
        </w:rPr>
        <w:t>金○○</w:t>
      </w:r>
      <w:r w:rsidRPr="00964664">
        <w:rPr>
          <w:rFonts w:hint="eastAsia"/>
        </w:rPr>
        <w:t>耕作權與</w:t>
      </w:r>
      <w:r w:rsidRPr="00964664">
        <w:t>台陽股份有限公司</w:t>
      </w:r>
      <w:r w:rsidRPr="00964664">
        <w:rPr>
          <w:rFonts w:hint="eastAsia"/>
        </w:rPr>
        <w:t>礦業權發生競合。至於「</w:t>
      </w:r>
      <w:r w:rsidRPr="00964664">
        <w:t>台陽股份有限公司</w:t>
      </w:r>
      <w:r w:rsidRPr="00964664">
        <w:rPr>
          <w:rFonts w:hint="eastAsia"/>
        </w:rPr>
        <w:t>租用系爭保留地有無召開協調會？有無發給耕作權人補償金或回饋金？」乙節，詢據花蓮縣政府、秀林鄉公所相關主管人員均稱：因年代久遠，查無相關檔案資料可說明當時狀態等語。</w:t>
      </w:r>
    </w:p>
    <w:p w:rsidR="00B61459" w:rsidRPr="00964664" w:rsidRDefault="00B61459" w:rsidP="00B61459">
      <w:pPr>
        <w:pStyle w:val="3"/>
        <w:rPr>
          <w:rFonts w:hAnsi="標楷體"/>
        </w:rPr>
      </w:pPr>
      <w:r w:rsidRPr="00964664">
        <w:rPr>
          <w:rFonts w:hAnsi="標楷體" w:hint="eastAsia"/>
          <w:szCs w:val="32"/>
        </w:rPr>
        <w:t>再查，</w:t>
      </w:r>
      <w:r w:rsidR="00536825">
        <w:rPr>
          <w:rFonts w:hAnsi="標楷體" w:hint="eastAsia"/>
          <w:szCs w:val="32"/>
        </w:rPr>
        <w:t>金○○</w:t>
      </w:r>
      <w:r w:rsidRPr="00964664">
        <w:rPr>
          <w:rFonts w:hAnsi="標楷體" w:hint="eastAsia"/>
          <w:szCs w:val="32"/>
        </w:rPr>
        <w:t>於69年5月21日依法取得系爭保留地所</w:t>
      </w:r>
      <w:r w:rsidRPr="00964664">
        <w:rPr>
          <w:rFonts w:hAnsi="標楷體" w:hint="eastAsia"/>
          <w:szCs w:val="32"/>
        </w:rPr>
        <w:lastRenderedPageBreak/>
        <w:t>有權，然秀林鄉公所已於68年4月12日以(68)鄉建字第1100號函，同意</w:t>
      </w:r>
      <w:r w:rsidRPr="00964664">
        <w:t>台陽股份有限公司</w:t>
      </w:r>
      <w:r w:rsidRPr="00964664">
        <w:rPr>
          <w:rFonts w:hAnsi="標楷體" w:hint="eastAsia"/>
          <w:szCs w:val="32"/>
        </w:rPr>
        <w:t>續租系爭保留地，續租期間自68年3月1日起至77年2月28日止，再延長9年，以致</w:t>
      </w:r>
      <w:r w:rsidR="00536825">
        <w:rPr>
          <w:rFonts w:hAnsi="標楷體" w:hint="eastAsia"/>
          <w:szCs w:val="32"/>
        </w:rPr>
        <w:t>金○○</w:t>
      </w:r>
      <w:r w:rsidRPr="00964664">
        <w:rPr>
          <w:rFonts w:hAnsi="標楷體" w:hint="eastAsia"/>
          <w:szCs w:val="32"/>
        </w:rPr>
        <w:t>取得系爭保留地所有權後，依舊無法</w:t>
      </w:r>
      <w:r w:rsidRPr="00964664">
        <w:rPr>
          <w:rFonts w:hAnsi="標楷體"/>
          <w:szCs w:val="32"/>
        </w:rPr>
        <w:t>自由使用、收益其</w:t>
      </w:r>
      <w:r w:rsidRPr="00964664">
        <w:rPr>
          <w:rFonts w:hAnsi="標楷體" w:hint="eastAsia"/>
          <w:szCs w:val="32"/>
        </w:rPr>
        <w:t>土地，</w:t>
      </w:r>
      <w:r w:rsidRPr="00964664">
        <w:rPr>
          <w:rFonts w:hint="eastAsia"/>
        </w:rPr>
        <w:t>形同變相掠奪其土地權利</w:t>
      </w:r>
      <w:r w:rsidRPr="00964664">
        <w:rPr>
          <w:rFonts w:hAnsi="標楷體" w:hint="eastAsia"/>
          <w:szCs w:val="32"/>
        </w:rPr>
        <w:t>。</w:t>
      </w:r>
    </w:p>
    <w:p w:rsidR="00B61459" w:rsidRPr="00964664" w:rsidRDefault="00B61459" w:rsidP="00B61459">
      <w:pPr>
        <w:pStyle w:val="3"/>
        <w:rPr>
          <w:rFonts w:hAnsi="標楷體"/>
        </w:rPr>
      </w:pPr>
      <w:r w:rsidRPr="00964664">
        <w:rPr>
          <w:rFonts w:hAnsi="標楷體" w:hint="eastAsia"/>
        </w:rPr>
        <w:t>綜上，</w:t>
      </w:r>
      <w:r w:rsidRPr="00964664">
        <w:rPr>
          <w:rFonts w:hAnsi="標楷體" w:hint="eastAsia"/>
          <w:szCs w:val="32"/>
        </w:rPr>
        <w:t>原住民保留地制度旨在保障原住民生計，政府應輔導原住民開發保留地並取得耕作權及所有權，以保障原住民土地使用、安定原住民生活。詎料，本案陳訴人之父</w:t>
      </w:r>
      <w:r w:rsidR="00536825">
        <w:rPr>
          <w:rFonts w:hAnsi="標楷體" w:hint="eastAsia"/>
          <w:szCs w:val="32"/>
        </w:rPr>
        <w:t>金○○</w:t>
      </w:r>
      <w:r w:rsidRPr="00964664">
        <w:rPr>
          <w:rFonts w:hAnsi="標楷體" w:hint="eastAsia"/>
          <w:szCs w:val="32"/>
        </w:rPr>
        <w:t>於58年12月31日取得花蓮縣秀林鄉富世段7</w:t>
      </w:r>
      <w:r w:rsidR="00A04C6A">
        <w:rPr>
          <w:rFonts w:hAnsi="標楷體" w:hint="eastAsia"/>
          <w:b/>
          <w:szCs w:val="32"/>
        </w:rPr>
        <w:t>○○</w:t>
      </w:r>
      <w:r w:rsidRPr="00964664">
        <w:rPr>
          <w:rFonts w:hAnsi="標楷體" w:hint="eastAsia"/>
          <w:szCs w:val="32"/>
        </w:rPr>
        <w:t>、7</w:t>
      </w:r>
      <w:r w:rsidR="00A04C6A">
        <w:rPr>
          <w:rFonts w:hAnsi="標楷體" w:hint="eastAsia"/>
          <w:b/>
          <w:szCs w:val="32"/>
        </w:rPr>
        <w:t>○○</w:t>
      </w:r>
      <w:r w:rsidRPr="00964664">
        <w:rPr>
          <w:rFonts w:hAnsi="標楷體" w:hint="eastAsia"/>
          <w:szCs w:val="32"/>
        </w:rPr>
        <w:t>、7</w:t>
      </w:r>
      <w:r w:rsidR="00A04C6A">
        <w:rPr>
          <w:rFonts w:hAnsi="標楷體" w:hint="eastAsia"/>
          <w:b/>
          <w:szCs w:val="32"/>
        </w:rPr>
        <w:t>○○</w:t>
      </w:r>
      <w:r w:rsidRPr="00964664">
        <w:rPr>
          <w:rFonts w:hAnsi="標楷體" w:hint="eastAsia"/>
          <w:szCs w:val="32"/>
        </w:rPr>
        <w:t>、7</w:t>
      </w:r>
      <w:r w:rsidR="00A04C6A">
        <w:rPr>
          <w:rFonts w:hAnsi="標楷體" w:hint="eastAsia"/>
          <w:b/>
          <w:szCs w:val="32"/>
        </w:rPr>
        <w:t>○○</w:t>
      </w:r>
      <w:r w:rsidRPr="00964664">
        <w:rPr>
          <w:rFonts w:hAnsi="標楷體" w:hint="eastAsia"/>
          <w:szCs w:val="32"/>
        </w:rPr>
        <w:t>、7</w:t>
      </w:r>
      <w:r w:rsidR="00A04C6A">
        <w:rPr>
          <w:rFonts w:hAnsi="標楷體" w:hint="eastAsia"/>
          <w:b/>
          <w:szCs w:val="32"/>
        </w:rPr>
        <w:t>○○</w:t>
      </w:r>
      <w:r w:rsidRPr="00964664">
        <w:rPr>
          <w:rFonts w:hAnsi="標楷體" w:hint="eastAsia"/>
          <w:szCs w:val="32"/>
        </w:rPr>
        <w:t>地號等5筆原住民保留地耕作權後，政府旋於1個月內核准</w:t>
      </w:r>
      <w:r w:rsidRPr="00964664">
        <w:rPr>
          <w:rFonts w:hAnsi="標楷體"/>
          <w:szCs w:val="32"/>
        </w:rPr>
        <w:t>台陽股份有限公司</w:t>
      </w:r>
      <w:r w:rsidRPr="00964664">
        <w:rPr>
          <w:rFonts w:hAnsi="標楷體" w:hint="eastAsia"/>
          <w:szCs w:val="32"/>
        </w:rPr>
        <w:t>租用系爭保留地採礦，以致</w:t>
      </w:r>
      <w:r w:rsidR="00536825">
        <w:rPr>
          <w:rFonts w:hAnsi="標楷體" w:hint="eastAsia"/>
          <w:szCs w:val="32"/>
        </w:rPr>
        <w:t>金○○</w:t>
      </w:r>
      <w:r w:rsidRPr="00964664">
        <w:rPr>
          <w:rFonts w:hAnsi="標楷體" w:hint="eastAsia"/>
          <w:szCs w:val="32"/>
        </w:rPr>
        <w:t>耕作權與</w:t>
      </w:r>
      <w:r w:rsidRPr="00964664">
        <w:rPr>
          <w:rFonts w:hAnsi="標楷體"/>
          <w:szCs w:val="32"/>
        </w:rPr>
        <w:t>台陽股份有限公司</w:t>
      </w:r>
      <w:r w:rsidRPr="00964664">
        <w:rPr>
          <w:rFonts w:hAnsi="標楷體" w:hint="eastAsia"/>
          <w:szCs w:val="32"/>
        </w:rPr>
        <w:t>礦業權發生競合。嗣</w:t>
      </w:r>
      <w:r w:rsidR="00536825">
        <w:rPr>
          <w:rFonts w:hAnsi="標楷體" w:hint="eastAsia"/>
          <w:szCs w:val="32"/>
        </w:rPr>
        <w:t>金○○</w:t>
      </w:r>
      <w:r w:rsidRPr="00964664">
        <w:rPr>
          <w:rFonts w:hAnsi="標楷體" w:hint="eastAsia"/>
          <w:szCs w:val="32"/>
        </w:rPr>
        <w:t>雖於69年5月21日取得系爭保留地所有權，卻因政府早與</w:t>
      </w:r>
      <w:r w:rsidRPr="00964664">
        <w:rPr>
          <w:rFonts w:hAnsi="標楷體"/>
          <w:szCs w:val="32"/>
        </w:rPr>
        <w:t>台陽股份有限公司</w:t>
      </w:r>
      <w:r w:rsidRPr="00964664">
        <w:rPr>
          <w:rFonts w:hAnsi="標楷體" w:hint="eastAsia"/>
          <w:szCs w:val="32"/>
        </w:rPr>
        <w:t>續訂租約至77年2月28日，致其依舊無法</w:t>
      </w:r>
      <w:r w:rsidRPr="00964664">
        <w:rPr>
          <w:rFonts w:hAnsi="標楷體"/>
          <w:szCs w:val="32"/>
        </w:rPr>
        <w:t>自由使用、收益</w:t>
      </w:r>
      <w:r w:rsidRPr="00964664">
        <w:rPr>
          <w:rFonts w:hAnsi="標楷體" w:hint="eastAsia"/>
          <w:szCs w:val="32"/>
        </w:rPr>
        <w:t>系爭保留地。政府上開作為不僅喪失保障原住民生計之立場，更已侵害</w:t>
      </w:r>
      <w:r w:rsidR="00536825">
        <w:rPr>
          <w:rFonts w:hAnsi="標楷體" w:hint="eastAsia"/>
          <w:szCs w:val="32"/>
        </w:rPr>
        <w:t>金○○</w:t>
      </w:r>
      <w:r w:rsidRPr="00964664">
        <w:rPr>
          <w:rFonts w:hAnsi="標楷體" w:hint="eastAsia"/>
          <w:szCs w:val="32"/>
        </w:rPr>
        <w:t>應有之財產權益，違失之咎甚明。</w:t>
      </w:r>
    </w:p>
    <w:p w:rsidR="00B61459" w:rsidRPr="00964664" w:rsidRDefault="00B61459" w:rsidP="00B61459">
      <w:pPr>
        <w:pStyle w:val="2"/>
        <w:numPr>
          <w:ilvl w:val="1"/>
          <w:numId w:val="1"/>
        </w:numPr>
        <w:rPr>
          <w:rFonts w:hAnsi="標楷體"/>
          <w:b/>
          <w:szCs w:val="32"/>
        </w:rPr>
      </w:pPr>
      <w:r w:rsidRPr="00964664">
        <w:rPr>
          <w:rFonts w:hAnsi="標楷體" w:hint="eastAsia"/>
          <w:b/>
          <w:szCs w:val="32"/>
        </w:rPr>
        <w:t>查陳訴人之父</w:t>
      </w:r>
      <w:r w:rsidR="00536825">
        <w:rPr>
          <w:rFonts w:hAnsi="標楷體" w:hint="eastAsia"/>
          <w:b/>
          <w:szCs w:val="32"/>
        </w:rPr>
        <w:t>金○○</w:t>
      </w:r>
      <w:r w:rsidRPr="00964664">
        <w:rPr>
          <w:rFonts w:hAnsi="標楷體" w:hint="eastAsia"/>
          <w:b/>
          <w:szCs w:val="32"/>
        </w:rPr>
        <w:t>已於69年5月21日取得系爭保留地之所有權，竟因政府長期將該土地租予</w:t>
      </w:r>
      <w:r w:rsidRPr="00964664">
        <w:rPr>
          <w:rFonts w:hAnsi="標楷體"/>
          <w:b/>
          <w:szCs w:val="32"/>
        </w:rPr>
        <w:t>台陽股份有限公司</w:t>
      </w:r>
      <w:r w:rsidRPr="00964664">
        <w:rPr>
          <w:rFonts w:hAnsi="標楷體" w:hint="eastAsia"/>
          <w:b/>
          <w:szCs w:val="32"/>
        </w:rPr>
        <w:t>採礦使用，致</w:t>
      </w:r>
      <w:r w:rsidR="00536825">
        <w:rPr>
          <w:rFonts w:hAnsi="標楷體" w:hint="eastAsia"/>
          <w:b/>
          <w:szCs w:val="32"/>
        </w:rPr>
        <w:t>金○○</w:t>
      </w:r>
      <w:r w:rsidRPr="00964664">
        <w:rPr>
          <w:rFonts w:hAnsi="標楷體" w:hint="eastAsia"/>
          <w:b/>
          <w:szCs w:val="32"/>
        </w:rPr>
        <w:t>無法自由使用、收益其土地，甚至於76年8月17日將其所有權拋棄，整個過程問題、疑點重重，突顯當時原住民處於經濟與社會弱勢，應有權益未獲保障，以致原住民土地遭到各種形式掠奪，對原住民族既有權利侵害甚鉅。有鑑於我國原住民保留地制度係國家與原住民之特別信託關係，原住民族委員會允應為原住民族之利益使用、管理原住民保留地，並督同花蓮縣政府及秀林鄉公所，加速釐</w:t>
      </w:r>
      <w:r w:rsidRPr="00964664">
        <w:rPr>
          <w:rFonts w:hAnsi="標楷體" w:hint="eastAsia"/>
          <w:b/>
          <w:szCs w:val="32"/>
        </w:rPr>
        <w:lastRenderedPageBreak/>
        <w:t>清本案相關疑義，基於</w:t>
      </w:r>
      <w:r w:rsidRPr="00964664">
        <w:rPr>
          <w:rFonts w:hAnsi="標楷體"/>
          <w:b/>
          <w:szCs w:val="32"/>
        </w:rPr>
        <w:t>歷史</w:t>
      </w:r>
      <w:r w:rsidRPr="00964664">
        <w:rPr>
          <w:rFonts w:hAnsi="標楷體" w:hint="eastAsia"/>
          <w:b/>
          <w:szCs w:val="32"/>
        </w:rPr>
        <w:t>正義與</w:t>
      </w:r>
      <w:r w:rsidRPr="00964664">
        <w:rPr>
          <w:rFonts w:hAnsi="標楷體"/>
          <w:b/>
          <w:szCs w:val="32"/>
        </w:rPr>
        <w:t>轉型正義</w:t>
      </w:r>
      <w:r w:rsidRPr="00964664">
        <w:rPr>
          <w:rFonts w:hAnsi="標楷體" w:hint="eastAsia"/>
          <w:b/>
          <w:szCs w:val="32"/>
        </w:rPr>
        <w:t>，協助陳訴人爭取應有之土地權利。</w:t>
      </w:r>
    </w:p>
    <w:p w:rsidR="00B61459" w:rsidRPr="00964664" w:rsidRDefault="00B61459" w:rsidP="00B61459">
      <w:pPr>
        <w:pStyle w:val="3"/>
        <w:rPr>
          <w:rFonts w:hAnsi="標楷體"/>
        </w:rPr>
      </w:pPr>
      <w:r w:rsidRPr="00964664">
        <w:rPr>
          <w:rFonts w:hint="eastAsia"/>
        </w:rPr>
        <w:t>蔡英文總統105年8月1日上午代表政府向原住民族道歉，道歉文提到：「臺灣這塊土地，4百年前早有人居住。這些人原本過著自己的生活，有自己的語言、文化、習俗、生活領域。接著，在未經他們同意之下，這塊土地上來了另外一群人。歷史的發展是，後來的這一群人，剝奪了原先這一群人的一切。讓他們在最熟悉的土地上流離失所，成為異鄉人，成為非主流，成為邊緣。……荷蘭及鄭成功政權對平埔族群的屠殺和經濟剝削，清朝時代重大的流血衝突及鎮壓，日本統治時期全面而深入的理番政策，一直到戰後中華民國政府施行的山地平地化政策。4百年來，每1個曾經來到臺灣的政權，透過武力征伐、土地掠奪，強烈侵害了原住民族既有的權利。為此，我代表政府向原住民族道歉。」</w:t>
      </w:r>
    </w:p>
    <w:p w:rsidR="00B61459" w:rsidRPr="00964664" w:rsidRDefault="00B61459" w:rsidP="00B61459">
      <w:pPr>
        <w:pStyle w:val="3"/>
        <w:rPr>
          <w:rFonts w:hAnsi="標楷體"/>
        </w:rPr>
      </w:pPr>
      <w:r w:rsidRPr="00964664">
        <w:rPr>
          <w:rFonts w:hint="eastAsia"/>
        </w:rPr>
        <w:t>以本案為例，陳訴人之父</w:t>
      </w:r>
      <w:r w:rsidR="00536825">
        <w:rPr>
          <w:rFonts w:hint="eastAsia"/>
        </w:rPr>
        <w:t>金○○</w:t>
      </w:r>
      <w:r w:rsidRPr="00964664">
        <w:rPr>
          <w:rFonts w:hint="eastAsia"/>
        </w:rPr>
        <w:t>先後於58年12月31日、69年5月21日取得系爭保留地之耕作權與所有權，本係戰後政府保障原住民土地使用、安定原住民生活之政策體現。按法理而言，</w:t>
      </w:r>
      <w:r w:rsidRPr="00964664">
        <w:rPr>
          <w:rFonts w:hAnsi="標楷體" w:hint="eastAsia"/>
          <w:szCs w:val="32"/>
        </w:rPr>
        <w:t>耕作權為用益物權，</w:t>
      </w:r>
      <w:r w:rsidR="00536825">
        <w:rPr>
          <w:rFonts w:hint="eastAsia"/>
        </w:rPr>
        <w:t>金○○</w:t>
      </w:r>
      <w:r w:rsidRPr="00964664">
        <w:rPr>
          <w:rFonts w:hAnsi="標楷體" w:hint="eastAsia"/>
          <w:szCs w:val="32"/>
        </w:rPr>
        <w:t>取得該權利後，自得占有、使用系爭保留地，以求採收天然孳息；而後</w:t>
      </w:r>
      <w:r w:rsidR="00536825">
        <w:rPr>
          <w:rFonts w:hAnsi="標楷體" w:hint="eastAsia"/>
          <w:szCs w:val="32"/>
        </w:rPr>
        <w:t>金○○</w:t>
      </w:r>
      <w:r w:rsidRPr="00964664">
        <w:rPr>
          <w:rFonts w:hAnsi="標楷體" w:hint="eastAsia"/>
          <w:szCs w:val="32"/>
        </w:rPr>
        <w:t>進一步取得所有權，更可自由使用、收益系爭保留地，並排除他人之干涉。然實際上，</w:t>
      </w:r>
      <w:r w:rsidRPr="00964664">
        <w:rPr>
          <w:rFonts w:hint="eastAsia"/>
        </w:rPr>
        <w:t>因當時原住民仍處於經濟、社會弱勢，</w:t>
      </w:r>
      <w:r w:rsidR="00536825">
        <w:rPr>
          <w:rFonts w:hint="eastAsia"/>
        </w:rPr>
        <w:t>金○○</w:t>
      </w:r>
      <w:r w:rsidRPr="00964664">
        <w:rPr>
          <w:rFonts w:hint="eastAsia"/>
        </w:rPr>
        <w:t>權益似未獲得應有保障，於渠取得耕作權不久，政府旋將系爭保留地租予</w:t>
      </w:r>
      <w:r w:rsidRPr="00964664">
        <w:t>台陽股份有限公司</w:t>
      </w:r>
      <w:r w:rsidRPr="00964664">
        <w:rPr>
          <w:rFonts w:hint="eastAsia"/>
        </w:rPr>
        <w:t>開採礦石，兩者同須占有、</w:t>
      </w:r>
      <w:r w:rsidRPr="00964664">
        <w:rPr>
          <w:rFonts w:hAnsi="標楷體" w:hint="eastAsia"/>
          <w:szCs w:val="32"/>
        </w:rPr>
        <w:t>使用土地，自難兩全共存於相同土地之上。嗣</w:t>
      </w:r>
      <w:r w:rsidR="00536825">
        <w:rPr>
          <w:rFonts w:hAnsi="標楷體" w:hint="eastAsia"/>
          <w:szCs w:val="32"/>
        </w:rPr>
        <w:t>金○○</w:t>
      </w:r>
      <w:r w:rsidRPr="00964664">
        <w:rPr>
          <w:rFonts w:hAnsi="標楷體" w:hint="eastAsia"/>
          <w:szCs w:val="32"/>
        </w:rPr>
        <w:t>再取得所有權，然政府卻</w:t>
      </w:r>
      <w:r w:rsidRPr="00964664">
        <w:rPr>
          <w:rFonts w:hint="eastAsia"/>
        </w:rPr>
        <w:t>先與</w:t>
      </w:r>
      <w:r w:rsidRPr="00964664">
        <w:t>台陽股份有限公司</w:t>
      </w:r>
      <w:r w:rsidRPr="00964664">
        <w:rPr>
          <w:rFonts w:hint="eastAsia"/>
        </w:rPr>
        <w:t>續訂9年租約，且事後未進行適法處理，致</w:t>
      </w:r>
      <w:r w:rsidR="00536825">
        <w:rPr>
          <w:rFonts w:hint="eastAsia"/>
        </w:rPr>
        <w:t>金○○</w:t>
      </w:r>
      <w:r w:rsidRPr="00964664">
        <w:rPr>
          <w:rFonts w:hint="eastAsia"/>
        </w:rPr>
        <w:t>之所有權形</w:t>
      </w:r>
      <w:r w:rsidRPr="00964664">
        <w:rPr>
          <w:rFonts w:hint="eastAsia"/>
        </w:rPr>
        <w:lastRenderedPageBreak/>
        <w:t>同虛設，甚至於76年8月17日將渠所有權拋棄。</w:t>
      </w:r>
    </w:p>
    <w:p w:rsidR="00B61459" w:rsidRPr="00964664" w:rsidRDefault="00B61459" w:rsidP="00B61459">
      <w:pPr>
        <w:pStyle w:val="3"/>
        <w:rPr>
          <w:rFonts w:hAnsi="標楷體"/>
        </w:rPr>
      </w:pPr>
      <w:r w:rsidRPr="00964664">
        <w:rPr>
          <w:rFonts w:hint="eastAsia"/>
        </w:rPr>
        <w:t>有鑒於上開過程問題、疑點重重，為釐清系爭保留地所有權拋棄始末，本院於108年8月28日至現地訪查。據陳訴人當場陳稱</w:t>
      </w:r>
      <w:r w:rsidRPr="00964664">
        <w:rPr>
          <w:rFonts w:ascii="新細明體" w:eastAsia="新細明體" w:hAnsi="新細明體" w:hint="eastAsia"/>
        </w:rPr>
        <w:t>：</w:t>
      </w:r>
      <w:r w:rsidRPr="00964664">
        <w:rPr>
          <w:rFonts w:hAnsi="標楷體" w:hint="eastAsia"/>
        </w:rPr>
        <w:t>「權利之取得完全依據法令規範，但權利之拋棄依原所有權人口述當時因處非常時期，眾多法令的變更或決議事項，當時鄉公所並未充份宣導不諳法令、不識字之鄉民，然許多原所有權人確為非於自由意願之下簽署相關拋棄文件。經先父口述當時亞洲水泥股份有限公司僅給予新臺幣3,000元作為該土地拋棄之補償金……。」另</w:t>
      </w:r>
      <w:r w:rsidRPr="00964664">
        <w:rPr>
          <w:rFonts w:hAnsi="標楷體" w:hint="eastAsia"/>
          <w:szCs w:val="32"/>
        </w:rPr>
        <w:t>詢據花蓮縣政府、秀林鄉公所相關主管人員表示：有關「</w:t>
      </w:r>
      <w:r w:rsidR="00536825">
        <w:rPr>
          <w:rFonts w:hAnsi="標楷體" w:hint="eastAsia"/>
          <w:szCs w:val="32"/>
        </w:rPr>
        <w:t>金○○</w:t>
      </w:r>
      <w:r w:rsidRPr="00964664">
        <w:rPr>
          <w:rFonts w:hAnsi="標楷體" w:hint="eastAsia"/>
          <w:szCs w:val="32"/>
        </w:rPr>
        <w:t>取得系爭保留地所有權，秀林鄉公所將土地續租予台陽股份有限公司，是否越權？出租期間，系爭保留地租金有無交回</w:t>
      </w:r>
      <w:r w:rsidR="00536825">
        <w:rPr>
          <w:rFonts w:hAnsi="標楷體" w:hint="eastAsia"/>
          <w:szCs w:val="32"/>
        </w:rPr>
        <w:t>金○○</w:t>
      </w:r>
      <w:r w:rsidRPr="00964664">
        <w:rPr>
          <w:rFonts w:hAnsi="標楷體" w:hint="eastAsia"/>
          <w:szCs w:val="32"/>
        </w:rPr>
        <w:t>？以及</w:t>
      </w:r>
      <w:r w:rsidR="00536825">
        <w:rPr>
          <w:rFonts w:hint="eastAsia"/>
        </w:rPr>
        <w:t>金○○</w:t>
      </w:r>
      <w:r w:rsidRPr="00964664">
        <w:rPr>
          <w:rFonts w:hint="eastAsia"/>
        </w:rPr>
        <w:t>為(如)何於76年8月17日拋棄系爭保留地之所有權</w:t>
      </w:r>
      <w:r w:rsidRPr="00964664">
        <w:rPr>
          <w:rFonts w:hAnsi="標楷體" w:hint="eastAsia"/>
          <w:szCs w:val="32"/>
        </w:rPr>
        <w:t>？」等節，因年代久遠，查無相關檔案資料可說明當時狀態，亦無相關檔案資料證明租金有無交回</w:t>
      </w:r>
      <w:r w:rsidR="00536825">
        <w:rPr>
          <w:rFonts w:hAnsi="標楷體" w:hint="eastAsia"/>
          <w:szCs w:val="32"/>
        </w:rPr>
        <w:t>金○○</w:t>
      </w:r>
      <w:r w:rsidRPr="00964664">
        <w:rPr>
          <w:rFonts w:hint="eastAsia"/>
        </w:rPr>
        <w:t>。再查地籍異動索引資料所示，上開5筆土地於76年8月17日登記原因：拋棄，而有無(</w:t>
      </w:r>
      <w:r w:rsidRPr="00964664">
        <w:t>亞洲水泥股份有限公司</w:t>
      </w:r>
      <w:r w:rsidRPr="00964664">
        <w:rPr>
          <w:rFonts w:hint="eastAsia"/>
        </w:rPr>
        <w:t>)發給回饋金偕同陳訴人先父至地政機關辦理塗銷，因無存留相關檔案資料，實無法查明當時狀況等語。</w:t>
      </w:r>
    </w:p>
    <w:p w:rsidR="00B61459" w:rsidRPr="00964664" w:rsidRDefault="00B61459" w:rsidP="00B61459">
      <w:pPr>
        <w:pStyle w:val="3"/>
        <w:rPr>
          <w:rFonts w:hAnsi="標楷體"/>
        </w:rPr>
      </w:pPr>
      <w:r w:rsidRPr="00964664">
        <w:rPr>
          <w:rFonts w:hAnsi="標楷體" w:hint="eastAsia"/>
        </w:rPr>
        <w:t>至於系爭保留地使用情形部分，查</w:t>
      </w:r>
      <w:r w:rsidRPr="00964664">
        <w:t>台陽股份有限公司</w:t>
      </w:r>
      <w:r w:rsidRPr="00964664">
        <w:rPr>
          <w:rFonts w:hAnsi="標楷體" w:hint="eastAsia"/>
        </w:rPr>
        <w:t>59年1月26日取得台濟採字第3306號採礦權後，政府旋即核准該公司租用包含系爭保留地在內之礦業用地34筆(73年6月間分割為37筆土地)、面積合計4.2210公頃，第1次租期自59年3月1日起至68年2月28日止，第2次租期自68年3月1日起至77年2月28日止，共計18年。嗣</w:t>
      </w:r>
      <w:r w:rsidRPr="00964664">
        <w:t>台陽股份有限公司</w:t>
      </w:r>
      <w:r w:rsidRPr="00964664">
        <w:rPr>
          <w:rFonts w:hint="eastAsia"/>
        </w:rPr>
        <w:t>於</w:t>
      </w:r>
      <w:r w:rsidRPr="00964664">
        <w:rPr>
          <w:rFonts w:hAnsi="標楷體" w:hint="eastAsia"/>
        </w:rPr>
        <w:t>76年1月23日申請將台濟採字第3306號採礦權移轉</w:t>
      </w:r>
      <w:r w:rsidRPr="00964664">
        <w:t>亞洲</w:t>
      </w:r>
      <w:r w:rsidRPr="00964664">
        <w:lastRenderedPageBreak/>
        <w:t>水泥股份有限公司</w:t>
      </w:r>
      <w:r w:rsidRPr="00964664">
        <w:rPr>
          <w:rFonts w:hAnsi="標楷體" w:hint="eastAsia"/>
        </w:rPr>
        <w:t>，並於77年7月8日向秀林鄉公所申請續租37筆中之8筆土地(富世段2</w:t>
      </w:r>
      <w:r w:rsidR="00A04C6A">
        <w:rPr>
          <w:rFonts w:hAnsi="標楷體" w:hint="eastAsia"/>
          <w:b/>
          <w:szCs w:val="32"/>
        </w:rPr>
        <w:t>○○</w:t>
      </w:r>
      <w:r w:rsidRPr="00964664">
        <w:rPr>
          <w:rFonts w:hAnsi="標楷體" w:hint="eastAsia"/>
        </w:rPr>
        <w:t>、2</w:t>
      </w:r>
      <w:r w:rsidR="00A04C6A">
        <w:rPr>
          <w:rFonts w:hAnsi="標楷體" w:hint="eastAsia"/>
          <w:b/>
          <w:szCs w:val="32"/>
        </w:rPr>
        <w:t>○○</w:t>
      </w:r>
      <w:r w:rsidRPr="00964664">
        <w:rPr>
          <w:rFonts w:hAnsi="標楷體" w:hint="eastAsia"/>
        </w:rPr>
        <w:t>、2</w:t>
      </w:r>
      <w:r w:rsidR="00A04C6A">
        <w:rPr>
          <w:rFonts w:hAnsi="標楷體" w:hint="eastAsia"/>
          <w:b/>
          <w:szCs w:val="32"/>
        </w:rPr>
        <w:t>○○</w:t>
      </w:r>
      <w:r w:rsidRPr="00964664">
        <w:rPr>
          <w:rFonts w:hAnsi="標楷體" w:hint="eastAsia"/>
        </w:rPr>
        <w:t>、2</w:t>
      </w:r>
      <w:r w:rsidR="00A04C6A">
        <w:rPr>
          <w:rFonts w:hAnsi="標楷體" w:hint="eastAsia"/>
          <w:b/>
          <w:szCs w:val="32"/>
        </w:rPr>
        <w:t>○○</w:t>
      </w:r>
      <w:r w:rsidRPr="00964664">
        <w:rPr>
          <w:rFonts w:hAnsi="標楷體" w:hint="eastAsia"/>
        </w:rPr>
        <w:t>-1、7</w:t>
      </w:r>
      <w:r w:rsidR="00A04C6A">
        <w:rPr>
          <w:rFonts w:hAnsi="標楷體" w:hint="eastAsia"/>
          <w:b/>
          <w:szCs w:val="32"/>
        </w:rPr>
        <w:t>○○</w:t>
      </w:r>
      <w:r w:rsidRPr="00964664">
        <w:rPr>
          <w:rFonts w:hAnsi="標楷體" w:hint="eastAsia"/>
        </w:rPr>
        <w:t>、7</w:t>
      </w:r>
      <w:r w:rsidR="00A04C6A">
        <w:rPr>
          <w:rFonts w:hAnsi="標楷體" w:hint="eastAsia"/>
          <w:b/>
          <w:szCs w:val="32"/>
        </w:rPr>
        <w:t>○○</w:t>
      </w:r>
      <w:r w:rsidRPr="00964664">
        <w:rPr>
          <w:rFonts w:hAnsi="標楷體" w:hint="eastAsia"/>
        </w:rPr>
        <w:t>-1、7</w:t>
      </w:r>
      <w:r w:rsidR="00A04C6A">
        <w:rPr>
          <w:rFonts w:hAnsi="標楷體" w:hint="eastAsia"/>
          <w:b/>
          <w:szCs w:val="32"/>
        </w:rPr>
        <w:t>○○</w:t>
      </w:r>
      <w:r w:rsidRPr="00964664">
        <w:rPr>
          <w:rFonts w:hAnsi="標楷體" w:hint="eastAsia"/>
        </w:rPr>
        <w:t>、7</w:t>
      </w:r>
      <w:r w:rsidR="00A04C6A">
        <w:rPr>
          <w:rFonts w:hAnsi="標楷體" w:hint="eastAsia"/>
          <w:b/>
          <w:szCs w:val="32"/>
        </w:rPr>
        <w:t>○○</w:t>
      </w:r>
      <w:r w:rsidRPr="00964664">
        <w:rPr>
          <w:rFonts w:hAnsi="標楷體" w:hint="eastAsia"/>
        </w:rPr>
        <w:t>-1地號)，並以書面表示放棄其餘29筆土地(面積計1.6370公頃)之承租權，惟臺灣省政府民政廳78年2月14日(78)民四字第7599號函略以，因富世段214地號等8筆山地保留地已列新秀都市計畫工業用地，</w:t>
      </w:r>
      <w:r w:rsidRPr="00964664">
        <w:t>台陽股份有限公司</w:t>
      </w:r>
      <w:r w:rsidRPr="00964664">
        <w:rPr>
          <w:rFonts w:hAnsi="標楷體" w:hint="eastAsia"/>
        </w:rPr>
        <w:t>無法經營並將礦權放棄自無續租作為礦業用地之必要，同意秀林鄉公所終止租約收回上開土地。又</w:t>
      </w:r>
      <w:r w:rsidRPr="00964664">
        <w:rPr>
          <w:rFonts w:hint="eastAsia"/>
        </w:rPr>
        <w:t>本院於108年8月28日會同陳訴人及</w:t>
      </w:r>
      <w:r w:rsidRPr="00964664">
        <w:t>亞洲水泥股份有限公司</w:t>
      </w:r>
      <w:r w:rsidRPr="00964664">
        <w:rPr>
          <w:rFonts w:hint="eastAsia"/>
        </w:rPr>
        <w:t>、花蓮縣政府、秀林鄉公所等相關主管人員至現地履勘發現，目前玻士岸段793、799、800、783地號等4筆原住民保留地</w:t>
      </w:r>
      <w:r w:rsidRPr="00964664">
        <w:rPr>
          <w:rFonts w:hAnsi="標楷體" w:hint="eastAsia"/>
          <w:szCs w:val="24"/>
        </w:rPr>
        <w:t>部分為陳訴人使用，部分為</w:t>
      </w:r>
      <w:r w:rsidRPr="00964664">
        <w:t>亞洲水泥股份有限公司</w:t>
      </w:r>
      <w:r w:rsidRPr="00964664">
        <w:rPr>
          <w:rFonts w:hint="eastAsia"/>
        </w:rPr>
        <w:t>作為</w:t>
      </w:r>
      <w:r w:rsidRPr="00964664">
        <w:rPr>
          <w:rFonts w:hAnsi="標楷體" w:hint="eastAsia"/>
          <w:szCs w:val="24"/>
        </w:rPr>
        <w:t>礦場交通道、排水溝、緩衝區、坡崁、保護區及帶運機作業區等使用；</w:t>
      </w:r>
      <w:r w:rsidRPr="00964664">
        <w:rPr>
          <w:rFonts w:hint="eastAsia"/>
        </w:rPr>
        <w:t>太魯閣段228地號則為</w:t>
      </w:r>
      <w:r w:rsidRPr="00964664">
        <w:t>亞洲水泥股份有限公司</w:t>
      </w:r>
      <w:r w:rsidRPr="00964664">
        <w:rPr>
          <w:rFonts w:hint="eastAsia"/>
        </w:rPr>
        <w:t>作為</w:t>
      </w:r>
      <w:r w:rsidRPr="00964664">
        <w:rPr>
          <w:rFonts w:hAnsi="標楷體" w:hint="eastAsia"/>
          <w:szCs w:val="24"/>
        </w:rPr>
        <w:t>配電室及樹苗健化場使用</w:t>
      </w:r>
      <w:r w:rsidRPr="00964664">
        <w:rPr>
          <w:rFonts w:hint="eastAsia"/>
        </w:rPr>
        <w:t>。另據陳訴人現場表示</w:t>
      </w:r>
      <w:r w:rsidRPr="00964664">
        <w:rPr>
          <w:rFonts w:ascii="新細明體" w:eastAsia="新細明體" w:hAnsi="新細明體" w:hint="eastAsia"/>
        </w:rPr>
        <w:t>：</w:t>
      </w:r>
      <w:r w:rsidRPr="00964664">
        <w:rPr>
          <w:rFonts w:hAnsi="標楷體" w:hint="eastAsia"/>
        </w:rPr>
        <w:t>「</w:t>
      </w:r>
      <w:r w:rsidRPr="00964664">
        <w:rPr>
          <w:rFonts w:hint="eastAsia"/>
        </w:rPr>
        <w:t>系爭保留地自其父取得耕作權後，皆有持續使用，而現況大部分由其種植作物使用中。</w:t>
      </w:r>
      <w:r w:rsidRPr="00964664">
        <w:rPr>
          <w:rFonts w:hAnsi="標楷體" w:hint="eastAsia"/>
        </w:rPr>
        <w:t>」</w:t>
      </w:r>
    </w:p>
    <w:p w:rsidR="00B61459" w:rsidRPr="00964664" w:rsidRDefault="00B61459" w:rsidP="00B61459">
      <w:pPr>
        <w:pStyle w:val="3"/>
        <w:rPr>
          <w:rFonts w:hAnsi="標楷體"/>
        </w:rPr>
      </w:pPr>
      <w:r w:rsidRPr="00964664">
        <w:rPr>
          <w:rFonts w:hint="eastAsia"/>
        </w:rPr>
        <w:t>查我國憲法增修條文第10條第12項規定：</w:t>
      </w:r>
      <w:r w:rsidRPr="00964664">
        <w:rPr>
          <w:rFonts w:hAnsi="標楷體" w:hint="eastAsia"/>
        </w:rPr>
        <w:t>「</w:t>
      </w:r>
      <w:r w:rsidRPr="00964664">
        <w:rPr>
          <w:rFonts w:hint="eastAsia"/>
        </w:rPr>
        <w:t>國家應依民族意願，保障原住民族之地位及政治參與，並對其教育文化、交通水利、衛生醫療、經濟土地及社會福利事業予以保障扶助並促其發展，其辦法另以法律定之</w:t>
      </w:r>
      <w:r w:rsidRPr="00964664">
        <w:rPr>
          <w:rFonts w:hAnsi="標楷體" w:hint="eastAsia"/>
        </w:rPr>
        <w:t>」</w:t>
      </w:r>
      <w:r w:rsidRPr="00964664">
        <w:rPr>
          <w:rFonts w:hint="eastAsia"/>
        </w:rPr>
        <w:t>；原住民族基本法第20條至第24條均揭示，原住民族土地縱為國家所有，在法定之行為態樣上，仍應諮詢當地原住民族之同意或參與；該辦法之母法，山坡地保育利用條例第37條亦規定，山坡地範圍內山地保留地，應由國家輔導原住民開發並取得耕作權、地上權或承租權，除政府指定之特</w:t>
      </w:r>
      <w:r w:rsidRPr="00964664">
        <w:rPr>
          <w:rFonts w:hint="eastAsia"/>
        </w:rPr>
        <w:lastRenderedPageBreak/>
        <w:t>定用途外，不得移轉與非原住民。顯見我國原住民保留地制度係我國本於特別之信託關係，立於類似監護人之地位，為原住民族之利益使用、管理原住民保留地(原住民族委員會原民訴字第1010055207號訴願決定書理由參照)。</w:t>
      </w:r>
      <w:r w:rsidRPr="00964664">
        <w:rPr>
          <w:rFonts w:hAnsi="標楷體" w:hint="eastAsia"/>
        </w:rPr>
        <w:t>再</w:t>
      </w:r>
      <w:r w:rsidRPr="00964664">
        <w:rPr>
          <w:rFonts w:hint="eastAsia"/>
        </w:rPr>
        <w:t>查蔡英文總統105年8月1日代表政府向原住民族道歉文中提到</w:t>
      </w:r>
      <w:r w:rsidRPr="00964664">
        <w:rPr>
          <w:rFonts w:ascii="新細明體" w:eastAsia="新細明體" w:hAnsi="新細明體" w:hint="eastAsia"/>
        </w:rPr>
        <w:t>：</w:t>
      </w:r>
      <w:r w:rsidRPr="00964664">
        <w:rPr>
          <w:rFonts w:hAnsi="標楷體" w:hint="eastAsia"/>
        </w:rPr>
        <w:t>「</w:t>
      </w:r>
      <w:r w:rsidRPr="00964664">
        <w:rPr>
          <w:rFonts w:hint="eastAsia"/>
        </w:rPr>
        <w:t>以後每1年的8月1日，行政院都會向全國人民報告原住民族歷史正義及轉型正義的執行進度。落實原住民族的歷史正義，並建立原住民族的自治基礎，就是政府原住民族政策上的3大目標。</w:t>
      </w:r>
      <w:r w:rsidRPr="00964664">
        <w:rPr>
          <w:rFonts w:hAnsi="標楷體" w:hint="eastAsia"/>
        </w:rPr>
        <w:t>」</w:t>
      </w:r>
      <w:r w:rsidRPr="00964664">
        <w:rPr>
          <w:rFonts w:hint="eastAsia"/>
        </w:rPr>
        <w:t>而為落實原住民族歷史正義與轉型正義，首應爬梳過去不利的時空背景下，導致原住民族與原住民權利受侵害、剝奪之歷史真相，並進一步進行回復、賠償或補償等措施。</w:t>
      </w:r>
    </w:p>
    <w:p w:rsidR="00B61459" w:rsidRPr="00964664" w:rsidRDefault="00B61459" w:rsidP="00B61459">
      <w:pPr>
        <w:pStyle w:val="3"/>
        <w:rPr>
          <w:rFonts w:hAnsi="標楷體"/>
          <w:szCs w:val="32"/>
        </w:rPr>
      </w:pPr>
      <w:r w:rsidRPr="00964664">
        <w:rPr>
          <w:rFonts w:hint="eastAsia"/>
        </w:rPr>
        <w:t>綜上，</w:t>
      </w:r>
      <w:r w:rsidRPr="00964664">
        <w:rPr>
          <w:rFonts w:hAnsi="標楷體" w:hint="eastAsia"/>
          <w:szCs w:val="32"/>
        </w:rPr>
        <w:t>查陳訴人之父</w:t>
      </w:r>
      <w:r w:rsidR="00536825">
        <w:rPr>
          <w:rFonts w:hAnsi="標楷體" w:hint="eastAsia"/>
          <w:szCs w:val="32"/>
        </w:rPr>
        <w:t>金○○</w:t>
      </w:r>
      <w:r w:rsidRPr="00964664">
        <w:rPr>
          <w:rFonts w:hAnsi="標楷體" w:hint="eastAsia"/>
          <w:szCs w:val="32"/>
        </w:rPr>
        <w:t>已於69年5月21日取得系爭保留地之所有權，竟因政府長期將該土地租予</w:t>
      </w:r>
      <w:r w:rsidRPr="00964664">
        <w:rPr>
          <w:rFonts w:hAnsi="標楷體"/>
          <w:szCs w:val="32"/>
        </w:rPr>
        <w:t>台陽股份有限公司</w:t>
      </w:r>
      <w:r w:rsidRPr="00964664">
        <w:rPr>
          <w:rFonts w:hAnsi="標楷體" w:hint="eastAsia"/>
          <w:szCs w:val="32"/>
        </w:rPr>
        <w:t>採礦使用，致</w:t>
      </w:r>
      <w:r w:rsidR="00536825">
        <w:rPr>
          <w:rFonts w:hAnsi="標楷體" w:hint="eastAsia"/>
          <w:szCs w:val="32"/>
        </w:rPr>
        <w:t>金○○</w:t>
      </w:r>
      <w:r w:rsidRPr="00964664">
        <w:rPr>
          <w:rFonts w:hAnsi="標楷體" w:hint="eastAsia"/>
          <w:szCs w:val="32"/>
        </w:rPr>
        <w:t>無法自由使用、收益其土地，甚至於76年8月17日將其所有權拋棄，整個過程問題、疑點重重，突顯當時原住民處於經濟與社會弱勢，應有權益未獲保障，以致原住民土地遭到各種形式掠奪，對原住民族既有權利侵害甚鉅。有鑑於我國原住民保留地制度係國家與原住民之特別信託關係，原住民族委員會允應為原住民族之利益使用、管理原住民保留地，並督同花蓮縣政府及秀林鄉公所，加速釐清本案相關疑義，基於</w:t>
      </w:r>
      <w:r w:rsidRPr="00964664">
        <w:rPr>
          <w:rFonts w:hAnsi="標楷體"/>
          <w:szCs w:val="32"/>
        </w:rPr>
        <w:t>歷史</w:t>
      </w:r>
      <w:r w:rsidRPr="00964664">
        <w:rPr>
          <w:rFonts w:hAnsi="標楷體" w:hint="eastAsia"/>
          <w:szCs w:val="32"/>
        </w:rPr>
        <w:t>正義與</w:t>
      </w:r>
      <w:r w:rsidRPr="00964664">
        <w:rPr>
          <w:rFonts w:hAnsi="標楷體"/>
          <w:szCs w:val="32"/>
        </w:rPr>
        <w:t>轉型正義</w:t>
      </w:r>
      <w:r w:rsidRPr="00964664">
        <w:rPr>
          <w:rFonts w:hAnsi="標楷體" w:hint="eastAsia"/>
          <w:szCs w:val="32"/>
        </w:rPr>
        <w:t>，協助陳訴人爭取應有之土地權利。</w:t>
      </w:r>
    </w:p>
    <w:p w:rsidR="00B61459" w:rsidRPr="00964664" w:rsidRDefault="00B61459" w:rsidP="00B61459">
      <w:pPr>
        <w:pStyle w:val="3"/>
        <w:numPr>
          <w:ilvl w:val="0"/>
          <w:numId w:val="0"/>
        </w:numPr>
        <w:ind w:left="1361"/>
        <w:rPr>
          <w:rFonts w:hAnsi="標楷體"/>
          <w:b/>
          <w:szCs w:val="32"/>
        </w:rPr>
      </w:pPr>
    </w:p>
    <w:p w:rsidR="00B61459" w:rsidRPr="00964664" w:rsidRDefault="00B61459" w:rsidP="00B61459">
      <w:pPr>
        <w:pStyle w:val="3"/>
        <w:numPr>
          <w:ilvl w:val="0"/>
          <w:numId w:val="0"/>
        </w:numPr>
        <w:ind w:left="1021"/>
      </w:pPr>
    </w:p>
    <w:p w:rsidR="00B61459" w:rsidRPr="00964664" w:rsidRDefault="00B61459" w:rsidP="00B61459">
      <w:pPr>
        <w:pStyle w:val="1"/>
      </w:pPr>
      <w:bookmarkStart w:id="26" w:name="_Toc524895648"/>
      <w:bookmarkStart w:id="27" w:name="_Toc524896194"/>
      <w:bookmarkStart w:id="28" w:name="_Toc524896224"/>
      <w:bookmarkStart w:id="29" w:name="_Toc524902734"/>
      <w:bookmarkStart w:id="30" w:name="_Toc525066148"/>
      <w:bookmarkStart w:id="31" w:name="_Toc525070839"/>
      <w:bookmarkStart w:id="32" w:name="_Toc525938379"/>
      <w:bookmarkStart w:id="33" w:name="_Toc525939227"/>
      <w:bookmarkStart w:id="34" w:name="_Toc525939732"/>
      <w:bookmarkStart w:id="35" w:name="_Toc529218272"/>
      <w:bookmarkEnd w:id="25"/>
      <w:r w:rsidRPr="00964664">
        <w:br w:type="page"/>
      </w:r>
      <w:bookmarkStart w:id="36" w:name="_Toc529222689"/>
      <w:bookmarkStart w:id="37" w:name="_Toc529223111"/>
      <w:bookmarkStart w:id="38" w:name="_Toc529223862"/>
      <w:bookmarkStart w:id="39" w:name="_Toc529228265"/>
      <w:bookmarkStart w:id="40" w:name="_Toc2400395"/>
      <w:bookmarkStart w:id="41" w:name="_Toc4316189"/>
      <w:bookmarkStart w:id="42" w:name="_Toc4473330"/>
      <w:bookmarkStart w:id="43" w:name="_Toc69556897"/>
      <w:bookmarkStart w:id="44" w:name="_Toc69556946"/>
      <w:bookmarkStart w:id="45" w:name="_Toc69609820"/>
      <w:bookmarkStart w:id="46" w:name="_Toc70241816"/>
      <w:bookmarkStart w:id="47" w:name="_Toc70242205"/>
      <w:bookmarkStart w:id="48" w:name="_Toc421794875"/>
      <w:bookmarkStart w:id="49" w:name="_Toc422834160"/>
      <w:r w:rsidRPr="00964664">
        <w:rPr>
          <w:rFonts w:hAnsi="標楷體" w:hint="eastAsia"/>
        </w:rPr>
        <w:lastRenderedPageBreak/>
        <w:t>處理</w:t>
      </w:r>
      <w:r w:rsidRPr="00964664">
        <w:rPr>
          <w:rFonts w:hint="eastAsia"/>
        </w:rPr>
        <w:t>辦法：</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B61459" w:rsidRPr="00964664" w:rsidRDefault="00B61459" w:rsidP="00B61459">
      <w:pPr>
        <w:pStyle w:val="2"/>
        <w:numPr>
          <w:ilvl w:val="1"/>
          <w:numId w:val="1"/>
        </w:numPr>
      </w:pPr>
      <w:bookmarkStart w:id="50" w:name="_Toc524895649"/>
      <w:bookmarkStart w:id="51" w:name="_Toc524896195"/>
      <w:bookmarkStart w:id="52" w:name="_Toc524896225"/>
      <w:bookmarkStart w:id="53" w:name="_Toc2400396"/>
      <w:bookmarkStart w:id="54" w:name="_Toc4316190"/>
      <w:bookmarkStart w:id="55" w:name="_Toc4473331"/>
      <w:bookmarkStart w:id="56" w:name="_Toc69556898"/>
      <w:bookmarkStart w:id="57" w:name="_Toc69556947"/>
      <w:bookmarkStart w:id="58" w:name="_Toc69609821"/>
      <w:bookmarkStart w:id="59" w:name="_Toc70241817"/>
      <w:bookmarkStart w:id="60" w:name="_Toc70242206"/>
      <w:bookmarkStart w:id="61" w:name="_Toc524902735"/>
      <w:bookmarkStart w:id="62" w:name="_Toc525066149"/>
      <w:bookmarkStart w:id="63" w:name="_Toc525070840"/>
      <w:bookmarkStart w:id="64" w:name="_Toc525938380"/>
      <w:bookmarkStart w:id="65" w:name="_Toc525939228"/>
      <w:bookmarkStart w:id="66" w:name="_Toc525939733"/>
      <w:bookmarkStart w:id="67" w:name="_Toc529218273"/>
      <w:bookmarkStart w:id="68" w:name="_Toc529222690"/>
      <w:bookmarkStart w:id="69" w:name="_Toc529223112"/>
      <w:bookmarkStart w:id="70" w:name="_Toc529223863"/>
      <w:bookmarkStart w:id="71" w:name="_Toc529228266"/>
      <w:bookmarkEnd w:id="50"/>
      <w:bookmarkEnd w:id="51"/>
      <w:bookmarkEnd w:id="52"/>
      <w:r w:rsidRPr="005B7FC9">
        <w:rPr>
          <w:rFonts w:hint="eastAsia"/>
        </w:rPr>
        <w:t>調查意見一、二，函請行政院轉飭原住民族委員會、花蓮縣政府、花蓮縣秀林鄉公所確實</w:t>
      </w:r>
      <w:r>
        <w:rPr>
          <w:rFonts w:hint="eastAsia"/>
        </w:rPr>
        <w:t>研討辦理</w:t>
      </w:r>
      <w:r w:rsidR="00A04C6A">
        <w:rPr>
          <w:rFonts w:hint="eastAsia"/>
        </w:rPr>
        <w:t>見復</w:t>
      </w:r>
      <w:r w:rsidRPr="005B7FC9">
        <w:rPr>
          <w:rFonts w:hint="eastAsia"/>
        </w:rPr>
        <w:t>。</w:t>
      </w:r>
    </w:p>
    <w:p w:rsidR="00B61459" w:rsidRPr="00964664" w:rsidRDefault="00B61459" w:rsidP="00B61459">
      <w:pPr>
        <w:pStyle w:val="2"/>
        <w:numPr>
          <w:ilvl w:val="1"/>
          <w:numId w:val="1"/>
        </w:numPr>
        <w:ind w:left="966"/>
      </w:pPr>
      <w:bookmarkStart w:id="72" w:name="_Toc70241819"/>
      <w:bookmarkStart w:id="73" w:name="_Toc70242208"/>
      <w:bookmarkStart w:id="74" w:name="_Toc421794878"/>
      <w:bookmarkStart w:id="75" w:name="_Toc421795444"/>
      <w:bookmarkStart w:id="76" w:name="_Toc421796025"/>
      <w:bookmarkStart w:id="77" w:name="_Toc422728960"/>
      <w:bookmarkStart w:id="78" w:name="_Toc422834163"/>
      <w:bookmarkStart w:id="79" w:name="_Toc70241818"/>
      <w:bookmarkStart w:id="80" w:name="_Toc70242207"/>
      <w:bookmarkStart w:id="81" w:name="_Toc69556899"/>
      <w:bookmarkStart w:id="82" w:name="_Toc69556948"/>
      <w:bookmarkStart w:id="83" w:name="_Toc69609822"/>
      <w:bookmarkEnd w:id="53"/>
      <w:bookmarkEnd w:id="54"/>
      <w:bookmarkEnd w:id="55"/>
      <w:bookmarkEnd w:id="56"/>
      <w:bookmarkEnd w:id="57"/>
      <w:bookmarkEnd w:id="58"/>
      <w:bookmarkEnd w:id="59"/>
      <w:bookmarkEnd w:id="60"/>
      <w:r w:rsidRPr="00964664">
        <w:rPr>
          <w:rFonts w:hAnsi="標楷體" w:hint="eastAsia"/>
        </w:rPr>
        <w:t>影附調查意見，函送</w:t>
      </w:r>
      <w:r w:rsidRPr="00964664">
        <w:rPr>
          <w:rFonts w:hAnsi="標楷體"/>
        </w:rPr>
        <w:t>原住民族歷史正義與轉型正義委員會</w:t>
      </w:r>
      <w:r w:rsidRPr="00964664">
        <w:rPr>
          <w:rFonts w:hAnsi="標楷體" w:hint="eastAsia"/>
        </w:rPr>
        <w:t>。</w:t>
      </w:r>
    </w:p>
    <w:p w:rsidR="00B61459" w:rsidRPr="00964664" w:rsidRDefault="00B61459" w:rsidP="00B61459">
      <w:pPr>
        <w:pStyle w:val="2"/>
        <w:numPr>
          <w:ilvl w:val="1"/>
          <w:numId w:val="1"/>
        </w:numPr>
        <w:ind w:left="966"/>
      </w:pPr>
      <w:r w:rsidRPr="00964664">
        <w:rPr>
          <w:rFonts w:hAnsi="標楷體" w:hint="eastAsia"/>
          <w:szCs w:val="32"/>
        </w:rPr>
        <w:t>抄調查意見，函復陳訴人。</w:t>
      </w:r>
      <w:bookmarkEnd w:id="72"/>
      <w:bookmarkEnd w:id="73"/>
      <w:bookmarkEnd w:id="74"/>
      <w:bookmarkEnd w:id="75"/>
      <w:bookmarkEnd w:id="76"/>
      <w:bookmarkEnd w:id="77"/>
      <w:bookmarkEnd w:id="78"/>
    </w:p>
    <w:p w:rsidR="00B61459" w:rsidRPr="00964664" w:rsidRDefault="00B61459" w:rsidP="00B61459">
      <w:pPr>
        <w:pStyle w:val="2"/>
        <w:numPr>
          <w:ilvl w:val="1"/>
          <w:numId w:val="1"/>
        </w:numPr>
        <w:ind w:left="966"/>
      </w:pPr>
      <w:bookmarkStart w:id="84" w:name="_Toc2400397"/>
      <w:bookmarkStart w:id="85" w:name="_Toc4316191"/>
      <w:bookmarkStart w:id="86" w:name="_Toc4473332"/>
      <w:bookmarkStart w:id="87" w:name="_Toc69556901"/>
      <w:bookmarkStart w:id="88" w:name="_Toc69556950"/>
      <w:bookmarkStart w:id="89" w:name="_Toc69609824"/>
      <w:bookmarkStart w:id="90" w:name="_Toc70241822"/>
      <w:bookmarkStart w:id="91" w:name="_Toc70242211"/>
      <w:bookmarkStart w:id="92" w:name="_Toc421794881"/>
      <w:bookmarkStart w:id="93" w:name="_Toc421795447"/>
      <w:bookmarkStart w:id="94" w:name="_Toc421796028"/>
      <w:bookmarkStart w:id="95" w:name="_Toc422728963"/>
      <w:bookmarkStart w:id="96" w:name="_Toc422834166"/>
      <w:bookmarkEnd w:id="61"/>
      <w:bookmarkEnd w:id="62"/>
      <w:bookmarkEnd w:id="63"/>
      <w:bookmarkEnd w:id="64"/>
      <w:bookmarkEnd w:id="65"/>
      <w:bookmarkEnd w:id="66"/>
      <w:bookmarkEnd w:id="67"/>
      <w:bookmarkEnd w:id="68"/>
      <w:bookmarkEnd w:id="69"/>
      <w:bookmarkEnd w:id="70"/>
      <w:bookmarkEnd w:id="71"/>
      <w:bookmarkEnd w:id="79"/>
      <w:bookmarkEnd w:id="80"/>
      <w:bookmarkEnd w:id="81"/>
      <w:bookmarkEnd w:id="82"/>
      <w:bookmarkEnd w:id="83"/>
      <w:r w:rsidRPr="00964664">
        <w:rPr>
          <w:rFonts w:hint="eastAsia"/>
        </w:rPr>
        <w:t>檢附派查函及相關附件，送請內政及少數民族委員會處理。</w:t>
      </w:r>
      <w:bookmarkStart w:id="97" w:name="_GoBack"/>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B61459" w:rsidRPr="00D10BC0" w:rsidRDefault="00A04C6A" w:rsidP="00A04C6A">
      <w:pPr>
        <w:pStyle w:val="a4"/>
        <w:spacing w:beforeLines="50" w:before="228" w:after="0"/>
        <w:ind w:left="0"/>
        <w:rPr>
          <w:rFonts w:ascii="Times New Roman"/>
          <w:bCs/>
          <w:snapToGrid/>
          <w:spacing w:val="0"/>
          <w:kern w:val="0"/>
          <w:sz w:val="40"/>
        </w:rPr>
      </w:pPr>
      <w:r>
        <w:rPr>
          <w:rFonts w:hint="eastAsia"/>
          <w:b w:val="0"/>
          <w:bCs/>
          <w:snapToGrid/>
          <w:spacing w:val="12"/>
          <w:kern w:val="0"/>
          <w:sz w:val="40"/>
        </w:rPr>
        <w:t xml:space="preserve">    </w:t>
      </w:r>
      <w:r w:rsidR="00B61459" w:rsidRPr="00D10BC0">
        <w:rPr>
          <w:rFonts w:hint="eastAsia"/>
          <w:bCs/>
          <w:snapToGrid/>
          <w:spacing w:val="12"/>
          <w:kern w:val="0"/>
          <w:sz w:val="40"/>
        </w:rPr>
        <w:t>調查委員：</w:t>
      </w:r>
      <w:r w:rsidRPr="00D10BC0">
        <w:rPr>
          <w:rFonts w:hint="eastAsia"/>
          <w:bCs/>
          <w:snapToGrid/>
          <w:spacing w:val="12"/>
          <w:kern w:val="0"/>
          <w:sz w:val="40"/>
        </w:rPr>
        <w:t>瓦歷斯．貝林、高涌誠</w:t>
      </w:r>
    </w:p>
    <w:p w:rsidR="00B61459" w:rsidRPr="00964664" w:rsidRDefault="00B61459" w:rsidP="00B61459">
      <w:pPr>
        <w:pStyle w:val="a4"/>
        <w:spacing w:before="0" w:after="0"/>
        <w:ind w:leftChars="1100" w:left="2862" w:firstLineChars="500" w:firstLine="2021"/>
        <w:rPr>
          <w:b w:val="0"/>
          <w:bCs/>
          <w:snapToGrid/>
          <w:spacing w:val="12"/>
          <w:kern w:val="0"/>
        </w:rPr>
      </w:pPr>
    </w:p>
    <w:p w:rsidR="00B61459" w:rsidRPr="00964664" w:rsidRDefault="00B61459" w:rsidP="00B61459">
      <w:pPr>
        <w:pStyle w:val="a4"/>
        <w:spacing w:before="0" w:after="0"/>
        <w:ind w:leftChars="1100" w:left="2862" w:firstLineChars="500" w:firstLine="2021"/>
        <w:rPr>
          <w:b w:val="0"/>
          <w:bCs/>
          <w:snapToGrid/>
          <w:spacing w:val="12"/>
          <w:kern w:val="0"/>
        </w:rPr>
      </w:pPr>
    </w:p>
    <w:p w:rsidR="00307724" w:rsidRPr="00B61459" w:rsidRDefault="00307724"/>
    <w:sectPr w:rsidR="00307724" w:rsidRPr="00B61459" w:rsidSect="00723CBB">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739" w:rsidRDefault="007B7739" w:rsidP="00B61459">
      <w:r>
        <w:separator/>
      </w:r>
    </w:p>
  </w:endnote>
  <w:endnote w:type="continuationSeparator" w:id="0">
    <w:p w:rsidR="007B7739" w:rsidRDefault="007B7739" w:rsidP="00B61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739" w:rsidRDefault="007B7739" w:rsidP="00B61459">
      <w:r>
        <w:separator/>
      </w:r>
    </w:p>
  </w:footnote>
  <w:footnote w:type="continuationSeparator" w:id="0">
    <w:p w:rsidR="007B7739" w:rsidRDefault="007B7739" w:rsidP="00B61459">
      <w:r>
        <w:continuationSeparator/>
      </w:r>
    </w:p>
  </w:footnote>
  <w:footnote w:id="1">
    <w:p w:rsidR="00B61459" w:rsidRPr="003379B7" w:rsidRDefault="00B61459" w:rsidP="00B61459">
      <w:pPr>
        <w:pStyle w:val="a9"/>
        <w:ind w:left="139" w:hangingChars="63" w:hanging="139"/>
        <w:jc w:val="both"/>
        <w:rPr>
          <w:rFonts w:ascii="標楷體" w:eastAsia="標楷體" w:hAnsi="標楷體"/>
        </w:rPr>
      </w:pPr>
      <w:r w:rsidRPr="003379B7">
        <w:rPr>
          <w:rStyle w:val="ab"/>
          <w:rFonts w:ascii="標楷體" w:eastAsia="標楷體" w:hAnsi="標楷體"/>
        </w:rPr>
        <w:footnoteRef/>
      </w:r>
      <w:r w:rsidRPr="003379B7">
        <w:rPr>
          <w:rFonts w:ascii="標楷體" w:eastAsia="標楷體" w:hAnsi="標楷體" w:hint="eastAsia"/>
          <w:bCs/>
        </w:rPr>
        <w:t>官大偉</w:t>
      </w:r>
      <w:r w:rsidRPr="003379B7">
        <w:rPr>
          <w:rFonts w:ascii="標楷體" w:eastAsia="標楷體" w:hAnsi="標楷體" w:cs="夹发砰" w:hint="eastAsia"/>
          <w:kern w:val="0"/>
        </w:rPr>
        <w:t>(民104)，</w:t>
      </w:r>
      <w:r w:rsidRPr="003379B7">
        <w:rPr>
          <w:rFonts w:ascii="標楷體" w:eastAsia="標楷體" w:hAnsi="標楷體" w:cs="夹发砰" w:hint="eastAsia"/>
          <w:b/>
          <w:i/>
          <w:kern w:val="0"/>
        </w:rPr>
        <w:t>「原</w:t>
      </w:r>
      <w:r w:rsidRPr="003379B7">
        <w:rPr>
          <w:rFonts w:ascii="標楷體" w:eastAsia="標楷體" w:hAnsi="標楷體" w:cs="夹发砰"/>
          <w:b/>
          <w:i/>
          <w:kern w:val="0"/>
        </w:rPr>
        <w:t>住民保留地土地政策調查研究-非原住民使用總登記為原住民保留地問題研析期末報告</w:t>
      </w:r>
      <w:r w:rsidRPr="003379B7">
        <w:rPr>
          <w:rFonts w:ascii="標楷體" w:eastAsia="標楷體" w:hAnsi="標楷體" w:cs="夹发砰" w:hint="eastAsia"/>
          <w:b/>
          <w:i/>
          <w:kern w:val="0"/>
        </w:rPr>
        <w:t>」</w:t>
      </w:r>
      <w:r w:rsidRPr="003379B7">
        <w:rPr>
          <w:rFonts w:ascii="標楷體" w:eastAsia="標楷體" w:hAnsi="標楷體" w:cs="夹发砰" w:hint="eastAsia"/>
          <w:kern w:val="0"/>
        </w:rPr>
        <w:t>，原住民族委員會委託研究。</w:t>
      </w:r>
    </w:p>
  </w:footnote>
  <w:footnote w:id="2">
    <w:p w:rsidR="00B61459" w:rsidRPr="00E3145F" w:rsidRDefault="00B61459" w:rsidP="00B61459">
      <w:pPr>
        <w:pStyle w:val="a9"/>
        <w:ind w:left="139" w:hangingChars="63" w:hanging="139"/>
        <w:jc w:val="both"/>
      </w:pPr>
      <w:r>
        <w:rPr>
          <w:rStyle w:val="ab"/>
        </w:rPr>
        <w:footnoteRef/>
      </w:r>
      <w:r w:rsidRPr="00C01B73">
        <w:rPr>
          <w:rFonts w:ascii="標楷體" w:eastAsia="標楷體" w:hAnsi="標楷體" w:hint="eastAsia"/>
          <w:bCs/>
        </w:rPr>
        <w:t>行為時礦業法第60條規定：「</w:t>
      </w:r>
      <w:r w:rsidRPr="00655DAE">
        <w:rPr>
          <w:rFonts w:ascii="標楷體" w:eastAsia="標楷體" w:hAnsi="標楷體" w:hint="eastAsia"/>
          <w:bCs/>
        </w:rPr>
        <w:t>礦業權者因左列各款之一有必要時得依法使用他人土地：一</w:t>
      </w:r>
      <w:r w:rsidRPr="00C01B73">
        <w:rPr>
          <w:rFonts w:ascii="標楷體" w:eastAsia="標楷體" w:hAnsi="標楷體" w:hint="eastAsia"/>
          <w:bCs/>
        </w:rPr>
        <w:t>、</w:t>
      </w:r>
      <w:r w:rsidRPr="00655DAE">
        <w:rPr>
          <w:rFonts w:ascii="標楷體" w:eastAsia="標楷體" w:hAnsi="標楷體" w:hint="eastAsia"/>
          <w:bCs/>
        </w:rPr>
        <w:t>開鑿井隧。二</w:t>
      </w:r>
      <w:r w:rsidRPr="00C01B73">
        <w:rPr>
          <w:rFonts w:ascii="標楷體" w:eastAsia="標楷體" w:hAnsi="標楷體" w:hint="eastAsia"/>
          <w:bCs/>
        </w:rPr>
        <w:t>、</w:t>
      </w:r>
      <w:r w:rsidRPr="00655DAE">
        <w:rPr>
          <w:rFonts w:ascii="標楷體" w:eastAsia="標楷體" w:hAnsi="標楷體" w:hint="eastAsia"/>
          <w:bCs/>
        </w:rPr>
        <w:t>堆積礦產物、土石爆發藥、薪、炭、礦渣、灰燼或一切礦用材料。三</w:t>
      </w:r>
      <w:r w:rsidRPr="00C01B73">
        <w:rPr>
          <w:rFonts w:ascii="標楷體" w:eastAsia="標楷體" w:hAnsi="標楷體" w:hint="eastAsia"/>
          <w:bCs/>
        </w:rPr>
        <w:t>、</w:t>
      </w:r>
      <w:r w:rsidRPr="00655DAE">
        <w:rPr>
          <w:rFonts w:ascii="標楷體" w:eastAsia="標楷體" w:hAnsi="標楷體" w:hint="eastAsia"/>
          <w:bCs/>
        </w:rPr>
        <w:t>建築礦業廠庫或其需要房屋。四</w:t>
      </w:r>
      <w:r w:rsidRPr="00C01B73">
        <w:rPr>
          <w:rFonts w:ascii="標楷體" w:eastAsia="標楷體" w:hAnsi="標楷體" w:hint="eastAsia"/>
          <w:bCs/>
        </w:rPr>
        <w:t>、</w:t>
      </w:r>
      <w:r w:rsidRPr="00655DAE">
        <w:rPr>
          <w:rFonts w:ascii="標楷體" w:eastAsia="標楷體" w:hAnsi="標楷體" w:hint="eastAsia"/>
          <w:bCs/>
        </w:rPr>
        <w:t>設置大小鐵路、運路、運河、水管、氣管、溝渠、地井、索道或電線等。五</w:t>
      </w:r>
      <w:r w:rsidRPr="00C01B73">
        <w:rPr>
          <w:rFonts w:ascii="標楷體" w:eastAsia="標楷體" w:hAnsi="標楷體" w:hint="eastAsia"/>
          <w:bCs/>
        </w:rPr>
        <w:t>、</w:t>
      </w:r>
      <w:r w:rsidRPr="00655DAE">
        <w:rPr>
          <w:rFonts w:ascii="標楷體" w:eastAsia="標楷體" w:hAnsi="標楷體" w:hint="eastAsia"/>
          <w:bCs/>
        </w:rPr>
        <w:t>設施其他礦業上必要之各種工事或工作物。</w:t>
      </w:r>
      <w:r w:rsidRPr="00C01B73">
        <w:rPr>
          <w:rFonts w:ascii="標楷體" w:eastAsia="標楷體" w:hAnsi="標楷體" w:hint="eastAsia"/>
          <w:bCs/>
        </w:rPr>
        <w:t>」</w:t>
      </w:r>
    </w:p>
  </w:footnote>
  <w:footnote w:id="3">
    <w:p w:rsidR="00B61459" w:rsidRPr="00E3145F" w:rsidRDefault="00B61459" w:rsidP="00B61459">
      <w:pPr>
        <w:pStyle w:val="a9"/>
        <w:ind w:left="139" w:hangingChars="63" w:hanging="139"/>
        <w:jc w:val="both"/>
      </w:pPr>
      <w:r>
        <w:rPr>
          <w:rStyle w:val="ab"/>
        </w:rPr>
        <w:footnoteRef/>
      </w:r>
      <w:r w:rsidRPr="00C01B73">
        <w:rPr>
          <w:rFonts w:ascii="標楷體" w:eastAsia="標楷體" w:hAnsi="標楷體" w:hint="eastAsia"/>
          <w:bCs/>
        </w:rPr>
        <w:t>行為時礦業法第64條規定：「(第1項)依第60條之規定使用他人土地礦業權者，應備具施工計劃，附同圖說，申請省(直轄市)主管機關審查，就其必須使用之面積予以核定，並通知土地所有人及關係人。(第2項)省(直轄市)主管機關為前項核定時，得先詢徵地政主管機關之意見。(第3項)第1項之規定如土地為公有時，省(直轄市)主管機關於核定前，應徵求該土地主管機構之同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E010C"/>
    <w:multiLevelType w:val="multilevel"/>
    <w:tmpl w:val="B56A372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 w15:restartNumberingAfterBreak="0">
    <w:nsid w:val="19532EFC"/>
    <w:multiLevelType w:val="hybridMultilevel"/>
    <w:tmpl w:val="7CBA69F8"/>
    <w:lvl w:ilvl="0" w:tplc="178A5CEA">
      <w:start w:val="1"/>
      <w:numFmt w:val="taiwaneseCountingThousand"/>
      <w:pStyle w:val="a"/>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459"/>
    <w:rsid w:val="000D0816"/>
    <w:rsid w:val="000D768D"/>
    <w:rsid w:val="00307724"/>
    <w:rsid w:val="00316820"/>
    <w:rsid w:val="00371D80"/>
    <w:rsid w:val="004C12CC"/>
    <w:rsid w:val="00536825"/>
    <w:rsid w:val="007B7739"/>
    <w:rsid w:val="00A04C6A"/>
    <w:rsid w:val="00B61459"/>
    <w:rsid w:val="00D10BC0"/>
    <w:rsid w:val="00E2542C"/>
    <w:rsid w:val="00E36A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408436-14A0-4989-B106-38751EB33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paragraph" w:styleId="1">
    <w:name w:val="heading 1"/>
    <w:basedOn w:val="a0"/>
    <w:link w:val="10"/>
    <w:qFormat/>
    <w:rsid w:val="00B61459"/>
    <w:pPr>
      <w:numPr>
        <w:numId w:val="1"/>
      </w:numPr>
      <w:kinsoku w:val="0"/>
      <w:overflowPunct w:val="0"/>
      <w:autoSpaceDE w:val="0"/>
      <w:autoSpaceDN w:val="0"/>
      <w:jc w:val="both"/>
      <w:outlineLvl w:val="0"/>
    </w:pPr>
    <w:rPr>
      <w:rFonts w:ascii="標楷體" w:eastAsia="標楷體" w:hAnsi="Arial" w:cs="Times New Roman"/>
      <w:bCs/>
      <w:kern w:val="32"/>
      <w:sz w:val="32"/>
      <w:szCs w:val="52"/>
    </w:rPr>
  </w:style>
  <w:style w:type="paragraph" w:styleId="2">
    <w:name w:val="heading 2"/>
    <w:basedOn w:val="a0"/>
    <w:link w:val="20"/>
    <w:qFormat/>
    <w:rsid w:val="00B61459"/>
    <w:pPr>
      <w:kinsoku w:val="0"/>
      <w:overflowPunct w:val="0"/>
      <w:autoSpaceDE w:val="0"/>
      <w:autoSpaceDN w:val="0"/>
      <w:jc w:val="both"/>
      <w:outlineLvl w:val="1"/>
    </w:pPr>
    <w:rPr>
      <w:rFonts w:ascii="標楷體" w:eastAsia="標楷體" w:hAnsi="Arial" w:cs="Times New Roman"/>
      <w:bCs/>
      <w:kern w:val="32"/>
      <w:sz w:val="32"/>
      <w:szCs w:val="48"/>
    </w:rPr>
  </w:style>
  <w:style w:type="paragraph" w:styleId="3">
    <w:name w:val="heading 3"/>
    <w:aliases w:val="小節標題,sub pro,--1.1.1.,1.1.1,標題 3 字元 字元"/>
    <w:basedOn w:val="a0"/>
    <w:link w:val="30"/>
    <w:qFormat/>
    <w:rsid w:val="00B61459"/>
    <w:pPr>
      <w:numPr>
        <w:ilvl w:val="2"/>
        <w:numId w:val="1"/>
      </w:numPr>
      <w:kinsoku w:val="0"/>
      <w:overflowPunct w:val="0"/>
      <w:autoSpaceDE w:val="0"/>
      <w:autoSpaceDN w:val="0"/>
      <w:jc w:val="both"/>
      <w:outlineLvl w:val="2"/>
    </w:pPr>
    <w:rPr>
      <w:rFonts w:ascii="標楷體" w:eastAsia="標楷體" w:hAnsi="Arial" w:cs="Times New Roman"/>
      <w:bCs/>
      <w:kern w:val="32"/>
      <w:sz w:val="32"/>
      <w:szCs w:val="36"/>
    </w:rPr>
  </w:style>
  <w:style w:type="paragraph" w:styleId="4">
    <w:name w:val="heading 4"/>
    <w:aliases w:val="表格"/>
    <w:basedOn w:val="a0"/>
    <w:link w:val="40"/>
    <w:qFormat/>
    <w:rsid w:val="00B61459"/>
    <w:pPr>
      <w:numPr>
        <w:ilvl w:val="3"/>
        <w:numId w:val="1"/>
      </w:numPr>
      <w:kinsoku w:val="0"/>
      <w:overflowPunct w:val="0"/>
      <w:autoSpaceDE w:val="0"/>
      <w:autoSpaceDN w:val="0"/>
      <w:jc w:val="both"/>
      <w:outlineLvl w:val="3"/>
    </w:pPr>
    <w:rPr>
      <w:rFonts w:ascii="標楷體" w:eastAsia="標楷體" w:hAnsi="Arial" w:cs="Times New Roman"/>
      <w:kern w:val="32"/>
      <w:sz w:val="32"/>
      <w:szCs w:val="36"/>
    </w:rPr>
  </w:style>
  <w:style w:type="paragraph" w:styleId="5">
    <w:name w:val="heading 5"/>
    <w:basedOn w:val="a0"/>
    <w:link w:val="50"/>
    <w:qFormat/>
    <w:rsid w:val="00B61459"/>
    <w:pPr>
      <w:numPr>
        <w:ilvl w:val="4"/>
        <w:numId w:val="1"/>
      </w:numPr>
      <w:kinsoku w:val="0"/>
      <w:overflowPunct w:val="0"/>
      <w:autoSpaceDE w:val="0"/>
      <w:autoSpaceDN w:val="0"/>
      <w:jc w:val="both"/>
      <w:outlineLvl w:val="4"/>
    </w:pPr>
    <w:rPr>
      <w:rFonts w:ascii="標楷體" w:eastAsia="標楷體" w:hAnsi="Arial" w:cs="Times New Roman"/>
      <w:bCs/>
      <w:kern w:val="32"/>
      <w:sz w:val="32"/>
      <w:szCs w:val="36"/>
    </w:rPr>
  </w:style>
  <w:style w:type="paragraph" w:styleId="6">
    <w:name w:val="heading 6"/>
    <w:basedOn w:val="a0"/>
    <w:link w:val="60"/>
    <w:qFormat/>
    <w:rsid w:val="00B61459"/>
    <w:pPr>
      <w:numPr>
        <w:ilvl w:val="5"/>
        <w:numId w:val="1"/>
      </w:numPr>
      <w:tabs>
        <w:tab w:val="left" w:pos="2094"/>
      </w:tabs>
      <w:kinsoku w:val="0"/>
      <w:overflowPunct w:val="0"/>
      <w:autoSpaceDE w:val="0"/>
      <w:autoSpaceDN w:val="0"/>
      <w:jc w:val="both"/>
      <w:outlineLvl w:val="5"/>
    </w:pPr>
    <w:rPr>
      <w:rFonts w:ascii="標楷體" w:eastAsia="標楷體" w:hAnsi="Arial" w:cs="Times New Roman"/>
      <w:kern w:val="32"/>
      <w:sz w:val="32"/>
      <w:szCs w:val="36"/>
    </w:rPr>
  </w:style>
  <w:style w:type="paragraph" w:styleId="7">
    <w:name w:val="heading 7"/>
    <w:basedOn w:val="a0"/>
    <w:link w:val="70"/>
    <w:qFormat/>
    <w:rsid w:val="00B61459"/>
    <w:pPr>
      <w:numPr>
        <w:ilvl w:val="6"/>
        <w:numId w:val="1"/>
      </w:numPr>
      <w:kinsoku w:val="0"/>
      <w:overflowPunct w:val="0"/>
      <w:autoSpaceDE w:val="0"/>
      <w:autoSpaceDN w:val="0"/>
      <w:jc w:val="both"/>
      <w:outlineLvl w:val="6"/>
    </w:pPr>
    <w:rPr>
      <w:rFonts w:ascii="標楷體" w:eastAsia="標楷體" w:hAnsi="Arial" w:cs="Times New Roman"/>
      <w:bCs/>
      <w:kern w:val="32"/>
      <w:sz w:val="32"/>
      <w:szCs w:val="36"/>
    </w:rPr>
  </w:style>
  <w:style w:type="paragraph" w:styleId="8">
    <w:name w:val="heading 8"/>
    <w:basedOn w:val="a0"/>
    <w:link w:val="80"/>
    <w:qFormat/>
    <w:rsid w:val="00B61459"/>
    <w:pPr>
      <w:numPr>
        <w:ilvl w:val="7"/>
        <w:numId w:val="1"/>
      </w:numPr>
      <w:kinsoku w:val="0"/>
      <w:overflowPunct w:val="0"/>
      <w:autoSpaceDE w:val="0"/>
      <w:autoSpaceDN w:val="0"/>
      <w:jc w:val="both"/>
      <w:outlineLvl w:val="7"/>
    </w:pPr>
    <w:rPr>
      <w:rFonts w:ascii="標楷體" w:eastAsia="標楷體" w:hAnsi="Arial" w:cs="Times New Roman"/>
      <w:kern w:val="32"/>
      <w:sz w:val="32"/>
      <w:szCs w:val="36"/>
    </w:rPr>
  </w:style>
  <w:style w:type="paragraph" w:styleId="9">
    <w:name w:val="heading 9"/>
    <w:basedOn w:val="a0"/>
    <w:link w:val="90"/>
    <w:uiPriority w:val="9"/>
    <w:unhideWhenUsed/>
    <w:qFormat/>
    <w:rsid w:val="00B61459"/>
    <w:pPr>
      <w:numPr>
        <w:ilvl w:val="8"/>
        <w:numId w:val="1"/>
      </w:numPr>
      <w:kinsoku w:val="0"/>
      <w:overflowPunct w:val="0"/>
      <w:autoSpaceDE w:val="0"/>
      <w:autoSpaceDN w:val="0"/>
      <w:ind w:left="3403" w:hanging="851"/>
      <w:jc w:val="both"/>
      <w:outlineLvl w:val="8"/>
    </w:pPr>
    <w:rPr>
      <w:rFonts w:ascii="標楷體" w:eastAsia="標楷體" w:hAnsiTheme="majorHAnsi" w:cstheme="majorBidi"/>
      <w:kern w:val="32"/>
      <w:sz w:val="32"/>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B61459"/>
    <w:rPr>
      <w:rFonts w:ascii="標楷體" w:eastAsia="標楷體" w:hAnsi="Arial" w:cs="Times New Roman"/>
      <w:bCs/>
      <w:kern w:val="32"/>
      <w:sz w:val="32"/>
      <w:szCs w:val="52"/>
    </w:rPr>
  </w:style>
  <w:style w:type="character" w:customStyle="1" w:styleId="20">
    <w:name w:val="標題 2 字元"/>
    <w:basedOn w:val="a1"/>
    <w:link w:val="2"/>
    <w:rsid w:val="00B61459"/>
    <w:rPr>
      <w:rFonts w:ascii="標楷體" w:eastAsia="標楷體" w:hAnsi="Arial" w:cs="Times New Roman"/>
      <w:bCs/>
      <w:kern w:val="32"/>
      <w:sz w:val="32"/>
      <w:szCs w:val="48"/>
    </w:rPr>
  </w:style>
  <w:style w:type="character" w:customStyle="1" w:styleId="30">
    <w:name w:val="標題 3 字元"/>
    <w:aliases w:val="小節標題 字元,sub pro 字元,--1.1.1. 字元,1.1.1 字元,標題 3 字元 字元 字元"/>
    <w:basedOn w:val="a1"/>
    <w:link w:val="3"/>
    <w:rsid w:val="00B61459"/>
    <w:rPr>
      <w:rFonts w:ascii="標楷體" w:eastAsia="標楷體" w:hAnsi="Arial" w:cs="Times New Roman"/>
      <w:bCs/>
      <w:kern w:val="32"/>
      <w:sz w:val="32"/>
      <w:szCs w:val="36"/>
    </w:rPr>
  </w:style>
  <w:style w:type="character" w:customStyle="1" w:styleId="40">
    <w:name w:val="標題 4 字元"/>
    <w:aliases w:val="表格 字元"/>
    <w:basedOn w:val="a1"/>
    <w:link w:val="4"/>
    <w:rsid w:val="00B61459"/>
    <w:rPr>
      <w:rFonts w:ascii="標楷體" w:eastAsia="標楷體" w:hAnsi="Arial" w:cs="Times New Roman"/>
      <w:kern w:val="32"/>
      <w:sz w:val="32"/>
      <w:szCs w:val="36"/>
    </w:rPr>
  </w:style>
  <w:style w:type="character" w:customStyle="1" w:styleId="50">
    <w:name w:val="標題 5 字元"/>
    <w:basedOn w:val="a1"/>
    <w:link w:val="5"/>
    <w:rsid w:val="00B61459"/>
    <w:rPr>
      <w:rFonts w:ascii="標楷體" w:eastAsia="標楷體" w:hAnsi="Arial" w:cs="Times New Roman"/>
      <w:bCs/>
      <w:kern w:val="32"/>
      <w:sz w:val="32"/>
      <w:szCs w:val="36"/>
    </w:rPr>
  </w:style>
  <w:style w:type="character" w:customStyle="1" w:styleId="60">
    <w:name w:val="標題 6 字元"/>
    <w:basedOn w:val="a1"/>
    <w:link w:val="6"/>
    <w:rsid w:val="00B61459"/>
    <w:rPr>
      <w:rFonts w:ascii="標楷體" w:eastAsia="標楷體" w:hAnsi="Arial" w:cs="Times New Roman"/>
      <w:kern w:val="32"/>
      <w:sz w:val="32"/>
      <w:szCs w:val="36"/>
    </w:rPr>
  </w:style>
  <w:style w:type="character" w:customStyle="1" w:styleId="70">
    <w:name w:val="標題 7 字元"/>
    <w:basedOn w:val="a1"/>
    <w:link w:val="7"/>
    <w:rsid w:val="00B61459"/>
    <w:rPr>
      <w:rFonts w:ascii="標楷體" w:eastAsia="標楷體" w:hAnsi="Arial" w:cs="Times New Roman"/>
      <w:bCs/>
      <w:kern w:val="32"/>
      <w:sz w:val="32"/>
      <w:szCs w:val="36"/>
    </w:rPr>
  </w:style>
  <w:style w:type="character" w:customStyle="1" w:styleId="80">
    <w:name w:val="標題 8 字元"/>
    <w:basedOn w:val="a1"/>
    <w:link w:val="8"/>
    <w:rsid w:val="00B61459"/>
    <w:rPr>
      <w:rFonts w:ascii="標楷體" w:eastAsia="標楷體" w:hAnsi="Arial" w:cs="Times New Roman"/>
      <w:kern w:val="32"/>
      <w:sz w:val="32"/>
      <w:szCs w:val="36"/>
    </w:rPr>
  </w:style>
  <w:style w:type="character" w:customStyle="1" w:styleId="90">
    <w:name w:val="標題 9 字元"/>
    <w:basedOn w:val="a1"/>
    <w:link w:val="9"/>
    <w:uiPriority w:val="9"/>
    <w:rsid w:val="00B61459"/>
    <w:rPr>
      <w:rFonts w:ascii="標楷體" w:eastAsia="標楷體" w:hAnsiTheme="majorHAnsi" w:cstheme="majorBidi"/>
      <w:kern w:val="32"/>
      <w:sz w:val="32"/>
      <w:szCs w:val="36"/>
    </w:rPr>
  </w:style>
  <w:style w:type="paragraph" w:styleId="a4">
    <w:name w:val="Signature"/>
    <w:basedOn w:val="a0"/>
    <w:link w:val="a5"/>
    <w:semiHidden/>
    <w:rsid w:val="00B61459"/>
    <w:pPr>
      <w:kinsoku w:val="0"/>
      <w:overflowPunct w:val="0"/>
      <w:autoSpaceDE w:val="0"/>
      <w:autoSpaceDN w:val="0"/>
      <w:spacing w:before="720" w:after="720"/>
      <w:ind w:left="7371"/>
      <w:jc w:val="both"/>
    </w:pPr>
    <w:rPr>
      <w:rFonts w:ascii="標楷體" w:eastAsia="標楷體" w:hAnsi="Times New Roman" w:cs="Times New Roman"/>
      <w:b/>
      <w:snapToGrid w:val="0"/>
      <w:spacing w:val="10"/>
      <w:sz w:val="36"/>
      <w:szCs w:val="20"/>
    </w:rPr>
  </w:style>
  <w:style w:type="character" w:customStyle="1" w:styleId="a5">
    <w:name w:val="簽名 字元"/>
    <w:basedOn w:val="a1"/>
    <w:link w:val="a4"/>
    <w:semiHidden/>
    <w:rsid w:val="00B61459"/>
    <w:rPr>
      <w:rFonts w:ascii="標楷體" w:eastAsia="標楷體" w:hAnsi="Times New Roman" w:cs="Times New Roman"/>
      <w:b/>
      <w:snapToGrid w:val="0"/>
      <w:spacing w:val="10"/>
      <w:sz w:val="36"/>
      <w:szCs w:val="20"/>
    </w:rPr>
  </w:style>
  <w:style w:type="paragraph" w:customStyle="1" w:styleId="11">
    <w:name w:val="段落樣式1"/>
    <w:basedOn w:val="a0"/>
    <w:qFormat/>
    <w:rsid w:val="00B61459"/>
    <w:pPr>
      <w:tabs>
        <w:tab w:val="left" w:pos="567"/>
      </w:tabs>
      <w:kinsoku w:val="0"/>
      <w:overflowPunct w:val="0"/>
      <w:autoSpaceDE w:val="0"/>
      <w:autoSpaceDN w:val="0"/>
      <w:ind w:leftChars="200" w:left="200" w:firstLineChars="200" w:firstLine="200"/>
      <w:jc w:val="both"/>
    </w:pPr>
    <w:rPr>
      <w:rFonts w:ascii="標楷體" w:eastAsia="標楷體" w:hAnsi="Times New Roman" w:cs="Times New Roman"/>
      <w:kern w:val="32"/>
      <w:sz w:val="32"/>
      <w:szCs w:val="20"/>
    </w:rPr>
  </w:style>
  <w:style w:type="paragraph" w:customStyle="1" w:styleId="a6">
    <w:name w:val="簽名日期"/>
    <w:basedOn w:val="a0"/>
    <w:rsid w:val="00B61459"/>
    <w:pPr>
      <w:kinsoku w:val="0"/>
      <w:overflowPunct w:val="0"/>
      <w:autoSpaceDE w:val="0"/>
      <w:autoSpaceDN w:val="0"/>
      <w:jc w:val="distribute"/>
    </w:pPr>
    <w:rPr>
      <w:rFonts w:ascii="標楷體" w:eastAsia="標楷體" w:hAnsi="Times New Roman" w:cs="Times New Roman"/>
      <w:kern w:val="0"/>
      <w:sz w:val="32"/>
      <w:szCs w:val="20"/>
    </w:rPr>
  </w:style>
  <w:style w:type="paragraph" w:customStyle="1" w:styleId="a7">
    <w:name w:val="附件"/>
    <w:basedOn w:val="a8"/>
    <w:rsid w:val="00B61459"/>
    <w:pPr>
      <w:kinsoku w:val="0"/>
      <w:overflowPunct w:val="0"/>
      <w:autoSpaceDN w:val="0"/>
      <w:snapToGrid/>
      <w:ind w:left="1047" w:hangingChars="300" w:hanging="1047"/>
      <w:jc w:val="both"/>
    </w:pPr>
    <w:rPr>
      <w:rFonts w:ascii="標楷體" w:eastAsia="標楷體" w:hAnsi="Times New Roman" w:cs="Times New Roman"/>
      <w:kern w:val="0"/>
      <w:sz w:val="32"/>
      <w:szCs w:val="20"/>
    </w:rPr>
  </w:style>
  <w:style w:type="paragraph" w:styleId="a9">
    <w:name w:val="footnote text"/>
    <w:aliases w:val="字元,fn,fn Char,fn Car Car,fn Car,Footnotes Car,Footnote Text Char,footnote text,Footnote ak,Footnotes"/>
    <w:basedOn w:val="a0"/>
    <w:link w:val="aa"/>
    <w:uiPriority w:val="99"/>
    <w:rsid w:val="00B61459"/>
    <w:pPr>
      <w:snapToGrid w:val="0"/>
    </w:pPr>
    <w:rPr>
      <w:rFonts w:ascii="Times New Roman" w:eastAsia="新細明體" w:hAnsi="Times New Roman" w:cs="Times New Roman"/>
      <w:sz w:val="20"/>
      <w:szCs w:val="20"/>
    </w:rPr>
  </w:style>
  <w:style w:type="character" w:customStyle="1" w:styleId="aa">
    <w:name w:val="註腳文字 字元"/>
    <w:aliases w:val="字元 字元,fn 字元,fn Char 字元,fn Car Car 字元,fn Car 字元,Footnotes Car 字元,Footnote Text Char 字元,footnote text 字元,Footnote ak 字元,Footnotes 字元"/>
    <w:basedOn w:val="a1"/>
    <w:link w:val="a9"/>
    <w:uiPriority w:val="99"/>
    <w:rsid w:val="00B61459"/>
    <w:rPr>
      <w:rFonts w:ascii="Times New Roman" w:eastAsia="新細明體" w:hAnsi="Times New Roman" w:cs="Times New Roman"/>
      <w:sz w:val="20"/>
      <w:szCs w:val="20"/>
    </w:rPr>
  </w:style>
  <w:style w:type="character" w:styleId="ab">
    <w:name w:val="footnote reference"/>
    <w:aliases w:val="Ref,de nota al pie"/>
    <w:uiPriority w:val="99"/>
    <w:rsid w:val="00B61459"/>
    <w:rPr>
      <w:vertAlign w:val="superscript"/>
    </w:rPr>
  </w:style>
  <w:style w:type="paragraph" w:styleId="a8">
    <w:name w:val="endnote text"/>
    <w:basedOn w:val="a0"/>
    <w:link w:val="ac"/>
    <w:uiPriority w:val="99"/>
    <w:semiHidden/>
    <w:unhideWhenUsed/>
    <w:rsid w:val="00B61459"/>
    <w:pPr>
      <w:snapToGrid w:val="0"/>
    </w:pPr>
  </w:style>
  <w:style w:type="character" w:customStyle="1" w:styleId="ac">
    <w:name w:val="章節附註文字 字元"/>
    <w:basedOn w:val="a1"/>
    <w:link w:val="a8"/>
    <w:uiPriority w:val="99"/>
    <w:semiHidden/>
    <w:rsid w:val="00B61459"/>
  </w:style>
  <w:style w:type="paragraph" w:customStyle="1" w:styleId="a">
    <w:name w:val="附表樣式"/>
    <w:basedOn w:val="a0"/>
    <w:qFormat/>
    <w:rsid w:val="00316820"/>
    <w:pPr>
      <w:keepNext/>
      <w:numPr>
        <w:numId w:val="2"/>
      </w:numPr>
      <w:tabs>
        <w:tab w:val="clear" w:pos="1440"/>
      </w:tabs>
      <w:kinsoku w:val="0"/>
      <w:overflowPunct w:val="0"/>
      <w:autoSpaceDE w:val="0"/>
      <w:autoSpaceDN w:val="0"/>
      <w:ind w:left="400" w:hangingChars="400" w:hanging="400"/>
      <w:jc w:val="both"/>
      <w:outlineLvl w:val="0"/>
    </w:pPr>
    <w:rPr>
      <w:rFonts w:ascii="標楷體" w:eastAsia="標楷體" w:hAnsi="Times New Roman" w:cs="Times New Roman"/>
      <w:kern w:val="32"/>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838</Words>
  <Characters>4780</Characters>
  <Application>Microsoft Office Word</Application>
  <DocSecurity>0</DocSecurity>
  <Lines>39</Lines>
  <Paragraphs>11</Paragraphs>
  <ScaleCrop>false</ScaleCrop>
  <Company/>
  <LinksUpToDate>false</LinksUpToDate>
  <CharactersWithSpaces>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stud01</dc:creator>
  <cp:lastModifiedBy>曾莉雯</cp:lastModifiedBy>
  <cp:revision>7</cp:revision>
  <dcterms:created xsi:type="dcterms:W3CDTF">2019-10-16T08:45:00Z</dcterms:created>
  <dcterms:modified xsi:type="dcterms:W3CDTF">2019-10-17T08:59:00Z</dcterms:modified>
</cp:coreProperties>
</file>