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72A" w:rsidRPr="00AC4C76" w:rsidRDefault="00715BCB" w:rsidP="00942AC3">
      <w:pPr>
        <w:pStyle w:val="af3"/>
      </w:pPr>
      <w:r w:rsidRPr="00AC4C76">
        <w:rPr>
          <w:rFonts w:hint="eastAsia"/>
        </w:rPr>
        <w:t>調查</w:t>
      </w:r>
      <w:r w:rsidR="00216C97" w:rsidRPr="00AC4C76">
        <w:rPr>
          <w:rFonts w:hint="eastAsia"/>
        </w:rPr>
        <w:t>報告</w:t>
      </w:r>
    </w:p>
    <w:p w:rsidR="00E25849" w:rsidRPr="00AC4C76"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C4C76">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630F1" w:rsidRPr="00AC4C76">
        <w:t>據訴，其於</w:t>
      </w:r>
      <w:r w:rsidR="005E7321" w:rsidRPr="00AC4C76">
        <w:rPr>
          <w:rFonts w:hint="eastAsia"/>
        </w:rPr>
        <w:t>民國105</w:t>
      </w:r>
      <w:r w:rsidR="00C630F1" w:rsidRPr="00AC4C76">
        <w:t>年8月1日下午在臺北市文山區，因停車糾紛與人發生爭執，對方沈姓友人自稱上前勸架，卻造成其眼鏡破損、臉部及眼睛等傷害，嗣其告訴對方傷害，沈某則片面指控其以不雅字眼公然侮辱，雖經其否認，一審法院仍判處其犯公然侮辱罪、處拘役30日；沈某犯傷害罪、處拘役10日，均得易科罰金。經檢察官以沈某勸架動機可議、其出言之情境合理為由提起上訴，仍遭二審法院駁回上訴而定讞。惟公然侮辱罪之法定刑遠輕於傷害罪之法定刑；審判實務上亦多有認為公然侮辱不應成罪者；況「司法改革國是會議」第五分組亦建議，妨害名譽等微罪應除罪化，在在顯示公然侮辱罪之成罪與否，已有爭議。判決書以陳訴人犯後態度不佳、毫無悔意為由，否定檢察官之訴請，判處犯傷害罪之人3倍之刑，是否合於常理常情？是否符合比例原則？甚至是否有政黨排斥？均有調查之必要案。</w:t>
      </w:r>
    </w:p>
    <w:p w:rsidR="00667523" w:rsidRPr="00AC4C76" w:rsidRDefault="00667523" w:rsidP="00667523">
      <w:pPr>
        <w:pStyle w:val="1"/>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r w:rsidRPr="00AC4C76">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501A5B" w:rsidRPr="00AC4C76" w:rsidRDefault="00942AC3" w:rsidP="00501A5B">
      <w:pPr>
        <w:pStyle w:val="11"/>
        <w:ind w:left="680" w:firstLine="680"/>
      </w:pPr>
      <w:r w:rsidRPr="00AC4C76">
        <w:rPr>
          <w:rFonts w:hAnsi="Arial" w:hint="eastAsia"/>
          <w:bCs/>
          <w:szCs w:val="36"/>
        </w:rPr>
        <w:t>陳訴人林</w:t>
      </w:r>
      <w:r w:rsidRPr="00AC4C76">
        <w:rPr>
          <w:rFonts w:hAnsi="標楷體" w:hint="eastAsia"/>
          <w:bCs/>
          <w:szCs w:val="36"/>
        </w:rPr>
        <w:t>○</w:t>
      </w:r>
      <w:r w:rsidR="00501A5B" w:rsidRPr="00AC4C76">
        <w:rPr>
          <w:rFonts w:hAnsi="Arial" w:hint="eastAsia"/>
          <w:bCs/>
          <w:szCs w:val="36"/>
        </w:rPr>
        <w:t>凱</w:t>
      </w:r>
      <w:r w:rsidR="002101FB" w:rsidRPr="00AC4C76">
        <w:rPr>
          <w:rFonts w:hAnsi="Arial" w:hint="eastAsia"/>
          <w:bCs/>
          <w:szCs w:val="36"/>
        </w:rPr>
        <w:t>民國(下同)</w:t>
      </w:r>
      <w:r w:rsidR="00501A5B" w:rsidRPr="00AC4C76">
        <w:rPr>
          <w:rFonts w:hAnsi="Arial" w:hint="eastAsia"/>
          <w:bCs/>
          <w:szCs w:val="36"/>
        </w:rPr>
        <w:t>105年8月1日於臺</w:t>
      </w:r>
      <w:r w:rsidR="003B7D10" w:rsidRPr="00AC4C76">
        <w:rPr>
          <w:rFonts w:hAnsi="Arial" w:hint="eastAsia"/>
          <w:bCs/>
          <w:szCs w:val="36"/>
        </w:rPr>
        <w:t>北市文山區</w:t>
      </w:r>
      <w:r w:rsidR="00501A5B" w:rsidRPr="00AC4C76">
        <w:rPr>
          <w:rStyle w:val="reason1"/>
          <w:rFonts w:hAnsi="標楷體"/>
          <w:szCs w:val="23"/>
        </w:rPr>
        <w:t>因停車糾紛與</w:t>
      </w:r>
      <w:r w:rsidRPr="00AC4C76">
        <w:rPr>
          <w:rFonts w:hAnsi="Arial" w:hint="eastAsia"/>
          <w:bCs/>
          <w:szCs w:val="36"/>
        </w:rPr>
        <w:t>徐○</w:t>
      </w:r>
      <w:r w:rsidR="00501A5B" w:rsidRPr="00AC4C76">
        <w:rPr>
          <w:rFonts w:hAnsi="Arial" w:hint="eastAsia"/>
          <w:bCs/>
          <w:szCs w:val="36"/>
        </w:rPr>
        <w:t>軒</w:t>
      </w:r>
      <w:r w:rsidR="00501A5B" w:rsidRPr="00AC4C76">
        <w:rPr>
          <w:rStyle w:val="reason1"/>
          <w:rFonts w:hAnsi="標楷體"/>
          <w:szCs w:val="23"/>
        </w:rPr>
        <w:t>發生爭執，</w:t>
      </w:r>
      <w:r w:rsidRPr="00AC4C76">
        <w:rPr>
          <w:rFonts w:hint="eastAsia"/>
        </w:rPr>
        <w:t>徐○軒</w:t>
      </w:r>
      <w:r w:rsidR="00501A5B" w:rsidRPr="00AC4C76">
        <w:rPr>
          <w:rStyle w:val="reason1"/>
          <w:rFonts w:hAnsi="標楷體"/>
          <w:szCs w:val="23"/>
        </w:rPr>
        <w:t>友人</w:t>
      </w:r>
      <w:r w:rsidRPr="00AC4C76">
        <w:rPr>
          <w:rFonts w:hAnsi="Arial"/>
          <w:bCs/>
          <w:szCs w:val="36"/>
        </w:rPr>
        <w:t>沈</w:t>
      </w:r>
      <w:r w:rsidRPr="00AC4C76">
        <w:rPr>
          <w:rFonts w:hAnsi="標楷體"/>
          <w:bCs/>
          <w:szCs w:val="36"/>
        </w:rPr>
        <w:t>○</w:t>
      </w:r>
      <w:r w:rsidRPr="00AC4C76">
        <w:rPr>
          <w:rFonts w:hAnsi="Arial"/>
          <w:bCs/>
          <w:szCs w:val="36"/>
        </w:rPr>
        <w:t>維</w:t>
      </w:r>
      <w:r w:rsidR="00501A5B" w:rsidRPr="00AC4C76">
        <w:rPr>
          <w:rStyle w:val="reason1"/>
          <w:rFonts w:hAnsi="標楷體"/>
          <w:szCs w:val="23"/>
        </w:rPr>
        <w:t>上前勸架，</w:t>
      </w:r>
      <w:r w:rsidR="00501A5B" w:rsidRPr="00AC4C76">
        <w:rPr>
          <w:rStyle w:val="reason1"/>
          <w:rFonts w:hAnsi="標楷體" w:hint="eastAsia"/>
          <w:szCs w:val="23"/>
        </w:rPr>
        <w:t>原應注意架開雙方動作，</w:t>
      </w:r>
      <w:r w:rsidR="00501A5B" w:rsidRPr="00AC4C76">
        <w:rPr>
          <w:rStyle w:val="reason1"/>
          <w:rFonts w:hAnsi="標楷體"/>
          <w:szCs w:val="23"/>
        </w:rPr>
        <w:t>卻造成</w:t>
      </w:r>
      <w:r w:rsidR="00501A5B" w:rsidRPr="00AC4C76">
        <w:rPr>
          <w:rFonts w:hAnsi="Arial" w:hint="eastAsia"/>
          <w:bCs/>
          <w:szCs w:val="36"/>
        </w:rPr>
        <w:t>陳訴人</w:t>
      </w:r>
      <w:r w:rsidR="00501A5B" w:rsidRPr="00AC4C76">
        <w:rPr>
          <w:rStyle w:val="reason1"/>
          <w:rFonts w:hAnsi="標楷體"/>
          <w:szCs w:val="23"/>
        </w:rPr>
        <w:t>眼鏡破損、臉部及眼睛等傷害，嗣</w:t>
      </w:r>
      <w:r w:rsidR="00501A5B" w:rsidRPr="00AC4C76">
        <w:rPr>
          <w:rFonts w:hAnsi="Arial" w:hint="eastAsia"/>
          <w:bCs/>
          <w:szCs w:val="36"/>
        </w:rPr>
        <w:t>陳訴人</w:t>
      </w:r>
      <w:r w:rsidR="00501A5B" w:rsidRPr="00AC4C76">
        <w:rPr>
          <w:rStyle w:val="reason1"/>
          <w:rFonts w:hAnsi="標楷體"/>
          <w:szCs w:val="23"/>
        </w:rPr>
        <w:t>告訴</w:t>
      </w:r>
      <w:r w:rsidRPr="00AC4C76">
        <w:rPr>
          <w:rFonts w:hint="eastAsia"/>
        </w:rPr>
        <w:t>沈○維</w:t>
      </w:r>
      <w:r w:rsidR="00501A5B" w:rsidRPr="00AC4C76">
        <w:rPr>
          <w:rStyle w:val="reason1"/>
          <w:rFonts w:hAnsi="標楷體"/>
          <w:szCs w:val="23"/>
        </w:rPr>
        <w:t>傷害，</w:t>
      </w:r>
      <w:r w:rsidRPr="00AC4C76">
        <w:rPr>
          <w:rStyle w:val="reason1"/>
          <w:rFonts w:hAnsi="標楷體"/>
          <w:szCs w:val="23"/>
        </w:rPr>
        <w:t>沈○維</w:t>
      </w:r>
      <w:r w:rsidR="00501A5B" w:rsidRPr="00AC4C76">
        <w:rPr>
          <w:rStyle w:val="reason1"/>
          <w:rFonts w:hAnsi="標楷體" w:hint="eastAsia"/>
          <w:szCs w:val="23"/>
        </w:rPr>
        <w:t>則</w:t>
      </w:r>
      <w:r w:rsidR="00501A5B" w:rsidRPr="00AC4C76">
        <w:rPr>
          <w:rStyle w:val="reason1"/>
          <w:rFonts w:hAnsi="標楷體"/>
          <w:szCs w:val="23"/>
        </w:rPr>
        <w:t>指控</w:t>
      </w:r>
      <w:r w:rsidR="00501A5B" w:rsidRPr="00AC4C76">
        <w:rPr>
          <w:rFonts w:hAnsi="Arial" w:hint="eastAsia"/>
          <w:bCs/>
          <w:szCs w:val="36"/>
        </w:rPr>
        <w:t>陳訴人</w:t>
      </w:r>
      <w:r w:rsidR="00501A5B" w:rsidRPr="00AC4C76">
        <w:rPr>
          <w:rStyle w:val="reason1"/>
          <w:rFonts w:hAnsi="標楷體"/>
          <w:szCs w:val="23"/>
        </w:rPr>
        <w:t>以不雅字眼公然侮辱，雖經</w:t>
      </w:r>
      <w:r w:rsidR="00501A5B" w:rsidRPr="00AC4C76">
        <w:rPr>
          <w:rFonts w:hAnsi="Arial" w:hint="eastAsia"/>
          <w:bCs/>
          <w:szCs w:val="36"/>
        </w:rPr>
        <w:t>陳訴人</w:t>
      </w:r>
      <w:r w:rsidR="00501A5B" w:rsidRPr="00AC4C76">
        <w:rPr>
          <w:rStyle w:val="reason1"/>
          <w:rFonts w:hAnsi="標楷體"/>
          <w:szCs w:val="23"/>
        </w:rPr>
        <w:t>否認</w:t>
      </w:r>
      <w:r w:rsidR="00501A5B" w:rsidRPr="00AC4C76">
        <w:rPr>
          <w:rFonts w:hAnsi="Arial" w:hint="eastAsia"/>
          <w:bCs/>
          <w:szCs w:val="36"/>
        </w:rPr>
        <w:t>，仍遭臺灣臺北地方法院</w:t>
      </w:r>
      <w:r w:rsidR="00CF70EB" w:rsidRPr="00AC4C76">
        <w:rPr>
          <w:rFonts w:hAnsi="Arial" w:hint="eastAsia"/>
          <w:bCs/>
          <w:szCs w:val="36"/>
        </w:rPr>
        <w:t>(下稱臺北地方法院)</w:t>
      </w:r>
      <w:r w:rsidR="00501A5B" w:rsidRPr="00AC4C76">
        <w:rPr>
          <w:rFonts w:hAnsi="Arial" w:hint="eastAsia"/>
          <w:bCs/>
          <w:szCs w:val="36"/>
        </w:rPr>
        <w:t>106年度審易字第383號判決，陳訴人犯公然侮辱罪，處拘役30日，得易科罰金；</w:t>
      </w:r>
      <w:r w:rsidRPr="00AC4C76">
        <w:rPr>
          <w:rStyle w:val="reason1"/>
          <w:rFonts w:hAnsi="標楷體"/>
          <w:szCs w:val="23"/>
        </w:rPr>
        <w:t>沈○維</w:t>
      </w:r>
      <w:r w:rsidR="00501A5B" w:rsidRPr="00AC4C76">
        <w:rPr>
          <w:rFonts w:hAnsi="Arial" w:hint="eastAsia"/>
          <w:bCs/>
          <w:szCs w:val="36"/>
        </w:rPr>
        <w:t>犯傷害罪，處拘役10日，得</w:t>
      </w:r>
      <w:r w:rsidR="00501A5B" w:rsidRPr="00AC4C76">
        <w:rPr>
          <w:rFonts w:hAnsi="Arial" w:hint="eastAsia"/>
          <w:bCs/>
          <w:szCs w:val="36"/>
        </w:rPr>
        <w:lastRenderedPageBreak/>
        <w:t>易科罰金</w:t>
      </w:r>
      <w:r w:rsidR="00501A5B" w:rsidRPr="00AC4C76">
        <w:rPr>
          <w:rStyle w:val="reason1"/>
          <w:rFonts w:hAnsi="標楷體" w:hint="eastAsia"/>
          <w:szCs w:val="23"/>
        </w:rPr>
        <w:t>，</w:t>
      </w:r>
      <w:r w:rsidR="00501A5B" w:rsidRPr="00AC4C76">
        <w:rPr>
          <w:rFonts w:hAnsi="Arial" w:hint="eastAsia"/>
          <w:bCs/>
          <w:szCs w:val="36"/>
        </w:rPr>
        <w:t>嗣雙方提起上訴，</w:t>
      </w:r>
      <w:r w:rsidR="00B51C79" w:rsidRPr="00AC4C76">
        <w:rPr>
          <w:rFonts w:hAnsi="Arial" w:hint="eastAsia"/>
          <w:bCs/>
          <w:szCs w:val="36"/>
        </w:rPr>
        <w:t>檢察官審認亦認為應該提起上訴，</w:t>
      </w:r>
      <w:r w:rsidR="00501A5B" w:rsidRPr="00AC4C76">
        <w:rPr>
          <w:rFonts w:hAnsi="Arial" w:hint="eastAsia"/>
          <w:bCs/>
          <w:szCs w:val="36"/>
        </w:rPr>
        <w:t>仍遭臺灣高等法院106年度上易字第1093號判決駁回確定。陳訴人質疑上開2判決之承審法官基於其主張臺灣獨立之立場而偏袒對造，對其誣判，逕採信對造及證人等之不實證述，率為不利判決</w:t>
      </w:r>
      <w:r w:rsidR="00501A5B" w:rsidRPr="00AC4C76">
        <w:rPr>
          <w:rFonts w:hint="eastAsia"/>
        </w:rPr>
        <w:t>。</w:t>
      </w:r>
    </w:p>
    <w:p w:rsidR="00667523" w:rsidRPr="00AC4C76" w:rsidRDefault="00CF70EB" w:rsidP="00501A5B">
      <w:pPr>
        <w:pStyle w:val="11"/>
        <w:ind w:left="680" w:firstLine="680"/>
      </w:pPr>
      <w:r w:rsidRPr="00AC4C76">
        <w:rPr>
          <w:rFonts w:hint="eastAsia"/>
        </w:rPr>
        <w:t>本案經調閱</w:t>
      </w:r>
      <w:r w:rsidR="00501A5B" w:rsidRPr="00AC4C76">
        <w:rPr>
          <w:rFonts w:hint="eastAsia"/>
        </w:rPr>
        <w:t>臺北地方法院、臺灣高等法院等機關卷證資料並調取開庭錄音檔案，於107年11月15日舉行諮詢會議，並於107年11月26日詢問</w:t>
      </w:r>
      <w:r w:rsidR="00501A5B" w:rsidRPr="00AC4C76">
        <w:rPr>
          <w:rFonts w:hAnsi="Arial" w:hint="eastAsia"/>
          <w:bCs/>
          <w:szCs w:val="36"/>
        </w:rPr>
        <w:t>臺北地方法院106年度審易字第383號判決之蒞庭檢察官</w:t>
      </w:r>
      <w:r w:rsidR="00501A5B" w:rsidRPr="00AC4C76">
        <w:rPr>
          <w:rFonts w:hint="eastAsia"/>
        </w:rPr>
        <w:t>林秀濤，</w:t>
      </w:r>
      <w:r w:rsidR="00667523" w:rsidRPr="00AC4C76">
        <w:rPr>
          <w:rFonts w:hint="eastAsia"/>
        </w:rPr>
        <w:t>已調查竣事，茲臚列調查意見如下：</w:t>
      </w:r>
    </w:p>
    <w:p w:rsidR="00592E14" w:rsidRPr="00AC4C76" w:rsidRDefault="00522B71" w:rsidP="00667523">
      <w:pPr>
        <w:pStyle w:val="2"/>
        <w:rPr>
          <w:b/>
        </w:rPr>
      </w:pPr>
      <w:bookmarkStart w:id="39" w:name="_Toc421794873"/>
      <w:bookmarkStart w:id="40" w:name="_Toc422834158"/>
      <w:r w:rsidRPr="00AC4C76">
        <w:rPr>
          <w:rFonts w:hAnsi="標楷體"/>
          <w:b/>
          <w:szCs w:val="52"/>
        </w:rPr>
        <w:t>刑法第309條第1項</w:t>
      </w:r>
      <w:r w:rsidRPr="00AC4C76">
        <w:rPr>
          <w:rFonts w:hAnsi="標楷體" w:hint="eastAsia"/>
          <w:b/>
          <w:szCs w:val="52"/>
        </w:rPr>
        <w:t>規定</w:t>
      </w:r>
      <w:r w:rsidR="008F4C6F" w:rsidRPr="00AC4C76">
        <w:rPr>
          <w:rFonts w:hAnsi="標楷體" w:hint="eastAsia"/>
          <w:b/>
          <w:szCs w:val="52"/>
        </w:rPr>
        <w:t>：</w:t>
      </w:r>
      <w:r w:rsidRPr="00AC4C76">
        <w:rPr>
          <w:rFonts w:hAnsi="標楷體" w:hint="eastAsia"/>
          <w:b/>
          <w:szCs w:val="52"/>
        </w:rPr>
        <w:t>「</w:t>
      </w:r>
      <w:r w:rsidRPr="00AC4C76">
        <w:rPr>
          <w:rFonts w:hAnsi="標楷體"/>
          <w:b/>
          <w:szCs w:val="52"/>
        </w:rPr>
        <w:t>公然侮辱人者，處拘役或</w:t>
      </w:r>
      <w:r w:rsidRPr="00AC4C76">
        <w:rPr>
          <w:rFonts w:hAnsi="標楷體" w:hint="eastAsia"/>
          <w:b/>
          <w:szCs w:val="52"/>
        </w:rPr>
        <w:t>3</w:t>
      </w:r>
      <w:r w:rsidRPr="00AC4C76">
        <w:rPr>
          <w:rFonts w:hAnsi="標楷體"/>
          <w:b/>
          <w:szCs w:val="52"/>
        </w:rPr>
        <w:t>百元以下</w:t>
      </w:r>
      <w:r w:rsidRPr="00AC4C76">
        <w:rPr>
          <w:rFonts w:hAnsi="標楷體" w:hint="eastAsia"/>
          <w:b/>
          <w:szCs w:val="52"/>
        </w:rPr>
        <w:t>罰</w:t>
      </w:r>
      <w:r w:rsidRPr="00AC4C76">
        <w:rPr>
          <w:rFonts w:hAnsi="標楷體"/>
          <w:b/>
          <w:szCs w:val="52"/>
        </w:rPr>
        <w:t>金</w:t>
      </w:r>
      <w:r w:rsidRPr="00AC4C76">
        <w:rPr>
          <w:b/>
        </w:rPr>
        <w:t>。」</w:t>
      </w:r>
      <w:r w:rsidR="00915BFF" w:rsidRPr="00AC4C76">
        <w:rPr>
          <w:rFonts w:hint="eastAsia"/>
          <w:b/>
        </w:rPr>
        <w:t>其</w:t>
      </w:r>
      <w:r w:rsidR="00915BFF" w:rsidRPr="00AC4C76">
        <w:rPr>
          <w:b/>
        </w:rPr>
        <w:t>構成要件中「侮辱」係屬不確定法律概念</w:t>
      </w:r>
      <w:r w:rsidR="00915BFF" w:rsidRPr="00AC4C76">
        <w:rPr>
          <w:rFonts w:hint="eastAsia"/>
          <w:b/>
        </w:rPr>
        <w:t>，</w:t>
      </w:r>
      <w:r w:rsidR="0075770B" w:rsidRPr="00AC4C76">
        <w:rPr>
          <w:rFonts w:hint="eastAsia"/>
          <w:b/>
        </w:rPr>
        <w:t>法院判決有罪、無罪的情形並</w:t>
      </w:r>
      <w:r w:rsidR="0075770B" w:rsidRPr="00AC4C76">
        <w:rPr>
          <w:rFonts w:hAnsi="標楷體" w:hint="eastAsia"/>
          <w:b/>
          <w:szCs w:val="52"/>
        </w:rPr>
        <w:t>無</w:t>
      </w:r>
      <w:r w:rsidR="0075770B" w:rsidRPr="00AC4C76">
        <w:rPr>
          <w:rFonts w:hAnsi="標楷體"/>
          <w:b/>
          <w:szCs w:val="52"/>
        </w:rPr>
        <w:t>具體客觀之判斷標準</w:t>
      </w:r>
      <w:r w:rsidR="0075770B" w:rsidRPr="00AC4C76">
        <w:rPr>
          <w:rFonts w:hAnsi="標楷體" w:hint="eastAsia"/>
          <w:b/>
          <w:szCs w:val="52"/>
        </w:rPr>
        <w:t>，</w:t>
      </w:r>
      <w:r w:rsidR="00EF6B35" w:rsidRPr="00AC4C76">
        <w:rPr>
          <w:rFonts w:hAnsi="標楷體" w:hint="eastAsia"/>
          <w:b/>
          <w:szCs w:val="52"/>
        </w:rPr>
        <w:t>因</w:t>
      </w:r>
      <w:r w:rsidR="00EF6B35" w:rsidRPr="00AC4C76">
        <w:rPr>
          <w:rFonts w:hAnsi="標楷體" w:hint="eastAsia"/>
          <w:b/>
        </w:rPr>
        <w:t>無法預見其標準使人民動輒觸法，致使刑法處罰存有不確定性，</w:t>
      </w:r>
      <w:r w:rsidR="00915BFF" w:rsidRPr="00AC4C76">
        <w:rPr>
          <w:rFonts w:hint="eastAsia"/>
          <w:b/>
        </w:rPr>
        <w:t>又</w:t>
      </w:r>
      <w:r w:rsidR="00915BFF" w:rsidRPr="00AC4C76">
        <w:rPr>
          <w:rFonts w:hAnsi="標楷體" w:hint="eastAsia"/>
          <w:b/>
        </w:rPr>
        <w:t>「</w:t>
      </w:r>
      <w:r w:rsidR="004C18DC" w:rsidRPr="00AC4C76">
        <w:rPr>
          <w:rFonts w:hint="eastAsia"/>
          <w:b/>
        </w:rPr>
        <w:t>侮辱</w:t>
      </w:r>
      <w:r w:rsidR="00915BFF" w:rsidRPr="00AC4C76">
        <w:rPr>
          <w:rFonts w:hAnsi="標楷體" w:hint="eastAsia"/>
          <w:b/>
        </w:rPr>
        <w:t>」</w:t>
      </w:r>
      <w:r w:rsidR="004C18DC" w:rsidRPr="00AC4C76">
        <w:rPr>
          <w:rFonts w:hint="eastAsia"/>
          <w:b/>
        </w:rPr>
        <w:t>涉及的</w:t>
      </w:r>
      <w:r w:rsidR="00F50A8D" w:rsidRPr="00AC4C76">
        <w:rPr>
          <w:rFonts w:hint="eastAsia"/>
          <w:b/>
        </w:rPr>
        <w:t>範圍甚廣，導致民眾表達意見、互相溝通、人際間的對話動輒得咎，已妨礙言論自由發揮監督政府、實現自我、追求真理及促進民主等功能。</w:t>
      </w:r>
      <w:r w:rsidR="00F50A8D" w:rsidRPr="00AC4C76">
        <w:rPr>
          <w:rFonts w:hAnsi="標楷體" w:hint="eastAsia"/>
          <w:b/>
          <w:szCs w:val="52"/>
        </w:rPr>
        <w:t>其</w:t>
      </w:r>
      <w:r w:rsidRPr="00AC4C76">
        <w:rPr>
          <w:rFonts w:hAnsi="標楷體"/>
          <w:b/>
          <w:szCs w:val="52"/>
        </w:rPr>
        <w:t>所限制者雖係對於他人為謾罵、其他</w:t>
      </w:r>
      <w:r w:rsidRPr="00AC4C76">
        <w:rPr>
          <w:rFonts w:hAnsi="標楷體" w:hint="eastAsia"/>
          <w:b/>
          <w:szCs w:val="52"/>
        </w:rPr>
        <w:t>貶</w:t>
      </w:r>
      <w:r w:rsidRPr="00AC4C76">
        <w:rPr>
          <w:rFonts w:hAnsi="標楷體"/>
          <w:b/>
          <w:szCs w:val="52"/>
        </w:rPr>
        <w:t>損他</w:t>
      </w:r>
      <w:r w:rsidRPr="00AC4C76">
        <w:rPr>
          <w:rFonts w:hAnsi="標楷體" w:hint="eastAsia"/>
          <w:b/>
          <w:szCs w:val="52"/>
        </w:rPr>
        <w:t>人的</w:t>
      </w:r>
      <w:r w:rsidRPr="00AC4C76">
        <w:rPr>
          <w:rFonts w:hAnsi="標楷體"/>
          <w:b/>
          <w:szCs w:val="52"/>
        </w:rPr>
        <w:t>言論</w:t>
      </w:r>
      <w:r w:rsidRPr="00AC4C76">
        <w:rPr>
          <w:rFonts w:hAnsi="標楷體" w:hint="eastAsia"/>
          <w:b/>
          <w:szCs w:val="52"/>
        </w:rPr>
        <w:t>、個人意見或情感的表達，</w:t>
      </w:r>
      <w:r w:rsidRPr="00AC4C76">
        <w:rPr>
          <w:rFonts w:hAnsi="標楷體"/>
          <w:b/>
          <w:szCs w:val="52"/>
        </w:rPr>
        <w:t>但其</w:t>
      </w:r>
      <w:r w:rsidRPr="00AC4C76">
        <w:rPr>
          <w:rFonts w:hAnsi="標楷體" w:hint="eastAsia"/>
          <w:b/>
          <w:szCs w:val="52"/>
        </w:rPr>
        <w:t>終</w:t>
      </w:r>
      <w:r w:rsidR="00F50A8D" w:rsidRPr="00AC4C76">
        <w:rPr>
          <w:rFonts w:hAnsi="標楷體"/>
          <w:b/>
          <w:szCs w:val="52"/>
        </w:rPr>
        <w:t>究</w:t>
      </w:r>
      <w:r w:rsidR="00EF6B35" w:rsidRPr="00AC4C76">
        <w:rPr>
          <w:rFonts w:hAnsi="標楷體" w:hint="eastAsia"/>
          <w:b/>
          <w:szCs w:val="52"/>
        </w:rPr>
        <w:t>屬於</w:t>
      </w:r>
      <w:r w:rsidR="00F50A8D" w:rsidRPr="00AC4C76">
        <w:rPr>
          <w:rFonts w:hAnsi="標楷體"/>
          <w:b/>
          <w:szCs w:val="52"/>
        </w:rPr>
        <w:t>言論之一種，</w:t>
      </w:r>
      <w:r w:rsidRPr="00AC4C76">
        <w:rPr>
          <w:rFonts w:hAnsi="標楷體"/>
          <w:b/>
          <w:szCs w:val="52"/>
        </w:rPr>
        <w:t>應受憲法第11條</w:t>
      </w:r>
      <w:r w:rsidR="001F30E0" w:rsidRPr="00AC4C76">
        <w:rPr>
          <w:rFonts w:hAnsi="標楷體" w:hint="eastAsia"/>
          <w:b/>
          <w:szCs w:val="52"/>
        </w:rPr>
        <w:t>言論自由之</w:t>
      </w:r>
      <w:r w:rsidRPr="00AC4C76">
        <w:rPr>
          <w:rFonts w:hAnsi="標楷體"/>
          <w:b/>
          <w:szCs w:val="52"/>
        </w:rPr>
        <w:t>保障</w:t>
      </w:r>
      <w:r w:rsidR="00F50A8D" w:rsidRPr="00AC4C76">
        <w:rPr>
          <w:rFonts w:hAnsi="標楷體" w:hint="eastAsia"/>
          <w:b/>
          <w:szCs w:val="52"/>
        </w:rPr>
        <w:t>。</w:t>
      </w:r>
      <w:r w:rsidR="00285219" w:rsidRPr="00AC4C76">
        <w:rPr>
          <w:rFonts w:hint="eastAsia"/>
          <w:b/>
        </w:rPr>
        <w:t>刑法第309條公然侮辱</w:t>
      </w:r>
      <w:r w:rsidR="00285219" w:rsidRPr="00AC4C76">
        <w:rPr>
          <w:b/>
        </w:rPr>
        <w:t>罪，涉及人民身體自由及表意自由之限制，除因涉及人民基本權之限制，應採較高密度</w:t>
      </w:r>
      <w:r w:rsidR="00285219" w:rsidRPr="00AC4C76">
        <w:rPr>
          <w:rFonts w:hint="eastAsia"/>
          <w:b/>
        </w:rPr>
        <w:t>的</w:t>
      </w:r>
      <w:r w:rsidR="00285219" w:rsidRPr="00AC4C76">
        <w:rPr>
          <w:b/>
        </w:rPr>
        <w:t>審查外，仍應</w:t>
      </w:r>
      <w:r w:rsidR="00285219" w:rsidRPr="00AC4C76">
        <w:rPr>
          <w:rFonts w:hint="eastAsia"/>
          <w:b/>
        </w:rPr>
        <w:t>檢視</w:t>
      </w:r>
      <w:r w:rsidR="00285219" w:rsidRPr="00AC4C76">
        <w:rPr>
          <w:b/>
        </w:rPr>
        <w:t>是否符合憲法第23條所明定之</w:t>
      </w:r>
      <w:r w:rsidR="00166E0F" w:rsidRPr="00AC4C76">
        <w:rPr>
          <w:b/>
        </w:rPr>
        <w:t>比例原則、法律</w:t>
      </w:r>
      <w:r w:rsidR="00166E0F" w:rsidRPr="00AC4C76">
        <w:rPr>
          <w:rFonts w:hint="eastAsia"/>
          <w:b/>
        </w:rPr>
        <w:t>明確性</w:t>
      </w:r>
      <w:r w:rsidR="00285219" w:rsidRPr="00AC4C76">
        <w:rPr>
          <w:b/>
        </w:rPr>
        <w:t>原則</w:t>
      </w:r>
      <w:r w:rsidR="00285219" w:rsidRPr="00AC4C76">
        <w:rPr>
          <w:rFonts w:hint="eastAsia"/>
          <w:b/>
        </w:rPr>
        <w:t>及</w:t>
      </w:r>
      <w:r w:rsidR="004C18DC" w:rsidRPr="00AC4C76">
        <w:rPr>
          <w:rFonts w:hint="eastAsia"/>
          <w:b/>
        </w:rPr>
        <w:t>世界人權保障</w:t>
      </w:r>
      <w:r w:rsidR="00D45D04" w:rsidRPr="00AC4C76">
        <w:rPr>
          <w:rFonts w:hint="eastAsia"/>
          <w:b/>
        </w:rPr>
        <w:t>之</w:t>
      </w:r>
      <w:r w:rsidR="00285219" w:rsidRPr="00AC4C76">
        <w:rPr>
          <w:rFonts w:hint="eastAsia"/>
          <w:b/>
        </w:rPr>
        <w:t>潮流</w:t>
      </w:r>
      <w:r w:rsidR="00592E14" w:rsidRPr="00AC4C76">
        <w:rPr>
          <w:rFonts w:hint="eastAsia"/>
          <w:b/>
        </w:rPr>
        <w:t>。</w:t>
      </w:r>
    </w:p>
    <w:p w:rsidR="00287B7D" w:rsidRPr="00AC4C76" w:rsidRDefault="00CF70EB" w:rsidP="00BD23A5">
      <w:pPr>
        <w:pStyle w:val="3"/>
      </w:pPr>
      <w:r w:rsidRPr="00AC4C76">
        <w:rPr>
          <w:rFonts w:hint="eastAsia"/>
        </w:rPr>
        <w:t>依</w:t>
      </w:r>
      <w:r w:rsidR="008A7BA0" w:rsidRPr="00AC4C76">
        <w:rPr>
          <w:rFonts w:hint="eastAsia"/>
        </w:rPr>
        <w:t>臺北地方法院106年度審易字第383號判決卷證資料可知，</w:t>
      </w:r>
      <w:r w:rsidR="00401B76" w:rsidRPr="00AC4C76">
        <w:rPr>
          <w:rFonts w:hint="eastAsia"/>
        </w:rPr>
        <w:t>本案陳訴人</w:t>
      </w:r>
      <w:r w:rsidR="00942AC3" w:rsidRPr="00AC4C76">
        <w:rPr>
          <w:rFonts w:hint="eastAsia"/>
          <w:szCs w:val="32"/>
        </w:rPr>
        <w:t>林○凱</w:t>
      </w:r>
      <w:r w:rsidR="00E241DA" w:rsidRPr="00AC4C76">
        <w:rPr>
          <w:rFonts w:hint="eastAsia"/>
          <w:szCs w:val="32"/>
        </w:rPr>
        <w:t>於市場內</w:t>
      </w:r>
      <w:r w:rsidR="00401B76" w:rsidRPr="00AC4C76">
        <w:rPr>
          <w:rFonts w:hint="eastAsia"/>
        </w:rPr>
        <w:t>因停車糾紛與</w:t>
      </w:r>
      <w:r w:rsidR="00942AC3" w:rsidRPr="00AC4C76">
        <w:rPr>
          <w:rFonts w:hint="eastAsia"/>
          <w:szCs w:val="32"/>
        </w:rPr>
        <w:t>徐○軒</w:t>
      </w:r>
      <w:r w:rsidR="00401B76" w:rsidRPr="00AC4C76">
        <w:rPr>
          <w:rFonts w:hint="eastAsia"/>
        </w:rPr>
        <w:t>發生爭執</w:t>
      </w:r>
      <w:r w:rsidR="008A7BA0" w:rsidRPr="00AC4C76">
        <w:rPr>
          <w:rFonts w:hint="eastAsia"/>
          <w:bCs w:val="0"/>
        </w:rPr>
        <w:t>而互相拉扯</w:t>
      </w:r>
      <w:r w:rsidR="00401B76" w:rsidRPr="00AC4C76">
        <w:rPr>
          <w:rFonts w:hint="eastAsia"/>
        </w:rPr>
        <w:t>，前來勸架之</w:t>
      </w:r>
      <w:r w:rsidR="00942AC3" w:rsidRPr="00AC4C76">
        <w:rPr>
          <w:rFonts w:hint="eastAsia"/>
        </w:rPr>
        <w:t>徐○軒</w:t>
      </w:r>
      <w:r w:rsidR="00401B76" w:rsidRPr="00AC4C76">
        <w:rPr>
          <w:rFonts w:hint="eastAsia"/>
        </w:rPr>
        <w:t>友人</w:t>
      </w:r>
      <w:r w:rsidR="00942AC3" w:rsidRPr="00AC4C76">
        <w:rPr>
          <w:szCs w:val="32"/>
        </w:rPr>
        <w:t>沈</w:t>
      </w:r>
      <w:r w:rsidR="00942AC3" w:rsidRPr="00AC4C76">
        <w:rPr>
          <w:rFonts w:hint="eastAsia"/>
          <w:szCs w:val="32"/>
        </w:rPr>
        <w:t>○</w:t>
      </w:r>
      <w:r w:rsidR="00942AC3" w:rsidRPr="00AC4C76">
        <w:rPr>
          <w:szCs w:val="32"/>
        </w:rPr>
        <w:t>維</w:t>
      </w:r>
      <w:r w:rsidR="008A7BA0" w:rsidRPr="00AC4C76">
        <w:rPr>
          <w:rFonts w:hint="eastAsia"/>
        </w:rPr>
        <w:t>欲將雙方架開分離，卻</w:t>
      </w:r>
      <w:r w:rsidR="008A7BA0" w:rsidRPr="00AC4C76">
        <w:rPr>
          <w:rStyle w:val="reason1"/>
          <w:rFonts w:hAnsi="標楷體"/>
          <w:szCs w:val="23"/>
        </w:rPr>
        <w:t>造成</w:t>
      </w:r>
      <w:r w:rsidR="008A7BA0" w:rsidRPr="00AC4C76">
        <w:rPr>
          <w:rFonts w:hint="eastAsia"/>
        </w:rPr>
        <w:t>陳訴人</w:t>
      </w:r>
      <w:r w:rsidR="008A7BA0" w:rsidRPr="00AC4C76">
        <w:rPr>
          <w:rStyle w:val="reason1"/>
          <w:rFonts w:hAnsi="標楷體"/>
          <w:szCs w:val="23"/>
        </w:rPr>
        <w:t>眼鏡破損、臉部及眼睛等傷害，</w:t>
      </w:r>
      <w:r w:rsidR="008A7BA0" w:rsidRPr="00AC4C76">
        <w:rPr>
          <w:rFonts w:hint="eastAsia"/>
        </w:rPr>
        <w:t>陳訴人</w:t>
      </w:r>
      <w:r w:rsidR="008A7BA0" w:rsidRPr="00AC4C76">
        <w:rPr>
          <w:rFonts w:hAnsi="標楷體" w:hint="eastAsia"/>
          <w:szCs w:val="32"/>
        </w:rPr>
        <w:t>因</w:t>
      </w:r>
      <w:r w:rsidR="00942AC3" w:rsidRPr="00AC4C76">
        <w:rPr>
          <w:rFonts w:hAnsi="標楷體" w:hint="eastAsia"/>
          <w:szCs w:val="32"/>
        </w:rPr>
        <w:t>沈○維</w:t>
      </w:r>
      <w:r w:rsidR="008A7BA0" w:rsidRPr="00AC4C76">
        <w:rPr>
          <w:rFonts w:hAnsi="標楷體" w:hint="eastAsia"/>
          <w:szCs w:val="32"/>
        </w:rPr>
        <w:t>於</w:t>
      </w:r>
      <w:r w:rsidR="0037142D" w:rsidRPr="00AC4C76">
        <w:rPr>
          <w:rFonts w:hAnsi="標楷體" w:hint="eastAsia"/>
          <w:szCs w:val="32"/>
        </w:rPr>
        <w:t>警方到</w:t>
      </w:r>
      <w:r w:rsidR="0037142D" w:rsidRPr="00AC4C76">
        <w:rPr>
          <w:rFonts w:hAnsi="標楷體" w:hint="eastAsia"/>
          <w:szCs w:val="32"/>
        </w:rPr>
        <w:lastRenderedPageBreak/>
        <w:t>場前要離開，</w:t>
      </w:r>
      <w:r w:rsidR="008A7BA0" w:rsidRPr="00AC4C76">
        <w:rPr>
          <w:rFonts w:hAnsi="標楷體" w:hint="eastAsia"/>
          <w:szCs w:val="32"/>
        </w:rPr>
        <w:t>對</w:t>
      </w:r>
      <w:r w:rsidR="00942AC3" w:rsidRPr="00AC4C76">
        <w:rPr>
          <w:rFonts w:hAnsi="標楷體" w:hint="eastAsia"/>
          <w:szCs w:val="32"/>
        </w:rPr>
        <w:t>沈○維</w:t>
      </w:r>
      <w:r w:rsidR="008A7BA0" w:rsidRPr="00AC4C76">
        <w:rPr>
          <w:rFonts w:hAnsi="標楷體" w:hint="eastAsia"/>
          <w:szCs w:val="32"/>
        </w:rPr>
        <w:t>說「你若離開你就是龜兒子」</w:t>
      </w:r>
      <w:r w:rsidR="00E241DA" w:rsidRPr="00AC4C76">
        <w:rPr>
          <w:rFonts w:hAnsi="標楷體" w:hint="eastAsia"/>
          <w:szCs w:val="32"/>
        </w:rPr>
        <w:t>，</w:t>
      </w:r>
      <w:r w:rsidR="00E241DA" w:rsidRPr="00AC4C76">
        <w:rPr>
          <w:rStyle w:val="reason1"/>
          <w:rFonts w:hAnsi="標楷體"/>
          <w:szCs w:val="23"/>
        </w:rPr>
        <w:t>嗣</w:t>
      </w:r>
      <w:r w:rsidR="00E241DA" w:rsidRPr="00AC4C76">
        <w:rPr>
          <w:rFonts w:hint="eastAsia"/>
        </w:rPr>
        <w:t>陳訴人</w:t>
      </w:r>
      <w:r w:rsidR="00E241DA" w:rsidRPr="00AC4C76">
        <w:rPr>
          <w:rStyle w:val="reason1"/>
          <w:rFonts w:hAnsi="標楷體"/>
          <w:szCs w:val="23"/>
        </w:rPr>
        <w:t>告訴</w:t>
      </w:r>
      <w:r w:rsidR="00942AC3" w:rsidRPr="00AC4C76">
        <w:rPr>
          <w:rFonts w:hint="eastAsia"/>
        </w:rPr>
        <w:t>沈○維</w:t>
      </w:r>
      <w:r w:rsidR="00E241DA" w:rsidRPr="00AC4C76">
        <w:rPr>
          <w:rStyle w:val="reason1"/>
          <w:rFonts w:hAnsi="標楷體"/>
          <w:szCs w:val="23"/>
        </w:rPr>
        <w:t>傷害，</w:t>
      </w:r>
      <w:r w:rsidR="00942AC3" w:rsidRPr="00AC4C76">
        <w:rPr>
          <w:rStyle w:val="reason1"/>
          <w:rFonts w:hAnsi="標楷體"/>
          <w:szCs w:val="23"/>
        </w:rPr>
        <w:t>沈○維</w:t>
      </w:r>
      <w:r w:rsidR="00E241DA" w:rsidRPr="00AC4C76">
        <w:rPr>
          <w:rStyle w:val="reason1"/>
          <w:rFonts w:hAnsi="標楷體" w:hint="eastAsia"/>
          <w:szCs w:val="23"/>
        </w:rPr>
        <w:t>則</w:t>
      </w:r>
      <w:r w:rsidR="00E241DA" w:rsidRPr="00AC4C76">
        <w:rPr>
          <w:rStyle w:val="reason1"/>
          <w:rFonts w:hAnsi="標楷體"/>
          <w:szCs w:val="23"/>
        </w:rPr>
        <w:t>指控</w:t>
      </w:r>
      <w:r w:rsidR="00E241DA" w:rsidRPr="00AC4C76">
        <w:rPr>
          <w:rFonts w:hint="eastAsia"/>
        </w:rPr>
        <w:t>陳訴人</w:t>
      </w:r>
      <w:r w:rsidR="00E241DA" w:rsidRPr="00AC4C76">
        <w:rPr>
          <w:rStyle w:val="reason1"/>
          <w:rFonts w:hAnsi="標楷體"/>
          <w:szCs w:val="23"/>
        </w:rPr>
        <w:t>以</w:t>
      </w:r>
      <w:r w:rsidR="0037142D" w:rsidRPr="00AC4C76">
        <w:rPr>
          <w:rFonts w:hint="eastAsia"/>
          <w:szCs w:val="32"/>
        </w:rPr>
        <w:t>「幹、幹你娘、龜兒子、臭卒仔、好膽麥走」</w:t>
      </w:r>
      <w:r w:rsidR="0037142D" w:rsidRPr="00AC4C76">
        <w:rPr>
          <w:rStyle w:val="reason1"/>
          <w:rFonts w:hAnsi="標楷體" w:hint="eastAsia"/>
          <w:szCs w:val="23"/>
        </w:rPr>
        <w:t>等</w:t>
      </w:r>
      <w:r w:rsidR="00E241DA" w:rsidRPr="00AC4C76">
        <w:rPr>
          <w:rStyle w:val="reason1"/>
          <w:rFonts w:hAnsi="標楷體"/>
          <w:szCs w:val="23"/>
        </w:rPr>
        <w:t>不雅字眼公然侮辱</w:t>
      </w:r>
      <w:r w:rsidR="009A39A2" w:rsidRPr="00AC4C76">
        <w:rPr>
          <w:rStyle w:val="reason1"/>
          <w:rFonts w:hAnsi="標楷體" w:hint="eastAsia"/>
          <w:szCs w:val="23"/>
        </w:rPr>
        <w:t>，法院採信證人</w:t>
      </w:r>
      <w:r w:rsidR="00942AC3" w:rsidRPr="00AC4C76">
        <w:rPr>
          <w:rFonts w:hint="eastAsia"/>
          <w:szCs w:val="32"/>
        </w:rPr>
        <w:t>顏○隆</w:t>
      </w:r>
      <w:r w:rsidR="009D48B9" w:rsidRPr="00AC4C76">
        <w:rPr>
          <w:rFonts w:hint="eastAsia"/>
          <w:szCs w:val="32"/>
        </w:rPr>
        <w:t>及</w:t>
      </w:r>
      <w:r w:rsidR="00942AC3" w:rsidRPr="00AC4C76">
        <w:rPr>
          <w:rFonts w:hint="eastAsia"/>
          <w:szCs w:val="32"/>
        </w:rPr>
        <w:t>徐○軒</w:t>
      </w:r>
      <w:r w:rsidR="009A39A2" w:rsidRPr="00AC4C76">
        <w:rPr>
          <w:rStyle w:val="reason1"/>
          <w:rFonts w:hAnsi="標楷體" w:hint="eastAsia"/>
          <w:szCs w:val="23"/>
        </w:rPr>
        <w:t>證詞，</w:t>
      </w:r>
      <w:r w:rsidR="0037142D" w:rsidRPr="00AC4C76">
        <w:rPr>
          <w:rFonts w:hint="eastAsia"/>
          <w:szCs w:val="32"/>
        </w:rPr>
        <w:t>認定陳訴人</w:t>
      </w:r>
      <w:r w:rsidR="00942AC3" w:rsidRPr="00AC4C76">
        <w:rPr>
          <w:rFonts w:hint="eastAsia"/>
          <w:szCs w:val="32"/>
        </w:rPr>
        <w:t>林○凱</w:t>
      </w:r>
      <w:r w:rsidR="0037142D" w:rsidRPr="00AC4C76">
        <w:rPr>
          <w:rFonts w:hint="eastAsia"/>
          <w:szCs w:val="32"/>
        </w:rPr>
        <w:t>有辱罵</w:t>
      </w:r>
      <w:r w:rsidR="00942AC3" w:rsidRPr="00AC4C76">
        <w:rPr>
          <w:rFonts w:hint="eastAsia"/>
          <w:szCs w:val="32"/>
        </w:rPr>
        <w:t>沈○維</w:t>
      </w:r>
      <w:r w:rsidR="0037142D" w:rsidRPr="00AC4C76">
        <w:rPr>
          <w:rFonts w:hint="eastAsia"/>
          <w:szCs w:val="32"/>
        </w:rPr>
        <w:t>「幹、幹你娘、龜兒子」等</w:t>
      </w:r>
      <w:r w:rsidR="0037142D" w:rsidRPr="00AC4C76">
        <w:rPr>
          <w:rFonts w:hAnsi="標楷體" w:hint="eastAsia"/>
          <w:szCs w:val="32"/>
        </w:rPr>
        <w:t>語</w:t>
      </w:r>
      <w:r w:rsidR="0037142D" w:rsidRPr="00AC4C76">
        <w:rPr>
          <w:rFonts w:hAnsi="標楷體" w:hint="eastAsia"/>
        </w:rPr>
        <w:t>，處拘役30日，得易科罰金；</w:t>
      </w:r>
      <w:r w:rsidR="009A39A2" w:rsidRPr="00AC4C76">
        <w:rPr>
          <w:rStyle w:val="reason1"/>
          <w:rFonts w:hAnsi="標楷體" w:hint="eastAsia"/>
          <w:szCs w:val="23"/>
        </w:rPr>
        <w:t>認</w:t>
      </w:r>
      <w:r w:rsidR="0037142D" w:rsidRPr="00AC4C76">
        <w:rPr>
          <w:rStyle w:val="reason1"/>
          <w:rFonts w:hAnsi="標楷體" w:hint="eastAsia"/>
          <w:szCs w:val="23"/>
        </w:rPr>
        <w:t>定</w:t>
      </w:r>
      <w:r w:rsidR="009D48B9" w:rsidRPr="00AC4C76">
        <w:rPr>
          <w:rFonts w:hAnsi="標楷體" w:hint="eastAsia"/>
          <w:szCs w:val="32"/>
        </w:rPr>
        <w:t>被告</w:t>
      </w:r>
      <w:r w:rsidR="00942AC3" w:rsidRPr="00AC4C76">
        <w:rPr>
          <w:rFonts w:hAnsi="標楷體" w:hint="eastAsia"/>
          <w:szCs w:val="32"/>
        </w:rPr>
        <w:t>沈○維</w:t>
      </w:r>
      <w:r w:rsidR="009D48B9" w:rsidRPr="00AC4C76">
        <w:rPr>
          <w:rFonts w:hAnsi="標楷體" w:hint="eastAsia"/>
          <w:szCs w:val="32"/>
        </w:rPr>
        <w:t>因上前勸架</w:t>
      </w:r>
      <w:r w:rsidR="0037142D" w:rsidRPr="00AC4C76">
        <w:rPr>
          <w:rFonts w:hAnsi="標楷體" w:hint="eastAsia"/>
          <w:szCs w:val="32"/>
        </w:rPr>
        <w:t>而不慎傷及被告</w:t>
      </w:r>
      <w:r w:rsidR="00942AC3" w:rsidRPr="00AC4C76">
        <w:rPr>
          <w:rFonts w:hAnsi="標楷體" w:hint="eastAsia"/>
          <w:szCs w:val="32"/>
        </w:rPr>
        <w:t>林○凱</w:t>
      </w:r>
      <w:r w:rsidR="0037142D" w:rsidRPr="00AC4C76">
        <w:rPr>
          <w:rFonts w:hAnsi="標楷體" w:hint="eastAsia"/>
          <w:szCs w:val="32"/>
        </w:rPr>
        <w:t>，並非故意傷害被告</w:t>
      </w:r>
      <w:r w:rsidR="00942AC3" w:rsidRPr="00AC4C76">
        <w:rPr>
          <w:rFonts w:hAnsi="標楷體" w:hint="eastAsia"/>
          <w:szCs w:val="32"/>
        </w:rPr>
        <w:t>林○凱</w:t>
      </w:r>
      <w:r w:rsidR="0037142D" w:rsidRPr="00AC4C76">
        <w:rPr>
          <w:rFonts w:hAnsi="標楷體" w:hint="eastAsia"/>
          <w:szCs w:val="32"/>
        </w:rPr>
        <w:t>，所為應予從輕處罰</w:t>
      </w:r>
      <w:r w:rsidR="0037142D" w:rsidRPr="00AC4C76">
        <w:rPr>
          <w:rFonts w:hAnsi="標楷體" w:hint="eastAsia"/>
        </w:rPr>
        <w:t>，處拘役10日，得易科罰金，雙方提起上訴，仍遭臺灣高等法院判決駁回確定。</w:t>
      </w:r>
      <w:r w:rsidR="0029749D" w:rsidRPr="00AC4C76">
        <w:rPr>
          <w:rFonts w:hAnsi="標楷體" w:hint="eastAsia"/>
        </w:rPr>
        <w:t>惟</w:t>
      </w:r>
      <w:r w:rsidR="0029749D" w:rsidRPr="00AC4C76">
        <w:rPr>
          <w:rFonts w:hAnsi="標楷體" w:cs="新細明體" w:hint="eastAsia"/>
          <w:kern w:val="0"/>
          <w:szCs w:val="24"/>
          <w:lang w:val="x-none"/>
        </w:rPr>
        <w:t>一般而言行為</w:t>
      </w:r>
      <w:r w:rsidR="00B77FAC" w:rsidRPr="00AC4C76">
        <w:rPr>
          <w:rFonts w:hAnsi="標楷體" w:cs="新細明體" w:hint="eastAsia"/>
          <w:kern w:val="0"/>
          <w:szCs w:val="24"/>
          <w:lang w:val="x-none"/>
        </w:rPr>
        <w:t>人不會毫無緣由口出惡言，通常有其脈絡可循。</w:t>
      </w:r>
      <w:r w:rsidR="00E264B7" w:rsidRPr="00AC4C76">
        <w:rPr>
          <w:rFonts w:hAnsi="標楷體" w:hint="eastAsia"/>
          <w:szCs w:val="32"/>
        </w:rPr>
        <w:t>經查，案發現場2位目擊證人</w:t>
      </w:r>
      <w:r w:rsidR="00942AC3" w:rsidRPr="00AC4C76">
        <w:rPr>
          <w:rFonts w:hAnsi="標楷體" w:hint="eastAsia"/>
          <w:szCs w:val="32"/>
        </w:rPr>
        <w:t>顏○隆</w:t>
      </w:r>
      <w:r w:rsidR="00E264B7" w:rsidRPr="00AC4C76">
        <w:rPr>
          <w:rFonts w:hAnsi="標楷體" w:hint="eastAsia"/>
          <w:szCs w:val="32"/>
        </w:rPr>
        <w:t>及</w:t>
      </w:r>
      <w:r w:rsidR="00942AC3" w:rsidRPr="00AC4C76">
        <w:rPr>
          <w:rFonts w:hAnsi="標楷體" w:hint="eastAsia"/>
          <w:szCs w:val="32"/>
        </w:rPr>
        <w:t>徐○軒</w:t>
      </w:r>
      <w:r w:rsidR="00E264B7" w:rsidRPr="00AC4C76">
        <w:rPr>
          <w:rFonts w:hAnsi="標楷體" w:hint="eastAsia"/>
          <w:szCs w:val="32"/>
        </w:rPr>
        <w:t>皆為被告</w:t>
      </w:r>
      <w:r w:rsidR="00942AC3" w:rsidRPr="00AC4C76">
        <w:rPr>
          <w:rFonts w:hAnsi="標楷體" w:hint="eastAsia"/>
          <w:szCs w:val="32"/>
        </w:rPr>
        <w:t>沈○維</w:t>
      </w:r>
      <w:r w:rsidR="00E264B7" w:rsidRPr="00AC4C76">
        <w:rPr>
          <w:rFonts w:hAnsi="標楷體" w:hint="eastAsia"/>
          <w:szCs w:val="32"/>
        </w:rPr>
        <w:t>在該市場做生意的同業，</w:t>
      </w:r>
      <w:r w:rsidR="0022266B" w:rsidRPr="00AC4C76">
        <w:rPr>
          <w:rFonts w:hAnsi="標楷體" w:hint="eastAsia"/>
          <w:szCs w:val="32"/>
        </w:rPr>
        <w:t>彼此認識，</w:t>
      </w:r>
      <w:r w:rsidR="00E264B7" w:rsidRPr="00AC4C76">
        <w:rPr>
          <w:rFonts w:hAnsi="標楷體" w:hint="eastAsia"/>
          <w:szCs w:val="32"/>
        </w:rPr>
        <w:t>證人</w:t>
      </w:r>
      <w:r w:rsidR="00942AC3" w:rsidRPr="00AC4C76">
        <w:rPr>
          <w:rFonts w:hAnsi="標楷體" w:hint="eastAsia"/>
          <w:szCs w:val="32"/>
        </w:rPr>
        <w:t>徐○軒</w:t>
      </w:r>
      <w:r w:rsidR="00E264B7" w:rsidRPr="00AC4C76">
        <w:rPr>
          <w:rFonts w:hAnsi="標楷體" w:hint="eastAsia"/>
          <w:szCs w:val="32"/>
        </w:rPr>
        <w:t>甚至是與陳訴人</w:t>
      </w:r>
      <w:r w:rsidR="00942AC3" w:rsidRPr="00AC4C76">
        <w:rPr>
          <w:rFonts w:hAnsi="標楷體" w:hint="eastAsia"/>
          <w:szCs w:val="32"/>
        </w:rPr>
        <w:t>林○凱</w:t>
      </w:r>
      <w:r w:rsidR="00E264B7" w:rsidRPr="00AC4C76">
        <w:rPr>
          <w:rFonts w:hAnsi="標楷體" w:hint="eastAsia"/>
          <w:szCs w:val="32"/>
        </w:rPr>
        <w:t>爭吵停車位</w:t>
      </w:r>
      <w:r w:rsidR="00E264B7" w:rsidRPr="00AC4C76">
        <w:rPr>
          <w:rFonts w:hint="eastAsia"/>
          <w:szCs w:val="32"/>
        </w:rPr>
        <w:t>之當事人，依常理彼等在當地做生意一致皆有不願任何人停車在自家店門口的私利需求，而陳訴人</w:t>
      </w:r>
      <w:r w:rsidR="00942AC3" w:rsidRPr="00AC4C76">
        <w:rPr>
          <w:rFonts w:hint="eastAsia"/>
          <w:szCs w:val="32"/>
        </w:rPr>
        <w:t>林○凱</w:t>
      </w:r>
      <w:r w:rsidR="00E264B7" w:rsidRPr="00AC4C76">
        <w:rPr>
          <w:rFonts w:hint="eastAsia"/>
          <w:szCs w:val="32"/>
        </w:rPr>
        <w:t>孤身1人在當地僅因暫時停車而妨礙當地民眾即被告</w:t>
      </w:r>
      <w:r w:rsidR="00942AC3" w:rsidRPr="00AC4C76">
        <w:rPr>
          <w:rFonts w:hint="eastAsia"/>
          <w:szCs w:val="32"/>
        </w:rPr>
        <w:t>沈○維</w:t>
      </w:r>
      <w:r w:rsidR="00E264B7" w:rsidRPr="00AC4C76">
        <w:rPr>
          <w:rFonts w:hint="eastAsia"/>
          <w:szCs w:val="32"/>
        </w:rPr>
        <w:t>及證人開店做生意致生爭執，</w:t>
      </w:r>
      <w:r w:rsidR="00B85D97" w:rsidRPr="00AC4C76">
        <w:rPr>
          <w:rFonts w:hint="eastAsia"/>
          <w:szCs w:val="32"/>
        </w:rPr>
        <w:t>又因此受到</w:t>
      </w:r>
      <w:r w:rsidR="00B85D97" w:rsidRPr="00AC4C76">
        <w:rPr>
          <w:rStyle w:val="reason1"/>
          <w:rFonts w:hAnsi="標楷體"/>
          <w:szCs w:val="23"/>
        </w:rPr>
        <w:t>眼鏡破損、臉部及眼睛等傷害</w:t>
      </w:r>
      <w:r w:rsidR="00B85D97" w:rsidRPr="00AC4C76">
        <w:rPr>
          <w:rFonts w:hint="eastAsia"/>
          <w:szCs w:val="32"/>
        </w:rPr>
        <w:t>，</w:t>
      </w:r>
      <w:r w:rsidR="00E264B7" w:rsidRPr="00AC4C76">
        <w:rPr>
          <w:rFonts w:hint="eastAsia"/>
        </w:rPr>
        <w:t>陳訴人</w:t>
      </w:r>
      <w:r w:rsidR="00B85D97" w:rsidRPr="00AC4C76">
        <w:rPr>
          <w:rFonts w:hAnsi="標楷體" w:hint="eastAsia"/>
          <w:szCs w:val="32"/>
        </w:rPr>
        <w:t>不願意</w:t>
      </w:r>
      <w:r w:rsidR="00942AC3" w:rsidRPr="00AC4C76">
        <w:rPr>
          <w:rFonts w:hAnsi="標楷體" w:hint="eastAsia"/>
          <w:szCs w:val="32"/>
        </w:rPr>
        <w:t>沈○維</w:t>
      </w:r>
      <w:r w:rsidR="00E264B7" w:rsidRPr="00AC4C76">
        <w:rPr>
          <w:rFonts w:hAnsi="標楷體" w:hint="eastAsia"/>
          <w:szCs w:val="32"/>
        </w:rPr>
        <w:t>於警方到場前離開，對</w:t>
      </w:r>
      <w:r w:rsidR="00942AC3" w:rsidRPr="00AC4C76">
        <w:rPr>
          <w:rFonts w:hAnsi="標楷體" w:hint="eastAsia"/>
          <w:szCs w:val="32"/>
        </w:rPr>
        <w:t>沈○維</w:t>
      </w:r>
      <w:r w:rsidR="00E264B7" w:rsidRPr="00AC4C76">
        <w:rPr>
          <w:rFonts w:hAnsi="標楷體" w:hint="eastAsia"/>
          <w:szCs w:val="32"/>
        </w:rPr>
        <w:t>說「你若離開你就是龜兒子」</w:t>
      </w:r>
      <w:r w:rsidR="00B77FAC" w:rsidRPr="00AC4C76">
        <w:rPr>
          <w:rFonts w:hAnsi="標楷體" w:hint="eastAsia"/>
          <w:szCs w:val="32"/>
        </w:rPr>
        <w:t>等語</w:t>
      </w:r>
      <w:r w:rsidR="00E264B7" w:rsidRPr="00AC4C76">
        <w:rPr>
          <w:rFonts w:hAnsi="標楷體" w:hint="eastAsia"/>
          <w:szCs w:val="32"/>
        </w:rPr>
        <w:t>，</w:t>
      </w:r>
      <w:r w:rsidR="00B85D97" w:rsidRPr="00AC4C76">
        <w:rPr>
          <w:rFonts w:hAnsi="標楷體" w:hint="eastAsia"/>
          <w:szCs w:val="32"/>
        </w:rPr>
        <w:t>考量</w:t>
      </w:r>
      <w:r w:rsidR="00E264B7" w:rsidRPr="00AC4C76">
        <w:rPr>
          <w:rFonts w:hAnsi="標楷體" w:hint="eastAsia"/>
          <w:szCs w:val="32"/>
        </w:rPr>
        <w:t>當時當地</w:t>
      </w:r>
      <w:r w:rsidR="00B77FAC" w:rsidRPr="00AC4C76">
        <w:rPr>
          <w:rFonts w:hint="eastAsia"/>
        </w:rPr>
        <w:t>陳訴人</w:t>
      </w:r>
      <w:r w:rsidR="0022266B" w:rsidRPr="00AC4C76">
        <w:rPr>
          <w:rFonts w:hint="eastAsia"/>
        </w:rPr>
        <w:t>並不認識任何人</w:t>
      </w:r>
      <w:r w:rsidR="00E264B7" w:rsidRPr="00AC4C76">
        <w:rPr>
          <w:rFonts w:hAnsi="標楷體" w:hint="eastAsia"/>
          <w:szCs w:val="32"/>
        </w:rPr>
        <w:t>，內心深感委屈</w:t>
      </w:r>
      <w:r w:rsidR="00B85D97" w:rsidRPr="00AC4C76">
        <w:rPr>
          <w:rFonts w:hAnsi="標楷體" w:hint="eastAsia"/>
          <w:szCs w:val="32"/>
        </w:rPr>
        <w:t>、氣憤</w:t>
      </w:r>
      <w:r w:rsidR="00E264B7" w:rsidRPr="00AC4C76">
        <w:rPr>
          <w:rFonts w:hAnsi="標楷體" w:hint="eastAsia"/>
          <w:szCs w:val="32"/>
        </w:rPr>
        <w:t>等情狀，</w:t>
      </w:r>
      <w:r w:rsidR="00E264B7" w:rsidRPr="00AC4C76">
        <w:rPr>
          <w:rFonts w:hAnsi="標楷體" w:cs="新細明體" w:hint="eastAsia"/>
          <w:kern w:val="0"/>
          <w:szCs w:val="24"/>
          <w:lang w:val="x-none"/>
        </w:rPr>
        <w:t>足認</w:t>
      </w:r>
      <w:r w:rsidR="00E264B7" w:rsidRPr="00AC4C76">
        <w:rPr>
          <w:rFonts w:hAnsi="標楷體" w:hint="eastAsia"/>
        </w:rPr>
        <w:t>陳訴人</w:t>
      </w:r>
      <w:r w:rsidR="00E264B7" w:rsidRPr="00AC4C76">
        <w:rPr>
          <w:rFonts w:hAnsi="標楷體" w:cs="新細明體" w:hint="eastAsia"/>
          <w:kern w:val="0"/>
          <w:szCs w:val="24"/>
          <w:lang w:val="x-none"/>
        </w:rPr>
        <w:t>所言</w:t>
      </w:r>
      <w:r w:rsidR="00E264B7" w:rsidRPr="00AC4C76">
        <w:rPr>
          <w:rFonts w:hAnsi="標楷體" w:hint="eastAsia"/>
          <w:szCs w:val="32"/>
        </w:rPr>
        <w:t>「龜兒子」</w:t>
      </w:r>
      <w:r w:rsidR="00B77FAC" w:rsidRPr="00AC4C76">
        <w:rPr>
          <w:rFonts w:hAnsi="標楷體" w:hint="eastAsia"/>
          <w:szCs w:val="32"/>
        </w:rPr>
        <w:t>等語</w:t>
      </w:r>
      <w:r w:rsidR="00E264B7" w:rsidRPr="00AC4C76">
        <w:rPr>
          <w:rFonts w:hAnsi="標楷體" w:cs="新細明體" w:hint="eastAsia"/>
          <w:kern w:val="0"/>
          <w:szCs w:val="24"/>
          <w:lang w:val="x-none"/>
        </w:rPr>
        <w:t>顯事出有因，有其脈絡可循，其無奈、憤怒</w:t>
      </w:r>
      <w:r w:rsidR="000302DA" w:rsidRPr="00AC4C76">
        <w:rPr>
          <w:rFonts w:hAnsi="標楷體" w:cs="新細明體" w:hint="eastAsia"/>
          <w:kern w:val="0"/>
          <w:szCs w:val="24"/>
          <w:lang w:val="x-none"/>
        </w:rPr>
        <w:t>可以</w:t>
      </w:r>
      <w:r w:rsidR="00E264B7" w:rsidRPr="00AC4C76">
        <w:rPr>
          <w:rFonts w:hAnsi="標楷體" w:cs="新細明體" w:hint="eastAsia"/>
          <w:kern w:val="0"/>
          <w:szCs w:val="24"/>
          <w:lang w:val="x-none"/>
        </w:rPr>
        <w:t>想像，</w:t>
      </w:r>
      <w:r w:rsidR="00B77FAC" w:rsidRPr="00AC4C76">
        <w:rPr>
          <w:rFonts w:hAnsi="標楷體" w:cs="新細明體" w:hint="eastAsia"/>
          <w:kern w:val="0"/>
          <w:szCs w:val="24"/>
          <w:lang w:val="x-none"/>
        </w:rPr>
        <w:t>且</w:t>
      </w:r>
      <w:r w:rsidR="00CC5516" w:rsidRPr="00AC4C76">
        <w:rPr>
          <w:rFonts w:hAnsi="標楷體" w:cs="新細明體" w:hint="eastAsia"/>
          <w:kern w:val="0"/>
          <w:szCs w:val="24"/>
          <w:lang w:val="x-none"/>
        </w:rPr>
        <w:t>告訴人</w:t>
      </w:r>
      <w:r w:rsidR="00942AC3" w:rsidRPr="00AC4C76">
        <w:rPr>
          <w:rFonts w:hAnsi="標楷體" w:hint="eastAsia"/>
          <w:szCs w:val="32"/>
        </w:rPr>
        <w:t>沈○維</w:t>
      </w:r>
      <w:r w:rsidR="00CC5516" w:rsidRPr="00AC4C76">
        <w:rPr>
          <w:rFonts w:hAnsi="標楷體" w:cs="新細明體" w:hint="eastAsia"/>
          <w:kern w:val="0"/>
          <w:szCs w:val="24"/>
          <w:lang w:val="x-none"/>
        </w:rPr>
        <w:t>不因陳訴人使用</w:t>
      </w:r>
      <w:r w:rsidR="00CC5516" w:rsidRPr="00AC4C76">
        <w:rPr>
          <w:rFonts w:hAnsi="標楷體" w:hint="eastAsia"/>
          <w:szCs w:val="32"/>
        </w:rPr>
        <w:t>「龜兒子」</w:t>
      </w:r>
      <w:r w:rsidR="00CC5516" w:rsidRPr="00AC4C76">
        <w:rPr>
          <w:rFonts w:hAnsi="標楷體" w:cs="新細明體" w:hint="eastAsia"/>
          <w:kern w:val="0"/>
          <w:szCs w:val="24"/>
          <w:lang w:val="x-none"/>
        </w:rPr>
        <w:t>等言詞，受到社會上負面評價，反倒是陳訴人因此遭受拘役30日之刑事處罰</w:t>
      </w:r>
      <w:r w:rsidR="00E264B7" w:rsidRPr="00AC4C76">
        <w:rPr>
          <w:rFonts w:hAnsi="標楷體" w:cs="新細明體" w:hint="eastAsia"/>
          <w:kern w:val="0"/>
          <w:szCs w:val="24"/>
          <w:lang w:val="x-none"/>
        </w:rPr>
        <w:t>。</w:t>
      </w:r>
      <w:r w:rsidR="00DE5759" w:rsidRPr="00AC4C76">
        <w:rPr>
          <w:rFonts w:hAnsi="標楷體" w:cs="新細明體" w:hint="eastAsia"/>
          <w:kern w:val="0"/>
          <w:szCs w:val="24"/>
          <w:lang w:val="x-none"/>
        </w:rPr>
        <w:t>依本件陳訴人實際案例</w:t>
      </w:r>
      <w:r w:rsidR="00007BE0" w:rsidRPr="00AC4C76">
        <w:rPr>
          <w:rFonts w:hAnsi="標楷體" w:cs="新細明體" w:hint="eastAsia"/>
          <w:kern w:val="0"/>
          <w:szCs w:val="24"/>
          <w:lang w:val="x-none"/>
        </w:rPr>
        <w:t>可知</w:t>
      </w:r>
      <w:r w:rsidR="00DE5759" w:rsidRPr="00AC4C76">
        <w:rPr>
          <w:rFonts w:hAnsi="標楷體" w:cs="新細明體" w:hint="eastAsia"/>
          <w:kern w:val="0"/>
          <w:szCs w:val="24"/>
          <w:lang w:val="x-none"/>
        </w:rPr>
        <w:t>，</w:t>
      </w:r>
      <w:r w:rsidR="00007BE0" w:rsidRPr="00AC4C76">
        <w:rPr>
          <w:rFonts w:hAnsi="標楷體" w:cs="新細明體" w:hint="eastAsia"/>
          <w:kern w:val="0"/>
          <w:szCs w:val="24"/>
          <w:lang w:val="x-none"/>
        </w:rPr>
        <w:t>公然侮辱除罪化有其必要性，</w:t>
      </w:r>
      <w:r w:rsidR="000302DA" w:rsidRPr="00AC4C76">
        <w:rPr>
          <w:rFonts w:hAnsi="標楷體" w:cs="新細明體" w:hint="eastAsia"/>
          <w:kern w:val="0"/>
          <w:szCs w:val="24"/>
          <w:lang w:val="x-none"/>
        </w:rPr>
        <w:t>行為人</w:t>
      </w:r>
      <w:r w:rsidR="006E6DA9" w:rsidRPr="00AC4C76">
        <w:rPr>
          <w:rFonts w:hAnsi="標楷體" w:cs="新細明體" w:hint="eastAsia"/>
          <w:kern w:val="0"/>
          <w:szCs w:val="24"/>
          <w:lang w:val="x-none"/>
        </w:rPr>
        <w:t>是否構成「侮辱」之言論，尚非可一概而論，而應斟酌被告為此言論之心態、當時客觀之情狀、是否基於具體事實之陳述，或即便非真實，惟仍非</w:t>
      </w:r>
      <w:r w:rsidR="006E6DA9" w:rsidRPr="00AC4C76">
        <w:rPr>
          <w:rFonts w:hAnsi="標楷體" w:cs="新細明體" w:hint="eastAsia"/>
          <w:kern w:val="0"/>
          <w:szCs w:val="24"/>
          <w:lang w:val="x-none"/>
        </w:rPr>
        <w:lastRenderedPageBreak/>
        <w:t>真正惡意之陳述，或對於具體事實或無具體事實之抽象的合理的評論，綜合判斷之。</w:t>
      </w:r>
      <w:r w:rsidR="00B77FAC" w:rsidRPr="00AC4C76">
        <w:rPr>
          <w:rStyle w:val="aff"/>
          <w:rFonts w:hAnsi="標楷體" w:cs="新細明體"/>
          <w:kern w:val="0"/>
          <w:szCs w:val="24"/>
          <w:lang w:val="x-none"/>
        </w:rPr>
        <w:footnoteReference w:id="1"/>
      </w:r>
      <w:r w:rsidR="00B77FAC" w:rsidRPr="00AC4C76">
        <w:rPr>
          <w:rFonts w:hAnsi="標楷體" w:cs="新細明體" w:hint="eastAsia"/>
          <w:kern w:val="0"/>
          <w:szCs w:val="24"/>
          <w:lang w:val="x-none"/>
        </w:rPr>
        <w:t>刑法第309條第</w:t>
      </w:r>
      <w:r w:rsidR="00B77FAC" w:rsidRPr="00AC4C76">
        <w:rPr>
          <w:rFonts w:hAnsi="標楷體" w:hint="eastAsia"/>
        </w:rPr>
        <w:t>1項規定</w:t>
      </w:r>
      <w:r w:rsidR="00ED0F91" w:rsidRPr="00AC4C76">
        <w:rPr>
          <w:rFonts w:hAnsi="標楷體" w:hint="eastAsia"/>
        </w:rPr>
        <w:t>：</w:t>
      </w:r>
      <w:r w:rsidR="00B77FAC" w:rsidRPr="00AC4C76">
        <w:rPr>
          <w:rFonts w:hAnsi="標楷體" w:hint="eastAsia"/>
        </w:rPr>
        <w:t>「公然侮辱人者，處拘役或3百元以下罰金。」其</w:t>
      </w:r>
      <w:r w:rsidR="00B77FAC" w:rsidRPr="00AC4C76">
        <w:rPr>
          <w:rFonts w:hAnsi="標楷體"/>
        </w:rPr>
        <w:t>規範內容</w:t>
      </w:r>
      <w:r w:rsidR="00D60478" w:rsidRPr="00AC4C76">
        <w:rPr>
          <w:rFonts w:hAnsi="標楷體" w:hint="eastAsia"/>
        </w:rPr>
        <w:t>涉</w:t>
      </w:r>
      <w:r w:rsidR="00B77FAC" w:rsidRPr="00AC4C76">
        <w:rPr>
          <w:rFonts w:hAnsi="標楷體" w:hint="eastAsia"/>
        </w:rPr>
        <w:t>有</w:t>
      </w:r>
      <w:r w:rsidR="00B77FAC" w:rsidRPr="00AC4C76">
        <w:rPr>
          <w:rFonts w:hAnsi="標楷體"/>
        </w:rPr>
        <w:t>侵害人</w:t>
      </w:r>
      <w:r w:rsidR="00B77FAC" w:rsidRPr="00AC4C76">
        <w:rPr>
          <w:rFonts w:hAnsi="標楷體" w:hint="eastAsia"/>
        </w:rPr>
        <w:t>民</w:t>
      </w:r>
      <w:r w:rsidR="00D60478" w:rsidRPr="00AC4C76">
        <w:rPr>
          <w:rFonts w:hAnsi="標楷體"/>
        </w:rPr>
        <w:t>之言論自由</w:t>
      </w:r>
      <w:r w:rsidR="00D60478" w:rsidRPr="00AC4C76">
        <w:rPr>
          <w:rFonts w:hAnsi="標楷體" w:hint="eastAsia"/>
        </w:rPr>
        <w:t>、</w:t>
      </w:r>
      <w:r w:rsidR="00D60478" w:rsidRPr="00AC4C76">
        <w:rPr>
          <w:rFonts w:hAnsi="標楷體"/>
        </w:rPr>
        <w:t>違反比例原則</w:t>
      </w:r>
      <w:r w:rsidR="00D60478" w:rsidRPr="00AC4C76">
        <w:rPr>
          <w:rFonts w:hAnsi="標楷體" w:hint="eastAsia"/>
        </w:rPr>
        <w:t>及</w:t>
      </w:r>
      <w:r w:rsidR="00B77FAC" w:rsidRPr="00AC4C76">
        <w:rPr>
          <w:rFonts w:hAnsi="標楷體"/>
        </w:rPr>
        <w:t>法律明確性原則</w:t>
      </w:r>
      <w:r w:rsidR="00B77FAC" w:rsidRPr="00AC4C76">
        <w:rPr>
          <w:rFonts w:hAnsi="標楷體" w:hint="eastAsia"/>
        </w:rPr>
        <w:t>之</w:t>
      </w:r>
      <w:r w:rsidR="00B77FAC" w:rsidRPr="00AC4C76">
        <w:rPr>
          <w:rFonts w:hAnsi="標楷體"/>
        </w:rPr>
        <w:t>疑義</w:t>
      </w:r>
      <w:r w:rsidR="00B77FAC" w:rsidRPr="00AC4C76">
        <w:rPr>
          <w:rFonts w:hAnsi="標楷體" w:hint="eastAsia"/>
        </w:rPr>
        <w:t>。</w:t>
      </w:r>
    </w:p>
    <w:p w:rsidR="00A440E3" w:rsidRPr="00AC4C76" w:rsidRDefault="00A440E3" w:rsidP="006E7289">
      <w:pPr>
        <w:pStyle w:val="3"/>
      </w:pPr>
      <w:r w:rsidRPr="00AC4C76">
        <w:t>刑法第309條第1項</w:t>
      </w:r>
      <w:r w:rsidRPr="00AC4C76">
        <w:rPr>
          <w:rFonts w:hint="eastAsia"/>
        </w:rPr>
        <w:t>規定</w:t>
      </w:r>
      <w:r w:rsidRPr="00AC4C76">
        <w:t>涉及憲法第11條言論自由之限制</w:t>
      </w:r>
      <w:r w:rsidR="008F4C6F" w:rsidRPr="00AC4C76">
        <w:rPr>
          <w:rFonts w:hint="eastAsia"/>
        </w:rPr>
        <w:t>：</w:t>
      </w:r>
    </w:p>
    <w:p w:rsidR="00A440E3" w:rsidRPr="00AC4C76" w:rsidRDefault="00A440E3" w:rsidP="009F5B65">
      <w:pPr>
        <w:pStyle w:val="3"/>
        <w:numPr>
          <w:ilvl w:val="0"/>
          <w:numId w:val="13"/>
        </w:numPr>
        <w:rPr>
          <w:rFonts w:hAnsi="標楷體"/>
          <w:szCs w:val="52"/>
        </w:rPr>
      </w:pPr>
      <w:r w:rsidRPr="00AC4C76">
        <w:rPr>
          <w:rFonts w:hAnsi="標楷體"/>
          <w:szCs w:val="52"/>
        </w:rPr>
        <w:t>按憲法第11條規定，人民之言論自由應予保障，其</w:t>
      </w:r>
      <w:r w:rsidRPr="00AC4C76">
        <w:rPr>
          <w:rFonts w:hAnsi="標楷體" w:hint="eastAsia"/>
          <w:szCs w:val="52"/>
        </w:rPr>
        <w:t>目</w:t>
      </w:r>
      <w:r w:rsidRPr="00AC4C76">
        <w:rPr>
          <w:rFonts w:hAnsi="標楷體"/>
          <w:szCs w:val="52"/>
        </w:rPr>
        <w:t>的在於保障意見之自由流通，使人民有取得充分資訊及自我實現之機會，包括政治、學術</w:t>
      </w:r>
      <w:r w:rsidRPr="00AC4C76">
        <w:rPr>
          <w:rFonts w:hAnsi="標楷體" w:hint="eastAsia"/>
          <w:szCs w:val="52"/>
        </w:rPr>
        <w:t>、</w:t>
      </w:r>
      <w:r w:rsidRPr="00AC4C76">
        <w:rPr>
          <w:rFonts w:hAnsi="標楷體"/>
          <w:szCs w:val="52"/>
        </w:rPr>
        <w:t>宗教及商業言論等，均為言論自由之保障範圍（</w:t>
      </w:r>
      <w:r w:rsidR="00877B37" w:rsidRPr="00AC4C76">
        <w:rPr>
          <w:rFonts w:hAnsi="標楷體" w:hint="eastAsia"/>
          <w:szCs w:val="52"/>
        </w:rPr>
        <w:t>司法院</w:t>
      </w:r>
      <w:r w:rsidRPr="00AC4C76">
        <w:rPr>
          <w:rFonts w:hAnsi="標楷體"/>
          <w:szCs w:val="52"/>
        </w:rPr>
        <w:t>釋字第414號</w:t>
      </w:r>
      <w:r w:rsidR="00916B1F" w:rsidRPr="00AC4C76">
        <w:rPr>
          <w:rFonts w:hAnsi="標楷體" w:hint="eastAsia"/>
          <w:szCs w:val="52"/>
        </w:rPr>
        <w:t>解釋</w:t>
      </w:r>
      <w:r w:rsidRPr="00AC4C76">
        <w:rPr>
          <w:rFonts w:hAnsi="標楷體"/>
          <w:szCs w:val="52"/>
        </w:rPr>
        <w:t>參照）。</w:t>
      </w:r>
      <w:r w:rsidRPr="00AC4C76">
        <w:t>「意見」就是對於某個事件的觀點、評論或看法，不論是公共或私人事務，也不管内容好、壞，有無水準、價值，基於理性或非理性，都在言論自由的保護範圍</w:t>
      </w:r>
      <w:r w:rsidRPr="00AC4C76">
        <w:rPr>
          <w:rStyle w:val="aff"/>
        </w:rPr>
        <w:footnoteReference w:id="2"/>
      </w:r>
      <w:r w:rsidRPr="00AC4C76">
        <w:rPr>
          <w:rFonts w:hint="eastAsia"/>
        </w:rPr>
        <w:t>。</w:t>
      </w:r>
      <w:r w:rsidRPr="00AC4C76">
        <w:t>意見</w:t>
      </w:r>
      <w:r w:rsidRPr="00AC4C76">
        <w:rPr>
          <w:rFonts w:hint="eastAsia"/>
        </w:rPr>
        <w:t>係</w:t>
      </w:r>
      <w:r w:rsidRPr="00AC4C76">
        <w:t>主觀上之價值判斷</w:t>
      </w:r>
      <w:r w:rsidRPr="00AC4C76">
        <w:rPr>
          <w:rFonts w:hint="eastAsia"/>
        </w:rPr>
        <w:t>，</w:t>
      </w:r>
      <w:r w:rsidRPr="00AC4C76">
        <w:t>無真實與否的問題，</w:t>
      </w:r>
      <w:r w:rsidRPr="00AC4C76">
        <w:rPr>
          <w:rFonts w:hAnsi="標楷體" w:cs="新細明體"/>
          <w:kern w:val="0"/>
          <w:szCs w:val="32"/>
          <w:lang w:val="x-none"/>
        </w:rPr>
        <w:t>維護言論自由即所以促進政治民主及社會之健全發展，與個人名譽可能遭受之損失兩相衡量，顯然有較高之價值</w:t>
      </w:r>
      <w:r w:rsidRPr="00AC4C76">
        <w:rPr>
          <w:rStyle w:val="aff"/>
          <w:rFonts w:asciiTheme="minorEastAsia" w:eastAsiaTheme="minorEastAsia" w:hAnsiTheme="minorEastAsia" w:cs="新細明體"/>
          <w:kern w:val="0"/>
          <w:sz w:val="26"/>
          <w:szCs w:val="24"/>
          <w:lang w:val="x-none"/>
        </w:rPr>
        <w:footnoteReference w:id="3"/>
      </w:r>
      <w:r w:rsidRPr="00AC4C76">
        <w:rPr>
          <w:szCs w:val="32"/>
        </w:rPr>
        <w:t>。</w:t>
      </w:r>
      <w:r w:rsidRPr="00AC4C76">
        <w:t>言論自由為人民之基本權利，憲法第</w:t>
      </w:r>
      <w:r w:rsidRPr="00AC4C76">
        <w:rPr>
          <w:rFonts w:hint="eastAsia"/>
        </w:rPr>
        <w:t>11</w:t>
      </w:r>
      <w:r w:rsidRPr="00AC4C76">
        <w:t>條有明文保障，國家應給予最大限度之維護，俾其實現自我、溝通意見、追求真理及監督各種政治或社會活動之功能得以發揮</w:t>
      </w:r>
      <w:r w:rsidRPr="00AC4C76">
        <w:rPr>
          <w:rFonts w:hAnsi="標楷體"/>
          <w:szCs w:val="52"/>
        </w:rPr>
        <w:t>（</w:t>
      </w:r>
      <w:r w:rsidR="00522B71" w:rsidRPr="00AC4C76">
        <w:rPr>
          <w:rFonts w:hAnsi="標楷體" w:hint="eastAsia"/>
          <w:szCs w:val="52"/>
        </w:rPr>
        <w:t>司法院</w:t>
      </w:r>
      <w:r w:rsidRPr="00AC4C76">
        <w:rPr>
          <w:rFonts w:hAnsi="標楷體"/>
          <w:szCs w:val="52"/>
        </w:rPr>
        <w:t>釋字第</w:t>
      </w:r>
      <w:r w:rsidRPr="00AC4C76">
        <w:rPr>
          <w:rFonts w:hAnsi="標楷體" w:hint="eastAsia"/>
          <w:szCs w:val="52"/>
        </w:rPr>
        <w:t>509</w:t>
      </w:r>
      <w:r w:rsidRPr="00AC4C76">
        <w:rPr>
          <w:rFonts w:hAnsi="標楷體"/>
          <w:szCs w:val="52"/>
        </w:rPr>
        <w:t>號</w:t>
      </w:r>
      <w:r w:rsidR="00522B71" w:rsidRPr="00AC4C76">
        <w:rPr>
          <w:rFonts w:hAnsi="標楷體" w:hint="eastAsia"/>
          <w:szCs w:val="52"/>
        </w:rPr>
        <w:t>解釋</w:t>
      </w:r>
      <w:r w:rsidRPr="00AC4C76">
        <w:rPr>
          <w:rFonts w:hAnsi="標楷體"/>
          <w:szCs w:val="52"/>
        </w:rPr>
        <w:t>參照）</w:t>
      </w:r>
      <w:r w:rsidRPr="00AC4C76">
        <w:t>。</w:t>
      </w:r>
      <w:r w:rsidRPr="00AC4C76">
        <w:rPr>
          <w:rFonts w:hAnsi="標楷體"/>
          <w:szCs w:val="52"/>
        </w:rPr>
        <w:t>刑法第309條第1項</w:t>
      </w:r>
      <w:r w:rsidRPr="00AC4C76">
        <w:rPr>
          <w:rFonts w:hAnsi="標楷體" w:hint="eastAsia"/>
          <w:szCs w:val="52"/>
        </w:rPr>
        <w:t>規定</w:t>
      </w:r>
      <w:r w:rsidR="008F4C6F" w:rsidRPr="00AC4C76">
        <w:rPr>
          <w:rFonts w:hAnsi="標楷體" w:hint="eastAsia"/>
          <w:szCs w:val="52"/>
        </w:rPr>
        <w:t>：</w:t>
      </w:r>
      <w:r w:rsidRPr="00AC4C76">
        <w:rPr>
          <w:rFonts w:hAnsi="標楷體" w:hint="eastAsia"/>
          <w:szCs w:val="52"/>
        </w:rPr>
        <w:lastRenderedPageBreak/>
        <w:t>「</w:t>
      </w:r>
      <w:r w:rsidRPr="00AC4C76">
        <w:rPr>
          <w:rFonts w:hAnsi="標楷體"/>
          <w:szCs w:val="52"/>
        </w:rPr>
        <w:t>公然侮辱人者，處拘役或</w:t>
      </w:r>
      <w:r w:rsidRPr="00AC4C76">
        <w:rPr>
          <w:rFonts w:hAnsi="標楷體" w:hint="eastAsia"/>
          <w:szCs w:val="52"/>
        </w:rPr>
        <w:t>3</w:t>
      </w:r>
      <w:r w:rsidRPr="00AC4C76">
        <w:rPr>
          <w:rFonts w:hAnsi="標楷體"/>
          <w:szCs w:val="52"/>
        </w:rPr>
        <w:t>百元以下</w:t>
      </w:r>
      <w:r w:rsidRPr="00AC4C76">
        <w:rPr>
          <w:rFonts w:hAnsi="標楷體" w:hint="eastAsia"/>
          <w:szCs w:val="52"/>
        </w:rPr>
        <w:t>罰</w:t>
      </w:r>
      <w:r w:rsidRPr="00AC4C76">
        <w:rPr>
          <w:rFonts w:hAnsi="標楷體"/>
          <w:szCs w:val="52"/>
        </w:rPr>
        <w:t>金。」其所限制者雖係對於他人為</w:t>
      </w:r>
      <w:r w:rsidR="00F50A8D" w:rsidRPr="00AC4C76">
        <w:rPr>
          <w:rFonts w:hAnsi="標楷體"/>
          <w:szCs w:val="52"/>
        </w:rPr>
        <w:t>謾罵、</w:t>
      </w:r>
      <w:r w:rsidRPr="00AC4C76">
        <w:rPr>
          <w:rFonts w:hAnsi="標楷體"/>
          <w:szCs w:val="52"/>
        </w:rPr>
        <w:t>其他</w:t>
      </w:r>
      <w:r w:rsidRPr="00AC4C76">
        <w:rPr>
          <w:rFonts w:hAnsi="標楷體" w:hint="eastAsia"/>
          <w:szCs w:val="52"/>
        </w:rPr>
        <w:t>貶</w:t>
      </w:r>
      <w:r w:rsidRPr="00AC4C76">
        <w:rPr>
          <w:rFonts w:hAnsi="標楷體"/>
          <w:szCs w:val="52"/>
        </w:rPr>
        <w:t>損他</w:t>
      </w:r>
      <w:r w:rsidRPr="00AC4C76">
        <w:rPr>
          <w:rFonts w:hAnsi="標楷體" w:hint="eastAsia"/>
          <w:szCs w:val="52"/>
        </w:rPr>
        <w:t>人的</w:t>
      </w:r>
      <w:r w:rsidRPr="00AC4C76">
        <w:rPr>
          <w:rFonts w:hAnsi="標楷體"/>
          <w:szCs w:val="52"/>
        </w:rPr>
        <w:t>言論</w:t>
      </w:r>
      <w:r w:rsidRPr="00AC4C76">
        <w:rPr>
          <w:rFonts w:hAnsi="標楷體" w:hint="eastAsia"/>
          <w:szCs w:val="52"/>
        </w:rPr>
        <w:t>、個人意見或情感的表達，</w:t>
      </w:r>
      <w:r w:rsidRPr="00AC4C76">
        <w:rPr>
          <w:rFonts w:hAnsi="標楷體"/>
          <w:szCs w:val="52"/>
        </w:rPr>
        <w:t>但其</w:t>
      </w:r>
      <w:r w:rsidRPr="00AC4C76">
        <w:rPr>
          <w:rFonts w:hAnsi="標楷體" w:hint="eastAsia"/>
          <w:szCs w:val="52"/>
        </w:rPr>
        <w:t>終</w:t>
      </w:r>
      <w:r w:rsidRPr="00AC4C76">
        <w:rPr>
          <w:rFonts w:hAnsi="標楷體"/>
          <w:szCs w:val="52"/>
        </w:rPr>
        <w:t>究為言論之一種，自應受憲法第11條所保障</w:t>
      </w:r>
      <w:r w:rsidRPr="00AC4C76">
        <w:rPr>
          <w:rFonts w:hAnsi="標楷體" w:hint="eastAsia"/>
          <w:szCs w:val="52"/>
        </w:rPr>
        <w:t>。</w:t>
      </w:r>
    </w:p>
    <w:p w:rsidR="00A440E3" w:rsidRPr="00AC4C76" w:rsidRDefault="00E61DCA" w:rsidP="009F5B65">
      <w:pPr>
        <w:pStyle w:val="3"/>
        <w:numPr>
          <w:ilvl w:val="0"/>
          <w:numId w:val="13"/>
        </w:numPr>
      </w:pPr>
      <w:r w:rsidRPr="00AC4C76">
        <w:rPr>
          <w:rFonts w:hint="eastAsia"/>
        </w:rPr>
        <w:t>實務上</w:t>
      </w:r>
      <w:r w:rsidRPr="00AC4C76">
        <w:t>發生</w:t>
      </w:r>
      <w:r w:rsidR="001A22D7" w:rsidRPr="00AC4C76">
        <w:rPr>
          <w:rFonts w:hAnsi="標楷體" w:hint="eastAsia"/>
        </w:rPr>
        <w:t>「</w:t>
      </w:r>
      <w:r w:rsidR="001A22D7" w:rsidRPr="00AC4C76">
        <w:rPr>
          <w:rFonts w:hint="eastAsia"/>
        </w:rPr>
        <w:t>丟</w:t>
      </w:r>
      <w:r w:rsidR="001A22D7" w:rsidRPr="00AC4C76">
        <w:t>擲運動鞋</w:t>
      </w:r>
      <w:r w:rsidR="001A22D7" w:rsidRPr="00AC4C76">
        <w:rPr>
          <w:rFonts w:hint="eastAsia"/>
        </w:rPr>
        <w:t>」</w:t>
      </w:r>
      <w:r w:rsidR="001A22D7" w:rsidRPr="00AC4C76">
        <w:rPr>
          <w:rStyle w:val="aff"/>
          <w:rFonts w:ascii="細明體" w:eastAsia="細明體" w:hAnsi="細明體" w:cs="Courier New"/>
          <w:kern w:val="0"/>
          <w:sz w:val="23"/>
          <w:szCs w:val="23"/>
        </w:rPr>
        <w:footnoteReference w:id="4"/>
      </w:r>
      <w:r w:rsidR="001A22D7" w:rsidRPr="00AC4C76">
        <w:rPr>
          <w:rFonts w:hint="eastAsia"/>
        </w:rPr>
        <w:t>、</w:t>
      </w:r>
      <w:r w:rsidRPr="00AC4C76">
        <w:t>罵人</w:t>
      </w:r>
      <w:r w:rsidR="008A2108" w:rsidRPr="00AC4C76">
        <w:rPr>
          <w:rFonts w:hint="eastAsia"/>
        </w:rPr>
        <w:t>「蕭查某」</w:t>
      </w:r>
      <w:r w:rsidR="008A2108" w:rsidRPr="00AC4C76">
        <w:rPr>
          <w:rStyle w:val="aff"/>
          <w:rFonts w:ascii="細明體" w:eastAsia="細明體" w:hAnsi="細明體"/>
          <w:sz w:val="23"/>
          <w:szCs w:val="23"/>
          <w:shd w:val="clear" w:color="auto" w:fill="F3FAF4"/>
        </w:rPr>
        <w:footnoteReference w:id="5"/>
      </w:r>
      <w:r w:rsidR="008A2108" w:rsidRPr="00AC4C76">
        <w:rPr>
          <w:rFonts w:ascii="細明體" w:eastAsia="細明體" w:hAnsi="細明體" w:hint="eastAsia"/>
          <w:sz w:val="23"/>
          <w:szCs w:val="23"/>
          <w:shd w:val="clear" w:color="auto" w:fill="F3FAF4"/>
        </w:rPr>
        <w:t>、</w:t>
      </w:r>
      <w:r w:rsidR="00C8072E" w:rsidRPr="00AC4C76">
        <w:rPr>
          <w:rFonts w:hint="eastAsia"/>
        </w:rPr>
        <w:t>「</w:t>
      </w:r>
      <w:r w:rsidR="00D23606" w:rsidRPr="00AC4C76">
        <w:t>你這個垃圾</w:t>
      </w:r>
      <w:r w:rsidR="00C8072E" w:rsidRPr="00AC4C76">
        <w:rPr>
          <w:rFonts w:hint="eastAsia"/>
        </w:rPr>
        <w:t>」</w:t>
      </w:r>
      <w:r w:rsidR="00C8072E" w:rsidRPr="00AC4C76">
        <w:rPr>
          <w:rStyle w:val="aff"/>
          <w:rFonts w:hAnsi="標楷體" w:cs="Arial"/>
          <w:spacing w:val="11"/>
          <w:sz w:val="30"/>
          <w:szCs w:val="30"/>
          <w:shd w:val="clear" w:color="auto" w:fill="FFFFFF"/>
        </w:rPr>
        <w:footnoteReference w:id="6"/>
      </w:r>
      <w:r w:rsidRPr="00AC4C76">
        <w:t>、「不要臉」</w:t>
      </w:r>
      <w:r w:rsidRPr="00AC4C76">
        <w:rPr>
          <w:rStyle w:val="aff"/>
        </w:rPr>
        <w:footnoteReference w:id="7"/>
      </w:r>
      <w:r w:rsidRPr="00AC4C76">
        <w:t>、「敗類」</w:t>
      </w:r>
      <w:r w:rsidRPr="00AC4C76">
        <w:rPr>
          <w:rStyle w:val="aff"/>
        </w:rPr>
        <w:footnoteReference w:id="8"/>
      </w:r>
      <w:r w:rsidRPr="00AC4C76">
        <w:t>、「傀儡、你給我屁啦、沒品」</w:t>
      </w:r>
      <w:r w:rsidRPr="00AC4C76">
        <w:rPr>
          <w:rStyle w:val="aff"/>
        </w:rPr>
        <w:footnoteReference w:id="9"/>
      </w:r>
      <w:r w:rsidRPr="00AC4C76">
        <w:t>、「下流」</w:t>
      </w:r>
      <w:r w:rsidRPr="00AC4C76">
        <w:rPr>
          <w:rStyle w:val="aff"/>
        </w:rPr>
        <w:footnoteReference w:id="10"/>
      </w:r>
      <w:r w:rsidRPr="00AC4C76">
        <w:t>、「婊賣家」</w:t>
      </w:r>
      <w:r w:rsidRPr="00AC4C76">
        <w:rPr>
          <w:rStyle w:val="aff"/>
        </w:rPr>
        <w:footnoteReference w:id="11"/>
      </w:r>
      <w:r w:rsidR="00C8072E" w:rsidRPr="00AC4C76">
        <w:rPr>
          <w:rFonts w:hint="eastAsia"/>
        </w:rPr>
        <w:t>、「幹」</w:t>
      </w:r>
      <w:r w:rsidR="00C8072E" w:rsidRPr="00AC4C76">
        <w:rPr>
          <w:rStyle w:val="aff"/>
          <w:rFonts w:ascii="細明體" w:eastAsia="細明體" w:hAnsi="細明體"/>
          <w:sz w:val="23"/>
          <w:szCs w:val="23"/>
          <w:shd w:val="clear" w:color="auto" w:fill="F3FAF4"/>
        </w:rPr>
        <w:footnoteReference w:id="12"/>
      </w:r>
      <w:r w:rsidRPr="00AC4C76">
        <w:t>，而被判處公然侮辱罪之案例</w:t>
      </w:r>
      <w:r w:rsidRPr="00AC4C76">
        <w:rPr>
          <w:rFonts w:hint="eastAsia"/>
        </w:rPr>
        <w:t>，</w:t>
      </w:r>
      <w:r w:rsidR="00A440E3" w:rsidRPr="00AC4C76">
        <w:rPr>
          <w:rFonts w:hint="eastAsia"/>
        </w:rPr>
        <w:t>依實務判決結果可知，人民對政府施政的不滿、惡言相向的言論、發言習慣用語等，均可能被認定為構成刑法的309條公然侮辱罪，其範圍甚廣，導致民眾表達意見、互相溝通、人際間的對話動輒得咎，已妨礙言論自由發揮監督政府、實現自我、追求真理及促進民主等功能。</w:t>
      </w:r>
    </w:p>
    <w:p w:rsidR="00285219" w:rsidRPr="00AC4C76" w:rsidRDefault="00A440E3" w:rsidP="009F5B65">
      <w:pPr>
        <w:pStyle w:val="3"/>
        <w:numPr>
          <w:ilvl w:val="0"/>
          <w:numId w:val="13"/>
        </w:numPr>
      </w:pPr>
      <w:r w:rsidRPr="00AC4C76">
        <w:rPr>
          <w:rFonts w:hAnsi="標楷體" w:cs="細明體"/>
          <w:kern w:val="0"/>
          <w:szCs w:val="24"/>
          <w:lang w:val="x-none"/>
        </w:rPr>
        <w:t>刑法制裁誹謗罪，係以刑罰制裁誹謗言論，縮減言論自由；民法制裁侵權行為，則是以損害賠償及其他適當處分制裁妨害名譽權言論的方式，縮減言論自由。兩者在憲法的評價上，除了責任輕重有別外，最大的差異在於，刑罰提供了公權力發動刑法追究言論責任的機會。政府人員發動刑罰箝制批評政府的言論，足以形成民事賠償所無的寒蟬效應，乃是刑法與民法限制言論應受不同密度的違憲審查之主要理</w:t>
      </w:r>
      <w:r w:rsidRPr="00AC4C76">
        <w:rPr>
          <w:rFonts w:hAnsi="標楷體" w:cs="細明體"/>
          <w:kern w:val="0"/>
          <w:szCs w:val="24"/>
          <w:lang w:val="x-none"/>
        </w:rPr>
        <w:lastRenderedPageBreak/>
        <w:t>由</w:t>
      </w:r>
      <w:r w:rsidRPr="00AC4C76">
        <w:rPr>
          <w:rFonts w:hAnsi="標楷體" w:cs="細明體" w:hint="eastAsia"/>
          <w:kern w:val="0"/>
          <w:szCs w:val="24"/>
          <w:lang w:val="x-none"/>
        </w:rPr>
        <w:t>。</w:t>
      </w:r>
      <w:r w:rsidRPr="00AC4C76">
        <w:rPr>
          <w:rStyle w:val="aff"/>
          <w:rFonts w:hAnsi="標楷體" w:cs="細明體"/>
          <w:kern w:val="0"/>
          <w:szCs w:val="24"/>
          <w:lang w:val="x-none"/>
        </w:rPr>
        <w:footnoteReference w:id="13"/>
      </w:r>
      <w:r w:rsidR="00F50A8D" w:rsidRPr="00AC4C76">
        <w:rPr>
          <w:rFonts w:hAnsi="標楷體" w:cs="細明體" w:hint="eastAsia"/>
          <w:kern w:val="0"/>
          <w:szCs w:val="24"/>
          <w:lang w:val="x-none"/>
        </w:rPr>
        <w:t>同樣的</w:t>
      </w:r>
      <w:r w:rsidRPr="00AC4C76">
        <w:rPr>
          <w:rFonts w:hAnsi="標楷體" w:cs="新細明體" w:hint="eastAsia"/>
          <w:kern w:val="0"/>
          <w:szCs w:val="32"/>
          <w:lang w:val="x-none"/>
        </w:rPr>
        <w:t>公然侮辱罪</w:t>
      </w:r>
      <w:r w:rsidRPr="00AC4C76">
        <w:rPr>
          <w:rFonts w:hAnsi="標楷體" w:cs="新細明體"/>
          <w:kern w:val="0"/>
          <w:szCs w:val="32"/>
          <w:lang w:val="x-none"/>
        </w:rPr>
        <w:t>涉及言論</w:t>
      </w:r>
      <w:r w:rsidRPr="00AC4C76">
        <w:rPr>
          <w:rFonts w:hAnsi="標楷體" w:cs="新細明體" w:hint="eastAsia"/>
          <w:kern w:val="0"/>
          <w:szCs w:val="32"/>
          <w:lang w:val="x-none"/>
        </w:rPr>
        <w:t>自由</w:t>
      </w:r>
      <w:r w:rsidRPr="00AC4C76">
        <w:rPr>
          <w:rFonts w:hAnsi="標楷體" w:cs="新細明體"/>
          <w:kern w:val="0"/>
          <w:szCs w:val="32"/>
          <w:lang w:val="x-none"/>
        </w:rPr>
        <w:t>限制，然其所涉及之言論內容</w:t>
      </w:r>
      <w:r w:rsidRPr="00AC4C76">
        <w:rPr>
          <w:rFonts w:hAnsi="標楷體" w:cs="新細明體" w:hint="eastAsia"/>
          <w:kern w:val="0"/>
          <w:szCs w:val="32"/>
          <w:lang w:val="x-none"/>
        </w:rPr>
        <w:t>包羅萬象</w:t>
      </w:r>
      <w:r w:rsidRPr="00AC4C76">
        <w:rPr>
          <w:rFonts w:hAnsi="標楷體" w:cs="新細明體"/>
          <w:kern w:val="0"/>
          <w:szCs w:val="32"/>
          <w:lang w:val="x-none"/>
        </w:rPr>
        <w:t>，可能同</w:t>
      </w:r>
      <w:r w:rsidRPr="00AC4C76">
        <w:rPr>
          <w:rFonts w:hAnsi="標楷體" w:cs="CourierNew" w:hint="eastAsia"/>
          <w:kern w:val="0"/>
          <w:szCs w:val="32"/>
          <w:lang w:val="x-none"/>
        </w:rPr>
        <w:t>時</w:t>
      </w:r>
      <w:r w:rsidRPr="00AC4C76">
        <w:rPr>
          <w:rFonts w:hAnsi="標楷體" w:cs="新細明體"/>
          <w:kern w:val="0"/>
          <w:szCs w:val="32"/>
          <w:lang w:val="x-none"/>
        </w:rPr>
        <w:t>包含學說上所稱之高價值言論以及低價值言論，</w:t>
      </w:r>
      <w:r w:rsidRPr="00AC4C76">
        <w:rPr>
          <w:rFonts w:hAnsi="標楷體" w:cs="新細明體" w:hint="eastAsia"/>
          <w:kern w:val="0"/>
          <w:szCs w:val="32"/>
          <w:lang w:val="x-none"/>
        </w:rPr>
        <w:t>判決</w:t>
      </w:r>
      <w:r w:rsidRPr="00AC4C76">
        <w:rPr>
          <w:rFonts w:hAnsi="標楷體" w:cs="新細明體"/>
          <w:kern w:val="0"/>
          <w:szCs w:val="32"/>
          <w:lang w:val="x-none"/>
        </w:rPr>
        <w:t>實務上，是否適用本罪，不以言論種類而有所區別，避</w:t>
      </w:r>
      <w:r w:rsidRPr="00AC4C76">
        <w:rPr>
          <w:rFonts w:hAnsi="標楷體" w:cs="CourierNew" w:hint="eastAsia"/>
          <w:kern w:val="0"/>
          <w:szCs w:val="32"/>
          <w:lang w:val="x-none"/>
        </w:rPr>
        <w:t>免人</w:t>
      </w:r>
      <w:r w:rsidRPr="00AC4C76">
        <w:rPr>
          <w:rFonts w:hAnsi="標楷體" w:cs="新細明體"/>
          <w:kern w:val="0"/>
          <w:szCs w:val="32"/>
          <w:lang w:val="x-none"/>
        </w:rPr>
        <w:t>民</w:t>
      </w:r>
      <w:r w:rsidRPr="00AC4C76">
        <w:rPr>
          <w:rFonts w:hAnsi="標楷體" w:cs="新細明體" w:hint="eastAsia"/>
          <w:kern w:val="0"/>
          <w:szCs w:val="32"/>
          <w:lang w:val="x-none"/>
        </w:rPr>
        <w:t>因</w:t>
      </w:r>
      <w:r w:rsidRPr="00AC4C76">
        <w:rPr>
          <w:rFonts w:hAnsi="標楷體" w:cs="新細明體"/>
          <w:kern w:val="0"/>
          <w:szCs w:val="32"/>
          <w:lang w:val="x-none"/>
        </w:rPr>
        <w:t>畏懼刑罰而產</w:t>
      </w:r>
      <w:r w:rsidRPr="00AC4C76">
        <w:rPr>
          <w:rFonts w:hAnsi="標楷體" w:cs="新細明體" w:hint="eastAsia"/>
          <w:kern w:val="0"/>
          <w:szCs w:val="32"/>
          <w:lang w:val="x-none"/>
        </w:rPr>
        <w:t>生</w:t>
      </w:r>
      <w:r w:rsidRPr="00AC4C76">
        <w:rPr>
          <w:rFonts w:hAnsi="標楷體" w:cs="新細明體"/>
          <w:kern w:val="0"/>
          <w:szCs w:val="32"/>
          <w:lang w:val="x-none"/>
        </w:rPr>
        <w:t>寒蟬效應，故審查上應採取較為嚴格之審查。</w:t>
      </w:r>
      <w:r w:rsidRPr="00AC4C76">
        <w:rPr>
          <w:rFonts w:hAnsi="標楷體" w:cs="新細明體" w:hint="eastAsia"/>
          <w:kern w:val="0"/>
          <w:szCs w:val="32"/>
          <w:lang w:val="x-none"/>
        </w:rPr>
        <w:t>司法院</w:t>
      </w:r>
      <w:r w:rsidRPr="00AC4C76">
        <w:rPr>
          <w:rFonts w:hAnsi="標楷體" w:cs="新細明體"/>
          <w:kern w:val="0"/>
          <w:szCs w:val="32"/>
          <w:lang w:val="x-none"/>
        </w:rPr>
        <w:t>釋字第414號解釋指出</w:t>
      </w:r>
      <w:r w:rsidRPr="00AC4C76">
        <w:rPr>
          <w:rFonts w:hAnsi="標楷體" w:cs="新細明體" w:hint="eastAsia"/>
          <w:kern w:val="0"/>
          <w:szCs w:val="32"/>
          <w:lang w:val="x-none"/>
        </w:rPr>
        <w:t>，</w:t>
      </w:r>
      <w:r w:rsidRPr="00AC4C76">
        <w:rPr>
          <w:rFonts w:hAnsi="標楷體" w:cs="新細明體"/>
          <w:kern w:val="0"/>
          <w:szCs w:val="32"/>
          <w:lang w:val="x-none"/>
        </w:rPr>
        <w:t>言論自由在於保障意見之自由流通，使人民有取得充分資訊及自我實現之機會，包括政治、學術、宗教及商業言論等，並依其性質而有不同之保護範疇及限制之準則</w:t>
      </w:r>
      <w:r w:rsidRPr="00AC4C76">
        <w:rPr>
          <w:rFonts w:hint="eastAsia"/>
        </w:rPr>
        <w:t>。</w:t>
      </w:r>
    </w:p>
    <w:p w:rsidR="00413867" w:rsidRPr="00AC4C76" w:rsidRDefault="000E78C6" w:rsidP="00413867">
      <w:pPr>
        <w:pStyle w:val="3"/>
      </w:pPr>
      <w:r w:rsidRPr="00AC4C76">
        <w:rPr>
          <w:rFonts w:hint="eastAsia"/>
        </w:rPr>
        <w:t>刑法第309條第1項規定違反</w:t>
      </w:r>
      <w:r w:rsidR="00413867" w:rsidRPr="00AC4C76">
        <w:rPr>
          <w:rFonts w:hint="eastAsia"/>
        </w:rPr>
        <w:t>法律明確性</w:t>
      </w:r>
      <w:r w:rsidR="00413867" w:rsidRPr="00AC4C76">
        <w:rPr>
          <w:rFonts w:hAnsi="標楷體" w:hint="eastAsia"/>
          <w:szCs w:val="52"/>
        </w:rPr>
        <w:t>原則</w:t>
      </w:r>
      <w:r w:rsidR="008F4C6F" w:rsidRPr="00AC4C76">
        <w:rPr>
          <w:rFonts w:hAnsi="標楷體" w:hint="eastAsia"/>
          <w:szCs w:val="52"/>
        </w:rPr>
        <w:t>：</w:t>
      </w:r>
    </w:p>
    <w:p w:rsidR="00413867" w:rsidRPr="00AC4C76" w:rsidRDefault="00413867" w:rsidP="009F5B65">
      <w:pPr>
        <w:pStyle w:val="21"/>
        <w:numPr>
          <w:ilvl w:val="0"/>
          <w:numId w:val="14"/>
        </w:numPr>
        <w:ind w:leftChars="0" w:left="1985" w:firstLineChars="0"/>
        <w:rPr>
          <w:rFonts w:eastAsiaTheme="minorEastAsia"/>
        </w:rPr>
      </w:pPr>
      <w:r w:rsidRPr="00AC4C76">
        <w:rPr>
          <w:rFonts w:hAnsi="標楷體" w:hint="eastAsia"/>
          <w:szCs w:val="52"/>
        </w:rPr>
        <w:t>公然侮辱罪</w:t>
      </w:r>
      <w:r w:rsidRPr="00AC4C76">
        <w:rPr>
          <w:rFonts w:hAnsi="標楷體"/>
          <w:szCs w:val="52"/>
        </w:rPr>
        <w:t>法定構成要件中「侮辱」係屬不確定法律概念，侮辱之</w:t>
      </w:r>
      <w:r w:rsidRPr="00AC4C76">
        <w:rPr>
          <w:rFonts w:hAnsi="標楷體" w:hint="eastAsia"/>
          <w:szCs w:val="52"/>
        </w:rPr>
        <w:t>意</w:t>
      </w:r>
      <w:r w:rsidRPr="00AC4C76">
        <w:rPr>
          <w:rFonts w:hAnsi="標楷體"/>
          <w:szCs w:val="52"/>
        </w:rPr>
        <w:t>義</w:t>
      </w:r>
      <w:r w:rsidRPr="00AC4C76">
        <w:rPr>
          <w:rFonts w:hAnsi="標楷體" w:hint="eastAsia"/>
          <w:szCs w:val="52"/>
        </w:rPr>
        <w:t>係</w:t>
      </w:r>
      <w:r w:rsidRPr="00AC4C76">
        <w:rPr>
          <w:rFonts w:hAnsi="標楷體"/>
          <w:szCs w:val="52"/>
        </w:rPr>
        <w:t>指直接對人謾罵、嘲笑或其他表示足以</w:t>
      </w:r>
      <w:r w:rsidRPr="00AC4C76">
        <w:rPr>
          <w:rFonts w:hAnsi="標楷體" w:hint="eastAsia"/>
          <w:szCs w:val="52"/>
        </w:rPr>
        <w:t>貶</w:t>
      </w:r>
      <w:r w:rsidRPr="00AC4C76">
        <w:rPr>
          <w:rFonts w:hAnsi="標楷體"/>
          <w:szCs w:val="52"/>
        </w:rPr>
        <w:t>損他人評價之意思，依</w:t>
      </w:r>
      <w:r w:rsidRPr="00AC4C76">
        <w:rPr>
          <w:rFonts w:hAnsi="標楷體" w:hint="eastAsia"/>
          <w:szCs w:val="52"/>
        </w:rPr>
        <w:t>照</w:t>
      </w:r>
      <w:r w:rsidRPr="00AC4C76">
        <w:rPr>
          <w:rFonts w:hAnsi="標楷體"/>
          <w:szCs w:val="52"/>
        </w:rPr>
        <w:t>一般人</w:t>
      </w:r>
      <w:r w:rsidRPr="00AC4C76">
        <w:rPr>
          <w:rFonts w:hAnsi="標楷體" w:hint="eastAsia"/>
          <w:szCs w:val="52"/>
        </w:rPr>
        <w:t>的生活經</w:t>
      </w:r>
      <w:r w:rsidRPr="00AC4C76">
        <w:rPr>
          <w:rFonts w:hAnsi="標楷體"/>
          <w:szCs w:val="52"/>
        </w:rPr>
        <w:t>驗尚非難以理解</w:t>
      </w:r>
      <w:r w:rsidRPr="00AC4C76">
        <w:rPr>
          <w:rFonts w:hAnsi="標楷體" w:hint="eastAsia"/>
          <w:szCs w:val="52"/>
        </w:rPr>
        <w:t>，然</w:t>
      </w:r>
      <w:r w:rsidRPr="00AC4C76">
        <w:rPr>
          <w:rFonts w:hAnsi="標楷體" w:hint="eastAsia"/>
        </w:rPr>
        <w:t>言語是否已達侮辱程度，因個人主觀感受不同，每個人情感感受及希望受尊重的程度並不相同，導致自尊心強</w:t>
      </w:r>
      <w:r w:rsidR="00755B4C" w:rsidRPr="00AC4C76">
        <w:rPr>
          <w:rFonts w:hAnsi="標楷體" w:hint="eastAsia"/>
        </w:rPr>
        <w:t>的人保障程度高、自尊心弱的人則保障程度低。依照社會經驗可知，</w:t>
      </w:r>
      <w:r w:rsidRPr="00AC4C76">
        <w:rPr>
          <w:rFonts w:hAnsi="標楷體" w:hint="eastAsia"/>
        </w:rPr>
        <w:t>行為人口出三字經、不雅語言，傳遞的訊息是憤怒或是無意義的發語詞，未必有侮辱意涵。何種言語、行為該當「侮辱」，刑法保障法益抽象化，且法院對於公然侮辱罪判決標準並不一致，同樣的語句產生有罪、無罪的差別結果</w:t>
      </w:r>
      <w:r w:rsidRPr="00AC4C76">
        <w:rPr>
          <w:rFonts w:hAnsi="標楷體"/>
          <w:szCs w:val="52"/>
        </w:rPr>
        <w:t>，足徵是否構成</w:t>
      </w:r>
      <w:r w:rsidRPr="00AC4C76">
        <w:rPr>
          <w:rFonts w:hAnsi="標楷體" w:hint="eastAsia"/>
          <w:szCs w:val="52"/>
        </w:rPr>
        <w:t>「</w:t>
      </w:r>
      <w:r w:rsidRPr="00AC4C76">
        <w:rPr>
          <w:rFonts w:hAnsi="標楷體"/>
          <w:szCs w:val="52"/>
        </w:rPr>
        <w:t>侮辱</w:t>
      </w:r>
      <w:r w:rsidRPr="00AC4C76">
        <w:rPr>
          <w:rFonts w:hAnsi="標楷體" w:hint="eastAsia"/>
          <w:szCs w:val="52"/>
        </w:rPr>
        <w:t>」</w:t>
      </w:r>
      <w:r w:rsidRPr="00AC4C76">
        <w:rPr>
          <w:rFonts w:hAnsi="標楷體"/>
          <w:szCs w:val="52"/>
        </w:rPr>
        <w:t>，</w:t>
      </w:r>
      <w:r w:rsidRPr="00AC4C76">
        <w:rPr>
          <w:rFonts w:hAnsi="標楷體" w:hint="eastAsia"/>
          <w:szCs w:val="52"/>
        </w:rPr>
        <w:t>尚無</w:t>
      </w:r>
      <w:r w:rsidRPr="00AC4C76">
        <w:rPr>
          <w:rFonts w:hAnsi="標楷體"/>
          <w:szCs w:val="52"/>
        </w:rPr>
        <w:t>具體客觀之判斷標準</w:t>
      </w:r>
      <w:r w:rsidRPr="00AC4C76">
        <w:rPr>
          <w:rFonts w:hAnsi="標楷體" w:hint="eastAsia"/>
          <w:szCs w:val="52"/>
        </w:rPr>
        <w:t>，</w:t>
      </w:r>
      <w:r w:rsidRPr="00AC4C76">
        <w:rPr>
          <w:rFonts w:hAnsi="標楷體" w:hint="eastAsia"/>
        </w:rPr>
        <w:t>法官依憑認定已達侮辱程度之客觀依據為何，無法預見其標準使人民動輒觸法，刑法處罰存有不確</w:t>
      </w:r>
      <w:r w:rsidRPr="00AC4C76">
        <w:rPr>
          <w:rFonts w:hAnsi="標楷體" w:hint="eastAsia"/>
        </w:rPr>
        <w:lastRenderedPageBreak/>
        <w:t>定性，與</w:t>
      </w:r>
      <w:r w:rsidRPr="00AC4C76">
        <w:rPr>
          <w:rFonts w:hAnsi="標楷體"/>
          <w:szCs w:val="52"/>
        </w:rPr>
        <w:t>法律明確性原則有所違背</w:t>
      </w:r>
      <w:r w:rsidRPr="00AC4C76">
        <w:rPr>
          <w:rFonts w:hAnsi="標楷體" w:hint="eastAsia"/>
        </w:rPr>
        <w:t>。參</w:t>
      </w:r>
      <w:r w:rsidRPr="00AC4C76">
        <w:rPr>
          <w:rFonts w:hAnsi="標楷體" w:hint="eastAsia"/>
          <w:szCs w:val="36"/>
        </w:rPr>
        <w:t>司法院釋字第623號解釋林子儀大法官不同意見書</w:t>
      </w:r>
      <w:r w:rsidR="008F4C6F" w:rsidRPr="00AC4C76">
        <w:rPr>
          <w:rFonts w:hAnsi="標楷體" w:hint="eastAsia"/>
          <w:szCs w:val="36"/>
        </w:rPr>
        <w:t>：</w:t>
      </w:r>
      <w:r w:rsidRPr="00AC4C76">
        <w:rPr>
          <w:rFonts w:hAnsi="標楷體" w:hint="eastAsia"/>
          <w:szCs w:val="36"/>
        </w:rPr>
        <w:t>「</w:t>
      </w:r>
      <w:r w:rsidRPr="00AC4C76">
        <w:rPr>
          <w:rFonts w:hAnsi="標楷體"/>
          <w:szCs w:val="36"/>
        </w:rPr>
        <w:t>惟不確定法律概念之使用，須符合意義非難以</w:t>
      </w:r>
      <w:r w:rsidRPr="00AC4C76">
        <w:rPr>
          <w:rFonts w:hAnsi="標楷體"/>
        </w:rPr>
        <w:t>理解，且為受規範者所得預見，並</w:t>
      </w:r>
      <w:r w:rsidRPr="00AC4C76">
        <w:t>可經由司法審查加以確認等要求，始與法律明確性原則無違。此係本院一向之見解，迭經解釋在案。從文義解釋而言，系爭條文中</w:t>
      </w:r>
      <w:r w:rsidRPr="00AC4C76">
        <w:rPr>
          <w:rFonts w:ascii="新細明體" w:eastAsia="新細明體" w:hAnsi="新細明體" w:hint="eastAsia"/>
        </w:rPr>
        <w:t>『</w:t>
      </w:r>
      <w:r w:rsidRPr="00AC4C76">
        <w:t>引誘、媒介、暗示</w:t>
      </w:r>
      <w:r w:rsidRPr="00AC4C76">
        <w:rPr>
          <w:rFonts w:ascii="新細明體" w:eastAsia="新細明體" w:hAnsi="新細明體" w:hint="eastAsia"/>
        </w:rPr>
        <w:t>』</w:t>
      </w:r>
      <w:r w:rsidRPr="00AC4C76">
        <w:t>皆係達成</w:t>
      </w:r>
      <w:r w:rsidRPr="00AC4C76">
        <w:rPr>
          <w:rFonts w:ascii="新細明體" w:eastAsia="新細明體" w:hAnsi="新細明體" w:hint="eastAsia"/>
        </w:rPr>
        <w:t>『</w:t>
      </w:r>
      <w:r w:rsidRPr="00AC4C76">
        <w:t>促使</w:t>
      </w:r>
      <w:r w:rsidRPr="00AC4C76">
        <w:rPr>
          <w:rFonts w:ascii="新細明體" w:eastAsia="新細明體" w:hAnsi="新細明體" w:hint="eastAsia"/>
        </w:rPr>
        <w:t>』</w:t>
      </w:r>
      <w:r w:rsidRPr="00AC4C76">
        <w:t>之手段類型，因此，系爭規定所欲規範之行為，係傳布足以促使人為性交易之訊息。然而，所謂</w:t>
      </w:r>
      <w:r w:rsidRPr="00AC4C76">
        <w:rPr>
          <w:rFonts w:ascii="新細明體" w:eastAsia="新細明體" w:hAnsi="新細明體" w:hint="eastAsia"/>
        </w:rPr>
        <w:t>『</w:t>
      </w:r>
      <w:r w:rsidRPr="00AC4C76">
        <w:t>足以促使</w:t>
      </w:r>
      <w:r w:rsidRPr="00AC4C76">
        <w:rPr>
          <w:rFonts w:ascii="新細明體" w:eastAsia="新細明體" w:hAnsi="新細明體" w:hint="eastAsia"/>
        </w:rPr>
        <w:t>』</w:t>
      </w:r>
      <w:r w:rsidRPr="00AC4C76">
        <w:t>之意涵究何所指，有無客觀、一致之認定標準，不僅一般人難以明確掌握，即使司法實務亦常有將凡與性交易可能有關之言論，即認係屬於</w:t>
      </w:r>
      <w:r w:rsidRPr="00AC4C76">
        <w:rPr>
          <w:rFonts w:ascii="新細明體" w:eastAsia="新細明體" w:hAnsi="新細明體" w:hint="eastAsia"/>
        </w:rPr>
        <w:t>『</w:t>
      </w:r>
      <w:r w:rsidRPr="00AC4C76">
        <w:t>足以引誘、媒介、暗示</w:t>
      </w:r>
      <w:r w:rsidRPr="00AC4C76">
        <w:rPr>
          <w:rFonts w:ascii="新細明體" w:eastAsia="新細明體" w:hAnsi="新細明體" w:hint="eastAsia"/>
        </w:rPr>
        <w:t>』</w:t>
      </w:r>
      <w:r w:rsidRPr="00AC4C76">
        <w:t>而促使人為性交易之言論，而以系爭規定予以處罰之例，致人民有關性交易言論動輒得咎。是依系爭規定，何種與性交易有關之言論屬該規定所規範之範圍，非受規範者所得具體預見，不符法律明確性原則。且司法實務對於構成要件合致之解釋寬嚴不一，雖未必有執法不公或濫權之情事，仍徒增法官在認事用法上的分歧與困擾。法律明確性之要求同時亦在維護法律之安定性，並防止執法者恣意曲解法律而有執法不公之濫權情形，此亦為正當法律程序所要求。若法律規定不夠明確，最顯而易見之後果即為漫無標準之執法</w:t>
      </w:r>
      <w:r w:rsidRPr="00AC4C76">
        <w:rPr>
          <w:rFonts w:asciiTheme="minorEastAsia" w:eastAsiaTheme="minorEastAsia" w:hAnsiTheme="minorEastAsia" w:hint="eastAsia"/>
        </w:rPr>
        <w:t>。」</w:t>
      </w:r>
    </w:p>
    <w:p w:rsidR="00413867" w:rsidRPr="00AC4C76" w:rsidRDefault="00413867" w:rsidP="009F5B65">
      <w:pPr>
        <w:pStyle w:val="21"/>
        <w:numPr>
          <w:ilvl w:val="0"/>
          <w:numId w:val="14"/>
        </w:numPr>
        <w:ind w:leftChars="0" w:left="1985" w:firstLineChars="0"/>
      </w:pPr>
      <w:r w:rsidRPr="00AC4C76">
        <w:t>基於法治國原則，以法律限制人民權利，其構成要件應符合法律明確性原則，使受規範者可能預見其行為之法律效果</w:t>
      </w:r>
      <w:r w:rsidRPr="00AC4C76">
        <w:rPr>
          <w:rFonts w:hint="eastAsia"/>
        </w:rPr>
        <w:t>。</w:t>
      </w:r>
      <w:r w:rsidRPr="00AC4C76">
        <w:rPr>
          <w:rFonts w:hAnsi="標楷體"/>
          <w:szCs w:val="52"/>
        </w:rPr>
        <w:t>依憲法第8</w:t>
      </w:r>
      <w:r w:rsidR="0089420A" w:rsidRPr="00AC4C76">
        <w:rPr>
          <w:rFonts w:hAnsi="標楷體"/>
          <w:szCs w:val="52"/>
        </w:rPr>
        <w:t>條</w:t>
      </w:r>
      <w:r w:rsidRPr="00AC4C76">
        <w:rPr>
          <w:rFonts w:hAnsi="標楷體"/>
          <w:szCs w:val="52"/>
        </w:rPr>
        <w:t>規定，國家公權力對人民身體自由之限制，若涉及嚴</w:t>
      </w:r>
      <w:r w:rsidRPr="00AC4C76">
        <w:rPr>
          <w:rFonts w:hAnsi="標楷體"/>
          <w:szCs w:val="52"/>
        </w:rPr>
        <w:lastRenderedPageBreak/>
        <w:t>重拘束人民身體自</w:t>
      </w:r>
      <w:r w:rsidRPr="00AC4C76">
        <w:rPr>
          <w:rFonts w:hAnsi="標楷體" w:hint="eastAsia"/>
          <w:szCs w:val="52"/>
        </w:rPr>
        <w:t>由</w:t>
      </w:r>
      <w:r w:rsidRPr="00AC4C76">
        <w:rPr>
          <w:rFonts w:hAnsi="標楷體"/>
          <w:szCs w:val="52"/>
        </w:rPr>
        <w:t>而與</w:t>
      </w:r>
      <w:r w:rsidRPr="00AC4C76">
        <w:rPr>
          <w:rFonts w:hAnsi="標楷體" w:hint="eastAsia"/>
          <w:szCs w:val="52"/>
        </w:rPr>
        <w:t>刑</w:t>
      </w:r>
      <w:r w:rsidRPr="00AC4C76">
        <w:rPr>
          <w:rFonts w:hAnsi="標楷體"/>
          <w:szCs w:val="52"/>
        </w:rPr>
        <w:t>罰無異之法律規定，其法定要件是否符合法律明確性原則，應受較為嚴格之審查(</w:t>
      </w:r>
      <w:r w:rsidRPr="00AC4C76">
        <w:rPr>
          <w:rFonts w:hAnsi="標楷體" w:hint="eastAsia"/>
          <w:szCs w:val="52"/>
        </w:rPr>
        <w:t>司法院釋字第</w:t>
      </w:r>
      <w:r w:rsidRPr="00AC4C76">
        <w:rPr>
          <w:rFonts w:hAnsi="標楷體"/>
          <w:szCs w:val="52"/>
        </w:rPr>
        <w:t>636號解釋</w:t>
      </w:r>
      <w:r w:rsidRPr="00AC4C76">
        <w:rPr>
          <w:rFonts w:hAnsi="標楷體" w:hint="eastAsia"/>
          <w:szCs w:val="52"/>
        </w:rPr>
        <w:t>理由書</w:t>
      </w:r>
      <w:r w:rsidRPr="00AC4C76">
        <w:rPr>
          <w:rFonts w:hAnsi="標楷體"/>
          <w:szCs w:val="52"/>
        </w:rPr>
        <w:t>）。刑法第309條第1項</w:t>
      </w:r>
      <w:r w:rsidRPr="00AC4C76">
        <w:rPr>
          <w:rFonts w:hAnsi="標楷體" w:hint="eastAsia"/>
          <w:szCs w:val="52"/>
        </w:rPr>
        <w:t>規定</w:t>
      </w:r>
      <w:r w:rsidRPr="00AC4C76">
        <w:rPr>
          <w:rFonts w:hAnsi="標楷體"/>
          <w:szCs w:val="52"/>
        </w:rPr>
        <w:t>「公然侮辱人者，處拘役或</w:t>
      </w:r>
      <w:r w:rsidRPr="00AC4C76">
        <w:rPr>
          <w:rFonts w:hAnsi="標楷體" w:hint="eastAsia"/>
          <w:szCs w:val="52"/>
        </w:rPr>
        <w:t>3</w:t>
      </w:r>
      <w:r w:rsidRPr="00AC4C76">
        <w:rPr>
          <w:rFonts w:hAnsi="標楷體"/>
          <w:szCs w:val="52"/>
        </w:rPr>
        <w:t>百元以下罰金。」</w:t>
      </w:r>
      <w:r w:rsidRPr="00AC4C76">
        <w:rPr>
          <w:rFonts w:hint="eastAsia"/>
        </w:rPr>
        <w:t>目前實務被認定為構成刑法的309條公然侮辱罪的言論包羅萬象，有範圍過廣之疑慮，</w:t>
      </w:r>
      <w:r w:rsidRPr="00AC4C76">
        <w:rPr>
          <w:rFonts w:ascii="Arial" w:cs="Arial" w:hint="eastAsia"/>
          <w:spacing w:val="15"/>
        </w:rPr>
        <w:t>公然侮辱罪為保護抽象的人性尊嚴而限制人民言論自由，不涉及事實判斷的侮辱言行，到達何種程度才算侵害人性尊嚴，其與人民表示負面評價的</w:t>
      </w:r>
      <w:r w:rsidR="00A52C49" w:rsidRPr="00AC4C76">
        <w:rPr>
          <w:rFonts w:ascii="Arial" w:cs="Arial" w:hint="eastAsia"/>
          <w:spacing w:val="15"/>
        </w:rPr>
        <w:t>表意自由，似乎無法</w:t>
      </w:r>
      <w:r w:rsidRPr="00AC4C76">
        <w:rPr>
          <w:rFonts w:ascii="Arial" w:cs="Arial" w:hint="eastAsia"/>
          <w:spacing w:val="15"/>
        </w:rPr>
        <w:t>區隔，</w:t>
      </w:r>
      <w:r w:rsidRPr="00AC4C76">
        <w:rPr>
          <w:rFonts w:hAnsi="標楷體"/>
          <w:szCs w:val="52"/>
        </w:rPr>
        <w:t>其法律效果部分涉及人民身體自由之限制，</w:t>
      </w:r>
      <w:r w:rsidRPr="00AC4C76">
        <w:rPr>
          <w:rFonts w:hint="eastAsia"/>
        </w:rPr>
        <w:t>刑罰係國家公權力的行使，應以嚴格標準要求規定明確，以符合罪刑法定主義、刑罰謙抑性原則。</w:t>
      </w:r>
    </w:p>
    <w:p w:rsidR="00413867" w:rsidRPr="00AC4C76" w:rsidRDefault="00413867" w:rsidP="009F5B65">
      <w:pPr>
        <w:pStyle w:val="21"/>
        <w:numPr>
          <w:ilvl w:val="0"/>
          <w:numId w:val="14"/>
        </w:numPr>
        <w:ind w:leftChars="0" w:left="1985" w:firstLineChars="0"/>
      </w:pPr>
      <w:r w:rsidRPr="00AC4C76">
        <w:rPr>
          <w:rFonts w:hint="eastAsia"/>
        </w:rPr>
        <w:t>口頭禪、對時事不滿的評論等是憲法言論自由所欲保障之表達形式，人民應該享有情緒表達、評論的言論自由權利，和演講等其他形式一樣，同樣具有傳播觀念和傳達社會訊息的功能，應受言論自由之保障。依我國民情，口頭禪不足以構成充分證據，證明有貶抑之意，告 訴人不因口頭禪名譽受損，故不足以據此否定口頭禪應受言論自由憲法保障。刑法第309</w:t>
      </w:r>
      <w:r w:rsidR="00266D20" w:rsidRPr="00AC4C76">
        <w:rPr>
          <w:rFonts w:hint="eastAsia"/>
        </w:rPr>
        <w:t>條規定</w:t>
      </w:r>
      <w:r w:rsidRPr="00AC4C76">
        <w:rPr>
          <w:rFonts w:hint="eastAsia"/>
        </w:rPr>
        <w:t>有涵蓋範圍過廣</w:t>
      </w:r>
      <w:r w:rsidR="00266D20" w:rsidRPr="00AC4C76">
        <w:rPr>
          <w:rFonts w:hint="eastAsia"/>
        </w:rPr>
        <w:t>的</w:t>
      </w:r>
      <w:r w:rsidRPr="00AC4C76">
        <w:rPr>
          <w:rFonts w:hint="eastAsia"/>
        </w:rPr>
        <w:t>問題，不符合憲法保障言論自由之本旨。</w:t>
      </w:r>
    </w:p>
    <w:p w:rsidR="00413867" w:rsidRPr="00AC4C76" w:rsidRDefault="000E78C6" w:rsidP="00413867">
      <w:pPr>
        <w:pStyle w:val="3"/>
      </w:pPr>
      <w:r w:rsidRPr="00AC4C76">
        <w:rPr>
          <w:rFonts w:hint="eastAsia"/>
        </w:rPr>
        <w:t>刑法第309條第1項規定違反</w:t>
      </w:r>
      <w:r w:rsidR="00413867" w:rsidRPr="00AC4C76">
        <w:rPr>
          <w:rFonts w:hint="eastAsia"/>
        </w:rPr>
        <w:t>比例原則</w:t>
      </w:r>
      <w:r w:rsidR="008F4C6F" w:rsidRPr="00AC4C76">
        <w:rPr>
          <w:rFonts w:hint="eastAsia"/>
        </w:rPr>
        <w:t>：</w:t>
      </w:r>
    </w:p>
    <w:p w:rsidR="00413867" w:rsidRPr="00AC4C76" w:rsidRDefault="00413867" w:rsidP="00413867">
      <w:pPr>
        <w:pStyle w:val="4"/>
        <w:rPr>
          <w:szCs w:val="52"/>
        </w:rPr>
      </w:pPr>
      <w:r w:rsidRPr="00AC4C76">
        <w:t>按憲法第23條規定，憲法列舉之基本權利，除為防止妨礙他人自由、避免緊急危難、维持社會秩序，或增進公共利益</w:t>
      </w:r>
      <w:r w:rsidRPr="00AC4C76">
        <w:rPr>
          <w:rFonts w:hint="eastAsia"/>
        </w:rPr>
        <w:t>所必要者外，</w:t>
      </w:r>
      <w:r w:rsidRPr="00AC4C76">
        <w:t>得</w:t>
      </w:r>
      <w:r w:rsidRPr="00AC4C76">
        <w:rPr>
          <w:rFonts w:hint="eastAsia"/>
        </w:rPr>
        <w:t>以法</w:t>
      </w:r>
      <w:r w:rsidRPr="00AC4C76">
        <w:t>律限制之</w:t>
      </w:r>
      <w:r w:rsidRPr="00AC4C76">
        <w:rPr>
          <w:rFonts w:hint="eastAsia"/>
        </w:rPr>
        <w:t>。</w:t>
      </w:r>
      <w:r w:rsidRPr="00AC4C76">
        <w:t>而國家對個人之刑罰，屬不得已之強制手段，選擇以</w:t>
      </w:r>
      <w:r w:rsidRPr="00AC4C76">
        <w:rPr>
          <w:rFonts w:hint="eastAsia"/>
        </w:rPr>
        <w:t>刑</w:t>
      </w:r>
      <w:r w:rsidRPr="00AC4C76">
        <w:t>罰</w:t>
      </w:r>
      <w:r w:rsidRPr="00AC4C76">
        <w:rPr>
          <w:rFonts w:hint="eastAsia"/>
        </w:rPr>
        <w:t>處罰個人之反社會性行為，須刑</w:t>
      </w:r>
      <w:r w:rsidRPr="00AC4C76">
        <w:rPr>
          <w:rFonts w:hint="eastAsia"/>
        </w:rPr>
        <w:lastRenderedPageBreak/>
        <w:t>事立法</w:t>
      </w:r>
      <w:r w:rsidRPr="00AC4C76">
        <w:t>之目的具有正當性，施以刑罰有助於立法目的之達成，且別無其他侵害較小亦能達成</w:t>
      </w:r>
      <w:r w:rsidRPr="00AC4C76">
        <w:rPr>
          <w:rFonts w:hint="eastAsia"/>
        </w:rPr>
        <w:t>目</w:t>
      </w:r>
      <w:r w:rsidRPr="00AC4C76">
        <w:t>的之手段可資運用時，始得為之；而刑罰對基本</w:t>
      </w:r>
      <w:r w:rsidRPr="00AC4C76">
        <w:rPr>
          <w:rFonts w:hint="eastAsia"/>
        </w:rPr>
        <w:t>權</w:t>
      </w:r>
      <w:r w:rsidRPr="00AC4C76">
        <w:t>利之限制與立法</w:t>
      </w:r>
      <w:r w:rsidRPr="00AC4C76">
        <w:rPr>
          <w:rFonts w:hint="eastAsia"/>
        </w:rPr>
        <w:t>者所欲維護法益之重要性及行為對</w:t>
      </w:r>
      <w:r w:rsidRPr="00AC4C76">
        <w:t>法益危害之程度，尚須處於合乎比例之關係（</w:t>
      </w:r>
      <w:r w:rsidRPr="00AC4C76">
        <w:rPr>
          <w:rFonts w:hint="eastAsia"/>
        </w:rPr>
        <w:t>司法院</w:t>
      </w:r>
      <w:r w:rsidRPr="00AC4C76">
        <w:t>釋字第476、544號解釋）。</w:t>
      </w:r>
    </w:p>
    <w:p w:rsidR="00413867" w:rsidRPr="00AC4C76" w:rsidRDefault="00413867" w:rsidP="00413867">
      <w:pPr>
        <w:pStyle w:val="4"/>
        <w:rPr>
          <w:rFonts w:hAnsi="標楷體"/>
          <w:szCs w:val="32"/>
        </w:rPr>
      </w:pPr>
      <w:r w:rsidRPr="00AC4C76">
        <w:rPr>
          <w:rFonts w:hAnsi="標楷體" w:cs="新細明體"/>
          <w:kern w:val="0"/>
          <w:szCs w:val="32"/>
          <w:lang w:val="x-none"/>
        </w:rPr>
        <w:t>刑法所保護人民社會生活所需要的利益，必然是憲法認為必須予以保障的利益</w:t>
      </w:r>
      <w:r w:rsidRPr="00AC4C76">
        <w:rPr>
          <w:rStyle w:val="aff"/>
          <w:rFonts w:ascii="新細明體" w:eastAsia="Times New Roman" w:hAnsi="新細明體" w:cs="新細明體"/>
          <w:kern w:val="0"/>
          <w:szCs w:val="24"/>
          <w:lang w:val="x-none"/>
        </w:rPr>
        <w:footnoteReference w:id="14"/>
      </w:r>
      <w:r w:rsidRPr="00AC4C76">
        <w:rPr>
          <w:rFonts w:asciiTheme="minorEastAsia" w:eastAsiaTheme="minorEastAsia" w:hAnsiTheme="minorEastAsia" w:cs="新細明體" w:hint="eastAsia"/>
          <w:kern w:val="0"/>
          <w:szCs w:val="24"/>
          <w:lang w:val="x-none"/>
        </w:rPr>
        <w:t>。</w:t>
      </w:r>
      <w:r w:rsidRPr="00AC4C76">
        <w:rPr>
          <w:rFonts w:hAnsi="標楷體" w:cs="新細明體" w:hint="eastAsia"/>
          <w:kern w:val="0"/>
          <w:szCs w:val="32"/>
          <w:lang w:val="x-none"/>
        </w:rPr>
        <w:t>本院陳情人所涉案件，告訴人被罵「龜兒子」，其「不堪受辱的感覺」是否為憲法所保障之法益，似有疑義。依據</w:t>
      </w:r>
      <w:r w:rsidRPr="00AC4C76">
        <w:rPr>
          <w:rFonts w:hAnsi="標楷體" w:cs="新細明體"/>
          <w:kern w:val="0"/>
          <w:szCs w:val="32"/>
          <w:lang w:val="x-none"/>
        </w:rPr>
        <w:t>憲法增修條文第10條第6項規定：「國家應維護婦女之人格尊嚴，保障婦女之人身安全，消除性別歧視，促進兩性地位之實質平等</w:t>
      </w:r>
      <w:r w:rsidR="003F47A3" w:rsidRPr="00AC4C76">
        <w:rPr>
          <w:rFonts w:hAnsi="標楷體" w:cs="新細明體" w:hint="eastAsia"/>
          <w:kern w:val="0"/>
          <w:szCs w:val="32"/>
          <w:lang w:val="x-none"/>
        </w:rPr>
        <w:t>。</w:t>
      </w:r>
      <w:r w:rsidR="003F47A3" w:rsidRPr="00AC4C76">
        <w:rPr>
          <w:rFonts w:hAnsi="標楷體" w:cs="新細明體"/>
          <w:kern w:val="0"/>
          <w:szCs w:val="32"/>
          <w:lang w:val="x-none"/>
        </w:rPr>
        <w:t>」</w:t>
      </w:r>
      <w:r w:rsidRPr="00AC4C76">
        <w:rPr>
          <w:rFonts w:hAnsi="標楷體" w:cs="新細明體" w:hint="eastAsia"/>
          <w:kern w:val="0"/>
          <w:szCs w:val="32"/>
          <w:lang w:val="x-none"/>
        </w:rPr>
        <w:t>及司法院</w:t>
      </w:r>
      <w:r w:rsidRPr="00AC4C76">
        <w:rPr>
          <w:rFonts w:hAnsi="標楷體" w:cs="新細明體"/>
          <w:kern w:val="0"/>
          <w:szCs w:val="32"/>
          <w:lang w:val="x-none"/>
        </w:rPr>
        <w:t>釋字第372號解釋解釋文：「維護人格尊嚴與確保人身安全，為我國憲法保障人民自由權利之基本理念</w:t>
      </w:r>
      <w:r w:rsidRPr="00AC4C76">
        <w:rPr>
          <w:rFonts w:hAnsi="標楷體" w:cs="新細明體" w:hint="eastAsia"/>
          <w:kern w:val="0"/>
          <w:szCs w:val="32"/>
          <w:lang w:val="x-none"/>
        </w:rPr>
        <w:t>。</w:t>
      </w:r>
      <w:r w:rsidRPr="00AC4C76">
        <w:rPr>
          <w:rFonts w:hAnsi="標楷體" w:cs="新細明體"/>
          <w:kern w:val="0"/>
          <w:szCs w:val="32"/>
          <w:lang w:val="x-none"/>
        </w:rPr>
        <w:t>」</w:t>
      </w:r>
      <w:r w:rsidRPr="00AC4C76">
        <w:rPr>
          <w:rFonts w:hAnsi="標楷體" w:cs="新細明體" w:hint="eastAsia"/>
          <w:kern w:val="0"/>
          <w:szCs w:val="32"/>
          <w:lang w:val="x-none"/>
        </w:rPr>
        <w:t>可知人性尊嚴受憲法的保障。</w:t>
      </w:r>
      <w:r w:rsidRPr="00AC4C76">
        <w:rPr>
          <w:rFonts w:hAnsi="標楷體" w:cs="新細明體"/>
          <w:kern w:val="0"/>
          <w:szCs w:val="32"/>
          <w:lang w:val="x-none"/>
        </w:rPr>
        <w:t>人性尊嚴簡單而言，就是人本身就是目的，並非客體，自治與自決構成人性尊嚴的核心内涵</w:t>
      </w:r>
      <w:r w:rsidRPr="00AC4C76">
        <w:rPr>
          <w:rStyle w:val="aff"/>
          <w:rFonts w:ascii="新細明體" w:eastAsia="Times New Roman" w:hAnsi="新細明體" w:cs="新細明體"/>
          <w:kern w:val="0"/>
          <w:szCs w:val="24"/>
          <w:lang w:val="x-none"/>
        </w:rPr>
        <w:footnoteReference w:id="15"/>
      </w:r>
      <w:r w:rsidRPr="00AC4C76">
        <w:rPr>
          <w:rFonts w:hAnsi="標楷體" w:cs="新細明體" w:hint="eastAsia"/>
          <w:kern w:val="0"/>
          <w:szCs w:val="32"/>
          <w:lang w:val="x-none"/>
        </w:rPr>
        <w:t>。本院陳情人所罵「龜兒子」</w:t>
      </w:r>
      <w:r w:rsidR="00DD2E19" w:rsidRPr="00AC4C76">
        <w:rPr>
          <w:rFonts w:hAnsi="標楷體" w:cs="新細明體" w:hint="eastAsia"/>
          <w:kern w:val="0"/>
          <w:szCs w:val="32"/>
          <w:lang w:val="x-none"/>
        </w:rPr>
        <w:t>一語</w:t>
      </w:r>
      <w:r w:rsidRPr="00AC4C76">
        <w:rPr>
          <w:rFonts w:hAnsi="標楷體" w:cs="新細明體" w:hint="eastAsia"/>
          <w:kern w:val="0"/>
          <w:szCs w:val="32"/>
          <w:lang w:val="x-none"/>
        </w:rPr>
        <w:t>，此類單純謾罵、表達情緒用語等，</w:t>
      </w:r>
      <w:r w:rsidRPr="00AC4C76">
        <w:rPr>
          <w:rFonts w:hAnsi="標楷體" w:cs="新細明體"/>
          <w:kern w:val="0"/>
          <w:szCs w:val="32"/>
          <w:lang w:val="x-none"/>
        </w:rPr>
        <w:t>不會損及人之所以為人的目的，也與自治、自決無關，但如果是基於宗教、種族、性別</w:t>
      </w:r>
      <w:r w:rsidRPr="00AC4C76">
        <w:rPr>
          <w:rFonts w:hAnsi="標楷體" w:cs="新細明體" w:hint="eastAsia"/>
          <w:kern w:val="0"/>
          <w:szCs w:val="32"/>
          <w:lang w:val="x-none"/>
        </w:rPr>
        <w:t>等</w:t>
      </w:r>
      <w:r w:rsidRPr="00AC4C76">
        <w:rPr>
          <w:rFonts w:hAnsi="標楷體" w:cs="新細明體"/>
          <w:kern w:val="0"/>
          <w:szCs w:val="32"/>
          <w:lang w:val="x-none"/>
        </w:rPr>
        <w:t>理由，對人公然為仇視性</w:t>
      </w:r>
      <w:r w:rsidRPr="00AC4C76">
        <w:rPr>
          <w:rFonts w:hAnsi="標楷體" w:cs="新細明體" w:hint="eastAsia"/>
          <w:kern w:val="0"/>
          <w:szCs w:val="32"/>
          <w:lang w:val="x-none"/>
        </w:rPr>
        <w:t>的</w:t>
      </w:r>
      <w:r w:rsidRPr="00AC4C76">
        <w:rPr>
          <w:rFonts w:hAnsi="標楷體" w:cs="新細明體"/>
          <w:kern w:val="0"/>
          <w:szCs w:val="32"/>
          <w:lang w:val="x-none"/>
        </w:rPr>
        <w:t>言論，</w:t>
      </w:r>
      <w:r w:rsidRPr="00AC4C76">
        <w:rPr>
          <w:rFonts w:hAnsi="標楷體" w:cs="新細明體" w:hint="eastAsia"/>
          <w:kern w:val="0"/>
          <w:szCs w:val="32"/>
          <w:lang w:val="x-none"/>
        </w:rPr>
        <w:t>則有</w:t>
      </w:r>
      <w:r w:rsidRPr="00AC4C76">
        <w:rPr>
          <w:rFonts w:hAnsi="標楷體" w:cs="新細明體"/>
          <w:kern w:val="0"/>
          <w:szCs w:val="32"/>
          <w:lang w:val="x-none"/>
        </w:rPr>
        <w:t>侵害人性尊嚴</w:t>
      </w:r>
      <w:r w:rsidRPr="00AC4C76">
        <w:rPr>
          <w:rFonts w:hAnsi="標楷體" w:cs="新細明體" w:hint="eastAsia"/>
          <w:kern w:val="0"/>
          <w:szCs w:val="32"/>
          <w:lang w:val="x-none"/>
        </w:rPr>
        <w:t>的問題。</w:t>
      </w:r>
    </w:p>
    <w:p w:rsidR="00413867" w:rsidRPr="00AC4C76" w:rsidRDefault="00413867" w:rsidP="00413867">
      <w:pPr>
        <w:pStyle w:val="4"/>
        <w:rPr>
          <w:rFonts w:hAnsi="標楷體"/>
          <w:szCs w:val="32"/>
        </w:rPr>
      </w:pPr>
      <w:r w:rsidRPr="00AC4C76">
        <w:rPr>
          <w:rFonts w:hAnsi="標楷體" w:cs="新細明體" w:hint="eastAsia"/>
          <w:kern w:val="0"/>
          <w:szCs w:val="32"/>
          <w:lang w:val="x-none"/>
        </w:rPr>
        <w:t>必要性原則</w:t>
      </w:r>
      <w:r w:rsidR="008F4C6F" w:rsidRPr="00AC4C76">
        <w:rPr>
          <w:rFonts w:hAnsi="標楷體" w:cs="新細明體" w:hint="eastAsia"/>
          <w:kern w:val="0"/>
          <w:szCs w:val="32"/>
          <w:lang w:val="x-none"/>
        </w:rPr>
        <w:t>：</w:t>
      </w:r>
      <w:r w:rsidRPr="00AC4C76">
        <w:rPr>
          <w:rFonts w:hAnsi="標楷體" w:cs="新細明體" w:hint="eastAsia"/>
          <w:kern w:val="0"/>
          <w:szCs w:val="32"/>
          <w:lang w:val="x-none"/>
        </w:rPr>
        <w:t>依據司法院</w:t>
      </w:r>
      <w:r w:rsidRPr="00AC4C76">
        <w:rPr>
          <w:rFonts w:hAnsi="標楷體" w:cs="新細明體"/>
          <w:kern w:val="0"/>
          <w:szCs w:val="32"/>
          <w:lang w:val="x-none"/>
        </w:rPr>
        <w:t>釋字第5</w:t>
      </w:r>
      <w:r w:rsidRPr="00AC4C76">
        <w:rPr>
          <w:rFonts w:hAnsi="標楷體" w:cs="新細明體" w:hint="eastAsia"/>
          <w:kern w:val="0"/>
          <w:szCs w:val="32"/>
          <w:lang w:val="x-none"/>
        </w:rPr>
        <w:t>09</w:t>
      </w:r>
      <w:r w:rsidRPr="00AC4C76">
        <w:rPr>
          <w:rFonts w:hAnsi="標楷體" w:cs="新細明體"/>
          <w:kern w:val="0"/>
          <w:szCs w:val="32"/>
          <w:lang w:val="x-none"/>
        </w:rPr>
        <w:t>號</w:t>
      </w:r>
      <w:r w:rsidRPr="00AC4C76">
        <w:rPr>
          <w:rFonts w:hAnsi="標楷體" w:cs="新細明體" w:hint="eastAsia"/>
          <w:kern w:val="0"/>
          <w:szCs w:val="32"/>
          <w:lang w:val="x-none"/>
        </w:rPr>
        <w:t>解釋</w:t>
      </w:r>
      <w:r w:rsidRPr="00AC4C76">
        <w:rPr>
          <w:rFonts w:hAnsi="標楷體" w:cs="新細明體"/>
          <w:kern w:val="0"/>
          <w:szCs w:val="32"/>
          <w:lang w:val="x-none"/>
        </w:rPr>
        <w:t>，</w:t>
      </w:r>
      <w:r w:rsidRPr="00AC4C76">
        <w:rPr>
          <w:rFonts w:ascii="inherit" w:hAnsi="inherit"/>
          <w:szCs w:val="21"/>
        </w:rPr>
        <w:t>為兼顧對個人名譽、隱私及公共利益之保護，</w:t>
      </w:r>
      <w:r w:rsidRPr="00AC4C76">
        <w:rPr>
          <w:rFonts w:hAnsi="標楷體" w:cs="新細明體"/>
          <w:kern w:val="0"/>
          <w:szCs w:val="32"/>
          <w:lang w:val="x-none"/>
        </w:rPr>
        <w:t>國家對言論自由尚非不得依其傳播方式為</w:t>
      </w:r>
      <w:r w:rsidRPr="00AC4C76">
        <w:rPr>
          <w:rFonts w:ascii="inherit" w:hAnsi="inherit"/>
          <w:szCs w:val="21"/>
        </w:rPr>
        <w:t>合理之限制</w:t>
      </w:r>
      <w:r w:rsidRPr="00AC4C76">
        <w:rPr>
          <w:rFonts w:hAnsi="標楷體" w:cs="新細明體"/>
          <w:kern w:val="0"/>
          <w:szCs w:val="32"/>
          <w:lang w:val="x-none"/>
        </w:rPr>
        <w:t>，</w:t>
      </w:r>
      <w:r w:rsidRPr="00AC4C76">
        <w:rPr>
          <w:rFonts w:hAnsi="標楷體" w:cs="新細明體" w:hint="eastAsia"/>
          <w:kern w:val="0"/>
          <w:szCs w:val="32"/>
          <w:lang w:val="x-none"/>
        </w:rPr>
        <w:t>然公然侮辱罪保護的法益是否為名譽權似有</w:t>
      </w:r>
      <w:r w:rsidRPr="00AC4C76">
        <w:rPr>
          <w:rFonts w:hAnsi="標楷體" w:cs="新細明體" w:hint="eastAsia"/>
          <w:kern w:val="0"/>
          <w:szCs w:val="32"/>
          <w:lang w:val="x-none"/>
        </w:rPr>
        <w:lastRenderedPageBreak/>
        <w:t>疑義(如後述)</w:t>
      </w:r>
      <w:r w:rsidRPr="00AC4C76">
        <w:rPr>
          <w:rFonts w:hAnsi="標楷體" w:cs="新細明體"/>
          <w:kern w:val="0"/>
          <w:szCs w:val="32"/>
          <w:lang w:val="x-none"/>
        </w:rPr>
        <w:t>，是否屬於重大且急迫之公共利益</w:t>
      </w:r>
      <w:r w:rsidRPr="00AC4C76">
        <w:rPr>
          <w:rFonts w:hAnsi="標楷體" w:cs="新細明體" w:hint="eastAsia"/>
          <w:kern w:val="0"/>
          <w:szCs w:val="32"/>
          <w:lang w:val="x-none"/>
        </w:rPr>
        <w:t>尚非</w:t>
      </w:r>
      <w:r w:rsidRPr="00AC4C76">
        <w:rPr>
          <w:rFonts w:hAnsi="標楷體" w:cs="新細明體"/>
          <w:kern w:val="0"/>
          <w:szCs w:val="32"/>
          <w:lang w:val="x-none"/>
        </w:rPr>
        <w:t>無疑，且</w:t>
      </w:r>
      <w:r w:rsidRPr="00AC4C76">
        <w:rPr>
          <w:rFonts w:hAnsi="標楷體" w:cs="新細明體" w:hint="eastAsia"/>
          <w:kern w:val="0"/>
          <w:szCs w:val="32"/>
          <w:lang w:val="x-none"/>
        </w:rPr>
        <w:t>其</w:t>
      </w:r>
      <w:r w:rsidRPr="00AC4C76">
        <w:rPr>
          <w:rFonts w:hAnsi="標楷體" w:cs="新細明體"/>
          <w:kern w:val="0"/>
          <w:szCs w:val="32"/>
          <w:lang w:val="x-none"/>
        </w:rPr>
        <w:t>所採</w:t>
      </w:r>
      <w:r w:rsidRPr="00AC4C76">
        <w:rPr>
          <w:rFonts w:hAnsi="標楷體" w:cs="新細明體" w:hint="eastAsia"/>
          <w:kern w:val="0"/>
          <w:szCs w:val="32"/>
          <w:lang w:val="x-none"/>
        </w:rPr>
        <w:t>取之手段</w:t>
      </w:r>
      <w:r w:rsidRPr="00AC4C76">
        <w:rPr>
          <w:rFonts w:hAnsi="標楷體" w:cs="新細明體"/>
          <w:kern w:val="0"/>
          <w:szCs w:val="32"/>
          <w:lang w:val="x-none"/>
        </w:rPr>
        <w:t>係國家刑罰</w:t>
      </w:r>
      <w:r w:rsidRPr="00AC4C76">
        <w:rPr>
          <w:rFonts w:hAnsi="標楷體" w:cs="新細明體" w:hint="eastAsia"/>
          <w:kern w:val="0"/>
          <w:szCs w:val="32"/>
          <w:lang w:val="x-none"/>
        </w:rPr>
        <w:t>制裁</w:t>
      </w:r>
      <w:r w:rsidRPr="00AC4C76">
        <w:rPr>
          <w:rFonts w:hAnsi="標楷體" w:cs="新細明體"/>
          <w:kern w:val="0"/>
          <w:szCs w:val="32"/>
          <w:lang w:val="x-none"/>
        </w:rPr>
        <w:t>，刑罰種類包含剝奪人身自由之拘役在內，</w:t>
      </w:r>
      <w:r w:rsidRPr="00AC4C76">
        <w:rPr>
          <w:rFonts w:hAnsi="標楷體" w:cs="新細明體" w:hint="eastAsia"/>
          <w:kern w:val="0"/>
          <w:szCs w:val="32"/>
          <w:lang w:val="x-none"/>
        </w:rPr>
        <w:t>並非侵害最小的手段，</w:t>
      </w:r>
      <w:r w:rsidRPr="00AC4C76">
        <w:rPr>
          <w:rFonts w:hAnsi="標楷體" w:cs="新細明體"/>
          <w:kern w:val="0"/>
          <w:szCs w:val="32"/>
          <w:lang w:val="x-none"/>
        </w:rPr>
        <w:t>恐有</w:t>
      </w:r>
      <w:r w:rsidRPr="00AC4C76">
        <w:rPr>
          <w:rFonts w:hAnsi="標楷體" w:cs="新細明體" w:hint="eastAsia"/>
          <w:kern w:val="0"/>
          <w:szCs w:val="32"/>
          <w:lang w:val="x-none"/>
        </w:rPr>
        <w:t>過重之</w:t>
      </w:r>
      <w:r w:rsidRPr="00AC4C76">
        <w:rPr>
          <w:rFonts w:hAnsi="標楷體" w:cs="新細明體"/>
          <w:kern w:val="0"/>
          <w:szCs w:val="32"/>
          <w:lang w:val="x-none"/>
        </w:rPr>
        <w:t>嫌。原先以刑罰作為保護人民名譽之手段，是否能達其目的，而屬最小侵害之手段，與目的間</w:t>
      </w:r>
      <w:r w:rsidRPr="00AC4C76">
        <w:rPr>
          <w:rFonts w:hAnsi="標楷體" w:cs="新細明體" w:hint="eastAsia"/>
          <w:kern w:val="0"/>
          <w:szCs w:val="32"/>
          <w:lang w:val="x-none"/>
        </w:rPr>
        <w:t>之</w:t>
      </w:r>
      <w:r w:rsidRPr="00AC4C76">
        <w:rPr>
          <w:rFonts w:hAnsi="標楷體" w:cs="新細明體"/>
          <w:kern w:val="0"/>
          <w:szCs w:val="32"/>
          <w:lang w:val="x-none"/>
        </w:rPr>
        <w:t>緊密關聯性，均非無疑。刑罰具有最後手段性</w:t>
      </w:r>
      <w:r w:rsidRPr="00AC4C76">
        <w:rPr>
          <w:rFonts w:ascii="Arial" w:cs="Arial"/>
          <w:spacing w:val="15"/>
        </w:rPr>
        <w:t>，不應該輕易重用刑罰解決人際紛爭</w:t>
      </w:r>
      <w:r w:rsidRPr="00AC4C76">
        <w:rPr>
          <w:rFonts w:ascii="Arial" w:cs="Arial" w:hint="eastAsia"/>
          <w:spacing w:val="15"/>
        </w:rPr>
        <w:t>，</w:t>
      </w:r>
      <w:r w:rsidRPr="00AC4C76">
        <w:rPr>
          <w:rFonts w:hAnsi="標楷體" w:cs="新細明體"/>
          <w:kern w:val="0"/>
          <w:szCs w:val="32"/>
          <w:lang w:val="x-none"/>
        </w:rPr>
        <w:t>司法改革國是會議</w:t>
      </w:r>
      <w:r w:rsidRPr="00AC4C76">
        <w:t>第五分組亦建議</w:t>
      </w:r>
      <w:r w:rsidRPr="00AC4C76">
        <w:rPr>
          <w:rStyle w:val="aff"/>
        </w:rPr>
        <w:footnoteReference w:id="16"/>
      </w:r>
      <w:r w:rsidRPr="00AC4C76">
        <w:t>，妨害名譽等微罪應除罪化</w:t>
      </w:r>
      <w:r w:rsidRPr="00AC4C76">
        <w:rPr>
          <w:rFonts w:hint="eastAsia"/>
        </w:rPr>
        <w:t>，</w:t>
      </w:r>
      <w:r w:rsidRPr="00AC4C76">
        <w:t>以民事訴訟處理妨害名譽行為可能造成之損害</w:t>
      </w:r>
      <w:r w:rsidRPr="00AC4C76">
        <w:rPr>
          <w:rFonts w:hint="eastAsia"/>
        </w:rPr>
        <w:t>，</w:t>
      </w:r>
      <w:r w:rsidRPr="00AC4C76">
        <w:t>倘若僅係</w:t>
      </w:r>
      <w:r w:rsidRPr="00AC4C76">
        <w:rPr>
          <w:rFonts w:hint="eastAsia"/>
        </w:rPr>
        <w:t>被告</w:t>
      </w:r>
      <w:r w:rsidRPr="00AC4C76">
        <w:t>財產</w:t>
      </w:r>
      <w:r w:rsidRPr="00AC4C76">
        <w:rPr>
          <w:rFonts w:hint="eastAsia"/>
        </w:rPr>
        <w:t>的</w:t>
      </w:r>
      <w:r w:rsidRPr="00AC4C76">
        <w:t>剝奪，則民事損害賠償制度即可達到相同</w:t>
      </w:r>
      <w:r w:rsidRPr="00AC4C76">
        <w:rPr>
          <w:rFonts w:hint="eastAsia"/>
        </w:rPr>
        <w:t>的</w:t>
      </w:r>
      <w:r w:rsidRPr="00AC4C76">
        <w:t>效果，</w:t>
      </w:r>
      <w:r w:rsidRPr="00AC4C76">
        <w:rPr>
          <w:rFonts w:hint="eastAsia"/>
        </w:rPr>
        <w:t>行為人口出惡言涉及個人習慣、教育問題，以嚴厲的</w:t>
      </w:r>
      <w:r w:rsidRPr="00AC4C76">
        <w:t>刑罰</w:t>
      </w:r>
      <w:r w:rsidRPr="00AC4C76">
        <w:rPr>
          <w:rFonts w:hint="eastAsia"/>
        </w:rPr>
        <w:t>制裁，其</w:t>
      </w:r>
      <w:r w:rsidRPr="00AC4C76">
        <w:t>必要</w:t>
      </w:r>
      <w:r w:rsidRPr="00AC4C76">
        <w:rPr>
          <w:rFonts w:hint="eastAsia"/>
        </w:rPr>
        <w:t>性似有討論</w:t>
      </w:r>
      <w:r w:rsidRPr="00AC4C76">
        <w:rPr>
          <w:rFonts w:hAnsi="標楷體" w:hint="eastAsia"/>
          <w:szCs w:val="32"/>
        </w:rPr>
        <w:t>空間</w:t>
      </w:r>
      <w:r w:rsidRPr="00AC4C76">
        <w:rPr>
          <w:rFonts w:hAnsi="標楷體"/>
          <w:szCs w:val="32"/>
        </w:rPr>
        <w:t>。</w:t>
      </w:r>
      <w:r w:rsidRPr="00AC4C76">
        <w:rPr>
          <w:rFonts w:hAnsi="標楷體" w:cs="Arial"/>
          <w:spacing w:val="15"/>
          <w:szCs w:val="32"/>
        </w:rPr>
        <w:t>人際互動過程的不尊重言行可能出於迥異目的，有時是純粹羞辱、侮蔑他人，也有出於實現政治及社經主張的需求，從</w:t>
      </w:r>
      <w:r w:rsidRPr="00AC4C76">
        <w:rPr>
          <w:rFonts w:hAnsi="標楷體" w:cs="新細明體"/>
          <w:kern w:val="0"/>
          <w:szCs w:val="32"/>
          <w:lang w:val="x-none"/>
        </w:rPr>
        <w:t>言論自由的保護</w:t>
      </w:r>
      <w:r w:rsidRPr="00AC4C76">
        <w:rPr>
          <w:rFonts w:hAnsi="標楷體" w:cs="Arial"/>
          <w:spacing w:val="15"/>
          <w:szCs w:val="32"/>
        </w:rPr>
        <w:t>看來，兩種情況應該獲得</w:t>
      </w:r>
      <w:r w:rsidRPr="00AC4C76">
        <w:rPr>
          <w:rFonts w:hAnsi="標楷體" w:cs="新細明體"/>
          <w:kern w:val="0"/>
          <w:szCs w:val="32"/>
          <w:lang w:val="x-none"/>
        </w:rPr>
        <w:t>不同</w:t>
      </w:r>
      <w:r w:rsidRPr="00AC4C76">
        <w:rPr>
          <w:rFonts w:hAnsi="標楷體" w:cs="新細明體" w:hint="eastAsia"/>
          <w:kern w:val="0"/>
          <w:szCs w:val="32"/>
          <w:lang w:val="x-none"/>
        </w:rPr>
        <w:t>程度</w:t>
      </w:r>
      <w:r w:rsidRPr="00AC4C76">
        <w:rPr>
          <w:rFonts w:hAnsi="標楷體" w:cs="新細明體"/>
          <w:kern w:val="0"/>
          <w:szCs w:val="32"/>
          <w:lang w:val="x-none"/>
        </w:rPr>
        <w:t>的法律評價</w:t>
      </w:r>
      <w:r w:rsidRPr="00AC4C76">
        <w:rPr>
          <w:rFonts w:hAnsi="標楷體" w:cs="Arial"/>
          <w:spacing w:val="15"/>
          <w:szCs w:val="32"/>
        </w:rPr>
        <w:t>，但</w:t>
      </w:r>
      <w:r w:rsidRPr="00AC4C76">
        <w:rPr>
          <w:rFonts w:hAnsi="標楷體" w:cs="新細明體"/>
          <w:kern w:val="0"/>
          <w:szCs w:val="32"/>
          <w:lang w:val="x-none"/>
        </w:rPr>
        <w:t>差異性的言論保障需求</w:t>
      </w:r>
      <w:r w:rsidR="008F53D3" w:rsidRPr="00AC4C76">
        <w:rPr>
          <w:rFonts w:hAnsi="標楷體" w:cs="Arial"/>
          <w:spacing w:val="15"/>
          <w:szCs w:val="32"/>
        </w:rPr>
        <w:t>，</w:t>
      </w:r>
      <w:r w:rsidR="008F53D3" w:rsidRPr="00AC4C76">
        <w:rPr>
          <w:rFonts w:hAnsi="標楷體" w:cs="Arial" w:hint="eastAsia"/>
          <w:spacing w:val="15"/>
          <w:szCs w:val="32"/>
        </w:rPr>
        <w:t>並</w:t>
      </w:r>
      <w:r w:rsidR="008F53D3" w:rsidRPr="00AC4C76">
        <w:rPr>
          <w:rFonts w:hAnsi="標楷體" w:cs="Arial"/>
          <w:spacing w:val="15"/>
          <w:szCs w:val="32"/>
        </w:rPr>
        <w:t>未</w:t>
      </w:r>
      <w:r w:rsidRPr="00AC4C76">
        <w:rPr>
          <w:rFonts w:hAnsi="標楷體" w:cs="Arial"/>
          <w:spacing w:val="15"/>
          <w:szCs w:val="32"/>
        </w:rPr>
        <w:t>落實在公然侮辱罪的條文中</w:t>
      </w:r>
      <w:r w:rsidRPr="00AC4C76">
        <w:rPr>
          <w:rStyle w:val="aff"/>
          <w:rFonts w:hAnsi="標楷體" w:cs="Arial"/>
          <w:spacing w:val="15"/>
          <w:szCs w:val="32"/>
        </w:rPr>
        <w:footnoteReference w:id="17"/>
      </w:r>
      <w:r w:rsidRPr="00AC4C76">
        <w:rPr>
          <w:rFonts w:hAnsi="標楷體" w:cs="Arial"/>
          <w:spacing w:val="15"/>
          <w:szCs w:val="32"/>
        </w:rPr>
        <w:t>。</w:t>
      </w:r>
    </w:p>
    <w:p w:rsidR="00413867" w:rsidRPr="00AC4C76" w:rsidRDefault="00413867" w:rsidP="00413867">
      <w:pPr>
        <w:pStyle w:val="4"/>
        <w:rPr>
          <w:rFonts w:hAnsi="標楷體"/>
          <w:szCs w:val="32"/>
        </w:rPr>
      </w:pPr>
      <w:r w:rsidRPr="00AC4C76">
        <w:rPr>
          <w:rFonts w:hAnsi="標楷體" w:cs="細明體"/>
          <w:kern w:val="0"/>
          <w:szCs w:val="32"/>
          <w:lang w:val="x-none"/>
        </w:rPr>
        <w:t>民國初年的暫行新刑律第360條已有公然侮辱之</w:t>
      </w:r>
      <w:r w:rsidRPr="00AC4C76">
        <w:rPr>
          <w:rFonts w:hAnsi="標楷體" w:cs="新細明體"/>
          <w:kern w:val="0"/>
          <w:szCs w:val="32"/>
          <w:lang w:val="x-none"/>
        </w:rPr>
        <w:t>立法，其理由明揭</w:t>
      </w:r>
      <w:r w:rsidRPr="00AC4C76">
        <w:rPr>
          <w:rFonts w:hAnsi="標楷體" w:cs="細明體"/>
          <w:kern w:val="0"/>
          <w:szCs w:val="32"/>
          <w:lang w:val="x-none"/>
        </w:rPr>
        <w:t>：「本罪自行為之本體觀之有二：一指摘事實，公然毀損名譽者是。指摘事實，即具體的表彰其惡事醜行之謂。一</w:t>
      </w:r>
      <w:r w:rsidRPr="00AC4C76">
        <w:rPr>
          <w:rFonts w:hAnsi="標楷體" w:cs="新細明體"/>
          <w:kern w:val="0"/>
          <w:szCs w:val="32"/>
          <w:lang w:val="x-none"/>
        </w:rPr>
        <w:t>不指摘事實</w:t>
      </w:r>
      <w:r w:rsidRPr="00AC4C76">
        <w:rPr>
          <w:rFonts w:hAnsi="標楷體" w:cs="細明體"/>
          <w:kern w:val="0"/>
          <w:szCs w:val="32"/>
          <w:lang w:val="x-none"/>
        </w:rPr>
        <w:t>，惟平空結構、當眾罵詈嘲弄者是。惟前者屬於本條範圍之內，後者當據</w:t>
      </w:r>
      <w:r w:rsidRPr="00AC4C76">
        <w:rPr>
          <w:rFonts w:hAnsi="標楷體" w:cs="新細明體"/>
          <w:kern w:val="0"/>
          <w:szCs w:val="32"/>
          <w:lang w:val="x-none"/>
        </w:rPr>
        <w:t>違警律</w:t>
      </w:r>
      <w:r w:rsidRPr="00AC4C76">
        <w:rPr>
          <w:rFonts w:hAnsi="標楷體" w:cs="細明體"/>
          <w:kern w:val="0"/>
          <w:szCs w:val="32"/>
          <w:lang w:val="x-none"/>
        </w:rPr>
        <w:t>第</w:t>
      </w:r>
      <w:r w:rsidRPr="00AC4C76">
        <w:rPr>
          <w:rFonts w:hAnsi="標楷體" w:cs="細明體" w:hint="eastAsia"/>
          <w:kern w:val="0"/>
          <w:szCs w:val="32"/>
          <w:lang w:val="x-none"/>
        </w:rPr>
        <w:t>35</w:t>
      </w:r>
      <w:r w:rsidRPr="00AC4C76">
        <w:rPr>
          <w:rFonts w:hAnsi="標楷體" w:cs="細明體"/>
          <w:kern w:val="0"/>
          <w:szCs w:val="32"/>
          <w:lang w:val="x-none"/>
        </w:rPr>
        <w:t>條罰之。」此</w:t>
      </w:r>
      <w:r w:rsidRPr="00AC4C76">
        <w:rPr>
          <w:rFonts w:hAnsi="標楷體" w:cs="細明體"/>
          <w:kern w:val="0"/>
          <w:szCs w:val="32"/>
          <w:lang w:val="x-none"/>
        </w:rPr>
        <w:lastRenderedPageBreak/>
        <w:t>則區分犯罪與違警行為之不同，不知有無排除使用刑罰加諸不涉事實之罵詈嘲弄，以免過度箝制言論之意。而現行</w:t>
      </w:r>
      <w:r w:rsidRPr="00AC4C76">
        <w:rPr>
          <w:rFonts w:hAnsi="標楷體" w:cs="新細明體"/>
          <w:kern w:val="0"/>
          <w:szCs w:val="32"/>
          <w:lang w:val="x-none"/>
        </w:rPr>
        <w:t>刑法之立法理由</w:t>
      </w:r>
      <w:r w:rsidRPr="00AC4C76">
        <w:rPr>
          <w:rFonts w:hAnsi="標楷體" w:cs="細明體"/>
          <w:kern w:val="0"/>
          <w:szCs w:val="32"/>
          <w:lang w:val="x-none"/>
        </w:rPr>
        <w:t>則謂：「…稱侮辱者，以言語或舉動相侵謾而言，稱誹謗者，以指摘或傳數足以毀壞他人名譽之事而言，兩者之區別，若侮辱則無所謂事之真偽，至誹謗則於事之真偽應有分辨者。」嚴格言之，侮辱本亦可能包括涉及不實陳述的罵詈嘲弄，然而依此立法理由，則係將涉及事實陳述之言論一概歸為誹謗，而將不涉事實之罵詈嘲弄論為侮辱，既無涉事之真偽即無損及名譽之可言，卻將之列為妨害名譽罪而限制表意自由，即屬</w:t>
      </w:r>
      <w:r w:rsidRPr="00AC4C76">
        <w:rPr>
          <w:rFonts w:hAnsi="標楷體" w:cs="新細明體"/>
          <w:kern w:val="0"/>
          <w:szCs w:val="32"/>
          <w:lang w:val="x-none"/>
        </w:rPr>
        <w:t>手段（限制不足以傷害名譽之言論）與目的（保護名譽）無關</w:t>
      </w:r>
      <w:r w:rsidRPr="00AC4C76">
        <w:rPr>
          <w:rFonts w:hAnsi="標楷體" w:cs="細明體"/>
          <w:kern w:val="0"/>
          <w:szCs w:val="32"/>
          <w:lang w:val="x-none"/>
        </w:rPr>
        <w:t>，能否通過憲法第23條</w:t>
      </w:r>
      <w:r w:rsidRPr="00AC4C76">
        <w:rPr>
          <w:rFonts w:hAnsi="標楷體" w:cs="新細明體"/>
          <w:kern w:val="0"/>
          <w:szCs w:val="32"/>
          <w:lang w:val="x-none"/>
        </w:rPr>
        <w:t>比例原則</w:t>
      </w:r>
      <w:r w:rsidRPr="00AC4C76">
        <w:rPr>
          <w:rFonts w:hAnsi="標楷體" w:cs="細明體"/>
          <w:kern w:val="0"/>
          <w:szCs w:val="32"/>
          <w:lang w:val="x-none"/>
        </w:rPr>
        <w:t>之檢驗，至為可疑。</w:t>
      </w:r>
      <w:r w:rsidRPr="00AC4C76">
        <w:rPr>
          <w:rStyle w:val="aff"/>
          <w:rFonts w:hAnsi="標楷體" w:cs="細明體"/>
          <w:kern w:val="0"/>
          <w:szCs w:val="32"/>
          <w:lang w:val="x-none"/>
        </w:rPr>
        <w:footnoteReference w:id="18"/>
      </w:r>
    </w:p>
    <w:p w:rsidR="00413867" w:rsidRPr="00AC4C76" w:rsidRDefault="00413867" w:rsidP="00413867">
      <w:pPr>
        <w:pStyle w:val="4"/>
      </w:pPr>
      <w:r w:rsidRPr="00AC4C76">
        <w:rPr>
          <w:rFonts w:hAnsi="標楷體" w:cs="細明體" w:hint="eastAsia"/>
          <w:kern w:val="0"/>
          <w:szCs w:val="32"/>
          <w:lang w:val="x-none"/>
        </w:rPr>
        <w:t>衡量公然侮辱罪所欲達成的目的，是否大於對於基本權的侵害。參考</w:t>
      </w:r>
      <w:r w:rsidRPr="00AC4C76">
        <w:rPr>
          <w:rFonts w:hAnsi="標楷體"/>
          <w:szCs w:val="32"/>
        </w:rPr>
        <w:t>公民與政治權利國際公約及經濟社會文化權利國際公約施行法第2條、第3條</w:t>
      </w:r>
      <w:r w:rsidRPr="00AC4C76">
        <w:rPr>
          <w:rFonts w:hAnsi="標楷體" w:hint="eastAsia"/>
          <w:szCs w:val="32"/>
        </w:rPr>
        <w:t>規定，</w:t>
      </w:r>
      <w:r w:rsidRPr="00AC4C76">
        <w:rPr>
          <w:rFonts w:hAnsi="標楷體"/>
          <w:szCs w:val="32"/>
        </w:rPr>
        <w:t>兩公約所揭示保障人權之規定，具有國内法之效力。西元2011年7月人權事務委員會，針對公民及政治權利國際公約第19條、第20條，作成第34號一般性意見，其中47段涉及毁謗立法原則，明確指出：「締約國應考量對誹謗行為免除刑事處罰，並且在任何情況下，只應支援在最嚴重案件中適用刑法，監禁（按：指自由刑）絕不是適當的處罰」</w:t>
      </w:r>
      <w:r w:rsidRPr="00AC4C76">
        <w:rPr>
          <w:rStyle w:val="aff"/>
          <w:rFonts w:hAnsi="標楷體"/>
          <w:szCs w:val="32"/>
        </w:rPr>
        <w:footnoteReference w:id="19"/>
      </w:r>
      <w:r w:rsidRPr="00AC4C76">
        <w:rPr>
          <w:rFonts w:hAnsi="標楷體"/>
          <w:szCs w:val="32"/>
        </w:rPr>
        <w:t>。基此，</w:t>
      </w:r>
      <w:r w:rsidRPr="00AC4C76">
        <w:rPr>
          <w:rFonts w:hAnsi="標楷體" w:hint="eastAsia"/>
          <w:szCs w:val="32"/>
        </w:rPr>
        <w:t>公然侮辱罪以拘役</w:t>
      </w:r>
      <w:r w:rsidRPr="00AC4C76">
        <w:rPr>
          <w:rFonts w:hAnsi="標楷體"/>
          <w:szCs w:val="32"/>
        </w:rPr>
        <w:t>刑</w:t>
      </w:r>
      <w:r w:rsidRPr="00AC4C76">
        <w:rPr>
          <w:rFonts w:hAnsi="標楷體" w:hint="eastAsia"/>
          <w:szCs w:val="32"/>
        </w:rPr>
        <w:t>處罰</w:t>
      </w:r>
      <w:r w:rsidRPr="00AC4C76">
        <w:rPr>
          <w:rFonts w:hAnsi="標楷體"/>
          <w:szCs w:val="32"/>
        </w:rPr>
        <w:t>言論</w:t>
      </w:r>
      <w:r w:rsidRPr="00AC4C76">
        <w:rPr>
          <w:rFonts w:hAnsi="標楷體" w:hint="eastAsia"/>
          <w:szCs w:val="32"/>
        </w:rPr>
        <w:t>行為</w:t>
      </w:r>
      <w:r w:rsidRPr="00AC4C76">
        <w:rPr>
          <w:rFonts w:hAnsi="標楷體"/>
          <w:szCs w:val="32"/>
        </w:rPr>
        <w:t>，並不符合兩公約之精神。</w:t>
      </w:r>
      <w:r w:rsidRPr="00AC4C76">
        <w:rPr>
          <w:rFonts w:hAnsi="標楷體" w:hint="eastAsia"/>
          <w:szCs w:val="32"/>
        </w:rPr>
        <w:t>又</w:t>
      </w:r>
      <w:r w:rsidRPr="00AC4C76">
        <w:rPr>
          <w:rFonts w:hAnsi="標楷體" w:cs="新細明體" w:hint="eastAsia"/>
          <w:kern w:val="0"/>
          <w:szCs w:val="32"/>
          <w:lang w:val="x-none"/>
        </w:rPr>
        <w:t>本院</w:t>
      </w:r>
      <w:r w:rsidRPr="00AC4C76">
        <w:rPr>
          <w:rFonts w:hAnsi="標楷體" w:cs="新細明體" w:hint="eastAsia"/>
          <w:kern w:val="0"/>
          <w:szCs w:val="32"/>
          <w:lang w:val="x-none"/>
        </w:rPr>
        <w:lastRenderedPageBreak/>
        <w:t>陳情人所涉案件，僅因罵了「龜兒子」一句話，原屬道德、教育問題，卻受</w:t>
      </w:r>
      <w:r w:rsidRPr="00AC4C76">
        <w:rPr>
          <w:rFonts w:hAnsi="標楷體" w:hint="eastAsia"/>
          <w:szCs w:val="32"/>
        </w:rPr>
        <w:t>公然侮辱罪</w:t>
      </w:r>
      <w:r w:rsidRPr="00AC4C76">
        <w:rPr>
          <w:rFonts w:hAnsi="標楷體" w:cs="新細明體" w:hint="eastAsia"/>
          <w:kern w:val="0"/>
          <w:szCs w:val="32"/>
          <w:lang w:val="x-none"/>
        </w:rPr>
        <w:t>拘役30日的處罰，其所保護的法益</w:t>
      </w:r>
      <w:r w:rsidR="003F47A3" w:rsidRPr="00AC4C76">
        <w:rPr>
          <w:rFonts w:hAnsi="標楷體" w:cs="新細明體" w:hint="eastAsia"/>
          <w:kern w:val="0"/>
          <w:szCs w:val="32"/>
          <w:lang w:val="x-none"/>
        </w:rPr>
        <w:t>是否重於言論自由、人身</w:t>
      </w:r>
      <w:r w:rsidRPr="00AC4C76">
        <w:rPr>
          <w:rFonts w:hAnsi="標楷體" w:cs="新細明體" w:hint="eastAsia"/>
          <w:kern w:val="0"/>
          <w:szCs w:val="32"/>
          <w:lang w:val="x-none"/>
        </w:rPr>
        <w:t>自由，不無疑義。</w:t>
      </w:r>
    </w:p>
    <w:p w:rsidR="000C7D75" w:rsidRPr="00AC4C76" w:rsidRDefault="000C7D75" w:rsidP="000C7D75">
      <w:pPr>
        <w:pStyle w:val="3"/>
      </w:pPr>
      <w:r w:rsidRPr="00AC4C76">
        <w:t>刑</w:t>
      </w:r>
      <w:r w:rsidRPr="00AC4C76">
        <w:rPr>
          <w:rFonts w:hAnsi="標楷體" w:cs="新細明體"/>
          <w:kern w:val="0"/>
          <w:szCs w:val="32"/>
          <w:lang w:val="x-none"/>
        </w:rPr>
        <w:t>法</w:t>
      </w:r>
      <w:r w:rsidR="000E78C6" w:rsidRPr="00AC4C76">
        <w:rPr>
          <w:rFonts w:hAnsi="標楷體" w:cs="新細明體" w:hint="eastAsia"/>
          <w:kern w:val="0"/>
          <w:szCs w:val="32"/>
          <w:lang w:val="x-none"/>
        </w:rPr>
        <w:t>第</w:t>
      </w:r>
      <w:r w:rsidRPr="00AC4C76">
        <w:rPr>
          <w:rFonts w:hAnsi="標楷體" w:cs="新細明體"/>
          <w:kern w:val="0"/>
          <w:szCs w:val="32"/>
          <w:lang w:val="x-none"/>
        </w:rPr>
        <w:t>309條</w:t>
      </w:r>
      <w:r w:rsidR="000E78C6" w:rsidRPr="00AC4C76">
        <w:rPr>
          <w:rFonts w:hAnsi="標楷體" w:cs="新細明體" w:hint="eastAsia"/>
          <w:kern w:val="0"/>
          <w:szCs w:val="32"/>
          <w:lang w:val="x-none"/>
        </w:rPr>
        <w:t>規定</w:t>
      </w:r>
      <w:r w:rsidRPr="00AC4C76">
        <w:rPr>
          <w:rFonts w:hAnsi="標楷體" w:cs="新細明體" w:hint="eastAsia"/>
          <w:kern w:val="0"/>
          <w:szCs w:val="32"/>
          <w:lang w:val="x-none"/>
        </w:rPr>
        <w:t>涉及</w:t>
      </w:r>
      <w:r w:rsidRPr="00AC4C76">
        <w:rPr>
          <w:rFonts w:hint="eastAsia"/>
        </w:rPr>
        <w:t>名譽權之疑義</w:t>
      </w:r>
      <w:r w:rsidR="008F4C6F" w:rsidRPr="00AC4C76">
        <w:rPr>
          <w:rFonts w:hint="eastAsia"/>
        </w:rPr>
        <w:t>：</w:t>
      </w:r>
    </w:p>
    <w:p w:rsidR="000C7D75" w:rsidRPr="00AC4C76" w:rsidRDefault="000C7D75" w:rsidP="000C7D75">
      <w:pPr>
        <w:pStyle w:val="4"/>
        <w:rPr>
          <w:rFonts w:ascii="新細明體" w:eastAsia="新細明體" w:hAnsi="新細明體" w:cs="新細明體"/>
          <w:kern w:val="0"/>
          <w:szCs w:val="24"/>
          <w:lang w:val="x-none"/>
        </w:rPr>
      </w:pPr>
      <w:r w:rsidRPr="00AC4C76">
        <w:t>公然侮辱罪</w:t>
      </w:r>
      <w:r w:rsidRPr="00AC4C76">
        <w:rPr>
          <w:rFonts w:hint="eastAsia"/>
        </w:rPr>
        <w:t>規定於</w:t>
      </w:r>
      <w:r w:rsidRPr="00AC4C76">
        <w:t>刑法第27章妨害名譽及信用罪</w:t>
      </w:r>
      <w:r w:rsidRPr="00AC4C76">
        <w:rPr>
          <w:rFonts w:hint="eastAsia"/>
        </w:rPr>
        <w:t>項下</w:t>
      </w:r>
      <w:r w:rsidRPr="00AC4C76">
        <w:t>，</w:t>
      </w:r>
      <w:r w:rsidRPr="00AC4C76">
        <w:rPr>
          <w:rFonts w:hAnsi="標楷體" w:cs="新細明體" w:hint="eastAsia"/>
          <w:kern w:val="0"/>
          <w:lang w:val="x-none"/>
        </w:rPr>
        <w:t>依此脈絡</w:t>
      </w:r>
      <w:r w:rsidRPr="00AC4C76">
        <w:t>多數見解認為，公然侮辱罪</w:t>
      </w:r>
      <w:r w:rsidRPr="00AC4C76">
        <w:rPr>
          <w:rFonts w:hint="eastAsia"/>
        </w:rPr>
        <w:t>係</w:t>
      </w:r>
      <w:r w:rsidRPr="00AC4C76">
        <w:t>保護被害人名譽，其與刑法</w:t>
      </w:r>
      <w:r w:rsidR="00A55754" w:rsidRPr="00AC4C76">
        <w:t>誹謗罪之區別，</w:t>
      </w:r>
      <w:r w:rsidRPr="00AC4C76">
        <w:t>實務與</w:t>
      </w:r>
      <w:r w:rsidRPr="00AC4C76">
        <w:rPr>
          <w:rFonts w:hint="eastAsia"/>
        </w:rPr>
        <w:t>學</w:t>
      </w:r>
      <w:r w:rsidRPr="00AC4C76">
        <w:t>說見解認為，公然侮辱罪處罰「意見表達」，誹謗罪涉及「事實陳述」</w:t>
      </w:r>
      <w:r w:rsidRPr="00AC4C76">
        <w:rPr>
          <w:rFonts w:hAnsi="標楷體" w:cs="新細明體" w:hint="eastAsia"/>
          <w:kern w:val="0"/>
          <w:lang w:val="x-none"/>
        </w:rPr>
        <w:t>。</w:t>
      </w:r>
      <w:r w:rsidRPr="00AC4C76">
        <w:t>為兼顧對個人名譽、隱私及公共利益之保護，法律尚非不得對言論自由依其傳播方式為合理之限制</w:t>
      </w:r>
      <w:r w:rsidRPr="00AC4C76">
        <w:rPr>
          <w:rFonts w:hAnsi="標楷體" w:cs="新細明體"/>
          <w:kern w:val="0"/>
          <w:lang w:val="x-none"/>
        </w:rPr>
        <w:t>（</w:t>
      </w:r>
      <w:r w:rsidRPr="00AC4C76">
        <w:rPr>
          <w:rFonts w:hAnsi="標楷體" w:cs="新細明體" w:hint="eastAsia"/>
          <w:kern w:val="0"/>
          <w:lang w:val="x-none"/>
        </w:rPr>
        <w:t>司法院</w:t>
      </w:r>
      <w:r w:rsidRPr="00AC4C76">
        <w:rPr>
          <w:rFonts w:hAnsi="標楷體" w:cs="新細明體"/>
          <w:kern w:val="0"/>
          <w:lang w:val="x-none"/>
        </w:rPr>
        <w:t>釋字第</w:t>
      </w:r>
      <w:r w:rsidRPr="00AC4C76">
        <w:rPr>
          <w:rFonts w:hAnsi="標楷體" w:cs="新細明體" w:hint="eastAsia"/>
          <w:kern w:val="0"/>
          <w:lang w:val="x-none"/>
        </w:rPr>
        <w:t>509</w:t>
      </w:r>
      <w:r w:rsidRPr="00AC4C76">
        <w:rPr>
          <w:rFonts w:hAnsi="標楷體" w:cs="新細明體"/>
          <w:kern w:val="0"/>
          <w:lang w:val="x-none"/>
        </w:rPr>
        <w:t>號解釋參照）</w:t>
      </w:r>
      <w:r w:rsidRPr="00AC4C76">
        <w:rPr>
          <w:rFonts w:hint="eastAsia"/>
        </w:rPr>
        <w:t>，惟刑法第309條規定是否侵犯名譽權，尚非無疑。</w:t>
      </w:r>
      <w:r w:rsidRPr="00AC4C76">
        <w:rPr>
          <w:rFonts w:hAnsi="標楷體" w:cs="新細明體" w:hint="eastAsia"/>
          <w:kern w:val="0"/>
          <w:szCs w:val="24"/>
          <w:lang w:val="x-none"/>
        </w:rPr>
        <w:t>美國聯邦最高法院在</w:t>
      </w:r>
      <w:r w:rsidRPr="00AC4C76">
        <w:rPr>
          <w:rFonts w:hAnsi="標楷體" w:cs="???Regular"/>
          <w:kern w:val="0"/>
          <w:szCs w:val="24"/>
          <w:lang w:val="x-none"/>
        </w:rPr>
        <w:t>Chaplinsky v.New Hampshire</w:t>
      </w:r>
      <w:r w:rsidRPr="00AC4C76">
        <w:rPr>
          <w:rFonts w:hAnsi="標楷體" w:cs="新細明體" w:hint="eastAsia"/>
          <w:kern w:val="0"/>
          <w:szCs w:val="24"/>
          <w:lang w:val="x-none"/>
        </w:rPr>
        <w:t>一案中，曾明白表示公然侮辱罪所要制裁者的是「挑釁性言論」，亦即足以立即形成創傷及立即導致平和秩序遭破壞而有害公共秩序的言論。換言之，美國實務見解以為，公然侮辱罪所欲保護的，並非被害者的名譽，而是社會安寧、和平秩序的維持</w:t>
      </w:r>
      <w:r w:rsidRPr="00AC4C76">
        <w:rPr>
          <w:rStyle w:val="aff"/>
          <w:rFonts w:ascii="新細明體" w:eastAsia="新細明體" w:hAnsi="新細明體" w:cs="新細明體"/>
          <w:kern w:val="0"/>
          <w:szCs w:val="24"/>
          <w:lang w:val="x-none"/>
        </w:rPr>
        <w:footnoteReference w:id="20"/>
      </w:r>
      <w:r w:rsidRPr="00AC4C76">
        <w:rPr>
          <w:rFonts w:ascii="新細明體" w:eastAsia="新細明體" w:hAnsi="新細明體" w:cs="新細明體" w:hint="eastAsia"/>
          <w:kern w:val="0"/>
          <w:szCs w:val="24"/>
          <w:lang w:val="x-none"/>
        </w:rPr>
        <w:t>。</w:t>
      </w:r>
    </w:p>
    <w:p w:rsidR="000C7D75" w:rsidRPr="00AC4C76" w:rsidRDefault="000C7D75" w:rsidP="000C7D75">
      <w:pPr>
        <w:pStyle w:val="4"/>
        <w:rPr>
          <w:rFonts w:hAnsi="標楷體" w:cs="新細明體"/>
          <w:kern w:val="0"/>
          <w:szCs w:val="32"/>
          <w:lang w:val="x-none"/>
        </w:rPr>
      </w:pPr>
      <w:r w:rsidRPr="00AC4C76">
        <w:rPr>
          <w:rFonts w:hint="eastAsia"/>
        </w:rPr>
        <w:t>依據司法院</w:t>
      </w:r>
      <w:r w:rsidRPr="00AC4C76">
        <w:rPr>
          <w:rFonts w:hAnsi="標楷體" w:cs="新細明體"/>
          <w:kern w:val="0"/>
          <w:szCs w:val="32"/>
          <w:lang w:val="x-none"/>
        </w:rPr>
        <w:t>釋字第</w:t>
      </w:r>
      <w:r w:rsidRPr="00AC4C76">
        <w:rPr>
          <w:rFonts w:hAnsi="標楷體" w:cs="新細明體" w:hint="eastAsia"/>
          <w:kern w:val="0"/>
          <w:szCs w:val="32"/>
          <w:lang w:val="x-none"/>
        </w:rPr>
        <w:t>509</w:t>
      </w:r>
      <w:r w:rsidRPr="00AC4C76">
        <w:rPr>
          <w:rFonts w:hAnsi="標楷體" w:cs="新細明體"/>
          <w:kern w:val="0"/>
          <w:szCs w:val="32"/>
          <w:lang w:val="x-none"/>
        </w:rPr>
        <w:t>號解釋</w:t>
      </w:r>
      <w:r w:rsidRPr="00AC4C76">
        <w:rPr>
          <w:rFonts w:hAnsi="標楷體" w:cs="新細明體" w:hint="eastAsia"/>
          <w:kern w:val="0"/>
          <w:szCs w:val="32"/>
          <w:lang w:val="x-none"/>
        </w:rPr>
        <w:t>「</w:t>
      </w:r>
      <w:r w:rsidRPr="00AC4C76">
        <w:t>刑法第</w:t>
      </w:r>
      <w:r w:rsidRPr="00AC4C76">
        <w:rPr>
          <w:rFonts w:hint="eastAsia"/>
        </w:rPr>
        <w:t>310</w:t>
      </w:r>
      <w:r w:rsidRPr="00AC4C76">
        <w:t>條第</w:t>
      </w:r>
      <w:r w:rsidRPr="00AC4C76">
        <w:rPr>
          <w:rFonts w:hint="eastAsia"/>
        </w:rPr>
        <w:t>1</w:t>
      </w:r>
      <w:r w:rsidRPr="00AC4C76">
        <w:t>項及第</w:t>
      </w:r>
      <w:r w:rsidR="00021473" w:rsidRPr="00AC4C76">
        <w:rPr>
          <w:rFonts w:hint="eastAsia"/>
        </w:rPr>
        <w:t>2</w:t>
      </w:r>
      <w:r w:rsidRPr="00AC4C76">
        <w:t>項誹謗罪即係保護個人法益而設，為防止妨礙他人之自由權利所必要，符合憲法第</w:t>
      </w:r>
      <w:r w:rsidRPr="00AC4C76">
        <w:rPr>
          <w:rFonts w:hint="eastAsia"/>
        </w:rPr>
        <w:t>23</w:t>
      </w:r>
      <w:r w:rsidRPr="00AC4C76">
        <w:t>條規定之意旨。至刑法同條第</w:t>
      </w:r>
      <w:r w:rsidRPr="00AC4C76">
        <w:rPr>
          <w:rFonts w:hint="eastAsia"/>
        </w:rPr>
        <w:t>3</w:t>
      </w:r>
      <w:r w:rsidRPr="00AC4C76">
        <w:t>項前段以對誹謗之事，能證明其為真實者不罰，係針對言論內容與事實相符者之保障，並藉以限定刑罰權之範圍，非謂指摘或傳述誹謗事項之行為人，必須自行證明其言論內容確屬真實，始能免於刑責。惟行為</w:t>
      </w:r>
      <w:r w:rsidRPr="00AC4C76">
        <w:lastRenderedPageBreak/>
        <w:t>人雖不能證明言論內容為真實，但依其所提證據資料，認為行為人有相當理由確信其為真實者，即不能以誹謗罪之刑責相繩</w:t>
      </w:r>
      <w:r w:rsidRPr="00AC4C76">
        <w:rPr>
          <w:rFonts w:hAnsi="標楷體" w:cs="新細明體" w:hint="eastAsia"/>
          <w:kern w:val="0"/>
          <w:szCs w:val="32"/>
          <w:lang w:val="x-none"/>
        </w:rPr>
        <w:t>」可知，</w:t>
      </w:r>
      <w:r w:rsidRPr="00AC4C76">
        <w:rPr>
          <w:rFonts w:hint="eastAsia"/>
        </w:rPr>
        <w:t>不實的言論始有名譽損害問題。</w:t>
      </w:r>
      <w:r w:rsidRPr="00AC4C76">
        <w:rPr>
          <w:rFonts w:hAnsi="標楷體"/>
          <w:szCs w:val="32"/>
        </w:rPr>
        <w:t>公然侮辱罪</w:t>
      </w:r>
      <w:r w:rsidRPr="00AC4C76">
        <w:rPr>
          <w:rFonts w:hAnsi="標楷體" w:hint="eastAsia"/>
          <w:szCs w:val="32"/>
        </w:rPr>
        <w:t>係</w:t>
      </w:r>
      <w:r w:rsidRPr="00AC4C76">
        <w:rPr>
          <w:rFonts w:hAnsi="標楷體"/>
          <w:szCs w:val="32"/>
        </w:rPr>
        <w:t>處罰不涉及事實之意見陳述，</w:t>
      </w:r>
      <w:r w:rsidRPr="00AC4C76">
        <w:rPr>
          <w:rFonts w:hAnsi="標楷體" w:hint="eastAsia"/>
          <w:szCs w:val="32"/>
        </w:rPr>
        <w:t>該意見</w:t>
      </w:r>
      <w:r w:rsidRPr="00AC4C76">
        <w:rPr>
          <w:rFonts w:hAnsi="標楷體"/>
          <w:szCs w:val="32"/>
        </w:rPr>
        <w:t>是行為人</w:t>
      </w:r>
      <w:r w:rsidRPr="00AC4C76">
        <w:rPr>
          <w:rFonts w:hAnsi="標楷體" w:hint="eastAsia"/>
          <w:szCs w:val="32"/>
        </w:rPr>
        <w:t>將</w:t>
      </w:r>
      <w:r w:rsidRPr="00AC4C76">
        <w:rPr>
          <w:rFonts w:hAnsi="標楷體"/>
          <w:szCs w:val="32"/>
        </w:rPr>
        <w:t>某</w:t>
      </w:r>
      <w:r w:rsidRPr="00AC4C76">
        <w:rPr>
          <w:rFonts w:hAnsi="標楷體" w:hint="eastAsia"/>
          <w:szCs w:val="32"/>
        </w:rPr>
        <w:t>件</w:t>
      </w:r>
      <w:r w:rsidRPr="00AC4C76">
        <w:rPr>
          <w:rFonts w:hAnsi="標楷體"/>
          <w:szCs w:val="32"/>
        </w:rPr>
        <w:t>事情的主觀看法表達於外</w:t>
      </w:r>
      <w:r w:rsidRPr="00AC4C76">
        <w:rPr>
          <w:rFonts w:hAnsi="標楷體" w:hint="eastAsia"/>
          <w:szCs w:val="32"/>
        </w:rPr>
        <w:t>，</w:t>
      </w:r>
      <w:r w:rsidRPr="00AC4C76">
        <w:rPr>
          <w:rFonts w:hAnsi="標楷體"/>
          <w:szCs w:val="32"/>
        </w:rPr>
        <w:t>即</w:t>
      </w:r>
      <w:r w:rsidRPr="00AC4C76">
        <w:rPr>
          <w:rFonts w:hAnsi="標楷體" w:hint="eastAsia"/>
          <w:szCs w:val="32"/>
        </w:rPr>
        <w:t>使該</w:t>
      </w:r>
      <w:r w:rsidRPr="00AC4C76">
        <w:rPr>
          <w:rFonts w:hAnsi="標楷體"/>
          <w:szCs w:val="32"/>
        </w:rPr>
        <w:t>言論足令</w:t>
      </w:r>
      <w:r w:rsidRPr="00AC4C76">
        <w:rPr>
          <w:rFonts w:hAnsi="標楷體" w:hint="eastAsia"/>
          <w:szCs w:val="32"/>
        </w:rPr>
        <w:t>對方</w:t>
      </w:r>
      <w:r w:rsidRPr="00AC4C76">
        <w:rPr>
          <w:rFonts w:hAnsi="標楷體"/>
          <w:szCs w:val="32"/>
        </w:rPr>
        <w:t>感</w:t>
      </w:r>
      <w:r w:rsidRPr="00AC4C76">
        <w:rPr>
          <w:rFonts w:hAnsi="標楷體" w:hint="eastAsia"/>
          <w:szCs w:val="32"/>
        </w:rPr>
        <w:t>受不佳</w:t>
      </w:r>
      <w:r w:rsidRPr="00AC4C76">
        <w:rPr>
          <w:rFonts w:hAnsi="標楷體"/>
          <w:szCs w:val="32"/>
        </w:rPr>
        <w:t>，但因</w:t>
      </w:r>
      <w:r w:rsidRPr="00AC4C76">
        <w:rPr>
          <w:rFonts w:hAnsi="標楷體" w:hint="eastAsia"/>
          <w:szCs w:val="32"/>
        </w:rPr>
        <w:t>無涉真實與否、</w:t>
      </w:r>
      <w:r w:rsidRPr="00AC4C76">
        <w:rPr>
          <w:rFonts w:hAnsi="標楷體"/>
          <w:szCs w:val="32"/>
        </w:rPr>
        <w:t>欠缺「事實」的連結，</w:t>
      </w:r>
      <w:r w:rsidRPr="00AC4C76">
        <w:rPr>
          <w:rFonts w:hAnsi="標楷體" w:hint="eastAsia"/>
          <w:szCs w:val="32"/>
        </w:rPr>
        <w:t>並非</w:t>
      </w:r>
      <w:r w:rsidRPr="00AC4C76">
        <w:rPr>
          <w:rFonts w:hAnsi="標楷體"/>
          <w:szCs w:val="32"/>
        </w:rPr>
        <w:t>侵害名譽的問題</w:t>
      </w:r>
      <w:r w:rsidRPr="00AC4C76">
        <w:rPr>
          <w:rFonts w:hAnsi="標楷體" w:hint="eastAsia"/>
          <w:szCs w:val="32"/>
        </w:rPr>
        <w:t>。</w:t>
      </w:r>
      <w:r w:rsidR="00180898" w:rsidRPr="00AC4C76">
        <w:rPr>
          <w:rFonts w:hint="eastAsia"/>
        </w:rPr>
        <w:t>若公然侮辱罪係處罰不實言論所為之侮辱，其與誹謗罪似乎難以區別;</w:t>
      </w:r>
      <w:r w:rsidRPr="00AC4C76">
        <w:rPr>
          <w:rFonts w:hint="eastAsia"/>
        </w:rPr>
        <w:t>若公然侮辱罪之處罰不涉及事實，單純主觀評價或情緒發洩言語的侮辱，該行為並非不實的言論，似與名譽損害無涉</w:t>
      </w:r>
      <w:r w:rsidRPr="00AC4C76">
        <w:rPr>
          <w:rStyle w:val="aff"/>
        </w:rPr>
        <w:footnoteReference w:id="21"/>
      </w:r>
      <w:r w:rsidRPr="00AC4C76">
        <w:rPr>
          <w:rFonts w:hint="eastAsia"/>
        </w:rPr>
        <w:t>。本件陳訴人所說「龜兒子」，告訴人心感不悅，可以理解，但告訴人不</w:t>
      </w:r>
      <w:r w:rsidR="00A55754" w:rsidRPr="00AC4C76">
        <w:rPr>
          <w:rFonts w:hint="eastAsia"/>
        </w:rPr>
        <w:t>會因被告使用「龜兒子」等言詞，因而受到社會上負面評價，如認被告言詞粗俗，</w:t>
      </w:r>
      <w:r w:rsidRPr="00AC4C76">
        <w:rPr>
          <w:rFonts w:hint="eastAsia"/>
        </w:rPr>
        <w:t>反</w:t>
      </w:r>
      <w:r w:rsidR="0064191A" w:rsidRPr="00AC4C76">
        <w:rPr>
          <w:rFonts w:hint="eastAsia"/>
        </w:rPr>
        <w:t>倒是說出不雅</w:t>
      </w:r>
      <w:r w:rsidR="00A55754" w:rsidRPr="00AC4C76">
        <w:rPr>
          <w:rFonts w:hint="eastAsia"/>
        </w:rPr>
        <w:t>言詞的被告，可能遭受社會評價為品行不良</w:t>
      </w:r>
      <w:r w:rsidRPr="00AC4C76">
        <w:rPr>
          <w:rFonts w:hint="eastAsia"/>
        </w:rPr>
        <w:t>，而有人格貶損</w:t>
      </w:r>
      <w:r w:rsidRPr="00AC4C76">
        <w:rPr>
          <w:rFonts w:ascii="新細明體" w:eastAsia="新細明體" w:hAnsi="新細明體" w:cs="新細明體" w:hint="eastAsia"/>
          <w:kern w:val="0"/>
          <w:szCs w:val="24"/>
          <w:lang w:val="x-none"/>
        </w:rPr>
        <w:t>。</w:t>
      </w:r>
    </w:p>
    <w:p w:rsidR="000C7D75" w:rsidRPr="00AC4C76" w:rsidRDefault="000C7D75" w:rsidP="000C7D75">
      <w:pPr>
        <w:pStyle w:val="4"/>
      </w:pPr>
      <w:r w:rsidRPr="00AC4C76">
        <w:rPr>
          <w:rFonts w:hAnsi="標楷體" w:cs="新細明體" w:hint="eastAsia"/>
          <w:kern w:val="0"/>
          <w:szCs w:val="32"/>
          <w:lang w:val="x-none"/>
        </w:rPr>
        <w:t>因公然侮辱罪處罰不涉及事實陳述的意見表達，似乎不是侵害被害人</w:t>
      </w:r>
      <w:r w:rsidRPr="00AC4C76">
        <w:rPr>
          <w:rFonts w:hAnsi="標楷體" w:cs="新細明體"/>
          <w:kern w:val="0"/>
          <w:szCs w:val="32"/>
          <w:lang w:val="x-none"/>
        </w:rPr>
        <w:t>名譽</w:t>
      </w:r>
      <w:r w:rsidRPr="00AC4C76">
        <w:rPr>
          <w:rFonts w:hAnsi="標楷體" w:cs="新細明體" w:hint="eastAsia"/>
          <w:kern w:val="0"/>
          <w:szCs w:val="32"/>
          <w:lang w:val="x-none"/>
        </w:rPr>
        <w:t>權的問題</w:t>
      </w:r>
      <w:r w:rsidRPr="00AC4C76">
        <w:rPr>
          <w:rFonts w:hint="eastAsia"/>
        </w:rPr>
        <w:t>，依上述之</w:t>
      </w:r>
      <w:r w:rsidRPr="00AC4C76">
        <w:t>刑法立法理由</w:t>
      </w:r>
      <w:r w:rsidRPr="00AC4C76">
        <w:rPr>
          <w:rFonts w:hint="eastAsia"/>
        </w:rPr>
        <w:t>可知，</w:t>
      </w:r>
      <w:r w:rsidRPr="00AC4C76">
        <w:t>將涉及事實陳述之言論歸為誹謗</w:t>
      </w:r>
      <w:r w:rsidRPr="00AC4C76">
        <w:rPr>
          <w:rFonts w:hint="eastAsia"/>
        </w:rPr>
        <w:t>，</w:t>
      </w:r>
      <w:r w:rsidRPr="00AC4C76">
        <w:t>將不涉事實之罵詈嘲弄論為侮辱，既無涉事之真偽即無損及名譽可言。即令採取所謂「名譽感情」的說法</w:t>
      </w:r>
      <w:r w:rsidRPr="00AC4C76">
        <w:rPr>
          <w:rStyle w:val="aff"/>
        </w:rPr>
        <w:footnoteReference w:id="22"/>
      </w:r>
      <w:r w:rsidRPr="00AC4C76">
        <w:t>，其所造成之傷害，或者說傷害可能性，應該遠較「誹謗」來得小。</w:t>
      </w:r>
      <w:r w:rsidRPr="00AC4C76">
        <w:rPr>
          <w:rFonts w:hint="eastAsia"/>
        </w:rPr>
        <w:t>蓋「侮辱」並未針對「事實」指摘傳述，而個人在特定人或群體當中的「評價」，不致輕易因他人言論</w:t>
      </w:r>
      <w:r w:rsidRPr="00AC4C76">
        <w:rPr>
          <w:rFonts w:hint="eastAsia"/>
        </w:rPr>
        <w:lastRenderedPageBreak/>
        <w:t>而影響或取代，即便是一句「卑鄙」、「無恥」，此類言論對於名譽的傷害，沒有誹謗言論來得具殺傷力。最重要的，所謂侮辱性言論，均係涉及行為人主觀評價的意見表達，相較於誹謗帶有不實事實的傳述，侮辱性言論反而更應受到言論自由的絕對保障。</w:t>
      </w:r>
      <w:r w:rsidRPr="00AC4C76">
        <w:rPr>
          <w:rStyle w:val="aff"/>
          <w:rFonts w:hAnsi="標楷體" w:cs="Arial"/>
          <w:spacing w:val="15"/>
          <w:sz w:val="24"/>
        </w:rPr>
        <w:footnoteReference w:id="23"/>
      </w:r>
    </w:p>
    <w:p w:rsidR="007865F5" w:rsidRPr="00AC4C76" w:rsidRDefault="007865F5" w:rsidP="007865F5">
      <w:pPr>
        <w:pStyle w:val="3"/>
      </w:pPr>
      <w:r w:rsidRPr="00AC4C76">
        <w:rPr>
          <w:rFonts w:hint="eastAsia"/>
        </w:rPr>
        <w:t>公民與政治權利國際公約第19條規定意見自由和言論自由，西元2011年第102屆會議第34號一般性意見</w:t>
      </w:r>
      <w:r w:rsidRPr="00AC4C76">
        <w:rPr>
          <w:rStyle w:val="aff"/>
        </w:rPr>
        <w:footnoteReference w:id="24"/>
      </w:r>
      <w:r w:rsidRPr="00AC4C76">
        <w:rPr>
          <w:rFonts w:hint="eastAsia"/>
        </w:rPr>
        <w:t>：</w:t>
      </w:r>
    </w:p>
    <w:p w:rsidR="007865F5" w:rsidRPr="00AC4C76" w:rsidRDefault="007865F5" w:rsidP="007865F5">
      <w:pPr>
        <w:pStyle w:val="4"/>
        <w:rPr>
          <w:bCs/>
        </w:rPr>
      </w:pPr>
      <w:r w:rsidRPr="00AC4C76">
        <w:rPr>
          <w:rFonts w:hint="eastAsia"/>
        </w:rPr>
        <w:t>第19條第1項要求保護保持意見不受干涉的權利。對於此項權利，公約不允許任何例外或限制。意見自由還擴展至個人自由選擇任何實際或出於任何理由改變意見的權利。不得以其實際、被別人認為或者假定的意見為由，侵犯任何人根據公約所享有的權利。應保護一切形式的意見，包括政治、科學、歷史、道德或者宗教意見。將保持意見視為刑事犯罪的行為與第一項不符。以其所持意見為由騷擾、恐嚇或者侮辱某人，包括予以逮捕、羈押、審判或者關押違反了第19條第1項。</w:t>
      </w:r>
    </w:p>
    <w:p w:rsidR="007865F5" w:rsidRPr="00AC4C76" w:rsidRDefault="007865F5" w:rsidP="007865F5">
      <w:pPr>
        <w:pStyle w:val="4"/>
      </w:pPr>
      <w:r w:rsidRPr="00AC4C76">
        <w:rPr>
          <w:rFonts w:hint="eastAsia"/>
        </w:rPr>
        <w:t>應謹慎擬定誹謗法，以確保這些法律符合第3項，並且在實行中不會妨礙言論自由。所有此類</w:t>
      </w:r>
      <w:r w:rsidRPr="00AC4C76">
        <w:rPr>
          <w:rFonts w:hint="eastAsia"/>
        </w:rPr>
        <w:lastRenderedPageBreak/>
        <w:t>法律，特別是誹謗相關刑法，應包括捍衛真理等抗辯措施，並且不得對性質未經核查的言論表達方式適用此類法律。至少在關於公眾人物的評論方面，應考量避免處罰或者以其他方式對錯誤但卻無惡意情況下發表的非法虛假言論做出有罪判決。在任何情況下，均應將公眾對受批評事項的關注視作一種捍衛。締約國應注意避免採取過度懲罰性的措施和處罰。如相關，締約國應對勝訴方要求被告償還費用的申請做出適當限制。締約國應考量對誹謗行為免除刑事處罰，並且在任何情況下，只應支援在最嚴重案件中適用刑法，監禁絕不是適當的處罰。不允許締約國因刑事誹謗對某人提出指控卻不立即進行審判–此做法令人恐懼，會過度限制相關人員和其他人行使言論自由。</w:t>
      </w:r>
    </w:p>
    <w:p w:rsidR="007A50FE" w:rsidRPr="00AC4C76" w:rsidRDefault="00B63827" w:rsidP="00755B4C">
      <w:pPr>
        <w:pStyle w:val="3"/>
      </w:pPr>
      <w:r w:rsidRPr="00AC4C76">
        <w:rPr>
          <w:rFonts w:hint="eastAsia"/>
          <w:bCs w:val="0"/>
        </w:rPr>
        <w:t>總統府司法改革國是會議第五分組106年3月30日第三次會議決議，</w:t>
      </w:r>
      <w:r w:rsidRPr="00AC4C76">
        <w:rPr>
          <w:bCs w:val="0"/>
        </w:rPr>
        <w:t>基於言論自由與新聞自由之保障，建議妨害名譽</w:t>
      </w:r>
      <w:r w:rsidRPr="00AC4C76">
        <w:rPr>
          <w:rFonts w:hint="eastAsia"/>
          <w:bCs w:val="0"/>
        </w:rPr>
        <w:t>犯</w:t>
      </w:r>
      <w:r w:rsidRPr="00AC4C76">
        <w:rPr>
          <w:bCs w:val="0"/>
        </w:rPr>
        <w:t>罪</w:t>
      </w:r>
      <w:r w:rsidRPr="00AC4C76">
        <w:rPr>
          <w:rFonts w:hint="eastAsia"/>
          <w:bCs w:val="0"/>
        </w:rPr>
        <w:t>予以</w:t>
      </w:r>
      <w:r w:rsidRPr="00AC4C76">
        <w:rPr>
          <w:bCs w:val="0"/>
        </w:rPr>
        <w:t>除罪化，以民事訴訟處理妨害名譽行為可能造成之損害</w:t>
      </w:r>
      <w:r w:rsidRPr="00AC4C76">
        <w:rPr>
          <w:rFonts w:hint="eastAsia"/>
          <w:bCs w:val="0"/>
        </w:rPr>
        <w:t>，法務部刑法研究及</w:t>
      </w:r>
      <w:r w:rsidR="00F11045" w:rsidRPr="00AC4C76">
        <w:rPr>
          <w:rFonts w:hint="eastAsia"/>
          <w:bCs w:val="0"/>
        </w:rPr>
        <w:t>修正小組開會研議，經綜合考量外國立法例、司法改革國是會議決議除罪</w:t>
      </w:r>
      <w:r w:rsidRPr="00AC4C76">
        <w:rPr>
          <w:rFonts w:hint="eastAsia"/>
          <w:bCs w:val="0"/>
        </w:rPr>
        <w:t>化之理由及法益保護之必要性，認妨害名譽罪章仍有保留之必要，惟刑法妨害名譽罪章包括公然侮辱罪與誹謗罪等，刑法公然侮辱罪與誹謗罪規定之構成要件及保護法益皆不相同，</w:t>
      </w:r>
      <w:r w:rsidRPr="00AC4C76">
        <w:rPr>
          <w:bCs w:val="0"/>
        </w:rPr>
        <w:t>刑法第309條第1項公然侮辱</w:t>
      </w:r>
      <w:r w:rsidRPr="00AC4C76">
        <w:rPr>
          <w:rFonts w:hint="eastAsia"/>
          <w:bCs w:val="0"/>
        </w:rPr>
        <w:t>罪，</w:t>
      </w:r>
      <w:r w:rsidRPr="00AC4C76">
        <w:rPr>
          <w:bCs w:val="0"/>
        </w:rPr>
        <w:t>涉及人民身體自由及表意自由之限制，</w:t>
      </w:r>
      <w:r w:rsidRPr="00AC4C76">
        <w:rPr>
          <w:rFonts w:hint="eastAsia"/>
          <w:bCs w:val="0"/>
        </w:rPr>
        <w:t>有違反言論自由、</w:t>
      </w:r>
      <w:r w:rsidRPr="00AC4C76">
        <w:rPr>
          <w:bCs w:val="0"/>
        </w:rPr>
        <w:t>比例原則、法律</w:t>
      </w:r>
      <w:r w:rsidRPr="00AC4C76">
        <w:rPr>
          <w:rFonts w:hint="eastAsia"/>
          <w:bCs w:val="0"/>
        </w:rPr>
        <w:t>明確性</w:t>
      </w:r>
      <w:r w:rsidRPr="00AC4C76">
        <w:rPr>
          <w:bCs w:val="0"/>
        </w:rPr>
        <w:t>原則</w:t>
      </w:r>
      <w:r w:rsidRPr="00AC4C76">
        <w:rPr>
          <w:rFonts w:hint="eastAsia"/>
          <w:bCs w:val="0"/>
        </w:rPr>
        <w:t>及世界人權保障之潮流之疑義</w:t>
      </w:r>
      <w:r w:rsidRPr="00AC4C76">
        <w:rPr>
          <w:rFonts w:hAnsi="標楷體" w:hint="eastAsia"/>
          <w:b/>
          <w:szCs w:val="20"/>
        </w:rPr>
        <w:t>。</w:t>
      </w:r>
    </w:p>
    <w:p w:rsidR="00755B4C" w:rsidRPr="00AC4C76" w:rsidRDefault="00755B4C" w:rsidP="00755B4C">
      <w:pPr>
        <w:pStyle w:val="3"/>
      </w:pPr>
      <w:r w:rsidRPr="00AC4C76">
        <w:rPr>
          <w:rFonts w:hAnsi="標楷體" w:hint="eastAsia"/>
          <w:szCs w:val="52"/>
        </w:rPr>
        <w:t>綜上，</w:t>
      </w:r>
      <w:r w:rsidRPr="00AC4C76">
        <w:rPr>
          <w:rFonts w:hAnsi="標楷體"/>
          <w:szCs w:val="52"/>
        </w:rPr>
        <w:t>刑法第309條第1項</w:t>
      </w:r>
      <w:r w:rsidRPr="00AC4C76">
        <w:rPr>
          <w:rFonts w:hAnsi="標楷體" w:hint="eastAsia"/>
          <w:szCs w:val="52"/>
        </w:rPr>
        <w:t>規定：「</w:t>
      </w:r>
      <w:r w:rsidRPr="00AC4C76">
        <w:rPr>
          <w:rFonts w:hAnsi="標楷體"/>
          <w:szCs w:val="52"/>
        </w:rPr>
        <w:t>公然侮辱人者，處拘役或</w:t>
      </w:r>
      <w:r w:rsidRPr="00AC4C76">
        <w:rPr>
          <w:rFonts w:hAnsi="標楷體" w:hint="eastAsia"/>
          <w:szCs w:val="52"/>
        </w:rPr>
        <w:t>3</w:t>
      </w:r>
      <w:r w:rsidRPr="00AC4C76">
        <w:rPr>
          <w:rFonts w:hAnsi="標楷體"/>
          <w:szCs w:val="52"/>
        </w:rPr>
        <w:t>百元以下</w:t>
      </w:r>
      <w:r w:rsidRPr="00AC4C76">
        <w:rPr>
          <w:rFonts w:hAnsi="標楷體" w:hint="eastAsia"/>
          <w:szCs w:val="52"/>
        </w:rPr>
        <w:t>罰</w:t>
      </w:r>
      <w:r w:rsidRPr="00AC4C76">
        <w:rPr>
          <w:rFonts w:hAnsi="標楷體"/>
          <w:szCs w:val="52"/>
        </w:rPr>
        <w:t>金</w:t>
      </w:r>
      <w:r w:rsidRPr="00AC4C76">
        <w:t>。」</w:t>
      </w:r>
      <w:r w:rsidRPr="00AC4C76">
        <w:rPr>
          <w:rFonts w:hint="eastAsia"/>
        </w:rPr>
        <w:t>其</w:t>
      </w:r>
      <w:r w:rsidRPr="00AC4C76">
        <w:t>構成要件中「侮辱」</w:t>
      </w:r>
      <w:r w:rsidRPr="00AC4C76">
        <w:lastRenderedPageBreak/>
        <w:t>係屬不確定法律概念</w:t>
      </w:r>
      <w:r w:rsidRPr="00AC4C76">
        <w:rPr>
          <w:rFonts w:hint="eastAsia"/>
        </w:rPr>
        <w:t>，法院判決有罪、無罪的情形並</w:t>
      </w:r>
      <w:r w:rsidRPr="00AC4C76">
        <w:rPr>
          <w:rFonts w:hAnsi="標楷體" w:hint="eastAsia"/>
          <w:szCs w:val="52"/>
        </w:rPr>
        <w:t>無</w:t>
      </w:r>
      <w:r w:rsidRPr="00AC4C76">
        <w:rPr>
          <w:rFonts w:hAnsi="標楷體"/>
          <w:szCs w:val="52"/>
        </w:rPr>
        <w:t>具體客觀之判斷標準</w:t>
      </w:r>
      <w:r w:rsidRPr="00AC4C76">
        <w:rPr>
          <w:rFonts w:hAnsi="標楷體" w:hint="eastAsia"/>
          <w:szCs w:val="52"/>
        </w:rPr>
        <w:t>，因</w:t>
      </w:r>
      <w:r w:rsidRPr="00AC4C76">
        <w:rPr>
          <w:rFonts w:hAnsi="標楷體" w:hint="eastAsia"/>
        </w:rPr>
        <w:t>無法預見其標準使人民動輒觸法，致使刑法處罰存有不確定性，</w:t>
      </w:r>
      <w:r w:rsidRPr="00AC4C76">
        <w:rPr>
          <w:rFonts w:hint="eastAsia"/>
        </w:rPr>
        <w:t>又</w:t>
      </w:r>
      <w:r w:rsidRPr="00AC4C76">
        <w:rPr>
          <w:rFonts w:hAnsi="標楷體" w:hint="eastAsia"/>
        </w:rPr>
        <w:t>「</w:t>
      </w:r>
      <w:r w:rsidRPr="00AC4C76">
        <w:rPr>
          <w:rFonts w:hint="eastAsia"/>
        </w:rPr>
        <w:t>侮辱</w:t>
      </w:r>
      <w:r w:rsidRPr="00AC4C76">
        <w:rPr>
          <w:rFonts w:hAnsi="標楷體" w:hint="eastAsia"/>
        </w:rPr>
        <w:t>」</w:t>
      </w:r>
      <w:r w:rsidRPr="00AC4C76">
        <w:rPr>
          <w:rFonts w:hint="eastAsia"/>
        </w:rPr>
        <w:t>涉及的範圍甚廣，導致民眾表達意見、互相溝通、人際間的對話動輒得咎，已妨礙言論自由發揮監督政府、實現自我、追求真理及促進民主等功能。</w:t>
      </w:r>
      <w:r w:rsidRPr="00AC4C76">
        <w:rPr>
          <w:rFonts w:hAnsi="標楷體" w:hint="eastAsia"/>
          <w:szCs w:val="52"/>
        </w:rPr>
        <w:t>其</w:t>
      </w:r>
      <w:r w:rsidRPr="00AC4C76">
        <w:rPr>
          <w:rFonts w:hAnsi="標楷體"/>
          <w:szCs w:val="52"/>
        </w:rPr>
        <w:t>所限制者雖係對於他人為謾罵、其他</w:t>
      </w:r>
      <w:r w:rsidRPr="00AC4C76">
        <w:rPr>
          <w:rFonts w:hAnsi="標楷體" w:hint="eastAsia"/>
          <w:szCs w:val="52"/>
        </w:rPr>
        <w:t>貶</w:t>
      </w:r>
      <w:r w:rsidRPr="00AC4C76">
        <w:rPr>
          <w:rFonts w:hAnsi="標楷體"/>
          <w:szCs w:val="52"/>
        </w:rPr>
        <w:t>損他</w:t>
      </w:r>
      <w:r w:rsidRPr="00AC4C76">
        <w:rPr>
          <w:rFonts w:hAnsi="標楷體" w:hint="eastAsia"/>
          <w:szCs w:val="52"/>
        </w:rPr>
        <w:t>人的</w:t>
      </w:r>
      <w:r w:rsidRPr="00AC4C76">
        <w:rPr>
          <w:rFonts w:hAnsi="標楷體"/>
          <w:szCs w:val="52"/>
        </w:rPr>
        <w:t>言論</w:t>
      </w:r>
      <w:r w:rsidRPr="00AC4C76">
        <w:rPr>
          <w:rFonts w:hAnsi="標楷體" w:hint="eastAsia"/>
          <w:szCs w:val="52"/>
        </w:rPr>
        <w:t>、個人意見或情感的表達，</w:t>
      </w:r>
      <w:r w:rsidRPr="00AC4C76">
        <w:rPr>
          <w:rFonts w:hAnsi="標楷體"/>
          <w:szCs w:val="52"/>
        </w:rPr>
        <w:t>但其</w:t>
      </w:r>
      <w:r w:rsidRPr="00AC4C76">
        <w:rPr>
          <w:rFonts w:hAnsi="標楷體" w:hint="eastAsia"/>
          <w:szCs w:val="52"/>
        </w:rPr>
        <w:t>終</w:t>
      </w:r>
      <w:r w:rsidRPr="00AC4C76">
        <w:rPr>
          <w:rFonts w:hAnsi="標楷體"/>
          <w:szCs w:val="52"/>
        </w:rPr>
        <w:t>究</w:t>
      </w:r>
      <w:r w:rsidRPr="00AC4C76">
        <w:rPr>
          <w:rFonts w:hAnsi="標楷體" w:hint="eastAsia"/>
          <w:szCs w:val="52"/>
        </w:rPr>
        <w:t>屬於</w:t>
      </w:r>
      <w:r w:rsidRPr="00AC4C76">
        <w:rPr>
          <w:rFonts w:hAnsi="標楷體"/>
          <w:szCs w:val="52"/>
        </w:rPr>
        <w:t>言論之一種，應受憲法第11條</w:t>
      </w:r>
      <w:r w:rsidRPr="00AC4C76">
        <w:rPr>
          <w:rFonts w:hAnsi="標楷體" w:hint="eastAsia"/>
          <w:szCs w:val="52"/>
        </w:rPr>
        <w:t>言論自由之</w:t>
      </w:r>
      <w:r w:rsidRPr="00AC4C76">
        <w:rPr>
          <w:rFonts w:hAnsi="標楷體"/>
          <w:szCs w:val="52"/>
        </w:rPr>
        <w:t>保障</w:t>
      </w:r>
      <w:r w:rsidRPr="00AC4C76">
        <w:rPr>
          <w:rFonts w:hAnsi="標楷體" w:hint="eastAsia"/>
          <w:szCs w:val="52"/>
        </w:rPr>
        <w:t>。</w:t>
      </w:r>
      <w:r w:rsidRPr="00AC4C76">
        <w:rPr>
          <w:rFonts w:hint="eastAsia"/>
        </w:rPr>
        <w:t>刑法第309條公然侮辱</w:t>
      </w:r>
      <w:r w:rsidRPr="00AC4C76">
        <w:t>罪，涉及人民身體自由及表意自由之限制，除因涉及人民基本權之限制，應採較高密度</w:t>
      </w:r>
      <w:r w:rsidRPr="00AC4C76">
        <w:rPr>
          <w:rFonts w:hint="eastAsia"/>
        </w:rPr>
        <w:t>的</w:t>
      </w:r>
      <w:r w:rsidRPr="00AC4C76">
        <w:t>審查外，仍應</w:t>
      </w:r>
      <w:r w:rsidRPr="00AC4C76">
        <w:rPr>
          <w:rFonts w:hint="eastAsia"/>
        </w:rPr>
        <w:t>檢視</w:t>
      </w:r>
      <w:r w:rsidRPr="00AC4C76">
        <w:t>是否符合憲法第23條所明定之比例原則、法律</w:t>
      </w:r>
      <w:r w:rsidRPr="00AC4C76">
        <w:rPr>
          <w:rFonts w:hint="eastAsia"/>
        </w:rPr>
        <w:t>明確性</w:t>
      </w:r>
      <w:r w:rsidRPr="00AC4C76">
        <w:t>原則</w:t>
      </w:r>
      <w:r w:rsidRPr="00AC4C76">
        <w:rPr>
          <w:rFonts w:hint="eastAsia"/>
        </w:rPr>
        <w:t>及世界人權保障之潮流</w:t>
      </w:r>
      <w:r w:rsidRPr="00AC4C76">
        <w:rPr>
          <w:rFonts w:hint="eastAsia"/>
          <w:b/>
        </w:rPr>
        <w:t>。</w:t>
      </w:r>
    </w:p>
    <w:bookmarkEnd w:id="39"/>
    <w:bookmarkEnd w:id="40"/>
    <w:p w:rsidR="00A522C6" w:rsidRPr="00AC4C76" w:rsidRDefault="00A522C6" w:rsidP="00A522C6">
      <w:pPr>
        <w:pStyle w:val="2"/>
        <w:rPr>
          <w:b/>
        </w:rPr>
      </w:pPr>
      <w:r w:rsidRPr="00AC4C76">
        <w:rPr>
          <w:rFonts w:hAnsi="標楷體" w:hint="eastAsia"/>
          <w:b/>
        </w:rPr>
        <w:t>陳</w:t>
      </w:r>
      <w:r w:rsidR="006009CE" w:rsidRPr="00AC4C76">
        <w:rPr>
          <w:rFonts w:hAnsi="標楷體" w:hint="eastAsia"/>
          <w:b/>
        </w:rPr>
        <w:t>訴人主張</w:t>
      </w:r>
      <w:r w:rsidR="0017265D" w:rsidRPr="00AC4C76">
        <w:rPr>
          <w:rFonts w:hint="eastAsia"/>
          <w:b/>
          <w:szCs w:val="36"/>
        </w:rPr>
        <w:t>臺北地方法院及臺灣高等法院</w:t>
      </w:r>
      <w:r w:rsidR="0017265D" w:rsidRPr="00AC4C76">
        <w:rPr>
          <w:rFonts w:hint="eastAsia"/>
          <w:b/>
        </w:rPr>
        <w:t>基於</w:t>
      </w:r>
      <w:r w:rsidR="007B66A1" w:rsidRPr="00AC4C76">
        <w:rPr>
          <w:rFonts w:hAnsi="標楷體" w:hint="eastAsia"/>
          <w:b/>
        </w:rPr>
        <w:t>陳訴人</w:t>
      </w:r>
      <w:r w:rsidR="0017265D" w:rsidRPr="00AC4C76">
        <w:rPr>
          <w:rFonts w:hint="eastAsia"/>
          <w:b/>
        </w:rPr>
        <w:t>政治立場，</w:t>
      </w:r>
      <w:r w:rsidRPr="00AC4C76">
        <w:rPr>
          <w:rFonts w:hAnsi="標楷體" w:hint="eastAsia"/>
          <w:b/>
        </w:rPr>
        <w:t>採納對其不利之證詞</w:t>
      </w:r>
      <w:r w:rsidR="00EE739A" w:rsidRPr="00AC4C76">
        <w:rPr>
          <w:rFonts w:hAnsi="標楷體" w:hint="eastAsia"/>
          <w:b/>
        </w:rPr>
        <w:t>，遽予陳訴人公然侮辱刑責</w:t>
      </w:r>
      <w:r w:rsidRPr="00AC4C76">
        <w:rPr>
          <w:rFonts w:hAnsi="標楷體" w:hint="eastAsia"/>
          <w:b/>
        </w:rPr>
        <w:t>一節，經查，</w:t>
      </w:r>
      <w:r w:rsidRPr="00AC4C76">
        <w:rPr>
          <w:rFonts w:hint="eastAsia"/>
          <w:b/>
          <w:szCs w:val="36"/>
        </w:rPr>
        <w:t>臺北地方法院106年度審易字第383號判決及臺灣高等法院106年度上易字第1093號</w:t>
      </w:r>
      <w:r w:rsidRPr="00AC4C76">
        <w:rPr>
          <w:rFonts w:hint="eastAsia"/>
          <w:b/>
        </w:rPr>
        <w:t>判決，認定陳訴人犯公然侮辱罪確定，係綜合各項證據資料而為論斷，已敘</w:t>
      </w:r>
      <w:r w:rsidR="006009CE" w:rsidRPr="00AC4C76">
        <w:rPr>
          <w:rFonts w:hint="eastAsia"/>
          <w:b/>
        </w:rPr>
        <w:t>明</w:t>
      </w:r>
      <w:r w:rsidRPr="00AC4C76">
        <w:rPr>
          <w:rFonts w:hint="eastAsia"/>
          <w:b/>
        </w:rPr>
        <w:t>其得心證之理由，</w:t>
      </w:r>
      <w:r w:rsidR="00554963" w:rsidRPr="00AC4C76">
        <w:rPr>
          <w:rFonts w:hint="eastAsia"/>
          <w:b/>
        </w:rPr>
        <w:t>並無相關證據顯示法院有基於陳訴人政治立場而偏袒對造、對其誣判，逕採信對造及證人等不實證述，率為不利判決等情事，</w:t>
      </w:r>
      <w:r w:rsidR="00D877C4" w:rsidRPr="00AC4C76">
        <w:rPr>
          <w:rFonts w:hint="eastAsia"/>
          <w:b/>
        </w:rPr>
        <w:t>雖</w:t>
      </w:r>
      <w:r w:rsidR="006009CE" w:rsidRPr="00AC4C76">
        <w:rPr>
          <w:rFonts w:hint="eastAsia"/>
          <w:b/>
        </w:rPr>
        <w:t>採</w:t>
      </w:r>
      <w:r w:rsidR="00554963" w:rsidRPr="00AC4C76">
        <w:rPr>
          <w:rFonts w:hint="eastAsia"/>
          <w:b/>
        </w:rPr>
        <w:t>納何種證據</w:t>
      </w:r>
      <w:r w:rsidR="006009CE" w:rsidRPr="00AC4C76">
        <w:rPr>
          <w:rFonts w:hint="eastAsia"/>
          <w:b/>
        </w:rPr>
        <w:t>係法院衡情酌理審認之權限</w:t>
      </w:r>
      <w:r w:rsidR="00554963" w:rsidRPr="00AC4C76">
        <w:rPr>
          <w:rFonts w:hint="eastAsia"/>
          <w:b/>
        </w:rPr>
        <w:t>，但</w:t>
      </w:r>
      <w:r w:rsidR="005346A4" w:rsidRPr="00AC4C76">
        <w:rPr>
          <w:rFonts w:hint="eastAsia"/>
          <w:b/>
          <w:szCs w:val="32"/>
        </w:rPr>
        <w:t>臺北市政府警察局於調查本案時，並未於第一時間調閱</w:t>
      </w:r>
      <w:r w:rsidR="005346A4" w:rsidRPr="00AC4C76">
        <w:rPr>
          <w:rFonts w:hint="eastAsia"/>
          <w:b/>
          <w:szCs w:val="36"/>
        </w:rPr>
        <w:t>監視器</w:t>
      </w:r>
      <w:r w:rsidR="005346A4" w:rsidRPr="00AC4C76">
        <w:rPr>
          <w:rFonts w:hint="eastAsia"/>
          <w:b/>
          <w:szCs w:val="32"/>
        </w:rPr>
        <w:t>紀錄以釐清案情，同案被告</w:t>
      </w:r>
      <w:r w:rsidR="00942AC3" w:rsidRPr="00AC4C76">
        <w:rPr>
          <w:rFonts w:hint="eastAsia"/>
          <w:b/>
          <w:szCs w:val="32"/>
        </w:rPr>
        <w:t>沈○維</w:t>
      </w:r>
      <w:r w:rsidR="005346A4" w:rsidRPr="00AC4C76">
        <w:rPr>
          <w:rFonts w:hint="eastAsia"/>
          <w:b/>
          <w:szCs w:val="32"/>
        </w:rPr>
        <w:t>是否</w:t>
      </w:r>
      <w:r w:rsidR="005346A4" w:rsidRPr="00AC4C76">
        <w:rPr>
          <w:rFonts w:hint="eastAsia"/>
          <w:b/>
          <w:szCs w:val="36"/>
        </w:rPr>
        <w:t>故意或過失</w:t>
      </w:r>
      <w:r w:rsidR="005346A4" w:rsidRPr="00AC4C76">
        <w:rPr>
          <w:rFonts w:hint="eastAsia"/>
          <w:b/>
          <w:szCs w:val="32"/>
        </w:rPr>
        <w:t>導致陳訴人受傷亦無法證實，檢察官上訴理由已論及同案被告</w:t>
      </w:r>
      <w:r w:rsidR="00942AC3" w:rsidRPr="00AC4C76">
        <w:rPr>
          <w:rFonts w:hint="eastAsia"/>
          <w:b/>
          <w:szCs w:val="32"/>
        </w:rPr>
        <w:t>沈○維</w:t>
      </w:r>
      <w:r w:rsidR="005346A4" w:rsidRPr="00AC4C76">
        <w:rPr>
          <w:rFonts w:hint="eastAsia"/>
          <w:b/>
          <w:szCs w:val="32"/>
        </w:rPr>
        <w:t>之動機顯有可疑，然</w:t>
      </w:r>
      <w:r w:rsidR="00AF46B7" w:rsidRPr="00AC4C76">
        <w:rPr>
          <w:rFonts w:hint="eastAsia"/>
          <w:b/>
          <w:szCs w:val="32"/>
        </w:rPr>
        <w:t>陳訴人</w:t>
      </w:r>
      <w:r w:rsidR="005346A4" w:rsidRPr="00AC4C76">
        <w:rPr>
          <w:rFonts w:hint="eastAsia"/>
          <w:b/>
          <w:szCs w:val="32"/>
        </w:rPr>
        <w:t>聲請法院對其與</w:t>
      </w:r>
      <w:r w:rsidR="00AF46B7" w:rsidRPr="00AC4C76">
        <w:rPr>
          <w:rFonts w:hint="eastAsia"/>
          <w:b/>
          <w:szCs w:val="32"/>
        </w:rPr>
        <w:t>同案被告</w:t>
      </w:r>
      <w:r w:rsidR="00942AC3" w:rsidRPr="00AC4C76">
        <w:rPr>
          <w:rFonts w:hint="eastAsia"/>
          <w:b/>
          <w:szCs w:val="32"/>
        </w:rPr>
        <w:t>沈○維</w:t>
      </w:r>
      <w:r w:rsidR="005346A4" w:rsidRPr="00AC4C76">
        <w:rPr>
          <w:rFonts w:hint="eastAsia"/>
          <w:b/>
          <w:szCs w:val="32"/>
        </w:rPr>
        <w:t>進行</w:t>
      </w:r>
      <w:r w:rsidR="005346A4" w:rsidRPr="00AC4C76">
        <w:rPr>
          <w:rFonts w:hint="eastAsia"/>
          <w:b/>
          <w:szCs w:val="36"/>
        </w:rPr>
        <w:t>測謊</w:t>
      </w:r>
      <w:r w:rsidR="005346A4" w:rsidRPr="00AC4C76">
        <w:rPr>
          <w:rFonts w:hint="eastAsia"/>
          <w:b/>
          <w:szCs w:val="32"/>
        </w:rPr>
        <w:t>，法院核無必要</w:t>
      </w:r>
      <w:r w:rsidR="00AF46B7" w:rsidRPr="00AC4C76">
        <w:rPr>
          <w:rFonts w:hint="eastAsia"/>
          <w:b/>
          <w:szCs w:val="32"/>
        </w:rPr>
        <w:t>，</w:t>
      </w:r>
      <w:r w:rsidR="002577A1" w:rsidRPr="00AC4C76">
        <w:rPr>
          <w:rFonts w:hint="eastAsia"/>
          <w:b/>
          <w:szCs w:val="32"/>
        </w:rPr>
        <w:t>並以證人</w:t>
      </w:r>
      <w:r w:rsidR="00942AC3" w:rsidRPr="00AC4C76">
        <w:rPr>
          <w:rFonts w:hint="eastAsia"/>
          <w:b/>
          <w:szCs w:val="32"/>
        </w:rPr>
        <w:t>沈○維</w:t>
      </w:r>
      <w:r w:rsidR="00C86348" w:rsidRPr="00AC4C76">
        <w:rPr>
          <w:rFonts w:hint="eastAsia"/>
          <w:b/>
          <w:szCs w:val="32"/>
        </w:rPr>
        <w:t>、</w:t>
      </w:r>
      <w:r w:rsidR="00942AC3" w:rsidRPr="00AC4C76">
        <w:rPr>
          <w:rFonts w:hint="eastAsia"/>
          <w:b/>
          <w:szCs w:val="32"/>
        </w:rPr>
        <w:t>徐○軒</w:t>
      </w:r>
      <w:r w:rsidR="00C86348" w:rsidRPr="00AC4C76">
        <w:rPr>
          <w:rFonts w:hint="eastAsia"/>
          <w:b/>
          <w:szCs w:val="32"/>
        </w:rPr>
        <w:t>、</w:t>
      </w:r>
      <w:r w:rsidR="00942AC3" w:rsidRPr="00AC4C76">
        <w:rPr>
          <w:rFonts w:hint="eastAsia"/>
          <w:b/>
          <w:szCs w:val="32"/>
        </w:rPr>
        <w:t>顏○隆</w:t>
      </w:r>
      <w:r w:rsidR="00C86348" w:rsidRPr="00AC4C76">
        <w:rPr>
          <w:rFonts w:hint="eastAsia"/>
          <w:b/>
          <w:szCs w:val="32"/>
        </w:rPr>
        <w:t>所述相符，且證人</w:t>
      </w:r>
      <w:r w:rsidR="00942AC3" w:rsidRPr="00AC4C76">
        <w:rPr>
          <w:rFonts w:hint="eastAsia"/>
          <w:b/>
          <w:szCs w:val="32"/>
        </w:rPr>
        <w:t>徐○軒</w:t>
      </w:r>
      <w:r w:rsidR="00C86348" w:rsidRPr="00AC4C76">
        <w:rPr>
          <w:rFonts w:hint="eastAsia"/>
          <w:b/>
          <w:szCs w:val="32"/>
        </w:rPr>
        <w:t>、</w:t>
      </w:r>
      <w:r w:rsidR="00942AC3" w:rsidRPr="00AC4C76">
        <w:rPr>
          <w:rFonts w:hint="eastAsia"/>
          <w:b/>
          <w:szCs w:val="32"/>
        </w:rPr>
        <w:t>顏○隆</w:t>
      </w:r>
      <w:r w:rsidR="00C86348" w:rsidRPr="00AC4C76">
        <w:rPr>
          <w:rFonts w:hint="eastAsia"/>
          <w:b/>
          <w:szCs w:val="32"/>
        </w:rPr>
        <w:t>均證述不認識陳</w:t>
      </w:r>
      <w:r w:rsidR="00C86348" w:rsidRPr="00AC4C76">
        <w:rPr>
          <w:rFonts w:hint="eastAsia"/>
          <w:b/>
          <w:szCs w:val="32"/>
        </w:rPr>
        <w:lastRenderedPageBreak/>
        <w:t>訴人</w:t>
      </w:r>
      <w:r w:rsidR="00942AC3" w:rsidRPr="00AC4C76">
        <w:rPr>
          <w:rFonts w:hint="eastAsia"/>
          <w:b/>
          <w:szCs w:val="32"/>
        </w:rPr>
        <w:t>林○凱</w:t>
      </w:r>
      <w:r w:rsidR="002577A1" w:rsidRPr="00AC4C76">
        <w:rPr>
          <w:rFonts w:hint="eastAsia"/>
          <w:b/>
          <w:szCs w:val="32"/>
        </w:rPr>
        <w:t>等語</w:t>
      </w:r>
      <w:r w:rsidR="00C86348" w:rsidRPr="00AC4C76">
        <w:rPr>
          <w:rFonts w:hint="eastAsia"/>
          <w:b/>
          <w:szCs w:val="32"/>
        </w:rPr>
        <w:t>，又陳訴人</w:t>
      </w:r>
      <w:r w:rsidR="00942AC3" w:rsidRPr="00AC4C76">
        <w:rPr>
          <w:rFonts w:hint="eastAsia"/>
          <w:b/>
          <w:szCs w:val="32"/>
        </w:rPr>
        <w:t>林○凱</w:t>
      </w:r>
      <w:r w:rsidR="002577A1" w:rsidRPr="00AC4C76">
        <w:rPr>
          <w:rFonts w:hint="eastAsia"/>
          <w:b/>
          <w:szCs w:val="32"/>
        </w:rPr>
        <w:t>亦坦承有說過龜兒子一詞，認定</w:t>
      </w:r>
      <w:r w:rsidR="00942AC3" w:rsidRPr="00AC4C76">
        <w:rPr>
          <w:rFonts w:hint="eastAsia"/>
          <w:b/>
          <w:szCs w:val="32"/>
        </w:rPr>
        <w:t>徐○軒</w:t>
      </w:r>
      <w:r w:rsidR="00A6549F" w:rsidRPr="00AC4C76">
        <w:rPr>
          <w:rFonts w:hint="eastAsia"/>
          <w:b/>
          <w:szCs w:val="32"/>
        </w:rPr>
        <w:t>、</w:t>
      </w:r>
      <w:r w:rsidR="00942AC3" w:rsidRPr="00AC4C76">
        <w:rPr>
          <w:rFonts w:hint="eastAsia"/>
          <w:b/>
          <w:szCs w:val="32"/>
        </w:rPr>
        <w:t>顏○隆</w:t>
      </w:r>
      <w:r w:rsidR="00C86348" w:rsidRPr="00AC4C76">
        <w:rPr>
          <w:rFonts w:hint="eastAsia"/>
          <w:b/>
          <w:szCs w:val="32"/>
        </w:rPr>
        <w:t>所言尚無</w:t>
      </w:r>
      <w:r w:rsidR="002577A1" w:rsidRPr="00AC4C76">
        <w:rPr>
          <w:rFonts w:hint="eastAsia"/>
          <w:b/>
          <w:szCs w:val="32"/>
        </w:rPr>
        <w:t>造假之虞，</w:t>
      </w:r>
      <w:r w:rsidR="00907F04" w:rsidRPr="00AC4C76">
        <w:rPr>
          <w:rFonts w:hint="eastAsia"/>
          <w:b/>
          <w:szCs w:val="32"/>
        </w:rPr>
        <w:t>而</w:t>
      </w:r>
      <w:r w:rsidR="00A6549F" w:rsidRPr="00AC4C76">
        <w:rPr>
          <w:rFonts w:hint="eastAsia"/>
          <w:b/>
          <w:szCs w:val="32"/>
        </w:rPr>
        <w:t>認定陳訴人</w:t>
      </w:r>
      <w:r w:rsidR="00942AC3" w:rsidRPr="00AC4C76">
        <w:rPr>
          <w:rFonts w:hint="eastAsia"/>
          <w:b/>
          <w:szCs w:val="32"/>
        </w:rPr>
        <w:t>林○凱</w:t>
      </w:r>
      <w:r w:rsidR="00C86348" w:rsidRPr="00AC4C76">
        <w:rPr>
          <w:rFonts w:hint="eastAsia"/>
          <w:b/>
          <w:szCs w:val="32"/>
        </w:rPr>
        <w:t>有罵</w:t>
      </w:r>
      <w:r w:rsidR="00942AC3" w:rsidRPr="00AC4C76">
        <w:rPr>
          <w:rFonts w:hint="eastAsia"/>
          <w:b/>
          <w:szCs w:val="32"/>
        </w:rPr>
        <w:t>沈○維</w:t>
      </w:r>
      <w:r w:rsidR="00C86348" w:rsidRPr="00AC4C76">
        <w:rPr>
          <w:rFonts w:hAnsi="標楷體" w:hint="eastAsia"/>
          <w:b/>
          <w:szCs w:val="32"/>
        </w:rPr>
        <w:t>「</w:t>
      </w:r>
      <w:r w:rsidR="00C86348" w:rsidRPr="00AC4C76">
        <w:rPr>
          <w:rFonts w:hint="eastAsia"/>
          <w:b/>
          <w:szCs w:val="32"/>
        </w:rPr>
        <w:t>幹、幹你娘、龜兒子</w:t>
      </w:r>
      <w:r w:rsidR="00C86348" w:rsidRPr="00AC4C76">
        <w:rPr>
          <w:rFonts w:hAnsi="標楷體" w:hint="eastAsia"/>
          <w:b/>
          <w:szCs w:val="32"/>
        </w:rPr>
        <w:t>」</w:t>
      </w:r>
      <w:r w:rsidR="00C86348" w:rsidRPr="00AC4C76">
        <w:rPr>
          <w:rFonts w:hint="eastAsia"/>
          <w:b/>
          <w:szCs w:val="32"/>
        </w:rPr>
        <w:t>等語</w:t>
      </w:r>
      <w:r w:rsidR="00A6549F" w:rsidRPr="00AC4C76">
        <w:rPr>
          <w:rFonts w:hint="eastAsia"/>
          <w:b/>
          <w:szCs w:val="32"/>
        </w:rPr>
        <w:t>。</w:t>
      </w:r>
      <w:r w:rsidR="0005657B" w:rsidRPr="00AC4C76">
        <w:rPr>
          <w:rFonts w:hint="eastAsia"/>
          <w:b/>
        </w:rPr>
        <w:t>法院以告訴人之友</w:t>
      </w:r>
      <w:r w:rsidR="0005657B" w:rsidRPr="00AC4C76">
        <w:rPr>
          <w:b/>
        </w:rPr>
        <w:t>人證詞作</w:t>
      </w:r>
      <w:r w:rsidR="00D877C4" w:rsidRPr="00AC4C76">
        <w:rPr>
          <w:rFonts w:hint="eastAsia"/>
          <w:b/>
        </w:rPr>
        <w:t>為</w:t>
      </w:r>
      <w:r w:rsidR="0005657B" w:rsidRPr="00AC4C76">
        <w:rPr>
          <w:rFonts w:hint="eastAsia"/>
          <w:b/>
        </w:rPr>
        <w:t>定罪</w:t>
      </w:r>
      <w:r w:rsidR="001367C8" w:rsidRPr="00AC4C76">
        <w:rPr>
          <w:rFonts w:hint="eastAsia"/>
          <w:b/>
        </w:rPr>
        <w:t>唯一</w:t>
      </w:r>
      <w:r w:rsidR="0005657B" w:rsidRPr="00AC4C76">
        <w:rPr>
          <w:b/>
        </w:rPr>
        <w:t>證據，</w:t>
      </w:r>
      <w:r w:rsidR="0005657B" w:rsidRPr="00AC4C76">
        <w:rPr>
          <w:rFonts w:hint="eastAsia"/>
          <w:b/>
        </w:rPr>
        <w:t>本質上</w:t>
      </w:r>
      <w:r w:rsidR="0005657B" w:rsidRPr="00AC4C76">
        <w:rPr>
          <w:b/>
        </w:rPr>
        <w:t>有極大</w:t>
      </w:r>
      <w:r w:rsidR="00D877C4" w:rsidRPr="00AC4C76">
        <w:rPr>
          <w:rFonts w:hint="eastAsia"/>
          <w:b/>
        </w:rPr>
        <w:t>之</w:t>
      </w:r>
      <w:r w:rsidR="0005657B" w:rsidRPr="00AC4C76">
        <w:rPr>
          <w:b/>
        </w:rPr>
        <w:t>危險性</w:t>
      </w:r>
      <w:r w:rsidR="0005657B" w:rsidRPr="00AC4C76">
        <w:rPr>
          <w:rFonts w:hint="eastAsia"/>
          <w:b/>
        </w:rPr>
        <w:t>，又</w:t>
      </w:r>
      <w:r w:rsidR="00141557" w:rsidRPr="00AC4C76">
        <w:rPr>
          <w:rFonts w:hint="eastAsia"/>
          <w:b/>
        </w:rPr>
        <w:t>臺灣高等法院僅就刑之量定予以敘明，就檢察官上訴理由之</w:t>
      </w:r>
      <w:r w:rsidR="00141557" w:rsidRPr="00AC4C76">
        <w:rPr>
          <w:rFonts w:hAnsi="標楷體" w:hint="eastAsia"/>
          <w:b/>
        </w:rPr>
        <w:t>「</w:t>
      </w:r>
      <w:r w:rsidR="00141557" w:rsidRPr="00AC4C76">
        <w:rPr>
          <w:rFonts w:hint="eastAsia"/>
          <w:b/>
        </w:rPr>
        <w:t>證人</w:t>
      </w:r>
      <w:r w:rsidR="00942AC3" w:rsidRPr="00AC4C76">
        <w:rPr>
          <w:rFonts w:hint="eastAsia"/>
          <w:b/>
          <w:szCs w:val="32"/>
        </w:rPr>
        <w:t>顏○隆</w:t>
      </w:r>
      <w:r w:rsidR="00141557" w:rsidRPr="00AC4C76">
        <w:rPr>
          <w:rFonts w:hint="eastAsia"/>
          <w:b/>
          <w:szCs w:val="32"/>
        </w:rPr>
        <w:t>及</w:t>
      </w:r>
      <w:r w:rsidR="00942AC3" w:rsidRPr="00AC4C76">
        <w:rPr>
          <w:rFonts w:hint="eastAsia"/>
          <w:b/>
          <w:szCs w:val="32"/>
        </w:rPr>
        <w:t>徐○軒</w:t>
      </w:r>
      <w:r w:rsidR="00141557" w:rsidRPr="00AC4C76">
        <w:rPr>
          <w:rFonts w:hint="eastAsia"/>
          <w:b/>
          <w:szCs w:val="32"/>
        </w:rPr>
        <w:t>證詞可信程度</w:t>
      </w:r>
      <w:r w:rsidR="00141557" w:rsidRPr="00AC4C76">
        <w:rPr>
          <w:rFonts w:hAnsi="標楷體" w:hint="eastAsia"/>
          <w:b/>
          <w:szCs w:val="32"/>
        </w:rPr>
        <w:t>」</w:t>
      </w:r>
      <w:r w:rsidR="00141557" w:rsidRPr="00AC4C76">
        <w:rPr>
          <w:rFonts w:hint="eastAsia"/>
          <w:b/>
          <w:szCs w:val="32"/>
        </w:rPr>
        <w:t>、</w:t>
      </w:r>
      <w:r w:rsidR="00141557" w:rsidRPr="00AC4C76">
        <w:rPr>
          <w:rFonts w:hAnsi="標楷體" w:hint="eastAsia"/>
          <w:b/>
        </w:rPr>
        <w:t>「告訴人</w:t>
      </w:r>
      <w:r w:rsidR="00942AC3" w:rsidRPr="00AC4C76">
        <w:rPr>
          <w:rFonts w:hint="eastAsia"/>
          <w:b/>
          <w:szCs w:val="32"/>
        </w:rPr>
        <w:t>沈○維</w:t>
      </w:r>
      <w:r w:rsidR="00141557" w:rsidRPr="00AC4C76">
        <w:rPr>
          <w:rFonts w:hint="eastAsia"/>
          <w:b/>
          <w:szCs w:val="32"/>
        </w:rPr>
        <w:t>之動機可疑</w:t>
      </w:r>
      <w:r w:rsidR="00141557" w:rsidRPr="00AC4C76">
        <w:rPr>
          <w:rFonts w:hAnsi="標楷體" w:hint="eastAsia"/>
          <w:b/>
        </w:rPr>
        <w:t>」及「兩造衡平」等</w:t>
      </w:r>
      <w:r w:rsidR="00141557" w:rsidRPr="00AC4C76">
        <w:rPr>
          <w:rFonts w:hint="eastAsia"/>
          <w:b/>
        </w:rPr>
        <w:t>未詳加論述，且未敘明不予採納之理由，致令陳訴人難以信服</w:t>
      </w:r>
      <w:r w:rsidR="00D877C4" w:rsidRPr="00AC4C76">
        <w:rPr>
          <w:rFonts w:hint="eastAsia"/>
          <w:b/>
        </w:rPr>
        <w:t>，亦</w:t>
      </w:r>
      <w:r w:rsidR="0005657B" w:rsidRPr="00AC4C76">
        <w:rPr>
          <w:rFonts w:hint="eastAsia"/>
          <w:b/>
        </w:rPr>
        <w:t>有</w:t>
      </w:r>
      <w:r w:rsidR="00D877C4" w:rsidRPr="00AC4C76">
        <w:rPr>
          <w:rFonts w:hint="eastAsia"/>
          <w:b/>
        </w:rPr>
        <w:t>未</w:t>
      </w:r>
      <w:r w:rsidR="0005657B" w:rsidRPr="00AC4C76">
        <w:rPr>
          <w:rFonts w:hint="eastAsia"/>
          <w:b/>
        </w:rPr>
        <w:t>洽，惟</w:t>
      </w:r>
      <w:r w:rsidRPr="00AC4C76">
        <w:rPr>
          <w:rFonts w:hAnsi="標楷體" w:hint="eastAsia"/>
          <w:b/>
        </w:rPr>
        <w:t>衡諸本院職權行使之範圍，</w:t>
      </w:r>
      <w:r w:rsidR="001367C8" w:rsidRPr="00AC4C76">
        <w:rPr>
          <w:rFonts w:hAnsi="標楷體" w:hint="eastAsia"/>
          <w:b/>
        </w:rPr>
        <w:t>對於</w:t>
      </w:r>
      <w:r w:rsidR="00851DF4" w:rsidRPr="00AC4C76">
        <w:rPr>
          <w:rFonts w:hAnsi="標楷體" w:hint="eastAsia"/>
          <w:b/>
        </w:rPr>
        <w:t>法院</w:t>
      </w:r>
      <w:r w:rsidR="00851DF4" w:rsidRPr="00AC4C76">
        <w:rPr>
          <w:rFonts w:hint="eastAsia"/>
          <w:b/>
          <w:szCs w:val="36"/>
        </w:rPr>
        <w:t>證據調查</w:t>
      </w:r>
      <w:r w:rsidR="00851DF4" w:rsidRPr="00AC4C76">
        <w:rPr>
          <w:rFonts w:hint="eastAsia"/>
          <w:b/>
        </w:rPr>
        <w:t>、事實認定及法律見解等事項，</w:t>
      </w:r>
      <w:r w:rsidR="001367C8" w:rsidRPr="00AC4C76">
        <w:rPr>
          <w:rFonts w:hAnsi="標楷體" w:hint="eastAsia"/>
          <w:b/>
        </w:rPr>
        <w:t>仍予尊重，</w:t>
      </w:r>
      <w:r w:rsidRPr="00AC4C76">
        <w:rPr>
          <w:rFonts w:hAnsi="標楷體" w:hint="eastAsia"/>
          <w:b/>
        </w:rPr>
        <w:t>尚難遽認本案承審法官有違失之處。</w:t>
      </w:r>
      <w:r w:rsidRPr="00AC4C76">
        <w:rPr>
          <w:b/>
        </w:rPr>
        <w:t xml:space="preserve"> </w:t>
      </w:r>
    </w:p>
    <w:p w:rsidR="00D84302" w:rsidRPr="00AC4C76" w:rsidRDefault="00D84302" w:rsidP="00A522C6">
      <w:pPr>
        <w:pStyle w:val="3"/>
      </w:pPr>
      <w:r w:rsidRPr="00AC4C76">
        <w:rPr>
          <w:rFonts w:hint="eastAsia"/>
        </w:rPr>
        <w:t>臺北地方法院106年度審易字第383號判決理由載明：「</w:t>
      </w:r>
      <w:r w:rsidRPr="00AC4C76">
        <w:rPr>
          <w:rFonts w:hAnsi="標楷體" w:hint="eastAsia"/>
          <w:bCs w:val="0"/>
          <w:szCs w:val="32"/>
        </w:rPr>
        <w:t>本判決所引用被告</w:t>
      </w:r>
      <w:r w:rsidR="00942AC3" w:rsidRPr="00AC4C76">
        <w:rPr>
          <w:rFonts w:hAnsi="標楷體" w:hint="eastAsia"/>
          <w:bCs w:val="0"/>
          <w:szCs w:val="32"/>
        </w:rPr>
        <w:t>沈○維</w:t>
      </w:r>
      <w:r w:rsidRPr="00AC4C76">
        <w:rPr>
          <w:rFonts w:hAnsi="標楷體" w:hint="eastAsia"/>
          <w:bCs w:val="0"/>
          <w:szCs w:val="32"/>
        </w:rPr>
        <w:t>、</w:t>
      </w:r>
      <w:r w:rsidR="00942AC3" w:rsidRPr="00AC4C76">
        <w:rPr>
          <w:rFonts w:hAnsi="標楷體" w:hint="eastAsia"/>
          <w:bCs w:val="0"/>
          <w:szCs w:val="32"/>
        </w:rPr>
        <w:t>林○凱</w:t>
      </w:r>
      <w:r w:rsidRPr="00AC4C76">
        <w:rPr>
          <w:rFonts w:hAnsi="標楷體" w:hint="eastAsia"/>
          <w:bCs w:val="0"/>
          <w:szCs w:val="32"/>
        </w:rPr>
        <w:t>以外之人於審判外之陳述、文書，除原已符合同法第</w:t>
      </w:r>
      <w:r w:rsidRPr="00AC4C76">
        <w:rPr>
          <w:rFonts w:hAnsi="標楷體"/>
          <w:bCs w:val="0"/>
          <w:szCs w:val="32"/>
        </w:rPr>
        <w:t>159</w:t>
      </w:r>
      <w:r w:rsidRPr="00AC4C76">
        <w:rPr>
          <w:rFonts w:hAnsi="標楷體" w:hint="eastAsia"/>
          <w:bCs w:val="0"/>
          <w:szCs w:val="32"/>
        </w:rPr>
        <w:t>條之</w:t>
      </w:r>
      <w:r w:rsidRPr="00AC4C76">
        <w:rPr>
          <w:rFonts w:hAnsi="標楷體"/>
          <w:bCs w:val="0"/>
          <w:szCs w:val="32"/>
        </w:rPr>
        <w:t>1</w:t>
      </w:r>
      <w:r w:rsidRPr="00AC4C76">
        <w:rPr>
          <w:rFonts w:hAnsi="標楷體" w:hint="eastAsia"/>
          <w:bCs w:val="0"/>
          <w:szCs w:val="32"/>
        </w:rPr>
        <w:t>至第</w:t>
      </w:r>
      <w:r w:rsidRPr="00AC4C76">
        <w:rPr>
          <w:rFonts w:hAnsi="標楷體"/>
          <w:bCs w:val="0"/>
          <w:szCs w:val="32"/>
        </w:rPr>
        <w:t>159</w:t>
      </w:r>
      <w:r w:rsidRPr="00AC4C76">
        <w:rPr>
          <w:rFonts w:hAnsi="標楷體" w:hint="eastAsia"/>
          <w:bCs w:val="0"/>
          <w:szCs w:val="32"/>
        </w:rPr>
        <w:t>條之</w:t>
      </w:r>
      <w:r w:rsidRPr="00AC4C76">
        <w:rPr>
          <w:rFonts w:hAnsi="標楷體"/>
          <w:bCs w:val="0"/>
          <w:szCs w:val="32"/>
        </w:rPr>
        <w:t>4</w:t>
      </w:r>
      <w:r w:rsidRPr="00AC4C76">
        <w:rPr>
          <w:rFonts w:hAnsi="標楷體" w:hint="eastAsia"/>
          <w:bCs w:val="0"/>
          <w:szCs w:val="32"/>
        </w:rPr>
        <w:t>之規定而有證據能力外，其餘之證據亦經被告</w:t>
      </w:r>
      <w:r w:rsidRPr="00AC4C76">
        <w:rPr>
          <w:rFonts w:hAnsi="標楷體"/>
          <w:bCs w:val="0"/>
          <w:szCs w:val="32"/>
        </w:rPr>
        <w:t>2</w:t>
      </w:r>
      <w:r w:rsidRPr="00AC4C76">
        <w:rPr>
          <w:rFonts w:hAnsi="標楷體" w:hint="eastAsia"/>
          <w:bCs w:val="0"/>
          <w:szCs w:val="32"/>
        </w:rPr>
        <w:t>人、檢察官於準備期日時均表示對證據能力無意見而不予爭執，且迄至言詞辯論終結前均未聲明異議，本院審酌上開證據資料製作時之情況，尚查無違法不當之瑕疵，亦認為以之作為證據應屬適當，爰逕依同法第</w:t>
      </w:r>
      <w:r w:rsidRPr="00AC4C76">
        <w:rPr>
          <w:rFonts w:hAnsi="標楷體"/>
          <w:bCs w:val="0"/>
          <w:szCs w:val="32"/>
        </w:rPr>
        <w:t>159</w:t>
      </w:r>
      <w:r w:rsidRPr="00AC4C76">
        <w:rPr>
          <w:rFonts w:hAnsi="標楷體" w:hint="eastAsia"/>
          <w:bCs w:val="0"/>
          <w:szCs w:val="32"/>
        </w:rPr>
        <w:t>條之</w:t>
      </w:r>
      <w:r w:rsidRPr="00AC4C76">
        <w:rPr>
          <w:rFonts w:hAnsi="標楷體"/>
          <w:bCs w:val="0"/>
          <w:szCs w:val="32"/>
        </w:rPr>
        <w:t>5</w:t>
      </w:r>
      <w:r w:rsidRPr="00AC4C76">
        <w:rPr>
          <w:rFonts w:hAnsi="標楷體" w:hint="eastAsia"/>
          <w:bCs w:val="0"/>
          <w:szCs w:val="32"/>
        </w:rPr>
        <w:t>規定，認上述證據資料均有證據能力。」、「</w:t>
      </w:r>
      <w:r w:rsidRPr="00AC4C76">
        <w:rPr>
          <w:rFonts w:hAnsi="標楷體" w:hint="eastAsia"/>
          <w:szCs w:val="32"/>
        </w:rPr>
        <w:t>訊據被告</w:t>
      </w:r>
      <w:r w:rsidR="00942AC3" w:rsidRPr="00AC4C76">
        <w:rPr>
          <w:rFonts w:hAnsi="標楷體" w:hint="eastAsia"/>
          <w:szCs w:val="32"/>
        </w:rPr>
        <w:t>沈○維</w:t>
      </w:r>
      <w:r w:rsidRPr="00AC4C76">
        <w:rPr>
          <w:rFonts w:hAnsi="標楷體" w:hint="eastAsia"/>
          <w:szCs w:val="32"/>
        </w:rPr>
        <w:t>對前揭事實坦承不諱，核與被告</w:t>
      </w:r>
      <w:r w:rsidR="00942AC3" w:rsidRPr="00AC4C76">
        <w:rPr>
          <w:rFonts w:hAnsi="標楷體" w:hint="eastAsia"/>
          <w:szCs w:val="32"/>
        </w:rPr>
        <w:t>林○凱</w:t>
      </w:r>
      <w:r w:rsidRPr="00AC4C76">
        <w:rPr>
          <w:rFonts w:hAnsi="標楷體" w:hint="eastAsia"/>
          <w:szCs w:val="32"/>
        </w:rPr>
        <w:t>、證人</w:t>
      </w:r>
      <w:r w:rsidR="00942AC3" w:rsidRPr="00AC4C76">
        <w:rPr>
          <w:rFonts w:hAnsi="標楷體" w:hint="eastAsia"/>
          <w:szCs w:val="32"/>
        </w:rPr>
        <w:t>徐○軒</w:t>
      </w:r>
      <w:r w:rsidRPr="00AC4C76">
        <w:rPr>
          <w:rFonts w:hAnsi="標楷體" w:hint="eastAsia"/>
          <w:szCs w:val="32"/>
        </w:rPr>
        <w:t>、</w:t>
      </w:r>
      <w:r w:rsidR="00942AC3" w:rsidRPr="00AC4C76">
        <w:rPr>
          <w:rFonts w:hAnsi="標楷體" w:hint="eastAsia"/>
          <w:szCs w:val="32"/>
        </w:rPr>
        <w:t>顏○隆</w:t>
      </w:r>
      <w:r w:rsidRPr="00AC4C76">
        <w:rPr>
          <w:rFonts w:hAnsi="標楷體" w:hint="eastAsia"/>
          <w:szCs w:val="32"/>
        </w:rPr>
        <w:t>之陳述相符，並有被告</w:t>
      </w:r>
      <w:r w:rsidR="00942AC3" w:rsidRPr="00AC4C76">
        <w:rPr>
          <w:rFonts w:hAnsi="標楷體" w:hint="eastAsia"/>
          <w:szCs w:val="32"/>
        </w:rPr>
        <w:t>林○凱</w:t>
      </w:r>
      <w:r w:rsidRPr="00AC4C76">
        <w:rPr>
          <w:rFonts w:hAnsi="標楷體" w:hint="eastAsia"/>
          <w:szCs w:val="32"/>
        </w:rPr>
        <w:t>之受傷照片、指認照片</w:t>
      </w:r>
      <w:r w:rsidR="005250FA" w:rsidRPr="00AC4C76">
        <w:rPr>
          <w:rFonts w:hAnsi="標楷體"/>
          <w:szCs w:val="32"/>
        </w:rPr>
        <w:t>……</w:t>
      </w:r>
      <w:r w:rsidRPr="00AC4C76">
        <w:rPr>
          <w:rFonts w:hAnsi="標楷體" w:hint="eastAsia"/>
          <w:szCs w:val="32"/>
        </w:rPr>
        <w:t>在卷可稽，足認被告</w:t>
      </w:r>
      <w:r w:rsidR="00942AC3" w:rsidRPr="00AC4C76">
        <w:rPr>
          <w:rFonts w:hAnsi="標楷體" w:hint="eastAsia"/>
          <w:szCs w:val="32"/>
        </w:rPr>
        <w:t>沈○維</w:t>
      </w:r>
      <w:r w:rsidRPr="00AC4C76">
        <w:rPr>
          <w:rFonts w:hAnsi="標楷體" w:hint="eastAsia"/>
          <w:szCs w:val="32"/>
        </w:rPr>
        <w:t>任意性自白與事證相合，可以採信。」、「</w:t>
      </w:r>
      <w:r w:rsidRPr="00AC4C76">
        <w:rPr>
          <w:rFonts w:hint="eastAsia"/>
          <w:szCs w:val="32"/>
        </w:rPr>
        <w:t>證人</w:t>
      </w:r>
      <w:r w:rsidR="00942AC3" w:rsidRPr="00AC4C76">
        <w:rPr>
          <w:rFonts w:hint="eastAsia"/>
          <w:szCs w:val="32"/>
        </w:rPr>
        <w:t>沈○維</w:t>
      </w:r>
      <w:r w:rsidRPr="00AC4C76">
        <w:rPr>
          <w:rFonts w:hint="eastAsia"/>
          <w:szCs w:val="32"/>
        </w:rPr>
        <w:t>於警詢、偵訊時證稱：</w:t>
      </w:r>
      <w:r w:rsidR="005250FA" w:rsidRPr="00AC4C76">
        <w:rPr>
          <w:rFonts w:hAnsi="標楷體"/>
        </w:rPr>
        <w:t>……</w:t>
      </w:r>
      <w:r w:rsidRPr="00AC4C76">
        <w:rPr>
          <w:rFonts w:hint="eastAsia"/>
          <w:szCs w:val="32"/>
        </w:rPr>
        <w:t>被告</w:t>
      </w:r>
      <w:r w:rsidR="00942AC3" w:rsidRPr="00AC4C76">
        <w:rPr>
          <w:rFonts w:hint="eastAsia"/>
          <w:szCs w:val="32"/>
        </w:rPr>
        <w:t>林○凱</w:t>
      </w:r>
      <w:r w:rsidRPr="00AC4C76">
        <w:rPr>
          <w:rFonts w:hint="eastAsia"/>
          <w:szCs w:val="32"/>
        </w:rPr>
        <w:t>就說遭其毆打，罵其幹、幹你娘、龜兒子，還叫其不要走</w:t>
      </w:r>
      <w:r w:rsidR="005250FA" w:rsidRPr="00AC4C76">
        <w:rPr>
          <w:rFonts w:hAnsi="標楷體"/>
        </w:rPr>
        <w:t>……</w:t>
      </w:r>
      <w:r w:rsidRPr="00AC4C76">
        <w:rPr>
          <w:rFonts w:hint="eastAsia"/>
          <w:szCs w:val="32"/>
        </w:rPr>
        <w:t>證人</w:t>
      </w:r>
      <w:r w:rsidR="00942AC3" w:rsidRPr="00AC4C76">
        <w:rPr>
          <w:rFonts w:hint="eastAsia"/>
          <w:szCs w:val="32"/>
        </w:rPr>
        <w:t>顏○隆</w:t>
      </w:r>
      <w:r w:rsidRPr="00AC4C76">
        <w:rPr>
          <w:rFonts w:hint="eastAsia"/>
          <w:szCs w:val="32"/>
        </w:rPr>
        <w:t>於警詢、偵訊及審理時證稱：</w:t>
      </w:r>
      <w:r w:rsidR="005250FA" w:rsidRPr="00AC4C76">
        <w:rPr>
          <w:rFonts w:hAnsi="標楷體"/>
        </w:rPr>
        <w:t>……</w:t>
      </w:r>
      <w:r w:rsidRPr="00AC4C76">
        <w:rPr>
          <w:rFonts w:hint="eastAsia"/>
          <w:szCs w:val="32"/>
        </w:rPr>
        <w:t>後來就聽到</w:t>
      </w:r>
      <w:r w:rsidR="00942AC3" w:rsidRPr="00AC4C76">
        <w:rPr>
          <w:rFonts w:hint="eastAsia"/>
          <w:szCs w:val="32"/>
        </w:rPr>
        <w:t>林○凱</w:t>
      </w:r>
      <w:r w:rsidRPr="00AC4C76">
        <w:rPr>
          <w:rFonts w:hint="eastAsia"/>
          <w:szCs w:val="32"/>
        </w:rPr>
        <w:t>大聲罵</w:t>
      </w:r>
      <w:r w:rsidR="00942AC3" w:rsidRPr="00AC4C76">
        <w:rPr>
          <w:rFonts w:hint="eastAsia"/>
          <w:szCs w:val="32"/>
        </w:rPr>
        <w:t>沈○維</w:t>
      </w:r>
      <w:r w:rsidRPr="00AC4C76">
        <w:rPr>
          <w:rFonts w:hint="eastAsia"/>
          <w:szCs w:val="32"/>
        </w:rPr>
        <w:t>幹、幹你娘、龜兒子，</w:t>
      </w:r>
      <w:r w:rsidR="005250FA" w:rsidRPr="00AC4C76">
        <w:rPr>
          <w:rFonts w:hAnsi="標楷體"/>
        </w:rPr>
        <w:t>……</w:t>
      </w:r>
      <w:r w:rsidRPr="00AC4C76">
        <w:rPr>
          <w:rFonts w:hint="eastAsia"/>
          <w:szCs w:val="32"/>
        </w:rPr>
        <w:t>證人</w:t>
      </w:r>
      <w:r w:rsidR="00942AC3" w:rsidRPr="00AC4C76">
        <w:rPr>
          <w:rFonts w:hint="eastAsia"/>
          <w:szCs w:val="32"/>
        </w:rPr>
        <w:lastRenderedPageBreak/>
        <w:t>徐○軒</w:t>
      </w:r>
      <w:r w:rsidRPr="00AC4C76">
        <w:rPr>
          <w:rFonts w:hint="eastAsia"/>
          <w:szCs w:val="32"/>
        </w:rPr>
        <w:t>於警詢、偵訊及審理時證稱：</w:t>
      </w:r>
      <w:r w:rsidR="005250FA" w:rsidRPr="00AC4C76">
        <w:rPr>
          <w:rFonts w:hAnsi="標楷體"/>
        </w:rPr>
        <w:t>……</w:t>
      </w:r>
      <w:r w:rsidR="00942AC3" w:rsidRPr="00AC4C76">
        <w:rPr>
          <w:rFonts w:hint="eastAsia"/>
          <w:szCs w:val="32"/>
        </w:rPr>
        <w:t>林○凱</w:t>
      </w:r>
      <w:r w:rsidRPr="00AC4C76">
        <w:rPr>
          <w:rFonts w:hint="eastAsia"/>
          <w:szCs w:val="32"/>
        </w:rPr>
        <w:t>就說</w:t>
      </w:r>
      <w:r w:rsidR="00942AC3" w:rsidRPr="00AC4C76">
        <w:rPr>
          <w:rFonts w:hint="eastAsia"/>
          <w:szCs w:val="32"/>
        </w:rPr>
        <w:t>沈○維</w:t>
      </w:r>
      <w:r w:rsidRPr="00AC4C76">
        <w:rPr>
          <w:rFonts w:hint="eastAsia"/>
          <w:szCs w:val="32"/>
        </w:rPr>
        <w:t>打他，還大聲用手指著</w:t>
      </w:r>
      <w:r w:rsidR="00942AC3" w:rsidRPr="00AC4C76">
        <w:rPr>
          <w:rFonts w:hint="eastAsia"/>
          <w:szCs w:val="32"/>
        </w:rPr>
        <w:t>沈○維</w:t>
      </w:r>
      <w:r w:rsidRPr="00AC4C76">
        <w:rPr>
          <w:rFonts w:hint="eastAsia"/>
          <w:szCs w:val="32"/>
        </w:rPr>
        <w:t>罵幹、幹你娘、龜兒子，</w:t>
      </w:r>
      <w:r w:rsidR="005250FA" w:rsidRPr="00AC4C76">
        <w:rPr>
          <w:rFonts w:hAnsi="標楷體"/>
        </w:rPr>
        <w:t>……</w:t>
      </w:r>
      <w:r w:rsidRPr="00AC4C76">
        <w:rPr>
          <w:rFonts w:hint="eastAsia"/>
          <w:szCs w:val="32"/>
        </w:rPr>
        <w:t>互核證人</w:t>
      </w:r>
      <w:r w:rsidR="00942AC3" w:rsidRPr="00AC4C76">
        <w:rPr>
          <w:rFonts w:hint="eastAsia"/>
          <w:szCs w:val="32"/>
        </w:rPr>
        <w:t>沈○維</w:t>
      </w:r>
      <w:r w:rsidRPr="00AC4C76">
        <w:rPr>
          <w:rFonts w:hint="eastAsia"/>
          <w:szCs w:val="32"/>
        </w:rPr>
        <w:t>、</w:t>
      </w:r>
      <w:r w:rsidR="00942AC3" w:rsidRPr="00AC4C76">
        <w:rPr>
          <w:rFonts w:hint="eastAsia"/>
          <w:szCs w:val="32"/>
        </w:rPr>
        <w:t>徐○軒</w:t>
      </w:r>
      <w:r w:rsidRPr="00AC4C76">
        <w:rPr>
          <w:rFonts w:hint="eastAsia"/>
          <w:szCs w:val="32"/>
        </w:rPr>
        <w:t>、</w:t>
      </w:r>
      <w:r w:rsidR="00942AC3" w:rsidRPr="00AC4C76">
        <w:rPr>
          <w:rFonts w:hint="eastAsia"/>
          <w:szCs w:val="32"/>
        </w:rPr>
        <w:t>顏○隆</w:t>
      </w:r>
      <w:r w:rsidRPr="00AC4C76">
        <w:rPr>
          <w:rFonts w:hint="eastAsia"/>
          <w:szCs w:val="32"/>
        </w:rPr>
        <w:t>所述相符，且證人</w:t>
      </w:r>
      <w:r w:rsidR="00942AC3" w:rsidRPr="00AC4C76">
        <w:rPr>
          <w:rFonts w:hint="eastAsia"/>
          <w:szCs w:val="32"/>
        </w:rPr>
        <w:t>徐○軒</w:t>
      </w:r>
      <w:r w:rsidRPr="00AC4C76">
        <w:rPr>
          <w:rFonts w:hint="eastAsia"/>
          <w:szCs w:val="32"/>
        </w:rPr>
        <w:t>、</w:t>
      </w:r>
      <w:r w:rsidR="00942AC3" w:rsidRPr="00AC4C76">
        <w:rPr>
          <w:rFonts w:hint="eastAsia"/>
          <w:szCs w:val="32"/>
        </w:rPr>
        <w:t>顏○隆</w:t>
      </w:r>
      <w:r w:rsidRPr="00AC4C76">
        <w:rPr>
          <w:rFonts w:hint="eastAsia"/>
          <w:szCs w:val="32"/>
        </w:rPr>
        <w:t>均證述不認識被告</w:t>
      </w:r>
      <w:r w:rsidR="00942AC3" w:rsidRPr="00AC4C76">
        <w:rPr>
          <w:rFonts w:hint="eastAsia"/>
          <w:szCs w:val="32"/>
        </w:rPr>
        <w:t>林○凱</w:t>
      </w:r>
      <w:r w:rsidRPr="00AC4C76">
        <w:rPr>
          <w:rFonts w:hint="eastAsia"/>
          <w:szCs w:val="32"/>
        </w:rPr>
        <w:t>等語，彼等所言尚無故意造假之虞，又被告</w:t>
      </w:r>
      <w:r w:rsidR="00942AC3" w:rsidRPr="00AC4C76">
        <w:rPr>
          <w:rFonts w:hint="eastAsia"/>
          <w:szCs w:val="32"/>
        </w:rPr>
        <w:t>林○凱</w:t>
      </w:r>
      <w:r w:rsidRPr="00AC4C76">
        <w:rPr>
          <w:rFonts w:hint="eastAsia"/>
          <w:szCs w:val="32"/>
        </w:rPr>
        <w:t>亦坦承有說過龜兒子一詞，足認證人</w:t>
      </w:r>
      <w:r w:rsidR="00942AC3" w:rsidRPr="00AC4C76">
        <w:rPr>
          <w:rFonts w:hint="eastAsia"/>
          <w:szCs w:val="32"/>
        </w:rPr>
        <w:t>林○凱</w:t>
      </w:r>
      <w:r w:rsidRPr="00AC4C76">
        <w:rPr>
          <w:rFonts w:hint="eastAsia"/>
          <w:szCs w:val="32"/>
        </w:rPr>
        <w:t>、</w:t>
      </w:r>
      <w:r w:rsidR="00942AC3" w:rsidRPr="00AC4C76">
        <w:rPr>
          <w:rFonts w:hint="eastAsia"/>
          <w:szCs w:val="32"/>
        </w:rPr>
        <w:t>徐○軒</w:t>
      </w:r>
      <w:r w:rsidRPr="00AC4C76">
        <w:rPr>
          <w:rFonts w:hint="eastAsia"/>
          <w:szCs w:val="32"/>
        </w:rPr>
        <w:t>、</w:t>
      </w:r>
      <w:r w:rsidR="00942AC3" w:rsidRPr="00AC4C76">
        <w:rPr>
          <w:rFonts w:hint="eastAsia"/>
          <w:szCs w:val="32"/>
        </w:rPr>
        <w:t>顏○隆</w:t>
      </w:r>
      <w:r w:rsidRPr="00AC4C76">
        <w:rPr>
          <w:rFonts w:hint="eastAsia"/>
          <w:szCs w:val="32"/>
        </w:rPr>
        <w:t>所言可信，被告</w:t>
      </w:r>
      <w:r w:rsidR="00942AC3" w:rsidRPr="00AC4C76">
        <w:rPr>
          <w:rFonts w:hint="eastAsia"/>
          <w:szCs w:val="32"/>
        </w:rPr>
        <w:t>林○凱</w:t>
      </w:r>
      <w:r w:rsidRPr="00AC4C76">
        <w:rPr>
          <w:rFonts w:hint="eastAsia"/>
          <w:szCs w:val="32"/>
        </w:rPr>
        <w:t>有罵</w:t>
      </w:r>
      <w:r w:rsidR="00942AC3" w:rsidRPr="00AC4C76">
        <w:rPr>
          <w:rFonts w:hint="eastAsia"/>
          <w:szCs w:val="32"/>
        </w:rPr>
        <w:t>沈○維</w:t>
      </w:r>
      <w:r w:rsidRPr="00AC4C76">
        <w:rPr>
          <w:rFonts w:hint="eastAsia"/>
          <w:szCs w:val="32"/>
        </w:rPr>
        <w:t>幹、幹你娘、龜兒子等語，確屬事實。</w:t>
      </w:r>
      <w:r w:rsidRPr="00AC4C76">
        <w:rPr>
          <w:rFonts w:hAnsi="標楷體" w:hint="eastAsia"/>
          <w:szCs w:val="32"/>
        </w:rPr>
        <w:t>」</w:t>
      </w:r>
    </w:p>
    <w:p w:rsidR="004A0989" w:rsidRPr="00AC4C76" w:rsidRDefault="00827C19" w:rsidP="00A522C6">
      <w:pPr>
        <w:pStyle w:val="3"/>
      </w:pPr>
      <w:r w:rsidRPr="00AC4C76">
        <w:rPr>
          <w:rFonts w:hint="eastAsia"/>
        </w:rPr>
        <w:t>檢察官上訴理由</w:t>
      </w:r>
      <w:r w:rsidR="0030561D" w:rsidRPr="00AC4C76">
        <w:rPr>
          <w:rFonts w:hint="eastAsia"/>
        </w:rPr>
        <w:t>：</w:t>
      </w:r>
      <w:r w:rsidR="0005657B" w:rsidRPr="00AC4C76">
        <w:rPr>
          <w:rFonts w:hAnsi="標楷體" w:hint="eastAsia"/>
        </w:rPr>
        <w:t>「</w:t>
      </w:r>
      <w:r w:rsidR="0005657B" w:rsidRPr="00AC4C76">
        <w:rPr>
          <w:rFonts w:hint="eastAsia"/>
          <w:szCs w:val="32"/>
        </w:rPr>
        <w:t>案發現場2位目擊證人</w:t>
      </w:r>
      <w:r w:rsidR="00942AC3" w:rsidRPr="00AC4C76">
        <w:rPr>
          <w:rFonts w:hint="eastAsia"/>
          <w:szCs w:val="32"/>
        </w:rPr>
        <w:t>顏○隆</w:t>
      </w:r>
      <w:r w:rsidR="0005657B" w:rsidRPr="00AC4C76">
        <w:rPr>
          <w:rFonts w:hint="eastAsia"/>
          <w:szCs w:val="32"/>
        </w:rPr>
        <w:t>及</w:t>
      </w:r>
      <w:r w:rsidR="00942AC3" w:rsidRPr="00AC4C76">
        <w:rPr>
          <w:rFonts w:hint="eastAsia"/>
          <w:szCs w:val="32"/>
        </w:rPr>
        <w:t>徐○軒</w:t>
      </w:r>
      <w:r w:rsidR="0005657B" w:rsidRPr="00AC4C76">
        <w:rPr>
          <w:rFonts w:hint="eastAsia"/>
          <w:szCs w:val="32"/>
        </w:rPr>
        <w:t>皆為被告</w:t>
      </w:r>
      <w:r w:rsidR="00942AC3" w:rsidRPr="00AC4C76">
        <w:rPr>
          <w:rFonts w:hint="eastAsia"/>
          <w:szCs w:val="32"/>
        </w:rPr>
        <w:t>沈○維</w:t>
      </w:r>
      <w:r w:rsidR="0005657B" w:rsidRPr="00AC4C76">
        <w:rPr>
          <w:rFonts w:hint="eastAsia"/>
          <w:szCs w:val="32"/>
        </w:rPr>
        <w:t>在該市場做生意的同業，證人</w:t>
      </w:r>
      <w:r w:rsidR="00942AC3" w:rsidRPr="00AC4C76">
        <w:rPr>
          <w:rFonts w:hint="eastAsia"/>
          <w:szCs w:val="32"/>
        </w:rPr>
        <w:t>徐○軒</w:t>
      </w:r>
      <w:r w:rsidR="0005657B" w:rsidRPr="00AC4C76">
        <w:rPr>
          <w:rFonts w:hint="eastAsia"/>
          <w:szCs w:val="32"/>
        </w:rPr>
        <w:t>甚至是與告訴人兼被告</w:t>
      </w:r>
      <w:r w:rsidR="00942AC3" w:rsidRPr="00AC4C76">
        <w:rPr>
          <w:rFonts w:hint="eastAsia"/>
          <w:szCs w:val="32"/>
        </w:rPr>
        <w:t>林○凱</w:t>
      </w:r>
      <w:r w:rsidR="0005657B" w:rsidRPr="00AC4C76">
        <w:rPr>
          <w:rFonts w:hint="eastAsia"/>
          <w:szCs w:val="32"/>
        </w:rPr>
        <w:t>爭吵停車位之當事人，被告</w:t>
      </w:r>
      <w:r w:rsidR="00942AC3" w:rsidRPr="00AC4C76">
        <w:rPr>
          <w:rFonts w:hint="eastAsia"/>
          <w:szCs w:val="32"/>
        </w:rPr>
        <w:t>沈○維</w:t>
      </w:r>
      <w:r w:rsidR="0005657B" w:rsidRPr="00AC4C76">
        <w:rPr>
          <w:rFonts w:hint="eastAsia"/>
          <w:szCs w:val="32"/>
        </w:rPr>
        <w:t>既為勸架而來，理應勸導自己的朋友及證人</w:t>
      </w:r>
      <w:r w:rsidR="00942AC3" w:rsidRPr="00AC4C76">
        <w:rPr>
          <w:rFonts w:hint="eastAsia"/>
          <w:szCs w:val="32"/>
        </w:rPr>
        <w:t>徐○軒</w:t>
      </w:r>
      <w:r w:rsidR="0005657B" w:rsidRPr="00AC4C76">
        <w:rPr>
          <w:rFonts w:hint="eastAsia"/>
          <w:szCs w:val="32"/>
        </w:rPr>
        <w:t>住手不要和告訴人吵，才會有效果，怎會反向敵軍即告訴人</w:t>
      </w:r>
      <w:r w:rsidR="00942AC3" w:rsidRPr="00AC4C76">
        <w:rPr>
          <w:rFonts w:hint="eastAsia"/>
          <w:szCs w:val="32"/>
        </w:rPr>
        <w:t>林○凱</w:t>
      </w:r>
      <w:r w:rsidR="0005657B" w:rsidRPr="00AC4C76">
        <w:rPr>
          <w:rFonts w:hint="eastAsia"/>
          <w:szCs w:val="32"/>
        </w:rPr>
        <w:t>處勸導要</w:t>
      </w:r>
      <w:r w:rsidR="00942AC3" w:rsidRPr="00AC4C76">
        <w:rPr>
          <w:rFonts w:hint="eastAsia"/>
          <w:szCs w:val="32"/>
        </w:rPr>
        <w:t>林○凱</w:t>
      </w:r>
      <w:r w:rsidR="0005657B" w:rsidRPr="00AC4C76">
        <w:rPr>
          <w:rFonts w:hint="eastAsia"/>
          <w:szCs w:val="32"/>
        </w:rPr>
        <w:t>住手，而自己的朋友證人</w:t>
      </w:r>
      <w:r w:rsidR="00942AC3" w:rsidRPr="00AC4C76">
        <w:rPr>
          <w:rFonts w:hint="eastAsia"/>
          <w:szCs w:val="32"/>
        </w:rPr>
        <w:t>徐○軒</w:t>
      </w:r>
      <w:r w:rsidR="0005657B" w:rsidRPr="00AC4C76">
        <w:rPr>
          <w:rFonts w:hint="eastAsia"/>
          <w:szCs w:val="32"/>
        </w:rPr>
        <w:t>未受傷，反倒係敵軍即告訴人</w:t>
      </w:r>
      <w:r w:rsidR="00942AC3" w:rsidRPr="00AC4C76">
        <w:rPr>
          <w:rFonts w:hint="eastAsia"/>
          <w:szCs w:val="32"/>
        </w:rPr>
        <w:t>林○凱</w:t>
      </w:r>
      <w:r w:rsidR="0005657B" w:rsidRPr="00AC4C76">
        <w:rPr>
          <w:rFonts w:hint="eastAsia"/>
          <w:szCs w:val="32"/>
        </w:rPr>
        <w:t>受傷之理?是依常理，被告</w:t>
      </w:r>
      <w:r w:rsidR="00942AC3" w:rsidRPr="00AC4C76">
        <w:rPr>
          <w:rFonts w:hint="eastAsia"/>
          <w:szCs w:val="32"/>
        </w:rPr>
        <w:t>沈○維</w:t>
      </w:r>
      <w:r w:rsidR="0005657B" w:rsidRPr="00AC4C76">
        <w:rPr>
          <w:rFonts w:hint="eastAsia"/>
          <w:szCs w:val="32"/>
        </w:rPr>
        <w:t>之動機顯有可疑之處，故告訴人雖然辱罵被告</w:t>
      </w:r>
      <w:r w:rsidR="00942AC3" w:rsidRPr="00AC4C76">
        <w:rPr>
          <w:rFonts w:hint="eastAsia"/>
          <w:szCs w:val="32"/>
        </w:rPr>
        <w:t>沈○維</w:t>
      </w:r>
      <w:r w:rsidR="0030561D" w:rsidRPr="00AC4C76">
        <w:rPr>
          <w:rFonts w:ascii="新細明體" w:eastAsia="新細明體" w:hAnsi="新細明體" w:hint="eastAsia"/>
          <w:szCs w:val="32"/>
        </w:rPr>
        <w:t>『</w:t>
      </w:r>
      <w:r w:rsidR="0005657B" w:rsidRPr="00AC4C76">
        <w:rPr>
          <w:rFonts w:hint="eastAsia"/>
          <w:szCs w:val="32"/>
        </w:rPr>
        <w:t>幹、幹你娘、臭卒仔</w:t>
      </w:r>
      <w:r w:rsidR="0030561D" w:rsidRPr="00AC4C76">
        <w:rPr>
          <w:rFonts w:ascii="新細明體" w:eastAsia="新細明體" w:hAnsi="新細明體" w:hint="eastAsia"/>
          <w:szCs w:val="32"/>
        </w:rPr>
        <w:t>』</w:t>
      </w:r>
      <w:r w:rsidR="0005657B" w:rsidRPr="00AC4C76">
        <w:rPr>
          <w:rFonts w:hint="eastAsia"/>
          <w:szCs w:val="32"/>
        </w:rPr>
        <w:t>等語，惟該2位目擊證人</w:t>
      </w:r>
      <w:r w:rsidR="00942AC3" w:rsidRPr="00AC4C76">
        <w:rPr>
          <w:rFonts w:hint="eastAsia"/>
          <w:szCs w:val="32"/>
        </w:rPr>
        <w:t>顏○隆</w:t>
      </w:r>
      <w:r w:rsidR="0005657B" w:rsidRPr="00AC4C76">
        <w:rPr>
          <w:rFonts w:hint="eastAsia"/>
          <w:szCs w:val="32"/>
        </w:rPr>
        <w:t>及</w:t>
      </w:r>
      <w:r w:rsidR="00942AC3" w:rsidRPr="00AC4C76">
        <w:rPr>
          <w:rFonts w:hint="eastAsia"/>
          <w:szCs w:val="32"/>
        </w:rPr>
        <w:t>徐○軒</w:t>
      </w:r>
      <w:r w:rsidR="0005657B" w:rsidRPr="00AC4C76">
        <w:rPr>
          <w:rFonts w:hint="eastAsia"/>
          <w:szCs w:val="32"/>
        </w:rPr>
        <w:t>既係被告友軍，彼等在當地做生意一致皆有不願任何人停車在自家店門口的私利需求，而告訴人兼被告</w:t>
      </w:r>
      <w:r w:rsidR="00942AC3" w:rsidRPr="00AC4C76">
        <w:rPr>
          <w:rFonts w:hint="eastAsia"/>
          <w:szCs w:val="32"/>
        </w:rPr>
        <w:t>林○凱</w:t>
      </w:r>
      <w:r w:rsidR="0005657B" w:rsidRPr="00AC4C76">
        <w:rPr>
          <w:rFonts w:hint="eastAsia"/>
          <w:szCs w:val="32"/>
        </w:rPr>
        <w:t>係孤身1人在當地僅因暫時停車而妨礙當地民眾即被告</w:t>
      </w:r>
      <w:r w:rsidR="00942AC3" w:rsidRPr="00AC4C76">
        <w:rPr>
          <w:rFonts w:hint="eastAsia"/>
          <w:szCs w:val="32"/>
        </w:rPr>
        <w:t>沈○維</w:t>
      </w:r>
      <w:r w:rsidR="0005657B" w:rsidRPr="00AC4C76">
        <w:rPr>
          <w:rFonts w:hint="eastAsia"/>
          <w:szCs w:val="32"/>
        </w:rPr>
        <w:t>及證人開店做生意致生爭執，是否得因告訴人</w:t>
      </w:r>
      <w:r w:rsidR="00942AC3" w:rsidRPr="00AC4C76">
        <w:rPr>
          <w:rFonts w:hint="eastAsia"/>
          <w:szCs w:val="32"/>
        </w:rPr>
        <w:t>林○凱</w:t>
      </w:r>
      <w:r w:rsidR="0005657B" w:rsidRPr="00AC4C76">
        <w:rPr>
          <w:rFonts w:hint="eastAsia"/>
          <w:szCs w:val="32"/>
        </w:rPr>
        <w:t>在法庭態度不佳致刑度較被告</w:t>
      </w:r>
      <w:r w:rsidR="00942AC3" w:rsidRPr="00AC4C76">
        <w:rPr>
          <w:rFonts w:hint="eastAsia"/>
          <w:szCs w:val="32"/>
        </w:rPr>
        <w:t>沈○維</w:t>
      </w:r>
      <w:r w:rsidR="0005657B" w:rsidRPr="00AC4C76">
        <w:rPr>
          <w:rFonts w:hint="eastAsia"/>
          <w:szCs w:val="32"/>
        </w:rPr>
        <w:t>為重?尚不無再行思考餘地。</w:t>
      </w:r>
      <w:r w:rsidR="00183440" w:rsidRPr="00AC4C76">
        <w:rPr>
          <w:rFonts w:hint="eastAsia"/>
          <w:szCs w:val="32"/>
        </w:rPr>
        <w:t>綜上，原審量刑似未審酌兩造衡平法則，告訴人兼被告</w:t>
      </w:r>
      <w:r w:rsidR="00942AC3" w:rsidRPr="00AC4C76">
        <w:rPr>
          <w:rFonts w:hint="eastAsia"/>
          <w:szCs w:val="32"/>
        </w:rPr>
        <w:t>林○凱</w:t>
      </w:r>
      <w:r w:rsidR="00183440" w:rsidRPr="00AC4C76">
        <w:rPr>
          <w:rFonts w:hint="eastAsia"/>
          <w:szCs w:val="32"/>
        </w:rPr>
        <w:t>當時當地在人屋簷下，欠缺有力證據，內心深感委屈等情狀，爰檢附告訴人</w:t>
      </w:r>
      <w:r w:rsidR="00942AC3" w:rsidRPr="00AC4C76">
        <w:rPr>
          <w:rFonts w:hint="eastAsia"/>
          <w:szCs w:val="32"/>
        </w:rPr>
        <w:t>林○凱</w:t>
      </w:r>
      <w:r w:rsidR="00183440" w:rsidRPr="00AC4C76">
        <w:rPr>
          <w:rFonts w:hint="eastAsia"/>
          <w:szCs w:val="32"/>
        </w:rPr>
        <w:t>之請求檢察官上訴，依刑事訴訟法第344條第1項、第3項、第4項、第361條第1項規定，請求撤銷原判決，更為適當之判決。</w:t>
      </w:r>
      <w:r w:rsidR="0005657B" w:rsidRPr="00AC4C76">
        <w:rPr>
          <w:rFonts w:hAnsi="標楷體" w:hint="eastAsia"/>
        </w:rPr>
        <w:t>」</w:t>
      </w:r>
    </w:p>
    <w:p w:rsidR="00D84302" w:rsidRPr="00AC4C76" w:rsidRDefault="00D84302" w:rsidP="00A522C6">
      <w:pPr>
        <w:pStyle w:val="3"/>
      </w:pPr>
      <w:r w:rsidRPr="00AC4C76">
        <w:rPr>
          <w:rFonts w:hint="eastAsia"/>
        </w:rPr>
        <w:lastRenderedPageBreak/>
        <w:t>臺灣高等法院106年度上易字第1093號判決理由載明：「</w:t>
      </w:r>
      <w:r w:rsidRPr="00AC4C76">
        <w:rPr>
          <w:rFonts w:hint="eastAsia"/>
          <w:szCs w:val="32"/>
        </w:rPr>
        <w:t>證人</w:t>
      </w:r>
      <w:r w:rsidR="00942AC3" w:rsidRPr="00AC4C76">
        <w:rPr>
          <w:rFonts w:hint="eastAsia"/>
          <w:szCs w:val="32"/>
        </w:rPr>
        <w:t>徐○軒</w:t>
      </w:r>
      <w:r w:rsidRPr="00AC4C76">
        <w:rPr>
          <w:rFonts w:hint="eastAsia"/>
          <w:szCs w:val="32"/>
        </w:rPr>
        <w:t>及</w:t>
      </w:r>
      <w:r w:rsidR="00942AC3" w:rsidRPr="00AC4C76">
        <w:rPr>
          <w:rFonts w:hint="eastAsia"/>
          <w:szCs w:val="32"/>
        </w:rPr>
        <w:t>顏○隆</w:t>
      </w:r>
      <w:r w:rsidRPr="00AC4C76">
        <w:rPr>
          <w:rFonts w:hint="eastAsia"/>
          <w:szCs w:val="32"/>
        </w:rPr>
        <w:t>於偵查中向檢察官所為之陳述固屬被告以外之人於審判外所為之陳述，惟其等於偵查中業經依法具結以擔保其係據實陳述，依刑事訴訟法第159條之1第2項規定，除顯有不可信之情況者外，得作為證據。被告</w:t>
      </w:r>
      <w:r w:rsidR="00942AC3" w:rsidRPr="00AC4C76">
        <w:rPr>
          <w:rFonts w:hint="eastAsia"/>
          <w:szCs w:val="32"/>
        </w:rPr>
        <w:t>林○凱</w:t>
      </w:r>
      <w:r w:rsidRPr="00AC4C76">
        <w:rPr>
          <w:rFonts w:hint="eastAsia"/>
          <w:szCs w:val="32"/>
        </w:rPr>
        <w:t>於本院雖指稱證人所言不實在云云，惟未說明該等陳述有何顯不可信之處，復無證據證明證人</w:t>
      </w:r>
      <w:r w:rsidR="00942AC3" w:rsidRPr="00AC4C76">
        <w:rPr>
          <w:rFonts w:hint="eastAsia"/>
          <w:szCs w:val="32"/>
        </w:rPr>
        <w:t>徐○軒</w:t>
      </w:r>
      <w:r w:rsidRPr="00AC4C76">
        <w:rPr>
          <w:rFonts w:hint="eastAsia"/>
          <w:szCs w:val="32"/>
        </w:rPr>
        <w:t>及</w:t>
      </w:r>
      <w:r w:rsidR="00942AC3" w:rsidRPr="00AC4C76">
        <w:rPr>
          <w:rFonts w:hint="eastAsia"/>
          <w:szCs w:val="32"/>
        </w:rPr>
        <w:t>顏○隆</w:t>
      </w:r>
      <w:r w:rsidRPr="00AC4C76">
        <w:rPr>
          <w:rFonts w:hint="eastAsia"/>
          <w:szCs w:val="32"/>
        </w:rPr>
        <w:t>於偵查中經具結之陳述係經檢察官非法取供而得，或其當時所為陳述，有顯不可信之情況，依前開說明，認證人</w:t>
      </w:r>
      <w:r w:rsidR="00942AC3" w:rsidRPr="00AC4C76">
        <w:rPr>
          <w:rFonts w:hint="eastAsia"/>
          <w:szCs w:val="32"/>
        </w:rPr>
        <w:t>徐○軒</w:t>
      </w:r>
      <w:r w:rsidRPr="00AC4C76">
        <w:rPr>
          <w:rFonts w:hint="eastAsia"/>
          <w:szCs w:val="32"/>
        </w:rPr>
        <w:t>及</w:t>
      </w:r>
      <w:r w:rsidR="00942AC3" w:rsidRPr="00AC4C76">
        <w:rPr>
          <w:rFonts w:hint="eastAsia"/>
          <w:szCs w:val="32"/>
        </w:rPr>
        <w:t>顏○隆</w:t>
      </w:r>
      <w:r w:rsidRPr="00AC4C76">
        <w:rPr>
          <w:rFonts w:hint="eastAsia"/>
          <w:szCs w:val="32"/>
        </w:rPr>
        <w:t>於偵查中經依法具結之陳述有證據能力，且證人</w:t>
      </w:r>
      <w:r w:rsidR="00942AC3" w:rsidRPr="00AC4C76">
        <w:rPr>
          <w:rFonts w:hint="eastAsia"/>
          <w:szCs w:val="32"/>
        </w:rPr>
        <w:t>徐○軒</w:t>
      </w:r>
      <w:r w:rsidRPr="00AC4C76">
        <w:rPr>
          <w:rFonts w:hint="eastAsia"/>
          <w:szCs w:val="32"/>
        </w:rPr>
        <w:t>及</w:t>
      </w:r>
      <w:r w:rsidR="00942AC3" w:rsidRPr="00AC4C76">
        <w:rPr>
          <w:rFonts w:hint="eastAsia"/>
          <w:szCs w:val="32"/>
        </w:rPr>
        <w:t>顏○隆</w:t>
      </w:r>
      <w:r w:rsidRPr="00AC4C76">
        <w:rPr>
          <w:rFonts w:hint="eastAsia"/>
          <w:szCs w:val="32"/>
        </w:rPr>
        <w:t>於原審審理時已到庭以證人身分具結並進行交互詰問，而完足證據調查之合法程序，自得為本案認定事實之證據，應認有證據能力。</w:t>
      </w:r>
      <w:r w:rsidRPr="00AC4C76">
        <w:rPr>
          <w:rFonts w:hAnsi="標楷體" w:hint="eastAsia"/>
        </w:rPr>
        <w:t>」、「</w:t>
      </w:r>
      <w:r w:rsidRPr="00AC4C76">
        <w:rPr>
          <w:rFonts w:hint="eastAsia"/>
          <w:szCs w:val="32"/>
        </w:rPr>
        <w:t>證人</w:t>
      </w:r>
      <w:r w:rsidR="00942AC3" w:rsidRPr="00AC4C76">
        <w:rPr>
          <w:rFonts w:hint="eastAsia"/>
          <w:szCs w:val="32"/>
        </w:rPr>
        <w:t>沈○維</w:t>
      </w:r>
      <w:r w:rsidRPr="00AC4C76">
        <w:rPr>
          <w:rFonts w:hint="eastAsia"/>
          <w:szCs w:val="32"/>
        </w:rPr>
        <w:t>、</w:t>
      </w:r>
      <w:r w:rsidR="00942AC3" w:rsidRPr="00AC4C76">
        <w:rPr>
          <w:rFonts w:hint="eastAsia"/>
          <w:szCs w:val="32"/>
        </w:rPr>
        <w:t>徐○軒</w:t>
      </w:r>
      <w:r w:rsidRPr="00AC4C76">
        <w:rPr>
          <w:rFonts w:hint="eastAsia"/>
          <w:szCs w:val="32"/>
        </w:rPr>
        <w:t>及</w:t>
      </w:r>
      <w:r w:rsidR="00942AC3" w:rsidRPr="00AC4C76">
        <w:rPr>
          <w:rFonts w:hint="eastAsia"/>
          <w:szCs w:val="32"/>
        </w:rPr>
        <w:t>顏○隆</w:t>
      </w:r>
      <w:r w:rsidRPr="00AC4C76">
        <w:rPr>
          <w:rFonts w:hint="eastAsia"/>
          <w:szCs w:val="32"/>
        </w:rPr>
        <w:t>於原審之證言，係經原審於審判期日命其等於供前具結，並經檢察官、被告進行交互詰問，並非傳聞證據，且經原審於審判期日合法進行調查，自有證據能力。</w:t>
      </w:r>
      <w:r w:rsidRPr="00AC4C76">
        <w:rPr>
          <w:rFonts w:hAnsi="標楷體" w:hint="eastAsia"/>
        </w:rPr>
        <w:t>」、「</w:t>
      </w:r>
      <w:r w:rsidRPr="00AC4C76">
        <w:rPr>
          <w:rFonts w:hint="eastAsia"/>
          <w:szCs w:val="32"/>
        </w:rPr>
        <w:t>告訴人</w:t>
      </w:r>
      <w:r w:rsidR="00942AC3" w:rsidRPr="00AC4C76">
        <w:rPr>
          <w:rFonts w:hint="eastAsia"/>
          <w:szCs w:val="32"/>
        </w:rPr>
        <w:t>沈○維</w:t>
      </w:r>
      <w:r w:rsidRPr="00AC4C76">
        <w:rPr>
          <w:rFonts w:hint="eastAsia"/>
          <w:szCs w:val="32"/>
        </w:rPr>
        <w:t>指述明確，其於原審證稱：</w:t>
      </w:r>
      <w:r w:rsidR="005250FA" w:rsidRPr="00AC4C76">
        <w:rPr>
          <w:rFonts w:hAnsi="標楷體"/>
        </w:rPr>
        <w:t>……</w:t>
      </w:r>
      <w:r w:rsidR="00942AC3" w:rsidRPr="00AC4C76">
        <w:rPr>
          <w:rFonts w:hint="eastAsia"/>
          <w:szCs w:val="32"/>
        </w:rPr>
        <w:t>林○凱</w:t>
      </w:r>
      <w:r w:rsidRPr="00AC4C76">
        <w:rPr>
          <w:rFonts w:hint="eastAsia"/>
          <w:szCs w:val="32"/>
        </w:rPr>
        <w:t>突然罵幹、幹你娘、龜兒子、臭卒仔、好膽麥走等語；核與證人</w:t>
      </w:r>
      <w:r w:rsidR="00942AC3" w:rsidRPr="00AC4C76">
        <w:rPr>
          <w:rFonts w:hint="eastAsia"/>
          <w:szCs w:val="32"/>
        </w:rPr>
        <w:t>顏○隆</w:t>
      </w:r>
      <w:r w:rsidRPr="00AC4C76">
        <w:rPr>
          <w:rFonts w:hint="eastAsia"/>
          <w:szCs w:val="32"/>
        </w:rPr>
        <w:t>於偵訊時證稱：</w:t>
      </w:r>
      <w:r w:rsidR="005250FA" w:rsidRPr="00AC4C76">
        <w:rPr>
          <w:rFonts w:hAnsi="標楷體"/>
        </w:rPr>
        <w:t>……</w:t>
      </w:r>
      <w:r w:rsidRPr="00AC4C76">
        <w:rPr>
          <w:rFonts w:hint="eastAsia"/>
          <w:szCs w:val="32"/>
        </w:rPr>
        <w:t>聽到</w:t>
      </w:r>
      <w:r w:rsidR="00942AC3" w:rsidRPr="00AC4C76">
        <w:rPr>
          <w:rFonts w:hint="eastAsia"/>
          <w:szCs w:val="32"/>
        </w:rPr>
        <w:t>林○凱</w:t>
      </w:r>
      <w:r w:rsidRPr="00AC4C76">
        <w:rPr>
          <w:rFonts w:hint="eastAsia"/>
          <w:szCs w:val="32"/>
        </w:rPr>
        <w:t>在對</w:t>
      </w:r>
      <w:r w:rsidR="00942AC3" w:rsidRPr="00AC4C76">
        <w:rPr>
          <w:rFonts w:hint="eastAsia"/>
          <w:szCs w:val="32"/>
        </w:rPr>
        <w:t>沈○維</w:t>
      </w:r>
      <w:r w:rsidRPr="00AC4C76">
        <w:rPr>
          <w:rFonts w:hint="eastAsia"/>
          <w:szCs w:val="32"/>
        </w:rPr>
        <w:t>罵幹、龜兒子</w:t>
      </w:r>
      <w:r w:rsidR="005250FA" w:rsidRPr="00AC4C76">
        <w:rPr>
          <w:rFonts w:hAnsi="標楷體"/>
        </w:rPr>
        <w:t>……</w:t>
      </w:r>
      <w:r w:rsidRPr="00AC4C76">
        <w:rPr>
          <w:rFonts w:hint="eastAsia"/>
          <w:szCs w:val="32"/>
        </w:rPr>
        <w:t>等語；於原審證稱：我聽到</w:t>
      </w:r>
      <w:r w:rsidR="00942AC3" w:rsidRPr="00AC4C76">
        <w:rPr>
          <w:rFonts w:hint="eastAsia"/>
          <w:szCs w:val="32"/>
        </w:rPr>
        <w:t>林○凱</w:t>
      </w:r>
      <w:r w:rsidRPr="00AC4C76">
        <w:rPr>
          <w:rFonts w:hint="eastAsia"/>
          <w:szCs w:val="32"/>
        </w:rPr>
        <w:t>罵</w:t>
      </w:r>
      <w:r w:rsidR="00942AC3" w:rsidRPr="00AC4C76">
        <w:rPr>
          <w:rFonts w:hint="eastAsia"/>
          <w:szCs w:val="32"/>
        </w:rPr>
        <w:t>沈○維</w:t>
      </w:r>
      <w:r w:rsidRPr="00AC4C76">
        <w:rPr>
          <w:rFonts w:hint="eastAsia"/>
          <w:szCs w:val="32"/>
        </w:rPr>
        <w:t>幹你娘、臭卒仔，我在偵訊時稱</w:t>
      </w:r>
      <w:r w:rsidR="00942AC3" w:rsidRPr="00AC4C76">
        <w:rPr>
          <w:rFonts w:hint="eastAsia"/>
          <w:szCs w:val="32"/>
        </w:rPr>
        <w:t>林○凱</w:t>
      </w:r>
      <w:r w:rsidRPr="00AC4C76">
        <w:rPr>
          <w:rFonts w:hint="eastAsia"/>
          <w:szCs w:val="32"/>
        </w:rPr>
        <w:t>罵幹、龜兒子、卒仔麥走，我確實當時都有聽到。</w:t>
      </w:r>
      <w:r w:rsidR="005250FA" w:rsidRPr="00AC4C76">
        <w:rPr>
          <w:rFonts w:hAnsi="標楷體"/>
        </w:rPr>
        <w:t>……</w:t>
      </w:r>
      <w:r w:rsidRPr="00AC4C76">
        <w:rPr>
          <w:rFonts w:hint="eastAsia"/>
          <w:szCs w:val="32"/>
        </w:rPr>
        <w:t>證人</w:t>
      </w:r>
      <w:r w:rsidR="00942AC3" w:rsidRPr="00AC4C76">
        <w:rPr>
          <w:rFonts w:hint="eastAsia"/>
          <w:szCs w:val="32"/>
        </w:rPr>
        <w:t>徐○軒</w:t>
      </w:r>
      <w:r w:rsidRPr="00AC4C76">
        <w:rPr>
          <w:rFonts w:hint="eastAsia"/>
          <w:szCs w:val="32"/>
        </w:rPr>
        <w:t>於偵訊時證稱：</w:t>
      </w:r>
      <w:r w:rsidR="005250FA" w:rsidRPr="00AC4C76">
        <w:rPr>
          <w:rFonts w:hAnsi="標楷體"/>
        </w:rPr>
        <w:t>……</w:t>
      </w:r>
      <w:r w:rsidR="00942AC3" w:rsidRPr="00AC4C76">
        <w:rPr>
          <w:rFonts w:hint="eastAsia"/>
          <w:szCs w:val="32"/>
        </w:rPr>
        <w:t>林○凱</w:t>
      </w:r>
      <w:r w:rsidRPr="00AC4C76">
        <w:rPr>
          <w:rFonts w:hint="eastAsia"/>
          <w:szCs w:val="32"/>
        </w:rPr>
        <w:t>確實有說幹、幹你娘、龜兒子，叫</w:t>
      </w:r>
      <w:r w:rsidR="00942AC3" w:rsidRPr="00AC4C76">
        <w:rPr>
          <w:rFonts w:hint="eastAsia"/>
          <w:szCs w:val="32"/>
        </w:rPr>
        <w:t>沈○維</w:t>
      </w:r>
      <w:r w:rsidRPr="00AC4C76">
        <w:rPr>
          <w:rFonts w:hint="eastAsia"/>
          <w:szCs w:val="32"/>
        </w:rPr>
        <w:t>不要離開等語；於審理時證稱：我有聽到</w:t>
      </w:r>
      <w:r w:rsidR="00942AC3" w:rsidRPr="00AC4C76">
        <w:rPr>
          <w:rFonts w:hint="eastAsia"/>
          <w:szCs w:val="32"/>
        </w:rPr>
        <w:t>林○凱</w:t>
      </w:r>
      <w:r w:rsidRPr="00AC4C76">
        <w:rPr>
          <w:rFonts w:hint="eastAsia"/>
          <w:szCs w:val="32"/>
        </w:rPr>
        <w:t>罵</w:t>
      </w:r>
      <w:r w:rsidR="00942AC3" w:rsidRPr="00AC4C76">
        <w:rPr>
          <w:rFonts w:hint="eastAsia"/>
          <w:szCs w:val="32"/>
        </w:rPr>
        <w:t>沈○維</w:t>
      </w:r>
      <w:r w:rsidRPr="00AC4C76">
        <w:rPr>
          <w:rFonts w:hint="eastAsia"/>
          <w:szCs w:val="32"/>
        </w:rPr>
        <w:t>，我記得是幹、龜兒子</w:t>
      </w:r>
      <w:r w:rsidR="005250FA" w:rsidRPr="00AC4C76">
        <w:rPr>
          <w:rFonts w:hAnsi="標楷體"/>
        </w:rPr>
        <w:t>……</w:t>
      </w:r>
      <w:r w:rsidRPr="00AC4C76">
        <w:rPr>
          <w:rFonts w:hint="eastAsia"/>
          <w:szCs w:val="32"/>
        </w:rPr>
        <w:t>等語。互核證人</w:t>
      </w:r>
      <w:r w:rsidR="00942AC3" w:rsidRPr="00AC4C76">
        <w:rPr>
          <w:rFonts w:hint="eastAsia"/>
          <w:szCs w:val="32"/>
        </w:rPr>
        <w:t>沈○維</w:t>
      </w:r>
      <w:r w:rsidRPr="00AC4C76">
        <w:rPr>
          <w:rFonts w:hint="eastAsia"/>
          <w:szCs w:val="32"/>
        </w:rPr>
        <w:t>、</w:t>
      </w:r>
      <w:r w:rsidR="00942AC3" w:rsidRPr="00AC4C76">
        <w:rPr>
          <w:rFonts w:hint="eastAsia"/>
          <w:szCs w:val="32"/>
        </w:rPr>
        <w:t>徐○軒</w:t>
      </w:r>
      <w:r w:rsidRPr="00AC4C76">
        <w:rPr>
          <w:rFonts w:hint="eastAsia"/>
          <w:szCs w:val="32"/>
        </w:rPr>
        <w:t>、</w:t>
      </w:r>
      <w:r w:rsidR="00942AC3" w:rsidRPr="00AC4C76">
        <w:rPr>
          <w:rFonts w:hint="eastAsia"/>
          <w:szCs w:val="32"/>
        </w:rPr>
        <w:t>顏○隆</w:t>
      </w:r>
      <w:r w:rsidRPr="00AC4C76">
        <w:rPr>
          <w:rFonts w:hint="eastAsia"/>
          <w:szCs w:val="32"/>
        </w:rPr>
        <w:t>所述情節始終相符一致，難認有何虛構編造之</w:t>
      </w:r>
      <w:r w:rsidRPr="00AC4C76">
        <w:rPr>
          <w:rFonts w:hint="eastAsia"/>
          <w:szCs w:val="32"/>
        </w:rPr>
        <w:lastRenderedPageBreak/>
        <w:t>處，自堪以採信為真實。</w:t>
      </w:r>
      <w:r w:rsidR="005250FA" w:rsidRPr="00AC4C76">
        <w:rPr>
          <w:rFonts w:hAnsi="標楷體"/>
        </w:rPr>
        <w:t>……</w:t>
      </w:r>
      <w:r w:rsidRPr="00AC4C76">
        <w:rPr>
          <w:rFonts w:hint="eastAsia"/>
          <w:szCs w:val="32"/>
        </w:rPr>
        <w:t>證人</w:t>
      </w:r>
      <w:r w:rsidR="00942AC3" w:rsidRPr="00AC4C76">
        <w:rPr>
          <w:rFonts w:hint="eastAsia"/>
          <w:szCs w:val="32"/>
        </w:rPr>
        <w:t>顏○隆</w:t>
      </w:r>
      <w:r w:rsidRPr="00AC4C76">
        <w:rPr>
          <w:rFonts w:hint="eastAsia"/>
          <w:szCs w:val="32"/>
        </w:rPr>
        <w:t>與</w:t>
      </w:r>
      <w:r w:rsidR="00942AC3" w:rsidRPr="00AC4C76">
        <w:rPr>
          <w:rFonts w:hint="eastAsia"/>
          <w:szCs w:val="32"/>
        </w:rPr>
        <w:t>徐○軒</w:t>
      </w:r>
      <w:r w:rsidRPr="00AC4C76">
        <w:rPr>
          <w:rFonts w:hint="eastAsia"/>
          <w:szCs w:val="32"/>
        </w:rPr>
        <w:t>先前並不認識</w:t>
      </w:r>
      <w:r w:rsidR="00942AC3" w:rsidRPr="00AC4C76">
        <w:rPr>
          <w:rFonts w:hint="eastAsia"/>
          <w:szCs w:val="32"/>
        </w:rPr>
        <w:t>林○凱</w:t>
      </w:r>
      <w:r w:rsidRPr="00AC4C76">
        <w:rPr>
          <w:rFonts w:hint="eastAsia"/>
          <w:szCs w:val="32"/>
        </w:rPr>
        <w:t>，彼此之間並無任何淵源或恩怨，難認證人</w:t>
      </w:r>
      <w:r w:rsidR="00942AC3" w:rsidRPr="00AC4C76">
        <w:rPr>
          <w:rFonts w:hint="eastAsia"/>
          <w:szCs w:val="32"/>
        </w:rPr>
        <w:t>顏○隆</w:t>
      </w:r>
      <w:r w:rsidRPr="00AC4C76">
        <w:rPr>
          <w:rFonts w:hint="eastAsia"/>
          <w:szCs w:val="32"/>
        </w:rPr>
        <w:t>、</w:t>
      </w:r>
      <w:r w:rsidR="00942AC3" w:rsidRPr="00AC4C76">
        <w:rPr>
          <w:rFonts w:hint="eastAsia"/>
          <w:szCs w:val="32"/>
        </w:rPr>
        <w:t>徐○軒</w:t>
      </w:r>
      <w:r w:rsidRPr="00AC4C76">
        <w:rPr>
          <w:rFonts w:hint="eastAsia"/>
          <w:szCs w:val="32"/>
        </w:rPr>
        <w:t>甘冒遭追究偽證罪責之風險，而故為不利於</w:t>
      </w:r>
      <w:r w:rsidR="00942AC3" w:rsidRPr="00AC4C76">
        <w:rPr>
          <w:rFonts w:hint="eastAsia"/>
          <w:szCs w:val="32"/>
        </w:rPr>
        <w:t>林○凱</w:t>
      </w:r>
      <w:r w:rsidRPr="00AC4C76">
        <w:rPr>
          <w:rFonts w:hint="eastAsia"/>
          <w:szCs w:val="32"/>
        </w:rPr>
        <w:t>之證述，復參以被告</w:t>
      </w:r>
      <w:r w:rsidR="00942AC3" w:rsidRPr="00AC4C76">
        <w:rPr>
          <w:rFonts w:hint="eastAsia"/>
          <w:szCs w:val="32"/>
        </w:rPr>
        <w:t>林○凱</w:t>
      </w:r>
      <w:r w:rsidRPr="00AC4C76">
        <w:rPr>
          <w:rFonts w:hint="eastAsia"/>
          <w:szCs w:val="32"/>
        </w:rPr>
        <w:t>亦自承有說過龜兒子一詞，更堪認證人</w:t>
      </w:r>
      <w:r w:rsidR="00942AC3" w:rsidRPr="00AC4C76">
        <w:rPr>
          <w:rFonts w:hint="eastAsia"/>
          <w:szCs w:val="32"/>
        </w:rPr>
        <w:t>林○凱</w:t>
      </w:r>
      <w:r w:rsidRPr="00AC4C76">
        <w:rPr>
          <w:rFonts w:hint="eastAsia"/>
          <w:szCs w:val="32"/>
        </w:rPr>
        <w:t>、</w:t>
      </w:r>
      <w:r w:rsidR="00942AC3" w:rsidRPr="00AC4C76">
        <w:rPr>
          <w:rFonts w:hint="eastAsia"/>
          <w:szCs w:val="32"/>
        </w:rPr>
        <w:t>徐○軒</w:t>
      </w:r>
      <w:r w:rsidRPr="00AC4C76">
        <w:rPr>
          <w:rFonts w:hint="eastAsia"/>
          <w:szCs w:val="32"/>
        </w:rPr>
        <w:t>、</w:t>
      </w:r>
      <w:r w:rsidR="00942AC3" w:rsidRPr="00AC4C76">
        <w:rPr>
          <w:rFonts w:hint="eastAsia"/>
          <w:szCs w:val="32"/>
        </w:rPr>
        <w:t>顏○隆</w:t>
      </w:r>
      <w:r w:rsidRPr="00AC4C76">
        <w:rPr>
          <w:rFonts w:hint="eastAsia"/>
          <w:szCs w:val="32"/>
        </w:rPr>
        <w:t>前開所言應非無稽，足認被告</w:t>
      </w:r>
      <w:r w:rsidR="00942AC3" w:rsidRPr="00AC4C76">
        <w:rPr>
          <w:rFonts w:hint="eastAsia"/>
          <w:szCs w:val="32"/>
        </w:rPr>
        <w:t>林○凱</w:t>
      </w:r>
      <w:r w:rsidRPr="00AC4C76">
        <w:rPr>
          <w:rFonts w:hint="eastAsia"/>
          <w:szCs w:val="32"/>
        </w:rPr>
        <w:t>有辱罵</w:t>
      </w:r>
      <w:r w:rsidR="00942AC3" w:rsidRPr="00AC4C76">
        <w:rPr>
          <w:rFonts w:hint="eastAsia"/>
          <w:szCs w:val="32"/>
        </w:rPr>
        <w:t>沈○維</w:t>
      </w:r>
      <w:r w:rsidRPr="00AC4C76">
        <w:rPr>
          <w:rFonts w:hint="eastAsia"/>
          <w:szCs w:val="32"/>
        </w:rPr>
        <w:t>幹、幹你娘、龜兒子等語，確屬事實。</w:t>
      </w:r>
      <w:r w:rsidRPr="00AC4C76">
        <w:rPr>
          <w:rFonts w:hAnsi="標楷體" w:hint="eastAsia"/>
        </w:rPr>
        <w:t>」</w:t>
      </w:r>
    </w:p>
    <w:p w:rsidR="00A522C6" w:rsidRPr="00AC4C76" w:rsidRDefault="00DF09D3" w:rsidP="001322F9">
      <w:pPr>
        <w:pStyle w:val="3"/>
      </w:pPr>
      <w:r w:rsidRPr="00AC4C76">
        <w:rPr>
          <w:rFonts w:hAnsi="標楷體" w:hint="eastAsia"/>
        </w:rPr>
        <w:t>依據106年4月6</w:t>
      </w:r>
      <w:r w:rsidR="00CF70EB" w:rsidRPr="00AC4C76">
        <w:rPr>
          <w:rFonts w:hAnsi="標楷體" w:hint="eastAsia"/>
        </w:rPr>
        <w:t>日</w:t>
      </w:r>
      <w:r w:rsidR="001D05CC" w:rsidRPr="00AC4C76">
        <w:rPr>
          <w:rFonts w:hAnsi="標楷體" w:hint="eastAsia"/>
        </w:rPr>
        <w:t>臺</w:t>
      </w:r>
      <w:r w:rsidRPr="00AC4C76">
        <w:rPr>
          <w:rFonts w:hAnsi="標楷體" w:hint="eastAsia"/>
        </w:rPr>
        <w:t>北地方法院</w:t>
      </w:r>
      <w:r w:rsidR="00F20940" w:rsidRPr="00AC4C76">
        <w:rPr>
          <w:rFonts w:hAnsi="標楷體" w:hint="eastAsia"/>
        </w:rPr>
        <w:t>審判筆錄「審判長問證人</w:t>
      </w:r>
      <w:r w:rsidR="00ED0F91" w:rsidRPr="00AC4C76">
        <w:rPr>
          <w:rFonts w:hAnsi="標楷體" w:hint="eastAsia"/>
        </w:rPr>
        <w:t>：</w:t>
      </w:r>
      <w:r w:rsidR="00F20940" w:rsidRPr="00AC4C76">
        <w:rPr>
          <w:rFonts w:hAnsi="標楷體" w:hint="eastAsia"/>
        </w:rPr>
        <w:t>是否認識在庭的兩位被告跟</w:t>
      </w:r>
      <w:r w:rsidR="00942AC3" w:rsidRPr="00AC4C76">
        <w:rPr>
          <w:rFonts w:hAnsi="標楷體" w:hint="eastAsia"/>
        </w:rPr>
        <w:t>徐○軒</w:t>
      </w:r>
      <w:r w:rsidR="00F20940" w:rsidRPr="00AC4C76">
        <w:rPr>
          <w:rFonts w:hAnsi="標楷體" w:hint="eastAsia"/>
        </w:rPr>
        <w:t>?證人</w:t>
      </w:r>
      <w:r w:rsidR="00942AC3" w:rsidRPr="00AC4C76">
        <w:rPr>
          <w:rFonts w:hAnsi="標楷體" w:hint="eastAsia"/>
        </w:rPr>
        <w:t>顏○隆</w:t>
      </w:r>
      <w:r w:rsidR="00F20940" w:rsidRPr="00AC4C76">
        <w:rPr>
          <w:rFonts w:hAnsi="標楷體" w:hint="eastAsia"/>
        </w:rPr>
        <w:t>答</w:t>
      </w:r>
      <w:r w:rsidR="00ED0F91" w:rsidRPr="00AC4C76">
        <w:rPr>
          <w:rFonts w:hAnsi="標楷體" w:hint="eastAsia"/>
        </w:rPr>
        <w:t>：</w:t>
      </w:r>
      <w:r w:rsidR="00F20940" w:rsidRPr="00AC4C76">
        <w:rPr>
          <w:rFonts w:hAnsi="標楷體" w:hint="eastAsia"/>
        </w:rPr>
        <w:t>我從小就認識</w:t>
      </w:r>
      <w:r w:rsidR="00942AC3" w:rsidRPr="00AC4C76">
        <w:rPr>
          <w:rFonts w:hAnsi="標楷體" w:hint="eastAsia"/>
        </w:rPr>
        <w:t>沈○維</w:t>
      </w:r>
      <w:r w:rsidR="00F20940" w:rsidRPr="00AC4C76">
        <w:rPr>
          <w:rFonts w:hAnsi="標楷體" w:hint="eastAsia"/>
        </w:rPr>
        <w:t>，是鄰居，證人</w:t>
      </w:r>
      <w:r w:rsidR="00942AC3" w:rsidRPr="00AC4C76">
        <w:rPr>
          <w:rFonts w:hAnsi="標楷體" w:hint="eastAsia"/>
        </w:rPr>
        <w:t>徐○軒</w:t>
      </w:r>
      <w:r w:rsidR="002B7047" w:rsidRPr="00AC4C76">
        <w:rPr>
          <w:rFonts w:hAnsi="標楷體" w:hint="eastAsia"/>
        </w:rPr>
        <w:t>是這半年才認識，因為他到我們市場擺攤才認識。被告</w:t>
      </w:r>
      <w:r w:rsidR="00942AC3" w:rsidRPr="00AC4C76">
        <w:rPr>
          <w:rFonts w:hAnsi="標楷體" w:hint="eastAsia"/>
        </w:rPr>
        <w:t>林○凱</w:t>
      </w:r>
      <w:r w:rsidR="002B7047" w:rsidRPr="00AC4C76">
        <w:rPr>
          <w:rFonts w:hAnsi="標楷體" w:hint="eastAsia"/>
        </w:rPr>
        <w:t>我不認識。</w:t>
      </w:r>
      <w:r w:rsidR="005250FA" w:rsidRPr="00AC4C76">
        <w:rPr>
          <w:rFonts w:hAnsi="標楷體"/>
        </w:rPr>
        <w:t>……</w:t>
      </w:r>
      <w:r w:rsidR="00211848" w:rsidRPr="00AC4C76">
        <w:rPr>
          <w:rFonts w:hAnsi="標楷體" w:hint="eastAsia"/>
        </w:rPr>
        <w:t>審判長問證人</w:t>
      </w:r>
      <w:r w:rsidR="00ED0F91" w:rsidRPr="00AC4C76">
        <w:rPr>
          <w:rFonts w:hAnsi="標楷體" w:hint="eastAsia"/>
        </w:rPr>
        <w:t>：</w:t>
      </w:r>
      <w:r w:rsidR="00211848" w:rsidRPr="00AC4C76">
        <w:rPr>
          <w:rFonts w:hAnsi="標楷體" w:hint="eastAsia"/>
        </w:rPr>
        <w:t>你和</w:t>
      </w:r>
      <w:r w:rsidR="00942AC3" w:rsidRPr="00AC4C76">
        <w:rPr>
          <w:rFonts w:hAnsi="標楷體" w:hint="eastAsia"/>
        </w:rPr>
        <w:t>沈○維</w:t>
      </w:r>
      <w:r w:rsidR="00211848" w:rsidRPr="00AC4C76">
        <w:rPr>
          <w:rFonts w:hAnsi="標楷體" w:hint="eastAsia"/>
        </w:rPr>
        <w:t>、</w:t>
      </w:r>
      <w:r w:rsidR="00942AC3" w:rsidRPr="00AC4C76">
        <w:rPr>
          <w:rFonts w:hAnsi="標楷體" w:hint="eastAsia"/>
        </w:rPr>
        <w:t>顏○隆</w:t>
      </w:r>
      <w:r w:rsidR="00211848" w:rsidRPr="00AC4C76">
        <w:rPr>
          <w:rFonts w:hAnsi="標楷體" w:hint="eastAsia"/>
        </w:rPr>
        <w:t>是如何認識?證人</w:t>
      </w:r>
      <w:r w:rsidR="00942AC3" w:rsidRPr="00AC4C76">
        <w:rPr>
          <w:rFonts w:hAnsi="標楷體" w:hint="eastAsia"/>
        </w:rPr>
        <w:t>徐○軒</w:t>
      </w:r>
      <w:r w:rsidR="00211848" w:rsidRPr="00AC4C76">
        <w:rPr>
          <w:rFonts w:hAnsi="標楷體" w:hint="eastAsia"/>
        </w:rPr>
        <w:t>答</w:t>
      </w:r>
      <w:r w:rsidR="00ED0F91" w:rsidRPr="00AC4C76">
        <w:rPr>
          <w:rFonts w:hAnsi="標楷體" w:hint="eastAsia"/>
        </w:rPr>
        <w:t>：</w:t>
      </w:r>
      <w:r w:rsidR="00211848" w:rsidRPr="00AC4C76">
        <w:rPr>
          <w:rFonts w:hAnsi="標楷體" w:hint="eastAsia"/>
        </w:rPr>
        <w:t>因為我在擺攤的地方，他們也是擺攤的店家。</w:t>
      </w:r>
      <w:r w:rsidR="00F20940" w:rsidRPr="00AC4C76">
        <w:rPr>
          <w:rFonts w:hAnsi="標楷體" w:hint="eastAsia"/>
        </w:rPr>
        <w:t>」</w:t>
      </w:r>
      <w:r w:rsidRPr="00AC4C76">
        <w:rPr>
          <w:rFonts w:hAnsi="標楷體" w:hint="eastAsia"/>
        </w:rPr>
        <w:t>及上揭檢察官上訴理由</w:t>
      </w:r>
      <w:r w:rsidR="002B7047" w:rsidRPr="00AC4C76">
        <w:rPr>
          <w:rFonts w:hAnsi="標楷體" w:hint="eastAsia"/>
        </w:rPr>
        <w:t>可知</w:t>
      </w:r>
      <w:r w:rsidRPr="00AC4C76">
        <w:rPr>
          <w:rFonts w:hAnsi="標楷體" w:hint="eastAsia"/>
        </w:rPr>
        <w:t>，</w:t>
      </w:r>
      <w:r w:rsidR="002B7047" w:rsidRPr="00AC4C76">
        <w:rPr>
          <w:rFonts w:hAnsi="標楷體" w:hint="eastAsia"/>
          <w:szCs w:val="32"/>
        </w:rPr>
        <w:t>案發現場2位目擊證人</w:t>
      </w:r>
      <w:r w:rsidR="00942AC3" w:rsidRPr="00AC4C76">
        <w:rPr>
          <w:rFonts w:hAnsi="標楷體" w:hint="eastAsia"/>
          <w:szCs w:val="32"/>
        </w:rPr>
        <w:t>顏○隆</w:t>
      </w:r>
      <w:r w:rsidR="002B7047" w:rsidRPr="00AC4C76">
        <w:rPr>
          <w:rFonts w:hAnsi="標楷體" w:hint="eastAsia"/>
          <w:szCs w:val="32"/>
        </w:rPr>
        <w:t>及</w:t>
      </w:r>
      <w:r w:rsidR="00942AC3" w:rsidRPr="00AC4C76">
        <w:rPr>
          <w:rFonts w:hAnsi="標楷體" w:hint="eastAsia"/>
          <w:szCs w:val="32"/>
        </w:rPr>
        <w:t>徐○軒</w:t>
      </w:r>
      <w:r w:rsidR="002B7047" w:rsidRPr="00AC4C76">
        <w:rPr>
          <w:rFonts w:hAnsi="標楷體" w:hint="eastAsia"/>
          <w:szCs w:val="32"/>
        </w:rPr>
        <w:t>皆為被告</w:t>
      </w:r>
      <w:r w:rsidR="00942AC3" w:rsidRPr="00AC4C76">
        <w:rPr>
          <w:rFonts w:hAnsi="標楷體" w:hint="eastAsia"/>
          <w:szCs w:val="32"/>
        </w:rPr>
        <w:t>沈○維</w:t>
      </w:r>
      <w:r w:rsidR="002B7047" w:rsidRPr="00AC4C76">
        <w:rPr>
          <w:rFonts w:hAnsi="標楷體" w:hint="eastAsia"/>
          <w:szCs w:val="32"/>
        </w:rPr>
        <w:t>在該市場做生意的同業，且彼此認識，證人</w:t>
      </w:r>
      <w:r w:rsidR="00942AC3" w:rsidRPr="00AC4C76">
        <w:rPr>
          <w:rFonts w:hAnsi="標楷體" w:hint="eastAsia"/>
          <w:szCs w:val="32"/>
        </w:rPr>
        <w:t>徐○軒</w:t>
      </w:r>
      <w:r w:rsidR="002B7047" w:rsidRPr="00AC4C76">
        <w:rPr>
          <w:rFonts w:hAnsi="標楷體" w:hint="eastAsia"/>
          <w:szCs w:val="32"/>
        </w:rPr>
        <w:t>甚至是與陳訴人</w:t>
      </w:r>
      <w:r w:rsidR="00942AC3" w:rsidRPr="00AC4C76">
        <w:rPr>
          <w:rFonts w:hAnsi="標楷體" w:hint="eastAsia"/>
          <w:szCs w:val="32"/>
        </w:rPr>
        <w:t>林○凱</w:t>
      </w:r>
      <w:r w:rsidR="002B7047" w:rsidRPr="00AC4C76">
        <w:rPr>
          <w:rFonts w:hAnsi="標楷體" w:hint="eastAsia"/>
          <w:szCs w:val="32"/>
        </w:rPr>
        <w:t>爭吵停車位</w:t>
      </w:r>
      <w:r w:rsidR="002B7047" w:rsidRPr="00AC4C76">
        <w:rPr>
          <w:rFonts w:hint="eastAsia"/>
          <w:szCs w:val="32"/>
        </w:rPr>
        <w:t>之當事人，</w:t>
      </w:r>
      <w:r w:rsidRPr="00AC4C76">
        <w:rPr>
          <w:rFonts w:hint="eastAsia"/>
          <w:szCs w:val="32"/>
        </w:rPr>
        <w:t>故</w:t>
      </w:r>
      <w:r w:rsidR="002B7047" w:rsidRPr="00AC4C76">
        <w:rPr>
          <w:rFonts w:hint="eastAsia"/>
          <w:szCs w:val="32"/>
        </w:rPr>
        <w:t>其證詞</w:t>
      </w:r>
      <w:r w:rsidR="00827C19" w:rsidRPr="00AC4C76">
        <w:rPr>
          <w:rFonts w:hint="eastAsia"/>
        </w:rPr>
        <w:t>本質上</w:t>
      </w:r>
      <w:r w:rsidR="00827C19" w:rsidRPr="00AC4C76">
        <w:t>有極大</w:t>
      </w:r>
      <w:r w:rsidR="00827C19" w:rsidRPr="00AC4C76">
        <w:rPr>
          <w:rFonts w:hint="eastAsia"/>
        </w:rPr>
        <w:t>之</w:t>
      </w:r>
      <w:r w:rsidR="00827C19" w:rsidRPr="00AC4C76">
        <w:t>危險性</w:t>
      </w:r>
      <w:r w:rsidR="00827C19" w:rsidRPr="00AC4C76">
        <w:rPr>
          <w:rFonts w:hint="eastAsia"/>
        </w:rPr>
        <w:t>，</w:t>
      </w:r>
      <w:r w:rsidRPr="00AC4C76">
        <w:rPr>
          <w:rFonts w:hint="eastAsia"/>
          <w:szCs w:val="32"/>
        </w:rPr>
        <w:t>其</w:t>
      </w:r>
      <w:r w:rsidR="002B7047" w:rsidRPr="00AC4C76">
        <w:rPr>
          <w:rFonts w:hint="eastAsia"/>
          <w:szCs w:val="32"/>
        </w:rPr>
        <w:t>可信度並非無疑</w:t>
      </w:r>
      <w:r w:rsidR="001D05CC" w:rsidRPr="00AC4C76">
        <w:rPr>
          <w:rFonts w:hint="eastAsia"/>
          <w:szCs w:val="32"/>
        </w:rPr>
        <w:t>。又臺北市政府警察局於調查本案時，並未於第一時間調閱</w:t>
      </w:r>
      <w:r w:rsidR="001D05CC" w:rsidRPr="00AC4C76">
        <w:rPr>
          <w:rFonts w:hint="eastAsia"/>
        </w:rPr>
        <w:t>監視器</w:t>
      </w:r>
      <w:r w:rsidR="001D05CC" w:rsidRPr="00AC4C76">
        <w:rPr>
          <w:rFonts w:hint="eastAsia"/>
          <w:szCs w:val="32"/>
        </w:rPr>
        <w:t>紀錄以釐清案情，</w:t>
      </w:r>
      <w:r w:rsidR="00942AC3" w:rsidRPr="00AC4C76">
        <w:rPr>
          <w:rFonts w:hint="eastAsia"/>
          <w:szCs w:val="32"/>
        </w:rPr>
        <w:t>沈○維</w:t>
      </w:r>
      <w:r w:rsidR="001D05CC" w:rsidRPr="00AC4C76">
        <w:rPr>
          <w:rFonts w:hint="eastAsia"/>
          <w:szCs w:val="32"/>
        </w:rPr>
        <w:t>是否</w:t>
      </w:r>
      <w:r w:rsidR="001D05CC" w:rsidRPr="00AC4C76">
        <w:rPr>
          <w:rFonts w:hint="eastAsia"/>
        </w:rPr>
        <w:t>故意或過失</w:t>
      </w:r>
      <w:r w:rsidR="001D05CC" w:rsidRPr="00AC4C76">
        <w:rPr>
          <w:rFonts w:hint="eastAsia"/>
          <w:szCs w:val="32"/>
        </w:rPr>
        <w:t>導致陳訴人受傷亦無法證實，致法院函囑臺北市政府警察局調查監視錄影器紀錄時，已無案發當時留存畫面可供調閱</w:t>
      </w:r>
      <w:r w:rsidR="008E600C" w:rsidRPr="00AC4C76">
        <w:rPr>
          <w:rFonts w:hint="eastAsia"/>
          <w:szCs w:val="32"/>
        </w:rPr>
        <w:t>。再者，被告</w:t>
      </w:r>
      <w:r w:rsidR="00942AC3" w:rsidRPr="00AC4C76">
        <w:rPr>
          <w:rFonts w:hint="eastAsia"/>
          <w:szCs w:val="32"/>
        </w:rPr>
        <w:t>沈○維</w:t>
      </w:r>
      <w:r w:rsidR="008E600C" w:rsidRPr="00AC4C76">
        <w:rPr>
          <w:rFonts w:hint="eastAsia"/>
          <w:szCs w:val="32"/>
        </w:rPr>
        <w:t>既是勸架，理應勸導其友人</w:t>
      </w:r>
      <w:r w:rsidR="00942AC3" w:rsidRPr="00AC4C76">
        <w:rPr>
          <w:rFonts w:hint="eastAsia"/>
          <w:szCs w:val="32"/>
        </w:rPr>
        <w:t>徐○軒</w:t>
      </w:r>
      <w:r w:rsidR="008E600C" w:rsidRPr="00AC4C76">
        <w:rPr>
          <w:rFonts w:hint="eastAsia"/>
          <w:szCs w:val="32"/>
        </w:rPr>
        <w:t>住手不要和陳訴人爭吵，卻反向陳訴人</w:t>
      </w:r>
      <w:r w:rsidR="00942AC3" w:rsidRPr="00AC4C76">
        <w:rPr>
          <w:rFonts w:hint="eastAsia"/>
          <w:szCs w:val="32"/>
        </w:rPr>
        <w:t>林○凱</w:t>
      </w:r>
      <w:r w:rsidR="008E600C" w:rsidRPr="00AC4C76">
        <w:rPr>
          <w:rFonts w:hint="eastAsia"/>
          <w:szCs w:val="32"/>
        </w:rPr>
        <w:t>勸導住手甚</w:t>
      </w:r>
      <w:r w:rsidR="006958D4" w:rsidRPr="00AC4C76">
        <w:rPr>
          <w:rFonts w:hint="eastAsia"/>
          <w:szCs w:val="32"/>
        </w:rPr>
        <w:t>至造成</w:t>
      </w:r>
      <w:r w:rsidR="00942AC3" w:rsidRPr="00AC4C76">
        <w:rPr>
          <w:rFonts w:hint="eastAsia"/>
          <w:szCs w:val="32"/>
        </w:rPr>
        <w:t>林○凱</w:t>
      </w:r>
      <w:r w:rsidR="00C738E6" w:rsidRPr="00AC4C76">
        <w:rPr>
          <w:rFonts w:hint="eastAsia"/>
          <w:szCs w:val="32"/>
        </w:rPr>
        <w:t>受傷，實非合</w:t>
      </w:r>
      <w:r w:rsidR="008E600C" w:rsidRPr="00AC4C76">
        <w:rPr>
          <w:rFonts w:hint="eastAsia"/>
          <w:szCs w:val="32"/>
        </w:rPr>
        <w:t>理，如同檢察官上訴理由所述，被告</w:t>
      </w:r>
      <w:r w:rsidR="00942AC3" w:rsidRPr="00AC4C76">
        <w:rPr>
          <w:rFonts w:hint="eastAsia"/>
          <w:szCs w:val="32"/>
        </w:rPr>
        <w:t>沈○維</w:t>
      </w:r>
      <w:r w:rsidR="008E600C" w:rsidRPr="00AC4C76">
        <w:rPr>
          <w:rFonts w:hint="eastAsia"/>
          <w:szCs w:val="32"/>
        </w:rPr>
        <w:t>之動機顯有可疑之處，</w:t>
      </w:r>
      <w:r w:rsidR="002B7047" w:rsidRPr="00AC4C76">
        <w:rPr>
          <w:rFonts w:hint="eastAsia"/>
          <w:szCs w:val="32"/>
        </w:rPr>
        <w:t>然</w:t>
      </w:r>
      <w:r w:rsidR="00AD5E1F" w:rsidRPr="00AC4C76">
        <w:rPr>
          <w:rFonts w:hint="eastAsia"/>
          <w:szCs w:val="32"/>
        </w:rPr>
        <w:t>陳訴人</w:t>
      </w:r>
      <w:r w:rsidR="00942AC3" w:rsidRPr="00AC4C76">
        <w:rPr>
          <w:rFonts w:hint="eastAsia"/>
          <w:szCs w:val="32"/>
        </w:rPr>
        <w:t>林○凱</w:t>
      </w:r>
      <w:r w:rsidR="00AD5E1F" w:rsidRPr="00AC4C76">
        <w:rPr>
          <w:rFonts w:hint="eastAsia"/>
          <w:szCs w:val="32"/>
        </w:rPr>
        <w:t>聲請法院對其與告訴人</w:t>
      </w:r>
      <w:r w:rsidR="00942AC3" w:rsidRPr="00AC4C76">
        <w:rPr>
          <w:rFonts w:hint="eastAsia"/>
          <w:szCs w:val="32"/>
        </w:rPr>
        <w:t>沈○維</w:t>
      </w:r>
      <w:r w:rsidR="00AD5E1F" w:rsidRPr="00AC4C76">
        <w:rPr>
          <w:rFonts w:hint="eastAsia"/>
          <w:szCs w:val="32"/>
        </w:rPr>
        <w:t>進行</w:t>
      </w:r>
      <w:r w:rsidR="00AD5E1F" w:rsidRPr="00AC4C76">
        <w:rPr>
          <w:rFonts w:hint="eastAsia"/>
        </w:rPr>
        <w:t>測謊</w:t>
      </w:r>
      <w:r w:rsidR="00AD5E1F" w:rsidRPr="00AC4C76">
        <w:rPr>
          <w:rFonts w:hint="eastAsia"/>
          <w:szCs w:val="32"/>
        </w:rPr>
        <w:t>，法院核無必要，並</w:t>
      </w:r>
      <w:r w:rsidR="002B7047" w:rsidRPr="00AC4C76">
        <w:rPr>
          <w:rFonts w:hint="eastAsia"/>
          <w:szCs w:val="32"/>
        </w:rPr>
        <w:t>以</w:t>
      </w:r>
      <w:r w:rsidR="00942AC3" w:rsidRPr="00AC4C76">
        <w:rPr>
          <w:rFonts w:hAnsi="標楷體" w:hint="eastAsia"/>
        </w:rPr>
        <w:t>徐○軒</w:t>
      </w:r>
      <w:r w:rsidR="001D05CC" w:rsidRPr="00AC4C76">
        <w:rPr>
          <w:rFonts w:hAnsi="標楷體" w:hint="eastAsia"/>
        </w:rPr>
        <w:t>、</w:t>
      </w:r>
      <w:r w:rsidR="00942AC3" w:rsidRPr="00AC4C76">
        <w:rPr>
          <w:rFonts w:hAnsi="標楷體" w:hint="eastAsia"/>
        </w:rPr>
        <w:t>顏○隆</w:t>
      </w:r>
      <w:r w:rsidR="001D05CC" w:rsidRPr="00AC4C76">
        <w:rPr>
          <w:rFonts w:hAnsi="標楷體" w:hint="eastAsia"/>
        </w:rPr>
        <w:t>、</w:t>
      </w:r>
      <w:r w:rsidR="00942AC3" w:rsidRPr="00AC4C76">
        <w:rPr>
          <w:rFonts w:hint="eastAsia"/>
          <w:szCs w:val="32"/>
        </w:rPr>
        <w:lastRenderedPageBreak/>
        <w:t>沈○維</w:t>
      </w:r>
      <w:r w:rsidR="001D05CC" w:rsidRPr="00AC4C76">
        <w:rPr>
          <w:rFonts w:hint="eastAsia"/>
          <w:szCs w:val="32"/>
        </w:rPr>
        <w:t>之</w:t>
      </w:r>
      <w:r w:rsidR="002B7047" w:rsidRPr="00AC4C76">
        <w:rPr>
          <w:rFonts w:hint="eastAsia"/>
          <w:szCs w:val="32"/>
        </w:rPr>
        <w:t>證詞作為</w:t>
      </w:r>
      <w:r w:rsidR="00827C19" w:rsidRPr="00AC4C76">
        <w:rPr>
          <w:rFonts w:hint="eastAsia"/>
          <w:szCs w:val="32"/>
        </w:rPr>
        <w:t>陳訴人</w:t>
      </w:r>
      <w:r w:rsidR="002B7047" w:rsidRPr="00AC4C76">
        <w:rPr>
          <w:rFonts w:hint="eastAsia"/>
          <w:szCs w:val="32"/>
        </w:rPr>
        <w:t>定罪</w:t>
      </w:r>
      <w:r w:rsidR="00827C19" w:rsidRPr="00AC4C76">
        <w:rPr>
          <w:rFonts w:hint="eastAsia"/>
          <w:szCs w:val="32"/>
        </w:rPr>
        <w:t>之</w:t>
      </w:r>
      <w:r w:rsidR="002B7047" w:rsidRPr="00AC4C76">
        <w:rPr>
          <w:rFonts w:hint="eastAsia"/>
          <w:szCs w:val="32"/>
        </w:rPr>
        <w:t>唯一證據，</w:t>
      </w:r>
      <w:r w:rsidR="00211848" w:rsidRPr="00AC4C76">
        <w:rPr>
          <w:rFonts w:hint="eastAsia"/>
          <w:szCs w:val="32"/>
        </w:rPr>
        <w:t>又以證人</w:t>
      </w:r>
      <w:r w:rsidR="00942AC3" w:rsidRPr="00AC4C76">
        <w:rPr>
          <w:rFonts w:hint="eastAsia"/>
          <w:szCs w:val="32"/>
        </w:rPr>
        <w:t>沈○維</w:t>
      </w:r>
      <w:r w:rsidR="00211848" w:rsidRPr="00AC4C76">
        <w:rPr>
          <w:rFonts w:hint="eastAsia"/>
          <w:szCs w:val="32"/>
        </w:rPr>
        <w:t>、</w:t>
      </w:r>
      <w:r w:rsidR="00942AC3" w:rsidRPr="00AC4C76">
        <w:rPr>
          <w:rFonts w:hint="eastAsia"/>
          <w:szCs w:val="32"/>
        </w:rPr>
        <w:t>徐○軒</w:t>
      </w:r>
      <w:r w:rsidR="00211848" w:rsidRPr="00AC4C76">
        <w:rPr>
          <w:rFonts w:hint="eastAsia"/>
          <w:szCs w:val="32"/>
        </w:rPr>
        <w:t>、</w:t>
      </w:r>
      <w:r w:rsidR="00942AC3" w:rsidRPr="00AC4C76">
        <w:rPr>
          <w:rFonts w:hint="eastAsia"/>
          <w:szCs w:val="32"/>
        </w:rPr>
        <w:t>顏○隆</w:t>
      </w:r>
      <w:r w:rsidR="00211848" w:rsidRPr="00AC4C76">
        <w:rPr>
          <w:rFonts w:hint="eastAsia"/>
          <w:szCs w:val="32"/>
        </w:rPr>
        <w:t>所述相符，且證人</w:t>
      </w:r>
      <w:r w:rsidR="00942AC3" w:rsidRPr="00AC4C76">
        <w:rPr>
          <w:rFonts w:hint="eastAsia"/>
          <w:szCs w:val="32"/>
        </w:rPr>
        <w:t>徐○軒</w:t>
      </w:r>
      <w:r w:rsidR="00211848" w:rsidRPr="00AC4C76">
        <w:rPr>
          <w:rFonts w:hint="eastAsia"/>
          <w:szCs w:val="32"/>
        </w:rPr>
        <w:t>、</w:t>
      </w:r>
      <w:r w:rsidR="00942AC3" w:rsidRPr="00AC4C76">
        <w:rPr>
          <w:rFonts w:hint="eastAsia"/>
          <w:szCs w:val="32"/>
        </w:rPr>
        <w:t>顏○隆</w:t>
      </w:r>
      <w:r w:rsidR="00211848" w:rsidRPr="00AC4C76">
        <w:rPr>
          <w:rFonts w:hint="eastAsia"/>
          <w:szCs w:val="32"/>
        </w:rPr>
        <w:t>均證述不認識被告</w:t>
      </w:r>
      <w:r w:rsidR="00942AC3" w:rsidRPr="00AC4C76">
        <w:rPr>
          <w:rFonts w:hint="eastAsia"/>
          <w:szCs w:val="32"/>
        </w:rPr>
        <w:t>林○凱</w:t>
      </w:r>
      <w:r w:rsidR="00211848" w:rsidRPr="00AC4C76">
        <w:rPr>
          <w:rFonts w:hint="eastAsia"/>
          <w:szCs w:val="32"/>
        </w:rPr>
        <w:t>等語，認定彼等所言尚無故意造假之虞，又被告</w:t>
      </w:r>
      <w:r w:rsidR="00942AC3" w:rsidRPr="00AC4C76">
        <w:rPr>
          <w:rFonts w:hint="eastAsia"/>
          <w:szCs w:val="32"/>
        </w:rPr>
        <w:t>林○凱</w:t>
      </w:r>
      <w:r w:rsidR="00211848" w:rsidRPr="00AC4C76">
        <w:rPr>
          <w:rFonts w:hint="eastAsia"/>
          <w:szCs w:val="32"/>
        </w:rPr>
        <w:t>亦坦承有說過龜兒子一詞，認定證人</w:t>
      </w:r>
      <w:r w:rsidR="00942AC3" w:rsidRPr="00AC4C76">
        <w:rPr>
          <w:rFonts w:hint="eastAsia"/>
          <w:szCs w:val="32"/>
        </w:rPr>
        <w:t>徐○軒</w:t>
      </w:r>
      <w:r w:rsidR="00211848" w:rsidRPr="00AC4C76">
        <w:rPr>
          <w:rFonts w:hint="eastAsia"/>
          <w:szCs w:val="32"/>
        </w:rPr>
        <w:t>、</w:t>
      </w:r>
      <w:r w:rsidR="00942AC3" w:rsidRPr="00AC4C76">
        <w:rPr>
          <w:rFonts w:hint="eastAsia"/>
          <w:szCs w:val="32"/>
        </w:rPr>
        <w:t>顏○隆</w:t>
      </w:r>
      <w:r w:rsidR="00211848" w:rsidRPr="00AC4C76">
        <w:rPr>
          <w:rFonts w:hint="eastAsia"/>
          <w:szCs w:val="32"/>
        </w:rPr>
        <w:t>所言可信，被告</w:t>
      </w:r>
      <w:r w:rsidR="00942AC3" w:rsidRPr="00AC4C76">
        <w:rPr>
          <w:rFonts w:hint="eastAsia"/>
          <w:szCs w:val="32"/>
        </w:rPr>
        <w:t>林○凱</w:t>
      </w:r>
      <w:r w:rsidR="00211848" w:rsidRPr="00AC4C76">
        <w:rPr>
          <w:rFonts w:hint="eastAsia"/>
          <w:szCs w:val="32"/>
        </w:rPr>
        <w:t>有罵</w:t>
      </w:r>
      <w:r w:rsidR="00942AC3" w:rsidRPr="00AC4C76">
        <w:rPr>
          <w:rFonts w:hint="eastAsia"/>
          <w:szCs w:val="32"/>
        </w:rPr>
        <w:t>沈○維</w:t>
      </w:r>
      <w:r w:rsidR="00211848" w:rsidRPr="00AC4C76">
        <w:rPr>
          <w:rFonts w:hAnsi="標楷體" w:hint="eastAsia"/>
          <w:szCs w:val="32"/>
        </w:rPr>
        <w:t>「</w:t>
      </w:r>
      <w:r w:rsidR="00211848" w:rsidRPr="00AC4C76">
        <w:rPr>
          <w:rFonts w:hint="eastAsia"/>
          <w:szCs w:val="32"/>
        </w:rPr>
        <w:t>幹、幹你娘、龜兒子</w:t>
      </w:r>
      <w:r w:rsidR="00211848" w:rsidRPr="00AC4C76">
        <w:rPr>
          <w:rFonts w:hAnsi="標楷體" w:hint="eastAsia"/>
          <w:szCs w:val="32"/>
        </w:rPr>
        <w:t>」</w:t>
      </w:r>
      <w:r w:rsidR="00211848" w:rsidRPr="00AC4C76">
        <w:rPr>
          <w:rFonts w:hint="eastAsia"/>
          <w:szCs w:val="32"/>
        </w:rPr>
        <w:t>等語，</w:t>
      </w:r>
      <w:r w:rsidR="00856231" w:rsidRPr="00AC4C76">
        <w:rPr>
          <w:rFonts w:hint="eastAsia"/>
          <w:szCs w:val="32"/>
        </w:rPr>
        <w:t>相關證詞</w:t>
      </w:r>
      <w:r w:rsidR="00211848" w:rsidRPr="00AC4C76">
        <w:rPr>
          <w:rFonts w:hint="eastAsia"/>
          <w:szCs w:val="32"/>
        </w:rPr>
        <w:t>尚非無疑，</w:t>
      </w:r>
      <w:r w:rsidR="00BF3637" w:rsidRPr="00AC4C76">
        <w:rPr>
          <w:rFonts w:hint="eastAsia"/>
          <w:szCs w:val="32"/>
        </w:rPr>
        <w:t>另</w:t>
      </w:r>
      <w:r w:rsidR="0022665D" w:rsidRPr="00AC4C76">
        <w:rPr>
          <w:rFonts w:hint="eastAsia"/>
        </w:rPr>
        <w:t>臺灣高等法院</w:t>
      </w:r>
      <w:r w:rsidR="00BF3637" w:rsidRPr="00AC4C76">
        <w:rPr>
          <w:rFonts w:hint="eastAsia"/>
        </w:rPr>
        <w:t>未採納檢察官上訴理由部分，臺灣高等法院</w:t>
      </w:r>
      <w:r w:rsidR="003060C1" w:rsidRPr="00AC4C76">
        <w:rPr>
          <w:rFonts w:hint="eastAsia"/>
        </w:rPr>
        <w:t>僅就刑之量定予以敘明，</w:t>
      </w:r>
      <w:r w:rsidR="0022665D" w:rsidRPr="00AC4C76">
        <w:rPr>
          <w:rFonts w:hint="eastAsia"/>
        </w:rPr>
        <w:t>就檢察官上訴理由</w:t>
      </w:r>
      <w:r w:rsidR="00BF3637" w:rsidRPr="00AC4C76">
        <w:rPr>
          <w:rFonts w:hint="eastAsia"/>
        </w:rPr>
        <w:t>之</w:t>
      </w:r>
      <w:r w:rsidR="00711952" w:rsidRPr="00AC4C76">
        <w:rPr>
          <w:rFonts w:hAnsi="標楷體" w:hint="eastAsia"/>
        </w:rPr>
        <w:t>「</w:t>
      </w:r>
      <w:r w:rsidR="00711952" w:rsidRPr="00AC4C76">
        <w:rPr>
          <w:rFonts w:hint="eastAsia"/>
        </w:rPr>
        <w:t>證人</w:t>
      </w:r>
      <w:r w:rsidR="00942AC3" w:rsidRPr="00AC4C76">
        <w:rPr>
          <w:rFonts w:hint="eastAsia"/>
          <w:szCs w:val="32"/>
        </w:rPr>
        <w:t>顏○隆</w:t>
      </w:r>
      <w:r w:rsidR="00711952" w:rsidRPr="00AC4C76">
        <w:rPr>
          <w:rFonts w:hint="eastAsia"/>
          <w:szCs w:val="32"/>
        </w:rPr>
        <w:t>及</w:t>
      </w:r>
      <w:r w:rsidR="00942AC3" w:rsidRPr="00AC4C76">
        <w:rPr>
          <w:rFonts w:hint="eastAsia"/>
          <w:szCs w:val="32"/>
        </w:rPr>
        <w:t>徐○軒</w:t>
      </w:r>
      <w:r w:rsidR="00711952" w:rsidRPr="00AC4C76">
        <w:rPr>
          <w:rFonts w:hint="eastAsia"/>
          <w:szCs w:val="32"/>
        </w:rPr>
        <w:t>證詞可信程度</w:t>
      </w:r>
      <w:r w:rsidR="00711952" w:rsidRPr="00AC4C76">
        <w:rPr>
          <w:rFonts w:hAnsi="標楷體" w:hint="eastAsia"/>
          <w:szCs w:val="32"/>
        </w:rPr>
        <w:t>」</w:t>
      </w:r>
      <w:r w:rsidR="00711952" w:rsidRPr="00AC4C76">
        <w:rPr>
          <w:rFonts w:hint="eastAsia"/>
          <w:szCs w:val="32"/>
        </w:rPr>
        <w:t>、</w:t>
      </w:r>
      <w:r w:rsidR="00982C04" w:rsidRPr="00AC4C76">
        <w:rPr>
          <w:rFonts w:hAnsi="標楷體" w:hint="eastAsia"/>
        </w:rPr>
        <w:t>「</w:t>
      </w:r>
      <w:r w:rsidR="00BF3637" w:rsidRPr="00AC4C76">
        <w:rPr>
          <w:rFonts w:hAnsi="標楷體" w:hint="eastAsia"/>
        </w:rPr>
        <w:t>告訴人</w:t>
      </w:r>
      <w:r w:rsidR="00942AC3" w:rsidRPr="00AC4C76">
        <w:rPr>
          <w:rFonts w:hint="eastAsia"/>
          <w:szCs w:val="32"/>
        </w:rPr>
        <w:t>沈○維</w:t>
      </w:r>
      <w:r w:rsidR="00982C04" w:rsidRPr="00AC4C76">
        <w:rPr>
          <w:rFonts w:hint="eastAsia"/>
          <w:szCs w:val="32"/>
        </w:rPr>
        <w:t>之動機可疑</w:t>
      </w:r>
      <w:r w:rsidR="00982C04" w:rsidRPr="00AC4C76">
        <w:rPr>
          <w:rFonts w:hAnsi="標楷體" w:hint="eastAsia"/>
        </w:rPr>
        <w:t>」</w:t>
      </w:r>
      <w:r w:rsidR="00711952" w:rsidRPr="00AC4C76">
        <w:rPr>
          <w:rFonts w:hAnsi="標楷體" w:hint="eastAsia"/>
        </w:rPr>
        <w:t>及</w:t>
      </w:r>
      <w:r w:rsidR="00982C04" w:rsidRPr="00AC4C76">
        <w:rPr>
          <w:rFonts w:hAnsi="標楷體" w:hint="eastAsia"/>
        </w:rPr>
        <w:t>「兩造衡平」等</w:t>
      </w:r>
      <w:r w:rsidR="00BF3637" w:rsidRPr="00AC4C76">
        <w:rPr>
          <w:rFonts w:hint="eastAsia"/>
        </w:rPr>
        <w:t>未</w:t>
      </w:r>
      <w:r w:rsidR="0022665D" w:rsidRPr="00AC4C76">
        <w:rPr>
          <w:rFonts w:hint="eastAsia"/>
        </w:rPr>
        <w:t>詳加論述</w:t>
      </w:r>
      <w:r w:rsidR="00BF3637" w:rsidRPr="00AC4C76">
        <w:rPr>
          <w:rFonts w:hint="eastAsia"/>
        </w:rPr>
        <w:t>，且未敘明</w:t>
      </w:r>
      <w:r w:rsidR="0022665D" w:rsidRPr="00AC4C76">
        <w:rPr>
          <w:rFonts w:hint="eastAsia"/>
        </w:rPr>
        <w:t>不予採納之理由，</w:t>
      </w:r>
      <w:r w:rsidR="002B7047" w:rsidRPr="00AC4C76">
        <w:rPr>
          <w:rFonts w:hint="eastAsia"/>
        </w:rPr>
        <w:t>致令陳訴人難以信服。</w:t>
      </w:r>
    </w:p>
    <w:p w:rsidR="00A522C6" w:rsidRPr="00AC4C76" w:rsidRDefault="001322F9" w:rsidP="00A522C6">
      <w:pPr>
        <w:pStyle w:val="3"/>
      </w:pPr>
      <w:r w:rsidRPr="00AC4C76">
        <w:rPr>
          <w:rFonts w:hint="eastAsia"/>
        </w:rPr>
        <w:t>法官對於證據能力之判斷，屬於事實審法院之職權，若其取捨並不違背法令，即不容當事人以採證不當為指摘，最高法院28年上字第28號判例著有明文。是以，法院採納何種證據，本院尊重其審認之權限。</w:t>
      </w:r>
      <w:r w:rsidR="00A522C6" w:rsidRPr="00AC4C76">
        <w:rPr>
          <w:rFonts w:hint="eastAsia"/>
        </w:rPr>
        <w:t>臺北地方法院106年度審易字第383號判決及臺灣高等法院106年度上易字第1093號判決</w:t>
      </w:r>
      <w:r w:rsidR="006009CE" w:rsidRPr="00AC4C76">
        <w:rPr>
          <w:rFonts w:hint="eastAsia"/>
        </w:rPr>
        <w:t>，</w:t>
      </w:r>
      <w:r w:rsidR="00A522C6" w:rsidRPr="00AC4C76">
        <w:rPr>
          <w:rFonts w:hint="eastAsia"/>
        </w:rPr>
        <w:t>已附理由說明何以具有證據能力及證據取捨之理由，並適當表示法律見解。法院判決認定陳訴人犯公然侮辱罪，係依憑陳訴人坦承有說過</w:t>
      </w:r>
      <w:r w:rsidR="001D4122" w:rsidRPr="00AC4C76">
        <w:rPr>
          <w:rFonts w:hAnsi="標楷體" w:hint="eastAsia"/>
        </w:rPr>
        <w:t>「</w:t>
      </w:r>
      <w:r w:rsidR="00A522C6" w:rsidRPr="00AC4C76">
        <w:rPr>
          <w:rFonts w:hint="eastAsia"/>
        </w:rPr>
        <w:t>龜兒子</w:t>
      </w:r>
      <w:r w:rsidR="001D4122" w:rsidRPr="00AC4C76">
        <w:rPr>
          <w:rFonts w:hAnsi="標楷體" w:hint="eastAsia"/>
        </w:rPr>
        <w:t>」</w:t>
      </w:r>
      <w:r w:rsidR="00A522C6" w:rsidRPr="00AC4C76">
        <w:rPr>
          <w:rFonts w:hint="eastAsia"/>
        </w:rPr>
        <w:t>一詞、相關證人具結證明陳訴人有辱罵對方</w:t>
      </w:r>
      <w:r w:rsidR="001D4122" w:rsidRPr="00AC4C76">
        <w:rPr>
          <w:rFonts w:hAnsi="標楷體" w:hint="eastAsia"/>
        </w:rPr>
        <w:t>「</w:t>
      </w:r>
      <w:r w:rsidR="00A522C6" w:rsidRPr="00AC4C76">
        <w:rPr>
          <w:rFonts w:hint="eastAsia"/>
        </w:rPr>
        <w:t>幹、幹你娘、龜兒子</w:t>
      </w:r>
      <w:r w:rsidR="001D4122" w:rsidRPr="00AC4C76">
        <w:rPr>
          <w:rFonts w:hAnsi="標楷體" w:hint="eastAsia"/>
        </w:rPr>
        <w:t>」</w:t>
      </w:r>
      <w:r w:rsidR="00A522C6" w:rsidRPr="00AC4C76">
        <w:rPr>
          <w:rFonts w:hint="eastAsia"/>
        </w:rPr>
        <w:t>等語，而為論斷，已敘明其得心證之理由，並就陳訴人</w:t>
      </w:r>
      <w:r w:rsidR="006009CE" w:rsidRPr="00AC4C76">
        <w:rPr>
          <w:rFonts w:hint="eastAsia"/>
        </w:rPr>
        <w:t>所辯</w:t>
      </w:r>
      <w:r w:rsidR="00A522C6" w:rsidRPr="00AC4C76">
        <w:rPr>
          <w:rFonts w:hint="eastAsia"/>
        </w:rPr>
        <w:t>予以指駁，對造及證人不利於陳訴人之證詞已經法院證據調查之合法程序，自得為本案認定事實之證據，而認有證據能力。基於自由心證原則，就法院所行的訴訟程序，對於已合法存在之相關證據，其價值如何評價，</w:t>
      </w:r>
      <w:r w:rsidR="00A522C6" w:rsidRPr="00AC4C76">
        <w:rPr>
          <w:rFonts w:hAnsi="標楷體" w:hint="eastAsia"/>
        </w:rPr>
        <w:t>由法官在判決時予以自由判斷</w:t>
      </w:r>
      <w:r w:rsidR="00A522C6" w:rsidRPr="00AC4C76">
        <w:rPr>
          <w:rFonts w:hint="eastAsia"/>
        </w:rPr>
        <w:t>，</w:t>
      </w:r>
      <w:r w:rsidR="00CF70EB" w:rsidRPr="00AC4C76">
        <w:rPr>
          <w:rFonts w:hint="eastAsia"/>
        </w:rPr>
        <w:t>爰</w:t>
      </w:r>
      <w:r w:rsidR="008B4A58" w:rsidRPr="00AC4C76">
        <w:rPr>
          <w:rFonts w:hint="eastAsia"/>
        </w:rPr>
        <w:t>臺北地方法院及臺灣高等法院之</w:t>
      </w:r>
      <w:r w:rsidR="007B66A1" w:rsidRPr="00AC4C76">
        <w:rPr>
          <w:rFonts w:hint="eastAsia"/>
        </w:rPr>
        <w:t>證據調查</w:t>
      </w:r>
      <w:r w:rsidR="008B4A58" w:rsidRPr="00AC4C76">
        <w:rPr>
          <w:rFonts w:hint="eastAsia"/>
        </w:rPr>
        <w:t>、事實認定及法律見解</w:t>
      </w:r>
      <w:r w:rsidR="007B66A1" w:rsidRPr="00AC4C76">
        <w:rPr>
          <w:rFonts w:hint="eastAsia"/>
        </w:rPr>
        <w:t>等</w:t>
      </w:r>
      <w:r w:rsidR="005C6A53" w:rsidRPr="00AC4C76">
        <w:rPr>
          <w:rFonts w:hint="eastAsia"/>
        </w:rPr>
        <w:t>事項</w:t>
      </w:r>
      <w:r w:rsidR="007B66A1" w:rsidRPr="00AC4C76">
        <w:rPr>
          <w:rFonts w:hint="eastAsia"/>
        </w:rPr>
        <w:t>，</w:t>
      </w:r>
      <w:r w:rsidR="00A522C6" w:rsidRPr="00AC4C76">
        <w:rPr>
          <w:rFonts w:hAnsi="標楷體" w:hint="eastAsia"/>
        </w:rPr>
        <w:t>本院</w:t>
      </w:r>
      <w:r w:rsidR="00A522C6" w:rsidRPr="00AC4C76">
        <w:rPr>
          <w:rFonts w:hAnsi="標楷體" w:hint="eastAsia"/>
        </w:rPr>
        <w:lastRenderedPageBreak/>
        <w:t>予以尊重。</w:t>
      </w:r>
    </w:p>
    <w:p w:rsidR="006009CE" w:rsidRPr="00AC4C76" w:rsidRDefault="006009CE" w:rsidP="00A522C6">
      <w:pPr>
        <w:pStyle w:val="3"/>
      </w:pPr>
      <w:r w:rsidRPr="00AC4C76">
        <w:rPr>
          <w:rFonts w:hAnsi="標楷體" w:hint="eastAsia"/>
        </w:rPr>
        <w:t>綜上，</w:t>
      </w:r>
      <w:r w:rsidR="008417C1" w:rsidRPr="00AC4C76">
        <w:rPr>
          <w:rFonts w:hAnsi="標楷體" w:hint="eastAsia"/>
        </w:rPr>
        <w:t>陳訴人主張</w:t>
      </w:r>
      <w:r w:rsidR="008417C1" w:rsidRPr="00AC4C76">
        <w:rPr>
          <w:rFonts w:hint="eastAsia"/>
        </w:rPr>
        <w:t>臺北地方法院及臺灣高等法院基於</w:t>
      </w:r>
      <w:r w:rsidR="008417C1" w:rsidRPr="00AC4C76">
        <w:rPr>
          <w:rFonts w:hAnsi="標楷體" w:hint="eastAsia"/>
        </w:rPr>
        <w:t>陳訴人</w:t>
      </w:r>
      <w:r w:rsidR="008417C1" w:rsidRPr="00AC4C76">
        <w:rPr>
          <w:rFonts w:hint="eastAsia"/>
        </w:rPr>
        <w:t>政治立場，</w:t>
      </w:r>
      <w:r w:rsidR="008417C1" w:rsidRPr="00AC4C76">
        <w:rPr>
          <w:rFonts w:hAnsi="標楷體" w:hint="eastAsia"/>
        </w:rPr>
        <w:t>採納對其不利之證詞，遽予陳訴人公然侮辱刑責一節，經查，</w:t>
      </w:r>
      <w:r w:rsidR="008417C1" w:rsidRPr="00AC4C76">
        <w:rPr>
          <w:rFonts w:hint="eastAsia"/>
        </w:rPr>
        <w:t>臺北地方法院106年度審易字第383號判決及臺灣高等法院106年度上易字第1093號判決，認定陳訴人犯公然侮辱罪確定，係綜合各項證據資料而為論斷，已敘明其得心證之理由，並無相關證據顯示法院有基於陳訴人政治立場而偏袒對造、對其誣判，逕採信對造及證人等不實證述，率為不利判決等情事，雖採納何種證據係法院衡情酌理審認之權限，但</w:t>
      </w:r>
      <w:r w:rsidR="008417C1" w:rsidRPr="00AC4C76">
        <w:rPr>
          <w:rFonts w:hint="eastAsia"/>
          <w:szCs w:val="32"/>
        </w:rPr>
        <w:t>臺北市政府警察局於調查本案時，並未於第一時間調閱</w:t>
      </w:r>
      <w:r w:rsidR="008417C1" w:rsidRPr="00AC4C76">
        <w:rPr>
          <w:rFonts w:hint="eastAsia"/>
        </w:rPr>
        <w:t>監視器</w:t>
      </w:r>
      <w:r w:rsidR="008417C1" w:rsidRPr="00AC4C76">
        <w:rPr>
          <w:rFonts w:hint="eastAsia"/>
          <w:szCs w:val="32"/>
        </w:rPr>
        <w:t>紀錄以釐清案情，同案被告</w:t>
      </w:r>
      <w:r w:rsidR="00942AC3" w:rsidRPr="00AC4C76">
        <w:rPr>
          <w:rFonts w:hint="eastAsia"/>
          <w:szCs w:val="32"/>
        </w:rPr>
        <w:t>沈○維</w:t>
      </w:r>
      <w:r w:rsidR="008417C1" w:rsidRPr="00AC4C76">
        <w:rPr>
          <w:rFonts w:hint="eastAsia"/>
          <w:szCs w:val="32"/>
        </w:rPr>
        <w:t>是否</w:t>
      </w:r>
      <w:r w:rsidR="008417C1" w:rsidRPr="00AC4C76">
        <w:rPr>
          <w:rFonts w:hint="eastAsia"/>
        </w:rPr>
        <w:t>故意或過失</w:t>
      </w:r>
      <w:r w:rsidR="008417C1" w:rsidRPr="00AC4C76">
        <w:rPr>
          <w:rFonts w:hint="eastAsia"/>
          <w:szCs w:val="32"/>
        </w:rPr>
        <w:t>導致陳訴人受傷亦無法證實，檢察官上訴理由已論及同案被告</w:t>
      </w:r>
      <w:r w:rsidR="00942AC3" w:rsidRPr="00AC4C76">
        <w:rPr>
          <w:rFonts w:hint="eastAsia"/>
          <w:szCs w:val="32"/>
        </w:rPr>
        <w:t>沈○維</w:t>
      </w:r>
      <w:r w:rsidR="008417C1" w:rsidRPr="00AC4C76">
        <w:rPr>
          <w:rFonts w:hint="eastAsia"/>
          <w:szCs w:val="32"/>
        </w:rPr>
        <w:t>之動機顯有可疑，然陳訴人聲請法院對其與同案被告</w:t>
      </w:r>
      <w:r w:rsidR="00942AC3" w:rsidRPr="00AC4C76">
        <w:rPr>
          <w:rFonts w:hint="eastAsia"/>
          <w:szCs w:val="32"/>
        </w:rPr>
        <w:t>沈○維</w:t>
      </w:r>
      <w:r w:rsidR="008417C1" w:rsidRPr="00AC4C76">
        <w:rPr>
          <w:rFonts w:hint="eastAsia"/>
          <w:szCs w:val="32"/>
        </w:rPr>
        <w:t>進行</w:t>
      </w:r>
      <w:r w:rsidR="008417C1" w:rsidRPr="00AC4C76">
        <w:rPr>
          <w:rFonts w:hint="eastAsia"/>
        </w:rPr>
        <w:t>測謊</w:t>
      </w:r>
      <w:r w:rsidR="008417C1" w:rsidRPr="00AC4C76">
        <w:rPr>
          <w:rFonts w:hint="eastAsia"/>
          <w:szCs w:val="32"/>
        </w:rPr>
        <w:t>，法院核無必要，並以證人</w:t>
      </w:r>
      <w:r w:rsidR="00942AC3" w:rsidRPr="00AC4C76">
        <w:rPr>
          <w:rFonts w:hint="eastAsia"/>
          <w:szCs w:val="32"/>
        </w:rPr>
        <w:t>沈○維</w:t>
      </w:r>
      <w:r w:rsidR="008417C1" w:rsidRPr="00AC4C76">
        <w:rPr>
          <w:rFonts w:hint="eastAsia"/>
          <w:szCs w:val="32"/>
        </w:rPr>
        <w:t>、</w:t>
      </w:r>
      <w:r w:rsidR="00942AC3" w:rsidRPr="00AC4C76">
        <w:rPr>
          <w:rFonts w:hint="eastAsia"/>
          <w:szCs w:val="32"/>
        </w:rPr>
        <w:t>徐○軒</w:t>
      </w:r>
      <w:r w:rsidR="008417C1" w:rsidRPr="00AC4C76">
        <w:rPr>
          <w:rFonts w:hint="eastAsia"/>
          <w:szCs w:val="32"/>
        </w:rPr>
        <w:t>、</w:t>
      </w:r>
      <w:r w:rsidR="00942AC3" w:rsidRPr="00AC4C76">
        <w:rPr>
          <w:rFonts w:hint="eastAsia"/>
          <w:szCs w:val="32"/>
        </w:rPr>
        <w:t>顏○隆</w:t>
      </w:r>
      <w:r w:rsidR="008417C1" w:rsidRPr="00AC4C76">
        <w:rPr>
          <w:rFonts w:hint="eastAsia"/>
          <w:szCs w:val="32"/>
        </w:rPr>
        <w:t>所述相符，且證人</w:t>
      </w:r>
      <w:r w:rsidR="00942AC3" w:rsidRPr="00AC4C76">
        <w:rPr>
          <w:rFonts w:hint="eastAsia"/>
          <w:szCs w:val="32"/>
        </w:rPr>
        <w:t>徐○軒</w:t>
      </w:r>
      <w:r w:rsidR="008417C1" w:rsidRPr="00AC4C76">
        <w:rPr>
          <w:rFonts w:hint="eastAsia"/>
          <w:szCs w:val="32"/>
        </w:rPr>
        <w:t>、</w:t>
      </w:r>
      <w:r w:rsidR="00942AC3" w:rsidRPr="00AC4C76">
        <w:rPr>
          <w:rFonts w:hint="eastAsia"/>
          <w:szCs w:val="32"/>
        </w:rPr>
        <w:t>顏○隆</w:t>
      </w:r>
      <w:r w:rsidR="008417C1" w:rsidRPr="00AC4C76">
        <w:rPr>
          <w:rFonts w:hint="eastAsia"/>
          <w:szCs w:val="32"/>
        </w:rPr>
        <w:t>均證述不認識陳訴人</w:t>
      </w:r>
      <w:r w:rsidR="00942AC3" w:rsidRPr="00AC4C76">
        <w:rPr>
          <w:rFonts w:hint="eastAsia"/>
          <w:szCs w:val="32"/>
        </w:rPr>
        <w:t>林○凱</w:t>
      </w:r>
      <w:r w:rsidR="008417C1" w:rsidRPr="00AC4C76">
        <w:rPr>
          <w:rFonts w:hint="eastAsia"/>
          <w:szCs w:val="32"/>
        </w:rPr>
        <w:t>等語，又陳訴人</w:t>
      </w:r>
      <w:r w:rsidR="00942AC3" w:rsidRPr="00AC4C76">
        <w:rPr>
          <w:rFonts w:hint="eastAsia"/>
          <w:szCs w:val="32"/>
        </w:rPr>
        <w:t>林○凱</w:t>
      </w:r>
      <w:r w:rsidR="008417C1" w:rsidRPr="00AC4C76">
        <w:rPr>
          <w:rFonts w:hint="eastAsia"/>
          <w:szCs w:val="32"/>
        </w:rPr>
        <w:t>亦坦承有說過龜兒子一詞，認定</w:t>
      </w:r>
      <w:r w:rsidR="00942AC3" w:rsidRPr="00AC4C76">
        <w:rPr>
          <w:rFonts w:hint="eastAsia"/>
          <w:szCs w:val="32"/>
        </w:rPr>
        <w:t>徐○軒</w:t>
      </w:r>
      <w:r w:rsidR="008417C1" w:rsidRPr="00AC4C76">
        <w:rPr>
          <w:rFonts w:hint="eastAsia"/>
          <w:szCs w:val="32"/>
        </w:rPr>
        <w:t>、</w:t>
      </w:r>
      <w:r w:rsidR="00942AC3" w:rsidRPr="00AC4C76">
        <w:rPr>
          <w:rFonts w:hint="eastAsia"/>
          <w:szCs w:val="32"/>
        </w:rPr>
        <w:t>顏○隆</w:t>
      </w:r>
      <w:r w:rsidR="008417C1" w:rsidRPr="00AC4C76">
        <w:rPr>
          <w:rFonts w:hint="eastAsia"/>
          <w:szCs w:val="32"/>
        </w:rPr>
        <w:t>所言尚無造假之虞，而認定陳訴人</w:t>
      </w:r>
      <w:r w:rsidR="00942AC3" w:rsidRPr="00AC4C76">
        <w:rPr>
          <w:rFonts w:hint="eastAsia"/>
          <w:szCs w:val="32"/>
        </w:rPr>
        <w:t>林○凱</w:t>
      </w:r>
      <w:r w:rsidR="008417C1" w:rsidRPr="00AC4C76">
        <w:rPr>
          <w:rFonts w:hint="eastAsia"/>
          <w:szCs w:val="32"/>
        </w:rPr>
        <w:t>有罵</w:t>
      </w:r>
      <w:r w:rsidR="00942AC3" w:rsidRPr="00AC4C76">
        <w:rPr>
          <w:rFonts w:hint="eastAsia"/>
          <w:szCs w:val="32"/>
        </w:rPr>
        <w:t>沈○維</w:t>
      </w:r>
      <w:r w:rsidR="008417C1" w:rsidRPr="00AC4C76">
        <w:rPr>
          <w:rFonts w:hAnsi="標楷體" w:hint="eastAsia"/>
          <w:szCs w:val="32"/>
        </w:rPr>
        <w:t>「</w:t>
      </w:r>
      <w:r w:rsidR="008417C1" w:rsidRPr="00AC4C76">
        <w:rPr>
          <w:rFonts w:hint="eastAsia"/>
          <w:szCs w:val="32"/>
        </w:rPr>
        <w:t>幹、幹你娘、龜兒子</w:t>
      </w:r>
      <w:r w:rsidR="008417C1" w:rsidRPr="00AC4C76">
        <w:rPr>
          <w:rFonts w:hAnsi="標楷體" w:hint="eastAsia"/>
          <w:szCs w:val="32"/>
        </w:rPr>
        <w:t>」</w:t>
      </w:r>
      <w:r w:rsidR="008417C1" w:rsidRPr="00AC4C76">
        <w:rPr>
          <w:rFonts w:hint="eastAsia"/>
          <w:szCs w:val="32"/>
        </w:rPr>
        <w:t>等語。</w:t>
      </w:r>
      <w:r w:rsidR="008417C1" w:rsidRPr="00AC4C76">
        <w:rPr>
          <w:rFonts w:hint="eastAsia"/>
        </w:rPr>
        <w:t>法院以告訴人之友</w:t>
      </w:r>
      <w:r w:rsidR="008417C1" w:rsidRPr="00AC4C76">
        <w:t>人證詞作</w:t>
      </w:r>
      <w:r w:rsidR="008417C1" w:rsidRPr="00AC4C76">
        <w:rPr>
          <w:rFonts w:hint="eastAsia"/>
        </w:rPr>
        <w:t>為定罪唯一</w:t>
      </w:r>
      <w:r w:rsidR="008417C1" w:rsidRPr="00AC4C76">
        <w:t>證據，</w:t>
      </w:r>
      <w:r w:rsidR="008417C1" w:rsidRPr="00AC4C76">
        <w:rPr>
          <w:rFonts w:hint="eastAsia"/>
        </w:rPr>
        <w:t>本質上</w:t>
      </w:r>
      <w:r w:rsidR="008417C1" w:rsidRPr="00AC4C76">
        <w:t>有極大</w:t>
      </w:r>
      <w:r w:rsidR="008417C1" w:rsidRPr="00AC4C76">
        <w:rPr>
          <w:rFonts w:hint="eastAsia"/>
        </w:rPr>
        <w:t>之</w:t>
      </w:r>
      <w:r w:rsidR="008417C1" w:rsidRPr="00AC4C76">
        <w:t>危險性</w:t>
      </w:r>
      <w:r w:rsidR="008417C1" w:rsidRPr="00AC4C76">
        <w:rPr>
          <w:rFonts w:hint="eastAsia"/>
        </w:rPr>
        <w:t>，又臺灣高等法院僅就刑之量定予以敘明，就檢察官上訴理由之</w:t>
      </w:r>
      <w:r w:rsidR="008417C1" w:rsidRPr="00AC4C76">
        <w:rPr>
          <w:rFonts w:hAnsi="標楷體" w:hint="eastAsia"/>
        </w:rPr>
        <w:t>「</w:t>
      </w:r>
      <w:r w:rsidR="008417C1" w:rsidRPr="00AC4C76">
        <w:rPr>
          <w:rFonts w:hint="eastAsia"/>
        </w:rPr>
        <w:t>證人</w:t>
      </w:r>
      <w:r w:rsidR="00942AC3" w:rsidRPr="00AC4C76">
        <w:rPr>
          <w:rFonts w:hint="eastAsia"/>
          <w:szCs w:val="32"/>
        </w:rPr>
        <w:t>顏○隆</w:t>
      </w:r>
      <w:r w:rsidR="008417C1" w:rsidRPr="00AC4C76">
        <w:rPr>
          <w:rFonts w:hint="eastAsia"/>
          <w:szCs w:val="32"/>
        </w:rPr>
        <w:t>及</w:t>
      </w:r>
      <w:r w:rsidR="00942AC3" w:rsidRPr="00AC4C76">
        <w:rPr>
          <w:rFonts w:hint="eastAsia"/>
          <w:szCs w:val="32"/>
        </w:rPr>
        <w:t>徐○軒</w:t>
      </w:r>
      <w:r w:rsidR="008417C1" w:rsidRPr="00AC4C76">
        <w:rPr>
          <w:rFonts w:hint="eastAsia"/>
          <w:szCs w:val="32"/>
        </w:rPr>
        <w:t>證詞可信程度</w:t>
      </w:r>
      <w:r w:rsidR="008417C1" w:rsidRPr="00AC4C76">
        <w:rPr>
          <w:rFonts w:hAnsi="標楷體" w:hint="eastAsia"/>
          <w:szCs w:val="32"/>
        </w:rPr>
        <w:t>」</w:t>
      </w:r>
      <w:r w:rsidR="008417C1" w:rsidRPr="00AC4C76">
        <w:rPr>
          <w:rFonts w:hint="eastAsia"/>
          <w:szCs w:val="32"/>
        </w:rPr>
        <w:t>、</w:t>
      </w:r>
      <w:r w:rsidR="008417C1" w:rsidRPr="00AC4C76">
        <w:rPr>
          <w:rFonts w:hAnsi="標楷體" w:hint="eastAsia"/>
        </w:rPr>
        <w:t>「告訴人</w:t>
      </w:r>
      <w:r w:rsidR="00942AC3" w:rsidRPr="00AC4C76">
        <w:rPr>
          <w:rFonts w:hint="eastAsia"/>
          <w:szCs w:val="32"/>
        </w:rPr>
        <w:t>沈○維</w:t>
      </w:r>
      <w:r w:rsidR="008417C1" w:rsidRPr="00AC4C76">
        <w:rPr>
          <w:rFonts w:hint="eastAsia"/>
          <w:szCs w:val="32"/>
        </w:rPr>
        <w:t>之動機可疑</w:t>
      </w:r>
      <w:r w:rsidR="008417C1" w:rsidRPr="00AC4C76">
        <w:rPr>
          <w:rFonts w:hAnsi="標楷體" w:hint="eastAsia"/>
        </w:rPr>
        <w:t>」及「兩造衡平」等</w:t>
      </w:r>
      <w:r w:rsidR="008417C1" w:rsidRPr="00AC4C76">
        <w:rPr>
          <w:rFonts w:hint="eastAsia"/>
        </w:rPr>
        <w:t>未詳加論述，且未敘明不予採納之理由，致令陳訴人難以信服，亦有未洽，惟</w:t>
      </w:r>
      <w:r w:rsidR="008417C1" w:rsidRPr="00AC4C76">
        <w:rPr>
          <w:rFonts w:hAnsi="標楷體" w:hint="eastAsia"/>
        </w:rPr>
        <w:t>衡諸本院職權行使之範圍，對於法院</w:t>
      </w:r>
      <w:r w:rsidR="008417C1" w:rsidRPr="00AC4C76">
        <w:rPr>
          <w:rFonts w:hint="eastAsia"/>
        </w:rPr>
        <w:t>證據調查、事實認定及法律見解等事項，</w:t>
      </w:r>
      <w:r w:rsidR="008417C1" w:rsidRPr="00AC4C76">
        <w:rPr>
          <w:rFonts w:hAnsi="標楷體" w:hint="eastAsia"/>
        </w:rPr>
        <w:t>仍予尊重，尚難遽認本案承審法官有違失之處</w:t>
      </w:r>
      <w:r w:rsidRPr="00AC4C76">
        <w:rPr>
          <w:rFonts w:hAnsi="標楷體" w:hint="eastAsia"/>
        </w:rPr>
        <w:t>。</w:t>
      </w:r>
    </w:p>
    <w:p w:rsidR="004A0DFE" w:rsidRPr="00AC4C76" w:rsidRDefault="007F0621" w:rsidP="00A522C6">
      <w:pPr>
        <w:pStyle w:val="2"/>
        <w:rPr>
          <w:b/>
        </w:rPr>
      </w:pPr>
      <w:r w:rsidRPr="00AC4C76">
        <w:rPr>
          <w:rFonts w:hint="eastAsia"/>
          <w:b/>
          <w:szCs w:val="32"/>
        </w:rPr>
        <w:lastRenderedPageBreak/>
        <w:t>本案陳訴人</w:t>
      </w:r>
      <w:r w:rsidR="00942AC3" w:rsidRPr="00AC4C76">
        <w:rPr>
          <w:rFonts w:hint="eastAsia"/>
          <w:b/>
          <w:szCs w:val="32"/>
        </w:rPr>
        <w:t>林○凱</w:t>
      </w:r>
      <w:r w:rsidRPr="00AC4C76">
        <w:rPr>
          <w:rFonts w:hint="eastAsia"/>
          <w:b/>
          <w:szCs w:val="32"/>
        </w:rPr>
        <w:t>因停車糾紛與</w:t>
      </w:r>
      <w:r w:rsidR="00942AC3" w:rsidRPr="00AC4C76">
        <w:rPr>
          <w:rFonts w:hint="eastAsia"/>
          <w:b/>
          <w:szCs w:val="32"/>
        </w:rPr>
        <w:t>沈○維</w:t>
      </w:r>
      <w:r w:rsidRPr="00AC4C76">
        <w:rPr>
          <w:rFonts w:hint="eastAsia"/>
          <w:b/>
          <w:szCs w:val="32"/>
        </w:rPr>
        <w:t>互控公然侮辱與傷害罪，法院採信證人</w:t>
      </w:r>
      <w:r w:rsidR="00942AC3" w:rsidRPr="00AC4C76">
        <w:rPr>
          <w:rFonts w:hint="eastAsia"/>
          <w:b/>
          <w:szCs w:val="32"/>
        </w:rPr>
        <w:t>顏○隆</w:t>
      </w:r>
      <w:r w:rsidRPr="00AC4C76">
        <w:rPr>
          <w:rFonts w:hint="eastAsia"/>
          <w:b/>
          <w:szCs w:val="32"/>
        </w:rPr>
        <w:t>及</w:t>
      </w:r>
      <w:r w:rsidR="00942AC3" w:rsidRPr="00AC4C76">
        <w:rPr>
          <w:rFonts w:hint="eastAsia"/>
          <w:b/>
          <w:szCs w:val="32"/>
        </w:rPr>
        <w:t>徐○軒</w:t>
      </w:r>
      <w:r w:rsidRPr="00AC4C76">
        <w:rPr>
          <w:rFonts w:hint="eastAsia"/>
          <w:b/>
          <w:szCs w:val="32"/>
        </w:rPr>
        <w:t>證詞，認定陳訴人</w:t>
      </w:r>
      <w:r w:rsidR="00942AC3" w:rsidRPr="00AC4C76">
        <w:rPr>
          <w:rFonts w:hint="eastAsia"/>
          <w:b/>
          <w:szCs w:val="32"/>
        </w:rPr>
        <w:t>林○凱</w:t>
      </w:r>
      <w:r w:rsidRPr="00AC4C76">
        <w:rPr>
          <w:rFonts w:hint="eastAsia"/>
          <w:b/>
          <w:szCs w:val="32"/>
        </w:rPr>
        <w:t>有辱罵</w:t>
      </w:r>
      <w:r w:rsidR="00942AC3" w:rsidRPr="00AC4C76">
        <w:rPr>
          <w:rFonts w:hint="eastAsia"/>
          <w:b/>
          <w:szCs w:val="32"/>
        </w:rPr>
        <w:t>沈○維</w:t>
      </w:r>
      <w:r w:rsidRPr="00AC4C76">
        <w:rPr>
          <w:rFonts w:hint="eastAsia"/>
          <w:b/>
          <w:szCs w:val="32"/>
        </w:rPr>
        <w:t>「幹、幹你娘、龜兒子」等語，處拘役30日，得易科罰金；認定被告</w:t>
      </w:r>
      <w:r w:rsidR="00942AC3" w:rsidRPr="00AC4C76">
        <w:rPr>
          <w:rFonts w:hint="eastAsia"/>
          <w:b/>
          <w:szCs w:val="32"/>
        </w:rPr>
        <w:t>沈○維</w:t>
      </w:r>
      <w:r w:rsidRPr="00AC4C76">
        <w:rPr>
          <w:rFonts w:hint="eastAsia"/>
          <w:b/>
          <w:szCs w:val="32"/>
        </w:rPr>
        <w:t>因上前勸架而不慎傷及陳訴人</w:t>
      </w:r>
      <w:r w:rsidR="00942AC3" w:rsidRPr="00AC4C76">
        <w:rPr>
          <w:rFonts w:hint="eastAsia"/>
          <w:b/>
          <w:szCs w:val="32"/>
        </w:rPr>
        <w:t>林○凱</w:t>
      </w:r>
      <w:r w:rsidRPr="00AC4C76">
        <w:rPr>
          <w:rFonts w:hint="eastAsia"/>
          <w:b/>
          <w:szCs w:val="32"/>
        </w:rPr>
        <w:t>，並非故意傷害</w:t>
      </w:r>
      <w:r w:rsidR="00942AC3" w:rsidRPr="00AC4C76">
        <w:rPr>
          <w:rFonts w:hint="eastAsia"/>
          <w:b/>
          <w:szCs w:val="32"/>
        </w:rPr>
        <w:t>林○凱</w:t>
      </w:r>
      <w:r w:rsidRPr="00AC4C76">
        <w:rPr>
          <w:rFonts w:hint="eastAsia"/>
          <w:b/>
          <w:szCs w:val="32"/>
        </w:rPr>
        <w:t>，所為應予從輕處罰，處拘役10日，得易科罰金，雙方提起上訴，仍遭臺灣高等法院判決駁回確定。</w:t>
      </w:r>
      <w:r w:rsidR="000035DC" w:rsidRPr="00AC4C76">
        <w:rPr>
          <w:b/>
          <w:szCs w:val="32"/>
        </w:rPr>
        <w:t>刑事訴訟法規定被告有不自證己罪</w:t>
      </w:r>
      <w:r w:rsidR="000035DC" w:rsidRPr="00AC4C76">
        <w:rPr>
          <w:rFonts w:hint="eastAsia"/>
          <w:b/>
          <w:szCs w:val="32"/>
        </w:rPr>
        <w:t>之</w:t>
      </w:r>
      <w:r w:rsidR="000035DC" w:rsidRPr="00AC4C76">
        <w:rPr>
          <w:b/>
          <w:szCs w:val="32"/>
        </w:rPr>
        <w:t>權利</w:t>
      </w:r>
      <w:r w:rsidR="000035DC" w:rsidRPr="00AC4C76">
        <w:rPr>
          <w:rFonts w:hint="eastAsia"/>
          <w:b/>
          <w:szCs w:val="32"/>
        </w:rPr>
        <w:t>，陳訴人堅稱並無辱罵同案被告</w:t>
      </w:r>
      <w:r w:rsidR="00942AC3" w:rsidRPr="00AC4C76">
        <w:rPr>
          <w:rFonts w:hint="eastAsia"/>
          <w:b/>
          <w:szCs w:val="32"/>
        </w:rPr>
        <w:t>沈○維</w:t>
      </w:r>
      <w:r w:rsidR="000035DC" w:rsidRPr="00AC4C76">
        <w:rPr>
          <w:rFonts w:hint="eastAsia"/>
          <w:b/>
          <w:szCs w:val="32"/>
        </w:rPr>
        <w:t>「幹、幹你娘、龜兒子」等語，坦承不願意</w:t>
      </w:r>
      <w:r w:rsidR="00942AC3" w:rsidRPr="00AC4C76">
        <w:rPr>
          <w:rFonts w:hint="eastAsia"/>
          <w:b/>
          <w:szCs w:val="32"/>
        </w:rPr>
        <w:t>沈○維</w:t>
      </w:r>
      <w:r w:rsidR="000035DC" w:rsidRPr="00AC4C76">
        <w:rPr>
          <w:rFonts w:hint="eastAsia"/>
          <w:b/>
          <w:szCs w:val="32"/>
        </w:rPr>
        <w:t>於警方到場前離開，對</w:t>
      </w:r>
      <w:r w:rsidR="00942AC3" w:rsidRPr="00AC4C76">
        <w:rPr>
          <w:rFonts w:hint="eastAsia"/>
          <w:b/>
          <w:szCs w:val="32"/>
        </w:rPr>
        <w:t>沈○維</w:t>
      </w:r>
      <w:r w:rsidR="000035DC" w:rsidRPr="00AC4C76">
        <w:rPr>
          <w:rFonts w:hint="eastAsia"/>
          <w:b/>
          <w:szCs w:val="32"/>
        </w:rPr>
        <w:t>說「你若離開你就是龜兒子」等語，陳訴人捍衛自身權利卻遭法院以「犯後否認犯行，飾詞狡辯，態度不佳，毫無悔意」為由，判處拘役30日，尚不無再行思考</w:t>
      </w:r>
      <w:r w:rsidRPr="00AC4C76">
        <w:rPr>
          <w:rFonts w:hint="eastAsia"/>
          <w:b/>
          <w:szCs w:val="32"/>
        </w:rPr>
        <w:t>之</w:t>
      </w:r>
      <w:r w:rsidR="000035DC" w:rsidRPr="00AC4C76">
        <w:rPr>
          <w:rFonts w:hint="eastAsia"/>
          <w:b/>
          <w:szCs w:val="32"/>
        </w:rPr>
        <w:t>餘地</w:t>
      </w:r>
      <w:r w:rsidRPr="00AC4C76">
        <w:rPr>
          <w:rFonts w:hint="eastAsia"/>
          <w:b/>
          <w:szCs w:val="32"/>
        </w:rPr>
        <w:t>。</w:t>
      </w:r>
      <w:r w:rsidR="000035DC" w:rsidRPr="00AC4C76">
        <w:rPr>
          <w:rFonts w:hint="eastAsia"/>
          <w:b/>
          <w:szCs w:val="32"/>
        </w:rPr>
        <w:t>惟</w:t>
      </w:r>
      <w:r w:rsidR="004A0DFE" w:rsidRPr="00AC4C76">
        <w:rPr>
          <w:rFonts w:hint="eastAsia"/>
          <w:b/>
          <w:szCs w:val="32"/>
        </w:rPr>
        <w:t>刑之量定，乃法律賦予法院自由裁量之事項，倘於科刑時，已以行為人之責任為基礎，並斟酌刑法第57條所列各款事項，而未逾越法定刑度，即難謂違法</w:t>
      </w:r>
      <w:r w:rsidR="000035DC" w:rsidRPr="00AC4C76">
        <w:rPr>
          <w:rFonts w:hint="eastAsia"/>
          <w:b/>
          <w:szCs w:val="32"/>
        </w:rPr>
        <w:t>，本院仍予尊重</w:t>
      </w:r>
      <w:r w:rsidR="00733CEE" w:rsidRPr="00AC4C76">
        <w:rPr>
          <w:rFonts w:hint="eastAsia"/>
          <w:b/>
          <w:szCs w:val="32"/>
        </w:rPr>
        <w:t>。</w:t>
      </w:r>
    </w:p>
    <w:p w:rsidR="00311E16" w:rsidRPr="00AC4C76" w:rsidRDefault="000705F0" w:rsidP="00733CEE">
      <w:pPr>
        <w:pStyle w:val="3"/>
      </w:pPr>
      <w:r w:rsidRPr="00AC4C76">
        <w:rPr>
          <w:rFonts w:hint="eastAsia"/>
        </w:rPr>
        <w:t>依</w:t>
      </w:r>
      <w:r w:rsidR="00081D99" w:rsidRPr="00AC4C76">
        <w:rPr>
          <w:rFonts w:hint="eastAsia"/>
        </w:rPr>
        <w:t>刑法第57條規定，</w:t>
      </w:r>
      <w:r w:rsidRPr="00AC4C76">
        <w:rPr>
          <w:rFonts w:hint="eastAsia"/>
        </w:rPr>
        <w:t>科刑時應以行為人之責任為基礎，並審酌一切情狀，尤應注意犯罪之動機、目的、手段、犯罪行為人之生活狀況、品行、智識程度及犯罪後之態度等事項，為科刑輕重之標準。</w:t>
      </w:r>
      <w:r w:rsidR="00311E16" w:rsidRPr="00AC4C76">
        <w:rPr>
          <w:rFonts w:hAnsi="標楷體" w:cs="細明體"/>
          <w:szCs w:val="32"/>
        </w:rPr>
        <w:t>關於刑之量定，係實體法上賦予法院得為自由裁量之事項，</w:t>
      </w:r>
      <w:r w:rsidR="00311E16" w:rsidRPr="00AC4C76">
        <w:rPr>
          <w:rFonts w:hAnsi="標楷體" w:cs="新細明體"/>
          <w:szCs w:val="32"/>
        </w:rPr>
        <w:t>倘其未有逾越法律所規定之範圍，或濫用其權限，即不得任意指摘為違法</w:t>
      </w:r>
      <w:r w:rsidR="00C836D7" w:rsidRPr="00AC4C76">
        <w:rPr>
          <w:rFonts w:hAnsi="標楷體" w:cs="新細明體" w:hint="eastAsia"/>
          <w:szCs w:val="32"/>
        </w:rPr>
        <w:t>，此</w:t>
      </w:r>
      <w:r w:rsidR="00311E16" w:rsidRPr="00AC4C76">
        <w:rPr>
          <w:rFonts w:hAnsi="標楷體" w:cs="新細明體" w:hint="eastAsia"/>
          <w:szCs w:val="32"/>
        </w:rPr>
        <w:t>有最高法院75年度台上字第7033號判例可依，合先敘明。</w:t>
      </w:r>
    </w:p>
    <w:p w:rsidR="002348FA" w:rsidRPr="00AC4C76" w:rsidRDefault="002348FA" w:rsidP="00733CEE">
      <w:pPr>
        <w:pStyle w:val="3"/>
      </w:pPr>
      <w:r w:rsidRPr="00AC4C76">
        <w:rPr>
          <w:rFonts w:hAnsi="標楷體" w:hint="eastAsia"/>
        </w:rPr>
        <w:t>經查</w:t>
      </w:r>
      <w:r w:rsidR="008F4C6F" w:rsidRPr="00AC4C76">
        <w:rPr>
          <w:rFonts w:hAnsi="標楷體" w:hint="eastAsia"/>
        </w:rPr>
        <w:t>：</w:t>
      </w:r>
      <w:r w:rsidR="00ED0F91" w:rsidRPr="00AC4C76">
        <w:t xml:space="preserve"> </w:t>
      </w:r>
    </w:p>
    <w:p w:rsidR="002348FA" w:rsidRPr="00AC4C76" w:rsidRDefault="002348FA" w:rsidP="002348FA">
      <w:pPr>
        <w:pStyle w:val="4"/>
      </w:pPr>
      <w:r w:rsidRPr="00AC4C76">
        <w:rPr>
          <w:rFonts w:hint="eastAsia"/>
        </w:rPr>
        <w:t>臺北地方法院106年度審易字第383號判決就此部分判決理由載明：「</w:t>
      </w:r>
      <w:r w:rsidR="005A5778" w:rsidRPr="00AC4C76">
        <w:rPr>
          <w:rFonts w:hint="eastAsia"/>
          <w:szCs w:val="32"/>
        </w:rPr>
        <w:t>核被告</w:t>
      </w:r>
      <w:r w:rsidR="00942AC3" w:rsidRPr="00AC4C76">
        <w:rPr>
          <w:rFonts w:hint="eastAsia"/>
          <w:szCs w:val="32"/>
        </w:rPr>
        <w:t>沈○維</w:t>
      </w:r>
      <w:r w:rsidR="005A5778" w:rsidRPr="00AC4C76">
        <w:rPr>
          <w:rFonts w:hint="eastAsia"/>
          <w:szCs w:val="32"/>
        </w:rPr>
        <w:t>所為，是犯刑法第284條第1項前段之過失傷害罪，而被告</w:t>
      </w:r>
      <w:r w:rsidR="00942AC3" w:rsidRPr="00AC4C76">
        <w:rPr>
          <w:rFonts w:hint="eastAsia"/>
          <w:szCs w:val="32"/>
        </w:rPr>
        <w:t>林○凱</w:t>
      </w:r>
      <w:r w:rsidR="005A5778" w:rsidRPr="00AC4C76">
        <w:rPr>
          <w:rFonts w:hint="eastAsia"/>
          <w:szCs w:val="32"/>
        </w:rPr>
        <w:t>所為，則是犯刑法第309條第1項之公然侮辱</w:t>
      </w:r>
      <w:r w:rsidR="005A5778" w:rsidRPr="00AC4C76">
        <w:rPr>
          <w:rFonts w:hint="eastAsia"/>
          <w:szCs w:val="32"/>
        </w:rPr>
        <w:lastRenderedPageBreak/>
        <w:t>罪。</w:t>
      </w:r>
      <w:r w:rsidR="005A5778" w:rsidRPr="00AC4C76">
        <w:rPr>
          <w:rFonts w:hAnsi="標楷體" w:hint="eastAsia"/>
          <w:szCs w:val="32"/>
        </w:rPr>
        <w:t>」、「</w:t>
      </w:r>
      <w:r w:rsidR="005A5778" w:rsidRPr="00AC4C76">
        <w:rPr>
          <w:rFonts w:hint="eastAsia"/>
          <w:szCs w:val="32"/>
        </w:rPr>
        <w:t>審酌被告</w:t>
      </w:r>
      <w:r w:rsidR="00942AC3" w:rsidRPr="00AC4C76">
        <w:rPr>
          <w:rFonts w:hint="eastAsia"/>
          <w:szCs w:val="32"/>
        </w:rPr>
        <w:t>沈○維</w:t>
      </w:r>
      <w:r w:rsidR="005A5778" w:rsidRPr="00AC4C76">
        <w:rPr>
          <w:rFonts w:hint="eastAsia"/>
          <w:szCs w:val="32"/>
        </w:rPr>
        <w:t>因上前勸架而不慎傷及被告</w:t>
      </w:r>
      <w:r w:rsidR="00942AC3" w:rsidRPr="00AC4C76">
        <w:rPr>
          <w:rFonts w:hint="eastAsia"/>
          <w:szCs w:val="32"/>
        </w:rPr>
        <w:t>林○凱</w:t>
      </w:r>
      <w:r w:rsidR="005A5778" w:rsidRPr="00AC4C76">
        <w:rPr>
          <w:rFonts w:hint="eastAsia"/>
          <w:szCs w:val="32"/>
        </w:rPr>
        <w:t>，並非故意傷害被告</w:t>
      </w:r>
      <w:r w:rsidR="00942AC3" w:rsidRPr="00AC4C76">
        <w:rPr>
          <w:rFonts w:hint="eastAsia"/>
          <w:szCs w:val="32"/>
        </w:rPr>
        <w:t>林○凱</w:t>
      </w:r>
      <w:r w:rsidR="005A5778" w:rsidRPr="00AC4C76">
        <w:rPr>
          <w:rFonts w:hint="eastAsia"/>
          <w:szCs w:val="32"/>
        </w:rPr>
        <w:t>，所為應予從輕處罰，犯後也坦承犯行，並表示願與被告</w:t>
      </w:r>
      <w:r w:rsidR="00942AC3" w:rsidRPr="00AC4C76">
        <w:rPr>
          <w:rFonts w:hint="eastAsia"/>
          <w:szCs w:val="32"/>
        </w:rPr>
        <w:t>林○凱</w:t>
      </w:r>
      <w:r w:rsidR="005A5778" w:rsidRPr="00AC4C76">
        <w:rPr>
          <w:rFonts w:hint="eastAsia"/>
          <w:szCs w:val="32"/>
        </w:rPr>
        <w:t>和解，雖遭被告</w:t>
      </w:r>
      <w:r w:rsidR="00942AC3" w:rsidRPr="00AC4C76">
        <w:rPr>
          <w:rFonts w:hint="eastAsia"/>
          <w:szCs w:val="32"/>
        </w:rPr>
        <w:t>林○凱</w:t>
      </w:r>
      <w:r w:rsidR="005A5778" w:rsidRPr="00AC4C76">
        <w:rPr>
          <w:rFonts w:hint="eastAsia"/>
          <w:szCs w:val="32"/>
        </w:rPr>
        <w:t>所拒，仍可見其確有悔意；而被告</w:t>
      </w:r>
      <w:r w:rsidR="00942AC3" w:rsidRPr="00AC4C76">
        <w:rPr>
          <w:rFonts w:hint="eastAsia"/>
          <w:szCs w:val="32"/>
        </w:rPr>
        <w:t>林○凱</w:t>
      </w:r>
      <w:r w:rsidR="005A5778" w:rsidRPr="00AC4C76">
        <w:rPr>
          <w:rFonts w:hint="eastAsia"/>
          <w:szCs w:val="32"/>
        </w:rPr>
        <w:t>未能理性解決糾紛，公然辱罵被告</w:t>
      </w:r>
      <w:r w:rsidR="00942AC3" w:rsidRPr="00AC4C76">
        <w:rPr>
          <w:rFonts w:hint="eastAsia"/>
          <w:szCs w:val="32"/>
        </w:rPr>
        <w:t>沈○維</w:t>
      </w:r>
      <w:r w:rsidR="005A5778" w:rsidRPr="00AC4C76">
        <w:rPr>
          <w:rFonts w:hint="eastAsia"/>
          <w:szCs w:val="32"/>
        </w:rPr>
        <w:t>，所為應予處罰，且犯後否認犯行，飾詞狡辯，態度不佳，毫無悔意，並考量被告</w:t>
      </w:r>
      <w:r w:rsidR="00942AC3" w:rsidRPr="00AC4C76">
        <w:rPr>
          <w:rFonts w:hint="eastAsia"/>
          <w:szCs w:val="32"/>
        </w:rPr>
        <w:t>沈○維</w:t>
      </w:r>
      <w:r w:rsidR="005A5778" w:rsidRPr="00AC4C76">
        <w:rPr>
          <w:rFonts w:hint="eastAsia"/>
          <w:szCs w:val="32"/>
        </w:rPr>
        <w:t>、</w:t>
      </w:r>
      <w:r w:rsidR="00942AC3" w:rsidRPr="00AC4C76">
        <w:rPr>
          <w:rFonts w:hint="eastAsia"/>
          <w:szCs w:val="32"/>
        </w:rPr>
        <w:t>林○凱</w:t>
      </w:r>
      <w:r w:rsidR="005A5778" w:rsidRPr="00AC4C76">
        <w:rPr>
          <w:rFonts w:hint="eastAsia"/>
          <w:szCs w:val="32"/>
        </w:rPr>
        <w:t>之智識程度、家庭、經濟狀況，分別量處如主文所示之刑，並均諭知如易科罰金之折算標準</w:t>
      </w:r>
      <w:r w:rsidR="00447650" w:rsidRPr="00AC4C76">
        <w:rPr>
          <w:rFonts w:hint="eastAsia"/>
          <w:szCs w:val="32"/>
        </w:rPr>
        <w:t>。</w:t>
      </w:r>
      <w:r w:rsidR="005A5778" w:rsidRPr="00AC4C76">
        <w:rPr>
          <w:rFonts w:hAnsi="標楷體" w:hint="eastAsia"/>
          <w:szCs w:val="32"/>
        </w:rPr>
        <w:t>」</w:t>
      </w:r>
    </w:p>
    <w:p w:rsidR="002348FA" w:rsidRPr="00AC4C76" w:rsidRDefault="002348FA" w:rsidP="002348FA">
      <w:pPr>
        <w:pStyle w:val="4"/>
      </w:pPr>
      <w:r w:rsidRPr="00AC4C76">
        <w:rPr>
          <w:rFonts w:hint="eastAsia"/>
        </w:rPr>
        <w:t>臺灣高等法院106年度上易字第1093號判決就此部分判決理由載明：「</w:t>
      </w:r>
      <w:r w:rsidR="0097223B" w:rsidRPr="00AC4C76">
        <w:rPr>
          <w:rFonts w:hint="eastAsia"/>
          <w:szCs w:val="32"/>
        </w:rPr>
        <w:t>原審審理結果，認被告</w:t>
      </w:r>
      <w:r w:rsidR="00942AC3" w:rsidRPr="00AC4C76">
        <w:rPr>
          <w:rFonts w:hint="eastAsia"/>
          <w:szCs w:val="32"/>
        </w:rPr>
        <w:t>沈○維</w:t>
      </w:r>
      <w:r w:rsidR="0097223B" w:rsidRPr="00AC4C76">
        <w:rPr>
          <w:rFonts w:hint="eastAsia"/>
          <w:szCs w:val="32"/>
        </w:rPr>
        <w:t>所犯過失傷害罪，以及被告</w:t>
      </w:r>
      <w:r w:rsidR="00942AC3" w:rsidRPr="00AC4C76">
        <w:rPr>
          <w:rFonts w:hint="eastAsia"/>
          <w:szCs w:val="32"/>
        </w:rPr>
        <w:t>林○凱</w:t>
      </w:r>
      <w:r w:rsidR="0097223B" w:rsidRPr="00AC4C76">
        <w:rPr>
          <w:rFonts w:hint="eastAsia"/>
          <w:szCs w:val="32"/>
        </w:rPr>
        <w:t>所犯公然侮辱罪，罪證明確</w:t>
      </w:r>
      <w:r w:rsidR="005250FA" w:rsidRPr="00AC4C76">
        <w:rPr>
          <w:rFonts w:hAnsi="標楷體"/>
          <w:szCs w:val="32"/>
        </w:rPr>
        <w:t>……</w:t>
      </w:r>
      <w:r w:rsidR="0097223B" w:rsidRPr="00AC4C76">
        <w:rPr>
          <w:rFonts w:hint="eastAsia"/>
          <w:szCs w:val="32"/>
        </w:rPr>
        <w:t>並審酌被告</w:t>
      </w:r>
      <w:r w:rsidR="00942AC3" w:rsidRPr="00AC4C76">
        <w:rPr>
          <w:rFonts w:hint="eastAsia"/>
          <w:szCs w:val="32"/>
        </w:rPr>
        <w:t>沈○維</w:t>
      </w:r>
      <w:r w:rsidR="0097223B" w:rsidRPr="00AC4C76">
        <w:rPr>
          <w:rFonts w:hint="eastAsia"/>
          <w:szCs w:val="32"/>
        </w:rPr>
        <w:t>因上前勸架而不慎傷及被告</w:t>
      </w:r>
      <w:r w:rsidR="00942AC3" w:rsidRPr="00AC4C76">
        <w:rPr>
          <w:rFonts w:hint="eastAsia"/>
          <w:szCs w:val="32"/>
        </w:rPr>
        <w:t>林○凱</w:t>
      </w:r>
      <w:r w:rsidR="0097223B" w:rsidRPr="00AC4C76">
        <w:rPr>
          <w:rFonts w:hint="eastAsia"/>
          <w:szCs w:val="32"/>
        </w:rPr>
        <w:t>，並非故意傷害被告</w:t>
      </w:r>
      <w:r w:rsidR="00942AC3" w:rsidRPr="00AC4C76">
        <w:rPr>
          <w:rFonts w:hint="eastAsia"/>
          <w:szCs w:val="32"/>
        </w:rPr>
        <w:t>林○凱</w:t>
      </w:r>
      <w:r w:rsidR="0097223B" w:rsidRPr="00AC4C76">
        <w:rPr>
          <w:rFonts w:hint="eastAsia"/>
          <w:szCs w:val="32"/>
        </w:rPr>
        <w:t>，所為應予從輕處罰，犯後也坦承犯行，並表示願與被告</w:t>
      </w:r>
      <w:r w:rsidR="00942AC3" w:rsidRPr="00AC4C76">
        <w:rPr>
          <w:rFonts w:hint="eastAsia"/>
          <w:szCs w:val="32"/>
        </w:rPr>
        <w:t>林○凱</w:t>
      </w:r>
      <w:r w:rsidR="0097223B" w:rsidRPr="00AC4C76">
        <w:rPr>
          <w:rFonts w:hint="eastAsia"/>
          <w:szCs w:val="32"/>
        </w:rPr>
        <w:t>和解，雖遭被告</w:t>
      </w:r>
      <w:r w:rsidR="00942AC3" w:rsidRPr="00AC4C76">
        <w:rPr>
          <w:rFonts w:hint="eastAsia"/>
          <w:szCs w:val="32"/>
        </w:rPr>
        <w:t>林○凱</w:t>
      </w:r>
      <w:r w:rsidR="0097223B" w:rsidRPr="00AC4C76">
        <w:rPr>
          <w:rFonts w:hint="eastAsia"/>
          <w:szCs w:val="32"/>
        </w:rPr>
        <w:t>所拒，仍可見其確有悔意；而被告</w:t>
      </w:r>
      <w:r w:rsidR="00942AC3" w:rsidRPr="00AC4C76">
        <w:rPr>
          <w:rFonts w:hint="eastAsia"/>
          <w:szCs w:val="32"/>
        </w:rPr>
        <w:t>林○凱</w:t>
      </w:r>
      <w:r w:rsidR="0097223B" w:rsidRPr="00AC4C76">
        <w:rPr>
          <w:rFonts w:hint="eastAsia"/>
          <w:szCs w:val="32"/>
        </w:rPr>
        <w:t>未能理性解決糾紛，公然辱罵被告</w:t>
      </w:r>
      <w:r w:rsidR="00942AC3" w:rsidRPr="00AC4C76">
        <w:rPr>
          <w:rFonts w:hint="eastAsia"/>
          <w:szCs w:val="32"/>
        </w:rPr>
        <w:t>沈○維</w:t>
      </w:r>
      <w:r w:rsidR="0097223B" w:rsidRPr="00AC4C76">
        <w:rPr>
          <w:rFonts w:hint="eastAsia"/>
          <w:szCs w:val="32"/>
        </w:rPr>
        <w:t>，所為應予處罰，且犯後否認犯行，飾詞狡辯，態度不佳，毫無悔意，並考量被告</w:t>
      </w:r>
      <w:r w:rsidR="00942AC3" w:rsidRPr="00AC4C76">
        <w:rPr>
          <w:rFonts w:hint="eastAsia"/>
          <w:szCs w:val="32"/>
        </w:rPr>
        <w:t>沈○維</w:t>
      </w:r>
      <w:r w:rsidR="0097223B" w:rsidRPr="00AC4C76">
        <w:rPr>
          <w:rFonts w:hint="eastAsia"/>
          <w:szCs w:val="32"/>
        </w:rPr>
        <w:t>、</w:t>
      </w:r>
      <w:r w:rsidR="00942AC3" w:rsidRPr="00AC4C76">
        <w:rPr>
          <w:rFonts w:hint="eastAsia"/>
          <w:szCs w:val="32"/>
        </w:rPr>
        <w:t>林○凱</w:t>
      </w:r>
      <w:r w:rsidR="0097223B" w:rsidRPr="00AC4C76">
        <w:rPr>
          <w:rFonts w:hint="eastAsia"/>
          <w:szCs w:val="32"/>
        </w:rPr>
        <w:t>之智識程度、家庭、經濟狀況，分別量處如拘役10日、30日，並諭知如易科罰金，均以新臺幣1千元折算1日。復說明：至於檢察官建請對被告</w:t>
      </w:r>
      <w:r w:rsidR="00942AC3" w:rsidRPr="00AC4C76">
        <w:rPr>
          <w:rFonts w:hint="eastAsia"/>
          <w:szCs w:val="32"/>
        </w:rPr>
        <w:t>沈○維</w:t>
      </w:r>
      <w:r w:rsidR="0097223B" w:rsidRPr="00AC4C76">
        <w:rPr>
          <w:rFonts w:hint="eastAsia"/>
          <w:szCs w:val="32"/>
        </w:rPr>
        <w:t>、</w:t>
      </w:r>
      <w:r w:rsidR="00942AC3" w:rsidRPr="00AC4C76">
        <w:rPr>
          <w:rFonts w:hint="eastAsia"/>
          <w:szCs w:val="32"/>
        </w:rPr>
        <w:t>林○凱</w:t>
      </w:r>
      <w:r w:rsidR="0097223B" w:rsidRPr="00AC4C76">
        <w:rPr>
          <w:rFonts w:hint="eastAsia"/>
          <w:szCs w:val="32"/>
        </w:rPr>
        <w:t>均量處拘役20日等語，經審酌前揭情狀，認以上開刑度為適當，附此敘明。經核其認事用法均無違誤，量刑亦稱妥適。</w:t>
      </w:r>
      <w:r w:rsidR="0097223B" w:rsidRPr="00AC4C76">
        <w:rPr>
          <w:rFonts w:hAnsi="標楷體" w:hint="eastAsia"/>
          <w:szCs w:val="32"/>
        </w:rPr>
        <w:t>」</w:t>
      </w:r>
    </w:p>
    <w:p w:rsidR="00733CEE" w:rsidRPr="00AC4C76" w:rsidRDefault="00733CEE" w:rsidP="00733CEE">
      <w:pPr>
        <w:pStyle w:val="3"/>
        <w:rPr>
          <w:szCs w:val="32"/>
        </w:rPr>
      </w:pPr>
      <w:r w:rsidRPr="00AC4C76">
        <w:rPr>
          <w:rFonts w:hAnsi="標楷體" w:hint="eastAsia"/>
        </w:rPr>
        <w:t>本案陳訴人所指</w:t>
      </w:r>
      <w:r w:rsidR="008E7868" w:rsidRPr="00AC4C76">
        <w:rPr>
          <w:rFonts w:hAnsi="標楷體" w:hint="eastAsia"/>
        </w:rPr>
        <w:t>其</w:t>
      </w:r>
      <w:r w:rsidR="008E7868" w:rsidRPr="00AC4C76">
        <w:rPr>
          <w:szCs w:val="52"/>
        </w:rPr>
        <w:t>犯公然侮辱罪</w:t>
      </w:r>
      <w:r w:rsidR="008E7868" w:rsidRPr="00AC4C76">
        <w:rPr>
          <w:rFonts w:hint="eastAsia"/>
          <w:szCs w:val="52"/>
        </w:rPr>
        <w:t>，</w:t>
      </w:r>
      <w:r w:rsidR="005F25EE" w:rsidRPr="00AC4C76">
        <w:rPr>
          <w:rFonts w:hint="eastAsia"/>
          <w:szCs w:val="52"/>
        </w:rPr>
        <w:t>遭</w:t>
      </w:r>
      <w:r w:rsidR="005F25EE" w:rsidRPr="00AC4C76">
        <w:rPr>
          <w:rFonts w:hAnsi="標楷體" w:hint="eastAsia"/>
        </w:rPr>
        <w:t>臺北地方法院判</w:t>
      </w:r>
      <w:r w:rsidR="008E7868" w:rsidRPr="00AC4C76">
        <w:rPr>
          <w:szCs w:val="52"/>
        </w:rPr>
        <w:t>處拘役30日</w:t>
      </w:r>
      <w:r w:rsidR="00081D99" w:rsidRPr="00AC4C76">
        <w:rPr>
          <w:rFonts w:hAnsi="標楷體" w:hint="eastAsia"/>
        </w:rPr>
        <w:t>一節，經查</w:t>
      </w:r>
      <w:r w:rsidR="008E7868" w:rsidRPr="00AC4C76">
        <w:rPr>
          <w:rFonts w:hAnsi="標楷體" w:hint="eastAsia"/>
        </w:rPr>
        <w:t>本案</w:t>
      </w:r>
      <w:r w:rsidR="005F25EE" w:rsidRPr="00AC4C76">
        <w:rPr>
          <w:rFonts w:hAnsi="標楷體" w:hint="eastAsia"/>
        </w:rPr>
        <w:t>臺北地方法院及臺灣高等法院</w:t>
      </w:r>
      <w:r w:rsidR="008E7868" w:rsidRPr="00AC4C76">
        <w:rPr>
          <w:rFonts w:hAnsi="標楷體" w:hint="eastAsia"/>
        </w:rPr>
        <w:t>相關</w:t>
      </w:r>
      <w:r w:rsidR="008E7868" w:rsidRPr="00AC4C76">
        <w:rPr>
          <w:rFonts w:hint="eastAsia"/>
        </w:rPr>
        <w:t>卷證</w:t>
      </w:r>
      <w:r w:rsidR="008E7868" w:rsidRPr="00AC4C76">
        <w:rPr>
          <w:rFonts w:hAnsi="標楷體" w:hint="eastAsia"/>
        </w:rPr>
        <w:t>資料</w:t>
      </w:r>
      <w:r w:rsidRPr="00AC4C76">
        <w:rPr>
          <w:rFonts w:hAnsi="標楷體" w:hint="eastAsia"/>
        </w:rPr>
        <w:t>，</w:t>
      </w:r>
      <w:r w:rsidR="006E7289" w:rsidRPr="00AC4C76">
        <w:rPr>
          <w:rFonts w:hAnsi="標楷體" w:hint="eastAsia"/>
        </w:rPr>
        <w:t>本案</w:t>
      </w:r>
      <w:r w:rsidR="00081D99" w:rsidRPr="00AC4C76">
        <w:rPr>
          <w:rFonts w:hAnsi="標楷體" w:hint="eastAsia"/>
        </w:rPr>
        <w:t>陳訴人不願意與對方</w:t>
      </w:r>
      <w:r w:rsidR="00081D99" w:rsidRPr="00AC4C76">
        <w:rPr>
          <w:rFonts w:hAnsi="標楷體" w:hint="eastAsia"/>
        </w:rPr>
        <w:lastRenderedPageBreak/>
        <w:t>和解，因而</w:t>
      </w:r>
      <w:r w:rsidR="006E7289" w:rsidRPr="00AC4C76">
        <w:rPr>
          <w:rFonts w:hAnsi="標楷體" w:hint="eastAsia"/>
        </w:rPr>
        <w:t>未能和解成功。量刑部分，</w:t>
      </w:r>
      <w:r w:rsidR="000705F0" w:rsidRPr="00AC4C76">
        <w:rPr>
          <w:rFonts w:hAnsi="標楷體" w:hint="eastAsia"/>
        </w:rPr>
        <w:t>臺北地方法院106年度審易字第383號判決判決</w:t>
      </w:r>
      <w:r w:rsidR="007C5E4D" w:rsidRPr="00AC4C76">
        <w:rPr>
          <w:rFonts w:hAnsi="標楷體" w:hint="eastAsia"/>
        </w:rPr>
        <w:t>及臺灣高等法院106年度上易字第1093號判決，判決</w:t>
      </w:r>
      <w:r w:rsidR="000705F0" w:rsidRPr="00AC4C76">
        <w:rPr>
          <w:rFonts w:hAnsi="標楷體" w:hint="eastAsia"/>
        </w:rPr>
        <w:t>理由已載明</w:t>
      </w:r>
      <w:r w:rsidR="007C5E4D" w:rsidRPr="00AC4C76">
        <w:rPr>
          <w:rFonts w:hAnsi="標楷體" w:hint="eastAsia"/>
        </w:rPr>
        <w:t>法院量刑理由</w:t>
      </w:r>
      <w:r w:rsidR="000705F0" w:rsidRPr="00AC4C76">
        <w:rPr>
          <w:rFonts w:hAnsi="標楷體" w:hint="eastAsia"/>
        </w:rPr>
        <w:t>，</w:t>
      </w:r>
      <w:r w:rsidR="006009CE" w:rsidRPr="00AC4C76">
        <w:rPr>
          <w:rFonts w:hAnsi="標楷體" w:hint="eastAsia"/>
        </w:rPr>
        <w:t>並</w:t>
      </w:r>
      <w:r w:rsidR="000705F0" w:rsidRPr="00AC4C76">
        <w:rPr>
          <w:rFonts w:hAnsi="標楷體" w:hint="eastAsia"/>
        </w:rPr>
        <w:t>考量</w:t>
      </w:r>
      <w:r w:rsidR="006E7289" w:rsidRPr="00AC4C76">
        <w:rPr>
          <w:rFonts w:hAnsi="標楷體" w:hint="eastAsia"/>
        </w:rPr>
        <w:t>刑法第57</w:t>
      </w:r>
      <w:r w:rsidR="007C5E4D" w:rsidRPr="00AC4C76">
        <w:rPr>
          <w:rFonts w:hAnsi="標楷體" w:hint="eastAsia"/>
        </w:rPr>
        <w:t>條犯罪態度、犯罪動機、智識程度</w:t>
      </w:r>
      <w:r w:rsidR="006E7289" w:rsidRPr="00AC4C76">
        <w:rPr>
          <w:rFonts w:hAnsi="標楷體" w:hint="eastAsia"/>
        </w:rPr>
        <w:t>、家庭</w:t>
      </w:r>
      <w:r w:rsidR="007C5E4D" w:rsidRPr="00AC4C76">
        <w:rPr>
          <w:rFonts w:hAnsi="標楷體" w:hint="eastAsia"/>
        </w:rPr>
        <w:t>、經濟</w:t>
      </w:r>
      <w:r w:rsidR="00552E50" w:rsidRPr="00AC4C76">
        <w:rPr>
          <w:rFonts w:hAnsi="標楷體" w:hint="eastAsia"/>
        </w:rPr>
        <w:t>等因素及</w:t>
      </w:r>
      <w:r w:rsidR="007C5E4D" w:rsidRPr="00AC4C76">
        <w:rPr>
          <w:rFonts w:hAnsi="標楷體" w:hint="eastAsia"/>
        </w:rPr>
        <w:t>故意</w:t>
      </w:r>
      <w:r w:rsidR="00552E50" w:rsidRPr="00AC4C76">
        <w:rPr>
          <w:rFonts w:hAnsi="標楷體" w:hint="eastAsia"/>
        </w:rPr>
        <w:t>、</w:t>
      </w:r>
      <w:r w:rsidR="007C5E4D" w:rsidRPr="00AC4C76">
        <w:rPr>
          <w:rFonts w:hAnsi="標楷體" w:hint="eastAsia"/>
        </w:rPr>
        <w:t>過失等情形，</w:t>
      </w:r>
      <w:r w:rsidR="000705F0" w:rsidRPr="00AC4C76">
        <w:rPr>
          <w:rFonts w:hAnsi="標楷體" w:hint="eastAsia"/>
        </w:rPr>
        <w:t>又</w:t>
      </w:r>
      <w:r w:rsidR="006E7289" w:rsidRPr="00AC4C76">
        <w:rPr>
          <w:rFonts w:hAnsi="標楷體" w:hint="eastAsia"/>
        </w:rPr>
        <w:t>證人部分</w:t>
      </w:r>
      <w:r w:rsidR="007C5E4D" w:rsidRPr="00AC4C76">
        <w:rPr>
          <w:rFonts w:hAnsi="標楷體" w:hint="eastAsia"/>
        </w:rPr>
        <w:t>已有交互詰問</w:t>
      </w:r>
      <w:r w:rsidR="00401210" w:rsidRPr="00AC4C76">
        <w:rPr>
          <w:rFonts w:hAnsi="標楷體" w:hint="eastAsia"/>
        </w:rPr>
        <w:t>，</w:t>
      </w:r>
      <w:r w:rsidRPr="00AC4C76">
        <w:rPr>
          <w:rFonts w:hAnsi="標楷體" w:hint="eastAsia"/>
        </w:rPr>
        <w:t>因而尚難</w:t>
      </w:r>
      <w:r w:rsidR="00081D99" w:rsidRPr="00AC4C76">
        <w:rPr>
          <w:rFonts w:hAnsi="標楷體" w:hint="eastAsia"/>
        </w:rPr>
        <w:t>僅因陳訴人單方</w:t>
      </w:r>
      <w:r w:rsidR="007C5E4D" w:rsidRPr="00AC4C76">
        <w:rPr>
          <w:rFonts w:hAnsi="標楷體" w:hint="eastAsia"/>
        </w:rPr>
        <w:t>陳述</w:t>
      </w:r>
      <w:r w:rsidR="00081D99" w:rsidRPr="00AC4C76">
        <w:rPr>
          <w:rFonts w:hAnsi="標楷體" w:hint="eastAsia"/>
        </w:rPr>
        <w:t>即</w:t>
      </w:r>
      <w:r w:rsidRPr="00AC4C76">
        <w:rPr>
          <w:rFonts w:hAnsi="標楷體" w:hint="eastAsia"/>
        </w:rPr>
        <w:t>謂</w:t>
      </w:r>
      <w:r w:rsidR="00081D99" w:rsidRPr="00AC4C76">
        <w:rPr>
          <w:rFonts w:hAnsi="標楷體" w:hint="eastAsia"/>
        </w:rPr>
        <w:t>法院</w:t>
      </w:r>
      <w:r w:rsidR="007C5E4D" w:rsidRPr="00AC4C76">
        <w:rPr>
          <w:rFonts w:hAnsi="標楷體" w:hint="eastAsia"/>
        </w:rPr>
        <w:t>有偏袒對造、</w:t>
      </w:r>
      <w:r w:rsidR="00081D99" w:rsidRPr="00AC4C76">
        <w:rPr>
          <w:rFonts w:hAnsi="標楷體" w:hint="eastAsia"/>
        </w:rPr>
        <w:t>對其誣判</w:t>
      </w:r>
      <w:r w:rsidR="007C5E4D" w:rsidRPr="00AC4C76">
        <w:rPr>
          <w:rFonts w:hAnsi="標楷體" w:hint="eastAsia"/>
        </w:rPr>
        <w:t>之情形</w:t>
      </w:r>
      <w:r w:rsidRPr="00AC4C76">
        <w:rPr>
          <w:rFonts w:hAnsi="標楷體" w:hint="eastAsia"/>
        </w:rPr>
        <w:t>。</w:t>
      </w:r>
      <w:r w:rsidR="00B247DE" w:rsidRPr="00AC4C76">
        <w:rPr>
          <w:rFonts w:hAnsi="標楷體" w:hint="eastAsia"/>
        </w:rPr>
        <w:t>然</w:t>
      </w:r>
      <w:r w:rsidR="00B247DE" w:rsidRPr="00AC4C76">
        <w:rPr>
          <w:rStyle w:val="reason1"/>
          <w:rFonts w:hAnsi="標楷體" w:hint="eastAsia"/>
          <w:szCs w:val="23"/>
        </w:rPr>
        <w:t>法院採信證人</w:t>
      </w:r>
      <w:r w:rsidR="00942AC3" w:rsidRPr="00AC4C76">
        <w:rPr>
          <w:rFonts w:hint="eastAsia"/>
          <w:szCs w:val="32"/>
        </w:rPr>
        <w:t>顏○隆</w:t>
      </w:r>
      <w:r w:rsidR="00B247DE" w:rsidRPr="00AC4C76">
        <w:rPr>
          <w:rFonts w:hint="eastAsia"/>
          <w:szCs w:val="32"/>
        </w:rPr>
        <w:t>及</w:t>
      </w:r>
      <w:r w:rsidR="00942AC3" w:rsidRPr="00AC4C76">
        <w:rPr>
          <w:rFonts w:hint="eastAsia"/>
          <w:szCs w:val="32"/>
        </w:rPr>
        <w:t>徐○軒</w:t>
      </w:r>
      <w:r w:rsidR="00B247DE" w:rsidRPr="00AC4C76">
        <w:rPr>
          <w:rStyle w:val="reason1"/>
          <w:rFonts w:hAnsi="標楷體" w:hint="eastAsia"/>
          <w:szCs w:val="23"/>
        </w:rPr>
        <w:t>證詞，</w:t>
      </w:r>
      <w:r w:rsidR="00B247DE" w:rsidRPr="00AC4C76">
        <w:rPr>
          <w:rFonts w:hint="eastAsia"/>
          <w:szCs w:val="32"/>
        </w:rPr>
        <w:t>認定陳訴人</w:t>
      </w:r>
      <w:r w:rsidR="00942AC3" w:rsidRPr="00AC4C76">
        <w:rPr>
          <w:rFonts w:hint="eastAsia"/>
          <w:szCs w:val="32"/>
        </w:rPr>
        <w:t>林○凱</w:t>
      </w:r>
      <w:r w:rsidR="00B247DE" w:rsidRPr="00AC4C76">
        <w:rPr>
          <w:rFonts w:hint="eastAsia"/>
          <w:szCs w:val="32"/>
        </w:rPr>
        <w:t>有辱罵</w:t>
      </w:r>
      <w:r w:rsidR="00942AC3" w:rsidRPr="00AC4C76">
        <w:rPr>
          <w:rFonts w:hint="eastAsia"/>
          <w:szCs w:val="32"/>
        </w:rPr>
        <w:t>沈○維</w:t>
      </w:r>
      <w:r w:rsidR="00B247DE" w:rsidRPr="00AC4C76">
        <w:rPr>
          <w:rFonts w:hint="eastAsia"/>
          <w:szCs w:val="32"/>
        </w:rPr>
        <w:t>「幹、幹你娘、龜兒子」等</w:t>
      </w:r>
      <w:r w:rsidR="00B247DE" w:rsidRPr="00AC4C76">
        <w:rPr>
          <w:rFonts w:hAnsi="標楷體" w:hint="eastAsia"/>
          <w:szCs w:val="32"/>
        </w:rPr>
        <w:t>語</w:t>
      </w:r>
      <w:r w:rsidR="00B247DE" w:rsidRPr="00AC4C76">
        <w:rPr>
          <w:rFonts w:hAnsi="標楷體" w:hint="eastAsia"/>
        </w:rPr>
        <w:t>，並以「</w:t>
      </w:r>
      <w:r w:rsidR="00B247DE" w:rsidRPr="00AC4C76">
        <w:rPr>
          <w:rFonts w:hint="eastAsia"/>
          <w:szCs w:val="32"/>
        </w:rPr>
        <w:t>犯後否認犯行，飾詞狡辯，態度不佳，毫無悔意</w:t>
      </w:r>
      <w:r w:rsidR="00B247DE" w:rsidRPr="00AC4C76">
        <w:rPr>
          <w:rFonts w:hAnsi="標楷體" w:hint="eastAsia"/>
          <w:szCs w:val="32"/>
        </w:rPr>
        <w:t>」</w:t>
      </w:r>
      <w:r w:rsidR="00B247DE" w:rsidRPr="00AC4C76">
        <w:rPr>
          <w:rFonts w:hint="eastAsia"/>
          <w:szCs w:val="32"/>
        </w:rPr>
        <w:t>判處陳訴人拘役30日，</w:t>
      </w:r>
      <w:r w:rsidR="00B247DE" w:rsidRPr="00AC4C76">
        <w:rPr>
          <w:rFonts w:hAnsi="標楷體" w:hint="eastAsia"/>
        </w:rPr>
        <w:t>如同檢察官上訴理由所述，</w:t>
      </w:r>
      <w:r w:rsidR="00B247DE" w:rsidRPr="00AC4C76">
        <w:rPr>
          <w:rFonts w:hint="eastAsia"/>
          <w:szCs w:val="32"/>
        </w:rPr>
        <w:t>法院量刑並未審酌兩造衡平法則，陳訴人</w:t>
      </w:r>
      <w:r w:rsidR="00942AC3" w:rsidRPr="00AC4C76">
        <w:rPr>
          <w:rFonts w:hint="eastAsia"/>
          <w:szCs w:val="32"/>
        </w:rPr>
        <w:t>林○凱</w:t>
      </w:r>
      <w:r w:rsidR="00B247DE" w:rsidRPr="00AC4C76">
        <w:rPr>
          <w:rFonts w:hint="eastAsia"/>
          <w:szCs w:val="32"/>
        </w:rPr>
        <w:t>當時當地人在屋簷下，欠缺有力證據，內心深感委屈等情狀，且該2位目擊證人</w:t>
      </w:r>
      <w:r w:rsidR="00942AC3" w:rsidRPr="00AC4C76">
        <w:rPr>
          <w:rFonts w:hint="eastAsia"/>
          <w:szCs w:val="32"/>
        </w:rPr>
        <w:t>顏○隆</w:t>
      </w:r>
      <w:r w:rsidR="00B247DE" w:rsidRPr="00AC4C76">
        <w:rPr>
          <w:rFonts w:hint="eastAsia"/>
          <w:szCs w:val="32"/>
        </w:rPr>
        <w:t>及</w:t>
      </w:r>
      <w:r w:rsidR="00942AC3" w:rsidRPr="00AC4C76">
        <w:rPr>
          <w:rFonts w:hint="eastAsia"/>
          <w:szCs w:val="32"/>
        </w:rPr>
        <w:t>徐○軒</w:t>
      </w:r>
      <w:r w:rsidR="00B247DE" w:rsidRPr="00AC4C76">
        <w:rPr>
          <w:rFonts w:hint="eastAsia"/>
          <w:szCs w:val="32"/>
        </w:rPr>
        <w:t>與同案被告</w:t>
      </w:r>
      <w:r w:rsidR="00942AC3" w:rsidRPr="00AC4C76">
        <w:rPr>
          <w:rFonts w:hint="eastAsia"/>
          <w:szCs w:val="32"/>
        </w:rPr>
        <w:t>沈○維</w:t>
      </w:r>
      <w:r w:rsidR="00B247DE" w:rsidRPr="00AC4C76">
        <w:rPr>
          <w:rFonts w:hint="eastAsia"/>
          <w:szCs w:val="32"/>
        </w:rPr>
        <w:t>互相認識，彼等在當地做生意一致皆有不願任何人停車在自家店門口的</w:t>
      </w:r>
      <w:r w:rsidR="00166291" w:rsidRPr="00AC4C76">
        <w:rPr>
          <w:rFonts w:hint="eastAsia"/>
          <w:szCs w:val="32"/>
        </w:rPr>
        <w:t>私利需求，而陳訴人</w:t>
      </w:r>
      <w:r w:rsidR="00942AC3" w:rsidRPr="00AC4C76">
        <w:rPr>
          <w:rFonts w:hint="eastAsia"/>
          <w:szCs w:val="32"/>
        </w:rPr>
        <w:t>林○凱</w:t>
      </w:r>
      <w:r w:rsidR="00B247DE" w:rsidRPr="00AC4C76">
        <w:rPr>
          <w:rFonts w:hint="eastAsia"/>
          <w:szCs w:val="32"/>
        </w:rPr>
        <w:t>係孤身1人在當地僅因暫時停車而妨礙當地民眾即被告</w:t>
      </w:r>
      <w:r w:rsidR="00942AC3" w:rsidRPr="00AC4C76">
        <w:rPr>
          <w:rFonts w:hint="eastAsia"/>
          <w:szCs w:val="32"/>
        </w:rPr>
        <w:t>沈○維</w:t>
      </w:r>
      <w:r w:rsidR="00B247DE" w:rsidRPr="00AC4C76">
        <w:rPr>
          <w:rFonts w:hint="eastAsia"/>
          <w:szCs w:val="32"/>
        </w:rPr>
        <w:t>及證人開店做生意致生爭執，</w:t>
      </w:r>
      <w:r w:rsidR="007F0621" w:rsidRPr="00AC4C76">
        <w:rPr>
          <w:rFonts w:hint="eastAsia"/>
          <w:szCs w:val="32"/>
        </w:rPr>
        <w:t>是否得因陳</w:t>
      </w:r>
      <w:r w:rsidR="00B247DE" w:rsidRPr="00AC4C76">
        <w:rPr>
          <w:rFonts w:hint="eastAsia"/>
          <w:szCs w:val="32"/>
        </w:rPr>
        <w:t>訴人</w:t>
      </w:r>
      <w:r w:rsidR="00942AC3" w:rsidRPr="00AC4C76">
        <w:rPr>
          <w:rFonts w:hint="eastAsia"/>
          <w:szCs w:val="32"/>
        </w:rPr>
        <w:t>林○凱</w:t>
      </w:r>
      <w:r w:rsidR="00B247DE" w:rsidRPr="00AC4C76">
        <w:rPr>
          <w:rFonts w:hint="eastAsia"/>
          <w:szCs w:val="32"/>
        </w:rPr>
        <w:t>在法庭態度不佳致刑度較被告</w:t>
      </w:r>
      <w:r w:rsidR="00942AC3" w:rsidRPr="00AC4C76">
        <w:rPr>
          <w:rFonts w:hint="eastAsia"/>
          <w:szCs w:val="32"/>
        </w:rPr>
        <w:t>沈○維</w:t>
      </w:r>
      <w:r w:rsidR="00B247DE" w:rsidRPr="00AC4C76">
        <w:rPr>
          <w:rFonts w:hint="eastAsia"/>
          <w:szCs w:val="32"/>
        </w:rPr>
        <w:t>為重</w:t>
      </w:r>
      <w:r w:rsidR="00B22807" w:rsidRPr="00AC4C76">
        <w:rPr>
          <w:rFonts w:hint="eastAsia"/>
          <w:szCs w:val="32"/>
        </w:rPr>
        <w:t>，並非無疑</w:t>
      </w:r>
      <w:r w:rsidR="00B247DE" w:rsidRPr="00AC4C76">
        <w:rPr>
          <w:rFonts w:hint="eastAsia"/>
          <w:szCs w:val="32"/>
        </w:rPr>
        <w:t>。</w:t>
      </w:r>
      <w:r w:rsidR="00B6416E" w:rsidRPr="00AC4C76">
        <w:rPr>
          <w:szCs w:val="32"/>
        </w:rPr>
        <w:t>刑事訴訟法規定被告有不自證己罪以</w:t>
      </w:r>
      <w:r w:rsidR="00B6416E" w:rsidRPr="00AC4C76">
        <w:rPr>
          <w:rFonts w:hint="eastAsia"/>
          <w:szCs w:val="32"/>
        </w:rPr>
        <w:t>之</w:t>
      </w:r>
      <w:r w:rsidR="00B6416E" w:rsidRPr="00AC4C76">
        <w:rPr>
          <w:szCs w:val="32"/>
        </w:rPr>
        <w:t>權利</w:t>
      </w:r>
      <w:r w:rsidR="00B6416E" w:rsidRPr="00AC4C76">
        <w:rPr>
          <w:rFonts w:hint="eastAsia"/>
          <w:szCs w:val="32"/>
        </w:rPr>
        <w:t>，</w:t>
      </w:r>
      <w:r w:rsidR="00166291" w:rsidRPr="00AC4C76">
        <w:rPr>
          <w:rFonts w:hint="eastAsia"/>
          <w:szCs w:val="32"/>
        </w:rPr>
        <w:t>陳訴人堅稱並無辱罵</w:t>
      </w:r>
      <w:r w:rsidR="00B6416E" w:rsidRPr="00AC4C76">
        <w:rPr>
          <w:rFonts w:hint="eastAsia"/>
          <w:szCs w:val="32"/>
        </w:rPr>
        <w:t>同案被告</w:t>
      </w:r>
      <w:r w:rsidR="00942AC3" w:rsidRPr="00AC4C76">
        <w:rPr>
          <w:rFonts w:hint="eastAsia"/>
          <w:szCs w:val="32"/>
        </w:rPr>
        <w:t>沈○維</w:t>
      </w:r>
      <w:r w:rsidR="00166291" w:rsidRPr="00AC4C76">
        <w:rPr>
          <w:rFonts w:hint="eastAsia"/>
          <w:szCs w:val="32"/>
        </w:rPr>
        <w:t>「幹、幹你娘、龜兒子」等</w:t>
      </w:r>
      <w:r w:rsidR="00166291" w:rsidRPr="00AC4C76">
        <w:rPr>
          <w:rFonts w:hAnsi="標楷體" w:hint="eastAsia"/>
          <w:szCs w:val="32"/>
        </w:rPr>
        <w:t>語</w:t>
      </w:r>
      <w:r w:rsidR="00166291" w:rsidRPr="00AC4C76">
        <w:rPr>
          <w:rFonts w:hint="eastAsia"/>
          <w:szCs w:val="32"/>
        </w:rPr>
        <w:t>，</w:t>
      </w:r>
      <w:r w:rsidR="00832BC4" w:rsidRPr="00AC4C76">
        <w:rPr>
          <w:rFonts w:hint="eastAsia"/>
          <w:szCs w:val="32"/>
        </w:rPr>
        <w:t>坦承</w:t>
      </w:r>
      <w:r w:rsidR="00832BC4" w:rsidRPr="00AC4C76">
        <w:rPr>
          <w:rFonts w:hAnsi="標楷體" w:hint="eastAsia"/>
          <w:szCs w:val="32"/>
        </w:rPr>
        <w:t>不願意</w:t>
      </w:r>
      <w:r w:rsidR="00942AC3" w:rsidRPr="00AC4C76">
        <w:rPr>
          <w:rFonts w:hAnsi="標楷體" w:hint="eastAsia"/>
          <w:szCs w:val="32"/>
        </w:rPr>
        <w:t>沈○維</w:t>
      </w:r>
      <w:r w:rsidR="00832BC4" w:rsidRPr="00AC4C76">
        <w:rPr>
          <w:rFonts w:hAnsi="標楷體" w:hint="eastAsia"/>
          <w:szCs w:val="32"/>
        </w:rPr>
        <w:t>於警方到場前離開，對</w:t>
      </w:r>
      <w:r w:rsidR="00942AC3" w:rsidRPr="00AC4C76">
        <w:rPr>
          <w:rFonts w:hAnsi="標楷體" w:hint="eastAsia"/>
          <w:szCs w:val="32"/>
        </w:rPr>
        <w:t>沈○維</w:t>
      </w:r>
      <w:r w:rsidR="00832BC4" w:rsidRPr="00AC4C76">
        <w:rPr>
          <w:rFonts w:hAnsi="標楷體" w:hint="eastAsia"/>
          <w:szCs w:val="32"/>
        </w:rPr>
        <w:t>說「你若離開你就是龜兒子」等語，陳訴人</w:t>
      </w:r>
      <w:r w:rsidR="00B6416E" w:rsidRPr="00AC4C76">
        <w:rPr>
          <w:rFonts w:hint="eastAsia"/>
          <w:szCs w:val="32"/>
        </w:rPr>
        <w:t>捍衛自身</w:t>
      </w:r>
      <w:r w:rsidR="00B22807" w:rsidRPr="00AC4C76">
        <w:rPr>
          <w:rFonts w:hint="eastAsia"/>
          <w:szCs w:val="32"/>
        </w:rPr>
        <w:t>權利卻遭法院</w:t>
      </w:r>
      <w:r w:rsidR="00B22807" w:rsidRPr="00AC4C76">
        <w:rPr>
          <w:rFonts w:hAnsi="標楷體" w:hint="eastAsia"/>
        </w:rPr>
        <w:t>以「</w:t>
      </w:r>
      <w:r w:rsidR="00B22807" w:rsidRPr="00AC4C76">
        <w:rPr>
          <w:rFonts w:hint="eastAsia"/>
          <w:szCs w:val="32"/>
        </w:rPr>
        <w:t>犯後否認犯行，飾詞狡辯，態度不佳，毫無悔意</w:t>
      </w:r>
      <w:r w:rsidR="00B22807" w:rsidRPr="00AC4C76">
        <w:rPr>
          <w:rFonts w:hAnsi="標楷體" w:hint="eastAsia"/>
          <w:szCs w:val="32"/>
        </w:rPr>
        <w:t>」</w:t>
      </w:r>
      <w:r w:rsidR="00570BE6" w:rsidRPr="00AC4C76">
        <w:rPr>
          <w:rFonts w:hAnsi="標楷體" w:hint="eastAsia"/>
          <w:szCs w:val="32"/>
        </w:rPr>
        <w:t>為由，</w:t>
      </w:r>
      <w:r w:rsidR="00B22807" w:rsidRPr="00AC4C76">
        <w:rPr>
          <w:rFonts w:hint="eastAsia"/>
          <w:szCs w:val="32"/>
        </w:rPr>
        <w:t>判處拘役30日，尚不無再行思考餘地。</w:t>
      </w:r>
    </w:p>
    <w:p w:rsidR="00C836D7" w:rsidRPr="00AC4C76" w:rsidRDefault="00422B31" w:rsidP="00733CEE">
      <w:pPr>
        <w:pStyle w:val="3"/>
      </w:pPr>
      <w:r w:rsidRPr="00AC4C76">
        <w:rPr>
          <w:rFonts w:hint="eastAsia"/>
          <w:szCs w:val="32"/>
        </w:rPr>
        <w:t>綜上，</w:t>
      </w:r>
      <w:r w:rsidR="00C62078" w:rsidRPr="00AC4C76">
        <w:rPr>
          <w:rFonts w:hint="eastAsia"/>
          <w:szCs w:val="32"/>
        </w:rPr>
        <w:t>本案陳訴人</w:t>
      </w:r>
      <w:r w:rsidR="00942AC3" w:rsidRPr="00AC4C76">
        <w:rPr>
          <w:rFonts w:hint="eastAsia"/>
          <w:szCs w:val="32"/>
        </w:rPr>
        <w:t>林○凱</w:t>
      </w:r>
      <w:r w:rsidR="00C62078" w:rsidRPr="00AC4C76">
        <w:rPr>
          <w:rFonts w:hint="eastAsia"/>
          <w:szCs w:val="32"/>
        </w:rPr>
        <w:t>因停車糾紛與</w:t>
      </w:r>
      <w:r w:rsidR="00942AC3" w:rsidRPr="00AC4C76">
        <w:rPr>
          <w:rFonts w:hint="eastAsia"/>
          <w:szCs w:val="32"/>
        </w:rPr>
        <w:t>沈○維</w:t>
      </w:r>
      <w:r w:rsidR="00C62078" w:rsidRPr="00AC4C76">
        <w:rPr>
          <w:rFonts w:hint="eastAsia"/>
          <w:szCs w:val="32"/>
        </w:rPr>
        <w:t>互控公然侮辱與傷害罪，法院採信證人</w:t>
      </w:r>
      <w:r w:rsidR="00942AC3" w:rsidRPr="00AC4C76">
        <w:rPr>
          <w:rFonts w:hint="eastAsia"/>
          <w:szCs w:val="32"/>
        </w:rPr>
        <w:t>顏○隆</w:t>
      </w:r>
      <w:r w:rsidR="00C62078" w:rsidRPr="00AC4C76">
        <w:rPr>
          <w:rFonts w:hint="eastAsia"/>
          <w:szCs w:val="32"/>
        </w:rPr>
        <w:t>及</w:t>
      </w:r>
      <w:r w:rsidR="00942AC3" w:rsidRPr="00AC4C76">
        <w:rPr>
          <w:rFonts w:hint="eastAsia"/>
          <w:szCs w:val="32"/>
        </w:rPr>
        <w:t>徐○軒</w:t>
      </w:r>
      <w:r w:rsidR="00C62078" w:rsidRPr="00AC4C76">
        <w:rPr>
          <w:rFonts w:hint="eastAsia"/>
          <w:szCs w:val="32"/>
        </w:rPr>
        <w:t>證詞，認定陳訴人</w:t>
      </w:r>
      <w:r w:rsidR="00942AC3" w:rsidRPr="00AC4C76">
        <w:rPr>
          <w:rFonts w:hint="eastAsia"/>
          <w:szCs w:val="32"/>
        </w:rPr>
        <w:t>林○凱</w:t>
      </w:r>
      <w:r w:rsidR="00C62078" w:rsidRPr="00AC4C76">
        <w:rPr>
          <w:rFonts w:hint="eastAsia"/>
          <w:szCs w:val="32"/>
        </w:rPr>
        <w:t>有辱罵</w:t>
      </w:r>
      <w:r w:rsidR="00942AC3" w:rsidRPr="00AC4C76">
        <w:rPr>
          <w:rFonts w:hint="eastAsia"/>
          <w:szCs w:val="32"/>
        </w:rPr>
        <w:t>沈○維</w:t>
      </w:r>
      <w:r w:rsidR="00C62078" w:rsidRPr="00AC4C76">
        <w:rPr>
          <w:rFonts w:hint="eastAsia"/>
          <w:szCs w:val="32"/>
        </w:rPr>
        <w:t>「幹、幹你</w:t>
      </w:r>
      <w:r w:rsidR="00C62078" w:rsidRPr="00AC4C76">
        <w:rPr>
          <w:rFonts w:hint="eastAsia"/>
          <w:szCs w:val="32"/>
        </w:rPr>
        <w:lastRenderedPageBreak/>
        <w:t>娘、龜兒子」等語，處拘役30日，得易科罰金；認定被告</w:t>
      </w:r>
      <w:r w:rsidR="00942AC3" w:rsidRPr="00AC4C76">
        <w:rPr>
          <w:rFonts w:hint="eastAsia"/>
          <w:szCs w:val="32"/>
        </w:rPr>
        <w:t>沈○維</w:t>
      </w:r>
      <w:r w:rsidR="00C62078" w:rsidRPr="00AC4C76">
        <w:rPr>
          <w:rFonts w:hint="eastAsia"/>
          <w:szCs w:val="32"/>
        </w:rPr>
        <w:t>因上前勸架而不慎傷及陳訴人</w:t>
      </w:r>
      <w:r w:rsidR="00942AC3" w:rsidRPr="00AC4C76">
        <w:rPr>
          <w:rFonts w:hint="eastAsia"/>
          <w:szCs w:val="32"/>
        </w:rPr>
        <w:t>林○凱</w:t>
      </w:r>
      <w:r w:rsidR="00C62078" w:rsidRPr="00AC4C76">
        <w:rPr>
          <w:rFonts w:hint="eastAsia"/>
          <w:szCs w:val="32"/>
        </w:rPr>
        <w:t>，並非故意傷害</w:t>
      </w:r>
      <w:r w:rsidR="00942AC3" w:rsidRPr="00AC4C76">
        <w:rPr>
          <w:rFonts w:hint="eastAsia"/>
          <w:szCs w:val="32"/>
        </w:rPr>
        <w:t>林○凱</w:t>
      </w:r>
      <w:r w:rsidR="00C62078" w:rsidRPr="00AC4C76">
        <w:rPr>
          <w:rFonts w:hint="eastAsia"/>
          <w:szCs w:val="32"/>
        </w:rPr>
        <w:t>，所為應予從輕處罰，處拘役10日，得易科罰金，雙方提起上訴，仍遭臺灣高等法院判決駁回確定。</w:t>
      </w:r>
      <w:r w:rsidR="00C62078" w:rsidRPr="00AC4C76">
        <w:rPr>
          <w:szCs w:val="32"/>
        </w:rPr>
        <w:t>刑事訴訟法規定被告有不自證己罪</w:t>
      </w:r>
      <w:r w:rsidR="00C62078" w:rsidRPr="00AC4C76">
        <w:rPr>
          <w:rFonts w:hint="eastAsia"/>
          <w:szCs w:val="32"/>
        </w:rPr>
        <w:t>之</w:t>
      </w:r>
      <w:r w:rsidR="00C62078" w:rsidRPr="00AC4C76">
        <w:rPr>
          <w:szCs w:val="32"/>
        </w:rPr>
        <w:t>權利</w:t>
      </w:r>
      <w:r w:rsidR="00C62078" w:rsidRPr="00AC4C76">
        <w:rPr>
          <w:rFonts w:hint="eastAsia"/>
          <w:szCs w:val="32"/>
        </w:rPr>
        <w:t>，陳訴人堅稱並無辱罵同案被告</w:t>
      </w:r>
      <w:r w:rsidR="00942AC3" w:rsidRPr="00AC4C76">
        <w:rPr>
          <w:rFonts w:hint="eastAsia"/>
          <w:szCs w:val="32"/>
        </w:rPr>
        <w:t>沈○維</w:t>
      </w:r>
      <w:r w:rsidR="00C62078" w:rsidRPr="00AC4C76">
        <w:rPr>
          <w:rFonts w:hint="eastAsia"/>
          <w:szCs w:val="32"/>
        </w:rPr>
        <w:t>「幹、幹你娘、龜兒子」等語，坦承不願意</w:t>
      </w:r>
      <w:r w:rsidR="00942AC3" w:rsidRPr="00AC4C76">
        <w:rPr>
          <w:rFonts w:hint="eastAsia"/>
          <w:szCs w:val="32"/>
        </w:rPr>
        <w:t>沈○維</w:t>
      </w:r>
      <w:r w:rsidR="00C62078" w:rsidRPr="00AC4C76">
        <w:rPr>
          <w:rFonts w:hint="eastAsia"/>
          <w:szCs w:val="32"/>
        </w:rPr>
        <w:t>於警方到場前離開，對</w:t>
      </w:r>
      <w:r w:rsidR="00942AC3" w:rsidRPr="00AC4C76">
        <w:rPr>
          <w:rFonts w:hint="eastAsia"/>
          <w:szCs w:val="32"/>
        </w:rPr>
        <w:t>沈○維</w:t>
      </w:r>
      <w:r w:rsidR="00C62078" w:rsidRPr="00AC4C76">
        <w:rPr>
          <w:rFonts w:hint="eastAsia"/>
          <w:szCs w:val="32"/>
        </w:rPr>
        <w:t>說「你若離開你就是龜兒子」等語，陳訴人捍衛自身權利卻遭法院以「犯後否認犯行，飾詞狡辯，態度不佳，毫無悔意」為由，判處拘役30日，尚不無再行思考之餘地。惟刑之量定，乃法律賦予法院自由裁量之事項，倘於科刑時，已以行為人之責任為基礎，並斟酌刑法第57條所列各款事項，而未逾越法定刑度，即難謂違法，本院仍予尊重</w:t>
      </w:r>
      <w:r w:rsidR="00C836D7" w:rsidRPr="00AC4C76">
        <w:rPr>
          <w:rFonts w:hint="eastAsia"/>
          <w:szCs w:val="32"/>
        </w:rPr>
        <w:t>。</w:t>
      </w:r>
    </w:p>
    <w:p w:rsidR="00667523" w:rsidRPr="00AC4C76" w:rsidRDefault="00667523" w:rsidP="00667523">
      <w:pPr>
        <w:pStyle w:val="1"/>
        <w:ind w:left="2380" w:hanging="2380"/>
      </w:pPr>
      <w:bookmarkStart w:id="41" w:name="_Toc529222689"/>
      <w:bookmarkStart w:id="42" w:name="_Toc529223111"/>
      <w:bookmarkStart w:id="43" w:name="_Toc529223862"/>
      <w:bookmarkStart w:id="44" w:name="_Toc529228265"/>
      <w:bookmarkStart w:id="45" w:name="_Toc2400395"/>
      <w:bookmarkStart w:id="46" w:name="_Toc4316189"/>
      <w:bookmarkStart w:id="47" w:name="_Toc4473330"/>
      <w:bookmarkStart w:id="48" w:name="_Toc69556897"/>
      <w:bookmarkStart w:id="49" w:name="_Toc69556946"/>
      <w:bookmarkStart w:id="50" w:name="_Toc69609820"/>
      <w:bookmarkStart w:id="51" w:name="_Toc70241816"/>
      <w:bookmarkStart w:id="52" w:name="_Toc70242205"/>
      <w:bookmarkStart w:id="53" w:name="_Toc421794875"/>
      <w:bookmarkStart w:id="54" w:name="_Toc422834160"/>
      <w:r w:rsidRPr="00AC4C76">
        <w:rPr>
          <w:rFonts w:hint="eastAsia"/>
        </w:rPr>
        <w:t>處理辦法：</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667523" w:rsidRPr="00AC4C76" w:rsidRDefault="00446871" w:rsidP="00667523">
      <w:pPr>
        <w:pStyle w:val="2"/>
        <w:spacing w:beforeLines="25" w:before="114"/>
        <w:ind w:left="1020" w:hanging="680"/>
      </w:pPr>
      <w:bookmarkStart w:id="55" w:name="_Toc524895649"/>
      <w:bookmarkStart w:id="56" w:name="_Toc524896195"/>
      <w:bookmarkStart w:id="57" w:name="_Toc524896225"/>
      <w:bookmarkStart w:id="58" w:name="_Toc2400396"/>
      <w:bookmarkStart w:id="59" w:name="_Toc4316190"/>
      <w:bookmarkStart w:id="60" w:name="_Toc4473331"/>
      <w:bookmarkStart w:id="61" w:name="_Toc69556898"/>
      <w:bookmarkStart w:id="62" w:name="_Toc69556947"/>
      <w:bookmarkStart w:id="63" w:name="_Toc69609821"/>
      <w:bookmarkStart w:id="64" w:name="_Toc70241817"/>
      <w:bookmarkStart w:id="65" w:name="_Toc70242206"/>
      <w:bookmarkStart w:id="66" w:name="_Toc421794877"/>
      <w:bookmarkStart w:id="67" w:name="_Toc421795443"/>
      <w:bookmarkStart w:id="68" w:name="_Toc421796024"/>
      <w:bookmarkStart w:id="69" w:name="_Toc422728959"/>
      <w:bookmarkStart w:id="70" w:name="_Toc422834162"/>
      <w:bookmarkStart w:id="71" w:name="_Toc524902735"/>
      <w:bookmarkStart w:id="72" w:name="_Toc525066149"/>
      <w:bookmarkStart w:id="73" w:name="_Toc525070840"/>
      <w:bookmarkStart w:id="74" w:name="_Toc525938380"/>
      <w:bookmarkStart w:id="75" w:name="_Toc525939228"/>
      <w:bookmarkStart w:id="76" w:name="_Toc525939733"/>
      <w:bookmarkStart w:id="77" w:name="_Toc529218273"/>
      <w:bookmarkStart w:id="78" w:name="_Toc529222690"/>
      <w:bookmarkStart w:id="79" w:name="_Toc529223112"/>
      <w:bookmarkStart w:id="80" w:name="_Toc529223863"/>
      <w:bookmarkStart w:id="81" w:name="_Toc529228266"/>
      <w:bookmarkEnd w:id="55"/>
      <w:bookmarkEnd w:id="56"/>
      <w:bookmarkEnd w:id="57"/>
      <w:r w:rsidRPr="00AC4C76">
        <w:rPr>
          <w:rFonts w:hint="eastAsia"/>
        </w:rPr>
        <w:t>調查意見一</w:t>
      </w:r>
      <w:r w:rsidR="00667523" w:rsidRPr="00AC4C76">
        <w:rPr>
          <w:rFonts w:hint="eastAsia"/>
        </w:rPr>
        <w:t>，</w:t>
      </w:r>
      <w:r w:rsidR="00456EA4" w:rsidRPr="00AC4C76">
        <w:rPr>
          <w:rFonts w:hint="eastAsia"/>
        </w:rPr>
        <w:t>涉及本院行使調查權，認定刑法第309條第1</w:t>
      </w:r>
      <w:r w:rsidR="005C51BF" w:rsidRPr="00AC4C76">
        <w:rPr>
          <w:rFonts w:hint="eastAsia"/>
        </w:rPr>
        <w:t>項規定有違憲疑義</w:t>
      </w:r>
      <w:r w:rsidR="00456EA4" w:rsidRPr="00AC4C76">
        <w:rPr>
          <w:rFonts w:hint="eastAsia"/>
        </w:rPr>
        <w:t>(</w:t>
      </w:r>
      <w:r w:rsidR="00904FEC" w:rsidRPr="00AC4C76">
        <w:rPr>
          <w:rFonts w:hint="eastAsia"/>
        </w:rPr>
        <w:t>聲請</w:t>
      </w:r>
      <w:r w:rsidR="005C51BF" w:rsidRPr="00AC4C76">
        <w:rPr>
          <w:rFonts w:hint="eastAsia"/>
        </w:rPr>
        <w:t>解釋憲法理由</w:t>
      </w:r>
      <w:r w:rsidR="00904FEC" w:rsidRPr="00AC4C76">
        <w:rPr>
          <w:rFonts w:hint="eastAsia"/>
        </w:rPr>
        <w:t>書</w:t>
      </w:r>
      <w:r w:rsidR="00456EA4" w:rsidRPr="00AC4C76">
        <w:rPr>
          <w:rFonts w:hint="eastAsia"/>
        </w:rPr>
        <w:t>如附件)</w:t>
      </w:r>
      <w:r w:rsidR="00904FEC" w:rsidRPr="00AC4C76">
        <w:rPr>
          <w:rFonts w:hint="eastAsia"/>
        </w:rPr>
        <w:t>，移請院會討論</w:t>
      </w:r>
      <w:r w:rsidR="00456EA4" w:rsidRPr="00AC4C76">
        <w:rPr>
          <w:rFonts w:hint="eastAsia"/>
        </w:rPr>
        <w:t>。</w:t>
      </w:r>
      <w:bookmarkEnd w:id="58"/>
      <w:bookmarkEnd w:id="59"/>
      <w:bookmarkEnd w:id="60"/>
      <w:bookmarkEnd w:id="61"/>
      <w:bookmarkEnd w:id="62"/>
      <w:bookmarkEnd w:id="63"/>
      <w:bookmarkEnd w:id="64"/>
      <w:bookmarkEnd w:id="65"/>
      <w:bookmarkEnd w:id="66"/>
      <w:bookmarkEnd w:id="67"/>
      <w:bookmarkEnd w:id="68"/>
      <w:bookmarkEnd w:id="69"/>
      <w:bookmarkEnd w:id="70"/>
    </w:p>
    <w:p w:rsidR="004B5F99" w:rsidRPr="00AC4C76" w:rsidRDefault="004B5F99" w:rsidP="00667523">
      <w:pPr>
        <w:pStyle w:val="2"/>
        <w:spacing w:beforeLines="25" w:before="114"/>
        <w:ind w:left="1020" w:hanging="680"/>
      </w:pPr>
      <w:r w:rsidRPr="00AC4C76">
        <w:rPr>
          <w:rFonts w:hint="eastAsia"/>
        </w:rPr>
        <w:t>調查意見一，函請法務部參考。</w:t>
      </w:r>
    </w:p>
    <w:p w:rsidR="00667523" w:rsidRPr="00AC4C76" w:rsidRDefault="00446871" w:rsidP="00667523">
      <w:pPr>
        <w:pStyle w:val="2"/>
      </w:pPr>
      <w:bookmarkStart w:id="82" w:name="_Toc70241819"/>
      <w:bookmarkStart w:id="83" w:name="_Toc70242208"/>
      <w:bookmarkStart w:id="84" w:name="_Toc421794878"/>
      <w:bookmarkStart w:id="85" w:name="_Toc421795444"/>
      <w:bookmarkStart w:id="86" w:name="_Toc421796025"/>
      <w:bookmarkStart w:id="87" w:name="_Toc422728960"/>
      <w:bookmarkStart w:id="88" w:name="_Toc422834163"/>
      <w:bookmarkStart w:id="89" w:name="_Toc70241818"/>
      <w:bookmarkStart w:id="90" w:name="_Toc70242207"/>
      <w:r w:rsidRPr="00AC4C76">
        <w:rPr>
          <w:rFonts w:hint="eastAsia"/>
        </w:rPr>
        <w:t>調查意見</w:t>
      </w:r>
      <w:r w:rsidR="00667523" w:rsidRPr="00AC4C76">
        <w:rPr>
          <w:rFonts w:hint="eastAsia"/>
        </w:rPr>
        <w:t>，函復陳訴人。</w:t>
      </w:r>
      <w:bookmarkStart w:id="91" w:name="_Toc2400397"/>
      <w:bookmarkStart w:id="92" w:name="_Toc4316191"/>
      <w:bookmarkStart w:id="93" w:name="_Toc4473332"/>
      <w:bookmarkStart w:id="94" w:name="_Toc69556901"/>
      <w:bookmarkStart w:id="95" w:name="_Toc69556950"/>
      <w:bookmarkStart w:id="96" w:name="_Toc69609824"/>
      <w:bookmarkStart w:id="97" w:name="_Toc70241822"/>
      <w:bookmarkStart w:id="98" w:name="_Toc70242211"/>
      <w:bookmarkStart w:id="99" w:name="_Toc421794881"/>
      <w:bookmarkStart w:id="100" w:name="_Toc421795447"/>
      <w:bookmarkStart w:id="101" w:name="_Toc421796028"/>
      <w:bookmarkStart w:id="102" w:name="_Toc422728963"/>
      <w:bookmarkStart w:id="103" w:name="_Toc422834166"/>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667523" w:rsidRDefault="00184455" w:rsidP="007A2B6F">
      <w:pPr>
        <w:pStyle w:val="2"/>
      </w:pPr>
      <w:r w:rsidRPr="00AC4C76">
        <w:rPr>
          <w:rFonts w:hint="eastAsia"/>
        </w:rPr>
        <w:t>調查意見移請人權保障</w:t>
      </w:r>
      <w:bookmarkStart w:id="104" w:name="_GoBack"/>
      <w:bookmarkEnd w:id="104"/>
      <w:r w:rsidRPr="00AC4C76">
        <w:rPr>
          <w:rFonts w:hint="eastAsia"/>
        </w:rPr>
        <w:t>委員會參處。</w:t>
      </w:r>
      <w:bookmarkEnd w:id="91"/>
      <w:bookmarkEnd w:id="92"/>
      <w:bookmarkEnd w:id="93"/>
      <w:bookmarkEnd w:id="94"/>
      <w:bookmarkEnd w:id="95"/>
      <w:bookmarkEnd w:id="96"/>
      <w:bookmarkEnd w:id="97"/>
      <w:bookmarkEnd w:id="98"/>
      <w:bookmarkEnd w:id="99"/>
      <w:bookmarkEnd w:id="100"/>
      <w:bookmarkEnd w:id="101"/>
      <w:bookmarkEnd w:id="102"/>
      <w:bookmarkEnd w:id="103"/>
    </w:p>
    <w:p w:rsidR="00667523" w:rsidRPr="00AC4C76" w:rsidRDefault="007A2B6F" w:rsidP="007A2B6F">
      <w:pPr>
        <w:pStyle w:val="1"/>
        <w:numPr>
          <w:ilvl w:val="0"/>
          <w:numId w:val="0"/>
        </w:numPr>
        <w:ind w:left="2381" w:firstLine="1021"/>
        <w:jc w:val="center"/>
        <w:rPr>
          <w:szCs w:val="36"/>
        </w:rPr>
      </w:pPr>
      <w:r w:rsidRPr="00AC4C76">
        <w:rPr>
          <w:rFonts w:hint="eastAsia"/>
          <w:spacing w:val="12"/>
          <w:kern w:val="0"/>
          <w:sz w:val="40"/>
        </w:rPr>
        <w:t>調查委員：</w:t>
      </w:r>
      <w:r>
        <w:rPr>
          <w:rFonts w:hint="eastAsia"/>
          <w:spacing w:val="12"/>
          <w:kern w:val="0"/>
          <w:sz w:val="40"/>
        </w:rPr>
        <w:t>陳師孟</w:t>
      </w:r>
      <w:r>
        <w:rPr>
          <w:rFonts w:hAnsi="標楷體" w:hint="eastAsia"/>
          <w:b/>
          <w:bCs w:val="0"/>
          <w:spacing w:val="12"/>
          <w:kern w:val="0"/>
          <w:sz w:val="40"/>
        </w:rPr>
        <w:t>、</w:t>
      </w:r>
      <w:r>
        <w:rPr>
          <w:rFonts w:hint="eastAsia"/>
          <w:spacing w:val="12"/>
          <w:kern w:val="0"/>
          <w:sz w:val="40"/>
        </w:rPr>
        <w:t>高涌誠</w:t>
      </w:r>
    </w:p>
    <w:sectPr w:rsidR="00667523" w:rsidRPr="00AC4C7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CEA" w:rsidRDefault="00B44CEA">
      <w:r>
        <w:separator/>
      </w:r>
    </w:p>
  </w:endnote>
  <w:endnote w:type="continuationSeparator" w:id="0">
    <w:p w:rsidR="00B44CEA" w:rsidRDefault="00B4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Sans Serif">
    <w:altName w:val="Arial"/>
    <w:panose1 w:val="00000000000000000000"/>
    <w:charset w:val="00"/>
    <w:family w:val="swiss"/>
    <w:notTrueType/>
    <w:pitch w:val="variable"/>
    <w:sig w:usb0="00000003" w:usb1="00000000" w:usb2="00000000" w:usb3="00000000" w:csb0="00000001" w:csb1="00000000"/>
  </w:font>
  <w:font w:name="???Regular">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New">
    <w:altName w:val="Times New Roman"/>
    <w:panose1 w:val="00000000000000000000"/>
    <w:charset w:val="00"/>
    <w:family w:val="auto"/>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940" w:rsidRDefault="00F209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7A2B6F">
      <w:rPr>
        <w:rStyle w:val="ad"/>
        <w:noProof/>
        <w:sz w:val="24"/>
      </w:rPr>
      <w:t>26</w:t>
    </w:r>
    <w:r>
      <w:rPr>
        <w:rStyle w:val="ad"/>
        <w:sz w:val="24"/>
      </w:rPr>
      <w:fldChar w:fldCharType="end"/>
    </w:r>
  </w:p>
  <w:p w:rsidR="00F20940" w:rsidRDefault="00F209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CEA" w:rsidRDefault="00B44CEA">
      <w:r>
        <w:separator/>
      </w:r>
    </w:p>
  </w:footnote>
  <w:footnote w:type="continuationSeparator" w:id="0">
    <w:p w:rsidR="00B44CEA" w:rsidRDefault="00B44CEA">
      <w:r>
        <w:continuationSeparator/>
      </w:r>
    </w:p>
  </w:footnote>
  <w:footnote w:id="1">
    <w:p w:rsidR="00F20940" w:rsidRPr="00266B6D" w:rsidRDefault="00F20940" w:rsidP="00B77FAC">
      <w:pPr>
        <w:overflowPunct/>
        <w:adjustRightInd w:val="0"/>
        <w:snapToGrid w:val="0"/>
        <w:jc w:val="left"/>
        <w:rPr>
          <w:rFonts w:hAnsi="標楷體" w:cs="???Regular"/>
          <w:kern w:val="0"/>
          <w:sz w:val="20"/>
          <w:lang w:val="x-none"/>
        </w:rPr>
      </w:pPr>
      <w:r w:rsidRPr="00266B6D">
        <w:rPr>
          <w:rStyle w:val="aff"/>
          <w:rFonts w:hAnsi="標楷體"/>
          <w:sz w:val="20"/>
        </w:rPr>
        <w:footnoteRef/>
      </w:r>
      <w:r w:rsidRPr="00266B6D">
        <w:rPr>
          <w:rFonts w:hAnsi="標楷體" w:cs="新細明體" w:hint="eastAsia"/>
          <w:kern w:val="0"/>
          <w:sz w:val="20"/>
          <w:lang w:val="x-none"/>
        </w:rPr>
        <w:t>參臺灣高等法院</w:t>
      </w:r>
      <w:r w:rsidRPr="00266B6D">
        <w:rPr>
          <w:rFonts w:hAnsi="標楷體" w:cs="新細明體"/>
          <w:kern w:val="0"/>
          <w:sz w:val="20"/>
          <w:lang w:val="x-none"/>
        </w:rPr>
        <w:t>106</w:t>
      </w:r>
      <w:r w:rsidRPr="00266B6D">
        <w:rPr>
          <w:rFonts w:hAnsi="標楷體" w:cs="新細明體" w:hint="eastAsia"/>
          <w:kern w:val="0"/>
          <w:sz w:val="20"/>
          <w:lang w:val="x-none"/>
        </w:rPr>
        <w:t>年上易字第</w:t>
      </w:r>
      <w:r w:rsidRPr="00266B6D">
        <w:rPr>
          <w:rFonts w:hAnsi="標楷體" w:cs="新細明體"/>
          <w:kern w:val="0"/>
          <w:sz w:val="20"/>
          <w:lang w:val="x-none"/>
        </w:rPr>
        <w:t>310</w:t>
      </w:r>
      <w:r w:rsidRPr="00266B6D">
        <w:rPr>
          <w:rFonts w:hAnsi="標楷體" w:cs="新細明體" w:hint="eastAsia"/>
          <w:kern w:val="0"/>
          <w:sz w:val="20"/>
          <w:lang w:val="x-none"/>
        </w:rPr>
        <w:t>號刑事判決。</w:t>
      </w:r>
    </w:p>
  </w:footnote>
  <w:footnote w:id="2">
    <w:p w:rsidR="00F20940" w:rsidRPr="00266B6D" w:rsidRDefault="00F20940" w:rsidP="006371B9">
      <w:pPr>
        <w:pStyle w:val="afd"/>
        <w:spacing w:line="220" w:lineRule="exact"/>
        <w:jc w:val="both"/>
        <w:rPr>
          <w:rFonts w:hAnsi="標楷體"/>
        </w:rPr>
      </w:pPr>
      <w:r w:rsidRPr="00266B6D">
        <w:rPr>
          <w:rStyle w:val="aff"/>
          <w:rFonts w:hAnsi="標楷體"/>
        </w:rPr>
        <w:footnoteRef/>
      </w:r>
      <w:r w:rsidRPr="00266B6D">
        <w:rPr>
          <w:rFonts w:hAnsi="標楷體"/>
        </w:rPr>
        <w:t>許宗力，〈談言論自由的幾個問題〉，《臺灣憲法之縱剖橫切》，</w:t>
      </w:r>
      <w:r w:rsidRPr="00266B6D">
        <w:rPr>
          <w:rFonts w:hAnsi="標楷體" w:hint="eastAsia"/>
        </w:rPr>
        <w:t>元照出版社，</w:t>
      </w:r>
      <w:r w:rsidRPr="00266B6D">
        <w:rPr>
          <w:rFonts w:hAnsi="標楷體"/>
        </w:rPr>
        <w:t>2002年</w:t>
      </w:r>
      <w:r w:rsidRPr="00266B6D">
        <w:rPr>
          <w:rFonts w:hAnsi="標楷體" w:hint="eastAsia"/>
        </w:rPr>
        <w:t>12</w:t>
      </w:r>
      <w:r w:rsidRPr="00266B6D">
        <w:rPr>
          <w:rFonts w:hAnsi="標楷體"/>
        </w:rPr>
        <w:t>月，</w:t>
      </w:r>
      <w:r w:rsidRPr="00266B6D">
        <w:rPr>
          <w:rFonts w:hAnsi="標楷體" w:hint="eastAsia"/>
        </w:rPr>
        <w:t>頁</w:t>
      </w:r>
      <w:r w:rsidRPr="00266B6D">
        <w:rPr>
          <w:rFonts w:hAnsi="標楷體"/>
        </w:rPr>
        <w:t>241</w:t>
      </w:r>
      <w:r w:rsidRPr="00266B6D">
        <w:rPr>
          <w:rFonts w:hAnsi="標楷體" w:hint="eastAsia"/>
        </w:rPr>
        <w:t>-</w:t>
      </w:r>
      <w:r w:rsidRPr="00266B6D">
        <w:rPr>
          <w:rFonts w:hAnsi="標楷體"/>
        </w:rPr>
        <w:t>242。</w:t>
      </w:r>
    </w:p>
  </w:footnote>
  <w:footnote w:id="3">
    <w:p w:rsidR="00F20940" w:rsidRPr="00266B6D" w:rsidRDefault="00F20940" w:rsidP="006371B9">
      <w:pPr>
        <w:pStyle w:val="afd"/>
        <w:spacing w:line="220" w:lineRule="exact"/>
        <w:jc w:val="both"/>
        <w:rPr>
          <w:rFonts w:hAnsi="標楷體"/>
        </w:rPr>
      </w:pPr>
      <w:r w:rsidRPr="00266B6D">
        <w:rPr>
          <w:rStyle w:val="aff"/>
          <w:rFonts w:hAnsi="標楷體"/>
        </w:rPr>
        <w:footnoteRef/>
      </w:r>
      <w:r w:rsidRPr="00266B6D">
        <w:rPr>
          <w:rFonts w:hAnsi="標楷體" w:cs="新細明體" w:hint="eastAsia"/>
          <w:kern w:val="0"/>
          <w:lang w:val="x-none"/>
        </w:rPr>
        <w:t>司法院</w:t>
      </w:r>
      <w:r w:rsidRPr="00266B6D">
        <w:rPr>
          <w:rFonts w:hAnsi="標楷體" w:cs="新細明體"/>
          <w:kern w:val="0"/>
          <w:lang w:val="x-none"/>
        </w:rPr>
        <w:t>釋字第509號解釋吳庚大法官之協同意見書</w:t>
      </w:r>
      <w:r w:rsidRPr="00266B6D">
        <w:rPr>
          <w:rFonts w:hAnsi="標楷體" w:cs="新細明體" w:hint="eastAsia"/>
          <w:kern w:val="0"/>
          <w:lang w:val="x-none"/>
        </w:rPr>
        <w:t>：</w:t>
      </w:r>
      <w:r w:rsidRPr="00266B6D">
        <w:rPr>
          <w:rFonts w:hAnsi="標楷體" w:cs="新細明體"/>
          <w:kern w:val="0"/>
          <w:lang w:val="x-none"/>
        </w:rPr>
        <w:t>「按陳述事實與發表意見不同，事實有能證明真實與否之問題，意見則為主觀之價值判斷，無所謂真實與否，在民主多元社會各種價值判斷皆應容許，不應有何者正確或何者錯誤而運用公權力加以鼓勵或禁制之現象，僅能經由言論之自由市場機制，使真理愈辯愈明而達去蕪存菁之效果。對於可受公評之事項，尤其對政府之施政措施，縱然以不留餘地或尖酸刻薄之語言文字予以批評，亦應認為仍受憲法之保障。蓋維護言論自由即所以促進政治民主及社會之健全發展，與個人名譽可能遭受之損失兩相衡量，顯然有較高之價值。」</w:t>
      </w:r>
    </w:p>
  </w:footnote>
  <w:footnote w:id="4">
    <w:p w:rsidR="001A22D7" w:rsidRPr="00266B6D" w:rsidRDefault="001A22D7">
      <w:pPr>
        <w:pStyle w:val="afd"/>
        <w:rPr>
          <w:rFonts w:hAnsi="標楷體"/>
        </w:rPr>
      </w:pPr>
      <w:r w:rsidRPr="00266B6D">
        <w:rPr>
          <w:rStyle w:val="aff"/>
          <w:rFonts w:hAnsi="標楷體"/>
        </w:rPr>
        <w:footnoteRef/>
      </w:r>
      <w:r w:rsidR="005A5C51" w:rsidRPr="00266B6D">
        <w:rPr>
          <w:rFonts w:hAnsi="標楷體"/>
        </w:rPr>
        <w:t>臺灣苗栗地方法院103年度易字第146號刑事判決</w:t>
      </w:r>
      <w:r w:rsidR="005A5C51" w:rsidRPr="00266B6D">
        <w:rPr>
          <w:rFonts w:hAnsi="標楷體" w:hint="eastAsia"/>
        </w:rPr>
        <w:t>。</w:t>
      </w:r>
    </w:p>
  </w:footnote>
  <w:footnote w:id="5">
    <w:p w:rsidR="008A2108" w:rsidRPr="00266B6D" w:rsidRDefault="008A2108">
      <w:pPr>
        <w:pStyle w:val="afd"/>
        <w:rPr>
          <w:rFonts w:hAnsi="標楷體"/>
        </w:rPr>
      </w:pPr>
      <w:r w:rsidRPr="00266B6D">
        <w:rPr>
          <w:rStyle w:val="aff"/>
          <w:rFonts w:hAnsi="標楷體"/>
        </w:rPr>
        <w:footnoteRef/>
      </w:r>
      <w:r w:rsidRPr="00266B6D">
        <w:rPr>
          <w:rFonts w:hAnsi="標楷體" w:cs="Consolas"/>
          <w:color w:val="000000"/>
          <w:shd w:val="clear" w:color="auto" w:fill="F3FAF4"/>
        </w:rPr>
        <w:t>臺灣高雄地方法院</w:t>
      </w:r>
      <w:r w:rsidR="00266B6D">
        <w:rPr>
          <w:rFonts w:hAnsi="標楷體" w:cs="Consolas"/>
          <w:color w:val="000000"/>
          <w:shd w:val="clear" w:color="auto" w:fill="F3FAF4"/>
        </w:rPr>
        <w:t>108</w:t>
      </w:r>
      <w:r w:rsidRPr="00266B6D">
        <w:rPr>
          <w:rFonts w:hAnsi="標楷體" w:cs="Consolas"/>
          <w:color w:val="000000"/>
          <w:shd w:val="clear" w:color="auto" w:fill="F3FAF4"/>
        </w:rPr>
        <w:t>年簡字第</w:t>
      </w:r>
      <w:r w:rsidR="00266B6D">
        <w:rPr>
          <w:rFonts w:hAnsi="標楷體" w:cs="Consolas"/>
          <w:color w:val="000000"/>
          <w:shd w:val="clear" w:color="auto" w:fill="F3FAF4"/>
        </w:rPr>
        <w:t>2440</w:t>
      </w:r>
      <w:r w:rsidRPr="00266B6D">
        <w:rPr>
          <w:rFonts w:hAnsi="標楷體" w:cs="Consolas"/>
          <w:color w:val="000000"/>
          <w:shd w:val="clear" w:color="auto" w:fill="F3FAF4"/>
        </w:rPr>
        <w:t>號刑事判決</w:t>
      </w:r>
      <w:r w:rsidRPr="00266B6D">
        <w:rPr>
          <w:rFonts w:hAnsi="標楷體" w:cs="Consolas" w:hint="eastAsia"/>
          <w:color w:val="000000"/>
          <w:shd w:val="clear" w:color="auto" w:fill="F3FAF4"/>
        </w:rPr>
        <w:t>。</w:t>
      </w:r>
    </w:p>
  </w:footnote>
  <w:footnote w:id="6">
    <w:p w:rsidR="00C8072E" w:rsidRPr="00266B6D" w:rsidRDefault="00C8072E">
      <w:pPr>
        <w:pStyle w:val="afd"/>
        <w:rPr>
          <w:rFonts w:hAnsi="標楷體"/>
        </w:rPr>
      </w:pPr>
      <w:r w:rsidRPr="00266B6D">
        <w:rPr>
          <w:rStyle w:val="aff"/>
          <w:rFonts w:hAnsi="標楷體"/>
        </w:rPr>
        <w:footnoteRef/>
      </w:r>
      <w:r w:rsidRPr="00266B6D">
        <w:rPr>
          <w:rFonts w:hAnsi="標楷體" w:cs="Consolas" w:hint="eastAsia"/>
          <w:color w:val="000000"/>
          <w:shd w:val="clear" w:color="auto" w:fill="F3FAF4"/>
        </w:rPr>
        <w:t>臺</w:t>
      </w:r>
      <w:r w:rsidRPr="00266B6D">
        <w:rPr>
          <w:rFonts w:hAnsi="標楷體" w:cs="Consolas"/>
          <w:color w:val="000000"/>
          <w:shd w:val="clear" w:color="auto" w:fill="F3FAF4"/>
        </w:rPr>
        <w:t>灣高等法院105年度上易字第1337號刑事判決</w:t>
      </w:r>
      <w:r w:rsidRPr="00266B6D">
        <w:rPr>
          <w:rFonts w:hAnsi="標楷體" w:cs="Consolas" w:hint="eastAsia"/>
          <w:color w:val="000000"/>
          <w:shd w:val="clear" w:color="auto" w:fill="F3FAF4"/>
        </w:rPr>
        <w:t>。</w:t>
      </w:r>
    </w:p>
  </w:footnote>
  <w:footnote w:id="7">
    <w:p w:rsidR="00E61DCA" w:rsidRPr="00266B6D" w:rsidRDefault="00E61DCA">
      <w:pPr>
        <w:pStyle w:val="afd"/>
        <w:rPr>
          <w:rFonts w:hAnsi="標楷體"/>
        </w:rPr>
      </w:pPr>
      <w:r w:rsidRPr="00266B6D">
        <w:rPr>
          <w:rStyle w:val="aff"/>
          <w:rFonts w:hAnsi="標楷體"/>
        </w:rPr>
        <w:footnoteRef/>
      </w:r>
      <w:r w:rsidRPr="00266B6D">
        <w:rPr>
          <w:rFonts w:hAnsi="標楷體" w:cs="新細明體"/>
          <w:color w:val="000000"/>
          <w:kern w:val="0"/>
          <w:lang w:val="x-none"/>
        </w:rPr>
        <w:t>臺灣臺北地方法院</w:t>
      </w:r>
      <w:r w:rsidR="001741EC" w:rsidRPr="00266B6D">
        <w:rPr>
          <w:rFonts w:hAnsi="標楷體" w:cs="新細明體"/>
          <w:color w:val="000000"/>
          <w:kern w:val="0"/>
          <w:lang w:val="x-none"/>
        </w:rPr>
        <w:t>100</w:t>
      </w:r>
      <w:r w:rsidRPr="00266B6D">
        <w:rPr>
          <w:rFonts w:hAnsi="標楷體" w:cs="新細明體"/>
          <w:color w:val="000000"/>
          <w:kern w:val="0"/>
          <w:lang w:val="x-none"/>
        </w:rPr>
        <w:t>年度簡字第</w:t>
      </w:r>
      <w:r w:rsidR="001741EC" w:rsidRPr="00266B6D">
        <w:rPr>
          <w:rFonts w:hAnsi="標楷體" w:cs="新細明體"/>
          <w:color w:val="000000"/>
          <w:kern w:val="0"/>
          <w:lang w:val="x-none"/>
        </w:rPr>
        <w:t>3727</w:t>
      </w:r>
      <w:r w:rsidRPr="00266B6D">
        <w:rPr>
          <w:rFonts w:hAnsi="標楷體" w:cs="新細明體"/>
          <w:color w:val="000000"/>
          <w:kern w:val="0"/>
          <w:lang w:val="x-none"/>
        </w:rPr>
        <w:t>號判決</w:t>
      </w:r>
      <w:r w:rsidRPr="00266B6D">
        <w:rPr>
          <w:rFonts w:hAnsi="標楷體" w:cs="新細明體" w:hint="eastAsia"/>
          <w:color w:val="000000"/>
          <w:kern w:val="0"/>
          <w:lang w:val="x-none"/>
        </w:rPr>
        <w:t>。</w:t>
      </w:r>
    </w:p>
  </w:footnote>
  <w:footnote w:id="8">
    <w:p w:rsidR="00E61DCA" w:rsidRPr="00266B6D" w:rsidRDefault="00E61DCA">
      <w:pPr>
        <w:pStyle w:val="afd"/>
        <w:rPr>
          <w:rFonts w:hAnsi="標楷體"/>
        </w:rPr>
      </w:pPr>
      <w:r w:rsidRPr="00266B6D">
        <w:rPr>
          <w:rStyle w:val="aff"/>
          <w:rFonts w:hAnsi="標楷體"/>
        </w:rPr>
        <w:footnoteRef/>
      </w:r>
      <w:r w:rsidRPr="00266B6D">
        <w:rPr>
          <w:rFonts w:hAnsi="標楷體" w:cs="新細明體"/>
          <w:color w:val="000000"/>
          <w:kern w:val="0"/>
          <w:lang w:val="x-none"/>
        </w:rPr>
        <w:t>臺灣臺中地方法院</w:t>
      </w:r>
      <w:r w:rsidR="001741EC" w:rsidRPr="00266B6D">
        <w:rPr>
          <w:rFonts w:hAnsi="標楷體" w:cs="新細明體"/>
          <w:color w:val="000000"/>
          <w:kern w:val="0"/>
          <w:lang w:val="x-none"/>
        </w:rPr>
        <w:t>100</w:t>
      </w:r>
      <w:r w:rsidRPr="00266B6D">
        <w:rPr>
          <w:rFonts w:hAnsi="標楷體" w:cs="新細明體"/>
          <w:color w:val="000000"/>
          <w:kern w:val="0"/>
          <w:lang w:val="x-none"/>
        </w:rPr>
        <w:t>年度易字第</w:t>
      </w:r>
      <w:r w:rsidR="001741EC" w:rsidRPr="00266B6D">
        <w:rPr>
          <w:rFonts w:hAnsi="標楷體" w:cs="新細明體"/>
          <w:color w:val="000000"/>
          <w:kern w:val="0"/>
          <w:lang w:val="x-none"/>
        </w:rPr>
        <w:t>1620</w:t>
      </w:r>
      <w:r w:rsidRPr="00266B6D">
        <w:rPr>
          <w:rFonts w:hAnsi="標楷體" w:cs="新細明體"/>
          <w:color w:val="000000"/>
          <w:kern w:val="0"/>
          <w:lang w:val="x-none"/>
        </w:rPr>
        <w:t>號判決</w:t>
      </w:r>
      <w:r w:rsidRPr="00266B6D">
        <w:rPr>
          <w:rFonts w:hAnsi="標楷體" w:cs="新細明體" w:hint="eastAsia"/>
          <w:color w:val="000000"/>
          <w:kern w:val="0"/>
          <w:lang w:val="x-none"/>
        </w:rPr>
        <w:t>。</w:t>
      </w:r>
    </w:p>
  </w:footnote>
  <w:footnote w:id="9">
    <w:p w:rsidR="00E61DCA" w:rsidRPr="00266B6D" w:rsidRDefault="00E61DCA">
      <w:pPr>
        <w:pStyle w:val="afd"/>
        <w:rPr>
          <w:rFonts w:hAnsi="標楷體"/>
        </w:rPr>
      </w:pPr>
      <w:r w:rsidRPr="00266B6D">
        <w:rPr>
          <w:rStyle w:val="aff"/>
          <w:rFonts w:hAnsi="標楷體"/>
        </w:rPr>
        <w:footnoteRef/>
      </w:r>
      <w:r w:rsidRPr="00266B6D">
        <w:rPr>
          <w:rFonts w:hAnsi="標楷體" w:cs="新細明體"/>
          <w:color w:val="000000"/>
          <w:kern w:val="0"/>
          <w:lang w:val="x-none"/>
        </w:rPr>
        <w:t>臺灣高等法院臺中分院</w:t>
      </w:r>
      <w:r w:rsidR="001741EC" w:rsidRPr="00266B6D">
        <w:rPr>
          <w:rFonts w:hAnsi="標楷體" w:cs="新細明體"/>
          <w:color w:val="000000"/>
          <w:kern w:val="0"/>
          <w:lang w:val="x-none"/>
        </w:rPr>
        <w:t>101</w:t>
      </w:r>
      <w:r w:rsidRPr="00266B6D">
        <w:rPr>
          <w:rFonts w:hAnsi="標楷體" w:cs="新細明體"/>
          <w:color w:val="000000"/>
          <w:kern w:val="0"/>
          <w:lang w:val="x-none"/>
        </w:rPr>
        <w:t>年度上易字第</w:t>
      </w:r>
      <w:r w:rsidR="001741EC" w:rsidRPr="00266B6D">
        <w:rPr>
          <w:rFonts w:hAnsi="標楷體" w:cs="新細明體"/>
          <w:color w:val="000000"/>
          <w:kern w:val="0"/>
          <w:lang w:val="x-none"/>
        </w:rPr>
        <w:t>501</w:t>
      </w:r>
      <w:r w:rsidRPr="00266B6D">
        <w:rPr>
          <w:rFonts w:hAnsi="標楷體" w:cs="新細明體"/>
          <w:color w:val="000000"/>
          <w:kern w:val="0"/>
          <w:lang w:val="x-none"/>
        </w:rPr>
        <w:t>號判決</w:t>
      </w:r>
      <w:r w:rsidRPr="00266B6D">
        <w:rPr>
          <w:rFonts w:hAnsi="標楷體" w:cs="新細明體" w:hint="eastAsia"/>
          <w:color w:val="000000"/>
          <w:kern w:val="0"/>
          <w:lang w:val="x-none"/>
        </w:rPr>
        <w:t>。</w:t>
      </w:r>
    </w:p>
  </w:footnote>
  <w:footnote w:id="10">
    <w:p w:rsidR="00E61DCA" w:rsidRPr="00266B6D" w:rsidRDefault="00E61DCA">
      <w:pPr>
        <w:pStyle w:val="afd"/>
        <w:rPr>
          <w:rFonts w:hAnsi="標楷體"/>
        </w:rPr>
      </w:pPr>
      <w:r w:rsidRPr="00266B6D">
        <w:rPr>
          <w:rStyle w:val="aff"/>
          <w:rFonts w:hAnsi="標楷體"/>
        </w:rPr>
        <w:footnoteRef/>
      </w:r>
      <w:r w:rsidRPr="00266B6D">
        <w:rPr>
          <w:rFonts w:hAnsi="標楷體" w:cs="新細明體"/>
          <w:color w:val="000000"/>
          <w:kern w:val="0"/>
          <w:lang w:val="x-none"/>
        </w:rPr>
        <w:t>臺灣臺北地方法院</w:t>
      </w:r>
      <w:r w:rsidR="001741EC" w:rsidRPr="00266B6D">
        <w:rPr>
          <w:rFonts w:hAnsi="標楷體" w:cs="新細明體"/>
          <w:color w:val="000000"/>
          <w:kern w:val="0"/>
          <w:lang w:val="x-none"/>
        </w:rPr>
        <w:t>101</w:t>
      </w:r>
      <w:r w:rsidRPr="00266B6D">
        <w:rPr>
          <w:rFonts w:hAnsi="標楷體" w:cs="新細明體"/>
          <w:color w:val="000000"/>
          <w:kern w:val="0"/>
          <w:lang w:val="x-none"/>
        </w:rPr>
        <w:t>年度審易字第</w:t>
      </w:r>
      <w:r w:rsidR="001741EC" w:rsidRPr="00266B6D">
        <w:rPr>
          <w:rFonts w:hAnsi="標楷體" w:cs="新細明體"/>
          <w:color w:val="000000"/>
          <w:kern w:val="0"/>
          <w:lang w:val="x-none"/>
        </w:rPr>
        <w:t>210</w:t>
      </w:r>
      <w:r w:rsidRPr="00266B6D">
        <w:rPr>
          <w:rFonts w:hAnsi="標楷體" w:cs="新細明體"/>
          <w:color w:val="000000"/>
          <w:kern w:val="0"/>
          <w:lang w:val="x-none"/>
        </w:rPr>
        <w:t>號判決</w:t>
      </w:r>
      <w:r w:rsidRPr="00266B6D">
        <w:rPr>
          <w:rFonts w:hAnsi="標楷體" w:cs="新細明體" w:hint="eastAsia"/>
          <w:color w:val="000000"/>
          <w:kern w:val="0"/>
          <w:lang w:val="x-none"/>
        </w:rPr>
        <w:t>。</w:t>
      </w:r>
    </w:p>
  </w:footnote>
  <w:footnote w:id="11">
    <w:p w:rsidR="00E61DCA" w:rsidRPr="00266B6D" w:rsidRDefault="00E61DCA">
      <w:pPr>
        <w:pStyle w:val="afd"/>
        <w:rPr>
          <w:rFonts w:hAnsi="標楷體"/>
        </w:rPr>
      </w:pPr>
      <w:r w:rsidRPr="00266B6D">
        <w:rPr>
          <w:rStyle w:val="aff"/>
          <w:rFonts w:hAnsi="標楷體"/>
        </w:rPr>
        <w:footnoteRef/>
      </w:r>
      <w:r w:rsidRPr="00266B6D">
        <w:rPr>
          <w:rFonts w:hAnsi="標楷體" w:cs="新細明體"/>
          <w:color w:val="000000"/>
          <w:kern w:val="0"/>
          <w:lang w:val="x-none"/>
        </w:rPr>
        <w:t>臺灣高等法院</w:t>
      </w:r>
      <w:r w:rsidR="001741EC" w:rsidRPr="00266B6D">
        <w:rPr>
          <w:rFonts w:hAnsi="標楷體" w:cs="新細明體"/>
          <w:color w:val="000000"/>
          <w:kern w:val="0"/>
          <w:lang w:val="x-none"/>
        </w:rPr>
        <w:t>101</w:t>
      </w:r>
      <w:r w:rsidRPr="00266B6D">
        <w:rPr>
          <w:rFonts w:hAnsi="標楷體" w:cs="新細明體"/>
          <w:color w:val="000000"/>
          <w:kern w:val="0"/>
          <w:lang w:val="x-none"/>
        </w:rPr>
        <w:t>年度上易字第</w:t>
      </w:r>
      <w:r w:rsidR="001741EC" w:rsidRPr="00266B6D">
        <w:rPr>
          <w:rFonts w:hAnsi="標楷體" w:cs="新細明體"/>
          <w:color w:val="000000"/>
          <w:kern w:val="0"/>
          <w:lang w:val="x-none"/>
        </w:rPr>
        <w:t>369</w:t>
      </w:r>
      <w:r w:rsidRPr="00266B6D">
        <w:rPr>
          <w:rFonts w:hAnsi="標楷體" w:cs="新細明體"/>
          <w:color w:val="000000"/>
          <w:kern w:val="0"/>
          <w:lang w:val="x-none"/>
        </w:rPr>
        <w:t>號判決。</w:t>
      </w:r>
    </w:p>
  </w:footnote>
  <w:footnote w:id="12">
    <w:p w:rsidR="00C8072E" w:rsidRPr="00266B6D" w:rsidRDefault="00C8072E">
      <w:pPr>
        <w:pStyle w:val="afd"/>
        <w:rPr>
          <w:rFonts w:hAnsi="標楷體"/>
        </w:rPr>
      </w:pPr>
      <w:r w:rsidRPr="00266B6D">
        <w:rPr>
          <w:rStyle w:val="aff"/>
          <w:rFonts w:hAnsi="標楷體"/>
        </w:rPr>
        <w:footnoteRef/>
      </w:r>
      <w:r w:rsidRPr="00266B6D">
        <w:rPr>
          <w:rFonts w:hAnsi="標楷體" w:cs="Consolas"/>
          <w:color w:val="000000"/>
          <w:shd w:val="clear" w:color="auto" w:fill="F3FAF4"/>
        </w:rPr>
        <w:t>臺灣臺南地方法院1</w:t>
      </w:r>
      <w:r w:rsidRPr="00266B6D">
        <w:rPr>
          <w:rFonts w:hAnsi="標楷體" w:cs="Consolas" w:hint="eastAsia"/>
          <w:color w:val="000000"/>
          <w:shd w:val="clear" w:color="auto" w:fill="F3FAF4"/>
        </w:rPr>
        <w:t>08</w:t>
      </w:r>
      <w:r w:rsidRPr="00266B6D">
        <w:rPr>
          <w:rFonts w:hAnsi="標楷體" w:cs="Consolas"/>
          <w:color w:val="000000"/>
          <w:shd w:val="clear" w:color="auto" w:fill="F3FAF4"/>
        </w:rPr>
        <w:t>年簡字第2214號刑事判決</w:t>
      </w:r>
      <w:r w:rsidRPr="00266B6D">
        <w:rPr>
          <w:rFonts w:hAnsi="標楷體" w:cs="Consolas" w:hint="eastAsia"/>
          <w:color w:val="000000"/>
          <w:shd w:val="clear" w:color="auto" w:fill="F3FAF4"/>
        </w:rPr>
        <w:t>。</w:t>
      </w:r>
    </w:p>
  </w:footnote>
  <w:footnote w:id="13">
    <w:p w:rsidR="00F20940" w:rsidRPr="00266B6D" w:rsidRDefault="00F20940" w:rsidP="006371B9">
      <w:pPr>
        <w:pStyle w:val="afd"/>
        <w:spacing w:line="220" w:lineRule="exact"/>
        <w:jc w:val="both"/>
        <w:rPr>
          <w:rFonts w:hAnsi="標楷體"/>
        </w:rPr>
      </w:pPr>
      <w:r w:rsidRPr="00266B6D">
        <w:rPr>
          <w:rStyle w:val="aff"/>
          <w:rFonts w:hAnsi="標楷體"/>
        </w:rPr>
        <w:footnoteRef/>
      </w:r>
      <w:r w:rsidRPr="00266B6D">
        <w:rPr>
          <w:rFonts w:hAnsi="標楷體"/>
        </w:rPr>
        <w:t>李念祖</w:t>
      </w:r>
      <w:r w:rsidRPr="00266B6D">
        <w:rPr>
          <w:rFonts w:hAnsi="標楷體" w:hint="eastAsia"/>
        </w:rPr>
        <w:t>，〈</w:t>
      </w:r>
      <w:r w:rsidRPr="00266B6D">
        <w:rPr>
          <w:rFonts w:hAnsi="標楷體"/>
        </w:rPr>
        <w:t>言論自由與言論責任</w:t>
      </w:r>
      <w:r w:rsidRPr="00266B6D">
        <w:rPr>
          <w:rFonts w:hAnsi="標楷體" w:hint="eastAsia"/>
        </w:rPr>
        <w:t>-</w:t>
      </w:r>
      <w:r w:rsidRPr="00266B6D">
        <w:rPr>
          <w:rFonts w:hAnsi="標楷體"/>
        </w:rPr>
        <w:t>當公眾人物的名譽權遇上言論自由：以民事責任為中心</w:t>
      </w:r>
      <w:r w:rsidRPr="00266B6D">
        <w:rPr>
          <w:rFonts w:hAnsi="標楷體" w:hint="eastAsia"/>
        </w:rPr>
        <w:t>〉，《</w:t>
      </w:r>
      <w:r w:rsidRPr="00266B6D">
        <w:rPr>
          <w:rFonts w:hAnsi="標楷體"/>
        </w:rPr>
        <w:t>法管協會雜誌</w:t>
      </w:r>
      <w:r w:rsidRPr="00266B6D">
        <w:rPr>
          <w:rFonts w:hAnsi="標楷體" w:hint="eastAsia"/>
        </w:rPr>
        <w:t>》，</w:t>
      </w:r>
      <w:r w:rsidRPr="00266B6D">
        <w:rPr>
          <w:rFonts w:hAnsi="標楷體"/>
        </w:rPr>
        <w:t>第</w:t>
      </w:r>
      <w:r w:rsidRPr="00266B6D">
        <w:rPr>
          <w:rFonts w:hAnsi="標楷體" w:hint="eastAsia"/>
        </w:rPr>
        <w:t>16</w:t>
      </w:r>
      <w:r w:rsidRPr="00266B6D">
        <w:rPr>
          <w:rFonts w:hAnsi="標楷體"/>
        </w:rPr>
        <w:t>卷</w:t>
      </w:r>
      <w:r w:rsidRPr="00266B6D">
        <w:rPr>
          <w:rFonts w:hAnsi="標楷體" w:hint="eastAsia"/>
        </w:rPr>
        <w:t>，</w:t>
      </w:r>
      <w:r w:rsidRPr="00266B6D">
        <w:rPr>
          <w:rFonts w:hAnsi="標楷體" w:cs="Tahoma"/>
        </w:rPr>
        <w:t>2014</w:t>
      </w:r>
      <w:r w:rsidRPr="00266B6D">
        <w:rPr>
          <w:rFonts w:hAnsi="標楷體" w:cs="Tahoma" w:hint="eastAsia"/>
        </w:rPr>
        <w:t>年</w:t>
      </w:r>
      <w:r w:rsidRPr="00266B6D">
        <w:rPr>
          <w:rFonts w:hAnsi="標楷體" w:cs="Tahoma"/>
        </w:rPr>
        <w:t>12</w:t>
      </w:r>
      <w:r w:rsidRPr="00266B6D">
        <w:rPr>
          <w:rFonts w:hAnsi="標楷體" w:cs="Tahoma" w:hint="eastAsia"/>
        </w:rPr>
        <w:t>月。</w:t>
      </w:r>
    </w:p>
  </w:footnote>
  <w:footnote w:id="14">
    <w:p w:rsidR="00F20940" w:rsidRPr="00266B6D" w:rsidRDefault="00F20940" w:rsidP="006371B9">
      <w:pPr>
        <w:pStyle w:val="afd"/>
        <w:spacing w:line="220" w:lineRule="exact"/>
        <w:jc w:val="both"/>
        <w:rPr>
          <w:rFonts w:hAnsi="標楷體"/>
        </w:rPr>
      </w:pPr>
      <w:r w:rsidRPr="00266B6D">
        <w:rPr>
          <w:rStyle w:val="aff"/>
          <w:rFonts w:hAnsi="標楷體"/>
        </w:rPr>
        <w:footnoteRef/>
      </w:r>
      <w:r w:rsidRPr="00266B6D">
        <w:rPr>
          <w:rFonts w:hAnsi="標楷體"/>
        </w:rPr>
        <w:t>許玉秀，〈刑罰規範的違憲審查標準〉，《民主•人權正義-蘇俊雄教授七秩華誕祝壽論文集》，2005年9月，頁401</w:t>
      </w:r>
      <w:r w:rsidRPr="00266B6D">
        <w:rPr>
          <w:rFonts w:hAnsi="標楷體" w:hint="eastAsia"/>
        </w:rPr>
        <w:t>-</w:t>
      </w:r>
      <w:r w:rsidRPr="00266B6D">
        <w:rPr>
          <w:rFonts w:hAnsi="標楷體"/>
        </w:rPr>
        <w:t>402。</w:t>
      </w:r>
    </w:p>
  </w:footnote>
  <w:footnote w:id="15">
    <w:p w:rsidR="00F20940" w:rsidRPr="00266B6D" w:rsidRDefault="00F20940" w:rsidP="006371B9">
      <w:pPr>
        <w:pStyle w:val="afd"/>
        <w:spacing w:line="220" w:lineRule="exact"/>
        <w:jc w:val="both"/>
        <w:rPr>
          <w:rFonts w:hAnsi="標楷體"/>
        </w:rPr>
      </w:pPr>
      <w:r w:rsidRPr="00266B6D">
        <w:rPr>
          <w:rStyle w:val="aff"/>
          <w:rFonts w:hAnsi="標楷體"/>
        </w:rPr>
        <w:footnoteRef/>
      </w:r>
      <w:r w:rsidRPr="00266B6D">
        <w:rPr>
          <w:rFonts w:hAnsi="標楷體" w:hint="eastAsia"/>
        </w:rPr>
        <w:t>李</w:t>
      </w:r>
      <w:r w:rsidRPr="00266B6D">
        <w:rPr>
          <w:rFonts w:hAnsi="標楷體"/>
        </w:rPr>
        <w:t>震山，〈人性尊嚴之憲法意義〉，《人性尊嚴與人權保障》，2000年2月，頁3</w:t>
      </w:r>
      <w:r w:rsidRPr="00266B6D">
        <w:rPr>
          <w:rFonts w:hAnsi="標楷體" w:hint="eastAsia"/>
        </w:rPr>
        <w:t>-</w:t>
      </w:r>
      <w:r w:rsidRPr="00266B6D">
        <w:rPr>
          <w:rFonts w:hAnsi="標楷體"/>
        </w:rPr>
        <w:t>25</w:t>
      </w:r>
      <w:r w:rsidRPr="00266B6D">
        <w:rPr>
          <w:rFonts w:hAnsi="標楷體" w:hint="eastAsia"/>
        </w:rPr>
        <w:t>。</w:t>
      </w:r>
    </w:p>
  </w:footnote>
  <w:footnote w:id="16">
    <w:p w:rsidR="00F20940" w:rsidRPr="00266B6D" w:rsidRDefault="00F20940" w:rsidP="006371B9">
      <w:pPr>
        <w:pStyle w:val="afd"/>
        <w:spacing w:line="220" w:lineRule="exact"/>
        <w:ind w:left="110" w:hangingChars="50" w:hanging="110"/>
        <w:jc w:val="both"/>
        <w:rPr>
          <w:rFonts w:hAnsi="標楷體"/>
        </w:rPr>
      </w:pPr>
      <w:r w:rsidRPr="00266B6D">
        <w:rPr>
          <w:rStyle w:val="aff"/>
          <w:rFonts w:hAnsi="標楷體"/>
        </w:rPr>
        <w:footnoteRef/>
      </w:r>
      <w:r w:rsidRPr="00266B6D">
        <w:rPr>
          <w:rFonts w:hAnsi="標楷體" w:hint="eastAsia"/>
        </w:rPr>
        <w:t>有關</w:t>
      </w:r>
      <w:r w:rsidRPr="00266B6D">
        <w:rPr>
          <w:rFonts w:hAnsi="標楷體"/>
        </w:rPr>
        <w:t>妨害名譽罪除罪化之檢討</w:t>
      </w:r>
      <w:r w:rsidRPr="00266B6D">
        <w:rPr>
          <w:rFonts w:hAnsi="標楷體" w:hint="eastAsia"/>
        </w:rPr>
        <w:t>，</w:t>
      </w:r>
      <w:r w:rsidRPr="00266B6D">
        <w:rPr>
          <w:rFonts w:hAnsi="標楷體"/>
        </w:rPr>
        <w:t>總統府司法改革國是會議第五分組</w:t>
      </w:r>
      <w:r w:rsidRPr="00266B6D">
        <w:rPr>
          <w:rFonts w:hAnsi="標楷體" w:hint="eastAsia"/>
        </w:rPr>
        <w:t>會議</w:t>
      </w:r>
      <w:r w:rsidRPr="00266B6D">
        <w:rPr>
          <w:rFonts w:hAnsi="標楷體"/>
        </w:rPr>
        <w:t>決議：基於言論自由與新聞自由之保障，避免以刑逼民、濫用國家訴訟資源，參考妨害名譽之實證統計，103到105年共28073件妨害名譽案件偵查終結，僅5745案件起訴，而觀察</w:t>
      </w:r>
      <w:r w:rsidRPr="00266B6D">
        <w:rPr>
          <w:rFonts w:hAnsi="標楷體" w:hint="eastAsia"/>
        </w:rPr>
        <w:t>3</w:t>
      </w:r>
      <w:r w:rsidRPr="00266B6D">
        <w:rPr>
          <w:rFonts w:hAnsi="標楷體"/>
        </w:rPr>
        <w:t>年內所有妨害名譽之判決，幾無人受自由刑之處分，顯見本罪之存在可能干擾新聞與言論自由，亦有浪費司法資源之虞，建議妨害名譽犯罪予以除罪化，以民事訴訟處理妨害名譽行為可能造成之損害</w:t>
      </w:r>
      <w:r w:rsidRPr="00266B6D">
        <w:rPr>
          <w:rFonts w:hAnsi="標楷體" w:hint="eastAsia"/>
        </w:rPr>
        <w:t>。資料來源：法務部108年4月12日法檢字第10800053980號函。</w:t>
      </w:r>
    </w:p>
  </w:footnote>
  <w:footnote w:id="17">
    <w:p w:rsidR="00F20940" w:rsidRPr="00266B6D" w:rsidRDefault="00F20940" w:rsidP="00115BCC">
      <w:pPr>
        <w:widowControl/>
        <w:shd w:val="clear" w:color="auto" w:fill="FFFFFF"/>
        <w:kinsoku w:val="0"/>
        <w:wordWrap w:val="0"/>
        <w:overflowPunct/>
        <w:adjustRightInd w:val="0"/>
        <w:snapToGrid w:val="0"/>
        <w:spacing w:line="220" w:lineRule="exact"/>
        <w:textAlignment w:val="baseline"/>
        <w:outlineLvl w:val="0"/>
        <w:rPr>
          <w:rFonts w:hAnsi="標楷體"/>
          <w:sz w:val="20"/>
        </w:rPr>
      </w:pPr>
      <w:r w:rsidRPr="00266B6D">
        <w:rPr>
          <w:rStyle w:val="aff"/>
          <w:rFonts w:hAnsi="標楷體"/>
          <w:sz w:val="20"/>
        </w:rPr>
        <w:footnoteRef/>
      </w:r>
      <w:r w:rsidRPr="00266B6D">
        <w:rPr>
          <w:rFonts w:hAnsi="標楷體"/>
          <w:sz w:val="20"/>
        </w:rPr>
        <w:t>許恒達</w:t>
      </w:r>
      <w:r w:rsidRPr="00266B6D">
        <w:rPr>
          <w:rFonts w:hAnsi="標楷體" w:hint="eastAsia"/>
          <w:sz w:val="20"/>
        </w:rPr>
        <w:t>，〈公然侮辱應除罪化〉，《澄社評論》，</w:t>
      </w:r>
      <w:hyperlink r:id="rId1" w:history="1">
        <w:r w:rsidRPr="00266B6D">
          <w:rPr>
            <w:rFonts w:hAnsi="標楷體"/>
            <w:sz w:val="20"/>
          </w:rPr>
          <w:t>https：//talk.ltn.com.tw/article/paper/837254</w:t>
        </w:r>
      </w:hyperlink>
      <w:r w:rsidRPr="00266B6D">
        <w:rPr>
          <w:rFonts w:hAnsi="標楷體" w:hint="eastAsia"/>
          <w:sz w:val="20"/>
        </w:rPr>
        <w:t>(瀏覽日期：2019/6/20)。</w:t>
      </w:r>
    </w:p>
  </w:footnote>
  <w:footnote w:id="18">
    <w:p w:rsidR="00F20940" w:rsidRPr="00266B6D" w:rsidRDefault="00F20940" w:rsidP="006371B9">
      <w:pPr>
        <w:pStyle w:val="afd"/>
        <w:spacing w:line="220" w:lineRule="exact"/>
        <w:ind w:left="110" w:hangingChars="50" w:hanging="110"/>
        <w:jc w:val="both"/>
        <w:rPr>
          <w:rFonts w:hAnsi="標楷體"/>
        </w:rPr>
      </w:pPr>
      <w:r w:rsidRPr="00266B6D">
        <w:rPr>
          <w:rStyle w:val="aff"/>
          <w:rFonts w:hAnsi="標楷體"/>
        </w:rPr>
        <w:footnoteRef/>
      </w:r>
      <w:r w:rsidRPr="00266B6D">
        <w:rPr>
          <w:rFonts w:hAnsi="標楷體" w:hint="eastAsia"/>
        </w:rPr>
        <w:t xml:space="preserve"> </w:t>
      </w:r>
      <w:r w:rsidRPr="00266B6D">
        <w:rPr>
          <w:rFonts w:hAnsi="標楷體"/>
        </w:rPr>
        <w:t>李念祖</w:t>
      </w:r>
      <w:r w:rsidRPr="00266B6D">
        <w:rPr>
          <w:rFonts w:hAnsi="標楷體" w:hint="eastAsia"/>
        </w:rPr>
        <w:t>，〈</w:t>
      </w:r>
      <w:r w:rsidRPr="00266B6D">
        <w:rPr>
          <w:rFonts w:hAnsi="標楷體"/>
        </w:rPr>
        <w:t>言論自由與言論責任</w:t>
      </w:r>
      <w:r w:rsidRPr="00266B6D">
        <w:rPr>
          <w:rFonts w:hAnsi="標楷體" w:hint="eastAsia"/>
        </w:rPr>
        <w:t>-</w:t>
      </w:r>
      <w:r w:rsidRPr="00266B6D">
        <w:rPr>
          <w:rFonts w:hAnsi="標楷體"/>
        </w:rPr>
        <w:t>當公眾人物的名譽權遇上言論自由：以民事責任為中心</w:t>
      </w:r>
      <w:r w:rsidRPr="00266B6D">
        <w:rPr>
          <w:rFonts w:hAnsi="標楷體" w:hint="eastAsia"/>
        </w:rPr>
        <w:t>〉，《</w:t>
      </w:r>
      <w:r w:rsidRPr="00266B6D">
        <w:rPr>
          <w:rFonts w:hAnsi="標楷體"/>
        </w:rPr>
        <w:t>法管協會雜誌</w:t>
      </w:r>
      <w:r w:rsidRPr="00266B6D">
        <w:rPr>
          <w:rFonts w:hAnsi="標楷體" w:hint="eastAsia"/>
        </w:rPr>
        <w:t>》，</w:t>
      </w:r>
      <w:r w:rsidRPr="00266B6D">
        <w:rPr>
          <w:rFonts w:hAnsi="標楷體"/>
        </w:rPr>
        <w:t>第</w:t>
      </w:r>
      <w:r w:rsidRPr="00266B6D">
        <w:rPr>
          <w:rFonts w:hAnsi="標楷體" w:hint="eastAsia"/>
        </w:rPr>
        <w:t>16</w:t>
      </w:r>
      <w:r w:rsidRPr="00266B6D">
        <w:rPr>
          <w:rFonts w:hAnsi="標楷體"/>
        </w:rPr>
        <w:t>卷</w:t>
      </w:r>
      <w:r w:rsidRPr="00266B6D">
        <w:rPr>
          <w:rFonts w:hAnsi="標楷體" w:cs="Tahoma" w:hint="eastAsia"/>
        </w:rPr>
        <w:t>，</w:t>
      </w:r>
      <w:r w:rsidRPr="00266B6D">
        <w:rPr>
          <w:rFonts w:hAnsi="標楷體" w:cs="Tahoma"/>
        </w:rPr>
        <w:t>2014</w:t>
      </w:r>
      <w:r w:rsidRPr="00266B6D">
        <w:rPr>
          <w:rFonts w:hAnsi="標楷體" w:cs="Tahoma" w:hint="eastAsia"/>
        </w:rPr>
        <w:t>年</w:t>
      </w:r>
      <w:r w:rsidRPr="00266B6D">
        <w:rPr>
          <w:rFonts w:hAnsi="標楷體" w:cs="Tahoma"/>
        </w:rPr>
        <w:t>12</w:t>
      </w:r>
      <w:r w:rsidRPr="00266B6D">
        <w:rPr>
          <w:rFonts w:hAnsi="標楷體" w:hint="eastAsia"/>
        </w:rPr>
        <w:t>月</w:t>
      </w:r>
      <w:r w:rsidRPr="00266B6D">
        <w:rPr>
          <w:rFonts w:hAnsi="標楷體" w:cs="Tahoma" w:hint="eastAsia"/>
        </w:rPr>
        <w:t>。</w:t>
      </w:r>
    </w:p>
  </w:footnote>
  <w:footnote w:id="19">
    <w:p w:rsidR="00F20940" w:rsidRPr="00266B6D" w:rsidRDefault="00F20940" w:rsidP="006371B9">
      <w:pPr>
        <w:pStyle w:val="afd"/>
        <w:spacing w:line="220" w:lineRule="exact"/>
        <w:ind w:left="110" w:hangingChars="50" w:hanging="110"/>
        <w:jc w:val="both"/>
        <w:rPr>
          <w:rFonts w:hAnsi="標楷體"/>
        </w:rPr>
      </w:pPr>
      <w:r w:rsidRPr="00266B6D">
        <w:rPr>
          <w:rStyle w:val="aff"/>
          <w:rFonts w:hAnsi="標楷體"/>
        </w:rPr>
        <w:footnoteRef/>
      </w:r>
      <w:r w:rsidRPr="00266B6D">
        <w:rPr>
          <w:rFonts w:hAnsi="標楷體" w:hint="eastAsia"/>
        </w:rPr>
        <w:t>法務部網站</w:t>
      </w:r>
      <w:hyperlink r:id="rId2" w:history="1">
        <w:r w:rsidRPr="00266B6D">
          <w:rPr>
            <w:rFonts w:hAnsi="標楷體"/>
          </w:rPr>
          <w:t>http：//www.humanrights.moj.gov.tw/lp-506-200.html，</w:t>
        </w:r>
        <w:r w:rsidRPr="00266B6D">
          <w:rPr>
            <w:rFonts w:hAnsi="標楷體" w:hint="eastAsia"/>
          </w:rPr>
          <w:t>瀏覽日期：108</w:t>
        </w:r>
      </w:hyperlink>
      <w:r w:rsidRPr="00266B6D">
        <w:rPr>
          <w:rFonts w:hAnsi="標楷體" w:hint="eastAsia"/>
        </w:rPr>
        <w:t>年7月1日。</w:t>
      </w:r>
    </w:p>
  </w:footnote>
  <w:footnote w:id="20">
    <w:p w:rsidR="00F20940" w:rsidRPr="00266B6D" w:rsidRDefault="00F20940" w:rsidP="006371B9">
      <w:pPr>
        <w:pStyle w:val="afd"/>
        <w:spacing w:line="220" w:lineRule="exact"/>
        <w:ind w:left="110" w:hangingChars="50" w:hanging="110"/>
        <w:jc w:val="both"/>
        <w:rPr>
          <w:rFonts w:hAnsi="標楷體" w:cs="???Regular"/>
          <w:kern w:val="0"/>
          <w:lang w:val="x-none"/>
        </w:rPr>
      </w:pPr>
      <w:r w:rsidRPr="00266B6D">
        <w:rPr>
          <w:rStyle w:val="aff"/>
          <w:rFonts w:hAnsi="標楷體"/>
        </w:rPr>
        <w:footnoteRef/>
      </w:r>
      <w:r w:rsidRPr="00266B6D">
        <w:rPr>
          <w:rFonts w:hAnsi="標楷體" w:cs="新細明體" w:hint="eastAsia"/>
          <w:kern w:val="0"/>
          <w:lang w:val="x-none"/>
        </w:rPr>
        <w:t>摘錄自臺灣高等法院</w:t>
      </w:r>
      <w:r w:rsidRPr="00266B6D">
        <w:rPr>
          <w:rFonts w:hAnsi="標楷體" w:cs="???Regular"/>
          <w:kern w:val="0"/>
          <w:lang w:val="x-none"/>
        </w:rPr>
        <w:t>105</w:t>
      </w:r>
      <w:r w:rsidRPr="00266B6D">
        <w:rPr>
          <w:rFonts w:hAnsi="標楷體" w:cs="新細明體" w:hint="eastAsia"/>
          <w:kern w:val="0"/>
          <w:lang w:val="x-none"/>
        </w:rPr>
        <w:t>年上易字第</w:t>
      </w:r>
      <w:r w:rsidRPr="00266B6D">
        <w:rPr>
          <w:rFonts w:hAnsi="標楷體" w:cs="???Regular"/>
          <w:kern w:val="0"/>
          <w:lang w:val="x-none"/>
        </w:rPr>
        <w:t>1905</w:t>
      </w:r>
      <w:r w:rsidRPr="00266B6D">
        <w:rPr>
          <w:rFonts w:hAnsi="標楷體" w:cs="新細明體" w:hint="eastAsia"/>
          <w:kern w:val="0"/>
          <w:lang w:val="x-none"/>
        </w:rPr>
        <w:t>號刑事判決，錢建榮法官之不同意見書一(四)。</w:t>
      </w:r>
    </w:p>
  </w:footnote>
  <w:footnote w:id="21">
    <w:p w:rsidR="00F20940" w:rsidRPr="00266B6D" w:rsidRDefault="00F20940" w:rsidP="006371B9">
      <w:pPr>
        <w:pStyle w:val="afd"/>
        <w:spacing w:line="220" w:lineRule="exact"/>
        <w:ind w:left="110" w:hangingChars="50" w:hanging="110"/>
        <w:jc w:val="both"/>
        <w:rPr>
          <w:rFonts w:hAnsi="標楷體"/>
        </w:rPr>
      </w:pPr>
      <w:r w:rsidRPr="00266B6D">
        <w:rPr>
          <w:rStyle w:val="aff"/>
          <w:rFonts w:hAnsi="標楷體"/>
        </w:rPr>
        <w:footnoteRef/>
      </w:r>
      <w:r w:rsidRPr="00266B6D">
        <w:rPr>
          <w:rFonts w:hAnsi="標楷體"/>
        </w:rPr>
        <w:t>甘添貴教授：「以空泛之言詞辱罵他人『瘋子』或『智障』等，並不會影響社會一般人對該他人人格之社會評價，且亦不足以影響該他人人格價值應為社會一般人正當認識與尊重之地位或狀態，至多僅使該他人精神上或心理上感受相當之難堪或不快，所影響者僅係他人之主觀感受或反應而已</w:t>
      </w:r>
      <w:r w:rsidRPr="00266B6D">
        <w:rPr>
          <w:rFonts w:hAnsi="標楷體" w:hint="eastAsia"/>
        </w:rPr>
        <w:t>。</w:t>
      </w:r>
      <w:r w:rsidRPr="00266B6D">
        <w:rPr>
          <w:rFonts w:hAnsi="標楷體"/>
        </w:rPr>
        <w:t>」（甘添貴，《刑法各論（上)》，2009年6月，頁156</w:t>
      </w:r>
      <w:r w:rsidRPr="00266B6D">
        <w:rPr>
          <w:rFonts w:hAnsi="標楷體" w:hint="eastAsia"/>
        </w:rPr>
        <w:t>。</w:t>
      </w:r>
      <w:r w:rsidRPr="00266B6D">
        <w:rPr>
          <w:rFonts w:hAnsi="標楷體"/>
        </w:rPr>
        <w:t>）</w:t>
      </w:r>
    </w:p>
  </w:footnote>
  <w:footnote w:id="22">
    <w:p w:rsidR="00F20940" w:rsidRPr="00266B6D" w:rsidRDefault="00F20940" w:rsidP="006371B9">
      <w:pPr>
        <w:pStyle w:val="afd"/>
        <w:spacing w:line="220" w:lineRule="exact"/>
        <w:ind w:left="110" w:hangingChars="50" w:hanging="110"/>
        <w:jc w:val="both"/>
        <w:rPr>
          <w:rFonts w:hAnsi="標楷體"/>
        </w:rPr>
      </w:pPr>
      <w:r w:rsidRPr="00266B6D">
        <w:rPr>
          <w:rStyle w:val="aff"/>
          <w:rFonts w:hAnsi="標楷體"/>
        </w:rPr>
        <w:footnoteRef/>
      </w:r>
      <w:r w:rsidRPr="00266B6D">
        <w:rPr>
          <w:rFonts w:hAnsi="標楷體"/>
        </w:rPr>
        <w:t>甘添貴</w:t>
      </w:r>
      <w:r w:rsidRPr="00266B6D">
        <w:rPr>
          <w:rFonts w:hAnsi="標楷體" w:hint="eastAsia"/>
        </w:rPr>
        <w:t>，《</w:t>
      </w:r>
      <w:r w:rsidRPr="00266B6D">
        <w:rPr>
          <w:rFonts w:hAnsi="標楷體"/>
        </w:rPr>
        <w:t>刑法各論（上)</w:t>
      </w:r>
      <w:r w:rsidRPr="00266B6D">
        <w:rPr>
          <w:rFonts w:hAnsi="標楷體" w:hint="eastAsia"/>
        </w:rPr>
        <w:t>》</w:t>
      </w:r>
      <w:r w:rsidRPr="00266B6D">
        <w:rPr>
          <w:rFonts w:hAnsi="標楷體"/>
        </w:rPr>
        <w:t>，2009年6月，頁156；甘添貴，</w:t>
      </w:r>
      <w:r w:rsidRPr="00266B6D">
        <w:rPr>
          <w:rFonts w:hAnsi="標楷體" w:hint="eastAsia"/>
        </w:rPr>
        <w:t>《</w:t>
      </w:r>
      <w:r w:rsidRPr="00266B6D">
        <w:rPr>
          <w:rFonts w:hAnsi="標楷體"/>
        </w:rPr>
        <w:t>體系刑法各論(第</w:t>
      </w:r>
      <w:r w:rsidRPr="00266B6D">
        <w:rPr>
          <w:rFonts w:hAnsi="標楷體" w:hint="eastAsia"/>
        </w:rPr>
        <w:t>1</w:t>
      </w:r>
      <w:r w:rsidRPr="00266B6D">
        <w:rPr>
          <w:rFonts w:hAnsi="標楷體"/>
        </w:rPr>
        <w:t>卷)</w:t>
      </w:r>
      <w:r w:rsidRPr="00266B6D">
        <w:rPr>
          <w:rFonts w:hAnsi="標楷體" w:hint="eastAsia"/>
        </w:rPr>
        <w:t>》，</w:t>
      </w:r>
      <w:r w:rsidRPr="00266B6D">
        <w:rPr>
          <w:rFonts w:hAnsi="標楷體"/>
        </w:rPr>
        <w:t>1999年9月，頁325以下。</w:t>
      </w:r>
    </w:p>
  </w:footnote>
  <w:footnote w:id="23">
    <w:p w:rsidR="00F20940" w:rsidRPr="00266B6D" w:rsidRDefault="00F20940" w:rsidP="006371B9">
      <w:pPr>
        <w:pStyle w:val="afd"/>
        <w:spacing w:line="220" w:lineRule="exact"/>
        <w:ind w:left="110" w:hangingChars="50" w:hanging="110"/>
        <w:jc w:val="both"/>
        <w:rPr>
          <w:rFonts w:hAnsi="標楷體"/>
        </w:rPr>
      </w:pPr>
      <w:r w:rsidRPr="00266B6D">
        <w:rPr>
          <w:rStyle w:val="aff"/>
          <w:rFonts w:hAnsi="標楷體"/>
        </w:rPr>
        <w:footnoteRef/>
      </w:r>
      <w:r w:rsidRPr="00266B6D">
        <w:rPr>
          <w:rFonts w:hAnsi="標楷體" w:cs="新細明體" w:hint="eastAsia"/>
          <w:kern w:val="0"/>
          <w:lang w:val="x-none"/>
        </w:rPr>
        <w:t>臺灣高等法院</w:t>
      </w:r>
      <w:r w:rsidRPr="00266B6D">
        <w:rPr>
          <w:rFonts w:hAnsi="標楷體" w:cs="???Regular"/>
          <w:kern w:val="0"/>
          <w:lang w:val="x-none"/>
        </w:rPr>
        <w:t>105</w:t>
      </w:r>
      <w:r w:rsidRPr="00266B6D">
        <w:rPr>
          <w:rFonts w:hAnsi="標楷體" w:cs="新細明體" w:hint="eastAsia"/>
          <w:kern w:val="0"/>
          <w:lang w:val="x-none"/>
        </w:rPr>
        <w:t>年上易字第</w:t>
      </w:r>
      <w:r w:rsidRPr="00266B6D">
        <w:rPr>
          <w:rFonts w:hAnsi="標楷體" w:cs="???Regular"/>
          <w:kern w:val="0"/>
          <w:lang w:val="x-none"/>
        </w:rPr>
        <w:t>1905</w:t>
      </w:r>
      <w:r w:rsidRPr="00266B6D">
        <w:rPr>
          <w:rFonts w:hAnsi="標楷體" w:cs="新細明體" w:hint="eastAsia"/>
          <w:kern w:val="0"/>
          <w:lang w:val="x-none"/>
        </w:rPr>
        <w:t>號刑事判決，錢建榮法官之不同意見書四(一)：「</w:t>
      </w:r>
      <w:r w:rsidRPr="00266B6D">
        <w:rPr>
          <w:rFonts w:hAnsi="標楷體" w:cs="新細明體"/>
          <w:kern w:val="0"/>
          <w:lang w:val="x-none"/>
        </w:rPr>
        <w:t>……</w:t>
      </w:r>
      <w:r w:rsidRPr="00266B6D">
        <w:rPr>
          <w:rFonts w:hAnsi="標楷體" w:cs="新細明體" w:hint="eastAsia"/>
          <w:kern w:val="0"/>
          <w:lang w:val="x-none"/>
        </w:rPr>
        <w:t>其實單純意見表達的『公然侮辱』，很難認定對於『名譽』造成侵害，即令採取所謂『名譽感情』的說法，其所造成之傷害，或者說傷害可能性，應該遠較『誹謗』來得小。蓋『侮辱』並未針對『事實』指摘傳述，而個人在特定人或群體當中的『評價』，不致輕易因他人言論而影響或取代，即便是一句『卑鄙』、『無恥』，或本件被告所說的『不要臉』，此類言論對於『名譽』的傷害，沒有誹謗言論來得具殺傷力。最重要的，所謂侮辱性言論，均係涉及行為人主觀評價的意見表達，相較於誹謗帶有不實事實的傳述，侮辱性言論反而更應受到言論自由的絕對保障。只有極少數例外情形，如涉及仇恨性、歧視性言論，始在立法形成自由下，視立法者是否依該國國情、文化，制定形罰加以制裁。</w:t>
      </w:r>
      <w:r w:rsidRPr="00266B6D">
        <w:rPr>
          <w:rFonts w:hAnsi="標楷體" w:cs="新細明體"/>
          <w:kern w:val="0"/>
          <w:lang w:val="x-none"/>
        </w:rPr>
        <w:t>……</w:t>
      </w:r>
      <w:r w:rsidRPr="00266B6D">
        <w:rPr>
          <w:rFonts w:hAnsi="標楷體" w:cs="新細明體" w:hint="eastAsia"/>
          <w:kern w:val="0"/>
          <w:lang w:val="x-none"/>
        </w:rPr>
        <w:t>被指摘者不會因為幾句粗俗言詞就受到社會上負面評價，毋寧反是說出此類粗俗言詞的被告，會被社會評價為品位不佳、人品不良者，而遭致人格貶低的社會評價，如此所謂『名譽』受損者，即非提起告訴者，反係被告？！」</w:t>
      </w:r>
    </w:p>
  </w:footnote>
  <w:footnote w:id="24">
    <w:p w:rsidR="00F20940" w:rsidRPr="00266B6D" w:rsidRDefault="00F20940" w:rsidP="00034687">
      <w:pPr>
        <w:pStyle w:val="afd"/>
        <w:kinsoku w:val="0"/>
        <w:wordWrap w:val="0"/>
        <w:overflowPunct/>
        <w:spacing w:line="220" w:lineRule="exact"/>
        <w:ind w:left="220" w:hangingChars="100" w:hanging="220"/>
        <w:jc w:val="both"/>
        <w:rPr>
          <w:rFonts w:hAnsi="標楷體"/>
        </w:rPr>
      </w:pPr>
      <w:r w:rsidRPr="00266B6D">
        <w:rPr>
          <w:rStyle w:val="aff"/>
          <w:rFonts w:hAnsi="標楷體"/>
        </w:rPr>
        <w:footnoteRef/>
      </w:r>
      <w:r w:rsidRPr="00266B6D">
        <w:rPr>
          <w:rFonts w:hAnsi="標楷體"/>
        </w:rPr>
        <w:t xml:space="preserve"> </w:t>
      </w:r>
      <w:r w:rsidRPr="00266B6D">
        <w:rPr>
          <w:rFonts w:hAnsi="標楷體" w:hint="eastAsia"/>
        </w:rPr>
        <w:t>資料來源：法源法律網。</w:t>
      </w:r>
      <w:r w:rsidRPr="00266B6D">
        <w:rPr>
          <w:rFonts w:hAnsi="標楷體"/>
        </w:rPr>
        <w:t>https：//www.lawbank.com.tw/treatise/lawrela.aspx?lsid=FL070447&amp;ldate=20141216&amp;lno=34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C51A4E"/>
    <w:multiLevelType w:val="hybridMultilevel"/>
    <w:tmpl w:val="B57E47B4"/>
    <w:lvl w:ilvl="0" w:tplc="59E622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A2BA592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7621FD"/>
    <w:multiLevelType w:val="hybridMultilevel"/>
    <w:tmpl w:val="CE6A36B8"/>
    <w:lvl w:ilvl="0" w:tplc="D96A4D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E82113"/>
    <w:multiLevelType w:val="hybridMultilevel"/>
    <w:tmpl w:val="4A9E0D5C"/>
    <w:lvl w:ilvl="0" w:tplc="047E9F50">
      <w:start w:val="1"/>
      <w:numFmt w:val="decimal"/>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8593546"/>
    <w:multiLevelType w:val="hybridMultilevel"/>
    <w:tmpl w:val="C144F354"/>
    <w:lvl w:ilvl="0" w:tplc="99F836F4">
      <w:start w:val="1"/>
      <w:numFmt w:val="decimal"/>
      <w:lvlText w:val="%1、"/>
      <w:lvlJc w:val="left"/>
      <w:pPr>
        <w:ind w:left="1934" w:hanging="720"/>
      </w:pPr>
      <w:rPr>
        <w:rFonts w:hAnsi="Arial" w:hint="default"/>
      </w:rPr>
    </w:lvl>
    <w:lvl w:ilvl="1" w:tplc="04090019" w:tentative="1">
      <w:start w:val="1"/>
      <w:numFmt w:val="ideographTraditional"/>
      <w:lvlText w:val="%2、"/>
      <w:lvlJc w:val="left"/>
      <w:pPr>
        <w:ind w:left="2174" w:hanging="480"/>
      </w:pPr>
    </w:lvl>
    <w:lvl w:ilvl="2" w:tplc="0409001B" w:tentative="1">
      <w:start w:val="1"/>
      <w:numFmt w:val="lowerRoman"/>
      <w:lvlText w:val="%3."/>
      <w:lvlJc w:val="right"/>
      <w:pPr>
        <w:ind w:left="2654" w:hanging="480"/>
      </w:pPr>
    </w:lvl>
    <w:lvl w:ilvl="3" w:tplc="0409000F" w:tentative="1">
      <w:start w:val="1"/>
      <w:numFmt w:val="decimal"/>
      <w:lvlText w:val="%4."/>
      <w:lvlJc w:val="left"/>
      <w:pPr>
        <w:ind w:left="3134" w:hanging="480"/>
      </w:pPr>
    </w:lvl>
    <w:lvl w:ilvl="4" w:tplc="04090019" w:tentative="1">
      <w:start w:val="1"/>
      <w:numFmt w:val="ideographTraditional"/>
      <w:lvlText w:val="%5、"/>
      <w:lvlJc w:val="left"/>
      <w:pPr>
        <w:ind w:left="3614" w:hanging="480"/>
      </w:pPr>
    </w:lvl>
    <w:lvl w:ilvl="5" w:tplc="0409001B" w:tentative="1">
      <w:start w:val="1"/>
      <w:numFmt w:val="lowerRoman"/>
      <w:lvlText w:val="%6."/>
      <w:lvlJc w:val="right"/>
      <w:pPr>
        <w:ind w:left="4094" w:hanging="480"/>
      </w:pPr>
    </w:lvl>
    <w:lvl w:ilvl="6" w:tplc="0409000F" w:tentative="1">
      <w:start w:val="1"/>
      <w:numFmt w:val="decimal"/>
      <w:lvlText w:val="%7."/>
      <w:lvlJc w:val="left"/>
      <w:pPr>
        <w:ind w:left="4574" w:hanging="480"/>
      </w:pPr>
    </w:lvl>
    <w:lvl w:ilvl="7" w:tplc="04090019" w:tentative="1">
      <w:start w:val="1"/>
      <w:numFmt w:val="ideographTraditional"/>
      <w:lvlText w:val="%8、"/>
      <w:lvlJc w:val="left"/>
      <w:pPr>
        <w:ind w:left="5054" w:hanging="480"/>
      </w:pPr>
    </w:lvl>
    <w:lvl w:ilvl="8" w:tplc="0409001B" w:tentative="1">
      <w:start w:val="1"/>
      <w:numFmt w:val="lowerRoman"/>
      <w:lvlText w:val="%9."/>
      <w:lvlJc w:val="right"/>
      <w:pPr>
        <w:ind w:left="5534"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D270C9E"/>
    <w:multiLevelType w:val="hybridMultilevel"/>
    <w:tmpl w:val="F7C49D86"/>
    <w:lvl w:ilvl="0" w:tplc="F4F29594">
      <w:start w:val="1"/>
      <w:numFmt w:val="taiwaneseCountingThousand"/>
      <w:lvlText w:val="(%1)"/>
      <w:lvlJc w:val="left"/>
      <w:pPr>
        <w:ind w:left="1430" w:hanging="720"/>
      </w:pPr>
      <w:rPr>
        <w:rFonts w:hint="default"/>
      </w:rPr>
    </w:lvl>
    <w:lvl w:ilvl="1" w:tplc="04090019">
      <w:start w:val="1"/>
      <w:numFmt w:val="ideographTraditional"/>
      <w:lvlText w:val="%2、"/>
      <w:lvlJc w:val="left"/>
      <w:pPr>
        <w:ind w:left="1670" w:hanging="480"/>
      </w:pPr>
    </w:lvl>
    <w:lvl w:ilvl="2" w:tplc="C64CF4FE">
      <w:start w:val="1"/>
      <w:numFmt w:val="decimal"/>
      <w:lvlText w:val="%3、"/>
      <w:lvlJc w:val="left"/>
      <w:pPr>
        <w:ind w:left="2390" w:hanging="720"/>
      </w:pPr>
      <w:rPr>
        <w:rFonts w:cs="新細明體" w:hint="default"/>
      </w:r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A162435"/>
    <w:multiLevelType w:val="hybridMultilevel"/>
    <w:tmpl w:val="6A84A3B0"/>
    <w:lvl w:ilvl="0" w:tplc="5CC6B3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9"/>
  </w:num>
  <w:num w:numId="4">
    <w:abstractNumId w:val="6"/>
  </w:num>
  <w:num w:numId="5">
    <w:abstractNumId w:val="11"/>
  </w:num>
  <w:num w:numId="6">
    <w:abstractNumId w:val="2"/>
  </w:num>
  <w:num w:numId="7">
    <w:abstractNumId w:val="12"/>
  </w:num>
  <w:num w:numId="8">
    <w:abstractNumId w:val="7"/>
  </w:num>
  <w:num w:numId="9">
    <w:abstractNumId w:val="13"/>
  </w:num>
  <w:num w:numId="10">
    <w:abstractNumId w:val="3"/>
  </w:num>
  <w:num w:numId="11">
    <w:abstractNumId w:val="1"/>
  </w:num>
  <w:num w:numId="12">
    <w:abstractNumId w:val="10"/>
  </w:num>
  <w:num w:numId="13">
    <w:abstractNumId w:val="8"/>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D73"/>
    <w:rsid w:val="000035DC"/>
    <w:rsid w:val="00006961"/>
    <w:rsid w:val="00007BE0"/>
    <w:rsid w:val="000112BF"/>
    <w:rsid w:val="00012233"/>
    <w:rsid w:val="00017318"/>
    <w:rsid w:val="00021473"/>
    <w:rsid w:val="000232DC"/>
    <w:rsid w:val="00023F1C"/>
    <w:rsid w:val="000246F7"/>
    <w:rsid w:val="000302DA"/>
    <w:rsid w:val="0003114D"/>
    <w:rsid w:val="0003260C"/>
    <w:rsid w:val="00034687"/>
    <w:rsid w:val="0003570E"/>
    <w:rsid w:val="000365EA"/>
    <w:rsid w:val="00036D76"/>
    <w:rsid w:val="000424BD"/>
    <w:rsid w:val="00047016"/>
    <w:rsid w:val="00051A8E"/>
    <w:rsid w:val="000521E0"/>
    <w:rsid w:val="0005657B"/>
    <w:rsid w:val="00057F32"/>
    <w:rsid w:val="00062A25"/>
    <w:rsid w:val="00063C3F"/>
    <w:rsid w:val="00065469"/>
    <w:rsid w:val="000705F0"/>
    <w:rsid w:val="0007380F"/>
    <w:rsid w:val="00073CB5"/>
    <w:rsid w:val="0007425C"/>
    <w:rsid w:val="000745D0"/>
    <w:rsid w:val="00074B3E"/>
    <w:rsid w:val="00077553"/>
    <w:rsid w:val="00081D99"/>
    <w:rsid w:val="000829D4"/>
    <w:rsid w:val="000851A2"/>
    <w:rsid w:val="00086010"/>
    <w:rsid w:val="000879A5"/>
    <w:rsid w:val="00091615"/>
    <w:rsid w:val="0009352E"/>
    <w:rsid w:val="00096B96"/>
    <w:rsid w:val="000A2F3F"/>
    <w:rsid w:val="000B0B4A"/>
    <w:rsid w:val="000B279A"/>
    <w:rsid w:val="000B61D2"/>
    <w:rsid w:val="000B70A7"/>
    <w:rsid w:val="000B73DD"/>
    <w:rsid w:val="000C495F"/>
    <w:rsid w:val="000C7413"/>
    <w:rsid w:val="000C7D75"/>
    <w:rsid w:val="000D66D9"/>
    <w:rsid w:val="000E6431"/>
    <w:rsid w:val="000E7433"/>
    <w:rsid w:val="000E78C6"/>
    <w:rsid w:val="000F10C7"/>
    <w:rsid w:val="000F21A5"/>
    <w:rsid w:val="000F2618"/>
    <w:rsid w:val="000F575B"/>
    <w:rsid w:val="000F77FF"/>
    <w:rsid w:val="00102B9F"/>
    <w:rsid w:val="00112637"/>
    <w:rsid w:val="00112ABC"/>
    <w:rsid w:val="00115BCC"/>
    <w:rsid w:val="0012001E"/>
    <w:rsid w:val="00120EC2"/>
    <w:rsid w:val="001231CD"/>
    <w:rsid w:val="00125019"/>
    <w:rsid w:val="00126A55"/>
    <w:rsid w:val="0012725F"/>
    <w:rsid w:val="001322F9"/>
    <w:rsid w:val="001327DA"/>
    <w:rsid w:val="00133F08"/>
    <w:rsid w:val="001343A7"/>
    <w:rsid w:val="001345E6"/>
    <w:rsid w:val="00135163"/>
    <w:rsid w:val="001367C8"/>
    <w:rsid w:val="001378B0"/>
    <w:rsid w:val="00141557"/>
    <w:rsid w:val="00142E00"/>
    <w:rsid w:val="00152793"/>
    <w:rsid w:val="00153B7E"/>
    <w:rsid w:val="001545A9"/>
    <w:rsid w:val="001626A6"/>
    <w:rsid w:val="00162DA4"/>
    <w:rsid w:val="001637C7"/>
    <w:rsid w:val="00163D90"/>
    <w:rsid w:val="0016480E"/>
    <w:rsid w:val="00166291"/>
    <w:rsid w:val="00166E0F"/>
    <w:rsid w:val="0017265D"/>
    <w:rsid w:val="00172912"/>
    <w:rsid w:val="001741EC"/>
    <w:rsid w:val="00174297"/>
    <w:rsid w:val="001775DF"/>
    <w:rsid w:val="00180898"/>
    <w:rsid w:val="00180E06"/>
    <w:rsid w:val="001817B3"/>
    <w:rsid w:val="00183014"/>
    <w:rsid w:val="00183440"/>
    <w:rsid w:val="00184455"/>
    <w:rsid w:val="001871DF"/>
    <w:rsid w:val="00187A1F"/>
    <w:rsid w:val="00190FF8"/>
    <w:rsid w:val="001923B9"/>
    <w:rsid w:val="00193911"/>
    <w:rsid w:val="00193B78"/>
    <w:rsid w:val="001959C2"/>
    <w:rsid w:val="00196F37"/>
    <w:rsid w:val="001A22D7"/>
    <w:rsid w:val="001A51E3"/>
    <w:rsid w:val="001A54BC"/>
    <w:rsid w:val="001A6064"/>
    <w:rsid w:val="001A7968"/>
    <w:rsid w:val="001B1119"/>
    <w:rsid w:val="001B2821"/>
    <w:rsid w:val="001B2E98"/>
    <w:rsid w:val="001B3483"/>
    <w:rsid w:val="001B3C1E"/>
    <w:rsid w:val="001B4494"/>
    <w:rsid w:val="001B69A7"/>
    <w:rsid w:val="001C0D8B"/>
    <w:rsid w:val="001C0DA8"/>
    <w:rsid w:val="001C3B0F"/>
    <w:rsid w:val="001C562B"/>
    <w:rsid w:val="001D05CC"/>
    <w:rsid w:val="001D0771"/>
    <w:rsid w:val="001D4122"/>
    <w:rsid w:val="001D4AD7"/>
    <w:rsid w:val="001E0D8A"/>
    <w:rsid w:val="001E1291"/>
    <w:rsid w:val="001E67BA"/>
    <w:rsid w:val="001E74C2"/>
    <w:rsid w:val="001F30E0"/>
    <w:rsid w:val="001F4F82"/>
    <w:rsid w:val="001F5A48"/>
    <w:rsid w:val="001F6260"/>
    <w:rsid w:val="001F7864"/>
    <w:rsid w:val="00200007"/>
    <w:rsid w:val="00200578"/>
    <w:rsid w:val="002030A5"/>
    <w:rsid w:val="00203131"/>
    <w:rsid w:val="00204FC1"/>
    <w:rsid w:val="002101FB"/>
    <w:rsid w:val="00211848"/>
    <w:rsid w:val="00211F78"/>
    <w:rsid w:val="00212E88"/>
    <w:rsid w:val="00213C9C"/>
    <w:rsid w:val="00214383"/>
    <w:rsid w:val="0021512F"/>
    <w:rsid w:val="00216C97"/>
    <w:rsid w:val="0022009E"/>
    <w:rsid w:val="002209D0"/>
    <w:rsid w:val="0022266B"/>
    <w:rsid w:val="002230F5"/>
    <w:rsid w:val="00223241"/>
    <w:rsid w:val="0022425C"/>
    <w:rsid w:val="002246DE"/>
    <w:rsid w:val="00224F5C"/>
    <w:rsid w:val="0022665D"/>
    <w:rsid w:val="002326B6"/>
    <w:rsid w:val="002348FA"/>
    <w:rsid w:val="0023585D"/>
    <w:rsid w:val="00252BC4"/>
    <w:rsid w:val="00254014"/>
    <w:rsid w:val="00254B39"/>
    <w:rsid w:val="00256003"/>
    <w:rsid w:val="002577A1"/>
    <w:rsid w:val="00261880"/>
    <w:rsid w:val="00263D11"/>
    <w:rsid w:val="0026467C"/>
    <w:rsid w:val="0026485F"/>
    <w:rsid w:val="002649C4"/>
    <w:rsid w:val="0026504D"/>
    <w:rsid w:val="00266267"/>
    <w:rsid w:val="00266B6D"/>
    <w:rsid w:val="00266D20"/>
    <w:rsid w:val="00267D55"/>
    <w:rsid w:val="00273534"/>
    <w:rsid w:val="00273A2F"/>
    <w:rsid w:val="00275BA7"/>
    <w:rsid w:val="0028001A"/>
    <w:rsid w:val="00280986"/>
    <w:rsid w:val="00281ECE"/>
    <w:rsid w:val="002831C7"/>
    <w:rsid w:val="002840C6"/>
    <w:rsid w:val="00285219"/>
    <w:rsid w:val="00287B7D"/>
    <w:rsid w:val="00295174"/>
    <w:rsid w:val="00295A91"/>
    <w:rsid w:val="00296172"/>
    <w:rsid w:val="00296B92"/>
    <w:rsid w:val="00297350"/>
    <w:rsid w:val="0029749D"/>
    <w:rsid w:val="002A1DB9"/>
    <w:rsid w:val="002A2C22"/>
    <w:rsid w:val="002B02EB"/>
    <w:rsid w:val="002B5F8C"/>
    <w:rsid w:val="002B7047"/>
    <w:rsid w:val="002C0602"/>
    <w:rsid w:val="002D5C16"/>
    <w:rsid w:val="002F2476"/>
    <w:rsid w:val="002F293D"/>
    <w:rsid w:val="002F3DFF"/>
    <w:rsid w:val="002F5E05"/>
    <w:rsid w:val="002F7269"/>
    <w:rsid w:val="002F7F7B"/>
    <w:rsid w:val="0030018F"/>
    <w:rsid w:val="0030561D"/>
    <w:rsid w:val="003060C1"/>
    <w:rsid w:val="00307A76"/>
    <w:rsid w:val="00311E16"/>
    <w:rsid w:val="00315A16"/>
    <w:rsid w:val="00317053"/>
    <w:rsid w:val="0032109C"/>
    <w:rsid w:val="0032263A"/>
    <w:rsid w:val="00322B45"/>
    <w:rsid w:val="00323809"/>
    <w:rsid w:val="00323D41"/>
    <w:rsid w:val="00325414"/>
    <w:rsid w:val="003302F1"/>
    <w:rsid w:val="00330CB0"/>
    <w:rsid w:val="00333926"/>
    <w:rsid w:val="00340932"/>
    <w:rsid w:val="003425C2"/>
    <w:rsid w:val="0034470E"/>
    <w:rsid w:val="003506E1"/>
    <w:rsid w:val="00350918"/>
    <w:rsid w:val="0035264C"/>
    <w:rsid w:val="00352DB0"/>
    <w:rsid w:val="00354571"/>
    <w:rsid w:val="003571CD"/>
    <w:rsid w:val="00361063"/>
    <w:rsid w:val="0036673D"/>
    <w:rsid w:val="0036782D"/>
    <w:rsid w:val="0037094A"/>
    <w:rsid w:val="0037142D"/>
    <w:rsid w:val="00371ED3"/>
    <w:rsid w:val="00372FFC"/>
    <w:rsid w:val="0037728A"/>
    <w:rsid w:val="00377987"/>
    <w:rsid w:val="00380B7D"/>
    <w:rsid w:val="00381A99"/>
    <w:rsid w:val="003829C2"/>
    <w:rsid w:val="003830B2"/>
    <w:rsid w:val="00384724"/>
    <w:rsid w:val="003919B7"/>
    <w:rsid w:val="00391D57"/>
    <w:rsid w:val="00392292"/>
    <w:rsid w:val="003932DE"/>
    <w:rsid w:val="00394F45"/>
    <w:rsid w:val="0039546D"/>
    <w:rsid w:val="00395800"/>
    <w:rsid w:val="003A5927"/>
    <w:rsid w:val="003A6575"/>
    <w:rsid w:val="003A7344"/>
    <w:rsid w:val="003B1017"/>
    <w:rsid w:val="003B2EB6"/>
    <w:rsid w:val="003B3C07"/>
    <w:rsid w:val="003B6081"/>
    <w:rsid w:val="003B6775"/>
    <w:rsid w:val="003B7D10"/>
    <w:rsid w:val="003C0CFF"/>
    <w:rsid w:val="003C3850"/>
    <w:rsid w:val="003C5292"/>
    <w:rsid w:val="003C5FE2"/>
    <w:rsid w:val="003D05FB"/>
    <w:rsid w:val="003D1B16"/>
    <w:rsid w:val="003D26FF"/>
    <w:rsid w:val="003D45BF"/>
    <w:rsid w:val="003D508A"/>
    <w:rsid w:val="003D537F"/>
    <w:rsid w:val="003D7B75"/>
    <w:rsid w:val="003E0208"/>
    <w:rsid w:val="003E30CD"/>
    <w:rsid w:val="003E4B57"/>
    <w:rsid w:val="003F27E1"/>
    <w:rsid w:val="003F3606"/>
    <w:rsid w:val="003F437A"/>
    <w:rsid w:val="003F446D"/>
    <w:rsid w:val="003F47A3"/>
    <w:rsid w:val="003F5C2B"/>
    <w:rsid w:val="003F6A13"/>
    <w:rsid w:val="00400196"/>
    <w:rsid w:val="00401210"/>
    <w:rsid w:val="00401B76"/>
    <w:rsid w:val="00402240"/>
    <w:rsid w:val="004023E9"/>
    <w:rsid w:val="0040454A"/>
    <w:rsid w:val="00404B29"/>
    <w:rsid w:val="004127E8"/>
    <w:rsid w:val="00413867"/>
    <w:rsid w:val="00413C74"/>
    <w:rsid w:val="00413F83"/>
    <w:rsid w:val="0041490C"/>
    <w:rsid w:val="00416191"/>
    <w:rsid w:val="00416721"/>
    <w:rsid w:val="00421DC6"/>
    <w:rsid w:val="00421EF0"/>
    <w:rsid w:val="004224FA"/>
    <w:rsid w:val="00422B31"/>
    <w:rsid w:val="00423AD3"/>
    <w:rsid w:val="00423D07"/>
    <w:rsid w:val="00427936"/>
    <w:rsid w:val="00432DA3"/>
    <w:rsid w:val="00436F42"/>
    <w:rsid w:val="00440733"/>
    <w:rsid w:val="00441568"/>
    <w:rsid w:val="0044346F"/>
    <w:rsid w:val="00444072"/>
    <w:rsid w:val="00446871"/>
    <w:rsid w:val="00447650"/>
    <w:rsid w:val="00453FF6"/>
    <w:rsid w:val="00456EA4"/>
    <w:rsid w:val="0046105B"/>
    <w:rsid w:val="00463BCB"/>
    <w:rsid w:val="0046520A"/>
    <w:rsid w:val="004672AB"/>
    <w:rsid w:val="004701E6"/>
    <w:rsid w:val="004714FE"/>
    <w:rsid w:val="00477BAA"/>
    <w:rsid w:val="00481339"/>
    <w:rsid w:val="004839BA"/>
    <w:rsid w:val="00486F46"/>
    <w:rsid w:val="00487DEA"/>
    <w:rsid w:val="00495053"/>
    <w:rsid w:val="00496A03"/>
    <w:rsid w:val="004A0989"/>
    <w:rsid w:val="004A0DFE"/>
    <w:rsid w:val="004A1F59"/>
    <w:rsid w:val="004A29BE"/>
    <w:rsid w:val="004A3225"/>
    <w:rsid w:val="004A33EE"/>
    <w:rsid w:val="004A3AA8"/>
    <w:rsid w:val="004A4C73"/>
    <w:rsid w:val="004A650E"/>
    <w:rsid w:val="004B13C7"/>
    <w:rsid w:val="004B5F99"/>
    <w:rsid w:val="004B7593"/>
    <w:rsid w:val="004B778F"/>
    <w:rsid w:val="004C0609"/>
    <w:rsid w:val="004C18DC"/>
    <w:rsid w:val="004C2C5B"/>
    <w:rsid w:val="004C544B"/>
    <w:rsid w:val="004C6AAD"/>
    <w:rsid w:val="004C6AFC"/>
    <w:rsid w:val="004D141F"/>
    <w:rsid w:val="004D2742"/>
    <w:rsid w:val="004D5495"/>
    <w:rsid w:val="004D6310"/>
    <w:rsid w:val="004E0062"/>
    <w:rsid w:val="004E05A1"/>
    <w:rsid w:val="004E34D1"/>
    <w:rsid w:val="004E7651"/>
    <w:rsid w:val="004F1026"/>
    <w:rsid w:val="004F472A"/>
    <w:rsid w:val="004F5E57"/>
    <w:rsid w:val="004F6710"/>
    <w:rsid w:val="00500C3E"/>
    <w:rsid w:val="00501A5B"/>
    <w:rsid w:val="00502849"/>
    <w:rsid w:val="00504334"/>
    <w:rsid w:val="0050485C"/>
    <w:rsid w:val="0050498D"/>
    <w:rsid w:val="0050573F"/>
    <w:rsid w:val="005104D7"/>
    <w:rsid w:val="00510B9E"/>
    <w:rsid w:val="00522B71"/>
    <w:rsid w:val="005250FA"/>
    <w:rsid w:val="005346A4"/>
    <w:rsid w:val="00535E8E"/>
    <w:rsid w:val="00536BC2"/>
    <w:rsid w:val="005425E1"/>
    <w:rsid w:val="005427C5"/>
    <w:rsid w:val="00542CF6"/>
    <w:rsid w:val="005437D1"/>
    <w:rsid w:val="00543BA1"/>
    <w:rsid w:val="00552E50"/>
    <w:rsid w:val="00553C03"/>
    <w:rsid w:val="005542A3"/>
    <w:rsid w:val="00554963"/>
    <w:rsid w:val="00555078"/>
    <w:rsid w:val="00562FDA"/>
    <w:rsid w:val="00563692"/>
    <w:rsid w:val="005665FA"/>
    <w:rsid w:val="00570BE6"/>
    <w:rsid w:val="00571679"/>
    <w:rsid w:val="00576A82"/>
    <w:rsid w:val="005844E7"/>
    <w:rsid w:val="00584633"/>
    <w:rsid w:val="005908B8"/>
    <w:rsid w:val="00592E14"/>
    <w:rsid w:val="0059512E"/>
    <w:rsid w:val="005A1FFA"/>
    <w:rsid w:val="005A5778"/>
    <w:rsid w:val="005A5C51"/>
    <w:rsid w:val="005A6DD2"/>
    <w:rsid w:val="005B27C5"/>
    <w:rsid w:val="005B378E"/>
    <w:rsid w:val="005C073F"/>
    <w:rsid w:val="005C147C"/>
    <w:rsid w:val="005C3165"/>
    <w:rsid w:val="005C385D"/>
    <w:rsid w:val="005C3D6E"/>
    <w:rsid w:val="005C51BF"/>
    <w:rsid w:val="005C6A53"/>
    <w:rsid w:val="005D0469"/>
    <w:rsid w:val="005D066D"/>
    <w:rsid w:val="005D2BCF"/>
    <w:rsid w:val="005D3173"/>
    <w:rsid w:val="005D3B20"/>
    <w:rsid w:val="005D3B47"/>
    <w:rsid w:val="005E1CF8"/>
    <w:rsid w:val="005E2868"/>
    <w:rsid w:val="005E4759"/>
    <w:rsid w:val="005E5C68"/>
    <w:rsid w:val="005E65C0"/>
    <w:rsid w:val="005E7321"/>
    <w:rsid w:val="005F0390"/>
    <w:rsid w:val="005F0D97"/>
    <w:rsid w:val="005F25EE"/>
    <w:rsid w:val="006009CE"/>
    <w:rsid w:val="00601151"/>
    <w:rsid w:val="006072CD"/>
    <w:rsid w:val="00612023"/>
    <w:rsid w:val="00614190"/>
    <w:rsid w:val="00614E0A"/>
    <w:rsid w:val="00616046"/>
    <w:rsid w:val="00620B14"/>
    <w:rsid w:val="00622549"/>
    <w:rsid w:val="00622A99"/>
    <w:rsid w:val="00622AF7"/>
    <w:rsid w:val="00622E67"/>
    <w:rsid w:val="00626B57"/>
    <w:rsid w:val="00626EDC"/>
    <w:rsid w:val="006354FE"/>
    <w:rsid w:val="00635A59"/>
    <w:rsid w:val="006371B9"/>
    <w:rsid w:val="00637C98"/>
    <w:rsid w:val="0064191A"/>
    <w:rsid w:val="0064234B"/>
    <w:rsid w:val="006470EC"/>
    <w:rsid w:val="006542D6"/>
    <w:rsid w:val="0065598E"/>
    <w:rsid w:val="00655AF2"/>
    <w:rsid w:val="00655BC5"/>
    <w:rsid w:val="006568BE"/>
    <w:rsid w:val="0066025D"/>
    <w:rsid w:val="0066091A"/>
    <w:rsid w:val="006623D0"/>
    <w:rsid w:val="006640C7"/>
    <w:rsid w:val="00667523"/>
    <w:rsid w:val="006718ED"/>
    <w:rsid w:val="006773EC"/>
    <w:rsid w:val="00680504"/>
    <w:rsid w:val="00681CD9"/>
    <w:rsid w:val="00682911"/>
    <w:rsid w:val="00683E30"/>
    <w:rsid w:val="00686D55"/>
    <w:rsid w:val="00687024"/>
    <w:rsid w:val="00687812"/>
    <w:rsid w:val="006958D4"/>
    <w:rsid w:val="00695AAC"/>
    <w:rsid w:val="00695E22"/>
    <w:rsid w:val="00695E4D"/>
    <w:rsid w:val="006A010E"/>
    <w:rsid w:val="006B7093"/>
    <w:rsid w:val="006B7417"/>
    <w:rsid w:val="006C3B7F"/>
    <w:rsid w:val="006C5770"/>
    <w:rsid w:val="006D3691"/>
    <w:rsid w:val="006D3BB9"/>
    <w:rsid w:val="006E23AE"/>
    <w:rsid w:val="006E2FB2"/>
    <w:rsid w:val="006E5EF0"/>
    <w:rsid w:val="006E6DA9"/>
    <w:rsid w:val="006E6ECE"/>
    <w:rsid w:val="006E6F6F"/>
    <w:rsid w:val="006E7289"/>
    <w:rsid w:val="006E78F4"/>
    <w:rsid w:val="006E7C4E"/>
    <w:rsid w:val="006F118C"/>
    <w:rsid w:val="006F3563"/>
    <w:rsid w:val="006F42B9"/>
    <w:rsid w:val="006F5C9C"/>
    <w:rsid w:val="006F6103"/>
    <w:rsid w:val="00704E00"/>
    <w:rsid w:val="0071111E"/>
    <w:rsid w:val="00711952"/>
    <w:rsid w:val="00715BCB"/>
    <w:rsid w:val="00715D13"/>
    <w:rsid w:val="007209E7"/>
    <w:rsid w:val="00726182"/>
    <w:rsid w:val="00727635"/>
    <w:rsid w:val="00730833"/>
    <w:rsid w:val="00732329"/>
    <w:rsid w:val="007337CA"/>
    <w:rsid w:val="00733CEE"/>
    <w:rsid w:val="00734CE4"/>
    <w:rsid w:val="00735123"/>
    <w:rsid w:val="00735300"/>
    <w:rsid w:val="007359A4"/>
    <w:rsid w:val="00741837"/>
    <w:rsid w:val="00741E47"/>
    <w:rsid w:val="007453E6"/>
    <w:rsid w:val="00745F09"/>
    <w:rsid w:val="00746FE1"/>
    <w:rsid w:val="0075475E"/>
    <w:rsid w:val="00755B4C"/>
    <w:rsid w:val="0075770B"/>
    <w:rsid w:val="0076017D"/>
    <w:rsid w:val="00760E74"/>
    <w:rsid w:val="00767607"/>
    <w:rsid w:val="007676AE"/>
    <w:rsid w:val="0077309D"/>
    <w:rsid w:val="00774043"/>
    <w:rsid w:val="007768E0"/>
    <w:rsid w:val="007774EE"/>
    <w:rsid w:val="00781822"/>
    <w:rsid w:val="00783F21"/>
    <w:rsid w:val="00784075"/>
    <w:rsid w:val="007865F5"/>
    <w:rsid w:val="0078672D"/>
    <w:rsid w:val="007869EF"/>
    <w:rsid w:val="00787070"/>
    <w:rsid w:val="00787159"/>
    <w:rsid w:val="0079043A"/>
    <w:rsid w:val="00791668"/>
    <w:rsid w:val="00791AA1"/>
    <w:rsid w:val="00793388"/>
    <w:rsid w:val="007A2B6F"/>
    <w:rsid w:val="007A365B"/>
    <w:rsid w:val="007A3793"/>
    <w:rsid w:val="007A4A9A"/>
    <w:rsid w:val="007A50FE"/>
    <w:rsid w:val="007B66A1"/>
    <w:rsid w:val="007C06C9"/>
    <w:rsid w:val="007C1BA2"/>
    <w:rsid w:val="007C2A17"/>
    <w:rsid w:val="007C2B48"/>
    <w:rsid w:val="007C2EFC"/>
    <w:rsid w:val="007C5E4D"/>
    <w:rsid w:val="007C65A5"/>
    <w:rsid w:val="007D20E9"/>
    <w:rsid w:val="007D3145"/>
    <w:rsid w:val="007D41A2"/>
    <w:rsid w:val="007D46E2"/>
    <w:rsid w:val="007D4FA2"/>
    <w:rsid w:val="007D7881"/>
    <w:rsid w:val="007D7E3A"/>
    <w:rsid w:val="007E0E10"/>
    <w:rsid w:val="007E4768"/>
    <w:rsid w:val="007E777B"/>
    <w:rsid w:val="007F0621"/>
    <w:rsid w:val="007F1DED"/>
    <w:rsid w:val="007F2070"/>
    <w:rsid w:val="007F57F7"/>
    <w:rsid w:val="007F63C1"/>
    <w:rsid w:val="0080117D"/>
    <w:rsid w:val="008016EF"/>
    <w:rsid w:val="008053F5"/>
    <w:rsid w:val="0080691A"/>
    <w:rsid w:val="00807AF7"/>
    <w:rsid w:val="00810198"/>
    <w:rsid w:val="00815DA8"/>
    <w:rsid w:val="0082072A"/>
    <w:rsid w:val="0082194D"/>
    <w:rsid w:val="008221F9"/>
    <w:rsid w:val="00826EF5"/>
    <w:rsid w:val="00827C19"/>
    <w:rsid w:val="00827D22"/>
    <w:rsid w:val="00831693"/>
    <w:rsid w:val="00832BC4"/>
    <w:rsid w:val="0083357B"/>
    <w:rsid w:val="00840104"/>
    <w:rsid w:val="00840C1F"/>
    <w:rsid w:val="008411C9"/>
    <w:rsid w:val="008417C1"/>
    <w:rsid w:val="00841FC5"/>
    <w:rsid w:val="0084218A"/>
    <w:rsid w:val="00845709"/>
    <w:rsid w:val="008517E7"/>
    <w:rsid w:val="00851DF4"/>
    <w:rsid w:val="00852D24"/>
    <w:rsid w:val="00853335"/>
    <w:rsid w:val="00855327"/>
    <w:rsid w:val="00856231"/>
    <w:rsid w:val="008576BD"/>
    <w:rsid w:val="00857D33"/>
    <w:rsid w:val="00860463"/>
    <w:rsid w:val="00860EFD"/>
    <w:rsid w:val="0087262A"/>
    <w:rsid w:val="00873085"/>
    <w:rsid w:val="008733DA"/>
    <w:rsid w:val="008747E0"/>
    <w:rsid w:val="00876295"/>
    <w:rsid w:val="00877B37"/>
    <w:rsid w:val="00877D29"/>
    <w:rsid w:val="008833C5"/>
    <w:rsid w:val="008850E4"/>
    <w:rsid w:val="008939AB"/>
    <w:rsid w:val="0089420A"/>
    <w:rsid w:val="008A12F5"/>
    <w:rsid w:val="008A2108"/>
    <w:rsid w:val="008A506D"/>
    <w:rsid w:val="008A6678"/>
    <w:rsid w:val="008A7BA0"/>
    <w:rsid w:val="008B1587"/>
    <w:rsid w:val="008B1B01"/>
    <w:rsid w:val="008B3BCD"/>
    <w:rsid w:val="008B4A58"/>
    <w:rsid w:val="008B4F5F"/>
    <w:rsid w:val="008B6DF8"/>
    <w:rsid w:val="008C0397"/>
    <w:rsid w:val="008C106C"/>
    <w:rsid w:val="008C10F1"/>
    <w:rsid w:val="008C1926"/>
    <w:rsid w:val="008C1E99"/>
    <w:rsid w:val="008C2C1B"/>
    <w:rsid w:val="008C4B4E"/>
    <w:rsid w:val="008D2BAF"/>
    <w:rsid w:val="008D2BC3"/>
    <w:rsid w:val="008E0085"/>
    <w:rsid w:val="008E25F3"/>
    <w:rsid w:val="008E2AA6"/>
    <w:rsid w:val="008E311B"/>
    <w:rsid w:val="008E600C"/>
    <w:rsid w:val="008E7868"/>
    <w:rsid w:val="008F1FD4"/>
    <w:rsid w:val="008F37C3"/>
    <w:rsid w:val="008F46E7"/>
    <w:rsid w:val="008F4C6F"/>
    <w:rsid w:val="008F53D3"/>
    <w:rsid w:val="008F6340"/>
    <w:rsid w:val="008F6F0B"/>
    <w:rsid w:val="009023EB"/>
    <w:rsid w:val="00904FEC"/>
    <w:rsid w:val="00905197"/>
    <w:rsid w:val="00907BA7"/>
    <w:rsid w:val="00907F04"/>
    <w:rsid w:val="0091064E"/>
    <w:rsid w:val="00911FC5"/>
    <w:rsid w:val="00915BFF"/>
    <w:rsid w:val="009161EF"/>
    <w:rsid w:val="00916B1F"/>
    <w:rsid w:val="0092468A"/>
    <w:rsid w:val="00931A10"/>
    <w:rsid w:val="009334EB"/>
    <w:rsid w:val="00936852"/>
    <w:rsid w:val="00942AC3"/>
    <w:rsid w:val="00945C30"/>
    <w:rsid w:val="00947967"/>
    <w:rsid w:val="00955201"/>
    <w:rsid w:val="00965200"/>
    <w:rsid w:val="009668B3"/>
    <w:rsid w:val="00971471"/>
    <w:rsid w:val="0097223B"/>
    <w:rsid w:val="00974C66"/>
    <w:rsid w:val="00982C04"/>
    <w:rsid w:val="009849C2"/>
    <w:rsid w:val="00984D24"/>
    <w:rsid w:val="00984D94"/>
    <w:rsid w:val="009858EB"/>
    <w:rsid w:val="00993FDB"/>
    <w:rsid w:val="0099452C"/>
    <w:rsid w:val="009A337B"/>
    <w:rsid w:val="009A39A2"/>
    <w:rsid w:val="009A3F47"/>
    <w:rsid w:val="009B0046"/>
    <w:rsid w:val="009B3DBC"/>
    <w:rsid w:val="009B7BC2"/>
    <w:rsid w:val="009C1440"/>
    <w:rsid w:val="009C2107"/>
    <w:rsid w:val="009C45A1"/>
    <w:rsid w:val="009C5D9E"/>
    <w:rsid w:val="009C703F"/>
    <w:rsid w:val="009D2C3E"/>
    <w:rsid w:val="009D48B9"/>
    <w:rsid w:val="009D632C"/>
    <w:rsid w:val="009D74F5"/>
    <w:rsid w:val="009E0625"/>
    <w:rsid w:val="009E3034"/>
    <w:rsid w:val="009E3AE9"/>
    <w:rsid w:val="009E549F"/>
    <w:rsid w:val="009E7F2C"/>
    <w:rsid w:val="009F13FE"/>
    <w:rsid w:val="009F1A88"/>
    <w:rsid w:val="009F28A8"/>
    <w:rsid w:val="009F473E"/>
    <w:rsid w:val="009F5B65"/>
    <w:rsid w:val="009F64FD"/>
    <w:rsid w:val="009F682A"/>
    <w:rsid w:val="00A01B19"/>
    <w:rsid w:val="00A022BE"/>
    <w:rsid w:val="00A03F79"/>
    <w:rsid w:val="00A07104"/>
    <w:rsid w:val="00A07B4B"/>
    <w:rsid w:val="00A22A94"/>
    <w:rsid w:val="00A24BB3"/>
    <w:rsid w:val="00A24C95"/>
    <w:rsid w:val="00A2599A"/>
    <w:rsid w:val="00A26094"/>
    <w:rsid w:val="00A301BF"/>
    <w:rsid w:val="00A302B2"/>
    <w:rsid w:val="00A331B4"/>
    <w:rsid w:val="00A3484E"/>
    <w:rsid w:val="00A34CD0"/>
    <w:rsid w:val="00A356D3"/>
    <w:rsid w:val="00A36ADA"/>
    <w:rsid w:val="00A40628"/>
    <w:rsid w:val="00A438D8"/>
    <w:rsid w:val="00A440E3"/>
    <w:rsid w:val="00A4584C"/>
    <w:rsid w:val="00A46F57"/>
    <w:rsid w:val="00A473F5"/>
    <w:rsid w:val="00A51565"/>
    <w:rsid w:val="00A51F9D"/>
    <w:rsid w:val="00A522C6"/>
    <w:rsid w:val="00A52C49"/>
    <w:rsid w:val="00A5416A"/>
    <w:rsid w:val="00A55754"/>
    <w:rsid w:val="00A639F4"/>
    <w:rsid w:val="00A6549F"/>
    <w:rsid w:val="00A81A32"/>
    <w:rsid w:val="00A835BD"/>
    <w:rsid w:val="00A86CD2"/>
    <w:rsid w:val="00A87431"/>
    <w:rsid w:val="00A907D1"/>
    <w:rsid w:val="00A97B15"/>
    <w:rsid w:val="00AA36E5"/>
    <w:rsid w:val="00AA3A32"/>
    <w:rsid w:val="00AA42D5"/>
    <w:rsid w:val="00AA6631"/>
    <w:rsid w:val="00AA6A78"/>
    <w:rsid w:val="00AA7FF8"/>
    <w:rsid w:val="00AB2E4D"/>
    <w:rsid w:val="00AB2FAB"/>
    <w:rsid w:val="00AB5C14"/>
    <w:rsid w:val="00AB7947"/>
    <w:rsid w:val="00AC1EE7"/>
    <w:rsid w:val="00AC333F"/>
    <w:rsid w:val="00AC4C76"/>
    <w:rsid w:val="00AC585C"/>
    <w:rsid w:val="00AD1925"/>
    <w:rsid w:val="00AD5E1F"/>
    <w:rsid w:val="00AD7899"/>
    <w:rsid w:val="00AE05D1"/>
    <w:rsid w:val="00AE067D"/>
    <w:rsid w:val="00AE72EB"/>
    <w:rsid w:val="00AE7F7B"/>
    <w:rsid w:val="00AF1181"/>
    <w:rsid w:val="00AF2BEA"/>
    <w:rsid w:val="00AF2F79"/>
    <w:rsid w:val="00AF4653"/>
    <w:rsid w:val="00AF46B7"/>
    <w:rsid w:val="00AF5087"/>
    <w:rsid w:val="00AF591D"/>
    <w:rsid w:val="00AF623D"/>
    <w:rsid w:val="00AF7DB7"/>
    <w:rsid w:val="00B01122"/>
    <w:rsid w:val="00B10D02"/>
    <w:rsid w:val="00B121D2"/>
    <w:rsid w:val="00B16C71"/>
    <w:rsid w:val="00B201E2"/>
    <w:rsid w:val="00B22807"/>
    <w:rsid w:val="00B247DE"/>
    <w:rsid w:val="00B328B4"/>
    <w:rsid w:val="00B41226"/>
    <w:rsid w:val="00B443E4"/>
    <w:rsid w:val="00B44CEA"/>
    <w:rsid w:val="00B51C79"/>
    <w:rsid w:val="00B5298D"/>
    <w:rsid w:val="00B5484D"/>
    <w:rsid w:val="00B54A03"/>
    <w:rsid w:val="00B563EA"/>
    <w:rsid w:val="00B56616"/>
    <w:rsid w:val="00B5664F"/>
    <w:rsid w:val="00B56CDF"/>
    <w:rsid w:val="00B60E51"/>
    <w:rsid w:val="00B62413"/>
    <w:rsid w:val="00B63827"/>
    <w:rsid w:val="00B63A54"/>
    <w:rsid w:val="00B6416E"/>
    <w:rsid w:val="00B77D18"/>
    <w:rsid w:val="00B77FAC"/>
    <w:rsid w:val="00B80D31"/>
    <w:rsid w:val="00B8313A"/>
    <w:rsid w:val="00B83417"/>
    <w:rsid w:val="00B85245"/>
    <w:rsid w:val="00B85D97"/>
    <w:rsid w:val="00B860CC"/>
    <w:rsid w:val="00B93503"/>
    <w:rsid w:val="00B95836"/>
    <w:rsid w:val="00BA15D9"/>
    <w:rsid w:val="00BA31E8"/>
    <w:rsid w:val="00BA4A25"/>
    <w:rsid w:val="00BA55E0"/>
    <w:rsid w:val="00BA6BD4"/>
    <w:rsid w:val="00BA6C7A"/>
    <w:rsid w:val="00BB1753"/>
    <w:rsid w:val="00BB17D1"/>
    <w:rsid w:val="00BB3752"/>
    <w:rsid w:val="00BB6688"/>
    <w:rsid w:val="00BC26D4"/>
    <w:rsid w:val="00BC35D1"/>
    <w:rsid w:val="00BD23A5"/>
    <w:rsid w:val="00BD73E7"/>
    <w:rsid w:val="00BD775B"/>
    <w:rsid w:val="00BE0C80"/>
    <w:rsid w:val="00BE42B1"/>
    <w:rsid w:val="00BE6A9F"/>
    <w:rsid w:val="00BF2A42"/>
    <w:rsid w:val="00BF3637"/>
    <w:rsid w:val="00BF689C"/>
    <w:rsid w:val="00BF6A6D"/>
    <w:rsid w:val="00BF6CD6"/>
    <w:rsid w:val="00C03D8C"/>
    <w:rsid w:val="00C055EC"/>
    <w:rsid w:val="00C10DC9"/>
    <w:rsid w:val="00C11586"/>
    <w:rsid w:val="00C1246E"/>
    <w:rsid w:val="00C12FB3"/>
    <w:rsid w:val="00C150C2"/>
    <w:rsid w:val="00C17341"/>
    <w:rsid w:val="00C21704"/>
    <w:rsid w:val="00C24EEF"/>
    <w:rsid w:val="00C25CF6"/>
    <w:rsid w:val="00C26C36"/>
    <w:rsid w:val="00C32768"/>
    <w:rsid w:val="00C330D7"/>
    <w:rsid w:val="00C33F39"/>
    <w:rsid w:val="00C35D42"/>
    <w:rsid w:val="00C42010"/>
    <w:rsid w:val="00C42E42"/>
    <w:rsid w:val="00C431D4"/>
    <w:rsid w:val="00C431DF"/>
    <w:rsid w:val="00C456BD"/>
    <w:rsid w:val="00C530DC"/>
    <w:rsid w:val="00C53447"/>
    <w:rsid w:val="00C5350D"/>
    <w:rsid w:val="00C6123C"/>
    <w:rsid w:val="00C62078"/>
    <w:rsid w:val="00C630F1"/>
    <w:rsid w:val="00C6311A"/>
    <w:rsid w:val="00C66E61"/>
    <w:rsid w:val="00C7084D"/>
    <w:rsid w:val="00C7315E"/>
    <w:rsid w:val="00C738E6"/>
    <w:rsid w:val="00C75895"/>
    <w:rsid w:val="00C7631B"/>
    <w:rsid w:val="00C8072E"/>
    <w:rsid w:val="00C824A4"/>
    <w:rsid w:val="00C836D7"/>
    <w:rsid w:val="00C83C9F"/>
    <w:rsid w:val="00C86348"/>
    <w:rsid w:val="00C86ECD"/>
    <w:rsid w:val="00C9431C"/>
    <w:rsid w:val="00C94840"/>
    <w:rsid w:val="00C95956"/>
    <w:rsid w:val="00CA093D"/>
    <w:rsid w:val="00CA4EE3"/>
    <w:rsid w:val="00CB027F"/>
    <w:rsid w:val="00CB45EA"/>
    <w:rsid w:val="00CC0EBB"/>
    <w:rsid w:val="00CC5516"/>
    <w:rsid w:val="00CC6066"/>
    <w:rsid w:val="00CC6297"/>
    <w:rsid w:val="00CC7690"/>
    <w:rsid w:val="00CD0205"/>
    <w:rsid w:val="00CD1986"/>
    <w:rsid w:val="00CD5032"/>
    <w:rsid w:val="00CD54BF"/>
    <w:rsid w:val="00CE4D5C"/>
    <w:rsid w:val="00CF04AF"/>
    <w:rsid w:val="00CF05DA"/>
    <w:rsid w:val="00CF2389"/>
    <w:rsid w:val="00CF58EB"/>
    <w:rsid w:val="00CF6FEC"/>
    <w:rsid w:val="00CF70EB"/>
    <w:rsid w:val="00D0106E"/>
    <w:rsid w:val="00D0416F"/>
    <w:rsid w:val="00D06383"/>
    <w:rsid w:val="00D06A0E"/>
    <w:rsid w:val="00D075A8"/>
    <w:rsid w:val="00D078F9"/>
    <w:rsid w:val="00D11084"/>
    <w:rsid w:val="00D15C9E"/>
    <w:rsid w:val="00D20826"/>
    <w:rsid w:val="00D20E85"/>
    <w:rsid w:val="00D2334B"/>
    <w:rsid w:val="00D23606"/>
    <w:rsid w:val="00D24615"/>
    <w:rsid w:val="00D37842"/>
    <w:rsid w:val="00D406B0"/>
    <w:rsid w:val="00D42B1E"/>
    <w:rsid w:val="00D42DC2"/>
    <w:rsid w:val="00D4302B"/>
    <w:rsid w:val="00D44838"/>
    <w:rsid w:val="00D45D04"/>
    <w:rsid w:val="00D5251F"/>
    <w:rsid w:val="00D537E1"/>
    <w:rsid w:val="00D55BB2"/>
    <w:rsid w:val="00D60478"/>
    <w:rsid w:val="00D6091A"/>
    <w:rsid w:val="00D62D87"/>
    <w:rsid w:val="00D6605A"/>
    <w:rsid w:val="00D6695F"/>
    <w:rsid w:val="00D75644"/>
    <w:rsid w:val="00D8144C"/>
    <w:rsid w:val="00D81656"/>
    <w:rsid w:val="00D8173E"/>
    <w:rsid w:val="00D82686"/>
    <w:rsid w:val="00D83D87"/>
    <w:rsid w:val="00D84302"/>
    <w:rsid w:val="00D84A6D"/>
    <w:rsid w:val="00D86A30"/>
    <w:rsid w:val="00D877C4"/>
    <w:rsid w:val="00D90909"/>
    <w:rsid w:val="00D96B26"/>
    <w:rsid w:val="00D97CB4"/>
    <w:rsid w:val="00D97DD4"/>
    <w:rsid w:val="00DA4E3D"/>
    <w:rsid w:val="00DA5A8A"/>
    <w:rsid w:val="00DB045D"/>
    <w:rsid w:val="00DB1170"/>
    <w:rsid w:val="00DB26CD"/>
    <w:rsid w:val="00DB441C"/>
    <w:rsid w:val="00DB44AF"/>
    <w:rsid w:val="00DC1F58"/>
    <w:rsid w:val="00DC339B"/>
    <w:rsid w:val="00DC5D40"/>
    <w:rsid w:val="00DC5DB8"/>
    <w:rsid w:val="00DC5DD3"/>
    <w:rsid w:val="00DC69A7"/>
    <w:rsid w:val="00DD2E19"/>
    <w:rsid w:val="00DD30E9"/>
    <w:rsid w:val="00DD4F47"/>
    <w:rsid w:val="00DD7FBB"/>
    <w:rsid w:val="00DE0B9F"/>
    <w:rsid w:val="00DE1F74"/>
    <w:rsid w:val="00DE2A9E"/>
    <w:rsid w:val="00DE2C9F"/>
    <w:rsid w:val="00DE4238"/>
    <w:rsid w:val="00DE5759"/>
    <w:rsid w:val="00DE657F"/>
    <w:rsid w:val="00DF09D3"/>
    <w:rsid w:val="00DF1218"/>
    <w:rsid w:val="00DF6462"/>
    <w:rsid w:val="00E029CD"/>
    <w:rsid w:val="00E02FA0"/>
    <w:rsid w:val="00E036DC"/>
    <w:rsid w:val="00E10454"/>
    <w:rsid w:val="00E112E5"/>
    <w:rsid w:val="00E11A3E"/>
    <w:rsid w:val="00E122D8"/>
    <w:rsid w:val="00E12CC8"/>
    <w:rsid w:val="00E13388"/>
    <w:rsid w:val="00E15352"/>
    <w:rsid w:val="00E16F65"/>
    <w:rsid w:val="00E21CC7"/>
    <w:rsid w:val="00E241DA"/>
    <w:rsid w:val="00E24D9E"/>
    <w:rsid w:val="00E25849"/>
    <w:rsid w:val="00E264B7"/>
    <w:rsid w:val="00E3197E"/>
    <w:rsid w:val="00E342F8"/>
    <w:rsid w:val="00E351ED"/>
    <w:rsid w:val="00E42F93"/>
    <w:rsid w:val="00E53F0C"/>
    <w:rsid w:val="00E6034B"/>
    <w:rsid w:val="00E60911"/>
    <w:rsid w:val="00E61DCA"/>
    <w:rsid w:val="00E6549E"/>
    <w:rsid w:val="00E65EDE"/>
    <w:rsid w:val="00E671C8"/>
    <w:rsid w:val="00E70F81"/>
    <w:rsid w:val="00E77055"/>
    <w:rsid w:val="00E77460"/>
    <w:rsid w:val="00E8251C"/>
    <w:rsid w:val="00E83ABC"/>
    <w:rsid w:val="00E844F2"/>
    <w:rsid w:val="00E8728B"/>
    <w:rsid w:val="00E90AD0"/>
    <w:rsid w:val="00E920B2"/>
    <w:rsid w:val="00E92FCB"/>
    <w:rsid w:val="00E94928"/>
    <w:rsid w:val="00EA147F"/>
    <w:rsid w:val="00EA4A27"/>
    <w:rsid w:val="00EA4FA6"/>
    <w:rsid w:val="00EA5ADC"/>
    <w:rsid w:val="00EA6584"/>
    <w:rsid w:val="00EB1A25"/>
    <w:rsid w:val="00EB3D0D"/>
    <w:rsid w:val="00EC30DA"/>
    <w:rsid w:val="00EC41DD"/>
    <w:rsid w:val="00EC7363"/>
    <w:rsid w:val="00ED03AB"/>
    <w:rsid w:val="00ED0765"/>
    <w:rsid w:val="00ED0F91"/>
    <w:rsid w:val="00ED1963"/>
    <w:rsid w:val="00ED1CD4"/>
    <w:rsid w:val="00ED1D2B"/>
    <w:rsid w:val="00ED40A8"/>
    <w:rsid w:val="00ED64B5"/>
    <w:rsid w:val="00EE5C1E"/>
    <w:rsid w:val="00EE739A"/>
    <w:rsid w:val="00EE7CCA"/>
    <w:rsid w:val="00EF67C3"/>
    <w:rsid w:val="00EF6B35"/>
    <w:rsid w:val="00EF6F9E"/>
    <w:rsid w:val="00F015F1"/>
    <w:rsid w:val="00F02C25"/>
    <w:rsid w:val="00F046B8"/>
    <w:rsid w:val="00F11045"/>
    <w:rsid w:val="00F16806"/>
    <w:rsid w:val="00F16A14"/>
    <w:rsid w:val="00F16E1E"/>
    <w:rsid w:val="00F20940"/>
    <w:rsid w:val="00F30DDB"/>
    <w:rsid w:val="00F318E9"/>
    <w:rsid w:val="00F34A5A"/>
    <w:rsid w:val="00F362D7"/>
    <w:rsid w:val="00F37D7B"/>
    <w:rsid w:val="00F41AC5"/>
    <w:rsid w:val="00F43BD9"/>
    <w:rsid w:val="00F50A8D"/>
    <w:rsid w:val="00F5314C"/>
    <w:rsid w:val="00F5688C"/>
    <w:rsid w:val="00F60048"/>
    <w:rsid w:val="00F60BCE"/>
    <w:rsid w:val="00F635DD"/>
    <w:rsid w:val="00F6627B"/>
    <w:rsid w:val="00F7336E"/>
    <w:rsid w:val="00F734F2"/>
    <w:rsid w:val="00F75052"/>
    <w:rsid w:val="00F757EC"/>
    <w:rsid w:val="00F75817"/>
    <w:rsid w:val="00F804D3"/>
    <w:rsid w:val="00F8062E"/>
    <w:rsid w:val="00F816CB"/>
    <w:rsid w:val="00F81CD2"/>
    <w:rsid w:val="00F82641"/>
    <w:rsid w:val="00F90F18"/>
    <w:rsid w:val="00F9378F"/>
    <w:rsid w:val="00F937E4"/>
    <w:rsid w:val="00F94C3F"/>
    <w:rsid w:val="00F95EE7"/>
    <w:rsid w:val="00FA075E"/>
    <w:rsid w:val="00FA39E6"/>
    <w:rsid w:val="00FA7BC9"/>
    <w:rsid w:val="00FB378E"/>
    <w:rsid w:val="00FB37F1"/>
    <w:rsid w:val="00FB47C0"/>
    <w:rsid w:val="00FB501B"/>
    <w:rsid w:val="00FB7770"/>
    <w:rsid w:val="00FC0B1E"/>
    <w:rsid w:val="00FC6172"/>
    <w:rsid w:val="00FD2754"/>
    <w:rsid w:val="00FD3B91"/>
    <w:rsid w:val="00FD576B"/>
    <w:rsid w:val="00FD579E"/>
    <w:rsid w:val="00FD6845"/>
    <w:rsid w:val="00FE0052"/>
    <w:rsid w:val="00FE4516"/>
    <w:rsid w:val="00FE64C8"/>
    <w:rsid w:val="00FF0EDF"/>
    <w:rsid w:val="00FF0F60"/>
    <w:rsid w:val="00FF7D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0E41551-66A0-43F9-83B7-3C5B73DC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reason1">
    <w:name w:val="reason1"/>
    <w:rsid w:val="00CB45EA"/>
  </w:style>
  <w:style w:type="paragraph" w:styleId="HTML">
    <w:name w:val="HTML Preformatted"/>
    <w:basedOn w:val="a6"/>
    <w:link w:val="HTML0"/>
    <w:uiPriority w:val="99"/>
    <w:unhideWhenUsed/>
    <w:rsid w:val="00AA6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AA6A78"/>
    <w:rPr>
      <w:rFonts w:ascii="細明體" w:eastAsia="細明體" w:hAnsi="細明體" w:cs="細明體"/>
      <w:sz w:val="24"/>
      <w:szCs w:val="24"/>
    </w:rPr>
  </w:style>
  <w:style w:type="paragraph" w:styleId="afd">
    <w:name w:val="footnote text"/>
    <w:aliases w:val="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註腳文字 字元1,f"/>
    <w:basedOn w:val="a6"/>
    <w:link w:val="afe"/>
    <w:uiPriority w:val="99"/>
    <w:unhideWhenUsed/>
    <w:rsid w:val="001923B9"/>
    <w:pPr>
      <w:snapToGrid w:val="0"/>
      <w:jc w:val="left"/>
    </w:pPr>
    <w:rPr>
      <w:sz w:val="20"/>
    </w:rPr>
  </w:style>
  <w:style w:type="character" w:customStyle="1" w:styleId="afe">
    <w:name w:val="註腳文字 字元"/>
    <w:aliases w:val="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 字元1 字元,f 字元"/>
    <w:basedOn w:val="a7"/>
    <w:link w:val="afd"/>
    <w:uiPriority w:val="99"/>
    <w:rsid w:val="001923B9"/>
    <w:rPr>
      <w:rFonts w:ascii="標楷體" w:eastAsia="標楷體"/>
      <w:kern w:val="2"/>
    </w:rPr>
  </w:style>
  <w:style w:type="character" w:styleId="aff">
    <w:name w:val="footnote reference"/>
    <w:basedOn w:val="a7"/>
    <w:uiPriority w:val="99"/>
    <w:semiHidden/>
    <w:unhideWhenUsed/>
    <w:rsid w:val="001923B9"/>
    <w:rPr>
      <w:vertAlign w:val="superscript"/>
    </w:rPr>
  </w:style>
  <w:style w:type="character" w:styleId="aff0">
    <w:name w:val="Emphasis"/>
    <w:basedOn w:val="a7"/>
    <w:uiPriority w:val="20"/>
    <w:qFormat/>
    <w:rsid w:val="00EF67C3"/>
    <w:rPr>
      <w:i/>
      <w:iCs/>
    </w:rPr>
  </w:style>
  <w:style w:type="paragraph" w:styleId="23">
    <w:name w:val="Body Text 2"/>
    <w:basedOn w:val="a6"/>
    <w:link w:val="24"/>
    <w:semiHidden/>
    <w:unhideWhenUsed/>
    <w:rsid w:val="009161EF"/>
    <w:pPr>
      <w:widowControl/>
      <w:overflowPunct/>
      <w:autoSpaceDE/>
      <w:autoSpaceDN/>
      <w:jc w:val="left"/>
    </w:pPr>
    <w:rPr>
      <w:rFonts w:ascii="新細明體" w:eastAsia="新細明體" w:hAnsi="MS Sans Serif"/>
      <w:color w:val="000000"/>
      <w:kern w:val="0"/>
      <w:sz w:val="28"/>
      <w:lang w:val="zh-TW"/>
    </w:rPr>
  </w:style>
  <w:style w:type="character" w:customStyle="1" w:styleId="24">
    <w:name w:val="本文 2 字元"/>
    <w:basedOn w:val="a7"/>
    <w:link w:val="23"/>
    <w:semiHidden/>
    <w:rsid w:val="009161EF"/>
    <w:rPr>
      <w:rFonts w:ascii="新細明體" w:hAnsi="MS Sans Serif"/>
      <w:color w:val="000000"/>
      <w:sz w:val="28"/>
      <w:lang w:val="zh-TW"/>
    </w:rPr>
  </w:style>
  <w:style w:type="character" w:customStyle="1" w:styleId="20">
    <w:name w:val="標題 2 字元"/>
    <w:basedOn w:val="a7"/>
    <w:link w:val="2"/>
    <w:rsid w:val="00667523"/>
    <w:rPr>
      <w:rFonts w:ascii="標楷體" w:eastAsia="標楷體" w:hAnsi="Arial"/>
      <w:bCs/>
      <w:kern w:val="32"/>
      <w:sz w:val="32"/>
      <w:szCs w:val="48"/>
    </w:rPr>
  </w:style>
  <w:style w:type="character" w:customStyle="1" w:styleId="40">
    <w:name w:val="標題 4 字元"/>
    <w:basedOn w:val="a7"/>
    <w:link w:val="4"/>
    <w:rsid w:val="00413867"/>
    <w:rPr>
      <w:rFonts w:ascii="標楷體" w:eastAsia="標楷體" w:hAnsi="Arial"/>
      <w:kern w:val="32"/>
      <w:sz w:val="32"/>
      <w:szCs w:val="36"/>
    </w:rPr>
  </w:style>
  <w:style w:type="character" w:customStyle="1" w:styleId="10">
    <w:name w:val="標題 1 字元"/>
    <w:basedOn w:val="a7"/>
    <w:link w:val="1"/>
    <w:rsid w:val="00A03F79"/>
    <w:rPr>
      <w:rFonts w:ascii="標楷體" w:eastAsia="標楷體" w:hAnsi="Arial"/>
      <w:bCs/>
      <w:kern w:val="32"/>
      <w:sz w:val="32"/>
      <w:szCs w:val="52"/>
    </w:rPr>
  </w:style>
  <w:style w:type="character" w:customStyle="1" w:styleId="ab">
    <w:name w:val="簽名 字元"/>
    <w:basedOn w:val="a7"/>
    <w:link w:val="aa"/>
    <w:semiHidden/>
    <w:rsid w:val="00A03F79"/>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384643">
      <w:bodyDiv w:val="1"/>
      <w:marLeft w:val="0"/>
      <w:marRight w:val="0"/>
      <w:marTop w:val="0"/>
      <w:marBottom w:val="0"/>
      <w:divBdr>
        <w:top w:val="none" w:sz="0" w:space="0" w:color="auto"/>
        <w:left w:val="none" w:sz="0" w:space="0" w:color="auto"/>
        <w:bottom w:val="none" w:sz="0" w:space="0" w:color="auto"/>
        <w:right w:val="none" w:sz="0" w:space="0" w:color="auto"/>
      </w:divBdr>
    </w:div>
    <w:div w:id="469397359">
      <w:bodyDiv w:val="1"/>
      <w:marLeft w:val="0"/>
      <w:marRight w:val="0"/>
      <w:marTop w:val="0"/>
      <w:marBottom w:val="0"/>
      <w:divBdr>
        <w:top w:val="none" w:sz="0" w:space="0" w:color="auto"/>
        <w:left w:val="none" w:sz="0" w:space="0" w:color="auto"/>
        <w:bottom w:val="none" w:sz="0" w:space="0" w:color="auto"/>
        <w:right w:val="none" w:sz="0" w:space="0" w:color="auto"/>
      </w:divBdr>
    </w:div>
    <w:div w:id="525867332">
      <w:bodyDiv w:val="1"/>
      <w:marLeft w:val="0"/>
      <w:marRight w:val="0"/>
      <w:marTop w:val="0"/>
      <w:marBottom w:val="0"/>
      <w:divBdr>
        <w:top w:val="none" w:sz="0" w:space="0" w:color="auto"/>
        <w:left w:val="none" w:sz="0" w:space="0" w:color="auto"/>
        <w:bottom w:val="none" w:sz="0" w:space="0" w:color="auto"/>
        <w:right w:val="none" w:sz="0" w:space="0" w:color="auto"/>
      </w:divBdr>
    </w:div>
    <w:div w:id="549851456">
      <w:bodyDiv w:val="1"/>
      <w:marLeft w:val="0"/>
      <w:marRight w:val="0"/>
      <w:marTop w:val="0"/>
      <w:marBottom w:val="0"/>
      <w:divBdr>
        <w:top w:val="none" w:sz="0" w:space="0" w:color="auto"/>
        <w:left w:val="none" w:sz="0" w:space="0" w:color="auto"/>
        <w:bottom w:val="none" w:sz="0" w:space="0" w:color="auto"/>
        <w:right w:val="none" w:sz="0" w:space="0" w:color="auto"/>
      </w:divBdr>
    </w:div>
    <w:div w:id="74688095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6820136">
      <w:bodyDiv w:val="1"/>
      <w:marLeft w:val="0"/>
      <w:marRight w:val="0"/>
      <w:marTop w:val="0"/>
      <w:marBottom w:val="0"/>
      <w:divBdr>
        <w:top w:val="none" w:sz="0" w:space="0" w:color="auto"/>
        <w:left w:val="none" w:sz="0" w:space="0" w:color="auto"/>
        <w:bottom w:val="none" w:sz="0" w:space="0" w:color="auto"/>
        <w:right w:val="none" w:sz="0" w:space="0" w:color="auto"/>
      </w:divBdr>
    </w:div>
    <w:div w:id="1060398785">
      <w:bodyDiv w:val="1"/>
      <w:marLeft w:val="0"/>
      <w:marRight w:val="0"/>
      <w:marTop w:val="0"/>
      <w:marBottom w:val="0"/>
      <w:divBdr>
        <w:top w:val="none" w:sz="0" w:space="0" w:color="auto"/>
        <w:left w:val="none" w:sz="0" w:space="0" w:color="auto"/>
        <w:bottom w:val="none" w:sz="0" w:space="0" w:color="auto"/>
        <w:right w:val="none" w:sz="0" w:space="0" w:color="auto"/>
      </w:divBdr>
    </w:div>
    <w:div w:id="1112700379">
      <w:bodyDiv w:val="1"/>
      <w:marLeft w:val="0"/>
      <w:marRight w:val="0"/>
      <w:marTop w:val="0"/>
      <w:marBottom w:val="0"/>
      <w:divBdr>
        <w:top w:val="none" w:sz="0" w:space="0" w:color="auto"/>
        <w:left w:val="none" w:sz="0" w:space="0" w:color="auto"/>
        <w:bottom w:val="none" w:sz="0" w:space="0" w:color="auto"/>
        <w:right w:val="none" w:sz="0" w:space="0" w:color="auto"/>
      </w:divBdr>
    </w:div>
    <w:div w:id="1231846053">
      <w:bodyDiv w:val="1"/>
      <w:marLeft w:val="0"/>
      <w:marRight w:val="0"/>
      <w:marTop w:val="0"/>
      <w:marBottom w:val="0"/>
      <w:divBdr>
        <w:top w:val="none" w:sz="0" w:space="0" w:color="auto"/>
        <w:left w:val="none" w:sz="0" w:space="0" w:color="auto"/>
        <w:bottom w:val="none" w:sz="0" w:space="0" w:color="auto"/>
        <w:right w:val="none" w:sz="0" w:space="0" w:color="auto"/>
      </w:divBdr>
    </w:div>
    <w:div w:id="1274557988">
      <w:bodyDiv w:val="1"/>
      <w:marLeft w:val="0"/>
      <w:marRight w:val="0"/>
      <w:marTop w:val="0"/>
      <w:marBottom w:val="0"/>
      <w:divBdr>
        <w:top w:val="none" w:sz="0" w:space="0" w:color="auto"/>
        <w:left w:val="none" w:sz="0" w:space="0" w:color="auto"/>
        <w:bottom w:val="none" w:sz="0" w:space="0" w:color="auto"/>
        <w:right w:val="none" w:sz="0" w:space="0" w:color="auto"/>
      </w:divBdr>
    </w:div>
    <w:div w:id="1283918550">
      <w:bodyDiv w:val="1"/>
      <w:marLeft w:val="0"/>
      <w:marRight w:val="0"/>
      <w:marTop w:val="0"/>
      <w:marBottom w:val="0"/>
      <w:divBdr>
        <w:top w:val="none" w:sz="0" w:space="0" w:color="auto"/>
        <w:left w:val="none" w:sz="0" w:space="0" w:color="auto"/>
        <w:bottom w:val="none" w:sz="0" w:space="0" w:color="auto"/>
        <w:right w:val="none" w:sz="0" w:space="0" w:color="auto"/>
      </w:divBdr>
    </w:div>
    <w:div w:id="1320158727">
      <w:bodyDiv w:val="1"/>
      <w:marLeft w:val="0"/>
      <w:marRight w:val="0"/>
      <w:marTop w:val="0"/>
      <w:marBottom w:val="0"/>
      <w:divBdr>
        <w:top w:val="none" w:sz="0" w:space="0" w:color="auto"/>
        <w:left w:val="none" w:sz="0" w:space="0" w:color="auto"/>
        <w:bottom w:val="none" w:sz="0" w:space="0" w:color="auto"/>
        <w:right w:val="none" w:sz="0" w:space="0" w:color="auto"/>
      </w:divBdr>
    </w:div>
    <w:div w:id="1407724951">
      <w:bodyDiv w:val="1"/>
      <w:marLeft w:val="0"/>
      <w:marRight w:val="0"/>
      <w:marTop w:val="0"/>
      <w:marBottom w:val="0"/>
      <w:divBdr>
        <w:top w:val="none" w:sz="0" w:space="0" w:color="auto"/>
        <w:left w:val="none" w:sz="0" w:space="0" w:color="auto"/>
        <w:bottom w:val="none" w:sz="0" w:space="0" w:color="auto"/>
        <w:right w:val="none" w:sz="0" w:space="0" w:color="auto"/>
      </w:divBdr>
    </w:div>
    <w:div w:id="1451365097">
      <w:bodyDiv w:val="1"/>
      <w:marLeft w:val="0"/>
      <w:marRight w:val="0"/>
      <w:marTop w:val="0"/>
      <w:marBottom w:val="0"/>
      <w:divBdr>
        <w:top w:val="none" w:sz="0" w:space="0" w:color="auto"/>
        <w:left w:val="none" w:sz="0" w:space="0" w:color="auto"/>
        <w:bottom w:val="none" w:sz="0" w:space="0" w:color="auto"/>
        <w:right w:val="none" w:sz="0" w:space="0" w:color="auto"/>
      </w:divBdr>
    </w:div>
    <w:div w:id="1519083417">
      <w:bodyDiv w:val="1"/>
      <w:marLeft w:val="0"/>
      <w:marRight w:val="0"/>
      <w:marTop w:val="0"/>
      <w:marBottom w:val="0"/>
      <w:divBdr>
        <w:top w:val="none" w:sz="0" w:space="0" w:color="auto"/>
        <w:left w:val="none" w:sz="0" w:space="0" w:color="auto"/>
        <w:bottom w:val="none" w:sz="0" w:space="0" w:color="auto"/>
        <w:right w:val="none" w:sz="0" w:space="0" w:color="auto"/>
      </w:divBdr>
    </w:div>
    <w:div w:id="1650985361">
      <w:bodyDiv w:val="1"/>
      <w:marLeft w:val="0"/>
      <w:marRight w:val="0"/>
      <w:marTop w:val="0"/>
      <w:marBottom w:val="0"/>
      <w:divBdr>
        <w:top w:val="none" w:sz="0" w:space="0" w:color="auto"/>
        <w:left w:val="none" w:sz="0" w:space="0" w:color="auto"/>
        <w:bottom w:val="none" w:sz="0" w:space="0" w:color="auto"/>
        <w:right w:val="none" w:sz="0" w:space="0" w:color="auto"/>
      </w:divBdr>
    </w:div>
    <w:div w:id="1717001821">
      <w:bodyDiv w:val="1"/>
      <w:marLeft w:val="0"/>
      <w:marRight w:val="0"/>
      <w:marTop w:val="0"/>
      <w:marBottom w:val="0"/>
      <w:divBdr>
        <w:top w:val="none" w:sz="0" w:space="0" w:color="auto"/>
        <w:left w:val="none" w:sz="0" w:space="0" w:color="auto"/>
        <w:bottom w:val="none" w:sz="0" w:space="0" w:color="auto"/>
        <w:right w:val="none" w:sz="0" w:space="0" w:color="auto"/>
      </w:divBdr>
    </w:div>
    <w:div w:id="1782726266">
      <w:bodyDiv w:val="1"/>
      <w:marLeft w:val="0"/>
      <w:marRight w:val="0"/>
      <w:marTop w:val="0"/>
      <w:marBottom w:val="0"/>
      <w:divBdr>
        <w:top w:val="none" w:sz="0" w:space="0" w:color="auto"/>
        <w:left w:val="none" w:sz="0" w:space="0" w:color="auto"/>
        <w:bottom w:val="none" w:sz="0" w:space="0" w:color="auto"/>
        <w:right w:val="none" w:sz="0" w:space="0" w:color="auto"/>
      </w:divBdr>
    </w:div>
    <w:div w:id="1792018926">
      <w:bodyDiv w:val="1"/>
      <w:marLeft w:val="0"/>
      <w:marRight w:val="0"/>
      <w:marTop w:val="0"/>
      <w:marBottom w:val="0"/>
      <w:divBdr>
        <w:top w:val="none" w:sz="0" w:space="0" w:color="auto"/>
        <w:left w:val="none" w:sz="0" w:space="0" w:color="auto"/>
        <w:bottom w:val="none" w:sz="0" w:space="0" w:color="auto"/>
        <w:right w:val="none" w:sz="0" w:space="0" w:color="auto"/>
      </w:divBdr>
    </w:div>
    <w:div w:id="1831671757">
      <w:bodyDiv w:val="1"/>
      <w:marLeft w:val="0"/>
      <w:marRight w:val="0"/>
      <w:marTop w:val="0"/>
      <w:marBottom w:val="0"/>
      <w:divBdr>
        <w:top w:val="none" w:sz="0" w:space="0" w:color="auto"/>
        <w:left w:val="none" w:sz="0" w:space="0" w:color="auto"/>
        <w:bottom w:val="none" w:sz="0" w:space="0" w:color="auto"/>
        <w:right w:val="none" w:sz="0" w:space="0" w:color="auto"/>
      </w:divBdr>
    </w:div>
    <w:div w:id="1923709953">
      <w:bodyDiv w:val="1"/>
      <w:marLeft w:val="0"/>
      <w:marRight w:val="0"/>
      <w:marTop w:val="0"/>
      <w:marBottom w:val="0"/>
      <w:divBdr>
        <w:top w:val="none" w:sz="0" w:space="0" w:color="auto"/>
        <w:left w:val="none" w:sz="0" w:space="0" w:color="auto"/>
        <w:bottom w:val="none" w:sz="0" w:space="0" w:color="auto"/>
        <w:right w:val="none" w:sz="0" w:space="0" w:color="auto"/>
      </w:divBdr>
    </w:div>
    <w:div w:id="1964772411">
      <w:bodyDiv w:val="1"/>
      <w:marLeft w:val="0"/>
      <w:marRight w:val="0"/>
      <w:marTop w:val="0"/>
      <w:marBottom w:val="0"/>
      <w:divBdr>
        <w:top w:val="none" w:sz="0" w:space="0" w:color="auto"/>
        <w:left w:val="none" w:sz="0" w:space="0" w:color="auto"/>
        <w:bottom w:val="none" w:sz="0" w:space="0" w:color="auto"/>
        <w:right w:val="none" w:sz="0" w:space="0" w:color="auto"/>
      </w:divBdr>
    </w:div>
    <w:div w:id="2009673744">
      <w:bodyDiv w:val="1"/>
      <w:marLeft w:val="0"/>
      <w:marRight w:val="0"/>
      <w:marTop w:val="0"/>
      <w:marBottom w:val="0"/>
      <w:divBdr>
        <w:top w:val="none" w:sz="0" w:space="0" w:color="auto"/>
        <w:left w:val="none" w:sz="0" w:space="0" w:color="auto"/>
        <w:bottom w:val="none" w:sz="0" w:space="0" w:color="auto"/>
        <w:right w:val="none" w:sz="0" w:space="0" w:color="auto"/>
      </w:divBdr>
    </w:div>
    <w:div w:id="2064867118">
      <w:bodyDiv w:val="1"/>
      <w:marLeft w:val="0"/>
      <w:marRight w:val="0"/>
      <w:marTop w:val="0"/>
      <w:marBottom w:val="0"/>
      <w:divBdr>
        <w:top w:val="none" w:sz="0" w:space="0" w:color="auto"/>
        <w:left w:val="none" w:sz="0" w:space="0" w:color="auto"/>
        <w:bottom w:val="none" w:sz="0" w:space="0" w:color="auto"/>
        <w:right w:val="none" w:sz="0" w:space="0" w:color="auto"/>
      </w:divBdr>
    </w:div>
    <w:div w:id="2078475707">
      <w:bodyDiv w:val="1"/>
      <w:marLeft w:val="0"/>
      <w:marRight w:val="0"/>
      <w:marTop w:val="0"/>
      <w:marBottom w:val="0"/>
      <w:divBdr>
        <w:top w:val="none" w:sz="0" w:space="0" w:color="auto"/>
        <w:left w:val="none" w:sz="0" w:space="0" w:color="auto"/>
        <w:bottom w:val="none" w:sz="0" w:space="0" w:color="auto"/>
        <w:right w:val="none" w:sz="0" w:space="0" w:color="auto"/>
      </w:divBdr>
    </w:div>
    <w:div w:id="210344757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humanrights.moj.gov.tw/lp-506-200.html&#65292;&#28687;&#35261;&#26085;&#26399;:108" TargetMode="External"/><Relationship Id="rId1" Type="http://schemas.openxmlformats.org/officeDocument/2006/relationships/hyperlink" Target="https://talk.ltn.com.tw/article/paper/8372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274B4-7F13-4DD3-9037-2A8492BC8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5</TotalTime>
  <Pages>26</Pages>
  <Words>7643</Words>
  <Characters>7721</Characters>
  <Application>Microsoft Office Word</Application>
  <DocSecurity>0</DocSecurity>
  <Lines>551</Lines>
  <Paragraphs>640</Paragraphs>
  <ScaleCrop>false</ScaleCrop>
  <Company>cy</Company>
  <LinksUpToDate>false</LinksUpToDate>
  <CharactersWithSpaces>14724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杜玉祥</dc:creator>
  <cp:lastModifiedBy>林秀珍</cp:lastModifiedBy>
  <cp:revision>3</cp:revision>
  <cp:lastPrinted>2019-09-05T02:12:00Z</cp:lastPrinted>
  <dcterms:created xsi:type="dcterms:W3CDTF">2019-09-16T01:28:00Z</dcterms:created>
  <dcterms:modified xsi:type="dcterms:W3CDTF">2019-09-16T06:55:00Z</dcterms:modified>
</cp:coreProperties>
</file>