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D7D6B" w:rsidRDefault="00D75644" w:rsidP="00F37D7B">
      <w:pPr>
        <w:pStyle w:val="af6"/>
      </w:pPr>
      <w:r w:rsidRPr="00FD7D6B">
        <w:rPr>
          <w:rFonts w:hint="eastAsia"/>
        </w:rPr>
        <w:t>調查</w:t>
      </w:r>
      <w:r w:rsidR="00042D5A">
        <w:rPr>
          <w:rFonts w:hint="eastAsia"/>
        </w:rPr>
        <w:t>意見</w:t>
      </w:r>
    </w:p>
    <w:p w:rsidR="00ED2B88" w:rsidRPr="00FD7D6B" w:rsidRDefault="00E25849" w:rsidP="00ED2B88">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D7D6B">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D2B88" w:rsidRPr="00FD7D6B">
        <w:rPr>
          <w:rFonts w:hint="eastAsia"/>
        </w:rPr>
        <w:t>過去一、二十年，我國對於赴海外經商求學旅遊與開放外國人士前來臺灣從事各類商務、學術、教育、勞務等的交流至為積極並卓有成效，提升臺灣在國際經貿科技發展的競爭力與國際地位；然因國際交流大幅提升，增加國人前往各國，尤其是傳染疾病較為盛行地區或國家，也增加該地區與國家的國際人士到臺灣之機會，此造成了傳染病跨國傳播之風險；相關主管機關是否密切蒐集及確實掌握區域與國際疫情資訊，有效提供民眾資訊與教育，協助事先防範，並整合為新南向計畫策略，攸關我國整體國際化量能與品質，有進行調查之必要案。</w:t>
      </w:r>
    </w:p>
    <w:p w:rsidR="00984D4D" w:rsidRPr="00FD7D6B" w:rsidRDefault="00984D4D" w:rsidP="00984D4D">
      <w:pPr>
        <w:pStyle w:val="2"/>
        <w:rPr>
          <w:b/>
        </w:rPr>
      </w:pPr>
      <w:bookmarkStart w:id="50"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FD7D6B">
        <w:rPr>
          <w:rFonts w:hint="eastAsia"/>
          <w:b/>
        </w:rPr>
        <w:t>疾管署目前僅藉由</w:t>
      </w:r>
      <w:r w:rsidR="001C112C" w:rsidRPr="00FD7D6B">
        <w:rPr>
          <w:rFonts w:hint="eastAsia"/>
          <w:b/>
        </w:rPr>
        <w:t>國際衛生條例</w:t>
      </w:r>
      <w:r w:rsidRPr="00FD7D6B">
        <w:rPr>
          <w:rFonts w:hint="eastAsia"/>
          <w:b/>
        </w:rPr>
        <w:t>「公衛事件資訊網站（Event Information Site）」及自行連結至</w:t>
      </w:r>
      <w:r w:rsidR="001C112C" w:rsidRPr="00FD7D6B">
        <w:rPr>
          <w:rFonts w:hint="eastAsia"/>
          <w:b/>
        </w:rPr>
        <w:t>世界衛生組織</w:t>
      </w:r>
      <w:r w:rsidR="00ED7CDB" w:rsidRPr="00FD7D6B">
        <w:rPr>
          <w:rFonts w:hint="eastAsia"/>
          <w:b/>
        </w:rPr>
        <w:t>與全球各相關國家以瞭解</w:t>
      </w:r>
      <w:r w:rsidRPr="00FD7D6B">
        <w:rPr>
          <w:rFonts w:hint="eastAsia"/>
          <w:b/>
        </w:rPr>
        <w:t>疫情之機制，難以主動發掘各國傳染病疫情狀況，尤其是互動交流頻繁之鄰近國家，且僅與中國大陸及馬來西亞建立傳染病資料交換管道，其中與馬來西亞所建立之交換系統</w:t>
      </w:r>
      <w:r w:rsidR="00B7664E" w:rsidRPr="00FD7D6B">
        <w:rPr>
          <w:rFonts w:hint="eastAsia"/>
          <w:b/>
        </w:rPr>
        <w:t>又</w:t>
      </w:r>
      <w:r w:rsidRPr="00FD7D6B">
        <w:rPr>
          <w:rFonts w:hint="eastAsia"/>
          <w:b/>
        </w:rPr>
        <w:t>僅限於「登革熱」及「腸病毒」2項傳染病，顯示疾管署對於</w:t>
      </w:r>
      <w:r w:rsidR="003E508C" w:rsidRPr="00FD7D6B">
        <w:rPr>
          <w:rFonts w:hint="eastAsia"/>
          <w:b/>
        </w:rPr>
        <w:t>區域</w:t>
      </w:r>
      <w:r w:rsidRPr="00FD7D6B">
        <w:rPr>
          <w:rFonts w:hint="eastAsia"/>
          <w:b/>
        </w:rPr>
        <w:t>國際傳染病疫情之掌握機制，被動且</w:t>
      </w:r>
      <w:r w:rsidR="003E508C" w:rsidRPr="00FD7D6B">
        <w:rPr>
          <w:rFonts w:hint="eastAsia"/>
          <w:b/>
        </w:rPr>
        <w:t>準備</w:t>
      </w:r>
      <w:r w:rsidRPr="00FD7D6B">
        <w:rPr>
          <w:rFonts w:hint="eastAsia"/>
          <w:b/>
        </w:rPr>
        <w:t>不足，</w:t>
      </w:r>
      <w:r w:rsidR="005A326B" w:rsidRPr="00FD7D6B">
        <w:rPr>
          <w:rFonts w:hint="eastAsia"/>
          <w:b/>
        </w:rPr>
        <w:t>且</w:t>
      </w:r>
      <w:r w:rsidR="003E508C" w:rsidRPr="00FD7D6B">
        <w:rPr>
          <w:rFonts w:hint="eastAsia"/>
          <w:b/>
        </w:rPr>
        <w:t>未</w:t>
      </w:r>
      <w:r w:rsidR="005A326B" w:rsidRPr="00FD7D6B">
        <w:rPr>
          <w:rFonts w:hint="eastAsia"/>
          <w:b/>
        </w:rPr>
        <w:t>能同時與</w:t>
      </w:r>
      <w:r w:rsidR="003E508C" w:rsidRPr="00FD7D6B">
        <w:rPr>
          <w:rFonts w:hint="eastAsia"/>
          <w:b/>
        </w:rPr>
        <w:t>政府新南向策略</w:t>
      </w:r>
      <w:r w:rsidR="005A326B" w:rsidRPr="00FD7D6B">
        <w:rPr>
          <w:rFonts w:hint="eastAsia"/>
          <w:b/>
        </w:rPr>
        <w:t>一併整</w:t>
      </w:r>
      <w:r w:rsidR="003E508C" w:rsidRPr="00FD7D6B">
        <w:rPr>
          <w:rFonts w:hint="eastAsia"/>
          <w:b/>
        </w:rPr>
        <w:t>合，</w:t>
      </w:r>
      <w:r w:rsidRPr="00FD7D6B">
        <w:rPr>
          <w:rFonts w:hint="eastAsia"/>
          <w:b/>
        </w:rPr>
        <w:t>難以有效預防</w:t>
      </w:r>
      <w:r w:rsidR="003E508C" w:rsidRPr="00FD7D6B">
        <w:rPr>
          <w:rFonts w:hint="eastAsia"/>
          <w:b/>
        </w:rPr>
        <w:t>及評估</w:t>
      </w:r>
      <w:r w:rsidRPr="00FD7D6B">
        <w:rPr>
          <w:rFonts w:hint="eastAsia"/>
          <w:b/>
        </w:rPr>
        <w:t>境外傳染病移入，核有欠當。</w:t>
      </w:r>
    </w:p>
    <w:p w:rsidR="00984D4D" w:rsidRPr="00FD7D6B" w:rsidRDefault="00984D4D" w:rsidP="00984D4D">
      <w:pPr>
        <w:pStyle w:val="3"/>
        <w:numPr>
          <w:ilvl w:val="2"/>
          <w:numId w:val="1"/>
        </w:numPr>
      </w:pPr>
      <w:r w:rsidRPr="00FD7D6B">
        <w:rPr>
          <w:rFonts w:hint="eastAsia"/>
        </w:rPr>
        <w:t>按傳染病防治法第1條、第2條、第5條第1項及第7條前段規定：「為杜絕傳染病之發生、傳染及蔓延，特制定本法。」、「本法主管機關：在中央為衛生福利部；在直轄市為直轄市政府；在縣（市）為縣（市）政府。」、「中央主管機關及直轄市、縣（市）主管</w:t>
      </w:r>
      <w:r w:rsidRPr="00FD7D6B">
        <w:rPr>
          <w:rFonts w:hint="eastAsia"/>
        </w:rPr>
        <w:lastRenderedPageBreak/>
        <w:t>機關執行本法所定事項權責劃分如下：一、中央主管機關：……（四）執行國際及指定特殊港埠之檢疫事項。……」、「主管機關應實施各項調查及有效預防措施，以防止傳染病發生。」爰此，衛福部應積極掌握國際疫情訊息，以作為執行國際及港埠檢疫作業之依據，以有效預防傳染病之發生。</w:t>
      </w:r>
    </w:p>
    <w:p w:rsidR="00984D4D" w:rsidRPr="00FD7D6B" w:rsidRDefault="00984D4D" w:rsidP="003932DB">
      <w:pPr>
        <w:pStyle w:val="3"/>
        <w:numPr>
          <w:ilvl w:val="2"/>
          <w:numId w:val="1"/>
        </w:numPr>
      </w:pPr>
      <w:r w:rsidRPr="00FD7D6B">
        <w:rPr>
          <w:rFonts w:hint="eastAsia"/>
        </w:rPr>
        <w:t>為提升我國對外經濟的格局及多元性，重新建構與亞洲的連結，行政院於105年9月5日提出</w:t>
      </w:r>
      <w:r w:rsidRPr="00FD7D6B">
        <w:rPr>
          <w:rFonts w:ascii="新細明體" w:eastAsia="新細明體" w:hAnsi="新細明體" w:hint="eastAsia"/>
        </w:rPr>
        <w:t>「</w:t>
      </w:r>
      <w:r w:rsidRPr="00FD7D6B">
        <w:rPr>
          <w:rFonts w:hint="eastAsia"/>
        </w:rPr>
        <w:t>新南向政策推動計畫</w:t>
      </w:r>
      <w:r w:rsidRPr="00FD7D6B">
        <w:rPr>
          <w:rFonts w:hAnsi="標楷體" w:hint="eastAsia"/>
        </w:rPr>
        <w:t>」</w:t>
      </w:r>
      <w:r w:rsidRPr="00FD7D6B">
        <w:rPr>
          <w:rFonts w:hint="eastAsia"/>
        </w:rPr>
        <w:t>，自「經貿合作」、「人才交流」、「資源共享」與「區域鏈結」</w:t>
      </w:r>
      <w:r w:rsidR="00967F34" w:rsidRPr="00FD7D6B">
        <w:rPr>
          <w:rFonts w:hint="eastAsia"/>
        </w:rPr>
        <w:t>四</w:t>
      </w:r>
      <w:r w:rsidRPr="00FD7D6B">
        <w:rPr>
          <w:rFonts w:hint="eastAsia"/>
        </w:rPr>
        <w:t>大面向著手，強化產業合作與經貿拓展、促進基礎建設工程合作、系統整合服務輸出等，期望與東協10國(汶萊、印尼、柬埔寨、寮國、緬甸、馬來西亞、菲律賓、新加坡、泰國、越南)、南亞6國(印度、斯里蘭卡、不丹、尼泊爾、孟加拉、巴基斯坦)及紐、澳等共18個國家(下稱新南向國家)</w:t>
      </w:r>
      <w:r w:rsidR="003932DB" w:rsidRPr="00FD7D6B">
        <w:rPr>
          <w:rFonts w:hint="eastAsia"/>
        </w:rPr>
        <w:t>，</w:t>
      </w:r>
      <w:r w:rsidR="003932DB" w:rsidRPr="002426D8">
        <w:rPr>
          <w:rFonts w:hint="eastAsia"/>
          <w:spacing w:val="7"/>
          <w:kern w:val="0"/>
          <w:fitText w:val="4250" w:id="2027613696"/>
        </w:rPr>
        <w:t>創造互利共贏的</w:t>
      </w:r>
      <w:r w:rsidRPr="002426D8">
        <w:rPr>
          <w:rFonts w:hint="eastAsia"/>
          <w:spacing w:val="7"/>
          <w:kern w:val="0"/>
          <w:fitText w:val="4250" w:id="2027613696"/>
        </w:rPr>
        <w:t>新合作模式</w:t>
      </w:r>
      <w:r w:rsidRPr="002426D8">
        <w:rPr>
          <w:rFonts w:hint="eastAsia"/>
          <w:spacing w:val="-39"/>
          <w:kern w:val="0"/>
          <w:fitText w:val="4250" w:id="2027613696"/>
        </w:rPr>
        <w:t>。</w:t>
      </w:r>
    </w:p>
    <w:p w:rsidR="001F0A66" w:rsidRPr="00FD7D6B" w:rsidRDefault="00984D4D" w:rsidP="001F0A66">
      <w:pPr>
        <w:pStyle w:val="3"/>
        <w:numPr>
          <w:ilvl w:val="2"/>
          <w:numId w:val="1"/>
        </w:numPr>
      </w:pPr>
      <w:r w:rsidRPr="00FD7D6B">
        <w:rPr>
          <w:rFonts w:hint="eastAsia"/>
        </w:rPr>
        <w:t>據內政部移民署</w:t>
      </w:r>
      <w:r w:rsidR="00B7664E" w:rsidRPr="00FD7D6B">
        <w:rPr>
          <w:rFonts w:hint="eastAsia"/>
        </w:rPr>
        <w:t>及交通部</w:t>
      </w:r>
      <w:r w:rsidR="000529C6" w:rsidRPr="00FD7D6B">
        <w:rPr>
          <w:rFonts w:hint="eastAsia"/>
        </w:rPr>
        <w:t>統計</w:t>
      </w:r>
      <w:r w:rsidRPr="00FD7D6B">
        <w:rPr>
          <w:rFonts w:hint="eastAsia"/>
        </w:rPr>
        <w:t>資料，</w:t>
      </w:r>
      <w:r w:rsidR="00B7664E" w:rsidRPr="00FD7D6B">
        <w:rPr>
          <w:rFonts w:hint="eastAsia"/>
        </w:rPr>
        <w:t>關於</w:t>
      </w:r>
      <w:r w:rsidR="001F0A66" w:rsidRPr="00FD7D6B">
        <w:rPr>
          <w:rFonts w:hint="eastAsia"/>
        </w:rPr>
        <w:t>103年至107年外國人士入境人次統計及成長率，</w:t>
      </w:r>
      <w:r w:rsidR="00741A0B" w:rsidRPr="00FD7D6B">
        <w:rPr>
          <w:rFonts w:hint="eastAsia"/>
        </w:rPr>
        <w:t>103年來臺991.0萬人次，</w:t>
      </w:r>
      <w:r w:rsidR="001F0A66" w:rsidRPr="00FD7D6B">
        <w:rPr>
          <w:rFonts w:hint="eastAsia"/>
        </w:rPr>
        <w:t>104年來臺1,043.9萬人次(+5.34%)、105年來臺1,069.0萬人次(+2.40%)、106年來臺1,073.9萬人次(+0.46%)、107年來臺1,106.6萬人次(+3.05%)，依年度、來源地區(國家)統計如表1所示。</w:t>
      </w:r>
    </w:p>
    <w:p w:rsidR="003932DB" w:rsidRPr="00FD7D6B" w:rsidRDefault="003932DB" w:rsidP="003932DB">
      <w:pPr>
        <w:pStyle w:val="1"/>
        <w:numPr>
          <w:ilvl w:val="0"/>
          <w:numId w:val="0"/>
        </w:numPr>
        <w:ind w:left="2381" w:hanging="2381"/>
      </w:pPr>
    </w:p>
    <w:p w:rsidR="003932DB" w:rsidRPr="00FD7D6B" w:rsidRDefault="003932DB" w:rsidP="003932DB">
      <w:pPr>
        <w:pStyle w:val="1"/>
        <w:numPr>
          <w:ilvl w:val="0"/>
          <w:numId w:val="0"/>
        </w:numPr>
        <w:ind w:left="2381" w:hanging="2381"/>
      </w:pPr>
    </w:p>
    <w:p w:rsidR="003932DB" w:rsidRPr="00FD7D6B" w:rsidRDefault="003932DB" w:rsidP="003932DB">
      <w:pPr>
        <w:pStyle w:val="1"/>
        <w:numPr>
          <w:ilvl w:val="0"/>
          <w:numId w:val="0"/>
        </w:numPr>
        <w:ind w:left="2381" w:hanging="2381"/>
      </w:pPr>
    </w:p>
    <w:p w:rsidR="001F0A66" w:rsidRPr="00FD7D6B" w:rsidRDefault="001F0A66" w:rsidP="00895B32">
      <w:pPr>
        <w:pStyle w:val="a3"/>
        <w:numPr>
          <w:ilvl w:val="0"/>
          <w:numId w:val="18"/>
        </w:numPr>
        <w:ind w:firstLine="796"/>
      </w:pPr>
      <w:r w:rsidRPr="00FD7D6B">
        <w:rPr>
          <w:rFonts w:hint="eastAsia"/>
        </w:rPr>
        <w:lastRenderedPageBreak/>
        <w:t>103年至107年來臺外國人士依年度、來源國及人次統計表</w:t>
      </w:r>
    </w:p>
    <w:p w:rsidR="001F0A66" w:rsidRPr="00FD7D6B" w:rsidRDefault="00ED7CDB" w:rsidP="00ED7CDB">
      <w:pPr>
        <w:pStyle w:val="a3"/>
        <w:numPr>
          <w:ilvl w:val="0"/>
          <w:numId w:val="0"/>
        </w:numPr>
        <w:spacing w:before="0" w:after="0"/>
        <w:ind w:left="480" w:right="55"/>
        <w:jc w:val="right"/>
        <w:rPr>
          <w:szCs w:val="24"/>
        </w:rPr>
      </w:pPr>
      <w:r w:rsidRPr="00FD7D6B">
        <w:rPr>
          <w:rFonts w:hint="eastAsia"/>
          <w:szCs w:val="24"/>
        </w:rPr>
        <w:t xml:space="preserve">  </w:t>
      </w:r>
      <w:r w:rsidR="001F0A66" w:rsidRPr="00FD7D6B">
        <w:rPr>
          <w:rFonts w:hint="eastAsia"/>
          <w:szCs w:val="24"/>
        </w:rPr>
        <w:t xml:space="preserve">  </w:t>
      </w:r>
      <w:r w:rsidR="00D71AA1" w:rsidRPr="00FD7D6B">
        <w:rPr>
          <w:rFonts w:hint="eastAsia"/>
          <w:szCs w:val="24"/>
        </w:rPr>
        <w:t xml:space="preserve"> </w:t>
      </w:r>
      <w:r w:rsidRPr="00FD7D6B">
        <w:rPr>
          <w:rFonts w:hint="eastAsia"/>
          <w:szCs w:val="24"/>
        </w:rPr>
        <w:t xml:space="preserve">  </w:t>
      </w:r>
      <w:r w:rsidR="00D71AA1" w:rsidRPr="00FD7D6B">
        <w:rPr>
          <w:rFonts w:hint="eastAsia"/>
          <w:szCs w:val="24"/>
        </w:rPr>
        <w:t xml:space="preserve"> </w:t>
      </w:r>
      <w:r w:rsidR="001F0A66" w:rsidRPr="00FD7D6B">
        <w:rPr>
          <w:rFonts w:hint="eastAsia"/>
          <w:szCs w:val="24"/>
        </w:rPr>
        <w:t>單位：人次</w:t>
      </w:r>
    </w:p>
    <w:tbl>
      <w:tblPr>
        <w:tblW w:w="5654" w:type="pct"/>
        <w:tblInd w:w="-256" w:type="dxa"/>
        <w:tblLayout w:type="fixed"/>
        <w:tblCellMar>
          <w:left w:w="28" w:type="dxa"/>
          <w:right w:w="28" w:type="dxa"/>
        </w:tblCellMar>
        <w:tblLook w:val="04A0" w:firstRow="1" w:lastRow="0" w:firstColumn="1" w:lastColumn="0" w:noHBand="0" w:noVBand="1"/>
      </w:tblPr>
      <w:tblGrid>
        <w:gridCol w:w="626"/>
        <w:gridCol w:w="445"/>
        <w:gridCol w:w="1608"/>
        <w:gridCol w:w="1400"/>
        <w:gridCol w:w="1464"/>
        <w:gridCol w:w="1464"/>
        <w:gridCol w:w="1464"/>
        <w:gridCol w:w="1518"/>
      </w:tblGrid>
      <w:tr w:rsidR="00651306" w:rsidRPr="00FD7D6B" w:rsidTr="003932DB">
        <w:trPr>
          <w:trHeight w:val="324"/>
          <w:tblHeader/>
        </w:trPr>
        <w:tc>
          <w:tcPr>
            <w:tcW w:w="133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0A66" w:rsidRPr="00FD7D6B" w:rsidRDefault="001F0A66" w:rsidP="00D71AA1">
            <w:pPr>
              <w:widowControl/>
              <w:overflowPunct/>
              <w:autoSpaceDE/>
              <w:autoSpaceDN/>
              <w:jc w:val="center"/>
              <w:rPr>
                <w:rFonts w:hAnsi="標楷體" w:cs="新細明體"/>
                <w:b/>
                <w:kern w:val="0"/>
                <w:sz w:val="28"/>
                <w:szCs w:val="28"/>
              </w:rPr>
            </w:pPr>
            <w:r w:rsidRPr="00FD7D6B">
              <w:rPr>
                <w:rFonts w:hAnsi="標楷體" w:cs="新細明體" w:hint="eastAsia"/>
                <w:b/>
                <w:kern w:val="0"/>
                <w:sz w:val="28"/>
                <w:szCs w:val="28"/>
              </w:rPr>
              <w:t>居住地</w:t>
            </w:r>
          </w:p>
        </w:tc>
        <w:tc>
          <w:tcPr>
            <w:tcW w:w="701" w:type="pct"/>
            <w:tcBorders>
              <w:top w:val="single" w:sz="4" w:space="0" w:color="auto"/>
              <w:left w:val="nil"/>
              <w:bottom w:val="single" w:sz="4" w:space="0" w:color="auto"/>
              <w:right w:val="single" w:sz="4" w:space="0" w:color="auto"/>
            </w:tcBorders>
            <w:shd w:val="clear" w:color="auto" w:fill="auto"/>
            <w:vAlign w:val="center"/>
            <w:hideMark/>
          </w:tcPr>
          <w:p w:rsidR="001F0A66" w:rsidRPr="00FD7D6B" w:rsidRDefault="001F0A66" w:rsidP="00D71AA1">
            <w:pPr>
              <w:widowControl/>
              <w:overflowPunct/>
              <w:autoSpaceDE/>
              <w:autoSpaceDN/>
              <w:jc w:val="center"/>
              <w:rPr>
                <w:rFonts w:hAnsi="標楷體"/>
                <w:b/>
                <w:kern w:val="0"/>
                <w:sz w:val="28"/>
                <w:szCs w:val="28"/>
              </w:rPr>
            </w:pPr>
            <w:r w:rsidRPr="00FD7D6B">
              <w:rPr>
                <w:rFonts w:hAnsi="標楷體"/>
                <w:b/>
                <w:kern w:val="0"/>
                <w:sz w:val="28"/>
                <w:szCs w:val="28"/>
              </w:rPr>
              <w:t>103</w:t>
            </w:r>
            <w:r w:rsidRPr="00FD7D6B">
              <w:rPr>
                <w:rFonts w:hAnsi="標楷體" w:hint="eastAsia"/>
                <w:b/>
                <w:kern w:val="0"/>
                <w:sz w:val="28"/>
                <w:szCs w:val="28"/>
              </w:rPr>
              <w:t>年</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1F0A66" w:rsidRPr="00FD7D6B" w:rsidRDefault="001F0A66" w:rsidP="00D71AA1">
            <w:pPr>
              <w:widowControl/>
              <w:overflowPunct/>
              <w:autoSpaceDE/>
              <w:autoSpaceDN/>
              <w:jc w:val="center"/>
              <w:rPr>
                <w:rFonts w:hAnsi="標楷體"/>
                <w:b/>
                <w:kern w:val="0"/>
                <w:sz w:val="28"/>
                <w:szCs w:val="28"/>
              </w:rPr>
            </w:pPr>
            <w:r w:rsidRPr="00FD7D6B">
              <w:rPr>
                <w:rFonts w:hAnsi="標楷體"/>
                <w:b/>
                <w:kern w:val="0"/>
                <w:sz w:val="28"/>
                <w:szCs w:val="28"/>
              </w:rPr>
              <w:t>104</w:t>
            </w:r>
            <w:r w:rsidRPr="00FD7D6B">
              <w:rPr>
                <w:rFonts w:hAnsi="標楷體" w:hint="eastAsia"/>
                <w:b/>
                <w:kern w:val="0"/>
                <w:sz w:val="28"/>
                <w:szCs w:val="28"/>
              </w:rPr>
              <w:t>年</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1F0A66" w:rsidRPr="00FD7D6B" w:rsidRDefault="001F0A66" w:rsidP="00D71AA1">
            <w:pPr>
              <w:widowControl/>
              <w:overflowPunct/>
              <w:autoSpaceDE/>
              <w:autoSpaceDN/>
              <w:jc w:val="center"/>
              <w:rPr>
                <w:rFonts w:hAnsi="標楷體"/>
                <w:b/>
                <w:kern w:val="0"/>
                <w:sz w:val="28"/>
                <w:szCs w:val="28"/>
              </w:rPr>
            </w:pPr>
            <w:r w:rsidRPr="00FD7D6B">
              <w:rPr>
                <w:rFonts w:hAnsi="標楷體"/>
                <w:b/>
                <w:kern w:val="0"/>
                <w:sz w:val="28"/>
                <w:szCs w:val="28"/>
              </w:rPr>
              <w:t>105</w:t>
            </w:r>
            <w:r w:rsidRPr="00FD7D6B">
              <w:rPr>
                <w:rFonts w:hAnsi="標楷體" w:hint="eastAsia"/>
                <w:b/>
                <w:kern w:val="0"/>
                <w:sz w:val="28"/>
                <w:szCs w:val="28"/>
              </w:rPr>
              <w:t>年</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1F0A66" w:rsidRPr="00FD7D6B" w:rsidRDefault="001F0A66" w:rsidP="00D71AA1">
            <w:pPr>
              <w:widowControl/>
              <w:overflowPunct/>
              <w:autoSpaceDE/>
              <w:autoSpaceDN/>
              <w:jc w:val="center"/>
              <w:rPr>
                <w:rFonts w:hAnsi="標楷體"/>
                <w:b/>
                <w:kern w:val="0"/>
                <w:sz w:val="28"/>
                <w:szCs w:val="28"/>
              </w:rPr>
            </w:pPr>
            <w:r w:rsidRPr="00FD7D6B">
              <w:rPr>
                <w:rFonts w:hAnsi="標楷體"/>
                <w:b/>
                <w:kern w:val="0"/>
                <w:sz w:val="28"/>
                <w:szCs w:val="28"/>
              </w:rPr>
              <w:t>106</w:t>
            </w:r>
            <w:r w:rsidRPr="00FD7D6B">
              <w:rPr>
                <w:rFonts w:hAnsi="標楷體" w:hint="eastAsia"/>
                <w:b/>
                <w:kern w:val="0"/>
                <w:sz w:val="28"/>
                <w:szCs w:val="28"/>
              </w:rPr>
              <w:t>年</w:t>
            </w:r>
          </w:p>
        </w:tc>
        <w:tc>
          <w:tcPr>
            <w:tcW w:w="761" w:type="pct"/>
            <w:tcBorders>
              <w:top w:val="single" w:sz="4" w:space="0" w:color="auto"/>
              <w:left w:val="nil"/>
              <w:bottom w:val="single" w:sz="4" w:space="0" w:color="auto"/>
              <w:right w:val="single" w:sz="4" w:space="0" w:color="auto"/>
            </w:tcBorders>
            <w:shd w:val="clear" w:color="auto" w:fill="auto"/>
            <w:vAlign w:val="center"/>
            <w:hideMark/>
          </w:tcPr>
          <w:p w:rsidR="001F0A66" w:rsidRPr="00FD7D6B" w:rsidRDefault="001F0A66" w:rsidP="00D71AA1">
            <w:pPr>
              <w:widowControl/>
              <w:overflowPunct/>
              <w:autoSpaceDE/>
              <w:autoSpaceDN/>
              <w:jc w:val="center"/>
              <w:rPr>
                <w:rFonts w:hAnsi="標楷體"/>
                <w:b/>
                <w:kern w:val="0"/>
                <w:sz w:val="28"/>
                <w:szCs w:val="28"/>
              </w:rPr>
            </w:pPr>
            <w:r w:rsidRPr="00FD7D6B">
              <w:rPr>
                <w:rFonts w:hAnsi="標楷體"/>
                <w:b/>
                <w:kern w:val="0"/>
                <w:sz w:val="28"/>
                <w:szCs w:val="28"/>
              </w:rPr>
              <w:t>107</w:t>
            </w:r>
            <w:r w:rsidRPr="00FD7D6B">
              <w:rPr>
                <w:rFonts w:hAnsi="標楷體" w:hint="eastAsia"/>
                <w:b/>
                <w:kern w:val="0"/>
                <w:sz w:val="28"/>
                <w:szCs w:val="28"/>
              </w:rPr>
              <w:t>年</w:t>
            </w:r>
          </w:p>
        </w:tc>
      </w:tr>
      <w:tr w:rsidR="00651306" w:rsidRPr="00FD7D6B" w:rsidTr="003932DB">
        <w:trPr>
          <w:trHeight w:val="324"/>
        </w:trPr>
        <w:tc>
          <w:tcPr>
            <w:tcW w:w="313" w:type="pct"/>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1F0A66" w:rsidRPr="00FD7D6B" w:rsidRDefault="001F0A66" w:rsidP="00D71AA1">
            <w:pPr>
              <w:widowControl/>
              <w:overflowPunct/>
              <w:autoSpaceDE/>
              <w:autoSpaceDN/>
              <w:jc w:val="center"/>
              <w:rPr>
                <w:rFonts w:hAnsi="標楷體" w:cs="新細明體"/>
                <w:b/>
                <w:kern w:val="0"/>
                <w:sz w:val="28"/>
                <w:szCs w:val="28"/>
              </w:rPr>
            </w:pPr>
            <w:r w:rsidRPr="00FD7D6B">
              <w:rPr>
                <w:rFonts w:hAnsi="標楷體" w:cs="新細明體" w:hint="eastAsia"/>
                <w:b/>
                <w:kern w:val="0"/>
                <w:sz w:val="28"/>
                <w:szCs w:val="28"/>
              </w:rPr>
              <w:t>亞洲地區</w:t>
            </w:r>
          </w:p>
        </w:tc>
        <w:tc>
          <w:tcPr>
            <w:tcW w:w="102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香港.澳門 </w:t>
            </w:r>
          </w:p>
        </w:tc>
        <w:tc>
          <w:tcPr>
            <w:tcW w:w="701"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1,375,770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1,513,597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1,614,803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1,692,063 </w:t>
            </w:r>
          </w:p>
        </w:tc>
        <w:tc>
          <w:tcPr>
            <w:tcW w:w="761"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1,653,654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1F0A66" w:rsidRPr="00FD7D6B" w:rsidRDefault="001C112C"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中國</w:t>
            </w:r>
            <w:r w:rsidR="001F0A66" w:rsidRPr="00FD7D6B">
              <w:rPr>
                <w:rFonts w:hAnsi="標楷體" w:cs="新細明體" w:hint="eastAsia"/>
                <w:b/>
                <w:kern w:val="0"/>
                <w:sz w:val="28"/>
                <w:szCs w:val="28"/>
              </w:rPr>
              <w:t xml:space="preserve">大陸 </w:t>
            </w:r>
          </w:p>
        </w:tc>
        <w:tc>
          <w:tcPr>
            <w:tcW w:w="701"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3,987,152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4,184,102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3,511,734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2,732,549 </w:t>
            </w:r>
          </w:p>
        </w:tc>
        <w:tc>
          <w:tcPr>
            <w:tcW w:w="761"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2,695,615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日本 </w:t>
            </w:r>
          </w:p>
        </w:tc>
        <w:tc>
          <w:tcPr>
            <w:tcW w:w="701"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1,634,790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1,627,229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1,895,702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1,898,854 </w:t>
            </w:r>
          </w:p>
        </w:tc>
        <w:tc>
          <w:tcPr>
            <w:tcW w:w="761"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1,969,151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韓國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527,684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658,757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884,397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1,054,708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1,019,441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印度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30,168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32,198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33,550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34,962 </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38,385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中東</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17,212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18,753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19,862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21,138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22,442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222"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1F0A66" w:rsidRPr="00FD7D6B" w:rsidRDefault="001F0A66" w:rsidP="00D71AA1">
            <w:pPr>
              <w:widowControl/>
              <w:overflowPunct/>
              <w:autoSpaceDE/>
              <w:autoSpaceDN/>
              <w:jc w:val="center"/>
              <w:rPr>
                <w:rFonts w:hAnsi="標楷體" w:cs="新細明體"/>
                <w:b/>
                <w:kern w:val="0"/>
                <w:sz w:val="28"/>
                <w:szCs w:val="28"/>
              </w:rPr>
            </w:pPr>
            <w:r w:rsidRPr="00FD7D6B">
              <w:rPr>
                <w:rFonts w:hAnsi="標楷體" w:cs="新細明體" w:hint="eastAsia"/>
                <w:b/>
                <w:kern w:val="0"/>
                <w:sz w:val="28"/>
                <w:szCs w:val="28"/>
              </w:rPr>
              <w:t>東南亞地區</w:t>
            </w:r>
          </w:p>
        </w:tc>
        <w:tc>
          <w:tcPr>
            <w:tcW w:w="8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馬來西亞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439,240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431,481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474,420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528,019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526,129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8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新加坡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376,235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393,037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407,267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425,577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427,222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8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印尼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182,704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177,743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188,720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189,631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210,985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8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菲律賓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136,978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139,217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172,475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290,784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419,105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8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泰國</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104,812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124,409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195,640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292,534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320,008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8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越南</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137,177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146,380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196,636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383,329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490,774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8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6"/>
                <w:szCs w:val="26"/>
              </w:rPr>
            </w:pPr>
            <w:r w:rsidRPr="00FD7D6B">
              <w:rPr>
                <w:rFonts w:hAnsi="標楷體" w:cs="新細明體" w:hint="eastAsia"/>
                <w:b/>
                <w:kern w:val="0"/>
                <w:sz w:val="26"/>
                <w:szCs w:val="26"/>
              </w:rPr>
              <w:t>東南亞</w:t>
            </w:r>
          </w:p>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6"/>
                <w:szCs w:val="26"/>
              </w:rPr>
              <w:t xml:space="preserve">其他地區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11,159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13,218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18,750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27,264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35,896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8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東南亞小計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1,388,305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1,425,485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1,653,908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2,137,138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2,430,119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亞洲其他地區</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9,105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9,438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10,837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14,223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16,954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亞洲合計</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8,970,186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9,469,559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9,624,793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9,585,635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9,845,761 </w:t>
            </w:r>
          </w:p>
        </w:tc>
      </w:tr>
      <w:tr w:rsidR="00651306" w:rsidRPr="00FD7D6B" w:rsidTr="003932DB">
        <w:trPr>
          <w:trHeight w:val="324"/>
        </w:trPr>
        <w:tc>
          <w:tcPr>
            <w:tcW w:w="313" w:type="pct"/>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1F0A66" w:rsidRPr="00FD7D6B" w:rsidRDefault="001F0A66" w:rsidP="00D71AA1">
            <w:pPr>
              <w:widowControl/>
              <w:overflowPunct/>
              <w:autoSpaceDE/>
              <w:autoSpaceDN/>
              <w:jc w:val="center"/>
              <w:rPr>
                <w:rFonts w:hAnsi="標楷體" w:cs="新細明體"/>
                <w:b/>
                <w:kern w:val="0"/>
                <w:sz w:val="28"/>
                <w:szCs w:val="28"/>
              </w:rPr>
            </w:pPr>
            <w:r w:rsidRPr="00FD7D6B">
              <w:rPr>
                <w:rFonts w:hAnsi="標楷體" w:cs="新細明體" w:hint="eastAsia"/>
                <w:b/>
                <w:kern w:val="0"/>
                <w:sz w:val="28"/>
                <w:szCs w:val="28"/>
              </w:rPr>
              <w:t>美洲地區</w:t>
            </w: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加拿大</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88,601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90,666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106,197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117,687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128,456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美國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458,691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479,452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523,888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561,365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580,072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墨西哥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3,172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3,063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3,138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4,347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4,334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巴西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4,551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4,120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4,171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4,794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5,042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阿根廷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1,191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1,189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1,281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1,693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1,459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美洲其他地區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9,169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9,702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10,662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12,163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13,115 </w:t>
            </w:r>
          </w:p>
        </w:tc>
      </w:tr>
      <w:tr w:rsidR="00651306" w:rsidRPr="00FD7D6B" w:rsidTr="003932DB">
        <w:trPr>
          <w:trHeight w:val="324"/>
        </w:trPr>
        <w:tc>
          <w:tcPr>
            <w:tcW w:w="313" w:type="pct"/>
            <w:vMerge/>
            <w:tcBorders>
              <w:top w:val="nil"/>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美洲合計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565,375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588,192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649,337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702,049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732,478 </w:t>
            </w:r>
          </w:p>
        </w:tc>
      </w:tr>
      <w:tr w:rsidR="00651306" w:rsidRPr="00FD7D6B" w:rsidTr="003932DB">
        <w:trPr>
          <w:trHeight w:val="324"/>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1F0A66" w:rsidRPr="00FD7D6B" w:rsidRDefault="001F0A66" w:rsidP="00D71AA1">
            <w:pPr>
              <w:widowControl/>
              <w:overflowPunct/>
              <w:autoSpaceDE/>
              <w:autoSpaceDN/>
              <w:contextualSpacing/>
              <w:jc w:val="center"/>
              <w:rPr>
                <w:rFonts w:hAnsi="標楷體" w:cs="新細明體"/>
                <w:b/>
                <w:kern w:val="0"/>
                <w:sz w:val="28"/>
                <w:szCs w:val="28"/>
              </w:rPr>
            </w:pPr>
            <w:r w:rsidRPr="00FD7D6B">
              <w:rPr>
                <w:rFonts w:hAnsi="標楷體" w:cs="新細明體" w:hint="eastAsia"/>
                <w:b/>
                <w:kern w:val="0"/>
                <w:sz w:val="28"/>
                <w:szCs w:val="28"/>
              </w:rPr>
              <w:t xml:space="preserve">歐洲地區  </w:t>
            </w:r>
          </w:p>
        </w:tc>
        <w:tc>
          <w:tcPr>
            <w:tcW w:w="102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比利時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5,352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6,101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6,627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7,666 </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7,845 </w:t>
            </w:r>
          </w:p>
        </w:tc>
      </w:tr>
      <w:tr w:rsidR="00651306" w:rsidRPr="00FD7D6B" w:rsidTr="003932DB">
        <w:trPr>
          <w:trHeight w:val="324"/>
        </w:trPr>
        <w:tc>
          <w:tcPr>
            <w:tcW w:w="313" w:type="pct"/>
            <w:vMerge/>
            <w:tcBorders>
              <w:top w:val="single" w:sz="4" w:space="0" w:color="auto"/>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法國</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36,379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38,364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42,380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46,822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52,687 </w:t>
            </w:r>
          </w:p>
        </w:tc>
      </w:tr>
      <w:tr w:rsidR="00651306" w:rsidRPr="00FD7D6B" w:rsidTr="003932DB">
        <w:trPr>
          <w:trHeight w:val="324"/>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德國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52,507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54,954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59,798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65,983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65,330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義大利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14,895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15,615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17,102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18,596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19,577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荷蘭</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18,498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19,267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23,254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25,492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25,835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瑞士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8,708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9,453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10,225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11,253 </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11,239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西班牙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8,403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9,065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10,686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11,367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13,006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英國</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58,201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58,784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59,867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64,858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71,030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奧地利</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6,063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6,243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6,867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7,877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9,261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希臘</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1,440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1,465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1,572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1,875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1,755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瑞典</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8,083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8,106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8,744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9,106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9,206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俄羅斯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8,353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7,808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7,974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9,226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10,394 </w:t>
            </w:r>
          </w:p>
        </w:tc>
      </w:tr>
      <w:tr w:rsidR="00651306" w:rsidRPr="00FD7D6B" w:rsidTr="003932DB">
        <w:trPr>
          <w:trHeight w:val="567"/>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歐洲其他地區</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37,998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38,810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44,660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49,969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52,929 </w:t>
            </w:r>
          </w:p>
        </w:tc>
      </w:tr>
      <w:tr w:rsidR="00651306" w:rsidRPr="00FD7D6B" w:rsidTr="003932DB">
        <w:trPr>
          <w:trHeight w:val="757"/>
        </w:trPr>
        <w:tc>
          <w:tcPr>
            <w:tcW w:w="313" w:type="pct"/>
            <w:vMerge/>
            <w:tcBorders>
              <w:top w:val="nil"/>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歐洲合計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264,880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274,035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299,756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330,090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350,094 </w:t>
            </w:r>
          </w:p>
        </w:tc>
      </w:tr>
      <w:tr w:rsidR="00651306" w:rsidRPr="00FD7D6B" w:rsidTr="003932DB">
        <w:trPr>
          <w:trHeight w:val="324"/>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1F0A66" w:rsidRPr="00FD7D6B" w:rsidRDefault="001F0A66" w:rsidP="00D71AA1">
            <w:pPr>
              <w:widowControl/>
              <w:overflowPunct/>
              <w:autoSpaceDE/>
              <w:autoSpaceDN/>
              <w:jc w:val="center"/>
              <w:rPr>
                <w:rFonts w:hAnsi="標楷體" w:cs="新細明體"/>
                <w:b/>
                <w:kern w:val="0"/>
                <w:sz w:val="28"/>
                <w:szCs w:val="28"/>
              </w:rPr>
            </w:pPr>
            <w:r w:rsidRPr="00FD7D6B">
              <w:rPr>
                <w:rFonts w:hAnsi="標楷體" w:cs="新細明體" w:hint="eastAsia"/>
                <w:b/>
                <w:kern w:val="0"/>
                <w:sz w:val="28"/>
                <w:szCs w:val="28"/>
              </w:rPr>
              <w:t>大洋洲</w:t>
            </w:r>
          </w:p>
        </w:tc>
        <w:tc>
          <w:tcPr>
            <w:tcW w:w="102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澳大利亞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78,674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76,122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82,361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90,892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102,541 </w:t>
            </w:r>
          </w:p>
        </w:tc>
      </w:tr>
      <w:tr w:rsidR="00651306" w:rsidRPr="00FD7D6B" w:rsidTr="003932DB">
        <w:trPr>
          <w:trHeight w:val="324"/>
        </w:trPr>
        <w:tc>
          <w:tcPr>
            <w:tcW w:w="313" w:type="pct"/>
            <w:vMerge/>
            <w:tcBorders>
              <w:top w:val="single" w:sz="4" w:space="0" w:color="auto"/>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 xml:space="preserve">紐西蘭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12,886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12,805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13,676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14,639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16,362 </w:t>
            </w:r>
          </w:p>
        </w:tc>
      </w:tr>
      <w:tr w:rsidR="00651306" w:rsidRPr="00FD7D6B" w:rsidTr="003932DB">
        <w:trPr>
          <w:trHeight w:val="324"/>
        </w:trPr>
        <w:tc>
          <w:tcPr>
            <w:tcW w:w="313" w:type="pct"/>
            <w:vMerge/>
            <w:tcBorders>
              <w:top w:val="single" w:sz="4" w:space="0" w:color="auto"/>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3932DB">
            <w:pPr>
              <w:widowControl/>
              <w:overflowPunct/>
              <w:autoSpaceDE/>
              <w:autoSpaceDN/>
              <w:jc w:val="left"/>
              <w:rPr>
                <w:rFonts w:hAnsi="標楷體" w:cs="新細明體"/>
                <w:b/>
                <w:kern w:val="0"/>
                <w:sz w:val="26"/>
                <w:szCs w:val="26"/>
              </w:rPr>
            </w:pPr>
            <w:r w:rsidRPr="00FD7D6B">
              <w:rPr>
                <w:rFonts w:hAnsi="標楷體" w:cs="新細明體" w:hint="eastAsia"/>
                <w:b/>
                <w:kern w:val="0"/>
                <w:sz w:val="26"/>
                <w:szCs w:val="26"/>
              </w:rPr>
              <w:t>大洋洲其他地區</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1,559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1,886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2,189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2,813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2,794 </w:t>
            </w:r>
          </w:p>
        </w:tc>
      </w:tr>
      <w:tr w:rsidR="00651306" w:rsidRPr="00FD7D6B" w:rsidTr="003932DB">
        <w:trPr>
          <w:trHeight w:val="324"/>
        </w:trPr>
        <w:tc>
          <w:tcPr>
            <w:tcW w:w="313" w:type="pct"/>
            <w:vMerge/>
            <w:tcBorders>
              <w:top w:val="single" w:sz="4" w:space="0" w:color="auto"/>
              <w:left w:val="single" w:sz="4" w:space="0" w:color="auto"/>
              <w:bottom w:val="single" w:sz="4" w:space="0" w:color="auto"/>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8"/>
                <w:szCs w:val="28"/>
              </w:rPr>
            </w:pPr>
          </w:p>
        </w:tc>
        <w:tc>
          <w:tcPr>
            <w:tcW w:w="102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8"/>
                <w:szCs w:val="28"/>
              </w:rPr>
            </w:pPr>
            <w:r w:rsidRPr="00FD7D6B">
              <w:rPr>
                <w:rFonts w:hAnsi="標楷體" w:cs="新細明體" w:hint="eastAsia"/>
                <w:b/>
                <w:kern w:val="0"/>
                <w:sz w:val="28"/>
                <w:szCs w:val="28"/>
              </w:rPr>
              <w:t>大洋洲合計</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93,119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90,813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98,226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108,344 </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121,697 </w:t>
            </w:r>
          </w:p>
        </w:tc>
      </w:tr>
      <w:tr w:rsidR="00651306" w:rsidRPr="00FD7D6B" w:rsidTr="003932DB">
        <w:trPr>
          <w:trHeight w:val="324"/>
        </w:trPr>
        <w:tc>
          <w:tcPr>
            <w:tcW w:w="313"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rsidR="001F0A66" w:rsidRPr="00FD7D6B" w:rsidRDefault="001F0A66" w:rsidP="00D71AA1">
            <w:pPr>
              <w:widowControl/>
              <w:overflowPunct/>
              <w:autoSpaceDE/>
              <w:autoSpaceDN/>
              <w:jc w:val="center"/>
              <w:rPr>
                <w:rFonts w:hAnsi="標楷體" w:cs="新細明體"/>
                <w:b/>
                <w:kern w:val="0"/>
                <w:sz w:val="26"/>
                <w:szCs w:val="26"/>
              </w:rPr>
            </w:pPr>
            <w:r w:rsidRPr="00FD7D6B">
              <w:rPr>
                <w:rFonts w:hAnsi="標楷體" w:cs="新細明體" w:hint="eastAsia"/>
                <w:b/>
                <w:kern w:val="0"/>
                <w:sz w:val="26"/>
                <w:szCs w:val="26"/>
              </w:rPr>
              <w:t>非洲地區</w:t>
            </w:r>
          </w:p>
        </w:tc>
        <w:tc>
          <w:tcPr>
            <w:tcW w:w="1027" w:type="pct"/>
            <w:gridSpan w:val="2"/>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left"/>
              <w:rPr>
                <w:rFonts w:hAnsi="標楷體" w:cs="新細明體"/>
                <w:b/>
                <w:kern w:val="0"/>
                <w:sz w:val="27"/>
                <w:szCs w:val="27"/>
              </w:rPr>
            </w:pPr>
            <w:r w:rsidRPr="00FD7D6B">
              <w:rPr>
                <w:rFonts w:hAnsi="標楷體" w:cs="新細明體" w:hint="eastAsia"/>
                <w:b/>
                <w:kern w:val="0"/>
                <w:sz w:val="27"/>
                <w:szCs w:val="27"/>
              </w:rPr>
              <w:t>南非</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4,504 </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4,893 </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5,077 </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5,757 </w:t>
            </w:r>
          </w:p>
        </w:tc>
        <w:tc>
          <w:tcPr>
            <w:tcW w:w="761" w:type="pct"/>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5,596 </w:t>
            </w:r>
          </w:p>
        </w:tc>
      </w:tr>
      <w:tr w:rsidR="00651306" w:rsidRPr="00FD7D6B" w:rsidTr="003932DB">
        <w:trPr>
          <w:trHeight w:val="32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7"/>
                <w:szCs w:val="27"/>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left"/>
              <w:rPr>
                <w:rFonts w:hAnsi="標楷體" w:cs="新細明體"/>
                <w:b/>
                <w:kern w:val="0"/>
                <w:sz w:val="27"/>
                <w:szCs w:val="27"/>
              </w:rPr>
            </w:pPr>
            <w:r w:rsidRPr="00FD7D6B">
              <w:rPr>
                <w:rFonts w:hAnsi="標楷體" w:cs="新細明體" w:hint="eastAsia"/>
                <w:b/>
                <w:kern w:val="0"/>
                <w:sz w:val="27"/>
                <w:szCs w:val="27"/>
              </w:rPr>
              <w:t>非洲其他地區</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5,456 </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5,267 </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5,591 </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5,925 </w:t>
            </w:r>
          </w:p>
        </w:tc>
        <w:tc>
          <w:tcPr>
            <w:tcW w:w="761" w:type="pct"/>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6,441 </w:t>
            </w:r>
          </w:p>
        </w:tc>
      </w:tr>
      <w:tr w:rsidR="00651306" w:rsidRPr="00FD7D6B" w:rsidTr="003932DB">
        <w:trPr>
          <w:trHeight w:val="444"/>
        </w:trPr>
        <w:tc>
          <w:tcPr>
            <w:tcW w:w="313" w:type="pct"/>
            <w:vMerge/>
            <w:tcBorders>
              <w:top w:val="nil"/>
              <w:left w:val="single" w:sz="4" w:space="0" w:color="auto"/>
              <w:bottom w:val="single" w:sz="4" w:space="0" w:color="000000"/>
              <w:right w:val="single" w:sz="4" w:space="0" w:color="auto"/>
            </w:tcBorders>
            <w:vAlign w:val="center"/>
            <w:hideMark/>
          </w:tcPr>
          <w:p w:rsidR="001F0A66" w:rsidRPr="00FD7D6B" w:rsidRDefault="001F0A66" w:rsidP="00D71AA1">
            <w:pPr>
              <w:widowControl/>
              <w:overflowPunct/>
              <w:autoSpaceDE/>
              <w:autoSpaceDN/>
              <w:jc w:val="left"/>
              <w:rPr>
                <w:rFonts w:hAnsi="標楷體" w:cs="新細明體"/>
                <w:b/>
                <w:kern w:val="0"/>
                <w:sz w:val="27"/>
                <w:szCs w:val="27"/>
              </w:rPr>
            </w:pPr>
          </w:p>
        </w:tc>
        <w:tc>
          <w:tcPr>
            <w:tcW w:w="1027" w:type="pct"/>
            <w:gridSpan w:val="2"/>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left"/>
              <w:rPr>
                <w:rFonts w:hAnsi="標楷體" w:cs="新細明體"/>
                <w:b/>
                <w:kern w:val="0"/>
                <w:sz w:val="27"/>
                <w:szCs w:val="27"/>
              </w:rPr>
            </w:pPr>
            <w:r w:rsidRPr="00FD7D6B">
              <w:rPr>
                <w:rFonts w:hAnsi="標楷體" w:cs="新細明體" w:hint="eastAsia"/>
                <w:b/>
                <w:kern w:val="0"/>
                <w:sz w:val="27"/>
                <w:szCs w:val="27"/>
              </w:rPr>
              <w:t>非洲合計</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9,960 </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10,160 </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10,668 </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11,682 </w:t>
            </w:r>
          </w:p>
        </w:tc>
        <w:tc>
          <w:tcPr>
            <w:tcW w:w="761" w:type="pct"/>
            <w:tcBorders>
              <w:top w:val="single" w:sz="4" w:space="0" w:color="auto"/>
              <w:left w:val="nil"/>
              <w:bottom w:val="single" w:sz="4" w:space="0" w:color="auto"/>
              <w:right w:val="single" w:sz="4" w:space="0" w:color="auto"/>
            </w:tcBorders>
            <w:shd w:val="clear" w:color="auto" w:fill="auto"/>
            <w:noWrap/>
            <w:vAlign w:val="center"/>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12,037 </w:t>
            </w:r>
          </w:p>
        </w:tc>
      </w:tr>
      <w:tr w:rsidR="00651306" w:rsidRPr="00FD7D6B" w:rsidTr="003932DB">
        <w:trPr>
          <w:trHeight w:val="324"/>
        </w:trPr>
        <w:tc>
          <w:tcPr>
            <w:tcW w:w="313" w:type="pct"/>
            <w:tcBorders>
              <w:top w:val="nil"/>
              <w:left w:val="single" w:sz="4" w:space="0" w:color="auto"/>
              <w:bottom w:val="single" w:sz="4" w:space="0" w:color="auto"/>
              <w:right w:val="nil"/>
            </w:tcBorders>
            <w:shd w:val="clear" w:color="auto" w:fill="auto"/>
            <w:noWrap/>
            <w:textDirection w:val="tbRlV"/>
            <w:vAlign w:val="center"/>
            <w:hideMark/>
          </w:tcPr>
          <w:p w:rsidR="001F0A66" w:rsidRPr="00FD7D6B" w:rsidRDefault="001F0A66" w:rsidP="00D71AA1">
            <w:pPr>
              <w:widowControl/>
              <w:overflowPunct/>
              <w:autoSpaceDE/>
              <w:autoSpaceDN/>
              <w:jc w:val="left"/>
              <w:rPr>
                <w:rFonts w:hAnsi="標楷體" w:cs="新細明體"/>
                <w:b/>
                <w:kern w:val="0"/>
                <w:sz w:val="27"/>
                <w:szCs w:val="27"/>
              </w:rPr>
            </w:pPr>
            <w:r w:rsidRPr="00FD7D6B">
              <w:rPr>
                <w:rFonts w:hAnsi="標楷體" w:cs="新細明體" w:hint="eastAsia"/>
                <w:b/>
                <w:kern w:val="0"/>
                <w:sz w:val="27"/>
                <w:szCs w:val="27"/>
              </w:rPr>
              <w:t xml:space="preserve">　</w:t>
            </w:r>
          </w:p>
        </w:tc>
        <w:tc>
          <w:tcPr>
            <w:tcW w:w="1027" w:type="pct"/>
            <w:gridSpan w:val="2"/>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7"/>
                <w:szCs w:val="27"/>
              </w:rPr>
            </w:pPr>
            <w:r w:rsidRPr="00FD7D6B">
              <w:rPr>
                <w:rFonts w:hAnsi="標楷體" w:cs="新細明體" w:hint="eastAsia"/>
                <w:b/>
                <w:kern w:val="0"/>
                <w:sz w:val="27"/>
                <w:szCs w:val="27"/>
              </w:rPr>
              <w:t xml:space="preserve">未列明 </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6,684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7,026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7,499 </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1,801 </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4,640 </w:t>
            </w:r>
          </w:p>
        </w:tc>
      </w:tr>
      <w:tr w:rsidR="00651306" w:rsidRPr="00FD7D6B" w:rsidTr="003932DB">
        <w:trPr>
          <w:trHeight w:val="324"/>
        </w:trPr>
        <w:tc>
          <w:tcPr>
            <w:tcW w:w="313" w:type="pct"/>
            <w:tcBorders>
              <w:top w:val="nil"/>
              <w:left w:val="single" w:sz="4" w:space="0" w:color="auto"/>
              <w:bottom w:val="single" w:sz="4" w:space="0" w:color="auto"/>
              <w:right w:val="nil"/>
            </w:tcBorders>
            <w:shd w:val="clear" w:color="auto" w:fill="auto"/>
            <w:noWrap/>
            <w:textDirection w:val="tbRlV"/>
            <w:vAlign w:val="center"/>
            <w:hideMark/>
          </w:tcPr>
          <w:p w:rsidR="001F0A66" w:rsidRPr="00FD7D6B" w:rsidRDefault="001F0A66" w:rsidP="00D71AA1">
            <w:pPr>
              <w:widowControl/>
              <w:overflowPunct/>
              <w:autoSpaceDE/>
              <w:autoSpaceDN/>
              <w:jc w:val="left"/>
              <w:rPr>
                <w:rFonts w:hAnsi="標楷體" w:cs="新細明體"/>
                <w:b/>
                <w:kern w:val="0"/>
                <w:sz w:val="27"/>
                <w:szCs w:val="27"/>
              </w:rPr>
            </w:pPr>
            <w:r w:rsidRPr="00FD7D6B">
              <w:rPr>
                <w:rFonts w:hAnsi="標楷體" w:cs="新細明體" w:hint="eastAsia"/>
                <w:b/>
                <w:kern w:val="0"/>
                <w:sz w:val="27"/>
                <w:szCs w:val="27"/>
              </w:rPr>
              <w:t xml:space="preserve">　</w:t>
            </w:r>
          </w:p>
        </w:tc>
        <w:tc>
          <w:tcPr>
            <w:tcW w:w="102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7"/>
                <w:szCs w:val="27"/>
              </w:rPr>
            </w:pPr>
            <w:r w:rsidRPr="00FD7D6B">
              <w:rPr>
                <w:rFonts w:hAnsi="標楷體" w:cs="新細明體" w:hint="eastAsia"/>
                <w:b/>
                <w:kern w:val="0"/>
                <w:sz w:val="27"/>
                <w:szCs w:val="27"/>
              </w:rPr>
              <w:t>總計</w:t>
            </w:r>
          </w:p>
        </w:tc>
        <w:tc>
          <w:tcPr>
            <w:tcW w:w="701"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 xml:space="preserve">9,910,204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spacing w:val="-16"/>
                <w:kern w:val="0"/>
                <w:sz w:val="28"/>
                <w:szCs w:val="28"/>
              </w:rPr>
            </w:pPr>
            <w:r w:rsidRPr="00FD7D6B">
              <w:rPr>
                <w:rFonts w:hAnsi="標楷體" w:cs="新細明體" w:hint="eastAsia"/>
                <w:spacing w:val="-16"/>
                <w:kern w:val="0"/>
                <w:sz w:val="28"/>
                <w:szCs w:val="28"/>
              </w:rPr>
              <w:t xml:space="preserve">10,439,785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spacing w:val="-16"/>
                <w:kern w:val="0"/>
                <w:sz w:val="28"/>
                <w:szCs w:val="28"/>
              </w:rPr>
            </w:pPr>
            <w:r w:rsidRPr="00FD7D6B">
              <w:rPr>
                <w:rFonts w:hAnsi="標楷體" w:cs="新細明體" w:hint="eastAsia"/>
                <w:spacing w:val="-16"/>
                <w:kern w:val="0"/>
                <w:sz w:val="28"/>
                <w:szCs w:val="28"/>
              </w:rPr>
              <w:t xml:space="preserve">10,690,279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spacing w:val="-16"/>
                <w:kern w:val="0"/>
                <w:sz w:val="28"/>
                <w:szCs w:val="28"/>
              </w:rPr>
            </w:pPr>
            <w:r w:rsidRPr="00FD7D6B">
              <w:rPr>
                <w:rFonts w:hAnsi="標楷體" w:cs="新細明體" w:hint="eastAsia"/>
                <w:spacing w:val="-16"/>
                <w:kern w:val="0"/>
                <w:sz w:val="28"/>
                <w:szCs w:val="28"/>
              </w:rPr>
              <w:t xml:space="preserve">10,739,601 </w:t>
            </w:r>
          </w:p>
        </w:tc>
        <w:tc>
          <w:tcPr>
            <w:tcW w:w="761"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ED7CDB">
            <w:pPr>
              <w:widowControl/>
              <w:overflowPunct/>
              <w:autoSpaceDE/>
              <w:autoSpaceDN/>
              <w:ind w:leftChars="-4" w:left="-14"/>
              <w:jc w:val="right"/>
              <w:rPr>
                <w:rFonts w:hAnsi="標楷體" w:cs="新細明體"/>
                <w:spacing w:val="-16"/>
                <w:kern w:val="0"/>
                <w:sz w:val="28"/>
                <w:szCs w:val="28"/>
              </w:rPr>
            </w:pPr>
            <w:r w:rsidRPr="00FD7D6B">
              <w:rPr>
                <w:rFonts w:hAnsi="標楷體" w:cs="新細明體" w:hint="eastAsia"/>
                <w:spacing w:val="-16"/>
                <w:kern w:val="0"/>
                <w:sz w:val="28"/>
                <w:szCs w:val="28"/>
              </w:rPr>
              <w:t xml:space="preserve">11,066,707 </w:t>
            </w:r>
          </w:p>
        </w:tc>
      </w:tr>
      <w:tr w:rsidR="00651306" w:rsidRPr="00FD7D6B" w:rsidTr="003932DB">
        <w:trPr>
          <w:trHeight w:val="324"/>
        </w:trPr>
        <w:tc>
          <w:tcPr>
            <w:tcW w:w="313" w:type="pct"/>
            <w:tcBorders>
              <w:top w:val="nil"/>
              <w:left w:val="single" w:sz="4" w:space="0" w:color="auto"/>
              <w:bottom w:val="single" w:sz="4" w:space="0" w:color="auto"/>
              <w:right w:val="nil"/>
            </w:tcBorders>
            <w:shd w:val="clear" w:color="auto" w:fill="auto"/>
            <w:noWrap/>
            <w:vAlign w:val="bottom"/>
            <w:hideMark/>
          </w:tcPr>
          <w:p w:rsidR="001F0A66" w:rsidRPr="00FD7D6B" w:rsidRDefault="001F0A66" w:rsidP="00D71AA1">
            <w:pPr>
              <w:widowControl/>
              <w:overflowPunct/>
              <w:autoSpaceDE/>
              <w:autoSpaceDN/>
              <w:jc w:val="left"/>
              <w:rPr>
                <w:rFonts w:hAnsi="標楷體" w:cs="新細明體"/>
                <w:b/>
                <w:kern w:val="0"/>
                <w:sz w:val="27"/>
                <w:szCs w:val="27"/>
              </w:rPr>
            </w:pPr>
            <w:r w:rsidRPr="00FD7D6B">
              <w:rPr>
                <w:rFonts w:hAnsi="標楷體" w:cs="新細明體" w:hint="eastAsia"/>
                <w:b/>
                <w:kern w:val="0"/>
                <w:sz w:val="27"/>
                <w:szCs w:val="27"/>
              </w:rPr>
              <w:t xml:space="preserve">　</w:t>
            </w:r>
          </w:p>
        </w:tc>
        <w:tc>
          <w:tcPr>
            <w:tcW w:w="102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1F0A66" w:rsidRPr="00FD7D6B" w:rsidRDefault="00D42FA9" w:rsidP="00D71AA1">
            <w:pPr>
              <w:widowControl/>
              <w:overflowPunct/>
              <w:autoSpaceDE/>
              <w:autoSpaceDN/>
              <w:jc w:val="left"/>
              <w:rPr>
                <w:rFonts w:hAnsi="標楷體" w:cs="新細明體"/>
                <w:b/>
                <w:kern w:val="0"/>
                <w:sz w:val="27"/>
                <w:szCs w:val="27"/>
              </w:rPr>
            </w:pPr>
            <w:r w:rsidRPr="00FD7D6B">
              <w:rPr>
                <w:rFonts w:hAnsi="標楷體" w:cs="新細明體" w:hint="eastAsia"/>
                <w:b/>
                <w:kern w:val="0"/>
                <w:sz w:val="27"/>
                <w:szCs w:val="27"/>
              </w:rPr>
              <w:t>年</w:t>
            </w:r>
            <w:r w:rsidR="001F0A66" w:rsidRPr="00FD7D6B">
              <w:rPr>
                <w:rFonts w:hAnsi="標楷體" w:cs="新細明體" w:hint="eastAsia"/>
                <w:b/>
                <w:kern w:val="0"/>
                <w:sz w:val="27"/>
                <w:szCs w:val="27"/>
              </w:rPr>
              <w:t xml:space="preserve">成長率 </w:t>
            </w:r>
          </w:p>
        </w:tc>
        <w:tc>
          <w:tcPr>
            <w:tcW w:w="701" w:type="pct"/>
            <w:tcBorders>
              <w:top w:val="nil"/>
              <w:left w:val="nil"/>
              <w:bottom w:val="single" w:sz="4" w:space="0" w:color="auto"/>
              <w:right w:val="single" w:sz="4" w:space="0" w:color="auto"/>
            </w:tcBorders>
            <w:shd w:val="clear" w:color="auto" w:fill="auto"/>
            <w:noWrap/>
            <w:vAlign w:val="bottom"/>
            <w:hideMark/>
          </w:tcPr>
          <w:p w:rsidR="001F0A66" w:rsidRPr="00FD7D6B" w:rsidRDefault="00D42FA9"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w:t>
            </w:r>
            <w:r w:rsidR="001F0A66" w:rsidRPr="00FD7D6B">
              <w:rPr>
                <w:rFonts w:hAnsi="標楷體" w:cs="新細明體" w:hint="eastAsia"/>
                <w:kern w:val="0"/>
                <w:sz w:val="28"/>
                <w:szCs w:val="28"/>
              </w:rPr>
              <w:t xml:space="preserve">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5.34</w:t>
            </w:r>
            <w:r w:rsidR="00FE564B" w:rsidRPr="00FD7D6B">
              <w:rPr>
                <w:rFonts w:hAnsi="標楷體" w:cs="新細明體" w:hint="eastAsia"/>
                <w:kern w:val="0"/>
                <w:sz w:val="28"/>
                <w:szCs w:val="28"/>
              </w:rPr>
              <w:t>%</w:t>
            </w:r>
            <w:r w:rsidRPr="00FD7D6B">
              <w:rPr>
                <w:rFonts w:hAnsi="標楷體" w:cs="新細明體" w:hint="eastAsia"/>
                <w:kern w:val="0"/>
                <w:sz w:val="28"/>
                <w:szCs w:val="28"/>
              </w:rPr>
              <w:t xml:space="preserve">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2.40</w:t>
            </w:r>
            <w:r w:rsidR="00FE564B" w:rsidRPr="00FD7D6B">
              <w:rPr>
                <w:rFonts w:hAnsi="標楷體" w:cs="新細明體" w:hint="eastAsia"/>
                <w:kern w:val="0"/>
                <w:sz w:val="28"/>
                <w:szCs w:val="28"/>
              </w:rPr>
              <w:t>%</w:t>
            </w:r>
            <w:r w:rsidRPr="00FD7D6B">
              <w:rPr>
                <w:rFonts w:hAnsi="標楷體" w:cs="新細明體" w:hint="eastAsia"/>
                <w:kern w:val="0"/>
                <w:sz w:val="28"/>
                <w:szCs w:val="28"/>
              </w:rPr>
              <w:t xml:space="preserve"> </w:t>
            </w:r>
          </w:p>
        </w:tc>
        <w:tc>
          <w:tcPr>
            <w:tcW w:w="733"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0.46</w:t>
            </w:r>
            <w:r w:rsidR="00FE564B" w:rsidRPr="00FD7D6B">
              <w:rPr>
                <w:rFonts w:hAnsi="標楷體" w:cs="新細明體" w:hint="eastAsia"/>
                <w:kern w:val="0"/>
                <w:sz w:val="28"/>
                <w:szCs w:val="28"/>
              </w:rPr>
              <w:t>%</w:t>
            </w:r>
            <w:r w:rsidRPr="00FD7D6B">
              <w:rPr>
                <w:rFonts w:hAnsi="標楷體" w:cs="新細明體" w:hint="eastAsia"/>
                <w:kern w:val="0"/>
                <w:sz w:val="28"/>
                <w:szCs w:val="28"/>
              </w:rPr>
              <w:t xml:space="preserve"> </w:t>
            </w:r>
          </w:p>
        </w:tc>
        <w:tc>
          <w:tcPr>
            <w:tcW w:w="761" w:type="pct"/>
            <w:tcBorders>
              <w:top w:val="nil"/>
              <w:left w:val="nil"/>
              <w:bottom w:val="single" w:sz="4" w:space="0" w:color="auto"/>
              <w:right w:val="single" w:sz="4" w:space="0" w:color="auto"/>
            </w:tcBorders>
            <w:shd w:val="clear" w:color="auto" w:fill="auto"/>
            <w:noWrap/>
            <w:vAlign w:val="bottom"/>
            <w:hideMark/>
          </w:tcPr>
          <w:p w:rsidR="001F0A66" w:rsidRPr="00FD7D6B" w:rsidRDefault="001F0A66" w:rsidP="00D71AA1">
            <w:pPr>
              <w:widowControl/>
              <w:overflowPunct/>
              <w:autoSpaceDE/>
              <w:autoSpaceDN/>
              <w:jc w:val="right"/>
              <w:rPr>
                <w:rFonts w:hAnsi="標楷體" w:cs="新細明體"/>
                <w:kern w:val="0"/>
                <w:sz w:val="28"/>
                <w:szCs w:val="28"/>
              </w:rPr>
            </w:pPr>
            <w:r w:rsidRPr="00FD7D6B">
              <w:rPr>
                <w:rFonts w:hAnsi="標楷體" w:cs="新細明體" w:hint="eastAsia"/>
                <w:kern w:val="0"/>
                <w:sz w:val="28"/>
                <w:szCs w:val="28"/>
              </w:rPr>
              <w:t>3.05</w:t>
            </w:r>
            <w:r w:rsidR="00FE564B" w:rsidRPr="00FD7D6B">
              <w:rPr>
                <w:rFonts w:hAnsi="標楷體" w:cs="新細明體" w:hint="eastAsia"/>
                <w:kern w:val="0"/>
                <w:sz w:val="28"/>
                <w:szCs w:val="28"/>
              </w:rPr>
              <w:t>%</w:t>
            </w:r>
            <w:r w:rsidRPr="00FD7D6B">
              <w:rPr>
                <w:rFonts w:hAnsi="標楷體" w:cs="新細明體" w:hint="eastAsia"/>
                <w:kern w:val="0"/>
                <w:sz w:val="28"/>
                <w:szCs w:val="28"/>
              </w:rPr>
              <w:t xml:space="preserve"> </w:t>
            </w:r>
          </w:p>
        </w:tc>
      </w:tr>
    </w:tbl>
    <w:p w:rsidR="001F0A66" w:rsidRPr="00FD7D6B" w:rsidRDefault="001F0A66" w:rsidP="001F0A66">
      <w:pPr>
        <w:pStyle w:val="3"/>
        <w:numPr>
          <w:ilvl w:val="0"/>
          <w:numId w:val="0"/>
        </w:numPr>
        <w:rPr>
          <w:sz w:val="24"/>
          <w:szCs w:val="24"/>
        </w:rPr>
      </w:pPr>
      <w:r w:rsidRPr="00FD7D6B">
        <w:rPr>
          <w:rFonts w:hint="eastAsia"/>
          <w:sz w:val="24"/>
          <w:szCs w:val="24"/>
        </w:rPr>
        <w:t>資料來源：交通部觀光局</w:t>
      </w:r>
    </w:p>
    <w:p w:rsidR="00984D4D" w:rsidRPr="00FD7D6B" w:rsidRDefault="00984D4D" w:rsidP="00984D4D">
      <w:pPr>
        <w:pStyle w:val="3"/>
        <w:numPr>
          <w:ilvl w:val="0"/>
          <w:numId w:val="0"/>
        </w:numPr>
        <w:ind w:left="1361"/>
        <w:rPr>
          <w:rFonts w:hAnsi="標楷體"/>
          <w:szCs w:val="32"/>
        </w:rPr>
      </w:pPr>
    </w:p>
    <w:p w:rsidR="00984D4D" w:rsidRPr="00FD7D6B" w:rsidRDefault="00984D4D" w:rsidP="00984D4D">
      <w:pPr>
        <w:pStyle w:val="4"/>
        <w:numPr>
          <w:ilvl w:val="0"/>
          <w:numId w:val="0"/>
        </w:numPr>
        <w:ind w:left="1418" w:firstLineChars="125" w:firstLine="425"/>
      </w:pPr>
      <w:r w:rsidRPr="00FD7D6B">
        <w:rPr>
          <w:rFonts w:hint="eastAsia"/>
        </w:rPr>
        <w:t>另</w:t>
      </w:r>
      <w:r w:rsidR="000529C6" w:rsidRPr="00FD7D6B">
        <w:rPr>
          <w:rFonts w:hint="eastAsia"/>
        </w:rPr>
        <w:t>關於國人赴新南向國家情形，據內政部移民署統計資料，</w:t>
      </w:r>
      <w:r w:rsidR="005A326B" w:rsidRPr="00FD7D6B">
        <w:rPr>
          <w:rFonts w:hint="eastAsia"/>
        </w:rPr>
        <w:t>104至107年</w:t>
      </w:r>
      <w:r w:rsidR="00B7664E" w:rsidRPr="00FD7D6B">
        <w:rPr>
          <w:rFonts w:hint="eastAsia"/>
        </w:rPr>
        <w:t>各年</w:t>
      </w:r>
      <w:r w:rsidR="005A326B" w:rsidRPr="00FD7D6B">
        <w:rPr>
          <w:rFonts w:hint="eastAsia"/>
        </w:rPr>
        <w:t>度</w:t>
      </w:r>
      <w:r w:rsidR="000529C6" w:rsidRPr="00FD7D6B">
        <w:rPr>
          <w:rFonts w:hint="eastAsia"/>
        </w:rPr>
        <w:t>皆呈為正成長現象，其中以104年成長率最高(20.33%)，達2,096,196人次；另105年及106年均突破104年之情況，分別達2,233,784人次及2,474,412人次，且107年亦達2,791,608人次，較106年成長12.82%(詳如下表)，可見新南向政策使我國與該等國家互動增加。</w:t>
      </w:r>
    </w:p>
    <w:p w:rsidR="00295A3A" w:rsidRPr="00FD7D6B" w:rsidRDefault="00295A3A" w:rsidP="00984D4D">
      <w:pPr>
        <w:pStyle w:val="4"/>
        <w:numPr>
          <w:ilvl w:val="0"/>
          <w:numId w:val="0"/>
        </w:numPr>
        <w:ind w:left="1418" w:firstLineChars="125" w:firstLine="425"/>
      </w:pPr>
    </w:p>
    <w:p w:rsidR="00EF5A71" w:rsidRPr="00FD7D6B" w:rsidRDefault="00EF5A71" w:rsidP="00984D4D">
      <w:pPr>
        <w:pStyle w:val="4"/>
        <w:numPr>
          <w:ilvl w:val="0"/>
          <w:numId w:val="0"/>
        </w:numPr>
        <w:ind w:left="1418" w:firstLineChars="125" w:firstLine="425"/>
      </w:pPr>
    </w:p>
    <w:p w:rsidR="00EF5A71" w:rsidRPr="00FD7D6B" w:rsidRDefault="00EF5A71" w:rsidP="00984D4D">
      <w:pPr>
        <w:pStyle w:val="4"/>
        <w:numPr>
          <w:ilvl w:val="0"/>
          <w:numId w:val="0"/>
        </w:numPr>
        <w:ind w:left="1418" w:firstLineChars="125" w:firstLine="425"/>
      </w:pPr>
    </w:p>
    <w:p w:rsidR="00D71AA1" w:rsidRPr="00FD7D6B" w:rsidRDefault="00D71AA1" w:rsidP="00ED7CDB">
      <w:pPr>
        <w:pStyle w:val="a3"/>
        <w:jc w:val="center"/>
      </w:pPr>
      <w:r w:rsidRPr="00FD7D6B">
        <w:rPr>
          <w:rFonts w:hint="eastAsia"/>
        </w:rPr>
        <w:t>103年至107年國人赴新南向國家旅客人次統計</w:t>
      </w:r>
    </w:p>
    <w:p w:rsidR="00D71AA1" w:rsidRPr="00FD7D6B" w:rsidRDefault="00D71AA1" w:rsidP="00D71AA1">
      <w:pPr>
        <w:pStyle w:val="a3"/>
        <w:numPr>
          <w:ilvl w:val="0"/>
          <w:numId w:val="0"/>
        </w:numPr>
        <w:ind w:left="480"/>
      </w:pPr>
      <w:r w:rsidRPr="00FD7D6B">
        <w:rPr>
          <w:rFonts w:hint="eastAsia"/>
        </w:rPr>
        <w:t xml:space="preserve">                                                      </w:t>
      </w:r>
      <w:r w:rsidRPr="00FD7D6B">
        <w:rPr>
          <w:rFonts w:hint="eastAsia"/>
          <w:szCs w:val="24"/>
        </w:rPr>
        <w:t>單位：人次</w:t>
      </w:r>
    </w:p>
    <w:tbl>
      <w:tblPr>
        <w:tblW w:w="5000" w:type="pct"/>
        <w:tblCellMar>
          <w:left w:w="28" w:type="dxa"/>
          <w:right w:w="28" w:type="dxa"/>
        </w:tblCellMar>
        <w:tblLook w:val="04A0" w:firstRow="1" w:lastRow="0" w:firstColumn="1" w:lastColumn="0" w:noHBand="0" w:noVBand="1"/>
      </w:tblPr>
      <w:tblGrid>
        <w:gridCol w:w="1471"/>
        <w:gridCol w:w="1471"/>
        <w:gridCol w:w="1474"/>
        <w:gridCol w:w="1472"/>
        <w:gridCol w:w="1472"/>
        <w:gridCol w:w="1474"/>
      </w:tblGrid>
      <w:tr w:rsidR="00651306" w:rsidRPr="00FD7D6B" w:rsidTr="003932DB">
        <w:trPr>
          <w:trHeight w:val="507"/>
          <w:tblHeader/>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年</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103</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104</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105</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106</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107</w:t>
            </w:r>
          </w:p>
        </w:tc>
      </w:tr>
      <w:tr w:rsidR="00651306" w:rsidRPr="00FD7D6B" w:rsidTr="00A83ACA">
        <w:trPr>
          <w:trHeight w:val="514"/>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越南</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339,107</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409,013</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465,944</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564,002</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659,123</w:t>
            </w:r>
          </w:p>
        </w:tc>
      </w:tr>
      <w:tr w:rsidR="00651306" w:rsidRPr="00FD7D6B" w:rsidTr="00A83ACA">
        <w:trPr>
          <w:trHeight w:val="421"/>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泰國</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419,133</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599,523</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532,787</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553,804</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679,145</w:t>
            </w:r>
          </w:p>
        </w:tc>
      </w:tr>
      <w:tr w:rsidR="00651306" w:rsidRPr="00FD7D6B" w:rsidTr="00A83ACA">
        <w:trPr>
          <w:trHeight w:val="413"/>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馬來西亞</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198,902</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201,631</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245,298</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296,370</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316,926</w:t>
            </w:r>
          </w:p>
        </w:tc>
      </w:tr>
      <w:tr w:rsidR="00651306" w:rsidRPr="00FD7D6B" w:rsidTr="00A83ACA">
        <w:trPr>
          <w:trHeight w:val="278"/>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新加坡</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283,925</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318,516</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319,915</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326,634</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354,667</w:t>
            </w:r>
          </w:p>
        </w:tc>
      </w:tr>
      <w:tr w:rsidR="00651306" w:rsidRPr="00FD7D6B" w:rsidTr="00A83ACA">
        <w:trPr>
          <w:trHeight w:val="325"/>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菲律賓</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133,583</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180,091</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231,801</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236,597</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246,691</w:t>
            </w:r>
          </w:p>
        </w:tc>
      </w:tr>
      <w:tr w:rsidR="00651306" w:rsidRPr="00FD7D6B" w:rsidTr="00A83ACA">
        <w:trPr>
          <w:trHeight w:val="373"/>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汶萊</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298</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285</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540</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801</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1,093</w:t>
            </w:r>
          </w:p>
        </w:tc>
      </w:tr>
      <w:tr w:rsidR="00651306" w:rsidRPr="00FD7D6B" w:rsidTr="00A83ACA">
        <w:trPr>
          <w:trHeight w:val="280"/>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印尼</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170,301</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176,478</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175,738</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177,960</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170,013</w:t>
            </w:r>
          </w:p>
        </w:tc>
      </w:tr>
      <w:tr w:rsidR="00651306" w:rsidRPr="00FD7D6B" w:rsidTr="00A83ACA">
        <w:trPr>
          <w:trHeight w:val="327"/>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柬埔寨</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69,195</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66,593</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67,281</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82,888</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93,313</w:t>
            </w:r>
          </w:p>
        </w:tc>
      </w:tr>
      <w:tr w:rsidR="00651306" w:rsidRPr="00FD7D6B" w:rsidTr="00A83ACA">
        <w:trPr>
          <w:trHeight w:val="233"/>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寮國</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152</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146</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688</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1,340</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1,305</w:t>
            </w:r>
          </w:p>
        </w:tc>
      </w:tr>
      <w:tr w:rsidR="00651306" w:rsidRPr="00FD7D6B" w:rsidTr="00A83ACA">
        <w:trPr>
          <w:trHeight w:val="282"/>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緬甸</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22,817</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19,999</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25,196</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26,200</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25,101</w:t>
            </w:r>
          </w:p>
        </w:tc>
      </w:tr>
      <w:tr w:rsidR="00651306" w:rsidRPr="00FD7D6B" w:rsidTr="00A83ACA">
        <w:trPr>
          <w:trHeight w:val="343"/>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印度</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18,873</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20,066</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22,399</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25,965</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24,806</w:t>
            </w:r>
          </w:p>
        </w:tc>
      </w:tr>
      <w:tr w:rsidR="00651306" w:rsidRPr="00FD7D6B" w:rsidTr="00A83ACA">
        <w:trPr>
          <w:trHeight w:val="235"/>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斯里蘭卡</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0</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17</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944</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2,345</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2,541</w:t>
            </w:r>
          </w:p>
        </w:tc>
      </w:tr>
      <w:tr w:rsidR="00651306" w:rsidRPr="00FD7D6B" w:rsidTr="00A83ACA">
        <w:trPr>
          <w:trHeight w:val="439"/>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不丹</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29</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1,195</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2,402</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1,642</w:t>
            </w:r>
          </w:p>
        </w:tc>
      </w:tr>
      <w:tr w:rsidR="00651306" w:rsidRPr="00FD7D6B" w:rsidTr="00A83ACA">
        <w:trPr>
          <w:trHeight w:val="418"/>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尼泊爾</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0</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0</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989</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2,344</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2,350</w:t>
            </w:r>
          </w:p>
        </w:tc>
      </w:tr>
      <w:tr w:rsidR="00651306" w:rsidRPr="00FD7D6B" w:rsidTr="00A83ACA">
        <w:trPr>
          <w:trHeight w:val="409"/>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孟加拉</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0</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0</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605</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1,640</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1,506</w:t>
            </w:r>
          </w:p>
        </w:tc>
      </w:tr>
      <w:tr w:rsidR="00651306" w:rsidRPr="00FD7D6B" w:rsidTr="00A83ACA">
        <w:trPr>
          <w:trHeight w:val="415"/>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巴基斯坦</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0</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159</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336</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322</w:t>
            </w:r>
          </w:p>
        </w:tc>
      </w:tr>
      <w:tr w:rsidR="00651306" w:rsidRPr="00FD7D6B" w:rsidTr="00A83ACA">
        <w:trPr>
          <w:trHeight w:val="421"/>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澳大利亞</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85,745</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103,806</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139,501</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165,938</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190,163</w:t>
            </w:r>
          </w:p>
        </w:tc>
      </w:tr>
      <w:tr w:rsidR="00651306" w:rsidRPr="00FD7D6B" w:rsidTr="00A83ACA">
        <w:trPr>
          <w:trHeight w:val="272"/>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紐西蘭</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0</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3</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2,804</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6,846</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20,901</w:t>
            </w:r>
          </w:p>
        </w:tc>
      </w:tr>
      <w:tr w:rsidR="00651306" w:rsidRPr="00FD7D6B" w:rsidTr="00A83ACA">
        <w:trPr>
          <w:trHeight w:val="319"/>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總計</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1,742,033</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2,096,196</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2,233,784</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2,474,412</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2,791,608</w:t>
            </w:r>
          </w:p>
        </w:tc>
      </w:tr>
      <w:tr w:rsidR="00651306" w:rsidRPr="00FD7D6B" w:rsidTr="00A83ACA">
        <w:trPr>
          <w:trHeight w:val="382"/>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D7CDB" w:rsidRPr="00FD7D6B" w:rsidRDefault="00D42FA9" w:rsidP="00A83ACA">
            <w:pPr>
              <w:widowControl/>
              <w:overflowPunct/>
              <w:autoSpaceDE/>
              <w:autoSpaceDN/>
              <w:jc w:val="center"/>
              <w:rPr>
                <w:rFonts w:hAnsi="標楷體" w:cs="新細明體"/>
                <w:b/>
                <w:bCs/>
                <w:kern w:val="0"/>
                <w:sz w:val="26"/>
                <w:szCs w:val="26"/>
              </w:rPr>
            </w:pPr>
            <w:r w:rsidRPr="00FD7D6B">
              <w:rPr>
                <w:rFonts w:hAnsi="標楷體" w:cs="新細明體" w:hint="eastAsia"/>
                <w:b/>
                <w:bCs/>
                <w:kern w:val="0"/>
                <w:sz w:val="26"/>
                <w:szCs w:val="26"/>
              </w:rPr>
              <w:t>年</w:t>
            </w:r>
            <w:r w:rsidR="00ED7CDB" w:rsidRPr="00FD7D6B">
              <w:rPr>
                <w:rFonts w:hAnsi="標楷體" w:cs="新細明體" w:hint="eastAsia"/>
                <w:b/>
                <w:bCs/>
                <w:kern w:val="0"/>
                <w:sz w:val="26"/>
                <w:szCs w:val="26"/>
              </w:rPr>
              <w:t>成長率</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D42FA9"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20.33%</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6.56%</w:t>
            </w:r>
          </w:p>
        </w:tc>
        <w:tc>
          <w:tcPr>
            <w:tcW w:w="833"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10.77%</w:t>
            </w:r>
          </w:p>
        </w:tc>
        <w:tc>
          <w:tcPr>
            <w:tcW w:w="834" w:type="pct"/>
            <w:tcBorders>
              <w:top w:val="nil"/>
              <w:left w:val="nil"/>
              <w:bottom w:val="single" w:sz="4" w:space="0" w:color="auto"/>
              <w:right w:val="single" w:sz="4" w:space="0" w:color="auto"/>
            </w:tcBorders>
            <w:shd w:val="clear" w:color="auto" w:fill="auto"/>
            <w:vAlign w:val="center"/>
            <w:hideMark/>
          </w:tcPr>
          <w:p w:rsidR="00ED7CDB" w:rsidRPr="00FD7D6B" w:rsidRDefault="00ED7CDB" w:rsidP="00A83ACA">
            <w:pPr>
              <w:widowControl/>
              <w:overflowPunct/>
              <w:autoSpaceDE/>
              <w:autoSpaceDN/>
              <w:jc w:val="right"/>
              <w:rPr>
                <w:rFonts w:hAnsi="標楷體" w:cs="新細明體"/>
                <w:bCs/>
                <w:kern w:val="0"/>
                <w:sz w:val="28"/>
                <w:szCs w:val="28"/>
              </w:rPr>
            </w:pPr>
            <w:r w:rsidRPr="00FD7D6B">
              <w:rPr>
                <w:rFonts w:hAnsi="標楷體" w:cs="新細明體" w:hint="eastAsia"/>
                <w:bCs/>
                <w:kern w:val="0"/>
                <w:sz w:val="28"/>
                <w:szCs w:val="28"/>
              </w:rPr>
              <w:t>12.82%</w:t>
            </w:r>
          </w:p>
        </w:tc>
      </w:tr>
    </w:tbl>
    <w:p w:rsidR="00A83ACA" w:rsidRPr="00FD7D6B" w:rsidRDefault="00A83ACA" w:rsidP="00A83ACA">
      <w:pPr>
        <w:pStyle w:val="3"/>
        <w:numPr>
          <w:ilvl w:val="0"/>
          <w:numId w:val="0"/>
        </w:numPr>
        <w:rPr>
          <w:sz w:val="24"/>
          <w:szCs w:val="24"/>
        </w:rPr>
      </w:pPr>
      <w:r w:rsidRPr="00FD7D6B">
        <w:rPr>
          <w:rFonts w:hint="eastAsia"/>
          <w:sz w:val="24"/>
          <w:szCs w:val="24"/>
        </w:rPr>
        <w:t>資料來源：交通部觀光局</w:t>
      </w:r>
    </w:p>
    <w:p w:rsidR="00984D4D" w:rsidRPr="00FD7D6B" w:rsidRDefault="00984D4D" w:rsidP="00984D4D">
      <w:pPr>
        <w:pStyle w:val="4"/>
        <w:numPr>
          <w:ilvl w:val="0"/>
          <w:numId w:val="0"/>
        </w:numPr>
        <w:ind w:left="1418" w:firstLineChars="125" w:firstLine="425"/>
      </w:pPr>
    </w:p>
    <w:p w:rsidR="00984D4D" w:rsidRPr="00FD7D6B" w:rsidRDefault="00984D4D" w:rsidP="00984D4D">
      <w:pPr>
        <w:pStyle w:val="3"/>
        <w:numPr>
          <w:ilvl w:val="2"/>
          <w:numId w:val="1"/>
        </w:numPr>
      </w:pPr>
      <w:r w:rsidRPr="00FD7D6B">
        <w:rPr>
          <w:rFonts w:hint="eastAsia"/>
        </w:rPr>
        <w:t>查疾管署對於國際傳染病疫情之掌握機制，主要透過世界衛生組織(World Health Organisation，下稱WHO)之「國際衛生條例（International Health Regulation, IHR2005）」運作、與個別國家建立疫</w:t>
      </w:r>
      <w:r w:rsidRPr="00FD7D6B">
        <w:rPr>
          <w:rFonts w:hint="eastAsia"/>
        </w:rPr>
        <w:lastRenderedPageBreak/>
        <w:t>情交流管道，以及</w:t>
      </w:r>
      <w:r w:rsidR="00B7664E" w:rsidRPr="00FD7D6B">
        <w:rPr>
          <w:rFonts w:hint="eastAsia"/>
        </w:rPr>
        <w:t>連結</w:t>
      </w:r>
      <w:r w:rsidRPr="00FD7D6B">
        <w:rPr>
          <w:rFonts w:hint="eastAsia"/>
        </w:rPr>
        <w:t>各國政府機關官網查詢等，詳述如下：</w:t>
      </w:r>
    </w:p>
    <w:p w:rsidR="00984D4D" w:rsidRPr="00FD7D6B" w:rsidRDefault="00B7664E" w:rsidP="00984D4D">
      <w:pPr>
        <w:pStyle w:val="4"/>
        <w:numPr>
          <w:ilvl w:val="3"/>
          <w:numId w:val="1"/>
        </w:numPr>
      </w:pPr>
      <w:r w:rsidRPr="00FD7D6B">
        <w:rPr>
          <w:rFonts w:hint="eastAsia"/>
        </w:rPr>
        <w:t>IHR</w:t>
      </w:r>
    </w:p>
    <w:p w:rsidR="00984D4D" w:rsidRPr="00FD7D6B" w:rsidRDefault="00984D4D" w:rsidP="00984D4D">
      <w:pPr>
        <w:pStyle w:val="5"/>
        <w:numPr>
          <w:ilvl w:val="0"/>
          <w:numId w:val="0"/>
        </w:numPr>
        <w:ind w:left="1701" w:firstLineChars="208" w:firstLine="708"/>
      </w:pPr>
      <w:r w:rsidRPr="00FD7D6B">
        <w:rPr>
          <w:rFonts w:hint="eastAsia"/>
        </w:rPr>
        <w:t>各國通報WHO任何關係國際公共衛生之重大疫情訊息，均會公布於「公衛事件資訊網站（Event Information Site）」，疾管署與WHO互設IHR窗口進行直接聯繫，且WHO提供疾管署登入密碼，可於第一時間掌握國際間高風險或未知病原之疾病訊息，以及所建議之因應作為與傳播風險評估。據疾管署查復，103年至10</w:t>
      </w:r>
      <w:r w:rsidR="00D71AA1" w:rsidRPr="00FD7D6B">
        <w:rPr>
          <w:rFonts w:hint="eastAsia"/>
        </w:rPr>
        <w:t>7</w:t>
      </w:r>
      <w:r w:rsidRPr="00FD7D6B">
        <w:rPr>
          <w:rFonts w:hint="eastAsia"/>
        </w:rPr>
        <w:t>年各年度，重大疫情訊息分別為：小兒麻痺症、中東呼吸症候群冠狀病毒感染症、茲卡病毒感染症、</w:t>
      </w:r>
      <w:r w:rsidRPr="00FD7D6B">
        <w:t>葉門-白喉</w:t>
      </w:r>
      <w:r w:rsidRPr="00FD7D6B">
        <w:rPr>
          <w:rFonts w:hint="eastAsia"/>
        </w:rPr>
        <w:t>及剛果民主共和國-伊波拉病毒感染症等。</w:t>
      </w:r>
    </w:p>
    <w:p w:rsidR="00984D4D" w:rsidRPr="00FD7D6B" w:rsidRDefault="00984D4D" w:rsidP="00984D4D">
      <w:pPr>
        <w:pStyle w:val="4"/>
        <w:numPr>
          <w:ilvl w:val="3"/>
          <w:numId w:val="1"/>
        </w:numPr>
      </w:pPr>
      <w:r w:rsidRPr="00FD7D6B">
        <w:rPr>
          <w:rFonts w:hint="eastAsia"/>
        </w:rPr>
        <w:tab/>
        <w:t>與個別國家建立疫情交流管道</w:t>
      </w:r>
    </w:p>
    <w:p w:rsidR="00984D4D" w:rsidRPr="00FD7D6B" w:rsidRDefault="00984D4D" w:rsidP="00984D4D">
      <w:pPr>
        <w:pStyle w:val="5"/>
        <w:numPr>
          <w:ilvl w:val="4"/>
          <w:numId w:val="1"/>
        </w:numPr>
        <w:ind w:left="2042" w:hanging="851"/>
      </w:pPr>
      <w:r w:rsidRPr="00FD7D6B">
        <w:rPr>
          <w:rFonts w:hint="eastAsia"/>
        </w:rPr>
        <w:tab/>
        <w:t>依「海峽兩岸醫藥衛生合作協議」，與中國大陸建立傳染病監測資料交換及疫情查證作業窗口，透過電子郵件定期交換「大陸法定傳染病疫情概況」月報及年報、「大陸手足口病疫情通報」雙週報、「大陸流感監測」週報。</w:t>
      </w:r>
    </w:p>
    <w:p w:rsidR="00984D4D" w:rsidRPr="00FD7D6B" w:rsidRDefault="00984D4D" w:rsidP="00984D4D">
      <w:pPr>
        <w:pStyle w:val="5"/>
        <w:numPr>
          <w:ilvl w:val="4"/>
          <w:numId w:val="1"/>
        </w:numPr>
        <w:ind w:left="2042" w:hanging="851"/>
      </w:pPr>
      <w:r w:rsidRPr="00FD7D6B">
        <w:rPr>
          <w:rFonts w:hint="eastAsia"/>
        </w:rPr>
        <w:tab/>
        <w:t>與馬來西亞衛生部建立登革熱與腸病毒之疫情趨勢與監測資料交換機制、建立事件查證溝通與重大疫情互訪機制。</w:t>
      </w:r>
    </w:p>
    <w:p w:rsidR="00984D4D" w:rsidRPr="00FD7D6B" w:rsidRDefault="00984D4D" w:rsidP="00984D4D">
      <w:pPr>
        <w:pStyle w:val="4"/>
        <w:numPr>
          <w:ilvl w:val="3"/>
          <w:numId w:val="1"/>
        </w:numPr>
      </w:pPr>
      <w:r w:rsidRPr="00FD7D6B">
        <w:rPr>
          <w:rFonts w:hint="eastAsia"/>
        </w:rPr>
        <w:t>疾管署專責人員每日連結WHO、美國及歐盟疾病預防控制中心、全球各主要國家、東南亞鄰近國家衛生機關官網及新聞媒體等搜集傳染病疫情資訊。</w:t>
      </w:r>
    </w:p>
    <w:p w:rsidR="00B00747" w:rsidRPr="00FD7D6B" w:rsidRDefault="00984D4D" w:rsidP="00ED7CDB">
      <w:pPr>
        <w:pStyle w:val="3"/>
      </w:pPr>
      <w:r w:rsidRPr="00FD7D6B">
        <w:rPr>
          <w:rFonts w:hint="eastAsia"/>
        </w:rPr>
        <w:t>惟查103年至108年6月底，各年度境外移入之前5大法定傳染病案例數分別計642、725、733、645、626及405例，以105年最多(733例)，106年及107年案例數大約持平，惟108年1至6月達405例，為前一年完</w:t>
      </w:r>
      <w:r w:rsidRPr="00FD7D6B">
        <w:rPr>
          <w:rFonts w:hint="eastAsia"/>
        </w:rPr>
        <w:lastRenderedPageBreak/>
        <w:t>整年度之65%，顯見近期境外移入傳染病案例數明顯增加(詳表3)</w:t>
      </w:r>
      <w:r w:rsidR="00B64D3F" w:rsidRPr="00FD7D6B">
        <w:rPr>
          <w:rFonts w:hint="eastAsia"/>
        </w:rPr>
        <w:t>；另此等病例數係依傳染病防治法規定正式通報者，如考量其他未通報者，數量勢必更為增加，疾管署除應正視此問題外，對於如何</w:t>
      </w:r>
      <w:r w:rsidR="00887BBF" w:rsidRPr="00FD7D6B">
        <w:rPr>
          <w:rFonts w:ascii="新細明體" w:eastAsia="新細明體" w:hAnsi="新細明體" w:hint="eastAsia"/>
        </w:rPr>
        <w:t>「</w:t>
      </w:r>
      <w:r w:rsidR="00B64D3F" w:rsidRPr="00FD7D6B">
        <w:rPr>
          <w:rFonts w:hint="eastAsia"/>
        </w:rPr>
        <w:t>事先</w:t>
      </w:r>
      <w:r w:rsidR="00887BBF" w:rsidRPr="00FD7D6B">
        <w:rPr>
          <w:rFonts w:hAnsi="標楷體" w:hint="eastAsia"/>
        </w:rPr>
        <w:t>」</w:t>
      </w:r>
      <w:r w:rsidR="00887BBF" w:rsidRPr="00FD7D6B">
        <w:rPr>
          <w:rFonts w:hint="eastAsia"/>
        </w:rPr>
        <w:t>評估可能的境外移入數量及採取預防因應措施，以及有否參考美國、日本、韓國、新加坡等國家之作法，亦</w:t>
      </w:r>
      <w:r w:rsidR="009610A1" w:rsidRPr="00FD7D6B">
        <w:rPr>
          <w:rFonts w:hint="eastAsia"/>
        </w:rPr>
        <w:t>宜</w:t>
      </w:r>
      <w:r w:rsidR="00887BBF" w:rsidRPr="00FD7D6B">
        <w:rPr>
          <w:rFonts w:hint="eastAsia"/>
        </w:rPr>
        <w:t>檢討精進。</w:t>
      </w:r>
    </w:p>
    <w:p w:rsidR="00B00747" w:rsidRPr="00FD7D6B" w:rsidRDefault="00B00747" w:rsidP="00B00747">
      <w:pPr>
        <w:pStyle w:val="3"/>
        <w:numPr>
          <w:ilvl w:val="0"/>
          <w:numId w:val="0"/>
        </w:numPr>
        <w:ind w:left="1361" w:firstLineChars="200" w:firstLine="680"/>
        <w:rPr>
          <w:rFonts w:hAnsi="標楷體"/>
        </w:rPr>
      </w:pPr>
      <w:r w:rsidRPr="00FD7D6B">
        <w:rPr>
          <w:rFonts w:hint="eastAsia"/>
        </w:rPr>
        <w:t>再就疾病別分析，</w:t>
      </w:r>
      <w:r w:rsidRPr="00FD7D6B">
        <w:rPr>
          <w:rFonts w:ascii="新細明體" w:eastAsia="新細明體" w:hAnsi="新細明體" w:hint="eastAsia"/>
        </w:rPr>
        <w:t>「</w:t>
      </w:r>
      <w:r w:rsidRPr="00FD7D6B">
        <w:rPr>
          <w:rFonts w:hint="eastAsia"/>
        </w:rPr>
        <w:t>登革熱</w:t>
      </w:r>
      <w:r w:rsidRPr="00FD7D6B">
        <w:rPr>
          <w:rFonts w:hAnsi="標楷體" w:hint="eastAsia"/>
        </w:rPr>
        <w:t>」</w:t>
      </w:r>
      <w:r w:rsidRPr="00FD7D6B">
        <w:rPr>
          <w:rFonts w:hint="eastAsia"/>
        </w:rPr>
        <w:t>為每年境外移入數最高之傳染病，各年度病例數分別為240、365、363、333、350及227例，自104年至107年個案數約呈持平狀況，然108年1至6月突增加至227例。另「麻疹」及「德國麻疹」病例數於108年上半年突然升高，名列於前5大法定傳染病，分別排序第3名、第5名；據疾管署表示：</w:t>
      </w:r>
      <w:r w:rsidRPr="00FD7D6B">
        <w:rPr>
          <w:rFonts w:hAnsi="標楷體" w:hint="eastAsia"/>
        </w:rPr>
        <w:t>「107年底全球麻疹疫情上升，WHO公布本年截至5月全球181國累計報告逾26.7萬例，高於去年同期(累計逾16萬例)，其中菲律賓、越南、泰國、馬來西亞等東南亞國家疫情特別嚴峻，受到該等國家的影響，107年至108年我國麻疹境外移入個案數亦隨之大幅增加；本年德國麻疹病例感染國家以中國大陸最多，且中國大陸疫情自本年3月持續上升，5月新增約9,100例，高於4月病例數(近7,500例)，累計逾21,000例，為102年來同期最高，107年及本年我國德國麻疹境外移入個案數明顯增加，主要原因是受到中國大陸德國麻疹疫情嚴重所影響。」</w:t>
      </w:r>
    </w:p>
    <w:p w:rsidR="00D71AA1" w:rsidRPr="00FD7D6B" w:rsidRDefault="005523D0" w:rsidP="00ED7CDB">
      <w:pPr>
        <w:pStyle w:val="a3"/>
        <w:jc w:val="center"/>
      </w:pPr>
      <w:r w:rsidRPr="00FD7D6B">
        <w:rPr>
          <w:rFonts w:hAnsi="標楷體" w:cs="新細明體" w:hint="eastAsia"/>
          <w:kern w:val="0"/>
        </w:rPr>
        <w:t>年度境外移入前五大法定傳染病及個案數</w:t>
      </w:r>
    </w:p>
    <w:p w:rsidR="005523D0" w:rsidRPr="00FD7D6B" w:rsidRDefault="003932DB" w:rsidP="003932DB">
      <w:pPr>
        <w:ind w:right="1040"/>
        <w:jc w:val="right"/>
        <w:rPr>
          <w:sz w:val="24"/>
          <w:szCs w:val="24"/>
        </w:rPr>
      </w:pPr>
      <w:r w:rsidRPr="00FD7D6B">
        <w:rPr>
          <w:rFonts w:hint="eastAsia"/>
          <w:sz w:val="24"/>
          <w:szCs w:val="24"/>
        </w:rPr>
        <w:t xml:space="preserve">　</w:t>
      </w:r>
      <w:r w:rsidR="005523D0" w:rsidRPr="00FD7D6B">
        <w:rPr>
          <w:rFonts w:hint="eastAsia"/>
          <w:sz w:val="24"/>
          <w:szCs w:val="24"/>
        </w:rPr>
        <w:t>單位：人次</w:t>
      </w:r>
    </w:p>
    <w:tbl>
      <w:tblPr>
        <w:tblStyle w:val="afb"/>
        <w:tblW w:w="3990" w:type="pct"/>
        <w:tblInd w:w="959" w:type="dxa"/>
        <w:tblLook w:val="04A0" w:firstRow="1" w:lastRow="0" w:firstColumn="1" w:lastColumn="0" w:noHBand="0" w:noVBand="1"/>
      </w:tblPr>
      <w:tblGrid>
        <w:gridCol w:w="1945"/>
        <w:gridCol w:w="2918"/>
        <w:gridCol w:w="2187"/>
      </w:tblGrid>
      <w:tr w:rsidR="00651306" w:rsidRPr="00FD7D6B" w:rsidTr="00C27525">
        <w:trPr>
          <w:trHeight w:val="375"/>
          <w:tblHeader/>
        </w:trPr>
        <w:tc>
          <w:tcPr>
            <w:tcW w:w="1095" w:type="pct"/>
            <w:noWrap/>
            <w:hideMark/>
          </w:tcPr>
          <w:p w:rsidR="005523D0" w:rsidRPr="00FD7D6B" w:rsidRDefault="005523D0" w:rsidP="00C27525">
            <w:pPr>
              <w:widowControl/>
              <w:overflowPunct/>
              <w:autoSpaceDE/>
              <w:autoSpaceDN/>
              <w:jc w:val="center"/>
              <w:rPr>
                <w:rFonts w:hAnsi="標楷體" w:cs="新細明體"/>
                <w:b/>
                <w:bCs/>
                <w:kern w:val="0"/>
                <w:sz w:val="28"/>
                <w:szCs w:val="24"/>
              </w:rPr>
            </w:pPr>
            <w:r w:rsidRPr="00FD7D6B">
              <w:rPr>
                <w:rFonts w:hAnsi="標楷體" w:cs="新細明體" w:hint="eastAsia"/>
                <w:b/>
                <w:bCs/>
                <w:kern w:val="0"/>
                <w:sz w:val="28"/>
                <w:szCs w:val="24"/>
              </w:rPr>
              <w:t>發病年份</w:t>
            </w:r>
          </w:p>
        </w:tc>
        <w:tc>
          <w:tcPr>
            <w:tcW w:w="2141" w:type="pct"/>
            <w:noWrap/>
            <w:hideMark/>
          </w:tcPr>
          <w:p w:rsidR="005523D0" w:rsidRPr="00FD7D6B" w:rsidRDefault="005523D0" w:rsidP="00C27525">
            <w:pPr>
              <w:widowControl/>
              <w:overflowPunct/>
              <w:autoSpaceDE/>
              <w:autoSpaceDN/>
              <w:jc w:val="center"/>
              <w:rPr>
                <w:rFonts w:hAnsi="標楷體" w:cs="新細明體"/>
                <w:b/>
                <w:bCs/>
                <w:kern w:val="0"/>
                <w:sz w:val="28"/>
                <w:szCs w:val="24"/>
              </w:rPr>
            </w:pPr>
            <w:r w:rsidRPr="00FD7D6B">
              <w:rPr>
                <w:rFonts w:hAnsi="標楷體" w:cs="新細明體" w:hint="eastAsia"/>
                <w:b/>
                <w:bCs/>
                <w:kern w:val="0"/>
                <w:sz w:val="28"/>
                <w:szCs w:val="24"/>
              </w:rPr>
              <w:t>確定病名</w:t>
            </w:r>
          </w:p>
        </w:tc>
        <w:tc>
          <w:tcPr>
            <w:tcW w:w="1764" w:type="pct"/>
            <w:noWrap/>
            <w:hideMark/>
          </w:tcPr>
          <w:p w:rsidR="005523D0" w:rsidRPr="00FD7D6B" w:rsidRDefault="005523D0" w:rsidP="00C27525">
            <w:pPr>
              <w:widowControl/>
              <w:overflowPunct/>
              <w:autoSpaceDE/>
              <w:autoSpaceDN/>
              <w:jc w:val="center"/>
              <w:rPr>
                <w:rFonts w:hAnsi="標楷體" w:cs="新細明體"/>
                <w:b/>
                <w:bCs/>
                <w:kern w:val="0"/>
                <w:sz w:val="28"/>
                <w:szCs w:val="24"/>
              </w:rPr>
            </w:pPr>
            <w:r w:rsidRPr="00FD7D6B">
              <w:rPr>
                <w:rFonts w:hAnsi="標楷體" w:cs="新細明體" w:hint="eastAsia"/>
                <w:b/>
                <w:bCs/>
                <w:kern w:val="0"/>
                <w:sz w:val="28"/>
                <w:szCs w:val="24"/>
              </w:rPr>
              <w:t>合計</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bCs/>
                <w:kern w:val="0"/>
                <w:sz w:val="28"/>
                <w:szCs w:val="24"/>
              </w:rPr>
            </w:pPr>
            <w:r w:rsidRPr="00FD7D6B">
              <w:rPr>
                <w:rFonts w:hAnsi="標楷體" w:cs="新細明體" w:hint="eastAsia"/>
                <w:b/>
                <w:bCs/>
                <w:kern w:val="0"/>
                <w:sz w:val="28"/>
                <w:szCs w:val="24"/>
              </w:rPr>
              <w:t>103</w:t>
            </w: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登革熱</w:t>
            </w:r>
          </w:p>
        </w:tc>
        <w:tc>
          <w:tcPr>
            <w:tcW w:w="1764"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240</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阿米巴性痢疾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197</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桿菌性痢疾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117</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急性病毒性Ａ型肝炎</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50</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瘧疾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19</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傷寒</w:t>
            </w:r>
          </w:p>
        </w:tc>
        <w:tc>
          <w:tcPr>
            <w:tcW w:w="1764"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19</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 xml:space="preserve">　</w:t>
            </w:r>
          </w:p>
        </w:tc>
        <w:tc>
          <w:tcPr>
            <w:tcW w:w="2141" w:type="pct"/>
            <w:noWrap/>
            <w:hideMark/>
          </w:tcPr>
          <w:p w:rsidR="005523D0" w:rsidRPr="00FD7D6B" w:rsidRDefault="005523D0" w:rsidP="004D6F43">
            <w:pPr>
              <w:widowControl/>
              <w:overflowPunct/>
              <w:autoSpaceDE/>
              <w:autoSpaceDN/>
              <w:jc w:val="left"/>
              <w:rPr>
                <w:rFonts w:hAnsi="標楷體" w:cs="新細明體"/>
                <w:b/>
                <w:kern w:val="0"/>
                <w:sz w:val="28"/>
                <w:szCs w:val="24"/>
              </w:rPr>
            </w:pPr>
            <w:r w:rsidRPr="00FD7D6B">
              <w:rPr>
                <w:rFonts w:hAnsi="標楷體" w:cs="新細明體" w:hint="eastAsia"/>
                <w:b/>
                <w:kern w:val="0"/>
                <w:sz w:val="28"/>
                <w:szCs w:val="24"/>
              </w:rPr>
              <w:t>總計</w:t>
            </w:r>
          </w:p>
        </w:tc>
        <w:tc>
          <w:tcPr>
            <w:tcW w:w="1764"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642</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bCs/>
                <w:kern w:val="0"/>
                <w:sz w:val="28"/>
                <w:szCs w:val="24"/>
              </w:rPr>
            </w:pPr>
            <w:r w:rsidRPr="00FD7D6B">
              <w:rPr>
                <w:rFonts w:hAnsi="標楷體" w:cs="新細明體" w:hint="eastAsia"/>
                <w:b/>
                <w:bCs/>
                <w:kern w:val="0"/>
                <w:sz w:val="28"/>
                <w:szCs w:val="24"/>
              </w:rPr>
              <w:t>104</w:t>
            </w: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登革熱</w:t>
            </w:r>
          </w:p>
        </w:tc>
        <w:tc>
          <w:tcPr>
            <w:tcW w:w="1764"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365</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阿米巴性痢疾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196</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桿菌性痢疾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105</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急性病毒性Ａ型肝炎</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45</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 xml:space="preserve">　</w:t>
            </w: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傷寒</w:t>
            </w:r>
          </w:p>
        </w:tc>
        <w:tc>
          <w:tcPr>
            <w:tcW w:w="1764"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14</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 xml:space="preserve">　</w:t>
            </w:r>
          </w:p>
        </w:tc>
        <w:tc>
          <w:tcPr>
            <w:tcW w:w="2141" w:type="pct"/>
            <w:noWrap/>
            <w:hideMark/>
          </w:tcPr>
          <w:p w:rsidR="005523D0" w:rsidRPr="00FD7D6B" w:rsidRDefault="005523D0" w:rsidP="004D6F43">
            <w:pPr>
              <w:widowControl/>
              <w:overflowPunct/>
              <w:autoSpaceDE/>
              <w:autoSpaceDN/>
              <w:jc w:val="left"/>
              <w:rPr>
                <w:rFonts w:hAnsi="標楷體" w:cs="新細明體"/>
                <w:b/>
                <w:kern w:val="0"/>
                <w:sz w:val="28"/>
                <w:szCs w:val="24"/>
              </w:rPr>
            </w:pPr>
            <w:r w:rsidRPr="00FD7D6B">
              <w:rPr>
                <w:rFonts w:hAnsi="標楷體" w:cs="新細明體" w:hint="eastAsia"/>
                <w:b/>
                <w:kern w:val="0"/>
                <w:sz w:val="28"/>
                <w:szCs w:val="24"/>
              </w:rPr>
              <w:t>總計</w:t>
            </w:r>
          </w:p>
        </w:tc>
        <w:tc>
          <w:tcPr>
            <w:tcW w:w="1764"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725</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bCs/>
                <w:kern w:val="0"/>
                <w:sz w:val="28"/>
                <w:szCs w:val="24"/>
              </w:rPr>
            </w:pPr>
            <w:r w:rsidRPr="00FD7D6B">
              <w:rPr>
                <w:rFonts w:hAnsi="標楷體" w:cs="新細明體" w:hint="eastAsia"/>
                <w:b/>
                <w:bCs/>
                <w:kern w:val="0"/>
                <w:sz w:val="28"/>
                <w:szCs w:val="24"/>
              </w:rPr>
              <w:t>105</w:t>
            </w: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登革熱</w:t>
            </w:r>
          </w:p>
        </w:tc>
        <w:tc>
          <w:tcPr>
            <w:tcW w:w="1764"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363</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阿米巴性痢疾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167</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桿菌性痢疾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109</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急性病毒性Ａ型肝炎</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80</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 xml:space="preserve">　</w:t>
            </w: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屈公病</w:t>
            </w:r>
          </w:p>
        </w:tc>
        <w:tc>
          <w:tcPr>
            <w:tcW w:w="1764"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14</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 xml:space="preserve">　</w:t>
            </w:r>
          </w:p>
        </w:tc>
        <w:tc>
          <w:tcPr>
            <w:tcW w:w="2141" w:type="pct"/>
            <w:noWrap/>
            <w:hideMark/>
          </w:tcPr>
          <w:p w:rsidR="005523D0" w:rsidRPr="00FD7D6B" w:rsidRDefault="005523D0" w:rsidP="004D6F43">
            <w:pPr>
              <w:widowControl/>
              <w:overflowPunct/>
              <w:autoSpaceDE/>
              <w:autoSpaceDN/>
              <w:jc w:val="left"/>
              <w:rPr>
                <w:rFonts w:hAnsi="標楷體" w:cs="新細明體"/>
                <w:b/>
                <w:kern w:val="0"/>
                <w:sz w:val="28"/>
                <w:szCs w:val="24"/>
              </w:rPr>
            </w:pPr>
            <w:r w:rsidRPr="00FD7D6B">
              <w:rPr>
                <w:rFonts w:hAnsi="標楷體" w:cs="新細明體" w:hint="eastAsia"/>
                <w:b/>
                <w:kern w:val="0"/>
                <w:sz w:val="28"/>
                <w:szCs w:val="24"/>
              </w:rPr>
              <w:t>總計</w:t>
            </w:r>
          </w:p>
        </w:tc>
        <w:tc>
          <w:tcPr>
            <w:tcW w:w="1764"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733</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bCs/>
                <w:kern w:val="0"/>
                <w:sz w:val="28"/>
                <w:szCs w:val="24"/>
              </w:rPr>
            </w:pPr>
            <w:r w:rsidRPr="00FD7D6B">
              <w:rPr>
                <w:rFonts w:hAnsi="標楷體" w:cs="新細明體" w:hint="eastAsia"/>
                <w:b/>
                <w:bCs/>
                <w:kern w:val="0"/>
                <w:sz w:val="28"/>
                <w:szCs w:val="24"/>
              </w:rPr>
              <w:t>106</w:t>
            </w: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登革熱</w:t>
            </w:r>
          </w:p>
        </w:tc>
        <w:tc>
          <w:tcPr>
            <w:tcW w:w="1764"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333</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阿米巴性痢疾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191</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桿菌性痢疾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58</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急性病毒性Ａ型肝炎</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49</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 xml:space="preserve">　</w:t>
            </w: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退伍軍人病</w:t>
            </w:r>
          </w:p>
        </w:tc>
        <w:tc>
          <w:tcPr>
            <w:tcW w:w="1764"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14</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 xml:space="preserve">　</w:t>
            </w:r>
          </w:p>
        </w:tc>
        <w:tc>
          <w:tcPr>
            <w:tcW w:w="2141" w:type="pct"/>
            <w:noWrap/>
            <w:hideMark/>
          </w:tcPr>
          <w:p w:rsidR="005523D0" w:rsidRPr="00FD7D6B" w:rsidRDefault="005523D0" w:rsidP="004D6F43">
            <w:pPr>
              <w:widowControl/>
              <w:overflowPunct/>
              <w:autoSpaceDE/>
              <w:autoSpaceDN/>
              <w:jc w:val="left"/>
              <w:rPr>
                <w:rFonts w:hAnsi="標楷體" w:cs="新細明體"/>
                <w:b/>
                <w:kern w:val="0"/>
                <w:sz w:val="28"/>
                <w:szCs w:val="24"/>
              </w:rPr>
            </w:pPr>
            <w:r w:rsidRPr="00FD7D6B">
              <w:rPr>
                <w:rFonts w:hAnsi="標楷體" w:cs="新細明體" w:hint="eastAsia"/>
                <w:b/>
                <w:kern w:val="0"/>
                <w:sz w:val="28"/>
                <w:szCs w:val="24"/>
              </w:rPr>
              <w:t>總計</w:t>
            </w:r>
          </w:p>
        </w:tc>
        <w:tc>
          <w:tcPr>
            <w:tcW w:w="1764"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645</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bCs/>
                <w:kern w:val="0"/>
                <w:sz w:val="28"/>
                <w:szCs w:val="24"/>
              </w:rPr>
            </w:pPr>
            <w:r w:rsidRPr="00FD7D6B">
              <w:rPr>
                <w:rFonts w:hAnsi="標楷體" w:cs="新細明體" w:hint="eastAsia"/>
                <w:b/>
                <w:bCs/>
                <w:kern w:val="0"/>
                <w:sz w:val="28"/>
                <w:szCs w:val="24"/>
              </w:rPr>
              <w:t>107</w:t>
            </w: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登革熱</w:t>
            </w:r>
          </w:p>
        </w:tc>
        <w:tc>
          <w:tcPr>
            <w:tcW w:w="1764"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350</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阿米巴性痢疾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171</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桿菌性痢疾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59</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急性病毒性Ａ型肝炎</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33</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 xml:space="preserve">　</w:t>
            </w: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傷寒</w:t>
            </w:r>
          </w:p>
        </w:tc>
        <w:tc>
          <w:tcPr>
            <w:tcW w:w="1764"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13</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 xml:space="preserve">　</w:t>
            </w:r>
          </w:p>
        </w:tc>
        <w:tc>
          <w:tcPr>
            <w:tcW w:w="2141" w:type="pct"/>
            <w:noWrap/>
            <w:hideMark/>
          </w:tcPr>
          <w:p w:rsidR="005523D0" w:rsidRPr="00FD7D6B" w:rsidRDefault="005523D0" w:rsidP="004D6F43">
            <w:pPr>
              <w:widowControl/>
              <w:overflowPunct/>
              <w:autoSpaceDE/>
              <w:autoSpaceDN/>
              <w:jc w:val="left"/>
              <w:rPr>
                <w:rFonts w:hAnsi="標楷體" w:cs="新細明體"/>
                <w:b/>
                <w:kern w:val="0"/>
                <w:sz w:val="28"/>
                <w:szCs w:val="24"/>
              </w:rPr>
            </w:pPr>
            <w:r w:rsidRPr="00FD7D6B">
              <w:rPr>
                <w:rFonts w:hAnsi="標楷體" w:cs="新細明體" w:hint="eastAsia"/>
                <w:b/>
                <w:kern w:val="0"/>
                <w:sz w:val="28"/>
                <w:szCs w:val="24"/>
              </w:rPr>
              <w:t>總計</w:t>
            </w:r>
          </w:p>
        </w:tc>
        <w:tc>
          <w:tcPr>
            <w:tcW w:w="1764"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626</w:t>
            </w:r>
          </w:p>
        </w:tc>
      </w:tr>
      <w:tr w:rsidR="00651306" w:rsidRPr="00FD7D6B" w:rsidTr="00C27525">
        <w:trPr>
          <w:trHeight w:val="375"/>
        </w:trPr>
        <w:tc>
          <w:tcPr>
            <w:tcW w:w="1095" w:type="pct"/>
            <w:noWrap/>
            <w:hideMark/>
          </w:tcPr>
          <w:p w:rsidR="005523D0" w:rsidRPr="00FD7D6B" w:rsidRDefault="005523D0" w:rsidP="00B00747">
            <w:pPr>
              <w:widowControl/>
              <w:overflowPunct/>
              <w:autoSpaceDE/>
              <w:autoSpaceDN/>
              <w:jc w:val="center"/>
              <w:rPr>
                <w:rFonts w:hAnsi="標楷體" w:cs="新細明體"/>
                <w:b/>
                <w:bCs/>
                <w:kern w:val="0"/>
                <w:sz w:val="28"/>
                <w:szCs w:val="28"/>
              </w:rPr>
            </w:pPr>
            <w:r w:rsidRPr="00FD7D6B">
              <w:rPr>
                <w:rFonts w:hAnsi="標楷體" w:cs="新細明體" w:hint="eastAsia"/>
                <w:b/>
                <w:bCs/>
                <w:kern w:val="0"/>
                <w:sz w:val="28"/>
                <w:szCs w:val="28"/>
              </w:rPr>
              <w:t>108</w:t>
            </w:r>
            <w:r w:rsidR="00B00747" w:rsidRPr="00FD7D6B">
              <w:rPr>
                <w:rFonts w:hAnsi="標楷體" w:cs="新細明體" w:hint="eastAsia"/>
                <w:b/>
                <w:bCs/>
                <w:kern w:val="0"/>
                <w:sz w:val="28"/>
                <w:szCs w:val="28"/>
              </w:rPr>
              <w:t>年1-6月</w:t>
            </w: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登革熱</w:t>
            </w:r>
          </w:p>
        </w:tc>
        <w:tc>
          <w:tcPr>
            <w:tcW w:w="1764"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227</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阿米巴性痢疾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94</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麻疹</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39</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kern w:val="0"/>
                <w:sz w:val="28"/>
                <w:szCs w:val="24"/>
              </w:rPr>
            </w:pP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桿菌性痢疾</w:t>
            </w:r>
          </w:p>
        </w:tc>
        <w:tc>
          <w:tcPr>
            <w:tcW w:w="1764" w:type="pct"/>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29</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 xml:space="preserve">　</w:t>
            </w:r>
          </w:p>
        </w:tc>
        <w:tc>
          <w:tcPr>
            <w:tcW w:w="2141" w:type="pct"/>
            <w:noWrap/>
            <w:hideMark/>
          </w:tcPr>
          <w:p w:rsidR="005523D0" w:rsidRPr="00FD7D6B" w:rsidRDefault="005523D0" w:rsidP="004D6F43">
            <w:pPr>
              <w:widowControl/>
              <w:overflowPunct/>
              <w:autoSpaceDE/>
              <w:autoSpaceDN/>
              <w:jc w:val="left"/>
              <w:rPr>
                <w:rFonts w:hAnsi="標楷體" w:cs="新細明體"/>
                <w:kern w:val="0"/>
                <w:sz w:val="28"/>
                <w:szCs w:val="24"/>
              </w:rPr>
            </w:pPr>
            <w:r w:rsidRPr="00FD7D6B">
              <w:rPr>
                <w:rFonts w:hAnsi="標楷體" w:cs="新細明體" w:hint="eastAsia"/>
                <w:kern w:val="0"/>
                <w:sz w:val="28"/>
                <w:szCs w:val="24"/>
              </w:rPr>
              <w:t>德國麻疹</w:t>
            </w:r>
          </w:p>
        </w:tc>
        <w:tc>
          <w:tcPr>
            <w:tcW w:w="1764"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t>16</w:t>
            </w:r>
          </w:p>
        </w:tc>
      </w:tr>
      <w:tr w:rsidR="00651306" w:rsidRPr="00FD7D6B" w:rsidTr="00C27525">
        <w:trPr>
          <w:trHeight w:val="375"/>
        </w:trPr>
        <w:tc>
          <w:tcPr>
            <w:tcW w:w="1095" w:type="pct"/>
            <w:noWrap/>
            <w:hideMark/>
          </w:tcPr>
          <w:p w:rsidR="005523D0" w:rsidRPr="00FD7D6B" w:rsidRDefault="005523D0" w:rsidP="004D6F43">
            <w:pPr>
              <w:widowControl/>
              <w:overflowPunct/>
              <w:autoSpaceDE/>
              <w:autoSpaceDN/>
              <w:jc w:val="center"/>
              <w:rPr>
                <w:rFonts w:hAnsi="標楷體" w:cs="新細明體"/>
                <w:kern w:val="0"/>
                <w:sz w:val="28"/>
                <w:szCs w:val="24"/>
              </w:rPr>
            </w:pPr>
            <w:r w:rsidRPr="00FD7D6B">
              <w:rPr>
                <w:rFonts w:hAnsi="標楷體" w:cs="新細明體" w:hint="eastAsia"/>
                <w:kern w:val="0"/>
                <w:sz w:val="28"/>
                <w:szCs w:val="24"/>
              </w:rPr>
              <w:lastRenderedPageBreak/>
              <w:t xml:space="preserve">　</w:t>
            </w:r>
          </w:p>
        </w:tc>
        <w:tc>
          <w:tcPr>
            <w:tcW w:w="2141" w:type="pct"/>
            <w:noWrap/>
            <w:hideMark/>
          </w:tcPr>
          <w:p w:rsidR="005523D0" w:rsidRPr="00FD7D6B" w:rsidRDefault="005523D0" w:rsidP="004D6F43">
            <w:pPr>
              <w:widowControl/>
              <w:overflowPunct/>
              <w:autoSpaceDE/>
              <w:autoSpaceDN/>
              <w:jc w:val="left"/>
              <w:rPr>
                <w:rFonts w:hAnsi="標楷體" w:cs="新細明體"/>
                <w:b/>
                <w:kern w:val="0"/>
                <w:sz w:val="28"/>
                <w:szCs w:val="24"/>
              </w:rPr>
            </w:pPr>
            <w:r w:rsidRPr="00FD7D6B">
              <w:rPr>
                <w:rFonts w:hAnsi="標楷體" w:cs="新細明體" w:hint="eastAsia"/>
                <w:b/>
                <w:kern w:val="0"/>
                <w:sz w:val="28"/>
                <w:szCs w:val="24"/>
              </w:rPr>
              <w:t>總計</w:t>
            </w:r>
          </w:p>
        </w:tc>
        <w:tc>
          <w:tcPr>
            <w:tcW w:w="1764" w:type="pct"/>
            <w:noWrap/>
            <w:hideMark/>
          </w:tcPr>
          <w:p w:rsidR="005523D0" w:rsidRPr="00FD7D6B" w:rsidRDefault="005523D0" w:rsidP="004D6F43">
            <w:pPr>
              <w:widowControl/>
              <w:overflowPunct/>
              <w:autoSpaceDE/>
              <w:autoSpaceDN/>
              <w:jc w:val="center"/>
              <w:rPr>
                <w:rFonts w:hAnsi="標楷體" w:cs="新細明體"/>
                <w:b/>
                <w:kern w:val="0"/>
                <w:sz w:val="28"/>
                <w:szCs w:val="24"/>
              </w:rPr>
            </w:pPr>
            <w:r w:rsidRPr="00FD7D6B">
              <w:rPr>
                <w:rFonts w:hAnsi="標楷體" w:cs="新細明體" w:hint="eastAsia"/>
                <w:b/>
                <w:kern w:val="0"/>
                <w:sz w:val="28"/>
                <w:szCs w:val="24"/>
              </w:rPr>
              <w:t>405</w:t>
            </w:r>
          </w:p>
        </w:tc>
      </w:tr>
    </w:tbl>
    <w:p w:rsidR="00FF0AFE" w:rsidRPr="00FD7D6B" w:rsidRDefault="00FF0AFE" w:rsidP="00FF0AFE">
      <w:pPr>
        <w:spacing w:line="240" w:lineRule="exact"/>
        <w:ind w:firstLineChars="163" w:firstLine="424"/>
        <w:rPr>
          <w:sz w:val="24"/>
          <w:szCs w:val="24"/>
        </w:rPr>
      </w:pPr>
      <w:r w:rsidRPr="00FD7D6B">
        <w:rPr>
          <w:rFonts w:hint="eastAsia"/>
          <w:sz w:val="24"/>
          <w:szCs w:val="24"/>
        </w:rPr>
        <w:t xml:space="preserve">   備註:</w:t>
      </w:r>
      <w:r w:rsidRPr="00FD7D6B">
        <w:rPr>
          <w:rFonts w:hint="eastAsia"/>
        </w:rPr>
        <w:t xml:space="preserve"> </w:t>
      </w:r>
      <w:r w:rsidRPr="00FD7D6B">
        <w:rPr>
          <w:rFonts w:hint="eastAsia"/>
          <w:sz w:val="24"/>
          <w:szCs w:val="24"/>
        </w:rPr>
        <w:t>境外移入係指個案經調查曾在本地區以外感染的病例，</w:t>
      </w:r>
      <w:r w:rsidRPr="00FD7D6B">
        <w:rPr>
          <w:sz w:val="24"/>
          <w:szCs w:val="24"/>
        </w:rPr>
        <w:br/>
      </w:r>
      <w:r w:rsidRPr="00FD7D6B">
        <w:rPr>
          <w:rFonts w:hint="eastAsia"/>
          <w:sz w:val="24"/>
          <w:szCs w:val="24"/>
        </w:rPr>
        <w:t xml:space="preserve">             進而於本地區發病。</w:t>
      </w:r>
    </w:p>
    <w:p w:rsidR="005523D0" w:rsidRPr="00FD7D6B" w:rsidRDefault="00FF0AFE" w:rsidP="00C27525">
      <w:pPr>
        <w:ind w:firstLineChars="163" w:firstLine="424"/>
        <w:rPr>
          <w:sz w:val="24"/>
          <w:szCs w:val="24"/>
        </w:rPr>
      </w:pPr>
      <w:r w:rsidRPr="00FD7D6B">
        <w:rPr>
          <w:rFonts w:hint="eastAsia"/>
          <w:sz w:val="24"/>
          <w:szCs w:val="24"/>
        </w:rPr>
        <w:t xml:space="preserve">   </w:t>
      </w:r>
      <w:r w:rsidR="00B00747" w:rsidRPr="00FD7D6B">
        <w:rPr>
          <w:rFonts w:hint="eastAsia"/>
          <w:sz w:val="24"/>
          <w:szCs w:val="24"/>
        </w:rPr>
        <w:t>資料來源:疾管署</w:t>
      </w:r>
    </w:p>
    <w:p w:rsidR="003A602A" w:rsidRPr="00FD7D6B" w:rsidRDefault="00984D4D" w:rsidP="003E508C">
      <w:pPr>
        <w:pStyle w:val="3"/>
      </w:pPr>
      <w:r w:rsidRPr="00FD7D6B">
        <w:rPr>
          <w:rFonts w:hAnsi="標楷體" w:hint="eastAsia"/>
        </w:rPr>
        <w:t>審諸上情，</w:t>
      </w:r>
      <w:r w:rsidRPr="00FD7D6B">
        <w:rPr>
          <w:rFonts w:hint="eastAsia"/>
        </w:rPr>
        <w:t>近期境外移入傳染病案例數明顯增加，尤其108年上半年案例數達前一年度之六成以上，且「麻疹」及「德國麻疹」於108年上半年突然耀升為前5大傳染病行列，主要原因係東南亞及中國大陸疫情傳入所致，顯見</w:t>
      </w:r>
      <w:r w:rsidR="003E508C" w:rsidRPr="00FD7D6B">
        <w:rPr>
          <w:rFonts w:hint="eastAsia"/>
        </w:rPr>
        <w:t>疾管署目前僅藉由國際衛生條例「公衛事件資訊網站（Event Information Site）」及自行連結至世界衛生組織與全球各相關國家以瞭解疫情之機制，難以主動發掘各國傳染病疫情狀況，尤其是互動交流頻繁之鄰近國家，且僅與中國大陸及馬來西亞建立傳染病資料交換管道，其中與馬來西亞所建立之交換系統又僅限於「登革熱」及「腸病毒」2項傳染病，</w:t>
      </w:r>
      <w:r w:rsidR="003A602A" w:rsidRPr="00FD7D6B">
        <w:rPr>
          <w:rFonts w:hint="eastAsia"/>
        </w:rPr>
        <w:t>足見</w:t>
      </w:r>
      <w:r w:rsidR="003E508C" w:rsidRPr="00FD7D6B">
        <w:rPr>
          <w:rFonts w:hint="eastAsia"/>
        </w:rPr>
        <w:t>疾管署對於區域國際傳染病疫情之掌握機制，被動且準備不足，</w:t>
      </w:r>
      <w:r w:rsidR="003A602A" w:rsidRPr="00FD7D6B">
        <w:rPr>
          <w:rFonts w:hint="eastAsia"/>
        </w:rPr>
        <w:t>且未能同時與政府新南向策略一併整合，難以有效預防及評估境外傳染病移入，核有欠當</w:t>
      </w:r>
      <w:r w:rsidR="00B64D3F" w:rsidRPr="00FD7D6B">
        <w:rPr>
          <w:rFonts w:hint="eastAsia"/>
        </w:rPr>
        <w:t>。</w:t>
      </w:r>
      <w:r w:rsidR="003A602A" w:rsidRPr="00FD7D6B">
        <w:rPr>
          <w:rFonts w:hint="eastAsia"/>
        </w:rPr>
        <w:t>另既然我國已互設IHR聯繫窗口，除可登入系統瞭解國際疫情外，</w:t>
      </w:r>
      <w:r w:rsidR="003770A0" w:rsidRPr="00FD7D6B">
        <w:rPr>
          <w:rFonts w:hint="eastAsia"/>
        </w:rPr>
        <w:t>有</w:t>
      </w:r>
      <w:r w:rsidR="003A602A" w:rsidRPr="00FD7D6B">
        <w:rPr>
          <w:rFonts w:hint="eastAsia"/>
        </w:rPr>
        <w:t>否也主動登錄上傳通報我國疫情訊息，以達積極雙向互動</w:t>
      </w:r>
      <w:r w:rsidR="003770A0" w:rsidRPr="00FD7D6B">
        <w:rPr>
          <w:rFonts w:hint="eastAsia"/>
        </w:rPr>
        <w:t>；</w:t>
      </w:r>
      <w:r w:rsidR="003A602A" w:rsidRPr="00FD7D6B">
        <w:rPr>
          <w:rFonts w:hint="eastAsia"/>
        </w:rPr>
        <w:t>以及</w:t>
      </w:r>
      <w:r w:rsidR="003770A0" w:rsidRPr="00FD7D6B">
        <w:rPr>
          <w:rFonts w:hint="eastAsia"/>
        </w:rPr>
        <w:t>關於</w:t>
      </w:r>
      <w:r w:rsidR="00B64D3F" w:rsidRPr="00FD7D6B">
        <w:rPr>
          <w:rFonts w:hint="eastAsia"/>
        </w:rPr>
        <w:t>境外移入傳染病所造成之社會經濟損失評估等，</w:t>
      </w:r>
      <w:r w:rsidR="003A602A" w:rsidRPr="00FD7D6B">
        <w:rPr>
          <w:rFonts w:hint="eastAsia"/>
        </w:rPr>
        <w:t>亦</w:t>
      </w:r>
      <w:r w:rsidR="00887BBF" w:rsidRPr="00FD7D6B">
        <w:rPr>
          <w:rFonts w:hint="eastAsia"/>
        </w:rPr>
        <w:t>有待</w:t>
      </w:r>
      <w:r w:rsidR="003A602A" w:rsidRPr="00FD7D6B">
        <w:rPr>
          <w:rFonts w:hint="eastAsia"/>
        </w:rPr>
        <w:t>疾管署檢討精進。</w:t>
      </w:r>
    </w:p>
    <w:p w:rsidR="003770A0" w:rsidRPr="00FD7D6B" w:rsidRDefault="003770A0" w:rsidP="003770A0">
      <w:pPr>
        <w:pStyle w:val="2"/>
        <w:rPr>
          <w:b/>
        </w:rPr>
      </w:pPr>
      <w:r w:rsidRPr="00FD7D6B">
        <w:rPr>
          <w:rFonts w:hint="eastAsia"/>
          <w:b/>
        </w:rPr>
        <w:t>每年超過32萬外籍人士赴臺就業、就學或居留，惟疾管署對其入境前需於來源國完成之健康檢查項目過於簡單，結果僅以「合格」及「不合格」表示，欠缺相關傳染病史或其他檢疫項目要求，難以明確掌握其健康狀況，該署宜參照美國、加拿大、澳洲等先進國家關於健檢項目及表格設計，尤其是關於永久居留者之健康條件要求，以求精進；且內政部、教育部及勞</w:t>
      </w:r>
      <w:r w:rsidRPr="00FD7D6B">
        <w:rPr>
          <w:rFonts w:hint="eastAsia"/>
          <w:b/>
        </w:rPr>
        <w:lastRenderedPageBreak/>
        <w:t>動部對於其於入境前之健康檢查資料未能整合建檔管理，疾管署宜建立轉介系統以統整及應用，藉以掌握各國傳染病疫情狀況，使健檢及審議作業發揮更大效益；另有關因在來源國所辦理之健檢不合格致無法申請入臺簽證者，疾管署允宜同等重視該等資料，分析其原因進而加以運用，以健全健檢作業設計及強化傳染病防治。</w:t>
      </w:r>
    </w:p>
    <w:p w:rsidR="00984D4D" w:rsidRPr="00FD7D6B" w:rsidRDefault="00984D4D" w:rsidP="00984D4D">
      <w:pPr>
        <w:pStyle w:val="3"/>
        <w:numPr>
          <w:ilvl w:val="2"/>
          <w:numId w:val="1"/>
        </w:numPr>
      </w:pPr>
      <w:r w:rsidRPr="00FD7D6B">
        <w:rPr>
          <w:rFonts w:hint="eastAsia"/>
        </w:rPr>
        <w:t>按傳染病防治法第2條及第6條規定，該法中央主管機關為衛福部，另內政部、外交部、教育部及勞動部等中央各目的事業主管機關應配合及協助辦理之相關傳染病防治事項如下：</w:t>
      </w:r>
    </w:p>
    <w:p w:rsidR="00984D4D" w:rsidRPr="00FD7D6B" w:rsidRDefault="00984D4D" w:rsidP="00984D4D">
      <w:pPr>
        <w:pStyle w:val="4"/>
        <w:numPr>
          <w:ilvl w:val="3"/>
          <w:numId w:val="1"/>
        </w:numPr>
      </w:pPr>
      <w:r w:rsidRPr="00FD7D6B">
        <w:rPr>
          <w:rFonts w:hint="eastAsia"/>
        </w:rPr>
        <w:t>內政主管機關：入出國（境）管制、協助督導地方政府辦理居家隔離民眾之服務等事項。</w:t>
      </w:r>
    </w:p>
    <w:p w:rsidR="00984D4D" w:rsidRPr="00FD7D6B" w:rsidRDefault="00984D4D" w:rsidP="00984D4D">
      <w:pPr>
        <w:pStyle w:val="4"/>
        <w:numPr>
          <w:ilvl w:val="3"/>
          <w:numId w:val="1"/>
        </w:numPr>
      </w:pPr>
      <w:r w:rsidRPr="00FD7D6B">
        <w:rPr>
          <w:rFonts w:hint="eastAsia"/>
        </w:rPr>
        <w:t>外交主管機關：與相關外國政府及國際組織聯繫、持外國護照者之簽證等事項。</w:t>
      </w:r>
    </w:p>
    <w:p w:rsidR="00984D4D" w:rsidRPr="00FD7D6B" w:rsidRDefault="00984D4D" w:rsidP="00984D4D">
      <w:pPr>
        <w:pStyle w:val="4"/>
        <w:numPr>
          <w:ilvl w:val="3"/>
          <w:numId w:val="1"/>
        </w:numPr>
      </w:pPr>
      <w:r w:rsidRPr="00FD7D6B">
        <w:rPr>
          <w:rFonts w:hint="eastAsia"/>
        </w:rPr>
        <w:t>教育主管機關：學生及教職員工之宣導教育及傳染病監控防治等事項。</w:t>
      </w:r>
    </w:p>
    <w:p w:rsidR="00984D4D" w:rsidRPr="00FD7D6B" w:rsidRDefault="00984D4D" w:rsidP="00984D4D">
      <w:pPr>
        <w:pStyle w:val="4"/>
        <w:numPr>
          <w:ilvl w:val="3"/>
          <w:numId w:val="1"/>
        </w:numPr>
      </w:pPr>
      <w:r w:rsidRPr="00FD7D6B">
        <w:rPr>
          <w:rFonts w:hint="eastAsia"/>
        </w:rPr>
        <w:t>勞動主管機關：勞動安全衛生及工作權保障等事項。</w:t>
      </w:r>
    </w:p>
    <w:p w:rsidR="00984D4D" w:rsidRPr="00FD7D6B" w:rsidRDefault="00984D4D" w:rsidP="00984D4D">
      <w:pPr>
        <w:pStyle w:val="3"/>
        <w:numPr>
          <w:ilvl w:val="2"/>
          <w:numId w:val="1"/>
        </w:numPr>
      </w:pPr>
      <w:r w:rsidRPr="00FD7D6B">
        <w:rPr>
          <w:rFonts w:hint="eastAsia"/>
        </w:rPr>
        <w:t>關於</w:t>
      </w:r>
      <w:r w:rsidR="00FF228D" w:rsidRPr="00FD7D6B">
        <w:rPr>
          <w:rFonts w:hint="eastAsia"/>
        </w:rPr>
        <w:t>103年至107年</w:t>
      </w:r>
      <w:r w:rsidRPr="00FD7D6B">
        <w:rPr>
          <w:rFonts w:hint="eastAsia"/>
        </w:rPr>
        <w:t>外國人士入境人次統計及成長率，依內政部移民署統計資料，</w:t>
      </w:r>
      <w:r w:rsidR="00741A0B" w:rsidRPr="00FD7D6B">
        <w:rPr>
          <w:rFonts w:hint="eastAsia"/>
        </w:rPr>
        <w:t xml:space="preserve"> 103年來臺991.0萬人次，</w:t>
      </w:r>
      <w:r w:rsidR="00FF228D" w:rsidRPr="00FD7D6B">
        <w:rPr>
          <w:rFonts w:hint="eastAsia"/>
        </w:rPr>
        <w:t>104年來臺1,043.9萬人次(+5.34%)、105年來臺1,069.0萬人次(+2.40%)、106年來臺1,073.9萬人次(+0.46%)、107年來臺1,106.6萬人次(+3.05%)</w:t>
      </w:r>
      <w:r w:rsidRPr="00FD7D6B">
        <w:rPr>
          <w:rFonts w:hint="eastAsia"/>
        </w:rPr>
        <w:t>，依年度、來源地區(國家)統計如表1所示。</w:t>
      </w:r>
    </w:p>
    <w:p w:rsidR="00984D4D" w:rsidRPr="00FD7D6B" w:rsidRDefault="00984D4D" w:rsidP="00984D4D">
      <w:pPr>
        <w:pStyle w:val="3"/>
        <w:numPr>
          <w:ilvl w:val="0"/>
          <w:numId w:val="0"/>
        </w:numPr>
        <w:ind w:left="1361" w:firstLineChars="213" w:firstLine="725"/>
      </w:pPr>
      <w:r w:rsidRPr="00FD7D6B">
        <w:rPr>
          <w:rFonts w:hint="eastAsia"/>
        </w:rPr>
        <w:t>由上開資料得知，近來入境外國人數逐年增加，至10</w:t>
      </w:r>
      <w:r w:rsidR="00F56F5B" w:rsidRPr="00FD7D6B">
        <w:rPr>
          <w:rFonts w:hint="eastAsia"/>
        </w:rPr>
        <w:t>7</w:t>
      </w:r>
      <w:r w:rsidRPr="00FD7D6B">
        <w:rPr>
          <w:rFonts w:hint="eastAsia"/>
        </w:rPr>
        <w:t>年已達</w:t>
      </w:r>
      <w:r w:rsidR="00F56F5B" w:rsidRPr="00FD7D6B">
        <w:rPr>
          <w:rFonts w:hint="eastAsia"/>
        </w:rPr>
        <w:t>1,106.6萬</w:t>
      </w:r>
      <w:r w:rsidRPr="00FD7D6B">
        <w:rPr>
          <w:rFonts w:hint="eastAsia"/>
        </w:rPr>
        <w:t>人次</w:t>
      </w:r>
      <w:r w:rsidR="00F56F5B" w:rsidRPr="00FD7D6B">
        <w:rPr>
          <w:rFonts w:hint="eastAsia"/>
        </w:rPr>
        <w:t>。另以該年度為例分析來源地區，發現以亞洲地區人數最多</w:t>
      </w:r>
      <w:r w:rsidRPr="00FD7D6B">
        <w:rPr>
          <w:rFonts w:hint="eastAsia"/>
        </w:rPr>
        <w:t>；</w:t>
      </w:r>
      <w:r w:rsidR="00F56F5B" w:rsidRPr="00FD7D6B">
        <w:rPr>
          <w:rFonts w:hint="eastAsia"/>
        </w:rPr>
        <w:t>再細究來源國家，前五名分別為中國大陸269萬餘人次、日</w:t>
      </w:r>
      <w:r w:rsidR="00F56F5B" w:rsidRPr="00FD7D6B">
        <w:rPr>
          <w:rFonts w:hint="eastAsia"/>
        </w:rPr>
        <w:lastRenderedPageBreak/>
        <w:t>本196萬餘人次、香港澳門165萬餘人次、韓國101萬餘人次、美國58萬餘人次。</w:t>
      </w:r>
      <w:r w:rsidRPr="00FD7D6B">
        <w:rPr>
          <w:rFonts w:hint="eastAsia"/>
        </w:rPr>
        <w:t>另東南亞地區(馬來西亞、新加坡、印尼、菲律賓、泰國、越南及東南亞其他地區)</w:t>
      </w:r>
      <w:r w:rsidR="00F56F5B" w:rsidRPr="00FD7D6B">
        <w:t>占來台人數比率達21.89%，</w:t>
      </w:r>
      <w:r w:rsidR="00F56F5B" w:rsidRPr="00FD7D6B">
        <w:rPr>
          <w:rFonts w:hint="eastAsia"/>
        </w:rPr>
        <w:t>歷年皆</w:t>
      </w:r>
      <w:r w:rsidR="00F56F5B" w:rsidRPr="00FD7D6B">
        <w:t>呈現增加趨勢</w:t>
      </w:r>
      <w:r w:rsidR="00F56F5B" w:rsidRPr="00FD7D6B">
        <w:rPr>
          <w:rFonts w:hint="eastAsia"/>
        </w:rPr>
        <w:t>，又，其中以馬來西亞最多(526,129人次)、越南次之(490,774人次)、新加坡再次之(427,222人次)。</w:t>
      </w:r>
    </w:p>
    <w:p w:rsidR="00984D4D" w:rsidRPr="00FD7D6B" w:rsidRDefault="00984D4D" w:rsidP="00984D4D">
      <w:pPr>
        <w:pStyle w:val="3"/>
        <w:numPr>
          <w:ilvl w:val="2"/>
          <w:numId w:val="1"/>
        </w:numPr>
      </w:pPr>
      <w:r w:rsidRPr="00FD7D6B">
        <w:rPr>
          <w:rFonts w:hint="eastAsia"/>
        </w:rPr>
        <w:t>有關入境人士之健康風險管理，疾管署依據各部會受理來臺外國人士簽證、定居、居留或工作證之權管法規，公告各式健康檢查表單</w:t>
      </w:r>
      <w:r w:rsidR="00F56F5B" w:rsidRPr="00FD7D6B">
        <w:rPr>
          <w:rFonts w:hint="eastAsia"/>
        </w:rPr>
        <w:t>，</w:t>
      </w:r>
      <w:r w:rsidR="00F56F5B" w:rsidRPr="00FD7D6B">
        <w:rPr>
          <w:rFonts w:hAnsi="標楷體" w:hint="eastAsia"/>
          <w:szCs w:val="28"/>
        </w:rPr>
        <w:t>外籍勞工健康檢查項目表（附件一）、外國語文教師健康檢查項目表（附件二）、</w:t>
      </w:r>
      <w:r w:rsidR="00F56F5B" w:rsidRPr="00FD7D6B">
        <w:rPr>
          <w:rFonts w:hAnsi="標楷體"/>
          <w:szCs w:val="28"/>
        </w:rPr>
        <w:t>居留或定居健康檢查項目</w:t>
      </w:r>
      <w:r w:rsidR="00F56F5B" w:rsidRPr="00FD7D6B">
        <w:rPr>
          <w:rFonts w:hAnsi="標楷體" w:hint="eastAsia"/>
          <w:szCs w:val="28"/>
        </w:rPr>
        <w:t>（附件三）及短期研修健康檢查項目表（附件四</w:t>
      </w:r>
      <w:r w:rsidR="00F56F5B" w:rsidRPr="00FD7D6B">
        <w:rPr>
          <w:rFonts w:hAnsi="標楷體"/>
          <w:szCs w:val="28"/>
        </w:rPr>
        <w:t>）</w:t>
      </w:r>
      <w:r w:rsidRPr="00FD7D6B">
        <w:rPr>
          <w:rFonts w:hint="eastAsia"/>
        </w:rPr>
        <w:t>，國內外醫院必須依據表單格式辦理外國人健康檢查作業，外交部於受理外籍人士申請來臺「居留簽證」時，會查驗最近3個月內由衛福部指定之外籍人士體檢國內醫院或國外醫院出具（須經駐外館處驗證）之健康檢查合格證明。查疾管署公告之各式健康檢查表單，對於各類別入境者之健康檢查項目明列如下，其各檢查項目之結果，主要係以「合格」及「不合格」表示，並未有相關傳染病史或其他檢疫項目設計，顯見健康檢查項目設計過於簡單，難以明確掌握其健康狀況</w:t>
      </w:r>
      <w:r w:rsidR="00F87245" w:rsidRPr="00FD7D6B">
        <w:rPr>
          <w:rFonts w:hint="eastAsia"/>
        </w:rPr>
        <w:t>，疾管署宜參照美國、加拿大、澳洲等先進國家關於健檢項目及表格設計，尤其是</w:t>
      </w:r>
      <w:r w:rsidR="000E42F2" w:rsidRPr="00FD7D6B">
        <w:rPr>
          <w:rFonts w:hint="eastAsia"/>
        </w:rPr>
        <w:t>關於</w:t>
      </w:r>
      <w:r w:rsidR="00F87245" w:rsidRPr="00FD7D6B">
        <w:rPr>
          <w:rFonts w:hint="eastAsia"/>
        </w:rPr>
        <w:t>永久居留者</w:t>
      </w:r>
      <w:r w:rsidR="000E42F2" w:rsidRPr="00FD7D6B">
        <w:rPr>
          <w:rFonts w:hint="eastAsia"/>
        </w:rPr>
        <w:t>之健康條件要求</w:t>
      </w:r>
      <w:r w:rsidR="00F87245" w:rsidRPr="00FD7D6B">
        <w:rPr>
          <w:rFonts w:hint="eastAsia"/>
        </w:rPr>
        <w:t>，以求精進</w:t>
      </w:r>
      <w:r w:rsidRPr="00FD7D6B">
        <w:rPr>
          <w:rFonts w:hint="eastAsia"/>
        </w:rPr>
        <w:t>。</w:t>
      </w:r>
    </w:p>
    <w:p w:rsidR="00984D4D" w:rsidRPr="00FD7D6B" w:rsidRDefault="00984D4D" w:rsidP="00984D4D">
      <w:pPr>
        <w:pStyle w:val="4"/>
        <w:numPr>
          <w:ilvl w:val="3"/>
          <w:numId w:val="1"/>
        </w:numPr>
        <w:rPr>
          <w:bCs/>
        </w:rPr>
      </w:pPr>
      <w:r w:rsidRPr="00FD7D6B">
        <w:rPr>
          <w:rFonts w:hint="eastAsia"/>
          <w:bCs/>
        </w:rPr>
        <w:t xml:space="preserve">外籍勞工健康檢查項目 </w:t>
      </w:r>
    </w:p>
    <w:p w:rsidR="00984D4D" w:rsidRPr="00FD7D6B" w:rsidRDefault="00984D4D" w:rsidP="00984D4D">
      <w:pPr>
        <w:pStyle w:val="5"/>
        <w:numPr>
          <w:ilvl w:val="4"/>
          <w:numId w:val="1"/>
        </w:numPr>
        <w:ind w:left="2127"/>
      </w:pPr>
      <w:r w:rsidRPr="00FD7D6B">
        <w:rPr>
          <w:rFonts w:hint="eastAsia"/>
        </w:rPr>
        <w:t>胸部X光肺結核檢查</w:t>
      </w:r>
    </w:p>
    <w:p w:rsidR="00984D4D" w:rsidRPr="00FD7D6B" w:rsidRDefault="00984D4D" w:rsidP="00984D4D">
      <w:pPr>
        <w:pStyle w:val="5"/>
        <w:numPr>
          <w:ilvl w:val="4"/>
          <w:numId w:val="1"/>
        </w:numPr>
        <w:ind w:left="2127"/>
      </w:pPr>
      <w:r w:rsidRPr="00FD7D6B">
        <w:rPr>
          <w:rFonts w:hint="eastAsia"/>
        </w:rPr>
        <w:t>梅毒血清檢查</w:t>
      </w:r>
    </w:p>
    <w:p w:rsidR="00984D4D" w:rsidRPr="00FD7D6B" w:rsidRDefault="00984D4D" w:rsidP="00984D4D">
      <w:pPr>
        <w:pStyle w:val="5"/>
        <w:numPr>
          <w:ilvl w:val="4"/>
          <w:numId w:val="1"/>
        </w:numPr>
        <w:ind w:left="2127"/>
      </w:pPr>
      <w:r w:rsidRPr="00FD7D6B">
        <w:rPr>
          <w:rFonts w:hint="eastAsia"/>
        </w:rPr>
        <w:t>腸內寄生蟲糞便檢查</w:t>
      </w:r>
    </w:p>
    <w:p w:rsidR="00984D4D" w:rsidRPr="00FD7D6B" w:rsidRDefault="00984D4D" w:rsidP="00984D4D">
      <w:pPr>
        <w:pStyle w:val="5"/>
        <w:numPr>
          <w:ilvl w:val="4"/>
          <w:numId w:val="1"/>
        </w:numPr>
        <w:ind w:left="2127"/>
      </w:pPr>
      <w:r w:rsidRPr="00FD7D6B">
        <w:rPr>
          <w:rFonts w:hint="eastAsia"/>
        </w:rPr>
        <w:t>麻疹及德國麻疹之抗體陽性檢驗報告或預防</w:t>
      </w:r>
      <w:r w:rsidRPr="00FD7D6B">
        <w:rPr>
          <w:rFonts w:hint="eastAsia"/>
        </w:rPr>
        <w:lastRenderedPageBreak/>
        <w:t>接種證明</w:t>
      </w:r>
    </w:p>
    <w:p w:rsidR="00984D4D" w:rsidRPr="00FD7D6B" w:rsidRDefault="00984D4D" w:rsidP="00984D4D">
      <w:pPr>
        <w:pStyle w:val="5"/>
        <w:numPr>
          <w:ilvl w:val="4"/>
          <w:numId w:val="1"/>
        </w:numPr>
        <w:ind w:left="2127"/>
      </w:pPr>
      <w:r w:rsidRPr="00FD7D6B">
        <w:rPr>
          <w:rFonts w:hint="eastAsia"/>
        </w:rPr>
        <w:t>漢生病檢查</w:t>
      </w:r>
    </w:p>
    <w:p w:rsidR="00984D4D" w:rsidRPr="00FD7D6B" w:rsidRDefault="00984D4D" w:rsidP="00984D4D">
      <w:pPr>
        <w:pStyle w:val="4"/>
        <w:numPr>
          <w:ilvl w:val="3"/>
          <w:numId w:val="1"/>
        </w:numPr>
      </w:pPr>
      <w:r w:rsidRPr="00FD7D6B">
        <w:rPr>
          <w:rFonts w:hint="eastAsia"/>
        </w:rPr>
        <w:t>外國語文教師健康檢查項目</w:t>
      </w:r>
    </w:p>
    <w:p w:rsidR="00984D4D" w:rsidRPr="00FD7D6B" w:rsidRDefault="00984D4D" w:rsidP="00984D4D">
      <w:pPr>
        <w:pStyle w:val="5"/>
        <w:numPr>
          <w:ilvl w:val="4"/>
          <w:numId w:val="1"/>
        </w:numPr>
        <w:ind w:left="2127"/>
      </w:pPr>
      <w:r w:rsidRPr="00FD7D6B">
        <w:rPr>
          <w:rFonts w:hint="eastAsia"/>
        </w:rPr>
        <w:t>胸部X光肺結核檢查</w:t>
      </w:r>
    </w:p>
    <w:p w:rsidR="00984D4D" w:rsidRPr="00FD7D6B" w:rsidRDefault="00984D4D" w:rsidP="00984D4D">
      <w:pPr>
        <w:pStyle w:val="5"/>
        <w:numPr>
          <w:ilvl w:val="4"/>
          <w:numId w:val="1"/>
        </w:numPr>
        <w:ind w:left="2127"/>
      </w:pPr>
      <w:r w:rsidRPr="00FD7D6B">
        <w:rPr>
          <w:rFonts w:hint="eastAsia"/>
        </w:rPr>
        <w:t>梅毒血清檢查</w:t>
      </w:r>
    </w:p>
    <w:p w:rsidR="00984D4D" w:rsidRPr="00FD7D6B" w:rsidRDefault="00984D4D" w:rsidP="00984D4D">
      <w:pPr>
        <w:pStyle w:val="5"/>
        <w:numPr>
          <w:ilvl w:val="4"/>
          <w:numId w:val="1"/>
        </w:numPr>
        <w:ind w:left="2127"/>
      </w:pPr>
      <w:r w:rsidRPr="00FD7D6B">
        <w:rPr>
          <w:rFonts w:hint="eastAsia"/>
        </w:rPr>
        <w:t>麻疹及德國麻疹之抗體陽性檢驗報告或預防接種證明</w:t>
      </w:r>
    </w:p>
    <w:p w:rsidR="00984D4D" w:rsidRPr="00FD7D6B" w:rsidRDefault="00984D4D" w:rsidP="00984D4D">
      <w:pPr>
        <w:pStyle w:val="4"/>
        <w:numPr>
          <w:ilvl w:val="3"/>
          <w:numId w:val="1"/>
        </w:numPr>
      </w:pPr>
      <w:r w:rsidRPr="00FD7D6B">
        <w:rPr>
          <w:rFonts w:hint="eastAsia"/>
        </w:rPr>
        <w:t>居留或定居健康檢查</w:t>
      </w:r>
    </w:p>
    <w:p w:rsidR="00984D4D" w:rsidRPr="00FD7D6B" w:rsidRDefault="00984D4D" w:rsidP="00984D4D">
      <w:pPr>
        <w:pStyle w:val="5"/>
        <w:numPr>
          <w:ilvl w:val="4"/>
          <w:numId w:val="1"/>
        </w:numPr>
        <w:ind w:left="2127"/>
      </w:pPr>
      <w:r w:rsidRPr="00FD7D6B">
        <w:rPr>
          <w:rFonts w:hint="eastAsia"/>
        </w:rPr>
        <w:t>胸部X光肺結核檢查</w:t>
      </w:r>
    </w:p>
    <w:p w:rsidR="00984D4D" w:rsidRPr="00FD7D6B" w:rsidRDefault="00984D4D" w:rsidP="00984D4D">
      <w:pPr>
        <w:pStyle w:val="5"/>
        <w:numPr>
          <w:ilvl w:val="4"/>
          <w:numId w:val="1"/>
        </w:numPr>
        <w:ind w:left="2127"/>
      </w:pPr>
      <w:r w:rsidRPr="00FD7D6B">
        <w:rPr>
          <w:rFonts w:hint="eastAsia"/>
        </w:rPr>
        <w:t>梅毒血清檢查</w:t>
      </w:r>
    </w:p>
    <w:p w:rsidR="00984D4D" w:rsidRPr="00FD7D6B" w:rsidRDefault="00984D4D" w:rsidP="00984D4D">
      <w:pPr>
        <w:pStyle w:val="5"/>
        <w:numPr>
          <w:ilvl w:val="4"/>
          <w:numId w:val="1"/>
        </w:numPr>
        <w:ind w:left="2127"/>
      </w:pPr>
      <w:r w:rsidRPr="00FD7D6B">
        <w:rPr>
          <w:rFonts w:hint="eastAsia"/>
        </w:rPr>
        <w:t>腸內寄生蟲糞便檢查</w:t>
      </w:r>
    </w:p>
    <w:p w:rsidR="00984D4D" w:rsidRPr="00FD7D6B" w:rsidRDefault="00984D4D" w:rsidP="00984D4D">
      <w:pPr>
        <w:pStyle w:val="5"/>
        <w:numPr>
          <w:ilvl w:val="4"/>
          <w:numId w:val="1"/>
        </w:numPr>
        <w:ind w:left="2127"/>
      </w:pPr>
      <w:r w:rsidRPr="00FD7D6B">
        <w:rPr>
          <w:rFonts w:hint="eastAsia"/>
        </w:rPr>
        <w:t>麻疹及德國麻疹之抗體陽性檢驗報告或預防接種證明</w:t>
      </w:r>
    </w:p>
    <w:p w:rsidR="00984D4D" w:rsidRPr="00FD7D6B" w:rsidRDefault="00984D4D" w:rsidP="00984D4D">
      <w:pPr>
        <w:pStyle w:val="5"/>
        <w:numPr>
          <w:ilvl w:val="4"/>
          <w:numId w:val="1"/>
        </w:numPr>
        <w:ind w:left="2127"/>
      </w:pPr>
      <w:r w:rsidRPr="00FD7D6B">
        <w:rPr>
          <w:rFonts w:hint="eastAsia"/>
        </w:rPr>
        <w:t>漢生病檢查</w:t>
      </w:r>
    </w:p>
    <w:p w:rsidR="00A56B1D" w:rsidRPr="00FD7D6B" w:rsidRDefault="00B00747" w:rsidP="00A56B1D">
      <w:pPr>
        <w:pStyle w:val="3"/>
      </w:pPr>
      <w:r w:rsidRPr="00FD7D6B">
        <w:rPr>
          <w:rFonts w:hint="eastAsia"/>
        </w:rPr>
        <w:t>復據</w:t>
      </w:r>
      <w:r w:rsidR="00984D4D" w:rsidRPr="00FD7D6B">
        <w:rPr>
          <w:rFonts w:hint="eastAsia"/>
        </w:rPr>
        <w:t>疾管署查復，</w:t>
      </w:r>
      <w:r w:rsidRPr="00FD7D6B">
        <w:rPr>
          <w:rFonts w:hint="eastAsia"/>
        </w:rPr>
        <w:t>103年至107年止</w:t>
      </w:r>
      <w:r w:rsidR="00984D4D" w:rsidRPr="00FD7D6B">
        <w:rPr>
          <w:rFonts w:hint="eastAsia"/>
        </w:rPr>
        <w:t>，各年度「受聘僱外國人母國簽證健檢」人數分別為186,798、160,427、201,836、184,797及</w:t>
      </w:r>
      <w:r w:rsidRPr="00FD7D6B">
        <w:t>172,243</w:t>
      </w:r>
      <w:r w:rsidR="00984D4D" w:rsidRPr="00FD7D6B">
        <w:rPr>
          <w:rFonts w:hint="eastAsia"/>
        </w:rPr>
        <w:t>人，平均每年約178,000人左右；另每年「短期補習班外籍語文教師」健檢人數平均約4,800人左右；每年「外籍及大陸學位生」及「外籍及大陸短期生」則分別為45,000人及58,000人左右，詳如下表。由上可徵，每年「受聘僱外國人母國簽證健檢」、「短</w:t>
      </w:r>
      <w:r w:rsidR="00984D4D" w:rsidRPr="00FD7D6B">
        <w:t>期補習班</w:t>
      </w:r>
      <w:r w:rsidR="00984D4D" w:rsidRPr="00FD7D6B">
        <w:rPr>
          <w:rFonts w:hint="eastAsia"/>
        </w:rPr>
        <w:t>外籍</w:t>
      </w:r>
      <w:r w:rsidR="00984D4D" w:rsidRPr="00FD7D6B">
        <w:t>語文教師</w:t>
      </w:r>
      <w:r w:rsidR="00984D4D" w:rsidRPr="00FD7D6B">
        <w:rPr>
          <w:rFonts w:hint="eastAsia"/>
        </w:rPr>
        <w:t>」、「</w:t>
      </w:r>
      <w:r w:rsidR="00984D4D" w:rsidRPr="00FD7D6B">
        <w:t>外</w:t>
      </w:r>
      <w:r w:rsidR="00984D4D" w:rsidRPr="00FD7D6B">
        <w:rPr>
          <w:rFonts w:hint="eastAsia"/>
        </w:rPr>
        <w:t>籍及</w:t>
      </w:r>
      <w:r w:rsidR="00984D4D" w:rsidRPr="00FD7D6B">
        <w:t>大陸學位生</w:t>
      </w:r>
      <w:r w:rsidR="00984D4D" w:rsidRPr="00FD7D6B">
        <w:rPr>
          <w:rFonts w:hint="eastAsia"/>
        </w:rPr>
        <w:t>」、「</w:t>
      </w:r>
      <w:r w:rsidR="00984D4D" w:rsidRPr="00FD7D6B">
        <w:t>外</w:t>
      </w:r>
      <w:r w:rsidR="00984D4D" w:rsidRPr="00FD7D6B">
        <w:rPr>
          <w:rFonts w:hint="eastAsia"/>
        </w:rPr>
        <w:t>籍及</w:t>
      </w:r>
      <w:r w:rsidR="00984D4D" w:rsidRPr="00FD7D6B">
        <w:t>大陸短期生</w:t>
      </w:r>
      <w:r w:rsidR="00984D4D" w:rsidRPr="00FD7D6B">
        <w:rPr>
          <w:rFonts w:hint="eastAsia"/>
        </w:rPr>
        <w:t>」及「居留或定居」人數約320,800人，亦即每年超過32萬來臺人士之健檢資料需經外交部駐外館處驗證，而該等健檢資料最後回歸至</w:t>
      </w:r>
      <w:r w:rsidR="00C27525" w:rsidRPr="00FD7D6B">
        <w:rPr>
          <w:rFonts w:hint="eastAsia"/>
        </w:rPr>
        <w:t>國內各</w:t>
      </w:r>
      <w:r w:rsidR="00984D4D" w:rsidRPr="00FD7D6B">
        <w:rPr>
          <w:rFonts w:hint="eastAsia"/>
        </w:rPr>
        <w:t>目的事業主管機關</w:t>
      </w:r>
      <w:r w:rsidR="00A56B1D" w:rsidRPr="00FD7D6B">
        <w:rPr>
          <w:rFonts w:hint="eastAsia"/>
        </w:rPr>
        <w:t>。</w:t>
      </w:r>
    </w:p>
    <w:p w:rsidR="00295A3A" w:rsidRPr="00FD7D6B" w:rsidRDefault="00295A3A" w:rsidP="00295A3A">
      <w:pPr>
        <w:pStyle w:val="3"/>
        <w:numPr>
          <w:ilvl w:val="0"/>
          <w:numId w:val="0"/>
        </w:numPr>
        <w:ind w:left="1361"/>
      </w:pPr>
    </w:p>
    <w:p w:rsidR="00EF5A71" w:rsidRPr="00FD7D6B" w:rsidRDefault="00EF5A71" w:rsidP="00295A3A">
      <w:pPr>
        <w:pStyle w:val="3"/>
        <w:numPr>
          <w:ilvl w:val="0"/>
          <w:numId w:val="0"/>
        </w:numPr>
        <w:ind w:left="1361"/>
      </w:pPr>
    </w:p>
    <w:p w:rsidR="00EF5A71" w:rsidRPr="00FD7D6B" w:rsidRDefault="00EF5A71" w:rsidP="00295A3A">
      <w:pPr>
        <w:pStyle w:val="3"/>
        <w:numPr>
          <w:ilvl w:val="0"/>
          <w:numId w:val="0"/>
        </w:numPr>
        <w:ind w:left="1361"/>
      </w:pPr>
    </w:p>
    <w:p w:rsidR="00EF5A71" w:rsidRPr="00FD7D6B" w:rsidRDefault="00EF5A71" w:rsidP="00295A3A">
      <w:pPr>
        <w:pStyle w:val="3"/>
        <w:numPr>
          <w:ilvl w:val="0"/>
          <w:numId w:val="0"/>
        </w:numPr>
        <w:ind w:left="1361"/>
      </w:pPr>
    </w:p>
    <w:p w:rsidR="00EF5A71" w:rsidRPr="00FD7D6B" w:rsidRDefault="00EF5A71" w:rsidP="00295A3A">
      <w:pPr>
        <w:pStyle w:val="3"/>
        <w:numPr>
          <w:ilvl w:val="0"/>
          <w:numId w:val="0"/>
        </w:numPr>
        <w:ind w:left="1361"/>
      </w:pPr>
    </w:p>
    <w:p w:rsidR="00984D4D" w:rsidRPr="00FD7D6B" w:rsidRDefault="00984D4D" w:rsidP="00895B32">
      <w:pPr>
        <w:pStyle w:val="a3"/>
        <w:numPr>
          <w:ilvl w:val="0"/>
          <w:numId w:val="2"/>
        </w:numPr>
        <w:ind w:left="697" w:hanging="697"/>
        <w:jc w:val="center"/>
      </w:pPr>
      <w:r w:rsidRPr="00FD7D6B">
        <w:rPr>
          <w:rFonts w:hint="eastAsia"/>
        </w:rPr>
        <w:t>10</w:t>
      </w:r>
      <w:r w:rsidR="00B00747" w:rsidRPr="00FD7D6B">
        <w:rPr>
          <w:rFonts w:hint="eastAsia"/>
        </w:rPr>
        <w:t>3</w:t>
      </w:r>
      <w:r w:rsidRPr="00FD7D6B">
        <w:rPr>
          <w:rFonts w:hint="eastAsia"/>
        </w:rPr>
        <w:t>至107年各類入境人士健康檢查執行結果</w:t>
      </w:r>
    </w:p>
    <w:p w:rsidR="001C5E43" w:rsidRPr="00FD7D6B" w:rsidRDefault="001C5E43" w:rsidP="001C5E43">
      <w:pPr>
        <w:pStyle w:val="3"/>
        <w:numPr>
          <w:ilvl w:val="0"/>
          <w:numId w:val="0"/>
        </w:numPr>
        <w:spacing w:line="360" w:lineRule="exact"/>
        <w:jc w:val="right"/>
        <w:rPr>
          <w:sz w:val="24"/>
          <w:szCs w:val="24"/>
        </w:rPr>
      </w:pPr>
      <w:r w:rsidRPr="00FD7D6B">
        <w:rPr>
          <w:rFonts w:hint="eastAsia"/>
          <w:sz w:val="24"/>
          <w:szCs w:val="24"/>
        </w:rPr>
        <w:t>單位：人數；%</w:t>
      </w:r>
    </w:p>
    <w:tbl>
      <w:tblPr>
        <w:tblStyle w:val="afb"/>
        <w:tblW w:w="5459" w:type="pct"/>
        <w:tblInd w:w="-1" w:type="dxa"/>
        <w:tblLayout w:type="fixed"/>
        <w:tblLook w:val="04A0" w:firstRow="1" w:lastRow="0" w:firstColumn="1" w:lastColumn="0" w:noHBand="0" w:noVBand="1"/>
      </w:tblPr>
      <w:tblGrid>
        <w:gridCol w:w="385"/>
        <w:gridCol w:w="1534"/>
        <w:gridCol w:w="1510"/>
        <w:gridCol w:w="1244"/>
        <w:gridCol w:w="1248"/>
        <w:gridCol w:w="1244"/>
        <w:gridCol w:w="1244"/>
        <w:gridCol w:w="1236"/>
      </w:tblGrid>
      <w:tr w:rsidR="00A56B1D" w:rsidRPr="00FD7D6B" w:rsidTr="00EF5A71">
        <w:trPr>
          <w:trHeight w:val="633"/>
          <w:tblHeader/>
        </w:trPr>
        <w:tc>
          <w:tcPr>
            <w:tcW w:w="199" w:type="pct"/>
            <w:tcBorders>
              <w:top w:val="single" w:sz="4" w:space="0" w:color="000000"/>
              <w:left w:val="single" w:sz="4" w:space="0" w:color="000000"/>
              <w:bottom w:val="single" w:sz="4" w:space="0" w:color="000000"/>
              <w:right w:val="single" w:sz="4" w:space="0" w:color="000000"/>
            </w:tcBorders>
          </w:tcPr>
          <w:p w:rsidR="00A56B1D" w:rsidRPr="00FD7D6B" w:rsidRDefault="00A56B1D" w:rsidP="00A56B1D">
            <w:pPr>
              <w:spacing w:line="400" w:lineRule="exact"/>
              <w:ind w:left="581" w:hangingChars="200" w:hanging="581"/>
              <w:rPr>
                <w:rFonts w:hAnsi="標楷體"/>
                <w:b/>
                <w:sz w:val="27"/>
                <w:szCs w:val="27"/>
              </w:rPr>
            </w:pPr>
            <w:r w:rsidRPr="00FD7D6B">
              <w:rPr>
                <w:rFonts w:hAnsi="標楷體" w:hint="eastAsia"/>
                <w:b/>
                <w:sz w:val="27"/>
                <w:szCs w:val="27"/>
              </w:rPr>
              <w:t>序號</w:t>
            </w:r>
          </w:p>
          <w:p w:rsidR="00A56B1D" w:rsidRPr="00FD7D6B" w:rsidRDefault="00A56B1D" w:rsidP="00A56B1D">
            <w:pPr>
              <w:spacing w:line="400" w:lineRule="exact"/>
              <w:ind w:left="581" w:hangingChars="200" w:hanging="581"/>
              <w:rPr>
                <w:rFonts w:hAnsi="標楷體"/>
                <w:b/>
                <w:sz w:val="27"/>
                <w:szCs w:val="27"/>
              </w:rPr>
            </w:pPr>
            <w:r w:rsidRPr="00FD7D6B">
              <w:rPr>
                <w:rFonts w:hAnsi="標楷體" w:hint="eastAsia"/>
                <w:b/>
                <w:sz w:val="27"/>
                <w:szCs w:val="27"/>
              </w:rPr>
              <w:t>號</w:t>
            </w:r>
          </w:p>
        </w:tc>
        <w:tc>
          <w:tcPr>
            <w:tcW w:w="795" w:type="pct"/>
            <w:tcBorders>
              <w:top w:val="single" w:sz="4" w:space="0" w:color="000000"/>
              <w:left w:val="single" w:sz="4" w:space="0" w:color="000000"/>
              <w:bottom w:val="single" w:sz="4" w:space="0" w:color="000000"/>
              <w:right w:val="single" w:sz="4" w:space="0" w:color="000000"/>
              <w:tl2br w:val="single" w:sz="4" w:space="0" w:color="auto"/>
            </w:tcBorders>
            <w:vAlign w:val="center"/>
          </w:tcPr>
          <w:p w:rsidR="00A56B1D" w:rsidRPr="00FD7D6B" w:rsidRDefault="00A56B1D" w:rsidP="00A56B1D">
            <w:pPr>
              <w:spacing w:line="400" w:lineRule="exact"/>
              <w:ind w:left="581" w:hangingChars="200" w:hanging="581"/>
              <w:rPr>
                <w:rFonts w:hAnsi="標楷體"/>
                <w:b/>
                <w:sz w:val="27"/>
                <w:szCs w:val="27"/>
              </w:rPr>
            </w:pPr>
            <w:r w:rsidRPr="00FD7D6B">
              <w:rPr>
                <w:rFonts w:hAnsi="標楷體" w:hint="eastAsia"/>
                <w:b/>
                <w:sz w:val="27"/>
                <w:szCs w:val="27"/>
              </w:rPr>
              <w:t xml:space="preserve">　年度</w:t>
            </w:r>
          </w:p>
          <w:p w:rsidR="00A56B1D" w:rsidRPr="00FD7D6B" w:rsidRDefault="00A56B1D" w:rsidP="00A56B1D">
            <w:pPr>
              <w:spacing w:line="400" w:lineRule="exact"/>
              <w:rPr>
                <w:rFonts w:hAnsi="標楷體"/>
                <w:b/>
                <w:sz w:val="27"/>
                <w:szCs w:val="27"/>
              </w:rPr>
            </w:pPr>
          </w:p>
          <w:p w:rsidR="00A56B1D" w:rsidRPr="00FD7D6B" w:rsidRDefault="00A56B1D" w:rsidP="00A56B1D">
            <w:pPr>
              <w:spacing w:line="400" w:lineRule="exact"/>
              <w:rPr>
                <w:rFonts w:hAnsi="標楷體"/>
                <w:b/>
                <w:sz w:val="27"/>
                <w:szCs w:val="27"/>
              </w:rPr>
            </w:pPr>
            <w:r w:rsidRPr="00FD7D6B">
              <w:rPr>
                <w:rFonts w:hAnsi="標楷體" w:hint="eastAsia"/>
                <w:b/>
                <w:sz w:val="27"/>
                <w:szCs w:val="27"/>
              </w:rPr>
              <w:t>身分別</w:t>
            </w:r>
          </w:p>
        </w:tc>
        <w:tc>
          <w:tcPr>
            <w:tcW w:w="783" w:type="pct"/>
            <w:tcBorders>
              <w:top w:val="single" w:sz="4" w:space="0" w:color="000000"/>
              <w:left w:val="single" w:sz="4" w:space="0" w:color="000000"/>
              <w:bottom w:val="single" w:sz="4" w:space="0" w:color="000000"/>
              <w:right w:val="single" w:sz="4" w:space="0" w:color="000000"/>
            </w:tcBorders>
            <w:vAlign w:val="center"/>
          </w:tcPr>
          <w:p w:rsidR="00A56B1D" w:rsidRPr="00FD7D6B" w:rsidRDefault="00A56B1D" w:rsidP="00A56B1D">
            <w:pPr>
              <w:spacing w:line="320" w:lineRule="exact"/>
              <w:jc w:val="center"/>
              <w:rPr>
                <w:rFonts w:hAnsi="標楷體"/>
                <w:b/>
                <w:sz w:val="27"/>
                <w:szCs w:val="27"/>
              </w:rPr>
            </w:pP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320" w:lineRule="exact"/>
              <w:jc w:val="center"/>
              <w:rPr>
                <w:rFonts w:hAnsi="標楷體"/>
                <w:b/>
                <w:sz w:val="27"/>
                <w:szCs w:val="27"/>
              </w:rPr>
            </w:pPr>
            <w:r w:rsidRPr="00FD7D6B">
              <w:rPr>
                <w:rFonts w:hAnsi="標楷體" w:hint="eastAsia"/>
                <w:b/>
                <w:sz w:val="27"/>
                <w:szCs w:val="27"/>
              </w:rPr>
              <w:t>103</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320" w:lineRule="exact"/>
              <w:jc w:val="center"/>
              <w:rPr>
                <w:rFonts w:hAnsi="標楷體"/>
                <w:b/>
                <w:sz w:val="27"/>
                <w:szCs w:val="27"/>
              </w:rPr>
            </w:pPr>
            <w:r w:rsidRPr="00FD7D6B">
              <w:rPr>
                <w:rFonts w:hAnsi="標楷體" w:hint="eastAsia"/>
                <w:b/>
                <w:sz w:val="27"/>
                <w:szCs w:val="27"/>
              </w:rPr>
              <w:t>104</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320" w:lineRule="exact"/>
              <w:jc w:val="center"/>
              <w:rPr>
                <w:rFonts w:hAnsi="標楷體"/>
                <w:b/>
                <w:sz w:val="27"/>
                <w:szCs w:val="27"/>
              </w:rPr>
            </w:pPr>
            <w:r w:rsidRPr="00FD7D6B">
              <w:rPr>
                <w:rFonts w:hAnsi="標楷體" w:hint="eastAsia"/>
                <w:b/>
                <w:sz w:val="27"/>
                <w:szCs w:val="27"/>
              </w:rPr>
              <w:t>105</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320" w:lineRule="exact"/>
              <w:jc w:val="center"/>
              <w:rPr>
                <w:rFonts w:hAnsi="標楷體"/>
                <w:b/>
                <w:sz w:val="27"/>
                <w:szCs w:val="27"/>
              </w:rPr>
            </w:pPr>
            <w:r w:rsidRPr="00FD7D6B">
              <w:rPr>
                <w:rFonts w:hAnsi="標楷體" w:hint="eastAsia"/>
                <w:b/>
                <w:sz w:val="27"/>
                <w:szCs w:val="27"/>
              </w:rPr>
              <w:t>106</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320" w:lineRule="exact"/>
              <w:jc w:val="center"/>
              <w:rPr>
                <w:rFonts w:hAnsi="標楷體"/>
                <w:b/>
                <w:sz w:val="27"/>
                <w:szCs w:val="27"/>
              </w:rPr>
            </w:pPr>
            <w:r w:rsidRPr="00FD7D6B">
              <w:rPr>
                <w:rFonts w:hAnsi="標楷體" w:hint="eastAsia"/>
                <w:b/>
                <w:sz w:val="27"/>
                <w:szCs w:val="27"/>
              </w:rPr>
              <w:t>107</w:t>
            </w:r>
          </w:p>
        </w:tc>
      </w:tr>
      <w:tr w:rsidR="00A56B1D" w:rsidRPr="00FD7D6B" w:rsidTr="004D2958">
        <w:trPr>
          <w:trHeight w:val="1200"/>
        </w:trPr>
        <w:tc>
          <w:tcPr>
            <w:tcW w:w="199" w:type="pct"/>
            <w:tcBorders>
              <w:top w:val="single" w:sz="4" w:space="0" w:color="auto"/>
              <w:left w:val="single" w:sz="4" w:space="0" w:color="000000"/>
              <w:bottom w:val="single" w:sz="4" w:space="0" w:color="000000"/>
              <w:right w:val="single" w:sz="4" w:space="0" w:color="000000"/>
            </w:tcBorders>
          </w:tcPr>
          <w:p w:rsidR="00A56B1D" w:rsidRPr="00FD7D6B" w:rsidRDefault="00A56B1D" w:rsidP="00A56B1D">
            <w:pPr>
              <w:pStyle w:val="afc"/>
              <w:numPr>
                <w:ilvl w:val="0"/>
                <w:numId w:val="45"/>
              </w:numPr>
              <w:spacing w:line="400" w:lineRule="exact"/>
              <w:ind w:leftChars="0"/>
              <w:rPr>
                <w:rFonts w:hAnsi="標楷體"/>
                <w:b/>
                <w:sz w:val="27"/>
                <w:szCs w:val="27"/>
              </w:rPr>
            </w:pPr>
          </w:p>
        </w:tc>
        <w:tc>
          <w:tcPr>
            <w:tcW w:w="795" w:type="pct"/>
            <w:tcBorders>
              <w:top w:val="single" w:sz="4" w:space="0" w:color="auto"/>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rPr>
                <w:rFonts w:hAnsi="標楷體"/>
                <w:b/>
                <w:spacing w:val="-10"/>
                <w:sz w:val="27"/>
                <w:szCs w:val="27"/>
              </w:rPr>
            </w:pPr>
            <w:r w:rsidRPr="00FD7D6B">
              <w:rPr>
                <w:rFonts w:hAnsi="標楷體" w:hint="eastAsia"/>
                <w:b/>
                <w:spacing w:val="-10"/>
                <w:sz w:val="27"/>
                <w:szCs w:val="27"/>
              </w:rPr>
              <w:t>受聘僱外國人入國前簽證健檢</w:t>
            </w:r>
          </w:p>
        </w:tc>
        <w:tc>
          <w:tcPr>
            <w:tcW w:w="783" w:type="pct"/>
            <w:tcBorders>
              <w:top w:val="single" w:sz="4" w:space="0" w:color="auto"/>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合</w:t>
            </w:r>
            <w:r w:rsidRPr="00FD7D6B">
              <w:rPr>
                <w:rFonts w:hAnsi="標楷體"/>
                <w:sz w:val="27"/>
                <w:szCs w:val="27"/>
              </w:rPr>
              <w:t>格</w:t>
            </w:r>
            <w:r w:rsidRPr="00FD7D6B">
              <w:rPr>
                <w:rFonts w:hAnsi="標楷體" w:hint="eastAsia"/>
                <w:sz w:val="27"/>
                <w:szCs w:val="27"/>
              </w:rPr>
              <w:t>人數</w:t>
            </w:r>
          </w:p>
        </w:tc>
        <w:tc>
          <w:tcPr>
            <w:tcW w:w="645" w:type="pct"/>
            <w:tcBorders>
              <w:top w:val="single" w:sz="4" w:space="0" w:color="auto"/>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186,798</w:t>
            </w:r>
          </w:p>
        </w:tc>
        <w:tc>
          <w:tcPr>
            <w:tcW w:w="647" w:type="pct"/>
            <w:tcBorders>
              <w:top w:val="single" w:sz="4" w:space="0" w:color="auto"/>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160,427</w:t>
            </w:r>
          </w:p>
        </w:tc>
        <w:tc>
          <w:tcPr>
            <w:tcW w:w="645" w:type="pct"/>
            <w:tcBorders>
              <w:top w:val="single" w:sz="4" w:space="0" w:color="auto"/>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201,836</w:t>
            </w:r>
          </w:p>
        </w:tc>
        <w:tc>
          <w:tcPr>
            <w:tcW w:w="645" w:type="pct"/>
            <w:tcBorders>
              <w:top w:val="single" w:sz="4" w:space="0" w:color="auto"/>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184,797</w:t>
            </w:r>
          </w:p>
        </w:tc>
        <w:tc>
          <w:tcPr>
            <w:tcW w:w="642" w:type="pct"/>
            <w:tcBorders>
              <w:top w:val="single" w:sz="4" w:space="0" w:color="auto"/>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172,243</w:t>
            </w:r>
          </w:p>
        </w:tc>
      </w:tr>
      <w:tr w:rsidR="00A56B1D" w:rsidRPr="00FD7D6B" w:rsidTr="004D2958">
        <w:trPr>
          <w:trHeight w:val="539"/>
        </w:trPr>
        <w:tc>
          <w:tcPr>
            <w:tcW w:w="199" w:type="pct"/>
            <w:vMerge w:val="restart"/>
            <w:tcBorders>
              <w:top w:val="single" w:sz="4" w:space="0" w:color="000000"/>
              <w:left w:val="single" w:sz="4" w:space="0" w:color="000000"/>
              <w:right w:val="single" w:sz="4" w:space="0" w:color="000000"/>
            </w:tcBorders>
          </w:tcPr>
          <w:p w:rsidR="00A56B1D" w:rsidRPr="00FD7D6B" w:rsidRDefault="00A56B1D" w:rsidP="00A56B1D">
            <w:pPr>
              <w:pStyle w:val="afc"/>
              <w:numPr>
                <w:ilvl w:val="0"/>
                <w:numId w:val="45"/>
              </w:numPr>
              <w:spacing w:line="400" w:lineRule="exact"/>
              <w:ind w:leftChars="0"/>
              <w:rPr>
                <w:rFonts w:hAnsi="標楷體"/>
                <w:b/>
                <w:sz w:val="27"/>
                <w:szCs w:val="27"/>
              </w:rPr>
            </w:pPr>
          </w:p>
        </w:tc>
        <w:tc>
          <w:tcPr>
            <w:tcW w:w="795" w:type="pct"/>
            <w:vMerge w:val="restar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rPr>
                <w:rFonts w:hAnsi="標楷體"/>
                <w:b/>
                <w:sz w:val="27"/>
                <w:szCs w:val="27"/>
              </w:rPr>
            </w:pPr>
            <w:r w:rsidRPr="00FD7D6B">
              <w:rPr>
                <w:rFonts w:hAnsi="標楷體" w:hint="eastAsia"/>
                <w:b/>
                <w:spacing w:val="-10"/>
                <w:sz w:val="27"/>
                <w:szCs w:val="27"/>
              </w:rPr>
              <w:t>受聘僱外國人入國3日健檢</w:t>
            </w:r>
          </w:p>
        </w:tc>
        <w:tc>
          <w:tcPr>
            <w:tcW w:w="783"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ind w:leftChars="-32" w:left="-109" w:rightChars="-21" w:right="-71"/>
              <w:jc w:val="center"/>
              <w:rPr>
                <w:rFonts w:hAnsi="標楷體"/>
                <w:sz w:val="27"/>
                <w:szCs w:val="27"/>
              </w:rPr>
            </w:pPr>
            <w:r w:rsidRPr="00FD7D6B">
              <w:rPr>
                <w:rFonts w:hAnsi="標楷體" w:hint="eastAsia"/>
                <w:sz w:val="27"/>
                <w:szCs w:val="27"/>
              </w:rPr>
              <w:t>應受檢</w:t>
            </w:r>
          </w:p>
          <w:p w:rsidR="00A56B1D" w:rsidRPr="00FD7D6B" w:rsidRDefault="00A56B1D" w:rsidP="00A56B1D">
            <w:pPr>
              <w:spacing w:line="400" w:lineRule="exact"/>
              <w:ind w:leftChars="-32" w:left="-109" w:rightChars="-21" w:right="-71"/>
              <w:jc w:val="center"/>
              <w:rPr>
                <w:rFonts w:hAnsi="標楷體"/>
                <w:sz w:val="27"/>
                <w:szCs w:val="27"/>
              </w:rPr>
            </w:pPr>
            <w:r w:rsidRPr="00FD7D6B">
              <w:rPr>
                <w:rFonts w:hAnsi="標楷體" w:hint="eastAsia"/>
                <w:sz w:val="27"/>
                <w:szCs w:val="27"/>
              </w:rPr>
              <w:t>人數</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186,798</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160,427</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201,836</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184,797</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172,24</w:t>
            </w:r>
            <w:r w:rsidRPr="00FD7D6B">
              <w:rPr>
                <w:rFonts w:hAnsi="標楷體"/>
                <w:sz w:val="27"/>
                <w:szCs w:val="27"/>
              </w:rPr>
              <w:t>0</w:t>
            </w:r>
          </w:p>
        </w:tc>
      </w:tr>
      <w:tr w:rsidR="00A56B1D" w:rsidRPr="00FD7D6B" w:rsidTr="004D2958">
        <w:trPr>
          <w:trHeight w:val="539"/>
        </w:trPr>
        <w:tc>
          <w:tcPr>
            <w:tcW w:w="199" w:type="pct"/>
            <w:vMerge/>
            <w:tcBorders>
              <w:left w:val="single" w:sz="4" w:space="0" w:color="000000"/>
              <w:right w:val="single" w:sz="4" w:space="0" w:color="000000"/>
            </w:tcBorders>
          </w:tcPr>
          <w:p w:rsidR="00A56B1D" w:rsidRPr="00FD7D6B" w:rsidRDefault="00A56B1D" w:rsidP="00A56B1D">
            <w:pPr>
              <w:pStyle w:val="afc"/>
              <w:widowControl/>
              <w:numPr>
                <w:ilvl w:val="0"/>
                <w:numId w:val="45"/>
              </w:numPr>
              <w:ind w:leftChars="0"/>
              <w:rPr>
                <w:rFonts w:hAnsi="標楷體"/>
                <w:b/>
                <w:sz w:val="27"/>
                <w:szCs w:val="27"/>
              </w:rPr>
            </w:pPr>
          </w:p>
        </w:tc>
        <w:tc>
          <w:tcPr>
            <w:tcW w:w="795" w:type="pct"/>
            <w:vMerge/>
            <w:tcBorders>
              <w:left w:val="single" w:sz="4" w:space="0" w:color="000000"/>
              <w:right w:val="single" w:sz="4" w:space="0" w:color="000000"/>
            </w:tcBorders>
            <w:vAlign w:val="center"/>
            <w:hideMark/>
          </w:tcPr>
          <w:p w:rsidR="00A56B1D" w:rsidRPr="00FD7D6B" w:rsidRDefault="00A56B1D" w:rsidP="00A56B1D">
            <w:pPr>
              <w:widowControl/>
              <w:rPr>
                <w:rFonts w:hAnsi="標楷體"/>
                <w:b/>
                <w:sz w:val="27"/>
                <w:szCs w:val="27"/>
              </w:rPr>
            </w:pPr>
          </w:p>
        </w:tc>
        <w:tc>
          <w:tcPr>
            <w:tcW w:w="783"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ind w:rightChars="-27" w:right="-92"/>
              <w:jc w:val="center"/>
              <w:rPr>
                <w:rFonts w:hAnsi="標楷體"/>
                <w:sz w:val="27"/>
                <w:szCs w:val="27"/>
              </w:rPr>
            </w:pPr>
            <w:r w:rsidRPr="00FD7D6B">
              <w:rPr>
                <w:rFonts w:hAnsi="標楷體" w:hint="eastAsia"/>
                <w:sz w:val="27"/>
                <w:szCs w:val="27"/>
              </w:rPr>
              <w:t>實際受檢人數</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186,798</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160,427</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201,836</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184,797</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172,24</w:t>
            </w:r>
            <w:r w:rsidRPr="00FD7D6B">
              <w:rPr>
                <w:rFonts w:hAnsi="標楷體"/>
                <w:sz w:val="27"/>
                <w:szCs w:val="27"/>
              </w:rPr>
              <w:t>0</w:t>
            </w:r>
          </w:p>
        </w:tc>
      </w:tr>
      <w:tr w:rsidR="00A56B1D" w:rsidRPr="00FD7D6B" w:rsidTr="004D2958">
        <w:trPr>
          <w:trHeight w:val="539"/>
        </w:trPr>
        <w:tc>
          <w:tcPr>
            <w:tcW w:w="199" w:type="pct"/>
            <w:vMerge/>
            <w:tcBorders>
              <w:left w:val="single" w:sz="4" w:space="0" w:color="000000"/>
              <w:right w:val="single" w:sz="4" w:space="0" w:color="000000"/>
            </w:tcBorders>
          </w:tcPr>
          <w:p w:rsidR="00A56B1D" w:rsidRPr="00FD7D6B" w:rsidRDefault="00A56B1D" w:rsidP="00A56B1D">
            <w:pPr>
              <w:pStyle w:val="afc"/>
              <w:widowControl/>
              <w:numPr>
                <w:ilvl w:val="0"/>
                <w:numId w:val="45"/>
              </w:numPr>
              <w:ind w:leftChars="0"/>
              <w:rPr>
                <w:rFonts w:hAnsi="標楷體"/>
                <w:b/>
                <w:sz w:val="27"/>
                <w:szCs w:val="27"/>
              </w:rPr>
            </w:pPr>
          </w:p>
        </w:tc>
        <w:tc>
          <w:tcPr>
            <w:tcW w:w="795" w:type="pct"/>
            <w:vMerge/>
            <w:tcBorders>
              <w:left w:val="single" w:sz="4" w:space="0" w:color="000000"/>
              <w:right w:val="single" w:sz="4" w:space="0" w:color="000000"/>
            </w:tcBorders>
            <w:vAlign w:val="center"/>
            <w:hideMark/>
          </w:tcPr>
          <w:p w:rsidR="00A56B1D" w:rsidRPr="00FD7D6B" w:rsidRDefault="00A56B1D" w:rsidP="00A56B1D">
            <w:pPr>
              <w:widowControl/>
              <w:rPr>
                <w:rFonts w:hAnsi="標楷體"/>
                <w:b/>
                <w:sz w:val="27"/>
                <w:szCs w:val="27"/>
              </w:rPr>
            </w:pPr>
          </w:p>
        </w:tc>
        <w:tc>
          <w:tcPr>
            <w:tcW w:w="783"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D423D7">
            <w:pPr>
              <w:spacing w:line="400" w:lineRule="exact"/>
              <w:jc w:val="center"/>
              <w:rPr>
                <w:rFonts w:hAnsi="標楷體"/>
                <w:sz w:val="27"/>
                <w:szCs w:val="27"/>
              </w:rPr>
            </w:pPr>
            <w:r w:rsidRPr="00FD7D6B">
              <w:rPr>
                <w:rFonts w:hAnsi="標楷體" w:hint="eastAsia"/>
                <w:sz w:val="27"/>
                <w:szCs w:val="27"/>
              </w:rPr>
              <w:t>合格人數</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186,691</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160,201</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201,549</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182,363</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169,96</w:t>
            </w:r>
            <w:r w:rsidRPr="00FD7D6B">
              <w:rPr>
                <w:rFonts w:hAnsi="標楷體"/>
                <w:sz w:val="27"/>
                <w:szCs w:val="27"/>
              </w:rPr>
              <w:t>1</w:t>
            </w:r>
          </w:p>
        </w:tc>
      </w:tr>
      <w:tr w:rsidR="00A56B1D" w:rsidRPr="00FD7D6B" w:rsidTr="004D2958">
        <w:trPr>
          <w:trHeight w:val="467"/>
        </w:trPr>
        <w:tc>
          <w:tcPr>
            <w:tcW w:w="199" w:type="pct"/>
            <w:vMerge/>
            <w:tcBorders>
              <w:left w:val="single" w:sz="4" w:space="0" w:color="000000"/>
              <w:right w:val="single" w:sz="4" w:space="0" w:color="000000"/>
            </w:tcBorders>
          </w:tcPr>
          <w:p w:rsidR="00A56B1D" w:rsidRPr="00FD7D6B" w:rsidRDefault="00A56B1D" w:rsidP="00A56B1D">
            <w:pPr>
              <w:pStyle w:val="afc"/>
              <w:widowControl/>
              <w:numPr>
                <w:ilvl w:val="0"/>
                <w:numId w:val="45"/>
              </w:numPr>
              <w:ind w:leftChars="0"/>
              <w:rPr>
                <w:rFonts w:hAnsi="標楷體"/>
                <w:b/>
                <w:sz w:val="27"/>
                <w:szCs w:val="27"/>
              </w:rPr>
            </w:pPr>
          </w:p>
        </w:tc>
        <w:tc>
          <w:tcPr>
            <w:tcW w:w="795" w:type="pct"/>
            <w:vMerge/>
            <w:tcBorders>
              <w:left w:val="single" w:sz="4" w:space="0" w:color="000000"/>
              <w:right w:val="single" w:sz="4" w:space="0" w:color="000000"/>
            </w:tcBorders>
            <w:vAlign w:val="center"/>
            <w:hideMark/>
          </w:tcPr>
          <w:p w:rsidR="00A56B1D" w:rsidRPr="00FD7D6B" w:rsidRDefault="00A56B1D" w:rsidP="00A56B1D">
            <w:pPr>
              <w:widowControl/>
              <w:rPr>
                <w:rFonts w:hAnsi="標楷體"/>
                <w:b/>
                <w:sz w:val="27"/>
                <w:szCs w:val="27"/>
              </w:rPr>
            </w:pPr>
          </w:p>
        </w:tc>
        <w:tc>
          <w:tcPr>
            <w:tcW w:w="783"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ind w:leftChars="-31" w:left="-105" w:rightChars="-44" w:right="-150"/>
              <w:jc w:val="center"/>
              <w:rPr>
                <w:rFonts w:hAnsi="標楷體"/>
                <w:sz w:val="27"/>
                <w:szCs w:val="27"/>
              </w:rPr>
            </w:pPr>
            <w:r w:rsidRPr="00FD7D6B">
              <w:rPr>
                <w:rFonts w:hAnsi="標楷體" w:hint="eastAsia"/>
                <w:sz w:val="27"/>
                <w:szCs w:val="27"/>
              </w:rPr>
              <w:t>不合格人數</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jc w:val="center"/>
              <w:rPr>
                <w:rFonts w:hAnsi="標楷體"/>
                <w:sz w:val="27"/>
                <w:szCs w:val="27"/>
              </w:rPr>
            </w:pPr>
            <w:r w:rsidRPr="00FD7D6B">
              <w:rPr>
                <w:rFonts w:hAnsi="標楷體"/>
                <w:sz w:val="27"/>
                <w:szCs w:val="27"/>
              </w:rPr>
              <w:t>107</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jc w:val="center"/>
              <w:rPr>
                <w:rFonts w:hAnsi="標楷體"/>
                <w:sz w:val="27"/>
                <w:szCs w:val="27"/>
              </w:rPr>
            </w:pPr>
            <w:r w:rsidRPr="00FD7D6B">
              <w:rPr>
                <w:rFonts w:hAnsi="標楷體"/>
                <w:sz w:val="27"/>
                <w:szCs w:val="27"/>
              </w:rPr>
              <w:t>226</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jc w:val="center"/>
              <w:rPr>
                <w:rFonts w:hAnsi="標楷體"/>
                <w:sz w:val="27"/>
                <w:szCs w:val="27"/>
              </w:rPr>
            </w:pPr>
            <w:r w:rsidRPr="00FD7D6B">
              <w:rPr>
                <w:rFonts w:hAnsi="標楷體"/>
                <w:sz w:val="27"/>
                <w:szCs w:val="27"/>
              </w:rPr>
              <w:t>287</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jc w:val="center"/>
              <w:rPr>
                <w:rFonts w:hAnsi="標楷體"/>
                <w:sz w:val="27"/>
                <w:szCs w:val="27"/>
              </w:rPr>
            </w:pPr>
            <w:r w:rsidRPr="00FD7D6B">
              <w:rPr>
                <w:rFonts w:hAnsi="標楷體"/>
                <w:sz w:val="27"/>
                <w:szCs w:val="27"/>
              </w:rPr>
              <w:t>2,434</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jc w:val="center"/>
              <w:rPr>
                <w:rFonts w:hAnsi="標楷體"/>
                <w:sz w:val="27"/>
                <w:szCs w:val="27"/>
              </w:rPr>
            </w:pPr>
            <w:r w:rsidRPr="00FD7D6B">
              <w:rPr>
                <w:rFonts w:hAnsi="標楷體"/>
                <w:sz w:val="27"/>
                <w:szCs w:val="27"/>
              </w:rPr>
              <w:t>2,279</w:t>
            </w:r>
          </w:p>
        </w:tc>
      </w:tr>
      <w:tr w:rsidR="00A56B1D" w:rsidRPr="00FD7D6B" w:rsidTr="004D2958">
        <w:trPr>
          <w:trHeight w:val="428"/>
        </w:trPr>
        <w:tc>
          <w:tcPr>
            <w:tcW w:w="199" w:type="pct"/>
            <w:vMerge/>
            <w:tcBorders>
              <w:left w:val="single" w:sz="4" w:space="0" w:color="000000"/>
              <w:right w:val="single" w:sz="4" w:space="0" w:color="000000"/>
            </w:tcBorders>
          </w:tcPr>
          <w:p w:rsidR="00A56B1D" w:rsidRPr="00FD7D6B" w:rsidRDefault="00A56B1D" w:rsidP="00A56B1D">
            <w:pPr>
              <w:pStyle w:val="afc"/>
              <w:widowControl/>
              <w:numPr>
                <w:ilvl w:val="0"/>
                <w:numId w:val="45"/>
              </w:numPr>
              <w:ind w:leftChars="0"/>
              <w:rPr>
                <w:rFonts w:hAnsi="標楷體"/>
                <w:b/>
                <w:sz w:val="27"/>
                <w:szCs w:val="27"/>
              </w:rPr>
            </w:pPr>
          </w:p>
        </w:tc>
        <w:tc>
          <w:tcPr>
            <w:tcW w:w="795" w:type="pct"/>
            <w:vMerge/>
            <w:tcBorders>
              <w:left w:val="single" w:sz="4" w:space="0" w:color="000000"/>
              <w:right w:val="single" w:sz="4" w:space="0" w:color="000000"/>
            </w:tcBorders>
            <w:vAlign w:val="center"/>
            <w:hideMark/>
          </w:tcPr>
          <w:p w:rsidR="00A56B1D" w:rsidRPr="00FD7D6B" w:rsidRDefault="00A56B1D" w:rsidP="00A56B1D">
            <w:pPr>
              <w:widowControl/>
              <w:rPr>
                <w:rFonts w:hAnsi="標楷體"/>
                <w:b/>
                <w:sz w:val="27"/>
                <w:szCs w:val="27"/>
              </w:rPr>
            </w:pPr>
          </w:p>
        </w:tc>
        <w:tc>
          <w:tcPr>
            <w:tcW w:w="783"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ind w:leftChars="-31" w:left="-105"/>
              <w:jc w:val="center"/>
              <w:rPr>
                <w:rFonts w:hAnsi="標楷體"/>
                <w:sz w:val="27"/>
                <w:szCs w:val="27"/>
              </w:rPr>
            </w:pPr>
            <w:r w:rsidRPr="00FD7D6B">
              <w:rPr>
                <w:rFonts w:hAnsi="標楷體" w:hint="eastAsia"/>
                <w:sz w:val="27"/>
                <w:szCs w:val="27"/>
              </w:rPr>
              <w:t>合格率(%)</w:t>
            </w:r>
          </w:p>
        </w:tc>
        <w:tc>
          <w:tcPr>
            <w:tcW w:w="645"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99.94</w:t>
            </w:r>
          </w:p>
        </w:tc>
        <w:tc>
          <w:tcPr>
            <w:tcW w:w="647"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99.86</w:t>
            </w:r>
          </w:p>
        </w:tc>
        <w:tc>
          <w:tcPr>
            <w:tcW w:w="645"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99.86</w:t>
            </w:r>
          </w:p>
        </w:tc>
        <w:tc>
          <w:tcPr>
            <w:tcW w:w="645"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98.68</w:t>
            </w:r>
          </w:p>
        </w:tc>
        <w:tc>
          <w:tcPr>
            <w:tcW w:w="642"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98.68</w:t>
            </w:r>
          </w:p>
        </w:tc>
      </w:tr>
      <w:tr w:rsidR="00A56B1D" w:rsidRPr="00FD7D6B" w:rsidTr="004D2958">
        <w:trPr>
          <w:trHeight w:val="539"/>
        </w:trPr>
        <w:tc>
          <w:tcPr>
            <w:tcW w:w="199" w:type="pct"/>
            <w:vMerge w:val="restart"/>
            <w:tcBorders>
              <w:top w:val="single" w:sz="4" w:space="0" w:color="000000"/>
              <w:left w:val="single" w:sz="4" w:space="0" w:color="000000"/>
              <w:right w:val="single" w:sz="4" w:space="0" w:color="000000"/>
            </w:tcBorders>
          </w:tcPr>
          <w:p w:rsidR="00A56B1D" w:rsidRPr="00FD7D6B" w:rsidRDefault="00A56B1D" w:rsidP="00A56B1D">
            <w:pPr>
              <w:pStyle w:val="afc"/>
              <w:numPr>
                <w:ilvl w:val="0"/>
                <w:numId w:val="45"/>
              </w:numPr>
              <w:spacing w:line="400" w:lineRule="exact"/>
              <w:ind w:leftChars="0"/>
              <w:rPr>
                <w:rFonts w:hAnsi="標楷體"/>
                <w:b/>
                <w:sz w:val="27"/>
                <w:szCs w:val="27"/>
              </w:rPr>
            </w:pPr>
          </w:p>
        </w:tc>
        <w:tc>
          <w:tcPr>
            <w:tcW w:w="795" w:type="pct"/>
            <w:vMerge w:val="restar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rPr>
                <w:rFonts w:hAnsi="標楷體"/>
                <w:b/>
                <w:sz w:val="27"/>
                <w:szCs w:val="27"/>
              </w:rPr>
            </w:pPr>
            <w:r w:rsidRPr="00FD7D6B">
              <w:rPr>
                <w:rFonts w:hAnsi="標楷體" w:hint="eastAsia"/>
                <w:b/>
                <w:spacing w:val="-10"/>
                <w:sz w:val="27"/>
                <w:szCs w:val="27"/>
              </w:rPr>
              <w:t>受聘僱外國人定期健檢</w:t>
            </w:r>
          </w:p>
        </w:tc>
        <w:tc>
          <w:tcPr>
            <w:tcW w:w="783"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ind w:leftChars="-31" w:left="-105" w:rightChars="-44" w:right="-150"/>
              <w:jc w:val="center"/>
              <w:rPr>
                <w:rFonts w:hAnsi="標楷體"/>
                <w:sz w:val="27"/>
                <w:szCs w:val="27"/>
              </w:rPr>
            </w:pPr>
            <w:r w:rsidRPr="00FD7D6B">
              <w:rPr>
                <w:rFonts w:hAnsi="標楷體" w:hint="eastAsia"/>
                <w:sz w:val="27"/>
                <w:szCs w:val="27"/>
              </w:rPr>
              <w:t>應受檢</w:t>
            </w:r>
          </w:p>
          <w:p w:rsidR="00A56B1D" w:rsidRPr="00FD7D6B" w:rsidRDefault="00A56B1D" w:rsidP="00A56B1D">
            <w:pPr>
              <w:spacing w:line="400" w:lineRule="exact"/>
              <w:ind w:leftChars="-31" w:left="-105" w:rightChars="-44" w:right="-150"/>
              <w:jc w:val="center"/>
              <w:rPr>
                <w:rFonts w:hAnsi="標楷體"/>
                <w:sz w:val="27"/>
                <w:szCs w:val="27"/>
              </w:rPr>
            </w:pPr>
            <w:r w:rsidRPr="00FD7D6B">
              <w:rPr>
                <w:rFonts w:hAnsi="標楷體" w:hint="eastAsia"/>
                <w:sz w:val="27"/>
                <w:szCs w:val="27"/>
              </w:rPr>
              <w:t>人數</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449,492</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521,748</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546,818</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588,051</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618,972</w:t>
            </w:r>
          </w:p>
        </w:tc>
      </w:tr>
      <w:tr w:rsidR="00A56B1D" w:rsidRPr="00FD7D6B" w:rsidTr="004D2958">
        <w:trPr>
          <w:trHeight w:val="539"/>
        </w:trPr>
        <w:tc>
          <w:tcPr>
            <w:tcW w:w="199" w:type="pct"/>
            <w:vMerge/>
            <w:tcBorders>
              <w:left w:val="single" w:sz="4" w:space="0" w:color="000000"/>
              <w:right w:val="single" w:sz="4" w:space="0" w:color="000000"/>
            </w:tcBorders>
          </w:tcPr>
          <w:p w:rsidR="00A56B1D" w:rsidRPr="00FD7D6B" w:rsidRDefault="00A56B1D" w:rsidP="00A56B1D">
            <w:pPr>
              <w:pStyle w:val="afc"/>
              <w:widowControl/>
              <w:numPr>
                <w:ilvl w:val="0"/>
                <w:numId w:val="45"/>
              </w:numPr>
              <w:ind w:leftChars="0"/>
              <w:rPr>
                <w:rFonts w:hAnsi="標楷體"/>
                <w:b/>
                <w:sz w:val="27"/>
                <w:szCs w:val="27"/>
              </w:rPr>
            </w:pPr>
          </w:p>
        </w:tc>
        <w:tc>
          <w:tcPr>
            <w:tcW w:w="795" w:type="pct"/>
            <w:vMerge/>
            <w:tcBorders>
              <w:left w:val="single" w:sz="4" w:space="0" w:color="000000"/>
              <w:right w:val="single" w:sz="4" w:space="0" w:color="000000"/>
            </w:tcBorders>
            <w:vAlign w:val="center"/>
            <w:hideMark/>
          </w:tcPr>
          <w:p w:rsidR="00A56B1D" w:rsidRPr="00FD7D6B" w:rsidRDefault="00A56B1D" w:rsidP="00A56B1D">
            <w:pPr>
              <w:widowControl/>
              <w:rPr>
                <w:rFonts w:hAnsi="標楷體"/>
                <w:b/>
                <w:sz w:val="27"/>
                <w:szCs w:val="27"/>
              </w:rPr>
            </w:pPr>
          </w:p>
        </w:tc>
        <w:tc>
          <w:tcPr>
            <w:tcW w:w="783"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ind w:leftChars="-31" w:left="-105" w:rightChars="-44" w:right="-150"/>
              <w:jc w:val="center"/>
              <w:rPr>
                <w:rFonts w:hAnsi="標楷體"/>
                <w:sz w:val="27"/>
                <w:szCs w:val="27"/>
              </w:rPr>
            </w:pPr>
            <w:r w:rsidRPr="00FD7D6B">
              <w:rPr>
                <w:rFonts w:hAnsi="標楷體" w:hint="eastAsia"/>
                <w:sz w:val="27"/>
                <w:szCs w:val="27"/>
              </w:rPr>
              <w:t>實際受檢</w:t>
            </w:r>
          </w:p>
          <w:p w:rsidR="00A56B1D" w:rsidRPr="00FD7D6B" w:rsidRDefault="00A56B1D" w:rsidP="00A56B1D">
            <w:pPr>
              <w:spacing w:line="400" w:lineRule="exact"/>
              <w:ind w:leftChars="-31" w:left="-105" w:rightChars="-44" w:right="-150"/>
              <w:jc w:val="center"/>
              <w:rPr>
                <w:rFonts w:hAnsi="標楷體"/>
                <w:sz w:val="27"/>
                <w:szCs w:val="27"/>
              </w:rPr>
            </w:pPr>
            <w:r w:rsidRPr="00FD7D6B">
              <w:rPr>
                <w:rFonts w:hAnsi="標楷體" w:hint="eastAsia"/>
                <w:sz w:val="27"/>
                <w:szCs w:val="27"/>
              </w:rPr>
              <w:t>人數</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449,492</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521,748</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546,818</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588,051</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618,972</w:t>
            </w:r>
          </w:p>
        </w:tc>
      </w:tr>
      <w:tr w:rsidR="00A56B1D" w:rsidRPr="00FD7D6B" w:rsidTr="004D2958">
        <w:trPr>
          <w:trHeight w:val="539"/>
        </w:trPr>
        <w:tc>
          <w:tcPr>
            <w:tcW w:w="199" w:type="pct"/>
            <w:vMerge/>
            <w:tcBorders>
              <w:left w:val="single" w:sz="4" w:space="0" w:color="000000"/>
              <w:right w:val="single" w:sz="4" w:space="0" w:color="000000"/>
            </w:tcBorders>
          </w:tcPr>
          <w:p w:rsidR="00A56B1D" w:rsidRPr="00FD7D6B" w:rsidRDefault="00A56B1D" w:rsidP="00A56B1D">
            <w:pPr>
              <w:pStyle w:val="afc"/>
              <w:widowControl/>
              <w:numPr>
                <w:ilvl w:val="0"/>
                <w:numId w:val="45"/>
              </w:numPr>
              <w:ind w:leftChars="0"/>
              <w:rPr>
                <w:rFonts w:hAnsi="標楷體"/>
                <w:b/>
                <w:sz w:val="27"/>
                <w:szCs w:val="27"/>
              </w:rPr>
            </w:pPr>
          </w:p>
        </w:tc>
        <w:tc>
          <w:tcPr>
            <w:tcW w:w="795" w:type="pct"/>
            <w:vMerge/>
            <w:tcBorders>
              <w:left w:val="single" w:sz="4" w:space="0" w:color="000000"/>
              <w:right w:val="single" w:sz="4" w:space="0" w:color="000000"/>
            </w:tcBorders>
            <w:vAlign w:val="center"/>
            <w:hideMark/>
          </w:tcPr>
          <w:p w:rsidR="00A56B1D" w:rsidRPr="00FD7D6B" w:rsidRDefault="00A56B1D" w:rsidP="00A56B1D">
            <w:pPr>
              <w:widowControl/>
              <w:rPr>
                <w:rFonts w:hAnsi="標楷體"/>
                <w:b/>
                <w:sz w:val="27"/>
                <w:szCs w:val="27"/>
              </w:rPr>
            </w:pPr>
          </w:p>
        </w:tc>
        <w:tc>
          <w:tcPr>
            <w:tcW w:w="783"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ind w:leftChars="-31" w:left="-105" w:rightChars="-44" w:right="-150"/>
              <w:jc w:val="center"/>
              <w:rPr>
                <w:rFonts w:hAnsi="標楷體"/>
                <w:sz w:val="27"/>
                <w:szCs w:val="27"/>
              </w:rPr>
            </w:pPr>
            <w:r w:rsidRPr="00FD7D6B">
              <w:rPr>
                <w:rFonts w:hAnsi="標楷體" w:hint="eastAsia"/>
                <w:sz w:val="27"/>
                <w:szCs w:val="27"/>
              </w:rPr>
              <w:t>合格人數</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445,438</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517,634</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543,317</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584,314</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615,508</w:t>
            </w:r>
          </w:p>
        </w:tc>
      </w:tr>
      <w:tr w:rsidR="00A56B1D" w:rsidRPr="00FD7D6B" w:rsidTr="004D2958">
        <w:trPr>
          <w:trHeight w:val="539"/>
        </w:trPr>
        <w:tc>
          <w:tcPr>
            <w:tcW w:w="199" w:type="pct"/>
            <w:vMerge/>
            <w:tcBorders>
              <w:left w:val="single" w:sz="4" w:space="0" w:color="000000"/>
              <w:right w:val="single" w:sz="4" w:space="0" w:color="000000"/>
            </w:tcBorders>
          </w:tcPr>
          <w:p w:rsidR="00A56B1D" w:rsidRPr="00FD7D6B" w:rsidRDefault="00A56B1D" w:rsidP="00A56B1D">
            <w:pPr>
              <w:pStyle w:val="afc"/>
              <w:widowControl/>
              <w:numPr>
                <w:ilvl w:val="0"/>
                <w:numId w:val="45"/>
              </w:numPr>
              <w:ind w:leftChars="0"/>
              <w:rPr>
                <w:rFonts w:hAnsi="標楷體"/>
                <w:b/>
                <w:sz w:val="27"/>
                <w:szCs w:val="27"/>
              </w:rPr>
            </w:pPr>
          </w:p>
        </w:tc>
        <w:tc>
          <w:tcPr>
            <w:tcW w:w="795" w:type="pct"/>
            <w:vMerge/>
            <w:tcBorders>
              <w:left w:val="single" w:sz="4" w:space="0" w:color="000000"/>
              <w:right w:val="single" w:sz="4" w:space="0" w:color="000000"/>
            </w:tcBorders>
            <w:vAlign w:val="center"/>
            <w:hideMark/>
          </w:tcPr>
          <w:p w:rsidR="00A56B1D" w:rsidRPr="00FD7D6B" w:rsidRDefault="00A56B1D" w:rsidP="00A56B1D">
            <w:pPr>
              <w:widowControl/>
              <w:rPr>
                <w:rFonts w:hAnsi="標楷體"/>
                <w:b/>
                <w:sz w:val="27"/>
                <w:szCs w:val="27"/>
              </w:rPr>
            </w:pPr>
          </w:p>
        </w:tc>
        <w:tc>
          <w:tcPr>
            <w:tcW w:w="783"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ind w:leftChars="-31" w:left="-105" w:rightChars="-44" w:right="-150"/>
              <w:jc w:val="center"/>
              <w:rPr>
                <w:rFonts w:hAnsi="標楷體"/>
                <w:sz w:val="27"/>
                <w:szCs w:val="27"/>
              </w:rPr>
            </w:pPr>
            <w:r w:rsidRPr="00FD7D6B">
              <w:rPr>
                <w:rFonts w:hAnsi="標楷體" w:hint="eastAsia"/>
                <w:sz w:val="27"/>
                <w:szCs w:val="27"/>
              </w:rPr>
              <w:t>不合格人數</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4,054</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4,114</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3,501</w:t>
            </w:r>
          </w:p>
        </w:tc>
        <w:tc>
          <w:tcPr>
            <w:tcW w:w="645"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3,737</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3,464</w:t>
            </w:r>
          </w:p>
        </w:tc>
      </w:tr>
      <w:tr w:rsidR="00A56B1D" w:rsidRPr="00FD7D6B" w:rsidTr="004D2958">
        <w:trPr>
          <w:trHeight w:val="371"/>
        </w:trPr>
        <w:tc>
          <w:tcPr>
            <w:tcW w:w="199" w:type="pct"/>
            <w:vMerge/>
            <w:tcBorders>
              <w:left w:val="single" w:sz="4" w:space="0" w:color="000000"/>
              <w:right w:val="single" w:sz="4" w:space="0" w:color="000000"/>
            </w:tcBorders>
          </w:tcPr>
          <w:p w:rsidR="00A56B1D" w:rsidRPr="00FD7D6B" w:rsidRDefault="00A56B1D" w:rsidP="00A56B1D">
            <w:pPr>
              <w:pStyle w:val="afc"/>
              <w:widowControl/>
              <w:numPr>
                <w:ilvl w:val="0"/>
                <w:numId w:val="45"/>
              </w:numPr>
              <w:ind w:leftChars="0"/>
              <w:rPr>
                <w:rFonts w:hAnsi="標楷體"/>
                <w:b/>
                <w:sz w:val="27"/>
                <w:szCs w:val="27"/>
              </w:rPr>
            </w:pPr>
          </w:p>
        </w:tc>
        <w:tc>
          <w:tcPr>
            <w:tcW w:w="795" w:type="pct"/>
            <w:vMerge/>
            <w:tcBorders>
              <w:left w:val="single" w:sz="4" w:space="0" w:color="000000"/>
              <w:right w:val="single" w:sz="4" w:space="0" w:color="000000"/>
            </w:tcBorders>
            <w:vAlign w:val="center"/>
            <w:hideMark/>
          </w:tcPr>
          <w:p w:rsidR="00A56B1D" w:rsidRPr="00FD7D6B" w:rsidRDefault="00A56B1D" w:rsidP="00A56B1D">
            <w:pPr>
              <w:widowControl/>
              <w:rPr>
                <w:rFonts w:hAnsi="標楷體"/>
                <w:b/>
                <w:sz w:val="27"/>
                <w:szCs w:val="27"/>
              </w:rPr>
            </w:pPr>
          </w:p>
        </w:tc>
        <w:tc>
          <w:tcPr>
            <w:tcW w:w="783"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ind w:leftChars="-31" w:left="-105" w:rightChars="-44" w:right="-150"/>
              <w:jc w:val="center"/>
              <w:rPr>
                <w:rFonts w:hAnsi="標楷體"/>
                <w:sz w:val="27"/>
                <w:szCs w:val="27"/>
              </w:rPr>
            </w:pPr>
            <w:r w:rsidRPr="00FD7D6B">
              <w:rPr>
                <w:rFonts w:hAnsi="標楷體" w:hint="eastAsia"/>
                <w:sz w:val="27"/>
                <w:szCs w:val="27"/>
              </w:rPr>
              <w:t>合格率(%)</w:t>
            </w:r>
          </w:p>
        </w:tc>
        <w:tc>
          <w:tcPr>
            <w:tcW w:w="645"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99.1</w:t>
            </w:r>
          </w:p>
        </w:tc>
        <w:tc>
          <w:tcPr>
            <w:tcW w:w="647"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99.21</w:t>
            </w:r>
          </w:p>
        </w:tc>
        <w:tc>
          <w:tcPr>
            <w:tcW w:w="645"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99.36</w:t>
            </w:r>
          </w:p>
        </w:tc>
        <w:tc>
          <w:tcPr>
            <w:tcW w:w="645"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99.36</w:t>
            </w:r>
          </w:p>
        </w:tc>
        <w:tc>
          <w:tcPr>
            <w:tcW w:w="642"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99.44</w:t>
            </w:r>
          </w:p>
        </w:tc>
      </w:tr>
      <w:tr w:rsidR="00A56B1D" w:rsidRPr="00FD7D6B" w:rsidTr="004D2958">
        <w:trPr>
          <w:trHeight w:val="280"/>
        </w:trPr>
        <w:tc>
          <w:tcPr>
            <w:tcW w:w="199" w:type="pct"/>
            <w:tcBorders>
              <w:top w:val="single" w:sz="4" w:space="0" w:color="000000"/>
              <w:left w:val="single" w:sz="4" w:space="0" w:color="000000"/>
              <w:right w:val="single" w:sz="4" w:space="0" w:color="000000"/>
            </w:tcBorders>
          </w:tcPr>
          <w:p w:rsidR="00A56B1D" w:rsidRPr="00FD7D6B" w:rsidRDefault="00A56B1D" w:rsidP="00A56B1D">
            <w:pPr>
              <w:pStyle w:val="afc"/>
              <w:numPr>
                <w:ilvl w:val="0"/>
                <w:numId w:val="45"/>
              </w:numPr>
              <w:spacing w:line="400" w:lineRule="exact"/>
              <w:ind w:leftChars="0"/>
              <w:rPr>
                <w:rFonts w:hAnsi="標楷體"/>
                <w:b/>
                <w:sz w:val="27"/>
                <w:szCs w:val="27"/>
              </w:rPr>
            </w:pPr>
          </w:p>
        </w:tc>
        <w:tc>
          <w:tcPr>
            <w:tcW w:w="795"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rPr>
                <w:rFonts w:hAnsi="標楷體"/>
                <w:b/>
                <w:sz w:val="27"/>
                <w:szCs w:val="27"/>
              </w:rPr>
            </w:pPr>
            <w:r w:rsidRPr="00FD7D6B">
              <w:rPr>
                <w:rFonts w:hAnsi="標楷體" w:hint="eastAsia"/>
                <w:b/>
                <w:spacing w:val="-10"/>
                <w:sz w:val="27"/>
                <w:szCs w:val="27"/>
              </w:rPr>
              <w:t>短期補習班外籍語文教師</w:t>
            </w:r>
          </w:p>
        </w:tc>
        <w:tc>
          <w:tcPr>
            <w:tcW w:w="783"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合格人數</w:t>
            </w:r>
          </w:p>
        </w:tc>
        <w:tc>
          <w:tcPr>
            <w:tcW w:w="645"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5,040</w:t>
            </w:r>
          </w:p>
        </w:tc>
        <w:tc>
          <w:tcPr>
            <w:tcW w:w="647"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5,000</w:t>
            </w:r>
          </w:p>
        </w:tc>
        <w:tc>
          <w:tcPr>
            <w:tcW w:w="645"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4,875</w:t>
            </w:r>
          </w:p>
        </w:tc>
        <w:tc>
          <w:tcPr>
            <w:tcW w:w="645"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4,453</w:t>
            </w:r>
          </w:p>
        </w:tc>
        <w:tc>
          <w:tcPr>
            <w:tcW w:w="642"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jc w:val="center"/>
              <w:rPr>
                <w:rFonts w:hAnsi="標楷體"/>
                <w:sz w:val="27"/>
                <w:szCs w:val="27"/>
              </w:rPr>
            </w:pPr>
            <w:r w:rsidRPr="00FD7D6B">
              <w:rPr>
                <w:rFonts w:hAnsi="標楷體"/>
                <w:sz w:val="27"/>
                <w:szCs w:val="27"/>
              </w:rPr>
              <w:t>4,318</w:t>
            </w:r>
          </w:p>
        </w:tc>
      </w:tr>
      <w:tr w:rsidR="00A56B1D" w:rsidRPr="00FD7D6B" w:rsidTr="004D2958">
        <w:trPr>
          <w:trHeight w:val="340"/>
        </w:trPr>
        <w:tc>
          <w:tcPr>
            <w:tcW w:w="199" w:type="pct"/>
            <w:tcBorders>
              <w:top w:val="single" w:sz="4" w:space="0" w:color="000000"/>
              <w:left w:val="single" w:sz="4" w:space="0" w:color="000000"/>
              <w:right w:val="single" w:sz="4" w:space="0" w:color="000000"/>
            </w:tcBorders>
          </w:tcPr>
          <w:p w:rsidR="00A56B1D" w:rsidRPr="00FD7D6B" w:rsidRDefault="00A56B1D" w:rsidP="00A56B1D">
            <w:pPr>
              <w:pStyle w:val="afc"/>
              <w:numPr>
                <w:ilvl w:val="0"/>
                <w:numId w:val="45"/>
              </w:numPr>
              <w:spacing w:line="400" w:lineRule="exact"/>
              <w:ind w:leftChars="0"/>
              <w:rPr>
                <w:rFonts w:hAnsi="標楷體"/>
                <w:b/>
                <w:sz w:val="27"/>
                <w:szCs w:val="27"/>
              </w:rPr>
            </w:pPr>
          </w:p>
        </w:tc>
        <w:tc>
          <w:tcPr>
            <w:tcW w:w="795"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rPr>
                <w:rFonts w:hAnsi="標楷體"/>
                <w:b/>
                <w:sz w:val="27"/>
                <w:szCs w:val="27"/>
              </w:rPr>
            </w:pPr>
            <w:r w:rsidRPr="00FD7D6B">
              <w:rPr>
                <w:rFonts w:hAnsi="標楷體" w:hint="eastAsia"/>
                <w:b/>
                <w:spacing w:val="-10"/>
                <w:sz w:val="27"/>
                <w:szCs w:val="27"/>
              </w:rPr>
              <w:t>外籍及大陸學位生</w:t>
            </w:r>
          </w:p>
        </w:tc>
        <w:tc>
          <w:tcPr>
            <w:tcW w:w="783" w:type="pct"/>
            <w:tcBorders>
              <w:top w:val="single" w:sz="4" w:space="0" w:color="000000"/>
              <w:left w:val="single" w:sz="4" w:space="0" w:color="000000"/>
              <w:right w:val="single" w:sz="4" w:space="0" w:color="000000"/>
            </w:tcBorders>
            <w:vAlign w:val="center"/>
            <w:hideMark/>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合格人數</w:t>
            </w:r>
          </w:p>
        </w:tc>
        <w:tc>
          <w:tcPr>
            <w:tcW w:w="645"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40,078</w:t>
            </w:r>
          </w:p>
        </w:tc>
        <w:tc>
          <w:tcPr>
            <w:tcW w:w="647"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46,470</w:t>
            </w:r>
          </w:p>
        </w:tc>
        <w:tc>
          <w:tcPr>
            <w:tcW w:w="645"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51,741</w:t>
            </w:r>
          </w:p>
        </w:tc>
        <w:tc>
          <w:tcPr>
            <w:tcW w:w="645"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55,916</w:t>
            </w:r>
          </w:p>
        </w:tc>
        <w:tc>
          <w:tcPr>
            <w:tcW w:w="642"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jc w:val="center"/>
              <w:rPr>
                <w:rFonts w:hAnsi="標楷體"/>
                <w:sz w:val="27"/>
                <w:szCs w:val="27"/>
              </w:rPr>
            </w:pPr>
            <w:r w:rsidRPr="00FD7D6B">
              <w:rPr>
                <w:rFonts w:hAnsi="標楷體" w:hint="eastAsia"/>
                <w:sz w:val="27"/>
                <w:szCs w:val="27"/>
              </w:rPr>
              <w:t>61,970</w:t>
            </w:r>
          </w:p>
        </w:tc>
      </w:tr>
      <w:tr w:rsidR="00A56B1D" w:rsidRPr="00FD7D6B" w:rsidTr="004D2958">
        <w:trPr>
          <w:trHeight w:val="340"/>
        </w:trPr>
        <w:tc>
          <w:tcPr>
            <w:tcW w:w="199" w:type="pct"/>
            <w:tcBorders>
              <w:top w:val="single" w:sz="4" w:space="0" w:color="000000"/>
              <w:left w:val="single" w:sz="4" w:space="0" w:color="000000"/>
              <w:right w:val="single" w:sz="4" w:space="0" w:color="000000"/>
            </w:tcBorders>
          </w:tcPr>
          <w:p w:rsidR="00A56B1D" w:rsidRPr="00FD7D6B" w:rsidRDefault="00A56B1D" w:rsidP="00A56B1D">
            <w:pPr>
              <w:pStyle w:val="afc"/>
              <w:numPr>
                <w:ilvl w:val="0"/>
                <w:numId w:val="45"/>
              </w:numPr>
              <w:spacing w:line="400" w:lineRule="exact"/>
              <w:ind w:leftChars="0"/>
              <w:rPr>
                <w:rFonts w:hAnsi="標楷體"/>
                <w:b/>
                <w:sz w:val="27"/>
                <w:szCs w:val="27"/>
              </w:rPr>
            </w:pPr>
          </w:p>
        </w:tc>
        <w:tc>
          <w:tcPr>
            <w:tcW w:w="795" w:type="pct"/>
            <w:tcBorders>
              <w:top w:val="single" w:sz="4" w:space="0" w:color="000000"/>
              <w:left w:val="single" w:sz="4" w:space="0" w:color="000000"/>
              <w:right w:val="single" w:sz="4" w:space="0" w:color="000000"/>
            </w:tcBorders>
            <w:vAlign w:val="center"/>
          </w:tcPr>
          <w:p w:rsidR="00A56B1D" w:rsidRPr="00FD7D6B" w:rsidRDefault="00A56B1D" w:rsidP="004D2958">
            <w:pPr>
              <w:spacing w:line="400" w:lineRule="exact"/>
              <w:rPr>
                <w:rFonts w:hAnsi="標楷體"/>
                <w:b/>
                <w:sz w:val="27"/>
                <w:szCs w:val="27"/>
              </w:rPr>
            </w:pPr>
            <w:r w:rsidRPr="00FD7D6B">
              <w:rPr>
                <w:rFonts w:hAnsi="標楷體" w:hint="eastAsia"/>
                <w:b/>
                <w:spacing w:val="-10"/>
                <w:sz w:val="27"/>
                <w:szCs w:val="27"/>
              </w:rPr>
              <w:t>辦理居留</w:t>
            </w:r>
            <w:r w:rsidRPr="00FD7D6B">
              <w:rPr>
                <w:rFonts w:hAnsi="標楷體" w:hint="eastAsia"/>
                <w:b/>
                <w:spacing w:val="-10"/>
                <w:sz w:val="27"/>
                <w:szCs w:val="27"/>
              </w:rPr>
              <w:lastRenderedPageBreak/>
              <w:t>或定居人士</w:t>
            </w:r>
          </w:p>
        </w:tc>
        <w:tc>
          <w:tcPr>
            <w:tcW w:w="783"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ind w:left="34" w:right="-105"/>
              <w:jc w:val="center"/>
              <w:rPr>
                <w:rFonts w:hAnsi="標楷體"/>
                <w:sz w:val="27"/>
                <w:szCs w:val="27"/>
              </w:rPr>
            </w:pPr>
            <w:r w:rsidRPr="00FD7D6B">
              <w:rPr>
                <w:rFonts w:hAnsi="標楷體" w:hint="eastAsia"/>
                <w:sz w:val="27"/>
                <w:szCs w:val="27"/>
              </w:rPr>
              <w:lastRenderedPageBreak/>
              <w:t>合格人數</w:t>
            </w:r>
          </w:p>
        </w:tc>
        <w:tc>
          <w:tcPr>
            <w:tcW w:w="645"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ind w:left="34" w:right="-105"/>
              <w:jc w:val="center"/>
              <w:rPr>
                <w:rFonts w:hAnsi="標楷體"/>
                <w:sz w:val="27"/>
                <w:szCs w:val="27"/>
              </w:rPr>
            </w:pPr>
            <w:r w:rsidRPr="00FD7D6B">
              <w:rPr>
                <w:rFonts w:hAnsi="標楷體" w:hint="eastAsia"/>
                <w:sz w:val="27"/>
                <w:szCs w:val="27"/>
              </w:rPr>
              <w:t>35</w:t>
            </w:r>
            <w:r w:rsidRPr="00FD7D6B">
              <w:rPr>
                <w:rFonts w:hAnsi="標楷體"/>
                <w:sz w:val="27"/>
                <w:szCs w:val="27"/>
              </w:rPr>
              <w:t>,</w:t>
            </w:r>
            <w:r w:rsidRPr="00FD7D6B">
              <w:rPr>
                <w:rFonts w:hAnsi="標楷體" w:hint="eastAsia"/>
                <w:sz w:val="27"/>
                <w:szCs w:val="27"/>
              </w:rPr>
              <w:t>000</w:t>
            </w:r>
          </w:p>
        </w:tc>
        <w:tc>
          <w:tcPr>
            <w:tcW w:w="647"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ind w:left="34" w:right="-105"/>
              <w:jc w:val="center"/>
              <w:rPr>
                <w:rFonts w:hAnsi="標楷體"/>
                <w:sz w:val="27"/>
                <w:szCs w:val="27"/>
              </w:rPr>
            </w:pPr>
            <w:r w:rsidRPr="00FD7D6B">
              <w:rPr>
                <w:rFonts w:hAnsi="標楷體" w:hint="eastAsia"/>
                <w:sz w:val="27"/>
                <w:szCs w:val="27"/>
              </w:rPr>
              <w:t>35</w:t>
            </w:r>
            <w:r w:rsidRPr="00FD7D6B">
              <w:rPr>
                <w:rFonts w:hAnsi="標楷體"/>
                <w:sz w:val="27"/>
                <w:szCs w:val="27"/>
              </w:rPr>
              <w:t>,</w:t>
            </w:r>
            <w:r w:rsidRPr="00FD7D6B">
              <w:rPr>
                <w:rFonts w:hAnsi="標楷體" w:hint="eastAsia"/>
                <w:sz w:val="27"/>
                <w:szCs w:val="27"/>
              </w:rPr>
              <w:t>000</w:t>
            </w:r>
          </w:p>
        </w:tc>
        <w:tc>
          <w:tcPr>
            <w:tcW w:w="645"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ind w:left="34" w:right="-105"/>
              <w:jc w:val="center"/>
              <w:rPr>
                <w:rFonts w:hAnsi="標楷體"/>
                <w:sz w:val="27"/>
                <w:szCs w:val="27"/>
              </w:rPr>
            </w:pPr>
            <w:r w:rsidRPr="00FD7D6B">
              <w:rPr>
                <w:rFonts w:hAnsi="標楷體" w:hint="eastAsia"/>
                <w:sz w:val="27"/>
                <w:szCs w:val="27"/>
              </w:rPr>
              <w:t>35</w:t>
            </w:r>
            <w:r w:rsidRPr="00FD7D6B">
              <w:rPr>
                <w:rFonts w:hAnsi="標楷體"/>
                <w:sz w:val="27"/>
                <w:szCs w:val="27"/>
              </w:rPr>
              <w:t>,</w:t>
            </w:r>
            <w:r w:rsidRPr="00FD7D6B">
              <w:rPr>
                <w:rFonts w:hAnsi="標楷體" w:hint="eastAsia"/>
                <w:sz w:val="27"/>
                <w:szCs w:val="27"/>
              </w:rPr>
              <w:t>000</w:t>
            </w:r>
          </w:p>
        </w:tc>
        <w:tc>
          <w:tcPr>
            <w:tcW w:w="645"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ind w:left="34" w:right="-105"/>
              <w:jc w:val="center"/>
              <w:rPr>
                <w:rFonts w:hAnsi="標楷體"/>
                <w:sz w:val="27"/>
                <w:szCs w:val="27"/>
              </w:rPr>
            </w:pPr>
            <w:r w:rsidRPr="00FD7D6B">
              <w:rPr>
                <w:rFonts w:hAnsi="標楷體" w:hint="eastAsia"/>
                <w:sz w:val="27"/>
                <w:szCs w:val="27"/>
              </w:rPr>
              <w:t>35</w:t>
            </w:r>
            <w:r w:rsidRPr="00FD7D6B">
              <w:rPr>
                <w:rFonts w:hAnsi="標楷體"/>
                <w:sz w:val="27"/>
                <w:szCs w:val="27"/>
              </w:rPr>
              <w:t>,</w:t>
            </w:r>
            <w:r w:rsidRPr="00FD7D6B">
              <w:rPr>
                <w:rFonts w:hAnsi="標楷體" w:hint="eastAsia"/>
                <w:sz w:val="27"/>
                <w:szCs w:val="27"/>
              </w:rPr>
              <w:t>000</w:t>
            </w:r>
          </w:p>
        </w:tc>
        <w:tc>
          <w:tcPr>
            <w:tcW w:w="642" w:type="pct"/>
            <w:tcBorders>
              <w:top w:val="single" w:sz="4" w:space="0" w:color="000000"/>
              <w:left w:val="single" w:sz="4" w:space="0" w:color="000000"/>
              <w:right w:val="single" w:sz="4" w:space="0" w:color="000000"/>
            </w:tcBorders>
            <w:vAlign w:val="center"/>
          </w:tcPr>
          <w:p w:rsidR="00A56B1D" w:rsidRPr="00FD7D6B" w:rsidRDefault="00A56B1D" w:rsidP="00A56B1D">
            <w:pPr>
              <w:spacing w:line="400" w:lineRule="exact"/>
              <w:ind w:left="34" w:right="-105"/>
              <w:jc w:val="center"/>
              <w:rPr>
                <w:rFonts w:hAnsi="標楷體"/>
                <w:sz w:val="27"/>
                <w:szCs w:val="27"/>
              </w:rPr>
            </w:pPr>
            <w:r w:rsidRPr="00FD7D6B">
              <w:rPr>
                <w:rFonts w:hAnsi="標楷體" w:hint="eastAsia"/>
                <w:sz w:val="27"/>
                <w:szCs w:val="27"/>
              </w:rPr>
              <w:t>35</w:t>
            </w:r>
            <w:r w:rsidRPr="00FD7D6B">
              <w:rPr>
                <w:rFonts w:hAnsi="標楷體"/>
                <w:sz w:val="27"/>
                <w:szCs w:val="27"/>
              </w:rPr>
              <w:t>,</w:t>
            </w:r>
            <w:r w:rsidRPr="00FD7D6B">
              <w:rPr>
                <w:rFonts w:hAnsi="標楷體" w:hint="eastAsia"/>
                <w:sz w:val="27"/>
                <w:szCs w:val="27"/>
              </w:rPr>
              <w:t>000</w:t>
            </w:r>
          </w:p>
        </w:tc>
      </w:tr>
    </w:tbl>
    <w:p w:rsidR="001C5E43" w:rsidRPr="00FD7D6B" w:rsidRDefault="001C5E43" w:rsidP="009610A1">
      <w:pPr>
        <w:pStyle w:val="3"/>
        <w:numPr>
          <w:ilvl w:val="0"/>
          <w:numId w:val="0"/>
        </w:numPr>
        <w:spacing w:line="280" w:lineRule="exact"/>
        <w:ind w:left="708" w:hangingChars="272" w:hanging="708"/>
        <w:rPr>
          <w:sz w:val="24"/>
          <w:szCs w:val="24"/>
        </w:rPr>
      </w:pPr>
      <w:r w:rsidRPr="00FD7D6B">
        <w:rPr>
          <w:rFonts w:hint="eastAsia"/>
          <w:sz w:val="24"/>
          <w:szCs w:val="24"/>
        </w:rPr>
        <w:t>備註：外勞</w:t>
      </w:r>
      <w:r w:rsidR="00537C50" w:rsidRPr="00FD7D6B">
        <w:rPr>
          <w:rFonts w:hint="eastAsia"/>
          <w:sz w:val="24"/>
          <w:szCs w:val="24"/>
        </w:rPr>
        <w:t>來源</w:t>
      </w:r>
      <w:r w:rsidRPr="00FD7D6B">
        <w:rPr>
          <w:rFonts w:hint="eastAsia"/>
          <w:sz w:val="24"/>
          <w:szCs w:val="24"/>
        </w:rPr>
        <w:t>國健檢、短期補習班外籍語文教師</w:t>
      </w:r>
      <w:r w:rsidRPr="00FD7D6B">
        <w:rPr>
          <w:sz w:val="24"/>
          <w:szCs w:val="24"/>
        </w:rPr>
        <w:t>健檢</w:t>
      </w:r>
      <w:r w:rsidRPr="00FD7D6B">
        <w:rPr>
          <w:rFonts w:hint="eastAsia"/>
          <w:sz w:val="24"/>
          <w:szCs w:val="24"/>
        </w:rPr>
        <w:t>、外籍及大陸學位生</w:t>
      </w:r>
      <w:r w:rsidRPr="00FD7D6B">
        <w:rPr>
          <w:sz w:val="24"/>
          <w:szCs w:val="24"/>
        </w:rPr>
        <w:t>健檢</w:t>
      </w:r>
      <w:r w:rsidRPr="00FD7D6B">
        <w:rPr>
          <w:rFonts w:hint="eastAsia"/>
          <w:sz w:val="24"/>
          <w:szCs w:val="24"/>
        </w:rPr>
        <w:t>、辦理居留或定居人士等均係健檢合格者才會至外交部駐外館處申辦來臺簽證，因此該等項目僅填列合格人數。</w:t>
      </w:r>
    </w:p>
    <w:p w:rsidR="00FC36FD" w:rsidRPr="00FD7D6B" w:rsidRDefault="001C5E43" w:rsidP="009610A1">
      <w:pPr>
        <w:pStyle w:val="3"/>
        <w:numPr>
          <w:ilvl w:val="0"/>
          <w:numId w:val="0"/>
        </w:numPr>
        <w:spacing w:line="280" w:lineRule="exact"/>
        <w:rPr>
          <w:sz w:val="24"/>
          <w:szCs w:val="24"/>
        </w:rPr>
      </w:pPr>
      <w:r w:rsidRPr="00FD7D6B">
        <w:rPr>
          <w:rFonts w:hint="eastAsia"/>
          <w:sz w:val="24"/>
          <w:szCs w:val="24"/>
        </w:rPr>
        <w:t>資料來源:</w:t>
      </w:r>
      <w:r w:rsidR="00FC36FD" w:rsidRPr="00FD7D6B">
        <w:rPr>
          <w:rFonts w:hint="eastAsia"/>
          <w:sz w:val="24"/>
          <w:szCs w:val="24"/>
        </w:rPr>
        <w:t>疾管署</w:t>
      </w:r>
    </w:p>
    <w:p w:rsidR="00984D4D" w:rsidRPr="00FD7D6B" w:rsidRDefault="00984D4D" w:rsidP="00984D4D">
      <w:pPr>
        <w:pStyle w:val="3"/>
        <w:numPr>
          <w:ilvl w:val="2"/>
          <w:numId w:val="1"/>
        </w:numPr>
      </w:pPr>
      <w:r w:rsidRPr="00FD7D6B">
        <w:rPr>
          <w:rFonts w:hint="eastAsia"/>
        </w:rPr>
        <w:t>有關內政部、教育部及勞動部對於上開入境者之健康檢查資料之保存、管理機制及有否由疾管署統計與應用等問題，據疾管署表示：</w:t>
      </w:r>
      <w:r w:rsidRPr="00FD7D6B">
        <w:rPr>
          <w:rFonts w:ascii="新細明體" w:eastAsia="新細明體" w:hAnsi="新細明體" w:hint="eastAsia"/>
        </w:rPr>
        <w:t>「</w:t>
      </w:r>
      <w:r w:rsidRPr="00FD7D6B">
        <w:rPr>
          <w:rFonts w:hint="eastAsia"/>
        </w:rPr>
        <w:t>由</w:t>
      </w:r>
      <w:r w:rsidRPr="00FD7D6B">
        <w:t>於</w:t>
      </w:r>
      <w:r w:rsidRPr="00FD7D6B">
        <w:rPr>
          <w:rFonts w:hint="eastAsia"/>
        </w:rPr>
        <w:t>外籍</w:t>
      </w:r>
      <w:r w:rsidRPr="00FD7D6B">
        <w:t>勞工</w:t>
      </w:r>
      <w:r w:rsidRPr="00FD7D6B">
        <w:rPr>
          <w:rFonts w:hint="eastAsia"/>
        </w:rPr>
        <w:t>來自傳</w:t>
      </w:r>
      <w:r w:rsidRPr="00FD7D6B">
        <w:t>染病風險</w:t>
      </w:r>
      <w:r w:rsidRPr="00FD7D6B">
        <w:rPr>
          <w:rFonts w:hint="eastAsia"/>
        </w:rPr>
        <w:t>較</w:t>
      </w:r>
      <w:r w:rsidRPr="00FD7D6B">
        <w:t>高之東南亞國家</w:t>
      </w:r>
      <w:r w:rsidRPr="00FD7D6B">
        <w:rPr>
          <w:rFonts w:hint="eastAsia"/>
        </w:rPr>
        <w:t>，需</w:t>
      </w:r>
      <w:r w:rsidRPr="00FD7D6B">
        <w:t>於</w:t>
      </w:r>
      <w:r w:rsidR="00537C50" w:rsidRPr="00FD7D6B">
        <w:rPr>
          <w:rFonts w:hint="eastAsia"/>
        </w:rPr>
        <w:t>來源</w:t>
      </w:r>
      <w:r w:rsidRPr="00FD7D6B">
        <w:t>國</w:t>
      </w:r>
      <w:r w:rsidRPr="00FD7D6B">
        <w:rPr>
          <w:rFonts w:hint="eastAsia"/>
        </w:rPr>
        <w:t>接</w:t>
      </w:r>
      <w:r w:rsidRPr="00FD7D6B">
        <w:t>受</w:t>
      </w:r>
      <w:r w:rsidRPr="00FD7D6B">
        <w:rPr>
          <w:rFonts w:hint="eastAsia"/>
        </w:rPr>
        <w:t>健</w:t>
      </w:r>
      <w:r w:rsidRPr="00FD7D6B">
        <w:t>檢合</w:t>
      </w:r>
      <w:r w:rsidRPr="00FD7D6B">
        <w:rPr>
          <w:rFonts w:hint="eastAsia"/>
        </w:rPr>
        <w:t>格始</w:t>
      </w:r>
      <w:r w:rsidRPr="00FD7D6B">
        <w:t>能取得</w:t>
      </w:r>
      <w:r w:rsidRPr="00FD7D6B">
        <w:rPr>
          <w:rFonts w:hint="eastAsia"/>
        </w:rPr>
        <w:t>居</w:t>
      </w:r>
      <w:r w:rsidRPr="00FD7D6B">
        <w:t>留簽</w:t>
      </w:r>
      <w:r w:rsidRPr="00FD7D6B">
        <w:rPr>
          <w:rFonts w:hint="eastAsia"/>
        </w:rPr>
        <w:t>證</w:t>
      </w:r>
      <w:r w:rsidRPr="00FD7D6B">
        <w:t>來臺工作</w:t>
      </w:r>
      <w:r w:rsidRPr="00FD7D6B">
        <w:rPr>
          <w:rFonts w:hint="eastAsia"/>
        </w:rPr>
        <w:t>，</w:t>
      </w:r>
      <w:r w:rsidRPr="00FD7D6B">
        <w:t>而其入國</w:t>
      </w:r>
      <w:r w:rsidRPr="00FD7D6B">
        <w:rPr>
          <w:rFonts w:hint="eastAsia"/>
        </w:rPr>
        <w:t>後3日內</w:t>
      </w:r>
      <w:r w:rsidRPr="00FD7D6B">
        <w:t>健檢、工作</w:t>
      </w:r>
      <w:r w:rsidRPr="00FD7D6B">
        <w:rPr>
          <w:rFonts w:hint="eastAsia"/>
        </w:rPr>
        <w:t>滿6個</w:t>
      </w:r>
      <w:r w:rsidRPr="00FD7D6B">
        <w:t>月、</w:t>
      </w:r>
      <w:r w:rsidRPr="00FD7D6B">
        <w:rPr>
          <w:rFonts w:hint="eastAsia"/>
        </w:rPr>
        <w:t>18個</w:t>
      </w:r>
      <w:r w:rsidRPr="00FD7D6B">
        <w:t>月及</w:t>
      </w:r>
      <w:r w:rsidRPr="00FD7D6B">
        <w:rPr>
          <w:rFonts w:hint="eastAsia"/>
        </w:rPr>
        <w:t>30個</w:t>
      </w:r>
      <w:r w:rsidRPr="00FD7D6B">
        <w:t>月</w:t>
      </w:r>
      <w:r w:rsidRPr="00FD7D6B">
        <w:rPr>
          <w:rFonts w:hint="eastAsia"/>
        </w:rPr>
        <w:t>之定</w:t>
      </w:r>
      <w:r w:rsidRPr="00FD7D6B">
        <w:t>期健檢</w:t>
      </w:r>
      <w:r w:rsidRPr="00FD7D6B">
        <w:rPr>
          <w:rFonts w:hint="eastAsia"/>
        </w:rPr>
        <w:t>資料，</w:t>
      </w:r>
      <w:r w:rsidRPr="00FD7D6B">
        <w:t>由</w:t>
      </w:r>
      <w:r w:rsidRPr="00FD7D6B">
        <w:rPr>
          <w:rFonts w:hint="eastAsia"/>
        </w:rPr>
        <w:t>勞</w:t>
      </w:r>
      <w:r w:rsidRPr="00FD7D6B">
        <w:t>動部及疾</w:t>
      </w:r>
      <w:r w:rsidRPr="00FD7D6B">
        <w:rPr>
          <w:rFonts w:hint="eastAsia"/>
        </w:rPr>
        <w:t>管</w:t>
      </w:r>
      <w:r w:rsidRPr="00FD7D6B">
        <w:t>署</w:t>
      </w:r>
      <w:r w:rsidRPr="00FD7D6B">
        <w:rPr>
          <w:rFonts w:hint="eastAsia"/>
        </w:rPr>
        <w:t>透</w:t>
      </w:r>
      <w:r w:rsidRPr="00FD7D6B">
        <w:t>過系統轉</w:t>
      </w:r>
      <w:r w:rsidRPr="00FD7D6B">
        <w:rPr>
          <w:rFonts w:hint="eastAsia"/>
        </w:rPr>
        <w:t>介，</w:t>
      </w:r>
      <w:r w:rsidRPr="00FD7D6B">
        <w:t>共</w:t>
      </w:r>
      <w:r w:rsidRPr="00FD7D6B">
        <w:rPr>
          <w:rFonts w:hint="eastAsia"/>
        </w:rPr>
        <w:t>同掌</w:t>
      </w:r>
      <w:r w:rsidRPr="00FD7D6B">
        <w:t>握</w:t>
      </w:r>
      <w:r w:rsidRPr="00FD7D6B">
        <w:rPr>
          <w:rFonts w:hint="eastAsia"/>
        </w:rPr>
        <w:t>外</w:t>
      </w:r>
      <w:r w:rsidRPr="00FD7D6B">
        <w:t>勞健檢狀況</w:t>
      </w:r>
      <w:r w:rsidRPr="00FD7D6B">
        <w:rPr>
          <w:rFonts w:hint="eastAsia"/>
        </w:rPr>
        <w:t>；</w:t>
      </w:r>
      <w:r w:rsidRPr="00FD7D6B">
        <w:t>而其</w:t>
      </w:r>
      <w:r w:rsidRPr="00FD7D6B">
        <w:rPr>
          <w:rFonts w:hint="eastAsia"/>
        </w:rPr>
        <w:t>他</w:t>
      </w:r>
      <w:r w:rsidRPr="00FD7D6B">
        <w:t>外國人</w:t>
      </w:r>
      <w:r w:rsidRPr="00FD7D6B">
        <w:rPr>
          <w:rFonts w:hint="eastAsia"/>
        </w:rPr>
        <w:t>士健</w:t>
      </w:r>
      <w:r w:rsidRPr="00FD7D6B">
        <w:t>檢資料，</w:t>
      </w:r>
      <w:r w:rsidRPr="00FD7D6B">
        <w:rPr>
          <w:rFonts w:hint="eastAsia"/>
        </w:rPr>
        <w:t>則</w:t>
      </w:r>
      <w:r w:rsidRPr="00FD7D6B">
        <w:t>由各</w:t>
      </w:r>
      <w:r w:rsidRPr="00FD7D6B">
        <w:rPr>
          <w:rFonts w:hint="eastAsia"/>
        </w:rPr>
        <w:t>部</w:t>
      </w:r>
      <w:r w:rsidRPr="00FD7D6B">
        <w:t>會機關</w:t>
      </w:r>
      <w:r w:rsidRPr="00FD7D6B">
        <w:rPr>
          <w:rFonts w:hint="eastAsia"/>
        </w:rPr>
        <w:t>自</w:t>
      </w:r>
      <w:r w:rsidRPr="00FD7D6B">
        <w:t>行</w:t>
      </w:r>
      <w:r w:rsidRPr="00FD7D6B">
        <w:rPr>
          <w:rFonts w:hint="eastAsia"/>
        </w:rPr>
        <w:t>存留。」</w:t>
      </w:r>
      <w:r w:rsidR="00C27525" w:rsidRPr="00FD7D6B">
        <w:rPr>
          <w:rFonts w:hint="eastAsia"/>
        </w:rPr>
        <w:t>另</w:t>
      </w:r>
      <w:r w:rsidRPr="00FD7D6B">
        <w:rPr>
          <w:rFonts w:hint="eastAsia"/>
        </w:rPr>
        <w:t>依教育部查復：「境外學生來臺之健康檢查作業係依據外交部及衛生福利部相關規定辦理，並由駐外館處審理，本部未曾接獲疾管署索取或查詢該等資料。」再詢據疾管署表示：「</w:t>
      </w:r>
      <w:r w:rsidRPr="00FD7D6B">
        <w:rPr>
          <w:rFonts w:hint="eastAsia"/>
          <w:sz w:val="28"/>
          <w:szCs w:val="28"/>
        </w:rPr>
        <w:t>(問：入境健康檢查資料是否有專屬資料庫保存，如何有效成為疾管署之統計與防疫應用的資料來源？)</w:t>
      </w:r>
      <w:r w:rsidRPr="00FD7D6B">
        <w:rPr>
          <w:rFonts w:hint="eastAsia"/>
        </w:rPr>
        <w:t>駐外代表處審查入境者來臺前於</w:t>
      </w:r>
      <w:r w:rsidR="00537C50" w:rsidRPr="00FD7D6B">
        <w:rPr>
          <w:rFonts w:hint="eastAsia"/>
        </w:rPr>
        <w:t>來源</w:t>
      </w:r>
      <w:r w:rsidRPr="00FD7D6B">
        <w:rPr>
          <w:rFonts w:hint="eastAsia"/>
        </w:rPr>
        <w:t>國的健檢資料，結果合格始能入臺，此部分並沒有在疾管署的資料庫中，但如果在臺之健檢有疑似傳染病可能時，醫院依法須進行通報並進入傳染病系統。」足見疾管署未有效管理及應用外國人士於入境前之健康檢查資料，並藉以掌握各國傳染病疫情狀況。</w:t>
      </w:r>
    </w:p>
    <w:p w:rsidR="003770A0" w:rsidRPr="00FD7D6B" w:rsidRDefault="00984D4D" w:rsidP="003770A0">
      <w:pPr>
        <w:pStyle w:val="3"/>
        <w:numPr>
          <w:ilvl w:val="2"/>
          <w:numId w:val="1"/>
        </w:numPr>
      </w:pPr>
      <w:r w:rsidRPr="00FD7D6B">
        <w:rPr>
          <w:rFonts w:hint="eastAsia"/>
        </w:rPr>
        <w:t>據上，</w:t>
      </w:r>
      <w:r w:rsidR="003770A0" w:rsidRPr="00FD7D6B">
        <w:rPr>
          <w:rFonts w:hint="eastAsia"/>
        </w:rPr>
        <w:t>每年超過32萬外籍人士赴臺就業、就學或居留，惟疾管署對其入境前需於來源國完成之健康檢查項目過於簡單，結果僅以「合格」及「不合格」</w:t>
      </w:r>
      <w:r w:rsidR="003770A0" w:rsidRPr="00FD7D6B">
        <w:rPr>
          <w:rFonts w:hint="eastAsia"/>
        </w:rPr>
        <w:lastRenderedPageBreak/>
        <w:t>表示，欠缺相關傳染病史或其他檢疫項目要求，難以明確掌握其健康狀況，該署宜參照美國、加拿大、澳洲等先進國家關於健檢項目及表格設計，尤其是關於永久居留者之健康條件要求，以求精進；且內政部、教育部及勞動部對於其於入境前之健康檢查資料未能整合建檔管理，疾管署宜建立轉介系統以統整及應用，藉以掌握各國傳染病疫情狀況，使健檢及審議作業發揮更大效益；另有關因在來源國所辦理之健檢不合格致無法申請入臺簽證者，疾管署允宜同等重視該等資料，分析其原因進而加以運用，以健全健檢作業設計及強化傳染病防治。</w:t>
      </w:r>
    </w:p>
    <w:p w:rsidR="00C43AE1" w:rsidRPr="00FD7D6B" w:rsidRDefault="00C43AE1" w:rsidP="00DB5C43">
      <w:pPr>
        <w:pStyle w:val="2"/>
        <w:rPr>
          <w:b/>
        </w:rPr>
      </w:pPr>
      <w:bookmarkStart w:id="51" w:name="_Toc421794882"/>
      <w:bookmarkStart w:id="52" w:name="_Toc422834167"/>
      <w:bookmarkStart w:id="53" w:name="_Toc4467127"/>
      <w:bookmarkEnd w:id="50"/>
      <w:r w:rsidRPr="00FD7D6B">
        <w:rPr>
          <w:rFonts w:hint="eastAsia"/>
          <w:b/>
        </w:rPr>
        <w:t>受聘外國人或外籍學生申請入境所檢附之健康檢查結果證明雖須經我國外交部駐外代表處驗證，惟驗證內容在於證明文件來源之有效性，並未包括各項檢查結果之準確性，且疾管署對於</w:t>
      </w:r>
      <w:r w:rsidR="00DB5C43" w:rsidRPr="00FD7D6B">
        <w:rPr>
          <w:rFonts w:hint="eastAsia"/>
          <w:b/>
        </w:rPr>
        <w:t>辦理健康檢查之國外醫院</w:t>
      </w:r>
      <w:r w:rsidRPr="00FD7D6B">
        <w:rPr>
          <w:rFonts w:hint="eastAsia"/>
          <w:b/>
        </w:rPr>
        <w:t>並無規範其進行檢查之方法，亦無相關查核與確認要求，難以確保健檢作業品質；復目前經衛福部認可得辦理健康檢查之國外醫院，大多過度集中於首都，不僅影響非首都居民之權益，亦使我國藉以瞭解各區域傳染病管道有所受限</w:t>
      </w:r>
      <w:r w:rsidR="00D34AF2" w:rsidRPr="00FD7D6B">
        <w:rPr>
          <w:rFonts w:hint="eastAsia"/>
          <w:b/>
        </w:rPr>
        <w:t>；再且衛福部對於國外辦理健康檢查醫院之認可作業，並未與現新南向政策</w:t>
      </w:r>
      <w:r w:rsidR="00AB6B06" w:rsidRPr="00FD7D6B">
        <w:rPr>
          <w:rFonts w:hint="eastAsia"/>
          <w:b/>
        </w:rPr>
        <w:t>「一國一中心」計畫</w:t>
      </w:r>
      <w:r w:rsidR="00D34AF2" w:rsidRPr="00FD7D6B">
        <w:rPr>
          <w:rFonts w:hint="eastAsia"/>
          <w:b/>
        </w:rPr>
        <w:t>整合</w:t>
      </w:r>
      <w:r w:rsidR="00AB6B06" w:rsidRPr="00FD7D6B">
        <w:rPr>
          <w:rFonts w:hint="eastAsia"/>
          <w:b/>
        </w:rPr>
        <w:t>，</w:t>
      </w:r>
      <w:r w:rsidR="00D2592D" w:rsidRPr="00FD7D6B">
        <w:rPr>
          <w:rFonts w:hint="eastAsia"/>
          <w:b/>
        </w:rPr>
        <w:t>致難以藉此利基擴大認可醫院範圍及提升檢驗品質，</w:t>
      </w:r>
      <w:r w:rsidRPr="00FD7D6B">
        <w:rPr>
          <w:rFonts w:hint="eastAsia"/>
          <w:b/>
        </w:rPr>
        <w:t>均有待檢討改善。</w:t>
      </w:r>
    </w:p>
    <w:p w:rsidR="00C43AE1" w:rsidRPr="00FD7D6B" w:rsidRDefault="00C43AE1" w:rsidP="00C43AE1">
      <w:pPr>
        <w:pStyle w:val="3"/>
        <w:numPr>
          <w:ilvl w:val="2"/>
          <w:numId w:val="1"/>
        </w:numPr>
      </w:pPr>
      <w:r w:rsidRPr="00FD7D6B">
        <w:rPr>
          <w:rFonts w:hint="eastAsia"/>
        </w:rPr>
        <w:t>按就業服務法第48條第1項及第3項規定，雇主聘僱外國人工作，應檢具有關文件，向勞動部申請許可，而受聘僱外國人入境前後之健康檢查管理辦法，由衛福部會商勞動部定之；爰此，衛福部於93年1月13日訂定「受聘僱外國人健康檢查管理辦法」。次按同辦法第2條第3款及第4款規定，認可醫院指經衛福部認可得辦理受聘僱外國人入國前健康檢查之國</w:t>
      </w:r>
      <w:r w:rsidRPr="00FD7D6B">
        <w:rPr>
          <w:rFonts w:hint="eastAsia"/>
        </w:rPr>
        <w:lastRenderedPageBreak/>
        <w:t>外醫院；指定醫院係指經衛福部指定得辦理受聘僱外國人入國後健康檢查之國內醫院。再按同辦法第4條第1項第1款及第5條第1項第1款規定，外國人應由該國合格設立之醫療機構最近3個月內核發經醫師簽章之健康檢查合格證明及其中</w:t>
      </w:r>
      <w:r w:rsidR="00792847" w:rsidRPr="00FD7D6B">
        <w:rPr>
          <w:rFonts w:hint="eastAsia"/>
        </w:rPr>
        <w:t>文譯本，並經我國駐外館處驗證，</w:t>
      </w:r>
      <w:r w:rsidRPr="00FD7D6B">
        <w:rPr>
          <w:rFonts w:hint="eastAsia"/>
        </w:rPr>
        <w:t>且申請入國簽證</w:t>
      </w:r>
      <w:r w:rsidRPr="00FD7D6B">
        <w:rPr>
          <w:rFonts w:hint="eastAsia"/>
          <w:kern w:val="0"/>
        </w:rPr>
        <w:t>時</w:t>
      </w:r>
      <w:r w:rsidRPr="00FD7D6B">
        <w:rPr>
          <w:rFonts w:hint="eastAsia"/>
        </w:rPr>
        <w:t>應檢具認可醫院核發之3個月內健檢合格證明。</w:t>
      </w:r>
    </w:p>
    <w:p w:rsidR="00C43AE1" w:rsidRPr="00FD7D6B" w:rsidRDefault="00C43AE1" w:rsidP="00C43AE1">
      <w:pPr>
        <w:pStyle w:val="3"/>
        <w:numPr>
          <w:ilvl w:val="2"/>
          <w:numId w:val="1"/>
        </w:numPr>
        <w:rPr>
          <w:rFonts w:hAnsi="標楷體"/>
        </w:rPr>
      </w:pPr>
      <w:r w:rsidRPr="00FD7D6B">
        <w:rPr>
          <w:rFonts w:hAnsi="標楷體" w:hint="eastAsia"/>
        </w:rPr>
        <w:t>關於外交部驗證健康檢查合格證明之標準與作法，據該部表示略以，係依據「外勞母國健康檢查認可醫院申請程序及廢止基準」受理申請案，駐外代表處係依該基準驗證申請者所檢附之健康檢查證明文件是否確實由申請者</w:t>
      </w:r>
      <w:r w:rsidR="00537C50" w:rsidRPr="00FD7D6B">
        <w:rPr>
          <w:rFonts w:hAnsi="標楷體" w:hint="eastAsia"/>
        </w:rPr>
        <w:t>來源</w:t>
      </w:r>
      <w:r w:rsidRPr="00FD7D6B">
        <w:rPr>
          <w:rFonts w:hAnsi="標楷體" w:hint="eastAsia"/>
        </w:rPr>
        <w:t>國政府衛生及勞工主管機關評鑑核准者等語；顯見駐外代表處驗證之內容在於證明文件來源之有效性，並不包括檢查結果之準確性。復疾管署表示：「關於健康檢查之品質需符合當地國政府之規定，又外勞需於入國後3日內至國內指定醫院接受健檢，再次確認其健康情形，以降低傳染病對國內防疫之影響。」另關於</w:t>
      </w:r>
      <w:r w:rsidR="00DB5C43" w:rsidRPr="00FD7D6B">
        <w:rPr>
          <w:rFonts w:hAnsi="標楷體" w:hint="eastAsia"/>
        </w:rPr>
        <w:t>國外之「認可醫院」對於各檢查項目之檢驗方法是否與國際相符問題，</w:t>
      </w:r>
      <w:r w:rsidRPr="00FD7D6B">
        <w:rPr>
          <w:rFonts w:hAnsi="標楷體" w:hint="eastAsia"/>
        </w:rPr>
        <w:t>疾管署並無相關要求與規定。</w:t>
      </w:r>
    </w:p>
    <w:p w:rsidR="00C43AE1" w:rsidRPr="00FD7D6B" w:rsidRDefault="00C43AE1" w:rsidP="00C43AE1">
      <w:pPr>
        <w:pStyle w:val="3"/>
        <w:numPr>
          <w:ilvl w:val="0"/>
          <w:numId w:val="0"/>
        </w:numPr>
        <w:ind w:left="1361" w:firstLineChars="225" w:firstLine="765"/>
        <w:rPr>
          <w:rFonts w:hAnsi="標楷體"/>
        </w:rPr>
      </w:pPr>
      <w:r w:rsidRPr="00FD7D6B">
        <w:rPr>
          <w:rFonts w:hAnsi="標楷體" w:hint="eastAsia"/>
        </w:rPr>
        <w:t>承上述，受聘外國人或外籍學生申請入境所檢附之健康檢查結果證明雖須經我國駐外代表處驗證，惟驗證內容在於證明文件來源之有效性，並不包括各項檢查結果之準確性</w:t>
      </w:r>
      <w:r w:rsidR="00DB5C43" w:rsidRPr="00FD7D6B">
        <w:rPr>
          <w:rFonts w:hAnsi="標楷體" w:hint="eastAsia"/>
        </w:rPr>
        <w:t>，</w:t>
      </w:r>
      <w:r w:rsidRPr="00FD7D6B">
        <w:rPr>
          <w:rFonts w:hAnsi="標楷體" w:hint="eastAsia"/>
        </w:rPr>
        <w:t>加以，疾管署對於各國外認可醫院並無規範其進行檢查之方法，亦無相關查核與確認要求，雖然外籍勞工入國後3日內須至國內指定醫院進行健康檢查以確認，惟倘有傳染疾病，仍難避免入國後之傳播，何況入國3日健檢因故未能依限辦理者，得於延長3個工作日內補行辦理，再且入國後3日健檢項目與入境前於</w:t>
      </w:r>
      <w:r w:rsidR="00537C50" w:rsidRPr="00FD7D6B">
        <w:rPr>
          <w:rFonts w:hAnsi="標楷體" w:hint="eastAsia"/>
        </w:rPr>
        <w:t>來源</w:t>
      </w:r>
      <w:r w:rsidRPr="00FD7D6B">
        <w:rPr>
          <w:rFonts w:hAnsi="標楷體" w:hint="eastAsia"/>
        </w:rPr>
        <w:t>國之</w:t>
      </w:r>
      <w:r w:rsidRPr="00FD7D6B">
        <w:rPr>
          <w:rFonts w:hAnsi="標楷體" w:hint="eastAsia"/>
        </w:rPr>
        <w:lastRenderedPageBreak/>
        <w:t>健檢存有差異，是疾管署應檢討及改善現行健康檢查作業，以完善傳染病防疫系統。</w:t>
      </w:r>
    </w:p>
    <w:p w:rsidR="00C43AE1" w:rsidRPr="00FD7D6B" w:rsidRDefault="00C43AE1" w:rsidP="00C43AE1">
      <w:pPr>
        <w:pStyle w:val="3"/>
        <w:numPr>
          <w:ilvl w:val="2"/>
          <w:numId w:val="1"/>
        </w:numPr>
      </w:pPr>
      <w:r w:rsidRPr="00FD7D6B">
        <w:rPr>
          <w:rFonts w:hint="eastAsia"/>
        </w:rPr>
        <w:t>另查截至108年4月底止，經衛福部認可得辦理受聘僱外國人入國前健康檢查之國外醫院(即</w:t>
      </w:r>
      <w:r w:rsidRPr="00FD7D6B">
        <w:rPr>
          <w:rFonts w:ascii="新細明體" w:eastAsia="新細明體" w:hAnsi="新細明體" w:hint="eastAsia"/>
        </w:rPr>
        <w:t>「</w:t>
      </w:r>
      <w:r w:rsidRPr="00FD7D6B">
        <w:rPr>
          <w:rFonts w:hint="eastAsia"/>
        </w:rPr>
        <w:t>認可醫院</w:t>
      </w:r>
      <w:r w:rsidRPr="00FD7D6B">
        <w:rPr>
          <w:rFonts w:hAnsi="標楷體" w:hint="eastAsia"/>
        </w:rPr>
        <w:t>」</w:t>
      </w:r>
      <w:r w:rsidRPr="00FD7D6B">
        <w:rPr>
          <w:rFonts w:hint="eastAsia"/>
        </w:rPr>
        <w:t>)計有75家，其中印尼41家、菲律賓14家、泰國6家、越南13家及蒙古1家等。惟查菲律賓14家認可醫院中，有1</w:t>
      </w:r>
      <w:r w:rsidR="00AF726D" w:rsidRPr="00FD7D6B">
        <w:rPr>
          <w:rFonts w:hint="eastAsia"/>
        </w:rPr>
        <w:t>2</w:t>
      </w:r>
      <w:r w:rsidRPr="00FD7D6B">
        <w:rPr>
          <w:rFonts w:hint="eastAsia"/>
        </w:rPr>
        <w:t>家集中於馬尼拉，1家位於中部大城宿霧，另1家位於南部納卯(甫於107年5月14日經衛福部認可)；再查泰國6家認可醫院中，集中於曼谷者高達4家。足見菲律賓及泰國之認可醫院過集中於首都，此問題詢據疾管署表示略以，目前是希望各國政府部門對於健康檢查品質有基本把關，再來考量認可醫院分布是否可以合乎申請者需求等語。惟認可醫院地理位置分布不均，此不僅影響非首都居民之權益，亦使我國藉以瞭解各區域傳染病管道有所受限。</w:t>
      </w:r>
    </w:p>
    <w:p w:rsidR="006B458C" w:rsidRPr="00FD7D6B" w:rsidRDefault="006B458C" w:rsidP="00D2592D">
      <w:pPr>
        <w:pStyle w:val="3"/>
      </w:pPr>
      <w:r w:rsidRPr="00FD7D6B">
        <w:rPr>
          <w:rFonts w:hint="eastAsia"/>
        </w:rPr>
        <w:t>又衛福部107年起啟動「一國一中心」策略，以印尼、印度、越南、泰國、菲律賓、馬來西亞</w:t>
      </w:r>
      <w:r w:rsidR="00D42FA9" w:rsidRPr="00FD7D6B">
        <w:rPr>
          <w:rFonts w:hint="eastAsia"/>
        </w:rPr>
        <w:t>、緬甸</w:t>
      </w:r>
      <w:r w:rsidRPr="00FD7D6B">
        <w:rPr>
          <w:rFonts w:hint="eastAsia"/>
        </w:rPr>
        <w:t>為重點對象。一國家由</w:t>
      </w:r>
      <w:r w:rsidR="00D2592D" w:rsidRPr="00FD7D6B">
        <w:rPr>
          <w:rFonts w:hint="eastAsia"/>
        </w:rPr>
        <w:t>我國</w:t>
      </w:r>
      <w:r w:rsidRPr="00FD7D6B">
        <w:rPr>
          <w:rFonts w:hint="eastAsia"/>
        </w:rPr>
        <w:t>一家醫院負責統籌，推動醫衛人才培訓、醫衛產業搭橋、臺商健康諮詢服務、營造文化友善之醫療環境、醫衛相關產業之法規及市場調查，以及資訊整合等</w:t>
      </w:r>
      <w:r w:rsidR="00D2592D" w:rsidRPr="00FD7D6B">
        <w:rPr>
          <w:rFonts w:hint="eastAsia"/>
        </w:rPr>
        <w:t>六</w:t>
      </w:r>
      <w:r w:rsidRPr="00FD7D6B">
        <w:rPr>
          <w:rFonts w:hint="eastAsia"/>
        </w:rPr>
        <w:t>大項目。目前已有</w:t>
      </w:r>
      <w:r w:rsidR="00D42FA9" w:rsidRPr="00FD7D6B">
        <w:rPr>
          <w:rFonts w:hint="eastAsia"/>
        </w:rPr>
        <w:t>7</w:t>
      </w:r>
      <w:r w:rsidRPr="00FD7D6B">
        <w:rPr>
          <w:rFonts w:hint="eastAsia"/>
        </w:rPr>
        <w:t>家具醫學中心量能之機構(</w:t>
      </w:r>
      <w:r w:rsidR="00D2592D" w:rsidRPr="00FD7D6B">
        <w:rPr>
          <w:rFonts w:hint="eastAsia"/>
        </w:rPr>
        <w:t>臺</w:t>
      </w:r>
      <w:r w:rsidRPr="00FD7D6B">
        <w:rPr>
          <w:rFonts w:hint="eastAsia"/>
        </w:rPr>
        <w:t>大</w:t>
      </w:r>
      <w:r w:rsidR="00D2592D" w:rsidRPr="00FD7D6B">
        <w:rPr>
          <w:rFonts w:hint="eastAsia"/>
        </w:rPr>
        <w:t>醫院</w:t>
      </w:r>
      <w:r w:rsidRPr="00FD7D6B">
        <w:rPr>
          <w:rFonts w:hint="eastAsia"/>
        </w:rPr>
        <w:t>、成大</w:t>
      </w:r>
      <w:r w:rsidR="00D2592D" w:rsidRPr="00FD7D6B">
        <w:rPr>
          <w:rFonts w:hint="eastAsia"/>
        </w:rPr>
        <w:t>醫院</w:t>
      </w:r>
      <w:r w:rsidRPr="00FD7D6B">
        <w:rPr>
          <w:rFonts w:hint="eastAsia"/>
        </w:rPr>
        <w:t>、榮陽團隊、彰基</w:t>
      </w:r>
      <w:r w:rsidR="00D2592D" w:rsidRPr="00FD7D6B">
        <w:rPr>
          <w:rFonts w:hint="eastAsia"/>
        </w:rPr>
        <w:t>醫院</w:t>
      </w:r>
      <w:r w:rsidRPr="00FD7D6B">
        <w:rPr>
          <w:rFonts w:hint="eastAsia"/>
        </w:rPr>
        <w:t>、花蓮慈濟</w:t>
      </w:r>
      <w:r w:rsidR="00D2592D" w:rsidRPr="00FD7D6B">
        <w:rPr>
          <w:rFonts w:hint="eastAsia"/>
        </w:rPr>
        <w:t>醫院</w:t>
      </w:r>
      <w:r w:rsidRPr="00FD7D6B">
        <w:rPr>
          <w:rFonts w:hint="eastAsia"/>
        </w:rPr>
        <w:t>、彰濱秀傳</w:t>
      </w:r>
      <w:r w:rsidR="00D2592D" w:rsidRPr="00FD7D6B">
        <w:rPr>
          <w:rFonts w:hint="eastAsia"/>
        </w:rPr>
        <w:t>醫院</w:t>
      </w:r>
      <w:r w:rsidR="00D42FA9" w:rsidRPr="00FD7D6B">
        <w:rPr>
          <w:rFonts w:hint="eastAsia"/>
        </w:rPr>
        <w:t>、新光</w:t>
      </w:r>
      <w:r w:rsidR="00D2592D" w:rsidRPr="00FD7D6B">
        <w:rPr>
          <w:rFonts w:hint="eastAsia"/>
        </w:rPr>
        <w:t>醫院</w:t>
      </w:r>
      <w:r w:rsidRPr="00FD7D6B">
        <w:rPr>
          <w:rFonts w:hint="eastAsia"/>
        </w:rPr>
        <w:t>)成為「七國七中心」，該計畫係期待能透過臺灣優良醫療軟實力，</w:t>
      </w:r>
      <w:r w:rsidR="00D42FA9" w:rsidRPr="00FD7D6B">
        <w:rPr>
          <w:rFonts w:hint="eastAsia"/>
        </w:rPr>
        <w:t>推動</w:t>
      </w:r>
      <w:r w:rsidRPr="00FD7D6B">
        <w:rPr>
          <w:rFonts w:hint="eastAsia"/>
        </w:rPr>
        <w:t>與</w:t>
      </w:r>
      <w:r w:rsidR="00D42FA9" w:rsidRPr="00FD7D6B">
        <w:rPr>
          <w:rFonts w:hint="eastAsia"/>
        </w:rPr>
        <w:t>新南向國家</w:t>
      </w:r>
      <w:r w:rsidRPr="00FD7D6B">
        <w:rPr>
          <w:rFonts w:hint="eastAsia"/>
        </w:rPr>
        <w:t>當地醫院之雙向合作，然而</w:t>
      </w:r>
      <w:r w:rsidR="00D2592D" w:rsidRPr="00FD7D6B">
        <w:rPr>
          <w:rFonts w:hint="eastAsia"/>
        </w:rPr>
        <w:t>衛福部對於國外辦理健康檢查醫院之認可作業，並未與現新南向政策「一國一中心」計畫整合，致難以藉此利基</w:t>
      </w:r>
      <w:r w:rsidRPr="00FD7D6B">
        <w:rPr>
          <w:rFonts w:hint="eastAsia"/>
        </w:rPr>
        <w:t>擴大認可醫院範圍及提升檢驗品質，</w:t>
      </w:r>
      <w:r w:rsidR="00D2592D" w:rsidRPr="00FD7D6B">
        <w:rPr>
          <w:rFonts w:hint="eastAsia"/>
        </w:rPr>
        <w:t>洵屬</w:t>
      </w:r>
      <w:r w:rsidRPr="00FD7D6B">
        <w:rPr>
          <w:rFonts w:hint="eastAsia"/>
        </w:rPr>
        <w:t xml:space="preserve">可惜。 </w:t>
      </w:r>
    </w:p>
    <w:p w:rsidR="00D2592D" w:rsidRPr="00FD7D6B" w:rsidRDefault="00C43AE1" w:rsidP="00D2592D">
      <w:pPr>
        <w:pStyle w:val="3"/>
      </w:pPr>
      <w:r w:rsidRPr="00FD7D6B">
        <w:rPr>
          <w:rFonts w:hint="eastAsia"/>
        </w:rPr>
        <w:lastRenderedPageBreak/>
        <w:t>綜上，</w:t>
      </w:r>
      <w:r w:rsidR="00D2592D" w:rsidRPr="00FD7D6B">
        <w:rPr>
          <w:rFonts w:hint="eastAsia"/>
        </w:rPr>
        <w:t>受聘外國人或外籍學生申請入境所檢附之健康檢查結果證明雖須經我國外交部駐外代表處驗證，惟驗證內容在於證明文件來源之有效性，並未包括各項檢查結果之準確性，且疾管署對於辦理健康檢查之國外醫院並無規範其進行檢查之方法，亦無相關查核與確認要求，難以確保健檢作業品質；復目前經衛福部認可得辦理健康檢查之國外醫院，大多過度集中於首都，不僅影響非首都居民之權益，亦使我國藉以瞭解各區域傳染病管道有所受限；再且衛福部對於國外辦理健康檢查醫院之認可作業，並未與現新南向政策「一國一中心」計畫整合，致難以藉此利基擴大認可醫院範圍及提升檢驗品質，均有待檢討改善。</w:t>
      </w:r>
    </w:p>
    <w:p w:rsidR="00C43AE1" w:rsidRPr="00FD7D6B" w:rsidRDefault="00C43AE1" w:rsidP="00C43AE1">
      <w:pPr>
        <w:pStyle w:val="3"/>
        <w:numPr>
          <w:ilvl w:val="1"/>
          <w:numId w:val="1"/>
        </w:numPr>
        <w:rPr>
          <w:b/>
        </w:rPr>
      </w:pPr>
      <w:r w:rsidRPr="00FD7D6B">
        <w:rPr>
          <w:rFonts w:hint="eastAsia"/>
          <w:b/>
        </w:rPr>
        <w:t>衛福部規定依補習及進修教育法立案之短期補習班之專任教師外，其餘外籍專業人士申請我國聘僱許可時，免檢具</w:t>
      </w:r>
      <w:r w:rsidR="00537C50" w:rsidRPr="00FD7D6B">
        <w:rPr>
          <w:rFonts w:hint="eastAsia"/>
          <w:b/>
        </w:rPr>
        <w:t>來源</w:t>
      </w:r>
      <w:r w:rsidRPr="00FD7D6B">
        <w:rPr>
          <w:rFonts w:hint="eastAsia"/>
          <w:b/>
        </w:rPr>
        <w:t>國所核發之健康檢查合格證明，理由為其來源絕大多數為歐美先進國家，衛生條件、傳染病監測與防疫量能相較於東南亞為佳等；然現外籍專業人士來源並非僅限於所謂之「先進國家」，且近期法國及義大利存有麻疹疫情、美國亦有茲卡病毒感染症流行之問題，是衛福部對於外國專業人士入境免健康檢查合格證明之規定，應儘速重新檢討並修正，以符合實況。</w:t>
      </w:r>
    </w:p>
    <w:p w:rsidR="00C43AE1" w:rsidRPr="00FD7D6B" w:rsidRDefault="00C43AE1" w:rsidP="00C43AE1">
      <w:pPr>
        <w:pStyle w:val="3"/>
        <w:numPr>
          <w:ilvl w:val="2"/>
          <w:numId w:val="1"/>
        </w:numPr>
      </w:pPr>
      <w:r w:rsidRPr="00FD7D6B">
        <w:rPr>
          <w:rFonts w:hint="eastAsia"/>
        </w:rPr>
        <w:tab/>
      </w:r>
      <w:r w:rsidRPr="00FD7D6B">
        <w:rPr>
          <w:rFonts w:hint="eastAsia"/>
        </w:rPr>
        <w:tab/>
        <w:t>按</w:t>
      </w:r>
      <w:r w:rsidRPr="00FD7D6B">
        <w:rPr>
          <w:rFonts w:ascii="新細明體" w:eastAsia="新細明體" w:hAnsi="新細明體" w:hint="eastAsia"/>
        </w:rPr>
        <w:t>「</w:t>
      </w:r>
      <w:r w:rsidRPr="00FD7D6B">
        <w:rPr>
          <w:rFonts w:hint="eastAsia"/>
        </w:rPr>
        <w:t>受聘僱外國人健康檢查管理辦法</w:t>
      </w:r>
      <w:r w:rsidRPr="00FD7D6B">
        <w:rPr>
          <w:rFonts w:hAnsi="標楷體" w:hint="eastAsia"/>
        </w:rPr>
        <w:t>」</w:t>
      </w:r>
      <w:r w:rsidRPr="00FD7D6B">
        <w:rPr>
          <w:rFonts w:hint="eastAsia"/>
        </w:rPr>
        <w:t>第2條定義，第一類外國人指受聘僱從事就業服務法第46條第1項第1款至第6款者，包含:「一、專門性或技術性之工作。二、華僑或外國人經政府核准投資或設立事業之主管。三、下列學校教師：（一）公立或經立案之私立大專以上校院或外國僑民學校之教師。（二）公立或已立案之私立高級中等以下學校之合格外</w:t>
      </w:r>
      <w:r w:rsidRPr="00FD7D6B">
        <w:rPr>
          <w:rFonts w:hint="eastAsia"/>
        </w:rPr>
        <w:lastRenderedPageBreak/>
        <w:t>國語文課程教師。（三）公立或已立案私立實驗高級中等學校雙語部或雙語學校之學科教師。四、依補習及進修教育法立案之短期補習班之專任教師。五、運動教練及運動員。六、宗教、藝術及演藝工作。」即來臺工作之外籍專業人士；第二類外國人為受聘僱從事就業服務法第46條第1項第8款至第11款規定工作之外國人，係指外籍勞工。</w:t>
      </w:r>
    </w:p>
    <w:p w:rsidR="00C43AE1" w:rsidRPr="00FD7D6B" w:rsidRDefault="00C43AE1" w:rsidP="00C43AE1">
      <w:pPr>
        <w:pStyle w:val="3"/>
        <w:numPr>
          <w:ilvl w:val="2"/>
          <w:numId w:val="1"/>
        </w:numPr>
      </w:pPr>
      <w:r w:rsidRPr="00FD7D6B">
        <w:rPr>
          <w:rFonts w:hint="eastAsia"/>
        </w:rPr>
        <w:t>衛福部另針對依業服務法第46條第1項第4款聘用之「短期補習班外籍語文教師」(即外籍專業人士)訂立健檢相關規定如下：</w:t>
      </w:r>
    </w:p>
    <w:p w:rsidR="00C43AE1" w:rsidRPr="00FD7D6B" w:rsidRDefault="00C43AE1" w:rsidP="00C43AE1">
      <w:pPr>
        <w:pStyle w:val="4"/>
        <w:numPr>
          <w:ilvl w:val="3"/>
          <w:numId w:val="1"/>
        </w:numPr>
        <w:ind w:left="1645"/>
      </w:pPr>
      <w:r w:rsidRPr="00FD7D6B">
        <w:rPr>
          <w:rFonts w:ascii="新細明體" w:eastAsia="新細明體" w:hAnsi="新細明體" w:hint="eastAsia"/>
        </w:rPr>
        <w:t>「</w:t>
      </w:r>
      <w:r w:rsidRPr="00FD7D6B">
        <w:rPr>
          <w:rFonts w:hint="eastAsia"/>
        </w:rPr>
        <w:t>受聘僱外國人健康檢查管理辦法</w:t>
      </w:r>
      <w:r w:rsidRPr="00FD7D6B">
        <w:rPr>
          <w:rFonts w:hAnsi="標楷體" w:hint="eastAsia"/>
        </w:rPr>
        <w:t>」</w:t>
      </w:r>
      <w:r w:rsidRPr="00FD7D6B">
        <w:rPr>
          <w:rFonts w:hint="eastAsia"/>
        </w:rPr>
        <w:t>第4條規範該類外國人申請聘僱許可及展延聘僱許可時，應檢具下列各款文件之一，送交中央主管機關：「一、該人員由該國合格設立之醫療機構最近三個月內核發經醫師簽章之健康檢查合格證明及其中文譯本，並經我國駐外館處驗證。二、該人員由指定醫院最近三個月內核發之健康檢查合格證明，健檢項目包括胸部X光肺結核檢查、梅毒血清檢查、麻疹及德國麻疹之抗體陽性檢驗報告或預防接種證明等。」</w:t>
      </w:r>
    </w:p>
    <w:p w:rsidR="00C43AE1" w:rsidRPr="00FD7D6B" w:rsidRDefault="00C43AE1" w:rsidP="00C43AE1">
      <w:pPr>
        <w:pStyle w:val="4"/>
        <w:numPr>
          <w:ilvl w:val="0"/>
          <w:numId w:val="0"/>
        </w:numPr>
        <w:ind w:left="1418" w:firstLineChars="208" w:firstLine="708"/>
      </w:pPr>
      <w:r w:rsidRPr="00FD7D6B">
        <w:rPr>
          <w:rFonts w:hint="eastAsia"/>
        </w:rPr>
        <w:t>疾管署表示，國內短期補習班業者多採小型教室教學，而語文課程亦需師生密切對話，呼吸道傳染病風險較高，又短期補習班非屬學校衛生法促進師生健康之管理範圍，為防疫嚴謹考量，爰訂定該類外國人任職前需接受健檢之規範。</w:t>
      </w:r>
    </w:p>
    <w:p w:rsidR="00C43AE1" w:rsidRPr="00FD7D6B" w:rsidRDefault="00C43AE1" w:rsidP="00C43AE1">
      <w:pPr>
        <w:pStyle w:val="3"/>
        <w:numPr>
          <w:ilvl w:val="2"/>
          <w:numId w:val="1"/>
        </w:numPr>
      </w:pPr>
      <w:r w:rsidRPr="00FD7D6B">
        <w:rPr>
          <w:rFonts w:hint="eastAsia"/>
        </w:rPr>
        <w:t>另按</w:t>
      </w:r>
      <w:r w:rsidRPr="00FD7D6B">
        <w:rPr>
          <w:rFonts w:ascii="新細明體" w:eastAsia="新細明體" w:hAnsi="新細明體" w:hint="eastAsia"/>
        </w:rPr>
        <w:t>「</w:t>
      </w:r>
      <w:r w:rsidRPr="00FD7D6B">
        <w:rPr>
          <w:rFonts w:hint="eastAsia"/>
        </w:rPr>
        <w:t>受聘僱外國人健康檢查管理辦法</w:t>
      </w:r>
      <w:r w:rsidRPr="00FD7D6B">
        <w:rPr>
          <w:rFonts w:hAnsi="標楷體" w:hint="eastAsia"/>
        </w:rPr>
        <w:t>」</w:t>
      </w:r>
      <w:r w:rsidRPr="00FD7D6B">
        <w:rPr>
          <w:rFonts w:hint="eastAsia"/>
        </w:rPr>
        <w:t>第3條規定：「雇主申請第四條規定以外之第一類外國人之聘僱許可及展延聘僱許可，得免檢具該類人員之健康檢查合格證明。」疾管署表示，第一類外國人之任用條件嚴格，且其來源絕大多數為先進國家，</w:t>
      </w:r>
      <w:r w:rsidRPr="00FD7D6B">
        <w:rPr>
          <w:rFonts w:hint="eastAsia"/>
        </w:rPr>
        <w:tab/>
        <w:t>歐</w:t>
      </w:r>
      <w:r w:rsidRPr="00FD7D6B">
        <w:rPr>
          <w:rFonts w:hint="eastAsia"/>
        </w:rPr>
        <w:lastRenderedPageBreak/>
        <w:t>美先進國家之衛生條件、傳染病監測與防疫量能相較於東南亞各外勞輸出國為佳，其傳染病發生樣態與控制效率亦有差異，又基於國家正攬外籍人才所需，及先進國家防疫風險較低，因此始於該辦法第3條規定，該類人員申辦聘僱許可時，得免檢具健康檢查合格證明。</w:t>
      </w:r>
    </w:p>
    <w:p w:rsidR="00C43AE1" w:rsidRPr="00FD7D6B" w:rsidRDefault="00C43AE1" w:rsidP="00C43AE1">
      <w:pPr>
        <w:pStyle w:val="3"/>
        <w:numPr>
          <w:ilvl w:val="2"/>
          <w:numId w:val="1"/>
        </w:numPr>
        <w:ind w:left="1360" w:hanging="680"/>
      </w:pPr>
      <w:r w:rsidRPr="00FD7D6B">
        <w:rPr>
          <w:rFonts w:hint="eastAsia"/>
        </w:rPr>
        <w:t>然查行政院新南向政策主軸之一為人才交流，且</w:t>
      </w:r>
      <w:r w:rsidRPr="00FD7D6B">
        <w:rPr>
          <w:rFonts w:ascii="新細明體" w:eastAsia="新細明體" w:hAnsi="新細明體" w:hint="eastAsia"/>
        </w:rPr>
        <w:t>「</w:t>
      </w:r>
      <w:r w:rsidRPr="00FD7D6B">
        <w:rPr>
          <w:rFonts w:hint="eastAsia"/>
        </w:rPr>
        <w:t>新南向政策工作計畫」之政策方向提及：</w:t>
      </w:r>
      <w:r w:rsidRPr="00FD7D6B">
        <w:rPr>
          <w:rFonts w:ascii="新細明體" w:eastAsia="新細明體" w:hAnsi="新細明體" w:hint="eastAsia"/>
        </w:rPr>
        <w:t>「</w:t>
      </w:r>
      <w:r w:rsidRPr="00FD7D6B">
        <w:rPr>
          <w:rFonts w:hint="eastAsia"/>
        </w:rPr>
        <w:t>『新南向政策』在人才交流面的思維將跳脫過往只考慮國內需求，自新南向國家引進藍領勞工的思考模式，而是要在兼顧雙方需求與成長、含括白領與藍領工作者……；另為配合國內及東南亞、南亞產業需求，未來將透過我國在技職教育之優勢，投入更多資源於東南亞及南亞</w:t>
      </w:r>
      <w:r w:rsidRPr="00FD7D6B">
        <w:rPr>
          <w:rFonts w:hint="eastAsia"/>
          <w:b/>
        </w:rPr>
        <w:t>專業人才培育</w:t>
      </w:r>
      <w:r w:rsidRPr="00FD7D6B">
        <w:rPr>
          <w:rFonts w:hint="eastAsia"/>
        </w:rPr>
        <w:t>及技術訓練。」足見第一類外國人來源並非僅限於所謂之</w:t>
      </w:r>
      <w:r w:rsidRPr="00FD7D6B">
        <w:rPr>
          <w:rFonts w:ascii="新細明體" w:eastAsia="新細明體" w:hAnsi="新細明體" w:hint="eastAsia"/>
        </w:rPr>
        <w:t>「</w:t>
      </w:r>
      <w:r w:rsidRPr="00FD7D6B">
        <w:rPr>
          <w:rFonts w:hint="eastAsia"/>
        </w:rPr>
        <w:t>先進國家</w:t>
      </w:r>
      <w:r w:rsidRPr="00FD7D6B">
        <w:rPr>
          <w:rFonts w:hAnsi="標楷體" w:hint="eastAsia"/>
        </w:rPr>
        <w:t>」</w:t>
      </w:r>
      <w:r w:rsidRPr="00FD7D6B">
        <w:rPr>
          <w:rFonts w:hint="eastAsia"/>
        </w:rPr>
        <w:t>，衛福部對於第一類外國人多來自歐美先進國家之認知，顯未妥切。</w:t>
      </w:r>
    </w:p>
    <w:p w:rsidR="00C43AE1" w:rsidRPr="00FD7D6B" w:rsidRDefault="00C43AE1" w:rsidP="00C43AE1">
      <w:pPr>
        <w:pStyle w:val="3"/>
        <w:numPr>
          <w:ilvl w:val="2"/>
          <w:numId w:val="1"/>
        </w:numPr>
      </w:pPr>
      <w:r w:rsidRPr="00FD7D6B">
        <w:rPr>
          <w:rFonts w:hint="eastAsia"/>
        </w:rPr>
        <w:t>再查疾管署官網明列</w:t>
      </w:r>
      <w:r w:rsidRPr="00FD7D6B">
        <w:rPr>
          <w:rFonts w:ascii="新細明體" w:eastAsia="新細明體" w:hAnsi="新細明體" w:hint="eastAsia"/>
        </w:rPr>
        <w:t>「</w:t>
      </w:r>
      <w:r w:rsidRPr="00FD7D6B">
        <w:rPr>
          <w:rFonts w:hint="eastAsia"/>
        </w:rPr>
        <w:t>國際旅遊疫情建議等級表</w:t>
      </w:r>
      <w:r w:rsidRPr="00FD7D6B">
        <w:rPr>
          <w:rFonts w:hAnsi="標楷體" w:hint="eastAsia"/>
        </w:rPr>
        <w:t>」各分級標準、意涵及旅遊建議詳如下表；</w:t>
      </w:r>
      <w:r w:rsidRPr="00FD7D6B">
        <w:rPr>
          <w:rFonts w:hint="eastAsia"/>
        </w:rPr>
        <w:t>依據107年底公告</w:t>
      </w:r>
      <w:r w:rsidRPr="00FD7D6B">
        <w:rPr>
          <w:rStyle w:val="aff3"/>
        </w:rPr>
        <w:footnoteReference w:id="1"/>
      </w:r>
      <w:r w:rsidRPr="00FD7D6B">
        <w:rPr>
          <w:rFonts w:hint="eastAsia"/>
        </w:rPr>
        <w:t>，茲卡病毒感染症於美國被列為第二級警示，需加強預警及防護；另依疾管署108年7月公告，麻疹於歐洲法國、義大利等被列為第一級</w:t>
      </w:r>
      <w:r w:rsidRPr="00FD7D6B">
        <w:t>注意</w:t>
      </w:r>
      <w:r w:rsidRPr="00FD7D6B">
        <w:rPr>
          <w:rFonts w:hint="eastAsia"/>
        </w:rPr>
        <w:t>。是歐美國家並無法完全排除於傳染病高風險國家之可能。</w:t>
      </w:r>
    </w:p>
    <w:p w:rsidR="00C43AE1" w:rsidRPr="00FD7D6B" w:rsidRDefault="00C43AE1" w:rsidP="00895B32">
      <w:pPr>
        <w:pStyle w:val="a3"/>
        <w:numPr>
          <w:ilvl w:val="0"/>
          <w:numId w:val="2"/>
        </w:numPr>
        <w:ind w:left="697" w:hanging="697"/>
        <w:jc w:val="center"/>
      </w:pPr>
      <w:r w:rsidRPr="00FD7D6B">
        <w:rPr>
          <w:rFonts w:hint="eastAsia"/>
        </w:rPr>
        <w:t>國際旅遊疫情建議等級分級標準、意涵及建議</w:t>
      </w:r>
    </w:p>
    <w:tbl>
      <w:tblPr>
        <w:tblStyle w:val="afb"/>
        <w:tblW w:w="4030" w:type="pct"/>
        <w:tblInd w:w="890" w:type="dxa"/>
        <w:tblLook w:val="04A0" w:firstRow="1" w:lastRow="0" w:firstColumn="1" w:lastColumn="0" w:noHBand="0" w:noVBand="1"/>
        <w:tblDescription w:val="國際旅遊疫情建議等級表分級"/>
      </w:tblPr>
      <w:tblGrid>
        <w:gridCol w:w="2465"/>
        <w:gridCol w:w="1780"/>
        <w:gridCol w:w="2875"/>
      </w:tblGrid>
      <w:tr w:rsidR="00651306" w:rsidRPr="00FD7D6B" w:rsidTr="009E1986">
        <w:tc>
          <w:tcPr>
            <w:tcW w:w="1730" w:type="pct"/>
            <w:hideMark/>
          </w:tcPr>
          <w:p w:rsidR="00C43AE1" w:rsidRPr="00FD7D6B" w:rsidRDefault="00C43AE1" w:rsidP="009E1986">
            <w:pPr>
              <w:widowControl/>
              <w:overflowPunct/>
              <w:autoSpaceDE/>
              <w:autoSpaceDN/>
              <w:jc w:val="center"/>
              <w:rPr>
                <w:rFonts w:hAnsi="標楷體"/>
                <w:b/>
                <w:kern w:val="32"/>
                <w:sz w:val="28"/>
                <w:szCs w:val="24"/>
              </w:rPr>
            </w:pPr>
            <w:r w:rsidRPr="00FD7D6B">
              <w:rPr>
                <w:rFonts w:hAnsi="標楷體"/>
                <w:b/>
                <w:kern w:val="32"/>
                <w:sz w:val="28"/>
                <w:szCs w:val="24"/>
              </w:rPr>
              <w:t>分級標準</w:t>
            </w:r>
          </w:p>
        </w:tc>
        <w:tc>
          <w:tcPr>
            <w:tcW w:w="1250" w:type="pct"/>
            <w:hideMark/>
          </w:tcPr>
          <w:p w:rsidR="00C43AE1" w:rsidRPr="00FD7D6B" w:rsidRDefault="00C43AE1" w:rsidP="009E1986">
            <w:pPr>
              <w:widowControl/>
              <w:overflowPunct/>
              <w:autoSpaceDE/>
              <w:autoSpaceDN/>
              <w:jc w:val="center"/>
              <w:rPr>
                <w:rFonts w:hAnsi="標楷體"/>
                <w:b/>
                <w:kern w:val="32"/>
                <w:sz w:val="28"/>
                <w:szCs w:val="24"/>
              </w:rPr>
            </w:pPr>
            <w:r w:rsidRPr="00FD7D6B">
              <w:rPr>
                <w:rFonts w:hAnsi="標楷體"/>
                <w:b/>
                <w:kern w:val="32"/>
                <w:sz w:val="28"/>
                <w:szCs w:val="24"/>
              </w:rPr>
              <w:t>意涵</w:t>
            </w:r>
          </w:p>
        </w:tc>
        <w:tc>
          <w:tcPr>
            <w:tcW w:w="2019" w:type="pct"/>
            <w:hideMark/>
          </w:tcPr>
          <w:p w:rsidR="00C43AE1" w:rsidRPr="00FD7D6B" w:rsidRDefault="00C43AE1" w:rsidP="009E1986">
            <w:pPr>
              <w:widowControl/>
              <w:overflowPunct/>
              <w:autoSpaceDE/>
              <w:autoSpaceDN/>
              <w:jc w:val="center"/>
              <w:rPr>
                <w:rFonts w:hAnsi="標楷體"/>
                <w:b/>
                <w:kern w:val="32"/>
                <w:sz w:val="28"/>
                <w:szCs w:val="24"/>
              </w:rPr>
            </w:pPr>
            <w:r w:rsidRPr="00FD7D6B">
              <w:rPr>
                <w:rFonts w:hAnsi="標楷體"/>
                <w:b/>
                <w:kern w:val="32"/>
                <w:sz w:val="28"/>
                <w:szCs w:val="24"/>
              </w:rPr>
              <w:t>旅遊建議</w:t>
            </w:r>
          </w:p>
        </w:tc>
      </w:tr>
      <w:tr w:rsidR="00651306" w:rsidRPr="00FD7D6B" w:rsidTr="009E1986">
        <w:tc>
          <w:tcPr>
            <w:tcW w:w="1730" w:type="pct"/>
            <w:hideMark/>
          </w:tcPr>
          <w:p w:rsidR="00C43AE1" w:rsidRPr="00FD7D6B" w:rsidRDefault="00C43AE1" w:rsidP="009E1986">
            <w:pPr>
              <w:widowControl/>
              <w:overflowPunct/>
              <w:autoSpaceDE/>
              <w:autoSpaceDN/>
              <w:rPr>
                <w:rFonts w:hAnsi="標楷體"/>
                <w:b/>
                <w:kern w:val="32"/>
                <w:sz w:val="28"/>
                <w:szCs w:val="24"/>
              </w:rPr>
            </w:pPr>
            <w:r w:rsidRPr="00FD7D6B">
              <w:rPr>
                <w:rFonts w:hAnsi="標楷體"/>
                <w:b/>
                <w:kern w:val="32"/>
                <w:sz w:val="28"/>
                <w:szCs w:val="24"/>
              </w:rPr>
              <w:t>第一級:注意(Watch)</w:t>
            </w:r>
          </w:p>
        </w:tc>
        <w:tc>
          <w:tcPr>
            <w:tcW w:w="1250" w:type="pct"/>
            <w:hideMark/>
          </w:tcPr>
          <w:p w:rsidR="00C43AE1" w:rsidRPr="00FD7D6B" w:rsidRDefault="00C43AE1" w:rsidP="009E1986">
            <w:pPr>
              <w:widowControl/>
              <w:overflowPunct/>
              <w:autoSpaceDE/>
              <w:autoSpaceDN/>
              <w:rPr>
                <w:rFonts w:hAnsi="標楷體"/>
                <w:kern w:val="32"/>
                <w:sz w:val="28"/>
                <w:szCs w:val="24"/>
              </w:rPr>
            </w:pPr>
            <w:r w:rsidRPr="00FD7D6B">
              <w:rPr>
                <w:rFonts w:hAnsi="標楷體"/>
                <w:kern w:val="32"/>
                <w:sz w:val="28"/>
                <w:szCs w:val="24"/>
              </w:rPr>
              <w:t>提醒注意</w:t>
            </w:r>
          </w:p>
        </w:tc>
        <w:tc>
          <w:tcPr>
            <w:tcW w:w="2019" w:type="pct"/>
            <w:hideMark/>
          </w:tcPr>
          <w:p w:rsidR="00C43AE1" w:rsidRPr="00FD7D6B" w:rsidRDefault="00C43AE1" w:rsidP="009E1986">
            <w:pPr>
              <w:widowControl/>
              <w:overflowPunct/>
              <w:autoSpaceDE/>
              <w:autoSpaceDN/>
              <w:rPr>
                <w:rFonts w:hAnsi="標楷體"/>
                <w:kern w:val="32"/>
                <w:sz w:val="28"/>
                <w:szCs w:val="24"/>
              </w:rPr>
            </w:pPr>
            <w:r w:rsidRPr="00FD7D6B">
              <w:rPr>
                <w:rFonts w:hAnsi="標楷體"/>
                <w:kern w:val="32"/>
                <w:sz w:val="28"/>
                <w:szCs w:val="24"/>
              </w:rPr>
              <w:t>提醒遵守當地的一般預防措施</w:t>
            </w:r>
          </w:p>
        </w:tc>
      </w:tr>
      <w:tr w:rsidR="00651306" w:rsidRPr="00FD7D6B" w:rsidTr="009E1986">
        <w:tc>
          <w:tcPr>
            <w:tcW w:w="1730" w:type="pct"/>
            <w:hideMark/>
          </w:tcPr>
          <w:p w:rsidR="00C43AE1" w:rsidRPr="00FD7D6B" w:rsidRDefault="00C43AE1" w:rsidP="009E1986">
            <w:pPr>
              <w:widowControl/>
              <w:overflowPunct/>
              <w:autoSpaceDE/>
              <w:autoSpaceDN/>
              <w:rPr>
                <w:rFonts w:hAnsi="標楷體"/>
                <w:b/>
                <w:kern w:val="32"/>
                <w:sz w:val="28"/>
                <w:szCs w:val="24"/>
              </w:rPr>
            </w:pPr>
            <w:r w:rsidRPr="00FD7D6B">
              <w:rPr>
                <w:rFonts w:hAnsi="標楷體"/>
                <w:b/>
                <w:kern w:val="32"/>
                <w:sz w:val="28"/>
                <w:szCs w:val="24"/>
              </w:rPr>
              <w:lastRenderedPageBreak/>
              <w:t>第二級:警示(Alert)</w:t>
            </w:r>
          </w:p>
        </w:tc>
        <w:tc>
          <w:tcPr>
            <w:tcW w:w="1250" w:type="pct"/>
            <w:hideMark/>
          </w:tcPr>
          <w:p w:rsidR="00C43AE1" w:rsidRPr="00FD7D6B" w:rsidRDefault="00C43AE1" w:rsidP="009E1986">
            <w:pPr>
              <w:widowControl/>
              <w:overflowPunct/>
              <w:autoSpaceDE/>
              <w:autoSpaceDN/>
              <w:rPr>
                <w:rFonts w:hAnsi="標楷體"/>
                <w:kern w:val="32"/>
                <w:sz w:val="28"/>
                <w:szCs w:val="24"/>
              </w:rPr>
            </w:pPr>
            <w:r w:rsidRPr="00FD7D6B">
              <w:rPr>
                <w:rFonts w:hAnsi="標楷體"/>
                <w:kern w:val="32"/>
                <w:sz w:val="28"/>
                <w:szCs w:val="24"/>
              </w:rPr>
              <w:t>加強預警</w:t>
            </w:r>
          </w:p>
        </w:tc>
        <w:tc>
          <w:tcPr>
            <w:tcW w:w="2019" w:type="pct"/>
            <w:hideMark/>
          </w:tcPr>
          <w:p w:rsidR="00C43AE1" w:rsidRPr="00FD7D6B" w:rsidRDefault="00C43AE1" w:rsidP="009E1986">
            <w:pPr>
              <w:widowControl/>
              <w:overflowPunct/>
              <w:autoSpaceDE/>
              <w:autoSpaceDN/>
              <w:rPr>
                <w:rFonts w:hAnsi="標楷體"/>
                <w:kern w:val="32"/>
                <w:sz w:val="28"/>
                <w:szCs w:val="24"/>
              </w:rPr>
            </w:pPr>
            <w:r w:rsidRPr="00FD7D6B">
              <w:rPr>
                <w:rFonts w:hAnsi="標楷體"/>
                <w:kern w:val="32"/>
                <w:sz w:val="28"/>
                <w:szCs w:val="24"/>
              </w:rPr>
              <w:t>對當地採取加強防護</w:t>
            </w:r>
          </w:p>
        </w:tc>
      </w:tr>
      <w:tr w:rsidR="00651306" w:rsidRPr="00FD7D6B" w:rsidTr="009E1986">
        <w:tc>
          <w:tcPr>
            <w:tcW w:w="1730" w:type="pct"/>
            <w:hideMark/>
          </w:tcPr>
          <w:p w:rsidR="00C43AE1" w:rsidRPr="00FD7D6B" w:rsidRDefault="00C43AE1" w:rsidP="009E1986">
            <w:pPr>
              <w:widowControl/>
              <w:overflowPunct/>
              <w:autoSpaceDE/>
              <w:autoSpaceDN/>
              <w:rPr>
                <w:rFonts w:hAnsi="標楷體"/>
                <w:b/>
                <w:kern w:val="32"/>
                <w:sz w:val="28"/>
                <w:szCs w:val="24"/>
              </w:rPr>
            </w:pPr>
            <w:r w:rsidRPr="00FD7D6B">
              <w:rPr>
                <w:rFonts w:hAnsi="標楷體"/>
                <w:b/>
                <w:kern w:val="32"/>
                <w:sz w:val="28"/>
                <w:szCs w:val="24"/>
              </w:rPr>
              <w:t>第三級:警告(Warning)</w:t>
            </w:r>
          </w:p>
        </w:tc>
        <w:tc>
          <w:tcPr>
            <w:tcW w:w="1250" w:type="pct"/>
            <w:hideMark/>
          </w:tcPr>
          <w:p w:rsidR="00C43AE1" w:rsidRPr="00FD7D6B" w:rsidRDefault="00C43AE1" w:rsidP="009E1986">
            <w:pPr>
              <w:widowControl/>
              <w:overflowPunct/>
              <w:autoSpaceDE/>
              <w:autoSpaceDN/>
              <w:rPr>
                <w:rFonts w:hAnsi="標楷體"/>
                <w:kern w:val="32"/>
                <w:sz w:val="28"/>
                <w:szCs w:val="24"/>
              </w:rPr>
            </w:pPr>
            <w:r w:rsidRPr="00FD7D6B">
              <w:rPr>
                <w:rFonts w:hAnsi="標楷體"/>
                <w:kern w:val="32"/>
                <w:sz w:val="28"/>
                <w:szCs w:val="24"/>
              </w:rPr>
              <w:t>避免所有非必要旅遊</w:t>
            </w:r>
          </w:p>
        </w:tc>
        <w:tc>
          <w:tcPr>
            <w:tcW w:w="2019" w:type="pct"/>
            <w:hideMark/>
          </w:tcPr>
          <w:p w:rsidR="00C43AE1" w:rsidRPr="00FD7D6B" w:rsidRDefault="00C43AE1" w:rsidP="009E1986">
            <w:pPr>
              <w:widowControl/>
              <w:overflowPunct/>
              <w:autoSpaceDE/>
              <w:autoSpaceDN/>
              <w:rPr>
                <w:rFonts w:hAnsi="標楷體"/>
                <w:kern w:val="32"/>
                <w:sz w:val="28"/>
                <w:szCs w:val="24"/>
              </w:rPr>
            </w:pPr>
            <w:r w:rsidRPr="00FD7D6B">
              <w:rPr>
                <w:rFonts w:hAnsi="標楷體"/>
                <w:kern w:val="32"/>
                <w:sz w:val="28"/>
                <w:szCs w:val="24"/>
              </w:rPr>
              <w:t>避免至當地所有非必要旅遊</w:t>
            </w:r>
          </w:p>
        </w:tc>
      </w:tr>
    </w:tbl>
    <w:p w:rsidR="00C43AE1" w:rsidRPr="00FD7D6B" w:rsidRDefault="00C43AE1" w:rsidP="00C43AE1">
      <w:pPr>
        <w:pStyle w:val="3"/>
        <w:numPr>
          <w:ilvl w:val="0"/>
          <w:numId w:val="0"/>
        </w:numPr>
        <w:ind w:left="1361"/>
        <w:rPr>
          <w:sz w:val="24"/>
          <w:szCs w:val="24"/>
        </w:rPr>
      </w:pPr>
      <w:r w:rsidRPr="00FD7D6B">
        <w:rPr>
          <w:rFonts w:hint="eastAsia"/>
          <w:sz w:val="24"/>
          <w:szCs w:val="24"/>
        </w:rPr>
        <w:t>資料來源：疾管署</w:t>
      </w:r>
    </w:p>
    <w:p w:rsidR="00D423D7" w:rsidRPr="00FD7D6B" w:rsidRDefault="00D423D7" w:rsidP="00C43AE1">
      <w:pPr>
        <w:pStyle w:val="3"/>
        <w:numPr>
          <w:ilvl w:val="0"/>
          <w:numId w:val="0"/>
        </w:numPr>
        <w:ind w:left="1361"/>
        <w:rPr>
          <w:sz w:val="24"/>
          <w:szCs w:val="24"/>
        </w:rPr>
      </w:pPr>
    </w:p>
    <w:p w:rsidR="00C43AE1" w:rsidRPr="00FD7D6B" w:rsidRDefault="00C43AE1" w:rsidP="00C43AE1">
      <w:pPr>
        <w:pStyle w:val="3"/>
        <w:numPr>
          <w:ilvl w:val="2"/>
          <w:numId w:val="1"/>
        </w:numPr>
      </w:pPr>
      <w:r w:rsidRPr="00FD7D6B">
        <w:rPr>
          <w:rFonts w:hint="eastAsia"/>
        </w:rPr>
        <w:t>綜上所述，衛福部規定依補習及進修教育法立案之短期補習班之專任教師外，其餘外籍專業人士申請我國聘僱許可時，免檢具</w:t>
      </w:r>
      <w:r w:rsidR="00537C50" w:rsidRPr="00FD7D6B">
        <w:rPr>
          <w:rFonts w:hint="eastAsia"/>
        </w:rPr>
        <w:t>來源</w:t>
      </w:r>
      <w:r w:rsidRPr="00FD7D6B">
        <w:rPr>
          <w:rFonts w:hint="eastAsia"/>
        </w:rPr>
        <w:t>國所核發之健康檢查合格證明，理由為其來源絕大多數為歐美先進國家，衛生條件、傳染病監測與防疫量能相較於東南亞為佳等；然現外籍專業人士來源並非僅限於所謂之「先進國家」，且近期法國及義大利存有麻疹疫情、美國亦有茲卡病毒感染症流行之問題，是衛福部對於外國專業人士入境免健康檢查合格證明之規定，應儘速重新檢討並修正，以符合實況。</w:t>
      </w:r>
    </w:p>
    <w:p w:rsidR="00C43AE1" w:rsidRPr="00FD7D6B" w:rsidRDefault="00C43AE1" w:rsidP="00C43AE1">
      <w:pPr>
        <w:pStyle w:val="2"/>
        <w:numPr>
          <w:ilvl w:val="1"/>
          <w:numId w:val="1"/>
        </w:numPr>
        <w:rPr>
          <w:b/>
        </w:rPr>
      </w:pPr>
      <w:r w:rsidRPr="00FD7D6B">
        <w:rPr>
          <w:rFonts w:hint="eastAsia"/>
          <w:b/>
        </w:rPr>
        <w:t>新南向政策</w:t>
      </w:r>
      <w:r w:rsidR="00AF726D" w:rsidRPr="00FD7D6B">
        <w:rPr>
          <w:rFonts w:hint="eastAsia"/>
          <w:b/>
        </w:rPr>
        <w:t>目的在於</w:t>
      </w:r>
      <w:r w:rsidRPr="00FD7D6B">
        <w:rPr>
          <w:rFonts w:hint="eastAsia"/>
          <w:b/>
        </w:rPr>
        <w:t>強化與東南亞及南亞國家</w:t>
      </w:r>
      <w:r w:rsidR="00AF726D" w:rsidRPr="00FD7D6B">
        <w:rPr>
          <w:rFonts w:hint="eastAsia"/>
          <w:b/>
        </w:rPr>
        <w:t>之關係</w:t>
      </w:r>
      <w:r w:rsidRPr="00FD7D6B">
        <w:rPr>
          <w:rFonts w:hint="eastAsia"/>
          <w:b/>
        </w:rPr>
        <w:t>，促進商務、觀光、教育、勞務、醫療等各項交流，惟同時</w:t>
      </w:r>
      <w:r w:rsidR="00D2592D" w:rsidRPr="00FD7D6B">
        <w:rPr>
          <w:rFonts w:hint="eastAsia"/>
          <w:b/>
        </w:rPr>
        <w:t>易</w:t>
      </w:r>
      <w:r w:rsidR="00AF726D" w:rsidRPr="00FD7D6B">
        <w:rPr>
          <w:rFonts w:hint="eastAsia"/>
          <w:b/>
        </w:rPr>
        <w:t>造成</w:t>
      </w:r>
      <w:r w:rsidRPr="00FD7D6B">
        <w:rPr>
          <w:rFonts w:hint="eastAsia"/>
          <w:b/>
        </w:rPr>
        <w:t>傳染病傳播風險</w:t>
      </w:r>
      <w:r w:rsidR="00AF726D" w:rsidRPr="00FD7D6B">
        <w:rPr>
          <w:rFonts w:hint="eastAsia"/>
          <w:b/>
        </w:rPr>
        <w:t>提升</w:t>
      </w:r>
      <w:r w:rsidRPr="00FD7D6B">
        <w:rPr>
          <w:rFonts w:hint="eastAsia"/>
          <w:b/>
        </w:rPr>
        <w:t>，傳染病防治有賴跨部會合作，疾管署允應主動提供防疫資訊予外交部、內政部、勞動部、教育部、交通部、大陸委員會等機關，並會同各機關建立資料交換平台以掌握傳染病疫情，透過部會間資源整合與</w:t>
      </w:r>
      <w:r w:rsidR="00B17C68" w:rsidRPr="00FD7D6B">
        <w:rPr>
          <w:rFonts w:hint="eastAsia"/>
          <w:b/>
        </w:rPr>
        <w:t>跨部會之防疫會議</w:t>
      </w:r>
      <w:r w:rsidRPr="00FD7D6B">
        <w:rPr>
          <w:rFonts w:hint="eastAsia"/>
          <w:b/>
        </w:rPr>
        <w:t>，</w:t>
      </w:r>
      <w:r w:rsidR="00B17C68" w:rsidRPr="00FD7D6B">
        <w:rPr>
          <w:rFonts w:hint="eastAsia"/>
          <w:b/>
        </w:rPr>
        <w:t>強化</w:t>
      </w:r>
      <w:r w:rsidRPr="00FD7D6B">
        <w:rPr>
          <w:rFonts w:hint="eastAsia"/>
          <w:b/>
        </w:rPr>
        <w:t>防治作為，</w:t>
      </w:r>
      <w:r w:rsidR="00FE564B" w:rsidRPr="00FD7D6B">
        <w:rPr>
          <w:rFonts w:hint="eastAsia"/>
          <w:b/>
        </w:rPr>
        <w:t>降低</w:t>
      </w:r>
      <w:r w:rsidR="00D2592D" w:rsidRPr="00FD7D6B">
        <w:rPr>
          <w:rFonts w:hint="eastAsia"/>
          <w:b/>
        </w:rPr>
        <w:t>傳染</w:t>
      </w:r>
      <w:r w:rsidR="00FE564B" w:rsidRPr="00FD7D6B">
        <w:rPr>
          <w:rFonts w:hint="eastAsia"/>
          <w:b/>
        </w:rPr>
        <w:t>風險，</w:t>
      </w:r>
      <w:r w:rsidR="00CB6A4D" w:rsidRPr="00FD7D6B">
        <w:rPr>
          <w:rFonts w:hint="eastAsia"/>
          <w:b/>
        </w:rPr>
        <w:t>另</w:t>
      </w:r>
      <w:r w:rsidR="00D2592D" w:rsidRPr="00FD7D6B">
        <w:rPr>
          <w:rFonts w:hint="eastAsia"/>
          <w:b/>
        </w:rPr>
        <w:t>宜</w:t>
      </w:r>
      <w:r w:rsidR="00FE564B" w:rsidRPr="00FD7D6B">
        <w:rPr>
          <w:rFonts w:hint="eastAsia"/>
          <w:b/>
        </w:rPr>
        <w:t>善用</w:t>
      </w:r>
      <w:r w:rsidR="00CB6A4D" w:rsidRPr="00FD7D6B">
        <w:rPr>
          <w:rFonts w:hint="eastAsia"/>
          <w:b/>
        </w:rPr>
        <w:t>所</w:t>
      </w:r>
      <w:r w:rsidR="00FE564B" w:rsidRPr="00FD7D6B">
        <w:rPr>
          <w:rFonts w:hint="eastAsia"/>
          <w:b/>
        </w:rPr>
        <w:t>整合</w:t>
      </w:r>
      <w:r w:rsidR="00CB6A4D" w:rsidRPr="00FD7D6B">
        <w:rPr>
          <w:rFonts w:hint="eastAsia"/>
          <w:b/>
        </w:rPr>
        <w:t>之疫情</w:t>
      </w:r>
      <w:r w:rsidR="00FE564B" w:rsidRPr="00FD7D6B">
        <w:rPr>
          <w:rFonts w:hint="eastAsia"/>
          <w:b/>
        </w:rPr>
        <w:t>資訊</w:t>
      </w:r>
      <w:r w:rsidR="00CB6A4D" w:rsidRPr="00FD7D6B">
        <w:rPr>
          <w:rFonts w:hint="eastAsia"/>
          <w:b/>
        </w:rPr>
        <w:t>，藉以強化醫衛產業</w:t>
      </w:r>
      <w:r w:rsidR="003770A0" w:rsidRPr="00FD7D6B">
        <w:rPr>
          <w:rFonts w:hint="eastAsia"/>
          <w:b/>
        </w:rPr>
        <w:t>連</w:t>
      </w:r>
      <w:r w:rsidR="00FE564B" w:rsidRPr="00FD7D6B">
        <w:rPr>
          <w:rFonts w:hint="eastAsia"/>
          <w:b/>
        </w:rPr>
        <w:t>結，</w:t>
      </w:r>
      <w:r w:rsidR="00CB6A4D" w:rsidRPr="00FD7D6B">
        <w:rPr>
          <w:rFonts w:hint="eastAsia"/>
          <w:b/>
        </w:rPr>
        <w:t>創造多元價值</w:t>
      </w:r>
      <w:r w:rsidRPr="00FD7D6B">
        <w:rPr>
          <w:rFonts w:hint="eastAsia"/>
          <w:b/>
        </w:rPr>
        <w:t>。</w:t>
      </w:r>
    </w:p>
    <w:p w:rsidR="00C43AE1" w:rsidRPr="00FD7D6B" w:rsidRDefault="00C43AE1" w:rsidP="00C43AE1">
      <w:pPr>
        <w:pStyle w:val="3"/>
        <w:numPr>
          <w:ilvl w:val="2"/>
          <w:numId w:val="1"/>
        </w:numPr>
      </w:pPr>
      <w:r w:rsidRPr="00FD7D6B">
        <w:rPr>
          <w:rFonts w:hint="eastAsia"/>
        </w:rPr>
        <w:t>蔡英文總統於105年8月16日召開之對外經貿戰略會談，通過「新南向政策」政策綱領：</w:t>
      </w:r>
    </w:p>
    <w:p w:rsidR="00C43AE1" w:rsidRPr="00FD7D6B" w:rsidRDefault="00C43AE1" w:rsidP="00C43AE1">
      <w:pPr>
        <w:pStyle w:val="4"/>
        <w:numPr>
          <w:ilvl w:val="3"/>
          <w:numId w:val="1"/>
        </w:numPr>
        <w:ind w:left="1645"/>
      </w:pPr>
      <w:r w:rsidRPr="00FD7D6B">
        <w:rPr>
          <w:rFonts w:hint="eastAsia"/>
        </w:rPr>
        <w:t>新南向所指國家為越南、泰國、馬來西亞、新加坡、菲律賓、汶萊、印尼、柬埔寨、寮國、緬甸、印度、斯里蘭卡、不丹、尼泊爾、孟加拉、巴基斯</w:t>
      </w:r>
      <w:r w:rsidRPr="00FD7D6B">
        <w:rPr>
          <w:rFonts w:hint="eastAsia"/>
        </w:rPr>
        <w:lastRenderedPageBreak/>
        <w:t>坦、澳大利亞及紐西蘭共18國。</w:t>
      </w:r>
    </w:p>
    <w:p w:rsidR="00C43AE1" w:rsidRPr="00FD7D6B" w:rsidRDefault="00C43AE1" w:rsidP="00C43AE1">
      <w:pPr>
        <w:pStyle w:val="4"/>
        <w:numPr>
          <w:ilvl w:val="3"/>
          <w:numId w:val="1"/>
        </w:numPr>
        <w:ind w:left="1645"/>
      </w:pPr>
      <w:r w:rsidRPr="00FD7D6B">
        <w:rPr>
          <w:rFonts w:hint="eastAsia"/>
        </w:rPr>
        <w:t>行政院於105年9月5日正式提出「新南向政策推動計畫」，提出「長期深耕、多元開展、雙向互惠」核心理念，整合各部會、地方政府，以及民間企業與團體的資源與力量，從「經貿合作」、「人才交流」、「資源共享」與「區域鏈結」四大面向著手，期望促進與東協、南亞及紐澳等國家商務、觀光、教育、勞務、醫療等各項交流，建立「經濟共同體意識」。</w:t>
      </w:r>
    </w:p>
    <w:p w:rsidR="00C43AE1" w:rsidRPr="00FD7D6B" w:rsidRDefault="00C43AE1" w:rsidP="00C43AE1">
      <w:pPr>
        <w:pStyle w:val="3"/>
        <w:numPr>
          <w:ilvl w:val="2"/>
          <w:numId w:val="1"/>
        </w:numPr>
      </w:pPr>
      <w:r w:rsidRPr="00FD7D6B">
        <w:rPr>
          <w:rFonts w:hint="eastAsia"/>
        </w:rPr>
        <w:t>疾管署表示，新南向國家現今多屬傳染病防疫能量較低區域。因此我國政府於推動新南向政策時，因雙方甚至多方之交流互動，難避免傳染病散播之風險，據相關機關查復表示：</w:t>
      </w:r>
    </w:p>
    <w:p w:rsidR="00C43AE1" w:rsidRPr="00FD7D6B" w:rsidRDefault="00C43AE1" w:rsidP="00C43AE1">
      <w:pPr>
        <w:pStyle w:val="4"/>
        <w:numPr>
          <w:ilvl w:val="3"/>
          <w:numId w:val="1"/>
        </w:numPr>
        <w:ind w:left="1645"/>
      </w:pPr>
      <w:r w:rsidRPr="00FD7D6B">
        <w:rPr>
          <w:rFonts w:hint="eastAsia"/>
        </w:rPr>
        <w:t>內政部</w:t>
      </w:r>
    </w:p>
    <w:p w:rsidR="00C43AE1" w:rsidRPr="00FD7D6B" w:rsidRDefault="00C43AE1" w:rsidP="00C43AE1">
      <w:pPr>
        <w:pStyle w:val="5"/>
        <w:numPr>
          <w:ilvl w:val="4"/>
          <w:numId w:val="1"/>
        </w:numPr>
        <w:ind w:left="2127"/>
      </w:pPr>
      <w:r w:rsidRPr="00FD7D6B">
        <w:rPr>
          <w:rFonts w:hint="eastAsia"/>
        </w:rPr>
        <w:t>鑑於泰國、汶萊旅客平均來臺停留天數約為8日，且查獲泰國旅客在臺從事色情活動日漸嚴重，而東南亞國家旅客持有條件式免簽來臺平均停留天數均未逾11日，爰為強化國境人流管理，已建議外交部針對泰國、汶萊以免簽證來臺，及東南亞國家旅客持有條件式免簽來臺之停留天數縮短為14日(原30日)。</w:t>
      </w:r>
    </w:p>
    <w:p w:rsidR="00C43AE1" w:rsidRPr="00FD7D6B" w:rsidRDefault="00C43AE1" w:rsidP="00C43AE1">
      <w:pPr>
        <w:pStyle w:val="5"/>
        <w:numPr>
          <w:ilvl w:val="4"/>
          <w:numId w:val="1"/>
        </w:numPr>
        <w:ind w:left="2127"/>
      </w:pPr>
      <w:r w:rsidRPr="00FD7D6B">
        <w:rPr>
          <w:rFonts w:hint="eastAsia"/>
        </w:rPr>
        <w:t>上開措施於107年8月起正式實施，以增加渠等來臺從事與許可目的不符活動之頻繁往返成本，降低該等國家人士來臺從事不法之誘因，亦可減少染疫旅客在臺停留天數。</w:t>
      </w:r>
    </w:p>
    <w:p w:rsidR="00C43AE1" w:rsidRPr="00FD7D6B" w:rsidRDefault="00C43AE1" w:rsidP="00C43AE1">
      <w:pPr>
        <w:pStyle w:val="4"/>
        <w:numPr>
          <w:ilvl w:val="3"/>
          <w:numId w:val="1"/>
        </w:numPr>
        <w:ind w:left="1645"/>
      </w:pPr>
      <w:r w:rsidRPr="00FD7D6B">
        <w:rPr>
          <w:rFonts w:hint="eastAsia"/>
        </w:rPr>
        <w:t>交通部</w:t>
      </w:r>
    </w:p>
    <w:p w:rsidR="00C43AE1" w:rsidRPr="00FD7D6B" w:rsidRDefault="00C43AE1" w:rsidP="00C43AE1">
      <w:pPr>
        <w:pStyle w:val="5"/>
        <w:numPr>
          <w:ilvl w:val="0"/>
          <w:numId w:val="0"/>
        </w:numPr>
        <w:ind w:left="1645" w:firstLineChars="183" w:firstLine="622"/>
      </w:pPr>
      <w:r w:rsidRPr="00FD7D6B">
        <w:rPr>
          <w:rFonts w:hint="eastAsia"/>
        </w:rPr>
        <w:t>據交通部觀光局統計，新南向國家人民來臺次數自105年簽證政策放寬以來，均逐年穩定成長，106年新南向市場來臺旅客成長27.63%，107年新南向國家人民來臺人次達2,594,765，較106</w:t>
      </w:r>
      <w:r w:rsidRPr="00FD7D6B">
        <w:rPr>
          <w:rFonts w:hint="eastAsia"/>
        </w:rPr>
        <w:lastRenderedPageBreak/>
        <w:t>年之2,284,382人次成長13.59％；在傳染病防治配合措施主要係加強「CIQS」聯合檢查作業</w:t>
      </w:r>
      <w:r w:rsidRPr="00FD7D6B">
        <w:rPr>
          <w:rStyle w:val="aff3"/>
        </w:rPr>
        <w:footnoteReference w:id="2"/>
      </w:r>
      <w:r w:rsidRPr="00FD7D6B">
        <w:rPr>
          <w:rFonts w:hint="eastAsia"/>
        </w:rPr>
        <w:t>。</w:t>
      </w:r>
    </w:p>
    <w:p w:rsidR="00C43AE1" w:rsidRPr="00FD7D6B" w:rsidRDefault="00C43AE1" w:rsidP="00C43AE1">
      <w:pPr>
        <w:pStyle w:val="5"/>
        <w:numPr>
          <w:ilvl w:val="4"/>
          <w:numId w:val="1"/>
        </w:numPr>
        <w:ind w:left="2127"/>
      </w:pPr>
      <w:r w:rsidRPr="00FD7D6B">
        <w:rPr>
          <w:rFonts w:hint="eastAsia"/>
        </w:rPr>
        <w:t>CIQS係為國際航空站通關及商港管制檢查作業，是國境守護</w:t>
      </w:r>
      <w:r w:rsidR="00967F34" w:rsidRPr="00FD7D6B">
        <w:rPr>
          <w:rFonts w:hint="eastAsia"/>
        </w:rPr>
        <w:t>四</w:t>
      </w:r>
      <w:r w:rsidRPr="00FD7D6B">
        <w:rPr>
          <w:rFonts w:hint="eastAsia"/>
        </w:rPr>
        <w:t>大重要安全關卡，分別代表：</w:t>
      </w:r>
    </w:p>
    <w:p w:rsidR="00C43AE1" w:rsidRPr="00FD7D6B" w:rsidRDefault="00C43AE1" w:rsidP="00C43AE1">
      <w:pPr>
        <w:pStyle w:val="6"/>
        <w:numPr>
          <w:ilvl w:val="5"/>
          <w:numId w:val="1"/>
        </w:numPr>
        <w:ind w:left="2552"/>
      </w:pPr>
      <w:r w:rsidRPr="00FD7D6B">
        <w:rPr>
          <w:rFonts w:hint="eastAsia"/>
        </w:rPr>
        <w:t>海關檢查(Customs)</w:t>
      </w:r>
    </w:p>
    <w:p w:rsidR="00C43AE1" w:rsidRPr="00FD7D6B" w:rsidRDefault="00C43AE1" w:rsidP="00C43AE1">
      <w:pPr>
        <w:pStyle w:val="6"/>
        <w:numPr>
          <w:ilvl w:val="5"/>
          <w:numId w:val="1"/>
        </w:numPr>
        <w:ind w:left="2552"/>
      </w:pPr>
      <w:r w:rsidRPr="00FD7D6B">
        <w:rPr>
          <w:rFonts w:hint="eastAsia"/>
        </w:rPr>
        <w:t>證照查驗(Immigration)</w:t>
      </w:r>
    </w:p>
    <w:p w:rsidR="00C43AE1" w:rsidRPr="00FD7D6B" w:rsidRDefault="00C43AE1" w:rsidP="00C43AE1">
      <w:pPr>
        <w:pStyle w:val="6"/>
        <w:numPr>
          <w:ilvl w:val="5"/>
          <w:numId w:val="1"/>
        </w:numPr>
        <w:ind w:left="2552"/>
      </w:pPr>
      <w:r w:rsidRPr="00FD7D6B">
        <w:rPr>
          <w:rFonts w:hint="eastAsia"/>
        </w:rPr>
        <w:t>檢疫(Quarantine):</w:t>
      </w:r>
      <w:r w:rsidR="003601CD" w:rsidRPr="00FD7D6B">
        <w:rPr>
          <w:rFonts w:hint="eastAsia"/>
        </w:rPr>
        <w:t>可分為旅客發燒篩檢、健康異常處理</w:t>
      </w:r>
      <w:r w:rsidRPr="00FD7D6B">
        <w:rPr>
          <w:rFonts w:hint="eastAsia"/>
        </w:rPr>
        <w:t>及旅客攜帶之動植物及產品檢疫。</w:t>
      </w:r>
    </w:p>
    <w:p w:rsidR="00C43AE1" w:rsidRPr="00FD7D6B" w:rsidRDefault="00C43AE1" w:rsidP="00C43AE1">
      <w:pPr>
        <w:pStyle w:val="6"/>
        <w:numPr>
          <w:ilvl w:val="5"/>
          <w:numId w:val="1"/>
        </w:numPr>
        <w:ind w:left="2552"/>
      </w:pPr>
      <w:r w:rsidRPr="00FD7D6B">
        <w:rPr>
          <w:rFonts w:hint="eastAsia"/>
        </w:rPr>
        <w:t xml:space="preserve">安全檢查及航空保安(Security) </w:t>
      </w:r>
    </w:p>
    <w:p w:rsidR="00C43AE1" w:rsidRPr="00FD7D6B" w:rsidRDefault="00C43AE1" w:rsidP="00C43AE1">
      <w:pPr>
        <w:pStyle w:val="5"/>
        <w:numPr>
          <w:ilvl w:val="4"/>
          <w:numId w:val="1"/>
        </w:numPr>
        <w:ind w:left="2127"/>
      </w:pPr>
      <w:r w:rsidRPr="00FD7D6B">
        <w:rPr>
          <w:rFonts w:hint="eastAsia"/>
        </w:rPr>
        <w:t>面對來臺旅客增加，為因應旅客於商港入出境，臺灣港務股份有限公司各港分公司配合各國際航班靠泊時間，邀集疾管署、行政院農業委員會動植物防疫檢疫局、財政部關務署、海洋委員會海巡署、內政部移民署及警政署港務警察總隊等CIQS單位召開會議，啟動CIQS聯檢作業，作業規定分屬各CIQS單位法定權責，包括對旅客身分、健康狀況及其托運及隨身行李共同執行聯合檢查作業，以落實入出國境管制作為。</w:t>
      </w:r>
    </w:p>
    <w:p w:rsidR="00C43AE1" w:rsidRPr="00FD7D6B" w:rsidRDefault="00C43AE1" w:rsidP="00C43AE1">
      <w:pPr>
        <w:pStyle w:val="4"/>
        <w:numPr>
          <w:ilvl w:val="3"/>
          <w:numId w:val="1"/>
        </w:numPr>
        <w:ind w:left="1645"/>
      </w:pPr>
      <w:r w:rsidRPr="00FD7D6B">
        <w:rPr>
          <w:rFonts w:hint="eastAsia"/>
        </w:rPr>
        <w:t>外交部</w:t>
      </w:r>
    </w:p>
    <w:p w:rsidR="00C43AE1" w:rsidRPr="00FD7D6B" w:rsidRDefault="00C43AE1" w:rsidP="00C43AE1">
      <w:pPr>
        <w:pStyle w:val="5"/>
        <w:numPr>
          <w:ilvl w:val="0"/>
          <w:numId w:val="0"/>
        </w:numPr>
        <w:ind w:left="1701" w:firstLineChars="208" w:firstLine="708"/>
      </w:pPr>
      <w:r w:rsidRPr="00FD7D6B">
        <w:rPr>
          <w:rFonts w:hint="eastAsia"/>
        </w:rPr>
        <w:t>依「受聘僱外國人健康檢查管理辦法」，</w:t>
      </w:r>
      <w:r w:rsidRPr="00FD7D6B">
        <w:t>來臺</w:t>
      </w:r>
      <w:r w:rsidRPr="00FD7D6B">
        <w:rPr>
          <w:rFonts w:hint="eastAsia"/>
        </w:rPr>
        <w:t>外</w:t>
      </w:r>
      <w:r w:rsidRPr="00FD7D6B">
        <w:t>國人</w:t>
      </w:r>
      <w:r w:rsidRPr="00FD7D6B">
        <w:rPr>
          <w:rFonts w:hint="eastAsia"/>
        </w:rPr>
        <w:t>士</w:t>
      </w:r>
      <w:r w:rsidRPr="00FD7D6B">
        <w:t>定居</w:t>
      </w:r>
      <w:r w:rsidRPr="00FD7D6B">
        <w:rPr>
          <w:rFonts w:hint="eastAsia"/>
        </w:rPr>
        <w:t>、</w:t>
      </w:r>
      <w:r w:rsidRPr="00FD7D6B">
        <w:t>工作</w:t>
      </w:r>
      <w:r w:rsidRPr="00FD7D6B">
        <w:rPr>
          <w:rFonts w:hint="eastAsia"/>
        </w:rPr>
        <w:t>或求學者</w:t>
      </w:r>
      <w:r w:rsidRPr="00FD7D6B">
        <w:t>，</w:t>
      </w:r>
      <w:r w:rsidRPr="00FD7D6B">
        <w:rPr>
          <w:rFonts w:hint="eastAsia"/>
        </w:rPr>
        <w:t>外交部須驗證其</w:t>
      </w:r>
      <w:r w:rsidR="00537C50" w:rsidRPr="00FD7D6B">
        <w:rPr>
          <w:rFonts w:hint="eastAsia"/>
        </w:rPr>
        <w:t>來源</w:t>
      </w:r>
      <w:r w:rsidRPr="00FD7D6B">
        <w:rPr>
          <w:rFonts w:hint="eastAsia"/>
        </w:rPr>
        <w:t>國所出據之健康檢查結果證明</w:t>
      </w:r>
      <w:r w:rsidR="00967F34" w:rsidRPr="00FD7D6B">
        <w:rPr>
          <w:rFonts w:hint="eastAsia"/>
        </w:rPr>
        <w:t>。</w:t>
      </w:r>
      <w:r w:rsidRPr="00FD7D6B">
        <w:rPr>
          <w:rFonts w:hint="eastAsia"/>
        </w:rPr>
        <w:t>該部表示，基本上該部係透過居留簽證之核發以配合境外防疫政策，實務上尚無執行困難處。</w:t>
      </w:r>
    </w:p>
    <w:p w:rsidR="00C43AE1" w:rsidRPr="00FD7D6B" w:rsidRDefault="00C43AE1" w:rsidP="00C43AE1">
      <w:pPr>
        <w:pStyle w:val="3"/>
        <w:numPr>
          <w:ilvl w:val="2"/>
          <w:numId w:val="1"/>
        </w:numPr>
      </w:pPr>
      <w:r w:rsidRPr="00FD7D6B">
        <w:rPr>
          <w:rFonts w:hint="eastAsia"/>
        </w:rPr>
        <w:t>關於相關機關對於傳染病防疫之建議，陳述如下：</w:t>
      </w:r>
    </w:p>
    <w:p w:rsidR="00C43AE1" w:rsidRPr="00FD7D6B" w:rsidRDefault="00C43AE1" w:rsidP="00C43AE1">
      <w:pPr>
        <w:pStyle w:val="4"/>
        <w:numPr>
          <w:ilvl w:val="3"/>
          <w:numId w:val="1"/>
        </w:numPr>
        <w:ind w:left="1645"/>
      </w:pPr>
      <w:r w:rsidRPr="00FD7D6B">
        <w:rPr>
          <w:rFonts w:hint="eastAsia"/>
        </w:rPr>
        <w:t>外交部</w:t>
      </w:r>
    </w:p>
    <w:p w:rsidR="00C43AE1" w:rsidRPr="00FD7D6B" w:rsidRDefault="00C43AE1" w:rsidP="004D2958">
      <w:pPr>
        <w:pStyle w:val="4"/>
        <w:numPr>
          <w:ilvl w:val="0"/>
          <w:numId w:val="0"/>
        </w:numPr>
        <w:ind w:left="1645" w:firstLineChars="183" w:firstLine="622"/>
      </w:pPr>
      <w:r w:rsidRPr="00FD7D6B">
        <w:rPr>
          <w:rFonts w:hint="eastAsia"/>
        </w:rPr>
        <w:lastRenderedPageBreak/>
        <w:t>建議衛福部可適時將傳染病防治相關訊息轉知外交部，</w:t>
      </w:r>
      <w:r w:rsidR="00AF726D" w:rsidRPr="00FD7D6B">
        <w:rPr>
          <w:rFonts w:hint="eastAsia"/>
        </w:rPr>
        <w:t>該</w:t>
      </w:r>
      <w:r w:rsidR="00967F34" w:rsidRPr="00FD7D6B">
        <w:rPr>
          <w:rFonts w:hint="eastAsia"/>
        </w:rPr>
        <w:t>部可協助周知新南向國家相關駐館，以達廣為宣導之效。</w:t>
      </w:r>
    </w:p>
    <w:p w:rsidR="00C43AE1" w:rsidRPr="00FD7D6B" w:rsidRDefault="00C43AE1" w:rsidP="00C43AE1">
      <w:pPr>
        <w:pStyle w:val="4"/>
        <w:numPr>
          <w:ilvl w:val="3"/>
          <w:numId w:val="1"/>
        </w:numPr>
        <w:ind w:left="1645"/>
      </w:pPr>
      <w:r w:rsidRPr="00FD7D6B">
        <w:rPr>
          <w:rFonts w:hint="eastAsia"/>
        </w:rPr>
        <w:t>教育部</w:t>
      </w:r>
    </w:p>
    <w:p w:rsidR="00C43AE1" w:rsidRPr="00FD7D6B" w:rsidRDefault="00C43AE1" w:rsidP="00AF726D">
      <w:pPr>
        <w:pStyle w:val="4"/>
        <w:numPr>
          <w:ilvl w:val="0"/>
          <w:numId w:val="0"/>
        </w:numPr>
        <w:ind w:left="1645" w:firstLineChars="225" w:firstLine="765"/>
      </w:pPr>
      <w:r w:rsidRPr="00FD7D6B">
        <w:rPr>
          <w:rFonts w:hint="eastAsia"/>
        </w:rPr>
        <w:t>配合疾管署傳染病防疫政策，依不同傳染病傳播特性，持續透過教育部學校衛生資訊網等宣導，並加強鼓勵學校善加運用疾管署網站相關宣導資料及防疫最新動態掌握傳染病相關資訊。</w:t>
      </w:r>
    </w:p>
    <w:p w:rsidR="00C43AE1" w:rsidRPr="00FD7D6B" w:rsidRDefault="00C43AE1" w:rsidP="00C43AE1">
      <w:pPr>
        <w:pStyle w:val="4"/>
        <w:numPr>
          <w:ilvl w:val="3"/>
          <w:numId w:val="1"/>
        </w:numPr>
        <w:ind w:left="1645"/>
      </w:pPr>
      <w:r w:rsidRPr="00FD7D6B">
        <w:rPr>
          <w:rFonts w:hint="eastAsia"/>
        </w:rPr>
        <w:t>內政部、勞動部、大陸委員會</w:t>
      </w:r>
    </w:p>
    <w:p w:rsidR="003601CD" w:rsidRPr="00FD7D6B" w:rsidRDefault="00C43AE1" w:rsidP="003932DB">
      <w:pPr>
        <w:pStyle w:val="4"/>
        <w:numPr>
          <w:ilvl w:val="0"/>
          <w:numId w:val="0"/>
        </w:numPr>
        <w:ind w:left="1645" w:firstLineChars="183" w:firstLine="622"/>
      </w:pPr>
      <w:r w:rsidRPr="00FD7D6B">
        <w:rPr>
          <w:rFonts w:hint="eastAsia"/>
        </w:rPr>
        <w:t>各部會代表於本院詢問會議時，皆表示會全力配合疾管署傳染病防治政策，提供相關資料以集中防疫能量，強化傳染病之監控防治作為。</w:t>
      </w:r>
    </w:p>
    <w:p w:rsidR="00C43AE1" w:rsidRPr="00FD7D6B" w:rsidRDefault="00C43AE1" w:rsidP="004D2958">
      <w:pPr>
        <w:pStyle w:val="3"/>
        <w:numPr>
          <w:ilvl w:val="0"/>
          <w:numId w:val="0"/>
        </w:numPr>
        <w:ind w:left="1361" w:firstLineChars="225" w:firstLine="765"/>
      </w:pPr>
      <w:r w:rsidRPr="00FD7D6B">
        <w:rPr>
          <w:rFonts w:hint="eastAsia"/>
        </w:rPr>
        <w:t>綜言之，疾管署允應主動提供防疫資訊予相關機關，並會同各機關建立資料交換平台以掌握傳染病疫情。</w:t>
      </w:r>
    </w:p>
    <w:p w:rsidR="00CB6A4D" w:rsidRPr="00FD7D6B" w:rsidRDefault="00FE564B" w:rsidP="002D4147">
      <w:pPr>
        <w:pStyle w:val="3"/>
      </w:pPr>
      <w:r w:rsidRPr="00FD7D6B">
        <w:rPr>
          <w:rFonts w:hint="eastAsia"/>
        </w:rPr>
        <w:t>另新南向政策中「醫衛合作與產業鏈發展計畫」目標</w:t>
      </w:r>
      <w:r w:rsidR="002D4147" w:rsidRPr="00FD7D6B">
        <w:rPr>
          <w:rFonts w:hint="eastAsia"/>
        </w:rPr>
        <w:t>也強調</w:t>
      </w:r>
      <w:r w:rsidRPr="00FD7D6B">
        <w:rPr>
          <w:rFonts w:hint="eastAsia"/>
        </w:rPr>
        <w:t>透過全面性醫衛合作與相關產業鏈連結，促進我國生技醫衛產業發展，並藉由我國醫療衛生軟實力，深耕醫衛人脈網絡，擴大我國在新南向國家的影響力，進而帶動生醫產業拓展</w:t>
      </w:r>
      <w:r w:rsidR="00CB6A4D" w:rsidRPr="00FD7D6B">
        <w:rPr>
          <w:rFonts w:hint="eastAsia"/>
        </w:rPr>
        <w:t>，因此我國政府</w:t>
      </w:r>
      <w:r w:rsidR="002D4147" w:rsidRPr="00FD7D6B">
        <w:rPr>
          <w:rFonts w:hint="eastAsia"/>
        </w:rPr>
        <w:t>若能善用跨部會間整合</w:t>
      </w:r>
      <w:r w:rsidR="00CB6A4D" w:rsidRPr="00FD7D6B">
        <w:rPr>
          <w:rFonts w:hint="eastAsia"/>
        </w:rPr>
        <w:t>之疫情</w:t>
      </w:r>
      <w:r w:rsidR="002D4147" w:rsidRPr="00FD7D6B">
        <w:rPr>
          <w:rFonts w:hint="eastAsia"/>
        </w:rPr>
        <w:t>資訊，</w:t>
      </w:r>
      <w:r w:rsidR="00CB6A4D" w:rsidRPr="00FD7D6B">
        <w:rPr>
          <w:rFonts w:hint="eastAsia"/>
        </w:rPr>
        <w:t>藉以連結</w:t>
      </w:r>
      <w:r w:rsidR="002D4147" w:rsidRPr="00FD7D6B">
        <w:rPr>
          <w:rFonts w:hint="eastAsia"/>
        </w:rPr>
        <w:t>醫衛</w:t>
      </w:r>
      <w:r w:rsidR="00CB6A4D" w:rsidRPr="00FD7D6B">
        <w:rPr>
          <w:rFonts w:hint="eastAsia"/>
        </w:rPr>
        <w:t>產業</w:t>
      </w:r>
      <w:r w:rsidR="002D4147" w:rsidRPr="00FD7D6B">
        <w:rPr>
          <w:rFonts w:hint="eastAsia"/>
        </w:rPr>
        <w:t>，</w:t>
      </w:r>
      <w:r w:rsidR="00CB6A4D" w:rsidRPr="00FD7D6B">
        <w:rPr>
          <w:rFonts w:hint="eastAsia"/>
        </w:rPr>
        <w:t>亦可順勢推動產業發展。據上，新南向政策目的在於強化與東南亞及南亞國家之關係，促進商務、觀光、教育、勞務、醫療等各項交流，惟同時易造成傳染病傳播風險提升，傳染病防治有賴跨部會合作，疾管署允應主動提供防疫資訊予外交部、內政部、勞動部、教育部、交通部、大陸委員會等機關，並會同各機關建立資料交換平台以掌握傳染病疫情，透過部會間資源整合與跨部會之防疫會議，強化防治作為，降低傳染風險，另宜善用所</w:t>
      </w:r>
      <w:r w:rsidR="00CB6A4D" w:rsidRPr="00FD7D6B">
        <w:rPr>
          <w:rFonts w:hint="eastAsia"/>
        </w:rPr>
        <w:lastRenderedPageBreak/>
        <w:t>整合之疫情資訊，藉以強化醫衛產業</w:t>
      </w:r>
      <w:r w:rsidR="003770A0" w:rsidRPr="00FD7D6B">
        <w:rPr>
          <w:rFonts w:hint="eastAsia"/>
        </w:rPr>
        <w:t>連</w:t>
      </w:r>
      <w:r w:rsidR="00CB6A4D" w:rsidRPr="00FD7D6B">
        <w:rPr>
          <w:rFonts w:hint="eastAsia"/>
        </w:rPr>
        <w:t>結，創造多元價值。</w:t>
      </w:r>
    </w:p>
    <w:p w:rsidR="00C43AE1" w:rsidRPr="00FD7D6B" w:rsidRDefault="00C43AE1" w:rsidP="00C43AE1">
      <w:pPr>
        <w:pStyle w:val="1"/>
        <w:numPr>
          <w:ilvl w:val="0"/>
          <w:numId w:val="1"/>
        </w:numPr>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r w:rsidRPr="00FD7D6B">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FD7D6B">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D7D6B">
        <w:t xml:space="preserve"> </w:t>
      </w:r>
    </w:p>
    <w:p w:rsidR="00C43AE1" w:rsidRPr="00FD7D6B" w:rsidRDefault="00C43AE1" w:rsidP="00C43AE1">
      <w:pPr>
        <w:pStyle w:val="2"/>
        <w:numPr>
          <w:ilvl w:val="1"/>
          <w:numId w:val="1"/>
        </w:numPr>
        <w:spacing w:beforeLines="25" w:before="114"/>
        <w:ind w:left="1020" w:hanging="680"/>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8"/>
      <w:bookmarkEnd w:id="79"/>
      <w:bookmarkEnd w:id="80"/>
      <w:r w:rsidRPr="00FD7D6B">
        <w:rPr>
          <w:rFonts w:hint="eastAsia"/>
        </w:rPr>
        <w:t>調查意見一，函請衛生福利部疾病管制署</w:t>
      </w:r>
      <w:bookmarkStart w:id="107" w:name="_Toc421794877"/>
      <w:bookmarkStart w:id="108" w:name="_Toc421795443"/>
      <w:bookmarkStart w:id="109" w:name="_Toc421796024"/>
      <w:bookmarkStart w:id="110" w:name="_Toc422728959"/>
      <w:bookmarkStart w:id="111" w:name="_Toc422834162"/>
      <w:bookmarkEnd w:id="81"/>
      <w:bookmarkEnd w:id="82"/>
      <w:bookmarkEnd w:id="83"/>
      <w:bookmarkEnd w:id="84"/>
      <w:bookmarkEnd w:id="85"/>
      <w:bookmarkEnd w:id="86"/>
      <w:bookmarkEnd w:id="87"/>
      <w:r w:rsidRPr="00FD7D6B">
        <w:rPr>
          <w:rFonts w:hint="eastAsia"/>
        </w:rPr>
        <w:t>確實檢討改進見復。</w:t>
      </w:r>
      <w:bookmarkEnd w:id="88"/>
      <w:bookmarkEnd w:id="89"/>
      <w:bookmarkEnd w:id="90"/>
      <w:bookmarkEnd w:id="91"/>
      <w:bookmarkEnd w:id="92"/>
      <w:bookmarkEnd w:id="93"/>
      <w:bookmarkEnd w:id="94"/>
      <w:bookmarkEnd w:id="95"/>
      <w:bookmarkEnd w:id="107"/>
      <w:bookmarkEnd w:id="108"/>
      <w:bookmarkEnd w:id="109"/>
      <w:bookmarkEnd w:id="110"/>
      <w:bookmarkEnd w:id="111"/>
    </w:p>
    <w:p w:rsidR="00FB622B" w:rsidRPr="00FD7D6B" w:rsidRDefault="00C43AE1" w:rsidP="00C43AE1">
      <w:pPr>
        <w:pStyle w:val="2"/>
        <w:numPr>
          <w:ilvl w:val="1"/>
          <w:numId w:val="1"/>
        </w:numPr>
        <w:spacing w:beforeLines="25" w:before="114"/>
        <w:ind w:left="1020" w:hanging="680"/>
      </w:pPr>
      <w:r w:rsidRPr="00FD7D6B">
        <w:rPr>
          <w:rFonts w:hint="eastAsia"/>
        </w:rPr>
        <w:t>調查意見二，函請</w:t>
      </w:r>
      <w:r w:rsidR="008A1C45" w:rsidRPr="00FD7D6B">
        <w:rPr>
          <w:rFonts w:hint="eastAsia"/>
        </w:rPr>
        <w:t>行政院督促</w:t>
      </w:r>
      <w:r w:rsidRPr="00FD7D6B">
        <w:rPr>
          <w:rFonts w:hint="eastAsia"/>
        </w:rPr>
        <w:t>衛生福利部</w:t>
      </w:r>
      <w:r w:rsidR="00FB622B" w:rsidRPr="00FD7D6B">
        <w:rPr>
          <w:rFonts w:hint="eastAsia"/>
        </w:rPr>
        <w:t>疾病管制署、內政部、教育部及勞動部確實檢討改進見復。</w:t>
      </w:r>
    </w:p>
    <w:p w:rsidR="00C43AE1" w:rsidRPr="00FD7D6B" w:rsidRDefault="00C43AE1" w:rsidP="00C43AE1">
      <w:pPr>
        <w:pStyle w:val="2"/>
        <w:numPr>
          <w:ilvl w:val="1"/>
          <w:numId w:val="1"/>
        </w:numPr>
        <w:spacing w:beforeLines="25" w:before="114"/>
        <w:ind w:left="1020" w:hanging="680"/>
      </w:pPr>
      <w:r w:rsidRPr="00FD7D6B">
        <w:rPr>
          <w:rFonts w:hint="eastAsia"/>
        </w:rPr>
        <w:t>調查意見三，函請衛生福利部</w:t>
      </w:r>
      <w:r w:rsidR="008A1C45" w:rsidRPr="00FD7D6B">
        <w:rPr>
          <w:rFonts w:hint="eastAsia"/>
        </w:rPr>
        <w:t>、外交部</w:t>
      </w:r>
      <w:r w:rsidRPr="00FD7D6B">
        <w:rPr>
          <w:rFonts w:hint="eastAsia"/>
        </w:rPr>
        <w:t>確實檢討改進見復。</w:t>
      </w:r>
    </w:p>
    <w:p w:rsidR="00C43AE1" w:rsidRPr="00FD7D6B" w:rsidRDefault="00C43AE1" w:rsidP="00C43AE1">
      <w:pPr>
        <w:pStyle w:val="2"/>
        <w:numPr>
          <w:ilvl w:val="1"/>
          <w:numId w:val="1"/>
        </w:numPr>
        <w:spacing w:beforeLines="25" w:before="114"/>
        <w:ind w:left="1020" w:hanging="680"/>
      </w:pPr>
      <w:r w:rsidRPr="00FD7D6B">
        <w:rPr>
          <w:rFonts w:hint="eastAsia"/>
        </w:rPr>
        <w:t>調查意見四，函請衛生福利部確實檢討改進見復。</w:t>
      </w:r>
    </w:p>
    <w:p w:rsidR="00C43AE1" w:rsidRPr="00FD7D6B" w:rsidRDefault="00C43AE1" w:rsidP="00C43AE1">
      <w:pPr>
        <w:pStyle w:val="2"/>
        <w:numPr>
          <w:ilvl w:val="1"/>
          <w:numId w:val="1"/>
        </w:numPr>
      </w:pPr>
      <w:bookmarkStart w:id="112" w:name="_Toc70241819"/>
      <w:bookmarkStart w:id="113" w:name="_Toc70242208"/>
      <w:bookmarkStart w:id="114" w:name="_Toc421794878"/>
      <w:bookmarkStart w:id="115" w:name="_Toc421795444"/>
      <w:bookmarkStart w:id="116" w:name="_Toc421796025"/>
      <w:bookmarkStart w:id="117" w:name="_Toc422728960"/>
      <w:bookmarkStart w:id="118" w:name="_Toc422834163"/>
      <w:bookmarkStart w:id="119" w:name="_Toc70241818"/>
      <w:bookmarkStart w:id="120" w:name="_Toc70242207"/>
      <w:r w:rsidRPr="00FD7D6B">
        <w:rPr>
          <w:rFonts w:hint="eastAsia"/>
        </w:rPr>
        <w:t>調查意見五，</w:t>
      </w:r>
      <w:r w:rsidR="008A1C45" w:rsidRPr="00FD7D6B">
        <w:rPr>
          <w:rFonts w:hint="eastAsia"/>
        </w:rPr>
        <w:t>函</w:t>
      </w:r>
      <w:r w:rsidRPr="00FD7D6B">
        <w:rPr>
          <w:rFonts w:hint="eastAsia"/>
        </w:rPr>
        <w:t>請行政院督促衛生福利部會同外交部、內政部、勞動部、教育部、交通部及大陸委員會確實檢討改進見復。</w:t>
      </w:r>
    </w:p>
    <w:p w:rsidR="00C43AE1" w:rsidRPr="00FD7D6B" w:rsidRDefault="00C43AE1" w:rsidP="00C43AE1">
      <w:pPr>
        <w:pStyle w:val="2"/>
        <w:numPr>
          <w:ilvl w:val="1"/>
          <w:numId w:val="1"/>
        </w:numPr>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96"/>
      <w:bookmarkEnd w:id="97"/>
      <w:bookmarkEnd w:id="98"/>
      <w:bookmarkEnd w:id="99"/>
      <w:bookmarkEnd w:id="100"/>
      <w:bookmarkEnd w:id="101"/>
      <w:bookmarkEnd w:id="102"/>
      <w:bookmarkEnd w:id="103"/>
      <w:bookmarkEnd w:id="104"/>
      <w:bookmarkEnd w:id="105"/>
      <w:bookmarkEnd w:id="106"/>
      <w:bookmarkEnd w:id="112"/>
      <w:bookmarkEnd w:id="113"/>
      <w:bookmarkEnd w:id="114"/>
      <w:bookmarkEnd w:id="115"/>
      <w:bookmarkEnd w:id="116"/>
      <w:bookmarkEnd w:id="117"/>
      <w:bookmarkEnd w:id="118"/>
      <w:bookmarkEnd w:id="119"/>
      <w:bookmarkEnd w:id="120"/>
      <w:r w:rsidRPr="00FD7D6B">
        <w:rPr>
          <w:rFonts w:hint="eastAsia"/>
        </w:rPr>
        <w:t>檢附派查函及相關附件，送請</w:t>
      </w:r>
      <w:r w:rsidR="00FB622B" w:rsidRPr="00FD7D6B">
        <w:rPr>
          <w:rFonts w:hint="eastAsia"/>
        </w:rPr>
        <w:t>內政及少數民族委員會、教育及文化委員會、</w:t>
      </w:r>
      <w:r w:rsidRPr="00FD7D6B">
        <w:rPr>
          <w:rFonts w:hint="eastAsia"/>
        </w:rPr>
        <w:t>財政及經濟委員會</w:t>
      </w:r>
      <w:r w:rsidR="008A1C45" w:rsidRPr="00FD7D6B">
        <w:rPr>
          <w:rFonts w:hint="eastAsia"/>
        </w:rPr>
        <w:t>、外交及僑政委員會</w:t>
      </w:r>
      <w:r w:rsidRPr="00FD7D6B">
        <w:rPr>
          <w:rFonts w:hint="eastAsia"/>
        </w:rPr>
        <w:t>聯</w:t>
      </w:r>
      <w:r w:rsidRPr="00FD7D6B">
        <w:rPr>
          <w:rFonts w:hAnsi="標楷體" w:hint="eastAsia"/>
        </w:rPr>
        <w:t>席會議</w:t>
      </w:r>
      <w:r w:rsidRPr="00FD7D6B">
        <w:rPr>
          <w:rFonts w:hint="eastAsia"/>
        </w:rPr>
        <w:t>處理。</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C43AE1" w:rsidRPr="00FD7D6B" w:rsidRDefault="00C43AE1" w:rsidP="00C43AE1">
      <w:pPr>
        <w:pStyle w:val="aa"/>
        <w:spacing w:beforeLines="50" w:before="228" w:afterLines="100" w:after="457"/>
        <w:ind w:leftChars="1100" w:left="3742"/>
        <w:rPr>
          <w:b w:val="0"/>
          <w:bCs/>
          <w:snapToGrid/>
          <w:spacing w:val="12"/>
          <w:kern w:val="0"/>
          <w:sz w:val="40"/>
        </w:rPr>
      </w:pPr>
    </w:p>
    <w:p w:rsidR="00C43AE1" w:rsidRPr="00FD7D6B" w:rsidRDefault="001050AD" w:rsidP="001050AD">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C43AE1" w:rsidRPr="00FD7D6B">
        <w:rPr>
          <w:rFonts w:hint="eastAsia"/>
          <w:b w:val="0"/>
          <w:bCs/>
          <w:snapToGrid/>
          <w:spacing w:val="12"/>
          <w:kern w:val="0"/>
          <w:sz w:val="40"/>
        </w:rPr>
        <w:t>調查委員：</w:t>
      </w:r>
      <w:r>
        <w:rPr>
          <w:rFonts w:hint="eastAsia"/>
          <w:b w:val="0"/>
          <w:bCs/>
          <w:snapToGrid/>
          <w:spacing w:val="12"/>
          <w:kern w:val="0"/>
          <w:sz w:val="40"/>
        </w:rPr>
        <w:t>張武修委員</w:t>
      </w:r>
    </w:p>
    <w:p w:rsidR="00C43AE1" w:rsidRPr="00FD7D6B" w:rsidRDefault="00C43AE1" w:rsidP="00C43AE1">
      <w:pPr>
        <w:pStyle w:val="aa"/>
        <w:spacing w:before="0" w:after="0"/>
        <w:ind w:leftChars="1100" w:left="3742"/>
        <w:rPr>
          <w:rFonts w:ascii="Times New Roman"/>
          <w:b w:val="0"/>
          <w:bCs/>
          <w:snapToGrid/>
          <w:spacing w:val="0"/>
          <w:kern w:val="0"/>
          <w:sz w:val="40"/>
        </w:rPr>
      </w:pPr>
    </w:p>
    <w:p w:rsidR="008A1C45" w:rsidRPr="00FD7D6B" w:rsidRDefault="008A1C45" w:rsidP="00C43AE1">
      <w:pPr>
        <w:pStyle w:val="aa"/>
        <w:spacing w:before="0" w:after="0"/>
        <w:ind w:leftChars="1100" w:left="3742"/>
        <w:rPr>
          <w:rFonts w:ascii="Times New Roman"/>
          <w:b w:val="0"/>
          <w:bCs/>
          <w:snapToGrid/>
          <w:spacing w:val="0"/>
          <w:kern w:val="0"/>
          <w:sz w:val="40"/>
        </w:rPr>
      </w:pPr>
      <w:bookmarkStart w:id="134" w:name="_GoBack"/>
      <w:bookmarkEnd w:id="51"/>
      <w:bookmarkEnd w:id="52"/>
      <w:bookmarkEnd w:id="53"/>
      <w:bookmarkEnd w:id="134"/>
    </w:p>
    <w:sectPr w:rsidR="008A1C45" w:rsidRPr="00FD7D6B" w:rsidSect="00031F0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734" w:rsidRDefault="00632734">
      <w:r>
        <w:separator/>
      </w:r>
    </w:p>
  </w:endnote>
  <w:endnote w:type="continuationSeparator" w:id="0">
    <w:p w:rsidR="00632734" w:rsidRDefault="0063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D5A" w:rsidRDefault="00042D5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1050AD">
      <w:rPr>
        <w:rStyle w:val="ae"/>
        <w:noProof/>
        <w:sz w:val="24"/>
      </w:rPr>
      <w:t>26</w:t>
    </w:r>
    <w:r>
      <w:rPr>
        <w:rStyle w:val="ae"/>
        <w:sz w:val="24"/>
      </w:rPr>
      <w:fldChar w:fldCharType="end"/>
    </w:r>
  </w:p>
  <w:p w:rsidR="00042D5A" w:rsidRDefault="00042D5A">
    <w:pPr>
      <w:framePr w:wrap="auto" w:hAnchor="text" w:y="-955"/>
      <w:ind w:left="640" w:right="360" w:firstLine="448"/>
      <w:jc w:val="right"/>
    </w:pPr>
  </w:p>
  <w:p w:rsidR="00042D5A" w:rsidRDefault="00042D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734" w:rsidRDefault="00632734">
      <w:r>
        <w:separator/>
      </w:r>
    </w:p>
  </w:footnote>
  <w:footnote w:type="continuationSeparator" w:id="0">
    <w:p w:rsidR="00632734" w:rsidRDefault="00632734">
      <w:r>
        <w:continuationSeparator/>
      </w:r>
    </w:p>
  </w:footnote>
  <w:footnote w:id="1">
    <w:p w:rsidR="00042D5A" w:rsidRDefault="00042D5A" w:rsidP="00C43AE1">
      <w:pPr>
        <w:pStyle w:val="aff1"/>
      </w:pPr>
      <w:r>
        <w:rPr>
          <w:rStyle w:val="aff3"/>
        </w:rPr>
        <w:footnoteRef/>
      </w:r>
      <w:r>
        <w:rPr>
          <w:rFonts w:hint="eastAsia"/>
        </w:rPr>
        <w:t>資料來源:疾管署官方網站，路徑為</w:t>
      </w:r>
      <w:r w:rsidRPr="0025516D">
        <w:rPr>
          <w:rFonts w:hint="eastAsia"/>
        </w:rPr>
        <w:t>首頁</w:t>
      </w:r>
      <w:r>
        <w:rPr>
          <w:rFonts w:hint="eastAsia"/>
        </w:rPr>
        <w:t>→</w:t>
      </w:r>
      <w:r w:rsidRPr="0025516D">
        <w:rPr>
          <w:rFonts w:hint="eastAsia"/>
        </w:rPr>
        <w:t>國際旅遊與健康</w:t>
      </w:r>
      <w:r>
        <w:rPr>
          <w:rFonts w:hint="eastAsia"/>
        </w:rPr>
        <w:t>→</w:t>
      </w:r>
      <w:r w:rsidRPr="0025516D">
        <w:rPr>
          <w:rFonts w:hint="eastAsia"/>
        </w:rPr>
        <w:t>國際疫情及建議等級</w:t>
      </w:r>
      <w:r>
        <w:rPr>
          <w:rFonts w:hint="eastAsia"/>
        </w:rPr>
        <w:t>→</w:t>
      </w:r>
      <w:r w:rsidRPr="0025516D">
        <w:rPr>
          <w:rFonts w:hint="eastAsia"/>
        </w:rPr>
        <w:t>國際旅遊疫情建議等級</w:t>
      </w:r>
      <w:r>
        <w:rPr>
          <w:rFonts w:hint="eastAsia"/>
        </w:rPr>
        <w:t>。</w:t>
      </w:r>
    </w:p>
  </w:footnote>
  <w:footnote w:id="2">
    <w:p w:rsidR="00042D5A" w:rsidRDefault="00042D5A" w:rsidP="00C43AE1">
      <w:pPr>
        <w:pStyle w:val="aff1"/>
      </w:pPr>
      <w:r>
        <w:rPr>
          <w:rStyle w:val="aff3"/>
        </w:rPr>
        <w:footnoteRef/>
      </w:r>
      <w:r>
        <w:t xml:space="preserve"> </w:t>
      </w:r>
      <w:r>
        <w:rPr>
          <w:rFonts w:hint="eastAsia"/>
        </w:rPr>
        <w:t>資料來源:交通部</w:t>
      </w:r>
      <w:r>
        <w:rPr>
          <w:rFonts w:ascii="新細明體" w:eastAsia="新細明體" w:hAnsi="新細明體" w:hint="eastAsia"/>
        </w:rPr>
        <w:t>《</w:t>
      </w:r>
      <w:r w:rsidRPr="00193552">
        <w:rPr>
          <w:rFonts w:hint="eastAsia"/>
        </w:rPr>
        <w:t>航空運輸專論</w:t>
      </w:r>
      <w:r w:rsidRPr="00AE1880">
        <w:rPr>
          <w:rFonts w:hint="eastAsia"/>
        </w:rPr>
        <w:t>》</w:t>
      </w:r>
      <w:r>
        <w:rPr>
          <w:rFonts w:hint="eastAsia"/>
        </w:rPr>
        <w:t>第15章</w:t>
      </w:r>
      <w:r w:rsidRPr="00AE1880">
        <w:rPr>
          <w:rFonts w:hint="eastAsia"/>
        </w:rPr>
        <w:t>「</w:t>
      </w:r>
      <w:r>
        <w:rPr>
          <w:rFonts w:hint="eastAsia"/>
        </w:rPr>
        <w:t>航空經營管理</w:t>
      </w:r>
      <w:r w:rsidRPr="00AE1880">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986"/>
    <w:multiLevelType w:val="hybridMultilevel"/>
    <w:tmpl w:val="C1F44CE8"/>
    <w:lvl w:ilvl="0" w:tplc="CDF6FEBC">
      <w:start w:val="1"/>
      <w:numFmt w:val="decimal"/>
      <w:lvlText w:val="(%1)"/>
      <w:lvlJc w:val="left"/>
      <w:pPr>
        <w:ind w:left="960" w:hanging="480"/>
      </w:pPr>
      <w:rPr>
        <w:rFonts w:hint="eastAsia"/>
        <w:b/>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9A11D0"/>
    <w:multiLevelType w:val="hybridMultilevel"/>
    <w:tmpl w:val="1BCCE378"/>
    <w:lvl w:ilvl="0" w:tplc="17D82CBA">
      <w:start w:val="1"/>
      <w:numFmt w:val="decimal"/>
      <w:lvlText w:val="(%1)"/>
      <w:lvlJc w:val="left"/>
      <w:pPr>
        <w:ind w:left="1200" w:hanging="480"/>
      </w:pPr>
      <w:rPr>
        <w:rFonts w:hint="eastAsia"/>
        <w:b/>
        <w:bCs/>
      </w:rPr>
    </w:lvl>
    <w:lvl w:ilvl="1" w:tplc="207CBD1A">
      <w:start w:val="1"/>
      <w:numFmt w:val="taiwaneseCountingThousand"/>
      <w:lvlText w:val="%2、"/>
      <w:lvlJc w:val="left"/>
      <w:pPr>
        <w:ind w:left="2160" w:hanging="9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40E010C"/>
    <w:multiLevelType w:val="multilevel"/>
    <w:tmpl w:val="6DE2EAB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4395"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4D2DBB"/>
    <w:multiLevelType w:val="hybridMultilevel"/>
    <w:tmpl w:val="BA46ABBC"/>
    <w:lvl w:ilvl="0" w:tplc="F0AE009E">
      <w:start w:val="1"/>
      <w:numFmt w:val="decimal"/>
      <w:lvlText w:val="%1."/>
      <w:lvlJc w:val="left"/>
      <w:pPr>
        <w:ind w:left="1200" w:hanging="480"/>
      </w:pPr>
      <w:rPr>
        <w:rFonts w:hint="default"/>
        <w:b/>
        <w:bC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68107B7"/>
    <w:multiLevelType w:val="hybridMultilevel"/>
    <w:tmpl w:val="BBC29C4A"/>
    <w:lvl w:ilvl="0" w:tplc="04090011">
      <w:start w:val="1"/>
      <w:numFmt w:val="upperLetter"/>
      <w:lvlText w:val="%1."/>
      <w:lvlJc w:val="left"/>
      <w:pPr>
        <w:ind w:left="480" w:hanging="480"/>
      </w:pPr>
    </w:lvl>
    <w:lvl w:ilvl="1" w:tplc="461C0BC4">
      <w:start w:val="1"/>
      <w:numFmt w:val="upperLetter"/>
      <w:lvlText w:val="%2."/>
      <w:lvlJc w:val="left"/>
      <w:pPr>
        <w:ind w:left="960" w:hanging="480"/>
      </w:pPr>
      <w:rPr>
        <w:b/>
        <w:bC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366DED"/>
    <w:multiLevelType w:val="hybridMultilevel"/>
    <w:tmpl w:val="6250307C"/>
    <w:lvl w:ilvl="0" w:tplc="748EC780">
      <w:start w:val="1"/>
      <w:numFmt w:val="decimal"/>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DD4048"/>
    <w:multiLevelType w:val="hybridMultilevel"/>
    <w:tmpl w:val="4D60B776"/>
    <w:lvl w:ilvl="0" w:tplc="A52E43D8">
      <w:start w:val="1"/>
      <w:numFmt w:val="taiwaneseCountingThousand"/>
      <w:pStyle w:val="20"/>
      <w:suff w:val="nothing"/>
      <w:lvlText w:val="(%1)"/>
      <w:lvlJc w:val="left"/>
      <w:pPr>
        <w:ind w:left="962" w:hanging="480"/>
      </w:pPr>
      <w:rPr>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2" w:hanging="480"/>
      </w:pPr>
    </w:lvl>
    <w:lvl w:ilvl="2" w:tplc="0409000F">
      <w:start w:val="1"/>
      <w:numFmt w:val="decimal"/>
      <w:lvlText w:val="%3."/>
      <w:lvlJc w:val="lef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234E1ABA"/>
    <w:multiLevelType w:val="hybridMultilevel"/>
    <w:tmpl w:val="B3566270"/>
    <w:lvl w:ilvl="0" w:tplc="BB4605E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4D42BA"/>
    <w:multiLevelType w:val="hybridMultilevel"/>
    <w:tmpl w:val="131EDF9E"/>
    <w:lvl w:ilvl="0" w:tplc="4F8ADB28">
      <w:start w:val="1"/>
      <w:numFmt w:val="taiwaneseCountingThousand"/>
      <w:suff w:val="nothing"/>
      <w:lvlText w:val="(%1)"/>
      <w:lvlJc w:val="left"/>
      <w:pPr>
        <w:ind w:left="480" w:hanging="48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2D5FAC"/>
    <w:multiLevelType w:val="hybridMultilevel"/>
    <w:tmpl w:val="42587FBC"/>
    <w:lvl w:ilvl="0" w:tplc="F65CA94A">
      <w:start w:val="1"/>
      <w:numFmt w:val="decimal"/>
      <w:lvlText w:val="(%1)"/>
      <w:lvlJc w:val="left"/>
      <w:pPr>
        <w:ind w:left="1680" w:hanging="480"/>
      </w:pPr>
      <w:rPr>
        <w:rFonts w:hint="eastAsia"/>
        <w:b/>
        <w:bC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3849119E"/>
    <w:multiLevelType w:val="hybridMultilevel"/>
    <w:tmpl w:val="05D0666A"/>
    <w:lvl w:ilvl="0" w:tplc="04090011">
      <w:start w:val="1"/>
      <w:numFmt w:val="upperLetter"/>
      <w:lvlText w:val="%1."/>
      <w:lvlJc w:val="left"/>
      <w:pPr>
        <w:ind w:left="480" w:hanging="480"/>
      </w:pPr>
    </w:lvl>
    <w:lvl w:ilvl="1" w:tplc="648A6FFC">
      <w:start w:val="1"/>
      <w:numFmt w:val="upperLetter"/>
      <w:lvlText w:val="%2."/>
      <w:lvlJc w:val="left"/>
      <w:pPr>
        <w:ind w:left="960" w:hanging="480"/>
      </w:pPr>
      <w:rPr>
        <w:b/>
        <w:bC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D45CFE"/>
    <w:multiLevelType w:val="hybridMultilevel"/>
    <w:tmpl w:val="42587FBC"/>
    <w:lvl w:ilvl="0" w:tplc="F65CA94A">
      <w:start w:val="1"/>
      <w:numFmt w:val="decimal"/>
      <w:lvlText w:val="(%1)"/>
      <w:lvlJc w:val="left"/>
      <w:pPr>
        <w:ind w:left="1680" w:hanging="480"/>
      </w:pPr>
      <w:rPr>
        <w:rFonts w:hint="eastAsia"/>
        <w:b/>
        <w:bC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398F6076"/>
    <w:multiLevelType w:val="multilevel"/>
    <w:tmpl w:val="2C040750"/>
    <w:lvl w:ilvl="0">
      <w:start w:val="1"/>
      <w:numFmt w:val="taiwaneseCountingThousand"/>
      <w:pStyle w:val="10"/>
      <w:suff w:val="nothing"/>
      <w:lvlText w:val="%1."/>
      <w:lvlJc w:val="left"/>
      <w:pPr>
        <w:ind w:left="480" w:hanging="480"/>
      </w:pPr>
      <w:rPr>
        <w:rFonts w:hint="eastAsia"/>
        <w:b w:val="0"/>
        <w:color w:val="auto"/>
      </w:rPr>
    </w:lvl>
    <w:lvl w:ilvl="1">
      <w:start w:val="1"/>
      <w:numFmt w:val="taiwaneseCountingThousand"/>
      <w:suff w:val="nothing"/>
      <w:lvlText w:val="(%2)"/>
      <w:lvlJc w:val="left"/>
      <w:pPr>
        <w:ind w:left="960" w:hanging="480"/>
      </w:pPr>
      <w:rPr>
        <w:rFonts w:hint="default"/>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FF050A"/>
    <w:multiLevelType w:val="hybridMultilevel"/>
    <w:tmpl w:val="EA1AAEA6"/>
    <w:lvl w:ilvl="0" w:tplc="A3183F82">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41886860"/>
    <w:lvl w:ilvl="0" w:tplc="B7CE050E">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AC1068B"/>
    <w:multiLevelType w:val="hybridMultilevel"/>
    <w:tmpl w:val="FA8A1490"/>
    <w:lvl w:ilvl="0" w:tplc="0409000F">
      <w:start w:val="1"/>
      <w:numFmt w:val="decimal"/>
      <w:lvlText w:val="%1."/>
      <w:lvlJc w:val="left"/>
      <w:pPr>
        <w:ind w:left="480" w:hanging="480"/>
      </w:pPr>
    </w:lvl>
    <w:lvl w:ilvl="1" w:tplc="5024EBC0">
      <w:start w:val="1"/>
      <w:numFmt w:val="decimal"/>
      <w:lvlText w:val="(%2)"/>
      <w:lvlJc w:val="left"/>
      <w:pPr>
        <w:ind w:left="960" w:hanging="480"/>
      </w:pPr>
      <w:rPr>
        <w:rFonts w:hint="eastAsia"/>
        <w:b/>
        <w:bCs/>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C36CB2"/>
    <w:multiLevelType w:val="hybridMultilevel"/>
    <w:tmpl w:val="F202D54E"/>
    <w:lvl w:ilvl="0" w:tplc="66CE80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4D0CE1"/>
    <w:multiLevelType w:val="hybridMultilevel"/>
    <w:tmpl w:val="79AAD1D4"/>
    <w:lvl w:ilvl="0" w:tplc="278ED73A">
      <w:start w:val="1"/>
      <w:numFmt w:val="decimal"/>
      <w:lvlText w:val="%1."/>
      <w:lvlJc w:val="left"/>
      <w:pPr>
        <w:ind w:left="1200" w:hanging="480"/>
      </w:pPr>
      <w:rPr>
        <w:b/>
        <w:bCs/>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51A74227"/>
    <w:multiLevelType w:val="hybridMultilevel"/>
    <w:tmpl w:val="7DB636AE"/>
    <w:lvl w:ilvl="0" w:tplc="2BE8EF0A">
      <w:start w:val="1"/>
      <w:numFmt w:val="decimal"/>
      <w:lvlText w:val="%1."/>
      <w:lvlJc w:val="left"/>
      <w:pPr>
        <w:ind w:left="1472" w:hanging="480"/>
      </w:pPr>
      <w:rPr>
        <w:rFonts w:hint="default"/>
        <w:b/>
        <w:bCs/>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67091F"/>
    <w:multiLevelType w:val="hybridMultilevel"/>
    <w:tmpl w:val="389AB758"/>
    <w:lvl w:ilvl="0" w:tplc="228EF0BA">
      <w:start w:val="1"/>
      <w:numFmt w:val="decimal"/>
      <w:lvlText w:val="(%1)"/>
      <w:lvlJc w:val="left"/>
      <w:pPr>
        <w:ind w:left="960" w:hanging="480"/>
      </w:pPr>
      <w:rPr>
        <w:rFonts w:hint="eastAsia"/>
        <w:b/>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6AE6548"/>
    <w:multiLevelType w:val="hybridMultilevel"/>
    <w:tmpl w:val="D6946E58"/>
    <w:lvl w:ilvl="0" w:tplc="B2CA6A14">
      <w:start w:val="1"/>
      <w:numFmt w:val="decimal"/>
      <w:lvlText w:val="(%1)"/>
      <w:lvlJc w:val="left"/>
      <w:pPr>
        <w:ind w:left="960" w:hanging="480"/>
      </w:pPr>
      <w:rPr>
        <w:rFonts w:hint="eastAsia"/>
        <w:b/>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8013257"/>
    <w:multiLevelType w:val="hybridMultilevel"/>
    <w:tmpl w:val="769A8B1A"/>
    <w:lvl w:ilvl="0" w:tplc="E3DAE3D8">
      <w:start w:val="1"/>
      <w:numFmt w:val="taiwaneseCountingThousand"/>
      <w:lvlText w:val="（%1）"/>
      <w:lvlJc w:val="left"/>
      <w:pPr>
        <w:ind w:left="1680" w:hanging="480"/>
      </w:pPr>
      <w:rPr>
        <w:rFonts w:hint="default"/>
        <w:b/>
        <w:bC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6CA96B30"/>
    <w:multiLevelType w:val="hybridMultilevel"/>
    <w:tmpl w:val="490E27A6"/>
    <w:lvl w:ilvl="0" w:tplc="C0343FAA">
      <w:start w:val="1"/>
      <w:numFmt w:val="taiwaneseCountingThousand"/>
      <w:suff w:val="nothing"/>
      <w:lvlText w:val="(%1)"/>
      <w:lvlJc w:val="left"/>
      <w:pPr>
        <w:ind w:left="1202" w:hanging="720"/>
      </w:pPr>
      <w:rPr>
        <w:rFonts w:hint="eastAsia"/>
      </w:rPr>
    </w:lvl>
    <w:lvl w:ilvl="1" w:tplc="5C2C7996">
      <w:start w:val="1"/>
      <w:numFmt w:val="decimal"/>
      <w:pStyle w:val="30"/>
      <w:suff w:val="nothing"/>
      <w:lvlText w:val="%2."/>
      <w:lvlJc w:val="left"/>
      <w:pPr>
        <w:ind w:left="1442" w:hanging="480"/>
      </w:pPr>
      <w:rPr>
        <w:rFonts w:hint="eastAsia"/>
      </w:rPr>
    </w:lvl>
    <w:lvl w:ilvl="2" w:tplc="0FACAC1C">
      <w:start w:val="1"/>
      <w:numFmt w:val="decimal"/>
      <w:lvlText w:val="(%3)"/>
      <w:lvlJc w:val="left"/>
      <w:pPr>
        <w:ind w:left="2162" w:hanging="72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9" w15:restartNumberingAfterBreak="0">
    <w:nsid w:val="6EE87D17"/>
    <w:multiLevelType w:val="hybridMultilevel"/>
    <w:tmpl w:val="8F682666"/>
    <w:lvl w:ilvl="0" w:tplc="73B67794">
      <w:start w:val="1"/>
      <w:numFmt w:val="decimal"/>
      <w:lvlText w:val="%1."/>
      <w:lvlJc w:val="left"/>
      <w:pPr>
        <w:ind w:left="960" w:hanging="480"/>
      </w:pPr>
      <w:rPr>
        <w:b/>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F596F55"/>
    <w:multiLevelType w:val="multilevel"/>
    <w:tmpl w:val="84588CE6"/>
    <w:lvl w:ilvl="0">
      <w:start w:val="1"/>
      <w:numFmt w:val="taiwaneseCountingThousand"/>
      <w:lvlText w:val="%1、"/>
      <w:lvlJc w:val="left"/>
      <w:pPr>
        <w:ind w:left="480" w:hanging="480"/>
      </w:pPr>
      <w:rPr>
        <w:rFonts w:hint="eastAsia"/>
        <w:b/>
        <w:lang w:val="en-US"/>
      </w:rPr>
    </w:lvl>
    <w:lvl w:ilvl="1">
      <w:start w:val="1"/>
      <w:numFmt w:val="taiwaneseCountingThousand"/>
      <w:lvlText w:val="(%2)"/>
      <w:lvlJc w:val="left"/>
      <w:pPr>
        <w:ind w:left="960" w:hanging="480"/>
      </w:pPr>
      <w:rPr>
        <w:rFonts w:hint="default"/>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FF02801"/>
    <w:multiLevelType w:val="hybridMultilevel"/>
    <w:tmpl w:val="28DE541C"/>
    <w:lvl w:ilvl="0" w:tplc="2EF6DA88">
      <w:start w:val="1"/>
      <w:numFmt w:val="decimal"/>
      <w:lvlText w:val="(%1)"/>
      <w:lvlJc w:val="left"/>
      <w:pPr>
        <w:ind w:left="1200" w:hanging="480"/>
      </w:pPr>
      <w:rPr>
        <w:rFonts w:hint="eastAsia"/>
        <w:b/>
        <w:bCs/>
      </w:rPr>
    </w:lvl>
    <w:lvl w:ilvl="1" w:tplc="207CBD1A">
      <w:start w:val="1"/>
      <w:numFmt w:val="taiwaneseCountingThousand"/>
      <w:lvlText w:val="%2、"/>
      <w:lvlJc w:val="left"/>
      <w:pPr>
        <w:ind w:left="2160" w:hanging="9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738E5371"/>
    <w:multiLevelType w:val="hybridMultilevel"/>
    <w:tmpl w:val="1504AF58"/>
    <w:lvl w:ilvl="0" w:tplc="31FC0A66">
      <w:start w:val="1"/>
      <w:numFmt w:val="decimal"/>
      <w:lvlText w:val="%1."/>
      <w:lvlJc w:val="left"/>
      <w:pPr>
        <w:ind w:left="1200" w:hanging="480"/>
      </w:pPr>
      <w:rPr>
        <w:rFonts w:hint="default"/>
        <w:b/>
        <w:bC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76322BE6"/>
    <w:multiLevelType w:val="hybridMultilevel"/>
    <w:tmpl w:val="F72E47B2"/>
    <w:lvl w:ilvl="0" w:tplc="03041F0C">
      <w:start w:val="1"/>
      <w:numFmt w:val="taiwaneseCountingThousand"/>
      <w:lvlText w:val="（%1）"/>
      <w:lvlJc w:val="left"/>
      <w:pPr>
        <w:ind w:left="470" w:hanging="480"/>
      </w:pPr>
      <w:rPr>
        <w:rFonts w:hint="default"/>
        <w:b/>
        <w:bCs/>
        <w:color w:val="auto"/>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34" w15:restartNumberingAfterBreak="0">
    <w:nsid w:val="7B0C45BE"/>
    <w:multiLevelType w:val="hybridMultilevel"/>
    <w:tmpl w:val="B3566270"/>
    <w:lvl w:ilvl="0" w:tplc="BB4605E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8"/>
  </w:num>
  <w:num w:numId="3">
    <w:abstractNumId w:val="14"/>
  </w:num>
  <w:num w:numId="4">
    <w:abstractNumId w:val="8"/>
  </w:num>
  <w:num w:numId="5">
    <w:abstractNumId w:val="28"/>
  </w:num>
  <w:num w:numId="6">
    <w:abstractNumId w:val="20"/>
  </w:num>
  <w:num w:numId="7">
    <w:abstractNumId w:val="3"/>
    <w:lvlOverride w:ilvl="0">
      <w:startOverride w:val="6"/>
    </w:lvlOverride>
    <w:lvlOverride w:ilvl="1">
      <w:startOverride w:val="2"/>
    </w:lvlOverride>
    <w:lvlOverride w:ilvl="2">
      <w:startOverride w:val="2"/>
    </w:lvlOverride>
    <w:lvlOverride w:ilvl="3">
      <w:startOverride w:val="4"/>
    </w:lvlOverride>
    <w:lvlOverride w:ilvl="4">
      <w:startOverride w:val="2"/>
    </w:lvlOverride>
    <w:lvlOverride w:ilvl="5">
      <w:startOverride w:val="2"/>
    </w:lvlOverride>
    <w:lvlOverride w:ilvl="6">
      <w:startOverride w:val="3"/>
    </w:lvlOverride>
    <w:lvlOverride w:ilvl="7">
      <w:startOverride w:val="4"/>
    </w:lvlOverride>
    <w:lvlOverride w:ilvl="8">
      <w:startOverride w:val="1"/>
    </w:lvlOverride>
  </w:num>
  <w:num w:numId="8">
    <w:abstractNumId w:val="3"/>
    <w:lvlOverride w:ilvl="0">
      <w:startOverride w:val="6"/>
    </w:lvlOverride>
    <w:lvlOverride w:ilvl="1">
      <w:startOverride w:val="2"/>
    </w:lvlOverride>
    <w:lvlOverride w:ilvl="2">
      <w:startOverride w:val="2"/>
    </w:lvlOverride>
    <w:lvlOverride w:ilvl="3">
      <w:startOverride w:val="4"/>
    </w:lvlOverride>
    <w:lvlOverride w:ilvl="4">
      <w:startOverride w:val="2"/>
    </w:lvlOverride>
    <w:lvlOverride w:ilvl="5">
      <w:startOverride w:val="2"/>
    </w:lvlOverride>
    <w:lvlOverride w:ilvl="6">
      <w:startOverride w:val="6"/>
    </w:lvlOverride>
    <w:lvlOverride w:ilvl="7">
      <w:startOverride w:val="3"/>
    </w:lvlOverride>
    <w:lvlOverride w:ilvl="8">
      <w:startOverride w:val="1"/>
    </w:lvlOverride>
  </w:num>
  <w:num w:numId="9">
    <w:abstractNumId w:val="3"/>
    <w:lvlOverride w:ilvl="0">
      <w:startOverride w:val="6"/>
    </w:lvlOverride>
    <w:lvlOverride w:ilvl="1">
      <w:startOverride w:val="2"/>
    </w:lvlOverride>
    <w:lvlOverride w:ilvl="2">
      <w:startOverride w:val="2"/>
    </w:lvlOverride>
    <w:lvlOverride w:ilvl="3">
      <w:startOverride w:val="4"/>
    </w:lvlOverride>
    <w:lvlOverride w:ilvl="4">
      <w:startOverride w:val="2"/>
    </w:lvlOverride>
    <w:lvlOverride w:ilvl="5">
      <w:startOverride w:val="2"/>
    </w:lvlOverride>
    <w:lvlOverride w:ilvl="6">
      <w:startOverride w:val="8"/>
    </w:lvlOverride>
    <w:lvlOverride w:ilvl="7">
      <w:startOverride w:val="4"/>
    </w:lvlOverride>
    <w:lvlOverride w:ilvl="8">
      <w:startOverride w:val="1"/>
    </w:lvlOverride>
  </w:num>
  <w:num w:numId="10">
    <w:abstractNumId w:val="18"/>
  </w:num>
  <w:num w:numId="11">
    <w:abstractNumId w:val="17"/>
  </w:num>
  <w:num w:numId="12">
    <w:abstractNumId w:val="6"/>
  </w:num>
  <w:num w:numId="13">
    <w:abstractNumId w:val="1"/>
  </w:num>
  <w:num w:numId="14">
    <w:abstractNumId w:val="23"/>
  </w:num>
  <w:num w:numId="15">
    <w:abstractNumId w:val="24"/>
  </w:num>
  <w:num w:numId="16">
    <w:abstractNumId w:val="15"/>
  </w:num>
  <w:num w:numId="17">
    <w:abstractNumId w:val="3"/>
  </w:num>
  <w:num w:numId="18">
    <w:abstractNumId w:val="18"/>
    <w:lvlOverride w:ilvl="0">
      <w:startOverride w:val="1"/>
    </w:lvlOverride>
  </w:num>
  <w:num w:numId="19">
    <w:abstractNumId w:val="7"/>
  </w:num>
  <w:num w:numId="20">
    <w:abstractNumId w:val="34"/>
  </w:num>
  <w:num w:numId="21">
    <w:abstractNumId w:val="3"/>
  </w:num>
  <w:num w:numId="22">
    <w:abstractNumId w:val="30"/>
  </w:num>
  <w:num w:numId="23">
    <w:abstractNumId w:val="27"/>
  </w:num>
  <w:num w:numId="24">
    <w:abstractNumId w:val="22"/>
  </w:num>
  <w:num w:numId="25">
    <w:abstractNumId w:val="3"/>
  </w:num>
  <w:num w:numId="26">
    <w:abstractNumId w:val="4"/>
  </w:num>
  <w:num w:numId="27">
    <w:abstractNumId w:val="33"/>
  </w:num>
  <w:num w:numId="28">
    <w:abstractNumId w:val="32"/>
  </w:num>
  <w:num w:numId="29">
    <w:abstractNumId w:val="31"/>
  </w:num>
  <w:num w:numId="30">
    <w:abstractNumId w:val="12"/>
  </w:num>
  <w:num w:numId="31">
    <w:abstractNumId w:val="11"/>
  </w:num>
  <w:num w:numId="32">
    <w:abstractNumId w:val="19"/>
  </w:num>
  <w:num w:numId="33">
    <w:abstractNumId w:val="5"/>
  </w:num>
  <w:num w:numId="34">
    <w:abstractNumId w:val="26"/>
  </w:num>
  <w:num w:numId="35">
    <w:abstractNumId w:val="0"/>
  </w:num>
  <w:num w:numId="36">
    <w:abstractNumId w:val="25"/>
  </w:num>
  <w:num w:numId="37">
    <w:abstractNumId w:val="2"/>
  </w:num>
  <w:num w:numId="38">
    <w:abstractNumId w:val="13"/>
  </w:num>
  <w:num w:numId="39">
    <w:abstractNumId w:val="3"/>
  </w:num>
  <w:num w:numId="40">
    <w:abstractNumId w:val="21"/>
  </w:num>
  <w:num w:numId="41">
    <w:abstractNumId w:val="10"/>
  </w:num>
  <w:num w:numId="42">
    <w:abstractNumId w:val="29"/>
  </w:num>
  <w:num w:numId="43">
    <w:abstractNumId w:val="16"/>
  </w:num>
  <w:num w:numId="44">
    <w:abstractNumId w:val="3"/>
  </w:num>
  <w:num w:numId="45">
    <w:abstractNumId w:val="9"/>
  </w:num>
  <w:num w:numId="46">
    <w:abstractNumId w:val="3"/>
  </w:num>
  <w:num w:numId="47">
    <w:abstractNumId w:val="3"/>
  </w:num>
  <w:num w:numId="48">
    <w:abstractNumId w:val="3"/>
  </w:num>
  <w:num w:numId="49">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01D"/>
    <w:rsid w:val="00006961"/>
    <w:rsid w:val="00007E7D"/>
    <w:rsid w:val="00010BBB"/>
    <w:rsid w:val="00010E28"/>
    <w:rsid w:val="000112BF"/>
    <w:rsid w:val="00012233"/>
    <w:rsid w:val="00015FAD"/>
    <w:rsid w:val="00017318"/>
    <w:rsid w:val="000229AD"/>
    <w:rsid w:val="000246F7"/>
    <w:rsid w:val="00030BF6"/>
    <w:rsid w:val="0003114D"/>
    <w:rsid w:val="000317E0"/>
    <w:rsid w:val="00031F05"/>
    <w:rsid w:val="0003365E"/>
    <w:rsid w:val="00033CDA"/>
    <w:rsid w:val="00036BB7"/>
    <w:rsid w:val="00036D76"/>
    <w:rsid w:val="00037143"/>
    <w:rsid w:val="00037D57"/>
    <w:rsid w:val="0004022E"/>
    <w:rsid w:val="00040BA4"/>
    <w:rsid w:val="00042D5A"/>
    <w:rsid w:val="000440FE"/>
    <w:rsid w:val="0004417D"/>
    <w:rsid w:val="000529C6"/>
    <w:rsid w:val="000556EA"/>
    <w:rsid w:val="00057F32"/>
    <w:rsid w:val="00062A25"/>
    <w:rsid w:val="000735CC"/>
    <w:rsid w:val="00073CB5"/>
    <w:rsid w:val="0007425C"/>
    <w:rsid w:val="00077553"/>
    <w:rsid w:val="00080C1E"/>
    <w:rsid w:val="000826F0"/>
    <w:rsid w:val="000851A2"/>
    <w:rsid w:val="00085CA9"/>
    <w:rsid w:val="00087370"/>
    <w:rsid w:val="0009352E"/>
    <w:rsid w:val="000937CA"/>
    <w:rsid w:val="00094C96"/>
    <w:rsid w:val="00094FBB"/>
    <w:rsid w:val="000960A9"/>
    <w:rsid w:val="00096B96"/>
    <w:rsid w:val="000A0F14"/>
    <w:rsid w:val="000A1C37"/>
    <w:rsid w:val="000A2F3F"/>
    <w:rsid w:val="000A31F6"/>
    <w:rsid w:val="000A5698"/>
    <w:rsid w:val="000A7D40"/>
    <w:rsid w:val="000B0B4A"/>
    <w:rsid w:val="000B279A"/>
    <w:rsid w:val="000B61D2"/>
    <w:rsid w:val="000B70A7"/>
    <w:rsid w:val="000B73DD"/>
    <w:rsid w:val="000C373E"/>
    <w:rsid w:val="000C495F"/>
    <w:rsid w:val="000D0E37"/>
    <w:rsid w:val="000D3B17"/>
    <w:rsid w:val="000D66D9"/>
    <w:rsid w:val="000E42F2"/>
    <w:rsid w:val="000E6431"/>
    <w:rsid w:val="000F21A5"/>
    <w:rsid w:val="000F25D7"/>
    <w:rsid w:val="00102B9F"/>
    <w:rsid w:val="001050AD"/>
    <w:rsid w:val="0010729B"/>
    <w:rsid w:val="00110F03"/>
    <w:rsid w:val="00112637"/>
    <w:rsid w:val="00112ABC"/>
    <w:rsid w:val="001133A9"/>
    <w:rsid w:val="00115846"/>
    <w:rsid w:val="0012001E"/>
    <w:rsid w:val="001215FD"/>
    <w:rsid w:val="00122375"/>
    <w:rsid w:val="00126A55"/>
    <w:rsid w:val="00127D64"/>
    <w:rsid w:val="00131527"/>
    <w:rsid w:val="001338B9"/>
    <w:rsid w:val="00133F08"/>
    <w:rsid w:val="001345E6"/>
    <w:rsid w:val="001378B0"/>
    <w:rsid w:val="00142E00"/>
    <w:rsid w:val="00152793"/>
    <w:rsid w:val="00153B7E"/>
    <w:rsid w:val="001545A9"/>
    <w:rsid w:val="00155224"/>
    <w:rsid w:val="00160BF4"/>
    <w:rsid w:val="001637C7"/>
    <w:rsid w:val="0016480E"/>
    <w:rsid w:val="00165E8E"/>
    <w:rsid w:val="00174297"/>
    <w:rsid w:val="001769BD"/>
    <w:rsid w:val="00180E06"/>
    <w:rsid w:val="00181404"/>
    <w:rsid w:val="0018173F"/>
    <w:rsid w:val="001817B3"/>
    <w:rsid w:val="0018267A"/>
    <w:rsid w:val="00183014"/>
    <w:rsid w:val="00193552"/>
    <w:rsid w:val="00193672"/>
    <w:rsid w:val="0019381E"/>
    <w:rsid w:val="001959C2"/>
    <w:rsid w:val="001A0609"/>
    <w:rsid w:val="001A33E9"/>
    <w:rsid w:val="001A4B83"/>
    <w:rsid w:val="001A51E3"/>
    <w:rsid w:val="001A7968"/>
    <w:rsid w:val="001B2E98"/>
    <w:rsid w:val="001B3483"/>
    <w:rsid w:val="001B3626"/>
    <w:rsid w:val="001B3C1E"/>
    <w:rsid w:val="001B4494"/>
    <w:rsid w:val="001C0D8B"/>
    <w:rsid w:val="001C0DA8"/>
    <w:rsid w:val="001C112C"/>
    <w:rsid w:val="001C59B1"/>
    <w:rsid w:val="001C5E43"/>
    <w:rsid w:val="001D1400"/>
    <w:rsid w:val="001D4AD7"/>
    <w:rsid w:val="001D68D5"/>
    <w:rsid w:val="001E0D8A"/>
    <w:rsid w:val="001E4A7B"/>
    <w:rsid w:val="001E67BA"/>
    <w:rsid w:val="001E74C2"/>
    <w:rsid w:val="001F0A66"/>
    <w:rsid w:val="001F4E1B"/>
    <w:rsid w:val="001F4F82"/>
    <w:rsid w:val="001F509E"/>
    <w:rsid w:val="001F54B4"/>
    <w:rsid w:val="001F5A48"/>
    <w:rsid w:val="001F6260"/>
    <w:rsid w:val="001F7AE1"/>
    <w:rsid w:val="00200007"/>
    <w:rsid w:val="0020137E"/>
    <w:rsid w:val="002030A5"/>
    <w:rsid w:val="00203131"/>
    <w:rsid w:val="00203916"/>
    <w:rsid w:val="00212E88"/>
    <w:rsid w:val="00213C9C"/>
    <w:rsid w:val="00216CBA"/>
    <w:rsid w:val="0022009E"/>
    <w:rsid w:val="00223241"/>
    <w:rsid w:val="0022425C"/>
    <w:rsid w:val="002246DE"/>
    <w:rsid w:val="00234A0B"/>
    <w:rsid w:val="00241123"/>
    <w:rsid w:val="002426D8"/>
    <w:rsid w:val="002429E2"/>
    <w:rsid w:val="00243E94"/>
    <w:rsid w:val="002442ED"/>
    <w:rsid w:val="00252BC4"/>
    <w:rsid w:val="002538AB"/>
    <w:rsid w:val="00254014"/>
    <w:rsid w:val="00254B39"/>
    <w:rsid w:val="0025516D"/>
    <w:rsid w:val="00256481"/>
    <w:rsid w:val="00257016"/>
    <w:rsid w:val="002637D0"/>
    <w:rsid w:val="0026504D"/>
    <w:rsid w:val="00271F37"/>
    <w:rsid w:val="00273A2F"/>
    <w:rsid w:val="00275D82"/>
    <w:rsid w:val="002769FC"/>
    <w:rsid w:val="00280986"/>
    <w:rsid w:val="00281ECE"/>
    <w:rsid w:val="00282A37"/>
    <w:rsid w:val="002831C7"/>
    <w:rsid w:val="002840C6"/>
    <w:rsid w:val="002855E6"/>
    <w:rsid w:val="0029297A"/>
    <w:rsid w:val="00294785"/>
    <w:rsid w:val="00295174"/>
    <w:rsid w:val="00295A3A"/>
    <w:rsid w:val="00296172"/>
    <w:rsid w:val="00296B92"/>
    <w:rsid w:val="002A0349"/>
    <w:rsid w:val="002A0F44"/>
    <w:rsid w:val="002A2C22"/>
    <w:rsid w:val="002A2C54"/>
    <w:rsid w:val="002A4B44"/>
    <w:rsid w:val="002A4B51"/>
    <w:rsid w:val="002A5B70"/>
    <w:rsid w:val="002B02EB"/>
    <w:rsid w:val="002B3176"/>
    <w:rsid w:val="002B53DF"/>
    <w:rsid w:val="002C0602"/>
    <w:rsid w:val="002C263C"/>
    <w:rsid w:val="002D4147"/>
    <w:rsid w:val="002D5C16"/>
    <w:rsid w:val="002E1291"/>
    <w:rsid w:val="002E613D"/>
    <w:rsid w:val="002F066A"/>
    <w:rsid w:val="002F2476"/>
    <w:rsid w:val="002F2D9D"/>
    <w:rsid w:val="002F3DFF"/>
    <w:rsid w:val="002F5A06"/>
    <w:rsid w:val="002F5E05"/>
    <w:rsid w:val="00305273"/>
    <w:rsid w:val="0030699F"/>
    <w:rsid w:val="00307A76"/>
    <w:rsid w:val="00312020"/>
    <w:rsid w:val="00313C99"/>
    <w:rsid w:val="0031455E"/>
    <w:rsid w:val="00315A16"/>
    <w:rsid w:val="00317053"/>
    <w:rsid w:val="00317F50"/>
    <w:rsid w:val="0032068B"/>
    <w:rsid w:val="0032109C"/>
    <w:rsid w:val="003217A6"/>
    <w:rsid w:val="003227DB"/>
    <w:rsid w:val="00322B45"/>
    <w:rsid w:val="00323809"/>
    <w:rsid w:val="00323D41"/>
    <w:rsid w:val="00325414"/>
    <w:rsid w:val="003279B7"/>
    <w:rsid w:val="00327D4F"/>
    <w:rsid w:val="003302F1"/>
    <w:rsid w:val="00331CC8"/>
    <w:rsid w:val="00334BD6"/>
    <w:rsid w:val="00337B0C"/>
    <w:rsid w:val="0034470E"/>
    <w:rsid w:val="00352DB0"/>
    <w:rsid w:val="003601CD"/>
    <w:rsid w:val="00361063"/>
    <w:rsid w:val="0037094A"/>
    <w:rsid w:val="00371ED3"/>
    <w:rsid w:val="00372659"/>
    <w:rsid w:val="00372FFC"/>
    <w:rsid w:val="0037514C"/>
    <w:rsid w:val="003770A0"/>
    <w:rsid w:val="0037728A"/>
    <w:rsid w:val="00380B7D"/>
    <w:rsid w:val="00380DAF"/>
    <w:rsid w:val="00381A99"/>
    <w:rsid w:val="003823DD"/>
    <w:rsid w:val="003829C2"/>
    <w:rsid w:val="003830B2"/>
    <w:rsid w:val="003843CF"/>
    <w:rsid w:val="00384724"/>
    <w:rsid w:val="00384AD0"/>
    <w:rsid w:val="003919B7"/>
    <w:rsid w:val="00391D57"/>
    <w:rsid w:val="00392292"/>
    <w:rsid w:val="003932DB"/>
    <w:rsid w:val="00394F45"/>
    <w:rsid w:val="00396629"/>
    <w:rsid w:val="003A5927"/>
    <w:rsid w:val="003A602A"/>
    <w:rsid w:val="003B1017"/>
    <w:rsid w:val="003B2DD1"/>
    <w:rsid w:val="003B3C07"/>
    <w:rsid w:val="003B6081"/>
    <w:rsid w:val="003B6775"/>
    <w:rsid w:val="003C5FE2"/>
    <w:rsid w:val="003D05FB"/>
    <w:rsid w:val="003D1B16"/>
    <w:rsid w:val="003D45BF"/>
    <w:rsid w:val="003D508A"/>
    <w:rsid w:val="003D537F"/>
    <w:rsid w:val="003D7B75"/>
    <w:rsid w:val="003E0208"/>
    <w:rsid w:val="003E4B57"/>
    <w:rsid w:val="003E508C"/>
    <w:rsid w:val="003E6F7A"/>
    <w:rsid w:val="003F27E1"/>
    <w:rsid w:val="003F3B3F"/>
    <w:rsid w:val="003F437A"/>
    <w:rsid w:val="003F5C2B"/>
    <w:rsid w:val="00402240"/>
    <w:rsid w:val="004023E9"/>
    <w:rsid w:val="0040454A"/>
    <w:rsid w:val="00404EFF"/>
    <w:rsid w:val="00407075"/>
    <w:rsid w:val="00407E98"/>
    <w:rsid w:val="00413F83"/>
    <w:rsid w:val="0041490C"/>
    <w:rsid w:val="00416191"/>
    <w:rsid w:val="00416721"/>
    <w:rsid w:val="00421EF0"/>
    <w:rsid w:val="00422003"/>
    <w:rsid w:val="004224FA"/>
    <w:rsid w:val="00423D07"/>
    <w:rsid w:val="00427936"/>
    <w:rsid w:val="00432225"/>
    <w:rsid w:val="004369F7"/>
    <w:rsid w:val="00441D86"/>
    <w:rsid w:val="00442B63"/>
    <w:rsid w:val="0044346F"/>
    <w:rsid w:val="00453FF6"/>
    <w:rsid w:val="00455E63"/>
    <w:rsid w:val="004563A0"/>
    <w:rsid w:val="004576EE"/>
    <w:rsid w:val="00462D47"/>
    <w:rsid w:val="00464C95"/>
    <w:rsid w:val="0046520A"/>
    <w:rsid w:val="004672AB"/>
    <w:rsid w:val="004714FE"/>
    <w:rsid w:val="00477BAA"/>
    <w:rsid w:val="004844F4"/>
    <w:rsid w:val="004862BB"/>
    <w:rsid w:val="00492ED9"/>
    <w:rsid w:val="00495053"/>
    <w:rsid w:val="004A0329"/>
    <w:rsid w:val="004A0AD4"/>
    <w:rsid w:val="004A1023"/>
    <w:rsid w:val="004A1F59"/>
    <w:rsid w:val="004A29BE"/>
    <w:rsid w:val="004A3225"/>
    <w:rsid w:val="004A33EE"/>
    <w:rsid w:val="004A3AA8"/>
    <w:rsid w:val="004A7A3A"/>
    <w:rsid w:val="004B13C7"/>
    <w:rsid w:val="004B3367"/>
    <w:rsid w:val="004B3CAD"/>
    <w:rsid w:val="004B778F"/>
    <w:rsid w:val="004C0609"/>
    <w:rsid w:val="004C25CA"/>
    <w:rsid w:val="004C639F"/>
    <w:rsid w:val="004D141F"/>
    <w:rsid w:val="004D2742"/>
    <w:rsid w:val="004D2958"/>
    <w:rsid w:val="004D6310"/>
    <w:rsid w:val="004D6786"/>
    <w:rsid w:val="004D6F43"/>
    <w:rsid w:val="004E0062"/>
    <w:rsid w:val="004E05A1"/>
    <w:rsid w:val="004E175B"/>
    <w:rsid w:val="004E4FA1"/>
    <w:rsid w:val="004E7561"/>
    <w:rsid w:val="004F472A"/>
    <w:rsid w:val="004F5E57"/>
    <w:rsid w:val="004F6710"/>
    <w:rsid w:val="00500C3E"/>
    <w:rsid w:val="00502849"/>
    <w:rsid w:val="00504334"/>
    <w:rsid w:val="0050498D"/>
    <w:rsid w:val="005078F7"/>
    <w:rsid w:val="00507AB1"/>
    <w:rsid w:val="005103C3"/>
    <w:rsid w:val="005104D7"/>
    <w:rsid w:val="00510B9E"/>
    <w:rsid w:val="00510EEA"/>
    <w:rsid w:val="00512642"/>
    <w:rsid w:val="00530B83"/>
    <w:rsid w:val="00536BC2"/>
    <w:rsid w:val="00537C50"/>
    <w:rsid w:val="005425E1"/>
    <w:rsid w:val="005427C5"/>
    <w:rsid w:val="00542CF6"/>
    <w:rsid w:val="0055179E"/>
    <w:rsid w:val="005523D0"/>
    <w:rsid w:val="00552A00"/>
    <w:rsid w:val="00553C03"/>
    <w:rsid w:val="00553C8D"/>
    <w:rsid w:val="0055593A"/>
    <w:rsid w:val="005578BA"/>
    <w:rsid w:val="005601EB"/>
    <w:rsid w:val="00560DDA"/>
    <w:rsid w:val="00562357"/>
    <w:rsid w:val="00563692"/>
    <w:rsid w:val="00571018"/>
    <w:rsid w:val="005710EC"/>
    <w:rsid w:val="00571679"/>
    <w:rsid w:val="00584235"/>
    <w:rsid w:val="005844E7"/>
    <w:rsid w:val="005908B8"/>
    <w:rsid w:val="00590BCE"/>
    <w:rsid w:val="0059512E"/>
    <w:rsid w:val="005A326B"/>
    <w:rsid w:val="005A52E0"/>
    <w:rsid w:val="005A6DD2"/>
    <w:rsid w:val="005B3970"/>
    <w:rsid w:val="005C385D"/>
    <w:rsid w:val="005C3AD6"/>
    <w:rsid w:val="005D3B20"/>
    <w:rsid w:val="005D6686"/>
    <w:rsid w:val="005D71B7"/>
    <w:rsid w:val="005E4759"/>
    <w:rsid w:val="005E5C68"/>
    <w:rsid w:val="005E65C0"/>
    <w:rsid w:val="005F0390"/>
    <w:rsid w:val="005F30EC"/>
    <w:rsid w:val="005F4B24"/>
    <w:rsid w:val="005F681F"/>
    <w:rsid w:val="006072CD"/>
    <w:rsid w:val="00610D75"/>
    <w:rsid w:val="00612023"/>
    <w:rsid w:val="00613476"/>
    <w:rsid w:val="00614190"/>
    <w:rsid w:val="00617DFA"/>
    <w:rsid w:val="006209D3"/>
    <w:rsid w:val="00621F5C"/>
    <w:rsid w:val="00622A99"/>
    <w:rsid w:val="00622E67"/>
    <w:rsid w:val="00626B57"/>
    <w:rsid w:val="00626EDC"/>
    <w:rsid w:val="00632734"/>
    <w:rsid w:val="006420A6"/>
    <w:rsid w:val="0064433B"/>
    <w:rsid w:val="006452D3"/>
    <w:rsid w:val="006468CF"/>
    <w:rsid w:val="006470EC"/>
    <w:rsid w:val="00651306"/>
    <w:rsid w:val="006542D6"/>
    <w:rsid w:val="0065598E"/>
    <w:rsid w:val="00655AF2"/>
    <w:rsid w:val="00655BC5"/>
    <w:rsid w:val="006568BE"/>
    <w:rsid w:val="0066025D"/>
    <w:rsid w:val="0066091A"/>
    <w:rsid w:val="00660F0A"/>
    <w:rsid w:val="006773EC"/>
    <w:rsid w:val="00680504"/>
    <w:rsid w:val="00681CD9"/>
    <w:rsid w:val="00683E30"/>
    <w:rsid w:val="0068670F"/>
    <w:rsid w:val="00687024"/>
    <w:rsid w:val="00692578"/>
    <w:rsid w:val="00695E22"/>
    <w:rsid w:val="006B458C"/>
    <w:rsid w:val="006B7093"/>
    <w:rsid w:val="006B7417"/>
    <w:rsid w:val="006D053B"/>
    <w:rsid w:val="006D28B4"/>
    <w:rsid w:val="006D31F9"/>
    <w:rsid w:val="006D3691"/>
    <w:rsid w:val="006D4180"/>
    <w:rsid w:val="006D6CBC"/>
    <w:rsid w:val="006E1D40"/>
    <w:rsid w:val="006E263B"/>
    <w:rsid w:val="006E5EF0"/>
    <w:rsid w:val="006F3563"/>
    <w:rsid w:val="006F42B9"/>
    <w:rsid w:val="006F55E5"/>
    <w:rsid w:val="006F6103"/>
    <w:rsid w:val="00702FDB"/>
    <w:rsid w:val="00704E00"/>
    <w:rsid w:val="007108FE"/>
    <w:rsid w:val="007209E7"/>
    <w:rsid w:val="00726182"/>
    <w:rsid w:val="00726DBE"/>
    <w:rsid w:val="00727635"/>
    <w:rsid w:val="007304C3"/>
    <w:rsid w:val="00732329"/>
    <w:rsid w:val="007337CA"/>
    <w:rsid w:val="00734CE4"/>
    <w:rsid w:val="00735123"/>
    <w:rsid w:val="00737022"/>
    <w:rsid w:val="00741837"/>
    <w:rsid w:val="00741A0B"/>
    <w:rsid w:val="00745178"/>
    <w:rsid w:val="007453E6"/>
    <w:rsid w:val="007568C0"/>
    <w:rsid w:val="00770453"/>
    <w:rsid w:val="0077271F"/>
    <w:rsid w:val="0077309D"/>
    <w:rsid w:val="00776446"/>
    <w:rsid w:val="00776770"/>
    <w:rsid w:val="007774EE"/>
    <w:rsid w:val="00781822"/>
    <w:rsid w:val="00783F21"/>
    <w:rsid w:val="00785737"/>
    <w:rsid w:val="00787159"/>
    <w:rsid w:val="0079043A"/>
    <w:rsid w:val="00791668"/>
    <w:rsid w:val="00791AA1"/>
    <w:rsid w:val="00792847"/>
    <w:rsid w:val="007933F8"/>
    <w:rsid w:val="007A2ACE"/>
    <w:rsid w:val="007A3793"/>
    <w:rsid w:val="007A7607"/>
    <w:rsid w:val="007B7318"/>
    <w:rsid w:val="007B7488"/>
    <w:rsid w:val="007C1BA2"/>
    <w:rsid w:val="007C25CC"/>
    <w:rsid w:val="007C2B48"/>
    <w:rsid w:val="007D10B4"/>
    <w:rsid w:val="007D20E9"/>
    <w:rsid w:val="007D5C7E"/>
    <w:rsid w:val="007D7881"/>
    <w:rsid w:val="007D7E3A"/>
    <w:rsid w:val="007E0E10"/>
    <w:rsid w:val="007E2AA6"/>
    <w:rsid w:val="007E4768"/>
    <w:rsid w:val="007E5ACB"/>
    <w:rsid w:val="007E777B"/>
    <w:rsid w:val="007F2070"/>
    <w:rsid w:val="007F63C1"/>
    <w:rsid w:val="007F7F78"/>
    <w:rsid w:val="008053F5"/>
    <w:rsid w:val="00805F71"/>
    <w:rsid w:val="00807AF7"/>
    <w:rsid w:val="00810198"/>
    <w:rsid w:val="00815DA8"/>
    <w:rsid w:val="0082194D"/>
    <w:rsid w:val="008221F9"/>
    <w:rsid w:val="0082466A"/>
    <w:rsid w:val="00826EF5"/>
    <w:rsid w:val="00831693"/>
    <w:rsid w:val="00831DBC"/>
    <w:rsid w:val="00835162"/>
    <w:rsid w:val="00840104"/>
    <w:rsid w:val="00840C1F"/>
    <w:rsid w:val="008411C9"/>
    <w:rsid w:val="00841FC5"/>
    <w:rsid w:val="00843D0F"/>
    <w:rsid w:val="00845709"/>
    <w:rsid w:val="008527F0"/>
    <w:rsid w:val="00852B7F"/>
    <w:rsid w:val="00852FB3"/>
    <w:rsid w:val="008576BD"/>
    <w:rsid w:val="00857DFB"/>
    <w:rsid w:val="00860463"/>
    <w:rsid w:val="008733DA"/>
    <w:rsid w:val="00884A62"/>
    <w:rsid w:val="008850E4"/>
    <w:rsid w:val="00887BBF"/>
    <w:rsid w:val="008939AB"/>
    <w:rsid w:val="00895B32"/>
    <w:rsid w:val="00895C2E"/>
    <w:rsid w:val="00897C59"/>
    <w:rsid w:val="008A12F5"/>
    <w:rsid w:val="008A1C45"/>
    <w:rsid w:val="008A7862"/>
    <w:rsid w:val="008B1587"/>
    <w:rsid w:val="008B1B01"/>
    <w:rsid w:val="008B2DE1"/>
    <w:rsid w:val="008B3BCD"/>
    <w:rsid w:val="008B6DF8"/>
    <w:rsid w:val="008C015E"/>
    <w:rsid w:val="008C106C"/>
    <w:rsid w:val="008C10F1"/>
    <w:rsid w:val="008C1926"/>
    <w:rsid w:val="008C1E99"/>
    <w:rsid w:val="008C7764"/>
    <w:rsid w:val="008D275A"/>
    <w:rsid w:val="008E0085"/>
    <w:rsid w:val="008E2260"/>
    <w:rsid w:val="008E2AA6"/>
    <w:rsid w:val="008E311B"/>
    <w:rsid w:val="008E4492"/>
    <w:rsid w:val="008F46E7"/>
    <w:rsid w:val="008F64CA"/>
    <w:rsid w:val="008F6F0B"/>
    <w:rsid w:val="008F7081"/>
    <w:rsid w:val="0090256E"/>
    <w:rsid w:val="00906FD6"/>
    <w:rsid w:val="00907BA7"/>
    <w:rsid w:val="0091064E"/>
    <w:rsid w:val="00911FC5"/>
    <w:rsid w:val="00913646"/>
    <w:rsid w:val="00916131"/>
    <w:rsid w:val="00916571"/>
    <w:rsid w:val="00920158"/>
    <w:rsid w:val="00924F3C"/>
    <w:rsid w:val="009261C1"/>
    <w:rsid w:val="00926533"/>
    <w:rsid w:val="0092673C"/>
    <w:rsid w:val="00927240"/>
    <w:rsid w:val="00931A10"/>
    <w:rsid w:val="0094511C"/>
    <w:rsid w:val="00946D6F"/>
    <w:rsid w:val="00947967"/>
    <w:rsid w:val="00955201"/>
    <w:rsid w:val="009610A1"/>
    <w:rsid w:val="00965200"/>
    <w:rsid w:val="009668B3"/>
    <w:rsid w:val="00967F34"/>
    <w:rsid w:val="00971471"/>
    <w:rsid w:val="009849C2"/>
    <w:rsid w:val="00984D24"/>
    <w:rsid w:val="00984D4D"/>
    <w:rsid w:val="009858EB"/>
    <w:rsid w:val="00986C17"/>
    <w:rsid w:val="00997697"/>
    <w:rsid w:val="00997A85"/>
    <w:rsid w:val="009A3F47"/>
    <w:rsid w:val="009A692D"/>
    <w:rsid w:val="009B0046"/>
    <w:rsid w:val="009C1440"/>
    <w:rsid w:val="009C2107"/>
    <w:rsid w:val="009C5D9E"/>
    <w:rsid w:val="009D2C3E"/>
    <w:rsid w:val="009D412B"/>
    <w:rsid w:val="009D50EA"/>
    <w:rsid w:val="009E0625"/>
    <w:rsid w:val="009E1986"/>
    <w:rsid w:val="009E3034"/>
    <w:rsid w:val="009E549F"/>
    <w:rsid w:val="009E5D9B"/>
    <w:rsid w:val="009F193C"/>
    <w:rsid w:val="009F28A8"/>
    <w:rsid w:val="009F473E"/>
    <w:rsid w:val="009F4F45"/>
    <w:rsid w:val="009F5247"/>
    <w:rsid w:val="009F682A"/>
    <w:rsid w:val="009F69AE"/>
    <w:rsid w:val="009F74B6"/>
    <w:rsid w:val="00A0084D"/>
    <w:rsid w:val="00A022BE"/>
    <w:rsid w:val="00A07B4B"/>
    <w:rsid w:val="00A20BCE"/>
    <w:rsid w:val="00A24C95"/>
    <w:rsid w:val="00A2599A"/>
    <w:rsid w:val="00A26094"/>
    <w:rsid w:val="00A266A3"/>
    <w:rsid w:val="00A301BF"/>
    <w:rsid w:val="00A302B2"/>
    <w:rsid w:val="00A32444"/>
    <w:rsid w:val="00A331B4"/>
    <w:rsid w:val="00A3484E"/>
    <w:rsid w:val="00A356D3"/>
    <w:rsid w:val="00A36ADA"/>
    <w:rsid w:val="00A37C4D"/>
    <w:rsid w:val="00A438D8"/>
    <w:rsid w:val="00A473F5"/>
    <w:rsid w:val="00A512AC"/>
    <w:rsid w:val="00A51F9D"/>
    <w:rsid w:val="00A5416A"/>
    <w:rsid w:val="00A568CB"/>
    <w:rsid w:val="00A56B1D"/>
    <w:rsid w:val="00A615EC"/>
    <w:rsid w:val="00A639F4"/>
    <w:rsid w:val="00A65864"/>
    <w:rsid w:val="00A65FAE"/>
    <w:rsid w:val="00A71BFD"/>
    <w:rsid w:val="00A738A5"/>
    <w:rsid w:val="00A75172"/>
    <w:rsid w:val="00A75A70"/>
    <w:rsid w:val="00A75FC2"/>
    <w:rsid w:val="00A81A32"/>
    <w:rsid w:val="00A835BD"/>
    <w:rsid w:val="00A83ACA"/>
    <w:rsid w:val="00A85946"/>
    <w:rsid w:val="00A90462"/>
    <w:rsid w:val="00A90E6A"/>
    <w:rsid w:val="00A93CB8"/>
    <w:rsid w:val="00A97B15"/>
    <w:rsid w:val="00AA0AAF"/>
    <w:rsid w:val="00AA42D5"/>
    <w:rsid w:val="00AB2FAB"/>
    <w:rsid w:val="00AB5C14"/>
    <w:rsid w:val="00AB6B06"/>
    <w:rsid w:val="00AC1EE7"/>
    <w:rsid w:val="00AC2C08"/>
    <w:rsid w:val="00AC333F"/>
    <w:rsid w:val="00AC41C0"/>
    <w:rsid w:val="00AC585C"/>
    <w:rsid w:val="00AD1925"/>
    <w:rsid w:val="00AD31CB"/>
    <w:rsid w:val="00AD602E"/>
    <w:rsid w:val="00AE067D"/>
    <w:rsid w:val="00AE1880"/>
    <w:rsid w:val="00AE2F09"/>
    <w:rsid w:val="00AE3CBD"/>
    <w:rsid w:val="00AF1181"/>
    <w:rsid w:val="00AF2F79"/>
    <w:rsid w:val="00AF4653"/>
    <w:rsid w:val="00AF726D"/>
    <w:rsid w:val="00AF7DB7"/>
    <w:rsid w:val="00B00747"/>
    <w:rsid w:val="00B02FAB"/>
    <w:rsid w:val="00B02FD6"/>
    <w:rsid w:val="00B10D02"/>
    <w:rsid w:val="00B16C47"/>
    <w:rsid w:val="00B17C68"/>
    <w:rsid w:val="00B201E2"/>
    <w:rsid w:val="00B21D0D"/>
    <w:rsid w:val="00B26935"/>
    <w:rsid w:val="00B3056A"/>
    <w:rsid w:val="00B40AFA"/>
    <w:rsid w:val="00B443E4"/>
    <w:rsid w:val="00B5484D"/>
    <w:rsid w:val="00B563EA"/>
    <w:rsid w:val="00B56CDF"/>
    <w:rsid w:val="00B608E3"/>
    <w:rsid w:val="00B60E51"/>
    <w:rsid w:val="00B63A54"/>
    <w:rsid w:val="00B64D3F"/>
    <w:rsid w:val="00B75418"/>
    <w:rsid w:val="00B7664E"/>
    <w:rsid w:val="00B77D18"/>
    <w:rsid w:val="00B8313A"/>
    <w:rsid w:val="00B86B1E"/>
    <w:rsid w:val="00B9212D"/>
    <w:rsid w:val="00B93503"/>
    <w:rsid w:val="00B93705"/>
    <w:rsid w:val="00BA31E8"/>
    <w:rsid w:val="00BA475A"/>
    <w:rsid w:val="00BA55E0"/>
    <w:rsid w:val="00BA6BD4"/>
    <w:rsid w:val="00BA6C7A"/>
    <w:rsid w:val="00BB17D1"/>
    <w:rsid w:val="00BB3752"/>
    <w:rsid w:val="00BB6688"/>
    <w:rsid w:val="00BC26D4"/>
    <w:rsid w:val="00BD1CD9"/>
    <w:rsid w:val="00BD3CD5"/>
    <w:rsid w:val="00BE0C80"/>
    <w:rsid w:val="00BF2A42"/>
    <w:rsid w:val="00BF6402"/>
    <w:rsid w:val="00C01A5B"/>
    <w:rsid w:val="00C03D8C"/>
    <w:rsid w:val="00C055EC"/>
    <w:rsid w:val="00C10DC9"/>
    <w:rsid w:val="00C12FB3"/>
    <w:rsid w:val="00C1451D"/>
    <w:rsid w:val="00C1592F"/>
    <w:rsid w:val="00C17312"/>
    <w:rsid w:val="00C17341"/>
    <w:rsid w:val="00C24EEF"/>
    <w:rsid w:val="00C25CF6"/>
    <w:rsid w:val="00C26C36"/>
    <w:rsid w:val="00C2707C"/>
    <w:rsid w:val="00C27525"/>
    <w:rsid w:val="00C32768"/>
    <w:rsid w:val="00C431DF"/>
    <w:rsid w:val="00C43AE1"/>
    <w:rsid w:val="00C442DA"/>
    <w:rsid w:val="00C44D3A"/>
    <w:rsid w:val="00C456BD"/>
    <w:rsid w:val="00C460B3"/>
    <w:rsid w:val="00C530DC"/>
    <w:rsid w:val="00C5350D"/>
    <w:rsid w:val="00C543A4"/>
    <w:rsid w:val="00C6123C"/>
    <w:rsid w:val="00C6311A"/>
    <w:rsid w:val="00C65E09"/>
    <w:rsid w:val="00C702D1"/>
    <w:rsid w:val="00C7084D"/>
    <w:rsid w:val="00C72089"/>
    <w:rsid w:val="00C7315E"/>
    <w:rsid w:val="00C73427"/>
    <w:rsid w:val="00C75895"/>
    <w:rsid w:val="00C80153"/>
    <w:rsid w:val="00C82129"/>
    <w:rsid w:val="00C83C9F"/>
    <w:rsid w:val="00C909BE"/>
    <w:rsid w:val="00C94840"/>
    <w:rsid w:val="00CA281A"/>
    <w:rsid w:val="00CA4EE3"/>
    <w:rsid w:val="00CB027F"/>
    <w:rsid w:val="00CB3633"/>
    <w:rsid w:val="00CB6A4D"/>
    <w:rsid w:val="00CC0EBB"/>
    <w:rsid w:val="00CC6297"/>
    <w:rsid w:val="00CC6815"/>
    <w:rsid w:val="00CC6A93"/>
    <w:rsid w:val="00CC7690"/>
    <w:rsid w:val="00CD010D"/>
    <w:rsid w:val="00CD1986"/>
    <w:rsid w:val="00CD4B9E"/>
    <w:rsid w:val="00CD54BF"/>
    <w:rsid w:val="00CE0DA6"/>
    <w:rsid w:val="00CE1813"/>
    <w:rsid w:val="00CE3EDF"/>
    <w:rsid w:val="00CE4246"/>
    <w:rsid w:val="00CE4D5C"/>
    <w:rsid w:val="00CF05DA"/>
    <w:rsid w:val="00CF26C0"/>
    <w:rsid w:val="00CF2F22"/>
    <w:rsid w:val="00CF3F06"/>
    <w:rsid w:val="00CF466F"/>
    <w:rsid w:val="00CF58EB"/>
    <w:rsid w:val="00CF678B"/>
    <w:rsid w:val="00CF6FEC"/>
    <w:rsid w:val="00D0106E"/>
    <w:rsid w:val="00D01925"/>
    <w:rsid w:val="00D0212D"/>
    <w:rsid w:val="00D06383"/>
    <w:rsid w:val="00D10148"/>
    <w:rsid w:val="00D20D0B"/>
    <w:rsid w:val="00D20E85"/>
    <w:rsid w:val="00D213DE"/>
    <w:rsid w:val="00D24615"/>
    <w:rsid w:val="00D2592D"/>
    <w:rsid w:val="00D3366F"/>
    <w:rsid w:val="00D34AF2"/>
    <w:rsid w:val="00D37842"/>
    <w:rsid w:val="00D423D7"/>
    <w:rsid w:val="00D42DC2"/>
    <w:rsid w:val="00D42FA9"/>
    <w:rsid w:val="00D4302B"/>
    <w:rsid w:val="00D537E1"/>
    <w:rsid w:val="00D55BB2"/>
    <w:rsid w:val="00D605D8"/>
    <w:rsid w:val="00D6091A"/>
    <w:rsid w:val="00D62745"/>
    <w:rsid w:val="00D6605A"/>
    <w:rsid w:val="00D6695F"/>
    <w:rsid w:val="00D71AA1"/>
    <w:rsid w:val="00D72067"/>
    <w:rsid w:val="00D720D4"/>
    <w:rsid w:val="00D75644"/>
    <w:rsid w:val="00D762C9"/>
    <w:rsid w:val="00D81656"/>
    <w:rsid w:val="00D83D87"/>
    <w:rsid w:val="00D84A6D"/>
    <w:rsid w:val="00D86A30"/>
    <w:rsid w:val="00D94F90"/>
    <w:rsid w:val="00D97CB4"/>
    <w:rsid w:val="00D97DD4"/>
    <w:rsid w:val="00DA066C"/>
    <w:rsid w:val="00DA10FC"/>
    <w:rsid w:val="00DA5A8A"/>
    <w:rsid w:val="00DB1170"/>
    <w:rsid w:val="00DB26CD"/>
    <w:rsid w:val="00DB2AA0"/>
    <w:rsid w:val="00DB3C3E"/>
    <w:rsid w:val="00DB441C"/>
    <w:rsid w:val="00DB44AF"/>
    <w:rsid w:val="00DB5C43"/>
    <w:rsid w:val="00DB5D2B"/>
    <w:rsid w:val="00DC187F"/>
    <w:rsid w:val="00DC18FD"/>
    <w:rsid w:val="00DC1F58"/>
    <w:rsid w:val="00DC339B"/>
    <w:rsid w:val="00DC3D1A"/>
    <w:rsid w:val="00DC5D40"/>
    <w:rsid w:val="00DC69A7"/>
    <w:rsid w:val="00DD19EB"/>
    <w:rsid w:val="00DD30E9"/>
    <w:rsid w:val="00DD4EEE"/>
    <w:rsid w:val="00DD4F47"/>
    <w:rsid w:val="00DD733D"/>
    <w:rsid w:val="00DD7FBB"/>
    <w:rsid w:val="00DE07D8"/>
    <w:rsid w:val="00DE0B9F"/>
    <w:rsid w:val="00DE2A9E"/>
    <w:rsid w:val="00DE4238"/>
    <w:rsid w:val="00DE657F"/>
    <w:rsid w:val="00DF1218"/>
    <w:rsid w:val="00DF3C48"/>
    <w:rsid w:val="00DF6462"/>
    <w:rsid w:val="00E02FA0"/>
    <w:rsid w:val="00E036DC"/>
    <w:rsid w:val="00E10454"/>
    <w:rsid w:val="00E112E5"/>
    <w:rsid w:val="00E122D8"/>
    <w:rsid w:val="00E12CC8"/>
    <w:rsid w:val="00E12F62"/>
    <w:rsid w:val="00E15352"/>
    <w:rsid w:val="00E16367"/>
    <w:rsid w:val="00E21CC7"/>
    <w:rsid w:val="00E24857"/>
    <w:rsid w:val="00E24D9E"/>
    <w:rsid w:val="00E2554F"/>
    <w:rsid w:val="00E25849"/>
    <w:rsid w:val="00E3197E"/>
    <w:rsid w:val="00E342F8"/>
    <w:rsid w:val="00E351ED"/>
    <w:rsid w:val="00E3611D"/>
    <w:rsid w:val="00E42B19"/>
    <w:rsid w:val="00E4722E"/>
    <w:rsid w:val="00E50A70"/>
    <w:rsid w:val="00E51B98"/>
    <w:rsid w:val="00E55229"/>
    <w:rsid w:val="00E6034B"/>
    <w:rsid w:val="00E6549E"/>
    <w:rsid w:val="00E65EDE"/>
    <w:rsid w:val="00E67A9A"/>
    <w:rsid w:val="00E67B7F"/>
    <w:rsid w:val="00E70F81"/>
    <w:rsid w:val="00E77055"/>
    <w:rsid w:val="00E77460"/>
    <w:rsid w:val="00E83ABC"/>
    <w:rsid w:val="00E844F2"/>
    <w:rsid w:val="00E87A94"/>
    <w:rsid w:val="00E90AD0"/>
    <w:rsid w:val="00E92FCB"/>
    <w:rsid w:val="00E948FF"/>
    <w:rsid w:val="00E949A5"/>
    <w:rsid w:val="00E95997"/>
    <w:rsid w:val="00EA147F"/>
    <w:rsid w:val="00EA2E32"/>
    <w:rsid w:val="00EA4A27"/>
    <w:rsid w:val="00EA4FA6"/>
    <w:rsid w:val="00EA6828"/>
    <w:rsid w:val="00EA6829"/>
    <w:rsid w:val="00EB192B"/>
    <w:rsid w:val="00EB1A25"/>
    <w:rsid w:val="00EC1BD5"/>
    <w:rsid w:val="00EC3E95"/>
    <w:rsid w:val="00EC58D0"/>
    <w:rsid w:val="00EC6466"/>
    <w:rsid w:val="00EC7363"/>
    <w:rsid w:val="00ED03AB"/>
    <w:rsid w:val="00ED1963"/>
    <w:rsid w:val="00ED1CD4"/>
    <w:rsid w:val="00ED1D2B"/>
    <w:rsid w:val="00ED2B88"/>
    <w:rsid w:val="00ED30B8"/>
    <w:rsid w:val="00ED51C9"/>
    <w:rsid w:val="00ED64B5"/>
    <w:rsid w:val="00ED7CDB"/>
    <w:rsid w:val="00EE0D82"/>
    <w:rsid w:val="00EE72FE"/>
    <w:rsid w:val="00EE7CCA"/>
    <w:rsid w:val="00EF2A85"/>
    <w:rsid w:val="00EF46BC"/>
    <w:rsid w:val="00EF56AD"/>
    <w:rsid w:val="00EF5A71"/>
    <w:rsid w:val="00F051B8"/>
    <w:rsid w:val="00F06E53"/>
    <w:rsid w:val="00F148E8"/>
    <w:rsid w:val="00F1608E"/>
    <w:rsid w:val="00F16A14"/>
    <w:rsid w:val="00F21C39"/>
    <w:rsid w:val="00F2449F"/>
    <w:rsid w:val="00F327A8"/>
    <w:rsid w:val="00F362D7"/>
    <w:rsid w:val="00F37D7B"/>
    <w:rsid w:val="00F43A6C"/>
    <w:rsid w:val="00F47079"/>
    <w:rsid w:val="00F5314C"/>
    <w:rsid w:val="00F55F91"/>
    <w:rsid w:val="00F5688C"/>
    <w:rsid w:val="00F56F5B"/>
    <w:rsid w:val="00F60048"/>
    <w:rsid w:val="00F635DD"/>
    <w:rsid w:val="00F65C17"/>
    <w:rsid w:val="00F6627B"/>
    <w:rsid w:val="00F72088"/>
    <w:rsid w:val="00F7336E"/>
    <w:rsid w:val="00F734F2"/>
    <w:rsid w:val="00F74FD7"/>
    <w:rsid w:val="00F75052"/>
    <w:rsid w:val="00F75CC6"/>
    <w:rsid w:val="00F777B1"/>
    <w:rsid w:val="00F804D3"/>
    <w:rsid w:val="00F80D6E"/>
    <w:rsid w:val="00F816CB"/>
    <w:rsid w:val="00F81CD2"/>
    <w:rsid w:val="00F82641"/>
    <w:rsid w:val="00F85584"/>
    <w:rsid w:val="00F87245"/>
    <w:rsid w:val="00F90C2D"/>
    <w:rsid w:val="00F90F18"/>
    <w:rsid w:val="00F93654"/>
    <w:rsid w:val="00F937E4"/>
    <w:rsid w:val="00F95EE7"/>
    <w:rsid w:val="00FA39E6"/>
    <w:rsid w:val="00FA7BC9"/>
    <w:rsid w:val="00FB141C"/>
    <w:rsid w:val="00FB378E"/>
    <w:rsid w:val="00FB37F1"/>
    <w:rsid w:val="00FB47C0"/>
    <w:rsid w:val="00FB501B"/>
    <w:rsid w:val="00FB622B"/>
    <w:rsid w:val="00FB719A"/>
    <w:rsid w:val="00FB7770"/>
    <w:rsid w:val="00FC36FD"/>
    <w:rsid w:val="00FC571B"/>
    <w:rsid w:val="00FC68A2"/>
    <w:rsid w:val="00FD08E1"/>
    <w:rsid w:val="00FD3B91"/>
    <w:rsid w:val="00FD576B"/>
    <w:rsid w:val="00FD579E"/>
    <w:rsid w:val="00FD6845"/>
    <w:rsid w:val="00FD7D6B"/>
    <w:rsid w:val="00FE1E86"/>
    <w:rsid w:val="00FE4516"/>
    <w:rsid w:val="00FE564B"/>
    <w:rsid w:val="00FE64C8"/>
    <w:rsid w:val="00FE7462"/>
    <w:rsid w:val="00FF0AFE"/>
    <w:rsid w:val="00FF0D6F"/>
    <w:rsid w:val="00FF228D"/>
    <w:rsid w:val="00FF75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8D4043-5632-4FE7-AED1-C3B245CB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C5E43"/>
    <w:pPr>
      <w:widowControl w:val="0"/>
      <w:overflowPunct w:val="0"/>
      <w:autoSpaceDE w:val="0"/>
      <w:autoSpaceDN w:val="0"/>
      <w:jc w:val="both"/>
    </w:pPr>
    <w:rPr>
      <w:rFonts w:ascii="標楷體" w:eastAsia="標楷體"/>
      <w:kern w:val="2"/>
      <w:sz w:val="32"/>
    </w:rPr>
  </w:style>
  <w:style w:type="paragraph" w:styleId="1">
    <w:name w:val="heading 1"/>
    <w:basedOn w:val="a6"/>
    <w:link w:val="11"/>
    <w:qFormat/>
    <w:rsid w:val="00181404"/>
    <w:pPr>
      <w:numPr>
        <w:numId w:val="17"/>
      </w:numPr>
      <w:outlineLvl w:val="0"/>
    </w:pPr>
    <w:rPr>
      <w:rFonts w:hAnsi="Arial"/>
      <w:bCs/>
      <w:kern w:val="32"/>
      <w:szCs w:val="52"/>
    </w:rPr>
  </w:style>
  <w:style w:type="paragraph" w:styleId="2">
    <w:name w:val="heading 2"/>
    <w:basedOn w:val="a6"/>
    <w:link w:val="21"/>
    <w:qFormat/>
    <w:rsid w:val="00181404"/>
    <w:pPr>
      <w:numPr>
        <w:ilvl w:val="1"/>
        <w:numId w:val="17"/>
      </w:numPr>
      <w:outlineLvl w:val="1"/>
    </w:pPr>
    <w:rPr>
      <w:rFonts w:hAnsi="Arial"/>
      <w:bCs/>
      <w:kern w:val="32"/>
      <w:szCs w:val="48"/>
    </w:rPr>
  </w:style>
  <w:style w:type="paragraph" w:styleId="3">
    <w:name w:val="heading 3"/>
    <w:basedOn w:val="a6"/>
    <w:link w:val="31"/>
    <w:qFormat/>
    <w:rsid w:val="00181404"/>
    <w:pPr>
      <w:numPr>
        <w:ilvl w:val="2"/>
        <w:numId w:val="17"/>
      </w:numPr>
      <w:outlineLvl w:val="2"/>
    </w:pPr>
    <w:rPr>
      <w:rFonts w:hAnsi="Arial"/>
      <w:bCs/>
      <w:kern w:val="32"/>
      <w:szCs w:val="36"/>
    </w:rPr>
  </w:style>
  <w:style w:type="paragraph" w:styleId="4">
    <w:name w:val="heading 4"/>
    <w:basedOn w:val="a6"/>
    <w:link w:val="40"/>
    <w:qFormat/>
    <w:rsid w:val="00181404"/>
    <w:pPr>
      <w:numPr>
        <w:ilvl w:val="3"/>
        <w:numId w:val="17"/>
      </w:numPr>
      <w:outlineLvl w:val="3"/>
    </w:pPr>
    <w:rPr>
      <w:rFonts w:hAnsi="Arial"/>
      <w:kern w:val="32"/>
      <w:szCs w:val="36"/>
    </w:rPr>
  </w:style>
  <w:style w:type="paragraph" w:styleId="5">
    <w:name w:val="heading 5"/>
    <w:basedOn w:val="a6"/>
    <w:link w:val="50"/>
    <w:qFormat/>
    <w:rsid w:val="00181404"/>
    <w:pPr>
      <w:numPr>
        <w:ilvl w:val="4"/>
        <w:numId w:val="17"/>
      </w:numPr>
      <w:outlineLvl w:val="4"/>
    </w:pPr>
    <w:rPr>
      <w:rFonts w:hAnsi="Arial"/>
      <w:bCs/>
      <w:kern w:val="32"/>
      <w:szCs w:val="36"/>
    </w:rPr>
  </w:style>
  <w:style w:type="paragraph" w:styleId="6">
    <w:name w:val="heading 6"/>
    <w:basedOn w:val="a6"/>
    <w:link w:val="60"/>
    <w:qFormat/>
    <w:rsid w:val="00181404"/>
    <w:pPr>
      <w:numPr>
        <w:ilvl w:val="5"/>
        <w:numId w:val="17"/>
      </w:numPr>
      <w:tabs>
        <w:tab w:val="left" w:pos="2094"/>
      </w:tabs>
      <w:outlineLvl w:val="5"/>
    </w:pPr>
    <w:rPr>
      <w:rFonts w:hAnsi="Arial"/>
      <w:kern w:val="32"/>
      <w:szCs w:val="36"/>
    </w:rPr>
  </w:style>
  <w:style w:type="paragraph" w:styleId="7">
    <w:name w:val="heading 7"/>
    <w:basedOn w:val="a6"/>
    <w:link w:val="70"/>
    <w:qFormat/>
    <w:rsid w:val="00181404"/>
    <w:pPr>
      <w:numPr>
        <w:ilvl w:val="6"/>
        <w:numId w:val="17"/>
      </w:numPr>
      <w:ind w:left="2722"/>
      <w:outlineLvl w:val="6"/>
    </w:pPr>
    <w:rPr>
      <w:rFonts w:hAnsi="Arial"/>
      <w:bCs/>
      <w:kern w:val="32"/>
      <w:szCs w:val="36"/>
    </w:rPr>
  </w:style>
  <w:style w:type="paragraph" w:styleId="8">
    <w:name w:val="heading 8"/>
    <w:basedOn w:val="a6"/>
    <w:link w:val="80"/>
    <w:qFormat/>
    <w:rsid w:val="00181404"/>
    <w:pPr>
      <w:numPr>
        <w:ilvl w:val="7"/>
        <w:numId w:val="17"/>
      </w:numPr>
      <w:outlineLvl w:val="7"/>
    </w:pPr>
    <w:rPr>
      <w:rFonts w:hAnsi="Arial"/>
      <w:kern w:val="32"/>
      <w:szCs w:val="36"/>
    </w:rPr>
  </w:style>
  <w:style w:type="paragraph" w:styleId="9">
    <w:name w:val="heading 9"/>
    <w:basedOn w:val="a6"/>
    <w:link w:val="90"/>
    <w:uiPriority w:val="9"/>
    <w:unhideWhenUsed/>
    <w:qFormat/>
    <w:rsid w:val="00181404"/>
    <w:pPr>
      <w:numPr>
        <w:ilvl w:val="8"/>
        <w:numId w:val="1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181404"/>
    <w:pPr>
      <w:spacing w:before="720" w:after="720"/>
      <w:ind w:left="7371"/>
    </w:pPr>
    <w:rPr>
      <w:b/>
      <w:snapToGrid w:val="0"/>
      <w:spacing w:val="10"/>
      <w:sz w:val="36"/>
    </w:rPr>
  </w:style>
  <w:style w:type="paragraph" w:styleId="ac">
    <w:name w:val="endnote text"/>
    <w:basedOn w:val="a6"/>
    <w:link w:val="ad"/>
    <w:semiHidden/>
    <w:rsid w:val="00181404"/>
    <w:pPr>
      <w:kinsoku w:val="0"/>
      <w:autoSpaceDE/>
      <w:spacing w:before="240"/>
      <w:ind w:left="1021" w:hanging="1021"/>
    </w:pPr>
    <w:rPr>
      <w:snapToGrid w:val="0"/>
      <w:spacing w:val="10"/>
    </w:rPr>
  </w:style>
  <w:style w:type="paragraph" w:styleId="51">
    <w:name w:val="toc 5"/>
    <w:basedOn w:val="a6"/>
    <w:next w:val="a6"/>
    <w:autoRedefine/>
    <w:semiHidden/>
    <w:rsid w:val="00181404"/>
    <w:pPr>
      <w:ind w:leftChars="400" w:left="600" w:rightChars="200" w:right="200" w:hangingChars="200" w:hanging="200"/>
    </w:pPr>
  </w:style>
  <w:style w:type="character" w:styleId="ae">
    <w:name w:val="page number"/>
    <w:basedOn w:val="a7"/>
    <w:semiHidden/>
    <w:rsid w:val="00181404"/>
    <w:rPr>
      <w:rFonts w:ascii="標楷體" w:eastAsia="標楷體"/>
      <w:sz w:val="20"/>
    </w:rPr>
  </w:style>
  <w:style w:type="paragraph" w:styleId="61">
    <w:name w:val="toc 6"/>
    <w:basedOn w:val="a6"/>
    <w:next w:val="a6"/>
    <w:autoRedefine/>
    <w:semiHidden/>
    <w:rsid w:val="00181404"/>
    <w:pPr>
      <w:ind w:leftChars="500" w:left="500"/>
    </w:pPr>
  </w:style>
  <w:style w:type="paragraph" w:customStyle="1" w:styleId="12">
    <w:name w:val="段落樣式1"/>
    <w:basedOn w:val="a6"/>
    <w:qFormat/>
    <w:rsid w:val="00181404"/>
    <w:pPr>
      <w:tabs>
        <w:tab w:val="left" w:pos="567"/>
      </w:tabs>
      <w:ind w:leftChars="200" w:left="200" w:firstLineChars="200" w:firstLine="200"/>
    </w:pPr>
    <w:rPr>
      <w:kern w:val="32"/>
    </w:rPr>
  </w:style>
  <w:style w:type="paragraph" w:customStyle="1" w:styleId="22">
    <w:name w:val="段落樣式2"/>
    <w:basedOn w:val="a6"/>
    <w:qFormat/>
    <w:rsid w:val="00181404"/>
    <w:pPr>
      <w:tabs>
        <w:tab w:val="left" w:pos="567"/>
      </w:tabs>
      <w:ind w:leftChars="300" w:left="300" w:firstLineChars="200" w:firstLine="200"/>
    </w:pPr>
    <w:rPr>
      <w:kern w:val="32"/>
    </w:rPr>
  </w:style>
  <w:style w:type="paragraph" w:styleId="13">
    <w:name w:val="toc 1"/>
    <w:basedOn w:val="a6"/>
    <w:next w:val="a6"/>
    <w:autoRedefine/>
    <w:uiPriority w:val="39"/>
    <w:rsid w:val="00181404"/>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181404"/>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181404"/>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181404"/>
    <w:pPr>
      <w:kinsoku w:val="0"/>
      <w:ind w:leftChars="300" w:left="500" w:rightChars="200" w:right="200" w:hangingChars="200" w:hanging="200"/>
    </w:pPr>
  </w:style>
  <w:style w:type="paragraph" w:styleId="71">
    <w:name w:val="toc 7"/>
    <w:basedOn w:val="a6"/>
    <w:next w:val="a6"/>
    <w:autoRedefine/>
    <w:semiHidden/>
    <w:rsid w:val="00181404"/>
    <w:pPr>
      <w:ind w:leftChars="600" w:left="800" w:hangingChars="200" w:hanging="200"/>
    </w:pPr>
  </w:style>
  <w:style w:type="paragraph" w:styleId="81">
    <w:name w:val="toc 8"/>
    <w:basedOn w:val="a6"/>
    <w:next w:val="a6"/>
    <w:autoRedefine/>
    <w:semiHidden/>
    <w:rsid w:val="00181404"/>
    <w:pPr>
      <w:ind w:leftChars="700" w:left="900" w:hangingChars="200" w:hanging="200"/>
    </w:pPr>
  </w:style>
  <w:style w:type="paragraph" w:styleId="91">
    <w:name w:val="toc 9"/>
    <w:basedOn w:val="a6"/>
    <w:next w:val="a6"/>
    <w:autoRedefine/>
    <w:semiHidden/>
    <w:rsid w:val="00181404"/>
    <w:pPr>
      <w:ind w:leftChars="1600" w:left="3840"/>
    </w:pPr>
  </w:style>
  <w:style w:type="paragraph" w:styleId="af">
    <w:name w:val="header"/>
    <w:basedOn w:val="a6"/>
    <w:link w:val="af0"/>
    <w:semiHidden/>
    <w:rsid w:val="00181404"/>
    <w:pPr>
      <w:tabs>
        <w:tab w:val="center" w:pos="4153"/>
        <w:tab w:val="right" w:pos="8306"/>
      </w:tabs>
      <w:snapToGrid w:val="0"/>
    </w:pPr>
    <w:rPr>
      <w:sz w:val="20"/>
    </w:rPr>
  </w:style>
  <w:style w:type="paragraph" w:customStyle="1" w:styleId="33">
    <w:name w:val="段落樣式3"/>
    <w:basedOn w:val="22"/>
    <w:qFormat/>
    <w:rsid w:val="00181404"/>
    <w:pPr>
      <w:ind w:leftChars="400" w:left="400"/>
    </w:pPr>
  </w:style>
  <w:style w:type="character" w:styleId="af1">
    <w:name w:val="Hyperlink"/>
    <w:basedOn w:val="a7"/>
    <w:uiPriority w:val="99"/>
    <w:rsid w:val="00181404"/>
    <w:rPr>
      <w:color w:val="0000FF"/>
      <w:u w:val="single"/>
    </w:rPr>
  </w:style>
  <w:style w:type="paragraph" w:customStyle="1" w:styleId="af2">
    <w:name w:val="簽名日期"/>
    <w:basedOn w:val="a6"/>
    <w:rsid w:val="00181404"/>
    <w:pPr>
      <w:kinsoku w:val="0"/>
      <w:jc w:val="distribute"/>
    </w:pPr>
    <w:rPr>
      <w:kern w:val="0"/>
    </w:rPr>
  </w:style>
  <w:style w:type="paragraph" w:customStyle="1" w:styleId="0">
    <w:name w:val="段落樣式0"/>
    <w:basedOn w:val="22"/>
    <w:qFormat/>
    <w:rsid w:val="00181404"/>
    <w:pPr>
      <w:ind w:leftChars="200" w:left="200" w:firstLineChars="0" w:firstLine="0"/>
    </w:pPr>
  </w:style>
  <w:style w:type="paragraph" w:customStyle="1" w:styleId="af3">
    <w:name w:val="附件"/>
    <w:basedOn w:val="ac"/>
    <w:rsid w:val="00181404"/>
    <w:pPr>
      <w:spacing w:before="0"/>
      <w:ind w:left="1047" w:hangingChars="300" w:hanging="1047"/>
    </w:pPr>
    <w:rPr>
      <w:snapToGrid/>
      <w:spacing w:val="0"/>
      <w:kern w:val="0"/>
    </w:rPr>
  </w:style>
  <w:style w:type="paragraph" w:customStyle="1" w:styleId="42">
    <w:name w:val="段落樣式4"/>
    <w:basedOn w:val="33"/>
    <w:qFormat/>
    <w:rsid w:val="00181404"/>
    <w:pPr>
      <w:ind w:leftChars="500" w:left="500"/>
    </w:pPr>
  </w:style>
  <w:style w:type="paragraph" w:customStyle="1" w:styleId="52">
    <w:name w:val="段落樣式5"/>
    <w:basedOn w:val="42"/>
    <w:qFormat/>
    <w:rsid w:val="00181404"/>
    <w:pPr>
      <w:ind w:leftChars="600" w:left="600"/>
    </w:pPr>
  </w:style>
  <w:style w:type="paragraph" w:customStyle="1" w:styleId="62">
    <w:name w:val="段落樣式6"/>
    <w:basedOn w:val="52"/>
    <w:qFormat/>
    <w:rsid w:val="00181404"/>
    <w:pPr>
      <w:ind w:leftChars="700" w:left="700"/>
    </w:pPr>
  </w:style>
  <w:style w:type="paragraph" w:customStyle="1" w:styleId="72">
    <w:name w:val="段落樣式7"/>
    <w:basedOn w:val="62"/>
    <w:qFormat/>
    <w:rsid w:val="00181404"/>
    <w:pPr>
      <w:ind w:leftChars="800" w:left="800"/>
    </w:pPr>
  </w:style>
  <w:style w:type="paragraph" w:customStyle="1" w:styleId="82">
    <w:name w:val="段落樣式8"/>
    <w:basedOn w:val="72"/>
    <w:qFormat/>
    <w:rsid w:val="00181404"/>
    <w:pPr>
      <w:ind w:leftChars="900" w:left="900"/>
    </w:pPr>
  </w:style>
  <w:style w:type="paragraph" w:customStyle="1" w:styleId="a0">
    <w:name w:val="附表樣式"/>
    <w:basedOn w:val="a6"/>
    <w:qFormat/>
    <w:rsid w:val="00181404"/>
    <w:pPr>
      <w:keepNext/>
      <w:numPr>
        <w:numId w:val="12"/>
      </w:numPr>
      <w:outlineLvl w:val="0"/>
    </w:pPr>
    <w:rPr>
      <w:kern w:val="32"/>
    </w:rPr>
  </w:style>
  <w:style w:type="paragraph" w:styleId="af4">
    <w:name w:val="Body Text Indent"/>
    <w:basedOn w:val="a6"/>
    <w:link w:val="af5"/>
    <w:semiHidden/>
    <w:rsid w:val="00181404"/>
    <w:pPr>
      <w:ind w:left="698" w:hangingChars="200" w:hanging="698"/>
    </w:pPr>
  </w:style>
  <w:style w:type="paragraph" w:customStyle="1" w:styleId="af6">
    <w:name w:val="調查報告"/>
    <w:basedOn w:val="ac"/>
    <w:rsid w:val="00181404"/>
    <w:pPr>
      <w:adjustRightInd w:val="0"/>
      <w:spacing w:before="0"/>
      <w:ind w:left="0" w:firstLine="0"/>
      <w:jc w:val="center"/>
    </w:pPr>
    <w:rPr>
      <w:b/>
      <w:snapToGrid/>
      <w:spacing w:val="200"/>
      <w:kern w:val="0"/>
      <w:sz w:val="40"/>
    </w:rPr>
  </w:style>
  <w:style w:type="paragraph" w:customStyle="1" w:styleId="14">
    <w:name w:val="表格14"/>
    <w:basedOn w:val="a6"/>
    <w:rsid w:val="00181404"/>
    <w:pPr>
      <w:adjustRightInd w:val="0"/>
      <w:snapToGrid w:val="0"/>
      <w:spacing w:line="360" w:lineRule="exact"/>
    </w:pPr>
    <w:rPr>
      <w:snapToGrid w:val="0"/>
      <w:spacing w:val="-14"/>
      <w:kern w:val="0"/>
      <w:sz w:val="28"/>
    </w:rPr>
  </w:style>
  <w:style w:type="paragraph" w:customStyle="1" w:styleId="a">
    <w:name w:val="附圖樣式"/>
    <w:basedOn w:val="a6"/>
    <w:qFormat/>
    <w:rsid w:val="00181404"/>
    <w:pPr>
      <w:keepNext/>
      <w:numPr>
        <w:numId w:val="13"/>
      </w:numPr>
      <w:outlineLvl w:val="0"/>
    </w:pPr>
    <w:rPr>
      <w:kern w:val="32"/>
    </w:rPr>
  </w:style>
  <w:style w:type="paragraph" w:styleId="af7">
    <w:name w:val="footer"/>
    <w:basedOn w:val="a6"/>
    <w:link w:val="af8"/>
    <w:semiHidden/>
    <w:rsid w:val="00181404"/>
    <w:pPr>
      <w:tabs>
        <w:tab w:val="center" w:pos="4153"/>
        <w:tab w:val="right" w:pos="8306"/>
      </w:tabs>
      <w:snapToGrid w:val="0"/>
    </w:pPr>
    <w:rPr>
      <w:sz w:val="20"/>
    </w:rPr>
  </w:style>
  <w:style w:type="paragraph" w:styleId="af9">
    <w:name w:val="table of figures"/>
    <w:basedOn w:val="a6"/>
    <w:next w:val="a6"/>
    <w:semiHidden/>
    <w:rsid w:val="00181404"/>
    <w:pPr>
      <w:ind w:left="400" w:hangingChars="400" w:hanging="400"/>
    </w:pPr>
  </w:style>
  <w:style w:type="paragraph" w:customStyle="1" w:styleId="140">
    <w:name w:val="表格標題14"/>
    <w:basedOn w:val="a6"/>
    <w:rsid w:val="00181404"/>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181404"/>
    <w:pPr>
      <w:keepNext/>
      <w:widowControl w:val="0"/>
      <w:numPr>
        <w:numId w:val="10"/>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18140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181404"/>
    <w:pPr>
      <w:numPr>
        <w:numId w:val="1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181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181404"/>
    <w:pPr>
      <w:spacing w:line="240" w:lineRule="exact"/>
    </w:pPr>
    <w:rPr>
      <w:sz w:val="24"/>
      <w:szCs w:val="24"/>
    </w:rPr>
  </w:style>
  <w:style w:type="paragraph" w:customStyle="1" w:styleId="121">
    <w:name w:val="表格12"/>
    <w:basedOn w:val="14"/>
    <w:rsid w:val="00181404"/>
    <w:pPr>
      <w:spacing w:line="300" w:lineRule="exact"/>
    </w:pPr>
    <w:rPr>
      <w:sz w:val="24"/>
      <w:szCs w:val="24"/>
    </w:rPr>
  </w:style>
  <w:style w:type="paragraph" w:customStyle="1" w:styleId="a4">
    <w:name w:val="附錄"/>
    <w:basedOn w:val="a6"/>
    <w:qFormat/>
    <w:rsid w:val="00181404"/>
    <w:pPr>
      <w:keepNext/>
      <w:numPr>
        <w:numId w:val="14"/>
      </w:numPr>
      <w:outlineLvl w:val="0"/>
    </w:pPr>
    <w:rPr>
      <w:kern w:val="32"/>
    </w:rPr>
  </w:style>
  <w:style w:type="paragraph" w:styleId="afc">
    <w:name w:val="List Paragraph"/>
    <w:basedOn w:val="a6"/>
    <w:uiPriority w:val="34"/>
    <w:qFormat/>
    <w:rsid w:val="00181404"/>
    <w:pPr>
      <w:ind w:leftChars="200" w:left="480"/>
    </w:pPr>
  </w:style>
  <w:style w:type="paragraph" w:styleId="afd">
    <w:name w:val="Balloon Text"/>
    <w:basedOn w:val="a6"/>
    <w:link w:val="afe"/>
    <w:uiPriority w:val="99"/>
    <w:semiHidden/>
    <w:unhideWhenUsed/>
    <w:rsid w:val="00181404"/>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181404"/>
    <w:rPr>
      <w:rFonts w:asciiTheme="majorHAnsi" w:eastAsiaTheme="majorEastAsia" w:hAnsiTheme="majorHAnsi" w:cstheme="majorBidi"/>
      <w:kern w:val="2"/>
      <w:sz w:val="18"/>
      <w:szCs w:val="18"/>
    </w:rPr>
  </w:style>
  <w:style w:type="paragraph" w:customStyle="1" w:styleId="a5">
    <w:name w:val="照片標題"/>
    <w:qFormat/>
    <w:rsid w:val="00181404"/>
    <w:pPr>
      <w:numPr>
        <w:numId w:val="15"/>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181404"/>
    <w:pPr>
      <w:keepNext/>
      <w:numPr>
        <w:numId w:val="11"/>
      </w:numPr>
      <w:outlineLvl w:val="0"/>
    </w:pPr>
    <w:rPr>
      <w:kern w:val="32"/>
    </w:rPr>
  </w:style>
  <w:style w:type="character" w:customStyle="1" w:styleId="90">
    <w:name w:val="標題 9 字元"/>
    <w:basedOn w:val="a7"/>
    <w:link w:val="9"/>
    <w:uiPriority w:val="9"/>
    <w:rsid w:val="00181404"/>
    <w:rPr>
      <w:rFonts w:ascii="標楷體" w:eastAsia="標楷體" w:hAnsiTheme="majorHAnsi" w:cstheme="majorBidi"/>
      <w:kern w:val="32"/>
      <w:sz w:val="32"/>
      <w:szCs w:val="36"/>
    </w:rPr>
  </w:style>
  <w:style w:type="paragraph" w:customStyle="1" w:styleId="92">
    <w:name w:val="段落樣式9"/>
    <w:basedOn w:val="82"/>
    <w:qFormat/>
    <w:rsid w:val="00181404"/>
    <w:pPr>
      <w:ind w:leftChars="1000" w:left="1000"/>
    </w:pPr>
  </w:style>
  <w:style w:type="paragraph" w:styleId="aff">
    <w:name w:val="Plain Text"/>
    <w:basedOn w:val="a6"/>
    <w:link w:val="aff0"/>
    <w:uiPriority w:val="99"/>
    <w:semiHidden/>
    <w:unhideWhenUsed/>
    <w:rsid w:val="00181404"/>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181404"/>
    <w:rPr>
      <w:rFonts w:ascii="Calibri" w:eastAsia="標楷體" w:hAnsi="Courier New" w:cs="Courier New"/>
      <w:color w:val="244061" w:themeColor="accent1" w:themeShade="80"/>
      <w:sz w:val="28"/>
      <w:szCs w:val="24"/>
    </w:rPr>
  </w:style>
  <w:style w:type="character" w:customStyle="1" w:styleId="21">
    <w:name w:val="標題 2 字元"/>
    <w:basedOn w:val="a7"/>
    <w:link w:val="2"/>
    <w:rsid w:val="00181404"/>
    <w:rPr>
      <w:rFonts w:ascii="標楷體" w:eastAsia="標楷體" w:hAnsi="Arial"/>
      <w:bCs/>
      <w:kern w:val="32"/>
      <w:sz w:val="32"/>
      <w:szCs w:val="48"/>
    </w:rPr>
  </w:style>
  <w:style w:type="character" w:customStyle="1" w:styleId="31">
    <w:name w:val="標題 3 字元"/>
    <w:basedOn w:val="a7"/>
    <w:link w:val="3"/>
    <w:rsid w:val="00181404"/>
    <w:rPr>
      <w:rFonts w:ascii="標楷體" w:eastAsia="標楷體" w:hAnsi="Arial"/>
      <w:bCs/>
      <w:kern w:val="32"/>
      <w:sz w:val="32"/>
      <w:szCs w:val="36"/>
    </w:rPr>
  </w:style>
  <w:style w:type="character" w:customStyle="1" w:styleId="40">
    <w:name w:val="標題 4 字元"/>
    <w:basedOn w:val="a7"/>
    <w:link w:val="4"/>
    <w:rsid w:val="00181404"/>
    <w:rPr>
      <w:rFonts w:ascii="標楷體" w:eastAsia="標楷體" w:hAnsi="Arial"/>
      <w:kern w:val="32"/>
      <w:sz w:val="32"/>
      <w:szCs w:val="36"/>
    </w:rPr>
  </w:style>
  <w:style w:type="paragraph" w:styleId="aff1">
    <w:name w:val="footnote text"/>
    <w:basedOn w:val="a6"/>
    <w:link w:val="aff2"/>
    <w:unhideWhenUsed/>
    <w:rsid w:val="00181404"/>
    <w:pPr>
      <w:snapToGrid w:val="0"/>
      <w:jc w:val="left"/>
    </w:pPr>
    <w:rPr>
      <w:sz w:val="20"/>
    </w:rPr>
  </w:style>
  <w:style w:type="character" w:customStyle="1" w:styleId="aff2">
    <w:name w:val="註腳文字 字元"/>
    <w:basedOn w:val="a7"/>
    <w:link w:val="aff1"/>
    <w:rsid w:val="00181404"/>
    <w:rPr>
      <w:rFonts w:ascii="標楷體" w:eastAsia="標楷體"/>
      <w:kern w:val="2"/>
    </w:rPr>
  </w:style>
  <w:style w:type="character" w:styleId="aff3">
    <w:name w:val="footnote reference"/>
    <w:basedOn w:val="a7"/>
    <w:unhideWhenUsed/>
    <w:rsid w:val="00181404"/>
    <w:rPr>
      <w:vertAlign w:val="superscript"/>
    </w:rPr>
  </w:style>
  <w:style w:type="paragraph" w:customStyle="1" w:styleId="10">
    <w:name w:val="樣式1"/>
    <w:basedOn w:val="afc"/>
    <w:link w:val="15"/>
    <w:qFormat/>
    <w:rsid w:val="00E55229"/>
    <w:pPr>
      <w:numPr>
        <w:numId w:val="3"/>
      </w:numPr>
      <w:overflowPunct/>
      <w:autoSpaceDE/>
      <w:autoSpaceDN/>
      <w:spacing w:line="440" w:lineRule="exact"/>
      <w:ind w:leftChars="0" w:left="0"/>
    </w:pPr>
    <w:rPr>
      <w:rFonts w:hAnsi="標楷體"/>
      <w:szCs w:val="24"/>
    </w:rPr>
  </w:style>
  <w:style w:type="paragraph" w:customStyle="1" w:styleId="20">
    <w:name w:val="樣式2"/>
    <w:basedOn w:val="afc"/>
    <w:link w:val="24"/>
    <w:qFormat/>
    <w:rsid w:val="00E55229"/>
    <w:pPr>
      <w:numPr>
        <w:numId w:val="4"/>
      </w:numPr>
      <w:overflowPunct/>
      <w:autoSpaceDE/>
      <w:autoSpaceDN/>
      <w:spacing w:line="440" w:lineRule="exact"/>
      <w:ind w:leftChars="0" w:left="1106" w:hanging="624"/>
    </w:pPr>
    <w:rPr>
      <w:rFonts w:hAnsi="標楷體"/>
      <w:color w:val="0000FF"/>
      <w:szCs w:val="24"/>
    </w:rPr>
  </w:style>
  <w:style w:type="character" w:customStyle="1" w:styleId="15">
    <w:name w:val="樣式1 字元"/>
    <w:basedOn w:val="a7"/>
    <w:link w:val="10"/>
    <w:rsid w:val="00E55229"/>
    <w:rPr>
      <w:rFonts w:ascii="標楷體" w:eastAsia="標楷體" w:hAnsi="標楷體"/>
      <w:kern w:val="2"/>
      <w:sz w:val="32"/>
      <w:szCs w:val="24"/>
    </w:rPr>
  </w:style>
  <w:style w:type="character" w:customStyle="1" w:styleId="24">
    <w:name w:val="樣式2 字元"/>
    <w:basedOn w:val="a7"/>
    <w:link w:val="20"/>
    <w:rsid w:val="00E55229"/>
    <w:rPr>
      <w:rFonts w:ascii="標楷體" w:eastAsia="標楷體" w:hAnsi="標楷體"/>
      <w:color w:val="0000FF"/>
      <w:kern w:val="2"/>
      <w:sz w:val="32"/>
      <w:szCs w:val="24"/>
    </w:rPr>
  </w:style>
  <w:style w:type="character" w:customStyle="1" w:styleId="50">
    <w:name w:val="標題 5 字元"/>
    <w:basedOn w:val="a7"/>
    <w:link w:val="5"/>
    <w:rsid w:val="00181404"/>
    <w:rPr>
      <w:rFonts w:ascii="標楷體" w:eastAsia="標楷體" w:hAnsi="Arial"/>
      <w:bCs/>
      <w:kern w:val="32"/>
      <w:sz w:val="32"/>
      <w:szCs w:val="36"/>
    </w:rPr>
  </w:style>
  <w:style w:type="character" w:customStyle="1" w:styleId="60">
    <w:name w:val="標題 6 字元"/>
    <w:basedOn w:val="a7"/>
    <w:link w:val="6"/>
    <w:rsid w:val="00181404"/>
    <w:rPr>
      <w:rFonts w:ascii="標楷體" w:eastAsia="標楷體" w:hAnsi="Arial"/>
      <w:kern w:val="32"/>
      <w:sz w:val="32"/>
      <w:szCs w:val="36"/>
    </w:rPr>
  </w:style>
  <w:style w:type="paragraph" w:customStyle="1" w:styleId="30">
    <w:name w:val="樣式3"/>
    <w:basedOn w:val="afc"/>
    <w:link w:val="34"/>
    <w:qFormat/>
    <w:rsid w:val="00442B63"/>
    <w:pPr>
      <w:numPr>
        <w:ilvl w:val="1"/>
        <w:numId w:val="5"/>
      </w:numPr>
      <w:overflowPunct/>
      <w:autoSpaceDE/>
      <w:autoSpaceDN/>
      <w:spacing w:line="440" w:lineRule="exact"/>
      <w:ind w:leftChars="0" w:left="1304" w:hanging="340"/>
    </w:pPr>
    <w:rPr>
      <w:rFonts w:hAnsi="標楷體"/>
      <w:szCs w:val="24"/>
    </w:rPr>
  </w:style>
  <w:style w:type="character" w:customStyle="1" w:styleId="34">
    <w:name w:val="樣式3 字元"/>
    <w:basedOn w:val="a7"/>
    <w:link w:val="30"/>
    <w:rsid w:val="00442B63"/>
    <w:rPr>
      <w:rFonts w:ascii="標楷體" w:eastAsia="標楷體" w:hAnsi="標楷體"/>
      <w:kern w:val="2"/>
      <w:sz w:val="32"/>
      <w:szCs w:val="24"/>
    </w:rPr>
  </w:style>
  <w:style w:type="paragraph" w:styleId="aff4">
    <w:name w:val="Body Text"/>
    <w:basedOn w:val="a6"/>
    <w:link w:val="aff5"/>
    <w:rsid w:val="00181404"/>
    <w:pPr>
      <w:overflowPunct/>
      <w:autoSpaceDE/>
      <w:autoSpaceDN/>
      <w:spacing w:after="120"/>
      <w:jc w:val="left"/>
    </w:pPr>
    <w:rPr>
      <w:rFonts w:ascii="Times New Roman" w:eastAsia="新細明體"/>
      <w:sz w:val="24"/>
      <w:szCs w:val="24"/>
    </w:rPr>
  </w:style>
  <w:style w:type="character" w:customStyle="1" w:styleId="aff5">
    <w:name w:val="本文 字元"/>
    <w:basedOn w:val="a7"/>
    <w:link w:val="aff4"/>
    <w:rsid w:val="00181404"/>
    <w:rPr>
      <w:kern w:val="2"/>
      <w:sz w:val="24"/>
      <w:szCs w:val="24"/>
    </w:rPr>
  </w:style>
  <w:style w:type="character" w:styleId="aff6">
    <w:name w:val="Book Title"/>
    <w:basedOn w:val="a7"/>
    <w:uiPriority w:val="33"/>
    <w:qFormat/>
    <w:rsid w:val="0055179E"/>
    <w:rPr>
      <w:b/>
      <w:bCs/>
      <w:smallCaps/>
      <w:spacing w:val="5"/>
    </w:rPr>
  </w:style>
  <w:style w:type="paragraph" w:styleId="Web">
    <w:name w:val="Normal (Web)"/>
    <w:basedOn w:val="a6"/>
    <w:uiPriority w:val="99"/>
    <w:semiHidden/>
    <w:unhideWhenUsed/>
    <w:rsid w:val="003279B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styleId="aff7">
    <w:name w:val="Light Shading"/>
    <w:basedOn w:val="a8"/>
    <w:uiPriority w:val="60"/>
    <w:rsid w:val="000371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5">
    <w:name w:val="本文縮排 字元"/>
    <w:basedOn w:val="a7"/>
    <w:link w:val="af4"/>
    <w:semiHidden/>
    <w:rsid w:val="00181404"/>
    <w:rPr>
      <w:rFonts w:ascii="標楷體" w:eastAsia="標楷體"/>
      <w:kern w:val="2"/>
      <w:sz w:val="32"/>
    </w:rPr>
  </w:style>
  <w:style w:type="paragraph" w:styleId="25">
    <w:name w:val="Body Text Indent 2"/>
    <w:basedOn w:val="a6"/>
    <w:link w:val="26"/>
    <w:uiPriority w:val="99"/>
    <w:semiHidden/>
    <w:unhideWhenUsed/>
    <w:rsid w:val="00181404"/>
    <w:pPr>
      <w:spacing w:after="120" w:line="480" w:lineRule="auto"/>
      <w:ind w:leftChars="200" w:left="480"/>
    </w:pPr>
  </w:style>
  <w:style w:type="character" w:customStyle="1" w:styleId="26">
    <w:name w:val="本文縮排 2 字元"/>
    <w:basedOn w:val="a7"/>
    <w:link w:val="25"/>
    <w:uiPriority w:val="99"/>
    <w:semiHidden/>
    <w:rsid w:val="00181404"/>
    <w:rPr>
      <w:rFonts w:ascii="標楷體" w:eastAsia="標楷體"/>
      <w:kern w:val="2"/>
      <w:sz w:val="32"/>
    </w:rPr>
  </w:style>
  <w:style w:type="character" w:customStyle="1" w:styleId="ad">
    <w:name w:val="章節附註文字 字元"/>
    <w:basedOn w:val="a7"/>
    <w:link w:val="ac"/>
    <w:semiHidden/>
    <w:rsid w:val="00181404"/>
    <w:rPr>
      <w:rFonts w:ascii="標楷體" w:eastAsia="標楷體"/>
      <w:snapToGrid w:val="0"/>
      <w:spacing w:val="10"/>
      <w:kern w:val="2"/>
      <w:sz w:val="32"/>
    </w:rPr>
  </w:style>
  <w:style w:type="character" w:customStyle="1" w:styleId="af8">
    <w:name w:val="頁尾 字元"/>
    <w:basedOn w:val="a7"/>
    <w:link w:val="af7"/>
    <w:semiHidden/>
    <w:rsid w:val="00181404"/>
    <w:rPr>
      <w:rFonts w:ascii="標楷體" w:eastAsia="標楷體"/>
      <w:kern w:val="2"/>
    </w:rPr>
  </w:style>
  <w:style w:type="character" w:customStyle="1" w:styleId="af0">
    <w:name w:val="頁首 字元"/>
    <w:basedOn w:val="a7"/>
    <w:link w:val="af"/>
    <w:semiHidden/>
    <w:rsid w:val="00181404"/>
    <w:rPr>
      <w:rFonts w:ascii="標楷體" w:eastAsia="標楷體"/>
      <w:kern w:val="2"/>
    </w:rPr>
  </w:style>
  <w:style w:type="character" w:customStyle="1" w:styleId="11">
    <w:name w:val="標題 1 字元"/>
    <w:basedOn w:val="a7"/>
    <w:link w:val="1"/>
    <w:rsid w:val="00181404"/>
    <w:rPr>
      <w:rFonts w:ascii="標楷體" w:eastAsia="標楷體" w:hAnsi="Arial"/>
      <w:bCs/>
      <w:kern w:val="32"/>
      <w:sz w:val="32"/>
      <w:szCs w:val="52"/>
    </w:rPr>
  </w:style>
  <w:style w:type="character" w:customStyle="1" w:styleId="70">
    <w:name w:val="標題 7 字元"/>
    <w:basedOn w:val="a7"/>
    <w:link w:val="7"/>
    <w:rsid w:val="00181404"/>
    <w:rPr>
      <w:rFonts w:ascii="標楷體" w:eastAsia="標楷體" w:hAnsi="Arial"/>
      <w:bCs/>
      <w:kern w:val="32"/>
      <w:sz w:val="32"/>
      <w:szCs w:val="36"/>
    </w:rPr>
  </w:style>
  <w:style w:type="character" w:customStyle="1" w:styleId="80">
    <w:name w:val="標題 8 字元"/>
    <w:basedOn w:val="a7"/>
    <w:link w:val="8"/>
    <w:rsid w:val="00181404"/>
    <w:rPr>
      <w:rFonts w:ascii="標楷體" w:eastAsia="標楷體" w:hAnsi="Arial"/>
      <w:kern w:val="32"/>
      <w:sz w:val="32"/>
      <w:szCs w:val="36"/>
    </w:rPr>
  </w:style>
  <w:style w:type="character" w:customStyle="1" w:styleId="ab">
    <w:name w:val="簽名 字元"/>
    <w:basedOn w:val="a7"/>
    <w:link w:val="aa"/>
    <w:semiHidden/>
    <w:rsid w:val="00181404"/>
    <w:rPr>
      <w:rFonts w:ascii="標楷體" w:eastAsia="標楷體"/>
      <w:b/>
      <w:snapToGrid w:val="0"/>
      <w:spacing w:val="10"/>
      <w:kern w:val="2"/>
      <w:sz w:val="36"/>
    </w:rPr>
  </w:style>
  <w:style w:type="character" w:styleId="aff8">
    <w:name w:val="Emphasis"/>
    <w:basedOn w:val="a7"/>
    <w:uiPriority w:val="20"/>
    <w:qFormat/>
    <w:rsid w:val="00A71BFD"/>
    <w:rPr>
      <w:i/>
      <w:iCs/>
    </w:rPr>
  </w:style>
  <w:style w:type="character" w:styleId="aff9">
    <w:name w:val="annotation reference"/>
    <w:basedOn w:val="a7"/>
    <w:uiPriority w:val="99"/>
    <w:semiHidden/>
    <w:unhideWhenUsed/>
    <w:rsid w:val="002D4147"/>
    <w:rPr>
      <w:sz w:val="18"/>
      <w:szCs w:val="18"/>
    </w:rPr>
  </w:style>
  <w:style w:type="paragraph" w:styleId="affa">
    <w:name w:val="annotation text"/>
    <w:basedOn w:val="a6"/>
    <w:link w:val="affb"/>
    <w:uiPriority w:val="99"/>
    <w:semiHidden/>
    <w:unhideWhenUsed/>
    <w:rsid w:val="002D4147"/>
    <w:pPr>
      <w:jc w:val="left"/>
    </w:pPr>
  </w:style>
  <w:style w:type="character" w:customStyle="1" w:styleId="affb">
    <w:name w:val="註解文字 字元"/>
    <w:basedOn w:val="a7"/>
    <w:link w:val="affa"/>
    <w:uiPriority w:val="99"/>
    <w:semiHidden/>
    <w:rsid w:val="002D4147"/>
    <w:rPr>
      <w:rFonts w:ascii="標楷體" w:eastAsia="標楷體"/>
      <w:kern w:val="2"/>
      <w:sz w:val="32"/>
    </w:rPr>
  </w:style>
  <w:style w:type="paragraph" w:styleId="affc">
    <w:name w:val="annotation subject"/>
    <w:basedOn w:val="affa"/>
    <w:next w:val="affa"/>
    <w:link w:val="affd"/>
    <w:uiPriority w:val="99"/>
    <w:semiHidden/>
    <w:unhideWhenUsed/>
    <w:rsid w:val="002D4147"/>
    <w:rPr>
      <w:b/>
      <w:bCs/>
    </w:rPr>
  </w:style>
  <w:style w:type="character" w:customStyle="1" w:styleId="affd">
    <w:name w:val="註解主旨 字元"/>
    <w:basedOn w:val="affb"/>
    <w:link w:val="affc"/>
    <w:uiPriority w:val="99"/>
    <w:semiHidden/>
    <w:rsid w:val="002D4147"/>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4902">
      <w:bodyDiv w:val="1"/>
      <w:marLeft w:val="0"/>
      <w:marRight w:val="0"/>
      <w:marTop w:val="0"/>
      <w:marBottom w:val="0"/>
      <w:divBdr>
        <w:top w:val="none" w:sz="0" w:space="0" w:color="auto"/>
        <w:left w:val="none" w:sz="0" w:space="0" w:color="auto"/>
        <w:bottom w:val="none" w:sz="0" w:space="0" w:color="auto"/>
        <w:right w:val="none" w:sz="0" w:space="0" w:color="auto"/>
      </w:divBdr>
      <w:divsChild>
        <w:div w:id="521943705">
          <w:marLeft w:val="0"/>
          <w:marRight w:val="0"/>
          <w:marTop w:val="0"/>
          <w:marBottom w:val="0"/>
          <w:divBdr>
            <w:top w:val="none" w:sz="0" w:space="0" w:color="auto"/>
            <w:left w:val="none" w:sz="0" w:space="0" w:color="auto"/>
            <w:bottom w:val="none" w:sz="0" w:space="0" w:color="auto"/>
            <w:right w:val="none" w:sz="0" w:space="0" w:color="auto"/>
          </w:divBdr>
        </w:div>
      </w:divsChild>
    </w:div>
    <w:div w:id="419758794">
      <w:bodyDiv w:val="1"/>
      <w:marLeft w:val="0"/>
      <w:marRight w:val="0"/>
      <w:marTop w:val="0"/>
      <w:marBottom w:val="0"/>
      <w:divBdr>
        <w:top w:val="none" w:sz="0" w:space="0" w:color="auto"/>
        <w:left w:val="none" w:sz="0" w:space="0" w:color="auto"/>
        <w:bottom w:val="none" w:sz="0" w:space="0" w:color="auto"/>
        <w:right w:val="none" w:sz="0" w:space="0" w:color="auto"/>
      </w:divBdr>
    </w:div>
    <w:div w:id="575285231">
      <w:bodyDiv w:val="1"/>
      <w:marLeft w:val="0"/>
      <w:marRight w:val="0"/>
      <w:marTop w:val="0"/>
      <w:marBottom w:val="0"/>
      <w:divBdr>
        <w:top w:val="none" w:sz="0" w:space="0" w:color="auto"/>
        <w:left w:val="none" w:sz="0" w:space="0" w:color="auto"/>
        <w:bottom w:val="none" w:sz="0" w:space="0" w:color="auto"/>
        <w:right w:val="none" w:sz="0" w:space="0" w:color="auto"/>
      </w:divBdr>
    </w:div>
    <w:div w:id="670572698">
      <w:bodyDiv w:val="1"/>
      <w:marLeft w:val="0"/>
      <w:marRight w:val="0"/>
      <w:marTop w:val="0"/>
      <w:marBottom w:val="0"/>
      <w:divBdr>
        <w:top w:val="none" w:sz="0" w:space="0" w:color="auto"/>
        <w:left w:val="none" w:sz="0" w:space="0" w:color="auto"/>
        <w:bottom w:val="none" w:sz="0" w:space="0" w:color="auto"/>
        <w:right w:val="none" w:sz="0" w:space="0" w:color="auto"/>
      </w:divBdr>
    </w:div>
    <w:div w:id="720401699">
      <w:bodyDiv w:val="1"/>
      <w:marLeft w:val="0"/>
      <w:marRight w:val="0"/>
      <w:marTop w:val="0"/>
      <w:marBottom w:val="0"/>
      <w:divBdr>
        <w:top w:val="none" w:sz="0" w:space="0" w:color="auto"/>
        <w:left w:val="none" w:sz="0" w:space="0" w:color="auto"/>
        <w:bottom w:val="none" w:sz="0" w:space="0" w:color="auto"/>
        <w:right w:val="none" w:sz="0" w:space="0" w:color="auto"/>
      </w:divBdr>
      <w:divsChild>
        <w:div w:id="646283259">
          <w:marLeft w:val="-225"/>
          <w:marRight w:val="-225"/>
          <w:marTop w:val="0"/>
          <w:marBottom w:val="0"/>
          <w:divBdr>
            <w:top w:val="none" w:sz="0" w:space="0" w:color="auto"/>
            <w:left w:val="none" w:sz="0" w:space="0" w:color="auto"/>
            <w:bottom w:val="none" w:sz="0" w:space="0" w:color="auto"/>
            <w:right w:val="none" w:sz="0" w:space="0" w:color="auto"/>
          </w:divBdr>
          <w:divsChild>
            <w:div w:id="473566098">
              <w:marLeft w:val="0"/>
              <w:marRight w:val="240"/>
              <w:marTop w:val="0"/>
              <w:marBottom w:val="0"/>
              <w:divBdr>
                <w:top w:val="none" w:sz="0" w:space="0" w:color="auto"/>
                <w:left w:val="none" w:sz="0" w:space="0" w:color="auto"/>
                <w:bottom w:val="none" w:sz="0" w:space="0" w:color="auto"/>
                <w:right w:val="none" w:sz="0" w:space="0" w:color="auto"/>
              </w:divBdr>
            </w:div>
            <w:div w:id="1682319183">
              <w:marLeft w:val="0"/>
              <w:marRight w:val="0"/>
              <w:marTop w:val="0"/>
              <w:marBottom w:val="0"/>
              <w:divBdr>
                <w:top w:val="none" w:sz="0" w:space="0" w:color="auto"/>
                <w:left w:val="none" w:sz="0" w:space="0" w:color="auto"/>
                <w:bottom w:val="none" w:sz="0" w:space="0" w:color="auto"/>
                <w:right w:val="none" w:sz="0" w:space="0" w:color="auto"/>
              </w:divBdr>
            </w:div>
          </w:divsChild>
        </w:div>
        <w:div w:id="705908386">
          <w:marLeft w:val="-225"/>
          <w:marRight w:val="-225"/>
          <w:marTop w:val="0"/>
          <w:marBottom w:val="0"/>
          <w:divBdr>
            <w:top w:val="none" w:sz="0" w:space="0" w:color="auto"/>
            <w:left w:val="none" w:sz="0" w:space="0" w:color="auto"/>
            <w:bottom w:val="none" w:sz="0" w:space="0" w:color="auto"/>
            <w:right w:val="none" w:sz="0" w:space="0" w:color="auto"/>
          </w:divBdr>
          <w:divsChild>
            <w:div w:id="1898278925">
              <w:marLeft w:val="0"/>
              <w:marRight w:val="240"/>
              <w:marTop w:val="0"/>
              <w:marBottom w:val="0"/>
              <w:divBdr>
                <w:top w:val="none" w:sz="0" w:space="0" w:color="auto"/>
                <w:left w:val="none" w:sz="0" w:space="0" w:color="auto"/>
                <w:bottom w:val="none" w:sz="0" w:space="0" w:color="auto"/>
                <w:right w:val="none" w:sz="0" w:space="0" w:color="auto"/>
              </w:divBdr>
            </w:div>
            <w:div w:id="10562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1529484">
      <w:bodyDiv w:val="1"/>
      <w:marLeft w:val="0"/>
      <w:marRight w:val="0"/>
      <w:marTop w:val="0"/>
      <w:marBottom w:val="0"/>
      <w:divBdr>
        <w:top w:val="none" w:sz="0" w:space="0" w:color="auto"/>
        <w:left w:val="none" w:sz="0" w:space="0" w:color="auto"/>
        <w:bottom w:val="none" w:sz="0" w:space="0" w:color="auto"/>
        <w:right w:val="none" w:sz="0" w:space="0" w:color="auto"/>
      </w:divBdr>
    </w:div>
    <w:div w:id="953706448">
      <w:bodyDiv w:val="1"/>
      <w:marLeft w:val="0"/>
      <w:marRight w:val="0"/>
      <w:marTop w:val="0"/>
      <w:marBottom w:val="0"/>
      <w:divBdr>
        <w:top w:val="none" w:sz="0" w:space="0" w:color="auto"/>
        <w:left w:val="none" w:sz="0" w:space="0" w:color="auto"/>
        <w:bottom w:val="none" w:sz="0" w:space="0" w:color="auto"/>
        <w:right w:val="none" w:sz="0" w:space="0" w:color="auto"/>
      </w:divBdr>
    </w:div>
    <w:div w:id="1025207865">
      <w:bodyDiv w:val="1"/>
      <w:marLeft w:val="0"/>
      <w:marRight w:val="0"/>
      <w:marTop w:val="0"/>
      <w:marBottom w:val="0"/>
      <w:divBdr>
        <w:top w:val="none" w:sz="0" w:space="0" w:color="auto"/>
        <w:left w:val="none" w:sz="0" w:space="0" w:color="auto"/>
        <w:bottom w:val="none" w:sz="0" w:space="0" w:color="auto"/>
        <w:right w:val="none" w:sz="0" w:space="0" w:color="auto"/>
      </w:divBdr>
    </w:div>
    <w:div w:id="1070615838">
      <w:bodyDiv w:val="1"/>
      <w:marLeft w:val="0"/>
      <w:marRight w:val="0"/>
      <w:marTop w:val="0"/>
      <w:marBottom w:val="0"/>
      <w:divBdr>
        <w:top w:val="none" w:sz="0" w:space="0" w:color="auto"/>
        <w:left w:val="none" w:sz="0" w:space="0" w:color="auto"/>
        <w:bottom w:val="none" w:sz="0" w:space="0" w:color="auto"/>
        <w:right w:val="none" w:sz="0" w:space="0" w:color="auto"/>
      </w:divBdr>
    </w:div>
    <w:div w:id="1289168661">
      <w:bodyDiv w:val="1"/>
      <w:marLeft w:val="0"/>
      <w:marRight w:val="0"/>
      <w:marTop w:val="0"/>
      <w:marBottom w:val="0"/>
      <w:divBdr>
        <w:top w:val="none" w:sz="0" w:space="0" w:color="auto"/>
        <w:left w:val="none" w:sz="0" w:space="0" w:color="auto"/>
        <w:bottom w:val="none" w:sz="0" w:space="0" w:color="auto"/>
        <w:right w:val="none" w:sz="0" w:space="0" w:color="auto"/>
      </w:divBdr>
    </w:div>
    <w:div w:id="1386679826">
      <w:bodyDiv w:val="1"/>
      <w:marLeft w:val="0"/>
      <w:marRight w:val="0"/>
      <w:marTop w:val="0"/>
      <w:marBottom w:val="0"/>
      <w:divBdr>
        <w:top w:val="none" w:sz="0" w:space="0" w:color="auto"/>
        <w:left w:val="none" w:sz="0" w:space="0" w:color="auto"/>
        <w:bottom w:val="none" w:sz="0" w:space="0" w:color="auto"/>
        <w:right w:val="none" w:sz="0" w:space="0" w:color="auto"/>
      </w:divBdr>
    </w:div>
    <w:div w:id="1415863005">
      <w:bodyDiv w:val="1"/>
      <w:marLeft w:val="0"/>
      <w:marRight w:val="0"/>
      <w:marTop w:val="0"/>
      <w:marBottom w:val="0"/>
      <w:divBdr>
        <w:top w:val="none" w:sz="0" w:space="0" w:color="auto"/>
        <w:left w:val="none" w:sz="0" w:space="0" w:color="auto"/>
        <w:bottom w:val="none" w:sz="0" w:space="0" w:color="auto"/>
        <w:right w:val="none" w:sz="0" w:space="0" w:color="auto"/>
      </w:divBdr>
    </w:div>
    <w:div w:id="1739354988">
      <w:bodyDiv w:val="1"/>
      <w:marLeft w:val="0"/>
      <w:marRight w:val="0"/>
      <w:marTop w:val="0"/>
      <w:marBottom w:val="0"/>
      <w:divBdr>
        <w:top w:val="none" w:sz="0" w:space="0" w:color="auto"/>
        <w:left w:val="none" w:sz="0" w:space="0" w:color="auto"/>
        <w:bottom w:val="none" w:sz="0" w:space="0" w:color="auto"/>
        <w:right w:val="none" w:sz="0" w:space="0" w:color="auto"/>
      </w:divBdr>
    </w:div>
    <w:div w:id="1907493250">
      <w:bodyDiv w:val="1"/>
      <w:marLeft w:val="0"/>
      <w:marRight w:val="0"/>
      <w:marTop w:val="0"/>
      <w:marBottom w:val="0"/>
      <w:divBdr>
        <w:top w:val="none" w:sz="0" w:space="0" w:color="auto"/>
        <w:left w:val="none" w:sz="0" w:space="0" w:color="auto"/>
        <w:bottom w:val="none" w:sz="0" w:space="0" w:color="auto"/>
        <w:right w:val="none" w:sz="0" w:space="0" w:color="auto"/>
      </w:divBdr>
    </w:div>
    <w:div w:id="192768991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5A4D7-3DDE-487A-9392-E5A87F2F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26</Pages>
  <Words>2456</Words>
  <Characters>14004</Characters>
  <Application>Microsoft Office Word</Application>
  <DocSecurity>0</DocSecurity>
  <Lines>116</Lines>
  <Paragraphs>32</Paragraphs>
  <ScaleCrop>false</ScaleCrop>
  <Company>cy</Company>
  <LinksUpToDate>false</LinksUpToDate>
  <CharactersWithSpaces>16428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2019-09-02T01:21:00Z</cp:lastPrinted>
  <dcterms:created xsi:type="dcterms:W3CDTF">2019-09-06T08:49:00Z</dcterms:created>
  <dcterms:modified xsi:type="dcterms:W3CDTF">2019-09-06T08:49:00Z</dcterms:modified>
</cp:coreProperties>
</file>