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815A0E" w:rsidRDefault="00D75644" w:rsidP="00F37D7B">
      <w:pPr>
        <w:pStyle w:val="af2"/>
        <w:rPr>
          <w:rFonts w:hAnsi="標楷體"/>
          <w:color w:val="000000" w:themeColor="text1"/>
        </w:rPr>
      </w:pPr>
      <w:r w:rsidRPr="00815A0E">
        <w:rPr>
          <w:rFonts w:hAnsi="標楷體" w:hint="eastAsia"/>
          <w:color w:val="000000" w:themeColor="text1"/>
        </w:rPr>
        <w:t>調查報告</w:t>
      </w:r>
    </w:p>
    <w:p w:rsidR="00E25849" w:rsidRPr="00815A0E" w:rsidRDefault="00E25849" w:rsidP="00A651D2">
      <w:pPr>
        <w:pStyle w:val="1"/>
        <w:ind w:left="2296" w:hanging="2296"/>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815A0E">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r w:rsidR="001C0DA8" w:rsidRPr="00815A0E">
        <w:rPr>
          <w:rFonts w:hAnsi="標楷體"/>
          <w:color w:val="000000" w:themeColor="text1"/>
        </w:rPr>
        <w:fldChar w:fldCharType="begin"/>
      </w:r>
      <w:r w:rsidRPr="00815A0E">
        <w:rPr>
          <w:rFonts w:hAnsi="標楷體"/>
          <w:color w:val="000000" w:themeColor="text1"/>
        </w:rPr>
        <w:instrText xml:space="preserve"> MERGEFIELD </w:instrText>
      </w:r>
      <w:r w:rsidRPr="00815A0E">
        <w:rPr>
          <w:rFonts w:hAnsi="標楷體" w:hint="eastAsia"/>
          <w:color w:val="000000" w:themeColor="text1"/>
        </w:rPr>
        <w:instrText>案由</w:instrText>
      </w:r>
      <w:r w:rsidRPr="00815A0E">
        <w:rPr>
          <w:rFonts w:hAnsi="標楷體"/>
          <w:color w:val="000000" w:themeColor="text1"/>
        </w:rPr>
        <w:instrText xml:space="preserve"> </w:instrText>
      </w:r>
      <w:r w:rsidR="001C0DA8" w:rsidRPr="00815A0E">
        <w:rPr>
          <w:rFonts w:hAnsi="標楷體"/>
          <w:color w:val="000000" w:themeColor="text1"/>
        </w:rPr>
        <w:fldChar w:fldCharType="separate"/>
      </w:r>
      <w:bookmarkEnd w:id="11"/>
      <w:r w:rsidR="000C42DF" w:rsidRPr="00815A0E">
        <w:rPr>
          <w:rFonts w:hAnsi="標楷體" w:hint="eastAsia"/>
          <w:noProof/>
          <w:color w:val="000000" w:themeColor="text1"/>
        </w:rPr>
        <w:t>據訴，為臺灣高等法院臺南分院審理105年度重選上更（二）字第11號，</w:t>
      </w:r>
      <w:r w:rsidR="008F1DA9" w:rsidRPr="00815A0E">
        <w:rPr>
          <w:rFonts w:hAnsi="標楷體" w:hint="eastAsia"/>
          <w:noProof/>
          <w:color w:val="000000" w:themeColor="text1"/>
        </w:rPr>
        <w:t>其</w:t>
      </w:r>
      <w:r w:rsidR="000C42DF" w:rsidRPr="00815A0E">
        <w:rPr>
          <w:rFonts w:hAnsi="標楷體" w:hint="eastAsia"/>
          <w:noProof/>
          <w:color w:val="000000" w:themeColor="text1"/>
        </w:rPr>
        <w:t>涉違反公職人員選舉罷免法案件，因內政部警政署刑事警察局（下稱刑事警察局）實施測謊鑑定人員對證人之圖譜反應未能正確判讀，致未能採為對</w:t>
      </w:r>
      <w:r w:rsidR="008F1DA9" w:rsidRPr="00815A0E">
        <w:rPr>
          <w:rFonts w:hAnsi="標楷體" w:hint="eastAsia"/>
          <w:noProof/>
          <w:color w:val="000000" w:themeColor="text1"/>
        </w:rPr>
        <w:t>其</w:t>
      </w:r>
      <w:r w:rsidR="000C42DF" w:rsidRPr="00815A0E">
        <w:rPr>
          <w:rFonts w:hAnsi="標楷體" w:hint="eastAsia"/>
          <w:noProof/>
          <w:color w:val="000000" w:themeColor="text1"/>
        </w:rPr>
        <w:t>有利之補強證據，而遭有罪判決等情。因測謊鑑定結果常為法院採為補強證據，對判決結果具有關鍵之影響力，究刑事警察局鑑測人員於實施測謊及分析圖譜反應時有無遵守其標準作業程序？法院在審酌系爭測謊鑑定報告時，有無令當事人充分辯論？均有深入了解之必要案。</w:t>
      </w:r>
      <w:bookmarkEnd w:id="10"/>
      <w:r w:rsidR="001C0DA8" w:rsidRPr="00815A0E">
        <w:rPr>
          <w:rFonts w:hAnsi="標楷體"/>
          <w:color w:val="000000" w:themeColor="text1"/>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815A0E" w:rsidRDefault="00E25849" w:rsidP="004E05A1">
      <w:pPr>
        <w:pStyle w:val="1"/>
        <w:ind w:left="2380" w:hanging="2380"/>
        <w:rPr>
          <w:rFonts w:hAnsi="標楷體"/>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815A0E">
        <w:rPr>
          <w:rFonts w:hAnsi="標楷體"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815A0E" w:rsidRDefault="00F12511" w:rsidP="00A639F4">
      <w:pPr>
        <w:pStyle w:val="10"/>
        <w:ind w:left="680" w:firstLine="680"/>
        <w:rPr>
          <w:rFonts w:hAnsi="標楷體"/>
          <w:color w:val="000000" w:themeColor="text1"/>
        </w:rPr>
      </w:pPr>
      <w:bookmarkStart w:id="49" w:name="_Toc524902730"/>
      <w:r w:rsidRPr="00815A0E">
        <w:rPr>
          <w:rFonts w:hAnsi="標楷體" w:hint="eastAsia"/>
          <w:color w:val="000000" w:themeColor="text1"/>
        </w:rPr>
        <w:t>陳訴人因違反公職人員選舉罷免法案件，不服臺灣臺南地方法院民國（下同）</w:t>
      </w:r>
      <w:r w:rsidRPr="00815A0E">
        <w:rPr>
          <w:rFonts w:hAnsi="標楷體"/>
          <w:color w:val="000000" w:themeColor="text1"/>
        </w:rPr>
        <w:t>100</w:t>
      </w:r>
      <w:r w:rsidRPr="00815A0E">
        <w:rPr>
          <w:rFonts w:hAnsi="標楷體" w:hint="eastAsia"/>
          <w:color w:val="000000" w:themeColor="text1"/>
        </w:rPr>
        <w:t>年</w:t>
      </w:r>
      <w:r w:rsidRPr="00815A0E">
        <w:rPr>
          <w:rFonts w:hAnsi="標楷體"/>
          <w:color w:val="000000" w:themeColor="text1"/>
        </w:rPr>
        <w:t>11</w:t>
      </w:r>
      <w:r w:rsidRPr="00815A0E">
        <w:rPr>
          <w:rFonts w:hAnsi="標楷體" w:hint="eastAsia"/>
          <w:color w:val="000000" w:themeColor="text1"/>
        </w:rPr>
        <w:t>月</w:t>
      </w:r>
      <w:r w:rsidRPr="00815A0E">
        <w:rPr>
          <w:rFonts w:hAnsi="標楷體"/>
          <w:color w:val="000000" w:themeColor="text1"/>
        </w:rPr>
        <w:t>8</w:t>
      </w:r>
      <w:r w:rsidRPr="00815A0E">
        <w:rPr>
          <w:rFonts w:hAnsi="標楷體" w:hint="eastAsia"/>
          <w:color w:val="000000" w:themeColor="text1"/>
        </w:rPr>
        <w:t>日100年度選訴字第19號第一審有罪判決（起訴案號：臺灣臺南地方檢察署99年度選偵字第77、94、98、156、182號、99年度偵字第18041號），經被告提起上訴，臺灣高等法院臺南分院（下稱臺南高分院）於102年4月17日以101年度選上訴字第21號判決被告有罪，陳訴人不服上訴第三審，最高法院於103年1月8日以103年度台上字第38號判決撤銷原判決發回更審，臺南高分院再於104年11月5日以臺南高分院103年度選上更(一)字第3號刑事判決仍認定陳訴人有罪，經最高法院於105年3月24日以105年度台上字705號刑事判決第二次發回更審，臺南高分院於106年5月4日以105年度重選上更(二)字第11號判決「李宗富共同犯公職人員選舉罷免法第99條第1項之交付賄賂罪，處有期徒刑3年8月，併科罰金新臺幣280萬元，罰金如易服勞</w:t>
      </w:r>
      <w:r w:rsidRPr="00815A0E">
        <w:rPr>
          <w:rFonts w:hAnsi="標楷體" w:hint="eastAsia"/>
          <w:color w:val="000000" w:themeColor="text1"/>
        </w:rPr>
        <w:lastRenderedPageBreak/>
        <w:t>役，以罰金總額與1年之日數比例折算；褫奪公權4年。扣案之現金新臺幣195,500元沒收。」最高法院於107年3月7日以106年度台上字第2183號判決「上訴意旨置原判決之論敘於不顧，仍執己見，為事實上之爭辯，並對原審採證認事之職權行使，或於判決無影響事項，任意指摘。難認符合首揭法定之第三審上訴要件。此部分上訴違背法律上之程式，應予駁回」等語，上訴不合法駁回確定在案。本院經調閱偵審全卷，業調查完畢</w:t>
      </w:r>
      <w:r w:rsidR="00A63A8A" w:rsidRPr="00815A0E">
        <w:rPr>
          <w:rFonts w:hAnsi="標楷體" w:hint="eastAsia"/>
          <w:color w:val="000000" w:themeColor="text1"/>
        </w:rPr>
        <w:t>，</w:t>
      </w:r>
      <w:r w:rsidR="00FB501B" w:rsidRPr="00815A0E">
        <w:rPr>
          <w:rFonts w:hAnsi="標楷體" w:hint="eastAsia"/>
          <w:color w:val="000000" w:themeColor="text1"/>
        </w:rPr>
        <w:t>調查意見如下：</w:t>
      </w:r>
    </w:p>
    <w:p w:rsidR="00F17AD4" w:rsidRPr="00815A0E" w:rsidRDefault="00F12511" w:rsidP="000B08AE">
      <w:pPr>
        <w:pStyle w:val="2"/>
        <w:rPr>
          <w:rFonts w:hAnsi="標楷體"/>
          <w:b/>
          <w:color w:val="000000" w:themeColor="text1"/>
        </w:rPr>
      </w:pPr>
      <w:bookmarkStart w:id="50" w:name="_Toc421794873"/>
      <w:bookmarkStart w:id="51" w:name="_Toc422834158"/>
      <w:r w:rsidRPr="00815A0E">
        <w:rPr>
          <w:rFonts w:hAnsi="標楷體" w:hint="eastAsia"/>
          <w:b/>
          <w:color w:val="000000" w:themeColor="text1"/>
        </w:rPr>
        <w:t>陳訴人</w:t>
      </w:r>
      <w:r w:rsidR="003307E7" w:rsidRPr="00815A0E">
        <w:rPr>
          <w:rFonts w:hAnsi="標楷體" w:hint="eastAsia"/>
          <w:b/>
          <w:color w:val="000000" w:themeColor="text1"/>
        </w:rPr>
        <w:t>主張原確定判決理由認定</w:t>
      </w:r>
      <w:r w:rsidRPr="00815A0E">
        <w:rPr>
          <w:rFonts w:hAnsi="標楷體" w:hint="eastAsia"/>
          <w:b/>
          <w:color w:val="000000" w:themeColor="text1"/>
        </w:rPr>
        <w:t>陳訴人</w:t>
      </w:r>
      <w:r w:rsidR="003307E7" w:rsidRPr="00815A0E">
        <w:rPr>
          <w:rFonts w:hAnsi="標楷體" w:hint="eastAsia"/>
          <w:b/>
          <w:color w:val="000000" w:themeColor="text1"/>
        </w:rPr>
        <w:t>有無交付</w:t>
      </w:r>
      <w:r w:rsidR="007979B0" w:rsidRPr="00815A0E">
        <w:rPr>
          <w:rFonts w:hAnsi="標楷體" w:hint="eastAsia"/>
          <w:b/>
          <w:color w:val="000000" w:themeColor="text1"/>
        </w:rPr>
        <w:t>新臺幣</w:t>
      </w:r>
      <w:r w:rsidR="003307E7" w:rsidRPr="00815A0E">
        <w:rPr>
          <w:rFonts w:hAnsi="標楷體" w:hint="eastAsia"/>
          <w:b/>
          <w:color w:val="000000" w:themeColor="text1"/>
        </w:rPr>
        <w:t>20萬元予洪進生賄選所採用係屬情況證據，而攸關洪進生證言信用性之</w:t>
      </w:r>
      <w:r w:rsidR="008F284A" w:rsidRPr="00815A0E">
        <w:rPr>
          <w:rFonts w:hAnsi="標楷體" w:hint="eastAsia"/>
          <w:b/>
          <w:color w:val="000000" w:themeColor="text1"/>
        </w:rPr>
        <w:t>測謊鑑定經</w:t>
      </w:r>
      <w:r w:rsidRPr="00815A0E">
        <w:rPr>
          <w:rFonts w:hAnsi="標楷體" w:hint="eastAsia"/>
          <w:b/>
          <w:color w:val="000000" w:themeColor="text1"/>
        </w:rPr>
        <w:t>陳訴人</w:t>
      </w:r>
      <w:r w:rsidR="008F284A" w:rsidRPr="00815A0E">
        <w:rPr>
          <w:rFonts w:hAnsi="標楷體" w:hint="eastAsia"/>
          <w:b/>
          <w:color w:val="000000" w:themeColor="text1"/>
        </w:rPr>
        <w:t>委由</w:t>
      </w:r>
      <w:r w:rsidR="003307E7" w:rsidRPr="00815A0E">
        <w:rPr>
          <w:rFonts w:hAnsi="標楷體" w:hint="eastAsia"/>
          <w:b/>
          <w:color w:val="000000" w:themeColor="text1"/>
        </w:rPr>
        <w:t>李錦明儀測服務有限公司</w:t>
      </w:r>
      <w:r w:rsidR="008F284A" w:rsidRPr="00815A0E">
        <w:rPr>
          <w:rFonts w:hAnsi="標楷體" w:hint="eastAsia"/>
          <w:b/>
          <w:color w:val="000000" w:themeColor="text1"/>
        </w:rPr>
        <w:t>鑑定</w:t>
      </w:r>
      <w:r w:rsidR="003307E7" w:rsidRPr="00815A0E">
        <w:rPr>
          <w:rFonts w:hAnsi="標楷體" w:hint="eastAsia"/>
          <w:b/>
          <w:color w:val="000000" w:themeColor="text1"/>
        </w:rPr>
        <w:t>，認為應由</w:t>
      </w:r>
      <w:r w:rsidR="00253DA9" w:rsidRPr="00815A0E">
        <w:rPr>
          <w:rFonts w:hAnsi="標楷體" w:hint="eastAsia"/>
          <w:b/>
          <w:color w:val="000000" w:themeColor="text1"/>
        </w:rPr>
        <w:t>「</w:t>
      </w:r>
      <w:r w:rsidR="003307E7" w:rsidRPr="00815A0E">
        <w:rPr>
          <w:rFonts w:hAnsi="標楷體" w:hint="eastAsia"/>
          <w:b/>
          <w:color w:val="000000" w:themeColor="text1"/>
        </w:rPr>
        <w:t>無法鑑判</w:t>
      </w:r>
      <w:r w:rsidR="00253DA9" w:rsidRPr="00815A0E">
        <w:rPr>
          <w:rFonts w:hAnsi="標楷體" w:hint="eastAsia"/>
          <w:b/>
          <w:color w:val="000000" w:themeColor="text1"/>
        </w:rPr>
        <w:t>」</w:t>
      </w:r>
      <w:r w:rsidR="003307E7" w:rsidRPr="00815A0E">
        <w:rPr>
          <w:rFonts w:hAnsi="標楷體" w:hint="eastAsia"/>
          <w:b/>
          <w:color w:val="000000" w:themeColor="text1"/>
        </w:rPr>
        <w:t>修正為</w:t>
      </w:r>
      <w:r w:rsidR="00253DA9" w:rsidRPr="00815A0E">
        <w:rPr>
          <w:rFonts w:hAnsi="標楷體" w:hint="eastAsia"/>
          <w:b/>
          <w:color w:val="000000" w:themeColor="text1"/>
        </w:rPr>
        <w:t>「</w:t>
      </w:r>
      <w:r w:rsidR="003307E7" w:rsidRPr="00815A0E">
        <w:rPr>
          <w:rFonts w:hAnsi="標楷體" w:hint="eastAsia"/>
          <w:b/>
          <w:color w:val="000000" w:themeColor="text1"/>
        </w:rPr>
        <w:t>不實反應</w:t>
      </w:r>
      <w:r w:rsidR="00253DA9" w:rsidRPr="00815A0E">
        <w:rPr>
          <w:rFonts w:hAnsi="標楷體" w:hint="eastAsia"/>
          <w:b/>
          <w:color w:val="000000" w:themeColor="text1"/>
        </w:rPr>
        <w:t>」</w:t>
      </w:r>
      <w:r w:rsidR="003307E7" w:rsidRPr="00815A0E">
        <w:rPr>
          <w:rFonts w:hAnsi="標楷體" w:hint="eastAsia"/>
          <w:b/>
          <w:color w:val="000000" w:themeColor="text1"/>
        </w:rPr>
        <w:t>，構成再審事由</w:t>
      </w:r>
      <w:r w:rsidR="00F17AD4" w:rsidRPr="00815A0E">
        <w:rPr>
          <w:rFonts w:hAnsi="標楷體" w:hint="eastAsia"/>
          <w:b/>
          <w:color w:val="000000" w:themeColor="text1"/>
        </w:rPr>
        <w:t>等語</w:t>
      </w:r>
      <w:r w:rsidR="003307E7" w:rsidRPr="00815A0E">
        <w:rPr>
          <w:rFonts w:hAnsi="標楷體" w:hint="eastAsia"/>
          <w:b/>
          <w:color w:val="000000" w:themeColor="text1"/>
        </w:rPr>
        <w:t>，</w:t>
      </w:r>
      <w:r w:rsidR="00F17AD4" w:rsidRPr="00815A0E">
        <w:rPr>
          <w:rFonts w:hAnsi="標楷體" w:hint="eastAsia"/>
          <w:b/>
          <w:color w:val="000000" w:themeColor="text1"/>
        </w:rPr>
        <w:t>經查原確定</w:t>
      </w:r>
      <w:r w:rsidR="000B08AE" w:rsidRPr="00815A0E">
        <w:rPr>
          <w:rFonts w:hAnsi="標楷體" w:hint="eastAsia"/>
          <w:b/>
          <w:color w:val="000000" w:themeColor="text1"/>
        </w:rPr>
        <w:t>判決就內政部警政署刑事警察局之測謊鑑定認符合測謊</w:t>
      </w:r>
      <w:r w:rsidR="0074333C" w:rsidRPr="00815A0E">
        <w:rPr>
          <w:rFonts w:hAnsi="標楷體" w:hint="eastAsia"/>
          <w:b/>
          <w:color w:val="000000" w:themeColor="text1"/>
        </w:rPr>
        <w:t>鑑定5要件</w:t>
      </w:r>
      <w:r w:rsidR="000B08AE" w:rsidRPr="00815A0E">
        <w:rPr>
          <w:rFonts w:hAnsi="標楷體" w:hint="eastAsia"/>
          <w:b/>
          <w:color w:val="000000" w:themeColor="text1"/>
        </w:rPr>
        <w:t>而</w:t>
      </w:r>
      <w:r w:rsidR="00F17AD4" w:rsidRPr="00815A0E">
        <w:rPr>
          <w:rFonts w:hAnsi="標楷體" w:hint="eastAsia"/>
          <w:b/>
          <w:color w:val="000000" w:themeColor="text1"/>
        </w:rPr>
        <w:t>具有證據能力</w:t>
      </w:r>
      <w:r w:rsidR="000B08AE" w:rsidRPr="00815A0E">
        <w:rPr>
          <w:rFonts w:hAnsi="標楷體" w:hint="eastAsia"/>
          <w:b/>
          <w:color w:val="000000" w:themeColor="text1"/>
        </w:rPr>
        <w:t>，</w:t>
      </w:r>
      <w:r w:rsidR="00F17AD4" w:rsidRPr="00815A0E">
        <w:rPr>
          <w:rFonts w:hAnsi="標楷體" w:hint="eastAsia"/>
          <w:b/>
          <w:color w:val="000000" w:themeColor="text1"/>
        </w:rPr>
        <w:t>但</w:t>
      </w:r>
      <w:r w:rsidR="000B08AE" w:rsidRPr="00815A0E">
        <w:rPr>
          <w:rFonts w:hAnsi="標楷體" w:hint="eastAsia"/>
          <w:b/>
          <w:color w:val="000000" w:themeColor="text1"/>
        </w:rPr>
        <w:t>因測謊結果為「無法鑑判」故</w:t>
      </w:r>
      <w:r w:rsidR="00F17AD4" w:rsidRPr="00815A0E">
        <w:rPr>
          <w:rFonts w:hAnsi="標楷體" w:hint="eastAsia"/>
          <w:b/>
          <w:color w:val="000000" w:themeColor="text1"/>
        </w:rPr>
        <w:t>無證明力，</w:t>
      </w:r>
      <w:r w:rsidR="008F284A" w:rsidRPr="00815A0E">
        <w:rPr>
          <w:rFonts w:hAnsi="標楷體" w:hint="eastAsia"/>
          <w:b/>
          <w:color w:val="000000" w:themeColor="text1"/>
        </w:rPr>
        <w:t>所以</w:t>
      </w:r>
      <w:r w:rsidR="00F17AD4" w:rsidRPr="00815A0E">
        <w:rPr>
          <w:rFonts w:hAnsi="標楷體" w:hint="eastAsia"/>
          <w:b/>
          <w:color w:val="000000" w:themeColor="text1"/>
        </w:rPr>
        <w:t>並未採用作為被告有利或不利之證據，</w:t>
      </w:r>
      <w:r w:rsidRPr="00815A0E">
        <w:rPr>
          <w:rFonts w:hAnsi="標楷體" w:hint="eastAsia"/>
          <w:b/>
          <w:color w:val="000000" w:themeColor="text1"/>
        </w:rPr>
        <w:t>陳訴人</w:t>
      </w:r>
      <w:r w:rsidR="008F284A" w:rsidRPr="00815A0E">
        <w:rPr>
          <w:rFonts w:hAnsi="標楷體" w:hint="eastAsia"/>
          <w:b/>
          <w:color w:val="000000" w:themeColor="text1"/>
        </w:rPr>
        <w:t>於</w:t>
      </w:r>
      <w:r w:rsidR="00F17AD4" w:rsidRPr="00815A0E">
        <w:rPr>
          <w:rFonts w:hAnsi="標楷體" w:hint="eastAsia"/>
          <w:b/>
          <w:color w:val="000000" w:themeColor="text1"/>
        </w:rPr>
        <w:t>判決確定後</w:t>
      </w:r>
      <w:r w:rsidR="008F284A" w:rsidRPr="00815A0E">
        <w:rPr>
          <w:rFonts w:hAnsi="標楷體" w:hint="eastAsia"/>
          <w:b/>
          <w:color w:val="000000" w:themeColor="text1"/>
        </w:rPr>
        <w:t>，</w:t>
      </w:r>
      <w:r w:rsidR="00F17AD4" w:rsidRPr="00815A0E">
        <w:rPr>
          <w:rFonts w:hAnsi="標楷體" w:hint="eastAsia"/>
          <w:b/>
          <w:color w:val="000000" w:themeColor="text1"/>
        </w:rPr>
        <w:t>再就同一「測謊圖譜」</w:t>
      </w:r>
      <w:r w:rsidR="008F284A" w:rsidRPr="00815A0E">
        <w:rPr>
          <w:rFonts w:hAnsi="標楷體" w:hint="eastAsia"/>
          <w:b/>
          <w:color w:val="000000" w:themeColor="text1"/>
        </w:rPr>
        <w:t>委由他人</w:t>
      </w:r>
      <w:r w:rsidR="00F17AD4" w:rsidRPr="00815A0E">
        <w:rPr>
          <w:rFonts w:hAnsi="標楷體" w:hint="eastAsia"/>
          <w:b/>
          <w:color w:val="000000" w:themeColor="text1"/>
        </w:rPr>
        <w:t>僅經不同解讀或研判後所</w:t>
      </w:r>
      <w:r w:rsidR="008F284A" w:rsidRPr="00815A0E">
        <w:rPr>
          <w:rFonts w:hAnsi="標楷體" w:hint="eastAsia"/>
          <w:b/>
          <w:color w:val="000000" w:themeColor="text1"/>
        </w:rPr>
        <w:t>獲致結論</w:t>
      </w:r>
      <w:r w:rsidR="00F17AD4" w:rsidRPr="00815A0E">
        <w:rPr>
          <w:rFonts w:hAnsi="標楷體" w:hint="eastAsia"/>
          <w:b/>
          <w:color w:val="000000" w:themeColor="text1"/>
        </w:rPr>
        <w:t>，並無證據足以證明其信用性</w:t>
      </w:r>
      <w:r w:rsidR="000B08AE" w:rsidRPr="00815A0E">
        <w:rPr>
          <w:rFonts w:hAnsi="標楷體" w:hint="eastAsia"/>
          <w:b/>
          <w:color w:val="000000" w:themeColor="text1"/>
        </w:rPr>
        <w:t>當然</w:t>
      </w:r>
      <w:r w:rsidR="00F17AD4" w:rsidRPr="00815A0E">
        <w:rPr>
          <w:rFonts w:hAnsi="標楷體" w:hint="eastAsia"/>
          <w:b/>
          <w:color w:val="000000" w:themeColor="text1"/>
        </w:rPr>
        <w:t>高於</w:t>
      </w:r>
      <w:r w:rsidR="000B08AE" w:rsidRPr="00815A0E">
        <w:rPr>
          <w:rFonts w:hAnsi="標楷體" w:hint="eastAsia"/>
          <w:b/>
          <w:color w:val="000000" w:themeColor="text1"/>
        </w:rPr>
        <w:t>該</w:t>
      </w:r>
      <w:r w:rsidR="00F17AD4" w:rsidRPr="00815A0E">
        <w:rPr>
          <w:rFonts w:hAnsi="標楷體" w:hint="eastAsia"/>
          <w:b/>
          <w:color w:val="000000" w:themeColor="text1"/>
        </w:rPr>
        <w:t>局之鑑定，</w:t>
      </w:r>
      <w:r w:rsidR="000B08AE" w:rsidRPr="00815A0E">
        <w:rPr>
          <w:rFonts w:hAnsi="標楷體" w:hint="eastAsia"/>
          <w:b/>
          <w:color w:val="000000" w:themeColor="text1"/>
        </w:rPr>
        <w:t>進而得為認定原確定判決事實認定錯誤，將其判決理由所認定測謊鑑定全無證明力之結果推翻</w:t>
      </w:r>
      <w:r w:rsidR="00F17AD4" w:rsidRPr="00815A0E">
        <w:rPr>
          <w:rFonts w:hAnsi="標楷體" w:hint="eastAsia"/>
          <w:b/>
          <w:color w:val="000000" w:themeColor="text1"/>
        </w:rPr>
        <w:t>，</w:t>
      </w:r>
      <w:r w:rsidR="008F284A" w:rsidRPr="00815A0E">
        <w:rPr>
          <w:rFonts w:hAnsi="標楷體" w:hint="eastAsia"/>
          <w:b/>
          <w:color w:val="000000" w:themeColor="text1"/>
        </w:rPr>
        <w:t>從而所陳尚難遽採。</w:t>
      </w:r>
    </w:p>
    <w:p w:rsidR="00A84CD7" w:rsidRPr="00815A0E" w:rsidRDefault="00F12511" w:rsidP="00A84CD7">
      <w:pPr>
        <w:pStyle w:val="3"/>
        <w:rPr>
          <w:rFonts w:hAnsi="標楷體"/>
          <w:color w:val="000000" w:themeColor="text1"/>
        </w:rPr>
      </w:pPr>
      <w:r w:rsidRPr="00815A0E">
        <w:rPr>
          <w:rFonts w:hAnsi="標楷體" w:hint="eastAsia"/>
          <w:color w:val="000000" w:themeColor="text1"/>
        </w:rPr>
        <w:t>陳訴人</w:t>
      </w:r>
      <w:r w:rsidR="00A84CD7" w:rsidRPr="00815A0E">
        <w:rPr>
          <w:rFonts w:hAnsi="標楷體" w:hint="eastAsia"/>
          <w:color w:val="000000" w:themeColor="text1"/>
        </w:rPr>
        <w:t>主張原確定判決理由認定</w:t>
      </w:r>
      <w:r w:rsidRPr="00815A0E">
        <w:rPr>
          <w:rFonts w:hAnsi="標楷體" w:hint="eastAsia"/>
          <w:color w:val="000000" w:themeColor="text1"/>
        </w:rPr>
        <w:t>陳訴人</w:t>
      </w:r>
      <w:r w:rsidR="00A84CD7" w:rsidRPr="00815A0E">
        <w:rPr>
          <w:rFonts w:hAnsi="標楷體" w:hint="eastAsia"/>
          <w:color w:val="000000" w:themeColor="text1"/>
        </w:rPr>
        <w:t>有無交付</w:t>
      </w:r>
      <w:r w:rsidR="00252B61" w:rsidRPr="00815A0E">
        <w:rPr>
          <w:rFonts w:hAnsi="標楷體" w:hint="eastAsia"/>
          <w:color w:val="000000" w:themeColor="text1"/>
        </w:rPr>
        <w:t>新臺幣（下同）</w:t>
      </w:r>
      <w:r w:rsidR="00A84CD7" w:rsidRPr="00815A0E">
        <w:rPr>
          <w:rFonts w:hAnsi="標楷體" w:hint="eastAsia"/>
          <w:color w:val="000000" w:themeColor="text1"/>
        </w:rPr>
        <w:t>20萬元予洪進生賄選所採用係屬情況證據，而攸關洪進生證言信用性之原測謊鑑定經</w:t>
      </w:r>
      <w:r w:rsidRPr="00815A0E">
        <w:rPr>
          <w:rFonts w:hAnsi="標楷體" w:hint="eastAsia"/>
          <w:color w:val="000000" w:themeColor="text1"/>
        </w:rPr>
        <w:t>陳訴人</w:t>
      </w:r>
      <w:r w:rsidR="008F284A" w:rsidRPr="00815A0E">
        <w:rPr>
          <w:rFonts w:hAnsi="標楷體" w:hint="eastAsia"/>
          <w:color w:val="000000" w:themeColor="text1"/>
        </w:rPr>
        <w:t>委由</w:t>
      </w:r>
      <w:r w:rsidR="00A84CD7" w:rsidRPr="00815A0E">
        <w:rPr>
          <w:rFonts w:hAnsi="標楷體" w:hint="eastAsia"/>
          <w:color w:val="000000" w:themeColor="text1"/>
        </w:rPr>
        <w:t>李錦明儀測服務有限公司</w:t>
      </w:r>
      <w:r w:rsidR="007979B0" w:rsidRPr="00815A0E">
        <w:rPr>
          <w:rFonts w:hAnsi="標楷體" w:hint="eastAsia"/>
          <w:color w:val="000000" w:themeColor="text1"/>
        </w:rPr>
        <w:t>（下稱李錦明儀測公司）</w:t>
      </w:r>
      <w:r w:rsidR="00A84CD7" w:rsidRPr="00815A0E">
        <w:rPr>
          <w:rFonts w:hAnsi="標楷體" w:hint="eastAsia"/>
          <w:color w:val="000000" w:themeColor="text1"/>
        </w:rPr>
        <w:t>，認為應由</w:t>
      </w:r>
      <w:r w:rsidR="00253DA9" w:rsidRPr="00815A0E">
        <w:rPr>
          <w:rFonts w:hAnsi="標楷體" w:hint="eastAsia"/>
          <w:b/>
          <w:color w:val="000000" w:themeColor="text1"/>
        </w:rPr>
        <w:t>「</w:t>
      </w:r>
      <w:r w:rsidR="00A84CD7" w:rsidRPr="00815A0E">
        <w:rPr>
          <w:rFonts w:hAnsi="標楷體" w:hint="eastAsia"/>
          <w:color w:val="000000" w:themeColor="text1"/>
        </w:rPr>
        <w:t>無法鑑判</w:t>
      </w:r>
      <w:r w:rsidR="00253DA9" w:rsidRPr="00815A0E">
        <w:rPr>
          <w:rFonts w:hAnsi="標楷體" w:hint="eastAsia"/>
          <w:b/>
          <w:color w:val="000000" w:themeColor="text1"/>
        </w:rPr>
        <w:t>」</w:t>
      </w:r>
      <w:r w:rsidR="00A84CD7" w:rsidRPr="00815A0E">
        <w:rPr>
          <w:rFonts w:hAnsi="標楷體" w:hint="eastAsia"/>
          <w:color w:val="000000" w:themeColor="text1"/>
        </w:rPr>
        <w:t>修正為</w:t>
      </w:r>
      <w:r w:rsidR="00253DA9" w:rsidRPr="00815A0E">
        <w:rPr>
          <w:rFonts w:hAnsi="標楷體" w:hint="eastAsia"/>
          <w:b/>
          <w:color w:val="000000" w:themeColor="text1"/>
        </w:rPr>
        <w:t>「</w:t>
      </w:r>
      <w:r w:rsidR="00A84CD7" w:rsidRPr="00815A0E">
        <w:rPr>
          <w:rFonts w:hAnsi="標楷體" w:hint="eastAsia"/>
          <w:color w:val="000000" w:themeColor="text1"/>
        </w:rPr>
        <w:t>不實反應</w:t>
      </w:r>
      <w:r w:rsidR="00253DA9" w:rsidRPr="00815A0E">
        <w:rPr>
          <w:rFonts w:hAnsi="標楷體" w:hint="eastAsia"/>
          <w:b/>
          <w:color w:val="000000" w:themeColor="text1"/>
        </w:rPr>
        <w:t>」</w:t>
      </w:r>
      <w:r w:rsidR="00A84CD7" w:rsidRPr="00815A0E">
        <w:rPr>
          <w:rFonts w:hAnsi="標楷體" w:hint="eastAsia"/>
          <w:color w:val="000000" w:themeColor="text1"/>
        </w:rPr>
        <w:t>，構成再審事由等語，其理由略以：</w:t>
      </w:r>
    </w:p>
    <w:p w:rsidR="00A84CD7" w:rsidRPr="00815A0E" w:rsidRDefault="00A84CD7" w:rsidP="00A84CD7">
      <w:pPr>
        <w:pStyle w:val="4"/>
        <w:rPr>
          <w:rFonts w:hAnsi="標楷體"/>
          <w:color w:val="000000" w:themeColor="text1"/>
        </w:rPr>
      </w:pPr>
      <w:r w:rsidRPr="00815A0E">
        <w:rPr>
          <w:rFonts w:hAnsi="標楷體" w:hint="eastAsia"/>
          <w:color w:val="000000" w:themeColor="text1"/>
        </w:rPr>
        <w:t>原確定判決理由（一）至（四）係認定洪進生所</w:t>
      </w:r>
      <w:r w:rsidRPr="00815A0E">
        <w:rPr>
          <w:rFonts w:hAnsi="標楷體" w:hint="eastAsia"/>
          <w:color w:val="000000" w:themeColor="text1"/>
        </w:rPr>
        <w:lastRenderedPageBreak/>
        <w:t>為</w:t>
      </w:r>
      <w:r w:rsidR="00F12511" w:rsidRPr="00815A0E">
        <w:rPr>
          <w:rFonts w:hAnsi="標楷體" w:hint="eastAsia"/>
          <w:color w:val="000000" w:themeColor="text1"/>
        </w:rPr>
        <w:t>陳訴人</w:t>
      </w:r>
      <w:r w:rsidRPr="00815A0E">
        <w:rPr>
          <w:rFonts w:hAnsi="標楷體" w:hint="eastAsia"/>
          <w:color w:val="000000" w:themeColor="text1"/>
        </w:rPr>
        <w:t>確有交付20</w:t>
      </w:r>
      <w:r w:rsidR="00941803" w:rsidRPr="00815A0E">
        <w:rPr>
          <w:rFonts w:hAnsi="標楷體" w:hint="eastAsia"/>
          <w:color w:val="000000" w:themeColor="text1"/>
        </w:rPr>
        <w:t>萬元予洪進生賄選買票之證述屬實；</w:t>
      </w:r>
      <w:r w:rsidRPr="00815A0E">
        <w:rPr>
          <w:rFonts w:hAnsi="標楷體" w:hint="eastAsia"/>
          <w:color w:val="000000" w:themeColor="text1"/>
        </w:rPr>
        <w:t>（五）至（六）則係與「</w:t>
      </w:r>
      <w:r w:rsidR="00F12511" w:rsidRPr="00815A0E">
        <w:rPr>
          <w:rFonts w:hAnsi="標楷體" w:hint="eastAsia"/>
          <w:color w:val="000000" w:themeColor="text1"/>
        </w:rPr>
        <w:t>陳訴人</w:t>
      </w:r>
      <w:r w:rsidRPr="00815A0E">
        <w:rPr>
          <w:rFonts w:hAnsi="標楷體" w:hint="eastAsia"/>
          <w:color w:val="000000" w:themeColor="text1"/>
        </w:rPr>
        <w:t>有無交付20萬元予洪進生賄選」之事實無直接關係之 「情況」。而洪進生之證述，前經檢察官於偵查中送內政部警政署刑事警察局（下稱刑事</w:t>
      </w:r>
      <w:r w:rsidR="00A651D2" w:rsidRPr="00815A0E">
        <w:rPr>
          <w:rFonts w:hAnsi="標楷體" w:hint="eastAsia"/>
          <w:color w:val="000000" w:themeColor="text1"/>
        </w:rPr>
        <w:t>警察</w:t>
      </w:r>
      <w:r w:rsidRPr="00815A0E">
        <w:rPr>
          <w:rFonts w:hAnsi="標楷體" w:hint="eastAsia"/>
          <w:color w:val="000000" w:themeColor="text1"/>
        </w:rPr>
        <w:t>局）於100年1月12日實施測謊鑑定，鑑定結果為：圖譜反應欠缺一致性，</w:t>
      </w:r>
      <w:r w:rsidR="00941803" w:rsidRPr="00815A0E">
        <w:rPr>
          <w:rFonts w:hAnsi="標楷體" w:hint="eastAsia"/>
          <w:b/>
          <w:color w:val="000000" w:themeColor="text1"/>
        </w:rPr>
        <w:t>「</w:t>
      </w:r>
      <w:r w:rsidRPr="00815A0E">
        <w:rPr>
          <w:rFonts w:hAnsi="標楷體" w:hint="eastAsia"/>
          <w:color w:val="000000" w:themeColor="text1"/>
        </w:rPr>
        <w:t>無法鑑判</w:t>
      </w:r>
      <w:r w:rsidR="00941803" w:rsidRPr="00815A0E">
        <w:rPr>
          <w:rFonts w:hAnsi="標楷體" w:hint="eastAsia"/>
          <w:b/>
          <w:color w:val="000000" w:themeColor="text1"/>
        </w:rPr>
        <w:t>」</w:t>
      </w:r>
      <w:r w:rsidRPr="00815A0E">
        <w:rPr>
          <w:rFonts w:hAnsi="標楷體" w:hint="eastAsia"/>
          <w:color w:val="000000" w:themeColor="text1"/>
        </w:rPr>
        <w:t>。經該局以100年1月14日刑鑑字第100006751號鑑定書</w:t>
      </w:r>
      <w:r w:rsidR="00991383" w:rsidRPr="00815A0E">
        <w:rPr>
          <w:rFonts w:hAnsi="標楷體" w:hint="eastAsia"/>
          <w:color w:val="000000" w:themeColor="text1"/>
        </w:rPr>
        <w:t>函復</w:t>
      </w:r>
      <w:r w:rsidRPr="00815A0E">
        <w:rPr>
          <w:rFonts w:hAnsi="標楷體" w:hint="eastAsia"/>
          <w:color w:val="000000" w:themeColor="text1"/>
        </w:rPr>
        <w:t>。原確定判決依據該鑑定結果，認無從據為有利</w:t>
      </w:r>
      <w:r w:rsidR="00F12511" w:rsidRPr="00815A0E">
        <w:rPr>
          <w:rFonts w:hAnsi="標楷體" w:hint="eastAsia"/>
          <w:color w:val="000000" w:themeColor="text1"/>
        </w:rPr>
        <w:t>陳訴人</w:t>
      </w:r>
      <w:r w:rsidRPr="00815A0E">
        <w:rPr>
          <w:rFonts w:hAnsi="標楷體" w:hint="eastAsia"/>
          <w:color w:val="000000" w:themeColor="text1"/>
        </w:rPr>
        <w:t>之認定。依原確定判決理由，如該測謊鑑定應判定為</w:t>
      </w:r>
      <w:r w:rsidR="00941803" w:rsidRPr="00815A0E">
        <w:rPr>
          <w:rFonts w:hAnsi="標楷體" w:hint="eastAsia"/>
          <w:b/>
          <w:color w:val="000000" w:themeColor="text1"/>
        </w:rPr>
        <w:t>「</w:t>
      </w:r>
      <w:r w:rsidRPr="00815A0E">
        <w:rPr>
          <w:rFonts w:hAnsi="標楷體" w:hint="eastAsia"/>
          <w:color w:val="000000" w:themeColor="text1"/>
        </w:rPr>
        <w:t>不實反應</w:t>
      </w:r>
      <w:r w:rsidR="00941803" w:rsidRPr="00815A0E">
        <w:rPr>
          <w:rFonts w:hAnsi="標楷體" w:hint="eastAsia"/>
          <w:b/>
          <w:color w:val="000000" w:themeColor="text1"/>
        </w:rPr>
        <w:t>」</w:t>
      </w:r>
      <w:r w:rsidRPr="00815A0E">
        <w:rPr>
          <w:rFonts w:hAnsi="標楷體" w:hint="eastAsia"/>
          <w:color w:val="000000" w:themeColor="text1"/>
        </w:rPr>
        <w:t>，即足據為有利於</w:t>
      </w:r>
      <w:r w:rsidR="00F12511" w:rsidRPr="00815A0E">
        <w:rPr>
          <w:rFonts w:hAnsi="標楷體" w:hint="eastAsia"/>
          <w:color w:val="000000" w:themeColor="text1"/>
        </w:rPr>
        <w:t>陳訴人</w:t>
      </w:r>
      <w:r w:rsidRPr="00815A0E">
        <w:rPr>
          <w:rFonts w:hAnsi="標楷體" w:hint="eastAsia"/>
          <w:color w:val="000000" w:themeColor="text1"/>
        </w:rPr>
        <w:t>之認定。</w:t>
      </w:r>
    </w:p>
    <w:p w:rsidR="00A84CD7" w:rsidRPr="00815A0E" w:rsidRDefault="00A84CD7" w:rsidP="00A84CD7">
      <w:pPr>
        <w:pStyle w:val="4"/>
        <w:rPr>
          <w:rFonts w:hAnsi="標楷體"/>
          <w:color w:val="000000" w:themeColor="text1"/>
        </w:rPr>
      </w:pPr>
      <w:r w:rsidRPr="00815A0E">
        <w:rPr>
          <w:rFonts w:hAnsi="標楷體" w:hint="eastAsia"/>
          <w:color w:val="000000" w:themeColor="text1"/>
        </w:rPr>
        <w:t>本案判決確定後，</w:t>
      </w:r>
      <w:r w:rsidR="00F12511" w:rsidRPr="00815A0E">
        <w:rPr>
          <w:rFonts w:hAnsi="標楷體" w:hint="eastAsia"/>
          <w:color w:val="000000" w:themeColor="text1"/>
        </w:rPr>
        <w:t>陳訴人</w:t>
      </w:r>
      <w:r w:rsidRPr="00815A0E">
        <w:rPr>
          <w:rFonts w:hAnsi="標楷體" w:hint="eastAsia"/>
          <w:color w:val="000000" w:themeColor="text1"/>
        </w:rPr>
        <w:t>因洪進生供述不實，測謊結果理應呈</w:t>
      </w:r>
      <w:r w:rsidR="00831FDE" w:rsidRPr="00815A0E">
        <w:rPr>
          <w:rFonts w:hAnsi="標楷體" w:hint="eastAsia"/>
          <w:color w:val="000000" w:themeColor="text1"/>
        </w:rPr>
        <w:t>「不實反應」</w:t>
      </w:r>
      <w:r w:rsidRPr="00815A0E">
        <w:rPr>
          <w:rFonts w:hAnsi="標楷體" w:hint="eastAsia"/>
          <w:color w:val="000000" w:themeColor="text1"/>
        </w:rPr>
        <w:t>，而非</w:t>
      </w:r>
      <w:r w:rsidR="00941803" w:rsidRPr="00815A0E">
        <w:rPr>
          <w:rFonts w:hAnsi="標楷體" w:hint="eastAsia"/>
          <w:b/>
          <w:color w:val="000000" w:themeColor="text1"/>
        </w:rPr>
        <w:t>「</w:t>
      </w:r>
      <w:r w:rsidRPr="00815A0E">
        <w:rPr>
          <w:rFonts w:hAnsi="標楷體" w:hint="eastAsia"/>
          <w:color w:val="000000" w:themeColor="text1"/>
        </w:rPr>
        <w:t>無法鑑判</w:t>
      </w:r>
      <w:r w:rsidR="00941803" w:rsidRPr="00815A0E">
        <w:rPr>
          <w:rFonts w:hAnsi="標楷體" w:hint="eastAsia"/>
          <w:b/>
          <w:color w:val="000000" w:themeColor="text1"/>
        </w:rPr>
        <w:t>」</w:t>
      </w:r>
      <w:r w:rsidRPr="00815A0E">
        <w:rPr>
          <w:rFonts w:hAnsi="標楷體" w:hint="eastAsia"/>
          <w:color w:val="000000" w:themeColor="text1"/>
        </w:rPr>
        <w:t>，認</w:t>
      </w:r>
      <w:r w:rsidR="00A651D2" w:rsidRPr="00815A0E">
        <w:rPr>
          <w:rFonts w:hAnsi="標楷體" w:hint="eastAsia"/>
          <w:color w:val="000000" w:themeColor="text1"/>
        </w:rPr>
        <w:t>刑事警察局</w:t>
      </w:r>
      <w:r w:rsidRPr="00815A0E">
        <w:rPr>
          <w:rFonts w:hAnsi="標楷體" w:hint="eastAsia"/>
          <w:color w:val="000000" w:themeColor="text1"/>
        </w:rPr>
        <w:t>上開鑑定結果有疑，乃請本案原選任辯護人李永裕律師委請李錦明儀測公司就</w:t>
      </w:r>
      <w:r w:rsidR="00A651D2" w:rsidRPr="00815A0E">
        <w:rPr>
          <w:rFonts w:hAnsi="標楷體" w:hint="eastAsia"/>
          <w:color w:val="000000" w:themeColor="text1"/>
        </w:rPr>
        <w:t>刑事警察局</w:t>
      </w:r>
      <w:r w:rsidRPr="00815A0E">
        <w:rPr>
          <w:rFonts w:hAnsi="標楷體" w:hint="eastAsia"/>
          <w:color w:val="000000" w:themeColor="text1"/>
        </w:rPr>
        <w:t>100年1月12日對洪進生實施測謊之圖譜進行複核。其複核結果為：「本案刑事警察局所採用的『區域比對法』技術，其中的本案問題為R5『你有沒有騙說阿富（李宗富）親手拿錢給你（幫忙買票）？答:沒有騙』、R7『有關本案，你有沒有騙說阿富（李宗富）親手拿錢給你（幫忙買票）？答:沒有騙』，原經判定為『無法鑑判』（惟該局並未檢附應有之測謊圖譜分析量化表以為憑據）。經對測謊圖譜複核結果，認結論應修正為『不實反應』</w:t>
      </w:r>
      <w:r w:rsidR="00E24208" w:rsidRPr="00815A0E">
        <w:rPr>
          <w:rFonts w:hAnsi="標楷體" w:hint="eastAsia"/>
          <w:color w:val="000000" w:themeColor="text1"/>
        </w:rPr>
        <w:t>」</w:t>
      </w:r>
      <w:r w:rsidRPr="00815A0E">
        <w:rPr>
          <w:rFonts w:hAnsi="標楷體" w:hint="eastAsia"/>
          <w:color w:val="000000" w:themeColor="text1"/>
        </w:rPr>
        <w:t>，有該公司107年5月16日107儀測0106號函及所附測謊圖譜數據分析表、圖譜鑑核人李錦明之簡歷為證。而</w:t>
      </w:r>
      <w:r w:rsidR="004A1D4A" w:rsidRPr="00815A0E">
        <w:rPr>
          <w:rFonts w:hAnsi="標楷體" w:hint="eastAsia"/>
          <w:color w:val="000000" w:themeColor="text1"/>
        </w:rPr>
        <w:t>『區域比對法』</w:t>
      </w:r>
      <w:r w:rsidRPr="00815A0E">
        <w:rPr>
          <w:rFonts w:hAnsi="標楷體" w:hint="eastAsia"/>
          <w:color w:val="000000" w:themeColor="text1"/>
        </w:rPr>
        <w:t>係依據測謊儀器測得之受測人呼吸、皮膚電阻、心脈血壓等圖譜，經測謊人員依相關之量化分析規</w:t>
      </w:r>
      <w:r w:rsidRPr="00815A0E">
        <w:rPr>
          <w:rFonts w:hAnsi="標楷體" w:hint="eastAsia"/>
          <w:color w:val="000000" w:themeColor="text1"/>
        </w:rPr>
        <w:lastRenderedPageBreak/>
        <w:t>則予以量化評估，即「以一套固定的數值，以目測衡量圖譜上之生理反應。在</w:t>
      </w:r>
      <w:r w:rsidR="004A1D4A" w:rsidRPr="00815A0E">
        <w:rPr>
          <w:rFonts w:hAnsi="標楷體" w:hint="eastAsia"/>
          <w:color w:val="000000" w:themeColor="text1"/>
        </w:rPr>
        <w:t>『區域比對法』</w:t>
      </w:r>
      <w:r w:rsidRPr="00815A0E">
        <w:rPr>
          <w:rFonts w:hAnsi="標楷體" w:hint="eastAsia"/>
          <w:color w:val="000000" w:themeColor="text1"/>
        </w:rPr>
        <w:t>中，將相關問題與控制問題編成3組，比對各區域的相關問題與控制問題，將比對結果給一分數。控制問題大於相關問題給正分，相關問題大於控制問題給負分，其量化標準可分為三分位量尺及七分位量尺」。本件</w:t>
      </w:r>
      <w:r w:rsidR="00A651D2" w:rsidRPr="00815A0E">
        <w:rPr>
          <w:rFonts w:hAnsi="標楷體" w:hint="eastAsia"/>
          <w:color w:val="000000" w:themeColor="text1"/>
        </w:rPr>
        <w:t>刑事警察局</w:t>
      </w:r>
      <w:r w:rsidRPr="00815A0E">
        <w:rPr>
          <w:rFonts w:hAnsi="標楷體" w:hint="eastAsia"/>
          <w:color w:val="000000" w:themeColor="text1"/>
        </w:rPr>
        <w:t>之測謊鑑定採三分位量尺，如測謊圖譜分析量化之結果，總合區域中任何區域得-3分以下，或總分得-4分以下，應鑑判為「不實反應」。總合區域中每一區域都得正分，且總分得+4分以上，應鑑判為「無不實反應」。分數不合「不實反應」、「無不實反應」之標準者，為「無法鑑判」。本件</w:t>
      </w:r>
      <w:r w:rsidR="00A651D2" w:rsidRPr="00815A0E">
        <w:rPr>
          <w:rFonts w:hAnsi="標楷體" w:hint="eastAsia"/>
          <w:color w:val="000000" w:themeColor="text1"/>
        </w:rPr>
        <w:t>刑事警察局</w:t>
      </w:r>
      <w:r w:rsidRPr="00815A0E">
        <w:rPr>
          <w:rFonts w:hAnsi="標楷體" w:hint="eastAsia"/>
          <w:color w:val="000000" w:themeColor="text1"/>
        </w:rPr>
        <w:t>之測謊鑑定總和ZONE5為+3，ZONE7為-2。李錦明儀測公司就同一圖譜之複核結果則為ZONE5為+1，ZONE7為-4。因</w:t>
      </w:r>
      <w:r w:rsidR="00A651D2" w:rsidRPr="00815A0E">
        <w:rPr>
          <w:rFonts w:hAnsi="標楷體" w:hint="eastAsia"/>
          <w:color w:val="000000" w:themeColor="text1"/>
        </w:rPr>
        <w:t>刑事警察局</w:t>
      </w:r>
      <w:r w:rsidRPr="00815A0E">
        <w:rPr>
          <w:rFonts w:hAnsi="標楷體" w:hint="eastAsia"/>
          <w:color w:val="000000" w:themeColor="text1"/>
        </w:rPr>
        <w:t>之「測謊圖譜分析量化表」與李錦明儀測公司之「測謊圖譜數據分析表」均未敘明其核分（即如何依據圖譜評分）之理由，</w:t>
      </w:r>
      <w:r w:rsidR="00F12511" w:rsidRPr="00815A0E">
        <w:rPr>
          <w:rFonts w:hAnsi="標楷體" w:hint="eastAsia"/>
          <w:color w:val="000000" w:themeColor="text1"/>
        </w:rPr>
        <w:t>陳訴人</w:t>
      </w:r>
      <w:r w:rsidRPr="00815A0E">
        <w:rPr>
          <w:rFonts w:hAnsi="標楷體" w:hint="eastAsia"/>
          <w:color w:val="000000" w:themeColor="text1"/>
        </w:rPr>
        <w:t>乃再委請李錦明儀測公司補充說明，經該公司107年7月18日107儀測字第0108號函檢附「測謊圖譜數據分析表說明」，就測謊圖譜具體評給分之理由補充說明。107年7月20日107儀測0110號函再就</w:t>
      </w:r>
      <w:r w:rsidR="00A651D2" w:rsidRPr="00815A0E">
        <w:rPr>
          <w:rFonts w:hAnsi="標楷體" w:hint="eastAsia"/>
          <w:color w:val="000000" w:themeColor="text1"/>
        </w:rPr>
        <w:t>刑事警察局</w:t>
      </w:r>
      <w:r w:rsidRPr="00815A0E">
        <w:rPr>
          <w:rFonts w:hAnsi="標楷體" w:hint="eastAsia"/>
          <w:color w:val="000000" w:themeColor="text1"/>
        </w:rPr>
        <w:t>之「測謊圖譜分析量化表」之評分複核，並說明其主要之差異</w:t>
      </w:r>
      <w:r w:rsidR="005F5AB6" w:rsidRPr="00815A0E">
        <w:rPr>
          <w:rFonts w:hAnsi="標楷體" w:hint="eastAsia"/>
          <w:color w:val="000000" w:themeColor="text1"/>
        </w:rPr>
        <w:t>等語</w:t>
      </w:r>
      <w:r w:rsidRPr="00815A0E">
        <w:rPr>
          <w:rFonts w:hAnsi="標楷體" w:hint="eastAsia"/>
          <w:color w:val="000000" w:themeColor="text1"/>
        </w:rPr>
        <w:t>。</w:t>
      </w:r>
    </w:p>
    <w:p w:rsidR="008F284A" w:rsidRPr="00815A0E" w:rsidRDefault="009A5EB0" w:rsidP="008F284A">
      <w:pPr>
        <w:pStyle w:val="3"/>
        <w:rPr>
          <w:rFonts w:hAnsi="標楷體"/>
          <w:color w:val="000000" w:themeColor="text1"/>
        </w:rPr>
      </w:pPr>
      <w:r w:rsidRPr="00815A0E">
        <w:rPr>
          <w:rFonts w:hAnsi="標楷體" w:hint="eastAsia"/>
          <w:color w:val="000000" w:themeColor="text1"/>
        </w:rPr>
        <w:t>本院認為</w:t>
      </w:r>
      <w:r w:rsidR="008F284A" w:rsidRPr="00815A0E">
        <w:rPr>
          <w:rFonts w:hAnsi="標楷體" w:hint="eastAsia"/>
          <w:color w:val="000000" w:themeColor="text1"/>
        </w:rPr>
        <w:t>新事實或新證據除須具有「嶄新性」之特性外，應具備單獨或與先前之證據綜合判斷而足以動搖原確定判決所認定事實之「顯著性」之特性，經查，本件囑託測謊對象洪進生其證言信用性本無法透過測謊鑑定加以判斷，原確定判決就該測謊鑑</w:t>
      </w:r>
      <w:r w:rsidR="008F284A" w:rsidRPr="00815A0E">
        <w:rPr>
          <w:rFonts w:hAnsi="標楷體" w:hint="eastAsia"/>
          <w:color w:val="000000" w:themeColor="text1"/>
        </w:rPr>
        <w:lastRenderedPageBreak/>
        <w:t>定認為具有證據能力但無證明力，所以並未採用作為對於被告有利或不利之證據。判決確定後</w:t>
      </w:r>
      <w:r w:rsidR="00F12511" w:rsidRPr="00815A0E">
        <w:rPr>
          <w:rFonts w:hAnsi="標楷體" w:hint="eastAsia"/>
          <w:color w:val="000000" w:themeColor="text1"/>
        </w:rPr>
        <w:t>陳訴人</w:t>
      </w:r>
      <w:r w:rsidR="008F284A" w:rsidRPr="00815A0E">
        <w:rPr>
          <w:rFonts w:hAnsi="標楷體" w:hint="eastAsia"/>
          <w:color w:val="000000" w:themeColor="text1"/>
        </w:rPr>
        <w:t>再就同一「測謊圖譜」</w:t>
      </w:r>
      <w:r w:rsidR="00C629EB" w:rsidRPr="00815A0E">
        <w:rPr>
          <w:rFonts w:hAnsi="標楷體" w:hint="eastAsia"/>
          <w:color w:val="000000" w:themeColor="text1"/>
        </w:rPr>
        <w:t>委由</w:t>
      </w:r>
      <w:r w:rsidR="008F284A" w:rsidRPr="00815A0E">
        <w:rPr>
          <w:rFonts w:hAnsi="標楷體" w:hint="eastAsia"/>
          <w:color w:val="000000" w:themeColor="text1"/>
        </w:rPr>
        <w:t>李錦明儀測公司僅經不同解讀或研判後所獲致結論，並無證據足以證明其信用性</w:t>
      </w:r>
      <w:r w:rsidR="00C629EB" w:rsidRPr="00815A0E">
        <w:rPr>
          <w:rFonts w:hAnsi="標楷體" w:hint="eastAsia"/>
          <w:color w:val="000000" w:themeColor="text1"/>
        </w:rPr>
        <w:t>應</w:t>
      </w:r>
      <w:r w:rsidR="008F284A" w:rsidRPr="00815A0E">
        <w:rPr>
          <w:rFonts w:hAnsi="標楷體" w:hint="eastAsia"/>
          <w:color w:val="000000" w:themeColor="text1"/>
        </w:rPr>
        <w:t>高於刑事警察局之鑑定，而得將先前鑑定證據認為全無證明力結果推翻的程度。</w:t>
      </w:r>
    </w:p>
    <w:p w:rsidR="00C629EB" w:rsidRPr="00815A0E" w:rsidRDefault="00681026" w:rsidP="00C629EB">
      <w:pPr>
        <w:pStyle w:val="4"/>
        <w:rPr>
          <w:rFonts w:hAnsi="標楷體"/>
          <w:color w:val="000000" w:themeColor="text1"/>
        </w:rPr>
      </w:pPr>
      <w:r w:rsidRPr="00815A0E">
        <w:rPr>
          <w:rFonts w:hAnsi="標楷體" w:hint="eastAsia"/>
          <w:color w:val="000000" w:themeColor="text1"/>
        </w:rPr>
        <w:t>新事實或新證據除須具有「嶄新性」之特性外，應</w:t>
      </w:r>
      <w:r w:rsidR="009A5EB0" w:rsidRPr="00815A0E">
        <w:rPr>
          <w:rFonts w:hAnsi="標楷體" w:hint="eastAsia"/>
          <w:color w:val="000000" w:themeColor="text1"/>
        </w:rPr>
        <w:t>具備單獨或與先前之證據綜合判斷而足以動搖原確定判決所認定事實之「顯著性」之特性</w:t>
      </w:r>
      <w:r w:rsidRPr="00815A0E">
        <w:rPr>
          <w:rFonts w:hAnsi="標楷體" w:hint="eastAsia"/>
          <w:color w:val="000000" w:themeColor="text1"/>
        </w:rPr>
        <w:t>。</w:t>
      </w:r>
    </w:p>
    <w:p w:rsidR="009A5EB0" w:rsidRPr="00815A0E" w:rsidRDefault="009A5EB0" w:rsidP="00C629EB">
      <w:pPr>
        <w:pStyle w:val="4"/>
        <w:numPr>
          <w:ilvl w:val="0"/>
          <w:numId w:val="0"/>
        </w:numPr>
        <w:ind w:left="1701" w:firstLineChars="208" w:firstLine="708"/>
        <w:rPr>
          <w:rFonts w:hAnsi="標楷體"/>
          <w:color w:val="000000" w:themeColor="text1"/>
        </w:rPr>
      </w:pPr>
      <w:r w:rsidRPr="00815A0E">
        <w:rPr>
          <w:rFonts w:hAnsi="標楷體" w:hint="eastAsia"/>
          <w:color w:val="000000" w:themeColor="text1"/>
        </w:rPr>
        <w:t>按刑事訴訟法第420條第1項第6款所稱新事實或新證據，除未判斷資料須具有「嶄新性」之特性外，尚須具備單獨或與先前之證據綜合判斷而足以動搖原確定判決所認定事實之「顯著性」之特性，二者均不可或缺，倘未兼備，自無准予再審之餘地。且在「顯著性」之判斷方面，依舉證責任分配法則，應由主張具有再審事由之</w:t>
      </w:r>
      <w:r w:rsidR="00F12511" w:rsidRPr="00815A0E">
        <w:rPr>
          <w:rFonts w:hAnsi="標楷體" w:hint="eastAsia"/>
          <w:color w:val="000000" w:themeColor="text1"/>
        </w:rPr>
        <w:t>陳訴人</w:t>
      </w:r>
      <w:r w:rsidRPr="00815A0E">
        <w:rPr>
          <w:rFonts w:hAnsi="標楷體" w:hint="eastAsia"/>
          <w:color w:val="000000" w:themeColor="text1"/>
        </w:rPr>
        <w:t>負具體說明何以新證據之信用性較高而達到已足以將先前證據之證明力推翻之程度之義務，方符合再審制度設計之本旨，以避免有損於法之安定性（最高法院106年度台抗字第722號裁定意旨及104年度台抗字第766號裁定意旨參照）。</w:t>
      </w:r>
    </w:p>
    <w:p w:rsidR="009A5EB0" w:rsidRPr="00815A0E" w:rsidRDefault="009A5EB0" w:rsidP="005F5AB6">
      <w:pPr>
        <w:pStyle w:val="4"/>
        <w:rPr>
          <w:rFonts w:hAnsi="標楷體"/>
          <w:color w:val="000000" w:themeColor="text1"/>
        </w:rPr>
      </w:pPr>
      <w:r w:rsidRPr="00815A0E">
        <w:rPr>
          <w:rFonts w:hAnsi="標楷體" w:hint="eastAsia"/>
          <w:color w:val="000000" w:themeColor="text1"/>
        </w:rPr>
        <w:t>本件測謊對象分送法務部調查局南部通訊中心測謊組與內政部刑事警察局，前者認為年事已高不宜測謊，後者鑑定結果認為「圖譜反應欠缺一致性，</w:t>
      </w:r>
      <w:r w:rsidR="00BA489C" w:rsidRPr="00815A0E">
        <w:rPr>
          <w:rFonts w:hAnsi="標楷體" w:hint="eastAsia"/>
          <w:color w:val="000000" w:themeColor="text1"/>
        </w:rPr>
        <w:t>『</w:t>
      </w:r>
      <w:r w:rsidRPr="00815A0E">
        <w:rPr>
          <w:rFonts w:hAnsi="標楷體" w:hint="eastAsia"/>
          <w:color w:val="000000" w:themeColor="text1"/>
        </w:rPr>
        <w:t>無法鑑判</w:t>
      </w:r>
      <w:r w:rsidR="00BA489C" w:rsidRPr="00815A0E">
        <w:rPr>
          <w:rFonts w:hAnsi="標楷體" w:hint="eastAsia"/>
          <w:color w:val="000000" w:themeColor="text1"/>
        </w:rPr>
        <w:t>』</w:t>
      </w:r>
      <w:r w:rsidRPr="00815A0E">
        <w:rPr>
          <w:rFonts w:hAnsi="標楷體" w:hint="eastAsia"/>
          <w:color w:val="000000" w:themeColor="text1"/>
        </w:rPr>
        <w:t>」</w:t>
      </w:r>
      <w:r w:rsidR="008D7A97" w:rsidRPr="00815A0E">
        <w:rPr>
          <w:rFonts w:hAnsi="標楷體" w:hint="eastAsia"/>
          <w:color w:val="000000" w:themeColor="text1"/>
        </w:rPr>
        <w:t>。</w:t>
      </w:r>
      <w:r w:rsidR="008F284A" w:rsidRPr="00815A0E">
        <w:rPr>
          <w:rFonts w:hAnsi="標楷體" w:hint="eastAsia"/>
          <w:color w:val="000000" w:themeColor="text1"/>
        </w:rPr>
        <w:t>是則，</w:t>
      </w:r>
      <w:r w:rsidR="005F5AB6" w:rsidRPr="00815A0E">
        <w:rPr>
          <w:rFonts w:hAnsi="標楷體" w:hint="eastAsia"/>
          <w:b/>
          <w:color w:val="000000" w:themeColor="text1"/>
        </w:rPr>
        <w:t>囑託測謊對象洪進生證言信用性並無法透過測謊鑑定</w:t>
      </w:r>
      <w:r w:rsidR="008F284A" w:rsidRPr="00815A0E">
        <w:rPr>
          <w:rFonts w:hAnsi="標楷體" w:hint="eastAsia"/>
          <w:b/>
          <w:color w:val="000000" w:themeColor="text1"/>
        </w:rPr>
        <w:t>加以判斷。</w:t>
      </w:r>
    </w:p>
    <w:p w:rsidR="00791634" w:rsidRPr="00815A0E" w:rsidRDefault="009A5EB0" w:rsidP="009A5EB0">
      <w:pPr>
        <w:pStyle w:val="4"/>
        <w:numPr>
          <w:ilvl w:val="0"/>
          <w:numId w:val="0"/>
        </w:numPr>
        <w:ind w:left="1701" w:firstLineChars="208" w:firstLine="708"/>
        <w:rPr>
          <w:rFonts w:hAnsi="標楷體"/>
          <w:color w:val="000000" w:themeColor="text1"/>
        </w:rPr>
      </w:pPr>
      <w:r w:rsidRPr="00815A0E">
        <w:rPr>
          <w:rFonts w:hAnsi="標楷體" w:hint="eastAsia"/>
          <w:color w:val="000000" w:themeColor="text1"/>
        </w:rPr>
        <w:t>經查，</w:t>
      </w:r>
      <w:r w:rsidR="002D4AD6" w:rsidRPr="00815A0E">
        <w:rPr>
          <w:rFonts w:hAnsi="標楷體" w:hint="eastAsia"/>
          <w:color w:val="000000" w:themeColor="text1"/>
        </w:rPr>
        <w:t>本件原偵查檢察官以臺灣臺南地方</w:t>
      </w:r>
      <w:r w:rsidR="00912D42" w:rsidRPr="00815A0E">
        <w:rPr>
          <w:rFonts w:hAnsi="標楷體" w:hint="eastAsia"/>
          <w:color w:val="000000" w:themeColor="text1"/>
        </w:rPr>
        <w:t>檢察署</w:t>
      </w:r>
      <w:r w:rsidR="003B1F4B" w:rsidRPr="00815A0E">
        <w:rPr>
          <w:rFonts w:hAnsi="標楷體" w:hint="eastAsia"/>
          <w:color w:val="000000" w:themeColor="text1"/>
        </w:rPr>
        <w:t>（下稱臺南地檢）</w:t>
      </w:r>
      <w:r w:rsidR="002D4AD6" w:rsidRPr="00815A0E">
        <w:rPr>
          <w:rFonts w:hAnsi="標楷體" w:hint="eastAsia"/>
          <w:color w:val="000000" w:themeColor="text1"/>
        </w:rPr>
        <w:t>99年12月3日南檢欽豐99選偵</w:t>
      </w:r>
      <w:r w:rsidR="00BA0544" w:rsidRPr="00815A0E">
        <w:rPr>
          <w:rFonts w:hAnsi="標楷體" w:hint="eastAsia"/>
          <w:color w:val="000000" w:themeColor="text1"/>
        </w:rPr>
        <w:t>77字第76522號函請法務部調查局南部通訊</w:t>
      </w:r>
      <w:r w:rsidR="00BA0544" w:rsidRPr="00815A0E">
        <w:rPr>
          <w:rFonts w:hAnsi="標楷體" w:hint="eastAsia"/>
          <w:color w:val="000000" w:themeColor="text1"/>
        </w:rPr>
        <w:lastRenderedPageBreak/>
        <w:t>中心排定99年12月8日9時30分進行測謊</w:t>
      </w:r>
      <w:r w:rsidR="004E2654" w:rsidRPr="00815A0E">
        <w:rPr>
          <w:rFonts w:hAnsi="標楷體" w:hint="eastAsia"/>
          <w:color w:val="000000" w:themeColor="text1"/>
        </w:rPr>
        <w:t>，</w:t>
      </w:r>
      <w:r w:rsidR="00BA0544" w:rsidRPr="00815A0E">
        <w:rPr>
          <w:rFonts w:hAnsi="標楷體" w:hint="eastAsia"/>
          <w:color w:val="000000" w:themeColor="text1"/>
        </w:rPr>
        <w:t>法務部調查局南部通訊中心測謊組於99年12月8日以調科參（南）字第09900567790號函稱</w:t>
      </w:r>
      <w:r w:rsidR="004E2654" w:rsidRPr="00815A0E">
        <w:rPr>
          <w:rFonts w:hAnsi="標楷體" w:hint="eastAsia"/>
          <w:color w:val="000000" w:themeColor="text1"/>
        </w:rPr>
        <w:t>，</w:t>
      </w:r>
      <w:r w:rsidR="00BA0544" w:rsidRPr="00815A0E">
        <w:rPr>
          <w:rFonts w:hAnsi="標楷體" w:hint="eastAsia"/>
          <w:b/>
          <w:color w:val="000000" w:themeColor="text1"/>
        </w:rPr>
        <w:t>囑託測謊對象洪進生年事已高不宜測謊</w:t>
      </w:r>
      <w:r w:rsidR="00BA0544" w:rsidRPr="00815A0E">
        <w:rPr>
          <w:rFonts w:hAnsi="標楷體" w:hint="eastAsia"/>
          <w:color w:val="000000" w:themeColor="text1"/>
        </w:rPr>
        <w:t>（</w:t>
      </w:r>
      <w:r w:rsidR="004E2654" w:rsidRPr="00815A0E">
        <w:rPr>
          <w:rFonts w:hAnsi="標楷體" w:hint="eastAsia"/>
          <w:color w:val="000000" w:themeColor="text1"/>
        </w:rPr>
        <w:t>見</w:t>
      </w:r>
      <w:r w:rsidR="003B1F4B" w:rsidRPr="00815A0E">
        <w:rPr>
          <w:rFonts w:hAnsi="標楷體" w:hint="eastAsia"/>
          <w:color w:val="000000" w:themeColor="text1"/>
        </w:rPr>
        <w:t>臺</w:t>
      </w:r>
      <w:r w:rsidR="004E2654" w:rsidRPr="00815A0E">
        <w:rPr>
          <w:rFonts w:hAnsi="標楷體" w:hint="eastAsia"/>
          <w:color w:val="000000" w:themeColor="text1"/>
        </w:rPr>
        <w:t>南地檢</w:t>
      </w:r>
      <w:r w:rsidR="00BA0544" w:rsidRPr="00815A0E">
        <w:rPr>
          <w:rFonts w:hAnsi="標楷體" w:hint="eastAsia"/>
          <w:color w:val="000000" w:themeColor="text1"/>
        </w:rPr>
        <w:t>99年選偵第182號偵查卷頁232-233）</w:t>
      </w:r>
      <w:r w:rsidR="004E2654" w:rsidRPr="00815A0E">
        <w:rPr>
          <w:rFonts w:hAnsi="標楷體" w:hint="eastAsia"/>
          <w:color w:val="000000" w:themeColor="text1"/>
        </w:rPr>
        <w:t>，其後該署</w:t>
      </w:r>
      <w:r w:rsidR="00BA0544" w:rsidRPr="00815A0E">
        <w:rPr>
          <w:rFonts w:hAnsi="標楷體" w:hint="eastAsia"/>
          <w:color w:val="000000" w:themeColor="text1"/>
        </w:rPr>
        <w:t>於100年1月3日以南檢欽列99選偵字182字第0070號函請內政部刑事警察局對被告洪進生測謊</w:t>
      </w:r>
      <w:r w:rsidR="004E2654" w:rsidRPr="00815A0E">
        <w:rPr>
          <w:rFonts w:hAnsi="標楷體" w:hint="eastAsia"/>
          <w:color w:val="000000" w:themeColor="text1"/>
        </w:rPr>
        <w:t>，</w:t>
      </w:r>
      <w:r w:rsidR="00BA0544" w:rsidRPr="00815A0E">
        <w:rPr>
          <w:rFonts w:hAnsi="標楷體" w:hint="eastAsia"/>
          <w:color w:val="000000" w:themeColor="text1"/>
        </w:rPr>
        <w:t>該局排定100年1月12日14</w:t>
      </w:r>
      <w:r w:rsidR="004E2654" w:rsidRPr="00815A0E">
        <w:rPr>
          <w:rFonts w:hAnsi="標楷體" w:hint="eastAsia"/>
          <w:color w:val="000000" w:themeColor="text1"/>
        </w:rPr>
        <w:t>時於</w:t>
      </w:r>
      <w:r w:rsidR="00BA0544" w:rsidRPr="00815A0E">
        <w:rPr>
          <w:rFonts w:hAnsi="標楷體" w:hint="eastAsia"/>
          <w:color w:val="000000" w:themeColor="text1"/>
        </w:rPr>
        <w:t>刑事警察局進行測謊</w:t>
      </w:r>
      <w:r w:rsidR="004E2654" w:rsidRPr="00815A0E">
        <w:rPr>
          <w:rFonts w:hAnsi="標楷體" w:hint="eastAsia"/>
          <w:color w:val="000000" w:themeColor="text1"/>
        </w:rPr>
        <w:t>，該局</w:t>
      </w:r>
      <w:r w:rsidR="00791634" w:rsidRPr="00815A0E">
        <w:rPr>
          <w:rFonts w:hAnsi="標楷體" w:hint="eastAsia"/>
          <w:color w:val="000000" w:themeColor="text1"/>
        </w:rPr>
        <w:t>100年1月14日刑鑑字第1000006751號鑑定書</w:t>
      </w:r>
      <w:r w:rsidR="004E2654" w:rsidRPr="00815A0E">
        <w:rPr>
          <w:rFonts w:hAnsi="標楷體" w:hint="eastAsia"/>
          <w:color w:val="000000" w:themeColor="text1"/>
        </w:rPr>
        <w:t>略以：1.</w:t>
      </w:r>
      <w:r w:rsidR="00791634" w:rsidRPr="00815A0E">
        <w:rPr>
          <w:rFonts w:hAnsi="標楷體" w:hint="eastAsia"/>
          <w:color w:val="000000" w:themeColor="text1"/>
        </w:rPr>
        <w:t>鑑定方法</w:t>
      </w:r>
      <w:r w:rsidR="004E2654" w:rsidRPr="00815A0E">
        <w:rPr>
          <w:rFonts w:hAnsi="標楷體" w:hint="eastAsia"/>
          <w:color w:val="000000" w:themeColor="text1"/>
        </w:rPr>
        <w:t>採</w:t>
      </w:r>
      <w:r w:rsidR="00791634" w:rsidRPr="00815A0E">
        <w:rPr>
          <w:rFonts w:hAnsi="標楷體" w:hint="eastAsia"/>
          <w:color w:val="000000" w:themeColor="text1"/>
        </w:rPr>
        <w:t>熟悉測試法</w:t>
      </w:r>
      <w:r w:rsidR="004E2654" w:rsidRPr="00815A0E">
        <w:rPr>
          <w:rFonts w:hAnsi="標楷體" w:hint="eastAsia"/>
          <w:color w:val="000000" w:themeColor="text1"/>
        </w:rPr>
        <w:t>、</w:t>
      </w:r>
      <w:r w:rsidR="004A1D4A" w:rsidRPr="00815A0E">
        <w:rPr>
          <w:rFonts w:hAnsi="標楷體" w:hint="eastAsia"/>
          <w:color w:val="000000" w:themeColor="text1"/>
        </w:rPr>
        <w:t>「區域比對法」</w:t>
      </w:r>
      <w:r w:rsidR="004E2654" w:rsidRPr="00815A0E">
        <w:rPr>
          <w:rFonts w:hAnsi="標楷體" w:hint="eastAsia"/>
          <w:color w:val="000000" w:themeColor="text1"/>
        </w:rPr>
        <w:t>、</w:t>
      </w:r>
      <w:r w:rsidR="00586BE2" w:rsidRPr="00815A0E">
        <w:rPr>
          <w:rFonts w:hAnsi="標楷體" w:hint="eastAsia"/>
          <w:color w:val="000000" w:themeColor="text1"/>
        </w:rPr>
        <w:t>「</w:t>
      </w:r>
      <w:r w:rsidR="00791634" w:rsidRPr="00815A0E">
        <w:rPr>
          <w:rFonts w:hAnsi="標楷體" w:hint="eastAsia"/>
          <w:color w:val="000000" w:themeColor="text1"/>
        </w:rPr>
        <w:t>緊張高點法</w:t>
      </w:r>
      <w:r w:rsidR="00586BE2" w:rsidRPr="00815A0E">
        <w:rPr>
          <w:rFonts w:hAnsi="標楷體" w:hint="eastAsia"/>
          <w:color w:val="000000" w:themeColor="text1"/>
        </w:rPr>
        <w:t>」</w:t>
      </w:r>
      <w:r w:rsidR="004E2654" w:rsidRPr="00815A0E">
        <w:rPr>
          <w:rFonts w:hAnsi="標楷體" w:hint="eastAsia"/>
          <w:color w:val="000000" w:themeColor="text1"/>
        </w:rPr>
        <w:t>。2.</w:t>
      </w:r>
      <w:r w:rsidR="00791634" w:rsidRPr="00815A0E">
        <w:rPr>
          <w:rFonts w:hAnsi="標楷體" w:hint="eastAsia"/>
          <w:color w:val="000000" w:themeColor="text1"/>
        </w:rPr>
        <w:t>鑑定結果</w:t>
      </w:r>
      <w:r w:rsidR="004E2654" w:rsidRPr="00815A0E">
        <w:rPr>
          <w:rFonts w:hAnsi="標楷體" w:hint="eastAsia"/>
          <w:color w:val="000000" w:themeColor="text1"/>
        </w:rPr>
        <w:t>：</w:t>
      </w:r>
      <w:r w:rsidR="00791634" w:rsidRPr="00815A0E">
        <w:rPr>
          <w:rFonts w:hAnsi="標楷體" w:hint="eastAsia"/>
          <w:color w:val="000000" w:themeColor="text1"/>
        </w:rPr>
        <w:t>受測人洪進生於測前會談陳述有關本案李宗富親手拿20萬元現金要渠幫忙買票</w:t>
      </w:r>
      <w:r w:rsidR="004E2654" w:rsidRPr="00815A0E">
        <w:rPr>
          <w:rFonts w:hAnsi="標楷體" w:hint="eastAsia"/>
          <w:color w:val="000000" w:themeColor="text1"/>
        </w:rPr>
        <w:t>，</w:t>
      </w:r>
      <w:r w:rsidR="00791634" w:rsidRPr="00815A0E">
        <w:rPr>
          <w:rFonts w:hAnsi="標楷體" w:hint="eastAsia"/>
          <w:color w:val="000000" w:themeColor="text1"/>
        </w:rPr>
        <w:t>經測試結果因圖譜反應欠缺一致性</w:t>
      </w:r>
      <w:r w:rsidR="00941803" w:rsidRPr="00815A0E">
        <w:rPr>
          <w:rFonts w:hAnsi="標楷體" w:hint="eastAsia"/>
          <w:color w:val="000000" w:themeColor="text1"/>
        </w:rPr>
        <w:t>「</w:t>
      </w:r>
      <w:r w:rsidR="00791634" w:rsidRPr="00815A0E">
        <w:rPr>
          <w:rFonts w:hAnsi="標楷體" w:hint="eastAsia"/>
          <w:color w:val="000000" w:themeColor="text1"/>
        </w:rPr>
        <w:t>無法鑑判</w:t>
      </w:r>
      <w:r w:rsidR="00941803" w:rsidRPr="00815A0E">
        <w:rPr>
          <w:rFonts w:hAnsi="標楷體" w:hint="eastAsia"/>
          <w:color w:val="000000" w:themeColor="text1"/>
        </w:rPr>
        <w:t>」</w:t>
      </w:r>
      <w:r w:rsidR="004E2654" w:rsidRPr="00815A0E">
        <w:rPr>
          <w:rFonts w:hAnsi="標楷體" w:hint="eastAsia"/>
          <w:color w:val="000000" w:themeColor="text1"/>
        </w:rPr>
        <w:t>；</w:t>
      </w:r>
      <w:r w:rsidR="00791634" w:rsidRPr="00815A0E">
        <w:rPr>
          <w:rFonts w:hAnsi="標楷體" w:hint="eastAsia"/>
          <w:color w:val="000000" w:themeColor="text1"/>
        </w:rPr>
        <w:t>另以</w:t>
      </w:r>
      <w:r w:rsidR="00586BE2" w:rsidRPr="00815A0E">
        <w:rPr>
          <w:rFonts w:hAnsi="標楷體" w:hint="eastAsia"/>
          <w:color w:val="000000" w:themeColor="text1"/>
        </w:rPr>
        <w:t>「</w:t>
      </w:r>
      <w:r w:rsidR="00791634" w:rsidRPr="00815A0E">
        <w:rPr>
          <w:rFonts w:hAnsi="標楷體" w:hint="eastAsia"/>
          <w:color w:val="000000" w:themeColor="text1"/>
        </w:rPr>
        <w:t>緊張高點法</w:t>
      </w:r>
      <w:r w:rsidR="00586BE2" w:rsidRPr="00815A0E">
        <w:rPr>
          <w:rFonts w:hAnsi="標楷體" w:hint="eastAsia"/>
          <w:color w:val="000000" w:themeColor="text1"/>
        </w:rPr>
        <w:t>」</w:t>
      </w:r>
      <w:r w:rsidR="00791634" w:rsidRPr="00815A0E">
        <w:rPr>
          <w:rFonts w:hAnsi="標楷體" w:hint="eastAsia"/>
          <w:color w:val="000000" w:themeColor="text1"/>
        </w:rPr>
        <w:t>測試受測人洪進生當問及測試問題</w:t>
      </w:r>
      <w:r w:rsidR="004E2654" w:rsidRPr="00815A0E">
        <w:rPr>
          <w:rFonts w:hAnsi="標楷體" w:hint="eastAsia"/>
          <w:color w:val="000000" w:themeColor="text1"/>
        </w:rPr>
        <w:t>，</w:t>
      </w:r>
      <w:r w:rsidR="00791634" w:rsidRPr="00815A0E">
        <w:rPr>
          <w:rFonts w:hAnsi="標楷體" w:hint="eastAsia"/>
          <w:color w:val="000000" w:themeColor="text1"/>
        </w:rPr>
        <w:t>有關本案這20萬元是誰交給你的經測試結果因圖譜反應欠缺一致性</w:t>
      </w:r>
      <w:r w:rsidR="004E2654" w:rsidRPr="00815A0E">
        <w:rPr>
          <w:rFonts w:hAnsi="標楷體" w:hint="eastAsia"/>
          <w:color w:val="000000" w:themeColor="text1"/>
        </w:rPr>
        <w:t>，</w:t>
      </w:r>
      <w:r w:rsidR="00941803" w:rsidRPr="00815A0E">
        <w:rPr>
          <w:rFonts w:hAnsi="標楷體" w:hint="eastAsia"/>
          <w:color w:val="000000" w:themeColor="text1"/>
        </w:rPr>
        <w:t>「</w:t>
      </w:r>
      <w:r w:rsidR="00791634" w:rsidRPr="00815A0E">
        <w:rPr>
          <w:rFonts w:hAnsi="標楷體" w:hint="eastAsia"/>
          <w:color w:val="000000" w:themeColor="text1"/>
        </w:rPr>
        <w:t>無法鑑判</w:t>
      </w:r>
      <w:r w:rsidR="00941803" w:rsidRPr="00815A0E">
        <w:rPr>
          <w:rFonts w:hAnsi="標楷體" w:hint="eastAsia"/>
          <w:color w:val="000000" w:themeColor="text1"/>
        </w:rPr>
        <w:t>」</w:t>
      </w:r>
      <w:r w:rsidR="008F284A" w:rsidRPr="00815A0E">
        <w:rPr>
          <w:rFonts w:hAnsi="標楷體" w:hint="eastAsia"/>
          <w:color w:val="000000" w:themeColor="text1"/>
        </w:rPr>
        <w:t>，是則，囑託測謊對象洪進生證言信用性並無法透過測謊鑑定加以判斷。</w:t>
      </w:r>
    </w:p>
    <w:p w:rsidR="009A5EB0" w:rsidRPr="00815A0E" w:rsidRDefault="009A5EB0" w:rsidP="009A5EB0">
      <w:pPr>
        <w:pStyle w:val="4"/>
        <w:rPr>
          <w:rFonts w:hAnsi="標楷體"/>
          <w:b/>
          <w:color w:val="000000" w:themeColor="text1"/>
        </w:rPr>
      </w:pPr>
      <w:r w:rsidRPr="00815A0E">
        <w:rPr>
          <w:rFonts w:hAnsi="標楷體" w:hint="eastAsia"/>
          <w:b/>
          <w:color w:val="000000" w:themeColor="text1"/>
        </w:rPr>
        <w:t>原確定判決就該測謊鑑定認為具有證據能力但無證明力，所以並未採用作為對於被告有利或不利之證據</w:t>
      </w:r>
    </w:p>
    <w:p w:rsidR="009A5EB0" w:rsidRPr="00815A0E" w:rsidRDefault="009A5EB0" w:rsidP="009A5EB0">
      <w:pPr>
        <w:pStyle w:val="4"/>
        <w:numPr>
          <w:ilvl w:val="0"/>
          <w:numId w:val="0"/>
        </w:numPr>
        <w:ind w:left="1701" w:firstLineChars="208" w:firstLine="708"/>
        <w:rPr>
          <w:rFonts w:hAnsi="標楷體"/>
          <w:color w:val="000000" w:themeColor="text1"/>
        </w:rPr>
      </w:pPr>
      <w:r w:rsidRPr="00815A0E">
        <w:rPr>
          <w:rFonts w:hAnsi="標楷體" w:hint="eastAsia"/>
          <w:color w:val="000000" w:themeColor="text1"/>
        </w:rPr>
        <w:t>原確定判決稱：「至於洪進生經刑事警察局進行測謊鑑定結果，雖因圖譜反應欠缺一致性而</w:t>
      </w:r>
      <w:r w:rsidR="00941803" w:rsidRPr="00815A0E">
        <w:rPr>
          <w:rFonts w:hAnsi="標楷體" w:hint="eastAsia"/>
          <w:color w:val="000000" w:themeColor="text1"/>
        </w:rPr>
        <w:t>『</w:t>
      </w:r>
      <w:r w:rsidRPr="00815A0E">
        <w:rPr>
          <w:rFonts w:hAnsi="標楷體" w:hint="eastAsia"/>
          <w:color w:val="000000" w:themeColor="text1"/>
        </w:rPr>
        <w:t>無法鑑判</w:t>
      </w:r>
      <w:r w:rsidR="00941803" w:rsidRPr="00815A0E">
        <w:rPr>
          <w:rFonts w:hAnsi="標楷體" w:hint="eastAsia"/>
          <w:color w:val="000000" w:themeColor="text1"/>
        </w:rPr>
        <w:t>』</w:t>
      </w:r>
      <w:r w:rsidRPr="00815A0E">
        <w:rPr>
          <w:rFonts w:hAnsi="標楷體" w:hint="eastAsia"/>
          <w:color w:val="000000" w:themeColor="text1"/>
        </w:rPr>
        <w:t>，有該局100年1月14日刑鑑字第1000006751號鑑定書可稽（見偵卷三第245-263頁），無從採為本案有利或不利被告之補強證據；惟相較於被告拒絕接受測謊，洪進生至少仍有測謊之意願，其結果亦難據為有利被告之認定。」</w:t>
      </w:r>
    </w:p>
    <w:p w:rsidR="005F5AB6" w:rsidRPr="00815A0E" w:rsidRDefault="00427D96" w:rsidP="00E13883">
      <w:pPr>
        <w:pStyle w:val="4"/>
        <w:rPr>
          <w:rFonts w:hAnsi="標楷體"/>
          <w:color w:val="000000" w:themeColor="text1"/>
        </w:rPr>
      </w:pPr>
      <w:r w:rsidRPr="00815A0E">
        <w:rPr>
          <w:rFonts w:hAnsi="標楷體" w:hint="eastAsia"/>
          <w:color w:val="000000" w:themeColor="text1"/>
        </w:rPr>
        <w:t>本院認為</w:t>
      </w:r>
      <w:r w:rsidR="00460800" w:rsidRPr="00815A0E">
        <w:rPr>
          <w:rFonts w:hAnsi="標楷體" w:hint="eastAsia"/>
          <w:color w:val="000000" w:themeColor="text1"/>
        </w:rPr>
        <w:t>測謊鑑定若採</w:t>
      </w:r>
      <w:r w:rsidR="00E13883" w:rsidRPr="00815A0E">
        <w:rPr>
          <w:rFonts w:hAnsi="標楷體" w:hint="eastAsia"/>
          <w:color w:val="000000" w:themeColor="text1"/>
        </w:rPr>
        <w:t>符合五要件</w:t>
      </w:r>
      <w:r w:rsidR="00460800" w:rsidRPr="00815A0E">
        <w:rPr>
          <w:rFonts w:hAnsi="標楷體" w:hint="eastAsia"/>
          <w:color w:val="000000" w:themeColor="text1"/>
        </w:rPr>
        <w:t>具有證據能</w:t>
      </w:r>
      <w:r w:rsidR="00460800" w:rsidRPr="00815A0E">
        <w:rPr>
          <w:rFonts w:hAnsi="標楷體" w:hint="eastAsia"/>
          <w:color w:val="000000" w:themeColor="text1"/>
        </w:rPr>
        <w:lastRenderedPageBreak/>
        <w:t>力之肯定說，</w:t>
      </w:r>
      <w:r w:rsidR="00E13883" w:rsidRPr="00815A0E">
        <w:rPr>
          <w:rFonts w:hAnsi="標楷體" w:hint="eastAsia"/>
          <w:color w:val="000000" w:themeColor="text1"/>
        </w:rPr>
        <w:t>則</w:t>
      </w:r>
      <w:r w:rsidR="00460800" w:rsidRPr="00815A0E">
        <w:rPr>
          <w:rFonts w:hAnsi="標楷體" w:hint="eastAsia"/>
          <w:color w:val="000000" w:themeColor="text1"/>
        </w:rPr>
        <w:t>屬法官自由心證之範疇，</w:t>
      </w:r>
      <w:r w:rsidR="00E13883" w:rsidRPr="00815A0E">
        <w:rPr>
          <w:rFonts w:hAnsi="標楷體" w:hint="eastAsia"/>
          <w:color w:val="000000" w:themeColor="text1"/>
        </w:rPr>
        <w:t>本案</w:t>
      </w:r>
      <w:r w:rsidR="005F5AB6" w:rsidRPr="00815A0E">
        <w:rPr>
          <w:rFonts w:hAnsi="標楷體" w:hint="eastAsia"/>
          <w:color w:val="000000" w:themeColor="text1"/>
        </w:rPr>
        <w:t>判決確定後</w:t>
      </w:r>
      <w:r w:rsidR="00F12511" w:rsidRPr="00815A0E">
        <w:rPr>
          <w:rFonts w:hAnsi="標楷體" w:hint="eastAsia"/>
          <w:color w:val="000000" w:themeColor="text1"/>
        </w:rPr>
        <w:t>陳訴人</w:t>
      </w:r>
      <w:r w:rsidR="005F5AB6" w:rsidRPr="00815A0E">
        <w:rPr>
          <w:rFonts w:hAnsi="標楷體" w:hint="eastAsia"/>
          <w:color w:val="000000" w:themeColor="text1"/>
        </w:rPr>
        <w:t>再就同一「測謊圖譜」</w:t>
      </w:r>
      <w:r w:rsidR="00C629EB" w:rsidRPr="00815A0E">
        <w:rPr>
          <w:rFonts w:hAnsi="標楷體" w:hint="eastAsia"/>
          <w:color w:val="000000" w:themeColor="text1"/>
        </w:rPr>
        <w:t>委由</w:t>
      </w:r>
      <w:r w:rsidR="007979B0" w:rsidRPr="00815A0E">
        <w:rPr>
          <w:rFonts w:hAnsi="標楷體" w:hint="eastAsia"/>
          <w:color w:val="000000" w:themeColor="text1"/>
        </w:rPr>
        <w:t>李錦明儀測公司</w:t>
      </w:r>
      <w:r w:rsidRPr="00815A0E">
        <w:rPr>
          <w:rFonts w:hAnsi="標楷體" w:hint="eastAsia"/>
          <w:color w:val="000000" w:themeColor="text1"/>
        </w:rPr>
        <w:t>僅</w:t>
      </w:r>
      <w:r w:rsidR="005F5AB6" w:rsidRPr="00815A0E">
        <w:rPr>
          <w:rFonts w:hAnsi="標楷體" w:hint="eastAsia"/>
          <w:color w:val="000000" w:themeColor="text1"/>
        </w:rPr>
        <w:t>經不同解讀或研判後所</w:t>
      </w:r>
      <w:r w:rsidR="008F284A" w:rsidRPr="00815A0E">
        <w:rPr>
          <w:rFonts w:hAnsi="標楷體" w:hint="eastAsia"/>
          <w:color w:val="000000" w:themeColor="text1"/>
        </w:rPr>
        <w:t>獲致結論</w:t>
      </w:r>
      <w:r w:rsidRPr="00815A0E">
        <w:rPr>
          <w:rFonts w:hAnsi="標楷體" w:hint="eastAsia"/>
          <w:color w:val="000000" w:themeColor="text1"/>
        </w:rPr>
        <w:t>，並無證據</w:t>
      </w:r>
      <w:r w:rsidR="0022285B" w:rsidRPr="00815A0E">
        <w:rPr>
          <w:rFonts w:hAnsi="標楷體" w:hint="eastAsia"/>
          <w:color w:val="000000" w:themeColor="text1"/>
        </w:rPr>
        <w:t>足以</w:t>
      </w:r>
      <w:r w:rsidRPr="00815A0E">
        <w:rPr>
          <w:rFonts w:hAnsi="標楷體" w:hint="eastAsia"/>
          <w:color w:val="000000" w:themeColor="text1"/>
        </w:rPr>
        <w:t>證明</w:t>
      </w:r>
      <w:r w:rsidR="0022285B" w:rsidRPr="00815A0E">
        <w:rPr>
          <w:rFonts w:hAnsi="標楷體" w:hint="eastAsia"/>
          <w:color w:val="000000" w:themeColor="text1"/>
        </w:rPr>
        <w:t>其信用性</w:t>
      </w:r>
      <w:r w:rsidR="00E13883" w:rsidRPr="00815A0E">
        <w:rPr>
          <w:rFonts w:hAnsi="標楷體" w:hint="eastAsia"/>
          <w:color w:val="000000" w:themeColor="text1"/>
        </w:rPr>
        <w:t>當然</w:t>
      </w:r>
      <w:r w:rsidR="0022285B" w:rsidRPr="00815A0E">
        <w:rPr>
          <w:rFonts w:hAnsi="標楷體" w:hint="eastAsia"/>
          <w:color w:val="000000" w:themeColor="text1"/>
        </w:rPr>
        <w:t>高於刑事警察局之鑑定</w:t>
      </w:r>
      <w:r w:rsidR="00E13883" w:rsidRPr="00815A0E">
        <w:rPr>
          <w:rFonts w:hAnsi="標楷體" w:hint="eastAsia"/>
          <w:color w:val="000000" w:themeColor="text1"/>
        </w:rPr>
        <w:t>結果，進而</w:t>
      </w:r>
      <w:r w:rsidR="0022285B" w:rsidRPr="00815A0E">
        <w:rPr>
          <w:rFonts w:hAnsi="標楷體" w:hint="eastAsia"/>
          <w:color w:val="000000" w:themeColor="text1"/>
        </w:rPr>
        <w:t>得</w:t>
      </w:r>
      <w:r w:rsidR="00E13883" w:rsidRPr="00815A0E">
        <w:rPr>
          <w:rFonts w:hAnsi="標楷體" w:hint="eastAsia"/>
          <w:color w:val="000000" w:themeColor="text1"/>
        </w:rPr>
        <w:t>為認定原確定判決事實認定錯誤，將其判決理由所認定刑事警察局測謊</w:t>
      </w:r>
      <w:r w:rsidR="0022285B" w:rsidRPr="00815A0E">
        <w:rPr>
          <w:rFonts w:hAnsi="標楷體" w:hint="eastAsia"/>
          <w:color w:val="000000" w:themeColor="text1"/>
        </w:rPr>
        <w:t>鑑定全</w:t>
      </w:r>
      <w:r w:rsidRPr="00815A0E">
        <w:rPr>
          <w:rFonts w:hAnsi="標楷體" w:hint="eastAsia"/>
          <w:color w:val="000000" w:themeColor="text1"/>
        </w:rPr>
        <w:t>無</w:t>
      </w:r>
      <w:r w:rsidR="005F5AB6" w:rsidRPr="00815A0E">
        <w:rPr>
          <w:rFonts w:hAnsi="標楷體" w:hint="eastAsia"/>
          <w:color w:val="000000" w:themeColor="text1"/>
        </w:rPr>
        <w:t>證明力</w:t>
      </w:r>
      <w:r w:rsidR="00E13883" w:rsidRPr="00815A0E">
        <w:rPr>
          <w:rFonts w:hAnsi="標楷體" w:hint="eastAsia"/>
          <w:color w:val="000000" w:themeColor="text1"/>
        </w:rPr>
        <w:t>之</w:t>
      </w:r>
      <w:r w:rsidR="0022285B" w:rsidRPr="00815A0E">
        <w:rPr>
          <w:rFonts w:hAnsi="標楷體" w:hint="eastAsia"/>
          <w:color w:val="000000" w:themeColor="text1"/>
        </w:rPr>
        <w:t>結果推翻。</w:t>
      </w:r>
    </w:p>
    <w:p w:rsidR="00460800" w:rsidRPr="00815A0E" w:rsidRDefault="00460800" w:rsidP="00460800">
      <w:pPr>
        <w:pStyle w:val="5"/>
        <w:rPr>
          <w:rFonts w:hAnsi="標楷體"/>
          <w:color w:val="000000" w:themeColor="text1"/>
        </w:rPr>
      </w:pPr>
      <w:r w:rsidRPr="00815A0E">
        <w:rPr>
          <w:rFonts w:hAnsi="標楷體" w:hint="eastAsia"/>
          <w:color w:val="000000" w:themeColor="text1"/>
        </w:rPr>
        <w:t>最高法院</w:t>
      </w:r>
      <w:r w:rsidR="008D7A97" w:rsidRPr="00815A0E">
        <w:rPr>
          <w:rFonts w:hAnsi="標楷體"/>
          <w:color w:val="000000" w:themeColor="text1"/>
        </w:rPr>
        <w:t>92年度台上字</w:t>
      </w:r>
      <w:r w:rsidRPr="00815A0E">
        <w:rPr>
          <w:rFonts w:hAnsi="標楷體" w:hint="eastAsia"/>
          <w:color w:val="000000" w:themeColor="text1"/>
        </w:rPr>
        <w:t>第</w:t>
      </w:r>
      <w:r w:rsidRPr="00815A0E">
        <w:rPr>
          <w:rFonts w:hAnsi="標楷體"/>
          <w:color w:val="000000" w:themeColor="text1"/>
        </w:rPr>
        <w:t>2282</w:t>
      </w:r>
      <w:r w:rsidRPr="00815A0E">
        <w:rPr>
          <w:rFonts w:hAnsi="標楷體" w:hint="eastAsia"/>
          <w:color w:val="000000" w:themeColor="text1"/>
        </w:rPr>
        <w:t>號判決：「測謊鑑定，係依一般人若下意識刻意隱瞞事實真相時，會產生微妙之心理變化，例如：憂慮、緊張、恐懼、不安等現象，而因身體內部之心理變化，身體外部之心理狀況亦隨之變化，例如：呼吸急促、血液循環加速、心跳加快、聲音降低、大量流汗等異常現象，惟表現在外之心理變化，往往不易由肉眼觀察，乃由測謊員對受測者提問與待證事實相關之問題，藉由科學儀器</w:t>
      </w:r>
      <w:r w:rsidRPr="00815A0E">
        <w:rPr>
          <w:rFonts w:hAnsi="標楷體"/>
          <w:color w:val="000000" w:themeColor="text1"/>
        </w:rPr>
        <w:t>(</w:t>
      </w:r>
      <w:r w:rsidRPr="00815A0E">
        <w:rPr>
          <w:rFonts w:hAnsi="標楷體" w:hint="eastAsia"/>
          <w:color w:val="000000" w:themeColor="text1"/>
        </w:rPr>
        <w:t>測謊機</w:t>
      </w:r>
      <w:r w:rsidRPr="00815A0E">
        <w:rPr>
          <w:rFonts w:hAnsi="標楷體"/>
          <w:color w:val="000000" w:themeColor="text1"/>
        </w:rPr>
        <w:t>)</w:t>
      </w:r>
      <w:r w:rsidRPr="00815A0E">
        <w:rPr>
          <w:rFonts w:hAnsi="標楷體" w:hint="eastAsia"/>
          <w:color w:val="000000" w:themeColor="text1"/>
        </w:rPr>
        <w:t>紀錄受測者對各個質問所產生細微之生理變化，加以受測者是否下意識刻意隱瞞事實真相，並判定其供述是否真實；測謊機本身並不能直接對受測者之供述產生正確與否之訊號，而係測謊員依其專業之學識及經驗，就測謊紀錄，予以客觀之分析解讀，至於測謊鑑定究竟有無證據能力，刑事訴訟法並無明文規定，惟實務上，送鑑單位依刑事訴訟法第</w:t>
      </w:r>
      <w:r w:rsidRPr="00815A0E">
        <w:rPr>
          <w:rFonts w:hAnsi="標楷體"/>
          <w:color w:val="000000" w:themeColor="text1"/>
        </w:rPr>
        <w:t>208</w:t>
      </w:r>
      <w:r w:rsidRPr="00815A0E">
        <w:rPr>
          <w:rFonts w:hAnsi="標楷體" w:hint="eastAsia"/>
          <w:color w:val="000000" w:themeColor="text1"/>
        </w:rPr>
        <w:t>條第</w:t>
      </w:r>
      <w:r w:rsidRPr="00815A0E">
        <w:rPr>
          <w:rFonts w:hAnsi="標楷體"/>
          <w:color w:val="000000" w:themeColor="text1"/>
        </w:rPr>
        <w:t>1</w:t>
      </w:r>
      <w:r w:rsidRPr="00815A0E">
        <w:rPr>
          <w:rFonts w:hAnsi="標楷體" w:hint="eastAsia"/>
          <w:color w:val="000000" w:themeColor="text1"/>
        </w:rPr>
        <w:t>項規定，囑託法務部調查局或內政部警政署刑事警察局為測謊檢查，受囑託機關就檢查結果，以該機關名義</w:t>
      </w:r>
      <w:r w:rsidR="00991383" w:rsidRPr="00815A0E">
        <w:rPr>
          <w:rFonts w:hAnsi="標楷體" w:hint="eastAsia"/>
          <w:color w:val="000000" w:themeColor="text1"/>
        </w:rPr>
        <w:t>函復</w:t>
      </w:r>
      <w:r w:rsidRPr="00815A0E">
        <w:rPr>
          <w:rFonts w:hAnsi="標楷體" w:hint="eastAsia"/>
          <w:color w:val="000000" w:themeColor="text1"/>
        </w:rPr>
        <w:t>原囑託之送鑑單位，該測謊檢查結果之書面報告，即係受囑託機關之鑑定報告，該機關之鑑定報告，形式上若符合測謊基本程序要件包括：經受測人同意配</w:t>
      </w:r>
      <w:r w:rsidRPr="00815A0E">
        <w:rPr>
          <w:rFonts w:hAnsi="標楷體" w:hint="eastAsia"/>
          <w:color w:val="000000" w:themeColor="text1"/>
        </w:rPr>
        <w:lastRenderedPageBreak/>
        <w:t>合，並已告知得拒絕受測，以減輕受測者不必要之壓力。測謊員須經良好之專業訓練與相當之經驗。測謊儀器品質良好且運作正常。受測人身心及意識狀態正常。測謊環境良好，無不當之外力干擾等要件，即賦予證據能力，非謂機關之鑑定報告書當然有證據能力</w:t>
      </w:r>
      <w:r w:rsidRPr="00815A0E">
        <w:rPr>
          <w:rFonts w:hAnsi="標楷體"/>
          <w:color w:val="000000" w:themeColor="text1"/>
        </w:rPr>
        <w:t>;</w:t>
      </w:r>
      <w:r w:rsidRPr="00815A0E">
        <w:rPr>
          <w:rFonts w:hAnsi="標楷體" w:hint="eastAsia"/>
          <w:color w:val="000000" w:themeColor="text1"/>
        </w:rPr>
        <w:t>具上述形式之證據能力者，始予以實質之價值判斷，必符合待證事實需求者，始有證明力</w:t>
      </w:r>
      <w:r w:rsidRPr="00815A0E">
        <w:rPr>
          <w:rFonts w:hAnsi="標楷體"/>
          <w:color w:val="000000" w:themeColor="text1"/>
        </w:rPr>
        <w:t>;</w:t>
      </w:r>
      <w:r w:rsidRPr="00815A0E">
        <w:rPr>
          <w:rFonts w:hAnsi="標楷體" w:hint="eastAsia"/>
          <w:color w:val="000000" w:themeColor="text1"/>
        </w:rPr>
        <w:t>刑事訴訟法就證據之證明力，採自由心證主義，由法院本於確信自由判斷，惟法院之自由判斷，亦非漫無限制，仍不得違背經驗法則及論理法則</w:t>
      </w:r>
      <w:r w:rsidRPr="00815A0E">
        <w:rPr>
          <w:rFonts w:hAnsi="標楷體"/>
          <w:color w:val="000000" w:themeColor="text1"/>
        </w:rPr>
        <w:t>;</w:t>
      </w:r>
      <w:r w:rsidRPr="00815A0E">
        <w:rPr>
          <w:rFonts w:hAnsi="標楷體" w:hint="eastAsia"/>
          <w:color w:val="000000" w:themeColor="text1"/>
        </w:rPr>
        <w:t>測謊檢查之受測者可能因人格特性或對於測謊質問之問題無法真正瞭解，致出現不應有之情緒波動反應，此時若過於相信測謊結果，反而有害於正當之事實認定，又測謊檢查之時間過遲，攸關受測者情緒得否平復，與鑑定之精確性非無影響，此時間因素，事實審法院於取捨時不得不予考量。」等語。同院</w:t>
      </w:r>
      <w:r w:rsidR="008D7A97" w:rsidRPr="00815A0E">
        <w:rPr>
          <w:rFonts w:hAnsi="標楷體"/>
          <w:color w:val="000000" w:themeColor="text1"/>
        </w:rPr>
        <w:t>92年度台上字</w:t>
      </w:r>
      <w:r w:rsidRPr="00815A0E">
        <w:rPr>
          <w:rFonts w:hAnsi="標楷體" w:hint="eastAsia"/>
          <w:color w:val="000000" w:themeColor="text1"/>
        </w:rPr>
        <w:t>第</w:t>
      </w:r>
      <w:r w:rsidRPr="00815A0E">
        <w:rPr>
          <w:rFonts w:hAnsi="標楷體"/>
          <w:color w:val="000000" w:themeColor="text1"/>
        </w:rPr>
        <w:t>3822</w:t>
      </w:r>
      <w:r w:rsidRPr="00815A0E">
        <w:rPr>
          <w:rFonts w:hAnsi="標楷體" w:hint="eastAsia"/>
          <w:color w:val="000000" w:themeColor="text1"/>
        </w:rPr>
        <w:t>號、</w:t>
      </w:r>
      <w:r w:rsidRPr="00815A0E">
        <w:rPr>
          <w:rFonts w:hAnsi="標楷體"/>
          <w:color w:val="000000" w:themeColor="text1"/>
        </w:rPr>
        <w:t>93</w:t>
      </w:r>
      <w:r w:rsidR="008D7A97" w:rsidRPr="00815A0E">
        <w:rPr>
          <w:rFonts w:hAnsi="標楷體" w:hint="eastAsia"/>
          <w:color w:val="000000" w:themeColor="text1"/>
        </w:rPr>
        <w:t>年度台上字</w:t>
      </w:r>
      <w:r w:rsidRPr="00815A0E">
        <w:rPr>
          <w:rFonts w:hAnsi="標楷體" w:hint="eastAsia"/>
          <w:color w:val="000000" w:themeColor="text1"/>
        </w:rPr>
        <w:t>第</w:t>
      </w:r>
      <w:r w:rsidRPr="00815A0E">
        <w:rPr>
          <w:rFonts w:hAnsi="標楷體"/>
          <w:color w:val="000000" w:themeColor="text1"/>
        </w:rPr>
        <w:t>1865</w:t>
      </w:r>
      <w:r w:rsidRPr="00815A0E">
        <w:rPr>
          <w:rFonts w:hAnsi="標楷體" w:hint="eastAsia"/>
          <w:color w:val="000000" w:themeColor="text1"/>
        </w:rPr>
        <w:t>號、</w:t>
      </w:r>
      <w:r w:rsidRPr="00815A0E">
        <w:rPr>
          <w:rFonts w:hAnsi="標楷體"/>
          <w:color w:val="000000" w:themeColor="text1"/>
        </w:rPr>
        <w:t>93</w:t>
      </w:r>
      <w:r w:rsidR="008D7A97" w:rsidRPr="00815A0E">
        <w:rPr>
          <w:rFonts w:hAnsi="標楷體" w:hint="eastAsia"/>
          <w:color w:val="000000" w:themeColor="text1"/>
        </w:rPr>
        <w:t>年度台上字</w:t>
      </w:r>
      <w:r w:rsidRPr="00815A0E">
        <w:rPr>
          <w:rFonts w:hAnsi="標楷體" w:hint="eastAsia"/>
          <w:color w:val="000000" w:themeColor="text1"/>
        </w:rPr>
        <w:t>第</w:t>
      </w:r>
      <w:r w:rsidRPr="00815A0E">
        <w:rPr>
          <w:rFonts w:hAnsi="標楷體"/>
          <w:color w:val="000000" w:themeColor="text1"/>
        </w:rPr>
        <w:t>1938</w:t>
      </w:r>
      <w:r w:rsidRPr="00815A0E">
        <w:rPr>
          <w:rFonts w:hAnsi="標楷體" w:hint="eastAsia"/>
          <w:color w:val="000000" w:themeColor="text1"/>
        </w:rPr>
        <w:t>號、</w:t>
      </w:r>
      <w:r w:rsidRPr="00815A0E">
        <w:rPr>
          <w:rFonts w:hAnsi="標楷體"/>
          <w:color w:val="000000" w:themeColor="text1"/>
        </w:rPr>
        <w:t>93</w:t>
      </w:r>
      <w:r w:rsidR="008D7A97" w:rsidRPr="00815A0E">
        <w:rPr>
          <w:rFonts w:hAnsi="標楷體" w:hint="eastAsia"/>
          <w:color w:val="000000" w:themeColor="text1"/>
        </w:rPr>
        <w:t>年度台上字</w:t>
      </w:r>
      <w:r w:rsidRPr="00815A0E">
        <w:rPr>
          <w:rFonts w:hAnsi="標楷體" w:hint="eastAsia"/>
          <w:color w:val="000000" w:themeColor="text1"/>
        </w:rPr>
        <w:t>第</w:t>
      </w:r>
      <w:r w:rsidRPr="00815A0E">
        <w:rPr>
          <w:rFonts w:hAnsi="標楷體"/>
          <w:color w:val="000000" w:themeColor="text1"/>
        </w:rPr>
        <w:t>4405</w:t>
      </w:r>
      <w:r w:rsidRPr="00815A0E">
        <w:rPr>
          <w:rFonts w:hAnsi="標楷體" w:hint="eastAsia"/>
          <w:color w:val="000000" w:themeColor="text1"/>
        </w:rPr>
        <w:t>號、</w:t>
      </w:r>
      <w:r w:rsidRPr="00815A0E">
        <w:rPr>
          <w:rFonts w:hAnsi="標楷體"/>
          <w:color w:val="000000" w:themeColor="text1"/>
        </w:rPr>
        <w:t>95</w:t>
      </w:r>
      <w:r w:rsidRPr="00815A0E">
        <w:rPr>
          <w:rFonts w:hAnsi="標楷體" w:hint="eastAsia"/>
          <w:color w:val="000000" w:themeColor="text1"/>
        </w:rPr>
        <w:t>臺上字第</w:t>
      </w:r>
      <w:r w:rsidRPr="00815A0E">
        <w:rPr>
          <w:rFonts w:hAnsi="標楷體"/>
          <w:color w:val="000000" w:themeColor="text1"/>
        </w:rPr>
        <w:t>2763</w:t>
      </w:r>
      <w:r w:rsidRPr="00815A0E">
        <w:rPr>
          <w:rFonts w:hAnsi="標楷體" w:hint="eastAsia"/>
          <w:color w:val="000000" w:themeColor="text1"/>
        </w:rPr>
        <w:t>號、</w:t>
      </w:r>
      <w:r w:rsidRPr="00815A0E">
        <w:rPr>
          <w:rFonts w:hAnsi="標楷體"/>
          <w:color w:val="000000" w:themeColor="text1"/>
        </w:rPr>
        <w:t>95</w:t>
      </w:r>
      <w:r w:rsidRPr="00815A0E">
        <w:rPr>
          <w:rFonts w:hAnsi="標楷體" w:hint="eastAsia"/>
          <w:color w:val="000000" w:themeColor="text1"/>
        </w:rPr>
        <w:t>臺上字第</w:t>
      </w:r>
      <w:r w:rsidRPr="00815A0E">
        <w:rPr>
          <w:rFonts w:hAnsi="標楷體"/>
          <w:color w:val="000000" w:themeColor="text1"/>
        </w:rPr>
        <w:t>1366</w:t>
      </w:r>
      <w:r w:rsidRPr="00815A0E">
        <w:rPr>
          <w:rFonts w:hAnsi="標楷體" w:hint="eastAsia"/>
          <w:color w:val="000000" w:themeColor="text1"/>
        </w:rPr>
        <w:t>號等判決亦採此見解。是則，若採測謊鑑定具有證據能力之肯定說必須符合</w:t>
      </w:r>
      <w:r w:rsidRPr="00815A0E">
        <w:rPr>
          <w:rFonts w:hAnsi="標楷體"/>
          <w:color w:val="000000" w:themeColor="text1"/>
        </w:rPr>
        <w:t>1.</w:t>
      </w:r>
      <w:r w:rsidRPr="00815A0E">
        <w:rPr>
          <w:rFonts w:hAnsi="標楷體" w:hint="eastAsia"/>
          <w:color w:val="000000" w:themeColor="text1"/>
        </w:rPr>
        <w:t>經受測人同意配合，並已告知得拒絕受測，以減輕受測者不必要之壓力。</w:t>
      </w:r>
      <w:r w:rsidRPr="00815A0E">
        <w:rPr>
          <w:rFonts w:hAnsi="標楷體"/>
          <w:color w:val="000000" w:themeColor="text1"/>
        </w:rPr>
        <w:t>2.</w:t>
      </w:r>
      <w:r w:rsidRPr="00815A0E">
        <w:rPr>
          <w:rFonts w:hAnsi="標楷體" w:hint="eastAsia"/>
          <w:color w:val="000000" w:themeColor="text1"/>
        </w:rPr>
        <w:t>測謊員須經良好之專業訓練與相當之經驗。</w:t>
      </w:r>
      <w:r w:rsidRPr="00815A0E">
        <w:rPr>
          <w:rFonts w:hAnsi="標楷體"/>
          <w:color w:val="000000" w:themeColor="text1"/>
        </w:rPr>
        <w:t>3.</w:t>
      </w:r>
      <w:r w:rsidRPr="00815A0E">
        <w:rPr>
          <w:rFonts w:hAnsi="標楷體" w:hint="eastAsia"/>
          <w:color w:val="000000" w:themeColor="text1"/>
        </w:rPr>
        <w:t>測謊儀器品質良好且運作正常。</w:t>
      </w:r>
      <w:r w:rsidRPr="00815A0E">
        <w:rPr>
          <w:rFonts w:hAnsi="標楷體"/>
          <w:color w:val="000000" w:themeColor="text1"/>
        </w:rPr>
        <w:t>4.</w:t>
      </w:r>
      <w:r w:rsidRPr="00815A0E">
        <w:rPr>
          <w:rFonts w:hAnsi="標楷體" w:hint="eastAsia"/>
          <w:color w:val="000000" w:themeColor="text1"/>
        </w:rPr>
        <w:t>受測人身心及意識狀態正常。</w:t>
      </w:r>
      <w:r w:rsidRPr="00815A0E">
        <w:rPr>
          <w:rFonts w:hAnsi="標楷體"/>
          <w:color w:val="000000" w:themeColor="text1"/>
        </w:rPr>
        <w:t>5.</w:t>
      </w:r>
      <w:r w:rsidRPr="00815A0E">
        <w:rPr>
          <w:rFonts w:hAnsi="標楷體" w:hint="eastAsia"/>
          <w:color w:val="000000" w:themeColor="text1"/>
        </w:rPr>
        <w:t>測謊環境良好，無不當之外力干擾等</w:t>
      </w:r>
      <w:r w:rsidRPr="00815A0E">
        <w:rPr>
          <w:rFonts w:hAnsi="標楷體"/>
          <w:color w:val="000000" w:themeColor="text1"/>
        </w:rPr>
        <w:t>5</w:t>
      </w:r>
      <w:r w:rsidRPr="00815A0E">
        <w:rPr>
          <w:rFonts w:hAnsi="標楷體" w:hint="eastAsia"/>
          <w:color w:val="000000" w:themeColor="text1"/>
        </w:rPr>
        <w:t>要件。至於測謊鑑定之證明力，採自由心證主義，在不得違背經驗法則及論理法則下，由法院本於確信自由判斷。</w:t>
      </w:r>
    </w:p>
    <w:p w:rsidR="009A5EB0" w:rsidRPr="00815A0E" w:rsidRDefault="009A5EB0" w:rsidP="00460800">
      <w:pPr>
        <w:pStyle w:val="5"/>
        <w:rPr>
          <w:rFonts w:hAnsi="標楷體"/>
          <w:color w:val="000000" w:themeColor="text1"/>
        </w:rPr>
      </w:pPr>
      <w:r w:rsidRPr="00815A0E">
        <w:rPr>
          <w:rFonts w:hAnsi="標楷體" w:hint="eastAsia"/>
          <w:color w:val="000000" w:themeColor="text1"/>
        </w:rPr>
        <w:lastRenderedPageBreak/>
        <w:t>本件</w:t>
      </w:r>
      <w:r w:rsidR="00F12511" w:rsidRPr="00815A0E">
        <w:rPr>
          <w:rFonts w:hAnsi="標楷體" w:hint="eastAsia"/>
          <w:color w:val="000000" w:themeColor="text1"/>
        </w:rPr>
        <w:t>陳訴人</w:t>
      </w:r>
      <w:r w:rsidRPr="00815A0E">
        <w:rPr>
          <w:rFonts w:hAnsi="標楷體" w:hint="eastAsia"/>
          <w:color w:val="000000" w:themeColor="text1"/>
        </w:rPr>
        <w:t>於判決確定後，因認證人洪進生之供述係屬不實</w:t>
      </w:r>
      <w:r w:rsidR="00681026" w:rsidRPr="00815A0E">
        <w:rPr>
          <w:rFonts w:hAnsi="標楷體" w:hint="eastAsia"/>
          <w:color w:val="000000" w:themeColor="text1"/>
        </w:rPr>
        <w:t>，將同一</w:t>
      </w:r>
      <w:r w:rsidR="00C0292F" w:rsidRPr="00815A0E">
        <w:rPr>
          <w:rFonts w:hAnsi="標楷體" w:hint="eastAsia"/>
          <w:color w:val="000000" w:themeColor="text1"/>
        </w:rPr>
        <w:t>「測謊圖譜」</w:t>
      </w:r>
      <w:r w:rsidR="008F284A" w:rsidRPr="00815A0E">
        <w:rPr>
          <w:rFonts w:hAnsi="標楷體" w:hint="eastAsia"/>
          <w:color w:val="000000" w:themeColor="text1"/>
        </w:rPr>
        <w:t>委由</w:t>
      </w:r>
      <w:r w:rsidR="007979B0" w:rsidRPr="00815A0E">
        <w:rPr>
          <w:rFonts w:hAnsi="標楷體" w:hint="eastAsia"/>
          <w:color w:val="000000" w:themeColor="text1"/>
        </w:rPr>
        <w:t>李錦明儀測公司</w:t>
      </w:r>
      <w:r w:rsidR="00C0292F" w:rsidRPr="00815A0E">
        <w:rPr>
          <w:rFonts w:hAnsi="標楷體" w:hint="eastAsia"/>
          <w:color w:val="000000" w:themeColor="text1"/>
        </w:rPr>
        <w:t>為不同解讀所得結論，認</w:t>
      </w:r>
      <w:r w:rsidR="009771C4" w:rsidRPr="00815A0E">
        <w:rPr>
          <w:rFonts w:hAnsi="標楷體" w:hint="eastAsia"/>
          <w:color w:val="000000" w:themeColor="text1"/>
        </w:rPr>
        <w:t>測謊結果理應呈</w:t>
      </w:r>
      <w:r w:rsidR="00831FDE" w:rsidRPr="00815A0E">
        <w:rPr>
          <w:rFonts w:hAnsi="標楷體" w:hint="eastAsia"/>
          <w:color w:val="000000" w:themeColor="text1"/>
        </w:rPr>
        <w:t>「不實反應」</w:t>
      </w:r>
      <w:r w:rsidR="009771C4" w:rsidRPr="00815A0E">
        <w:rPr>
          <w:rFonts w:hAnsi="標楷體" w:hint="eastAsia"/>
          <w:color w:val="000000" w:themeColor="text1"/>
        </w:rPr>
        <w:t>，</w:t>
      </w:r>
      <w:r w:rsidR="00C0292F" w:rsidRPr="00815A0E">
        <w:rPr>
          <w:rFonts w:hAnsi="標楷體" w:hint="eastAsia"/>
          <w:color w:val="000000" w:themeColor="text1"/>
        </w:rPr>
        <w:t>而</w:t>
      </w:r>
      <w:r w:rsidRPr="00815A0E">
        <w:rPr>
          <w:rFonts w:hAnsi="標楷體" w:hint="eastAsia"/>
          <w:color w:val="000000" w:themeColor="text1"/>
        </w:rPr>
        <w:t>先前刑事警察局所施做之測謊鑑定，「因圖譜反應欠缺一致性而</w:t>
      </w:r>
      <w:r w:rsidR="00941803" w:rsidRPr="00815A0E">
        <w:rPr>
          <w:rFonts w:hAnsi="標楷體" w:hint="eastAsia"/>
          <w:color w:val="000000" w:themeColor="text1"/>
        </w:rPr>
        <w:t>『</w:t>
      </w:r>
      <w:r w:rsidRPr="00815A0E">
        <w:rPr>
          <w:rFonts w:hAnsi="標楷體" w:hint="eastAsia"/>
          <w:color w:val="000000" w:themeColor="text1"/>
        </w:rPr>
        <w:t>無法鑑判</w:t>
      </w:r>
      <w:r w:rsidR="00941803" w:rsidRPr="00815A0E">
        <w:rPr>
          <w:rFonts w:hAnsi="標楷體" w:hint="eastAsia"/>
          <w:color w:val="000000" w:themeColor="text1"/>
        </w:rPr>
        <w:t>』</w:t>
      </w:r>
      <w:r w:rsidRPr="00815A0E">
        <w:rPr>
          <w:rFonts w:hAnsi="標楷體" w:hint="eastAsia"/>
          <w:color w:val="000000" w:themeColor="text1"/>
        </w:rPr>
        <w:t>」</w:t>
      </w:r>
      <w:r w:rsidR="00C0292F" w:rsidRPr="00815A0E">
        <w:rPr>
          <w:rFonts w:hAnsi="標楷體" w:hint="eastAsia"/>
          <w:color w:val="000000" w:themeColor="text1"/>
        </w:rPr>
        <w:t>之</w:t>
      </w:r>
      <w:r w:rsidR="009771C4" w:rsidRPr="00815A0E">
        <w:rPr>
          <w:rFonts w:hAnsi="標楷體" w:hint="eastAsia"/>
          <w:color w:val="000000" w:themeColor="text1"/>
        </w:rPr>
        <w:t>認定有誤</w:t>
      </w:r>
      <w:r w:rsidRPr="00815A0E">
        <w:rPr>
          <w:rFonts w:hAnsi="標楷體" w:hint="eastAsia"/>
          <w:color w:val="000000" w:themeColor="text1"/>
        </w:rPr>
        <w:t>，固據</w:t>
      </w:r>
      <w:r w:rsidR="00F12511" w:rsidRPr="00815A0E">
        <w:rPr>
          <w:rFonts w:hAnsi="標楷體" w:hint="eastAsia"/>
          <w:color w:val="000000" w:themeColor="text1"/>
        </w:rPr>
        <w:t>陳訴人</w:t>
      </w:r>
      <w:r w:rsidRPr="00815A0E">
        <w:rPr>
          <w:rFonts w:hAnsi="標楷體" w:hint="eastAsia"/>
          <w:color w:val="000000" w:themeColor="text1"/>
        </w:rPr>
        <w:t>提出</w:t>
      </w:r>
      <w:r w:rsidR="007979B0" w:rsidRPr="00815A0E">
        <w:rPr>
          <w:rFonts w:hAnsi="標楷體" w:hint="eastAsia"/>
          <w:color w:val="000000" w:themeColor="text1"/>
        </w:rPr>
        <w:t>李錦明儀測公司</w:t>
      </w:r>
      <w:r w:rsidRPr="00815A0E">
        <w:rPr>
          <w:rFonts w:hAnsi="標楷體" w:hint="eastAsia"/>
          <w:color w:val="000000" w:themeColor="text1"/>
        </w:rPr>
        <w:t>所出具之107年5月16日107儀測0106號函與檢送之相關資料及107年7月18日107儀測0108號函與檢送之相關資料為證，</w:t>
      </w:r>
      <w:r w:rsidR="00C0292F" w:rsidRPr="00815A0E">
        <w:rPr>
          <w:rFonts w:hAnsi="標楷體" w:hint="eastAsia"/>
          <w:color w:val="000000" w:themeColor="text1"/>
        </w:rPr>
        <w:t>然就</w:t>
      </w:r>
      <w:r w:rsidR="00F12511" w:rsidRPr="00815A0E">
        <w:rPr>
          <w:rFonts w:hAnsi="標楷體" w:hint="eastAsia"/>
          <w:color w:val="000000" w:themeColor="text1"/>
        </w:rPr>
        <w:t>陳訴人</w:t>
      </w:r>
      <w:r w:rsidR="009771C4" w:rsidRPr="00815A0E">
        <w:rPr>
          <w:rFonts w:hAnsi="標楷體" w:hint="eastAsia"/>
          <w:color w:val="000000" w:themeColor="text1"/>
        </w:rPr>
        <w:t>所提出107年7月20日107儀測0110號函就</w:t>
      </w:r>
      <w:r w:rsidR="00A651D2" w:rsidRPr="00815A0E">
        <w:rPr>
          <w:rFonts w:hAnsi="標楷體" w:hint="eastAsia"/>
          <w:color w:val="000000" w:themeColor="text1"/>
        </w:rPr>
        <w:t>刑事警察局</w:t>
      </w:r>
      <w:r w:rsidR="009771C4" w:rsidRPr="00815A0E">
        <w:rPr>
          <w:rFonts w:hAnsi="標楷體" w:hint="eastAsia"/>
          <w:color w:val="000000" w:themeColor="text1"/>
        </w:rPr>
        <w:t>之「測謊圖譜分析量化表」之評分複核，所稱主要差異：「1.Seriesl Chart3 即#2，R7的心脈血壓頻道原經評價為-2，本公司認以評價為-3為宜。因R7與右邊控制問題比較基線上升幅度非常大。2.Seriesl Chart4 即#3，R7的膚電反應頻道原經評價為0，本公司認以評價為-1為宜。因R7與左邊控制問題比較曲線上升幅度較高但未逾3倍。3.Seriesl Chart4</w:t>
      </w:r>
      <w:r w:rsidR="00BA489C" w:rsidRPr="00815A0E">
        <w:rPr>
          <w:rFonts w:hAnsi="標楷體" w:hint="eastAsia"/>
          <w:color w:val="000000" w:themeColor="text1"/>
        </w:rPr>
        <w:t xml:space="preserve"> </w:t>
      </w:r>
      <w:r w:rsidR="009771C4" w:rsidRPr="00815A0E">
        <w:rPr>
          <w:rFonts w:hAnsi="標楷體" w:hint="eastAsia"/>
          <w:color w:val="000000" w:themeColor="text1"/>
        </w:rPr>
        <w:t>即#3，R7的心脈血壓頻道原經評價為0，本公司認以評價為-1為宜。因R7與右邊控制問題比較基線上升幅度較大。4.Seriesl Chart6</w:t>
      </w:r>
      <w:r w:rsidR="00BA489C" w:rsidRPr="00815A0E">
        <w:rPr>
          <w:rFonts w:hAnsi="標楷體" w:hint="eastAsia"/>
          <w:color w:val="000000" w:themeColor="text1"/>
        </w:rPr>
        <w:t xml:space="preserve"> </w:t>
      </w:r>
      <w:r w:rsidR="009771C4" w:rsidRPr="00815A0E">
        <w:rPr>
          <w:rFonts w:hAnsi="標楷體" w:hint="eastAsia"/>
          <w:color w:val="000000" w:themeColor="text1"/>
        </w:rPr>
        <w:t>即#5，R7的膚電反應頻道原經評價為0，本公司認以評價為-1為宜。因R7與右邊控制問題比較曲線上升幅度較高但未逾3倍。綜上，R7之總合分數應有-2修正為-4，結論應由『無法鑑判』修正為『不實反應』」等結論為可採</w:t>
      </w:r>
      <w:r w:rsidR="00C0292F" w:rsidRPr="00815A0E">
        <w:rPr>
          <w:rFonts w:hAnsi="標楷體" w:hint="eastAsia"/>
          <w:color w:val="000000" w:themeColor="text1"/>
        </w:rPr>
        <w:t>，其理由為何</w:t>
      </w:r>
      <w:r w:rsidR="009771C4" w:rsidRPr="00815A0E">
        <w:rPr>
          <w:rFonts w:hAnsi="標楷體" w:hint="eastAsia"/>
          <w:color w:val="000000" w:themeColor="text1"/>
        </w:rPr>
        <w:t>並未具體說明，又何以刑事警察局所為測謊鑑定</w:t>
      </w:r>
      <w:r w:rsidR="00C0292F" w:rsidRPr="00815A0E">
        <w:rPr>
          <w:rFonts w:hAnsi="標楷體" w:hint="eastAsia"/>
          <w:color w:val="000000" w:themeColor="text1"/>
        </w:rPr>
        <w:t>有違背經驗法則與論理法則。何以</w:t>
      </w:r>
      <w:r w:rsidR="007979B0" w:rsidRPr="00815A0E">
        <w:rPr>
          <w:rFonts w:hAnsi="標楷體" w:hint="eastAsia"/>
          <w:color w:val="000000" w:themeColor="text1"/>
        </w:rPr>
        <w:t>李錦明儀測公司</w:t>
      </w:r>
      <w:r w:rsidR="00C0292F" w:rsidRPr="00815A0E">
        <w:rPr>
          <w:rFonts w:hAnsi="標楷體" w:hint="eastAsia"/>
          <w:color w:val="000000" w:themeColor="text1"/>
        </w:rPr>
        <w:t>解讀為真？而刑事警察局解讀為假？若如此，何以</w:t>
      </w:r>
      <w:r w:rsidR="00F12511" w:rsidRPr="00815A0E">
        <w:rPr>
          <w:rFonts w:hAnsi="標楷體" w:hint="eastAsia"/>
          <w:color w:val="000000" w:themeColor="text1"/>
        </w:rPr>
        <w:t>陳訴人</w:t>
      </w:r>
      <w:r w:rsidR="00C0292F" w:rsidRPr="00815A0E">
        <w:rPr>
          <w:rFonts w:hAnsi="標楷體" w:hint="eastAsia"/>
          <w:color w:val="000000" w:themeColor="text1"/>
        </w:rPr>
        <w:t>不於審判程序中爭執</w:t>
      </w:r>
      <w:r w:rsidR="00A651D2" w:rsidRPr="00815A0E">
        <w:rPr>
          <w:rFonts w:hAnsi="標楷體" w:hint="eastAsia"/>
          <w:color w:val="000000" w:themeColor="text1"/>
        </w:rPr>
        <w:t>刑事警察局</w:t>
      </w:r>
      <w:r w:rsidR="00C0292F" w:rsidRPr="00815A0E">
        <w:rPr>
          <w:rFonts w:hAnsi="標楷體" w:hint="eastAsia"/>
          <w:color w:val="000000" w:themeColor="text1"/>
        </w:rPr>
        <w:t>「</w:t>
      </w:r>
      <w:r w:rsidR="00A521CD" w:rsidRPr="00815A0E">
        <w:rPr>
          <w:rFonts w:hAnsi="標楷體" w:hint="eastAsia"/>
          <w:color w:val="000000" w:themeColor="text1"/>
        </w:rPr>
        <w:t>無</w:t>
      </w:r>
      <w:r w:rsidR="00A521CD" w:rsidRPr="00815A0E">
        <w:rPr>
          <w:rFonts w:hAnsi="標楷體" w:hint="eastAsia"/>
          <w:color w:val="000000" w:themeColor="text1"/>
        </w:rPr>
        <w:lastRenderedPageBreak/>
        <w:t>法鑑判</w:t>
      </w:r>
      <w:r w:rsidR="00C0292F" w:rsidRPr="00815A0E">
        <w:rPr>
          <w:rFonts w:hAnsi="標楷體" w:hint="eastAsia"/>
          <w:color w:val="000000" w:themeColor="text1"/>
        </w:rPr>
        <w:t>」之認定</w:t>
      </w:r>
      <w:r w:rsidR="0022285B" w:rsidRPr="00815A0E">
        <w:rPr>
          <w:rFonts w:hAnsi="標楷體" w:hint="eastAsia"/>
          <w:color w:val="000000" w:themeColor="text1"/>
        </w:rPr>
        <w:t>，而於判決確定後再行提出</w:t>
      </w:r>
      <w:r w:rsidR="00C0292F" w:rsidRPr="00815A0E">
        <w:rPr>
          <w:rFonts w:hAnsi="標楷體" w:hint="eastAsia"/>
          <w:color w:val="000000" w:themeColor="text1"/>
        </w:rPr>
        <w:t>？又何以</w:t>
      </w:r>
      <w:r w:rsidR="00F12511" w:rsidRPr="00815A0E">
        <w:rPr>
          <w:rFonts w:hAnsi="標楷體" w:hint="eastAsia"/>
          <w:color w:val="000000" w:themeColor="text1"/>
        </w:rPr>
        <w:t>陳訴人</w:t>
      </w:r>
      <w:r w:rsidR="00C0292F" w:rsidRPr="00815A0E">
        <w:rPr>
          <w:rFonts w:hAnsi="標楷體" w:hint="eastAsia"/>
          <w:color w:val="000000" w:themeColor="text1"/>
        </w:rPr>
        <w:t>於偵查程序中</w:t>
      </w:r>
      <w:r w:rsidR="0022285B" w:rsidRPr="00815A0E">
        <w:rPr>
          <w:rFonts w:hAnsi="標楷體" w:hint="eastAsia"/>
          <w:color w:val="000000" w:themeColor="text1"/>
        </w:rPr>
        <w:t>拒絕接受測謊</w:t>
      </w:r>
      <w:r w:rsidR="00C0292F" w:rsidRPr="00815A0E">
        <w:rPr>
          <w:rFonts w:hAnsi="標楷體" w:hint="eastAsia"/>
          <w:color w:val="000000" w:themeColor="text1"/>
        </w:rPr>
        <w:t>聲稱不相信測謊</w:t>
      </w:r>
      <w:r w:rsidR="0022285B" w:rsidRPr="00815A0E">
        <w:rPr>
          <w:rFonts w:hAnsi="標楷體" w:hint="eastAsia"/>
          <w:color w:val="000000" w:themeColor="text1"/>
        </w:rPr>
        <w:t>（見</w:t>
      </w:r>
      <w:r w:rsidR="003B1F4B" w:rsidRPr="00815A0E">
        <w:rPr>
          <w:rFonts w:hAnsi="標楷體" w:hint="eastAsia"/>
          <w:color w:val="000000" w:themeColor="text1"/>
        </w:rPr>
        <w:t>臺南地檢</w:t>
      </w:r>
      <w:r w:rsidR="0022285B" w:rsidRPr="00815A0E">
        <w:rPr>
          <w:rFonts w:hAnsi="標楷體" w:hint="eastAsia"/>
          <w:color w:val="000000" w:themeColor="text1"/>
        </w:rPr>
        <w:t>99年選偵</w:t>
      </w:r>
      <w:r w:rsidR="0074333C" w:rsidRPr="00815A0E">
        <w:rPr>
          <w:rFonts w:hAnsi="標楷體" w:hint="eastAsia"/>
          <w:color w:val="000000" w:themeColor="text1"/>
        </w:rPr>
        <w:t>字</w:t>
      </w:r>
      <w:r w:rsidR="0022285B" w:rsidRPr="00815A0E">
        <w:rPr>
          <w:rFonts w:hAnsi="標楷體" w:hint="eastAsia"/>
          <w:color w:val="000000" w:themeColor="text1"/>
        </w:rPr>
        <w:t>第182號偵查卷頁77）</w:t>
      </w:r>
      <w:r w:rsidR="00C0292F" w:rsidRPr="00815A0E">
        <w:rPr>
          <w:rFonts w:hAnsi="標楷體" w:hint="eastAsia"/>
          <w:color w:val="000000" w:themeColor="text1"/>
        </w:rPr>
        <w:t>，</w:t>
      </w:r>
      <w:r w:rsidR="0022285B" w:rsidRPr="00815A0E">
        <w:rPr>
          <w:rFonts w:hAnsi="標楷體" w:hint="eastAsia"/>
          <w:color w:val="000000" w:themeColor="text1"/>
        </w:rPr>
        <w:t>此時又相信測謊圖譜真實性再做不同解讀，豈非矛盾。從而本件測謊鑑定結果經</w:t>
      </w:r>
      <w:r w:rsidR="00A521CD" w:rsidRPr="00815A0E">
        <w:rPr>
          <w:rFonts w:hAnsi="標楷體" w:hint="eastAsia"/>
          <w:color w:val="000000" w:themeColor="text1"/>
        </w:rPr>
        <w:t>原確定判決認定無法作為被告有利或不利證據，而判決確定後</w:t>
      </w:r>
      <w:r w:rsidR="00F12511" w:rsidRPr="00815A0E">
        <w:rPr>
          <w:rFonts w:hAnsi="標楷體" w:hint="eastAsia"/>
          <w:color w:val="000000" w:themeColor="text1"/>
        </w:rPr>
        <w:t>陳訴人</w:t>
      </w:r>
      <w:r w:rsidR="00A521CD" w:rsidRPr="00815A0E">
        <w:rPr>
          <w:rFonts w:hAnsi="標楷體" w:hint="eastAsia"/>
          <w:color w:val="000000" w:themeColor="text1"/>
        </w:rPr>
        <w:t>再就同一「測謊圖譜」</w:t>
      </w:r>
      <w:r w:rsidR="008F284A" w:rsidRPr="00815A0E">
        <w:rPr>
          <w:rFonts w:hAnsi="標楷體" w:hint="eastAsia"/>
          <w:color w:val="000000" w:themeColor="text1"/>
        </w:rPr>
        <w:t>委由</w:t>
      </w:r>
      <w:r w:rsidR="007979B0" w:rsidRPr="00815A0E">
        <w:rPr>
          <w:rFonts w:hAnsi="標楷體" w:hint="eastAsia"/>
          <w:color w:val="000000" w:themeColor="text1"/>
        </w:rPr>
        <w:t>李錦明儀測公司</w:t>
      </w:r>
      <w:r w:rsidRPr="00815A0E">
        <w:rPr>
          <w:rFonts w:hAnsi="標楷體" w:hint="eastAsia"/>
          <w:color w:val="000000" w:themeColor="text1"/>
        </w:rPr>
        <w:t>經</w:t>
      </w:r>
      <w:r w:rsidR="00A521CD" w:rsidRPr="00815A0E">
        <w:rPr>
          <w:rFonts w:hAnsi="標楷體" w:hint="eastAsia"/>
          <w:color w:val="000000" w:themeColor="text1"/>
        </w:rPr>
        <w:t>不同</w:t>
      </w:r>
      <w:r w:rsidRPr="00815A0E">
        <w:rPr>
          <w:rFonts w:hAnsi="標楷體" w:hint="eastAsia"/>
          <w:color w:val="000000" w:themeColor="text1"/>
        </w:rPr>
        <w:t>解讀或研判後所</w:t>
      </w:r>
      <w:r w:rsidR="008F284A" w:rsidRPr="00815A0E">
        <w:rPr>
          <w:rFonts w:hAnsi="標楷體" w:hint="eastAsia"/>
          <w:color w:val="000000" w:themeColor="text1"/>
        </w:rPr>
        <w:t>獲致結論</w:t>
      </w:r>
      <w:r w:rsidRPr="00815A0E">
        <w:rPr>
          <w:rFonts w:hAnsi="標楷體" w:hint="eastAsia"/>
          <w:color w:val="000000" w:themeColor="text1"/>
        </w:rPr>
        <w:t>相較</w:t>
      </w:r>
      <w:r w:rsidR="00A521CD" w:rsidRPr="00815A0E">
        <w:rPr>
          <w:rFonts w:hAnsi="標楷體" w:hint="eastAsia"/>
          <w:color w:val="000000" w:themeColor="text1"/>
        </w:rPr>
        <w:t>刑事警察局測謊鑑定</w:t>
      </w:r>
      <w:r w:rsidRPr="00815A0E">
        <w:rPr>
          <w:rFonts w:hAnsi="標楷體" w:hint="eastAsia"/>
          <w:color w:val="000000" w:themeColor="text1"/>
        </w:rPr>
        <w:t>，</w:t>
      </w:r>
      <w:r w:rsidR="00F12511" w:rsidRPr="00815A0E">
        <w:rPr>
          <w:rFonts w:hAnsi="標楷體" w:hint="eastAsia"/>
          <w:color w:val="000000" w:themeColor="text1"/>
        </w:rPr>
        <w:t>陳訴人</w:t>
      </w:r>
      <w:r w:rsidR="0022285B" w:rsidRPr="00815A0E">
        <w:rPr>
          <w:rFonts w:hAnsi="標楷體" w:hint="eastAsia"/>
          <w:color w:val="000000" w:themeColor="text1"/>
        </w:rPr>
        <w:t>認為</w:t>
      </w:r>
      <w:r w:rsidRPr="00815A0E">
        <w:rPr>
          <w:rFonts w:hAnsi="標楷體" w:hint="eastAsia"/>
          <w:color w:val="000000" w:themeColor="text1"/>
        </w:rPr>
        <w:t>應以</w:t>
      </w:r>
      <w:r w:rsidR="00A521CD" w:rsidRPr="00815A0E">
        <w:rPr>
          <w:rFonts w:hAnsi="標楷體" w:hint="eastAsia"/>
          <w:color w:val="000000" w:themeColor="text1"/>
        </w:rPr>
        <w:t>確定判決後該鑑定所</w:t>
      </w:r>
      <w:r w:rsidRPr="00815A0E">
        <w:rPr>
          <w:rFonts w:hAnsi="標楷體" w:hint="eastAsia"/>
          <w:color w:val="000000" w:themeColor="text1"/>
        </w:rPr>
        <w:t>獲得之</w:t>
      </w:r>
      <w:r w:rsidR="00A521CD" w:rsidRPr="00815A0E">
        <w:rPr>
          <w:rFonts w:hAnsi="標楷體" w:hint="eastAsia"/>
          <w:color w:val="000000" w:themeColor="text1"/>
        </w:rPr>
        <w:t>不同</w:t>
      </w:r>
      <w:r w:rsidRPr="00815A0E">
        <w:rPr>
          <w:rFonts w:hAnsi="標楷體" w:hint="eastAsia"/>
          <w:color w:val="000000" w:themeColor="text1"/>
        </w:rPr>
        <w:t>結論，其信用性</w:t>
      </w:r>
      <w:r w:rsidR="00A521CD" w:rsidRPr="00815A0E">
        <w:rPr>
          <w:rFonts w:hAnsi="標楷體" w:hint="eastAsia"/>
          <w:color w:val="000000" w:themeColor="text1"/>
        </w:rPr>
        <w:t>高於刑事警察局之鑑定，而</w:t>
      </w:r>
      <w:r w:rsidR="00E13883" w:rsidRPr="00815A0E">
        <w:rPr>
          <w:rFonts w:hAnsi="標楷體" w:hint="eastAsia"/>
          <w:color w:val="000000" w:themeColor="text1"/>
        </w:rPr>
        <w:t>將先前證據之證明力推翻</w:t>
      </w:r>
      <w:r w:rsidRPr="00815A0E">
        <w:rPr>
          <w:rFonts w:hAnsi="標楷體" w:hint="eastAsia"/>
          <w:color w:val="000000" w:themeColor="text1"/>
        </w:rPr>
        <w:t>，</w:t>
      </w:r>
      <w:r w:rsidR="00E13883" w:rsidRPr="00815A0E">
        <w:rPr>
          <w:rFonts w:hAnsi="標楷體" w:hint="eastAsia"/>
          <w:color w:val="000000" w:themeColor="text1"/>
        </w:rPr>
        <w:t>進而動搖原確定判決所認定之事實，</w:t>
      </w:r>
      <w:r w:rsidR="00A521CD" w:rsidRPr="00815A0E">
        <w:rPr>
          <w:rFonts w:hAnsi="標楷體" w:hint="eastAsia"/>
          <w:color w:val="000000" w:themeColor="text1"/>
        </w:rPr>
        <w:t>並非無疑</w:t>
      </w:r>
      <w:r w:rsidRPr="00815A0E">
        <w:rPr>
          <w:rFonts w:hAnsi="標楷體" w:hint="eastAsia"/>
          <w:color w:val="000000" w:themeColor="text1"/>
        </w:rPr>
        <w:t>。</w:t>
      </w:r>
    </w:p>
    <w:p w:rsidR="000D3BCC" w:rsidRPr="00815A0E" w:rsidRDefault="00B3429D" w:rsidP="000D3BCC">
      <w:pPr>
        <w:pStyle w:val="3"/>
        <w:rPr>
          <w:rFonts w:hAnsi="標楷體"/>
          <w:color w:val="000000" w:themeColor="text1"/>
        </w:rPr>
      </w:pPr>
      <w:r w:rsidRPr="00815A0E">
        <w:rPr>
          <w:rFonts w:hAnsi="標楷體" w:hint="eastAsia"/>
          <w:color w:val="000000" w:themeColor="text1"/>
        </w:rPr>
        <w:t>綜上，</w:t>
      </w:r>
      <w:r w:rsidR="00F12511" w:rsidRPr="00815A0E">
        <w:rPr>
          <w:rFonts w:hAnsi="標楷體" w:hint="eastAsia"/>
          <w:color w:val="000000" w:themeColor="text1"/>
        </w:rPr>
        <w:t>陳訴人</w:t>
      </w:r>
      <w:r w:rsidR="000D3BCC" w:rsidRPr="00815A0E">
        <w:rPr>
          <w:rFonts w:hAnsi="標楷體" w:hint="eastAsia"/>
          <w:color w:val="000000" w:themeColor="text1"/>
        </w:rPr>
        <w:t>主張原確定判決理由認定</w:t>
      </w:r>
      <w:r w:rsidR="00F12511" w:rsidRPr="00815A0E">
        <w:rPr>
          <w:rFonts w:hAnsi="標楷體" w:hint="eastAsia"/>
          <w:color w:val="000000" w:themeColor="text1"/>
        </w:rPr>
        <w:t>陳訴人</w:t>
      </w:r>
      <w:r w:rsidR="000D3BCC" w:rsidRPr="00815A0E">
        <w:rPr>
          <w:rFonts w:hAnsi="標楷體" w:hint="eastAsia"/>
          <w:color w:val="000000" w:themeColor="text1"/>
        </w:rPr>
        <w:t>有無</w:t>
      </w:r>
      <w:r w:rsidR="0074333C" w:rsidRPr="00815A0E">
        <w:rPr>
          <w:rFonts w:hAnsi="標楷體" w:hint="eastAsia"/>
          <w:color w:val="000000" w:themeColor="text1"/>
        </w:rPr>
        <w:t>交付</w:t>
      </w:r>
      <w:r w:rsidR="000D3BCC" w:rsidRPr="00815A0E">
        <w:rPr>
          <w:rFonts w:hAnsi="標楷體" w:hint="eastAsia"/>
          <w:color w:val="000000" w:themeColor="text1"/>
        </w:rPr>
        <w:t>20萬元予洪進生賄選所採用係屬情況證據，而攸關洪進生證言信用性之測謊鑑定經</w:t>
      </w:r>
      <w:r w:rsidR="00F12511" w:rsidRPr="00815A0E">
        <w:rPr>
          <w:rFonts w:hAnsi="標楷體" w:hint="eastAsia"/>
          <w:color w:val="000000" w:themeColor="text1"/>
        </w:rPr>
        <w:t>陳訴人</w:t>
      </w:r>
      <w:r w:rsidR="000D3BCC" w:rsidRPr="00815A0E">
        <w:rPr>
          <w:rFonts w:hAnsi="標楷體" w:hint="eastAsia"/>
          <w:color w:val="000000" w:themeColor="text1"/>
        </w:rPr>
        <w:t>委由李錦明儀測服務有限公司鑑定，認為應由「無法鑑判」修正為「不實反應」，構成再審事由等語，經查原確定判決就刑事警察局之測謊鑑定認符合測謊</w:t>
      </w:r>
      <w:r w:rsidR="0074333C" w:rsidRPr="00815A0E">
        <w:rPr>
          <w:rFonts w:hAnsi="標楷體" w:hint="eastAsia"/>
          <w:color w:val="000000" w:themeColor="text1"/>
        </w:rPr>
        <w:t>鑑定5要件</w:t>
      </w:r>
      <w:r w:rsidR="000D3BCC" w:rsidRPr="00815A0E">
        <w:rPr>
          <w:rFonts w:hAnsi="標楷體" w:hint="eastAsia"/>
          <w:color w:val="000000" w:themeColor="text1"/>
        </w:rPr>
        <w:t>而具有證據能力，但因測謊結果為「無法鑑判」故無證明力，所以並未採用作為被告有利或不利之證據，</w:t>
      </w:r>
      <w:r w:rsidR="00F12511" w:rsidRPr="00815A0E">
        <w:rPr>
          <w:rFonts w:hAnsi="標楷體" w:hint="eastAsia"/>
          <w:color w:val="000000" w:themeColor="text1"/>
        </w:rPr>
        <w:t>陳訴人</w:t>
      </w:r>
      <w:r w:rsidR="000D3BCC" w:rsidRPr="00815A0E">
        <w:rPr>
          <w:rFonts w:hAnsi="標楷體" w:hint="eastAsia"/>
          <w:color w:val="000000" w:themeColor="text1"/>
        </w:rPr>
        <w:t>於判決確定後，再就同一「測謊圖譜」委由他人僅經不同解讀或研判後所獲致結論，並無證據足以證明其信用性當然高於該局之鑑定，進而得為認定原確定判決事實認定錯誤，將其判決理由所認定測謊鑑定全無證明力之結果推翻，從而所陳尚難遽採。</w:t>
      </w:r>
    </w:p>
    <w:p w:rsidR="00F17AD4" w:rsidRPr="00815A0E" w:rsidRDefault="00F17AD4" w:rsidP="0061329F">
      <w:pPr>
        <w:pStyle w:val="3"/>
        <w:rPr>
          <w:rFonts w:hAnsi="標楷體"/>
          <w:color w:val="000000" w:themeColor="text1"/>
        </w:rPr>
      </w:pPr>
      <w:r w:rsidRPr="00815A0E">
        <w:rPr>
          <w:rFonts w:hAnsi="標楷體" w:hint="eastAsia"/>
          <w:color w:val="000000" w:themeColor="text1"/>
        </w:rPr>
        <w:t>另國內外司法實務及學者見解，認測謊鑑定結果，非如DNA</w:t>
      </w:r>
      <w:r w:rsidR="0061329F" w:rsidRPr="00815A0E">
        <w:rPr>
          <w:rFonts w:hAnsi="標楷體" w:hint="eastAsia"/>
          <w:color w:val="000000" w:themeColor="text1"/>
        </w:rPr>
        <w:t>鑑定等其他科學檢驗結果有一定之「再現性」，而是取決於施測人員</w:t>
      </w:r>
      <w:r w:rsidRPr="00815A0E">
        <w:rPr>
          <w:rFonts w:hAnsi="標楷體" w:hint="eastAsia"/>
          <w:color w:val="000000" w:themeColor="text1"/>
        </w:rPr>
        <w:t>專業技術、能力、性格、</w:t>
      </w:r>
      <w:r w:rsidRPr="00815A0E">
        <w:rPr>
          <w:rFonts w:hAnsi="標楷體" w:hint="eastAsia"/>
          <w:color w:val="000000" w:themeColor="text1"/>
        </w:rPr>
        <w:lastRenderedPageBreak/>
        <w:t>訓練及經驗等各項能力，致測謊鑑定常因施測人員不同而異其結果，確實影響測謊鑑定結果之準確性至鉅，致其客觀性有限</w:t>
      </w:r>
      <w:r w:rsidR="0061329F" w:rsidRPr="00815A0E">
        <w:rPr>
          <w:rStyle w:val="afe"/>
          <w:rFonts w:hAnsi="標楷體"/>
          <w:color w:val="000000" w:themeColor="text1"/>
        </w:rPr>
        <w:footnoteReference w:id="1"/>
      </w:r>
      <w:r w:rsidR="0061329F" w:rsidRPr="00815A0E">
        <w:rPr>
          <w:rFonts w:hAnsi="標楷體" w:hint="eastAsia"/>
          <w:color w:val="000000" w:themeColor="text1"/>
        </w:rPr>
        <w:t>，</w:t>
      </w:r>
      <w:r w:rsidR="00E13883" w:rsidRPr="00815A0E">
        <w:rPr>
          <w:rFonts w:hAnsi="標楷體" w:hint="eastAsia"/>
          <w:color w:val="000000" w:themeColor="text1"/>
        </w:rPr>
        <w:t>其是否有證據能力亦有疑問？</w:t>
      </w:r>
      <w:r w:rsidR="0061329F" w:rsidRPr="00815A0E">
        <w:rPr>
          <w:rFonts w:hAnsi="標楷體" w:hint="eastAsia"/>
          <w:color w:val="000000" w:themeColor="text1"/>
        </w:rPr>
        <w:t>是則，以同一「測謊圖譜」經不同解讀或研判，</w:t>
      </w:r>
      <w:r w:rsidR="00E13883" w:rsidRPr="00815A0E">
        <w:rPr>
          <w:rFonts w:hAnsi="標楷體" w:hint="eastAsia"/>
          <w:color w:val="000000" w:themeColor="text1"/>
        </w:rPr>
        <w:t>而</w:t>
      </w:r>
      <w:r w:rsidR="0061329F" w:rsidRPr="00815A0E">
        <w:rPr>
          <w:rFonts w:hAnsi="標楷體" w:hint="eastAsia"/>
          <w:color w:val="000000" w:themeColor="text1"/>
        </w:rPr>
        <w:t>將原確定</w:t>
      </w:r>
      <w:r w:rsidR="00E13883" w:rsidRPr="00815A0E">
        <w:rPr>
          <w:rFonts w:hAnsi="標楷體" w:hint="eastAsia"/>
          <w:color w:val="000000" w:themeColor="text1"/>
        </w:rPr>
        <w:t>判決認為無證明力之證據推翻，改為有利於</w:t>
      </w:r>
      <w:r w:rsidR="00F12511" w:rsidRPr="00815A0E">
        <w:rPr>
          <w:rFonts w:hAnsi="標楷體" w:hint="eastAsia"/>
          <w:color w:val="000000" w:themeColor="text1"/>
        </w:rPr>
        <w:t>陳訴人</w:t>
      </w:r>
      <w:r w:rsidR="00E13883" w:rsidRPr="00815A0E">
        <w:rPr>
          <w:rFonts w:hAnsi="標楷體" w:hint="eastAsia"/>
          <w:color w:val="000000" w:themeColor="text1"/>
        </w:rPr>
        <w:t>之證據，作為再審之新證據，是否合宜，亦非無疑</w:t>
      </w:r>
      <w:r w:rsidR="00B3429D" w:rsidRPr="00815A0E">
        <w:rPr>
          <w:rFonts w:hAnsi="標楷體" w:hint="eastAsia"/>
          <w:color w:val="000000" w:themeColor="text1"/>
        </w:rPr>
        <w:t>，併予敘明</w:t>
      </w:r>
      <w:r w:rsidRPr="00815A0E">
        <w:rPr>
          <w:rFonts w:hAnsi="標楷體" w:hint="eastAsia"/>
          <w:color w:val="000000" w:themeColor="text1"/>
        </w:rPr>
        <w:t>。</w:t>
      </w:r>
    </w:p>
    <w:p w:rsidR="00670F6E" w:rsidRPr="00815A0E" w:rsidRDefault="00F12511" w:rsidP="003307E7">
      <w:pPr>
        <w:pStyle w:val="2"/>
        <w:rPr>
          <w:rFonts w:hAnsi="標楷體"/>
          <w:b/>
          <w:color w:val="000000" w:themeColor="text1"/>
        </w:rPr>
      </w:pPr>
      <w:r w:rsidRPr="00815A0E">
        <w:rPr>
          <w:rFonts w:hAnsi="標楷體" w:hint="eastAsia"/>
          <w:b/>
          <w:color w:val="000000" w:themeColor="text1"/>
        </w:rPr>
        <w:t>陳訴人</w:t>
      </w:r>
      <w:r w:rsidR="003C7586" w:rsidRPr="00815A0E">
        <w:rPr>
          <w:rFonts w:hAnsi="標楷體" w:hint="eastAsia"/>
          <w:b/>
          <w:color w:val="000000" w:themeColor="text1"/>
        </w:rPr>
        <w:t>指摘原確定判決</w:t>
      </w:r>
      <w:r w:rsidR="003307E7" w:rsidRPr="00815A0E">
        <w:rPr>
          <w:rFonts w:hAnsi="標楷體" w:hint="eastAsia"/>
          <w:b/>
          <w:color w:val="000000" w:themeColor="text1"/>
        </w:rPr>
        <w:t>稱</w:t>
      </w:r>
      <w:r w:rsidR="004A5978" w:rsidRPr="00815A0E">
        <w:rPr>
          <w:rFonts w:hAnsi="標楷體" w:hint="eastAsia"/>
          <w:b/>
          <w:color w:val="000000" w:themeColor="text1"/>
        </w:rPr>
        <w:t>如排除洪進生所為不利於</w:t>
      </w:r>
      <w:r w:rsidRPr="00815A0E">
        <w:rPr>
          <w:rFonts w:hAnsi="標楷體" w:hint="eastAsia"/>
          <w:b/>
          <w:color w:val="000000" w:themeColor="text1"/>
        </w:rPr>
        <w:t>陳訴人</w:t>
      </w:r>
      <w:r w:rsidR="004A5978" w:rsidRPr="00815A0E">
        <w:rPr>
          <w:rFonts w:hAnsi="標楷體" w:hint="eastAsia"/>
          <w:b/>
          <w:color w:val="000000" w:themeColor="text1"/>
        </w:rPr>
        <w:t>之供述，依原確定判決理由所載其餘情況證據，顯不足認定</w:t>
      </w:r>
      <w:r w:rsidRPr="00815A0E">
        <w:rPr>
          <w:rFonts w:hAnsi="標楷體" w:hint="eastAsia"/>
          <w:b/>
          <w:color w:val="000000" w:themeColor="text1"/>
        </w:rPr>
        <w:t>陳訴人</w:t>
      </w:r>
      <w:r w:rsidR="004A5978" w:rsidRPr="00815A0E">
        <w:rPr>
          <w:rFonts w:hAnsi="標楷體" w:hint="eastAsia"/>
          <w:b/>
          <w:color w:val="000000" w:themeColor="text1"/>
        </w:rPr>
        <w:t>有原確定判決所認之犯罪事實</w:t>
      </w:r>
      <w:r w:rsidR="00A96C97" w:rsidRPr="00815A0E">
        <w:rPr>
          <w:rFonts w:hAnsi="標楷體" w:hint="eastAsia"/>
          <w:b/>
          <w:color w:val="000000" w:themeColor="text1"/>
        </w:rPr>
        <w:t>等語</w:t>
      </w:r>
      <w:r w:rsidR="004A5978" w:rsidRPr="00815A0E">
        <w:rPr>
          <w:rFonts w:hAnsi="標楷體" w:hint="eastAsia"/>
          <w:b/>
          <w:color w:val="000000" w:themeColor="text1"/>
        </w:rPr>
        <w:t>，然</w:t>
      </w:r>
      <w:r w:rsidRPr="00815A0E">
        <w:rPr>
          <w:rFonts w:hAnsi="標楷體" w:hint="eastAsia"/>
          <w:b/>
          <w:color w:val="000000" w:themeColor="text1"/>
        </w:rPr>
        <w:t>陳訴人</w:t>
      </w:r>
      <w:r w:rsidR="00715AC1" w:rsidRPr="00815A0E">
        <w:rPr>
          <w:rFonts w:hAnsi="標楷體" w:hint="eastAsia"/>
          <w:b/>
          <w:color w:val="000000" w:themeColor="text1"/>
        </w:rPr>
        <w:t>所執彈劾證據與理由均不足以</w:t>
      </w:r>
      <w:r w:rsidR="004A5978" w:rsidRPr="00815A0E">
        <w:rPr>
          <w:rFonts w:hAnsi="標楷體" w:hint="eastAsia"/>
          <w:b/>
          <w:color w:val="000000" w:themeColor="text1"/>
        </w:rPr>
        <w:t>排除洪進生證詞，</w:t>
      </w:r>
      <w:r w:rsidR="00B75521" w:rsidRPr="00815A0E">
        <w:rPr>
          <w:rFonts w:hAnsi="標楷體" w:hint="eastAsia"/>
          <w:b/>
          <w:color w:val="000000" w:themeColor="text1"/>
        </w:rPr>
        <w:t>且</w:t>
      </w:r>
      <w:r w:rsidR="003307E7" w:rsidRPr="00815A0E">
        <w:rPr>
          <w:rFonts w:hAnsi="標楷體" w:hint="eastAsia"/>
          <w:b/>
          <w:color w:val="000000" w:themeColor="text1"/>
        </w:rPr>
        <w:t>另其指摘原確定判決各點，客觀上均難產生合理懷疑而認足以動搖原確定判決所認定之事實，其所述自難遽採。</w:t>
      </w:r>
    </w:p>
    <w:p w:rsidR="00E86F75" w:rsidRPr="00815A0E" w:rsidRDefault="00670F6E" w:rsidP="00E86F75">
      <w:pPr>
        <w:pStyle w:val="3"/>
        <w:rPr>
          <w:rFonts w:hAnsi="標楷體"/>
          <w:color w:val="000000" w:themeColor="text1"/>
          <w:szCs w:val="32"/>
        </w:rPr>
      </w:pPr>
      <w:r w:rsidRPr="00815A0E">
        <w:rPr>
          <w:rFonts w:hAnsi="標楷體" w:hint="eastAsia"/>
          <w:color w:val="000000" w:themeColor="text1"/>
          <w:szCs w:val="32"/>
        </w:rPr>
        <w:t>按證人之陳述有部分前後不符，或有部分不具體明確之處，或有部分已忘記而無法回答之情形時，究竟何者為可採，法院仍得本其自由心證予以斟酌，非謂一有上開情形，即應認其全部供述均為不可採信；尤其關於行為動機、手段、時間及地點等細節方面，證人之指陳，難免有部分前後不一、或記憶混淆，或部分不具體明確，或部分已忘記而無法回答之情形；然其就基本事實所為之陳述，若果與真實性無礙時，則仍非不得予以採信（最高法院</w:t>
      </w:r>
      <w:r w:rsidR="00715AC1" w:rsidRPr="00815A0E">
        <w:rPr>
          <w:rFonts w:hAnsi="標楷體" w:hint="eastAsia"/>
          <w:color w:val="000000" w:themeColor="text1"/>
          <w:szCs w:val="32"/>
        </w:rPr>
        <w:t>74</w:t>
      </w:r>
      <w:r w:rsidRPr="00815A0E">
        <w:rPr>
          <w:rFonts w:hAnsi="標楷體" w:hint="eastAsia"/>
          <w:color w:val="000000" w:themeColor="text1"/>
          <w:szCs w:val="32"/>
        </w:rPr>
        <w:t>年台上字第</w:t>
      </w:r>
      <w:r w:rsidR="00715AC1" w:rsidRPr="00815A0E">
        <w:rPr>
          <w:rFonts w:hAnsi="標楷體" w:hint="eastAsia"/>
          <w:color w:val="000000" w:themeColor="text1"/>
          <w:szCs w:val="32"/>
        </w:rPr>
        <w:t>1599</w:t>
      </w:r>
      <w:r w:rsidRPr="00815A0E">
        <w:rPr>
          <w:rFonts w:hAnsi="標楷體" w:hint="eastAsia"/>
          <w:color w:val="000000" w:themeColor="text1"/>
          <w:szCs w:val="32"/>
        </w:rPr>
        <w:t>號判例意旨參照）。</w:t>
      </w:r>
    </w:p>
    <w:p w:rsidR="00916707" w:rsidRPr="00815A0E" w:rsidRDefault="00670F6E" w:rsidP="006A1899">
      <w:pPr>
        <w:pStyle w:val="3"/>
        <w:rPr>
          <w:rFonts w:hAnsi="標楷體"/>
          <w:b/>
          <w:color w:val="000000" w:themeColor="text1"/>
          <w:szCs w:val="32"/>
        </w:rPr>
      </w:pPr>
      <w:r w:rsidRPr="00815A0E">
        <w:rPr>
          <w:rFonts w:hAnsi="標楷體" w:hint="eastAsia"/>
          <w:color w:val="000000" w:themeColor="text1"/>
          <w:szCs w:val="32"/>
        </w:rPr>
        <w:t>經查：</w:t>
      </w:r>
      <w:r w:rsidR="004A5978" w:rsidRPr="00815A0E">
        <w:rPr>
          <w:rFonts w:hAnsi="標楷體" w:hint="eastAsia"/>
          <w:color w:val="000000" w:themeColor="text1"/>
          <w:szCs w:val="32"/>
        </w:rPr>
        <w:t>原確定判決所列證據固無</w:t>
      </w:r>
      <w:r w:rsidR="00F12511" w:rsidRPr="00815A0E">
        <w:rPr>
          <w:rFonts w:hAnsi="標楷體" w:hint="eastAsia"/>
          <w:color w:val="000000" w:themeColor="text1"/>
          <w:szCs w:val="32"/>
        </w:rPr>
        <w:t>陳訴人</w:t>
      </w:r>
      <w:r w:rsidR="004A5978" w:rsidRPr="00815A0E">
        <w:rPr>
          <w:rFonts w:hAnsi="標楷體" w:hint="eastAsia"/>
          <w:color w:val="000000" w:themeColor="text1"/>
          <w:szCs w:val="32"/>
        </w:rPr>
        <w:t>所指摘之「通訊監察譯文（洪進生有無與任何人提及該事）、監視錄影帶、自</w:t>
      </w:r>
      <w:r w:rsidR="00F12511" w:rsidRPr="00815A0E">
        <w:rPr>
          <w:rFonts w:hAnsi="標楷體" w:hint="eastAsia"/>
          <w:color w:val="000000" w:themeColor="text1"/>
          <w:szCs w:val="32"/>
        </w:rPr>
        <w:t>陳訴人</w:t>
      </w:r>
      <w:r w:rsidR="004A5978" w:rsidRPr="00815A0E">
        <w:rPr>
          <w:rFonts w:hAnsi="標楷體" w:hint="eastAsia"/>
          <w:color w:val="000000" w:themeColor="text1"/>
          <w:szCs w:val="32"/>
        </w:rPr>
        <w:t>處取得賄款等物後如何保管（提出存摺紀錄、現金）、去向為何？等所有可能</w:t>
      </w:r>
      <w:r w:rsidR="004A5978" w:rsidRPr="00815A0E">
        <w:rPr>
          <w:rFonts w:hAnsi="標楷體" w:hint="eastAsia"/>
          <w:color w:val="000000" w:themeColor="text1"/>
          <w:szCs w:val="32"/>
        </w:rPr>
        <w:lastRenderedPageBreak/>
        <w:t>佐證洪進生陳述真實性之證據資料。」然</w:t>
      </w:r>
      <w:r w:rsidR="004A5978" w:rsidRPr="00815A0E">
        <w:rPr>
          <w:rFonts w:hAnsi="標楷體" w:hint="eastAsia"/>
          <w:b/>
          <w:color w:val="000000" w:themeColor="text1"/>
          <w:szCs w:val="32"/>
        </w:rPr>
        <w:t>20</w:t>
      </w:r>
      <w:r w:rsidR="00B75521" w:rsidRPr="00815A0E">
        <w:rPr>
          <w:rFonts w:hAnsi="標楷體" w:hint="eastAsia"/>
          <w:b/>
          <w:color w:val="000000" w:themeColor="text1"/>
          <w:szCs w:val="32"/>
        </w:rPr>
        <w:t>萬</w:t>
      </w:r>
      <w:r w:rsidR="0074333C" w:rsidRPr="00815A0E">
        <w:rPr>
          <w:rFonts w:hAnsi="標楷體" w:hint="eastAsia"/>
          <w:b/>
          <w:color w:val="000000" w:themeColor="text1"/>
          <w:szCs w:val="32"/>
        </w:rPr>
        <w:t>元</w:t>
      </w:r>
      <w:r w:rsidR="00B75521" w:rsidRPr="00815A0E">
        <w:rPr>
          <w:rFonts w:hAnsi="標楷體" w:hint="eastAsia"/>
          <w:b/>
          <w:color w:val="000000" w:themeColor="text1"/>
          <w:szCs w:val="32"/>
        </w:rPr>
        <w:t>現金僅約一信封袋容量，縱未有其</w:t>
      </w:r>
      <w:r w:rsidR="004A5978" w:rsidRPr="00815A0E">
        <w:rPr>
          <w:rFonts w:hAnsi="標楷體" w:hint="eastAsia"/>
          <w:b/>
          <w:color w:val="000000" w:themeColor="text1"/>
          <w:szCs w:val="32"/>
        </w:rPr>
        <w:t>證據，亦不得逕認洪進生所指交付其20</w:t>
      </w:r>
      <w:r w:rsidR="00A96C97" w:rsidRPr="00815A0E">
        <w:rPr>
          <w:rFonts w:hAnsi="標楷體" w:hint="eastAsia"/>
          <w:b/>
          <w:color w:val="000000" w:themeColor="text1"/>
          <w:szCs w:val="32"/>
        </w:rPr>
        <w:t>萬元買票，必為</w:t>
      </w:r>
      <w:r w:rsidR="004A5978" w:rsidRPr="00815A0E">
        <w:rPr>
          <w:rFonts w:hAnsi="標楷體" w:hint="eastAsia"/>
          <w:b/>
          <w:color w:val="000000" w:themeColor="text1"/>
          <w:szCs w:val="32"/>
        </w:rPr>
        <w:t>虛偽</w:t>
      </w:r>
      <w:r w:rsidR="004A5978" w:rsidRPr="00815A0E">
        <w:rPr>
          <w:rFonts w:hAnsi="標楷體" w:hint="eastAsia"/>
          <w:color w:val="000000" w:themeColor="text1"/>
          <w:szCs w:val="32"/>
        </w:rPr>
        <w:t>，</w:t>
      </w:r>
      <w:r w:rsidR="006A1899" w:rsidRPr="00815A0E">
        <w:rPr>
          <w:rFonts w:hAnsi="標楷體" w:hint="eastAsia"/>
          <w:color w:val="000000" w:themeColor="text1"/>
          <w:szCs w:val="32"/>
        </w:rPr>
        <w:t>故</w:t>
      </w:r>
      <w:r w:rsidR="00F12511" w:rsidRPr="00815A0E">
        <w:rPr>
          <w:rFonts w:hAnsi="標楷體" w:hint="eastAsia"/>
          <w:color w:val="000000" w:themeColor="text1"/>
          <w:szCs w:val="32"/>
        </w:rPr>
        <w:t>陳訴人</w:t>
      </w:r>
      <w:r w:rsidR="006A1899" w:rsidRPr="00815A0E">
        <w:rPr>
          <w:rFonts w:hAnsi="標楷體" w:hint="eastAsia"/>
          <w:color w:val="000000" w:themeColor="text1"/>
          <w:szCs w:val="32"/>
        </w:rPr>
        <w:t>是否確有交付</w:t>
      </w:r>
      <w:r w:rsidR="000E533B" w:rsidRPr="00815A0E">
        <w:rPr>
          <w:rFonts w:hAnsi="標楷體" w:hint="eastAsia"/>
          <w:color w:val="000000" w:themeColor="text1"/>
          <w:szCs w:val="32"/>
        </w:rPr>
        <w:t>20</w:t>
      </w:r>
      <w:r w:rsidR="006A1899" w:rsidRPr="00815A0E">
        <w:rPr>
          <w:rFonts w:hAnsi="標楷體" w:hint="eastAsia"/>
          <w:color w:val="000000" w:themeColor="text1"/>
          <w:szCs w:val="32"/>
        </w:rPr>
        <w:t>萬元予證人洪進生買票乙節，核與有無查獲存提款紀錄，或與有無查獲開銷單據，或與有無查獲買票紀錄，或與證人</w:t>
      </w:r>
      <w:r w:rsidR="00B75521" w:rsidRPr="00815A0E">
        <w:rPr>
          <w:rFonts w:hAnsi="標楷體" w:hint="eastAsia"/>
          <w:color w:val="000000" w:themeColor="text1"/>
          <w:szCs w:val="32"/>
        </w:rPr>
        <w:t>洪進生所述支出與剩餘之金額加總後，是否與</w:t>
      </w:r>
      <w:r w:rsidR="000E533B" w:rsidRPr="00815A0E">
        <w:rPr>
          <w:rFonts w:hAnsi="標楷體" w:hint="eastAsia"/>
          <w:color w:val="000000" w:themeColor="text1"/>
          <w:szCs w:val="32"/>
        </w:rPr>
        <w:t>20</w:t>
      </w:r>
      <w:r w:rsidR="00B75521" w:rsidRPr="00815A0E">
        <w:rPr>
          <w:rFonts w:hAnsi="標楷體" w:hint="eastAsia"/>
          <w:color w:val="000000" w:themeColor="text1"/>
          <w:szCs w:val="32"/>
        </w:rPr>
        <w:t>萬元差距甚多，並</w:t>
      </w:r>
      <w:r w:rsidR="00A96C97" w:rsidRPr="00815A0E">
        <w:rPr>
          <w:rFonts w:hAnsi="標楷體" w:hint="eastAsia"/>
          <w:color w:val="000000" w:themeColor="text1"/>
          <w:szCs w:val="32"/>
        </w:rPr>
        <w:t>無必然</w:t>
      </w:r>
      <w:r w:rsidR="006A1899" w:rsidRPr="00815A0E">
        <w:rPr>
          <w:rFonts w:hAnsi="標楷體" w:hint="eastAsia"/>
          <w:color w:val="000000" w:themeColor="text1"/>
          <w:szCs w:val="32"/>
        </w:rPr>
        <w:t>關聯</w:t>
      </w:r>
      <w:r w:rsidR="00A96C97" w:rsidRPr="00815A0E">
        <w:rPr>
          <w:rFonts w:hAnsi="標楷體" w:hint="eastAsia"/>
          <w:color w:val="000000" w:themeColor="text1"/>
          <w:szCs w:val="32"/>
        </w:rPr>
        <w:t>性</w:t>
      </w:r>
      <w:r w:rsidR="006A1899" w:rsidRPr="00815A0E">
        <w:rPr>
          <w:rFonts w:hAnsi="標楷體" w:hint="eastAsia"/>
          <w:color w:val="000000" w:themeColor="text1"/>
          <w:szCs w:val="32"/>
        </w:rPr>
        <w:t>，尚難僅因本件並未查獲存提款紀錄，或並未查獲開銷單據，或並未查獲買票紀錄，或證人洪進生所述支出與剩餘之金額加總後，與</w:t>
      </w:r>
      <w:r w:rsidR="00315B0E" w:rsidRPr="00815A0E">
        <w:rPr>
          <w:rFonts w:hAnsi="標楷體" w:hint="eastAsia"/>
          <w:color w:val="000000" w:themeColor="text1"/>
          <w:szCs w:val="32"/>
        </w:rPr>
        <w:t>20</w:t>
      </w:r>
      <w:r w:rsidR="006A1899" w:rsidRPr="00815A0E">
        <w:rPr>
          <w:rFonts w:hAnsi="標楷體" w:hint="eastAsia"/>
          <w:color w:val="000000" w:themeColor="text1"/>
          <w:szCs w:val="32"/>
        </w:rPr>
        <w:t>萬元差距甚多等情，即遽認</w:t>
      </w:r>
      <w:r w:rsidR="00F12511" w:rsidRPr="00815A0E">
        <w:rPr>
          <w:rFonts w:hAnsi="標楷體" w:hint="eastAsia"/>
          <w:color w:val="000000" w:themeColor="text1"/>
          <w:szCs w:val="32"/>
        </w:rPr>
        <w:t>陳訴人</w:t>
      </w:r>
      <w:r w:rsidR="006A1899" w:rsidRPr="00815A0E">
        <w:rPr>
          <w:rFonts w:hAnsi="標楷體" w:hint="eastAsia"/>
          <w:color w:val="000000" w:themeColor="text1"/>
          <w:szCs w:val="32"/>
        </w:rPr>
        <w:t>並未交付</w:t>
      </w:r>
      <w:r w:rsidR="00315B0E" w:rsidRPr="00815A0E">
        <w:rPr>
          <w:rFonts w:hAnsi="標楷體" w:hint="eastAsia"/>
          <w:color w:val="000000" w:themeColor="text1"/>
          <w:szCs w:val="32"/>
        </w:rPr>
        <w:t>20</w:t>
      </w:r>
      <w:r w:rsidR="006A1899" w:rsidRPr="00815A0E">
        <w:rPr>
          <w:rFonts w:hAnsi="標楷體" w:hint="eastAsia"/>
          <w:color w:val="000000" w:themeColor="text1"/>
          <w:szCs w:val="32"/>
        </w:rPr>
        <w:t>萬元予證人洪進生買票。復</w:t>
      </w:r>
      <w:r w:rsidR="004A5978" w:rsidRPr="00815A0E">
        <w:rPr>
          <w:rFonts w:hAnsi="標楷體" w:hint="eastAsia"/>
          <w:color w:val="000000" w:themeColor="text1"/>
          <w:szCs w:val="32"/>
        </w:rPr>
        <w:t>就本案而言</w:t>
      </w:r>
      <w:r w:rsidR="004634D4" w:rsidRPr="00815A0E">
        <w:rPr>
          <w:rFonts w:hAnsi="標楷體" w:hint="eastAsia"/>
          <w:color w:val="000000" w:themeColor="text1"/>
          <w:szCs w:val="32"/>
        </w:rPr>
        <w:t>洪進</w:t>
      </w:r>
      <w:r w:rsidR="006A1899" w:rsidRPr="00815A0E">
        <w:rPr>
          <w:rFonts w:hAnsi="標楷體" w:hint="eastAsia"/>
          <w:color w:val="000000" w:themeColor="text1"/>
          <w:szCs w:val="32"/>
        </w:rPr>
        <w:t>生於偵審中之證詞，均屬一致，</w:t>
      </w:r>
      <w:r w:rsidR="00A96C97" w:rsidRPr="00815A0E">
        <w:rPr>
          <w:rFonts w:hAnsi="標楷體" w:hint="eastAsia"/>
          <w:color w:val="000000" w:themeColor="text1"/>
          <w:szCs w:val="32"/>
        </w:rPr>
        <w:t>而</w:t>
      </w:r>
      <w:r w:rsidR="006A1899" w:rsidRPr="00815A0E">
        <w:rPr>
          <w:rFonts w:hAnsi="標楷體" w:hint="eastAsia"/>
          <w:color w:val="000000" w:themeColor="text1"/>
          <w:szCs w:val="32"/>
        </w:rPr>
        <w:t>與鄭黃菊花等人證述交付與收受賄賂</w:t>
      </w:r>
      <w:r w:rsidR="004634D4" w:rsidRPr="00815A0E">
        <w:rPr>
          <w:rFonts w:hAnsi="標楷體" w:hint="eastAsia"/>
          <w:color w:val="000000" w:themeColor="text1"/>
          <w:szCs w:val="32"/>
        </w:rPr>
        <w:t>情節相符。</w:t>
      </w:r>
      <w:r w:rsidR="004634D4" w:rsidRPr="00815A0E">
        <w:rPr>
          <w:rFonts w:hAnsi="標楷體" w:hint="eastAsia"/>
          <w:b/>
          <w:color w:val="000000" w:themeColor="text1"/>
          <w:szCs w:val="32"/>
        </w:rPr>
        <w:t>洪進生為</w:t>
      </w:r>
      <w:r w:rsidR="00F12511" w:rsidRPr="00815A0E">
        <w:rPr>
          <w:rFonts w:hAnsi="標楷體" w:hint="eastAsia"/>
          <w:b/>
          <w:color w:val="000000" w:themeColor="text1"/>
          <w:szCs w:val="32"/>
        </w:rPr>
        <w:t>陳訴人</w:t>
      </w:r>
      <w:r w:rsidR="004634D4" w:rsidRPr="00815A0E">
        <w:rPr>
          <w:rFonts w:hAnsi="標楷體" w:hint="eastAsia"/>
          <w:b/>
          <w:color w:val="000000" w:themeColor="text1"/>
          <w:szCs w:val="32"/>
        </w:rPr>
        <w:t>之副總幹事，與</w:t>
      </w:r>
      <w:r w:rsidR="00F12511" w:rsidRPr="00815A0E">
        <w:rPr>
          <w:rFonts w:hAnsi="標楷體" w:hint="eastAsia"/>
          <w:b/>
          <w:color w:val="000000" w:themeColor="text1"/>
          <w:szCs w:val="32"/>
        </w:rPr>
        <w:t>陳訴人</w:t>
      </w:r>
      <w:r w:rsidR="004634D4" w:rsidRPr="00815A0E">
        <w:rPr>
          <w:rFonts w:hAnsi="標楷體" w:hint="eastAsia"/>
          <w:b/>
          <w:color w:val="000000" w:themeColor="text1"/>
          <w:szCs w:val="32"/>
        </w:rPr>
        <w:t>熟識，</w:t>
      </w:r>
      <w:r w:rsidR="006A1899" w:rsidRPr="00815A0E">
        <w:rPr>
          <w:rFonts w:hAnsi="標楷體" w:hint="eastAsia"/>
          <w:b/>
          <w:color w:val="000000" w:themeColor="text1"/>
          <w:szCs w:val="32"/>
        </w:rPr>
        <w:t>於</w:t>
      </w:r>
      <w:r w:rsidR="004634D4" w:rsidRPr="00815A0E">
        <w:rPr>
          <w:rFonts w:hAnsi="標楷體" w:hint="eastAsia"/>
          <w:b/>
          <w:color w:val="000000" w:themeColor="text1"/>
          <w:szCs w:val="32"/>
        </w:rPr>
        <w:t>本件案發前二次選舉，亦</w:t>
      </w:r>
      <w:r w:rsidR="00A96C97" w:rsidRPr="00815A0E">
        <w:rPr>
          <w:rFonts w:hAnsi="標楷體" w:hint="eastAsia"/>
          <w:b/>
          <w:color w:val="000000" w:themeColor="text1"/>
          <w:szCs w:val="32"/>
        </w:rPr>
        <w:t>均</w:t>
      </w:r>
      <w:r w:rsidR="004634D4" w:rsidRPr="00815A0E">
        <w:rPr>
          <w:rFonts w:hAnsi="標楷體" w:hint="eastAsia"/>
          <w:b/>
          <w:color w:val="000000" w:themeColor="text1"/>
          <w:szCs w:val="32"/>
        </w:rPr>
        <w:t>支持</w:t>
      </w:r>
      <w:r w:rsidR="00F12511" w:rsidRPr="00815A0E">
        <w:rPr>
          <w:rFonts w:hAnsi="標楷體" w:hint="eastAsia"/>
          <w:b/>
          <w:color w:val="000000" w:themeColor="text1"/>
          <w:szCs w:val="32"/>
        </w:rPr>
        <w:t>陳訴人</w:t>
      </w:r>
      <w:r w:rsidR="006A1899" w:rsidRPr="00815A0E">
        <w:rPr>
          <w:rFonts w:hAnsi="標楷體" w:hint="eastAsia"/>
          <w:b/>
          <w:color w:val="000000" w:themeColor="text1"/>
          <w:szCs w:val="32"/>
        </w:rPr>
        <w:t>競選，且</w:t>
      </w:r>
      <w:r w:rsidR="004634D4" w:rsidRPr="00815A0E">
        <w:rPr>
          <w:rFonts w:hAnsi="標楷體" w:hint="eastAsia"/>
          <w:b/>
          <w:color w:val="000000" w:themeColor="text1"/>
          <w:szCs w:val="32"/>
        </w:rPr>
        <w:t>連續3次擔任</w:t>
      </w:r>
      <w:r w:rsidR="00F12511" w:rsidRPr="00815A0E">
        <w:rPr>
          <w:rFonts w:hAnsi="標楷體" w:hint="eastAsia"/>
          <w:b/>
          <w:color w:val="000000" w:themeColor="text1"/>
          <w:szCs w:val="32"/>
        </w:rPr>
        <w:t>陳訴人</w:t>
      </w:r>
      <w:r w:rsidR="00A96C97" w:rsidRPr="00815A0E">
        <w:rPr>
          <w:rFonts w:hAnsi="標楷體" w:hint="eastAsia"/>
          <w:b/>
          <w:color w:val="000000" w:themeColor="text1"/>
          <w:szCs w:val="32"/>
        </w:rPr>
        <w:t>之</w:t>
      </w:r>
      <w:r w:rsidR="004634D4" w:rsidRPr="00815A0E">
        <w:rPr>
          <w:rFonts w:hAnsi="標楷體" w:hint="eastAsia"/>
          <w:b/>
          <w:color w:val="000000" w:themeColor="text1"/>
          <w:szCs w:val="32"/>
        </w:rPr>
        <w:t>競選副</w:t>
      </w:r>
      <w:r w:rsidR="00CC01F5" w:rsidRPr="00815A0E">
        <w:rPr>
          <w:rFonts w:hAnsi="標楷體" w:hint="eastAsia"/>
          <w:b/>
          <w:color w:val="000000" w:themeColor="text1"/>
          <w:szCs w:val="32"/>
        </w:rPr>
        <w:t>總幹事，</w:t>
      </w:r>
      <w:r w:rsidR="004634D4" w:rsidRPr="00815A0E">
        <w:rPr>
          <w:rFonts w:hAnsi="標楷體" w:hint="eastAsia"/>
          <w:b/>
          <w:color w:val="000000" w:themeColor="text1"/>
          <w:szCs w:val="32"/>
        </w:rPr>
        <w:t>關係甚為密切</w:t>
      </w:r>
      <w:r w:rsidR="00916707" w:rsidRPr="00815A0E">
        <w:rPr>
          <w:rFonts w:hAnsi="標楷體" w:hint="eastAsia"/>
          <w:b/>
          <w:color w:val="000000" w:themeColor="text1"/>
          <w:szCs w:val="32"/>
        </w:rPr>
        <w:t>，</w:t>
      </w:r>
      <w:r w:rsidR="006A1899" w:rsidRPr="00815A0E">
        <w:rPr>
          <w:rFonts w:hAnsi="標楷體" w:hint="eastAsia"/>
          <w:b/>
          <w:color w:val="000000" w:themeColor="text1"/>
          <w:szCs w:val="32"/>
        </w:rPr>
        <w:t>其設詞誣陷</w:t>
      </w:r>
      <w:r w:rsidR="00916707" w:rsidRPr="00815A0E">
        <w:rPr>
          <w:rFonts w:hAnsi="標楷體" w:hint="eastAsia"/>
          <w:b/>
          <w:color w:val="000000" w:themeColor="text1"/>
          <w:szCs w:val="32"/>
        </w:rPr>
        <w:t>動機</w:t>
      </w:r>
      <w:r w:rsidR="00A96C97" w:rsidRPr="00815A0E">
        <w:rPr>
          <w:rFonts w:hAnsi="標楷體" w:hint="eastAsia"/>
          <w:b/>
          <w:color w:val="000000" w:themeColor="text1"/>
          <w:szCs w:val="32"/>
        </w:rPr>
        <w:t>何在？況</w:t>
      </w:r>
      <w:r w:rsidR="00CC01F5" w:rsidRPr="00815A0E">
        <w:rPr>
          <w:rFonts w:hAnsi="標楷體" w:hint="eastAsia"/>
          <w:b/>
          <w:color w:val="000000" w:themeColor="text1"/>
          <w:szCs w:val="32"/>
        </w:rPr>
        <w:t>且洪進生</w:t>
      </w:r>
      <w:r w:rsidR="006A1899" w:rsidRPr="00815A0E">
        <w:rPr>
          <w:rFonts w:hAnsi="標楷體" w:hint="eastAsia"/>
          <w:b/>
          <w:color w:val="000000" w:themeColor="text1"/>
          <w:szCs w:val="32"/>
        </w:rPr>
        <w:t>屬同額競選，亦</w:t>
      </w:r>
      <w:r w:rsidR="00CC01F5" w:rsidRPr="00815A0E">
        <w:rPr>
          <w:rFonts w:hAnsi="標楷體" w:hint="eastAsia"/>
          <w:b/>
          <w:color w:val="000000" w:themeColor="text1"/>
          <w:szCs w:val="32"/>
        </w:rPr>
        <w:t>無賄選買票</w:t>
      </w:r>
      <w:r w:rsidR="00916707" w:rsidRPr="00815A0E">
        <w:rPr>
          <w:rFonts w:hAnsi="標楷體" w:hint="eastAsia"/>
          <w:b/>
          <w:color w:val="000000" w:themeColor="text1"/>
          <w:szCs w:val="32"/>
        </w:rPr>
        <w:t>必要，</w:t>
      </w:r>
      <w:r w:rsidR="00CC01F5" w:rsidRPr="00815A0E">
        <w:rPr>
          <w:rFonts w:hAnsi="標楷體" w:hint="eastAsia"/>
          <w:b/>
          <w:color w:val="000000" w:themeColor="text1"/>
          <w:szCs w:val="32"/>
        </w:rPr>
        <w:t>以</w:t>
      </w:r>
      <w:r w:rsidR="00916707" w:rsidRPr="00815A0E">
        <w:rPr>
          <w:rFonts w:hAnsi="標楷體" w:hint="eastAsia"/>
          <w:b/>
          <w:color w:val="000000" w:themeColor="text1"/>
          <w:szCs w:val="32"/>
        </w:rPr>
        <w:t>洪進生</w:t>
      </w:r>
      <w:r w:rsidR="00CC01F5" w:rsidRPr="00815A0E">
        <w:rPr>
          <w:rFonts w:hAnsi="標楷體" w:hint="eastAsia"/>
          <w:b/>
          <w:color w:val="000000" w:themeColor="text1"/>
          <w:szCs w:val="32"/>
        </w:rPr>
        <w:t>經濟狀況亦無自行出資為被告買票之情由</w:t>
      </w:r>
      <w:r w:rsidR="00916707" w:rsidRPr="00815A0E">
        <w:rPr>
          <w:rFonts w:hAnsi="標楷體" w:hint="eastAsia"/>
          <w:b/>
          <w:color w:val="000000" w:themeColor="text1"/>
          <w:szCs w:val="32"/>
        </w:rPr>
        <w:t>，</w:t>
      </w:r>
      <w:r w:rsidR="00CC01F5" w:rsidRPr="00815A0E">
        <w:rPr>
          <w:rFonts w:hAnsi="標楷體" w:hint="eastAsia"/>
          <w:b/>
          <w:color w:val="000000" w:themeColor="text1"/>
          <w:szCs w:val="32"/>
        </w:rPr>
        <w:t>若</w:t>
      </w:r>
      <w:r w:rsidR="006A1899" w:rsidRPr="00815A0E">
        <w:rPr>
          <w:rFonts w:hAnsi="標楷體" w:hint="eastAsia"/>
          <w:b/>
          <w:color w:val="000000" w:themeColor="text1"/>
          <w:szCs w:val="32"/>
        </w:rPr>
        <w:t>真</w:t>
      </w:r>
      <w:r w:rsidR="00A96C97" w:rsidRPr="00815A0E">
        <w:rPr>
          <w:rFonts w:hAnsi="標楷體" w:hint="eastAsia"/>
          <w:b/>
          <w:color w:val="000000" w:themeColor="text1"/>
          <w:szCs w:val="32"/>
        </w:rPr>
        <w:t>有</w:t>
      </w:r>
      <w:r w:rsidR="00CC01F5" w:rsidRPr="00815A0E">
        <w:rPr>
          <w:rFonts w:hAnsi="標楷體" w:hint="eastAsia"/>
          <w:b/>
          <w:color w:val="000000" w:themeColor="text1"/>
          <w:szCs w:val="32"/>
        </w:rPr>
        <w:t>自行出資為</w:t>
      </w:r>
      <w:r w:rsidR="00F12511" w:rsidRPr="00815A0E">
        <w:rPr>
          <w:rFonts w:hAnsi="標楷體" w:hint="eastAsia"/>
          <w:b/>
          <w:color w:val="000000" w:themeColor="text1"/>
          <w:szCs w:val="32"/>
        </w:rPr>
        <w:t>陳訴人</w:t>
      </w:r>
      <w:r w:rsidR="00CC01F5" w:rsidRPr="00815A0E">
        <w:rPr>
          <w:rFonts w:hAnsi="標楷體" w:hint="eastAsia"/>
          <w:b/>
          <w:color w:val="000000" w:themeColor="text1"/>
          <w:szCs w:val="32"/>
        </w:rPr>
        <w:t>買票</w:t>
      </w:r>
      <w:r w:rsidR="006A1899" w:rsidRPr="00815A0E">
        <w:rPr>
          <w:rFonts w:hAnsi="標楷體" w:hint="eastAsia"/>
          <w:b/>
          <w:color w:val="000000" w:themeColor="text1"/>
          <w:szCs w:val="32"/>
        </w:rPr>
        <w:t>，</w:t>
      </w:r>
      <w:r w:rsidR="00CC01F5" w:rsidRPr="00815A0E">
        <w:rPr>
          <w:rFonts w:hAnsi="標楷體" w:hint="eastAsia"/>
          <w:b/>
          <w:color w:val="000000" w:themeColor="text1"/>
          <w:szCs w:val="32"/>
        </w:rPr>
        <w:t>於</w:t>
      </w:r>
      <w:r w:rsidR="00916707" w:rsidRPr="00815A0E">
        <w:rPr>
          <w:rFonts w:hAnsi="標楷體" w:hint="eastAsia"/>
          <w:b/>
          <w:color w:val="000000" w:themeColor="text1"/>
          <w:szCs w:val="32"/>
        </w:rPr>
        <w:t>交付賄款同時，</w:t>
      </w:r>
      <w:r w:rsidR="00CC01F5" w:rsidRPr="00815A0E">
        <w:rPr>
          <w:rFonts w:hAnsi="標楷體" w:hint="eastAsia"/>
          <w:b/>
          <w:color w:val="000000" w:themeColor="text1"/>
          <w:szCs w:val="32"/>
        </w:rPr>
        <w:t>似</w:t>
      </w:r>
      <w:r w:rsidR="00916707" w:rsidRPr="00815A0E">
        <w:rPr>
          <w:rFonts w:hAnsi="標楷體" w:hint="eastAsia"/>
          <w:b/>
          <w:color w:val="000000" w:themeColor="text1"/>
          <w:szCs w:val="32"/>
        </w:rPr>
        <w:t>應</w:t>
      </w:r>
      <w:r w:rsidR="00A96C97" w:rsidRPr="00815A0E">
        <w:rPr>
          <w:rFonts w:hAnsi="標楷體" w:hint="eastAsia"/>
          <w:b/>
          <w:color w:val="000000" w:themeColor="text1"/>
          <w:szCs w:val="32"/>
        </w:rPr>
        <w:t>同時</w:t>
      </w:r>
      <w:r w:rsidR="00916707" w:rsidRPr="00815A0E">
        <w:rPr>
          <w:rFonts w:hAnsi="標楷體" w:hint="eastAsia"/>
          <w:b/>
          <w:color w:val="000000" w:themeColor="text1"/>
          <w:szCs w:val="32"/>
        </w:rPr>
        <w:t>一併請求選民投票支持洪進生，然觀諸本案所有證人之證詞，均無任何有關請求支持洪進生之說法</w:t>
      </w:r>
      <w:r w:rsidR="00916707" w:rsidRPr="00815A0E">
        <w:rPr>
          <w:rFonts w:hAnsi="標楷體" w:hint="eastAsia"/>
          <w:color w:val="000000" w:themeColor="text1"/>
          <w:szCs w:val="32"/>
        </w:rPr>
        <w:t>，</w:t>
      </w:r>
      <w:r w:rsidR="006A1899" w:rsidRPr="00815A0E">
        <w:rPr>
          <w:rFonts w:hAnsi="標楷體" w:hint="eastAsia"/>
          <w:color w:val="000000" w:themeColor="text1"/>
          <w:szCs w:val="32"/>
        </w:rPr>
        <w:t>反</w:t>
      </w:r>
      <w:r w:rsidR="00CC01F5" w:rsidRPr="00815A0E">
        <w:rPr>
          <w:rFonts w:hAnsi="標楷體" w:hint="eastAsia"/>
          <w:color w:val="000000" w:themeColor="text1"/>
          <w:szCs w:val="32"/>
        </w:rPr>
        <w:t>均指稱係為</w:t>
      </w:r>
      <w:r w:rsidR="00F12511" w:rsidRPr="00815A0E">
        <w:rPr>
          <w:rFonts w:hAnsi="標楷體" w:hint="eastAsia"/>
          <w:color w:val="000000" w:themeColor="text1"/>
          <w:szCs w:val="32"/>
        </w:rPr>
        <w:t>陳訴人</w:t>
      </w:r>
      <w:r w:rsidR="00CC01F5" w:rsidRPr="00815A0E">
        <w:rPr>
          <w:rFonts w:hAnsi="標楷體" w:hint="eastAsia"/>
          <w:color w:val="000000" w:themeColor="text1"/>
          <w:szCs w:val="32"/>
        </w:rPr>
        <w:t>買票，故出錢之人自非</w:t>
      </w:r>
      <w:r w:rsidR="00916707" w:rsidRPr="00815A0E">
        <w:rPr>
          <w:rFonts w:hAnsi="標楷體" w:hint="eastAsia"/>
          <w:color w:val="000000" w:themeColor="text1"/>
          <w:szCs w:val="32"/>
        </w:rPr>
        <w:t>洪進生</w:t>
      </w:r>
      <w:r w:rsidR="00CC01F5" w:rsidRPr="00815A0E">
        <w:rPr>
          <w:rFonts w:hAnsi="標楷體" w:hint="eastAsia"/>
          <w:color w:val="000000" w:themeColor="text1"/>
          <w:szCs w:val="32"/>
        </w:rPr>
        <w:t>而係另有他人，洪進生證詞中指稱係</w:t>
      </w:r>
      <w:r w:rsidR="00F12511" w:rsidRPr="00815A0E">
        <w:rPr>
          <w:rFonts w:hAnsi="標楷體" w:hint="eastAsia"/>
          <w:color w:val="000000" w:themeColor="text1"/>
          <w:szCs w:val="32"/>
        </w:rPr>
        <w:t>陳訴人</w:t>
      </w:r>
      <w:r w:rsidR="00CC01F5" w:rsidRPr="00815A0E">
        <w:rPr>
          <w:rFonts w:hAnsi="標楷體" w:hint="eastAsia"/>
          <w:color w:val="000000" w:themeColor="text1"/>
          <w:szCs w:val="32"/>
        </w:rPr>
        <w:t>交付20萬元，自</w:t>
      </w:r>
      <w:r w:rsidR="00B75521" w:rsidRPr="00815A0E">
        <w:rPr>
          <w:rFonts w:hAnsi="標楷體" w:hint="eastAsia"/>
          <w:color w:val="000000" w:themeColor="text1"/>
          <w:szCs w:val="32"/>
        </w:rPr>
        <w:t>具有信用性</w:t>
      </w:r>
      <w:r w:rsidR="00916707" w:rsidRPr="00815A0E">
        <w:rPr>
          <w:rFonts w:hAnsi="標楷體" w:hint="eastAsia"/>
          <w:color w:val="000000" w:themeColor="text1"/>
          <w:szCs w:val="32"/>
        </w:rPr>
        <w:t>。</w:t>
      </w:r>
      <w:r w:rsidR="00CC01F5" w:rsidRPr="00815A0E">
        <w:rPr>
          <w:rFonts w:hAnsi="標楷體" w:hint="eastAsia"/>
          <w:color w:val="000000" w:themeColor="text1"/>
          <w:szCs w:val="32"/>
        </w:rPr>
        <w:t>從而陳訴人主張因無上開證據</w:t>
      </w:r>
      <w:r w:rsidR="00CC01F5" w:rsidRPr="00815A0E">
        <w:rPr>
          <w:rStyle w:val="afe"/>
          <w:rFonts w:hAnsi="標楷體"/>
          <w:color w:val="000000" w:themeColor="text1"/>
          <w:szCs w:val="32"/>
        </w:rPr>
        <w:footnoteReference w:id="2"/>
      </w:r>
      <w:r w:rsidR="00B75521" w:rsidRPr="00815A0E">
        <w:rPr>
          <w:rFonts w:hAnsi="標楷體" w:hint="eastAsia"/>
          <w:color w:val="000000" w:themeColor="text1"/>
          <w:szCs w:val="32"/>
        </w:rPr>
        <w:t>，而排斥洪進生證言，自不可採。</w:t>
      </w:r>
    </w:p>
    <w:p w:rsidR="00B24879" w:rsidRPr="00815A0E" w:rsidRDefault="00B24879" w:rsidP="0012717B">
      <w:pPr>
        <w:pStyle w:val="3"/>
        <w:rPr>
          <w:rFonts w:hAnsi="標楷體"/>
          <w:color w:val="000000" w:themeColor="text1"/>
          <w:szCs w:val="32"/>
        </w:rPr>
      </w:pPr>
      <w:r w:rsidRPr="00815A0E">
        <w:rPr>
          <w:rFonts w:hAnsi="標楷體" w:hint="eastAsia"/>
          <w:color w:val="000000" w:themeColor="text1"/>
          <w:szCs w:val="32"/>
        </w:rPr>
        <w:lastRenderedPageBreak/>
        <w:t>復就</w:t>
      </w:r>
      <w:r w:rsidR="00670F6E" w:rsidRPr="00815A0E">
        <w:rPr>
          <w:rFonts w:hAnsi="標楷體" w:hint="eastAsia"/>
          <w:color w:val="000000" w:themeColor="text1"/>
          <w:szCs w:val="32"/>
        </w:rPr>
        <w:t>證人洪進生就</w:t>
      </w:r>
      <w:r w:rsidR="00F12511" w:rsidRPr="00815A0E">
        <w:rPr>
          <w:rFonts w:hAnsi="標楷體" w:hint="eastAsia"/>
          <w:color w:val="000000" w:themeColor="text1"/>
          <w:szCs w:val="32"/>
        </w:rPr>
        <w:t>陳訴人</w:t>
      </w:r>
      <w:r w:rsidR="0012717B" w:rsidRPr="00815A0E">
        <w:rPr>
          <w:rFonts w:hAnsi="標楷體" w:hint="eastAsia"/>
          <w:color w:val="000000" w:themeColor="text1"/>
          <w:szCs w:val="32"/>
        </w:rPr>
        <w:t>究係何時囑託其買票乙節，固無法具體說明發生於</w:t>
      </w:r>
      <w:r w:rsidR="00A96C97" w:rsidRPr="00815A0E">
        <w:rPr>
          <w:rFonts w:hAnsi="標楷體" w:hint="eastAsia"/>
          <w:color w:val="000000" w:themeColor="text1"/>
          <w:szCs w:val="32"/>
        </w:rPr>
        <w:t>何時</w:t>
      </w:r>
      <w:r w:rsidR="0012717B" w:rsidRPr="00815A0E">
        <w:rPr>
          <w:rFonts w:hAnsi="標楷體" w:hint="eastAsia"/>
          <w:color w:val="000000" w:themeColor="text1"/>
          <w:szCs w:val="32"/>
        </w:rPr>
        <w:t>何日，而僅</w:t>
      </w:r>
      <w:r w:rsidR="00670F6E" w:rsidRPr="00815A0E">
        <w:rPr>
          <w:rFonts w:hAnsi="標楷體" w:hint="eastAsia"/>
          <w:color w:val="000000" w:themeColor="text1"/>
          <w:szCs w:val="32"/>
        </w:rPr>
        <w:t>供稱發生於「11月13、14或15日」，且就其他有關</w:t>
      </w:r>
      <w:r w:rsidR="00F12511" w:rsidRPr="00815A0E">
        <w:rPr>
          <w:rFonts w:hAnsi="標楷體" w:hint="eastAsia"/>
          <w:color w:val="000000" w:themeColor="text1"/>
          <w:szCs w:val="32"/>
        </w:rPr>
        <w:t>陳訴人</w:t>
      </w:r>
      <w:r w:rsidR="00670F6E" w:rsidRPr="00815A0E">
        <w:rPr>
          <w:rFonts w:hAnsi="標楷體" w:hint="eastAsia"/>
          <w:color w:val="000000" w:themeColor="text1"/>
          <w:szCs w:val="32"/>
        </w:rPr>
        <w:t>究係如何聯絡其前來</w:t>
      </w:r>
      <w:r w:rsidR="00F12511" w:rsidRPr="00815A0E">
        <w:rPr>
          <w:rFonts w:hAnsi="標楷體" w:hint="eastAsia"/>
          <w:color w:val="000000" w:themeColor="text1"/>
          <w:szCs w:val="32"/>
        </w:rPr>
        <w:t>陳訴人</w:t>
      </w:r>
      <w:r w:rsidR="00670F6E" w:rsidRPr="00815A0E">
        <w:rPr>
          <w:rFonts w:hAnsi="標楷體" w:hint="eastAsia"/>
          <w:color w:val="000000" w:themeColor="text1"/>
          <w:szCs w:val="32"/>
        </w:rPr>
        <w:t>之競選總部拿錢，或究係何人以何種方式聯絡其前來</w:t>
      </w:r>
      <w:r w:rsidR="00F12511" w:rsidRPr="00815A0E">
        <w:rPr>
          <w:rFonts w:hAnsi="標楷體" w:hint="eastAsia"/>
          <w:color w:val="000000" w:themeColor="text1"/>
          <w:szCs w:val="32"/>
        </w:rPr>
        <w:t>陳訴人</w:t>
      </w:r>
      <w:r w:rsidR="00670F6E" w:rsidRPr="00815A0E">
        <w:rPr>
          <w:rFonts w:hAnsi="標楷體" w:hint="eastAsia"/>
          <w:color w:val="000000" w:themeColor="text1"/>
          <w:szCs w:val="32"/>
        </w:rPr>
        <w:t>之競選總部拿錢，或究係何人為其開門，或其在</w:t>
      </w:r>
      <w:r w:rsidR="00F12511" w:rsidRPr="00815A0E">
        <w:rPr>
          <w:rFonts w:hAnsi="標楷體" w:hint="eastAsia"/>
          <w:color w:val="000000" w:themeColor="text1"/>
          <w:szCs w:val="32"/>
        </w:rPr>
        <w:t>陳訴人</w:t>
      </w:r>
      <w:r w:rsidR="00670F6E" w:rsidRPr="00815A0E">
        <w:rPr>
          <w:rFonts w:hAnsi="標楷體" w:hint="eastAsia"/>
          <w:color w:val="000000" w:themeColor="text1"/>
          <w:szCs w:val="32"/>
        </w:rPr>
        <w:t>之競選總部究係停留多久，或其究係下午何時前來</w:t>
      </w:r>
      <w:r w:rsidR="00F12511" w:rsidRPr="00815A0E">
        <w:rPr>
          <w:rFonts w:hAnsi="標楷體" w:hint="eastAsia"/>
          <w:color w:val="000000" w:themeColor="text1"/>
          <w:szCs w:val="32"/>
        </w:rPr>
        <w:t>陳訴人</w:t>
      </w:r>
      <w:r w:rsidR="00670F6E" w:rsidRPr="00815A0E">
        <w:rPr>
          <w:rFonts w:hAnsi="標楷體" w:hint="eastAsia"/>
          <w:color w:val="000000" w:themeColor="text1"/>
          <w:szCs w:val="32"/>
        </w:rPr>
        <w:t>之競選總部拿錢，或究係遇到何人，或究係何時返家及其取得</w:t>
      </w:r>
      <w:r w:rsidR="00315B0E" w:rsidRPr="00815A0E">
        <w:rPr>
          <w:rFonts w:hAnsi="標楷體" w:hint="eastAsia"/>
          <w:color w:val="000000" w:themeColor="text1"/>
          <w:szCs w:val="32"/>
        </w:rPr>
        <w:t>20</w:t>
      </w:r>
      <w:r w:rsidR="00670F6E" w:rsidRPr="00815A0E">
        <w:rPr>
          <w:rFonts w:hAnsi="標楷體" w:hint="eastAsia"/>
          <w:color w:val="000000" w:themeColor="text1"/>
          <w:szCs w:val="32"/>
        </w:rPr>
        <w:t>萬元之後，究係何時交由洪美玲賄選等細節所為之供述，均答稱「忘記了」，而有無法回答</w:t>
      </w:r>
      <w:r w:rsidR="0012717B" w:rsidRPr="00815A0E">
        <w:rPr>
          <w:rFonts w:hAnsi="標楷體" w:hint="eastAsia"/>
          <w:color w:val="000000" w:themeColor="text1"/>
          <w:szCs w:val="32"/>
        </w:rPr>
        <w:t>陳述之情形，然</w:t>
      </w:r>
      <w:r w:rsidR="00670F6E" w:rsidRPr="00815A0E">
        <w:rPr>
          <w:rFonts w:hAnsi="標楷體" w:hint="eastAsia"/>
          <w:b/>
          <w:color w:val="000000" w:themeColor="text1"/>
          <w:szCs w:val="32"/>
        </w:rPr>
        <w:t>就</w:t>
      </w:r>
      <w:r w:rsidR="00F12511" w:rsidRPr="00815A0E">
        <w:rPr>
          <w:rFonts w:hAnsi="標楷體" w:hint="eastAsia"/>
          <w:b/>
          <w:color w:val="000000" w:themeColor="text1"/>
          <w:szCs w:val="32"/>
        </w:rPr>
        <w:t>陳訴人</w:t>
      </w:r>
      <w:r w:rsidR="00670F6E" w:rsidRPr="00815A0E">
        <w:rPr>
          <w:rFonts w:hAnsi="標楷體" w:hint="eastAsia"/>
          <w:b/>
          <w:color w:val="000000" w:themeColor="text1"/>
          <w:szCs w:val="32"/>
        </w:rPr>
        <w:t>確有交付</w:t>
      </w:r>
      <w:r w:rsidR="00315B0E" w:rsidRPr="00815A0E">
        <w:rPr>
          <w:rFonts w:hAnsi="標楷體" w:hint="eastAsia"/>
          <w:b/>
          <w:color w:val="000000" w:themeColor="text1"/>
          <w:szCs w:val="32"/>
        </w:rPr>
        <w:t>20</w:t>
      </w:r>
      <w:r w:rsidR="00B75521" w:rsidRPr="00815A0E">
        <w:rPr>
          <w:rFonts w:hAnsi="標楷體" w:hint="eastAsia"/>
          <w:b/>
          <w:color w:val="000000" w:themeColor="text1"/>
          <w:szCs w:val="32"/>
        </w:rPr>
        <w:t>萬元供其買票等基本事實所為之陳述，則並無瑕疵，且與事實相符。況</w:t>
      </w:r>
      <w:r w:rsidR="0012717B" w:rsidRPr="00815A0E">
        <w:rPr>
          <w:rFonts w:hAnsi="標楷體" w:hint="eastAsia"/>
          <w:b/>
          <w:color w:val="000000" w:themeColor="text1"/>
          <w:szCs w:val="32"/>
        </w:rPr>
        <w:t>洪進生</w:t>
      </w:r>
      <w:r w:rsidR="00B75521" w:rsidRPr="00815A0E">
        <w:rPr>
          <w:rFonts w:hAnsi="標楷體" w:hint="eastAsia"/>
          <w:b/>
          <w:color w:val="000000" w:themeColor="text1"/>
          <w:szCs w:val="32"/>
        </w:rPr>
        <w:t>於</w:t>
      </w:r>
      <w:r w:rsidR="0012717B" w:rsidRPr="00815A0E">
        <w:rPr>
          <w:rFonts w:hAnsi="標楷體" w:hint="eastAsia"/>
          <w:b/>
          <w:color w:val="000000" w:themeColor="text1"/>
          <w:szCs w:val="32"/>
        </w:rPr>
        <w:t>案發</w:t>
      </w:r>
      <w:r w:rsidR="00A96C97" w:rsidRPr="00815A0E">
        <w:rPr>
          <w:rFonts w:hAnsi="標楷體" w:hint="eastAsia"/>
          <w:b/>
          <w:color w:val="000000" w:themeColor="text1"/>
          <w:szCs w:val="32"/>
        </w:rPr>
        <w:t>時</w:t>
      </w:r>
      <w:r w:rsidR="0012717B" w:rsidRPr="00815A0E">
        <w:rPr>
          <w:rFonts w:hAnsi="標楷體" w:hint="eastAsia"/>
          <w:b/>
          <w:color w:val="000000" w:themeColor="text1"/>
          <w:szCs w:val="32"/>
        </w:rPr>
        <w:t>年齡業</w:t>
      </w:r>
      <w:r w:rsidR="00A96C97" w:rsidRPr="00815A0E">
        <w:rPr>
          <w:rFonts w:hAnsi="標楷體" w:hint="eastAsia"/>
          <w:b/>
          <w:color w:val="000000" w:themeColor="text1"/>
          <w:szCs w:val="32"/>
        </w:rPr>
        <w:t>達</w:t>
      </w:r>
      <w:r w:rsidR="0012717B" w:rsidRPr="00815A0E">
        <w:rPr>
          <w:rFonts w:hAnsi="標楷體" w:hint="eastAsia"/>
          <w:b/>
          <w:color w:val="000000" w:themeColor="text1"/>
          <w:szCs w:val="32"/>
        </w:rPr>
        <w:t>68歲，法務部調查局就</w:t>
      </w:r>
      <w:r w:rsidR="00A96C97" w:rsidRPr="00815A0E">
        <w:rPr>
          <w:rFonts w:hAnsi="標楷體" w:hint="eastAsia"/>
          <w:b/>
          <w:color w:val="000000" w:themeColor="text1"/>
          <w:szCs w:val="32"/>
        </w:rPr>
        <w:t>其</w:t>
      </w:r>
      <w:r w:rsidR="0012717B" w:rsidRPr="00815A0E">
        <w:rPr>
          <w:rFonts w:hAnsi="標楷體" w:hint="eastAsia"/>
          <w:b/>
          <w:color w:val="000000" w:themeColor="text1"/>
          <w:szCs w:val="32"/>
        </w:rPr>
        <w:t>囑託測謊</w:t>
      </w:r>
      <w:r w:rsidR="00B75521" w:rsidRPr="00815A0E">
        <w:rPr>
          <w:rFonts w:hAnsi="標楷體" w:hint="eastAsia"/>
          <w:b/>
          <w:color w:val="000000" w:themeColor="text1"/>
          <w:szCs w:val="32"/>
        </w:rPr>
        <w:t>亦</w:t>
      </w:r>
      <w:r w:rsidR="0012717B" w:rsidRPr="00815A0E">
        <w:rPr>
          <w:rFonts w:hAnsi="標楷體" w:hint="eastAsia"/>
          <w:b/>
          <w:color w:val="000000" w:themeColor="text1"/>
          <w:szCs w:val="32"/>
        </w:rPr>
        <w:t>認為</w:t>
      </w:r>
      <w:r w:rsidR="00A96C97" w:rsidRPr="00815A0E">
        <w:rPr>
          <w:rFonts w:hAnsi="標楷體" w:hint="eastAsia"/>
          <w:b/>
          <w:color w:val="000000" w:themeColor="text1"/>
          <w:szCs w:val="32"/>
        </w:rPr>
        <w:t>洪進生</w:t>
      </w:r>
      <w:r w:rsidR="0012717B" w:rsidRPr="00815A0E">
        <w:rPr>
          <w:rFonts w:hAnsi="標楷體" w:hint="eastAsia"/>
          <w:b/>
          <w:color w:val="000000" w:themeColor="text1"/>
          <w:szCs w:val="32"/>
        </w:rPr>
        <w:t>年事已高不宜測謊，其記憶力自</w:t>
      </w:r>
      <w:r w:rsidR="006A1899" w:rsidRPr="00815A0E">
        <w:rPr>
          <w:rFonts w:hAnsi="標楷體" w:hint="eastAsia"/>
          <w:b/>
          <w:color w:val="000000" w:themeColor="text1"/>
          <w:szCs w:val="32"/>
        </w:rPr>
        <w:t>與一般</w:t>
      </w:r>
      <w:r w:rsidR="00857346" w:rsidRPr="00815A0E">
        <w:rPr>
          <w:rFonts w:hAnsi="標楷體" w:hint="eastAsia"/>
          <w:b/>
          <w:color w:val="000000" w:themeColor="text1"/>
          <w:szCs w:val="32"/>
        </w:rPr>
        <w:t>青年人</w:t>
      </w:r>
      <w:r w:rsidR="006A1899" w:rsidRPr="00815A0E">
        <w:rPr>
          <w:rFonts w:hAnsi="標楷體" w:hint="eastAsia"/>
          <w:b/>
          <w:color w:val="000000" w:themeColor="text1"/>
          <w:szCs w:val="32"/>
        </w:rPr>
        <w:t>有別</w:t>
      </w:r>
      <w:r w:rsidR="00857346" w:rsidRPr="00815A0E">
        <w:rPr>
          <w:rFonts w:hAnsi="標楷體" w:hint="eastAsia"/>
          <w:b/>
          <w:color w:val="000000" w:themeColor="text1"/>
          <w:szCs w:val="32"/>
        </w:rPr>
        <w:t>，再者</w:t>
      </w:r>
      <w:r w:rsidR="00670F6E" w:rsidRPr="00815A0E">
        <w:rPr>
          <w:rFonts w:hAnsi="標楷體" w:hint="eastAsia"/>
          <w:b/>
          <w:color w:val="000000" w:themeColor="text1"/>
          <w:szCs w:val="32"/>
        </w:rPr>
        <w:t>審酌人類對於事物之注意及觀察，有其能力上之限制，未必如攝影機或照相機般，對所發生或經歷之事均能機械式般無誤地捕捉，亦未必能洞悉事實發生過程之每一細節及全貌，且常人對於過往事物之記憶，亦隨時日之間隔而漸趨模糊或失真，自難因其部分供述有不具體明確，或已忘記而無法回答之情形，即謂其全部供述均屬虛偽</w:t>
      </w:r>
      <w:r w:rsidR="00670F6E" w:rsidRPr="00815A0E">
        <w:rPr>
          <w:rFonts w:hAnsi="標楷體" w:hint="eastAsia"/>
          <w:color w:val="000000" w:themeColor="text1"/>
          <w:szCs w:val="32"/>
        </w:rPr>
        <w:t>，是證人洪進生雖就上開有關細節方面之供述，有部分不具體明確，或已忘記而無法回答之情形，</w:t>
      </w:r>
      <w:r w:rsidR="00A96C97" w:rsidRPr="00815A0E">
        <w:rPr>
          <w:rFonts w:hAnsi="標楷體" w:hint="eastAsia"/>
          <w:color w:val="000000" w:themeColor="text1"/>
          <w:szCs w:val="32"/>
        </w:rPr>
        <w:t>尚難</w:t>
      </w:r>
      <w:r w:rsidR="00857346" w:rsidRPr="00815A0E">
        <w:rPr>
          <w:rFonts w:hAnsi="標楷體" w:hint="eastAsia"/>
          <w:color w:val="000000" w:themeColor="text1"/>
          <w:szCs w:val="32"/>
        </w:rPr>
        <w:t>認定</w:t>
      </w:r>
      <w:r w:rsidR="00736110" w:rsidRPr="00815A0E">
        <w:rPr>
          <w:rFonts w:hAnsi="標楷體" w:hint="eastAsia"/>
          <w:color w:val="000000" w:themeColor="text1"/>
          <w:szCs w:val="32"/>
        </w:rPr>
        <w:t>其</w:t>
      </w:r>
      <w:r w:rsidR="00670F6E" w:rsidRPr="00815A0E">
        <w:rPr>
          <w:rFonts w:hAnsi="標楷體" w:hint="eastAsia"/>
          <w:color w:val="000000" w:themeColor="text1"/>
          <w:szCs w:val="32"/>
        </w:rPr>
        <w:t>供述均不足採。</w:t>
      </w:r>
    </w:p>
    <w:p w:rsidR="00670F6E" w:rsidRPr="00815A0E" w:rsidRDefault="00263A3A" w:rsidP="00F46677">
      <w:pPr>
        <w:pStyle w:val="3"/>
        <w:overflowPunct/>
        <w:autoSpaceDE/>
        <w:autoSpaceDN/>
        <w:rPr>
          <w:rFonts w:hAnsi="標楷體"/>
          <w:color w:val="000000" w:themeColor="text1"/>
          <w:szCs w:val="32"/>
        </w:rPr>
      </w:pPr>
      <w:r w:rsidRPr="00815A0E">
        <w:rPr>
          <w:rFonts w:hAnsi="標楷體" w:hint="eastAsia"/>
          <w:color w:val="000000" w:themeColor="text1"/>
          <w:szCs w:val="32"/>
        </w:rPr>
        <w:t>再者</w:t>
      </w:r>
      <w:r w:rsidR="00F12511" w:rsidRPr="00815A0E">
        <w:rPr>
          <w:rFonts w:hAnsi="標楷體" w:hint="eastAsia"/>
          <w:color w:val="000000" w:themeColor="text1"/>
          <w:szCs w:val="32"/>
        </w:rPr>
        <w:t>陳訴人</w:t>
      </w:r>
      <w:r w:rsidRPr="00815A0E">
        <w:rPr>
          <w:rFonts w:hAnsi="標楷體" w:hint="eastAsia"/>
          <w:color w:val="000000" w:themeColor="text1"/>
          <w:szCs w:val="32"/>
        </w:rPr>
        <w:t>主張：「李宗貴、林政德協助洪進生隱匿，與</w:t>
      </w:r>
      <w:r w:rsidR="00F12511" w:rsidRPr="00815A0E">
        <w:rPr>
          <w:rFonts w:hAnsi="標楷體" w:hint="eastAsia"/>
          <w:color w:val="000000" w:themeColor="text1"/>
          <w:szCs w:val="32"/>
        </w:rPr>
        <w:t>陳訴人</w:t>
      </w:r>
      <w:r w:rsidRPr="00815A0E">
        <w:rPr>
          <w:rFonts w:hAnsi="標楷體" w:hint="eastAsia"/>
          <w:color w:val="000000" w:themeColor="text1"/>
          <w:szCs w:val="32"/>
        </w:rPr>
        <w:t>有無交付20萬元予洪進生買票，本無直接關聯性屬於情況證據，如洪進生與李宗貴、林政德間素不相識，或無交情，以該情況證據，固足以推認係</w:t>
      </w:r>
      <w:r w:rsidR="00F12511" w:rsidRPr="00815A0E">
        <w:rPr>
          <w:rFonts w:hAnsi="標楷體" w:hint="eastAsia"/>
          <w:color w:val="000000" w:themeColor="text1"/>
          <w:szCs w:val="32"/>
        </w:rPr>
        <w:t>陳訴人</w:t>
      </w:r>
      <w:r w:rsidRPr="00815A0E">
        <w:rPr>
          <w:rFonts w:hAnsi="標楷體" w:hint="eastAsia"/>
          <w:color w:val="000000" w:themeColor="text1"/>
          <w:szCs w:val="32"/>
        </w:rPr>
        <w:t>授意</w:t>
      </w:r>
      <w:r w:rsidR="00946B0A" w:rsidRPr="00815A0E">
        <w:rPr>
          <w:rFonts w:hAnsi="標楷體" w:hint="eastAsia"/>
          <w:color w:val="000000" w:themeColor="text1"/>
          <w:szCs w:val="32"/>
        </w:rPr>
        <w:t>其等</w:t>
      </w:r>
      <w:r w:rsidRPr="00815A0E">
        <w:rPr>
          <w:rFonts w:hAnsi="標楷體" w:hint="eastAsia"/>
          <w:color w:val="000000" w:themeColor="text1"/>
          <w:szCs w:val="32"/>
        </w:rPr>
        <w:t>隱匿洪進生。然如洪進生與李宗貴、林政德固有交情，洪進生自承於案發後亦</w:t>
      </w:r>
      <w:r w:rsidRPr="00815A0E">
        <w:rPr>
          <w:rFonts w:hAnsi="標楷體" w:hint="eastAsia"/>
          <w:color w:val="000000" w:themeColor="text1"/>
          <w:szCs w:val="32"/>
        </w:rPr>
        <w:lastRenderedPageBreak/>
        <w:t>未找</w:t>
      </w:r>
      <w:r w:rsidR="00F12511" w:rsidRPr="00815A0E">
        <w:rPr>
          <w:rFonts w:hAnsi="標楷體" w:hint="eastAsia"/>
          <w:color w:val="000000" w:themeColor="text1"/>
          <w:szCs w:val="32"/>
        </w:rPr>
        <w:t>陳訴人</w:t>
      </w:r>
      <w:r w:rsidRPr="00815A0E">
        <w:rPr>
          <w:rFonts w:hAnsi="標楷體" w:hint="eastAsia"/>
          <w:color w:val="000000" w:themeColor="text1"/>
          <w:szCs w:val="32"/>
        </w:rPr>
        <w:t>，而逕找林政德、李宗貴。則無從逕予推論係</w:t>
      </w:r>
      <w:r w:rsidR="00F12511" w:rsidRPr="00815A0E">
        <w:rPr>
          <w:rFonts w:hAnsi="標楷體" w:hint="eastAsia"/>
          <w:color w:val="000000" w:themeColor="text1"/>
          <w:szCs w:val="32"/>
        </w:rPr>
        <w:t>陳訴人</w:t>
      </w:r>
      <w:r w:rsidRPr="00815A0E">
        <w:rPr>
          <w:rFonts w:hAnsi="標楷體" w:hint="eastAsia"/>
          <w:color w:val="000000" w:themeColor="text1"/>
          <w:szCs w:val="32"/>
        </w:rPr>
        <w:t>指使。甚者，進而推論至</w:t>
      </w:r>
      <w:r w:rsidR="00F12511" w:rsidRPr="00815A0E">
        <w:rPr>
          <w:rFonts w:hAnsi="標楷體" w:hint="eastAsia"/>
          <w:color w:val="000000" w:themeColor="text1"/>
          <w:szCs w:val="32"/>
        </w:rPr>
        <w:t>陳訴人</w:t>
      </w:r>
      <w:r w:rsidRPr="00815A0E">
        <w:rPr>
          <w:rFonts w:hAnsi="標楷體" w:hint="eastAsia"/>
          <w:color w:val="000000" w:themeColor="text1"/>
          <w:szCs w:val="32"/>
        </w:rPr>
        <w:t>有叫洪進生賄選之事實。如洪進生與李宗貴、林政德固有交情，則洪進生於案發時找李宗貴協助，而李宗貴、林政德隱匿洪進生，即有合理之可能等語。而原確定判決就洪進生與李宗貴、林政德間是否固有交情；如</w:t>
      </w:r>
      <w:r w:rsidR="00946B0A" w:rsidRPr="00815A0E">
        <w:rPr>
          <w:rFonts w:hAnsi="標楷體" w:hint="eastAsia"/>
          <w:color w:val="000000" w:themeColor="text1"/>
          <w:szCs w:val="32"/>
        </w:rPr>
        <w:t>其等</w:t>
      </w:r>
      <w:r w:rsidRPr="00815A0E">
        <w:rPr>
          <w:rFonts w:hAnsi="標楷體" w:hint="eastAsia"/>
          <w:color w:val="000000" w:themeColor="text1"/>
          <w:szCs w:val="32"/>
        </w:rPr>
        <w:t>間本有交情，洪進生於案發後尋求執業律師之李宗貴協助；李宗貴、林政德隱匿洪進生等情況是否悖於常情，於理由未為審酌認定。有僅就可能之情況論列其中一面，而置他面於不顧。將一般經驗上有利於</w:t>
      </w:r>
      <w:r w:rsidR="00F12511" w:rsidRPr="00815A0E">
        <w:rPr>
          <w:rFonts w:hAnsi="標楷體" w:hint="eastAsia"/>
          <w:color w:val="000000" w:themeColor="text1"/>
          <w:szCs w:val="32"/>
        </w:rPr>
        <w:t>陳訴人</w:t>
      </w:r>
      <w:r w:rsidRPr="00815A0E">
        <w:rPr>
          <w:rFonts w:hAnsi="標楷體" w:hint="eastAsia"/>
          <w:color w:val="000000" w:themeColor="text1"/>
          <w:szCs w:val="32"/>
        </w:rPr>
        <w:t>之其他合理情況逕予排除，未判斷卷既存之有利於</w:t>
      </w:r>
      <w:r w:rsidR="00F12511" w:rsidRPr="00815A0E">
        <w:rPr>
          <w:rFonts w:hAnsi="標楷體" w:hint="eastAsia"/>
          <w:color w:val="000000" w:themeColor="text1"/>
          <w:szCs w:val="32"/>
        </w:rPr>
        <w:t>陳訴人</w:t>
      </w:r>
      <w:r w:rsidRPr="00815A0E">
        <w:rPr>
          <w:rFonts w:hAnsi="標楷體" w:hint="eastAsia"/>
          <w:color w:val="000000" w:themeColor="text1"/>
          <w:szCs w:val="32"/>
        </w:rPr>
        <w:t>之證據並說明理由之情事。」然查</w:t>
      </w:r>
      <w:r w:rsidR="00736110" w:rsidRPr="00815A0E">
        <w:rPr>
          <w:rFonts w:hAnsi="標楷體" w:hint="eastAsia"/>
          <w:color w:val="000000" w:themeColor="text1"/>
          <w:szCs w:val="32"/>
        </w:rPr>
        <w:t>，</w:t>
      </w:r>
      <w:r w:rsidRPr="00815A0E">
        <w:rPr>
          <w:rFonts w:hAnsi="標楷體" w:hint="eastAsia"/>
          <w:color w:val="000000" w:themeColor="text1"/>
          <w:szCs w:val="32"/>
        </w:rPr>
        <w:t>林政德</w:t>
      </w:r>
      <w:r w:rsidR="00FF2FF5" w:rsidRPr="00815A0E">
        <w:rPr>
          <w:rFonts w:hAnsi="標楷體" w:hint="eastAsia"/>
          <w:color w:val="000000" w:themeColor="text1"/>
          <w:szCs w:val="32"/>
        </w:rPr>
        <w:t>同為李宗富及李宗貴之友人，而李宗富及李宗貴又為兄弟，林政德於99年11月24日中午與洪進生同往李宗貴律師事務所。李宗貴於99年11月27日，在其住處將其所申辦之國泰世華金融卡及載有李宗貴行動電話號碼、姓名及金融上卡密碼之紙條1張交付他人，當時有李宗貴、林政德、洪進生3人在場。林政德自99年11月24日起至同年月27日止，提供其臺南市</w:t>
      </w:r>
      <w:r w:rsidR="00B75521" w:rsidRPr="00815A0E">
        <w:rPr>
          <w:rFonts w:hAnsi="標楷體" w:hint="eastAsia"/>
          <w:color w:val="000000" w:themeColor="text1"/>
          <w:szCs w:val="32"/>
        </w:rPr>
        <w:t>之</w:t>
      </w:r>
      <w:r w:rsidR="00FF2FF5" w:rsidRPr="00815A0E">
        <w:rPr>
          <w:rFonts w:hAnsi="標楷體" w:hint="eastAsia"/>
          <w:color w:val="000000" w:themeColor="text1"/>
          <w:szCs w:val="32"/>
        </w:rPr>
        <w:t>住處，供洪進生居住，並向施枝財及郭信義借得身分證、健保卡雙證件，申辦行動電話2支，其中一支行動電話由林政德持用，另一支行動電話則提供洪進生作為聯絡之用等情，均為</w:t>
      </w:r>
      <w:r w:rsidR="00F12511" w:rsidRPr="00815A0E">
        <w:rPr>
          <w:rFonts w:hAnsi="標楷體" w:hint="eastAsia"/>
          <w:color w:val="000000" w:themeColor="text1"/>
          <w:szCs w:val="32"/>
        </w:rPr>
        <w:t>陳訴人</w:t>
      </w:r>
      <w:r w:rsidR="00FF2FF5" w:rsidRPr="00815A0E">
        <w:rPr>
          <w:rFonts w:hAnsi="標楷體" w:hint="eastAsia"/>
          <w:color w:val="000000" w:themeColor="text1"/>
          <w:szCs w:val="32"/>
        </w:rPr>
        <w:t>及李宗貴、林政德所不爭執，並據洪進生等人證述在卷，且有扣案賄款、員警於99年12月1日製作之職務報告及檢附金融卡、便條紙、測試照片、刑事委任書狀、國泰世華銀行逢甲分行99年12月13日函附帳戶申辦人基本資料、對帳單、李宗富所使用之臺灣大哥大行動電話基本資料、登記名義人郭信義行動電</w:t>
      </w:r>
      <w:r w:rsidR="00FF2FF5" w:rsidRPr="00815A0E">
        <w:rPr>
          <w:rFonts w:hAnsi="標楷體" w:hint="eastAsia"/>
          <w:color w:val="000000" w:themeColor="text1"/>
          <w:szCs w:val="32"/>
        </w:rPr>
        <w:lastRenderedPageBreak/>
        <w:t>話、登記名義人施枝財之行動電話、登記名義人李宗貴之行動電話遠傳公司資料查詢與雙向通聯紀錄等在卷可稽，復有上開收受賄款者及其家人之戶籍查詢資料存卷供參（見偵卷二第99-101頁；偵卷三第22-24、149-155、173-198頁；高院更一卷一第208-271、285-303頁、卷二第34-50頁、卷三第22-31、40-45、67-84、101-104頁、卷四第249-270頁），從而，</w:t>
      </w:r>
      <w:r w:rsidR="00670F6E" w:rsidRPr="00815A0E">
        <w:rPr>
          <w:rFonts w:hAnsi="標楷體" w:hint="eastAsia"/>
          <w:b/>
          <w:color w:val="000000" w:themeColor="text1"/>
          <w:szCs w:val="32"/>
        </w:rPr>
        <w:t>原確定判決</w:t>
      </w:r>
      <w:r w:rsidR="00FF2FF5" w:rsidRPr="00815A0E">
        <w:rPr>
          <w:rFonts w:hAnsi="標楷體" w:hint="eastAsia"/>
          <w:b/>
          <w:color w:val="000000" w:themeColor="text1"/>
          <w:szCs w:val="32"/>
        </w:rPr>
        <w:t>認定</w:t>
      </w:r>
      <w:r w:rsidR="00F12511" w:rsidRPr="00815A0E">
        <w:rPr>
          <w:rFonts w:hAnsi="標楷體" w:hint="eastAsia"/>
          <w:b/>
          <w:color w:val="000000" w:themeColor="text1"/>
          <w:szCs w:val="32"/>
        </w:rPr>
        <w:t>陳訴人</w:t>
      </w:r>
      <w:r w:rsidR="00670F6E" w:rsidRPr="00815A0E">
        <w:rPr>
          <w:rFonts w:hAnsi="標楷體" w:hint="eastAsia"/>
          <w:b/>
          <w:color w:val="000000" w:themeColor="text1"/>
          <w:szCs w:val="32"/>
        </w:rPr>
        <w:t>確有交付</w:t>
      </w:r>
      <w:r w:rsidR="00315B0E" w:rsidRPr="00815A0E">
        <w:rPr>
          <w:rFonts w:hAnsi="標楷體" w:hint="eastAsia"/>
          <w:b/>
          <w:color w:val="000000" w:themeColor="text1"/>
          <w:szCs w:val="32"/>
        </w:rPr>
        <w:t>20</w:t>
      </w:r>
      <w:r w:rsidR="00670F6E" w:rsidRPr="00815A0E">
        <w:rPr>
          <w:rFonts w:hAnsi="標楷體" w:hint="eastAsia"/>
          <w:b/>
          <w:color w:val="000000" w:themeColor="text1"/>
          <w:szCs w:val="32"/>
        </w:rPr>
        <w:t>萬元予證人洪進生，供證人洪進生為</w:t>
      </w:r>
      <w:r w:rsidR="00F12511" w:rsidRPr="00815A0E">
        <w:rPr>
          <w:rFonts w:hAnsi="標楷體" w:hint="eastAsia"/>
          <w:b/>
          <w:color w:val="000000" w:themeColor="text1"/>
          <w:szCs w:val="32"/>
        </w:rPr>
        <w:t>陳訴人</w:t>
      </w:r>
      <w:r w:rsidR="00670F6E" w:rsidRPr="00815A0E">
        <w:rPr>
          <w:rFonts w:hAnsi="標楷體" w:hint="eastAsia"/>
          <w:b/>
          <w:color w:val="000000" w:themeColor="text1"/>
          <w:szCs w:val="32"/>
        </w:rPr>
        <w:t>買票乙節，</w:t>
      </w:r>
      <w:r w:rsidR="00FF2FF5" w:rsidRPr="00815A0E">
        <w:rPr>
          <w:rFonts w:hAnsi="標楷體" w:hint="eastAsia"/>
          <w:b/>
          <w:color w:val="000000" w:themeColor="text1"/>
          <w:szCs w:val="32"/>
        </w:rPr>
        <w:t>除於</w:t>
      </w:r>
      <w:r w:rsidR="00670F6E" w:rsidRPr="00815A0E">
        <w:rPr>
          <w:rFonts w:hAnsi="標楷體" w:hint="eastAsia"/>
          <w:b/>
          <w:color w:val="000000" w:themeColor="text1"/>
          <w:szCs w:val="32"/>
        </w:rPr>
        <w:t>理由欄中詳述</w:t>
      </w:r>
      <w:r w:rsidR="00F12511" w:rsidRPr="00815A0E">
        <w:rPr>
          <w:rFonts w:hAnsi="標楷體" w:hint="eastAsia"/>
          <w:b/>
          <w:color w:val="000000" w:themeColor="text1"/>
          <w:szCs w:val="32"/>
        </w:rPr>
        <w:t>陳訴人</w:t>
      </w:r>
      <w:r w:rsidR="00670F6E" w:rsidRPr="00815A0E">
        <w:rPr>
          <w:rFonts w:hAnsi="標楷體" w:hint="eastAsia"/>
          <w:b/>
          <w:color w:val="000000" w:themeColor="text1"/>
          <w:szCs w:val="32"/>
        </w:rPr>
        <w:t>此部分事實，</w:t>
      </w:r>
      <w:r w:rsidR="00FF2FF5" w:rsidRPr="00815A0E">
        <w:rPr>
          <w:rFonts w:hAnsi="標楷體" w:hint="eastAsia"/>
          <w:b/>
          <w:color w:val="000000" w:themeColor="text1"/>
          <w:szCs w:val="32"/>
        </w:rPr>
        <w:t>並</w:t>
      </w:r>
      <w:r w:rsidR="00670F6E" w:rsidRPr="00815A0E">
        <w:rPr>
          <w:rFonts w:hAnsi="標楷體" w:hint="eastAsia"/>
          <w:b/>
          <w:color w:val="000000" w:themeColor="text1"/>
          <w:szCs w:val="32"/>
        </w:rPr>
        <w:t>據證人洪進生於迭次訊問中證述明確，且依卷內相關之證人即行賄或受賄者於賄選過程中均無任何</w:t>
      </w:r>
      <w:r w:rsidR="00FF2FF5" w:rsidRPr="00815A0E">
        <w:rPr>
          <w:rFonts w:hAnsi="標楷體" w:hint="eastAsia"/>
          <w:b/>
          <w:color w:val="000000" w:themeColor="text1"/>
          <w:szCs w:val="32"/>
        </w:rPr>
        <w:t>足以排除</w:t>
      </w:r>
      <w:r w:rsidR="00670F6E" w:rsidRPr="00815A0E">
        <w:rPr>
          <w:rFonts w:hAnsi="標楷體" w:hint="eastAsia"/>
          <w:b/>
          <w:color w:val="000000" w:themeColor="text1"/>
          <w:szCs w:val="32"/>
        </w:rPr>
        <w:t>證人洪進生之說法之情況證據，</w:t>
      </w:r>
      <w:r w:rsidR="00FF2FF5" w:rsidRPr="00815A0E">
        <w:rPr>
          <w:rFonts w:hAnsi="標楷體" w:hint="eastAsia"/>
          <w:b/>
          <w:color w:val="000000" w:themeColor="text1"/>
          <w:szCs w:val="32"/>
        </w:rPr>
        <w:t>原確定判決</w:t>
      </w:r>
      <w:r w:rsidR="00670F6E" w:rsidRPr="00815A0E">
        <w:rPr>
          <w:rFonts w:hAnsi="標楷體" w:hint="eastAsia"/>
          <w:b/>
          <w:color w:val="000000" w:themeColor="text1"/>
          <w:szCs w:val="32"/>
        </w:rPr>
        <w:t>推論提供賄選款項之人應係</w:t>
      </w:r>
      <w:r w:rsidR="00F12511" w:rsidRPr="00815A0E">
        <w:rPr>
          <w:rFonts w:hAnsi="標楷體" w:hint="eastAsia"/>
          <w:b/>
          <w:color w:val="000000" w:themeColor="text1"/>
          <w:szCs w:val="32"/>
        </w:rPr>
        <w:t>陳訴人</w:t>
      </w:r>
      <w:r w:rsidR="000A3C23" w:rsidRPr="00815A0E">
        <w:rPr>
          <w:rFonts w:hAnsi="標楷體" w:hint="eastAsia"/>
          <w:b/>
          <w:color w:val="000000" w:themeColor="text1"/>
          <w:szCs w:val="32"/>
        </w:rPr>
        <w:t>尚無違於經驗法則與論理法則</w:t>
      </w:r>
      <w:r w:rsidR="00670F6E" w:rsidRPr="00815A0E">
        <w:rPr>
          <w:rFonts w:hAnsi="標楷體" w:hint="eastAsia"/>
          <w:b/>
          <w:color w:val="000000" w:themeColor="text1"/>
          <w:szCs w:val="32"/>
        </w:rPr>
        <w:t>，</w:t>
      </w:r>
      <w:r w:rsidR="00FF2FF5" w:rsidRPr="00815A0E">
        <w:rPr>
          <w:rFonts w:hAnsi="標楷體" w:hint="eastAsia"/>
          <w:b/>
          <w:color w:val="000000" w:themeColor="text1"/>
          <w:szCs w:val="32"/>
        </w:rPr>
        <w:t>況本件賄選案偵查開始，</w:t>
      </w:r>
      <w:r w:rsidR="000A3C23" w:rsidRPr="00815A0E">
        <w:rPr>
          <w:rFonts w:hAnsi="標楷體" w:hint="eastAsia"/>
          <w:b/>
          <w:color w:val="000000" w:themeColor="text1"/>
          <w:szCs w:val="32"/>
        </w:rPr>
        <w:t>竟由其胞弟擔任律師之李宗貴</w:t>
      </w:r>
      <w:r w:rsidR="00DD6D04" w:rsidRPr="00815A0E">
        <w:rPr>
          <w:rFonts w:hAnsi="標楷體" w:hint="eastAsia"/>
          <w:b/>
          <w:color w:val="000000" w:themeColor="text1"/>
          <w:szCs w:val="32"/>
        </w:rPr>
        <w:t>以</w:t>
      </w:r>
      <w:r w:rsidR="000A3C23" w:rsidRPr="00815A0E">
        <w:rPr>
          <w:rFonts w:hAnsi="標楷體" w:hint="eastAsia"/>
          <w:b/>
          <w:color w:val="000000" w:themeColor="text1"/>
          <w:szCs w:val="32"/>
        </w:rPr>
        <w:t>違反刑法</w:t>
      </w:r>
      <w:r w:rsidR="00B75521" w:rsidRPr="00815A0E">
        <w:rPr>
          <w:rFonts w:hAnsi="標楷體" w:hint="eastAsia"/>
          <w:b/>
          <w:color w:val="000000" w:themeColor="text1"/>
          <w:szCs w:val="32"/>
        </w:rPr>
        <w:t>，並</w:t>
      </w:r>
      <w:r w:rsidR="00DD6D04" w:rsidRPr="00815A0E">
        <w:rPr>
          <w:rFonts w:hAnsi="標楷體" w:hint="eastAsia"/>
          <w:b/>
          <w:color w:val="000000" w:themeColor="text1"/>
          <w:szCs w:val="32"/>
        </w:rPr>
        <w:t>恐將喪失律師資格之方式</w:t>
      </w:r>
      <w:r w:rsidR="000A3C23" w:rsidRPr="00815A0E">
        <w:rPr>
          <w:rFonts w:hAnsi="標楷體" w:hint="eastAsia"/>
          <w:b/>
          <w:color w:val="000000" w:themeColor="text1"/>
          <w:szCs w:val="32"/>
        </w:rPr>
        <w:t>將證人洪進生藏匿，遠遠超越一般律師與當事人之委任事務範圍，亦超越所謂</w:t>
      </w:r>
      <w:r w:rsidR="00B75521" w:rsidRPr="00815A0E">
        <w:rPr>
          <w:rFonts w:hAnsi="標楷體" w:hint="eastAsia"/>
          <w:b/>
          <w:color w:val="000000" w:themeColor="text1"/>
          <w:szCs w:val="32"/>
        </w:rPr>
        <w:t>一般</w:t>
      </w:r>
      <w:r w:rsidR="000A3C23" w:rsidRPr="00815A0E">
        <w:rPr>
          <w:rFonts w:hAnsi="標楷體" w:hint="eastAsia"/>
          <w:b/>
          <w:color w:val="000000" w:themeColor="text1"/>
          <w:szCs w:val="32"/>
        </w:rPr>
        <w:t>好友情誼，實令人駭異，如非為協助骨肉兄弟逃脫刑責，何至如此</w:t>
      </w:r>
      <w:r w:rsidR="00DD6D04" w:rsidRPr="00815A0E">
        <w:rPr>
          <w:rFonts w:hAnsi="標楷體" w:hint="eastAsia"/>
          <w:b/>
          <w:color w:val="000000" w:themeColor="text1"/>
          <w:szCs w:val="32"/>
        </w:rPr>
        <w:t>。況</w:t>
      </w:r>
      <w:r w:rsidR="00F12511" w:rsidRPr="00815A0E">
        <w:rPr>
          <w:rFonts w:hAnsi="標楷體" w:hint="eastAsia"/>
          <w:b/>
          <w:color w:val="000000" w:themeColor="text1"/>
          <w:szCs w:val="32"/>
        </w:rPr>
        <w:t>陳訴人</w:t>
      </w:r>
      <w:r w:rsidR="00DD6D04" w:rsidRPr="00815A0E">
        <w:rPr>
          <w:rFonts w:hAnsi="標楷體" w:hint="eastAsia"/>
          <w:b/>
          <w:color w:val="000000" w:themeColor="text1"/>
          <w:szCs w:val="32"/>
        </w:rPr>
        <w:t>自始至終</w:t>
      </w:r>
      <w:r w:rsidR="00670F6E" w:rsidRPr="00815A0E">
        <w:rPr>
          <w:rFonts w:hAnsi="標楷體" w:hint="eastAsia"/>
          <w:b/>
          <w:color w:val="000000" w:themeColor="text1"/>
          <w:szCs w:val="32"/>
        </w:rPr>
        <w:t>未積極找尋證人洪進生出面</w:t>
      </w:r>
      <w:r w:rsidR="0074333C" w:rsidRPr="00815A0E">
        <w:rPr>
          <w:rFonts w:hAnsi="標楷體" w:hint="eastAsia"/>
          <w:b/>
          <w:color w:val="000000" w:themeColor="text1"/>
          <w:szCs w:val="32"/>
        </w:rPr>
        <w:t>澄清</w:t>
      </w:r>
      <w:r w:rsidR="00670F6E" w:rsidRPr="00815A0E">
        <w:rPr>
          <w:rFonts w:hAnsi="標楷體" w:hint="eastAsia"/>
          <w:b/>
          <w:color w:val="000000" w:themeColor="text1"/>
          <w:szCs w:val="32"/>
        </w:rPr>
        <w:t>其賄選</w:t>
      </w:r>
      <w:r w:rsidR="00B75521" w:rsidRPr="00815A0E">
        <w:rPr>
          <w:rFonts w:hAnsi="標楷體" w:hint="eastAsia"/>
          <w:b/>
          <w:color w:val="000000" w:themeColor="text1"/>
          <w:szCs w:val="32"/>
        </w:rPr>
        <w:t>，</w:t>
      </w:r>
      <w:r w:rsidR="00DD6D04" w:rsidRPr="00815A0E">
        <w:rPr>
          <w:rFonts w:hAnsi="標楷體" w:hint="eastAsia"/>
          <w:b/>
          <w:color w:val="000000" w:themeColor="text1"/>
          <w:szCs w:val="32"/>
        </w:rPr>
        <w:t>而</w:t>
      </w:r>
      <w:r w:rsidR="00670F6E" w:rsidRPr="00815A0E">
        <w:rPr>
          <w:rFonts w:hAnsi="標楷體" w:hint="eastAsia"/>
          <w:b/>
          <w:color w:val="000000" w:themeColor="text1"/>
          <w:szCs w:val="32"/>
        </w:rPr>
        <w:t>任</w:t>
      </w:r>
      <w:r w:rsidR="00DD6D04" w:rsidRPr="00815A0E">
        <w:rPr>
          <w:rFonts w:hAnsi="標楷體" w:hint="eastAsia"/>
          <w:b/>
          <w:color w:val="000000" w:themeColor="text1"/>
          <w:szCs w:val="32"/>
        </w:rPr>
        <w:t>由李宗貴與林政德藏匿洪進生</w:t>
      </w:r>
      <w:r w:rsidR="00670F6E" w:rsidRPr="00815A0E">
        <w:rPr>
          <w:rFonts w:hAnsi="標楷體" w:hint="eastAsia"/>
          <w:b/>
          <w:color w:val="000000" w:themeColor="text1"/>
          <w:szCs w:val="32"/>
        </w:rPr>
        <w:t>，亦足以作為</w:t>
      </w:r>
      <w:r w:rsidR="00F12511" w:rsidRPr="00815A0E">
        <w:rPr>
          <w:rFonts w:hAnsi="標楷體" w:hint="eastAsia"/>
          <w:b/>
          <w:color w:val="000000" w:themeColor="text1"/>
          <w:szCs w:val="32"/>
        </w:rPr>
        <w:t>陳訴人</w:t>
      </w:r>
      <w:r w:rsidR="00DD6D04" w:rsidRPr="00815A0E">
        <w:rPr>
          <w:rFonts w:hAnsi="標楷體" w:hint="eastAsia"/>
          <w:b/>
          <w:color w:val="000000" w:themeColor="text1"/>
          <w:szCs w:val="32"/>
        </w:rPr>
        <w:t>交付</w:t>
      </w:r>
      <w:r w:rsidR="00315B0E" w:rsidRPr="00815A0E">
        <w:rPr>
          <w:rFonts w:hAnsi="標楷體" w:hint="eastAsia"/>
          <w:b/>
          <w:color w:val="000000" w:themeColor="text1"/>
          <w:szCs w:val="32"/>
        </w:rPr>
        <w:t>20</w:t>
      </w:r>
      <w:r w:rsidR="00DD6D04" w:rsidRPr="00815A0E">
        <w:rPr>
          <w:rFonts w:hAnsi="標楷體" w:hint="eastAsia"/>
          <w:b/>
          <w:color w:val="000000" w:themeColor="text1"/>
          <w:szCs w:val="32"/>
        </w:rPr>
        <w:t>萬元賄款予證人洪進生買票之補強證據等語綦詳</w:t>
      </w:r>
      <w:r w:rsidR="00670F6E" w:rsidRPr="00815A0E">
        <w:rPr>
          <w:rFonts w:hAnsi="標楷體" w:hint="eastAsia"/>
          <w:color w:val="000000" w:themeColor="text1"/>
          <w:szCs w:val="32"/>
        </w:rPr>
        <w:t>（見</w:t>
      </w:r>
      <w:r w:rsidR="00DD6D04" w:rsidRPr="00815A0E">
        <w:rPr>
          <w:rFonts w:hAnsi="標楷體" w:hint="eastAsia"/>
          <w:color w:val="000000" w:themeColor="text1"/>
          <w:szCs w:val="32"/>
        </w:rPr>
        <w:t>原</w:t>
      </w:r>
      <w:r w:rsidR="00670F6E" w:rsidRPr="00815A0E">
        <w:rPr>
          <w:rFonts w:hAnsi="標楷體" w:hint="eastAsia"/>
          <w:color w:val="000000" w:themeColor="text1"/>
          <w:szCs w:val="32"/>
        </w:rPr>
        <w:t>確定判決第21頁至第29頁所載理由），</w:t>
      </w:r>
      <w:r w:rsidR="00DD6D04" w:rsidRPr="00815A0E">
        <w:rPr>
          <w:rFonts w:hAnsi="標楷體" w:hint="eastAsia"/>
          <w:b/>
          <w:color w:val="000000" w:themeColor="text1"/>
          <w:szCs w:val="32"/>
        </w:rPr>
        <w:t>原確定判決所稱</w:t>
      </w:r>
      <w:r w:rsidR="0049584C" w:rsidRPr="00815A0E">
        <w:rPr>
          <w:rFonts w:hAnsi="標楷體" w:hint="eastAsia"/>
          <w:b/>
          <w:color w:val="000000" w:themeColor="text1"/>
          <w:szCs w:val="32"/>
        </w:rPr>
        <w:t>自合乎經驗法則應屬</w:t>
      </w:r>
      <w:r w:rsidR="006A1899" w:rsidRPr="00815A0E">
        <w:rPr>
          <w:rFonts w:hAnsi="標楷體" w:hint="eastAsia"/>
          <w:b/>
          <w:color w:val="000000" w:themeColor="text1"/>
          <w:szCs w:val="32"/>
        </w:rPr>
        <w:t>可採</w:t>
      </w:r>
      <w:r w:rsidR="00670F6E" w:rsidRPr="00815A0E">
        <w:rPr>
          <w:rFonts w:hAnsi="標楷體" w:hint="eastAsia"/>
          <w:color w:val="000000" w:themeColor="text1"/>
          <w:szCs w:val="32"/>
        </w:rPr>
        <w:t>。</w:t>
      </w:r>
      <w:r w:rsidR="00DD6D04" w:rsidRPr="00815A0E">
        <w:rPr>
          <w:rFonts w:hAnsi="標楷體" w:hint="eastAsia"/>
          <w:color w:val="000000" w:themeColor="text1"/>
          <w:szCs w:val="32"/>
        </w:rPr>
        <w:t>是則，</w:t>
      </w:r>
      <w:r w:rsidR="00670F6E" w:rsidRPr="00815A0E">
        <w:rPr>
          <w:rFonts w:hAnsi="標楷體" w:hint="eastAsia"/>
          <w:b/>
          <w:color w:val="000000" w:themeColor="text1"/>
          <w:szCs w:val="32"/>
        </w:rPr>
        <w:t>原確定判決係以</w:t>
      </w:r>
      <w:r w:rsidR="00F12511" w:rsidRPr="00815A0E">
        <w:rPr>
          <w:rFonts w:hAnsi="標楷體" w:hint="eastAsia"/>
          <w:b/>
          <w:color w:val="000000" w:themeColor="text1"/>
          <w:szCs w:val="32"/>
        </w:rPr>
        <w:t>陳訴人</w:t>
      </w:r>
      <w:r w:rsidR="00670F6E" w:rsidRPr="00815A0E">
        <w:rPr>
          <w:rFonts w:hAnsi="標楷體" w:hint="eastAsia"/>
          <w:b/>
          <w:color w:val="000000" w:themeColor="text1"/>
          <w:szCs w:val="32"/>
        </w:rPr>
        <w:t>之胞弟李宗貴藏匿證人洪進生期間，對於檢警調查證人洪進生等人為</w:t>
      </w:r>
      <w:r w:rsidR="00F12511" w:rsidRPr="00815A0E">
        <w:rPr>
          <w:rFonts w:hAnsi="標楷體" w:hint="eastAsia"/>
          <w:b/>
          <w:color w:val="000000" w:themeColor="text1"/>
          <w:szCs w:val="32"/>
        </w:rPr>
        <w:t>陳訴人</w:t>
      </w:r>
      <w:r w:rsidR="005442DC" w:rsidRPr="00815A0E">
        <w:rPr>
          <w:rFonts w:hAnsi="標楷體" w:hint="eastAsia"/>
          <w:b/>
          <w:color w:val="000000" w:themeColor="text1"/>
          <w:szCs w:val="32"/>
        </w:rPr>
        <w:t>賄選一事，</w:t>
      </w:r>
      <w:r w:rsidR="00F12511" w:rsidRPr="00815A0E">
        <w:rPr>
          <w:rFonts w:hAnsi="標楷體" w:hint="eastAsia"/>
          <w:b/>
          <w:color w:val="000000" w:themeColor="text1"/>
          <w:szCs w:val="32"/>
        </w:rPr>
        <w:t>陳訴人</w:t>
      </w:r>
      <w:r w:rsidR="005442DC" w:rsidRPr="00815A0E">
        <w:rPr>
          <w:rFonts w:hAnsi="標楷體" w:hint="eastAsia"/>
          <w:b/>
          <w:color w:val="000000" w:themeColor="text1"/>
          <w:szCs w:val="32"/>
        </w:rPr>
        <w:t>自當知悉，卻未向證人洪進生問清緣由，甚至於</w:t>
      </w:r>
      <w:r w:rsidR="00670F6E" w:rsidRPr="00815A0E">
        <w:rPr>
          <w:rFonts w:hAnsi="標楷體" w:hint="eastAsia"/>
          <w:b/>
          <w:color w:val="000000" w:themeColor="text1"/>
          <w:szCs w:val="32"/>
        </w:rPr>
        <w:t>99年11月25日其競選總部遭搜索之後，亦未積極尋找證人洪進生出面澄清</w:t>
      </w:r>
      <w:r w:rsidR="00F12511" w:rsidRPr="00815A0E">
        <w:rPr>
          <w:rFonts w:hAnsi="標楷體" w:hint="eastAsia"/>
          <w:b/>
          <w:color w:val="000000" w:themeColor="text1"/>
          <w:szCs w:val="32"/>
        </w:rPr>
        <w:t>陳訴人</w:t>
      </w:r>
      <w:r w:rsidR="00670F6E" w:rsidRPr="00815A0E">
        <w:rPr>
          <w:rFonts w:hAnsi="標楷體" w:hint="eastAsia"/>
          <w:b/>
          <w:color w:val="000000" w:themeColor="text1"/>
          <w:szCs w:val="32"/>
        </w:rPr>
        <w:t>賄選疑慮，反任由</w:t>
      </w:r>
      <w:r w:rsidR="00670F6E" w:rsidRPr="00815A0E">
        <w:rPr>
          <w:rFonts w:hAnsi="標楷體" w:hint="eastAsia"/>
          <w:b/>
          <w:color w:val="000000" w:themeColor="text1"/>
          <w:szCs w:val="32"/>
        </w:rPr>
        <w:lastRenderedPageBreak/>
        <w:t>李宗貴將證人洪進生藏匿等情況證據，據以作為</w:t>
      </w:r>
      <w:r w:rsidR="00F12511" w:rsidRPr="00815A0E">
        <w:rPr>
          <w:rFonts w:hAnsi="標楷體" w:hint="eastAsia"/>
          <w:b/>
          <w:color w:val="000000" w:themeColor="text1"/>
          <w:szCs w:val="32"/>
        </w:rPr>
        <w:t>陳訴人</w:t>
      </w:r>
      <w:r w:rsidR="00670F6E" w:rsidRPr="00815A0E">
        <w:rPr>
          <w:rFonts w:hAnsi="標楷體" w:hint="eastAsia"/>
          <w:b/>
          <w:color w:val="000000" w:themeColor="text1"/>
          <w:szCs w:val="32"/>
        </w:rPr>
        <w:t>確有交付20萬元賄款予證人洪進生買票之補強證據乙節，</w:t>
      </w:r>
      <w:r w:rsidR="0049584C" w:rsidRPr="00815A0E">
        <w:rPr>
          <w:rFonts w:hAnsi="標楷體" w:hint="eastAsia"/>
          <w:b/>
          <w:color w:val="000000" w:themeColor="text1"/>
          <w:szCs w:val="32"/>
        </w:rPr>
        <w:t>原確定判決理由已</w:t>
      </w:r>
      <w:r w:rsidR="005F5AB6" w:rsidRPr="00815A0E">
        <w:rPr>
          <w:rFonts w:hAnsi="標楷體" w:hint="eastAsia"/>
          <w:b/>
          <w:color w:val="000000" w:themeColor="text1"/>
          <w:szCs w:val="32"/>
        </w:rPr>
        <w:t>就</w:t>
      </w:r>
      <w:r w:rsidR="00F12511" w:rsidRPr="00815A0E">
        <w:rPr>
          <w:rFonts w:hAnsi="標楷體" w:hint="eastAsia"/>
          <w:b/>
          <w:color w:val="000000" w:themeColor="text1"/>
          <w:szCs w:val="32"/>
        </w:rPr>
        <w:t>陳訴人</w:t>
      </w:r>
      <w:r w:rsidR="005F5AB6" w:rsidRPr="00815A0E">
        <w:rPr>
          <w:rFonts w:hAnsi="標楷體" w:hint="eastAsia"/>
          <w:b/>
          <w:color w:val="000000" w:themeColor="text1"/>
          <w:szCs w:val="32"/>
        </w:rPr>
        <w:t>指稱事項詳為論述</w:t>
      </w:r>
      <w:r w:rsidR="005F5AB6" w:rsidRPr="00815A0E">
        <w:rPr>
          <w:rFonts w:hAnsi="標楷體" w:hint="eastAsia"/>
          <w:color w:val="000000" w:themeColor="text1"/>
          <w:szCs w:val="32"/>
        </w:rPr>
        <w:t>，</w:t>
      </w:r>
      <w:r w:rsidR="00F12511" w:rsidRPr="00815A0E">
        <w:rPr>
          <w:rFonts w:hAnsi="標楷體" w:hint="eastAsia"/>
          <w:color w:val="000000" w:themeColor="text1"/>
          <w:szCs w:val="32"/>
        </w:rPr>
        <w:t>陳訴人</w:t>
      </w:r>
      <w:r w:rsidR="0049584C" w:rsidRPr="00815A0E">
        <w:rPr>
          <w:rFonts w:hAnsi="標楷體" w:hint="eastAsia"/>
          <w:color w:val="000000" w:themeColor="text1"/>
          <w:szCs w:val="32"/>
        </w:rPr>
        <w:t>仍就上開原確定判決</w:t>
      </w:r>
      <w:r w:rsidR="00670F6E" w:rsidRPr="00815A0E">
        <w:rPr>
          <w:rFonts w:hAnsi="標楷體" w:hint="eastAsia"/>
          <w:color w:val="000000" w:themeColor="text1"/>
          <w:szCs w:val="32"/>
        </w:rPr>
        <w:t>明白論述之事項，再事爭辯及對原確定判決採證認事職權之行使，依其個人主觀之說詞，任意指摘，或持相異之評價，衡情於客觀上顯難令人產生合理懷疑而認足以動搖原確定判決所認定之事實。</w:t>
      </w:r>
    </w:p>
    <w:p w:rsidR="00670F6E" w:rsidRPr="00815A0E" w:rsidRDefault="0049584C" w:rsidP="00262FD5">
      <w:pPr>
        <w:pStyle w:val="3"/>
        <w:overflowPunct/>
        <w:autoSpaceDE/>
        <w:autoSpaceDN/>
        <w:rPr>
          <w:rFonts w:hAnsi="標楷體"/>
          <w:color w:val="000000" w:themeColor="text1"/>
          <w:szCs w:val="32"/>
        </w:rPr>
      </w:pPr>
      <w:r w:rsidRPr="00815A0E">
        <w:rPr>
          <w:rFonts w:hAnsi="標楷體" w:hint="eastAsia"/>
          <w:color w:val="000000" w:themeColor="text1"/>
          <w:szCs w:val="32"/>
        </w:rPr>
        <w:t>再者，</w:t>
      </w:r>
      <w:r w:rsidR="00F12511" w:rsidRPr="00815A0E">
        <w:rPr>
          <w:rFonts w:hAnsi="標楷體" w:hint="eastAsia"/>
          <w:color w:val="000000" w:themeColor="text1"/>
          <w:szCs w:val="32"/>
        </w:rPr>
        <w:t>陳訴人</w:t>
      </w:r>
      <w:r w:rsidRPr="00815A0E">
        <w:rPr>
          <w:rFonts w:hAnsi="標楷體" w:hint="eastAsia"/>
          <w:color w:val="000000" w:themeColor="text1"/>
          <w:szCs w:val="32"/>
        </w:rPr>
        <w:t>指摘原確定判決</w:t>
      </w:r>
      <w:r w:rsidR="008B63D5" w:rsidRPr="00815A0E">
        <w:rPr>
          <w:rFonts w:hAnsi="標楷體" w:hint="eastAsia"/>
          <w:color w:val="000000" w:themeColor="text1"/>
          <w:szCs w:val="32"/>
        </w:rPr>
        <w:t>理由，臺南地檢檢察官於99年11月24日上午指揮司法警察傳訊本件涉案相關人，發生洪進生適於同日10時49分許，接獲李宗忠「報票」電話掛斷情事，其認定背離經驗法則與論理法則乙節。經查，</w:t>
      </w:r>
      <w:r w:rsidR="00670F6E" w:rsidRPr="00815A0E">
        <w:rPr>
          <w:rFonts w:hAnsi="標楷體" w:hint="eastAsia"/>
          <w:color w:val="000000" w:themeColor="text1"/>
          <w:szCs w:val="32"/>
        </w:rPr>
        <w:t>原確定判決已於理由欄中就有關李宗忠之行為反應，何以足以資為</w:t>
      </w:r>
      <w:r w:rsidR="00F12511" w:rsidRPr="00815A0E">
        <w:rPr>
          <w:rFonts w:hAnsi="標楷體" w:hint="eastAsia"/>
          <w:color w:val="000000" w:themeColor="text1"/>
          <w:szCs w:val="32"/>
        </w:rPr>
        <w:t>陳訴人</w:t>
      </w:r>
      <w:r w:rsidR="00670F6E" w:rsidRPr="00815A0E">
        <w:rPr>
          <w:rFonts w:hAnsi="標楷體" w:hint="eastAsia"/>
          <w:color w:val="000000" w:themeColor="text1"/>
          <w:szCs w:val="32"/>
        </w:rPr>
        <w:t>與證人洪進生共謀賄選之佐證，詳加論述「臺南地檢檢察官於99年11月24日上午指揮司法警察前往臺南市北區○○路○○○巷傳訊本件涉案相關人時，洪進生適於同日10時49分許，接獲李宗忠（即被告之堂兄兼競選總部主任）之『報票』電話，洪進生在電話中告知李宗忠『不要、不要，現在不要說，現在都來到我家裡搜索了』、『這樣你聽懂嗎』，李宗忠則只簡單回以『喔！這樣！』、『好、好』等語，雙方隨即掛斷電話，李宗忠並未追問洪進生因何事遭到搜索、為何不能講『報票』之事，有監聽譯文在卷可稽。佐以李宗忠身為被告競選總部主任，總管大小事宜，縱其本身涉及投票行賄之罪嫌尚有不足，惟若被告並無與洪進生合謀賄選，則對於競選總部副總幹事洪進生遭到搜索一事，自當甚感意外，並急於究明原因，實不可能如此平淡回應，並極有默契的掛斷電話。李宗忠上開行為反</w:t>
      </w:r>
      <w:r w:rsidR="00670F6E" w:rsidRPr="00815A0E">
        <w:rPr>
          <w:rFonts w:hAnsi="標楷體" w:hint="eastAsia"/>
          <w:color w:val="000000" w:themeColor="text1"/>
          <w:szCs w:val="32"/>
        </w:rPr>
        <w:lastRenderedPageBreak/>
        <w:t>應，亦堪據為被告與洪進生共謀賄選之佐證」等語明確，</w:t>
      </w:r>
      <w:r w:rsidRPr="00815A0E">
        <w:rPr>
          <w:rFonts w:hAnsi="標楷體" w:hint="eastAsia"/>
          <w:color w:val="000000" w:themeColor="text1"/>
          <w:szCs w:val="32"/>
        </w:rPr>
        <w:t>亦</w:t>
      </w:r>
      <w:r w:rsidR="00670F6E" w:rsidRPr="00815A0E">
        <w:rPr>
          <w:rFonts w:hAnsi="標楷體" w:hint="eastAsia"/>
          <w:color w:val="000000" w:themeColor="text1"/>
          <w:szCs w:val="32"/>
        </w:rPr>
        <w:t>已就</w:t>
      </w:r>
      <w:r w:rsidR="00F12511" w:rsidRPr="00815A0E">
        <w:rPr>
          <w:rFonts w:hAnsi="標楷體" w:hint="eastAsia"/>
          <w:color w:val="000000" w:themeColor="text1"/>
          <w:szCs w:val="32"/>
        </w:rPr>
        <w:t>陳訴人</w:t>
      </w:r>
      <w:r w:rsidR="005F5AB6" w:rsidRPr="00815A0E">
        <w:rPr>
          <w:rFonts w:hAnsi="標楷體" w:hint="eastAsia"/>
          <w:color w:val="000000" w:themeColor="text1"/>
          <w:szCs w:val="32"/>
        </w:rPr>
        <w:t>指摘</w:t>
      </w:r>
      <w:r w:rsidR="00670F6E" w:rsidRPr="00815A0E">
        <w:rPr>
          <w:rFonts w:hAnsi="標楷體" w:hint="eastAsia"/>
          <w:color w:val="000000" w:themeColor="text1"/>
          <w:szCs w:val="32"/>
        </w:rPr>
        <w:t>事項詳為論述，</w:t>
      </w:r>
      <w:r w:rsidR="00F12511" w:rsidRPr="00815A0E">
        <w:rPr>
          <w:rFonts w:hAnsi="標楷體" w:hint="eastAsia"/>
          <w:color w:val="000000" w:themeColor="text1"/>
          <w:szCs w:val="32"/>
        </w:rPr>
        <w:t>陳訴人</w:t>
      </w:r>
      <w:r w:rsidR="00670F6E" w:rsidRPr="00815A0E">
        <w:rPr>
          <w:rFonts w:hAnsi="標楷體" w:hint="eastAsia"/>
          <w:color w:val="000000" w:themeColor="text1"/>
          <w:szCs w:val="32"/>
        </w:rPr>
        <w:t>仍就上開原確定判決已明白論述之事項，再事爭辯</w:t>
      </w:r>
      <w:r w:rsidR="008B63D5" w:rsidRPr="00815A0E">
        <w:rPr>
          <w:rFonts w:hAnsi="標楷體" w:hint="eastAsia"/>
          <w:color w:val="000000" w:themeColor="text1"/>
          <w:szCs w:val="32"/>
        </w:rPr>
        <w:t>，</w:t>
      </w:r>
      <w:r w:rsidR="00670F6E" w:rsidRPr="00815A0E">
        <w:rPr>
          <w:rFonts w:hAnsi="標楷體" w:hint="eastAsia"/>
          <w:color w:val="000000" w:themeColor="text1"/>
          <w:szCs w:val="32"/>
        </w:rPr>
        <w:t>客觀上顯難令人產生合理懷疑而認足以動搖原確定判決所認定之事實，亦難謂有理由。</w:t>
      </w:r>
    </w:p>
    <w:p w:rsidR="00A96C97" w:rsidRPr="00815A0E" w:rsidRDefault="00A96C97" w:rsidP="00A96C97">
      <w:pPr>
        <w:pStyle w:val="3"/>
        <w:rPr>
          <w:rFonts w:hAnsi="標楷體"/>
          <w:color w:val="000000" w:themeColor="text1"/>
          <w:szCs w:val="32"/>
        </w:rPr>
      </w:pPr>
      <w:r w:rsidRPr="00815A0E">
        <w:rPr>
          <w:rFonts w:hAnsi="標楷體" w:hint="eastAsia"/>
          <w:color w:val="000000" w:themeColor="text1"/>
          <w:szCs w:val="32"/>
        </w:rPr>
        <w:t>綜上，</w:t>
      </w:r>
      <w:r w:rsidR="00F12511" w:rsidRPr="00815A0E">
        <w:rPr>
          <w:rFonts w:hAnsi="標楷體" w:hint="eastAsia"/>
          <w:color w:val="000000" w:themeColor="text1"/>
          <w:szCs w:val="32"/>
        </w:rPr>
        <w:t>陳訴人</w:t>
      </w:r>
      <w:r w:rsidRPr="00815A0E">
        <w:rPr>
          <w:rFonts w:hAnsi="標楷體" w:hint="eastAsia"/>
          <w:color w:val="000000" w:themeColor="text1"/>
          <w:szCs w:val="32"/>
        </w:rPr>
        <w:t>指摘原確定判決稱如排除洪進生所為不利於</w:t>
      </w:r>
      <w:r w:rsidR="00F12511" w:rsidRPr="00815A0E">
        <w:rPr>
          <w:rFonts w:hAnsi="標楷體" w:hint="eastAsia"/>
          <w:color w:val="000000" w:themeColor="text1"/>
          <w:szCs w:val="32"/>
        </w:rPr>
        <w:t>陳訴人</w:t>
      </w:r>
      <w:r w:rsidRPr="00815A0E">
        <w:rPr>
          <w:rFonts w:hAnsi="標楷體" w:hint="eastAsia"/>
          <w:color w:val="000000" w:themeColor="text1"/>
          <w:szCs w:val="32"/>
        </w:rPr>
        <w:t>之供述，依原確定判決理由所載其餘情況證據，顯不足認定</w:t>
      </w:r>
      <w:r w:rsidR="00F12511" w:rsidRPr="00815A0E">
        <w:rPr>
          <w:rFonts w:hAnsi="標楷體" w:hint="eastAsia"/>
          <w:color w:val="000000" w:themeColor="text1"/>
          <w:szCs w:val="32"/>
        </w:rPr>
        <w:t>陳訴人</w:t>
      </w:r>
      <w:r w:rsidRPr="00815A0E">
        <w:rPr>
          <w:rFonts w:hAnsi="標楷體" w:hint="eastAsia"/>
          <w:color w:val="000000" w:themeColor="text1"/>
          <w:szCs w:val="32"/>
        </w:rPr>
        <w:t>有原確定判決所認之犯罪事實等語，然</w:t>
      </w:r>
      <w:r w:rsidR="00F12511" w:rsidRPr="00815A0E">
        <w:rPr>
          <w:rFonts w:hAnsi="標楷體" w:hint="eastAsia"/>
          <w:color w:val="000000" w:themeColor="text1"/>
          <w:szCs w:val="32"/>
        </w:rPr>
        <w:t>陳訴人</w:t>
      </w:r>
      <w:r w:rsidRPr="00815A0E">
        <w:rPr>
          <w:rFonts w:hAnsi="標楷體" w:hint="eastAsia"/>
          <w:color w:val="000000" w:themeColor="text1"/>
          <w:szCs w:val="32"/>
        </w:rPr>
        <w:t>所執彈劾證據與理由均不足以排除洪進生證詞，且另其指摘原確定判決各點，客觀上均難產生合理懷疑而認足以動搖原確定判決所認定之事實，其所述自難遽採。</w:t>
      </w:r>
    </w:p>
    <w:p w:rsidR="00A96C97" w:rsidRPr="00815A0E" w:rsidRDefault="00A96C97" w:rsidP="00A96C97">
      <w:pPr>
        <w:pStyle w:val="3"/>
        <w:numPr>
          <w:ilvl w:val="0"/>
          <w:numId w:val="0"/>
        </w:numPr>
        <w:overflowPunct/>
        <w:autoSpaceDE/>
        <w:autoSpaceDN/>
        <w:ind w:left="1361"/>
        <w:jc w:val="left"/>
        <w:rPr>
          <w:rFonts w:hAnsi="標楷體"/>
          <w:color w:val="000000" w:themeColor="text1"/>
          <w:szCs w:val="32"/>
        </w:rPr>
      </w:pPr>
    </w:p>
    <w:p w:rsidR="00E25849" w:rsidRPr="00815A0E" w:rsidRDefault="00E25849" w:rsidP="004E05A1">
      <w:pPr>
        <w:pStyle w:val="1"/>
        <w:ind w:left="2380" w:hanging="2380"/>
        <w:rPr>
          <w:rFonts w:hAnsi="標楷體"/>
          <w:color w:val="000000" w:themeColor="text1"/>
        </w:rPr>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bookmarkEnd w:id="49"/>
      <w:bookmarkEnd w:id="50"/>
      <w:bookmarkEnd w:id="51"/>
      <w:r w:rsidRPr="00815A0E">
        <w:rPr>
          <w:rFonts w:hAnsi="標楷體" w:hint="eastAsia"/>
          <w:color w:val="000000" w:themeColor="text1"/>
        </w:rPr>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560DDA" w:rsidRPr="00815A0E" w:rsidRDefault="00FB7770" w:rsidP="00560DDA">
      <w:pPr>
        <w:pStyle w:val="2"/>
        <w:spacing w:beforeLines="25" w:before="114"/>
        <w:ind w:left="1020" w:hanging="680"/>
        <w:rPr>
          <w:rFonts w:hAnsi="標楷體"/>
          <w:color w:val="000000" w:themeColor="text1"/>
        </w:rPr>
      </w:pPr>
      <w:bookmarkStart w:id="76" w:name="_Toc524895649"/>
      <w:bookmarkStart w:id="77" w:name="_Toc524896195"/>
      <w:bookmarkStart w:id="78" w:name="_Toc524896225"/>
      <w:bookmarkStart w:id="79" w:name="_Toc70241820"/>
      <w:bookmarkStart w:id="80" w:name="_Toc70242209"/>
      <w:bookmarkStart w:id="81" w:name="_Toc421794876"/>
      <w:bookmarkStart w:id="82" w:name="_Toc421795442"/>
      <w:bookmarkStart w:id="83" w:name="_Toc421796023"/>
      <w:bookmarkStart w:id="84" w:name="_Toc422728958"/>
      <w:bookmarkStart w:id="85" w:name="_Toc422834161"/>
      <w:bookmarkStart w:id="86" w:name="_Toc2400396"/>
      <w:bookmarkStart w:id="87" w:name="_Toc4316190"/>
      <w:bookmarkStart w:id="88" w:name="_Toc4473331"/>
      <w:bookmarkStart w:id="89" w:name="_Toc69556898"/>
      <w:bookmarkStart w:id="90" w:name="_Toc69556947"/>
      <w:bookmarkStart w:id="91" w:name="_Toc69609821"/>
      <w:bookmarkStart w:id="92" w:name="_Toc70241817"/>
      <w:bookmarkStart w:id="93" w:name="_Toc70242206"/>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End w:id="76"/>
      <w:bookmarkEnd w:id="77"/>
      <w:bookmarkEnd w:id="78"/>
      <w:r w:rsidRPr="00815A0E">
        <w:rPr>
          <w:rFonts w:hAnsi="標楷體" w:hint="eastAsia"/>
          <w:color w:val="000000" w:themeColor="text1"/>
        </w:rPr>
        <w:t>調查意見</w:t>
      </w:r>
      <w:bookmarkStart w:id="105" w:name="_Toc70241819"/>
      <w:bookmarkStart w:id="106" w:name="_Toc70242208"/>
      <w:bookmarkStart w:id="107" w:name="_Toc421794878"/>
      <w:bookmarkStart w:id="108" w:name="_Toc421795444"/>
      <w:bookmarkStart w:id="109" w:name="_Toc421796025"/>
      <w:bookmarkStart w:id="110" w:name="_Toc422728960"/>
      <w:bookmarkStart w:id="111" w:name="_Toc422834163"/>
      <w:bookmarkStart w:id="112" w:name="_Toc70241818"/>
      <w:bookmarkStart w:id="113" w:name="_Toc70242207"/>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00560DDA" w:rsidRPr="00815A0E">
        <w:rPr>
          <w:rFonts w:hAnsi="標楷體" w:hint="eastAsia"/>
          <w:color w:val="000000" w:themeColor="text1"/>
        </w:rPr>
        <w:t>函復陳訴人。</w:t>
      </w:r>
      <w:bookmarkEnd w:id="105"/>
      <w:bookmarkEnd w:id="106"/>
      <w:bookmarkEnd w:id="107"/>
      <w:bookmarkEnd w:id="108"/>
      <w:bookmarkEnd w:id="109"/>
      <w:bookmarkEnd w:id="110"/>
      <w:bookmarkEnd w:id="111"/>
    </w:p>
    <w:p w:rsidR="00E25849" w:rsidRPr="00815A0E" w:rsidRDefault="00E25849">
      <w:pPr>
        <w:pStyle w:val="2"/>
        <w:rPr>
          <w:rFonts w:hAnsi="標楷體"/>
          <w:color w:val="000000" w:themeColor="text1"/>
        </w:rPr>
      </w:pPr>
      <w:bookmarkStart w:id="114" w:name="_Toc2400397"/>
      <w:bookmarkStart w:id="115" w:name="_Toc4316191"/>
      <w:bookmarkStart w:id="116" w:name="_Toc4473332"/>
      <w:bookmarkStart w:id="117" w:name="_Toc69556901"/>
      <w:bookmarkStart w:id="118" w:name="_Toc69556950"/>
      <w:bookmarkStart w:id="119" w:name="_Toc69609824"/>
      <w:bookmarkStart w:id="120" w:name="_Toc70241822"/>
      <w:bookmarkStart w:id="121" w:name="_Toc70242211"/>
      <w:bookmarkStart w:id="122" w:name="_Toc421794881"/>
      <w:bookmarkStart w:id="123" w:name="_Toc421795447"/>
      <w:bookmarkStart w:id="124" w:name="_Toc421796028"/>
      <w:bookmarkStart w:id="125" w:name="_Toc422728963"/>
      <w:bookmarkStart w:id="126" w:name="_Toc422834166"/>
      <w:bookmarkEnd w:id="94"/>
      <w:bookmarkEnd w:id="95"/>
      <w:bookmarkEnd w:id="96"/>
      <w:bookmarkEnd w:id="97"/>
      <w:bookmarkEnd w:id="98"/>
      <w:bookmarkEnd w:id="99"/>
      <w:bookmarkEnd w:id="100"/>
      <w:bookmarkEnd w:id="101"/>
      <w:bookmarkEnd w:id="102"/>
      <w:bookmarkEnd w:id="103"/>
      <w:bookmarkEnd w:id="104"/>
      <w:bookmarkEnd w:id="112"/>
      <w:bookmarkEnd w:id="113"/>
      <w:r w:rsidRPr="00815A0E">
        <w:rPr>
          <w:rFonts w:hAnsi="標楷體" w:hint="eastAsia"/>
          <w:color w:val="000000" w:themeColor="text1"/>
        </w:rPr>
        <w:t>檢附派查函及相關附件，</w:t>
      </w:r>
      <w:r w:rsidR="00FD161A" w:rsidRPr="00815A0E">
        <w:rPr>
          <w:rFonts w:hAnsi="標楷體" w:hint="eastAsia"/>
          <w:color w:val="000000" w:themeColor="text1"/>
        </w:rPr>
        <w:t>送請</w:t>
      </w:r>
      <w:r w:rsidR="00A63A8A" w:rsidRPr="00815A0E">
        <w:rPr>
          <w:rFonts w:hAnsi="標楷體" w:hint="eastAsia"/>
          <w:color w:val="000000" w:themeColor="text1"/>
        </w:rPr>
        <w:t>司法</w:t>
      </w:r>
      <w:r w:rsidRPr="00815A0E">
        <w:rPr>
          <w:rFonts w:hAnsi="標楷體" w:hint="eastAsia"/>
          <w:color w:val="000000" w:themeColor="text1"/>
        </w:rPr>
        <w:t>及</w:t>
      </w:r>
      <w:r w:rsidR="00A63A8A" w:rsidRPr="00815A0E">
        <w:rPr>
          <w:rFonts w:hAnsi="標楷體" w:hint="eastAsia"/>
          <w:color w:val="000000" w:themeColor="text1"/>
        </w:rPr>
        <w:t>獄政</w:t>
      </w:r>
      <w:r w:rsidRPr="00815A0E">
        <w:rPr>
          <w:rFonts w:hAnsi="標楷體" w:hint="eastAsia"/>
          <w:color w:val="000000" w:themeColor="text1"/>
        </w:rPr>
        <w:t>委員會處理。</w:t>
      </w:r>
      <w:bookmarkEnd w:id="114"/>
      <w:bookmarkEnd w:id="115"/>
      <w:bookmarkEnd w:id="116"/>
      <w:bookmarkEnd w:id="117"/>
      <w:bookmarkEnd w:id="118"/>
      <w:bookmarkEnd w:id="119"/>
      <w:bookmarkEnd w:id="120"/>
      <w:bookmarkEnd w:id="121"/>
      <w:bookmarkEnd w:id="122"/>
      <w:bookmarkEnd w:id="123"/>
      <w:bookmarkEnd w:id="124"/>
      <w:bookmarkEnd w:id="125"/>
      <w:bookmarkEnd w:id="126"/>
    </w:p>
    <w:p w:rsidR="00770453" w:rsidRPr="00815A0E" w:rsidRDefault="00770453" w:rsidP="00770453">
      <w:pPr>
        <w:pStyle w:val="aa"/>
        <w:spacing w:beforeLines="50" w:before="228" w:afterLines="100" w:after="457"/>
        <w:ind w:leftChars="1100" w:left="3742"/>
        <w:rPr>
          <w:rFonts w:hAnsi="標楷體"/>
          <w:b w:val="0"/>
          <w:bCs/>
          <w:snapToGrid/>
          <w:color w:val="000000" w:themeColor="text1"/>
          <w:spacing w:val="12"/>
          <w:kern w:val="0"/>
          <w:sz w:val="40"/>
        </w:rPr>
      </w:pPr>
    </w:p>
    <w:p w:rsidR="00E25849" w:rsidRPr="00815A0E" w:rsidRDefault="00E25849" w:rsidP="00770453">
      <w:pPr>
        <w:pStyle w:val="aa"/>
        <w:spacing w:beforeLines="50" w:before="228" w:afterLines="100" w:after="457"/>
        <w:ind w:leftChars="1100" w:left="3742"/>
        <w:rPr>
          <w:rFonts w:hAnsi="標楷體"/>
          <w:b w:val="0"/>
          <w:bCs/>
          <w:snapToGrid/>
          <w:color w:val="000000" w:themeColor="text1"/>
          <w:spacing w:val="12"/>
          <w:kern w:val="0"/>
          <w:sz w:val="40"/>
        </w:rPr>
      </w:pPr>
      <w:r w:rsidRPr="00815A0E">
        <w:rPr>
          <w:rFonts w:hAnsi="標楷體" w:hint="eastAsia"/>
          <w:b w:val="0"/>
          <w:bCs/>
          <w:snapToGrid/>
          <w:color w:val="000000" w:themeColor="text1"/>
          <w:spacing w:val="12"/>
          <w:kern w:val="0"/>
          <w:sz w:val="40"/>
        </w:rPr>
        <w:t>調查委員：</w:t>
      </w:r>
      <w:r w:rsidR="007A67A8">
        <w:rPr>
          <w:rFonts w:hAnsi="標楷體" w:hint="eastAsia"/>
          <w:b w:val="0"/>
          <w:bCs/>
          <w:snapToGrid/>
          <w:color w:val="000000" w:themeColor="text1"/>
          <w:spacing w:val="12"/>
          <w:kern w:val="0"/>
          <w:sz w:val="40"/>
        </w:rPr>
        <w:t>王美玉</w:t>
      </w:r>
    </w:p>
    <w:p w:rsidR="00F46677" w:rsidRPr="00815A0E" w:rsidRDefault="00F46677" w:rsidP="00770453">
      <w:pPr>
        <w:pStyle w:val="aa"/>
        <w:spacing w:before="0" w:after="0"/>
        <w:ind w:leftChars="1100" w:left="3742"/>
        <w:rPr>
          <w:rFonts w:hAnsi="標楷體"/>
          <w:b w:val="0"/>
          <w:bCs/>
          <w:snapToGrid/>
          <w:color w:val="000000" w:themeColor="text1"/>
          <w:spacing w:val="0"/>
          <w:kern w:val="0"/>
          <w:sz w:val="40"/>
        </w:rPr>
      </w:pPr>
    </w:p>
    <w:p w:rsidR="00E25849" w:rsidRPr="00815A0E" w:rsidRDefault="00E25849">
      <w:pPr>
        <w:pStyle w:val="af"/>
        <w:rPr>
          <w:rFonts w:hAnsi="標楷體"/>
          <w:bCs/>
          <w:color w:val="000000" w:themeColor="text1"/>
        </w:rPr>
      </w:pPr>
      <w:r w:rsidRPr="00815A0E">
        <w:rPr>
          <w:rFonts w:hAnsi="標楷體" w:hint="eastAsia"/>
          <w:bCs/>
          <w:color w:val="000000" w:themeColor="text1"/>
        </w:rPr>
        <w:t>中</w:t>
      </w:r>
      <w:r w:rsidR="00B5484D" w:rsidRPr="00815A0E">
        <w:rPr>
          <w:rFonts w:hAnsi="標楷體" w:hint="eastAsia"/>
          <w:bCs/>
          <w:color w:val="000000" w:themeColor="text1"/>
        </w:rPr>
        <w:t xml:space="preserve">  </w:t>
      </w:r>
      <w:r w:rsidRPr="00815A0E">
        <w:rPr>
          <w:rFonts w:hAnsi="標楷體" w:hint="eastAsia"/>
          <w:bCs/>
          <w:color w:val="000000" w:themeColor="text1"/>
        </w:rPr>
        <w:t>華</w:t>
      </w:r>
      <w:r w:rsidR="00B5484D" w:rsidRPr="00815A0E">
        <w:rPr>
          <w:rFonts w:hAnsi="標楷體" w:hint="eastAsia"/>
          <w:bCs/>
          <w:color w:val="000000" w:themeColor="text1"/>
        </w:rPr>
        <w:t xml:space="preserve">  </w:t>
      </w:r>
      <w:r w:rsidRPr="00815A0E">
        <w:rPr>
          <w:rFonts w:hAnsi="標楷體" w:hint="eastAsia"/>
          <w:bCs/>
          <w:color w:val="000000" w:themeColor="text1"/>
        </w:rPr>
        <w:t>民</w:t>
      </w:r>
      <w:r w:rsidR="00B5484D" w:rsidRPr="00815A0E">
        <w:rPr>
          <w:rFonts w:hAnsi="標楷體" w:hint="eastAsia"/>
          <w:bCs/>
          <w:color w:val="000000" w:themeColor="text1"/>
        </w:rPr>
        <w:t xml:space="preserve">  </w:t>
      </w:r>
      <w:r w:rsidRPr="00815A0E">
        <w:rPr>
          <w:rFonts w:hAnsi="標楷體" w:hint="eastAsia"/>
          <w:bCs/>
          <w:color w:val="000000" w:themeColor="text1"/>
        </w:rPr>
        <w:t xml:space="preserve">國　</w:t>
      </w:r>
      <w:r w:rsidR="001E74C2" w:rsidRPr="00815A0E">
        <w:rPr>
          <w:rFonts w:hAnsi="標楷體" w:hint="eastAsia"/>
          <w:bCs/>
          <w:color w:val="000000" w:themeColor="text1"/>
        </w:rPr>
        <w:t>10</w:t>
      </w:r>
      <w:r w:rsidR="005D71B7" w:rsidRPr="00815A0E">
        <w:rPr>
          <w:rFonts w:hAnsi="標楷體" w:hint="eastAsia"/>
          <w:bCs/>
          <w:color w:val="000000" w:themeColor="text1"/>
        </w:rPr>
        <w:t>8</w:t>
      </w:r>
      <w:r w:rsidRPr="00815A0E">
        <w:rPr>
          <w:rFonts w:hAnsi="標楷體" w:hint="eastAsia"/>
          <w:bCs/>
          <w:color w:val="000000" w:themeColor="text1"/>
        </w:rPr>
        <w:t xml:space="preserve">　年　</w:t>
      </w:r>
      <w:r w:rsidR="007A67A8">
        <w:rPr>
          <w:rFonts w:hAnsi="標楷體" w:hint="eastAsia"/>
          <w:bCs/>
          <w:color w:val="000000" w:themeColor="text1"/>
        </w:rPr>
        <w:t>8</w:t>
      </w:r>
      <w:r w:rsidR="00A07B4B" w:rsidRPr="00815A0E">
        <w:rPr>
          <w:rFonts w:hAnsi="標楷體" w:hint="eastAsia"/>
          <w:bCs/>
          <w:color w:val="000000" w:themeColor="text1"/>
        </w:rPr>
        <w:t xml:space="preserve"> </w:t>
      </w:r>
      <w:r w:rsidRPr="00815A0E">
        <w:rPr>
          <w:rFonts w:hAnsi="標楷體" w:hint="eastAsia"/>
          <w:bCs/>
          <w:color w:val="000000" w:themeColor="text1"/>
        </w:rPr>
        <w:t xml:space="preserve">　月</w:t>
      </w:r>
      <w:r w:rsidR="007A67A8" w:rsidRPr="007A67A8">
        <w:rPr>
          <w:rFonts w:hAnsi="標楷體" w:hint="eastAsia"/>
          <w:bCs/>
          <w:color w:val="000000" w:themeColor="text1"/>
        </w:rPr>
        <w:t xml:space="preserve">　</w:t>
      </w:r>
      <w:bookmarkStart w:id="127" w:name="_GoBack"/>
      <w:bookmarkEnd w:id="127"/>
      <w:r w:rsidR="007A67A8">
        <w:rPr>
          <w:rFonts w:hAnsi="標楷體" w:hint="eastAsia"/>
          <w:bCs/>
          <w:color w:val="000000" w:themeColor="text1"/>
        </w:rPr>
        <w:t xml:space="preserve"> 14</w:t>
      </w:r>
      <w:r w:rsidRPr="00815A0E">
        <w:rPr>
          <w:rFonts w:hAnsi="標楷體" w:hint="eastAsia"/>
          <w:bCs/>
          <w:color w:val="000000" w:themeColor="text1"/>
        </w:rPr>
        <w:t xml:space="preserve">　日</w:t>
      </w:r>
    </w:p>
    <w:sectPr w:rsidR="00E25849" w:rsidRPr="00815A0E" w:rsidSect="00253DA9">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9AD" w:rsidRDefault="00C219AD">
      <w:r>
        <w:separator/>
      </w:r>
    </w:p>
  </w:endnote>
  <w:endnote w:type="continuationSeparator" w:id="0">
    <w:p w:rsidR="00C219AD" w:rsidRDefault="00C2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A67A8">
      <w:rPr>
        <w:rStyle w:val="ac"/>
        <w:noProof/>
        <w:sz w:val="24"/>
      </w:rPr>
      <w:t>17</w:t>
    </w:r>
    <w:r>
      <w:rPr>
        <w:rStyle w:val="ac"/>
        <w:sz w:val="24"/>
      </w:rPr>
      <w:fldChar w:fldCharType="end"/>
    </w:r>
  </w:p>
  <w:p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9AD" w:rsidRDefault="00C219AD">
      <w:r>
        <w:separator/>
      </w:r>
    </w:p>
  </w:footnote>
  <w:footnote w:type="continuationSeparator" w:id="0">
    <w:p w:rsidR="00C219AD" w:rsidRDefault="00C219AD">
      <w:r>
        <w:continuationSeparator/>
      </w:r>
    </w:p>
  </w:footnote>
  <w:footnote w:id="1">
    <w:p w:rsidR="0061329F" w:rsidRPr="0061329F" w:rsidRDefault="0061329F">
      <w:pPr>
        <w:pStyle w:val="afc"/>
      </w:pPr>
      <w:r>
        <w:rPr>
          <w:rStyle w:val="afe"/>
        </w:rPr>
        <w:footnoteRef/>
      </w:r>
      <w:r w:rsidR="009B3127">
        <w:rPr>
          <w:rFonts w:hint="eastAsia"/>
        </w:rPr>
        <w:t xml:space="preserve"> </w:t>
      </w:r>
      <w:r w:rsidR="000E533B" w:rsidRPr="000D3BCC">
        <w:rPr>
          <w:rFonts w:hint="eastAsia"/>
          <w:color w:val="000000" w:themeColor="text1"/>
        </w:rPr>
        <w:t>本院108年7月編印「</w:t>
      </w:r>
      <w:r w:rsidRPr="0061329F">
        <w:rPr>
          <w:rFonts w:hint="eastAsia"/>
        </w:rPr>
        <w:t>測謊之亂</w:t>
      </w:r>
      <w:r w:rsidR="000E533B">
        <w:rPr>
          <w:rFonts w:hint="eastAsia"/>
        </w:rPr>
        <w:t xml:space="preserve">　</w:t>
      </w:r>
      <w:r w:rsidRPr="0061329F">
        <w:rPr>
          <w:rFonts w:hint="eastAsia"/>
        </w:rPr>
        <w:t>人權之失─</w:t>
      </w:r>
      <w:r w:rsidR="00914DEA">
        <w:rPr>
          <w:rFonts w:hint="eastAsia"/>
        </w:rPr>
        <w:t>監察院測謊鑑定違失報告</w:t>
      </w:r>
      <w:r w:rsidR="00914DEA">
        <w:rPr>
          <w:rFonts w:ascii="微軟正黑體" w:eastAsia="微軟正黑體" w:hAnsi="微軟正黑體" w:hint="eastAsia"/>
        </w:rPr>
        <w:t>」</w:t>
      </w:r>
      <w:r>
        <w:rPr>
          <w:rFonts w:ascii="微軟正黑體" w:eastAsia="微軟正黑體" w:hAnsi="微軟正黑體" w:hint="eastAsia"/>
        </w:rPr>
        <w:t>，</w:t>
      </w:r>
      <w:r>
        <w:rPr>
          <w:rFonts w:hint="eastAsia"/>
        </w:rPr>
        <w:t>頁285</w:t>
      </w:r>
      <w:r w:rsidR="000E533B" w:rsidRPr="000E533B">
        <w:rPr>
          <w:rFonts w:hint="eastAsia"/>
          <w:color w:val="FF0000"/>
        </w:rPr>
        <w:t>。</w:t>
      </w:r>
    </w:p>
  </w:footnote>
  <w:footnote w:id="2">
    <w:p w:rsidR="00CC01F5" w:rsidRPr="00CC01F5" w:rsidRDefault="00CC01F5" w:rsidP="00315B0E">
      <w:pPr>
        <w:pStyle w:val="afc"/>
        <w:ind w:left="154" w:hangingChars="70" w:hanging="154"/>
        <w:rPr>
          <w:rFonts w:hAnsi="標楷體"/>
        </w:rPr>
      </w:pPr>
      <w:r>
        <w:rPr>
          <w:rStyle w:val="afe"/>
        </w:rPr>
        <w:footnoteRef/>
      </w:r>
      <w:r w:rsidRPr="00CC01F5">
        <w:rPr>
          <w:rFonts w:hAnsi="標楷體"/>
        </w:rPr>
        <w:t xml:space="preserve"> </w:t>
      </w:r>
      <w:r w:rsidR="00A96C97">
        <w:rPr>
          <w:rFonts w:hAnsi="標楷體" w:hint="eastAsia"/>
        </w:rPr>
        <w:t>例如</w:t>
      </w:r>
      <w:r w:rsidRPr="00CC01F5">
        <w:rPr>
          <w:rFonts w:hAnsi="標楷體" w:hint="eastAsia"/>
        </w:rPr>
        <w:t>陳情人指稱：「凡走過必留下痕跡，若洪進生所指陳情人交錢當日，雙方有通聯紀錄、陳情人競選總部或附近路口監視器有攝得洪進生行蹤、洪進生當日進出陳情人競選總部有遇見其認識之人、洪進生得款後有暫存入金融帳戶或交何人保管等跡證，有一於此，陳情人即百口莫辯，又豈敢主動具狀要求檢察官調查不利之陳情人之證據。」</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55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removePersonalInformation/>
  <w:removeDateAndTime/>
  <w:displayBackgroundShape/>
  <w:mirrorMargins/>
  <w:bordersDoNotSurroundHeader/>
  <w:bordersDoNotSurroundFooter/>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687D"/>
    <w:rsid w:val="00017318"/>
    <w:rsid w:val="000229AD"/>
    <w:rsid w:val="00023E1E"/>
    <w:rsid w:val="000246F7"/>
    <w:rsid w:val="0003114D"/>
    <w:rsid w:val="00036D76"/>
    <w:rsid w:val="00057F32"/>
    <w:rsid w:val="00062A25"/>
    <w:rsid w:val="00073CB5"/>
    <w:rsid w:val="0007425C"/>
    <w:rsid w:val="00077553"/>
    <w:rsid w:val="000851A2"/>
    <w:rsid w:val="00085AE1"/>
    <w:rsid w:val="0009352E"/>
    <w:rsid w:val="00096B96"/>
    <w:rsid w:val="00097C4D"/>
    <w:rsid w:val="000A2F3F"/>
    <w:rsid w:val="000A3C23"/>
    <w:rsid w:val="000B08AE"/>
    <w:rsid w:val="000B0B4A"/>
    <w:rsid w:val="000B279A"/>
    <w:rsid w:val="000B61D2"/>
    <w:rsid w:val="000B70A7"/>
    <w:rsid w:val="000B73DD"/>
    <w:rsid w:val="000C296C"/>
    <w:rsid w:val="000C42DF"/>
    <w:rsid w:val="000C495F"/>
    <w:rsid w:val="000D1571"/>
    <w:rsid w:val="000D3BCC"/>
    <w:rsid w:val="000D66D9"/>
    <w:rsid w:val="000E533B"/>
    <w:rsid w:val="000E6431"/>
    <w:rsid w:val="000F21A5"/>
    <w:rsid w:val="00102B9F"/>
    <w:rsid w:val="00112637"/>
    <w:rsid w:val="00112ABC"/>
    <w:rsid w:val="001131ED"/>
    <w:rsid w:val="0012001E"/>
    <w:rsid w:val="00126A55"/>
    <w:rsid w:val="0012717B"/>
    <w:rsid w:val="00133F08"/>
    <w:rsid w:val="001345E6"/>
    <w:rsid w:val="001378B0"/>
    <w:rsid w:val="00142E00"/>
    <w:rsid w:val="00152793"/>
    <w:rsid w:val="00153B7E"/>
    <w:rsid w:val="001545A9"/>
    <w:rsid w:val="001637C7"/>
    <w:rsid w:val="0016480E"/>
    <w:rsid w:val="00174297"/>
    <w:rsid w:val="00180E06"/>
    <w:rsid w:val="001817B3"/>
    <w:rsid w:val="00183014"/>
    <w:rsid w:val="00186738"/>
    <w:rsid w:val="00195421"/>
    <w:rsid w:val="001959C2"/>
    <w:rsid w:val="001A51E3"/>
    <w:rsid w:val="001A7891"/>
    <w:rsid w:val="001A7968"/>
    <w:rsid w:val="001B2E98"/>
    <w:rsid w:val="001B3483"/>
    <w:rsid w:val="001B3C1E"/>
    <w:rsid w:val="001B4494"/>
    <w:rsid w:val="001C0D8B"/>
    <w:rsid w:val="001C0DA8"/>
    <w:rsid w:val="001C1E6F"/>
    <w:rsid w:val="001C2EFA"/>
    <w:rsid w:val="001C5AF8"/>
    <w:rsid w:val="001D4AD7"/>
    <w:rsid w:val="001E0D8A"/>
    <w:rsid w:val="001E67BA"/>
    <w:rsid w:val="001E74C2"/>
    <w:rsid w:val="001F4F82"/>
    <w:rsid w:val="001F5A48"/>
    <w:rsid w:val="001F6260"/>
    <w:rsid w:val="00200007"/>
    <w:rsid w:val="002030A5"/>
    <w:rsid w:val="00203131"/>
    <w:rsid w:val="00212E88"/>
    <w:rsid w:val="00213C9C"/>
    <w:rsid w:val="0022009E"/>
    <w:rsid w:val="0022285B"/>
    <w:rsid w:val="00223241"/>
    <w:rsid w:val="0022425C"/>
    <w:rsid w:val="002246DE"/>
    <w:rsid w:val="002335BD"/>
    <w:rsid w:val="00236B29"/>
    <w:rsid w:val="002429E2"/>
    <w:rsid w:val="00252B61"/>
    <w:rsid w:val="00252BC4"/>
    <w:rsid w:val="00253DA9"/>
    <w:rsid w:val="00254014"/>
    <w:rsid w:val="00254B39"/>
    <w:rsid w:val="00262FD5"/>
    <w:rsid w:val="00263A3A"/>
    <w:rsid w:val="0026504D"/>
    <w:rsid w:val="00273A2F"/>
    <w:rsid w:val="00276043"/>
    <w:rsid w:val="00280986"/>
    <w:rsid w:val="00281ECE"/>
    <w:rsid w:val="002831C7"/>
    <w:rsid w:val="002840B7"/>
    <w:rsid w:val="002840C6"/>
    <w:rsid w:val="00293C18"/>
    <w:rsid w:val="00295174"/>
    <w:rsid w:val="00296172"/>
    <w:rsid w:val="00296B92"/>
    <w:rsid w:val="002A1BEE"/>
    <w:rsid w:val="002A2C22"/>
    <w:rsid w:val="002B02EB"/>
    <w:rsid w:val="002C0602"/>
    <w:rsid w:val="002C15B8"/>
    <w:rsid w:val="002D4AD6"/>
    <w:rsid w:val="002D4D4B"/>
    <w:rsid w:val="002D5C16"/>
    <w:rsid w:val="002D751E"/>
    <w:rsid w:val="002F2476"/>
    <w:rsid w:val="002F3DFF"/>
    <w:rsid w:val="002F5E05"/>
    <w:rsid w:val="00307A76"/>
    <w:rsid w:val="00312489"/>
    <w:rsid w:val="0031455E"/>
    <w:rsid w:val="00315A16"/>
    <w:rsid w:val="00315B0E"/>
    <w:rsid w:val="00317053"/>
    <w:rsid w:val="0032109C"/>
    <w:rsid w:val="00322B45"/>
    <w:rsid w:val="00323809"/>
    <w:rsid w:val="00323D41"/>
    <w:rsid w:val="00325414"/>
    <w:rsid w:val="003302F1"/>
    <w:rsid w:val="003307E7"/>
    <w:rsid w:val="0033553B"/>
    <w:rsid w:val="0034470E"/>
    <w:rsid w:val="00352DB0"/>
    <w:rsid w:val="00361063"/>
    <w:rsid w:val="0037094A"/>
    <w:rsid w:val="00370F83"/>
    <w:rsid w:val="00371ED3"/>
    <w:rsid w:val="00372659"/>
    <w:rsid w:val="00372FFC"/>
    <w:rsid w:val="0037728A"/>
    <w:rsid w:val="00380B7D"/>
    <w:rsid w:val="00381A99"/>
    <w:rsid w:val="003829C2"/>
    <w:rsid w:val="003830B2"/>
    <w:rsid w:val="00384724"/>
    <w:rsid w:val="003916EE"/>
    <w:rsid w:val="003919B7"/>
    <w:rsid w:val="00391D57"/>
    <w:rsid w:val="00392292"/>
    <w:rsid w:val="00394F45"/>
    <w:rsid w:val="003A5927"/>
    <w:rsid w:val="003B1017"/>
    <w:rsid w:val="003B1F4B"/>
    <w:rsid w:val="003B3C07"/>
    <w:rsid w:val="003B6081"/>
    <w:rsid w:val="003B6775"/>
    <w:rsid w:val="003B7C04"/>
    <w:rsid w:val="003C5FE2"/>
    <w:rsid w:val="003C7586"/>
    <w:rsid w:val="003D05FB"/>
    <w:rsid w:val="003D1B16"/>
    <w:rsid w:val="003D45BF"/>
    <w:rsid w:val="003D508A"/>
    <w:rsid w:val="003D537F"/>
    <w:rsid w:val="003D7B75"/>
    <w:rsid w:val="003E0208"/>
    <w:rsid w:val="003E4B57"/>
    <w:rsid w:val="003F27E1"/>
    <w:rsid w:val="003F437A"/>
    <w:rsid w:val="003F5C2B"/>
    <w:rsid w:val="00402240"/>
    <w:rsid w:val="004023E9"/>
    <w:rsid w:val="0040454A"/>
    <w:rsid w:val="00413F83"/>
    <w:rsid w:val="0041490C"/>
    <w:rsid w:val="00416191"/>
    <w:rsid w:val="00416721"/>
    <w:rsid w:val="00421EF0"/>
    <w:rsid w:val="004224FA"/>
    <w:rsid w:val="00423D07"/>
    <w:rsid w:val="00427936"/>
    <w:rsid w:val="00427D96"/>
    <w:rsid w:val="0044346F"/>
    <w:rsid w:val="00453FF6"/>
    <w:rsid w:val="00460800"/>
    <w:rsid w:val="004634D4"/>
    <w:rsid w:val="0046520A"/>
    <w:rsid w:val="004672AB"/>
    <w:rsid w:val="004714FE"/>
    <w:rsid w:val="00473D5E"/>
    <w:rsid w:val="00477BAA"/>
    <w:rsid w:val="00495053"/>
    <w:rsid w:val="0049584C"/>
    <w:rsid w:val="00496F12"/>
    <w:rsid w:val="004A1D4A"/>
    <w:rsid w:val="004A1F59"/>
    <w:rsid w:val="004A29BE"/>
    <w:rsid w:val="004A3225"/>
    <w:rsid w:val="004A33EE"/>
    <w:rsid w:val="004A3AA8"/>
    <w:rsid w:val="004A5978"/>
    <w:rsid w:val="004B13C7"/>
    <w:rsid w:val="004B1415"/>
    <w:rsid w:val="004B778F"/>
    <w:rsid w:val="004C0609"/>
    <w:rsid w:val="004C639F"/>
    <w:rsid w:val="004D141F"/>
    <w:rsid w:val="004D2742"/>
    <w:rsid w:val="004D6310"/>
    <w:rsid w:val="004E0062"/>
    <w:rsid w:val="004E05A1"/>
    <w:rsid w:val="004E2654"/>
    <w:rsid w:val="004F472A"/>
    <w:rsid w:val="004F5E57"/>
    <w:rsid w:val="004F6710"/>
    <w:rsid w:val="004F687A"/>
    <w:rsid w:val="00500C3E"/>
    <w:rsid w:val="00502849"/>
    <w:rsid w:val="00504334"/>
    <w:rsid w:val="0050498D"/>
    <w:rsid w:val="00506FB2"/>
    <w:rsid w:val="005079DD"/>
    <w:rsid w:val="005101E9"/>
    <w:rsid w:val="005104D7"/>
    <w:rsid w:val="00510B9E"/>
    <w:rsid w:val="00510FB8"/>
    <w:rsid w:val="00536BC2"/>
    <w:rsid w:val="005425E1"/>
    <w:rsid w:val="005427C5"/>
    <w:rsid w:val="00542CF6"/>
    <w:rsid w:val="00542DCD"/>
    <w:rsid w:val="00543B3B"/>
    <w:rsid w:val="005442DC"/>
    <w:rsid w:val="00553C03"/>
    <w:rsid w:val="00560DDA"/>
    <w:rsid w:val="0056335E"/>
    <w:rsid w:val="00563692"/>
    <w:rsid w:val="00571679"/>
    <w:rsid w:val="00584235"/>
    <w:rsid w:val="005844E7"/>
    <w:rsid w:val="00586BE2"/>
    <w:rsid w:val="005908B8"/>
    <w:rsid w:val="0059512E"/>
    <w:rsid w:val="005A6DD2"/>
    <w:rsid w:val="005C385D"/>
    <w:rsid w:val="005D1939"/>
    <w:rsid w:val="005D3B20"/>
    <w:rsid w:val="005D71B7"/>
    <w:rsid w:val="005E153D"/>
    <w:rsid w:val="005E4759"/>
    <w:rsid w:val="005E5C68"/>
    <w:rsid w:val="005E65C0"/>
    <w:rsid w:val="005F0390"/>
    <w:rsid w:val="005F5AB6"/>
    <w:rsid w:val="006072CD"/>
    <w:rsid w:val="00612023"/>
    <w:rsid w:val="0061329F"/>
    <w:rsid w:val="00614190"/>
    <w:rsid w:val="00622A99"/>
    <w:rsid w:val="00622E67"/>
    <w:rsid w:val="00626B57"/>
    <w:rsid w:val="00626EDC"/>
    <w:rsid w:val="00635420"/>
    <w:rsid w:val="006452D3"/>
    <w:rsid w:val="006470EC"/>
    <w:rsid w:val="00651BA9"/>
    <w:rsid w:val="00653E1D"/>
    <w:rsid w:val="006542D6"/>
    <w:rsid w:val="0065598E"/>
    <w:rsid w:val="00655AF2"/>
    <w:rsid w:val="00655BC5"/>
    <w:rsid w:val="006568BE"/>
    <w:rsid w:val="0066025D"/>
    <w:rsid w:val="0066091A"/>
    <w:rsid w:val="00670F6E"/>
    <w:rsid w:val="006765C2"/>
    <w:rsid w:val="006773EC"/>
    <w:rsid w:val="00680504"/>
    <w:rsid w:val="00681026"/>
    <w:rsid w:val="00681CD9"/>
    <w:rsid w:val="00683E30"/>
    <w:rsid w:val="00687024"/>
    <w:rsid w:val="00695E22"/>
    <w:rsid w:val="006A1899"/>
    <w:rsid w:val="006B7093"/>
    <w:rsid w:val="006B7417"/>
    <w:rsid w:val="006D18C4"/>
    <w:rsid w:val="006D31F9"/>
    <w:rsid w:val="006D3691"/>
    <w:rsid w:val="006D3B1F"/>
    <w:rsid w:val="006E5EF0"/>
    <w:rsid w:val="006F3563"/>
    <w:rsid w:val="006F42B9"/>
    <w:rsid w:val="006F6103"/>
    <w:rsid w:val="00703DC2"/>
    <w:rsid w:val="00704E00"/>
    <w:rsid w:val="0071230A"/>
    <w:rsid w:val="007146E5"/>
    <w:rsid w:val="00715905"/>
    <w:rsid w:val="00715AC1"/>
    <w:rsid w:val="007209E7"/>
    <w:rsid w:val="0072352D"/>
    <w:rsid w:val="00726182"/>
    <w:rsid w:val="00727635"/>
    <w:rsid w:val="00732329"/>
    <w:rsid w:val="007337CA"/>
    <w:rsid w:val="00733C1B"/>
    <w:rsid w:val="0073447B"/>
    <w:rsid w:val="00734CE4"/>
    <w:rsid w:val="00735123"/>
    <w:rsid w:val="00736110"/>
    <w:rsid w:val="00741837"/>
    <w:rsid w:val="0074333C"/>
    <w:rsid w:val="007453E6"/>
    <w:rsid w:val="00751430"/>
    <w:rsid w:val="00757C0A"/>
    <w:rsid w:val="00770453"/>
    <w:rsid w:val="007713D4"/>
    <w:rsid w:val="0077309D"/>
    <w:rsid w:val="007774EE"/>
    <w:rsid w:val="00781822"/>
    <w:rsid w:val="00783F21"/>
    <w:rsid w:val="00787159"/>
    <w:rsid w:val="0079043A"/>
    <w:rsid w:val="00791634"/>
    <w:rsid w:val="00791668"/>
    <w:rsid w:val="00791AA1"/>
    <w:rsid w:val="007979B0"/>
    <w:rsid w:val="007A3793"/>
    <w:rsid w:val="007A67A8"/>
    <w:rsid w:val="007C1BA2"/>
    <w:rsid w:val="007C2B48"/>
    <w:rsid w:val="007D20E9"/>
    <w:rsid w:val="007D7881"/>
    <w:rsid w:val="007D7E3A"/>
    <w:rsid w:val="007E0E10"/>
    <w:rsid w:val="007E4768"/>
    <w:rsid w:val="007E777B"/>
    <w:rsid w:val="007F2070"/>
    <w:rsid w:val="007F63C1"/>
    <w:rsid w:val="008053F5"/>
    <w:rsid w:val="00807AF7"/>
    <w:rsid w:val="00810198"/>
    <w:rsid w:val="00815A0E"/>
    <w:rsid w:val="00815DA8"/>
    <w:rsid w:val="0082194D"/>
    <w:rsid w:val="008221F9"/>
    <w:rsid w:val="00826EF5"/>
    <w:rsid w:val="00831693"/>
    <w:rsid w:val="00831FDE"/>
    <w:rsid w:val="00840104"/>
    <w:rsid w:val="00840C1F"/>
    <w:rsid w:val="008411C9"/>
    <w:rsid w:val="00841ECA"/>
    <w:rsid w:val="00841FC5"/>
    <w:rsid w:val="00843C50"/>
    <w:rsid w:val="00843D0F"/>
    <w:rsid w:val="00845709"/>
    <w:rsid w:val="00847E4C"/>
    <w:rsid w:val="00857346"/>
    <w:rsid w:val="008576BD"/>
    <w:rsid w:val="00860463"/>
    <w:rsid w:val="008733DA"/>
    <w:rsid w:val="0087602E"/>
    <w:rsid w:val="008850E4"/>
    <w:rsid w:val="008939AB"/>
    <w:rsid w:val="008A12F5"/>
    <w:rsid w:val="008B1587"/>
    <w:rsid w:val="008B1B01"/>
    <w:rsid w:val="008B3472"/>
    <w:rsid w:val="008B3BCD"/>
    <w:rsid w:val="008B63D5"/>
    <w:rsid w:val="008B6DF8"/>
    <w:rsid w:val="008C106C"/>
    <w:rsid w:val="008C10F1"/>
    <w:rsid w:val="008C1926"/>
    <w:rsid w:val="008C1E99"/>
    <w:rsid w:val="008D7A97"/>
    <w:rsid w:val="008E0085"/>
    <w:rsid w:val="008E2AA6"/>
    <w:rsid w:val="008E311B"/>
    <w:rsid w:val="008F1DA9"/>
    <w:rsid w:val="008F284A"/>
    <w:rsid w:val="008F46E7"/>
    <w:rsid w:val="008F64CA"/>
    <w:rsid w:val="008F6F0B"/>
    <w:rsid w:val="008F7E4B"/>
    <w:rsid w:val="00901254"/>
    <w:rsid w:val="00907BA7"/>
    <w:rsid w:val="0091064E"/>
    <w:rsid w:val="00911FC5"/>
    <w:rsid w:val="00912820"/>
    <w:rsid w:val="00912D42"/>
    <w:rsid w:val="00913D82"/>
    <w:rsid w:val="00914DEA"/>
    <w:rsid w:val="00916707"/>
    <w:rsid w:val="00921BFF"/>
    <w:rsid w:val="00931A10"/>
    <w:rsid w:val="00941803"/>
    <w:rsid w:val="00946B0A"/>
    <w:rsid w:val="00947967"/>
    <w:rsid w:val="00955201"/>
    <w:rsid w:val="00965200"/>
    <w:rsid w:val="009668B3"/>
    <w:rsid w:val="00971471"/>
    <w:rsid w:val="009771C4"/>
    <w:rsid w:val="009849C2"/>
    <w:rsid w:val="00984D24"/>
    <w:rsid w:val="009858EB"/>
    <w:rsid w:val="00991383"/>
    <w:rsid w:val="009A07FE"/>
    <w:rsid w:val="009A0A6C"/>
    <w:rsid w:val="009A3F47"/>
    <w:rsid w:val="009A5EB0"/>
    <w:rsid w:val="009B0046"/>
    <w:rsid w:val="009B3127"/>
    <w:rsid w:val="009B3958"/>
    <w:rsid w:val="009C1440"/>
    <w:rsid w:val="009C2107"/>
    <w:rsid w:val="009C5D9E"/>
    <w:rsid w:val="009D1198"/>
    <w:rsid w:val="009D2C3E"/>
    <w:rsid w:val="009E0625"/>
    <w:rsid w:val="009E3034"/>
    <w:rsid w:val="009E549F"/>
    <w:rsid w:val="009F10A3"/>
    <w:rsid w:val="009F28A8"/>
    <w:rsid w:val="009F473E"/>
    <w:rsid w:val="009F5247"/>
    <w:rsid w:val="009F682A"/>
    <w:rsid w:val="00A022BE"/>
    <w:rsid w:val="00A07B4B"/>
    <w:rsid w:val="00A24C95"/>
    <w:rsid w:val="00A2599A"/>
    <w:rsid w:val="00A26094"/>
    <w:rsid w:val="00A301BF"/>
    <w:rsid w:val="00A302B2"/>
    <w:rsid w:val="00A331B4"/>
    <w:rsid w:val="00A3484E"/>
    <w:rsid w:val="00A356D3"/>
    <w:rsid w:val="00A36ADA"/>
    <w:rsid w:val="00A37C4D"/>
    <w:rsid w:val="00A438D8"/>
    <w:rsid w:val="00A473F5"/>
    <w:rsid w:val="00A515FD"/>
    <w:rsid w:val="00A51F9D"/>
    <w:rsid w:val="00A521CD"/>
    <w:rsid w:val="00A5416A"/>
    <w:rsid w:val="00A639F4"/>
    <w:rsid w:val="00A63A8A"/>
    <w:rsid w:val="00A651D2"/>
    <w:rsid w:val="00A65864"/>
    <w:rsid w:val="00A65FAE"/>
    <w:rsid w:val="00A81A32"/>
    <w:rsid w:val="00A835BD"/>
    <w:rsid w:val="00A84CD7"/>
    <w:rsid w:val="00A96C97"/>
    <w:rsid w:val="00A97B15"/>
    <w:rsid w:val="00AA31E0"/>
    <w:rsid w:val="00AA42D5"/>
    <w:rsid w:val="00AB023E"/>
    <w:rsid w:val="00AB2FAB"/>
    <w:rsid w:val="00AB5C14"/>
    <w:rsid w:val="00AC1EE7"/>
    <w:rsid w:val="00AC333F"/>
    <w:rsid w:val="00AC585C"/>
    <w:rsid w:val="00AD1925"/>
    <w:rsid w:val="00AD7ADE"/>
    <w:rsid w:val="00AE067D"/>
    <w:rsid w:val="00AF1181"/>
    <w:rsid w:val="00AF2F79"/>
    <w:rsid w:val="00AF4653"/>
    <w:rsid w:val="00AF7DB7"/>
    <w:rsid w:val="00B10D02"/>
    <w:rsid w:val="00B201E2"/>
    <w:rsid w:val="00B24879"/>
    <w:rsid w:val="00B3429D"/>
    <w:rsid w:val="00B443E4"/>
    <w:rsid w:val="00B449E3"/>
    <w:rsid w:val="00B5264D"/>
    <w:rsid w:val="00B5484D"/>
    <w:rsid w:val="00B563EA"/>
    <w:rsid w:val="00B56CDF"/>
    <w:rsid w:val="00B60E51"/>
    <w:rsid w:val="00B63A54"/>
    <w:rsid w:val="00B75521"/>
    <w:rsid w:val="00B77D18"/>
    <w:rsid w:val="00B8313A"/>
    <w:rsid w:val="00B86518"/>
    <w:rsid w:val="00B93503"/>
    <w:rsid w:val="00BA0544"/>
    <w:rsid w:val="00BA1A49"/>
    <w:rsid w:val="00BA31E8"/>
    <w:rsid w:val="00BA489C"/>
    <w:rsid w:val="00BA55E0"/>
    <w:rsid w:val="00BA6BD4"/>
    <w:rsid w:val="00BA6C7A"/>
    <w:rsid w:val="00BB17D1"/>
    <w:rsid w:val="00BB3752"/>
    <w:rsid w:val="00BB6688"/>
    <w:rsid w:val="00BC26D4"/>
    <w:rsid w:val="00BE0C80"/>
    <w:rsid w:val="00BF2A42"/>
    <w:rsid w:val="00BF73F5"/>
    <w:rsid w:val="00C0292F"/>
    <w:rsid w:val="00C03D8C"/>
    <w:rsid w:val="00C055EC"/>
    <w:rsid w:val="00C10DC9"/>
    <w:rsid w:val="00C12FB3"/>
    <w:rsid w:val="00C17341"/>
    <w:rsid w:val="00C21686"/>
    <w:rsid w:val="00C219AD"/>
    <w:rsid w:val="00C2437B"/>
    <w:rsid w:val="00C24EEF"/>
    <w:rsid w:val="00C25CF6"/>
    <w:rsid w:val="00C26C36"/>
    <w:rsid w:val="00C32768"/>
    <w:rsid w:val="00C431DF"/>
    <w:rsid w:val="00C456BD"/>
    <w:rsid w:val="00C460B3"/>
    <w:rsid w:val="00C50D70"/>
    <w:rsid w:val="00C530DC"/>
    <w:rsid w:val="00C5350D"/>
    <w:rsid w:val="00C6123C"/>
    <w:rsid w:val="00C629EB"/>
    <w:rsid w:val="00C6311A"/>
    <w:rsid w:val="00C7084D"/>
    <w:rsid w:val="00C7315E"/>
    <w:rsid w:val="00C75895"/>
    <w:rsid w:val="00C8013F"/>
    <w:rsid w:val="00C80A48"/>
    <w:rsid w:val="00C83C9F"/>
    <w:rsid w:val="00C94840"/>
    <w:rsid w:val="00CA3F2E"/>
    <w:rsid w:val="00CA4608"/>
    <w:rsid w:val="00CA4EE3"/>
    <w:rsid w:val="00CB027F"/>
    <w:rsid w:val="00CC01F5"/>
    <w:rsid w:val="00CC0EBB"/>
    <w:rsid w:val="00CC6297"/>
    <w:rsid w:val="00CC7690"/>
    <w:rsid w:val="00CD1986"/>
    <w:rsid w:val="00CD54BF"/>
    <w:rsid w:val="00CE0CBF"/>
    <w:rsid w:val="00CE4D5C"/>
    <w:rsid w:val="00CF05DA"/>
    <w:rsid w:val="00CF0A7E"/>
    <w:rsid w:val="00CF58EB"/>
    <w:rsid w:val="00CF6FEC"/>
    <w:rsid w:val="00D0106E"/>
    <w:rsid w:val="00D02A86"/>
    <w:rsid w:val="00D06383"/>
    <w:rsid w:val="00D20E85"/>
    <w:rsid w:val="00D24615"/>
    <w:rsid w:val="00D27D6A"/>
    <w:rsid w:val="00D37842"/>
    <w:rsid w:val="00D42DC2"/>
    <w:rsid w:val="00D4302B"/>
    <w:rsid w:val="00D537E1"/>
    <w:rsid w:val="00D55BB2"/>
    <w:rsid w:val="00D6091A"/>
    <w:rsid w:val="00D6605A"/>
    <w:rsid w:val="00D6695F"/>
    <w:rsid w:val="00D75644"/>
    <w:rsid w:val="00D77355"/>
    <w:rsid w:val="00D81656"/>
    <w:rsid w:val="00D83D87"/>
    <w:rsid w:val="00D84A6D"/>
    <w:rsid w:val="00D86A30"/>
    <w:rsid w:val="00D97CB4"/>
    <w:rsid w:val="00D97DD4"/>
    <w:rsid w:val="00DA5A8A"/>
    <w:rsid w:val="00DB1170"/>
    <w:rsid w:val="00DB26CD"/>
    <w:rsid w:val="00DB312A"/>
    <w:rsid w:val="00DB441C"/>
    <w:rsid w:val="00DB44AF"/>
    <w:rsid w:val="00DC1F58"/>
    <w:rsid w:val="00DC339B"/>
    <w:rsid w:val="00DC5D40"/>
    <w:rsid w:val="00DC69A7"/>
    <w:rsid w:val="00DD30E9"/>
    <w:rsid w:val="00DD4F47"/>
    <w:rsid w:val="00DD6D04"/>
    <w:rsid w:val="00DD7FBB"/>
    <w:rsid w:val="00DE0B9F"/>
    <w:rsid w:val="00DE2A9E"/>
    <w:rsid w:val="00DE4238"/>
    <w:rsid w:val="00DE55D1"/>
    <w:rsid w:val="00DE657F"/>
    <w:rsid w:val="00DF1218"/>
    <w:rsid w:val="00DF6462"/>
    <w:rsid w:val="00E02FA0"/>
    <w:rsid w:val="00E036DC"/>
    <w:rsid w:val="00E10454"/>
    <w:rsid w:val="00E112E5"/>
    <w:rsid w:val="00E122D8"/>
    <w:rsid w:val="00E12CC8"/>
    <w:rsid w:val="00E13883"/>
    <w:rsid w:val="00E15352"/>
    <w:rsid w:val="00E21CC7"/>
    <w:rsid w:val="00E24208"/>
    <w:rsid w:val="00E24D9E"/>
    <w:rsid w:val="00E25849"/>
    <w:rsid w:val="00E3197E"/>
    <w:rsid w:val="00E342F8"/>
    <w:rsid w:val="00E351ED"/>
    <w:rsid w:val="00E42B19"/>
    <w:rsid w:val="00E47557"/>
    <w:rsid w:val="00E6034B"/>
    <w:rsid w:val="00E6549E"/>
    <w:rsid w:val="00E65EDE"/>
    <w:rsid w:val="00E70F81"/>
    <w:rsid w:val="00E77055"/>
    <w:rsid w:val="00E77460"/>
    <w:rsid w:val="00E83ABC"/>
    <w:rsid w:val="00E844F2"/>
    <w:rsid w:val="00E86F75"/>
    <w:rsid w:val="00E90AD0"/>
    <w:rsid w:val="00E9285C"/>
    <w:rsid w:val="00E92FCB"/>
    <w:rsid w:val="00EA147F"/>
    <w:rsid w:val="00EA4A27"/>
    <w:rsid w:val="00EA4FA6"/>
    <w:rsid w:val="00EB0CC9"/>
    <w:rsid w:val="00EB1A25"/>
    <w:rsid w:val="00EB7C06"/>
    <w:rsid w:val="00EC1317"/>
    <w:rsid w:val="00EC7363"/>
    <w:rsid w:val="00ED03AB"/>
    <w:rsid w:val="00ED1963"/>
    <w:rsid w:val="00ED1CD4"/>
    <w:rsid w:val="00ED1D2B"/>
    <w:rsid w:val="00ED64B5"/>
    <w:rsid w:val="00EE4903"/>
    <w:rsid w:val="00EE7CCA"/>
    <w:rsid w:val="00F0468E"/>
    <w:rsid w:val="00F06E53"/>
    <w:rsid w:val="00F12511"/>
    <w:rsid w:val="00F129B3"/>
    <w:rsid w:val="00F138A0"/>
    <w:rsid w:val="00F16A14"/>
    <w:rsid w:val="00F17AD4"/>
    <w:rsid w:val="00F362D7"/>
    <w:rsid w:val="00F37D7B"/>
    <w:rsid w:val="00F46677"/>
    <w:rsid w:val="00F51E20"/>
    <w:rsid w:val="00F5314C"/>
    <w:rsid w:val="00F5688C"/>
    <w:rsid w:val="00F60048"/>
    <w:rsid w:val="00F635DD"/>
    <w:rsid w:val="00F6627B"/>
    <w:rsid w:val="00F7336E"/>
    <w:rsid w:val="00F734F2"/>
    <w:rsid w:val="00F74C41"/>
    <w:rsid w:val="00F75052"/>
    <w:rsid w:val="00F804D3"/>
    <w:rsid w:val="00F816CB"/>
    <w:rsid w:val="00F81CD2"/>
    <w:rsid w:val="00F82641"/>
    <w:rsid w:val="00F90F18"/>
    <w:rsid w:val="00F927CA"/>
    <w:rsid w:val="00F937E4"/>
    <w:rsid w:val="00F95EE7"/>
    <w:rsid w:val="00FA39E6"/>
    <w:rsid w:val="00FA7BC9"/>
    <w:rsid w:val="00FB378E"/>
    <w:rsid w:val="00FB37F1"/>
    <w:rsid w:val="00FB47C0"/>
    <w:rsid w:val="00FB501B"/>
    <w:rsid w:val="00FB719A"/>
    <w:rsid w:val="00FB7770"/>
    <w:rsid w:val="00FC6CCF"/>
    <w:rsid w:val="00FD161A"/>
    <w:rsid w:val="00FD3B91"/>
    <w:rsid w:val="00FD576B"/>
    <w:rsid w:val="00FD579E"/>
    <w:rsid w:val="00FD6845"/>
    <w:rsid w:val="00FE4516"/>
    <w:rsid w:val="00FE6003"/>
    <w:rsid w:val="00FE64C8"/>
    <w:rsid w:val="00FF2FF5"/>
    <w:rsid w:val="00FF3E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ind w:left="2041"/>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CC01F5"/>
    <w:pPr>
      <w:snapToGrid w:val="0"/>
      <w:jc w:val="left"/>
    </w:pPr>
    <w:rPr>
      <w:sz w:val="20"/>
    </w:rPr>
  </w:style>
  <w:style w:type="character" w:customStyle="1" w:styleId="afd">
    <w:name w:val="註腳文字 字元"/>
    <w:basedOn w:val="a7"/>
    <w:link w:val="afc"/>
    <w:uiPriority w:val="99"/>
    <w:semiHidden/>
    <w:rsid w:val="00CC01F5"/>
    <w:rPr>
      <w:rFonts w:ascii="標楷體" w:eastAsia="標楷體"/>
      <w:kern w:val="2"/>
    </w:rPr>
  </w:style>
  <w:style w:type="character" w:styleId="afe">
    <w:name w:val="footnote reference"/>
    <w:basedOn w:val="a7"/>
    <w:uiPriority w:val="99"/>
    <w:semiHidden/>
    <w:unhideWhenUsed/>
    <w:rsid w:val="00CC01F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ind w:left="2041"/>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CC01F5"/>
    <w:pPr>
      <w:snapToGrid w:val="0"/>
      <w:jc w:val="left"/>
    </w:pPr>
    <w:rPr>
      <w:sz w:val="20"/>
    </w:rPr>
  </w:style>
  <w:style w:type="character" w:customStyle="1" w:styleId="afd">
    <w:name w:val="註腳文字 字元"/>
    <w:basedOn w:val="a7"/>
    <w:link w:val="afc"/>
    <w:uiPriority w:val="99"/>
    <w:semiHidden/>
    <w:rsid w:val="00CC01F5"/>
    <w:rPr>
      <w:rFonts w:ascii="標楷體" w:eastAsia="標楷體"/>
      <w:kern w:val="2"/>
    </w:rPr>
  </w:style>
  <w:style w:type="character" w:styleId="afe">
    <w:name w:val="footnote reference"/>
    <w:basedOn w:val="a7"/>
    <w:uiPriority w:val="99"/>
    <w:semiHidden/>
    <w:unhideWhenUsed/>
    <w:rsid w:val="00CC01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94EC5-5E82-4653-8DDC-F6ECA9DBC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2570</Words>
  <Characters>8022</Characters>
  <Application>Microsoft Office Word</Application>
  <DocSecurity>0</DocSecurity>
  <Lines>2005</Lines>
  <Paragraphs>1513</Paragraphs>
  <ScaleCrop>false</ScaleCrop>
  <LinksUpToDate>false</LinksUpToDate>
  <CharactersWithSpaces>9079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2019-08-16T01:59:00Z</dcterms:created>
  <dcterms:modified xsi:type="dcterms:W3CDTF">2019-08-16T01:59:00Z</dcterms:modified>
</cp:coreProperties>
</file>