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46F50" w:rsidRDefault="0025106C" w:rsidP="00F37D7B">
      <w:pPr>
        <w:pStyle w:val="af2"/>
      </w:pPr>
      <w:bookmarkStart w:id="0" w:name="_GoBack"/>
      <w:bookmarkEnd w:id="0"/>
      <w:r w:rsidRPr="00E46F50">
        <w:rPr>
          <w:rFonts w:hint="eastAsia"/>
        </w:rPr>
        <w:t>糾正案文</w:t>
      </w:r>
    </w:p>
    <w:p w:rsidR="00E25849" w:rsidRPr="001659E7" w:rsidRDefault="0025106C" w:rsidP="009D5E34">
      <w:pPr>
        <w:pStyle w:val="1"/>
      </w:pPr>
      <w:r w:rsidRPr="001659E7">
        <w:rPr>
          <w:rFonts w:hint="eastAsia"/>
        </w:rPr>
        <w:t>被糾正機關：</w:t>
      </w:r>
      <w:r w:rsidR="00700294" w:rsidRPr="001659E7">
        <w:rPr>
          <w:rFonts w:hint="eastAsia"/>
        </w:rPr>
        <w:t>國立臺灣大學醫學院附設醫院</w:t>
      </w:r>
      <w:r w:rsidR="00693B3B" w:rsidRPr="001659E7">
        <w:rPr>
          <w:rFonts w:hAnsi="標楷體" w:hint="eastAsia"/>
        </w:rPr>
        <w:t>。</w:t>
      </w:r>
    </w:p>
    <w:p w:rsidR="00E25849" w:rsidRPr="001659E7" w:rsidRDefault="0025106C" w:rsidP="00700294">
      <w:pPr>
        <w:pStyle w:val="1"/>
      </w:pPr>
      <w:r w:rsidRPr="001659E7">
        <w:rPr>
          <w:rFonts w:hint="eastAsia"/>
        </w:rPr>
        <w:t>案　　　由：</w:t>
      </w:r>
      <w:r w:rsidR="00700294" w:rsidRPr="001659E7">
        <w:rPr>
          <w:rFonts w:hint="eastAsia"/>
        </w:rPr>
        <w:t>國立臺灣大學醫學院附設醫院骨科醫師開立不實診斷書與不法業者勾串詐領保險給付長達6年餘期間，該院身為我國醫界領導地位之教學醫院，竟未能察覺，長期疏於監督管理於先，自司法機關介入調查後，復未即時採取相關因應與防範措施，猶核准涉案醫師續聘，顯無專業警覺性於后，嗣經媒體揭露及本院依職權調查後，該院相關自清作為更有欠積極，清查範圍尤疏漏不足，行事因循被動與消極怠慢，</w:t>
      </w:r>
      <w:r w:rsidR="001659E7">
        <w:rPr>
          <w:rFonts w:hint="eastAsia"/>
        </w:rPr>
        <w:t>洵</w:t>
      </w:r>
      <w:r w:rsidR="00700294" w:rsidRPr="001659E7">
        <w:rPr>
          <w:rFonts w:hint="eastAsia"/>
        </w:rPr>
        <w:t>有違失</w:t>
      </w:r>
      <w:r w:rsidR="009D5E34" w:rsidRPr="001659E7">
        <w:rPr>
          <w:rFonts w:hint="eastAsia"/>
        </w:rPr>
        <w:t>，</w:t>
      </w:r>
      <w:r w:rsidR="008B4841" w:rsidRPr="001659E7">
        <w:rPr>
          <w:rFonts w:hint="eastAsia"/>
        </w:rPr>
        <w:t>爰依法提案糾正</w:t>
      </w:r>
      <w:r w:rsidRPr="001659E7">
        <w:rPr>
          <w:rFonts w:hint="eastAsia"/>
        </w:rPr>
        <w:t>。</w:t>
      </w:r>
    </w:p>
    <w:p w:rsidR="00080040" w:rsidRPr="001659E7" w:rsidRDefault="00DB3135" w:rsidP="00EB5E17">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1659E7">
        <w:rPr>
          <w:rFonts w:hint="eastAsia"/>
        </w:rPr>
        <w:t>事實與理由：</w:t>
      </w: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700294" w:rsidRPr="001659E7" w:rsidRDefault="00700294" w:rsidP="001659E7">
      <w:pPr>
        <w:pStyle w:val="10"/>
        <w:ind w:left="680" w:firstLine="696"/>
        <w:rPr>
          <w:spacing w:val="4"/>
        </w:rPr>
      </w:pPr>
      <w:r w:rsidRPr="001659E7">
        <w:rPr>
          <w:rFonts w:hint="eastAsia"/>
          <w:spacing w:val="4"/>
        </w:rPr>
        <w:t>國立臺灣大學醫學院附設醫院(下稱臺大醫院)乃國內醫界龍頭，既自認為亞洲首屈一指之醫學中心</w:t>
      </w:r>
      <w:r w:rsidRPr="001659E7">
        <w:rPr>
          <w:rStyle w:val="afc"/>
          <w:spacing w:val="4"/>
        </w:rPr>
        <w:footnoteReference w:id="1"/>
      </w:r>
      <w:r w:rsidRPr="001659E7">
        <w:rPr>
          <w:rFonts w:hint="eastAsia"/>
          <w:spacing w:val="4"/>
        </w:rPr>
        <w:t>，服務於該院之醫事人員</w:t>
      </w:r>
      <w:r w:rsidRPr="001659E7">
        <w:rPr>
          <w:rStyle w:val="afc"/>
          <w:spacing w:val="4"/>
        </w:rPr>
        <w:footnoteReference w:id="2"/>
      </w:r>
      <w:r w:rsidRPr="001659E7">
        <w:rPr>
          <w:rFonts w:hint="eastAsia"/>
          <w:spacing w:val="4"/>
        </w:rPr>
        <w:t>，除應將醫術與專業能力持續朝創新卓越之境界邁進外，尤應厚實醫德與法治倫理素養，以期為全國醫事人員學習之典範，始與該院為亞洲翹楚之美名相符。然而，該院骨科洪姓專科醫師(下稱洪醫師)竟長期勾串不法業者詐領勞工保險(下稱勞保)給付費用，業經司法機關提起公訴後判刑在案</w:t>
      </w:r>
      <w:r w:rsidRPr="001659E7">
        <w:rPr>
          <w:rStyle w:val="afc"/>
          <w:spacing w:val="4"/>
        </w:rPr>
        <w:footnoteReference w:id="3"/>
      </w:r>
      <w:r w:rsidRPr="001659E7">
        <w:rPr>
          <w:rFonts w:hint="eastAsia"/>
          <w:spacing w:val="4"/>
        </w:rPr>
        <w:t>。究該院內控與自主管理機制是否失靈?相關醫學倫</w:t>
      </w:r>
      <w:r w:rsidRPr="001659E7">
        <w:rPr>
          <w:rFonts w:hint="eastAsia"/>
          <w:spacing w:val="4"/>
        </w:rPr>
        <w:lastRenderedPageBreak/>
        <w:t>理、法治教育是否已足?在在攸關全球醫療信譽與國家保險給付之公平及秩序至鉅，殊有深入究明之必要，爰立案調查。</w:t>
      </w:r>
    </w:p>
    <w:p w:rsidR="00693B3B" w:rsidRPr="001659E7" w:rsidRDefault="00700294" w:rsidP="001659E7">
      <w:pPr>
        <w:pStyle w:val="10"/>
        <w:ind w:left="680" w:firstLine="696"/>
        <w:rPr>
          <w:spacing w:val="4"/>
        </w:rPr>
      </w:pPr>
      <w:r w:rsidRPr="001659E7">
        <w:rPr>
          <w:rFonts w:hint="eastAsia"/>
          <w:spacing w:val="4"/>
        </w:rPr>
        <w:t>案經分別函請臺大醫院、勞動部、衛生福利部(下稱衛福部)、教育部就有關事項提出說明併附佐證資料到院，並詢問臺大醫院骨科部、秘書室、人事室、病歷諮詢管理室、勞動部勞動保險司、勞工保險局、衛福部醫事司、中央健康保險署及臺北市政府衛生局等相關業務主管人員。嗣經臺大醫院、勞動部及衛福部於詢問後陸續補充書面說明及相關佐證資料到院。復就前揭調查發現之相關疑點分別再函請臺大醫院、勞動部及衛福部督促所屬釐清與究明，續經前開各機關分別補充查復到院。繼而持續蒐研相關偵審書類、卷證、參考文獻及統計數據</w:t>
      </w:r>
      <w:r w:rsidR="003C70C8" w:rsidRPr="001659E7">
        <w:rPr>
          <w:rFonts w:hint="eastAsia"/>
          <w:spacing w:val="4"/>
        </w:rPr>
        <w:t>之調查發現，</w:t>
      </w:r>
      <w:r w:rsidRPr="001659E7">
        <w:rPr>
          <w:rFonts w:hint="eastAsia"/>
          <w:spacing w:val="4"/>
        </w:rPr>
        <w:t>該院監督管理</w:t>
      </w:r>
      <w:r w:rsidR="001659E7" w:rsidRPr="001659E7">
        <w:rPr>
          <w:rFonts w:hint="eastAsia"/>
          <w:spacing w:val="4"/>
        </w:rPr>
        <w:t>、</w:t>
      </w:r>
      <w:r w:rsidR="001659E7">
        <w:rPr>
          <w:rFonts w:hint="eastAsia"/>
          <w:spacing w:val="4"/>
        </w:rPr>
        <w:t>因應</w:t>
      </w:r>
      <w:r w:rsidR="001659E7" w:rsidRPr="001659E7">
        <w:rPr>
          <w:rFonts w:hint="eastAsia"/>
          <w:spacing w:val="4"/>
        </w:rPr>
        <w:t>防範及</w:t>
      </w:r>
      <w:r w:rsidRPr="001659E7">
        <w:rPr>
          <w:rFonts w:hint="eastAsia"/>
          <w:spacing w:val="4"/>
        </w:rPr>
        <w:t>自清作為</w:t>
      </w:r>
      <w:r w:rsidR="001659E7">
        <w:rPr>
          <w:rFonts w:hint="eastAsia"/>
          <w:spacing w:val="4"/>
        </w:rPr>
        <w:t>分別核</w:t>
      </w:r>
      <w:r w:rsidR="001659E7" w:rsidRPr="001659E7">
        <w:rPr>
          <w:rFonts w:hint="eastAsia"/>
          <w:spacing w:val="4"/>
        </w:rPr>
        <w:t>有消極</w:t>
      </w:r>
      <w:r w:rsidR="001659E7">
        <w:rPr>
          <w:rFonts w:hint="eastAsia"/>
          <w:spacing w:val="4"/>
        </w:rPr>
        <w:t>被動、因循</w:t>
      </w:r>
      <w:r w:rsidR="001659E7" w:rsidRPr="001659E7">
        <w:rPr>
          <w:rFonts w:hint="eastAsia"/>
          <w:spacing w:val="4"/>
        </w:rPr>
        <w:t>怠慢及疏漏不足</w:t>
      </w:r>
      <w:r w:rsidR="001659E7">
        <w:rPr>
          <w:rFonts w:hint="eastAsia"/>
          <w:spacing w:val="4"/>
        </w:rPr>
        <w:t>等</w:t>
      </w:r>
      <w:r w:rsidR="001659E7" w:rsidRPr="001659E7">
        <w:rPr>
          <w:rFonts w:hint="eastAsia"/>
          <w:spacing w:val="4"/>
        </w:rPr>
        <w:t>違失</w:t>
      </w:r>
      <w:r w:rsidR="00E73098" w:rsidRPr="001659E7">
        <w:rPr>
          <w:rFonts w:hint="eastAsia"/>
          <w:spacing w:val="4"/>
        </w:rPr>
        <w:t>，</w:t>
      </w:r>
      <w:r w:rsidR="00E73098" w:rsidRPr="001659E7">
        <w:rPr>
          <w:rFonts w:hint="eastAsia"/>
          <w:bCs/>
          <w:spacing w:val="4"/>
        </w:rPr>
        <w:t>應予糾正</w:t>
      </w:r>
      <w:r w:rsidR="00FE72AA" w:rsidRPr="001659E7">
        <w:rPr>
          <w:rFonts w:hint="eastAsia"/>
          <w:bCs/>
          <w:spacing w:val="4"/>
        </w:rPr>
        <w:t>促其注意改善。茲臚列</w:t>
      </w:r>
      <w:r w:rsidR="00FE72AA" w:rsidRPr="001659E7">
        <w:rPr>
          <w:rFonts w:hint="eastAsia"/>
          <w:bCs/>
          <w:color w:val="000000" w:themeColor="text1"/>
          <w:spacing w:val="4"/>
        </w:rPr>
        <w:t>事實與理由</w:t>
      </w:r>
      <w:r w:rsidR="00FE72AA" w:rsidRPr="001659E7">
        <w:rPr>
          <w:rFonts w:hint="eastAsia"/>
          <w:bCs/>
          <w:spacing w:val="4"/>
        </w:rPr>
        <w:t>如下</w:t>
      </w:r>
      <w:r w:rsidR="00693B3B" w:rsidRPr="001659E7">
        <w:rPr>
          <w:rFonts w:hint="eastAsia"/>
          <w:spacing w:val="4"/>
        </w:rPr>
        <w:t>：</w:t>
      </w:r>
    </w:p>
    <w:p w:rsidR="00700294" w:rsidRPr="001659E7" w:rsidRDefault="00700294" w:rsidP="00700294">
      <w:pPr>
        <w:pStyle w:val="2"/>
        <w:rPr>
          <w:b w:val="0"/>
          <w:spacing w:val="4"/>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1659E7">
        <w:rPr>
          <w:rFonts w:hint="eastAsia"/>
          <w:b w:val="0"/>
          <w:spacing w:val="4"/>
        </w:rPr>
        <w:t>按醫療法第18條、第57條、第61條、第68條分別明定：「醫療機構應置負責醫師一人，對其機構醫療業務，負督導責任……。」「醫療機構應督導所屬醫事人員，依各該醫事專門職業法規規定，執行業務。」「</w:t>
      </w:r>
      <w:r w:rsidRPr="001659E7">
        <w:rPr>
          <w:rFonts w:hAnsi="標楷體" w:hint="eastAsia"/>
          <w:b w:val="0"/>
          <w:spacing w:val="4"/>
        </w:rPr>
        <w:t>……醫療機構及其人員，不得利用業務上機會獲取不正當利益。</w:t>
      </w:r>
      <w:r w:rsidRPr="001659E7">
        <w:rPr>
          <w:rFonts w:hint="eastAsia"/>
          <w:b w:val="0"/>
          <w:spacing w:val="4"/>
        </w:rPr>
        <w:t>」</w:t>
      </w:r>
      <w:r w:rsidRPr="001659E7">
        <w:rPr>
          <w:rFonts w:hAnsi="標楷體" w:hint="eastAsia"/>
          <w:b w:val="0"/>
          <w:spacing w:val="4"/>
        </w:rPr>
        <w:t>「醫療機構應督導其所屬醫事人員於執行業務時，親自記載病歷或製作紀錄……。」</w:t>
      </w:r>
      <w:r w:rsidRPr="001659E7">
        <w:rPr>
          <w:rFonts w:hint="eastAsia"/>
          <w:b w:val="0"/>
          <w:spacing w:val="4"/>
        </w:rPr>
        <w:t>臺大醫院組織規程第3條、該院分層負責暨分工原則說明之</w:t>
      </w:r>
      <w:r w:rsidRPr="001659E7">
        <w:rPr>
          <w:rFonts w:hAnsi="標楷體" w:hint="eastAsia"/>
          <w:b w:val="0"/>
          <w:spacing w:val="4"/>
        </w:rPr>
        <w:t>「</w:t>
      </w:r>
      <w:r w:rsidRPr="001659E7">
        <w:rPr>
          <w:rFonts w:hint="eastAsia"/>
          <w:b w:val="0"/>
          <w:spacing w:val="4"/>
        </w:rPr>
        <w:t>壹、分層負責</w:t>
      </w:r>
      <w:r w:rsidRPr="001659E7">
        <w:rPr>
          <w:rFonts w:hAnsi="標楷體" w:hint="eastAsia"/>
          <w:b w:val="0"/>
          <w:spacing w:val="4"/>
        </w:rPr>
        <w:t>」</w:t>
      </w:r>
      <w:r w:rsidRPr="001659E7">
        <w:rPr>
          <w:rFonts w:hint="eastAsia"/>
          <w:b w:val="0"/>
          <w:spacing w:val="4"/>
        </w:rPr>
        <w:t>及</w:t>
      </w:r>
      <w:r w:rsidRPr="001659E7">
        <w:rPr>
          <w:rFonts w:hAnsi="標楷體" w:hint="eastAsia"/>
          <w:b w:val="0"/>
          <w:spacing w:val="4"/>
        </w:rPr>
        <w:t>「</w:t>
      </w:r>
      <w:r w:rsidRPr="001659E7">
        <w:rPr>
          <w:rFonts w:hint="eastAsia"/>
          <w:b w:val="0"/>
          <w:spacing w:val="4"/>
        </w:rPr>
        <w:t>柒、門診部</w:t>
      </w:r>
      <w:r w:rsidRPr="001659E7">
        <w:rPr>
          <w:rFonts w:hAnsi="標楷體" w:hint="eastAsia"/>
          <w:b w:val="0"/>
          <w:spacing w:val="4"/>
        </w:rPr>
        <w:t>」</w:t>
      </w:r>
      <w:r w:rsidRPr="001659E7">
        <w:rPr>
          <w:rFonts w:hint="eastAsia"/>
          <w:b w:val="0"/>
          <w:spacing w:val="4"/>
        </w:rPr>
        <w:t>復分別規定：</w:t>
      </w:r>
      <w:r w:rsidRPr="001659E7">
        <w:rPr>
          <w:rFonts w:hAnsi="標楷體" w:hint="eastAsia"/>
          <w:b w:val="0"/>
          <w:spacing w:val="4"/>
        </w:rPr>
        <w:t>「臺大醫院置院長1人商同醫學院院長秉承校長之命，綜理院務……」「……六、被授權之各層主</w:t>
      </w:r>
      <w:r w:rsidRPr="001659E7">
        <w:rPr>
          <w:rFonts w:hAnsi="標楷體" w:hint="eastAsia"/>
          <w:b w:val="0"/>
          <w:spacing w:val="4"/>
        </w:rPr>
        <w:lastRenderedPageBreak/>
        <w:t>管執行授權之事項，應在授權範圍內為正確適當之處理決定……七、各層主管對分層負責之授權事項，應確實監督，如發現不當情事，應隨時糾正。……」「序號三、關於門診醫師看診異常狀況之陳報」。是臺大醫院允應善盡所屬醫事人員監督管理之責，以及早察覺相關警訊及異常情資，杜絕任何利用業務上機會獲取不正當利益之不法情事，前開各規定甚明。</w:t>
      </w:r>
    </w:p>
    <w:p w:rsidR="00700294" w:rsidRPr="001659E7" w:rsidRDefault="00700294" w:rsidP="00700294">
      <w:pPr>
        <w:pStyle w:val="2"/>
        <w:rPr>
          <w:b w:val="0"/>
          <w:spacing w:val="4"/>
        </w:rPr>
      </w:pPr>
      <w:r w:rsidRPr="001659E7">
        <w:rPr>
          <w:rFonts w:hint="eastAsia"/>
          <w:b w:val="0"/>
          <w:spacing w:val="4"/>
        </w:rPr>
        <w:t>據臺北地院107年度訴字第450號判決可悉，不法包攬詐欺請領勞保給付之業者(即俗稱勞保黃牛，下同)張姓母子檔為詐領保險給付，以每份勞保失能診斷書新臺幣(下同)8,000元至1萬2,000元不等；農保障礙給付金額達5萬元以上者，每份農保障礙診斷書5,000元；每份障礙鑑定表2,000元至3,000元不等之代價，勾串洪醫師自民國(下同)100年11月至106年12月間開立不實之診斷書及障礙鑑定表，期間長達6年餘，就該院事後清查發現洪醫師自101年起，診斷書開立件數即已遽增以觀，該院竟長期未能察覺，該院疏於監督管理，至為明顯，此有臺大醫院分別自承略以：</w:t>
      </w:r>
      <w:r w:rsidRPr="003A1073">
        <w:rPr>
          <w:rFonts w:hint="eastAsia"/>
          <w:b w:val="0"/>
          <w:spacing w:val="4"/>
        </w:rPr>
        <w:t>「本院係於報章披露後始知曉</w:t>
      </w:r>
      <w:r w:rsidRPr="001659E7">
        <w:rPr>
          <w:rFonts w:hint="eastAsia"/>
          <w:b w:val="0"/>
          <w:spacing w:val="4"/>
        </w:rPr>
        <w:t>(洪醫師涉案)相關情節，亦於此後方進行資料撈取。</w:t>
      </w:r>
      <w:r w:rsidRPr="001659E7">
        <w:rPr>
          <w:rFonts w:hAnsi="標楷體" w:hint="eastAsia"/>
          <w:b w:val="0"/>
          <w:spacing w:val="4"/>
        </w:rPr>
        <w:t>……</w:t>
      </w:r>
      <w:r w:rsidRPr="001659E7">
        <w:rPr>
          <w:rFonts w:hint="eastAsia"/>
          <w:b w:val="0"/>
          <w:spacing w:val="4"/>
        </w:rPr>
        <w:t>以資訊系統勞工保險失能診斷書之醫令碼撈取自97年迄今10年間之相關資料後發現，全院各醫療科部中僅洪醫師自101年開立件數突增，至106年下降</w:t>
      </w:r>
      <w:r w:rsidRPr="001659E7">
        <w:rPr>
          <w:rFonts w:hAnsi="標楷體" w:hint="eastAsia"/>
          <w:b w:val="0"/>
          <w:spacing w:val="4"/>
        </w:rPr>
        <w:t>……</w:t>
      </w:r>
      <w:r w:rsidRPr="001659E7">
        <w:rPr>
          <w:rFonts w:hint="eastAsia"/>
          <w:b w:val="0"/>
          <w:spacing w:val="4"/>
        </w:rPr>
        <w:t>」等語</w:t>
      </w:r>
      <w:r w:rsidRPr="001659E7">
        <w:rPr>
          <w:rStyle w:val="afc"/>
          <w:b w:val="0"/>
          <w:spacing w:val="4"/>
        </w:rPr>
        <w:footnoteReference w:id="4"/>
      </w:r>
      <w:r w:rsidRPr="001659E7">
        <w:rPr>
          <w:rFonts w:hint="eastAsia"/>
          <w:b w:val="0"/>
          <w:spacing w:val="4"/>
        </w:rPr>
        <w:t>足憑。</w:t>
      </w:r>
    </w:p>
    <w:p w:rsidR="00700294" w:rsidRPr="001659E7" w:rsidRDefault="00700294" w:rsidP="00700294">
      <w:pPr>
        <w:pStyle w:val="2"/>
        <w:rPr>
          <w:b w:val="0"/>
          <w:spacing w:val="4"/>
        </w:rPr>
      </w:pPr>
      <w:r w:rsidRPr="001659E7">
        <w:rPr>
          <w:rFonts w:hint="eastAsia"/>
          <w:b w:val="0"/>
          <w:spacing w:val="4"/>
        </w:rPr>
        <w:t>嗣臺北地檢署分別於107年5月3日及11日兩度指派</w:t>
      </w:r>
      <w:r w:rsidR="003A1073">
        <w:rPr>
          <w:rFonts w:hint="eastAsia"/>
          <w:b w:val="0"/>
          <w:spacing w:val="4"/>
        </w:rPr>
        <w:t>法務部</w:t>
      </w:r>
      <w:r w:rsidRPr="001659E7">
        <w:rPr>
          <w:rFonts w:hint="eastAsia"/>
          <w:b w:val="0"/>
          <w:spacing w:val="4"/>
        </w:rPr>
        <w:t>廉政署前往臺大醫院調閱洪醫師計38位涉案</w:t>
      </w:r>
      <w:r w:rsidRPr="001659E7">
        <w:rPr>
          <w:rFonts w:hint="eastAsia"/>
          <w:b w:val="0"/>
          <w:spacing w:val="4"/>
        </w:rPr>
        <w:lastRenderedPageBreak/>
        <w:t>病人(被保險人)之完整病歷資料</w:t>
      </w:r>
      <w:r w:rsidRPr="001659E7">
        <w:rPr>
          <w:rStyle w:val="afc"/>
          <w:b w:val="0"/>
          <w:spacing w:val="4"/>
        </w:rPr>
        <w:footnoteReference w:id="5"/>
      </w:r>
      <w:r w:rsidRPr="001659E7">
        <w:rPr>
          <w:rFonts w:hint="eastAsia"/>
          <w:b w:val="0"/>
          <w:spacing w:val="4"/>
        </w:rPr>
        <w:t>，該院基於專業敏感性，斯時對洪醫師恐涉及不法情事，早應有所警覺，從而及時採取相關防範與勾稽清查措施，以釐清洪醫師涉案事實後，資為是否續聘</w:t>
      </w:r>
      <w:r w:rsidRPr="001659E7">
        <w:rPr>
          <w:rStyle w:val="afc"/>
          <w:b w:val="0"/>
          <w:spacing w:val="4"/>
        </w:rPr>
        <w:footnoteReference w:id="6"/>
      </w:r>
      <w:r w:rsidRPr="001659E7">
        <w:rPr>
          <w:rFonts w:hint="eastAsia"/>
          <w:b w:val="0"/>
          <w:spacing w:val="4"/>
        </w:rPr>
        <w:t>洪醫師之審酌依據，詎該院斯時竟毫無相關因應作為，該院骨科部竟仍於同年6月8日評核同意洪醫師續聘，經該院於同年月25日核准在案，此有該院骨科部內部簽呈所載該院人事室會辦意見足稽。續經臺北地檢署偵結將洪醫師等人於同年月29日提起公訴後，該院更遲延近1個月，迨至同年7月24日始改簽准不續聘</w:t>
      </w:r>
      <w:r w:rsidRPr="001659E7">
        <w:rPr>
          <w:rStyle w:val="afc"/>
          <w:b w:val="0"/>
          <w:spacing w:val="4"/>
        </w:rPr>
        <w:footnoteReference w:id="7"/>
      </w:r>
      <w:r w:rsidRPr="001659E7">
        <w:rPr>
          <w:rFonts w:hint="eastAsia"/>
          <w:b w:val="0"/>
          <w:spacing w:val="4"/>
        </w:rPr>
        <w:t>，自難辭行事因循被動之咎</w:t>
      </w:r>
      <w:r w:rsidRPr="001659E7">
        <w:rPr>
          <w:rFonts w:hAnsi="標楷體" w:hint="eastAsia"/>
          <w:b w:val="0"/>
          <w:spacing w:val="4"/>
        </w:rPr>
        <w:t>。</w:t>
      </w:r>
      <w:r w:rsidRPr="001659E7">
        <w:rPr>
          <w:rFonts w:hint="eastAsia"/>
          <w:b w:val="0"/>
          <w:spacing w:val="4"/>
        </w:rPr>
        <w:t>又，該院於本院調查期間之相關口頭及書面說明僅稱：</w:t>
      </w:r>
      <w:r w:rsidRPr="001659E7">
        <w:rPr>
          <w:rFonts w:hAnsi="標楷體" w:hint="eastAsia"/>
          <w:b w:val="0"/>
          <w:spacing w:val="4"/>
        </w:rPr>
        <w:t>「洪醫師已自請離職，於107年8月1日生效」云云，卻對「</w:t>
      </w:r>
      <w:r w:rsidRPr="001659E7">
        <w:rPr>
          <w:rFonts w:hint="eastAsia"/>
          <w:b w:val="0"/>
          <w:spacing w:val="4"/>
        </w:rPr>
        <w:t>洪醫師於短短1個月期間遭該院主動續聘及不續聘</w:t>
      </w:r>
      <w:r w:rsidRPr="001659E7">
        <w:rPr>
          <w:rFonts w:hAnsi="標楷體" w:hint="eastAsia"/>
          <w:b w:val="0"/>
          <w:spacing w:val="4"/>
        </w:rPr>
        <w:t>」</w:t>
      </w:r>
      <w:r w:rsidRPr="001659E7">
        <w:rPr>
          <w:rFonts w:hint="eastAsia"/>
          <w:b w:val="0"/>
          <w:spacing w:val="4"/>
        </w:rPr>
        <w:t>等情隱而未提，難謂已盡詳實答復之義務</w:t>
      </w:r>
      <w:r w:rsidRPr="001659E7">
        <w:rPr>
          <w:rStyle w:val="afc"/>
          <w:b w:val="0"/>
          <w:spacing w:val="4"/>
        </w:rPr>
        <w:footnoteReference w:id="8"/>
      </w:r>
      <w:r w:rsidRPr="001659E7">
        <w:rPr>
          <w:rFonts w:hint="eastAsia"/>
          <w:b w:val="0"/>
          <w:spacing w:val="4"/>
        </w:rPr>
        <w:t>。</w:t>
      </w:r>
    </w:p>
    <w:p w:rsidR="00700294" w:rsidRPr="001659E7" w:rsidRDefault="00700294" w:rsidP="00700294">
      <w:pPr>
        <w:pStyle w:val="2"/>
        <w:rPr>
          <w:b w:val="0"/>
          <w:spacing w:val="4"/>
        </w:rPr>
      </w:pPr>
      <w:r w:rsidRPr="001659E7">
        <w:rPr>
          <w:rFonts w:hint="eastAsia"/>
          <w:b w:val="0"/>
          <w:spacing w:val="4"/>
        </w:rPr>
        <w:t>甚且，自臺北地檢署於107年6月29日起訴洪醫師等相關涉案人，經媒體大幅報導後，為維護國內醫界龍頭形象，臺大醫院早應採取相關自清作為，除應全面清查院內診斷書相關異常資訊之外，並應及時檢討研擬相關改善補救措施，此觀衛福部於本院詢問後補充表示略以：</w:t>
      </w:r>
      <w:r w:rsidRPr="001659E7">
        <w:rPr>
          <w:rFonts w:hAnsi="標楷體" w:hint="eastAsia"/>
          <w:b w:val="0"/>
          <w:spacing w:val="4"/>
        </w:rPr>
        <w:t>「診斷證明書開立數量之多寡，應不失為憑判異常或不法之重要性指標」</w:t>
      </w:r>
      <w:r w:rsidRPr="001659E7">
        <w:rPr>
          <w:rFonts w:hint="eastAsia"/>
          <w:b w:val="0"/>
          <w:spacing w:val="4"/>
        </w:rPr>
        <w:t>等語自明。然該院卻遲至1個半月餘，經本院調查後，迨同年8月15日始以醫令碼撈取統計97年迄今該院所屬</w:t>
      </w:r>
      <w:r w:rsidRPr="001659E7">
        <w:rPr>
          <w:rFonts w:hint="eastAsia"/>
          <w:b w:val="0"/>
          <w:spacing w:val="4"/>
        </w:rPr>
        <w:lastRenderedPageBreak/>
        <w:t>醫師開立之失能診斷書件數，方於同年月27日函請所屬各單位強化失能診斷書之內部管控及查核機制。再者，依據臺大醫院雲林分院組織規程，該分院院長及各部主任既皆由臺大醫院(即總院，下同)院長商同相關人員或核轉後聘任，該分院辦事細則更須報請臺大醫院核備，臺大醫院自負有分院監督管理之責，殆無疑義，則該院自應將洪醫師於該院及各分院任職期間開立之診斷書皆納入清查範圍，以求審慎與周延；況依前揭起訴書所載，該院既已獲悉洪醫師自100年11月起，即疑有開立不實診斷書之不法情事，已涵蓋洪醫師於雲林分院任職期間</w:t>
      </w:r>
      <w:r w:rsidRPr="001659E7">
        <w:rPr>
          <w:rStyle w:val="afc"/>
          <w:b w:val="0"/>
          <w:spacing w:val="4"/>
        </w:rPr>
        <w:footnoteReference w:id="9"/>
      </w:r>
      <w:r w:rsidRPr="001659E7">
        <w:rPr>
          <w:rFonts w:hint="eastAsia"/>
          <w:b w:val="0"/>
          <w:spacing w:val="4"/>
        </w:rPr>
        <w:t>，然而，臺大醫院卻漏未清查該分院，猶率稱：</w:t>
      </w:r>
      <w:r w:rsidRPr="001659E7">
        <w:rPr>
          <w:rFonts w:hAnsi="標楷體" w:hint="eastAsia"/>
          <w:b w:val="0"/>
          <w:spacing w:val="4"/>
        </w:rPr>
        <w:t>「</w:t>
      </w:r>
      <w:r w:rsidRPr="001659E7">
        <w:rPr>
          <w:rFonts w:hint="eastAsia"/>
          <w:b w:val="0"/>
          <w:spacing w:val="4"/>
        </w:rPr>
        <w:t>本院與各分院之醫療及行政作業皆為分別獨立運作，故本院清查僅及本院各級醫師</w:t>
      </w:r>
      <w:r w:rsidRPr="001659E7">
        <w:rPr>
          <w:rFonts w:hAnsi="標楷體" w:hint="eastAsia"/>
          <w:b w:val="0"/>
          <w:spacing w:val="4"/>
        </w:rPr>
        <w:t>」</w:t>
      </w:r>
      <w:r w:rsidRPr="001659E7">
        <w:rPr>
          <w:rFonts w:hint="eastAsia"/>
          <w:b w:val="0"/>
          <w:spacing w:val="4"/>
        </w:rPr>
        <w:t>云云，經本院催請後，該院始將該分院補充清查結果函復本院，益證該院行事消極與怠慢甚明。</w:t>
      </w:r>
    </w:p>
    <w:p w:rsidR="00700294" w:rsidRPr="001659E7" w:rsidRDefault="00700294" w:rsidP="00700294">
      <w:pPr>
        <w:pStyle w:val="2"/>
        <w:rPr>
          <w:b w:val="0"/>
          <w:spacing w:val="4"/>
        </w:rPr>
      </w:pPr>
      <w:r w:rsidRPr="001659E7">
        <w:rPr>
          <w:rFonts w:hint="eastAsia"/>
          <w:b w:val="0"/>
          <w:spacing w:val="4"/>
        </w:rPr>
        <w:t>雖據臺大醫院表示略以：「本院因尊重各主治醫師醫療專業，並信任醫師醫德，所有醫師均受完整醫療及倫理訓練，在醫療領域中，無論是醫療專業或醫德均為醫界翹楚……。並未慣常性監控臨床作業進行，故彼時並未例行性勾稽查核此類文書開立數量，嗣未有所因應……」云云，惟該院既自認為國內醫界翹楚，所屬醫師之醫療作業品質、醫療倫理水準及品德操守，除為國內醫療機構效法之對象，尤攸關我國國際醫療信譽與形象，該院自應較國內其他醫療機構甚至全球醫療機構，採取更高標準之內控與管考機制，始足以驗證該院名實相符，該院自不宜以「尊重」與「信任」等詞飾責，該院疏於</w:t>
      </w:r>
      <w:r w:rsidRPr="001659E7">
        <w:rPr>
          <w:rFonts w:hint="eastAsia"/>
          <w:b w:val="0"/>
          <w:spacing w:val="4"/>
        </w:rPr>
        <w:lastRenderedPageBreak/>
        <w:t>監督與管理，益臻明確，亟應積極檢討改善。</w:t>
      </w:r>
    </w:p>
    <w:p w:rsidR="006514FF" w:rsidRPr="001659E7" w:rsidRDefault="00E25849" w:rsidP="00C86866">
      <w:pPr>
        <w:pStyle w:val="10"/>
        <w:ind w:left="680" w:firstLine="680"/>
      </w:pPr>
      <w:r w:rsidRPr="001659E7">
        <w:br w:type="page"/>
      </w:r>
      <w:bookmarkStart w:id="52" w:name="_Toc524902730"/>
      <w:bookmarkEnd w:id="42"/>
      <w:bookmarkEnd w:id="43"/>
      <w:bookmarkEnd w:id="44"/>
      <w:bookmarkEnd w:id="45"/>
      <w:bookmarkEnd w:id="46"/>
      <w:bookmarkEnd w:id="47"/>
      <w:bookmarkEnd w:id="48"/>
      <w:bookmarkEnd w:id="49"/>
      <w:bookmarkEnd w:id="50"/>
      <w:bookmarkEnd w:id="51"/>
      <w:r w:rsidR="006514FF" w:rsidRPr="001659E7">
        <w:rPr>
          <w:rFonts w:hint="eastAsia"/>
        </w:rPr>
        <w:lastRenderedPageBreak/>
        <w:t>據上論結，</w:t>
      </w:r>
      <w:r w:rsidR="001659E7" w:rsidRPr="001659E7">
        <w:rPr>
          <w:rFonts w:hint="eastAsia"/>
        </w:rPr>
        <w:t>臺大醫院身為我國醫界領導地位之教學醫院</w:t>
      </w:r>
      <w:r w:rsidR="001659E7">
        <w:rPr>
          <w:rFonts w:hint="eastAsia"/>
        </w:rPr>
        <w:t>，</w:t>
      </w:r>
      <w:r w:rsidR="001659E7" w:rsidRPr="001659E7">
        <w:rPr>
          <w:rFonts w:hint="eastAsia"/>
        </w:rPr>
        <w:t>竟</w:t>
      </w:r>
      <w:r w:rsidR="001659E7">
        <w:rPr>
          <w:rFonts w:hint="eastAsia"/>
        </w:rPr>
        <w:t>對所屬醫師長達6年</w:t>
      </w:r>
      <w:r w:rsidR="001659E7" w:rsidRPr="001659E7">
        <w:rPr>
          <w:rFonts w:hint="eastAsia"/>
        </w:rPr>
        <w:t>開立不實診斷書與不法業者勾串詐領保險給付</w:t>
      </w:r>
      <w:r w:rsidR="001659E7">
        <w:rPr>
          <w:rFonts w:hint="eastAsia"/>
        </w:rPr>
        <w:t>情事</w:t>
      </w:r>
      <w:r w:rsidR="00495A30">
        <w:rPr>
          <w:rFonts w:hint="eastAsia"/>
        </w:rPr>
        <w:t>，</w:t>
      </w:r>
      <w:r w:rsidR="001659E7">
        <w:rPr>
          <w:rFonts w:hint="eastAsia"/>
        </w:rPr>
        <w:t>毫未</w:t>
      </w:r>
      <w:r w:rsidR="001659E7" w:rsidRPr="001659E7">
        <w:rPr>
          <w:rFonts w:hint="eastAsia"/>
        </w:rPr>
        <w:t>察覺，長期疏於監督管理於先，自司法機關介入調查後，復未即時採取因應與防範措施，猶核准洪醫師續聘，顯無專業警覺性於后，嗣經媒體揭露及本院依職權調查後，該院相關自清作為更有欠積極，清查範圍尤疏漏不足，行事因循被動與消極怠慢</w:t>
      </w:r>
      <w:r w:rsidR="00FC37EE" w:rsidRPr="001659E7">
        <w:rPr>
          <w:rFonts w:hint="eastAsia"/>
        </w:rPr>
        <w:t>，</w:t>
      </w:r>
      <w:r w:rsidR="001659E7">
        <w:rPr>
          <w:rFonts w:hint="eastAsia"/>
        </w:rPr>
        <w:t>確有違失，</w:t>
      </w:r>
      <w:r w:rsidR="006514FF" w:rsidRPr="001659E7">
        <w:rPr>
          <w:rFonts w:hint="eastAsia"/>
        </w:rPr>
        <w:t>爰依</w:t>
      </w:r>
      <w:r w:rsidR="001659E7">
        <w:rPr>
          <w:rFonts w:hint="eastAsia"/>
          <w:bCs/>
        </w:rPr>
        <w:t>憲法第97條第1項及</w:t>
      </w:r>
      <w:r w:rsidR="006514FF" w:rsidRPr="001659E7">
        <w:rPr>
          <w:rFonts w:hint="eastAsia"/>
        </w:rPr>
        <w:t>監察法第24條規定提案糾正，移送</w:t>
      </w:r>
      <w:r w:rsidR="00F634AD" w:rsidRPr="001659E7">
        <w:rPr>
          <w:rFonts w:hint="eastAsia"/>
        </w:rPr>
        <w:t>教育</w:t>
      </w:r>
      <w:r w:rsidR="00FC37EE" w:rsidRPr="001659E7">
        <w:rPr>
          <w:rFonts w:hint="eastAsia"/>
        </w:rPr>
        <w:t>部</w:t>
      </w:r>
      <w:r w:rsidR="006514FF" w:rsidRPr="001659E7">
        <w:rPr>
          <w:rFonts w:hint="eastAsia"/>
        </w:rPr>
        <w:t>轉飭所屬確實檢討改善</w:t>
      </w:r>
      <w:r w:rsidR="00B87A0E" w:rsidRPr="001659E7">
        <w:rPr>
          <w:rFonts w:hint="eastAsia"/>
        </w:rPr>
        <w:t>見復。</w:t>
      </w:r>
    </w:p>
    <w:p w:rsidR="006514FF" w:rsidRPr="00E46F50" w:rsidRDefault="006514FF" w:rsidP="006514FF">
      <w:pPr>
        <w:pStyle w:val="aa"/>
        <w:spacing w:beforeLines="150" w:before="685" w:after="0"/>
        <w:ind w:leftChars="1100" w:left="3742"/>
        <w:rPr>
          <w:bCs/>
          <w:snapToGrid/>
          <w:spacing w:val="12"/>
          <w:kern w:val="0"/>
          <w:sz w:val="40"/>
        </w:rPr>
      </w:pPr>
      <w:bookmarkStart w:id="53" w:name="_Toc524895649"/>
      <w:bookmarkStart w:id="54" w:name="_Toc524896195"/>
      <w:bookmarkStart w:id="55" w:name="_Toc524896225"/>
      <w:bookmarkEnd w:id="53"/>
      <w:bookmarkEnd w:id="54"/>
      <w:bookmarkEnd w:id="55"/>
      <w:r w:rsidRPr="00E46F50">
        <w:rPr>
          <w:rFonts w:hint="eastAsia"/>
          <w:bCs/>
          <w:snapToGrid/>
          <w:spacing w:val="12"/>
          <w:kern w:val="0"/>
          <w:sz w:val="40"/>
        </w:rPr>
        <w:t>提案委員：</w:t>
      </w:r>
      <w:r w:rsidR="00731C62" w:rsidRPr="00731C62">
        <w:rPr>
          <w:rFonts w:hint="eastAsia"/>
          <w:b w:val="0"/>
          <w:bCs/>
          <w:snapToGrid/>
          <w:spacing w:val="12"/>
          <w:kern w:val="0"/>
          <w:sz w:val="40"/>
        </w:rPr>
        <w:t>林雅鋒</w:t>
      </w:r>
    </w:p>
    <w:p w:rsidR="006514FF" w:rsidRPr="00E46F50" w:rsidRDefault="00731C62" w:rsidP="006514FF">
      <w:pPr>
        <w:pStyle w:val="aa"/>
        <w:spacing w:beforeLines="50" w:before="228" w:after="0"/>
        <w:ind w:leftChars="1100" w:left="3742"/>
        <w:rPr>
          <w:b w:val="0"/>
          <w:bCs/>
          <w:snapToGrid/>
          <w:spacing w:val="0"/>
          <w:kern w:val="0"/>
        </w:rPr>
      </w:pPr>
      <w:r>
        <w:rPr>
          <w:rFonts w:hint="eastAsia"/>
          <w:b w:val="0"/>
          <w:bCs/>
          <w:snapToGrid/>
          <w:spacing w:val="0"/>
          <w:kern w:val="0"/>
        </w:rPr>
        <w:t xml:space="preserve">            </w:t>
      </w:r>
      <w:r w:rsidRPr="00731C62">
        <w:rPr>
          <w:rFonts w:hint="eastAsia"/>
          <w:b w:val="0"/>
          <w:bCs/>
          <w:snapToGrid/>
          <w:spacing w:val="12"/>
          <w:kern w:val="0"/>
          <w:sz w:val="40"/>
        </w:rPr>
        <w:t>江綺雯</w:t>
      </w:r>
    </w:p>
    <w:p w:rsidR="006514FF" w:rsidRPr="00E46F50" w:rsidRDefault="00731C62" w:rsidP="006514FF">
      <w:pPr>
        <w:pStyle w:val="aa"/>
        <w:spacing w:beforeLines="50" w:before="228" w:after="0"/>
        <w:ind w:leftChars="1100" w:left="3742"/>
        <w:rPr>
          <w:b w:val="0"/>
          <w:bCs/>
          <w:snapToGrid/>
          <w:spacing w:val="0"/>
          <w:kern w:val="0"/>
        </w:rPr>
      </w:pPr>
      <w:r>
        <w:rPr>
          <w:rFonts w:hint="eastAsia"/>
          <w:b w:val="0"/>
          <w:bCs/>
          <w:snapToGrid/>
          <w:spacing w:val="0"/>
          <w:kern w:val="0"/>
        </w:rPr>
        <w:t xml:space="preserve">           </w:t>
      </w:r>
      <w:r w:rsidRPr="00731C62">
        <w:rPr>
          <w:rFonts w:hint="eastAsia"/>
          <w:b w:val="0"/>
          <w:bCs/>
          <w:snapToGrid/>
          <w:spacing w:val="12"/>
          <w:kern w:val="0"/>
          <w:sz w:val="40"/>
        </w:rPr>
        <w:t xml:space="preserve"> 張武修</w:t>
      </w:r>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p>
    <w:p w:rsidR="006514FF" w:rsidRPr="00E46F50" w:rsidRDefault="006514FF" w:rsidP="006514FF">
      <w:pPr>
        <w:pStyle w:val="aa"/>
        <w:spacing w:beforeLines="50" w:before="228" w:after="0"/>
        <w:ind w:leftChars="1100" w:left="3742"/>
        <w:rPr>
          <w:b w:val="0"/>
          <w:bCs/>
          <w:snapToGrid/>
          <w:spacing w:val="0"/>
          <w:kern w:val="0"/>
        </w:rPr>
      </w:pPr>
    </w:p>
    <w:p w:rsidR="00416721" w:rsidRPr="00E46F50" w:rsidRDefault="006514FF" w:rsidP="00133AA2">
      <w:pPr>
        <w:pStyle w:val="af"/>
        <w:rPr>
          <w:bCs/>
        </w:rPr>
      </w:pPr>
      <w:r w:rsidRPr="00E46F50">
        <w:rPr>
          <w:rFonts w:hAnsi="標楷體" w:hint="eastAsia"/>
          <w:bCs/>
        </w:rPr>
        <w:t>中  華  民  國</w:t>
      </w:r>
      <w:r w:rsidR="00731C62">
        <w:rPr>
          <w:rFonts w:hAnsi="標楷體" w:hint="eastAsia"/>
          <w:bCs/>
        </w:rPr>
        <w:t xml:space="preserve"> </w:t>
      </w:r>
      <w:r w:rsidRPr="00E46F50">
        <w:rPr>
          <w:rFonts w:hAnsi="標楷體" w:hint="eastAsia"/>
          <w:bCs/>
        </w:rPr>
        <w:t xml:space="preserve">　10</w:t>
      </w:r>
      <w:r w:rsidR="001659E7">
        <w:rPr>
          <w:rFonts w:hAnsi="標楷體" w:hint="eastAsia"/>
          <w:bCs/>
        </w:rPr>
        <w:t>8</w:t>
      </w:r>
      <w:r w:rsidRPr="00E46F50">
        <w:rPr>
          <w:rFonts w:hAnsi="標楷體" w:hint="eastAsia"/>
          <w:bCs/>
        </w:rPr>
        <w:t xml:space="preserve">　</w:t>
      </w:r>
      <w:r w:rsidR="00731C62">
        <w:rPr>
          <w:rFonts w:hAnsi="標楷體" w:hint="eastAsia"/>
          <w:bCs/>
        </w:rPr>
        <w:t xml:space="preserve"> </w:t>
      </w:r>
      <w:r w:rsidRPr="00E46F50">
        <w:rPr>
          <w:rFonts w:hAnsi="標楷體" w:hint="eastAsia"/>
          <w:bCs/>
        </w:rPr>
        <w:t xml:space="preserve">年　</w:t>
      </w:r>
      <w:r w:rsidR="00731C62">
        <w:rPr>
          <w:rFonts w:hAnsi="標楷體" w:hint="eastAsia"/>
          <w:bCs/>
        </w:rPr>
        <w:t xml:space="preserve"> </w:t>
      </w:r>
      <w:r w:rsidR="001659E7">
        <w:rPr>
          <w:rFonts w:hAnsi="標楷體" w:hint="eastAsia"/>
          <w:bCs/>
        </w:rPr>
        <w:t>7</w:t>
      </w:r>
      <w:r w:rsidRPr="00E46F50">
        <w:rPr>
          <w:rFonts w:hAnsi="標楷體" w:hint="eastAsia"/>
          <w:bCs/>
        </w:rPr>
        <w:t xml:space="preserve">　</w:t>
      </w:r>
      <w:r w:rsidR="00731C62">
        <w:rPr>
          <w:rFonts w:hAnsi="標楷體" w:hint="eastAsia"/>
          <w:bCs/>
        </w:rPr>
        <w:t xml:space="preserve"> </w:t>
      </w:r>
      <w:r w:rsidRPr="00E46F50">
        <w:rPr>
          <w:rFonts w:hAnsi="標楷體" w:hint="eastAsia"/>
          <w:bCs/>
        </w:rPr>
        <w:t>月</w:t>
      </w:r>
      <w:r w:rsidR="00731C62">
        <w:rPr>
          <w:rFonts w:hAnsi="標楷體" w:hint="eastAsia"/>
          <w:bCs/>
        </w:rPr>
        <w:t xml:space="preserve"> </w:t>
      </w:r>
      <w:r w:rsidRPr="00E46F50">
        <w:rPr>
          <w:rFonts w:hAnsi="標楷體" w:hint="eastAsia"/>
          <w:bCs/>
        </w:rPr>
        <w:t xml:space="preserve">　</w:t>
      </w:r>
      <w:r w:rsidR="00731C62">
        <w:rPr>
          <w:rFonts w:hAnsi="標楷體" w:hint="eastAsia"/>
          <w:bCs/>
        </w:rPr>
        <w:t>11</w:t>
      </w:r>
      <w:r w:rsidRPr="00E46F50">
        <w:rPr>
          <w:rFonts w:hAnsi="標楷體" w:hint="eastAsia"/>
          <w:bCs/>
        </w:rPr>
        <w:t xml:space="preserve">　　日</w:t>
      </w:r>
      <w:bookmarkEnd w:id="52"/>
    </w:p>
    <w:sectPr w:rsidR="00416721" w:rsidRPr="00E46F5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D58" w:rsidRDefault="00EC6D58">
      <w:r>
        <w:separator/>
      </w:r>
    </w:p>
  </w:endnote>
  <w:endnote w:type="continuationSeparator" w:id="0">
    <w:p w:rsidR="00EC6D58" w:rsidRDefault="00EC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0422E">
      <w:rPr>
        <w:rStyle w:val="ac"/>
        <w:noProof/>
        <w:sz w:val="24"/>
      </w:rPr>
      <w:t>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D58" w:rsidRDefault="00EC6D58">
      <w:r>
        <w:separator/>
      </w:r>
    </w:p>
  </w:footnote>
  <w:footnote w:type="continuationSeparator" w:id="0">
    <w:p w:rsidR="00EC6D58" w:rsidRDefault="00EC6D58">
      <w:r>
        <w:continuationSeparator/>
      </w:r>
    </w:p>
  </w:footnote>
  <w:footnote w:id="1">
    <w:p w:rsidR="00700294" w:rsidRPr="001659E7" w:rsidRDefault="00700294" w:rsidP="001659E7">
      <w:pPr>
        <w:pStyle w:val="afa"/>
        <w:jc w:val="both"/>
      </w:pPr>
      <w:r>
        <w:rPr>
          <w:rStyle w:val="afc"/>
        </w:rPr>
        <w:footnoteRef/>
      </w:r>
      <w:r>
        <w:t xml:space="preserve"> </w:t>
      </w:r>
      <w:r w:rsidRPr="00C2255A">
        <w:rPr>
          <w:rFonts w:hint="eastAsia"/>
          <w:spacing w:val="-8"/>
        </w:rPr>
        <w:t>資</w:t>
      </w:r>
      <w:r w:rsidRPr="001659E7">
        <w:rPr>
          <w:rFonts w:hint="eastAsia"/>
        </w:rPr>
        <w:t>料參考來源：國立臺灣大學中程校務發展計畫書(103-107學年度)，第213頁。</w:t>
      </w:r>
    </w:p>
  </w:footnote>
  <w:footnote w:id="2">
    <w:p w:rsidR="00700294" w:rsidRPr="001659E7" w:rsidRDefault="00700294" w:rsidP="001659E7">
      <w:pPr>
        <w:pStyle w:val="afa"/>
        <w:ind w:left="196" w:hangingChars="89" w:hanging="196"/>
        <w:jc w:val="both"/>
      </w:pPr>
      <w:r w:rsidRPr="001659E7">
        <w:rPr>
          <w:rStyle w:val="afc"/>
        </w:rPr>
        <w:footnoteRef/>
      </w:r>
      <w:r w:rsidRPr="001659E7">
        <w:t xml:space="preserve"> </w:t>
      </w:r>
      <w:r w:rsidRPr="001659E7">
        <w:rPr>
          <w:rFonts w:hint="eastAsia"/>
        </w:rPr>
        <w:t>按醫事人員人事條例第2條規定：本條例所稱醫事人員，指依法領有專門職業證書之醫師、中醫師、牙醫師、藥師、醫事檢驗師、護理師、助產師、營養師、物理治療師、職能治療師、醫事放射師、臨床心理師、諮商心理師、呼吸治療師、藥劑生、醫事檢驗生、護士、助產士、物理治療生、職能治療生、醫事放射士及其他經中央衛生主管機關核發醫事專門職業證書，並擔任公立醫療機構、政府機關或公立學校組織法規所定醫事職務之人員。</w:t>
      </w:r>
    </w:p>
  </w:footnote>
  <w:footnote w:id="3">
    <w:p w:rsidR="00700294" w:rsidRPr="001659E7" w:rsidRDefault="00700294" w:rsidP="001659E7">
      <w:pPr>
        <w:pStyle w:val="afa"/>
        <w:ind w:left="167" w:hangingChars="76" w:hanging="167"/>
        <w:jc w:val="both"/>
      </w:pPr>
      <w:r w:rsidRPr="001659E7">
        <w:rPr>
          <w:rStyle w:val="afc"/>
        </w:rPr>
        <w:footnoteRef/>
      </w:r>
      <w:r w:rsidRPr="001659E7">
        <w:rPr>
          <w:rFonts w:hint="eastAsia"/>
        </w:rPr>
        <w:t xml:space="preserve"> 臺灣臺北地方檢察署(下稱臺北地檢署)以107年度偵字第11595號提起公訴，經臺灣臺北地方法院(下稱臺北地院)以107年度訴字第450號分別判被告張姓牛母子及洪醫師等3人犯共同詐欺取財罪，分處3年6月、2年10月及2年6月不等之有期徒刑。</w:t>
      </w:r>
    </w:p>
  </w:footnote>
  <w:footnote w:id="4">
    <w:p w:rsidR="00700294" w:rsidRPr="001659E7" w:rsidRDefault="00700294" w:rsidP="001659E7">
      <w:pPr>
        <w:pStyle w:val="afa"/>
        <w:ind w:left="222" w:hangingChars="101" w:hanging="222"/>
        <w:jc w:val="both"/>
      </w:pPr>
      <w:r w:rsidRPr="001659E7">
        <w:rPr>
          <w:rStyle w:val="afc"/>
        </w:rPr>
        <w:footnoteRef/>
      </w:r>
      <w:r w:rsidRPr="001659E7">
        <w:t xml:space="preserve"> </w:t>
      </w:r>
      <w:r w:rsidRPr="001659E7">
        <w:rPr>
          <w:rFonts w:hint="eastAsia"/>
        </w:rPr>
        <w:t>資料來源：臺大醫院107年12月24日校附醫骨字第1070030293號等函及相關書面說明、佐證資料。</w:t>
      </w:r>
    </w:p>
  </w:footnote>
  <w:footnote w:id="5">
    <w:p w:rsidR="00700294" w:rsidRPr="001659E7" w:rsidRDefault="00700294" w:rsidP="001659E7">
      <w:pPr>
        <w:pStyle w:val="afa"/>
        <w:ind w:left="264" w:hangingChars="120" w:hanging="264"/>
        <w:jc w:val="both"/>
      </w:pPr>
      <w:r w:rsidRPr="001659E7">
        <w:rPr>
          <w:rStyle w:val="afc"/>
        </w:rPr>
        <w:footnoteRef/>
      </w:r>
      <w:r w:rsidRPr="001659E7">
        <w:t xml:space="preserve"> </w:t>
      </w:r>
      <w:r w:rsidRPr="001659E7">
        <w:rPr>
          <w:rFonts w:hint="eastAsia"/>
        </w:rPr>
        <w:t>資料來源：臺北地檢署107年5月11日北檢泰稱106他6026字第1079039177號等函、臺大醫院107年12月24日校附醫骨字第1070030293號等函及相關書面說明、佐證資料。</w:t>
      </w:r>
    </w:p>
  </w:footnote>
  <w:footnote w:id="6">
    <w:p w:rsidR="00700294" w:rsidRPr="001659E7" w:rsidRDefault="00700294" w:rsidP="001659E7">
      <w:pPr>
        <w:pStyle w:val="afa"/>
        <w:jc w:val="both"/>
      </w:pPr>
      <w:r w:rsidRPr="001659E7">
        <w:rPr>
          <w:rStyle w:val="afc"/>
        </w:rPr>
        <w:footnoteRef/>
      </w:r>
      <w:r w:rsidRPr="001659E7">
        <w:rPr>
          <w:rFonts w:hint="eastAsia"/>
        </w:rPr>
        <w:t xml:space="preserve"> 洪醫師原聘期為106年8月1日至107年7月31日止。資料來源：臺大醫院。</w:t>
      </w:r>
    </w:p>
  </w:footnote>
  <w:footnote w:id="7">
    <w:p w:rsidR="00700294" w:rsidRPr="001659E7" w:rsidRDefault="00700294" w:rsidP="001659E7">
      <w:pPr>
        <w:pStyle w:val="afa"/>
      </w:pPr>
      <w:r>
        <w:rPr>
          <w:rStyle w:val="afc"/>
        </w:rPr>
        <w:footnoteRef/>
      </w:r>
      <w:r>
        <w:rPr>
          <w:rFonts w:hint="eastAsia"/>
        </w:rPr>
        <w:t xml:space="preserve"> </w:t>
      </w:r>
      <w:r w:rsidRPr="001659E7">
        <w:rPr>
          <w:rFonts w:hint="eastAsia"/>
        </w:rPr>
        <w:t>該簽呈之說明略以：「查洪醫師因個人行為有損院譽，經評核不適任……」。</w:t>
      </w:r>
    </w:p>
  </w:footnote>
  <w:footnote w:id="8">
    <w:p w:rsidR="00700294" w:rsidRPr="001659E7" w:rsidRDefault="00700294" w:rsidP="001659E7">
      <w:pPr>
        <w:pStyle w:val="afa"/>
        <w:ind w:left="167" w:hangingChars="76" w:hanging="167"/>
        <w:jc w:val="both"/>
      </w:pPr>
      <w:r w:rsidRPr="001659E7">
        <w:rPr>
          <w:rStyle w:val="afc"/>
        </w:rPr>
        <w:footnoteRef/>
      </w:r>
      <w:r w:rsidRPr="001659E7">
        <w:rPr>
          <w:rFonts w:hint="eastAsia"/>
        </w:rPr>
        <w:t xml:space="preserve"> 按監察法第26條明定：「監察院為行使監察職權……各該機關、部隊或團體主管人員及其他關係人員不得拒絕；遇有詢問時，應就詢問地點負責為詳實之答復</w:t>
      </w:r>
      <w:r w:rsidRPr="001659E7">
        <w:rPr>
          <w:rFonts w:hAnsi="標楷體" w:hint="eastAsia"/>
        </w:rPr>
        <w:t>……</w:t>
      </w:r>
      <w:r w:rsidRPr="001659E7">
        <w:rPr>
          <w:rFonts w:hint="eastAsia"/>
        </w:rPr>
        <w:t>。調查人員調查案件，於必要時得通知書狀具名人及被調查人員就指定地點詢問……。」監察院辦理調查案件注意事項第12點亦規定：「調查委員調查案件如遭受抗拒或被詢問之有關人員故意隱瞞不為詳實之答復者，對相關之公務人員得依監察法第6條或第19條規定提案糾彈」。</w:t>
      </w:r>
    </w:p>
  </w:footnote>
  <w:footnote w:id="9">
    <w:p w:rsidR="00700294" w:rsidRPr="001659E7" w:rsidRDefault="00700294" w:rsidP="00746394">
      <w:pPr>
        <w:pStyle w:val="afa"/>
        <w:ind w:left="154" w:hangingChars="70" w:hanging="154"/>
        <w:jc w:val="both"/>
      </w:pPr>
      <w:r>
        <w:rPr>
          <w:rStyle w:val="afc"/>
        </w:rPr>
        <w:footnoteRef/>
      </w:r>
      <w:r>
        <w:rPr>
          <w:rFonts w:hint="eastAsia"/>
          <w:spacing w:val="-8"/>
        </w:rPr>
        <w:t xml:space="preserve"> </w:t>
      </w:r>
      <w:r w:rsidRPr="001659E7">
        <w:rPr>
          <w:rFonts w:hint="eastAsia"/>
        </w:rPr>
        <w:t>洪醫師自98年7月1日起至100年12月4日止擔任臺大醫院骨科部公職主治醫師，全時服務於該院雲林分院。資料來源：臺大醫院。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333BD4"/>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E0B69BA"/>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140E010C"/>
    <w:multiLevelType w:val="multilevel"/>
    <w:tmpl w:val="8AE6418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7C17D5"/>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4C00F9D"/>
    <w:multiLevelType w:val="hybridMultilevel"/>
    <w:tmpl w:val="9990D184"/>
    <w:lvl w:ilvl="0" w:tplc="D9400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7A4341"/>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70540B60"/>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8"/>
  </w:num>
  <w:num w:numId="23">
    <w:abstractNumId w:val="6"/>
  </w:num>
  <w:num w:numId="24">
    <w:abstractNumId w:val="9"/>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1"/>
  </w:num>
  <w:num w:numId="29">
    <w:abstractNumId w:val="11"/>
  </w:num>
  <w:num w:numId="30">
    <w:abstractNumId w:val="7"/>
  </w:num>
  <w:num w:numId="31">
    <w:abstractNumId w:val="7"/>
  </w:num>
  <w:num w:numId="32">
    <w:abstractNumId w:val="3"/>
  </w:num>
  <w:num w:numId="33">
    <w:abstractNumId w:val="3"/>
  </w:num>
  <w:num w:numId="34">
    <w:abstractNumId w:val="3"/>
  </w:num>
  <w:num w:numId="35">
    <w:abstractNumId w:val="10"/>
  </w:num>
  <w:num w:numId="36">
    <w:abstractNumId w:val="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2"/>
  </w:num>
  <w:num w:numId="40">
    <w:abstractNumId w:val="1"/>
  </w:num>
  <w:num w:numId="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095D"/>
    <w:rsid w:val="0003114D"/>
    <w:rsid w:val="00036D76"/>
    <w:rsid w:val="00037E6A"/>
    <w:rsid w:val="00050778"/>
    <w:rsid w:val="000512D1"/>
    <w:rsid w:val="00057F32"/>
    <w:rsid w:val="00057F34"/>
    <w:rsid w:val="00062A25"/>
    <w:rsid w:val="00073CB5"/>
    <w:rsid w:val="0007425C"/>
    <w:rsid w:val="00076771"/>
    <w:rsid w:val="00077553"/>
    <w:rsid w:val="00080040"/>
    <w:rsid w:val="000851A2"/>
    <w:rsid w:val="0009352E"/>
    <w:rsid w:val="00096B96"/>
    <w:rsid w:val="00097136"/>
    <w:rsid w:val="000A2F3F"/>
    <w:rsid w:val="000A7EB0"/>
    <w:rsid w:val="000B0B4A"/>
    <w:rsid w:val="000B279A"/>
    <w:rsid w:val="000B61D2"/>
    <w:rsid w:val="000B70A7"/>
    <w:rsid w:val="000B7F47"/>
    <w:rsid w:val="000C495F"/>
    <w:rsid w:val="000E6431"/>
    <w:rsid w:val="000F0D35"/>
    <w:rsid w:val="000F21A5"/>
    <w:rsid w:val="00102B9F"/>
    <w:rsid w:val="00112637"/>
    <w:rsid w:val="0012001E"/>
    <w:rsid w:val="0012154D"/>
    <w:rsid w:val="00124D5A"/>
    <w:rsid w:val="00126A55"/>
    <w:rsid w:val="00133AA2"/>
    <w:rsid w:val="00133F08"/>
    <w:rsid w:val="001345E6"/>
    <w:rsid w:val="001378B0"/>
    <w:rsid w:val="00142E00"/>
    <w:rsid w:val="00152793"/>
    <w:rsid w:val="001545A9"/>
    <w:rsid w:val="00157B15"/>
    <w:rsid w:val="001637C7"/>
    <w:rsid w:val="0016480E"/>
    <w:rsid w:val="001659E7"/>
    <w:rsid w:val="001721B2"/>
    <w:rsid w:val="00174297"/>
    <w:rsid w:val="001817B3"/>
    <w:rsid w:val="00183014"/>
    <w:rsid w:val="001959C2"/>
    <w:rsid w:val="00195B3D"/>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502"/>
    <w:rsid w:val="00213C9C"/>
    <w:rsid w:val="0022009E"/>
    <w:rsid w:val="0022425C"/>
    <w:rsid w:val="002246DE"/>
    <w:rsid w:val="002421B5"/>
    <w:rsid w:val="0025106C"/>
    <w:rsid w:val="00252BC4"/>
    <w:rsid w:val="00254014"/>
    <w:rsid w:val="00255624"/>
    <w:rsid w:val="0026504D"/>
    <w:rsid w:val="00266512"/>
    <w:rsid w:val="00273A2F"/>
    <w:rsid w:val="00280986"/>
    <w:rsid w:val="00281ECE"/>
    <w:rsid w:val="002831C7"/>
    <w:rsid w:val="002840C6"/>
    <w:rsid w:val="00286B1B"/>
    <w:rsid w:val="00295174"/>
    <w:rsid w:val="00296172"/>
    <w:rsid w:val="00296B92"/>
    <w:rsid w:val="002A2C22"/>
    <w:rsid w:val="002B02EB"/>
    <w:rsid w:val="002B5F8C"/>
    <w:rsid w:val="002C0602"/>
    <w:rsid w:val="002D5C16"/>
    <w:rsid w:val="002F0906"/>
    <w:rsid w:val="002F3DFF"/>
    <w:rsid w:val="002F5E05"/>
    <w:rsid w:val="00306C0E"/>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427A"/>
    <w:rsid w:val="003A1073"/>
    <w:rsid w:val="003A5B7B"/>
    <w:rsid w:val="003B1017"/>
    <w:rsid w:val="003B3C07"/>
    <w:rsid w:val="003B6775"/>
    <w:rsid w:val="003C15E1"/>
    <w:rsid w:val="003C5FE2"/>
    <w:rsid w:val="003C70C8"/>
    <w:rsid w:val="003D05FB"/>
    <w:rsid w:val="003D1B16"/>
    <w:rsid w:val="003D45BF"/>
    <w:rsid w:val="003D508A"/>
    <w:rsid w:val="003D537F"/>
    <w:rsid w:val="003D7B75"/>
    <w:rsid w:val="003E0208"/>
    <w:rsid w:val="003E41FF"/>
    <w:rsid w:val="003E4B57"/>
    <w:rsid w:val="003F27E1"/>
    <w:rsid w:val="003F437A"/>
    <w:rsid w:val="003F5C2B"/>
    <w:rsid w:val="004023E9"/>
    <w:rsid w:val="00413F83"/>
    <w:rsid w:val="0041490C"/>
    <w:rsid w:val="00416191"/>
    <w:rsid w:val="00416721"/>
    <w:rsid w:val="00421EF0"/>
    <w:rsid w:val="004224FA"/>
    <w:rsid w:val="00423D07"/>
    <w:rsid w:val="004255DB"/>
    <w:rsid w:val="004320AD"/>
    <w:rsid w:val="0044346F"/>
    <w:rsid w:val="004531EC"/>
    <w:rsid w:val="0046520A"/>
    <w:rsid w:val="004672AB"/>
    <w:rsid w:val="004714FE"/>
    <w:rsid w:val="00485CDE"/>
    <w:rsid w:val="00495053"/>
    <w:rsid w:val="004955D9"/>
    <w:rsid w:val="00495A30"/>
    <w:rsid w:val="004A1F59"/>
    <w:rsid w:val="004A29BE"/>
    <w:rsid w:val="004A3225"/>
    <w:rsid w:val="004A33EE"/>
    <w:rsid w:val="004A3AA8"/>
    <w:rsid w:val="004A7D66"/>
    <w:rsid w:val="004B13C7"/>
    <w:rsid w:val="004B778F"/>
    <w:rsid w:val="004C5DD4"/>
    <w:rsid w:val="004D141F"/>
    <w:rsid w:val="004D6310"/>
    <w:rsid w:val="004E0062"/>
    <w:rsid w:val="004E05A1"/>
    <w:rsid w:val="004F5E57"/>
    <w:rsid w:val="004F6710"/>
    <w:rsid w:val="004F71DB"/>
    <w:rsid w:val="00502849"/>
    <w:rsid w:val="00504334"/>
    <w:rsid w:val="00504A97"/>
    <w:rsid w:val="005104D7"/>
    <w:rsid w:val="00510B9E"/>
    <w:rsid w:val="0052463C"/>
    <w:rsid w:val="00531D2C"/>
    <w:rsid w:val="0053634D"/>
    <w:rsid w:val="00536BC2"/>
    <w:rsid w:val="005425E1"/>
    <w:rsid w:val="005427C5"/>
    <w:rsid w:val="00542CF6"/>
    <w:rsid w:val="00553C03"/>
    <w:rsid w:val="00553F66"/>
    <w:rsid w:val="00563692"/>
    <w:rsid w:val="00571349"/>
    <w:rsid w:val="005908B8"/>
    <w:rsid w:val="0059512E"/>
    <w:rsid w:val="005A0FBC"/>
    <w:rsid w:val="005A6DD2"/>
    <w:rsid w:val="005B723A"/>
    <w:rsid w:val="005C303D"/>
    <w:rsid w:val="005C385D"/>
    <w:rsid w:val="005C50EF"/>
    <w:rsid w:val="005D048F"/>
    <w:rsid w:val="005D3B20"/>
    <w:rsid w:val="005E5C68"/>
    <w:rsid w:val="005E65C0"/>
    <w:rsid w:val="005F0390"/>
    <w:rsid w:val="005F60DF"/>
    <w:rsid w:val="00602426"/>
    <w:rsid w:val="00612023"/>
    <w:rsid w:val="00614190"/>
    <w:rsid w:val="00617098"/>
    <w:rsid w:val="00622A99"/>
    <w:rsid w:val="00622E67"/>
    <w:rsid w:val="00626EDC"/>
    <w:rsid w:val="00633F58"/>
    <w:rsid w:val="00634528"/>
    <w:rsid w:val="0063555F"/>
    <w:rsid w:val="006470EC"/>
    <w:rsid w:val="006514FF"/>
    <w:rsid w:val="0065598E"/>
    <w:rsid w:val="00655AF2"/>
    <w:rsid w:val="006568BE"/>
    <w:rsid w:val="0066025D"/>
    <w:rsid w:val="006773EC"/>
    <w:rsid w:val="00680504"/>
    <w:rsid w:val="00681CD9"/>
    <w:rsid w:val="00682BF5"/>
    <w:rsid w:val="00683E30"/>
    <w:rsid w:val="00687024"/>
    <w:rsid w:val="00693B3B"/>
    <w:rsid w:val="00696415"/>
    <w:rsid w:val="006A0311"/>
    <w:rsid w:val="006C1EFF"/>
    <w:rsid w:val="006D3691"/>
    <w:rsid w:val="006E2DCE"/>
    <w:rsid w:val="006F3563"/>
    <w:rsid w:val="006F42B9"/>
    <w:rsid w:val="006F6103"/>
    <w:rsid w:val="00700294"/>
    <w:rsid w:val="00703BCD"/>
    <w:rsid w:val="00704E00"/>
    <w:rsid w:val="007209E7"/>
    <w:rsid w:val="00720DBD"/>
    <w:rsid w:val="00726182"/>
    <w:rsid w:val="00731C62"/>
    <w:rsid w:val="00732329"/>
    <w:rsid w:val="007337CA"/>
    <w:rsid w:val="00734CE4"/>
    <w:rsid w:val="00735123"/>
    <w:rsid w:val="00741837"/>
    <w:rsid w:val="007453E6"/>
    <w:rsid w:val="00746394"/>
    <w:rsid w:val="0075243E"/>
    <w:rsid w:val="00764505"/>
    <w:rsid w:val="007666F5"/>
    <w:rsid w:val="007724FD"/>
    <w:rsid w:val="0077309D"/>
    <w:rsid w:val="007741FF"/>
    <w:rsid w:val="007764BE"/>
    <w:rsid w:val="007774EE"/>
    <w:rsid w:val="00781822"/>
    <w:rsid w:val="00783F21"/>
    <w:rsid w:val="00787159"/>
    <w:rsid w:val="00791668"/>
    <w:rsid w:val="00791AA1"/>
    <w:rsid w:val="007A3793"/>
    <w:rsid w:val="007B0D4C"/>
    <w:rsid w:val="007B7847"/>
    <w:rsid w:val="007C1BA2"/>
    <w:rsid w:val="007D20E9"/>
    <w:rsid w:val="007D7881"/>
    <w:rsid w:val="007D7E3A"/>
    <w:rsid w:val="007E0E10"/>
    <w:rsid w:val="007E4768"/>
    <w:rsid w:val="007E5BDD"/>
    <w:rsid w:val="007E777B"/>
    <w:rsid w:val="007F2070"/>
    <w:rsid w:val="007F2116"/>
    <w:rsid w:val="007F5A3F"/>
    <w:rsid w:val="00803B82"/>
    <w:rsid w:val="008053F5"/>
    <w:rsid w:val="008055CA"/>
    <w:rsid w:val="00810198"/>
    <w:rsid w:val="00815DA8"/>
    <w:rsid w:val="0082194D"/>
    <w:rsid w:val="00822BAE"/>
    <w:rsid w:val="00826EF5"/>
    <w:rsid w:val="00827897"/>
    <w:rsid w:val="00831693"/>
    <w:rsid w:val="00840104"/>
    <w:rsid w:val="00841823"/>
    <w:rsid w:val="00841FC5"/>
    <w:rsid w:val="00845709"/>
    <w:rsid w:val="008576BD"/>
    <w:rsid w:val="00860463"/>
    <w:rsid w:val="008733DA"/>
    <w:rsid w:val="00873C55"/>
    <w:rsid w:val="008762E7"/>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6F94"/>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D5E34"/>
    <w:rsid w:val="009D62B1"/>
    <w:rsid w:val="009E0439"/>
    <w:rsid w:val="009E0625"/>
    <w:rsid w:val="009E159E"/>
    <w:rsid w:val="009E3034"/>
    <w:rsid w:val="009E549F"/>
    <w:rsid w:val="009F28A8"/>
    <w:rsid w:val="009F473E"/>
    <w:rsid w:val="009F682A"/>
    <w:rsid w:val="00A022BE"/>
    <w:rsid w:val="00A231D3"/>
    <w:rsid w:val="00A24C95"/>
    <w:rsid w:val="00A25A10"/>
    <w:rsid w:val="00A26094"/>
    <w:rsid w:val="00A301BF"/>
    <w:rsid w:val="00A302B2"/>
    <w:rsid w:val="00A331B4"/>
    <w:rsid w:val="00A3484E"/>
    <w:rsid w:val="00A36ADA"/>
    <w:rsid w:val="00A42F4F"/>
    <w:rsid w:val="00A438D8"/>
    <w:rsid w:val="00A473F5"/>
    <w:rsid w:val="00A51F9D"/>
    <w:rsid w:val="00A5416A"/>
    <w:rsid w:val="00A639F4"/>
    <w:rsid w:val="00A81A32"/>
    <w:rsid w:val="00A835BD"/>
    <w:rsid w:val="00A83EBE"/>
    <w:rsid w:val="00A97B15"/>
    <w:rsid w:val="00AA42D5"/>
    <w:rsid w:val="00AB2FAB"/>
    <w:rsid w:val="00AB5C14"/>
    <w:rsid w:val="00AB75A1"/>
    <w:rsid w:val="00AC1EE7"/>
    <w:rsid w:val="00AC333F"/>
    <w:rsid w:val="00AC585C"/>
    <w:rsid w:val="00AD18F9"/>
    <w:rsid w:val="00AD1925"/>
    <w:rsid w:val="00AE0472"/>
    <w:rsid w:val="00AE067D"/>
    <w:rsid w:val="00AE1257"/>
    <w:rsid w:val="00AF1181"/>
    <w:rsid w:val="00AF2F79"/>
    <w:rsid w:val="00AF4653"/>
    <w:rsid w:val="00AF7DB7"/>
    <w:rsid w:val="00B10941"/>
    <w:rsid w:val="00B24738"/>
    <w:rsid w:val="00B443E4"/>
    <w:rsid w:val="00B5024A"/>
    <w:rsid w:val="00B563EA"/>
    <w:rsid w:val="00B60E51"/>
    <w:rsid w:val="00B63A54"/>
    <w:rsid w:val="00B7140E"/>
    <w:rsid w:val="00B72E3E"/>
    <w:rsid w:val="00B77B7A"/>
    <w:rsid w:val="00B77D18"/>
    <w:rsid w:val="00B8313A"/>
    <w:rsid w:val="00B83C6B"/>
    <w:rsid w:val="00B87A0E"/>
    <w:rsid w:val="00B93503"/>
    <w:rsid w:val="00BA31E8"/>
    <w:rsid w:val="00BA55E0"/>
    <w:rsid w:val="00BA6BD4"/>
    <w:rsid w:val="00BB2655"/>
    <w:rsid w:val="00BB3752"/>
    <w:rsid w:val="00BB6688"/>
    <w:rsid w:val="00BB7CDE"/>
    <w:rsid w:val="00BC26D4"/>
    <w:rsid w:val="00BC5C81"/>
    <w:rsid w:val="00BC64F2"/>
    <w:rsid w:val="00BD7D5D"/>
    <w:rsid w:val="00BE28E9"/>
    <w:rsid w:val="00BF2A42"/>
    <w:rsid w:val="00C03D8C"/>
    <w:rsid w:val="00C055EC"/>
    <w:rsid w:val="00C05CB3"/>
    <w:rsid w:val="00C10DC9"/>
    <w:rsid w:val="00C12FB3"/>
    <w:rsid w:val="00C144AE"/>
    <w:rsid w:val="00C17341"/>
    <w:rsid w:val="00C24EEF"/>
    <w:rsid w:val="00C25CF6"/>
    <w:rsid w:val="00C26C36"/>
    <w:rsid w:val="00C32768"/>
    <w:rsid w:val="00C37434"/>
    <w:rsid w:val="00C431DF"/>
    <w:rsid w:val="00C456BD"/>
    <w:rsid w:val="00C46AA4"/>
    <w:rsid w:val="00C530DC"/>
    <w:rsid w:val="00C5350D"/>
    <w:rsid w:val="00C6123C"/>
    <w:rsid w:val="00C67F50"/>
    <w:rsid w:val="00C7084D"/>
    <w:rsid w:val="00C7315E"/>
    <w:rsid w:val="00C75895"/>
    <w:rsid w:val="00C75FD2"/>
    <w:rsid w:val="00C83C9F"/>
    <w:rsid w:val="00C86866"/>
    <w:rsid w:val="00C94840"/>
    <w:rsid w:val="00CA0A43"/>
    <w:rsid w:val="00CA67BD"/>
    <w:rsid w:val="00CA6AC8"/>
    <w:rsid w:val="00CB027F"/>
    <w:rsid w:val="00CB6BB5"/>
    <w:rsid w:val="00CC6297"/>
    <w:rsid w:val="00CC7690"/>
    <w:rsid w:val="00CD1986"/>
    <w:rsid w:val="00CD5430"/>
    <w:rsid w:val="00CE4D5C"/>
    <w:rsid w:val="00CF05DA"/>
    <w:rsid w:val="00CF58EB"/>
    <w:rsid w:val="00D0106E"/>
    <w:rsid w:val="00D06383"/>
    <w:rsid w:val="00D20E85"/>
    <w:rsid w:val="00D24615"/>
    <w:rsid w:val="00D27557"/>
    <w:rsid w:val="00D37842"/>
    <w:rsid w:val="00D42DC2"/>
    <w:rsid w:val="00D43773"/>
    <w:rsid w:val="00D537E1"/>
    <w:rsid w:val="00D55BB2"/>
    <w:rsid w:val="00D6091A"/>
    <w:rsid w:val="00D62A07"/>
    <w:rsid w:val="00D6695F"/>
    <w:rsid w:val="00D75644"/>
    <w:rsid w:val="00D81656"/>
    <w:rsid w:val="00D8246C"/>
    <w:rsid w:val="00D83D87"/>
    <w:rsid w:val="00D86A30"/>
    <w:rsid w:val="00D97CB4"/>
    <w:rsid w:val="00D97DD4"/>
    <w:rsid w:val="00DA5A8A"/>
    <w:rsid w:val="00DA645C"/>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4C2A"/>
    <w:rsid w:val="00E10454"/>
    <w:rsid w:val="00E112E5"/>
    <w:rsid w:val="00E151A9"/>
    <w:rsid w:val="00E21CC7"/>
    <w:rsid w:val="00E24D9E"/>
    <w:rsid w:val="00E25849"/>
    <w:rsid w:val="00E30BEA"/>
    <w:rsid w:val="00E3197E"/>
    <w:rsid w:val="00E342F8"/>
    <w:rsid w:val="00E351ED"/>
    <w:rsid w:val="00E46F50"/>
    <w:rsid w:val="00E6034B"/>
    <w:rsid w:val="00E6549E"/>
    <w:rsid w:val="00E65EDE"/>
    <w:rsid w:val="00E70F81"/>
    <w:rsid w:val="00E73098"/>
    <w:rsid w:val="00E77055"/>
    <w:rsid w:val="00E77460"/>
    <w:rsid w:val="00E77F35"/>
    <w:rsid w:val="00E83ABC"/>
    <w:rsid w:val="00E8405E"/>
    <w:rsid w:val="00E844F2"/>
    <w:rsid w:val="00E92FCB"/>
    <w:rsid w:val="00EA147F"/>
    <w:rsid w:val="00EA2397"/>
    <w:rsid w:val="00EB5E17"/>
    <w:rsid w:val="00EC6D58"/>
    <w:rsid w:val="00ED03AB"/>
    <w:rsid w:val="00ED0CAC"/>
    <w:rsid w:val="00ED1CD4"/>
    <w:rsid w:val="00ED1D2B"/>
    <w:rsid w:val="00ED5767"/>
    <w:rsid w:val="00ED5A8D"/>
    <w:rsid w:val="00ED64B5"/>
    <w:rsid w:val="00EE1EAF"/>
    <w:rsid w:val="00EE7CCA"/>
    <w:rsid w:val="00F0422E"/>
    <w:rsid w:val="00F07866"/>
    <w:rsid w:val="00F16A14"/>
    <w:rsid w:val="00F231DC"/>
    <w:rsid w:val="00F362D7"/>
    <w:rsid w:val="00F37D7B"/>
    <w:rsid w:val="00F5314C"/>
    <w:rsid w:val="00F53706"/>
    <w:rsid w:val="00F634AD"/>
    <w:rsid w:val="00F635DD"/>
    <w:rsid w:val="00F648A8"/>
    <w:rsid w:val="00F6627B"/>
    <w:rsid w:val="00F734F2"/>
    <w:rsid w:val="00F74A8D"/>
    <w:rsid w:val="00F75052"/>
    <w:rsid w:val="00F76FBD"/>
    <w:rsid w:val="00F804D3"/>
    <w:rsid w:val="00F81CD2"/>
    <w:rsid w:val="00F82641"/>
    <w:rsid w:val="00F90F18"/>
    <w:rsid w:val="00F937E4"/>
    <w:rsid w:val="00F95EE7"/>
    <w:rsid w:val="00FA39E6"/>
    <w:rsid w:val="00FA7BC9"/>
    <w:rsid w:val="00FB378E"/>
    <w:rsid w:val="00FB37F1"/>
    <w:rsid w:val="00FB47C0"/>
    <w:rsid w:val="00FB501B"/>
    <w:rsid w:val="00FB7770"/>
    <w:rsid w:val="00FC0E1A"/>
    <w:rsid w:val="00FC37EE"/>
    <w:rsid w:val="00FC6A7E"/>
    <w:rsid w:val="00FD3B91"/>
    <w:rsid w:val="00FD576B"/>
    <w:rsid w:val="00FD579E"/>
    <w:rsid w:val="00FE4516"/>
    <w:rsid w:val="00FE72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EDA5AA-346F-4292-96DC-1C1C8ED04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EB5E17"/>
    <w:pPr>
      <w:snapToGrid w:val="0"/>
      <w:jc w:val="left"/>
    </w:pPr>
    <w:rPr>
      <w:sz w:val="20"/>
    </w:rPr>
  </w:style>
  <w:style w:type="character" w:customStyle="1" w:styleId="afb">
    <w:name w:val="註腳文字 字元"/>
    <w:basedOn w:val="a7"/>
    <w:link w:val="afa"/>
    <w:uiPriority w:val="99"/>
    <w:rsid w:val="00EB5E17"/>
    <w:rPr>
      <w:rFonts w:ascii="標楷體" w:eastAsia="標楷體"/>
      <w:kern w:val="2"/>
    </w:rPr>
  </w:style>
  <w:style w:type="character" w:styleId="afc">
    <w:name w:val="footnote reference"/>
    <w:basedOn w:val="a7"/>
    <w:uiPriority w:val="99"/>
    <w:semiHidden/>
    <w:unhideWhenUsed/>
    <w:rsid w:val="00EB5E17"/>
    <w:rPr>
      <w:vertAlign w:val="superscript"/>
    </w:rPr>
  </w:style>
  <w:style w:type="character" w:customStyle="1" w:styleId="30">
    <w:name w:val="標題 3 字元"/>
    <w:link w:val="3"/>
    <w:rsid w:val="009D5E34"/>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41CC2-8D23-46F0-B953-E824F715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7</Pages>
  <Words>467</Words>
  <Characters>2666</Characters>
  <Application>Microsoft Office Word</Application>
  <DocSecurity>0</DocSecurity>
  <Lines>22</Lines>
  <Paragraphs>6</Paragraphs>
  <ScaleCrop>false</ScaleCrop>
  <Company>cy</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江明潔</cp:lastModifiedBy>
  <cp:revision>2</cp:revision>
  <cp:lastPrinted>2017-10-02T08:52:00Z</cp:lastPrinted>
  <dcterms:created xsi:type="dcterms:W3CDTF">2019-07-11T07:41:00Z</dcterms:created>
  <dcterms:modified xsi:type="dcterms:W3CDTF">2019-07-11T07:41:00Z</dcterms:modified>
</cp:coreProperties>
</file>