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0" w:name="_Toc422834150"/>
      <w:bookmarkStart w:id="1" w:name="_Toc421794865"/>
      <w:bookmarkStart w:id="2" w:name="_Toc529218256"/>
      <w:bookmarkStart w:id="3" w:name="_Toc529222679"/>
      <w:bookmarkStart w:id="4" w:name="_Toc529223101"/>
      <w:bookmarkStart w:id="5" w:name="_Toc529223852"/>
      <w:bookmarkStart w:id="6" w:name="_Toc529228248"/>
      <w:bookmarkStart w:id="7" w:name="_Toc2400384"/>
      <w:bookmarkStart w:id="8" w:name="_Toc4316179"/>
      <w:bookmarkStart w:id="9" w:name="_Toc4473320"/>
      <w:bookmarkStart w:id="10" w:name="_Toc69556887"/>
      <w:bookmarkStart w:id="11" w:name="_Toc69556936"/>
      <w:bookmarkStart w:id="12" w:name="_Toc69609810"/>
      <w:bookmarkStart w:id="13" w:name="_Toc70241806"/>
      <w:bookmarkStart w:id="14" w:name="_Toc70242195"/>
      <w:bookmarkStart w:id="15" w:name="_Toc524892368"/>
      <w:bookmarkStart w:id="16" w:name="_Toc524895638"/>
      <w:bookmarkStart w:id="17" w:name="_Toc524896184"/>
      <w:bookmarkStart w:id="18" w:name="_Toc524896214"/>
      <w:bookmarkStart w:id="19" w:name="_Toc524902720"/>
      <w:bookmarkStart w:id="20" w:name="_Toc525066139"/>
      <w:bookmarkStart w:id="21" w:name="_Toc525070829"/>
      <w:bookmarkStart w:id="22" w:name="_Toc525938369"/>
      <w:bookmarkStart w:id="23" w:name="_Toc525939217"/>
      <w:bookmarkStart w:id="24" w:name="_Toc525939722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D572E3" w:rsidRPr="00D572E3">
        <w:rPr>
          <w:rFonts w:hint="eastAsia"/>
        </w:rPr>
        <w:t>據訴</w:t>
      </w:r>
      <w:proofErr w:type="gramEnd"/>
      <w:r w:rsidR="00D572E3" w:rsidRPr="00D572E3">
        <w:rPr>
          <w:rFonts w:hint="eastAsia"/>
        </w:rPr>
        <w:t>，南和興產股份有限公司轉讓股份予外資，使外國法人取得本國公司實質經營權並得以處分土地財產，涉嫌以證券交易逃漏財產交易稅捐，且</w:t>
      </w:r>
      <w:proofErr w:type="gramStart"/>
      <w:r w:rsidR="00D572E3" w:rsidRPr="00D572E3">
        <w:rPr>
          <w:rFonts w:hint="eastAsia"/>
        </w:rPr>
        <w:t>疑</w:t>
      </w:r>
      <w:proofErr w:type="gramEnd"/>
      <w:r w:rsidR="00D572E3" w:rsidRPr="00D572E3">
        <w:rPr>
          <w:rFonts w:hint="eastAsia"/>
        </w:rPr>
        <w:t>違反外國人投資及土地等相關法規。究資本公積轉增資股之交易應如何課稅？外國法人取得本國公司經營權買賣土地，有無違反相關規定？為維護賦稅制度公平，及避免外國公司炒作我國土地，以維國家安全，</w:t>
      </w:r>
      <w:proofErr w:type="gramStart"/>
      <w:r w:rsidR="00D572E3" w:rsidRPr="00D572E3">
        <w:rPr>
          <w:rFonts w:hint="eastAsia"/>
        </w:rPr>
        <w:t>爰</w:t>
      </w:r>
      <w:proofErr w:type="gramEnd"/>
      <w:r w:rsidR="00D572E3" w:rsidRPr="00D572E3">
        <w:rPr>
          <w:rFonts w:hint="eastAsia"/>
        </w:rPr>
        <w:t>有深入了解之必要案。</w:t>
      </w:r>
    </w:p>
    <w:p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Default="005C1324" w:rsidP="00A639F4">
      <w:pPr>
        <w:pStyle w:val="11"/>
        <w:ind w:left="680" w:firstLine="680"/>
      </w:pPr>
      <w:bookmarkStart w:id="49" w:name="_Toc524902730"/>
      <w:r>
        <w:rPr>
          <w:rFonts w:hAnsi="Arial" w:hint="eastAsia"/>
        </w:rPr>
        <w:t>有關</w:t>
      </w:r>
      <w:r w:rsidRPr="00D572E3">
        <w:rPr>
          <w:rFonts w:hAnsi="Arial" w:hint="eastAsia"/>
        </w:rPr>
        <w:t>南和興產股份有限公司</w:t>
      </w:r>
      <w:r>
        <w:rPr>
          <w:rFonts w:hAnsi="Arial" w:hint="eastAsia"/>
        </w:rPr>
        <w:t>（下稱南和興產公司）</w:t>
      </w:r>
      <w:r w:rsidRPr="00D572E3">
        <w:rPr>
          <w:rFonts w:hAnsi="Arial" w:hint="eastAsia"/>
        </w:rPr>
        <w:t>轉讓股份予外資，使外國法人取得本國公司實質經營權並得以處分土地財產，涉嫌</w:t>
      </w:r>
      <w:r w:rsidRPr="006B4479">
        <w:rPr>
          <w:rFonts w:hAnsi="Arial" w:hint="eastAsia"/>
        </w:rPr>
        <w:t>以證券交易逃漏財產交易稅捐，且</w:t>
      </w:r>
      <w:proofErr w:type="gramStart"/>
      <w:r w:rsidRPr="006B4479">
        <w:rPr>
          <w:rFonts w:hAnsi="Arial" w:hint="eastAsia"/>
        </w:rPr>
        <w:t>疑</w:t>
      </w:r>
      <w:proofErr w:type="gramEnd"/>
      <w:r w:rsidRPr="006B4479">
        <w:rPr>
          <w:rFonts w:hAnsi="Arial" w:hint="eastAsia"/>
        </w:rPr>
        <w:t>違反外國人投資及土地等相關法規。究資本公積轉增資股之交易應如何課</w:t>
      </w:r>
      <w:r w:rsidRPr="00D572E3">
        <w:rPr>
          <w:rFonts w:hAnsi="Arial" w:hint="eastAsia"/>
        </w:rPr>
        <w:t>稅？外國法人取得本國公司經營權買賣土地，有無違反相關規定？為維護賦稅制度公平，及避免外國公司炒作我國土地，以維國家安全</w:t>
      </w:r>
      <w:r w:rsidRPr="009C7FF2">
        <w:rPr>
          <w:rFonts w:hint="eastAsia"/>
        </w:rPr>
        <w:t>等</w:t>
      </w:r>
      <w:r>
        <w:rPr>
          <w:rFonts w:hint="eastAsia"/>
        </w:rPr>
        <w:t>情一案，經調閱財政部、</w:t>
      </w:r>
      <w:r w:rsidRPr="00CC676B">
        <w:rPr>
          <w:rFonts w:hint="eastAsia"/>
          <w:szCs w:val="32"/>
        </w:rPr>
        <w:t>內政部地政司</w:t>
      </w:r>
      <w:r>
        <w:rPr>
          <w:rFonts w:hint="eastAsia"/>
          <w:szCs w:val="32"/>
        </w:rPr>
        <w:t>、</w:t>
      </w:r>
      <w:r w:rsidRPr="00CC676B">
        <w:rPr>
          <w:rFonts w:hint="eastAsia"/>
          <w:szCs w:val="32"/>
        </w:rPr>
        <w:t>經濟部投資審議委員會</w:t>
      </w:r>
      <w:proofErr w:type="gramStart"/>
      <w:r w:rsidRPr="00C841A5">
        <w:rPr>
          <w:rFonts w:hint="eastAsia"/>
          <w:szCs w:val="32"/>
        </w:rPr>
        <w:t>（</w:t>
      </w:r>
      <w:proofErr w:type="gramEnd"/>
      <w:r w:rsidRPr="00C841A5">
        <w:rPr>
          <w:rFonts w:hint="eastAsia"/>
          <w:szCs w:val="32"/>
        </w:rPr>
        <w:t>下稱投審會)</w:t>
      </w:r>
      <w:r>
        <w:rPr>
          <w:rFonts w:hint="eastAsia"/>
          <w:szCs w:val="32"/>
        </w:rPr>
        <w:t>、經濟部商業司、</w:t>
      </w:r>
      <w:r w:rsidRPr="00CC676B">
        <w:rPr>
          <w:rFonts w:hint="eastAsia"/>
          <w:szCs w:val="32"/>
        </w:rPr>
        <w:t>高雄市政府</w:t>
      </w:r>
      <w:r>
        <w:rPr>
          <w:rFonts w:hint="eastAsia"/>
          <w:szCs w:val="32"/>
        </w:rPr>
        <w:t>及高雄市政府</w:t>
      </w:r>
      <w:r w:rsidRPr="003236A0">
        <w:rPr>
          <w:szCs w:val="32"/>
        </w:rPr>
        <w:t>經濟發展局</w:t>
      </w:r>
      <w:r>
        <w:rPr>
          <w:rFonts w:hint="eastAsia"/>
          <w:szCs w:val="32"/>
        </w:rPr>
        <w:t>等</w:t>
      </w:r>
      <w:r w:rsidRPr="009C7FF2">
        <w:rPr>
          <w:rFonts w:hint="eastAsia"/>
        </w:rPr>
        <w:t>機關卷證資料</w:t>
      </w:r>
      <w:r>
        <w:rPr>
          <w:rFonts w:hint="eastAsia"/>
        </w:rPr>
        <w:t>後</w:t>
      </w:r>
      <w:r w:rsidRPr="009C7FF2">
        <w:rPr>
          <w:rFonts w:hint="eastAsia"/>
        </w:rPr>
        <w:t>，</w:t>
      </w:r>
      <w:r w:rsidR="00FB501B" w:rsidRPr="009C7FF2">
        <w:rPr>
          <w:rFonts w:hint="eastAsia"/>
        </w:rPr>
        <w:t>已調查竣</w:t>
      </w:r>
      <w:r w:rsidR="00307A76">
        <w:rPr>
          <w:rFonts w:hint="eastAsia"/>
        </w:rPr>
        <w:t>事</w:t>
      </w:r>
      <w:r w:rsidR="00FB501B" w:rsidRPr="009C7FF2">
        <w:rPr>
          <w:rFonts w:hint="eastAsia"/>
        </w:rPr>
        <w:t>，</w:t>
      </w:r>
      <w:r w:rsidR="00307A76">
        <w:rPr>
          <w:rFonts w:hint="eastAsia"/>
        </w:rPr>
        <w:t>茲</w:t>
      </w:r>
      <w:proofErr w:type="gramStart"/>
      <w:r w:rsidR="00307A76">
        <w:rPr>
          <w:rFonts w:hint="eastAsia"/>
        </w:rPr>
        <w:t>臚</w:t>
      </w:r>
      <w:proofErr w:type="gramEnd"/>
      <w:r w:rsidR="00FB501B" w:rsidRPr="009C7FF2">
        <w:rPr>
          <w:rFonts w:hint="eastAsia"/>
        </w:rPr>
        <w:t>列調查意見如下：</w:t>
      </w:r>
    </w:p>
    <w:p w:rsidR="004A7AB9" w:rsidRDefault="004A7AB9" w:rsidP="00A639F4">
      <w:pPr>
        <w:pStyle w:val="11"/>
        <w:ind w:left="680" w:firstLine="680"/>
      </w:pPr>
    </w:p>
    <w:p w:rsidR="00073CB5" w:rsidRDefault="005C1324" w:rsidP="0089640C">
      <w:pPr>
        <w:pStyle w:val="2"/>
        <w:spacing w:line="480" w:lineRule="exact"/>
        <w:rPr>
          <w:b/>
        </w:rPr>
      </w:pPr>
      <w:r>
        <w:rPr>
          <w:rFonts w:hint="eastAsia"/>
          <w:b/>
        </w:rPr>
        <w:t>南和興產公司</w:t>
      </w:r>
      <w:r w:rsidR="00AC4DA7">
        <w:rPr>
          <w:rFonts w:hint="eastAsia"/>
          <w:b/>
        </w:rPr>
        <w:t>股票業依公司法第162條規定，</w:t>
      </w:r>
      <w:r w:rsidR="005F49AE">
        <w:rPr>
          <w:rFonts w:hint="eastAsia"/>
          <w:b/>
        </w:rPr>
        <w:t>由中國信託商業銀行股份有限公司</w:t>
      </w:r>
      <w:r w:rsidR="00AC4DA7">
        <w:rPr>
          <w:rFonts w:hint="eastAsia"/>
          <w:b/>
        </w:rPr>
        <w:t>分別於</w:t>
      </w:r>
      <w:r w:rsidR="000911AF">
        <w:rPr>
          <w:rFonts w:hint="eastAsia"/>
          <w:b/>
        </w:rPr>
        <w:t>民國（下同）</w:t>
      </w:r>
      <w:r w:rsidR="00AC4DA7">
        <w:rPr>
          <w:rFonts w:hint="eastAsia"/>
          <w:b/>
        </w:rPr>
        <w:t>76年及102年簽證發行，是國稅</w:t>
      </w:r>
      <w:proofErr w:type="gramStart"/>
      <w:r w:rsidR="00AC4DA7">
        <w:rPr>
          <w:rFonts w:hint="eastAsia"/>
          <w:b/>
        </w:rPr>
        <w:t>稽</w:t>
      </w:r>
      <w:proofErr w:type="gramEnd"/>
      <w:r w:rsidR="00AC4DA7">
        <w:rPr>
          <w:rFonts w:hint="eastAsia"/>
          <w:b/>
        </w:rPr>
        <w:t>徵機關依財政部函釋規定，認定該公司</w:t>
      </w:r>
      <w:r>
        <w:rPr>
          <w:rFonts w:hint="eastAsia"/>
          <w:b/>
        </w:rPr>
        <w:t>股東於103年及104</w:t>
      </w:r>
      <w:r w:rsidR="001642B0">
        <w:rPr>
          <w:rFonts w:hint="eastAsia"/>
          <w:b/>
        </w:rPr>
        <w:t>年出售股票</w:t>
      </w:r>
      <w:r w:rsidR="00665B30">
        <w:rPr>
          <w:rFonts w:hint="eastAsia"/>
          <w:b/>
        </w:rPr>
        <w:t>之</w:t>
      </w:r>
      <w:r>
        <w:rPr>
          <w:rFonts w:hint="eastAsia"/>
          <w:b/>
        </w:rPr>
        <w:t>所得</w:t>
      </w:r>
      <w:r w:rsidR="00AC4DA7">
        <w:rPr>
          <w:rFonts w:hint="eastAsia"/>
          <w:b/>
        </w:rPr>
        <w:t>為證券交易所得</w:t>
      </w:r>
      <w:r w:rsidR="002113E4">
        <w:rPr>
          <w:rFonts w:hint="eastAsia"/>
          <w:b/>
        </w:rPr>
        <w:t>，依行為時所得稅法</w:t>
      </w:r>
      <w:r w:rsidR="004A7AB9">
        <w:rPr>
          <w:rFonts w:hint="eastAsia"/>
          <w:b/>
        </w:rPr>
        <w:t>等相關</w:t>
      </w:r>
      <w:r w:rsidR="002113E4">
        <w:rPr>
          <w:rFonts w:hint="eastAsia"/>
          <w:b/>
        </w:rPr>
        <w:t>規定課徵</w:t>
      </w:r>
      <w:r w:rsidR="002113E4">
        <w:rPr>
          <w:rFonts w:hint="eastAsia"/>
          <w:b/>
        </w:rPr>
        <w:lastRenderedPageBreak/>
        <w:t>所得稅，</w:t>
      </w:r>
      <w:r w:rsidR="00A9596C" w:rsidRPr="00A9596C">
        <w:rPr>
          <w:rFonts w:hint="eastAsia"/>
          <w:b/>
        </w:rPr>
        <w:t>尚難</w:t>
      </w:r>
      <w:proofErr w:type="gramStart"/>
      <w:r w:rsidR="00A9596C" w:rsidRPr="00A9596C">
        <w:rPr>
          <w:rFonts w:hint="eastAsia"/>
          <w:b/>
        </w:rPr>
        <w:t>遽</w:t>
      </w:r>
      <w:proofErr w:type="gramEnd"/>
      <w:r w:rsidR="00A9596C" w:rsidRPr="00A9596C">
        <w:rPr>
          <w:rFonts w:hint="eastAsia"/>
          <w:b/>
        </w:rPr>
        <w:t>認涉有違失</w:t>
      </w:r>
      <w:r w:rsidR="002113E4">
        <w:rPr>
          <w:rFonts w:hint="eastAsia"/>
          <w:b/>
        </w:rPr>
        <w:t>。</w:t>
      </w:r>
    </w:p>
    <w:p w:rsidR="007E31BB" w:rsidRPr="007E31BB" w:rsidRDefault="007E31BB" w:rsidP="0089640C">
      <w:pPr>
        <w:pStyle w:val="3"/>
        <w:spacing w:line="480" w:lineRule="exact"/>
      </w:pPr>
      <w:r>
        <w:rPr>
          <w:rFonts w:hint="eastAsia"/>
        </w:rPr>
        <w:t>行為時所得稅法第4條之1規定（101年8月8日修正）：「</w:t>
      </w:r>
      <w:r w:rsidRPr="007E31BB">
        <w:rPr>
          <w:rFonts w:hint="eastAsia"/>
        </w:rPr>
        <w:t>自中華民國</w:t>
      </w:r>
      <w:r>
        <w:rPr>
          <w:rFonts w:hint="eastAsia"/>
        </w:rPr>
        <w:t>79</w:t>
      </w:r>
      <w:r w:rsidRPr="007E31BB">
        <w:rPr>
          <w:rFonts w:hint="eastAsia"/>
        </w:rPr>
        <w:t>年</w:t>
      </w:r>
      <w:r>
        <w:rPr>
          <w:rFonts w:hint="eastAsia"/>
        </w:rPr>
        <w:t>1</w:t>
      </w:r>
      <w:r w:rsidRPr="007E31BB">
        <w:rPr>
          <w:rFonts w:hint="eastAsia"/>
        </w:rPr>
        <w:t>月</w:t>
      </w:r>
      <w:r>
        <w:rPr>
          <w:rFonts w:hint="eastAsia"/>
        </w:rPr>
        <w:t>1</w:t>
      </w:r>
      <w:r w:rsidRPr="007E31BB">
        <w:rPr>
          <w:rFonts w:hint="eastAsia"/>
        </w:rPr>
        <w:t>日起，證券交易所得停止課徵所得稅，證券交易損失亦不得自所得額中減除。但自</w:t>
      </w:r>
      <w:r>
        <w:rPr>
          <w:rFonts w:hint="eastAsia"/>
        </w:rPr>
        <w:t>102</w:t>
      </w:r>
      <w:r w:rsidRPr="007E31BB">
        <w:rPr>
          <w:rFonts w:hint="eastAsia"/>
        </w:rPr>
        <w:t>年</w:t>
      </w:r>
      <w:r>
        <w:rPr>
          <w:rFonts w:hint="eastAsia"/>
        </w:rPr>
        <w:t>1</w:t>
      </w:r>
      <w:r w:rsidRPr="007E31BB">
        <w:rPr>
          <w:rFonts w:hint="eastAsia"/>
        </w:rPr>
        <w:t>月</w:t>
      </w:r>
      <w:r>
        <w:rPr>
          <w:rFonts w:hint="eastAsia"/>
        </w:rPr>
        <w:t>1</w:t>
      </w:r>
      <w:r w:rsidRPr="007E31BB">
        <w:rPr>
          <w:rFonts w:hint="eastAsia"/>
        </w:rPr>
        <w:t>日起，個人下列證券交易所得課徵所得稅，其交易損失得依第</w:t>
      </w:r>
      <w:r>
        <w:rPr>
          <w:rFonts w:hint="eastAsia"/>
        </w:rPr>
        <w:t>14</w:t>
      </w:r>
      <w:r w:rsidRPr="007E31BB">
        <w:rPr>
          <w:rFonts w:hint="eastAsia"/>
        </w:rPr>
        <w:t>條之</w:t>
      </w:r>
      <w:r>
        <w:rPr>
          <w:rFonts w:hint="eastAsia"/>
        </w:rPr>
        <w:t>2</w:t>
      </w:r>
      <w:r w:rsidRPr="007E31BB">
        <w:rPr>
          <w:rFonts w:hint="eastAsia"/>
        </w:rPr>
        <w:t>第</w:t>
      </w:r>
      <w:r w:rsidR="00690DC1">
        <w:rPr>
          <w:rFonts w:hint="eastAsia"/>
        </w:rPr>
        <w:t>2</w:t>
      </w:r>
      <w:r w:rsidRPr="007E31BB">
        <w:rPr>
          <w:rFonts w:hint="eastAsia"/>
        </w:rPr>
        <w:t>項規定自當年度所得額中減除：一、上市、上櫃</w:t>
      </w:r>
      <w:proofErr w:type="gramStart"/>
      <w:r w:rsidRPr="007E31BB">
        <w:rPr>
          <w:rFonts w:hint="eastAsia"/>
        </w:rPr>
        <w:t>或興櫃</w:t>
      </w:r>
      <w:proofErr w:type="gramEnd"/>
      <w:r w:rsidRPr="007E31BB">
        <w:rPr>
          <w:rFonts w:hint="eastAsia"/>
        </w:rPr>
        <w:t>股票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 w:rsidRPr="007E31BB">
        <w:rPr>
          <w:rFonts w:hint="eastAsia"/>
        </w:rPr>
        <w:t>二、前款以外之股票、新股權利證書、股款繳納憑證及表明其權利之證書。</w:t>
      </w:r>
      <w:r>
        <w:rPr>
          <w:rFonts w:hint="eastAsia"/>
        </w:rPr>
        <w:t>」又，證券交易稅條例第1條規定：「</w:t>
      </w:r>
      <w:r w:rsidRPr="007E31BB">
        <w:rPr>
          <w:rFonts w:hint="eastAsia"/>
        </w:rPr>
        <w:t>凡買賣有價證券，除各級政府發行之債券外，悉依本條例之規定，徵收證券交易稅。前項所稱有價證券，係指各級政府發行之債券，公司發行之股票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</w:t>
      </w:r>
    </w:p>
    <w:p w:rsidR="004C422A" w:rsidRDefault="004C422A" w:rsidP="0089640C">
      <w:pPr>
        <w:pStyle w:val="3"/>
        <w:spacing w:line="480" w:lineRule="exact"/>
      </w:pPr>
      <w:r>
        <w:rPr>
          <w:rFonts w:hint="eastAsia"/>
        </w:rPr>
        <w:t>財政部84年6月29日台財稅第841632176號函規定，股份有限公司股東轉讓該公司</w:t>
      </w:r>
      <w:proofErr w:type="gramStart"/>
      <w:r>
        <w:rPr>
          <w:rFonts w:hint="eastAsia"/>
        </w:rPr>
        <w:t>掣</w:t>
      </w:r>
      <w:proofErr w:type="gramEnd"/>
      <w:r>
        <w:rPr>
          <w:rFonts w:hint="eastAsia"/>
        </w:rPr>
        <w:t>發未依公司法第162條規定簽證發行之股票，</w:t>
      </w:r>
      <w:proofErr w:type="gramStart"/>
      <w:r>
        <w:rPr>
          <w:rFonts w:hint="eastAsia"/>
        </w:rPr>
        <w:t>核非屬</w:t>
      </w:r>
      <w:proofErr w:type="gramEnd"/>
      <w:r>
        <w:rPr>
          <w:rFonts w:hint="eastAsia"/>
        </w:rPr>
        <w:t>證券交易，係轉讓其出資額，應屬證券以外之財產交易；又財政部91年2月7日台財稅字第0910450541號令規定，公司依公司法第161條之1第1項後段規定不發行股票者，依財政部80年4月30日台財稅第790191196號函規定，買賣該公司股份不發生課徵證券交易稅問題，但應屬財產交易，其財產交易之所得，應課徵所得稅。是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，倘公司依公司法第162條規定簽證並發行之股票，即為證券交易法所稱之有價證券，其買賣交易即應依證券交易稅條例第1條及所得稅法第4條之1規定（101年8月8日修正），課徵證券交易稅及證券交易所得稅（自79年1月1日起停</w:t>
      </w:r>
      <w:proofErr w:type="gramStart"/>
      <w:r>
        <w:rPr>
          <w:rFonts w:hint="eastAsia"/>
        </w:rPr>
        <w:t>徵</w:t>
      </w:r>
      <w:proofErr w:type="gramEnd"/>
      <w:r>
        <w:rPr>
          <w:rFonts w:hint="eastAsia"/>
        </w:rPr>
        <w:t>，又於102年至104年復</w:t>
      </w:r>
      <w:proofErr w:type="gramStart"/>
      <w:r>
        <w:rPr>
          <w:rFonts w:hint="eastAsia"/>
        </w:rPr>
        <w:t>徵</w:t>
      </w:r>
      <w:proofErr w:type="gramEnd"/>
      <w:r>
        <w:rPr>
          <w:rFonts w:hint="eastAsia"/>
        </w:rPr>
        <w:t>，105年起再停徵），</w:t>
      </w:r>
      <w:proofErr w:type="gramStart"/>
      <w:r>
        <w:rPr>
          <w:rFonts w:hint="eastAsia"/>
        </w:rPr>
        <w:t>反之，</w:t>
      </w:r>
      <w:proofErr w:type="gramEnd"/>
      <w:r>
        <w:rPr>
          <w:rFonts w:hint="eastAsia"/>
        </w:rPr>
        <w:t>若</w:t>
      </w:r>
      <w:r>
        <w:rPr>
          <w:rFonts w:hint="eastAsia"/>
        </w:rPr>
        <w:lastRenderedPageBreak/>
        <w:t>公司未發行股票，或發行但未經簽證之股票，其買賣行為應課徵財產交易所得稅，</w:t>
      </w:r>
      <w:proofErr w:type="gramStart"/>
      <w:r>
        <w:rPr>
          <w:rFonts w:hint="eastAsia"/>
        </w:rPr>
        <w:t>合先敘</w:t>
      </w:r>
      <w:proofErr w:type="gramEnd"/>
      <w:r>
        <w:rPr>
          <w:rFonts w:hint="eastAsia"/>
        </w:rPr>
        <w:t>明。</w:t>
      </w:r>
    </w:p>
    <w:p w:rsidR="00552D92" w:rsidRDefault="00552D92" w:rsidP="0089640C">
      <w:pPr>
        <w:pStyle w:val="3"/>
        <w:spacing w:line="480" w:lineRule="exact"/>
      </w:pPr>
      <w:r>
        <w:rPr>
          <w:rFonts w:hint="eastAsia"/>
        </w:rPr>
        <w:t>南和興產公司</w:t>
      </w:r>
      <w:r w:rsidR="005F49AE">
        <w:rPr>
          <w:rFonts w:hint="eastAsia"/>
        </w:rPr>
        <w:t>設立及</w:t>
      </w:r>
      <w:r w:rsidR="009918F9">
        <w:rPr>
          <w:rFonts w:hint="eastAsia"/>
        </w:rPr>
        <w:t>股</w:t>
      </w:r>
      <w:r>
        <w:rPr>
          <w:rFonts w:hint="eastAsia"/>
        </w:rPr>
        <w:t>本變動情形</w:t>
      </w:r>
    </w:p>
    <w:p w:rsidR="007E31BB" w:rsidRDefault="00552D92" w:rsidP="0089640C">
      <w:pPr>
        <w:pStyle w:val="32"/>
        <w:spacing w:line="480" w:lineRule="exact"/>
        <w:ind w:left="1361" w:firstLine="680"/>
      </w:pPr>
      <w:r>
        <w:rPr>
          <w:rFonts w:hint="eastAsia"/>
        </w:rPr>
        <w:t>依</w:t>
      </w:r>
      <w:r w:rsidR="00085BE5">
        <w:rPr>
          <w:rFonts w:hint="eastAsia"/>
        </w:rPr>
        <w:t>高雄市政府108年1月18日</w:t>
      </w:r>
      <w:r w:rsidR="00E13CD8">
        <w:rPr>
          <w:rFonts w:hint="eastAsia"/>
        </w:rPr>
        <w:t>函</w:t>
      </w:r>
      <w:r w:rsidR="00085BE5">
        <w:rPr>
          <w:rFonts w:hint="eastAsia"/>
        </w:rPr>
        <w:t>及財政部108年4月30日函查復資料略</w:t>
      </w:r>
      <w:proofErr w:type="gramStart"/>
      <w:r w:rsidR="00085BE5">
        <w:rPr>
          <w:rFonts w:hint="eastAsia"/>
        </w:rPr>
        <w:t>以</w:t>
      </w:r>
      <w:proofErr w:type="gramEnd"/>
      <w:r w:rsidR="00085BE5">
        <w:rPr>
          <w:rFonts w:hint="eastAsia"/>
        </w:rPr>
        <w:t>，南和興產公司於39年核准設立，資本額</w:t>
      </w:r>
      <w:r w:rsidR="00665B30">
        <w:rPr>
          <w:rFonts w:hint="eastAsia"/>
        </w:rPr>
        <w:t>新臺幣（下同）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元（分為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股，每股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元）、54年7月間增資為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元（分為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股，每股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元）。</w:t>
      </w:r>
      <w:proofErr w:type="gramStart"/>
      <w:r w:rsidR="00085BE5">
        <w:rPr>
          <w:rFonts w:hint="eastAsia"/>
        </w:rPr>
        <w:t>嗣</w:t>
      </w:r>
      <w:proofErr w:type="gramEnd"/>
      <w:r w:rsidR="00085BE5">
        <w:rPr>
          <w:rFonts w:hint="eastAsia"/>
        </w:rPr>
        <w:t>於68年</w:t>
      </w:r>
      <w:r w:rsidR="007103DA">
        <w:rPr>
          <w:rFonts w:hint="eastAsia"/>
        </w:rPr>
        <w:t>間辦理土地重估，並以其重估增值</w:t>
      </w:r>
      <w:r w:rsidR="00085BE5">
        <w:rPr>
          <w:rFonts w:hint="eastAsia"/>
        </w:rPr>
        <w:t>轉增資（資本公積轉增資），使資本額變更為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元，分為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股，每股面額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元（69年6月辦理變更登記）；98年12月變更資本額為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元；</w:t>
      </w:r>
      <w:proofErr w:type="gramStart"/>
      <w:r w:rsidR="00085BE5">
        <w:rPr>
          <w:rFonts w:hint="eastAsia"/>
        </w:rPr>
        <w:t>嗣</w:t>
      </w:r>
      <w:proofErr w:type="gramEnd"/>
      <w:r w:rsidR="00085BE5">
        <w:rPr>
          <w:rFonts w:hint="eastAsia"/>
        </w:rPr>
        <w:t>再於100年11月變更資本額為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元（直至</w:t>
      </w:r>
      <w:r w:rsidR="00E13CD8">
        <w:rPr>
          <w:rFonts w:hint="eastAsia"/>
        </w:rPr>
        <w:t>該公司</w:t>
      </w:r>
      <w:r w:rsidR="00085BE5">
        <w:rPr>
          <w:rFonts w:hint="eastAsia"/>
        </w:rPr>
        <w:t>出售</w:t>
      </w:r>
      <w:r w:rsidR="00E13CD8">
        <w:rPr>
          <w:rFonts w:hint="eastAsia"/>
        </w:rPr>
        <w:t>股票</w:t>
      </w:r>
      <w:r w:rsidR="00085BE5">
        <w:rPr>
          <w:rFonts w:hint="eastAsia"/>
        </w:rPr>
        <w:t>予德高置地</w:t>
      </w:r>
      <w:r w:rsidR="009918F9">
        <w:rPr>
          <w:rFonts w:hint="eastAsia"/>
        </w:rPr>
        <w:t>第一股份有限</w:t>
      </w:r>
      <w:r w:rsidR="00085BE5">
        <w:rPr>
          <w:rFonts w:hint="eastAsia"/>
        </w:rPr>
        <w:t>公司</w:t>
      </w:r>
      <w:r w:rsidR="009918F9">
        <w:rPr>
          <w:rFonts w:hint="eastAsia"/>
        </w:rPr>
        <w:t>等3家公司</w:t>
      </w:r>
      <w:r w:rsidR="00085BE5">
        <w:rPr>
          <w:rFonts w:hint="eastAsia"/>
        </w:rPr>
        <w:t>前未再變更），分為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股，每股面額仍為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元。102年1月間，南和興產公司資本額仍為</w:t>
      </w:r>
      <w:r w:rsidR="00B510F5">
        <w:rPr>
          <w:rFonts w:hint="eastAsia"/>
        </w:rPr>
        <w:t>○</w:t>
      </w:r>
      <w:r w:rsidR="001642B0">
        <w:rPr>
          <w:rFonts w:hint="eastAsia"/>
        </w:rPr>
        <w:t>元，惟將每股面額變更</w:t>
      </w:r>
      <w:r w:rsidR="00085BE5">
        <w:rPr>
          <w:rFonts w:hint="eastAsia"/>
        </w:rPr>
        <w:t>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元，總股數變更為</w:t>
      </w:r>
      <w:r w:rsidR="00B510F5">
        <w:rPr>
          <w:rFonts w:hint="eastAsia"/>
        </w:rPr>
        <w:t>○</w:t>
      </w:r>
      <w:r w:rsidR="00085BE5">
        <w:rPr>
          <w:rFonts w:hint="eastAsia"/>
        </w:rPr>
        <w:t>股。</w:t>
      </w:r>
    </w:p>
    <w:p w:rsidR="006809E6" w:rsidRDefault="006809E6" w:rsidP="0089640C">
      <w:pPr>
        <w:pStyle w:val="3"/>
        <w:spacing w:line="480" w:lineRule="exact"/>
      </w:pPr>
      <w:r>
        <w:rPr>
          <w:rFonts w:hint="eastAsia"/>
        </w:rPr>
        <w:t>南和興產公司股東</w:t>
      </w:r>
      <w:r w:rsidR="009918F9">
        <w:rPr>
          <w:rFonts w:hint="eastAsia"/>
        </w:rPr>
        <w:t>出售</w:t>
      </w:r>
      <w:r>
        <w:rPr>
          <w:rFonts w:hint="eastAsia"/>
        </w:rPr>
        <w:t>股票</w:t>
      </w:r>
      <w:r w:rsidR="009918F9">
        <w:rPr>
          <w:rFonts w:hint="eastAsia"/>
        </w:rPr>
        <w:t>及交易</w:t>
      </w:r>
      <w:r>
        <w:rPr>
          <w:rFonts w:hint="eastAsia"/>
        </w:rPr>
        <w:t>所得查核情形</w:t>
      </w:r>
    </w:p>
    <w:p w:rsidR="006809E6" w:rsidRDefault="006809E6" w:rsidP="0089640C">
      <w:pPr>
        <w:pStyle w:val="32"/>
        <w:spacing w:line="480" w:lineRule="exact"/>
        <w:ind w:left="1361" w:firstLine="680"/>
      </w:pPr>
      <w:r>
        <w:rPr>
          <w:rFonts w:hint="eastAsia"/>
        </w:rPr>
        <w:t>依財政部108年4月30日函及</w:t>
      </w:r>
      <w:r w:rsidR="00602203">
        <w:rPr>
          <w:rFonts w:hint="eastAsia"/>
        </w:rPr>
        <w:t>投審會</w:t>
      </w:r>
      <w:r>
        <w:rPr>
          <w:rFonts w:hint="eastAsia"/>
        </w:rPr>
        <w:t>108年1月31日函</w:t>
      </w:r>
      <w:proofErr w:type="gramStart"/>
      <w:r>
        <w:rPr>
          <w:rFonts w:hint="eastAsia"/>
        </w:rPr>
        <w:t>查復本院</w:t>
      </w:r>
      <w:proofErr w:type="gramEnd"/>
      <w:r>
        <w:rPr>
          <w:rFonts w:hint="eastAsia"/>
        </w:rPr>
        <w:t>資料，</w:t>
      </w:r>
      <w:proofErr w:type="gramStart"/>
      <w:r>
        <w:rPr>
          <w:rFonts w:hint="eastAsia"/>
        </w:rPr>
        <w:t>摘述如下</w:t>
      </w:r>
      <w:proofErr w:type="gramEnd"/>
      <w:r>
        <w:rPr>
          <w:rFonts w:hint="eastAsia"/>
        </w:rPr>
        <w:t>：</w:t>
      </w:r>
    </w:p>
    <w:p w:rsidR="00552D92" w:rsidRDefault="00552D92" w:rsidP="0089640C">
      <w:pPr>
        <w:pStyle w:val="4"/>
        <w:spacing w:line="480" w:lineRule="exact"/>
      </w:pPr>
      <w:r>
        <w:rPr>
          <w:rFonts w:hint="eastAsia"/>
        </w:rPr>
        <w:t>南和興產公司發行股票簽證情形</w:t>
      </w:r>
    </w:p>
    <w:p w:rsidR="00552D92" w:rsidRPr="00960C97" w:rsidRDefault="00552D92" w:rsidP="0089640C">
      <w:pPr>
        <w:pStyle w:val="5"/>
        <w:spacing w:line="480" w:lineRule="exact"/>
      </w:pPr>
      <w:r>
        <w:rPr>
          <w:rFonts w:hint="eastAsia"/>
        </w:rPr>
        <w:t>財政</w:t>
      </w:r>
      <w:r w:rsidRPr="00960C97">
        <w:t>部高雄</w:t>
      </w:r>
      <w:r w:rsidRPr="00960C97">
        <w:rPr>
          <w:rFonts w:hAnsi="標楷體"/>
        </w:rPr>
        <w:t>國稅局</w:t>
      </w:r>
      <w:r>
        <w:rPr>
          <w:rFonts w:hAnsi="標楷體" w:hint="eastAsia"/>
        </w:rPr>
        <w:t>（下稱高雄國稅局）</w:t>
      </w:r>
      <w:r w:rsidRPr="00960C97">
        <w:rPr>
          <w:rFonts w:hAnsi="標楷體" w:hint="eastAsia"/>
        </w:rPr>
        <w:t>前</w:t>
      </w:r>
      <w:r w:rsidRPr="00960C97">
        <w:t>以104年12月30日函請中國信託商業銀行</w:t>
      </w:r>
      <w:r>
        <w:rPr>
          <w:rFonts w:hint="eastAsia"/>
        </w:rPr>
        <w:t>股份有限公司（下稱</w:t>
      </w:r>
      <w:r w:rsidRPr="00960C97">
        <w:t>中國信託</w:t>
      </w:r>
      <w:r>
        <w:rPr>
          <w:rFonts w:hint="eastAsia"/>
        </w:rPr>
        <w:t>銀行公司）</w:t>
      </w:r>
      <w:r w:rsidRPr="00960C97">
        <w:t>信託部</w:t>
      </w:r>
      <w:r w:rsidR="00462014">
        <w:rPr>
          <w:rFonts w:hint="eastAsia"/>
        </w:rPr>
        <w:t>，</w:t>
      </w:r>
      <w:r w:rsidRPr="00960C97">
        <w:t>提供南和興產公司依公司法第162條規定發行股票</w:t>
      </w:r>
      <w:r w:rsidR="00462014">
        <w:rPr>
          <w:rFonts w:hint="eastAsia"/>
        </w:rPr>
        <w:t>並經</w:t>
      </w:r>
      <w:r w:rsidR="00462014" w:rsidRPr="00960C97">
        <w:t>簽證</w:t>
      </w:r>
      <w:r w:rsidR="00462014">
        <w:rPr>
          <w:rFonts w:hint="eastAsia"/>
        </w:rPr>
        <w:t>之</w:t>
      </w:r>
      <w:r w:rsidRPr="00960C97">
        <w:t>相關資料，經該公司以105年1月5日函復，南和興產公司資本額</w:t>
      </w:r>
      <w:r w:rsidR="00B510F5">
        <w:rPr>
          <w:rFonts w:hint="eastAsia"/>
        </w:rPr>
        <w:t>○</w:t>
      </w:r>
      <w:r w:rsidRPr="00960C97">
        <w:t>元，分為</w:t>
      </w:r>
      <w:r w:rsidR="00B510F5">
        <w:rPr>
          <w:rFonts w:hint="eastAsia"/>
        </w:rPr>
        <w:t>○</w:t>
      </w:r>
      <w:r w:rsidRPr="00960C97">
        <w:t>股，每股</w:t>
      </w:r>
      <w:r w:rsidR="00B510F5">
        <w:rPr>
          <w:rFonts w:hint="eastAsia"/>
        </w:rPr>
        <w:t>○</w:t>
      </w:r>
      <w:r w:rsidRPr="00960C97">
        <w:t>元，業於76年5月25日簽證完竣。</w:t>
      </w:r>
    </w:p>
    <w:p w:rsidR="00552D92" w:rsidRDefault="00552D92" w:rsidP="0089640C">
      <w:pPr>
        <w:pStyle w:val="5"/>
        <w:spacing w:line="480" w:lineRule="exact"/>
      </w:pPr>
      <w:r w:rsidRPr="00960C97">
        <w:t>高雄</w:t>
      </w:r>
      <w:r w:rsidRPr="00960C97">
        <w:rPr>
          <w:rFonts w:hAnsi="標楷體"/>
        </w:rPr>
        <w:t>國稅局</w:t>
      </w:r>
      <w:proofErr w:type="gramStart"/>
      <w:r w:rsidRPr="00960C97">
        <w:t>嗣</w:t>
      </w:r>
      <w:proofErr w:type="gramEnd"/>
      <w:r w:rsidR="00E13CD8">
        <w:rPr>
          <w:rFonts w:hint="eastAsia"/>
        </w:rPr>
        <w:t>再</w:t>
      </w:r>
      <w:r w:rsidRPr="00960C97">
        <w:t>以105年11月22日函，請中國</w:t>
      </w:r>
      <w:r w:rsidRPr="00960C97">
        <w:lastRenderedPageBreak/>
        <w:t>信託</w:t>
      </w:r>
      <w:r>
        <w:rPr>
          <w:rFonts w:hint="eastAsia"/>
        </w:rPr>
        <w:t>銀行公司</w:t>
      </w:r>
      <w:r w:rsidRPr="00960C97">
        <w:t>說明南和興產公司於</w:t>
      </w:r>
      <w:proofErr w:type="gramStart"/>
      <w:r w:rsidRPr="00960C97">
        <w:t>102</w:t>
      </w:r>
      <w:proofErr w:type="gramEnd"/>
      <w:r w:rsidRPr="00960C97">
        <w:t>年度變更股票面額</w:t>
      </w:r>
      <w:r w:rsidR="00462014">
        <w:rPr>
          <w:rFonts w:hint="eastAsia"/>
        </w:rPr>
        <w:t>，發行</w:t>
      </w:r>
      <w:r w:rsidRPr="00960C97">
        <w:t>每股</w:t>
      </w:r>
      <w:r w:rsidR="00462014">
        <w:rPr>
          <w:rFonts w:hint="eastAsia"/>
        </w:rPr>
        <w:t>面額</w:t>
      </w:r>
      <w:r w:rsidR="00B510F5">
        <w:rPr>
          <w:rFonts w:hint="eastAsia"/>
        </w:rPr>
        <w:t>○</w:t>
      </w:r>
      <w:r w:rsidRPr="00960C97">
        <w:t>元</w:t>
      </w:r>
      <w:r w:rsidR="00462014">
        <w:rPr>
          <w:rFonts w:hint="eastAsia"/>
        </w:rPr>
        <w:t>股票</w:t>
      </w:r>
      <w:r w:rsidRPr="00960C97">
        <w:t>辦理簽證情形，經該公司以105年11月29日函復，南和興產公司於102</w:t>
      </w:r>
      <w:r w:rsidR="002D05B1">
        <w:t>年</w:t>
      </w:r>
      <w:r w:rsidR="001642B0">
        <w:rPr>
          <w:rFonts w:hint="eastAsia"/>
        </w:rPr>
        <w:t>已</w:t>
      </w:r>
      <w:r w:rsidRPr="00960C97">
        <w:t>依公司法第162條規定</w:t>
      </w:r>
      <w:r w:rsidR="002D05B1">
        <w:t>經</w:t>
      </w:r>
      <w:r w:rsidR="002D05B1">
        <w:rPr>
          <w:rFonts w:hint="eastAsia"/>
        </w:rPr>
        <w:t>該</w:t>
      </w:r>
      <w:r w:rsidRPr="00986C6C">
        <w:t>行辦理簽證</w:t>
      </w:r>
      <w:r w:rsidR="00D3057F">
        <w:rPr>
          <w:rFonts w:hint="eastAsia"/>
        </w:rPr>
        <w:t>等情</w:t>
      </w:r>
      <w:r>
        <w:rPr>
          <w:rFonts w:hint="eastAsia"/>
        </w:rPr>
        <w:t>。</w:t>
      </w:r>
    </w:p>
    <w:p w:rsidR="006809E6" w:rsidRDefault="006809E6" w:rsidP="0089640C">
      <w:pPr>
        <w:pStyle w:val="4"/>
        <w:spacing w:line="480" w:lineRule="exact"/>
      </w:pPr>
      <w:r>
        <w:rPr>
          <w:rFonts w:hint="eastAsia"/>
        </w:rPr>
        <w:t>交易所得查核結果</w:t>
      </w:r>
    </w:p>
    <w:p w:rsidR="006809E6" w:rsidRPr="00986C6C" w:rsidRDefault="006809E6" w:rsidP="0089640C">
      <w:pPr>
        <w:pStyle w:val="5"/>
        <w:spacing w:line="480" w:lineRule="exact"/>
      </w:pPr>
      <w:r w:rsidRPr="00986C6C">
        <w:t>依個人證券交易所得或損失查核辦法第13條規定，</w:t>
      </w:r>
      <w:r>
        <w:rPr>
          <w:rFonts w:hint="eastAsia"/>
        </w:rPr>
        <w:t>個人從事</w:t>
      </w:r>
      <w:r w:rsidRPr="00986C6C">
        <w:t>證券交易</w:t>
      </w:r>
      <w:r>
        <w:t>如查無實際成交價格，</w:t>
      </w:r>
      <w:r>
        <w:rPr>
          <w:rFonts w:hint="eastAsia"/>
        </w:rPr>
        <w:t>交易標的屬</w:t>
      </w:r>
      <w:r>
        <w:t>未上市、未上櫃且</w:t>
      </w:r>
      <w:proofErr w:type="gramStart"/>
      <w:r>
        <w:t>非興櫃</w:t>
      </w:r>
      <w:proofErr w:type="gramEnd"/>
      <w:r w:rsidRPr="00986C6C">
        <w:t>股票，以買賣交割日前</w:t>
      </w:r>
      <w:proofErr w:type="gramStart"/>
      <w:r w:rsidRPr="00986C6C">
        <w:t>一</w:t>
      </w:r>
      <w:proofErr w:type="gramEnd"/>
      <w:r w:rsidRPr="00986C6C">
        <w:t>年內最近一期經會計師查核簽證之財務報告每股淨值，或買賣交割日公司資產每股淨值，計算其收入。</w:t>
      </w:r>
    </w:p>
    <w:p w:rsidR="00047A72" w:rsidRDefault="009918F9" w:rsidP="0089640C">
      <w:pPr>
        <w:pStyle w:val="5"/>
        <w:spacing w:line="480" w:lineRule="exact"/>
      </w:pPr>
      <w:proofErr w:type="gramStart"/>
      <w:r>
        <w:rPr>
          <w:rFonts w:hint="eastAsia"/>
        </w:rPr>
        <w:t>查南和興</w:t>
      </w:r>
      <w:proofErr w:type="gramEnd"/>
      <w:r>
        <w:rPr>
          <w:rFonts w:hint="eastAsia"/>
        </w:rPr>
        <w:t>產公司</w:t>
      </w:r>
      <w:r w:rsidR="006809E6" w:rsidRPr="00986C6C">
        <w:t>股票交易</w:t>
      </w:r>
      <w:r>
        <w:rPr>
          <w:rFonts w:hint="eastAsia"/>
        </w:rPr>
        <w:t>，</w:t>
      </w:r>
      <w:r>
        <w:t>係境外投資人申請</w:t>
      </w:r>
      <w:r>
        <w:rPr>
          <w:rFonts w:hint="eastAsia"/>
        </w:rPr>
        <w:t>設立</w:t>
      </w:r>
      <w:r w:rsidR="006809E6" w:rsidRPr="00986C6C">
        <w:t>德高置地第一</w:t>
      </w:r>
      <w:r w:rsidR="006809E6">
        <w:rPr>
          <w:rFonts w:hint="eastAsia"/>
        </w:rPr>
        <w:t>股份有限</w:t>
      </w:r>
      <w:r w:rsidR="006809E6" w:rsidRPr="00986C6C">
        <w:t>公司等3家公司</w:t>
      </w:r>
      <w:r>
        <w:rPr>
          <w:rFonts w:hint="eastAsia"/>
        </w:rPr>
        <w:t>後，再由前揭3家公司</w:t>
      </w:r>
      <w:r w:rsidR="00751A63">
        <w:t>轉投資南和興產公司</w:t>
      </w:r>
      <w:r w:rsidR="00751A63">
        <w:rPr>
          <w:rFonts w:hint="eastAsia"/>
        </w:rPr>
        <w:t>。相關轉投資案件，</w:t>
      </w:r>
      <w:r w:rsidR="006809E6" w:rsidRPr="00986C6C">
        <w:t>經投審會</w:t>
      </w:r>
      <w:r w:rsidR="00602203">
        <w:rPr>
          <w:rFonts w:hint="eastAsia"/>
        </w:rPr>
        <w:t>先</w:t>
      </w:r>
      <w:r w:rsidR="006809E6" w:rsidRPr="00986C6C">
        <w:t>以103年11月26日</w:t>
      </w:r>
      <w:r w:rsidR="00602203">
        <w:rPr>
          <w:rFonts w:hint="eastAsia"/>
        </w:rPr>
        <w:t>等3函核准，</w:t>
      </w:r>
      <w:proofErr w:type="gramStart"/>
      <w:r w:rsidR="002D05B1">
        <w:rPr>
          <w:rFonts w:hint="eastAsia"/>
        </w:rPr>
        <w:t>嗣</w:t>
      </w:r>
      <w:proofErr w:type="gramEnd"/>
      <w:r>
        <w:rPr>
          <w:rFonts w:hint="eastAsia"/>
        </w:rPr>
        <w:t>因每股交易價格變動，</w:t>
      </w:r>
      <w:r w:rsidR="00602203">
        <w:rPr>
          <w:rFonts w:hint="eastAsia"/>
        </w:rPr>
        <w:t>經</w:t>
      </w:r>
      <w:r>
        <w:rPr>
          <w:rFonts w:hint="eastAsia"/>
        </w:rPr>
        <w:t>過2次修正後，由</w:t>
      </w:r>
      <w:r w:rsidR="00602203">
        <w:rPr>
          <w:rFonts w:hint="eastAsia"/>
        </w:rPr>
        <w:t>投審會</w:t>
      </w:r>
      <w:r w:rsidR="006809E6" w:rsidRPr="00986C6C">
        <w:t>104年3月31日</w:t>
      </w:r>
      <w:r w:rsidR="00602203">
        <w:rPr>
          <w:rFonts w:hint="eastAsia"/>
        </w:rPr>
        <w:t>等3函</w:t>
      </w:r>
      <w:r w:rsidR="009F46A8" w:rsidRPr="00986C6C">
        <w:t>核准</w:t>
      </w:r>
      <w:r w:rsidR="006809E6" w:rsidRPr="00986C6C">
        <w:t>，</w:t>
      </w:r>
      <w:r w:rsidR="009F46A8">
        <w:rPr>
          <w:rFonts w:hint="eastAsia"/>
        </w:rPr>
        <w:t>此</w:t>
      </w:r>
      <w:r w:rsidR="006809E6" w:rsidRPr="00986C6C">
        <w:t>有投資計畫書</w:t>
      </w:r>
      <w:r w:rsidR="009F46A8">
        <w:rPr>
          <w:rFonts w:hint="eastAsia"/>
        </w:rPr>
        <w:t>及相關函文</w:t>
      </w:r>
      <w:r w:rsidR="006809E6" w:rsidRPr="00986C6C">
        <w:t>可</w:t>
      </w:r>
      <w:proofErr w:type="gramStart"/>
      <w:r w:rsidR="006809E6" w:rsidRPr="00986C6C">
        <w:t>稽</w:t>
      </w:r>
      <w:proofErr w:type="gramEnd"/>
      <w:r w:rsidR="006809E6" w:rsidRPr="00986C6C">
        <w:t>。</w:t>
      </w:r>
      <w:proofErr w:type="gramStart"/>
      <w:r w:rsidR="00047A72">
        <w:rPr>
          <w:rFonts w:hint="eastAsia"/>
        </w:rPr>
        <w:t>另</w:t>
      </w:r>
      <w:proofErr w:type="gramEnd"/>
      <w:r w:rsidR="00047A72">
        <w:rPr>
          <w:rFonts w:hint="eastAsia"/>
        </w:rPr>
        <w:t>，</w:t>
      </w:r>
      <w:r w:rsidR="00047A72">
        <w:t>德高置地第</w:t>
      </w:r>
      <w:r w:rsidR="00047A72">
        <w:rPr>
          <w:rFonts w:hint="eastAsia"/>
        </w:rPr>
        <w:t>三股份有限</w:t>
      </w:r>
      <w:r w:rsidR="00047A72" w:rsidRPr="00986C6C">
        <w:t>公司</w:t>
      </w:r>
      <w:r w:rsidR="00047A72">
        <w:rPr>
          <w:rFonts w:hint="eastAsia"/>
        </w:rPr>
        <w:t>於</w:t>
      </w:r>
      <w:r w:rsidR="00047A72" w:rsidRPr="00E15919">
        <w:t>104</w:t>
      </w:r>
      <w:r w:rsidR="00047A72" w:rsidRPr="00E15919">
        <w:rPr>
          <w:rFonts w:hint="eastAsia"/>
        </w:rPr>
        <w:t>年</w:t>
      </w:r>
      <w:r w:rsidR="00047A72" w:rsidRPr="00E15919">
        <w:t>2</w:t>
      </w:r>
      <w:r w:rsidR="00047A72" w:rsidRPr="00E15919">
        <w:rPr>
          <w:rFonts w:hint="eastAsia"/>
        </w:rPr>
        <w:t>月4日及同年3月16日</w:t>
      </w:r>
      <w:r w:rsidR="00573979">
        <w:rPr>
          <w:rFonts w:hint="eastAsia"/>
        </w:rPr>
        <w:t>再</w:t>
      </w:r>
      <w:r w:rsidR="00047A72" w:rsidRPr="00E15919">
        <w:rPr>
          <w:rFonts w:hint="eastAsia"/>
        </w:rPr>
        <w:t>申請增加轉投資南和興產公司持股</w:t>
      </w:r>
      <w:r w:rsidR="00B33978">
        <w:rPr>
          <w:rFonts w:hint="eastAsia"/>
        </w:rPr>
        <w:t>○</w:t>
      </w:r>
      <w:r w:rsidR="00047A72" w:rsidRPr="00E15919">
        <w:rPr>
          <w:rFonts w:hint="eastAsia"/>
        </w:rPr>
        <w:t>股及</w:t>
      </w:r>
      <w:r w:rsidR="00B33978">
        <w:rPr>
          <w:rFonts w:hint="eastAsia"/>
        </w:rPr>
        <w:t>○</w:t>
      </w:r>
      <w:r w:rsidR="00047A72" w:rsidRPr="00E15919">
        <w:rPr>
          <w:rFonts w:hint="eastAsia"/>
        </w:rPr>
        <w:t>股，</w:t>
      </w:r>
      <w:r w:rsidR="00573979">
        <w:rPr>
          <w:rFonts w:hint="eastAsia"/>
        </w:rPr>
        <w:t>亦</w:t>
      </w:r>
      <w:r w:rsidR="00047A72" w:rsidRPr="00E15919">
        <w:rPr>
          <w:rFonts w:hint="eastAsia"/>
        </w:rPr>
        <w:t>經投審會</w:t>
      </w:r>
      <w:r w:rsidR="00047A72">
        <w:rPr>
          <w:rFonts w:hint="eastAsia"/>
        </w:rPr>
        <w:t>1</w:t>
      </w:r>
      <w:r w:rsidR="00047A72" w:rsidRPr="001C1993">
        <w:rPr>
          <w:rFonts w:hint="eastAsia"/>
        </w:rPr>
        <w:t>04年</w:t>
      </w:r>
      <w:r w:rsidR="00047A72">
        <w:rPr>
          <w:rFonts w:hint="eastAsia"/>
        </w:rPr>
        <w:t>2</w:t>
      </w:r>
      <w:r w:rsidR="00047A72" w:rsidRPr="001C1993">
        <w:rPr>
          <w:rFonts w:hint="eastAsia"/>
        </w:rPr>
        <w:t>月</w:t>
      </w:r>
      <w:r w:rsidR="00047A72">
        <w:rPr>
          <w:rFonts w:hint="eastAsia"/>
        </w:rPr>
        <w:t>6日</w:t>
      </w:r>
      <w:r w:rsidR="00013066">
        <w:rPr>
          <w:rFonts w:hint="eastAsia"/>
        </w:rPr>
        <w:t>函</w:t>
      </w:r>
      <w:r w:rsidR="00047A72">
        <w:rPr>
          <w:rFonts w:hint="eastAsia"/>
        </w:rPr>
        <w:t>及同年3月17日</w:t>
      </w:r>
      <w:r w:rsidR="00013066">
        <w:rPr>
          <w:rFonts w:hint="eastAsia"/>
        </w:rPr>
        <w:t>函</w:t>
      </w:r>
      <w:r w:rsidR="00047A72">
        <w:rPr>
          <w:rFonts w:hint="eastAsia"/>
        </w:rPr>
        <w:t>核准在案。</w:t>
      </w:r>
    </w:p>
    <w:p w:rsidR="00B67EB7" w:rsidRDefault="00B67EB7" w:rsidP="0089640C">
      <w:pPr>
        <w:pStyle w:val="5"/>
        <w:spacing w:line="480" w:lineRule="exact"/>
      </w:pPr>
      <w:proofErr w:type="gramStart"/>
      <w:r>
        <w:rPr>
          <w:rFonts w:hint="eastAsia"/>
        </w:rPr>
        <w:t>次查</w:t>
      </w:r>
      <w:r w:rsidR="006809E6" w:rsidRPr="00986C6C">
        <w:t>南和興</w:t>
      </w:r>
      <w:proofErr w:type="gramEnd"/>
      <w:r w:rsidR="006809E6" w:rsidRPr="00986C6C">
        <w:t>產公司股東於103年以每股</w:t>
      </w:r>
      <w:r w:rsidR="00B33978">
        <w:rPr>
          <w:rFonts w:hint="eastAsia"/>
        </w:rPr>
        <w:t>○</w:t>
      </w:r>
      <w:r w:rsidR="006809E6" w:rsidRPr="00986C6C">
        <w:t>元</w:t>
      </w:r>
      <w:r w:rsidR="00573979">
        <w:rPr>
          <w:rFonts w:hint="eastAsia"/>
        </w:rPr>
        <w:t>出售該公司</w:t>
      </w:r>
      <w:proofErr w:type="gramStart"/>
      <w:r w:rsidR="00573979">
        <w:rPr>
          <w:rFonts w:hint="eastAsia"/>
        </w:rPr>
        <w:t>股票予</w:t>
      </w:r>
      <w:r w:rsidR="00573979">
        <w:t>德高</w:t>
      </w:r>
      <w:proofErr w:type="gramEnd"/>
      <w:r w:rsidR="00573979">
        <w:t>置地第</w:t>
      </w:r>
      <w:r w:rsidR="00573979">
        <w:rPr>
          <w:rFonts w:hint="eastAsia"/>
        </w:rPr>
        <w:t>一股份有限</w:t>
      </w:r>
      <w:r w:rsidR="00573979" w:rsidRPr="00986C6C">
        <w:t>公司</w:t>
      </w:r>
      <w:r w:rsidR="00573979">
        <w:rPr>
          <w:rFonts w:hint="eastAsia"/>
        </w:rPr>
        <w:t>等3家公司，再於</w:t>
      </w:r>
      <w:r w:rsidR="00573979" w:rsidRPr="007D2440">
        <w:t>104年</w:t>
      </w:r>
      <w:r w:rsidR="00573979">
        <w:rPr>
          <w:rFonts w:hint="eastAsia"/>
        </w:rPr>
        <w:t>以</w:t>
      </w:r>
      <w:r w:rsidR="006809E6" w:rsidRPr="007D2440">
        <w:t>每股</w:t>
      </w:r>
      <w:r w:rsidR="00B33978">
        <w:rPr>
          <w:rFonts w:hint="eastAsia"/>
        </w:rPr>
        <w:t>○</w:t>
      </w:r>
      <w:r w:rsidR="006809E6" w:rsidRPr="007D2440">
        <w:t>元</w:t>
      </w:r>
      <w:r w:rsidR="00573979">
        <w:rPr>
          <w:rFonts w:hint="eastAsia"/>
        </w:rPr>
        <w:t>及</w:t>
      </w:r>
      <w:r w:rsidR="00B33978">
        <w:rPr>
          <w:rFonts w:hint="eastAsia"/>
        </w:rPr>
        <w:t>○</w:t>
      </w:r>
      <w:r w:rsidR="00D3057F">
        <w:rPr>
          <w:rFonts w:hint="eastAsia"/>
        </w:rPr>
        <w:t>元</w:t>
      </w:r>
      <w:r w:rsidR="006809E6">
        <w:t>出售該公司</w:t>
      </w:r>
      <w:proofErr w:type="gramStart"/>
      <w:r w:rsidR="006809E6">
        <w:t>股票</w:t>
      </w:r>
      <w:r w:rsidR="00573979">
        <w:rPr>
          <w:rFonts w:hint="eastAsia"/>
        </w:rPr>
        <w:t>予</w:t>
      </w:r>
      <w:r w:rsidR="00573979">
        <w:t>德高</w:t>
      </w:r>
      <w:proofErr w:type="gramEnd"/>
      <w:r w:rsidR="00573979">
        <w:t>置地第</w:t>
      </w:r>
      <w:r w:rsidR="00573979">
        <w:rPr>
          <w:rFonts w:hint="eastAsia"/>
        </w:rPr>
        <w:t>三股份有限</w:t>
      </w:r>
      <w:r w:rsidR="00573979" w:rsidRPr="00986C6C">
        <w:t>公司</w:t>
      </w:r>
      <w:r w:rsidR="00573979">
        <w:rPr>
          <w:rFonts w:hint="eastAsia"/>
        </w:rPr>
        <w:t>。案經</w:t>
      </w:r>
      <w:r w:rsidR="006809E6">
        <w:rPr>
          <w:rFonts w:hint="eastAsia"/>
        </w:rPr>
        <w:t>高雄國稅局以</w:t>
      </w:r>
      <w:r w:rsidR="006809E6">
        <w:t>南和興產公司</w:t>
      </w:r>
      <w:r w:rsidR="006809E6">
        <w:rPr>
          <w:rFonts w:hint="eastAsia"/>
        </w:rPr>
        <w:t>103年12月</w:t>
      </w:r>
      <w:r w:rsidR="006809E6" w:rsidRPr="00986C6C">
        <w:t>財務報</w:t>
      </w:r>
      <w:r w:rsidR="006809E6" w:rsidRPr="00986C6C">
        <w:lastRenderedPageBreak/>
        <w:t>表估算該公司每股淨值</w:t>
      </w:r>
      <w:r w:rsidR="006809E6">
        <w:rPr>
          <w:rFonts w:hint="eastAsia"/>
        </w:rPr>
        <w:t>為</w:t>
      </w:r>
      <w:r w:rsidR="00B33978">
        <w:rPr>
          <w:rFonts w:hint="eastAsia"/>
        </w:rPr>
        <w:t>○</w:t>
      </w:r>
      <w:r w:rsidR="006809E6" w:rsidRPr="00986C6C">
        <w:t>元(已調整土地增值利益)</w:t>
      </w:r>
      <w:r w:rsidR="006809E6">
        <w:rPr>
          <w:rFonts w:hint="eastAsia"/>
        </w:rPr>
        <w:t>，</w:t>
      </w:r>
      <w:r w:rsidR="00573979">
        <w:rPr>
          <w:rFonts w:hint="eastAsia"/>
        </w:rPr>
        <w:t>相</w:t>
      </w:r>
      <w:r w:rsidR="006809E6" w:rsidRPr="00986C6C">
        <w:t>較</w:t>
      </w:r>
      <w:r w:rsidR="006809E6">
        <w:rPr>
          <w:rFonts w:hint="eastAsia"/>
        </w:rPr>
        <w:t>前揭成交價與每股淨值</w:t>
      </w:r>
      <w:r w:rsidR="006809E6" w:rsidRPr="00986C6C">
        <w:t>尚屬相當，</w:t>
      </w:r>
      <w:proofErr w:type="gramStart"/>
      <w:r w:rsidR="006809E6">
        <w:rPr>
          <w:rFonts w:hint="eastAsia"/>
        </w:rPr>
        <w:t>爰</w:t>
      </w:r>
      <w:proofErr w:type="gramEnd"/>
      <w:r w:rsidR="006809E6">
        <w:rPr>
          <w:rFonts w:hint="eastAsia"/>
        </w:rPr>
        <w:t>以其</w:t>
      </w:r>
      <w:r w:rsidR="006809E6" w:rsidRPr="00986C6C">
        <w:t>議定價格</w:t>
      </w:r>
      <w:r w:rsidR="00573979">
        <w:rPr>
          <w:rFonts w:hint="eastAsia"/>
        </w:rPr>
        <w:t>作</w:t>
      </w:r>
      <w:r w:rsidR="006809E6" w:rsidRPr="00986C6C">
        <w:t>為</w:t>
      </w:r>
      <w:r w:rsidR="003802C7">
        <w:rPr>
          <w:rFonts w:hint="eastAsia"/>
        </w:rPr>
        <w:t>股票交易</w:t>
      </w:r>
      <w:r w:rsidR="006809E6" w:rsidRPr="00986C6C">
        <w:t>價</w:t>
      </w:r>
      <w:r w:rsidR="003802C7">
        <w:rPr>
          <w:rFonts w:hint="eastAsia"/>
        </w:rPr>
        <w:t>格</w:t>
      </w:r>
      <w:r w:rsidR="00573979">
        <w:rPr>
          <w:rFonts w:hint="eastAsia"/>
        </w:rPr>
        <w:t>。</w:t>
      </w:r>
    </w:p>
    <w:p w:rsidR="00552D92" w:rsidRDefault="00D3057F" w:rsidP="0089640C">
      <w:pPr>
        <w:pStyle w:val="5"/>
        <w:spacing w:line="480" w:lineRule="exact"/>
      </w:pPr>
      <w:r>
        <w:rPr>
          <w:rFonts w:hint="eastAsia"/>
        </w:rPr>
        <w:t>是</w:t>
      </w:r>
      <w:r w:rsidR="00B67EB7" w:rsidRPr="00960C97">
        <w:t>南和興產公司於</w:t>
      </w:r>
      <w:proofErr w:type="gramStart"/>
      <w:r w:rsidR="00B67EB7" w:rsidRPr="00960C97">
        <w:t>102</w:t>
      </w:r>
      <w:proofErr w:type="gramEnd"/>
      <w:r w:rsidR="00B67EB7" w:rsidRPr="00960C97">
        <w:t>年度變更</w:t>
      </w:r>
      <w:r>
        <w:rPr>
          <w:rFonts w:hint="eastAsia"/>
        </w:rPr>
        <w:t>股票</w:t>
      </w:r>
      <w:r w:rsidR="003802C7">
        <w:rPr>
          <w:rFonts w:hint="eastAsia"/>
        </w:rPr>
        <w:t>發行</w:t>
      </w:r>
      <w:r w:rsidR="00B67EB7" w:rsidRPr="00960C97">
        <w:t>面額為每股</w:t>
      </w:r>
      <w:r w:rsidR="00B510F5">
        <w:rPr>
          <w:rFonts w:hint="eastAsia"/>
        </w:rPr>
        <w:t>○</w:t>
      </w:r>
      <w:r w:rsidR="00B67EB7" w:rsidRPr="00960C97">
        <w:t>元</w:t>
      </w:r>
      <w:r w:rsidR="003802C7" w:rsidRPr="00960C97">
        <w:t>股票</w:t>
      </w:r>
      <w:r w:rsidR="00B67EB7" w:rsidRPr="00960C97">
        <w:t>，</w:t>
      </w:r>
      <w:r w:rsidR="00A9596C">
        <w:rPr>
          <w:rFonts w:hint="eastAsia"/>
        </w:rPr>
        <w:t>既</w:t>
      </w:r>
      <w:r w:rsidR="00B67EB7" w:rsidRPr="00960C97">
        <w:t>經中國信託</w:t>
      </w:r>
      <w:r w:rsidR="00B67EB7">
        <w:rPr>
          <w:rFonts w:hint="eastAsia"/>
        </w:rPr>
        <w:t>銀行公司</w:t>
      </w:r>
      <w:r w:rsidR="00B67EB7" w:rsidRPr="00960C97">
        <w:t>105年11月29日函</w:t>
      </w:r>
      <w:r w:rsidR="00B67EB7">
        <w:rPr>
          <w:rFonts w:hint="eastAsia"/>
        </w:rPr>
        <w:t>查</w:t>
      </w:r>
      <w:r w:rsidR="00B67EB7" w:rsidRPr="00960C97">
        <w:t>復</w:t>
      </w:r>
      <w:r w:rsidR="00B67EB7">
        <w:rPr>
          <w:rFonts w:hint="eastAsia"/>
        </w:rPr>
        <w:t>高雄國稅局</w:t>
      </w:r>
      <w:r w:rsidR="00B67EB7" w:rsidRPr="00960C97">
        <w:t>，南和興產公司於102年已依公司法第162條規定</w:t>
      </w:r>
      <w:r w:rsidR="00B67EB7" w:rsidRPr="00986C6C">
        <w:t>經</w:t>
      </w:r>
      <w:r w:rsidR="003802C7">
        <w:rPr>
          <w:rFonts w:hint="eastAsia"/>
        </w:rPr>
        <w:t>該</w:t>
      </w:r>
      <w:r w:rsidR="00B67EB7" w:rsidRPr="00986C6C">
        <w:t>行辦理簽證</w:t>
      </w:r>
      <w:r w:rsidR="00B67EB7">
        <w:rPr>
          <w:rFonts w:hint="eastAsia"/>
        </w:rPr>
        <w:t>在</w:t>
      </w:r>
      <w:r w:rsidR="004A7AB9">
        <w:rPr>
          <w:rFonts w:hint="eastAsia"/>
        </w:rPr>
        <w:t>案如前述</w:t>
      </w:r>
      <w:r w:rsidR="00B67EB7">
        <w:rPr>
          <w:rFonts w:hint="eastAsia"/>
        </w:rPr>
        <w:t>。</w:t>
      </w:r>
      <w:proofErr w:type="gramStart"/>
      <w:r w:rsidR="00B67EB7">
        <w:rPr>
          <w:rFonts w:hint="eastAsia"/>
        </w:rPr>
        <w:t>爰</w:t>
      </w:r>
      <w:proofErr w:type="gramEnd"/>
      <w:r w:rsidR="00B67EB7">
        <w:rPr>
          <w:rFonts w:hint="eastAsia"/>
        </w:rPr>
        <w:t>國稅</w:t>
      </w:r>
      <w:proofErr w:type="gramStart"/>
      <w:r w:rsidR="00B67EB7">
        <w:rPr>
          <w:rFonts w:hint="eastAsia"/>
        </w:rPr>
        <w:t>稽</w:t>
      </w:r>
      <w:proofErr w:type="gramEnd"/>
      <w:r w:rsidR="00B67EB7">
        <w:rPr>
          <w:rFonts w:hint="eastAsia"/>
        </w:rPr>
        <w:t>徵機關以</w:t>
      </w:r>
      <w:r w:rsidR="00B67EB7" w:rsidRPr="00901A1A">
        <w:rPr>
          <w:rFonts w:ascii="Times New Roman" w:hint="eastAsia"/>
          <w:szCs w:val="32"/>
        </w:rPr>
        <w:t>本案</w:t>
      </w:r>
      <w:r w:rsidR="00B67EB7" w:rsidRPr="00901A1A">
        <w:rPr>
          <w:rFonts w:ascii="Times New Roman"/>
          <w:szCs w:val="32"/>
        </w:rPr>
        <w:t>個人股東於</w:t>
      </w:r>
      <w:r w:rsidR="00B67EB7" w:rsidRPr="00901A1A">
        <w:rPr>
          <w:rFonts w:ascii="Times New Roman"/>
          <w:szCs w:val="32"/>
        </w:rPr>
        <w:t>103</w:t>
      </w:r>
      <w:r w:rsidR="00B67EB7" w:rsidRPr="00901A1A">
        <w:rPr>
          <w:rFonts w:ascii="Times New Roman"/>
          <w:szCs w:val="32"/>
        </w:rPr>
        <w:t>年</w:t>
      </w:r>
      <w:r w:rsidR="00B67EB7">
        <w:rPr>
          <w:rFonts w:ascii="Times New Roman" w:hint="eastAsia"/>
          <w:szCs w:val="32"/>
        </w:rPr>
        <w:t>及</w:t>
      </w:r>
      <w:r w:rsidR="00B67EB7" w:rsidRPr="00901A1A">
        <w:rPr>
          <w:rFonts w:ascii="Times New Roman"/>
          <w:szCs w:val="32"/>
        </w:rPr>
        <w:t>104</w:t>
      </w:r>
      <w:r w:rsidR="00B67EB7" w:rsidRPr="00901A1A">
        <w:rPr>
          <w:rFonts w:ascii="Times New Roman"/>
          <w:szCs w:val="32"/>
        </w:rPr>
        <w:t>年間出售</w:t>
      </w:r>
      <w:r w:rsidR="00B67EB7" w:rsidRPr="00901A1A">
        <w:rPr>
          <w:rFonts w:ascii="Times New Roman" w:hint="eastAsia"/>
          <w:szCs w:val="32"/>
        </w:rPr>
        <w:t>之</w:t>
      </w:r>
      <w:r w:rsidR="00B67EB7" w:rsidRPr="00901A1A">
        <w:rPr>
          <w:rFonts w:ascii="Times New Roman"/>
          <w:szCs w:val="32"/>
        </w:rPr>
        <w:t>南和興產公司股票</w:t>
      </w:r>
      <w:r w:rsidR="00B67EB7" w:rsidRPr="00901A1A">
        <w:rPr>
          <w:rFonts w:ascii="Times New Roman" w:hint="eastAsia"/>
          <w:szCs w:val="32"/>
        </w:rPr>
        <w:t>，因屬</w:t>
      </w:r>
      <w:r w:rsidR="00B67EB7" w:rsidRPr="00901A1A">
        <w:rPr>
          <w:rFonts w:ascii="Times New Roman"/>
          <w:szCs w:val="32"/>
        </w:rPr>
        <w:t>未上市</w:t>
      </w:r>
      <w:r w:rsidR="00B67EB7" w:rsidRPr="00901A1A">
        <w:rPr>
          <w:rFonts w:ascii="Times New Roman"/>
          <w:szCs w:val="32"/>
        </w:rPr>
        <w:t>(</w:t>
      </w:r>
      <w:r w:rsidR="00B67EB7" w:rsidRPr="00901A1A">
        <w:rPr>
          <w:rFonts w:ascii="Times New Roman"/>
          <w:szCs w:val="32"/>
        </w:rPr>
        <w:t>櫃</w:t>
      </w:r>
      <w:r w:rsidR="00B67EB7" w:rsidRPr="00901A1A">
        <w:rPr>
          <w:rFonts w:ascii="Times New Roman"/>
          <w:szCs w:val="32"/>
        </w:rPr>
        <w:t>)</w:t>
      </w:r>
      <w:r w:rsidR="00B67EB7" w:rsidRPr="00901A1A">
        <w:rPr>
          <w:rFonts w:ascii="Times New Roman"/>
          <w:szCs w:val="32"/>
        </w:rPr>
        <w:t>股票，</w:t>
      </w:r>
      <w:r w:rsidR="00B67EB7" w:rsidRPr="00901A1A">
        <w:rPr>
          <w:rFonts w:ascii="Times New Roman" w:hint="eastAsia"/>
          <w:szCs w:val="32"/>
        </w:rPr>
        <w:t>依</w:t>
      </w:r>
      <w:r w:rsidR="00B67EB7" w:rsidRPr="00901A1A">
        <w:rPr>
          <w:rFonts w:hAnsi="標楷體" w:hint="eastAsia"/>
          <w:szCs w:val="32"/>
        </w:rPr>
        <w:t>104年12月2日修正前</w:t>
      </w:r>
      <w:r w:rsidR="00B67EB7">
        <w:rPr>
          <w:rFonts w:hAnsi="標楷體" w:hint="eastAsia"/>
          <w:szCs w:val="32"/>
        </w:rPr>
        <w:t>所得稅</w:t>
      </w:r>
      <w:r w:rsidR="00B67EB7" w:rsidRPr="00901A1A">
        <w:rPr>
          <w:rFonts w:hAnsi="標楷體" w:hint="eastAsia"/>
          <w:szCs w:val="32"/>
        </w:rPr>
        <w:t>法第4條之1及第14條之2規定，</w:t>
      </w:r>
      <w:r w:rsidR="00A9596C">
        <w:rPr>
          <w:rFonts w:hAnsi="標楷體" w:hint="eastAsia"/>
          <w:szCs w:val="32"/>
        </w:rPr>
        <w:t>認</w:t>
      </w:r>
      <w:r w:rsidR="00A9596C" w:rsidRPr="004D149C">
        <w:rPr>
          <w:rFonts w:hAnsi="標楷體" w:hint="eastAsia"/>
          <w:szCs w:val="32"/>
        </w:rPr>
        <w:t>定前揭交易所得屬</w:t>
      </w:r>
      <w:r w:rsidR="00B67EB7" w:rsidRPr="004D149C">
        <w:rPr>
          <w:rFonts w:hAnsi="標楷體" w:hint="eastAsia"/>
          <w:szCs w:val="32"/>
        </w:rPr>
        <w:t>證券交易所得</w:t>
      </w:r>
      <w:r w:rsidR="004A7AB9">
        <w:rPr>
          <w:rFonts w:ascii="Times New Roman" w:hint="eastAsia"/>
          <w:szCs w:val="32"/>
        </w:rPr>
        <w:t>，核定課徵所得稅等情，</w:t>
      </w:r>
      <w:r w:rsidR="00A9596C">
        <w:rPr>
          <w:rFonts w:ascii="Times New Roman" w:hint="eastAsia"/>
          <w:szCs w:val="32"/>
        </w:rPr>
        <w:t>尚難認涉有</w:t>
      </w:r>
      <w:r w:rsidR="004A7AB9" w:rsidRPr="004A7AB9">
        <w:rPr>
          <w:rFonts w:ascii="Times New Roman" w:hint="eastAsia"/>
          <w:szCs w:val="32"/>
        </w:rPr>
        <w:t>違失。</w:t>
      </w:r>
    </w:p>
    <w:p w:rsidR="004A7AB9" w:rsidRDefault="004A7AB9" w:rsidP="0089640C">
      <w:pPr>
        <w:pStyle w:val="3"/>
        <w:spacing w:line="480" w:lineRule="exact"/>
      </w:pPr>
      <w:r>
        <w:rPr>
          <w:rFonts w:hint="eastAsia"/>
        </w:rPr>
        <w:t>據</w:t>
      </w:r>
      <w:proofErr w:type="gramStart"/>
      <w:r>
        <w:rPr>
          <w:rFonts w:hint="eastAsia"/>
        </w:rPr>
        <w:t>上論結</w:t>
      </w:r>
      <w:proofErr w:type="gramEnd"/>
      <w:r>
        <w:rPr>
          <w:rFonts w:hint="eastAsia"/>
        </w:rPr>
        <w:t>，</w:t>
      </w:r>
      <w:r w:rsidR="001642B0" w:rsidRPr="001642B0">
        <w:rPr>
          <w:rFonts w:hint="eastAsia"/>
        </w:rPr>
        <w:t>南和興產公司股票業依公司法第162條規定，由中國信託商業銀行股份有限公司分別於76年及102年簽證發行，是國稅</w:t>
      </w:r>
      <w:proofErr w:type="gramStart"/>
      <w:r w:rsidR="001642B0" w:rsidRPr="001642B0">
        <w:rPr>
          <w:rFonts w:hint="eastAsia"/>
        </w:rPr>
        <w:t>稽</w:t>
      </w:r>
      <w:proofErr w:type="gramEnd"/>
      <w:r w:rsidR="001642B0" w:rsidRPr="001642B0">
        <w:rPr>
          <w:rFonts w:hint="eastAsia"/>
        </w:rPr>
        <w:t>徵機關依財政部函釋規定，認定該公司股東於103年及104年出售股票所得為證券交易所得，依行為時所得稅法等相關規定課徵所得稅，尚難</w:t>
      </w:r>
      <w:proofErr w:type="gramStart"/>
      <w:r w:rsidR="001642B0" w:rsidRPr="001642B0">
        <w:rPr>
          <w:rFonts w:hint="eastAsia"/>
        </w:rPr>
        <w:t>遽</w:t>
      </w:r>
      <w:proofErr w:type="gramEnd"/>
      <w:r w:rsidR="001642B0" w:rsidRPr="001642B0">
        <w:rPr>
          <w:rFonts w:hint="eastAsia"/>
        </w:rPr>
        <w:t>認涉有違失</w:t>
      </w:r>
      <w:r w:rsidRPr="004A7AB9">
        <w:rPr>
          <w:rFonts w:hint="eastAsia"/>
        </w:rPr>
        <w:t>。</w:t>
      </w:r>
    </w:p>
    <w:p w:rsidR="004A7AB9" w:rsidRPr="00552D92" w:rsidRDefault="004A7AB9" w:rsidP="0089640C">
      <w:pPr>
        <w:pStyle w:val="3"/>
        <w:numPr>
          <w:ilvl w:val="0"/>
          <w:numId w:val="0"/>
        </w:numPr>
        <w:spacing w:line="480" w:lineRule="exact"/>
        <w:ind w:left="1361"/>
      </w:pPr>
    </w:p>
    <w:p w:rsidR="004A7AB9" w:rsidRPr="00333CC2" w:rsidRDefault="0078173D" w:rsidP="0089640C">
      <w:pPr>
        <w:pStyle w:val="2"/>
        <w:spacing w:line="480" w:lineRule="exact"/>
        <w:rPr>
          <w:b/>
        </w:rPr>
      </w:pPr>
      <w:r w:rsidRPr="00333CC2">
        <w:rPr>
          <w:rFonts w:hint="eastAsia"/>
          <w:b/>
        </w:rPr>
        <w:t>有關陳訴人稱，南和興產公司股東</w:t>
      </w:r>
      <w:r w:rsidRPr="00333CC2">
        <w:rPr>
          <w:rFonts w:hAnsi="標楷體" w:hint="eastAsia"/>
          <w:b/>
          <w:szCs w:val="32"/>
        </w:rPr>
        <w:t>李君於105年死亡，其繼承人將其已申報之104年證劵交易所</w:t>
      </w:r>
      <w:r w:rsidR="00D3057F">
        <w:rPr>
          <w:rFonts w:hAnsi="標楷體" w:hint="eastAsia"/>
          <w:b/>
          <w:szCs w:val="32"/>
        </w:rPr>
        <w:t>得更正補申報為財產交易所得後，</w:t>
      </w:r>
      <w:r>
        <w:rPr>
          <w:rFonts w:hAnsi="標楷體" w:hint="eastAsia"/>
          <w:b/>
          <w:szCs w:val="32"/>
        </w:rPr>
        <w:t>補繳綜合所得稅經稽徵機關核定無誤；</w:t>
      </w:r>
      <w:r w:rsidR="00D3057F">
        <w:rPr>
          <w:rFonts w:hAnsi="標楷體" w:hint="eastAsia"/>
          <w:b/>
          <w:szCs w:val="32"/>
        </w:rPr>
        <w:t>且</w:t>
      </w:r>
      <w:r w:rsidRPr="00333CC2">
        <w:rPr>
          <w:rFonts w:hAnsi="標楷體" w:hint="eastAsia"/>
          <w:b/>
          <w:szCs w:val="32"/>
        </w:rPr>
        <w:t>繼承人並將補稅額</w:t>
      </w:r>
      <w:r w:rsidR="00B33978">
        <w:rPr>
          <w:rFonts w:hAnsi="標楷體" w:hint="eastAsia"/>
          <w:b/>
          <w:szCs w:val="32"/>
        </w:rPr>
        <w:t>○</w:t>
      </w:r>
      <w:r>
        <w:rPr>
          <w:rFonts w:hAnsi="標楷體" w:hint="eastAsia"/>
          <w:b/>
          <w:szCs w:val="32"/>
        </w:rPr>
        <w:t>元列為李君</w:t>
      </w:r>
      <w:r w:rsidRPr="00333CC2">
        <w:rPr>
          <w:rFonts w:hAnsi="標楷體" w:hint="eastAsia"/>
          <w:b/>
          <w:szCs w:val="32"/>
        </w:rPr>
        <w:t>遺產總額之</w:t>
      </w:r>
      <w:proofErr w:type="gramStart"/>
      <w:r w:rsidRPr="00333CC2">
        <w:rPr>
          <w:rFonts w:hAnsi="標楷體" w:hint="eastAsia"/>
          <w:b/>
          <w:szCs w:val="32"/>
        </w:rPr>
        <w:t>應納未納稅</w:t>
      </w:r>
      <w:proofErr w:type="gramEnd"/>
      <w:r w:rsidRPr="00333CC2">
        <w:rPr>
          <w:rFonts w:hAnsi="標楷體" w:hint="eastAsia"/>
          <w:b/>
          <w:szCs w:val="32"/>
        </w:rPr>
        <w:t>額扣除額一節，高雄國稅局業</w:t>
      </w:r>
      <w:proofErr w:type="gramStart"/>
      <w:r w:rsidRPr="00333CC2">
        <w:rPr>
          <w:rFonts w:hAnsi="標楷體" w:hint="eastAsia"/>
          <w:b/>
          <w:szCs w:val="32"/>
        </w:rPr>
        <w:t>重核李君</w:t>
      </w:r>
      <w:proofErr w:type="gramEnd"/>
      <w:r w:rsidRPr="00333CC2">
        <w:rPr>
          <w:rFonts w:hAnsi="標楷體" w:hint="eastAsia"/>
          <w:b/>
          <w:szCs w:val="32"/>
        </w:rPr>
        <w:t>104年綜合所得稅應納稅額，退回李君繼承人</w:t>
      </w:r>
      <w:r>
        <w:rPr>
          <w:rFonts w:hAnsi="標楷體" w:hint="eastAsia"/>
          <w:b/>
          <w:szCs w:val="32"/>
        </w:rPr>
        <w:t>之</w:t>
      </w:r>
      <w:r w:rsidR="003802C7">
        <w:rPr>
          <w:rFonts w:hAnsi="標楷體" w:hint="eastAsia"/>
          <w:b/>
          <w:szCs w:val="32"/>
        </w:rPr>
        <w:t>補繳稅款，同時</w:t>
      </w:r>
      <w:r w:rsidRPr="00333CC2">
        <w:rPr>
          <w:rFonts w:hAnsi="標楷體" w:hint="eastAsia"/>
          <w:b/>
          <w:szCs w:val="32"/>
        </w:rPr>
        <w:t>剔除李君遺產總額之</w:t>
      </w:r>
      <w:proofErr w:type="gramStart"/>
      <w:r w:rsidRPr="00333CC2">
        <w:rPr>
          <w:rFonts w:hAnsi="標楷體" w:hint="eastAsia"/>
          <w:b/>
          <w:szCs w:val="32"/>
        </w:rPr>
        <w:t>應納未納稅</w:t>
      </w:r>
      <w:proofErr w:type="gramEnd"/>
      <w:r w:rsidRPr="00333CC2">
        <w:rPr>
          <w:rFonts w:hAnsi="標楷體" w:hint="eastAsia"/>
          <w:b/>
          <w:szCs w:val="32"/>
        </w:rPr>
        <w:t>額扣除額，</w:t>
      </w:r>
      <w:r w:rsidR="003802C7">
        <w:rPr>
          <w:rFonts w:hAnsi="標楷體" w:hint="eastAsia"/>
          <w:b/>
          <w:szCs w:val="32"/>
        </w:rPr>
        <w:t>並</w:t>
      </w:r>
      <w:r w:rsidRPr="00333CC2">
        <w:rPr>
          <w:rFonts w:hAnsi="標楷體" w:hint="eastAsia"/>
          <w:b/>
          <w:szCs w:val="32"/>
        </w:rPr>
        <w:t>核定補</w:t>
      </w:r>
      <w:r>
        <w:rPr>
          <w:rFonts w:hAnsi="標楷體" w:hint="eastAsia"/>
          <w:b/>
          <w:szCs w:val="32"/>
        </w:rPr>
        <w:t>徵遺產稅在案</w:t>
      </w:r>
      <w:r w:rsidR="00333CC2" w:rsidRPr="00333CC2">
        <w:rPr>
          <w:rFonts w:hAnsi="標楷體" w:hint="eastAsia"/>
          <w:b/>
          <w:szCs w:val="32"/>
        </w:rPr>
        <w:t>。</w:t>
      </w:r>
    </w:p>
    <w:p w:rsidR="005F5010" w:rsidRDefault="005F5010" w:rsidP="0089640C">
      <w:pPr>
        <w:pStyle w:val="3"/>
        <w:spacing w:line="480" w:lineRule="exact"/>
      </w:pPr>
      <w:proofErr w:type="gramStart"/>
      <w:r>
        <w:rPr>
          <w:rFonts w:hint="eastAsia"/>
        </w:rPr>
        <w:lastRenderedPageBreak/>
        <w:t>查南和興</w:t>
      </w:r>
      <w:proofErr w:type="gramEnd"/>
      <w:r>
        <w:rPr>
          <w:rFonts w:hint="eastAsia"/>
        </w:rPr>
        <w:t>產</w:t>
      </w:r>
      <w:r w:rsidR="00D7740A">
        <w:rPr>
          <w:rFonts w:hint="eastAsia"/>
        </w:rPr>
        <w:t>公司</w:t>
      </w:r>
      <w:r>
        <w:rPr>
          <w:rFonts w:hint="eastAsia"/>
        </w:rPr>
        <w:t>股東</w:t>
      </w:r>
      <w:r w:rsidRPr="00632392">
        <w:rPr>
          <w:rFonts w:hint="eastAsia"/>
        </w:rPr>
        <w:t>李</w:t>
      </w:r>
      <w:r>
        <w:rPr>
          <w:rFonts w:hint="eastAsia"/>
        </w:rPr>
        <w:t>君</w:t>
      </w:r>
      <w:r w:rsidRPr="00632392">
        <w:rPr>
          <w:rFonts w:hint="eastAsia"/>
        </w:rPr>
        <w:t>辦理</w:t>
      </w:r>
      <w:r w:rsidRPr="00632392">
        <w:t>104</w:t>
      </w:r>
      <w:r w:rsidRPr="00632392">
        <w:rPr>
          <w:rFonts w:hint="eastAsia"/>
        </w:rPr>
        <w:t>年綜合所得稅結算申報時，自行申報南和興產公司證券交易所得</w:t>
      </w:r>
      <w:r w:rsidR="00B33978">
        <w:rPr>
          <w:rFonts w:hint="eastAsia"/>
        </w:rPr>
        <w:t>○</w:t>
      </w:r>
      <w:r w:rsidRPr="00632392">
        <w:rPr>
          <w:rFonts w:hint="eastAsia"/>
        </w:rPr>
        <w:t>元及繳納證所稅</w:t>
      </w:r>
      <w:r w:rsidR="00B33978">
        <w:rPr>
          <w:rFonts w:hint="eastAsia"/>
        </w:rPr>
        <w:t>○</w:t>
      </w:r>
      <w:r w:rsidR="001642B0" w:rsidRPr="00632392">
        <w:rPr>
          <w:rFonts w:hint="eastAsia"/>
        </w:rPr>
        <w:t>元</w:t>
      </w:r>
      <w:r>
        <w:rPr>
          <w:rFonts w:hint="eastAsia"/>
        </w:rPr>
        <w:t>，</w:t>
      </w:r>
      <w:r w:rsidR="00E13CD8">
        <w:rPr>
          <w:rFonts w:hint="eastAsia"/>
        </w:rPr>
        <w:t>原</w:t>
      </w:r>
      <w:r>
        <w:rPr>
          <w:rFonts w:hint="eastAsia"/>
        </w:rPr>
        <w:t>經高雄國稅局</w:t>
      </w:r>
      <w:r w:rsidRPr="00632392">
        <w:rPr>
          <w:rFonts w:hint="eastAsia"/>
        </w:rPr>
        <w:t>核定在案。</w:t>
      </w:r>
    </w:p>
    <w:p w:rsidR="005F5010" w:rsidRPr="00632392" w:rsidRDefault="005F5010" w:rsidP="0089640C">
      <w:pPr>
        <w:pStyle w:val="3"/>
        <w:spacing w:line="480" w:lineRule="exact"/>
      </w:pPr>
      <w:r>
        <w:rPr>
          <w:rFonts w:hint="eastAsia"/>
        </w:rPr>
        <w:t>次查</w:t>
      </w:r>
      <w:r w:rsidRPr="00632392">
        <w:rPr>
          <w:rFonts w:hint="eastAsia"/>
        </w:rPr>
        <w:t>李</w:t>
      </w:r>
      <w:r>
        <w:rPr>
          <w:rFonts w:hint="eastAsia"/>
        </w:rPr>
        <w:t>君</w:t>
      </w:r>
      <w:r w:rsidRPr="00632392">
        <w:rPr>
          <w:rFonts w:hint="eastAsia"/>
        </w:rPr>
        <w:t>於105年死亡，繼承人於</w:t>
      </w:r>
      <w:r w:rsidRPr="00632392">
        <w:t>106</w:t>
      </w:r>
      <w:r w:rsidRPr="00632392">
        <w:rPr>
          <w:rFonts w:hint="eastAsia"/>
        </w:rPr>
        <w:t>年</w:t>
      </w:r>
      <w:r w:rsidR="00B510F5">
        <w:rPr>
          <w:rFonts w:hint="eastAsia"/>
        </w:rPr>
        <w:t>○</w:t>
      </w:r>
      <w:r w:rsidRPr="00632392">
        <w:rPr>
          <w:rFonts w:hint="eastAsia"/>
        </w:rPr>
        <w:t>月</w:t>
      </w:r>
      <w:r w:rsidR="00B510F5">
        <w:rPr>
          <w:rFonts w:hint="eastAsia"/>
        </w:rPr>
        <w:t>○</w:t>
      </w:r>
      <w:proofErr w:type="gramStart"/>
      <w:r w:rsidRPr="00632392">
        <w:rPr>
          <w:rFonts w:hint="eastAsia"/>
        </w:rPr>
        <w:t>日代為</w:t>
      </w:r>
      <w:proofErr w:type="gramEnd"/>
      <w:r w:rsidRPr="00632392">
        <w:rPr>
          <w:rFonts w:hint="eastAsia"/>
        </w:rPr>
        <w:t>二次申報，將原申報之證券交易所得</w:t>
      </w:r>
      <w:r>
        <w:rPr>
          <w:rFonts w:hint="eastAsia"/>
        </w:rPr>
        <w:t>更</w:t>
      </w:r>
      <w:r w:rsidRPr="00632392">
        <w:rPr>
          <w:rFonts w:hint="eastAsia"/>
        </w:rPr>
        <w:t>改為財產交易所得，自動補報繳納稅額</w:t>
      </w:r>
      <w:r w:rsidR="00B33978">
        <w:rPr>
          <w:rFonts w:hint="eastAsia"/>
        </w:rPr>
        <w:t>○</w:t>
      </w:r>
      <w:r w:rsidRPr="00632392">
        <w:rPr>
          <w:rFonts w:hint="eastAsia"/>
        </w:rPr>
        <w:t>元及滯納利息</w:t>
      </w:r>
      <w:r w:rsidR="00B33978">
        <w:rPr>
          <w:rFonts w:hint="eastAsia"/>
        </w:rPr>
        <w:t>○</w:t>
      </w:r>
      <w:r w:rsidRPr="00632392">
        <w:rPr>
          <w:rFonts w:hint="eastAsia"/>
        </w:rPr>
        <w:t>元。繼承人</w:t>
      </w:r>
      <w:r>
        <w:rPr>
          <w:rFonts w:hint="eastAsia"/>
        </w:rPr>
        <w:t>復</w:t>
      </w:r>
      <w:r w:rsidRPr="00632392">
        <w:rPr>
          <w:rFonts w:hint="eastAsia"/>
        </w:rPr>
        <w:t>於106年</w:t>
      </w:r>
      <w:r w:rsidR="00B510F5">
        <w:rPr>
          <w:rFonts w:hint="eastAsia"/>
        </w:rPr>
        <w:t>○</w:t>
      </w:r>
      <w:r w:rsidRPr="00632392">
        <w:rPr>
          <w:rFonts w:hint="eastAsia"/>
        </w:rPr>
        <w:t>月</w:t>
      </w:r>
      <w:r w:rsidR="00B510F5">
        <w:rPr>
          <w:rFonts w:hint="eastAsia"/>
        </w:rPr>
        <w:t>○</w:t>
      </w:r>
      <w:r>
        <w:rPr>
          <w:rFonts w:hint="eastAsia"/>
        </w:rPr>
        <w:t>日申報李君</w:t>
      </w:r>
      <w:r w:rsidRPr="00632392">
        <w:rPr>
          <w:rFonts w:hint="eastAsia"/>
        </w:rPr>
        <w:t>遺產稅時，主張</w:t>
      </w:r>
      <w:r>
        <w:rPr>
          <w:rFonts w:hint="eastAsia"/>
        </w:rPr>
        <w:t>遺產應</w:t>
      </w:r>
      <w:r w:rsidRPr="00632392">
        <w:rPr>
          <w:rFonts w:hint="eastAsia"/>
        </w:rPr>
        <w:t>扣除</w:t>
      </w:r>
      <w:proofErr w:type="gramStart"/>
      <w:r w:rsidRPr="00632392">
        <w:rPr>
          <w:rFonts w:hint="eastAsia"/>
        </w:rPr>
        <w:t>應納未納</w:t>
      </w:r>
      <w:proofErr w:type="gramEnd"/>
      <w:r w:rsidRPr="00632392">
        <w:rPr>
          <w:rFonts w:hint="eastAsia"/>
        </w:rPr>
        <w:t>稅捐</w:t>
      </w:r>
      <w:r w:rsidR="00B33978">
        <w:rPr>
          <w:rFonts w:hint="eastAsia"/>
        </w:rPr>
        <w:t>○</w:t>
      </w:r>
      <w:r w:rsidRPr="00632392">
        <w:rPr>
          <w:rFonts w:hint="eastAsia"/>
        </w:rPr>
        <w:t>元，</w:t>
      </w:r>
      <w:r>
        <w:rPr>
          <w:rFonts w:hint="eastAsia"/>
        </w:rPr>
        <w:t>經高雄國稅局核列扣除</w:t>
      </w:r>
      <w:r w:rsidRPr="00632392">
        <w:rPr>
          <w:rFonts w:hint="eastAsia"/>
        </w:rPr>
        <w:t>。</w:t>
      </w:r>
    </w:p>
    <w:p w:rsidR="005F5010" w:rsidRPr="00632392" w:rsidRDefault="003518C0" w:rsidP="0089640C">
      <w:pPr>
        <w:pStyle w:val="3"/>
        <w:spacing w:line="480" w:lineRule="exact"/>
      </w:pPr>
      <w:proofErr w:type="gramStart"/>
      <w:r>
        <w:rPr>
          <w:rFonts w:hint="eastAsia"/>
        </w:rPr>
        <w:t>惟</w:t>
      </w:r>
      <w:proofErr w:type="gramEnd"/>
      <w:r w:rsidR="005F5010" w:rsidRPr="00632392">
        <w:rPr>
          <w:rFonts w:hint="eastAsia"/>
        </w:rPr>
        <w:t>高雄國稅局</w:t>
      </w:r>
      <w:proofErr w:type="gramStart"/>
      <w:r w:rsidR="005F5010" w:rsidRPr="00632392">
        <w:rPr>
          <w:rFonts w:hint="eastAsia"/>
        </w:rPr>
        <w:t>苓</w:t>
      </w:r>
      <w:proofErr w:type="gramEnd"/>
      <w:r w:rsidR="005F5010" w:rsidRPr="00632392">
        <w:rPr>
          <w:rFonts w:hint="eastAsia"/>
        </w:rPr>
        <w:t>雅</w:t>
      </w:r>
      <w:proofErr w:type="gramStart"/>
      <w:r w:rsidR="005F5010" w:rsidRPr="00632392">
        <w:rPr>
          <w:rFonts w:hint="eastAsia"/>
        </w:rPr>
        <w:t>稽</w:t>
      </w:r>
      <w:proofErr w:type="gramEnd"/>
      <w:r w:rsidR="005F5010" w:rsidRPr="00632392">
        <w:rPr>
          <w:rFonts w:hint="eastAsia"/>
        </w:rPr>
        <w:t>徵所</w:t>
      </w:r>
      <w:proofErr w:type="gramStart"/>
      <w:r w:rsidR="005F5010" w:rsidRPr="00632392">
        <w:rPr>
          <w:rFonts w:hint="eastAsia"/>
        </w:rPr>
        <w:t>嗣</w:t>
      </w:r>
      <w:proofErr w:type="gramEnd"/>
      <w:r w:rsidR="005F5010" w:rsidRPr="00632392">
        <w:rPr>
          <w:rFonts w:hint="eastAsia"/>
        </w:rPr>
        <w:t>經查核，李君轉讓之南和興產公司股票，係依公司法第</w:t>
      </w:r>
      <w:r w:rsidR="005F5010" w:rsidRPr="00632392">
        <w:t>162</w:t>
      </w:r>
      <w:r w:rsidR="005F5010" w:rsidRPr="00632392">
        <w:rPr>
          <w:rFonts w:hint="eastAsia"/>
        </w:rPr>
        <w:t>條規定簽證之股票，屬證券交易所得課稅範圍，</w:t>
      </w:r>
      <w:r w:rsidR="005F5010">
        <w:rPr>
          <w:rFonts w:hint="eastAsia"/>
        </w:rPr>
        <w:t>認定原核定無誤。</w:t>
      </w:r>
      <w:proofErr w:type="gramStart"/>
      <w:r w:rsidR="005F5010">
        <w:rPr>
          <w:rFonts w:hint="eastAsia"/>
        </w:rPr>
        <w:t>爰</w:t>
      </w:r>
      <w:proofErr w:type="gramEnd"/>
      <w:r w:rsidR="005F5010" w:rsidRPr="00632392">
        <w:rPr>
          <w:rFonts w:hint="eastAsia"/>
        </w:rPr>
        <w:t>將繼承人</w:t>
      </w:r>
      <w:proofErr w:type="gramStart"/>
      <w:r w:rsidR="005F5010" w:rsidRPr="00632392">
        <w:rPr>
          <w:rFonts w:hint="eastAsia"/>
        </w:rPr>
        <w:t>溢</w:t>
      </w:r>
      <w:proofErr w:type="gramEnd"/>
      <w:r w:rsidR="005F5010" w:rsidRPr="00632392">
        <w:rPr>
          <w:rFonts w:hint="eastAsia"/>
        </w:rPr>
        <w:t>繳稅款及利息</w:t>
      </w:r>
      <w:r w:rsidR="00B33978">
        <w:rPr>
          <w:rFonts w:hint="eastAsia"/>
        </w:rPr>
        <w:t>○</w:t>
      </w:r>
      <w:r w:rsidR="005F5010" w:rsidRPr="00632392">
        <w:rPr>
          <w:rFonts w:hint="eastAsia"/>
        </w:rPr>
        <w:t>元以人工方式辦理退稅</w:t>
      </w:r>
      <w:r w:rsidR="005F5010" w:rsidRPr="00632392">
        <w:t>(</w:t>
      </w:r>
      <w:proofErr w:type="gramStart"/>
      <w:r w:rsidR="005F5010" w:rsidRPr="00632392">
        <w:rPr>
          <w:rFonts w:hint="eastAsia"/>
        </w:rPr>
        <w:t>並</w:t>
      </w:r>
      <w:r w:rsidR="005F5010">
        <w:rPr>
          <w:rFonts w:hint="eastAsia"/>
        </w:rPr>
        <w:t>經</w:t>
      </w:r>
      <w:r w:rsidR="005F5010" w:rsidRPr="00632392">
        <w:rPr>
          <w:rFonts w:hint="eastAsia"/>
        </w:rPr>
        <w:t>兌領</w:t>
      </w:r>
      <w:proofErr w:type="gramEnd"/>
      <w:r w:rsidR="00D7740A">
        <w:rPr>
          <w:rFonts w:hint="eastAsia"/>
        </w:rPr>
        <w:t>完畢</w:t>
      </w:r>
      <w:r w:rsidR="005F5010" w:rsidRPr="00632392">
        <w:t>)</w:t>
      </w:r>
      <w:r w:rsidR="005F5010" w:rsidRPr="00632392">
        <w:rPr>
          <w:rFonts w:hint="eastAsia"/>
        </w:rPr>
        <w:t>。</w:t>
      </w:r>
      <w:r w:rsidR="005F5010">
        <w:rPr>
          <w:rFonts w:hint="eastAsia"/>
        </w:rPr>
        <w:t xml:space="preserve"> </w:t>
      </w:r>
    </w:p>
    <w:p w:rsidR="00333CC2" w:rsidRDefault="000E661C" w:rsidP="0089640C">
      <w:pPr>
        <w:pStyle w:val="3"/>
        <w:spacing w:line="480" w:lineRule="exact"/>
      </w:pPr>
      <w:proofErr w:type="gramStart"/>
      <w:r>
        <w:rPr>
          <w:rFonts w:hint="eastAsia"/>
        </w:rPr>
        <w:t>嗣</w:t>
      </w:r>
      <w:proofErr w:type="gramEnd"/>
      <w:r w:rsidR="005F5010" w:rsidRPr="00632392">
        <w:rPr>
          <w:rFonts w:hint="eastAsia"/>
        </w:rPr>
        <w:t>高雄國稅局</w:t>
      </w:r>
      <w:r w:rsidR="005F5010">
        <w:rPr>
          <w:rFonts w:hint="eastAsia"/>
        </w:rPr>
        <w:t>再</w:t>
      </w:r>
      <w:r w:rsidR="005F5010" w:rsidRPr="00632392">
        <w:rPr>
          <w:rFonts w:hint="eastAsia"/>
        </w:rPr>
        <w:t>依前述綜合所得稅核定結果，於</w:t>
      </w:r>
      <w:r w:rsidR="005F5010" w:rsidRPr="00632392">
        <w:t>108</w:t>
      </w:r>
      <w:r w:rsidR="005F5010" w:rsidRPr="00632392">
        <w:rPr>
          <w:rFonts w:hint="eastAsia"/>
        </w:rPr>
        <w:t>年</w:t>
      </w:r>
      <w:r w:rsidR="005F5010">
        <w:rPr>
          <w:rFonts w:hint="eastAsia"/>
        </w:rPr>
        <w:t>將</w:t>
      </w:r>
      <w:r w:rsidR="005F5010" w:rsidRPr="00632392">
        <w:rPr>
          <w:rFonts w:hint="eastAsia"/>
        </w:rPr>
        <w:t>李君遺產</w:t>
      </w:r>
      <w:r w:rsidR="005F5010">
        <w:rPr>
          <w:rFonts w:hint="eastAsia"/>
        </w:rPr>
        <w:t>之</w:t>
      </w:r>
      <w:proofErr w:type="gramStart"/>
      <w:r w:rsidR="005F5010" w:rsidRPr="00632392">
        <w:rPr>
          <w:rFonts w:hint="eastAsia"/>
        </w:rPr>
        <w:t>應納未納</w:t>
      </w:r>
      <w:proofErr w:type="gramEnd"/>
      <w:r w:rsidR="005F5010" w:rsidRPr="00632392">
        <w:rPr>
          <w:rFonts w:hint="eastAsia"/>
        </w:rPr>
        <w:t>稅捐</w:t>
      </w:r>
      <w:proofErr w:type="gramStart"/>
      <w:r w:rsidR="005F5010" w:rsidRPr="00632392">
        <w:rPr>
          <w:rFonts w:hint="eastAsia"/>
        </w:rPr>
        <w:t>扣除額</w:t>
      </w:r>
      <w:r w:rsidR="005F5010">
        <w:rPr>
          <w:rFonts w:hint="eastAsia"/>
        </w:rPr>
        <w:t>重</w:t>
      </w:r>
      <w:r w:rsidR="005F5010" w:rsidRPr="00632392">
        <w:rPr>
          <w:rFonts w:hint="eastAsia"/>
        </w:rPr>
        <w:t>核</w:t>
      </w:r>
      <w:proofErr w:type="gramEnd"/>
      <w:r w:rsidR="005F5010" w:rsidRPr="00632392">
        <w:rPr>
          <w:rFonts w:hint="eastAsia"/>
        </w:rPr>
        <w:t>為</w:t>
      </w:r>
      <w:r w:rsidR="00B33978">
        <w:rPr>
          <w:rFonts w:hint="eastAsia"/>
        </w:rPr>
        <w:t>○</w:t>
      </w:r>
      <w:r w:rsidR="005F5010" w:rsidRPr="00632392">
        <w:rPr>
          <w:rFonts w:hint="eastAsia"/>
        </w:rPr>
        <w:t>元，並發單補徵遺產稅</w:t>
      </w:r>
      <w:r w:rsidR="00B33978">
        <w:rPr>
          <w:rFonts w:hint="eastAsia"/>
        </w:rPr>
        <w:t>○</w:t>
      </w:r>
      <w:r w:rsidR="005F5010" w:rsidRPr="00632392">
        <w:rPr>
          <w:rFonts w:hint="eastAsia"/>
        </w:rPr>
        <w:t>元。</w:t>
      </w:r>
    </w:p>
    <w:p w:rsidR="000E661C" w:rsidRPr="000E661C" w:rsidRDefault="000E661C" w:rsidP="0089640C">
      <w:pPr>
        <w:pStyle w:val="3"/>
        <w:spacing w:line="480" w:lineRule="exact"/>
      </w:pPr>
      <w:r>
        <w:rPr>
          <w:rFonts w:hint="eastAsia"/>
        </w:rPr>
        <w:t>綜上，</w:t>
      </w:r>
      <w:r w:rsidR="00D3057F" w:rsidRPr="00D3057F">
        <w:rPr>
          <w:rFonts w:hint="eastAsia"/>
        </w:rPr>
        <w:t>有關陳訴人稱，南和興產公司股東</w:t>
      </w:r>
      <w:r w:rsidR="00D3057F" w:rsidRPr="00D3057F">
        <w:rPr>
          <w:rFonts w:hAnsi="標楷體" w:hint="eastAsia"/>
          <w:szCs w:val="32"/>
        </w:rPr>
        <w:t>李君於105年死亡，其繼承人將其已申報之104年證劵交易所得更正補申報為財產交易所得後，補繳綜合所得稅經稽徵機關核定無誤；且繼承人並將補稅額</w:t>
      </w:r>
      <w:r w:rsidR="00B33978">
        <w:rPr>
          <w:rFonts w:hAnsi="標楷體" w:hint="eastAsia"/>
          <w:szCs w:val="32"/>
        </w:rPr>
        <w:t>○</w:t>
      </w:r>
      <w:r w:rsidR="00D3057F" w:rsidRPr="00D3057F">
        <w:rPr>
          <w:rFonts w:hAnsi="標楷體" w:hint="eastAsia"/>
          <w:szCs w:val="32"/>
        </w:rPr>
        <w:t>元列為李君遺產總額之</w:t>
      </w:r>
      <w:proofErr w:type="gramStart"/>
      <w:r w:rsidR="00D3057F" w:rsidRPr="00D3057F">
        <w:rPr>
          <w:rFonts w:hAnsi="標楷體" w:hint="eastAsia"/>
          <w:szCs w:val="32"/>
        </w:rPr>
        <w:t>應納未納稅</w:t>
      </w:r>
      <w:proofErr w:type="gramEnd"/>
      <w:r w:rsidR="00D3057F" w:rsidRPr="00D3057F">
        <w:rPr>
          <w:rFonts w:hAnsi="標楷體" w:hint="eastAsia"/>
          <w:szCs w:val="32"/>
        </w:rPr>
        <w:t>額扣除額一節，高雄國稅局業</w:t>
      </w:r>
      <w:proofErr w:type="gramStart"/>
      <w:r w:rsidR="00D3057F" w:rsidRPr="00D3057F">
        <w:rPr>
          <w:rFonts w:hAnsi="標楷體" w:hint="eastAsia"/>
          <w:szCs w:val="32"/>
        </w:rPr>
        <w:t>重核李君</w:t>
      </w:r>
      <w:proofErr w:type="gramEnd"/>
      <w:r w:rsidR="00D3057F" w:rsidRPr="00D3057F">
        <w:rPr>
          <w:rFonts w:hAnsi="標楷體" w:hint="eastAsia"/>
          <w:szCs w:val="32"/>
        </w:rPr>
        <w:t>104年綜合所得稅應納稅額，退回李君繼承人之補繳稅款，同時剔除李君遺產總額之</w:t>
      </w:r>
      <w:proofErr w:type="gramStart"/>
      <w:r w:rsidR="00D3057F" w:rsidRPr="00D3057F">
        <w:rPr>
          <w:rFonts w:hAnsi="標楷體" w:hint="eastAsia"/>
          <w:szCs w:val="32"/>
        </w:rPr>
        <w:t>應納未納稅</w:t>
      </w:r>
      <w:proofErr w:type="gramEnd"/>
      <w:r w:rsidR="00D3057F" w:rsidRPr="00D3057F">
        <w:rPr>
          <w:rFonts w:hAnsi="標楷體" w:hint="eastAsia"/>
          <w:szCs w:val="32"/>
        </w:rPr>
        <w:t>額扣除額，並核定補徵遺產稅在案</w:t>
      </w:r>
      <w:r w:rsidR="003802C7" w:rsidRPr="003802C7">
        <w:rPr>
          <w:rFonts w:hAnsi="標楷體" w:hint="eastAsia"/>
          <w:szCs w:val="32"/>
        </w:rPr>
        <w:t>。</w:t>
      </w:r>
    </w:p>
    <w:p w:rsidR="000E661C" w:rsidRPr="00333CC2" w:rsidRDefault="000E661C" w:rsidP="000E661C">
      <w:pPr>
        <w:pStyle w:val="3"/>
        <w:numPr>
          <w:ilvl w:val="0"/>
          <w:numId w:val="0"/>
        </w:numPr>
        <w:ind w:left="1361"/>
      </w:pPr>
    </w:p>
    <w:p w:rsidR="002113E4" w:rsidRPr="00E036DC" w:rsidRDefault="002113E4" w:rsidP="0089640C">
      <w:pPr>
        <w:pStyle w:val="2"/>
        <w:spacing w:line="460" w:lineRule="exact"/>
        <w:rPr>
          <w:b/>
        </w:rPr>
      </w:pPr>
      <w:r>
        <w:rPr>
          <w:rFonts w:hint="eastAsia"/>
          <w:b/>
        </w:rPr>
        <w:t>南和興產公司係依我國公司法設立之公司，縱其由外資公司取得過半股權，仍屬本國法人，</w:t>
      </w:r>
      <w:r w:rsidR="005D4F15">
        <w:rPr>
          <w:rFonts w:hint="eastAsia"/>
          <w:b/>
        </w:rPr>
        <w:t>從而</w:t>
      </w:r>
      <w:r>
        <w:rPr>
          <w:rFonts w:hint="eastAsia"/>
          <w:b/>
        </w:rPr>
        <w:t>依現行土</w:t>
      </w:r>
      <w:r>
        <w:rPr>
          <w:rFonts w:hint="eastAsia"/>
          <w:b/>
        </w:rPr>
        <w:lastRenderedPageBreak/>
        <w:t>地法</w:t>
      </w:r>
      <w:r w:rsidR="003518C0">
        <w:rPr>
          <w:rFonts w:hint="eastAsia"/>
          <w:b/>
        </w:rPr>
        <w:t>相關</w:t>
      </w:r>
      <w:r>
        <w:rPr>
          <w:rFonts w:hint="eastAsia"/>
          <w:b/>
        </w:rPr>
        <w:t>規定，</w:t>
      </w:r>
      <w:r w:rsidR="003518C0">
        <w:rPr>
          <w:rFonts w:hint="eastAsia"/>
          <w:b/>
        </w:rPr>
        <w:t>可得</w:t>
      </w:r>
      <w:r>
        <w:rPr>
          <w:rFonts w:hint="eastAsia"/>
          <w:b/>
        </w:rPr>
        <w:t>免受該法第17條至24條有關外國人地權規定之限制。</w:t>
      </w:r>
      <w:r w:rsidR="005D4F15">
        <w:rPr>
          <w:rFonts w:hint="eastAsia"/>
          <w:b/>
        </w:rPr>
        <w:t>惟</w:t>
      </w:r>
      <w:r w:rsidR="008501F2">
        <w:rPr>
          <w:rFonts w:hint="eastAsia"/>
          <w:b/>
        </w:rPr>
        <w:t>依前揭</w:t>
      </w:r>
      <w:r w:rsidR="005D4F15">
        <w:rPr>
          <w:rFonts w:hint="eastAsia"/>
          <w:b/>
        </w:rPr>
        <w:t>規定，外資</w:t>
      </w:r>
      <w:proofErr w:type="gramStart"/>
      <w:r w:rsidR="008501F2">
        <w:rPr>
          <w:rFonts w:hint="eastAsia"/>
          <w:b/>
        </w:rPr>
        <w:t>已</w:t>
      </w:r>
      <w:r w:rsidR="005D4F15">
        <w:rPr>
          <w:rFonts w:hint="eastAsia"/>
          <w:b/>
        </w:rPr>
        <w:t>得</w:t>
      </w:r>
      <w:r w:rsidR="008501F2">
        <w:rPr>
          <w:rFonts w:hint="eastAsia"/>
          <w:b/>
        </w:rPr>
        <w:t>藉由</w:t>
      </w:r>
      <w:proofErr w:type="gramEnd"/>
      <w:r w:rsidR="000E661C">
        <w:rPr>
          <w:rFonts w:hint="eastAsia"/>
          <w:b/>
        </w:rPr>
        <w:t>購買</w:t>
      </w:r>
      <w:r w:rsidR="005D4F15">
        <w:rPr>
          <w:rFonts w:hint="eastAsia"/>
          <w:b/>
        </w:rPr>
        <w:t>本國公司</w:t>
      </w:r>
      <w:r w:rsidR="000E661C">
        <w:rPr>
          <w:rFonts w:hint="eastAsia"/>
          <w:b/>
        </w:rPr>
        <w:t>過半比例股權，</w:t>
      </w:r>
      <w:r w:rsidR="005D4F15">
        <w:rPr>
          <w:rFonts w:hint="eastAsia"/>
          <w:b/>
        </w:rPr>
        <w:t>取得經營權後，</w:t>
      </w:r>
      <w:r w:rsidR="000E661C">
        <w:rPr>
          <w:rFonts w:hint="eastAsia"/>
          <w:b/>
        </w:rPr>
        <w:t>再</w:t>
      </w:r>
      <w:r w:rsidR="005D4F15">
        <w:rPr>
          <w:rFonts w:hint="eastAsia"/>
          <w:b/>
        </w:rPr>
        <w:t>處分入股公司</w:t>
      </w:r>
      <w:r w:rsidR="003518C0">
        <w:rPr>
          <w:rFonts w:hint="eastAsia"/>
          <w:b/>
        </w:rPr>
        <w:t>原所持有</w:t>
      </w:r>
      <w:r w:rsidR="005D4F15">
        <w:rPr>
          <w:rFonts w:hint="eastAsia"/>
          <w:b/>
        </w:rPr>
        <w:t>土地</w:t>
      </w:r>
      <w:r w:rsidR="003518C0">
        <w:rPr>
          <w:rFonts w:hint="eastAsia"/>
          <w:b/>
        </w:rPr>
        <w:t>之</w:t>
      </w:r>
      <w:r w:rsidR="005D4F15">
        <w:rPr>
          <w:rFonts w:hint="eastAsia"/>
          <w:b/>
        </w:rPr>
        <w:t>方式，</w:t>
      </w:r>
      <w:r w:rsidR="008501F2">
        <w:rPr>
          <w:rFonts w:hint="eastAsia"/>
          <w:b/>
        </w:rPr>
        <w:t>以</w:t>
      </w:r>
      <w:r w:rsidR="005D4F15">
        <w:rPr>
          <w:rFonts w:hint="eastAsia"/>
          <w:b/>
        </w:rPr>
        <w:t>規避土地法就外國人地權規定限制，容不無檢討必要。</w:t>
      </w:r>
    </w:p>
    <w:p w:rsidR="000E661C" w:rsidRDefault="00AF5AEA" w:rsidP="0089640C">
      <w:pPr>
        <w:pStyle w:val="3"/>
        <w:spacing w:line="460" w:lineRule="exact"/>
      </w:pPr>
      <w:r>
        <w:rPr>
          <w:rFonts w:hint="eastAsia"/>
        </w:rPr>
        <w:t>按</w:t>
      </w:r>
      <w:r w:rsidR="000E661C">
        <w:rPr>
          <w:rFonts w:hint="eastAsia"/>
        </w:rPr>
        <w:t>土地法第17條至第24條係就外國人在我國取得或移轉土地權利之條件及限制之規定，</w:t>
      </w:r>
      <w:r w:rsidR="000E661C" w:rsidRPr="00EF0AC6">
        <w:rPr>
          <w:rFonts w:hint="eastAsia"/>
        </w:rPr>
        <w:t>外國人在我國取得土地，</w:t>
      </w:r>
      <w:r w:rsidR="000E661C">
        <w:rPr>
          <w:rFonts w:hint="eastAsia"/>
        </w:rPr>
        <w:t>除</w:t>
      </w:r>
      <w:r w:rsidR="000E661C" w:rsidRPr="00EF0AC6">
        <w:rPr>
          <w:rFonts w:hint="eastAsia"/>
        </w:rPr>
        <w:t>應符合土地法第18條平等互惠原則外，尚應受同法第17條不得取得、設定或租賃土地之限制，及合於同法第19條各款土地用途，並依同法第20條規定由該管直轄市或縣（市）核准</w:t>
      </w:r>
      <w:r w:rsidR="000E661C">
        <w:rPr>
          <w:rFonts w:hint="eastAsia"/>
        </w:rPr>
        <w:t>。另同法第24條係為規範外國人租購土地後之權利義務。</w:t>
      </w:r>
    </w:p>
    <w:p w:rsidR="000E661C" w:rsidRDefault="00AF5AEA" w:rsidP="0089640C">
      <w:pPr>
        <w:pStyle w:val="3"/>
        <w:spacing w:line="460" w:lineRule="exact"/>
      </w:pPr>
      <w:r w:rsidRPr="003274D9">
        <w:rPr>
          <w:rFonts w:hAnsi="標楷體" w:hint="eastAsia"/>
          <w:szCs w:val="32"/>
        </w:rPr>
        <w:t>有關「</w:t>
      </w:r>
      <w:r w:rsidRPr="003274D9">
        <w:rPr>
          <w:rFonts w:hint="eastAsia"/>
          <w:szCs w:val="32"/>
        </w:rPr>
        <w:t>外國公司依我國法令規定，在我國境內投資設立子公司後，再以前</w:t>
      </w:r>
      <w:proofErr w:type="gramStart"/>
      <w:r w:rsidRPr="003274D9">
        <w:rPr>
          <w:rFonts w:hint="eastAsia"/>
          <w:szCs w:val="32"/>
        </w:rPr>
        <w:t>揭</w:t>
      </w:r>
      <w:proofErr w:type="gramEnd"/>
      <w:r w:rsidRPr="003274D9">
        <w:rPr>
          <w:rFonts w:hint="eastAsia"/>
          <w:szCs w:val="32"/>
        </w:rPr>
        <w:t>子公司名義購買我國公司過半股權，取得經營權後，再處分（出售）被投資公司持有之土地，有無違反土地法第1</w:t>
      </w:r>
      <w:r w:rsidR="006E1C21">
        <w:rPr>
          <w:rFonts w:hint="eastAsia"/>
          <w:szCs w:val="32"/>
        </w:rPr>
        <w:t>7</w:t>
      </w:r>
      <w:r w:rsidRPr="003274D9">
        <w:rPr>
          <w:rFonts w:hint="eastAsia"/>
          <w:szCs w:val="32"/>
        </w:rPr>
        <w:t>條至第24條規定」</w:t>
      </w:r>
      <w:r w:rsidR="003063C8" w:rsidRPr="003274D9">
        <w:rPr>
          <w:rFonts w:hAnsi="標楷體" w:hint="eastAsia"/>
          <w:szCs w:val="32"/>
        </w:rPr>
        <w:t>一節，依</w:t>
      </w:r>
      <w:r w:rsidR="000E661C" w:rsidRPr="003274D9">
        <w:rPr>
          <w:rFonts w:hint="eastAsia"/>
        </w:rPr>
        <w:t>內</w:t>
      </w:r>
      <w:r w:rsidR="000E661C">
        <w:rPr>
          <w:rFonts w:hint="eastAsia"/>
        </w:rPr>
        <w:t>政部</w:t>
      </w:r>
      <w:r w:rsidR="003063C8">
        <w:rPr>
          <w:rFonts w:hint="eastAsia"/>
        </w:rPr>
        <w:t>108年1月24日</w:t>
      </w:r>
      <w:r>
        <w:rPr>
          <w:rFonts w:hint="eastAsia"/>
        </w:rPr>
        <w:t>函</w:t>
      </w:r>
      <w:proofErr w:type="gramStart"/>
      <w:r w:rsidR="003518C0">
        <w:rPr>
          <w:rFonts w:hint="eastAsia"/>
        </w:rPr>
        <w:t>查復本院</w:t>
      </w:r>
      <w:proofErr w:type="gramEnd"/>
      <w:r w:rsidR="003063C8">
        <w:rPr>
          <w:rFonts w:hint="eastAsia"/>
        </w:rPr>
        <w:t>略</w:t>
      </w:r>
      <w:proofErr w:type="gramStart"/>
      <w:r w:rsidR="003063C8">
        <w:rPr>
          <w:rFonts w:hint="eastAsia"/>
        </w:rPr>
        <w:t>以</w:t>
      </w:r>
      <w:proofErr w:type="gramEnd"/>
      <w:r w:rsidR="003063C8">
        <w:rPr>
          <w:rFonts w:hint="eastAsia"/>
        </w:rPr>
        <w:t>，</w:t>
      </w:r>
      <w:r w:rsidR="000E661C">
        <w:rPr>
          <w:rFonts w:hint="eastAsia"/>
        </w:rPr>
        <w:t>「</w:t>
      </w:r>
      <w:r w:rsidR="000E661C" w:rsidRPr="00577CEE">
        <w:rPr>
          <w:rFonts w:hint="eastAsia"/>
        </w:rPr>
        <w:t>本法所稱</w:t>
      </w:r>
      <w:r w:rsidR="000E661C" w:rsidRPr="004D149C">
        <w:rPr>
          <w:rFonts w:hint="eastAsia"/>
        </w:rPr>
        <w:t>公司，謂以營利為目的，依照本法組織、登記、成立之社團法人。…</w:t>
      </w:r>
      <w:proofErr w:type="gramStart"/>
      <w:r w:rsidR="000E661C" w:rsidRPr="004D149C">
        <w:rPr>
          <w:rFonts w:hint="eastAsia"/>
        </w:rPr>
        <w:t>…</w:t>
      </w:r>
      <w:proofErr w:type="gramEnd"/>
      <w:r w:rsidR="000E661C" w:rsidRPr="004D149C">
        <w:rPr>
          <w:rFonts w:hint="eastAsia"/>
        </w:rPr>
        <w:t>」、「本法所稱外國公司，謂以營利為目的，依照外國法律組織登記之公司。…</w:t>
      </w:r>
      <w:proofErr w:type="gramStart"/>
      <w:r w:rsidR="000E661C" w:rsidRPr="004D149C">
        <w:rPr>
          <w:rFonts w:hint="eastAsia"/>
        </w:rPr>
        <w:t>…</w:t>
      </w:r>
      <w:proofErr w:type="gramEnd"/>
      <w:r w:rsidR="000E661C" w:rsidRPr="004D149C">
        <w:rPr>
          <w:rFonts w:hint="eastAsia"/>
        </w:rPr>
        <w:t>」分為公司法第1條及第4條所明文。有關外國人參加為股東之公司，其股東雖全為外國人，既係依我國公司法規定設立之公司，仍屬本國法人，其申購土地案件，自應照我國人購地案件有關規定辦理，免受土</w:t>
      </w:r>
      <w:r w:rsidR="000E661C" w:rsidRPr="00C83A03">
        <w:rPr>
          <w:rFonts w:hint="eastAsia"/>
        </w:rPr>
        <w:t>地法第17條至第24條有關外國人地權規定之限制，</w:t>
      </w:r>
      <w:r w:rsidR="00E13CD8">
        <w:rPr>
          <w:rFonts w:hint="eastAsia"/>
        </w:rPr>
        <w:t>該</w:t>
      </w:r>
      <w:r w:rsidR="000E661C" w:rsidRPr="00C83A03">
        <w:rPr>
          <w:rFonts w:hint="eastAsia"/>
        </w:rPr>
        <w:t>部63年8月2日台內地字第595916號函及76年6月26日台內地字第508187號</w:t>
      </w:r>
      <w:proofErr w:type="gramStart"/>
      <w:r w:rsidR="000E661C" w:rsidRPr="00C83A03">
        <w:rPr>
          <w:rFonts w:hint="eastAsia"/>
        </w:rPr>
        <w:t>函釋有案</w:t>
      </w:r>
      <w:proofErr w:type="gramEnd"/>
      <w:r w:rsidR="000E661C" w:rsidRPr="00C83A03">
        <w:rPr>
          <w:rFonts w:hint="eastAsia"/>
        </w:rPr>
        <w:t>。</w:t>
      </w:r>
      <w:r w:rsidR="000E661C">
        <w:rPr>
          <w:rFonts w:hint="eastAsia"/>
        </w:rPr>
        <w:t>至有關</w:t>
      </w:r>
      <w:r w:rsidR="000E661C" w:rsidRPr="00D70684">
        <w:rPr>
          <w:rFonts w:hint="eastAsia"/>
        </w:rPr>
        <w:t>外國公司依我國法令規定，在我國境內投資設立子公司</w:t>
      </w:r>
      <w:r w:rsidR="000E661C">
        <w:rPr>
          <w:rFonts w:hint="eastAsia"/>
        </w:rPr>
        <w:t>，再</w:t>
      </w:r>
      <w:r w:rsidR="000E661C" w:rsidRPr="0035680C">
        <w:rPr>
          <w:rFonts w:hint="eastAsia"/>
        </w:rPr>
        <w:t>以前</w:t>
      </w:r>
      <w:proofErr w:type="gramStart"/>
      <w:r w:rsidR="000E661C" w:rsidRPr="0035680C">
        <w:rPr>
          <w:rFonts w:hint="eastAsia"/>
        </w:rPr>
        <w:t>揭</w:t>
      </w:r>
      <w:proofErr w:type="gramEnd"/>
      <w:r w:rsidR="000E661C" w:rsidRPr="0035680C">
        <w:rPr>
          <w:rFonts w:hint="eastAsia"/>
        </w:rPr>
        <w:t>子公司名義購買</w:t>
      </w:r>
      <w:r w:rsidR="000E661C" w:rsidRPr="0035680C">
        <w:rPr>
          <w:rFonts w:hint="eastAsia"/>
        </w:rPr>
        <w:lastRenderedPageBreak/>
        <w:t>我國公司過半股權，取得經營權</w:t>
      </w:r>
      <w:r w:rsidR="000E661C">
        <w:rPr>
          <w:rFonts w:hint="eastAsia"/>
        </w:rPr>
        <w:t>，其處分被投資公司之土地，有無土地法第17條至第24條適用</w:t>
      </w:r>
      <w:r>
        <w:rPr>
          <w:rFonts w:hint="eastAsia"/>
        </w:rPr>
        <w:t>一</w:t>
      </w:r>
      <w:r w:rsidR="000E661C">
        <w:rPr>
          <w:rFonts w:hint="eastAsia"/>
        </w:rPr>
        <w:t>節，依前揭內政部函意旨，其既係處分</w:t>
      </w:r>
      <w:r w:rsidR="000E661C" w:rsidRPr="004D149C">
        <w:rPr>
          <w:rFonts w:hint="eastAsia"/>
        </w:rPr>
        <w:t>我國公司持有土地，自與土地法第17條至第24條無涉</w:t>
      </w:r>
      <w:r w:rsidR="000E661C">
        <w:rPr>
          <w:rFonts w:hint="eastAsia"/>
        </w:rPr>
        <w:t>。</w:t>
      </w:r>
    </w:p>
    <w:p w:rsidR="00073CB5" w:rsidRPr="003422F0" w:rsidRDefault="00AF5AEA" w:rsidP="0089640C">
      <w:pPr>
        <w:pStyle w:val="3"/>
        <w:spacing w:line="460" w:lineRule="exact"/>
      </w:pPr>
      <w:r>
        <w:rPr>
          <w:rFonts w:hint="eastAsia"/>
        </w:rPr>
        <w:t>查南和興產公司</w:t>
      </w:r>
      <w:r w:rsidRPr="00986C6C">
        <w:t>股票交易</w:t>
      </w:r>
      <w:r>
        <w:rPr>
          <w:rFonts w:hint="eastAsia"/>
        </w:rPr>
        <w:t>，</w:t>
      </w:r>
      <w:r>
        <w:t>係境外投資人申請</w:t>
      </w:r>
      <w:r>
        <w:rPr>
          <w:rFonts w:hint="eastAsia"/>
        </w:rPr>
        <w:t>設立</w:t>
      </w:r>
      <w:r w:rsidRPr="00986C6C">
        <w:t>德高置地第一</w:t>
      </w:r>
      <w:r>
        <w:rPr>
          <w:rFonts w:hint="eastAsia"/>
        </w:rPr>
        <w:t>股份有限</w:t>
      </w:r>
      <w:r w:rsidRPr="00986C6C">
        <w:t>公司等3家公司</w:t>
      </w:r>
      <w:r>
        <w:rPr>
          <w:rFonts w:hint="eastAsia"/>
        </w:rPr>
        <w:t>後，再由前揭3家公司</w:t>
      </w:r>
      <w:r>
        <w:t>轉投資南和興產公司</w:t>
      </w:r>
      <w:r>
        <w:rPr>
          <w:rFonts w:hint="eastAsia"/>
        </w:rPr>
        <w:t>。相關轉投資案件，先由投審會</w:t>
      </w:r>
      <w:r w:rsidRPr="00986C6C">
        <w:t>104年3月31日</w:t>
      </w:r>
      <w:r>
        <w:rPr>
          <w:rFonts w:hint="eastAsia"/>
        </w:rPr>
        <w:t>等3函</w:t>
      </w:r>
      <w:r w:rsidRPr="00986C6C">
        <w:t>核准</w:t>
      </w:r>
      <w:r>
        <w:rPr>
          <w:rFonts w:hint="eastAsia"/>
        </w:rPr>
        <w:t>；</w:t>
      </w: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</w:t>
      </w:r>
      <w:r>
        <w:t>德高置地第</w:t>
      </w:r>
      <w:r>
        <w:rPr>
          <w:rFonts w:hint="eastAsia"/>
        </w:rPr>
        <w:t>三股份有限</w:t>
      </w:r>
      <w:r w:rsidRPr="00986C6C">
        <w:t>公司</w:t>
      </w:r>
      <w:r>
        <w:rPr>
          <w:rFonts w:hint="eastAsia"/>
        </w:rPr>
        <w:t>於</w:t>
      </w:r>
      <w:r w:rsidRPr="00E15919">
        <w:t>104</w:t>
      </w:r>
      <w:r w:rsidRPr="00E15919">
        <w:rPr>
          <w:rFonts w:hint="eastAsia"/>
        </w:rPr>
        <w:t>年</w:t>
      </w:r>
      <w:r w:rsidRPr="00E15919">
        <w:t>2</w:t>
      </w:r>
      <w:r w:rsidRPr="00E15919">
        <w:rPr>
          <w:rFonts w:hint="eastAsia"/>
        </w:rPr>
        <w:t>月4日及同年3月16日</w:t>
      </w:r>
      <w:r>
        <w:rPr>
          <w:rFonts w:hint="eastAsia"/>
        </w:rPr>
        <w:t>再</w:t>
      </w:r>
      <w:r w:rsidRPr="00E15919">
        <w:rPr>
          <w:rFonts w:hint="eastAsia"/>
        </w:rPr>
        <w:t>申請增加轉投資南和興產公司</w:t>
      </w:r>
      <w:r>
        <w:rPr>
          <w:rFonts w:hint="eastAsia"/>
        </w:rPr>
        <w:t>，亦</w:t>
      </w:r>
      <w:r w:rsidRPr="00E15919">
        <w:rPr>
          <w:rFonts w:hint="eastAsia"/>
        </w:rPr>
        <w:t>經投審會</w:t>
      </w:r>
      <w:r>
        <w:rPr>
          <w:rFonts w:hint="eastAsia"/>
        </w:rPr>
        <w:t>1</w:t>
      </w:r>
      <w:r w:rsidRPr="001C1993">
        <w:rPr>
          <w:rFonts w:hint="eastAsia"/>
        </w:rPr>
        <w:t>04年</w:t>
      </w:r>
      <w:r>
        <w:rPr>
          <w:rFonts w:hint="eastAsia"/>
        </w:rPr>
        <w:t>2</w:t>
      </w:r>
      <w:r w:rsidRPr="001C1993">
        <w:rPr>
          <w:rFonts w:hint="eastAsia"/>
        </w:rPr>
        <w:t>月</w:t>
      </w:r>
      <w:r>
        <w:rPr>
          <w:rFonts w:hint="eastAsia"/>
        </w:rPr>
        <w:t>6日及同年3月17日</w:t>
      </w:r>
      <w:r w:rsidR="00B33978">
        <w:rPr>
          <w:rFonts w:hint="eastAsia"/>
        </w:rPr>
        <w:t>函</w:t>
      </w:r>
      <w:r>
        <w:rPr>
          <w:rFonts w:hint="eastAsia"/>
        </w:rPr>
        <w:t>核准在案，</w:t>
      </w:r>
      <w:r w:rsidR="00956AF1">
        <w:rPr>
          <w:rFonts w:hint="eastAsia"/>
        </w:rPr>
        <w:t>前揭轉投資行為</w:t>
      </w:r>
      <w:r w:rsidR="00315FF5">
        <w:rPr>
          <w:rFonts w:hint="eastAsia"/>
        </w:rPr>
        <w:t>共</w:t>
      </w:r>
      <w:r w:rsidR="003422F0">
        <w:rPr>
          <w:rFonts w:hint="eastAsia"/>
        </w:rPr>
        <w:t>約</w:t>
      </w:r>
      <w:r w:rsidR="00956AF1">
        <w:rPr>
          <w:rFonts w:hint="eastAsia"/>
        </w:rPr>
        <w:t>取得南和興產公司</w:t>
      </w:r>
      <w:r w:rsidR="00B510F5">
        <w:rPr>
          <w:rFonts w:hint="eastAsia"/>
        </w:rPr>
        <w:t>○</w:t>
      </w:r>
      <w:proofErr w:type="gramStart"/>
      <w:r w:rsidR="00956AF1">
        <w:rPr>
          <w:rFonts w:hint="eastAsia"/>
        </w:rPr>
        <w:t>﹪</w:t>
      </w:r>
      <w:proofErr w:type="gramEnd"/>
      <w:r w:rsidR="00956AF1">
        <w:rPr>
          <w:rFonts w:hint="eastAsia"/>
        </w:rPr>
        <w:t>股權</w:t>
      </w:r>
      <w:r>
        <w:rPr>
          <w:rFonts w:hint="eastAsia"/>
        </w:rPr>
        <w:t>。</w:t>
      </w:r>
      <w:r w:rsidR="00315FF5">
        <w:rPr>
          <w:rFonts w:hint="eastAsia"/>
        </w:rPr>
        <w:t>再</w:t>
      </w:r>
      <w:r w:rsidR="00956AF1">
        <w:rPr>
          <w:rFonts w:hint="eastAsia"/>
        </w:rPr>
        <w:t>據</w:t>
      </w:r>
      <w:r w:rsidR="000E661C">
        <w:rPr>
          <w:rFonts w:hint="eastAsia"/>
        </w:rPr>
        <w:t>高雄市政府經濟發展局108年5月29日函</w:t>
      </w:r>
      <w:proofErr w:type="gramStart"/>
      <w:r w:rsidR="000E661C">
        <w:rPr>
          <w:rFonts w:hint="eastAsia"/>
        </w:rPr>
        <w:t>查復本院</w:t>
      </w:r>
      <w:proofErr w:type="gramEnd"/>
      <w:r w:rsidR="00956AF1">
        <w:rPr>
          <w:rFonts w:hint="eastAsia"/>
        </w:rPr>
        <w:t>稱，</w:t>
      </w:r>
      <w:r w:rsidR="000E661C">
        <w:rPr>
          <w:rFonts w:hint="eastAsia"/>
        </w:rPr>
        <w:t>南和興產</w:t>
      </w:r>
      <w:r w:rsidR="000E661C" w:rsidRPr="00C9258F">
        <w:rPr>
          <w:rFonts w:hint="eastAsia"/>
        </w:rPr>
        <w:t>公司</w:t>
      </w:r>
      <w:r w:rsidR="003518C0">
        <w:rPr>
          <w:rFonts w:hint="eastAsia"/>
        </w:rPr>
        <w:t>係</w:t>
      </w:r>
      <w:r w:rsidR="000E661C" w:rsidRPr="00C9258F">
        <w:rPr>
          <w:rFonts w:hint="eastAsia"/>
        </w:rPr>
        <w:t>經前臺灣省政府建設廳於</w:t>
      </w:r>
      <w:r w:rsidR="000E661C" w:rsidRPr="00C9258F">
        <w:t>39</w:t>
      </w:r>
      <w:r w:rsidR="000E661C" w:rsidRPr="00C9258F">
        <w:rPr>
          <w:rFonts w:hint="eastAsia"/>
        </w:rPr>
        <w:t>年</w:t>
      </w:r>
      <w:r w:rsidR="000E661C" w:rsidRPr="00C9258F">
        <w:t>5</w:t>
      </w:r>
      <w:r w:rsidR="000E661C" w:rsidRPr="00C9258F">
        <w:rPr>
          <w:rFonts w:hint="eastAsia"/>
        </w:rPr>
        <w:t>月</w:t>
      </w:r>
      <w:r w:rsidR="000E661C" w:rsidRPr="00C9258F">
        <w:t>16</w:t>
      </w:r>
      <w:r w:rsidR="000E661C" w:rsidRPr="00C9258F">
        <w:rPr>
          <w:rFonts w:hint="eastAsia"/>
        </w:rPr>
        <w:t>日</w:t>
      </w:r>
      <w:r w:rsidR="00956AF1">
        <w:rPr>
          <w:rFonts w:hint="eastAsia"/>
        </w:rPr>
        <w:t>呈請經濟部設立登記並經准予登記在案，該公司係依</w:t>
      </w:r>
      <w:r w:rsidR="00315FF5">
        <w:rPr>
          <w:rFonts w:hint="eastAsia"/>
        </w:rPr>
        <w:t>我國</w:t>
      </w:r>
      <w:r w:rsidR="00956AF1">
        <w:rPr>
          <w:rFonts w:hint="eastAsia"/>
        </w:rPr>
        <w:t>公司法</w:t>
      </w:r>
      <w:r w:rsidR="00315FF5">
        <w:rPr>
          <w:rFonts w:hint="eastAsia"/>
        </w:rPr>
        <w:t>設立</w:t>
      </w:r>
      <w:r w:rsidR="003422F0">
        <w:rPr>
          <w:rFonts w:hint="eastAsia"/>
        </w:rPr>
        <w:t>之</w:t>
      </w:r>
      <w:r w:rsidR="000E661C" w:rsidRPr="00C9258F">
        <w:rPr>
          <w:rFonts w:hint="eastAsia"/>
        </w:rPr>
        <w:t>本國公司</w:t>
      </w:r>
      <w:r w:rsidR="00315FF5">
        <w:rPr>
          <w:rFonts w:hint="eastAsia"/>
        </w:rPr>
        <w:t>。</w:t>
      </w:r>
      <w:r w:rsidR="00956AF1">
        <w:rPr>
          <w:rFonts w:hint="eastAsia"/>
        </w:rPr>
        <w:t>是依內政</w:t>
      </w:r>
      <w:r w:rsidR="00956AF1" w:rsidRPr="00C83A03">
        <w:rPr>
          <w:rFonts w:hAnsi="標楷體" w:hint="eastAsia"/>
          <w:szCs w:val="32"/>
        </w:rPr>
        <w:t>部函釋</w:t>
      </w:r>
      <w:r w:rsidR="00315FF5">
        <w:rPr>
          <w:rFonts w:hAnsi="標楷體" w:hint="eastAsia"/>
          <w:szCs w:val="32"/>
        </w:rPr>
        <w:t>意旨</w:t>
      </w:r>
      <w:r w:rsidR="00956AF1">
        <w:rPr>
          <w:rFonts w:hAnsi="標楷體" w:hint="eastAsia"/>
          <w:szCs w:val="32"/>
        </w:rPr>
        <w:t>，南和興產公司既係依我國公司法規定設立之</w:t>
      </w:r>
      <w:r w:rsidR="00956AF1" w:rsidRPr="003518C0">
        <w:rPr>
          <w:rFonts w:hAnsi="標楷體" w:hint="eastAsia"/>
          <w:szCs w:val="32"/>
        </w:rPr>
        <w:t>本國法人</w:t>
      </w:r>
      <w:r w:rsidR="00315FF5">
        <w:rPr>
          <w:rFonts w:hAnsi="標楷體" w:hint="eastAsia"/>
          <w:szCs w:val="32"/>
        </w:rPr>
        <w:t>，</w:t>
      </w:r>
      <w:proofErr w:type="gramStart"/>
      <w:r w:rsidR="00983611">
        <w:rPr>
          <w:rFonts w:hAnsi="標楷體" w:hint="eastAsia"/>
          <w:szCs w:val="32"/>
        </w:rPr>
        <w:t>爰</w:t>
      </w:r>
      <w:proofErr w:type="gramEnd"/>
      <w:r w:rsidR="00315FF5">
        <w:rPr>
          <w:rFonts w:hAnsi="標楷體" w:hint="eastAsia"/>
          <w:szCs w:val="32"/>
        </w:rPr>
        <w:t>該公司</w:t>
      </w:r>
      <w:r w:rsidR="003518C0">
        <w:rPr>
          <w:rFonts w:hAnsi="標楷體" w:hint="eastAsia"/>
          <w:szCs w:val="32"/>
        </w:rPr>
        <w:t>雖</w:t>
      </w:r>
      <w:r w:rsidR="0078173D">
        <w:rPr>
          <w:rFonts w:hAnsi="標楷體" w:hint="eastAsia"/>
          <w:szCs w:val="32"/>
        </w:rPr>
        <w:t>於</w:t>
      </w:r>
      <w:r w:rsidR="00315FF5">
        <w:rPr>
          <w:rFonts w:hAnsi="標楷體" w:hint="eastAsia"/>
          <w:szCs w:val="32"/>
        </w:rPr>
        <w:t>股權移轉後</w:t>
      </w:r>
      <w:r w:rsidR="0078173D">
        <w:rPr>
          <w:rFonts w:hAnsi="標楷體" w:hint="eastAsia"/>
          <w:szCs w:val="32"/>
        </w:rPr>
        <w:t>，</w:t>
      </w:r>
      <w:r w:rsidR="00315FF5">
        <w:rPr>
          <w:rFonts w:hAnsi="標楷體" w:hint="eastAsia"/>
          <w:szCs w:val="32"/>
        </w:rPr>
        <w:t>處分其持有之土地</w:t>
      </w:r>
      <w:r w:rsidR="00956AF1" w:rsidRPr="00C83A03">
        <w:rPr>
          <w:rFonts w:hAnsi="標楷體" w:hint="eastAsia"/>
          <w:szCs w:val="32"/>
        </w:rPr>
        <w:t>，</w:t>
      </w:r>
      <w:r w:rsidR="003518C0">
        <w:rPr>
          <w:rFonts w:hAnsi="標楷體" w:hint="eastAsia"/>
          <w:szCs w:val="32"/>
        </w:rPr>
        <w:t>仍</w:t>
      </w:r>
      <w:r w:rsidR="00983611">
        <w:rPr>
          <w:rFonts w:hAnsi="標楷體" w:hint="eastAsia"/>
          <w:szCs w:val="32"/>
        </w:rPr>
        <w:t>與</w:t>
      </w:r>
      <w:r w:rsidR="00956AF1" w:rsidRPr="00C83A03">
        <w:rPr>
          <w:rFonts w:hAnsi="標楷體" w:hint="eastAsia"/>
          <w:szCs w:val="32"/>
        </w:rPr>
        <w:t>土地法第17條至第24</w:t>
      </w:r>
      <w:r w:rsidR="00983611">
        <w:rPr>
          <w:rFonts w:hAnsi="標楷體" w:hint="eastAsia"/>
          <w:szCs w:val="32"/>
        </w:rPr>
        <w:t>條有關外國人地權規定無涉</w:t>
      </w:r>
      <w:r w:rsidR="00956AF1">
        <w:rPr>
          <w:rFonts w:hAnsi="標楷體" w:hint="eastAsia"/>
          <w:szCs w:val="32"/>
        </w:rPr>
        <w:t>。</w:t>
      </w:r>
    </w:p>
    <w:p w:rsidR="003422F0" w:rsidRDefault="00E13CD8" w:rsidP="0089640C">
      <w:pPr>
        <w:pStyle w:val="3"/>
        <w:spacing w:line="460" w:lineRule="exact"/>
      </w:pPr>
      <w:r>
        <w:rPr>
          <w:rFonts w:hAnsi="標楷體" w:hint="eastAsia"/>
          <w:szCs w:val="32"/>
        </w:rPr>
        <w:t>次</w:t>
      </w:r>
      <w:r w:rsidR="00983611">
        <w:rPr>
          <w:rFonts w:hAnsi="標楷體" w:hint="eastAsia"/>
          <w:szCs w:val="32"/>
        </w:rPr>
        <w:t>查</w:t>
      </w:r>
      <w:r w:rsidR="003422F0">
        <w:rPr>
          <w:rFonts w:hAnsi="標楷體" w:hint="eastAsia"/>
          <w:szCs w:val="32"/>
        </w:rPr>
        <w:t>高雄國稅局</w:t>
      </w:r>
      <w:r w:rsidR="001E62A8">
        <w:rPr>
          <w:rFonts w:hAnsi="標楷體" w:hint="eastAsia"/>
          <w:szCs w:val="32"/>
        </w:rPr>
        <w:t>為</w:t>
      </w:r>
      <w:r w:rsidR="00983611">
        <w:rPr>
          <w:rFonts w:hAnsi="標楷體" w:hint="eastAsia"/>
          <w:szCs w:val="32"/>
        </w:rPr>
        <w:t>計</w:t>
      </w:r>
      <w:r w:rsidR="001E62A8">
        <w:rPr>
          <w:rFonts w:hAnsi="標楷體" w:hint="eastAsia"/>
          <w:szCs w:val="32"/>
        </w:rPr>
        <w:t>算</w:t>
      </w:r>
      <w:r w:rsidR="00983611">
        <w:rPr>
          <w:rFonts w:hAnsi="標楷體" w:hint="eastAsia"/>
          <w:szCs w:val="32"/>
        </w:rPr>
        <w:t>103年及104年</w:t>
      </w:r>
      <w:r w:rsidR="001E62A8">
        <w:rPr>
          <w:rFonts w:hAnsi="標楷體" w:hint="eastAsia"/>
          <w:szCs w:val="32"/>
        </w:rPr>
        <w:t>南和興產公司</w:t>
      </w:r>
      <w:r w:rsidR="0078173D">
        <w:rPr>
          <w:rFonts w:hAnsi="標楷體" w:hint="eastAsia"/>
          <w:szCs w:val="32"/>
        </w:rPr>
        <w:t>每股</w:t>
      </w:r>
      <w:r w:rsidR="00C24D21">
        <w:rPr>
          <w:rFonts w:hAnsi="標楷體" w:hint="eastAsia"/>
          <w:szCs w:val="32"/>
        </w:rPr>
        <w:t>股權</w:t>
      </w:r>
      <w:r w:rsidR="00983611">
        <w:rPr>
          <w:rFonts w:hAnsi="標楷體" w:hint="eastAsia"/>
          <w:szCs w:val="32"/>
        </w:rPr>
        <w:t>淨值</w:t>
      </w:r>
      <w:r w:rsidR="001E62A8">
        <w:rPr>
          <w:rFonts w:hAnsi="標楷體" w:hint="eastAsia"/>
          <w:szCs w:val="32"/>
        </w:rPr>
        <w:t>，經</w:t>
      </w:r>
      <w:r w:rsidR="00983611">
        <w:rPr>
          <w:rFonts w:hAnsi="標楷體" w:hint="eastAsia"/>
          <w:szCs w:val="32"/>
        </w:rPr>
        <w:t>依該</w:t>
      </w:r>
      <w:r w:rsidR="001E62A8">
        <w:t>公司</w:t>
      </w:r>
      <w:r w:rsidR="001E62A8">
        <w:rPr>
          <w:rFonts w:hint="eastAsia"/>
        </w:rPr>
        <w:t>103年12月</w:t>
      </w:r>
      <w:r w:rsidR="001E62A8" w:rsidRPr="00986C6C">
        <w:t>財務報表</w:t>
      </w:r>
      <w:r w:rsidR="00983611">
        <w:rPr>
          <w:rFonts w:hint="eastAsia"/>
        </w:rPr>
        <w:t>為據，估算每股淨值為</w:t>
      </w:r>
      <w:r w:rsidR="00B33978">
        <w:rPr>
          <w:rFonts w:hint="eastAsia"/>
        </w:rPr>
        <w:t>○</w:t>
      </w:r>
      <w:r w:rsidR="00983611" w:rsidRPr="00986C6C">
        <w:t>元</w:t>
      </w:r>
      <w:r w:rsidR="0078173D">
        <w:rPr>
          <w:rFonts w:hint="eastAsia"/>
        </w:rPr>
        <w:t>，</w:t>
      </w:r>
      <w:proofErr w:type="gramStart"/>
      <w:r w:rsidR="00983611">
        <w:rPr>
          <w:rFonts w:hint="eastAsia"/>
        </w:rPr>
        <w:t>經核前揭</w:t>
      </w:r>
      <w:proofErr w:type="gramEnd"/>
      <w:r w:rsidR="00983611">
        <w:rPr>
          <w:rFonts w:hint="eastAsia"/>
        </w:rPr>
        <w:t>報表內載</w:t>
      </w:r>
      <w:r w:rsidR="0078173D">
        <w:rPr>
          <w:rFonts w:hint="eastAsia"/>
        </w:rPr>
        <w:t>該公司持有土地</w:t>
      </w:r>
      <w:r w:rsidR="00C24D21">
        <w:rPr>
          <w:rFonts w:hint="eastAsia"/>
        </w:rPr>
        <w:t>之</w:t>
      </w:r>
      <w:r w:rsidR="0078173D">
        <w:rPr>
          <w:rFonts w:hint="eastAsia"/>
        </w:rPr>
        <w:t>公告現值</w:t>
      </w:r>
      <w:r w:rsidR="00983611">
        <w:rPr>
          <w:rFonts w:hint="eastAsia"/>
        </w:rPr>
        <w:t>高</w:t>
      </w:r>
      <w:r w:rsidR="0078173D">
        <w:rPr>
          <w:rFonts w:hint="eastAsia"/>
        </w:rPr>
        <w:t>達</w:t>
      </w:r>
      <w:r w:rsidR="00B33978">
        <w:rPr>
          <w:rFonts w:hint="eastAsia"/>
        </w:rPr>
        <w:t>○</w:t>
      </w:r>
      <w:r w:rsidR="0078173D">
        <w:rPr>
          <w:rFonts w:hint="eastAsia"/>
        </w:rPr>
        <w:t>元</w:t>
      </w:r>
      <w:r w:rsidR="001E62A8">
        <w:rPr>
          <w:rFonts w:hint="eastAsia"/>
        </w:rPr>
        <w:t>。</w:t>
      </w:r>
      <w:r>
        <w:rPr>
          <w:rFonts w:hint="eastAsia"/>
        </w:rPr>
        <w:t>然以</w:t>
      </w:r>
      <w:r w:rsidR="001E62A8">
        <w:rPr>
          <w:rFonts w:hint="eastAsia"/>
        </w:rPr>
        <w:t>本案外資經由轉投資方式，</w:t>
      </w:r>
      <w:r w:rsidR="00C24D21">
        <w:rPr>
          <w:rFonts w:hint="eastAsia"/>
        </w:rPr>
        <w:t>購買</w:t>
      </w:r>
      <w:r w:rsidR="001E62A8">
        <w:rPr>
          <w:rFonts w:hint="eastAsia"/>
        </w:rPr>
        <w:t>南和興產公司過半股權</w:t>
      </w:r>
      <w:r w:rsidR="00C24D21">
        <w:rPr>
          <w:rFonts w:hint="eastAsia"/>
        </w:rPr>
        <w:t>，取得經營權</w:t>
      </w:r>
      <w:r w:rsidR="001E62A8">
        <w:rPr>
          <w:rFonts w:hint="eastAsia"/>
        </w:rPr>
        <w:t>後</w:t>
      </w:r>
      <w:r w:rsidR="00983611">
        <w:rPr>
          <w:rFonts w:hint="eastAsia"/>
        </w:rPr>
        <w:t>，</w:t>
      </w:r>
      <w:r w:rsidR="00FD45E6">
        <w:rPr>
          <w:rFonts w:hint="eastAsia"/>
        </w:rPr>
        <w:t>依前揭內政部函釋規定，即</w:t>
      </w:r>
      <w:r w:rsidR="00C24D21">
        <w:rPr>
          <w:rFonts w:hint="eastAsia"/>
        </w:rPr>
        <w:t>得</w:t>
      </w:r>
      <w:r w:rsidR="00983611">
        <w:rPr>
          <w:rFonts w:hint="eastAsia"/>
        </w:rPr>
        <w:t>免受</w:t>
      </w:r>
      <w:r w:rsidR="00983611" w:rsidRPr="00C83A03">
        <w:rPr>
          <w:rFonts w:hAnsi="標楷體" w:hint="eastAsia"/>
          <w:szCs w:val="32"/>
        </w:rPr>
        <w:t>土地法第17條至第24條有關外國人地權規定之限制</w:t>
      </w:r>
      <w:r w:rsidR="00FD45E6">
        <w:rPr>
          <w:rFonts w:hint="eastAsia"/>
        </w:rPr>
        <w:t>，從而</w:t>
      </w:r>
      <w:r w:rsidR="001E62A8">
        <w:rPr>
          <w:rFonts w:hint="eastAsia"/>
        </w:rPr>
        <w:t>得</w:t>
      </w:r>
      <w:r w:rsidR="00FD45E6">
        <w:rPr>
          <w:rFonts w:hint="eastAsia"/>
        </w:rPr>
        <w:t>以</w:t>
      </w:r>
      <w:r w:rsidR="001E62A8">
        <w:rPr>
          <w:rFonts w:hint="eastAsia"/>
        </w:rPr>
        <w:t>處分</w:t>
      </w:r>
      <w:r w:rsidR="00C24D21">
        <w:rPr>
          <w:rFonts w:hint="eastAsia"/>
        </w:rPr>
        <w:t>該</w:t>
      </w:r>
      <w:r w:rsidR="001E62A8">
        <w:rPr>
          <w:rFonts w:hint="eastAsia"/>
        </w:rPr>
        <w:t>公司</w:t>
      </w:r>
      <w:r w:rsidR="00C24D21">
        <w:rPr>
          <w:rFonts w:hint="eastAsia"/>
        </w:rPr>
        <w:t>原持有之</w:t>
      </w:r>
      <w:r w:rsidR="001E62A8">
        <w:rPr>
          <w:rFonts w:hint="eastAsia"/>
        </w:rPr>
        <w:t>龐大土地資產</w:t>
      </w:r>
      <w:r w:rsidR="00FD45E6">
        <w:rPr>
          <w:rFonts w:hint="eastAsia"/>
        </w:rPr>
        <w:t>，對於限制外國人取得或移轉我國土地之政策，恐有造成負</w:t>
      </w:r>
      <w:r w:rsidR="00FD45E6">
        <w:rPr>
          <w:rFonts w:hint="eastAsia"/>
        </w:rPr>
        <w:lastRenderedPageBreak/>
        <w:t>面影響之疑慮</w:t>
      </w:r>
      <w:r w:rsidR="001E62A8" w:rsidRPr="001E62A8">
        <w:rPr>
          <w:rFonts w:hint="eastAsia"/>
        </w:rPr>
        <w:t>。</w:t>
      </w:r>
    </w:p>
    <w:p w:rsidR="001E62A8" w:rsidRDefault="001E62A8" w:rsidP="0089640C">
      <w:pPr>
        <w:pStyle w:val="3"/>
        <w:spacing w:line="460" w:lineRule="exact"/>
      </w:pPr>
      <w:r>
        <w:rPr>
          <w:rFonts w:hint="eastAsia"/>
        </w:rPr>
        <w:t>綜上，</w:t>
      </w:r>
      <w:r w:rsidR="003518C0" w:rsidRPr="003518C0">
        <w:rPr>
          <w:rFonts w:hint="eastAsia"/>
        </w:rPr>
        <w:t>南和興產公司係依我國公司法設立之公司，縱其由外資公司取得過半股權，仍屬本國法人，從而依現行土地法相關規定，可得免受該法第17條至24條有關外國人地權規定之限制。惟依前揭規定，外資</w:t>
      </w:r>
      <w:proofErr w:type="gramStart"/>
      <w:r w:rsidR="003518C0" w:rsidRPr="003518C0">
        <w:rPr>
          <w:rFonts w:hint="eastAsia"/>
        </w:rPr>
        <w:t>已得藉由</w:t>
      </w:r>
      <w:proofErr w:type="gramEnd"/>
      <w:r w:rsidR="003518C0" w:rsidRPr="003518C0">
        <w:rPr>
          <w:rFonts w:hint="eastAsia"/>
        </w:rPr>
        <w:t>購買本國公司過半比例股權，取得經營權後，再處分入股公司原所持有土地之方式，以規避土地法就外國人地權規定限制，容不無檢討必要</w:t>
      </w:r>
      <w:r w:rsidR="008501F2" w:rsidRPr="003518C0">
        <w:rPr>
          <w:rFonts w:hint="eastAsia"/>
        </w:rPr>
        <w:t>。</w:t>
      </w:r>
    </w:p>
    <w:p w:rsidR="008501F2" w:rsidRDefault="008501F2" w:rsidP="0089640C">
      <w:pPr>
        <w:pStyle w:val="3"/>
        <w:numPr>
          <w:ilvl w:val="0"/>
          <w:numId w:val="0"/>
        </w:numPr>
        <w:spacing w:line="460" w:lineRule="exact"/>
        <w:ind w:left="1361"/>
      </w:pPr>
    </w:p>
    <w:p w:rsidR="003A5927" w:rsidRPr="00972208" w:rsidRDefault="00665B30" w:rsidP="0089640C">
      <w:pPr>
        <w:pStyle w:val="2"/>
        <w:spacing w:line="460" w:lineRule="exact"/>
        <w:rPr>
          <w:b/>
        </w:rPr>
      </w:pPr>
      <w:r w:rsidRPr="00665B30">
        <w:rPr>
          <w:b/>
        </w:rPr>
        <w:t>德高置地第</w:t>
      </w:r>
      <w:r w:rsidRPr="00665B30">
        <w:rPr>
          <w:rFonts w:hint="eastAsia"/>
          <w:b/>
        </w:rPr>
        <w:t>三股份有限</w:t>
      </w:r>
      <w:r w:rsidRPr="00665B30">
        <w:rPr>
          <w:b/>
        </w:rPr>
        <w:t>公司</w:t>
      </w:r>
      <w:r w:rsidRPr="00665B30">
        <w:rPr>
          <w:rFonts w:hint="eastAsia"/>
          <w:b/>
        </w:rPr>
        <w:t>於</w:t>
      </w:r>
      <w:r w:rsidRPr="00665B30">
        <w:rPr>
          <w:b/>
        </w:rPr>
        <w:t>104</w:t>
      </w:r>
      <w:r w:rsidRPr="00665B30">
        <w:rPr>
          <w:rFonts w:hint="eastAsia"/>
          <w:b/>
        </w:rPr>
        <w:t>年</w:t>
      </w:r>
      <w:r w:rsidRPr="00665B30">
        <w:rPr>
          <w:b/>
        </w:rPr>
        <w:t>2</w:t>
      </w:r>
      <w:r w:rsidRPr="00665B30">
        <w:rPr>
          <w:rFonts w:hint="eastAsia"/>
          <w:b/>
        </w:rPr>
        <w:t>月4日再申請增加轉投資南和興產公司，雖經投審會104年2月6日</w:t>
      </w:r>
      <w:r w:rsidR="00D61F10">
        <w:rPr>
          <w:rFonts w:hint="eastAsia"/>
          <w:b/>
        </w:rPr>
        <w:t>核准。</w:t>
      </w:r>
      <w:r w:rsidRPr="00665B30">
        <w:rPr>
          <w:rFonts w:hint="eastAsia"/>
          <w:b/>
        </w:rPr>
        <w:t>惟依財政部查復資料，前揭增加轉投資之股票交易行為，係於104年1月中</w:t>
      </w:r>
      <w:r w:rsidR="00C85C3F">
        <w:rPr>
          <w:rFonts w:hint="eastAsia"/>
          <w:b/>
        </w:rPr>
        <w:t>、下</w:t>
      </w:r>
      <w:r w:rsidRPr="00665B30">
        <w:rPr>
          <w:rFonts w:hint="eastAsia"/>
          <w:b/>
        </w:rPr>
        <w:t>旬即陸續完成，</w:t>
      </w:r>
      <w:proofErr w:type="gramStart"/>
      <w:r w:rsidRPr="00665B30">
        <w:rPr>
          <w:rFonts w:hint="eastAsia"/>
          <w:b/>
        </w:rPr>
        <w:t>爰</w:t>
      </w:r>
      <w:proofErr w:type="gramEnd"/>
      <w:r w:rsidRPr="00665B30">
        <w:rPr>
          <w:rFonts w:hint="eastAsia"/>
          <w:b/>
        </w:rPr>
        <w:t>投</w:t>
      </w:r>
      <w:proofErr w:type="gramStart"/>
      <w:r w:rsidRPr="00665B30">
        <w:rPr>
          <w:rFonts w:hint="eastAsia"/>
          <w:b/>
        </w:rPr>
        <w:t>審會允應</w:t>
      </w:r>
      <w:proofErr w:type="gramEnd"/>
      <w:r w:rsidRPr="00665B30">
        <w:rPr>
          <w:rFonts w:hint="eastAsia"/>
          <w:b/>
        </w:rPr>
        <w:t>查核前揭轉投資行為</w:t>
      </w:r>
      <w:r w:rsidR="00D61F10">
        <w:rPr>
          <w:rFonts w:hint="eastAsia"/>
          <w:b/>
        </w:rPr>
        <w:t>，</w:t>
      </w:r>
      <w:r w:rsidRPr="00665B30">
        <w:rPr>
          <w:rFonts w:hint="eastAsia"/>
          <w:b/>
        </w:rPr>
        <w:t>是否有違反外國人投資規定並</w:t>
      </w:r>
      <w:proofErr w:type="gramStart"/>
      <w:r w:rsidRPr="00665B30">
        <w:rPr>
          <w:rFonts w:hint="eastAsia"/>
          <w:b/>
        </w:rPr>
        <w:t>依法妥處</w:t>
      </w:r>
      <w:proofErr w:type="gramEnd"/>
      <w:r w:rsidRPr="00665B30">
        <w:rPr>
          <w:rFonts w:hint="eastAsia"/>
          <w:b/>
        </w:rPr>
        <w:t>，以維持外資投資國內事業之秩序及法令遵循性</w:t>
      </w:r>
      <w:r w:rsidR="002C42CF" w:rsidRPr="00972208">
        <w:rPr>
          <w:rFonts w:hint="eastAsia"/>
          <w:b/>
        </w:rPr>
        <w:t>。</w:t>
      </w:r>
    </w:p>
    <w:p w:rsidR="002C42CF" w:rsidRDefault="002C42CF" w:rsidP="0089640C">
      <w:pPr>
        <w:pStyle w:val="3"/>
        <w:spacing w:line="460" w:lineRule="exact"/>
      </w:pPr>
      <w:r>
        <w:rPr>
          <w:rFonts w:hint="eastAsia"/>
        </w:rPr>
        <w:t>外國人投資條例第5條、第18條規定：</w:t>
      </w:r>
      <w:r w:rsidRPr="004D149C">
        <w:rPr>
          <w:rFonts w:hint="eastAsia"/>
        </w:rPr>
        <w:t>「投資人持有所投資事業之股份或出資額，合計超過該事業之股份總數或資本總額三分之一者，其所投資事業之轉投資應經主管機關核准。」、「投資人違反本條例規定</w:t>
      </w:r>
      <w:r w:rsidR="00972208" w:rsidRPr="004D149C">
        <w:rPr>
          <w:rFonts w:hint="eastAsia"/>
        </w:rPr>
        <w:t>…</w:t>
      </w:r>
      <w:proofErr w:type="gramStart"/>
      <w:r w:rsidR="00972208" w:rsidRPr="004D149C">
        <w:rPr>
          <w:rFonts w:hint="eastAsia"/>
        </w:rPr>
        <w:t>…</w:t>
      </w:r>
      <w:proofErr w:type="gramEnd"/>
      <w:r w:rsidRPr="004D149C">
        <w:rPr>
          <w:rFonts w:hint="eastAsia"/>
        </w:rPr>
        <w:t>主</w:t>
      </w:r>
      <w:r>
        <w:rPr>
          <w:rFonts w:hint="eastAsia"/>
        </w:rPr>
        <w:t>管機關得依下列方式處分之：一、取消一定期間所得盈餘或孳息之結匯權利。二、撤銷其投資案，並取消本條例規定之權利。」</w:t>
      </w:r>
    </w:p>
    <w:p w:rsidR="00BD0447" w:rsidRPr="00BD0447" w:rsidRDefault="002C42CF" w:rsidP="0089640C">
      <w:pPr>
        <w:pStyle w:val="3"/>
        <w:spacing w:line="460" w:lineRule="exact"/>
        <w:rPr>
          <w:rFonts w:hAnsi="標楷體"/>
        </w:rPr>
      </w:pPr>
      <w:r w:rsidRPr="00BD0447">
        <w:rPr>
          <w:rFonts w:hAnsi="標楷體" w:hint="eastAsia"/>
        </w:rPr>
        <w:t>查</w:t>
      </w:r>
      <w:r w:rsidRPr="00BD0447">
        <w:rPr>
          <w:rFonts w:hAnsi="標楷體"/>
        </w:rPr>
        <w:t>德高置地第</w:t>
      </w:r>
      <w:r w:rsidRPr="00BD0447">
        <w:rPr>
          <w:rFonts w:hAnsi="標楷體" w:hint="eastAsia"/>
        </w:rPr>
        <w:t>三股份有限</w:t>
      </w:r>
      <w:r w:rsidRPr="00BD0447">
        <w:rPr>
          <w:rFonts w:hAnsi="標楷體"/>
        </w:rPr>
        <w:t>公司</w:t>
      </w:r>
      <w:r w:rsidRPr="00BD0447">
        <w:rPr>
          <w:rFonts w:hAnsi="標楷體" w:hint="eastAsia"/>
        </w:rPr>
        <w:t>，</w:t>
      </w:r>
      <w:r w:rsidRPr="00BD0447">
        <w:rPr>
          <w:rFonts w:hAnsi="標楷體"/>
        </w:rPr>
        <w:t>係境外投資人</w:t>
      </w:r>
      <w:r w:rsidR="00BD0447" w:rsidRPr="00BD0447">
        <w:rPr>
          <w:rFonts w:hAnsi="標楷體" w:hint="eastAsia"/>
        </w:rPr>
        <w:t>於</w:t>
      </w:r>
      <w:r w:rsidR="00BD0447" w:rsidRPr="00BD0447">
        <w:rPr>
          <w:rFonts w:hAnsi="標楷體" w:hint="eastAsia"/>
          <w:szCs w:val="28"/>
        </w:rPr>
        <w:t>103年7月7日申請匯入相當於</w:t>
      </w:r>
      <w:r w:rsidR="00B33978">
        <w:rPr>
          <w:rFonts w:hAnsi="標楷體" w:hint="eastAsia"/>
          <w:szCs w:val="28"/>
        </w:rPr>
        <w:t>○</w:t>
      </w:r>
      <w:r w:rsidR="00BD0447" w:rsidRPr="00BD0447">
        <w:rPr>
          <w:rFonts w:hAnsi="標楷體" w:hint="eastAsia"/>
          <w:szCs w:val="28"/>
        </w:rPr>
        <w:t>元等值之外幣作為股本，持股100</w:t>
      </w:r>
      <w:proofErr w:type="gramStart"/>
      <w:r w:rsidR="00BD0447" w:rsidRPr="00BD0447">
        <w:rPr>
          <w:rFonts w:hAnsi="標楷體" w:hint="eastAsia"/>
          <w:szCs w:val="28"/>
        </w:rPr>
        <w:t>﹪</w:t>
      </w:r>
      <w:proofErr w:type="gramEnd"/>
      <w:r w:rsidR="00BD0447" w:rsidRPr="00BD0447">
        <w:rPr>
          <w:rFonts w:hAnsi="標楷體" w:hint="eastAsia"/>
          <w:szCs w:val="28"/>
        </w:rPr>
        <w:t>投資</w:t>
      </w:r>
      <w:r w:rsidRPr="00BD0447">
        <w:rPr>
          <w:rFonts w:hAnsi="標楷體" w:hint="eastAsia"/>
        </w:rPr>
        <w:t>設立</w:t>
      </w:r>
      <w:r w:rsidR="00BD0447" w:rsidRPr="00BD0447">
        <w:rPr>
          <w:rFonts w:hAnsi="標楷體" w:hint="eastAsia"/>
        </w:rPr>
        <w:t>之</w:t>
      </w:r>
      <w:r w:rsidRPr="00BD0447">
        <w:rPr>
          <w:rFonts w:hAnsi="標楷體"/>
        </w:rPr>
        <w:t>公司</w:t>
      </w:r>
      <w:r w:rsidR="00BD0447" w:rsidRPr="00BD0447">
        <w:rPr>
          <w:rFonts w:hAnsi="標楷體" w:hint="eastAsia"/>
        </w:rPr>
        <w:t>，並經投審會</w:t>
      </w:r>
      <w:r w:rsidR="00BD0447" w:rsidRPr="00BD0447">
        <w:rPr>
          <w:rFonts w:hAnsi="標楷體" w:cs="標楷體" w:hint="eastAsia"/>
          <w:kern w:val="0"/>
          <w:szCs w:val="28"/>
        </w:rPr>
        <w:t>於103年7月11日</w:t>
      </w:r>
      <w:r w:rsidR="00B510F5">
        <w:rPr>
          <w:rFonts w:hAnsi="標楷體" w:hint="eastAsia"/>
          <w:szCs w:val="28"/>
        </w:rPr>
        <w:t>函</w:t>
      </w:r>
      <w:r w:rsidR="00C85C3F">
        <w:rPr>
          <w:rFonts w:hAnsi="標楷體" w:hint="eastAsia"/>
          <w:szCs w:val="28"/>
        </w:rPr>
        <w:t>予以核准</w:t>
      </w:r>
      <w:r w:rsidR="00BD0447" w:rsidRPr="00BD0447">
        <w:rPr>
          <w:rFonts w:hAnsi="標楷體" w:hint="eastAsia"/>
          <w:szCs w:val="28"/>
        </w:rPr>
        <w:t>在案</w:t>
      </w:r>
      <w:r w:rsidRPr="00BD0447">
        <w:rPr>
          <w:rFonts w:hAnsi="標楷體" w:hint="eastAsia"/>
        </w:rPr>
        <w:t>。</w:t>
      </w:r>
      <w:proofErr w:type="gramStart"/>
      <w:r w:rsidR="00BD0447" w:rsidRPr="00BD0447">
        <w:rPr>
          <w:rFonts w:hAnsi="標楷體" w:hint="eastAsia"/>
        </w:rPr>
        <w:t>嗣</w:t>
      </w:r>
      <w:proofErr w:type="gramEnd"/>
      <w:r w:rsidR="00BD0447" w:rsidRPr="00BD0447">
        <w:rPr>
          <w:rFonts w:hAnsi="標楷體" w:hint="eastAsia"/>
        </w:rPr>
        <w:t>境外投資人再於</w:t>
      </w:r>
      <w:r w:rsidR="00972208">
        <w:rPr>
          <w:rFonts w:hAnsi="標楷體" w:hint="eastAsia"/>
          <w:szCs w:val="28"/>
        </w:rPr>
        <w:t>1</w:t>
      </w:r>
      <w:r w:rsidR="00BD0447" w:rsidRPr="00BD0447">
        <w:rPr>
          <w:rFonts w:hAnsi="標楷體" w:hint="eastAsia"/>
          <w:szCs w:val="28"/>
        </w:rPr>
        <w:t>03年10月7日申請匯入相當於</w:t>
      </w:r>
      <w:r w:rsidR="00B510F5">
        <w:rPr>
          <w:rFonts w:hAnsi="標楷體" w:hint="eastAsia"/>
          <w:szCs w:val="28"/>
        </w:rPr>
        <w:t>○</w:t>
      </w:r>
      <w:r w:rsidR="00BD0447" w:rsidRPr="00BD0447">
        <w:rPr>
          <w:rFonts w:hAnsi="標楷體" w:hint="eastAsia"/>
          <w:szCs w:val="28"/>
        </w:rPr>
        <w:t>元等值之外幣作為股</w:t>
      </w:r>
      <w:r w:rsidR="00BD0447" w:rsidRPr="00BD0447">
        <w:rPr>
          <w:rFonts w:hAnsi="標楷體" w:hint="eastAsia"/>
          <w:szCs w:val="28"/>
        </w:rPr>
        <w:lastRenderedPageBreak/>
        <w:t>本投資，用以認購德高置地第三股份有限公司現金增資股份</w:t>
      </w:r>
      <w:r w:rsidR="00B510F5">
        <w:rPr>
          <w:rFonts w:hAnsi="標楷體" w:hint="eastAsia"/>
          <w:szCs w:val="28"/>
        </w:rPr>
        <w:t>○</w:t>
      </w:r>
      <w:r w:rsidR="00BD0447" w:rsidRPr="00BD0447">
        <w:rPr>
          <w:rFonts w:hAnsi="標楷體" w:hint="eastAsia"/>
          <w:szCs w:val="28"/>
        </w:rPr>
        <w:t>股，同時申請轉投資南和興產公司，亦經投審會</w:t>
      </w:r>
      <w:r w:rsidR="00BD0447" w:rsidRPr="00BD0447">
        <w:rPr>
          <w:rFonts w:hAnsi="標楷體" w:hint="eastAsia"/>
        </w:rPr>
        <w:t>103年11月26日函核准在案</w:t>
      </w:r>
      <w:r w:rsidR="00665B30">
        <w:rPr>
          <w:rFonts w:hAnsi="標楷體" w:hint="eastAsia"/>
        </w:rPr>
        <w:t>，相關轉投資行為並於103年12月間完成</w:t>
      </w:r>
      <w:r w:rsidR="00BD0447" w:rsidRPr="00BD0447">
        <w:rPr>
          <w:rFonts w:hAnsi="標楷體" w:hint="eastAsia"/>
        </w:rPr>
        <w:t>。</w:t>
      </w:r>
    </w:p>
    <w:p w:rsidR="002C42CF" w:rsidRDefault="00C85C3F" w:rsidP="0089640C">
      <w:pPr>
        <w:pStyle w:val="3"/>
        <w:spacing w:line="460" w:lineRule="exact"/>
      </w:pPr>
      <w:r>
        <w:rPr>
          <w:rFonts w:hint="eastAsia"/>
        </w:rPr>
        <w:t>次查</w:t>
      </w:r>
      <w:r w:rsidR="002C42CF">
        <w:t>德高置地第</w:t>
      </w:r>
      <w:r w:rsidR="002C42CF">
        <w:rPr>
          <w:rFonts w:hint="eastAsia"/>
        </w:rPr>
        <w:t>三股份有限</w:t>
      </w:r>
      <w:r w:rsidR="002C42CF" w:rsidRPr="00986C6C">
        <w:t>公司</w:t>
      </w:r>
      <w:r w:rsidR="002C42CF">
        <w:rPr>
          <w:rFonts w:hint="eastAsia"/>
        </w:rPr>
        <w:t>於</w:t>
      </w:r>
      <w:r w:rsidR="002C42CF" w:rsidRPr="00E15919">
        <w:t>104</w:t>
      </w:r>
      <w:r w:rsidR="002C42CF" w:rsidRPr="00E15919">
        <w:rPr>
          <w:rFonts w:hint="eastAsia"/>
        </w:rPr>
        <w:t>年</w:t>
      </w:r>
      <w:r w:rsidR="002C42CF" w:rsidRPr="00E15919">
        <w:t>2</w:t>
      </w:r>
      <w:r w:rsidR="002C42CF" w:rsidRPr="00E15919">
        <w:rPr>
          <w:rFonts w:hint="eastAsia"/>
        </w:rPr>
        <w:t>月4日</w:t>
      </w:r>
      <w:r w:rsidR="002C42CF">
        <w:rPr>
          <w:rFonts w:hint="eastAsia"/>
        </w:rPr>
        <w:t>再</w:t>
      </w:r>
      <w:r w:rsidR="002C42CF" w:rsidRPr="00E15919">
        <w:rPr>
          <w:rFonts w:hint="eastAsia"/>
        </w:rPr>
        <w:t>申請增加轉投資南和興產公司持股</w:t>
      </w:r>
      <w:r w:rsidR="00B510F5">
        <w:rPr>
          <w:rFonts w:hint="eastAsia"/>
        </w:rPr>
        <w:t>○</w:t>
      </w:r>
      <w:r w:rsidR="002C42CF" w:rsidRPr="00E15919">
        <w:rPr>
          <w:rFonts w:hint="eastAsia"/>
        </w:rPr>
        <w:t>股，</w:t>
      </w:r>
      <w:r w:rsidR="00972208">
        <w:rPr>
          <w:rFonts w:hint="eastAsia"/>
        </w:rPr>
        <w:t>雖</w:t>
      </w:r>
      <w:r w:rsidR="002C42CF" w:rsidRPr="00E15919">
        <w:rPr>
          <w:rFonts w:hint="eastAsia"/>
        </w:rPr>
        <w:t>經投審會</w:t>
      </w:r>
      <w:r w:rsidR="002C42CF">
        <w:rPr>
          <w:rFonts w:hint="eastAsia"/>
        </w:rPr>
        <w:t>1</w:t>
      </w:r>
      <w:r w:rsidR="002C42CF" w:rsidRPr="001C1993">
        <w:rPr>
          <w:rFonts w:hint="eastAsia"/>
        </w:rPr>
        <w:t>04年</w:t>
      </w:r>
      <w:r w:rsidR="002C42CF">
        <w:rPr>
          <w:rFonts w:hint="eastAsia"/>
        </w:rPr>
        <w:t>2</w:t>
      </w:r>
      <w:r w:rsidR="002C42CF" w:rsidRPr="001C1993">
        <w:rPr>
          <w:rFonts w:hint="eastAsia"/>
        </w:rPr>
        <w:t>月</w:t>
      </w:r>
      <w:r w:rsidR="002C42CF">
        <w:rPr>
          <w:rFonts w:hint="eastAsia"/>
        </w:rPr>
        <w:t>6日函核准在案</w:t>
      </w:r>
      <w:r w:rsidR="00972208">
        <w:rPr>
          <w:rFonts w:hint="eastAsia"/>
        </w:rPr>
        <w:t>。</w:t>
      </w:r>
      <w:r w:rsidR="00D61F10">
        <w:rPr>
          <w:rFonts w:hint="eastAsia"/>
        </w:rPr>
        <w:t>然</w:t>
      </w:r>
      <w:r w:rsidR="00972208">
        <w:rPr>
          <w:rFonts w:hint="eastAsia"/>
        </w:rPr>
        <w:t>依財政部查復資料</w:t>
      </w:r>
      <w:r w:rsidR="00232CC7">
        <w:rPr>
          <w:rFonts w:hint="eastAsia"/>
        </w:rPr>
        <w:t>，</w:t>
      </w:r>
      <w:r w:rsidR="00972208">
        <w:rPr>
          <w:rFonts w:hint="eastAsia"/>
        </w:rPr>
        <w:t>前揭股票交易</w:t>
      </w:r>
      <w:proofErr w:type="gramStart"/>
      <w:r w:rsidR="00972208">
        <w:rPr>
          <w:rFonts w:hint="eastAsia"/>
        </w:rPr>
        <w:t>行為均</w:t>
      </w:r>
      <w:r w:rsidR="00665B30">
        <w:rPr>
          <w:rFonts w:hint="eastAsia"/>
        </w:rPr>
        <w:t>早</w:t>
      </w:r>
      <w:r w:rsidR="00972208">
        <w:rPr>
          <w:rFonts w:hint="eastAsia"/>
        </w:rPr>
        <w:t>於</w:t>
      </w:r>
      <w:proofErr w:type="gramEnd"/>
      <w:r w:rsidR="00E5366D">
        <w:rPr>
          <w:rFonts w:hint="eastAsia"/>
        </w:rPr>
        <w:t>104年1月</w:t>
      </w:r>
      <w:r w:rsidR="00972208">
        <w:rPr>
          <w:rFonts w:hint="eastAsia"/>
        </w:rPr>
        <w:t>中</w:t>
      </w:r>
      <w:r>
        <w:rPr>
          <w:rFonts w:hint="eastAsia"/>
        </w:rPr>
        <w:t>、下</w:t>
      </w:r>
      <w:r w:rsidR="00972208">
        <w:rPr>
          <w:rFonts w:hint="eastAsia"/>
        </w:rPr>
        <w:t>旬</w:t>
      </w:r>
      <w:r w:rsidR="00665B30">
        <w:rPr>
          <w:rFonts w:hint="eastAsia"/>
        </w:rPr>
        <w:t>即已</w:t>
      </w:r>
      <w:r w:rsidR="00972208">
        <w:rPr>
          <w:rFonts w:hint="eastAsia"/>
        </w:rPr>
        <w:t>完成</w:t>
      </w:r>
      <w:r w:rsidR="00E5366D">
        <w:rPr>
          <w:rFonts w:hint="eastAsia"/>
        </w:rPr>
        <w:t>，該公司</w:t>
      </w:r>
      <w:r w:rsidR="00C84A6B">
        <w:rPr>
          <w:rFonts w:hint="eastAsia"/>
        </w:rPr>
        <w:t>增加</w:t>
      </w:r>
      <w:r w:rsidR="00665B30">
        <w:rPr>
          <w:rFonts w:hint="eastAsia"/>
        </w:rPr>
        <w:t>轉</w:t>
      </w:r>
      <w:r w:rsidR="00E5366D">
        <w:rPr>
          <w:rFonts w:hint="eastAsia"/>
        </w:rPr>
        <w:t>投資</w:t>
      </w:r>
      <w:r w:rsidR="00C84A6B">
        <w:rPr>
          <w:rFonts w:hint="eastAsia"/>
        </w:rPr>
        <w:t>之</w:t>
      </w:r>
      <w:r w:rsidR="00E5366D">
        <w:rPr>
          <w:rFonts w:hint="eastAsia"/>
        </w:rPr>
        <w:t>行為</w:t>
      </w:r>
      <w:r w:rsidR="00665B30">
        <w:rPr>
          <w:rFonts w:hint="eastAsia"/>
        </w:rPr>
        <w:t>，</w:t>
      </w:r>
      <w:r w:rsidR="00E5366D">
        <w:rPr>
          <w:rFonts w:hint="eastAsia"/>
        </w:rPr>
        <w:t>似</w:t>
      </w:r>
      <w:r w:rsidR="00C84A6B">
        <w:rPr>
          <w:rFonts w:hint="eastAsia"/>
        </w:rPr>
        <w:t>有於投審會核准前即</w:t>
      </w:r>
      <w:r w:rsidR="00E5366D">
        <w:rPr>
          <w:rFonts w:hint="eastAsia"/>
        </w:rPr>
        <w:t>完成</w:t>
      </w:r>
      <w:r w:rsidR="00C84A6B">
        <w:rPr>
          <w:rFonts w:hint="eastAsia"/>
        </w:rPr>
        <w:t>之嫌</w:t>
      </w:r>
      <w:r w:rsidR="002C42CF">
        <w:rPr>
          <w:rFonts w:hint="eastAsia"/>
        </w:rPr>
        <w:t>。</w:t>
      </w:r>
    </w:p>
    <w:p w:rsidR="00E5366D" w:rsidRDefault="00E5366D" w:rsidP="0089640C">
      <w:pPr>
        <w:pStyle w:val="3"/>
        <w:spacing w:line="460" w:lineRule="exact"/>
      </w:pPr>
      <w:r>
        <w:rPr>
          <w:rFonts w:hint="eastAsia"/>
        </w:rPr>
        <w:t>綜上，</w:t>
      </w:r>
      <w:r w:rsidR="00D61F10" w:rsidRPr="00D61F10">
        <w:t>德高置地第</w:t>
      </w:r>
      <w:r w:rsidR="00D61F10" w:rsidRPr="00D61F10">
        <w:rPr>
          <w:rFonts w:hint="eastAsia"/>
        </w:rPr>
        <w:t>三股份有限</w:t>
      </w:r>
      <w:r w:rsidR="00D61F10" w:rsidRPr="00D61F10">
        <w:t>公司</w:t>
      </w:r>
      <w:r w:rsidR="00D61F10" w:rsidRPr="00D61F10">
        <w:rPr>
          <w:rFonts w:hint="eastAsia"/>
        </w:rPr>
        <w:t>於</w:t>
      </w:r>
      <w:r w:rsidR="00D61F10" w:rsidRPr="00D61F10">
        <w:t>104</w:t>
      </w:r>
      <w:r w:rsidR="00D61F10" w:rsidRPr="00D61F10">
        <w:rPr>
          <w:rFonts w:hint="eastAsia"/>
        </w:rPr>
        <w:t>年</w:t>
      </w:r>
      <w:r w:rsidR="00D61F10" w:rsidRPr="00D61F10">
        <w:t>2</w:t>
      </w:r>
      <w:r w:rsidR="00D61F10" w:rsidRPr="00D61F10">
        <w:rPr>
          <w:rFonts w:hint="eastAsia"/>
        </w:rPr>
        <w:t>月4日再申請增加轉投資南和興產公司，雖經投審會104年2月6日核准。惟依財政部查復資料，前揭增加轉投資之股票交易行為，係於104年1月中</w:t>
      </w:r>
      <w:r w:rsidR="00C85C3F">
        <w:rPr>
          <w:rFonts w:hint="eastAsia"/>
        </w:rPr>
        <w:t>、下</w:t>
      </w:r>
      <w:r w:rsidR="00D61F10" w:rsidRPr="00D61F10">
        <w:rPr>
          <w:rFonts w:hint="eastAsia"/>
        </w:rPr>
        <w:t>旬即陸續完成，</w:t>
      </w:r>
      <w:proofErr w:type="gramStart"/>
      <w:r w:rsidR="00D61F10" w:rsidRPr="00D61F10">
        <w:rPr>
          <w:rFonts w:hint="eastAsia"/>
        </w:rPr>
        <w:t>爰</w:t>
      </w:r>
      <w:proofErr w:type="gramEnd"/>
      <w:r w:rsidR="00D61F10" w:rsidRPr="00D61F10">
        <w:rPr>
          <w:rFonts w:hint="eastAsia"/>
        </w:rPr>
        <w:t>投</w:t>
      </w:r>
      <w:proofErr w:type="gramStart"/>
      <w:r w:rsidR="00D61F10" w:rsidRPr="00D61F10">
        <w:rPr>
          <w:rFonts w:hint="eastAsia"/>
        </w:rPr>
        <w:t>審會允應</w:t>
      </w:r>
      <w:proofErr w:type="gramEnd"/>
      <w:r w:rsidR="00D61F10" w:rsidRPr="00D61F10">
        <w:rPr>
          <w:rFonts w:hint="eastAsia"/>
        </w:rPr>
        <w:t>查核前揭轉投資行為，是否有違反外國人投資規定並</w:t>
      </w:r>
      <w:proofErr w:type="gramStart"/>
      <w:r w:rsidR="00D61F10" w:rsidRPr="00D61F10">
        <w:rPr>
          <w:rFonts w:hint="eastAsia"/>
        </w:rPr>
        <w:t>依法妥處</w:t>
      </w:r>
      <w:proofErr w:type="gramEnd"/>
      <w:r w:rsidR="00D61F10" w:rsidRPr="00D61F10">
        <w:rPr>
          <w:rFonts w:hint="eastAsia"/>
        </w:rPr>
        <w:t>，以維持外資投資國內事業之秩序及法令遵循性</w:t>
      </w:r>
      <w:r>
        <w:rPr>
          <w:rFonts w:hint="eastAsia"/>
        </w:rPr>
        <w:t>。</w:t>
      </w:r>
    </w:p>
    <w:p w:rsidR="003A5927" w:rsidRDefault="003A5927" w:rsidP="00DE4238">
      <w:pPr>
        <w:pStyle w:val="32"/>
        <w:ind w:left="1361" w:firstLine="680"/>
      </w:pPr>
    </w:p>
    <w:p w:rsidR="008E4DE2" w:rsidRDefault="008E4DE2">
      <w:pPr>
        <w:widowControl/>
        <w:overflowPunct/>
        <w:autoSpaceDE/>
        <w:autoSpaceDN/>
        <w:jc w:val="left"/>
        <w:rPr>
          <w:rFonts w:hAnsi="Arial"/>
          <w:bCs/>
          <w:kern w:val="32"/>
          <w:szCs w:val="52"/>
        </w:rPr>
      </w:pPr>
      <w:bookmarkStart w:id="50" w:name="_Toc529222689"/>
      <w:bookmarkStart w:id="51" w:name="_Toc529223111"/>
      <w:bookmarkStart w:id="52" w:name="_Toc529223862"/>
      <w:bookmarkStart w:id="53" w:name="_Toc529228265"/>
      <w:bookmarkStart w:id="54" w:name="_Toc2400395"/>
      <w:bookmarkStart w:id="55" w:name="_Toc4316189"/>
      <w:bookmarkStart w:id="56" w:name="_Toc4473330"/>
      <w:bookmarkStart w:id="57" w:name="_Toc69556897"/>
      <w:bookmarkStart w:id="58" w:name="_Toc69556946"/>
      <w:bookmarkStart w:id="59" w:name="_Toc69609820"/>
      <w:bookmarkStart w:id="60" w:name="_Toc70241816"/>
      <w:bookmarkStart w:id="61" w:name="_Toc70242205"/>
      <w:bookmarkStart w:id="62" w:name="_Toc421794875"/>
      <w:bookmarkStart w:id="63" w:name="_Toc422834160"/>
      <w:r>
        <w:br w:type="page"/>
      </w:r>
    </w:p>
    <w:p w:rsidR="008E4DE2" w:rsidRDefault="008E4DE2" w:rsidP="008E4DE2">
      <w:pPr>
        <w:pStyle w:val="1"/>
        <w:numPr>
          <w:ilvl w:val="0"/>
          <w:numId w:val="1"/>
        </w:numPr>
        <w:ind w:left="2380" w:hanging="2380"/>
      </w:pPr>
      <w:bookmarkStart w:id="64" w:name="_GoBack"/>
      <w:bookmarkEnd w:id="64"/>
      <w:r>
        <w:rPr>
          <w:rFonts w:hint="eastAsia"/>
        </w:rPr>
        <w:lastRenderedPageBreak/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>
        <w:t xml:space="preserve"> </w:t>
      </w:r>
    </w:p>
    <w:p w:rsidR="008E4DE2" w:rsidRDefault="008E4DE2" w:rsidP="008E4DE2">
      <w:pPr>
        <w:pStyle w:val="2"/>
        <w:numPr>
          <w:ilvl w:val="1"/>
          <w:numId w:val="1"/>
        </w:numPr>
      </w:pPr>
      <w:bookmarkStart w:id="65" w:name="_Toc524895649"/>
      <w:bookmarkStart w:id="66" w:name="_Toc524896195"/>
      <w:bookmarkStart w:id="67" w:name="_Toc524896225"/>
      <w:bookmarkStart w:id="68" w:name="_Toc70241819"/>
      <w:bookmarkStart w:id="69" w:name="_Toc70242208"/>
      <w:bookmarkStart w:id="70" w:name="_Toc421794878"/>
      <w:bookmarkStart w:id="71" w:name="_Toc421795444"/>
      <w:bookmarkStart w:id="72" w:name="_Toc421796025"/>
      <w:bookmarkStart w:id="73" w:name="_Toc422728960"/>
      <w:bookmarkStart w:id="74" w:name="_Toc422834163"/>
      <w:bookmarkStart w:id="75" w:name="_Toc70241818"/>
      <w:bookmarkStart w:id="76" w:name="_Toc70242207"/>
      <w:bookmarkStart w:id="77" w:name="_Toc524902735"/>
      <w:bookmarkStart w:id="78" w:name="_Toc525066149"/>
      <w:bookmarkStart w:id="79" w:name="_Toc525070840"/>
      <w:bookmarkStart w:id="80" w:name="_Toc525938380"/>
      <w:bookmarkStart w:id="81" w:name="_Toc525939228"/>
      <w:bookmarkStart w:id="82" w:name="_Toc525939733"/>
      <w:bookmarkStart w:id="83" w:name="_Toc529218273"/>
      <w:bookmarkStart w:id="84" w:name="_Toc529222690"/>
      <w:bookmarkStart w:id="85" w:name="_Toc529223112"/>
      <w:bookmarkStart w:id="86" w:name="_Toc529223863"/>
      <w:bookmarkStart w:id="87" w:name="_Toc529228266"/>
      <w:bookmarkEnd w:id="65"/>
      <w:bookmarkEnd w:id="66"/>
      <w:bookmarkEnd w:id="67"/>
      <w:r>
        <w:rPr>
          <w:rFonts w:hint="eastAsia"/>
        </w:rPr>
        <w:t>抄調查意見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，密函請內政部參酌檢討</w:t>
      </w:r>
      <w:proofErr w:type="gramStart"/>
      <w:r>
        <w:rPr>
          <w:rFonts w:hint="eastAsia"/>
        </w:rPr>
        <w:t>見復。</w:t>
      </w:r>
      <w:bookmarkEnd w:id="68"/>
      <w:bookmarkEnd w:id="69"/>
      <w:bookmarkEnd w:id="70"/>
      <w:bookmarkEnd w:id="71"/>
      <w:bookmarkEnd w:id="72"/>
      <w:bookmarkEnd w:id="73"/>
      <w:bookmarkEnd w:id="74"/>
      <w:proofErr w:type="gramEnd"/>
    </w:p>
    <w:p w:rsidR="008E4DE2" w:rsidRDefault="008E4DE2" w:rsidP="008E4DE2">
      <w:pPr>
        <w:pStyle w:val="2"/>
        <w:numPr>
          <w:ilvl w:val="1"/>
          <w:numId w:val="1"/>
        </w:numPr>
      </w:pPr>
      <w:r>
        <w:rPr>
          <w:rFonts w:hint="eastAsia"/>
        </w:rPr>
        <w:t>抄調查意見四，密函請</w:t>
      </w:r>
      <w:r w:rsidRPr="008C432D">
        <w:rPr>
          <w:rFonts w:hint="eastAsia"/>
          <w:szCs w:val="32"/>
        </w:rPr>
        <w:t>經濟部投資審議委員會依法</w:t>
      </w:r>
      <w:proofErr w:type="gramStart"/>
      <w:r w:rsidRPr="008C432D">
        <w:rPr>
          <w:rFonts w:hint="eastAsia"/>
          <w:szCs w:val="32"/>
        </w:rPr>
        <w:t>妥處見復。</w:t>
      </w:r>
      <w:proofErr w:type="gramEnd"/>
    </w:p>
    <w:bookmarkEnd w:id="75"/>
    <w:bookmarkEnd w:id="76"/>
    <w:p w:rsidR="008E4DE2" w:rsidRDefault="008E4DE2" w:rsidP="008E4DE2">
      <w:pPr>
        <w:pStyle w:val="2"/>
        <w:numPr>
          <w:ilvl w:val="1"/>
          <w:numId w:val="1"/>
        </w:numPr>
      </w:pPr>
      <w:r>
        <w:rPr>
          <w:rFonts w:hint="eastAsia"/>
        </w:rPr>
        <w:t>本案因涉及納稅義務人之所得資料，依稅捐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徵法第33條規定，本院負有保密責任。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案由、調查意見及處理辦法涉及課稅等資料部分，予以適當隱匿後，函復陳訴人並公布。</w:t>
      </w:r>
    </w:p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p w:rsidR="008E4DE2" w:rsidRDefault="008E4DE2" w:rsidP="008E4DE2">
      <w:pPr>
        <w:pStyle w:val="2"/>
        <w:numPr>
          <w:ilvl w:val="0"/>
          <w:numId w:val="0"/>
        </w:numPr>
        <w:ind w:left="1021"/>
      </w:pPr>
    </w:p>
    <w:p w:rsidR="008E4DE2" w:rsidRDefault="008E4DE2" w:rsidP="008E4DE2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調查委員：高</w:t>
      </w:r>
      <w:proofErr w:type="gramStart"/>
      <w:r>
        <w:rPr>
          <w:rFonts w:hint="eastAsia"/>
          <w:b w:val="0"/>
          <w:bCs/>
          <w:snapToGrid/>
          <w:spacing w:val="12"/>
          <w:kern w:val="0"/>
          <w:sz w:val="40"/>
        </w:rPr>
        <w:t>涌</w:t>
      </w:r>
      <w:proofErr w:type="gramEnd"/>
      <w:r>
        <w:rPr>
          <w:rFonts w:hint="eastAsia"/>
          <w:b w:val="0"/>
          <w:bCs/>
          <w:snapToGrid/>
          <w:spacing w:val="12"/>
          <w:kern w:val="0"/>
          <w:sz w:val="40"/>
        </w:rPr>
        <w:t>誠</w:t>
      </w:r>
    </w:p>
    <w:p w:rsidR="008E4DE2" w:rsidRDefault="008E4DE2" w:rsidP="008E4DE2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8E4DE2" w:rsidRDefault="008E4DE2" w:rsidP="008E4DE2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  華  民  國　108　年　7　月　3　日</w:t>
      </w:r>
    </w:p>
    <w:p w:rsidR="003A5927" w:rsidRPr="008E4DE2" w:rsidRDefault="003A5927" w:rsidP="00DE4238">
      <w:pPr>
        <w:pStyle w:val="32"/>
        <w:ind w:left="1361" w:firstLine="680"/>
      </w:pPr>
    </w:p>
    <w:p w:rsidR="003A5927" w:rsidRDefault="003A5927" w:rsidP="00DE4238">
      <w:pPr>
        <w:pStyle w:val="32"/>
        <w:ind w:left="1361" w:firstLine="680"/>
      </w:pPr>
    </w:p>
    <w:p w:rsidR="003A5927" w:rsidRDefault="003A5927" w:rsidP="00DE4238">
      <w:pPr>
        <w:pStyle w:val="32"/>
        <w:ind w:left="1361" w:firstLine="680"/>
      </w:pPr>
    </w:p>
    <w:p w:rsidR="003A5927" w:rsidRDefault="003A5927" w:rsidP="00DE4238">
      <w:pPr>
        <w:pStyle w:val="32"/>
        <w:ind w:left="1361" w:firstLine="680"/>
      </w:pPr>
    </w:p>
    <w:bookmarkEnd w:id="49"/>
    <w:p w:rsidR="00416721" w:rsidRDefault="00416721" w:rsidP="00B510F5">
      <w:pPr>
        <w:pStyle w:val="1"/>
        <w:numPr>
          <w:ilvl w:val="0"/>
          <w:numId w:val="0"/>
        </w:numPr>
        <w:ind w:left="2380"/>
        <w:rPr>
          <w:bCs w:val="0"/>
        </w:rPr>
      </w:pPr>
    </w:p>
    <w:sectPr w:rsidR="00416721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D6" w:rsidRDefault="00B02DD6">
      <w:r>
        <w:separator/>
      </w:r>
    </w:p>
  </w:endnote>
  <w:endnote w:type="continuationSeparator" w:id="0">
    <w:p w:rsidR="00B02DD6" w:rsidRDefault="00B0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C2" w:rsidRDefault="00333CC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E4DE2">
      <w:rPr>
        <w:rStyle w:val="ac"/>
        <w:noProof/>
        <w:sz w:val="24"/>
      </w:rPr>
      <w:t>11</w:t>
    </w:r>
    <w:r>
      <w:rPr>
        <w:rStyle w:val="ac"/>
        <w:sz w:val="24"/>
      </w:rPr>
      <w:fldChar w:fldCharType="end"/>
    </w:r>
  </w:p>
  <w:p w:rsidR="00333CC2" w:rsidRDefault="00333CC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D6" w:rsidRDefault="00B02DD6">
      <w:r>
        <w:separator/>
      </w:r>
    </w:p>
  </w:footnote>
  <w:footnote w:type="continuationSeparator" w:id="0">
    <w:p w:rsidR="00B02DD6" w:rsidRDefault="00B02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867513"/>
    <w:multiLevelType w:val="hybridMultilevel"/>
    <w:tmpl w:val="6FFA5DBC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2">
    <w:nsid w:val="0FDF21CD"/>
    <w:multiLevelType w:val="hybridMultilevel"/>
    <w:tmpl w:val="18560138"/>
    <w:lvl w:ilvl="0" w:tplc="B03A1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0E010C"/>
    <w:multiLevelType w:val="multilevel"/>
    <w:tmpl w:val="E81C02D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5AA01FB"/>
    <w:multiLevelType w:val="hybridMultilevel"/>
    <w:tmpl w:val="6F06B7C4"/>
    <w:lvl w:ilvl="0" w:tplc="6A746AD0">
      <w:start w:val="1"/>
      <w:numFmt w:val="taiwaneseCountingThousand"/>
      <w:lvlText w:val="(%1)"/>
      <w:lvlJc w:val="left"/>
      <w:pPr>
        <w:ind w:left="622" w:hanging="480"/>
      </w:pPr>
      <w:rPr>
        <w:rFonts w:ascii="標楷體" w:eastAsia="標楷體" w:hAnsi="標楷體" w:hint="default"/>
      </w:rPr>
    </w:lvl>
    <w:lvl w:ilvl="1" w:tplc="42901D9C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972EC2"/>
    <w:multiLevelType w:val="hybridMultilevel"/>
    <w:tmpl w:val="40989B0C"/>
    <w:lvl w:ilvl="0" w:tplc="DFFC6830">
      <w:start w:val="1"/>
      <w:numFmt w:val="taiwaneseCountingThousand"/>
      <w:pStyle w:val="20"/>
      <w:lvlText w:val="(%1)"/>
      <w:lvlJc w:val="left"/>
      <w:pPr>
        <w:ind w:left="758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9A7D24">
      <w:start w:val="1"/>
      <w:numFmt w:val="taiwaneseCountingThousand"/>
      <w:lvlText w:val="%2、"/>
      <w:lvlJc w:val="left"/>
      <w:pPr>
        <w:ind w:left="147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9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C538BA"/>
    <w:multiLevelType w:val="hybridMultilevel"/>
    <w:tmpl w:val="3AC03590"/>
    <w:lvl w:ilvl="0" w:tplc="3D8EF372">
      <w:start w:val="1"/>
      <w:numFmt w:val="taiwaneseCountingThousand"/>
      <w:lvlText w:val="(%1)"/>
      <w:lvlJc w:val="left"/>
      <w:pPr>
        <w:ind w:left="622" w:hanging="480"/>
      </w:pPr>
      <w:rPr>
        <w:rFonts w:ascii="標楷體" w:eastAsia="標楷體" w:hAnsi="標楷體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>
    <w:nsid w:val="7E5B4F69"/>
    <w:multiLevelType w:val="multilevel"/>
    <w:tmpl w:val="82546F2A"/>
    <w:lvl w:ilvl="0">
      <w:start w:val="1"/>
      <w:numFmt w:val="taiwaneseCountingThousand"/>
      <w:pStyle w:val="10"/>
      <w:suff w:val="nothing"/>
      <w:lvlText w:val="%1、"/>
      <w:lvlJc w:val="left"/>
      <w:pPr>
        <w:ind w:left="555" w:hanging="554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u w:val="none"/>
        <w:vertAlign w:val="baseline"/>
      </w:rPr>
    </w:lvl>
    <w:lvl w:ilvl="1">
      <w:start w:val="1"/>
      <w:numFmt w:val="taiwaneseCountingThousand"/>
      <w:suff w:val="nothing"/>
      <w:lvlText w:val="(%2)"/>
      <w:lvlJc w:val="left"/>
      <w:pPr>
        <w:ind w:left="838" w:hanging="555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pStyle w:val="30"/>
      <w:suff w:val="nothing"/>
      <w:lvlText w:val="%3、"/>
      <w:lvlJc w:val="left"/>
      <w:pPr>
        <w:ind w:left="1122" w:hanging="420"/>
      </w:pPr>
      <w:rPr>
        <w:rFonts w:eastAsia="標楷體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pStyle w:val="40"/>
      <w:suff w:val="nothing"/>
      <w:lvlText w:val="(%4)"/>
      <w:lvlJc w:val="left"/>
      <w:pPr>
        <w:ind w:left="1405" w:hanging="419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u w:val="none"/>
        <w:vertAlign w:val="baseline"/>
        <w:em w:val="none"/>
      </w:rPr>
    </w:lvl>
    <w:lvl w:ilvl="4">
      <w:start w:val="1"/>
      <w:numFmt w:val="decimal"/>
      <w:pStyle w:val="50"/>
      <w:suff w:val="nothing"/>
      <w:lvlText w:val="&lt;%5&gt;"/>
      <w:lvlJc w:val="left"/>
      <w:pPr>
        <w:ind w:left="1689" w:hanging="42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u w:val="none"/>
        <w:vertAlign w:val="baseline"/>
        <w:em w:val="none"/>
      </w:rPr>
    </w:lvl>
    <w:lvl w:ilvl="5">
      <w:start w:val="1"/>
      <w:numFmt w:val="none"/>
      <w:lvlText w:val="%6"/>
      <w:lvlJc w:val="right"/>
      <w:pPr>
        <w:ind w:left="2889" w:hanging="480"/>
      </w:pPr>
      <w:rPr>
        <w:rFonts w:hint="eastAsia"/>
      </w:rPr>
    </w:lvl>
    <w:lvl w:ilvl="6">
      <w:start w:val="1"/>
      <w:numFmt w:val="none"/>
      <w:lvlText w:val="%7"/>
      <w:lvlJc w:val="left"/>
      <w:pPr>
        <w:ind w:left="3369" w:hanging="480"/>
      </w:pPr>
      <w:rPr>
        <w:rFonts w:hint="eastAsia"/>
      </w:rPr>
    </w:lvl>
    <w:lvl w:ilvl="7">
      <w:start w:val="1"/>
      <w:numFmt w:val="none"/>
      <w:lvlText w:val="%8"/>
      <w:lvlJc w:val="left"/>
      <w:pPr>
        <w:ind w:left="3849" w:hanging="480"/>
      </w:pPr>
      <w:rPr>
        <w:rFonts w:hint="eastAsia"/>
      </w:rPr>
    </w:lvl>
    <w:lvl w:ilvl="8">
      <w:start w:val="1"/>
      <w:numFmt w:val="none"/>
      <w:lvlText w:val="%9"/>
      <w:lvlJc w:val="right"/>
      <w:pPr>
        <w:ind w:left="4329" w:hanging="48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3"/>
  </w:num>
  <w:num w:numId="21">
    <w:abstractNumId w:val="4"/>
  </w:num>
  <w:num w:numId="22">
    <w:abstractNumId w:val="10"/>
  </w:num>
  <w:num w:numId="23">
    <w:abstractNumId w:val="7"/>
  </w:num>
  <w:num w:numId="24">
    <w:abstractNumId w:val="11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12"/>
  </w:num>
  <w:num w:numId="30">
    <w:abstractNumId w:val="9"/>
  </w:num>
  <w:num w:numId="31">
    <w:abstractNumId w:val="9"/>
  </w:num>
  <w:num w:numId="32">
    <w:abstractNumId w:val="3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4"/>
  </w:num>
  <w:num w:numId="36">
    <w:abstractNumId w:val="8"/>
  </w:num>
  <w:num w:numId="37">
    <w:abstractNumId w:val="13"/>
  </w:num>
  <w:num w:numId="38">
    <w:abstractNumId w:val="1"/>
  </w:num>
  <w:num w:numId="39">
    <w:abstractNumId w:val="5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"/>
  </w:num>
  <w:num w:numId="43">
    <w:abstractNumId w:val="3"/>
  </w:num>
  <w:num w:numId="44">
    <w:abstractNumId w:val="3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</w:num>
  <w:num w:numId="48">
    <w:abstractNumId w:val="3"/>
  </w:num>
  <w:num w:numId="4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2202"/>
    <w:rsid w:val="00006961"/>
    <w:rsid w:val="000112BF"/>
    <w:rsid w:val="00012233"/>
    <w:rsid w:val="00013066"/>
    <w:rsid w:val="0001543C"/>
    <w:rsid w:val="00017318"/>
    <w:rsid w:val="000229AD"/>
    <w:rsid w:val="000246F7"/>
    <w:rsid w:val="0003114D"/>
    <w:rsid w:val="00036D76"/>
    <w:rsid w:val="00047A72"/>
    <w:rsid w:val="00051290"/>
    <w:rsid w:val="00055694"/>
    <w:rsid w:val="00057F32"/>
    <w:rsid w:val="00062A25"/>
    <w:rsid w:val="00067734"/>
    <w:rsid w:val="00073CB5"/>
    <w:rsid w:val="0007425C"/>
    <w:rsid w:val="000762A9"/>
    <w:rsid w:val="00077553"/>
    <w:rsid w:val="000851A2"/>
    <w:rsid w:val="00085BE5"/>
    <w:rsid w:val="000911AF"/>
    <w:rsid w:val="0009352E"/>
    <w:rsid w:val="00096B96"/>
    <w:rsid w:val="000A2F3F"/>
    <w:rsid w:val="000B0B4A"/>
    <w:rsid w:val="000B279A"/>
    <w:rsid w:val="000B28A9"/>
    <w:rsid w:val="000B2D65"/>
    <w:rsid w:val="000B61D2"/>
    <w:rsid w:val="000B70A7"/>
    <w:rsid w:val="000B73DD"/>
    <w:rsid w:val="000C495F"/>
    <w:rsid w:val="000D0AD7"/>
    <w:rsid w:val="000D66D9"/>
    <w:rsid w:val="000E6431"/>
    <w:rsid w:val="000E661C"/>
    <w:rsid w:val="000E6CAC"/>
    <w:rsid w:val="000F21A5"/>
    <w:rsid w:val="000F48D3"/>
    <w:rsid w:val="00102B9F"/>
    <w:rsid w:val="00112637"/>
    <w:rsid w:val="00112ABC"/>
    <w:rsid w:val="0012001E"/>
    <w:rsid w:val="00126A55"/>
    <w:rsid w:val="00130822"/>
    <w:rsid w:val="00133F08"/>
    <w:rsid w:val="001345E6"/>
    <w:rsid w:val="001378B0"/>
    <w:rsid w:val="0014189E"/>
    <w:rsid w:val="00142E00"/>
    <w:rsid w:val="00146D1C"/>
    <w:rsid w:val="00152793"/>
    <w:rsid w:val="00153B7E"/>
    <w:rsid w:val="001545A9"/>
    <w:rsid w:val="001637C7"/>
    <w:rsid w:val="001642B0"/>
    <w:rsid w:val="0016480E"/>
    <w:rsid w:val="00174297"/>
    <w:rsid w:val="00180E06"/>
    <w:rsid w:val="001817B3"/>
    <w:rsid w:val="00183014"/>
    <w:rsid w:val="00191325"/>
    <w:rsid w:val="001959C2"/>
    <w:rsid w:val="001A51E3"/>
    <w:rsid w:val="001A7968"/>
    <w:rsid w:val="001B2E98"/>
    <w:rsid w:val="001B3483"/>
    <w:rsid w:val="001B3C1E"/>
    <w:rsid w:val="001B4494"/>
    <w:rsid w:val="001C0D8B"/>
    <w:rsid w:val="001C0DA8"/>
    <w:rsid w:val="001D3AD2"/>
    <w:rsid w:val="001D4AD7"/>
    <w:rsid w:val="001D7681"/>
    <w:rsid w:val="001E0D8A"/>
    <w:rsid w:val="001E62A8"/>
    <w:rsid w:val="001E67BA"/>
    <w:rsid w:val="001E74C2"/>
    <w:rsid w:val="001F4F82"/>
    <w:rsid w:val="001F5A48"/>
    <w:rsid w:val="001F6260"/>
    <w:rsid w:val="001F62FF"/>
    <w:rsid w:val="001F6C7C"/>
    <w:rsid w:val="00200007"/>
    <w:rsid w:val="002030A5"/>
    <w:rsid w:val="00203131"/>
    <w:rsid w:val="002113E4"/>
    <w:rsid w:val="00212E88"/>
    <w:rsid w:val="00213C9C"/>
    <w:rsid w:val="00215906"/>
    <w:rsid w:val="0022009E"/>
    <w:rsid w:val="00223241"/>
    <w:rsid w:val="0022425C"/>
    <w:rsid w:val="002246DE"/>
    <w:rsid w:val="00232CC7"/>
    <w:rsid w:val="002429E2"/>
    <w:rsid w:val="0024731C"/>
    <w:rsid w:val="00252BC4"/>
    <w:rsid w:val="00254014"/>
    <w:rsid w:val="00254B39"/>
    <w:rsid w:val="0026504D"/>
    <w:rsid w:val="00273A2F"/>
    <w:rsid w:val="00280986"/>
    <w:rsid w:val="00281ECE"/>
    <w:rsid w:val="002831C7"/>
    <w:rsid w:val="002840C6"/>
    <w:rsid w:val="0029315B"/>
    <w:rsid w:val="00295174"/>
    <w:rsid w:val="00296172"/>
    <w:rsid w:val="00296B92"/>
    <w:rsid w:val="002A2C22"/>
    <w:rsid w:val="002A6CE5"/>
    <w:rsid w:val="002B02EB"/>
    <w:rsid w:val="002C0602"/>
    <w:rsid w:val="002C42CF"/>
    <w:rsid w:val="002D05B1"/>
    <w:rsid w:val="002D5C16"/>
    <w:rsid w:val="002E31E2"/>
    <w:rsid w:val="002E70EC"/>
    <w:rsid w:val="002F2476"/>
    <w:rsid w:val="002F3DFF"/>
    <w:rsid w:val="002F5E05"/>
    <w:rsid w:val="003009DB"/>
    <w:rsid w:val="003063C8"/>
    <w:rsid w:val="00306449"/>
    <w:rsid w:val="00307A76"/>
    <w:rsid w:val="0031455E"/>
    <w:rsid w:val="00315A16"/>
    <w:rsid w:val="00315FF5"/>
    <w:rsid w:val="00317053"/>
    <w:rsid w:val="0032109C"/>
    <w:rsid w:val="00322B45"/>
    <w:rsid w:val="00323809"/>
    <w:rsid w:val="00323D41"/>
    <w:rsid w:val="00325414"/>
    <w:rsid w:val="00326054"/>
    <w:rsid w:val="003274D9"/>
    <w:rsid w:val="003302F1"/>
    <w:rsid w:val="00333CC2"/>
    <w:rsid w:val="00340AD6"/>
    <w:rsid w:val="003422F0"/>
    <w:rsid w:val="0034470E"/>
    <w:rsid w:val="003518C0"/>
    <w:rsid w:val="00352DB0"/>
    <w:rsid w:val="0035600C"/>
    <w:rsid w:val="00357639"/>
    <w:rsid w:val="00361063"/>
    <w:rsid w:val="0037094A"/>
    <w:rsid w:val="00371ED3"/>
    <w:rsid w:val="00372659"/>
    <w:rsid w:val="00372FFC"/>
    <w:rsid w:val="0037728A"/>
    <w:rsid w:val="003802C7"/>
    <w:rsid w:val="00380B7D"/>
    <w:rsid w:val="00381A99"/>
    <w:rsid w:val="003821E1"/>
    <w:rsid w:val="003829C2"/>
    <w:rsid w:val="003830B2"/>
    <w:rsid w:val="00384724"/>
    <w:rsid w:val="003919B7"/>
    <w:rsid w:val="00391D57"/>
    <w:rsid w:val="00392292"/>
    <w:rsid w:val="00394F45"/>
    <w:rsid w:val="003A0646"/>
    <w:rsid w:val="003A2001"/>
    <w:rsid w:val="003A5927"/>
    <w:rsid w:val="003B1017"/>
    <w:rsid w:val="003B3C07"/>
    <w:rsid w:val="003B6081"/>
    <w:rsid w:val="003B6775"/>
    <w:rsid w:val="003C0F99"/>
    <w:rsid w:val="003C15A1"/>
    <w:rsid w:val="003C2BD9"/>
    <w:rsid w:val="003C5FE2"/>
    <w:rsid w:val="003D056D"/>
    <w:rsid w:val="003D05FB"/>
    <w:rsid w:val="003D1B16"/>
    <w:rsid w:val="003D45BF"/>
    <w:rsid w:val="003D508A"/>
    <w:rsid w:val="003D537F"/>
    <w:rsid w:val="003D5F60"/>
    <w:rsid w:val="003D7B75"/>
    <w:rsid w:val="003E0208"/>
    <w:rsid w:val="003E4B57"/>
    <w:rsid w:val="003F27E1"/>
    <w:rsid w:val="003F437A"/>
    <w:rsid w:val="003F5C2B"/>
    <w:rsid w:val="003F761D"/>
    <w:rsid w:val="00402240"/>
    <w:rsid w:val="004023E9"/>
    <w:rsid w:val="00402694"/>
    <w:rsid w:val="0040454A"/>
    <w:rsid w:val="00412B60"/>
    <w:rsid w:val="00413F83"/>
    <w:rsid w:val="004145D7"/>
    <w:rsid w:val="0041490C"/>
    <w:rsid w:val="00416191"/>
    <w:rsid w:val="00416721"/>
    <w:rsid w:val="00421EF0"/>
    <w:rsid w:val="004224FA"/>
    <w:rsid w:val="00423D07"/>
    <w:rsid w:val="00427936"/>
    <w:rsid w:val="0044346F"/>
    <w:rsid w:val="00453FF6"/>
    <w:rsid w:val="00462014"/>
    <w:rsid w:val="00462C2B"/>
    <w:rsid w:val="0046520A"/>
    <w:rsid w:val="004672AB"/>
    <w:rsid w:val="004714FE"/>
    <w:rsid w:val="00477BAA"/>
    <w:rsid w:val="00487BC1"/>
    <w:rsid w:val="00495053"/>
    <w:rsid w:val="004A1F59"/>
    <w:rsid w:val="004A29BE"/>
    <w:rsid w:val="004A3225"/>
    <w:rsid w:val="004A33EE"/>
    <w:rsid w:val="004A3AA8"/>
    <w:rsid w:val="004A7AB9"/>
    <w:rsid w:val="004B13C7"/>
    <w:rsid w:val="004B778F"/>
    <w:rsid w:val="004C0609"/>
    <w:rsid w:val="004C422A"/>
    <w:rsid w:val="004C639F"/>
    <w:rsid w:val="004C7734"/>
    <w:rsid w:val="004D141F"/>
    <w:rsid w:val="004D149C"/>
    <w:rsid w:val="004D2742"/>
    <w:rsid w:val="004D3099"/>
    <w:rsid w:val="004D6310"/>
    <w:rsid w:val="004E0062"/>
    <w:rsid w:val="004E05A1"/>
    <w:rsid w:val="004F3CC4"/>
    <w:rsid w:val="004F472A"/>
    <w:rsid w:val="004F5E57"/>
    <w:rsid w:val="004F6710"/>
    <w:rsid w:val="00500C3E"/>
    <w:rsid w:val="00502849"/>
    <w:rsid w:val="00504334"/>
    <w:rsid w:val="0050498D"/>
    <w:rsid w:val="005104D7"/>
    <w:rsid w:val="00510923"/>
    <w:rsid w:val="00510B9E"/>
    <w:rsid w:val="00534EAE"/>
    <w:rsid w:val="00536976"/>
    <w:rsid w:val="00536BC2"/>
    <w:rsid w:val="005425E1"/>
    <w:rsid w:val="005427C5"/>
    <w:rsid w:val="00542CF6"/>
    <w:rsid w:val="00547DC4"/>
    <w:rsid w:val="005500B3"/>
    <w:rsid w:val="00552D92"/>
    <w:rsid w:val="00553C03"/>
    <w:rsid w:val="00560DDA"/>
    <w:rsid w:val="00563692"/>
    <w:rsid w:val="00571679"/>
    <w:rsid w:val="00573979"/>
    <w:rsid w:val="00581C15"/>
    <w:rsid w:val="00582951"/>
    <w:rsid w:val="00584235"/>
    <w:rsid w:val="005844E7"/>
    <w:rsid w:val="005908B8"/>
    <w:rsid w:val="0059512E"/>
    <w:rsid w:val="005A6DD2"/>
    <w:rsid w:val="005B0583"/>
    <w:rsid w:val="005C035C"/>
    <w:rsid w:val="005C1324"/>
    <w:rsid w:val="005C385D"/>
    <w:rsid w:val="005C49FA"/>
    <w:rsid w:val="005D1048"/>
    <w:rsid w:val="005D3B20"/>
    <w:rsid w:val="005D4F15"/>
    <w:rsid w:val="005D71B7"/>
    <w:rsid w:val="005E4759"/>
    <w:rsid w:val="005E5C68"/>
    <w:rsid w:val="005E65C0"/>
    <w:rsid w:val="005F0390"/>
    <w:rsid w:val="005F49AE"/>
    <w:rsid w:val="005F5010"/>
    <w:rsid w:val="00602203"/>
    <w:rsid w:val="00604675"/>
    <w:rsid w:val="006072CD"/>
    <w:rsid w:val="00612023"/>
    <w:rsid w:val="00614190"/>
    <w:rsid w:val="006214F8"/>
    <w:rsid w:val="00622A99"/>
    <w:rsid w:val="00622E67"/>
    <w:rsid w:val="00626B57"/>
    <w:rsid w:val="00626EDC"/>
    <w:rsid w:val="00632392"/>
    <w:rsid w:val="00642D0A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3D3D"/>
    <w:rsid w:val="00665B30"/>
    <w:rsid w:val="00665BDA"/>
    <w:rsid w:val="00670AEF"/>
    <w:rsid w:val="006773EC"/>
    <w:rsid w:val="00680504"/>
    <w:rsid w:val="006809E6"/>
    <w:rsid w:val="00681CD9"/>
    <w:rsid w:val="00683E30"/>
    <w:rsid w:val="00687024"/>
    <w:rsid w:val="00690DC1"/>
    <w:rsid w:val="0069337A"/>
    <w:rsid w:val="00695E22"/>
    <w:rsid w:val="006A5B97"/>
    <w:rsid w:val="006B4479"/>
    <w:rsid w:val="006B7093"/>
    <w:rsid w:val="006B7417"/>
    <w:rsid w:val="006C6C15"/>
    <w:rsid w:val="006D31F9"/>
    <w:rsid w:val="006D3691"/>
    <w:rsid w:val="006E1C21"/>
    <w:rsid w:val="006E5EF0"/>
    <w:rsid w:val="006F3563"/>
    <w:rsid w:val="006F42B9"/>
    <w:rsid w:val="006F6103"/>
    <w:rsid w:val="00704E00"/>
    <w:rsid w:val="007103CB"/>
    <w:rsid w:val="007103DA"/>
    <w:rsid w:val="007209E7"/>
    <w:rsid w:val="00726182"/>
    <w:rsid w:val="00727635"/>
    <w:rsid w:val="00732329"/>
    <w:rsid w:val="007337CA"/>
    <w:rsid w:val="00734CE4"/>
    <w:rsid w:val="00735123"/>
    <w:rsid w:val="00735755"/>
    <w:rsid w:val="00741837"/>
    <w:rsid w:val="00744E23"/>
    <w:rsid w:val="007453E6"/>
    <w:rsid w:val="00751A63"/>
    <w:rsid w:val="00751BED"/>
    <w:rsid w:val="00755FD0"/>
    <w:rsid w:val="007610DE"/>
    <w:rsid w:val="00770453"/>
    <w:rsid w:val="007707DC"/>
    <w:rsid w:val="0077309D"/>
    <w:rsid w:val="00773BCF"/>
    <w:rsid w:val="007774EE"/>
    <w:rsid w:val="0078173D"/>
    <w:rsid w:val="00781822"/>
    <w:rsid w:val="00783F21"/>
    <w:rsid w:val="00787159"/>
    <w:rsid w:val="0079043A"/>
    <w:rsid w:val="00791668"/>
    <w:rsid w:val="00791AA1"/>
    <w:rsid w:val="00793908"/>
    <w:rsid w:val="007A3793"/>
    <w:rsid w:val="007C1BA2"/>
    <w:rsid w:val="007C2B48"/>
    <w:rsid w:val="007D20E9"/>
    <w:rsid w:val="007D529A"/>
    <w:rsid w:val="007D7881"/>
    <w:rsid w:val="007D7E3A"/>
    <w:rsid w:val="007E0E10"/>
    <w:rsid w:val="007E31BB"/>
    <w:rsid w:val="007E4768"/>
    <w:rsid w:val="007E777B"/>
    <w:rsid w:val="007F0A6C"/>
    <w:rsid w:val="007F2070"/>
    <w:rsid w:val="007F63C1"/>
    <w:rsid w:val="007F6AB0"/>
    <w:rsid w:val="008053F5"/>
    <w:rsid w:val="00807AF7"/>
    <w:rsid w:val="00810198"/>
    <w:rsid w:val="008131BA"/>
    <w:rsid w:val="00815DA8"/>
    <w:rsid w:val="0082194D"/>
    <w:rsid w:val="008221F9"/>
    <w:rsid w:val="00826EF5"/>
    <w:rsid w:val="00831693"/>
    <w:rsid w:val="00840104"/>
    <w:rsid w:val="00840C1F"/>
    <w:rsid w:val="008411C9"/>
    <w:rsid w:val="00841FC5"/>
    <w:rsid w:val="00843D0F"/>
    <w:rsid w:val="00845709"/>
    <w:rsid w:val="008501F2"/>
    <w:rsid w:val="008576BD"/>
    <w:rsid w:val="00860463"/>
    <w:rsid w:val="00862C6F"/>
    <w:rsid w:val="008733DA"/>
    <w:rsid w:val="008843DC"/>
    <w:rsid w:val="008850E4"/>
    <w:rsid w:val="008939AB"/>
    <w:rsid w:val="0089640C"/>
    <w:rsid w:val="008A12F5"/>
    <w:rsid w:val="008B1587"/>
    <w:rsid w:val="008B1B01"/>
    <w:rsid w:val="008B3BCD"/>
    <w:rsid w:val="008B667A"/>
    <w:rsid w:val="008B6DF8"/>
    <w:rsid w:val="008C106C"/>
    <w:rsid w:val="008C10F1"/>
    <w:rsid w:val="008C14AA"/>
    <w:rsid w:val="008C1926"/>
    <w:rsid w:val="008C1E99"/>
    <w:rsid w:val="008C432D"/>
    <w:rsid w:val="008C47F7"/>
    <w:rsid w:val="008D5ED4"/>
    <w:rsid w:val="008E0085"/>
    <w:rsid w:val="008E2AA6"/>
    <w:rsid w:val="008E311B"/>
    <w:rsid w:val="008E4DE2"/>
    <w:rsid w:val="008F44FA"/>
    <w:rsid w:val="008F46E7"/>
    <w:rsid w:val="008F64CA"/>
    <w:rsid w:val="008F6F0B"/>
    <w:rsid w:val="008F7E4B"/>
    <w:rsid w:val="00907BA7"/>
    <w:rsid w:val="0091064E"/>
    <w:rsid w:val="00911FC5"/>
    <w:rsid w:val="009242C1"/>
    <w:rsid w:val="00931972"/>
    <w:rsid w:val="00931A10"/>
    <w:rsid w:val="00947967"/>
    <w:rsid w:val="0095343B"/>
    <w:rsid w:val="00955201"/>
    <w:rsid w:val="00956AF1"/>
    <w:rsid w:val="00965200"/>
    <w:rsid w:val="009668B3"/>
    <w:rsid w:val="00971471"/>
    <w:rsid w:val="00972208"/>
    <w:rsid w:val="009764D1"/>
    <w:rsid w:val="00983611"/>
    <w:rsid w:val="009849C2"/>
    <w:rsid w:val="00984D24"/>
    <w:rsid w:val="009858EB"/>
    <w:rsid w:val="009918F9"/>
    <w:rsid w:val="009A26DF"/>
    <w:rsid w:val="009A3F47"/>
    <w:rsid w:val="009B0046"/>
    <w:rsid w:val="009B32D0"/>
    <w:rsid w:val="009C1440"/>
    <w:rsid w:val="009C2107"/>
    <w:rsid w:val="009C5D9E"/>
    <w:rsid w:val="009D2C3E"/>
    <w:rsid w:val="009E0625"/>
    <w:rsid w:val="009E3034"/>
    <w:rsid w:val="009E549F"/>
    <w:rsid w:val="009F28A8"/>
    <w:rsid w:val="009F46A8"/>
    <w:rsid w:val="009F473E"/>
    <w:rsid w:val="009F4A1E"/>
    <w:rsid w:val="009F5247"/>
    <w:rsid w:val="009F682A"/>
    <w:rsid w:val="00A022BE"/>
    <w:rsid w:val="00A05079"/>
    <w:rsid w:val="00A07B4B"/>
    <w:rsid w:val="00A10809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933"/>
    <w:rsid w:val="00A37C4D"/>
    <w:rsid w:val="00A438D8"/>
    <w:rsid w:val="00A473F5"/>
    <w:rsid w:val="00A51390"/>
    <w:rsid w:val="00A51F9D"/>
    <w:rsid w:val="00A5416A"/>
    <w:rsid w:val="00A63697"/>
    <w:rsid w:val="00A639F4"/>
    <w:rsid w:val="00A65864"/>
    <w:rsid w:val="00A65FAE"/>
    <w:rsid w:val="00A67217"/>
    <w:rsid w:val="00A73114"/>
    <w:rsid w:val="00A7416B"/>
    <w:rsid w:val="00A81A32"/>
    <w:rsid w:val="00A835BD"/>
    <w:rsid w:val="00A91CD4"/>
    <w:rsid w:val="00A9596C"/>
    <w:rsid w:val="00A97B15"/>
    <w:rsid w:val="00AA42D5"/>
    <w:rsid w:val="00AB2FAB"/>
    <w:rsid w:val="00AB5C14"/>
    <w:rsid w:val="00AC065D"/>
    <w:rsid w:val="00AC1EE7"/>
    <w:rsid w:val="00AC333F"/>
    <w:rsid w:val="00AC4DA7"/>
    <w:rsid w:val="00AC585C"/>
    <w:rsid w:val="00AD1925"/>
    <w:rsid w:val="00AD2AF3"/>
    <w:rsid w:val="00AE067D"/>
    <w:rsid w:val="00AF0D9C"/>
    <w:rsid w:val="00AF1181"/>
    <w:rsid w:val="00AF2F79"/>
    <w:rsid w:val="00AF4653"/>
    <w:rsid w:val="00AF5AEA"/>
    <w:rsid w:val="00AF7DB7"/>
    <w:rsid w:val="00B02DD6"/>
    <w:rsid w:val="00B07D52"/>
    <w:rsid w:val="00B10D02"/>
    <w:rsid w:val="00B201E2"/>
    <w:rsid w:val="00B25190"/>
    <w:rsid w:val="00B33978"/>
    <w:rsid w:val="00B443E4"/>
    <w:rsid w:val="00B510F5"/>
    <w:rsid w:val="00B5484D"/>
    <w:rsid w:val="00B563EA"/>
    <w:rsid w:val="00B56CDF"/>
    <w:rsid w:val="00B60E51"/>
    <w:rsid w:val="00B63A54"/>
    <w:rsid w:val="00B67EB7"/>
    <w:rsid w:val="00B77D18"/>
    <w:rsid w:val="00B8313A"/>
    <w:rsid w:val="00B91810"/>
    <w:rsid w:val="00B93503"/>
    <w:rsid w:val="00BA2A08"/>
    <w:rsid w:val="00BA31E8"/>
    <w:rsid w:val="00BA55E0"/>
    <w:rsid w:val="00BA6BD4"/>
    <w:rsid w:val="00BA6C7A"/>
    <w:rsid w:val="00BB17D1"/>
    <w:rsid w:val="00BB3752"/>
    <w:rsid w:val="00BB6688"/>
    <w:rsid w:val="00BC26D4"/>
    <w:rsid w:val="00BC3F39"/>
    <w:rsid w:val="00BD0447"/>
    <w:rsid w:val="00BE0C80"/>
    <w:rsid w:val="00BF2A42"/>
    <w:rsid w:val="00C03D8C"/>
    <w:rsid w:val="00C055EC"/>
    <w:rsid w:val="00C10DC9"/>
    <w:rsid w:val="00C11D0F"/>
    <w:rsid w:val="00C12FB3"/>
    <w:rsid w:val="00C15F44"/>
    <w:rsid w:val="00C17341"/>
    <w:rsid w:val="00C2173E"/>
    <w:rsid w:val="00C22500"/>
    <w:rsid w:val="00C24D21"/>
    <w:rsid w:val="00C24EEF"/>
    <w:rsid w:val="00C25CF6"/>
    <w:rsid w:val="00C26C36"/>
    <w:rsid w:val="00C32768"/>
    <w:rsid w:val="00C431DF"/>
    <w:rsid w:val="00C456BD"/>
    <w:rsid w:val="00C460B3"/>
    <w:rsid w:val="00C530DC"/>
    <w:rsid w:val="00C5350D"/>
    <w:rsid w:val="00C54874"/>
    <w:rsid w:val="00C6123C"/>
    <w:rsid w:val="00C6311A"/>
    <w:rsid w:val="00C7084D"/>
    <w:rsid w:val="00C7315E"/>
    <w:rsid w:val="00C75895"/>
    <w:rsid w:val="00C83C9F"/>
    <w:rsid w:val="00C841A5"/>
    <w:rsid w:val="00C84A6B"/>
    <w:rsid w:val="00C85C3F"/>
    <w:rsid w:val="00C9258F"/>
    <w:rsid w:val="00C94840"/>
    <w:rsid w:val="00C95076"/>
    <w:rsid w:val="00CA4EE3"/>
    <w:rsid w:val="00CB027F"/>
    <w:rsid w:val="00CC0EBB"/>
    <w:rsid w:val="00CC6297"/>
    <w:rsid w:val="00CC7690"/>
    <w:rsid w:val="00CD1986"/>
    <w:rsid w:val="00CD54BF"/>
    <w:rsid w:val="00CD654F"/>
    <w:rsid w:val="00CE4D5C"/>
    <w:rsid w:val="00CF05DA"/>
    <w:rsid w:val="00CF58EB"/>
    <w:rsid w:val="00CF6FEC"/>
    <w:rsid w:val="00D0106E"/>
    <w:rsid w:val="00D06383"/>
    <w:rsid w:val="00D20E85"/>
    <w:rsid w:val="00D23FB3"/>
    <w:rsid w:val="00D24615"/>
    <w:rsid w:val="00D30433"/>
    <w:rsid w:val="00D3057F"/>
    <w:rsid w:val="00D37842"/>
    <w:rsid w:val="00D42DC2"/>
    <w:rsid w:val="00D4302B"/>
    <w:rsid w:val="00D51D54"/>
    <w:rsid w:val="00D537E1"/>
    <w:rsid w:val="00D55BB2"/>
    <w:rsid w:val="00D572E3"/>
    <w:rsid w:val="00D6091A"/>
    <w:rsid w:val="00D61F10"/>
    <w:rsid w:val="00D6605A"/>
    <w:rsid w:val="00D6695F"/>
    <w:rsid w:val="00D75644"/>
    <w:rsid w:val="00D7740A"/>
    <w:rsid w:val="00D81656"/>
    <w:rsid w:val="00D83D87"/>
    <w:rsid w:val="00D84A6D"/>
    <w:rsid w:val="00D8688B"/>
    <w:rsid w:val="00D86A30"/>
    <w:rsid w:val="00D96232"/>
    <w:rsid w:val="00D97CB4"/>
    <w:rsid w:val="00D97DD4"/>
    <w:rsid w:val="00DA04FE"/>
    <w:rsid w:val="00DA5A8A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10356"/>
    <w:rsid w:val="00E10454"/>
    <w:rsid w:val="00E112E5"/>
    <w:rsid w:val="00E122D8"/>
    <w:rsid w:val="00E12CC8"/>
    <w:rsid w:val="00E12F5E"/>
    <w:rsid w:val="00E13CD8"/>
    <w:rsid w:val="00E15352"/>
    <w:rsid w:val="00E157D3"/>
    <w:rsid w:val="00E15919"/>
    <w:rsid w:val="00E17543"/>
    <w:rsid w:val="00E21CC7"/>
    <w:rsid w:val="00E24D9E"/>
    <w:rsid w:val="00E25849"/>
    <w:rsid w:val="00E3197E"/>
    <w:rsid w:val="00E31EA1"/>
    <w:rsid w:val="00E329BF"/>
    <w:rsid w:val="00E342F8"/>
    <w:rsid w:val="00E351ED"/>
    <w:rsid w:val="00E352C8"/>
    <w:rsid w:val="00E42B19"/>
    <w:rsid w:val="00E44130"/>
    <w:rsid w:val="00E45C03"/>
    <w:rsid w:val="00E5366D"/>
    <w:rsid w:val="00E6034B"/>
    <w:rsid w:val="00E6549E"/>
    <w:rsid w:val="00E65EDE"/>
    <w:rsid w:val="00E70F81"/>
    <w:rsid w:val="00E77055"/>
    <w:rsid w:val="00E77460"/>
    <w:rsid w:val="00E83ABC"/>
    <w:rsid w:val="00E844F2"/>
    <w:rsid w:val="00E90AD0"/>
    <w:rsid w:val="00E92FCB"/>
    <w:rsid w:val="00E96677"/>
    <w:rsid w:val="00EA147F"/>
    <w:rsid w:val="00EA2F7C"/>
    <w:rsid w:val="00EA4A27"/>
    <w:rsid w:val="00EA4FA6"/>
    <w:rsid w:val="00EB1809"/>
    <w:rsid w:val="00EB1A25"/>
    <w:rsid w:val="00EB32CE"/>
    <w:rsid w:val="00EC1427"/>
    <w:rsid w:val="00EC7363"/>
    <w:rsid w:val="00ED03AB"/>
    <w:rsid w:val="00ED1963"/>
    <w:rsid w:val="00ED1CD4"/>
    <w:rsid w:val="00ED1D2B"/>
    <w:rsid w:val="00ED64B5"/>
    <w:rsid w:val="00EE7CCA"/>
    <w:rsid w:val="00EF3AA6"/>
    <w:rsid w:val="00F06E53"/>
    <w:rsid w:val="00F16A14"/>
    <w:rsid w:val="00F34244"/>
    <w:rsid w:val="00F362D7"/>
    <w:rsid w:val="00F37D7B"/>
    <w:rsid w:val="00F5314C"/>
    <w:rsid w:val="00F55D75"/>
    <w:rsid w:val="00F5688C"/>
    <w:rsid w:val="00F60048"/>
    <w:rsid w:val="00F63431"/>
    <w:rsid w:val="00F635DD"/>
    <w:rsid w:val="00F6627B"/>
    <w:rsid w:val="00F7336E"/>
    <w:rsid w:val="00F734F2"/>
    <w:rsid w:val="00F741D3"/>
    <w:rsid w:val="00F75052"/>
    <w:rsid w:val="00F804D3"/>
    <w:rsid w:val="00F816CB"/>
    <w:rsid w:val="00F81CD2"/>
    <w:rsid w:val="00F82641"/>
    <w:rsid w:val="00F90F18"/>
    <w:rsid w:val="00F937E4"/>
    <w:rsid w:val="00F95EE7"/>
    <w:rsid w:val="00FA39E6"/>
    <w:rsid w:val="00FA7BC9"/>
    <w:rsid w:val="00FB2E25"/>
    <w:rsid w:val="00FB378E"/>
    <w:rsid w:val="00FB37F1"/>
    <w:rsid w:val="00FB43A9"/>
    <w:rsid w:val="00FB47C0"/>
    <w:rsid w:val="00FB501B"/>
    <w:rsid w:val="00FB719A"/>
    <w:rsid w:val="00FB7770"/>
    <w:rsid w:val="00FC417D"/>
    <w:rsid w:val="00FD0348"/>
    <w:rsid w:val="00FD3B91"/>
    <w:rsid w:val="00FD45E6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1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2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3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2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2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1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3F761D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3F761D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3F761D"/>
    <w:rPr>
      <w:vertAlign w:val="superscript"/>
    </w:rPr>
  </w:style>
  <w:style w:type="paragraph" w:customStyle="1" w:styleId="10">
    <w:name w:val="標題1"/>
    <w:basedOn w:val="a6"/>
    <w:qFormat/>
    <w:rsid w:val="008C14AA"/>
    <w:pPr>
      <w:numPr>
        <w:numId w:val="35"/>
      </w:numPr>
      <w:outlineLvl w:val="0"/>
    </w:pPr>
    <w:rPr>
      <w:kern w:val="28"/>
      <w:sz w:val="28"/>
      <w:szCs w:val="24"/>
    </w:rPr>
  </w:style>
  <w:style w:type="paragraph" w:customStyle="1" w:styleId="30">
    <w:name w:val="標題3"/>
    <w:basedOn w:val="a6"/>
    <w:qFormat/>
    <w:rsid w:val="008C14AA"/>
    <w:pPr>
      <w:numPr>
        <w:ilvl w:val="2"/>
        <w:numId w:val="35"/>
      </w:numPr>
      <w:outlineLvl w:val="2"/>
    </w:pPr>
    <w:rPr>
      <w:kern w:val="28"/>
      <w:sz w:val="28"/>
      <w:szCs w:val="24"/>
    </w:rPr>
  </w:style>
  <w:style w:type="paragraph" w:customStyle="1" w:styleId="40">
    <w:name w:val="標題4"/>
    <w:basedOn w:val="30"/>
    <w:qFormat/>
    <w:rsid w:val="008C14AA"/>
    <w:pPr>
      <w:numPr>
        <w:ilvl w:val="3"/>
      </w:numPr>
      <w:outlineLvl w:val="3"/>
    </w:pPr>
  </w:style>
  <w:style w:type="paragraph" w:customStyle="1" w:styleId="50">
    <w:name w:val="標題5"/>
    <w:basedOn w:val="40"/>
    <w:qFormat/>
    <w:rsid w:val="008C14AA"/>
    <w:pPr>
      <w:numPr>
        <w:ilvl w:val="4"/>
      </w:numPr>
      <w:outlineLvl w:val="4"/>
    </w:pPr>
  </w:style>
  <w:style w:type="paragraph" w:customStyle="1" w:styleId="20">
    <w:name w:val="標題2"/>
    <w:basedOn w:val="10"/>
    <w:qFormat/>
    <w:rsid w:val="003D056D"/>
    <w:pPr>
      <w:numPr>
        <w:numId w:val="36"/>
      </w:numPr>
      <w:outlineLvl w:val="1"/>
    </w:pPr>
  </w:style>
  <w:style w:type="character" w:customStyle="1" w:styleId="70">
    <w:name w:val="標題 7 字元"/>
    <w:basedOn w:val="a7"/>
    <w:link w:val="7"/>
    <w:rsid w:val="00C54874"/>
    <w:rPr>
      <w:rFonts w:ascii="標楷體" w:eastAsia="標楷體" w:hAnsi="Arial"/>
      <w:bCs/>
      <w:kern w:val="32"/>
      <w:sz w:val="32"/>
      <w:szCs w:val="36"/>
    </w:rPr>
  </w:style>
  <w:style w:type="paragraph" w:styleId="HTML">
    <w:name w:val="HTML Preformatted"/>
    <w:basedOn w:val="a6"/>
    <w:link w:val="HTML0"/>
    <w:uiPriority w:val="99"/>
    <w:unhideWhenUsed/>
    <w:rsid w:val="00462C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36" w:lineRule="auto"/>
      <w:jc w:val="left"/>
    </w:pPr>
    <w:rPr>
      <w:rFonts w:ascii="細明體" w:eastAsia="細明體" w:hAnsi="細明體" w:cs="細明體"/>
      <w:kern w:val="0"/>
      <w:sz w:val="22"/>
      <w:szCs w:val="22"/>
    </w:rPr>
  </w:style>
  <w:style w:type="character" w:customStyle="1" w:styleId="HTML0">
    <w:name w:val="HTML 預設格式 字元"/>
    <w:basedOn w:val="a7"/>
    <w:link w:val="HTML"/>
    <w:uiPriority w:val="99"/>
    <w:rsid w:val="00462C2B"/>
    <w:rPr>
      <w:rFonts w:ascii="細明體" w:eastAsia="細明體" w:hAnsi="細明體" w:cs="細明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1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2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3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2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2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1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3F761D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3F761D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3F761D"/>
    <w:rPr>
      <w:vertAlign w:val="superscript"/>
    </w:rPr>
  </w:style>
  <w:style w:type="paragraph" w:customStyle="1" w:styleId="10">
    <w:name w:val="標題1"/>
    <w:basedOn w:val="a6"/>
    <w:qFormat/>
    <w:rsid w:val="008C14AA"/>
    <w:pPr>
      <w:numPr>
        <w:numId w:val="35"/>
      </w:numPr>
      <w:outlineLvl w:val="0"/>
    </w:pPr>
    <w:rPr>
      <w:kern w:val="28"/>
      <w:sz w:val="28"/>
      <w:szCs w:val="24"/>
    </w:rPr>
  </w:style>
  <w:style w:type="paragraph" w:customStyle="1" w:styleId="30">
    <w:name w:val="標題3"/>
    <w:basedOn w:val="a6"/>
    <w:qFormat/>
    <w:rsid w:val="008C14AA"/>
    <w:pPr>
      <w:numPr>
        <w:ilvl w:val="2"/>
        <w:numId w:val="35"/>
      </w:numPr>
      <w:outlineLvl w:val="2"/>
    </w:pPr>
    <w:rPr>
      <w:kern w:val="28"/>
      <w:sz w:val="28"/>
      <w:szCs w:val="24"/>
    </w:rPr>
  </w:style>
  <w:style w:type="paragraph" w:customStyle="1" w:styleId="40">
    <w:name w:val="標題4"/>
    <w:basedOn w:val="30"/>
    <w:qFormat/>
    <w:rsid w:val="008C14AA"/>
    <w:pPr>
      <w:numPr>
        <w:ilvl w:val="3"/>
      </w:numPr>
      <w:outlineLvl w:val="3"/>
    </w:pPr>
  </w:style>
  <w:style w:type="paragraph" w:customStyle="1" w:styleId="50">
    <w:name w:val="標題5"/>
    <w:basedOn w:val="40"/>
    <w:qFormat/>
    <w:rsid w:val="008C14AA"/>
    <w:pPr>
      <w:numPr>
        <w:ilvl w:val="4"/>
      </w:numPr>
      <w:outlineLvl w:val="4"/>
    </w:pPr>
  </w:style>
  <w:style w:type="paragraph" w:customStyle="1" w:styleId="20">
    <w:name w:val="標題2"/>
    <w:basedOn w:val="10"/>
    <w:qFormat/>
    <w:rsid w:val="003D056D"/>
    <w:pPr>
      <w:numPr>
        <w:numId w:val="36"/>
      </w:numPr>
      <w:outlineLvl w:val="1"/>
    </w:pPr>
  </w:style>
  <w:style w:type="character" w:customStyle="1" w:styleId="70">
    <w:name w:val="標題 7 字元"/>
    <w:basedOn w:val="a7"/>
    <w:link w:val="7"/>
    <w:rsid w:val="00C54874"/>
    <w:rPr>
      <w:rFonts w:ascii="標楷體" w:eastAsia="標楷體" w:hAnsi="Arial"/>
      <w:bCs/>
      <w:kern w:val="32"/>
      <w:sz w:val="32"/>
      <w:szCs w:val="36"/>
    </w:rPr>
  </w:style>
  <w:style w:type="paragraph" w:styleId="HTML">
    <w:name w:val="HTML Preformatted"/>
    <w:basedOn w:val="a6"/>
    <w:link w:val="HTML0"/>
    <w:uiPriority w:val="99"/>
    <w:unhideWhenUsed/>
    <w:rsid w:val="00462C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36" w:lineRule="auto"/>
      <w:jc w:val="left"/>
    </w:pPr>
    <w:rPr>
      <w:rFonts w:ascii="細明體" w:eastAsia="細明體" w:hAnsi="細明體" w:cs="細明體"/>
      <w:kern w:val="0"/>
      <w:sz w:val="22"/>
      <w:szCs w:val="22"/>
    </w:rPr>
  </w:style>
  <w:style w:type="character" w:customStyle="1" w:styleId="HTML0">
    <w:name w:val="HTML 預設格式 字元"/>
    <w:basedOn w:val="a7"/>
    <w:link w:val="HTML"/>
    <w:uiPriority w:val="99"/>
    <w:rsid w:val="00462C2B"/>
    <w:rPr>
      <w:rFonts w:ascii="細明體" w:eastAsia="細明體" w:hAnsi="細明體" w:cs="細明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CA56-19CA-46D9-9581-26807D7A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11</Pages>
  <Words>887</Words>
  <Characters>5059</Characters>
  <Application>Microsoft Office Word</Application>
  <DocSecurity>0</DocSecurity>
  <Lines>42</Lines>
  <Paragraphs>11</Paragraphs>
  <ScaleCrop>false</ScaleCrop>
  <Company>cy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stud01</cp:lastModifiedBy>
  <cp:revision>2</cp:revision>
  <cp:lastPrinted>2019-07-03T02:30:00Z</cp:lastPrinted>
  <dcterms:created xsi:type="dcterms:W3CDTF">2019-07-03T08:36:00Z</dcterms:created>
  <dcterms:modified xsi:type="dcterms:W3CDTF">2019-07-03T08:36:00Z</dcterms:modified>
</cp:coreProperties>
</file>