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5849" w:rsidRPr="0005564B"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8659423"/>
      <w:bookmarkStart w:id="11" w:name="_Toc9058065"/>
      <w:bookmarkStart w:id="12" w:name="_Toc9078514"/>
      <w:bookmarkStart w:id="13" w:name="_Toc10066129"/>
      <w:bookmarkStart w:id="14" w:name="_Toc10295217"/>
      <w:bookmarkStart w:id="15" w:name="_Toc422834150"/>
      <w:bookmarkStart w:id="16" w:name="_Toc421794865"/>
      <w:bookmarkStart w:id="17" w:name="_Toc529218256"/>
      <w:bookmarkStart w:id="18" w:name="_Toc529222679"/>
      <w:bookmarkStart w:id="19" w:name="_Toc529223101"/>
      <w:bookmarkStart w:id="20" w:name="_Toc529223852"/>
      <w:bookmarkStart w:id="21" w:name="_Toc529228248"/>
      <w:bookmarkStart w:id="22" w:name="_Toc2400384"/>
      <w:bookmarkStart w:id="23" w:name="_Toc4316179"/>
      <w:bookmarkStart w:id="24" w:name="_Toc4473320"/>
      <w:bookmarkStart w:id="25" w:name="_Toc69556887"/>
      <w:bookmarkStart w:id="26" w:name="_Toc69556936"/>
      <w:bookmarkStart w:id="27" w:name="_Toc69609810"/>
      <w:bookmarkStart w:id="28" w:name="_Toc70241806"/>
      <w:bookmarkStart w:id="29" w:name="_Toc70242195"/>
      <w:r w:rsidRPr="0005564B">
        <w:rPr>
          <w:rFonts w:hint="eastAsia"/>
          <w:b/>
        </w:rPr>
        <w:t>案　　由：</w:t>
      </w:r>
      <w:bookmarkEnd w:id="0"/>
      <w:bookmarkEnd w:id="1"/>
      <w:bookmarkEnd w:id="2"/>
      <w:bookmarkEnd w:id="3"/>
      <w:bookmarkEnd w:id="4"/>
      <w:bookmarkEnd w:id="5"/>
      <w:bookmarkEnd w:id="6"/>
      <w:bookmarkEnd w:id="7"/>
      <w:bookmarkEnd w:id="8"/>
      <w:bookmarkEnd w:id="9"/>
      <w:r w:rsidR="00853BED" w:rsidRPr="0005564B">
        <w:fldChar w:fldCharType="begin"/>
      </w:r>
      <w:r w:rsidR="00B96D74" w:rsidRPr="0005564B">
        <w:instrText xml:space="preserve"> MERGEFIELD </w:instrText>
      </w:r>
      <w:r w:rsidR="00B96D74" w:rsidRPr="0005564B">
        <w:rPr>
          <w:rFonts w:hint="eastAsia"/>
        </w:rPr>
        <w:instrText>案由</w:instrText>
      </w:r>
      <w:r w:rsidR="00B96D74" w:rsidRPr="0005564B">
        <w:instrText xml:space="preserve"> </w:instrText>
      </w:r>
      <w:r w:rsidR="00853BED" w:rsidRPr="0005564B">
        <w:fldChar w:fldCharType="separate"/>
      </w:r>
      <w:r w:rsidR="00B96D74" w:rsidRPr="0005564B">
        <w:rPr>
          <w:noProof/>
        </w:rPr>
        <w:t>據審計部106年度中央政府總決算審核報告，二代健保已建立保險財務收支連動機制，惟保險收支存在結構性失衡，且仍有醫療浪費情事，亟待研謀改善，俾確保健保長期財務健全，建立永續之健康照護保險體制案。</w:t>
      </w:r>
      <w:bookmarkEnd w:id="10"/>
      <w:bookmarkEnd w:id="11"/>
      <w:bookmarkEnd w:id="12"/>
      <w:bookmarkEnd w:id="13"/>
      <w:bookmarkEnd w:id="14"/>
      <w:r w:rsidR="00853BED" w:rsidRPr="0005564B">
        <w:fldChar w:fldCharType="end"/>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rsidR="00E25849" w:rsidRPr="0005564B" w:rsidRDefault="00E25849" w:rsidP="004E05A1">
      <w:pPr>
        <w:pStyle w:val="1"/>
        <w:ind w:left="2380" w:hanging="2380"/>
      </w:pPr>
      <w:bookmarkStart w:id="30" w:name="_Toc524895646"/>
      <w:bookmarkStart w:id="31" w:name="_Toc524896192"/>
      <w:bookmarkStart w:id="32" w:name="_Toc524896222"/>
      <w:bookmarkStart w:id="33" w:name="_Toc524902729"/>
      <w:bookmarkStart w:id="34" w:name="_Toc525066145"/>
      <w:bookmarkStart w:id="35" w:name="_Toc525070836"/>
      <w:bookmarkStart w:id="36" w:name="_Toc525938376"/>
      <w:bookmarkStart w:id="37" w:name="_Toc525939224"/>
      <w:bookmarkStart w:id="38" w:name="_Toc525939729"/>
      <w:bookmarkStart w:id="39" w:name="_Toc529218269"/>
      <w:r w:rsidRPr="0005564B">
        <w:br w:type="page"/>
      </w:r>
      <w:bookmarkStart w:id="40" w:name="_Toc529222686"/>
      <w:bookmarkStart w:id="41" w:name="_Toc529223108"/>
      <w:bookmarkStart w:id="42" w:name="_Toc529223859"/>
      <w:bookmarkStart w:id="43" w:name="_Toc529228262"/>
      <w:bookmarkStart w:id="44" w:name="_Toc2400392"/>
      <w:bookmarkStart w:id="45" w:name="_Toc4316186"/>
      <w:bookmarkStart w:id="46" w:name="_Toc4473327"/>
      <w:bookmarkStart w:id="47" w:name="_Toc69556894"/>
      <w:bookmarkStart w:id="48" w:name="_Toc69556943"/>
      <w:bookmarkStart w:id="49" w:name="_Toc69609817"/>
      <w:bookmarkStart w:id="50" w:name="_Toc70241813"/>
      <w:bookmarkStart w:id="51" w:name="_Toc70242202"/>
      <w:bookmarkStart w:id="52" w:name="_Toc421794872"/>
      <w:bookmarkStart w:id="53" w:name="_Toc422834157"/>
      <w:bookmarkStart w:id="54" w:name="_Toc9058259"/>
      <w:bookmarkStart w:id="55" w:name="_Toc9078572"/>
      <w:bookmarkStart w:id="56" w:name="_Toc10066326"/>
      <w:bookmarkStart w:id="57" w:name="_Toc10295276"/>
      <w:r w:rsidRPr="0005564B">
        <w:rPr>
          <w:rFonts w:hint="eastAsia"/>
          <w:b/>
        </w:rPr>
        <w:lastRenderedPageBreak/>
        <w:t>調查意見</w:t>
      </w:r>
      <w:r w:rsidRPr="0005564B">
        <w:rPr>
          <w:rFonts w:hint="eastAsia"/>
        </w:rPr>
        <w:t>：</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rsidR="004F6710" w:rsidRPr="0005564B" w:rsidRDefault="005B0819" w:rsidP="00A639F4">
      <w:pPr>
        <w:pStyle w:val="10"/>
        <w:ind w:left="680" w:firstLine="680"/>
      </w:pPr>
      <w:bookmarkStart w:id="58" w:name="_Toc524902730"/>
      <w:r w:rsidRPr="0005564B">
        <w:rPr>
          <w:rFonts w:hint="eastAsia"/>
        </w:rPr>
        <w:t>本案經調閱衛</w:t>
      </w:r>
      <w:r w:rsidR="00D77DA5" w:rsidRPr="0005564B">
        <w:rPr>
          <w:rFonts w:hint="eastAsia"/>
        </w:rPr>
        <w:t>生</w:t>
      </w:r>
      <w:r w:rsidRPr="0005564B">
        <w:rPr>
          <w:rFonts w:hint="eastAsia"/>
        </w:rPr>
        <w:t>福</w:t>
      </w:r>
      <w:r w:rsidR="00D77DA5" w:rsidRPr="0005564B">
        <w:rPr>
          <w:rFonts w:hint="eastAsia"/>
        </w:rPr>
        <w:t>利</w:t>
      </w:r>
      <w:r w:rsidRPr="0005564B">
        <w:rPr>
          <w:rFonts w:hint="eastAsia"/>
        </w:rPr>
        <w:t>部</w:t>
      </w:r>
      <w:r w:rsidR="00D77DA5" w:rsidRPr="0005564B">
        <w:rPr>
          <w:rFonts w:hint="eastAsia"/>
        </w:rPr>
        <w:t>（下稱衛福部）</w:t>
      </w:r>
      <w:r w:rsidRPr="0005564B">
        <w:rPr>
          <w:rFonts w:hint="eastAsia"/>
        </w:rPr>
        <w:t>之卷證資料，並諮詢前行政院衛生署署長楊志良及葉金川、行政院主計總處主計長朱澤民、國立陽明大學衛生福利研究所李玉春教授、私立長庚大學醫務管理學系盧瑞芬教授、</w:t>
      </w:r>
      <w:r w:rsidR="00346E66" w:rsidRPr="0005564B">
        <w:rPr>
          <w:rFonts w:hint="eastAsia"/>
        </w:rPr>
        <w:t>亞洲大學健康管理</w:t>
      </w:r>
      <w:r w:rsidRPr="0005564B">
        <w:rPr>
          <w:rFonts w:hint="eastAsia"/>
        </w:rPr>
        <w:t>學系陳孝平教授及私立淡江大學會計學系韓幸紋副教授，並詢問衛福部</w:t>
      </w:r>
      <w:r w:rsidR="00E57168" w:rsidRPr="0005564B">
        <w:rPr>
          <w:rFonts w:hAnsi="標楷體" w:hint="eastAsia"/>
        </w:rPr>
        <w:t>薛瑞元次長、</w:t>
      </w:r>
      <w:r w:rsidR="00E57168" w:rsidRPr="0005564B">
        <w:rPr>
          <w:rFonts w:hint="eastAsia"/>
        </w:rPr>
        <w:t>衛福部</w:t>
      </w:r>
      <w:r w:rsidR="00E57168" w:rsidRPr="0005564B">
        <w:rPr>
          <w:rFonts w:hAnsi="標楷體" w:hint="eastAsia"/>
        </w:rPr>
        <w:t>社會保險司商東福司長、</w:t>
      </w:r>
      <w:r w:rsidR="00E57168" w:rsidRPr="0005564B">
        <w:rPr>
          <w:rFonts w:hint="eastAsia"/>
        </w:rPr>
        <w:t>衛福部中央健康保險署</w:t>
      </w:r>
      <w:r w:rsidR="00E57168" w:rsidRPr="0005564B">
        <w:rPr>
          <w:rFonts w:hAnsi="標楷體" w:hint="eastAsia"/>
        </w:rPr>
        <w:t>李丞華副署長、</w:t>
      </w:r>
      <w:r w:rsidR="00E57168" w:rsidRPr="0005564B">
        <w:rPr>
          <w:rFonts w:hint="eastAsia"/>
        </w:rPr>
        <w:t>衛福部全民健康保險會</w:t>
      </w:r>
      <w:r w:rsidR="00E57168" w:rsidRPr="0005564B">
        <w:rPr>
          <w:rFonts w:hAnsi="標楷體" w:hint="eastAsia"/>
        </w:rPr>
        <w:t>技監兼</w:t>
      </w:r>
      <w:r w:rsidR="00E57168" w:rsidRPr="0005564B">
        <w:rPr>
          <w:rFonts w:hint="eastAsia"/>
        </w:rPr>
        <w:t>執行祕書</w:t>
      </w:r>
      <w:r w:rsidR="00E57168" w:rsidRPr="0005564B">
        <w:rPr>
          <w:rFonts w:hAnsi="標楷體" w:hint="eastAsia"/>
        </w:rPr>
        <w:t>周淑婉、</w:t>
      </w:r>
      <w:r w:rsidR="00E57168" w:rsidRPr="0005564B">
        <w:rPr>
          <w:rFonts w:hint="eastAsia"/>
        </w:rPr>
        <w:t>衛福部食品藥物管理署</w:t>
      </w:r>
      <w:r w:rsidR="00E57168" w:rsidRPr="0005564B">
        <w:rPr>
          <w:rFonts w:hAnsi="標楷體" w:hint="eastAsia"/>
        </w:rPr>
        <w:t>陳可欣簡任技正</w:t>
      </w:r>
      <w:r w:rsidR="00D77DA5" w:rsidRPr="0005564B">
        <w:rPr>
          <w:rFonts w:hAnsi="標楷體" w:hint="eastAsia"/>
        </w:rPr>
        <w:t>等</w:t>
      </w:r>
      <w:r w:rsidRPr="0005564B">
        <w:rPr>
          <w:rFonts w:hint="eastAsia"/>
        </w:rPr>
        <w:t>相關主管人員</w:t>
      </w:r>
      <w:r w:rsidR="00D77DA5" w:rsidRPr="0005564B">
        <w:rPr>
          <w:rFonts w:hint="eastAsia"/>
        </w:rPr>
        <w:t>後</w:t>
      </w:r>
      <w:r w:rsidRPr="0005564B">
        <w:rPr>
          <w:rFonts w:hint="eastAsia"/>
        </w:rPr>
        <w:t>，業已調查竣事，茲臚列調查意見如後</w:t>
      </w:r>
      <w:r w:rsidR="00FB501B" w:rsidRPr="0005564B">
        <w:rPr>
          <w:rFonts w:hint="eastAsia"/>
        </w:rPr>
        <w:t>：</w:t>
      </w:r>
    </w:p>
    <w:p w:rsidR="00630E4A" w:rsidRPr="0005564B" w:rsidRDefault="00630E4A" w:rsidP="00A639F4">
      <w:pPr>
        <w:pStyle w:val="10"/>
        <w:ind w:left="680" w:firstLine="680"/>
      </w:pPr>
    </w:p>
    <w:p w:rsidR="00630E4A" w:rsidRPr="0005564B" w:rsidRDefault="00630E4A" w:rsidP="00630E4A">
      <w:pPr>
        <w:pStyle w:val="2"/>
        <w:rPr>
          <w:b/>
        </w:rPr>
      </w:pPr>
      <w:bookmarkStart w:id="59" w:name="_Toc10066327"/>
      <w:bookmarkStart w:id="60" w:name="_Toc10295277"/>
      <w:bookmarkStart w:id="61" w:name="_Toc9058260"/>
      <w:bookmarkStart w:id="62" w:name="_Toc9078573"/>
      <w:r w:rsidRPr="0005564B">
        <w:rPr>
          <w:rFonts w:hint="eastAsia"/>
          <w:b/>
          <w:lang w:eastAsia="zh-HK"/>
        </w:rPr>
        <w:t>調漲健保費率對</w:t>
      </w:r>
      <w:r w:rsidRPr="0005564B">
        <w:rPr>
          <w:rFonts w:hint="eastAsia"/>
          <w:b/>
        </w:rPr>
        <w:t>於</w:t>
      </w:r>
      <w:r w:rsidRPr="0005564B">
        <w:rPr>
          <w:rFonts w:hint="eastAsia"/>
          <w:b/>
          <w:lang w:eastAsia="zh-HK"/>
        </w:rPr>
        <w:t>改</w:t>
      </w:r>
      <w:r w:rsidRPr="0005564B">
        <w:rPr>
          <w:rFonts w:hint="eastAsia"/>
          <w:b/>
        </w:rPr>
        <w:t>善</w:t>
      </w:r>
      <w:r w:rsidRPr="0005564B">
        <w:rPr>
          <w:rFonts w:hint="eastAsia"/>
          <w:b/>
          <w:lang w:eastAsia="zh-HK"/>
        </w:rPr>
        <w:t>健保財</w:t>
      </w:r>
      <w:r w:rsidRPr="0005564B">
        <w:rPr>
          <w:rFonts w:hint="eastAsia"/>
          <w:b/>
        </w:rPr>
        <w:t>務</w:t>
      </w:r>
      <w:r w:rsidRPr="0005564B">
        <w:rPr>
          <w:rFonts w:hint="eastAsia"/>
          <w:b/>
          <w:lang w:eastAsia="zh-HK"/>
        </w:rPr>
        <w:t>狀</w:t>
      </w:r>
      <w:r w:rsidRPr="0005564B">
        <w:rPr>
          <w:rFonts w:hint="eastAsia"/>
          <w:b/>
        </w:rPr>
        <w:t>況</w:t>
      </w:r>
      <w:r w:rsidRPr="0005564B">
        <w:rPr>
          <w:rFonts w:hint="eastAsia"/>
          <w:b/>
          <w:lang w:eastAsia="zh-HK"/>
        </w:rPr>
        <w:t>最為直</w:t>
      </w:r>
      <w:r w:rsidRPr="0005564B">
        <w:rPr>
          <w:rFonts w:hint="eastAsia"/>
          <w:b/>
        </w:rPr>
        <w:t>接</w:t>
      </w:r>
      <w:r w:rsidRPr="0005564B">
        <w:rPr>
          <w:rFonts w:hint="eastAsia"/>
          <w:b/>
          <w:lang w:eastAsia="zh-HK"/>
        </w:rPr>
        <w:t>有效，然不易</w:t>
      </w:r>
      <w:r w:rsidR="00CF177D" w:rsidRPr="0005564B">
        <w:rPr>
          <w:rFonts w:hint="eastAsia"/>
          <w:b/>
          <w:lang w:eastAsia="zh-HK"/>
        </w:rPr>
        <w:t>為</w:t>
      </w:r>
      <w:r w:rsidRPr="0005564B">
        <w:rPr>
          <w:rFonts w:hint="eastAsia"/>
          <w:b/>
          <w:lang w:eastAsia="zh-HK"/>
        </w:rPr>
        <w:t>一般社會大眾</w:t>
      </w:r>
      <w:r w:rsidR="00CF177D" w:rsidRPr="0005564B">
        <w:rPr>
          <w:rFonts w:hint="eastAsia"/>
          <w:b/>
          <w:lang w:eastAsia="zh-HK"/>
        </w:rPr>
        <w:t>所接受</w:t>
      </w:r>
      <w:r w:rsidRPr="0005564B">
        <w:rPr>
          <w:rFonts w:hint="eastAsia"/>
          <w:b/>
          <w:lang w:eastAsia="zh-HK"/>
        </w:rPr>
        <w:t>，</w:t>
      </w:r>
      <w:r w:rsidR="00CF177D" w:rsidRPr="0005564B">
        <w:rPr>
          <w:rFonts w:hint="eastAsia"/>
          <w:b/>
          <w:lang w:eastAsia="zh-HK"/>
        </w:rPr>
        <w:t>復以我國</w:t>
      </w:r>
      <w:r w:rsidRPr="0005564B">
        <w:rPr>
          <w:rFonts w:hint="eastAsia"/>
          <w:b/>
          <w:lang w:eastAsia="zh-HK"/>
        </w:rPr>
        <w:t>目</w:t>
      </w:r>
      <w:r w:rsidRPr="0005564B">
        <w:rPr>
          <w:rFonts w:hint="eastAsia"/>
          <w:b/>
        </w:rPr>
        <w:t>前</w:t>
      </w:r>
      <w:r w:rsidRPr="0005564B">
        <w:rPr>
          <w:rFonts w:hint="eastAsia"/>
          <w:b/>
          <w:lang w:eastAsia="zh-HK"/>
        </w:rPr>
        <w:t>每</w:t>
      </w:r>
      <w:r w:rsidR="00CF177D" w:rsidRPr="0005564B">
        <w:rPr>
          <w:rFonts w:hint="eastAsia"/>
          <w:b/>
          <w:lang w:eastAsia="zh-HK"/>
        </w:rPr>
        <w:t>4</w:t>
      </w:r>
      <w:r w:rsidRPr="0005564B">
        <w:rPr>
          <w:rFonts w:hint="eastAsia"/>
          <w:b/>
          <w:lang w:eastAsia="zh-HK"/>
        </w:rPr>
        <w:t>年即有總統、立法委員或縣市長之選舉，政治因素</w:t>
      </w:r>
      <w:r w:rsidR="00CF177D" w:rsidRPr="0005564B">
        <w:rPr>
          <w:rFonts w:hint="eastAsia"/>
          <w:b/>
          <w:lang w:eastAsia="zh-HK"/>
        </w:rPr>
        <w:t>干擾</w:t>
      </w:r>
      <w:r w:rsidRPr="0005564B">
        <w:rPr>
          <w:rFonts w:hint="eastAsia"/>
          <w:b/>
          <w:lang w:eastAsia="zh-HK"/>
        </w:rPr>
        <w:t>下，調漲費率幾</w:t>
      </w:r>
      <w:r w:rsidRPr="0005564B">
        <w:rPr>
          <w:rFonts w:hint="eastAsia"/>
          <w:b/>
        </w:rPr>
        <w:t>乎</w:t>
      </w:r>
      <w:r w:rsidRPr="0005564B">
        <w:rPr>
          <w:rFonts w:hint="eastAsia"/>
          <w:b/>
          <w:lang w:eastAsia="zh-HK"/>
        </w:rPr>
        <w:t>是不可能之任務</w:t>
      </w:r>
      <w:r w:rsidR="00972828" w:rsidRPr="0005564B">
        <w:rPr>
          <w:rFonts w:hint="eastAsia"/>
          <w:b/>
          <w:lang w:eastAsia="zh-HK"/>
        </w:rPr>
        <w:t>；惟在</w:t>
      </w:r>
      <w:r w:rsidR="00CF177D" w:rsidRPr="0005564B">
        <w:rPr>
          <w:rFonts w:hint="eastAsia"/>
          <w:b/>
          <w:lang w:eastAsia="zh-HK"/>
        </w:rPr>
        <w:t>現行</w:t>
      </w:r>
      <w:r w:rsidR="00972828" w:rsidRPr="0005564B">
        <w:rPr>
          <w:rFonts w:hint="eastAsia"/>
          <w:b/>
          <w:lang w:eastAsia="zh-HK"/>
        </w:rPr>
        <w:t>保險費率維持4.69%下，預估108年收支短絀約400億元，健保安全準備將於111年用罄，屆時費率</w:t>
      </w:r>
      <w:r w:rsidR="00CF177D" w:rsidRPr="0005564B">
        <w:rPr>
          <w:rFonts w:hint="eastAsia"/>
          <w:b/>
          <w:lang w:eastAsia="zh-HK"/>
        </w:rPr>
        <w:t>必須</w:t>
      </w:r>
      <w:r w:rsidR="00972828" w:rsidRPr="0005564B">
        <w:rPr>
          <w:rFonts w:hint="eastAsia"/>
          <w:b/>
          <w:lang w:eastAsia="zh-HK"/>
        </w:rPr>
        <w:t>提高至超過法定上限6%，始能平衡收支。</w:t>
      </w:r>
      <w:r w:rsidRPr="0005564B">
        <w:rPr>
          <w:b/>
        </w:rPr>
        <w:t>衛福部</w:t>
      </w:r>
      <w:r w:rsidR="00972828" w:rsidRPr="0005564B">
        <w:rPr>
          <w:rFonts w:hint="eastAsia"/>
          <w:b/>
          <w:lang w:eastAsia="zh-HK"/>
        </w:rPr>
        <w:t>責無旁貸，</w:t>
      </w:r>
      <w:r w:rsidRPr="0005564B">
        <w:rPr>
          <w:rFonts w:hint="eastAsia"/>
          <w:b/>
          <w:lang w:eastAsia="zh-HK"/>
        </w:rPr>
        <w:t>允應對</w:t>
      </w:r>
      <w:r w:rsidR="00CF177D" w:rsidRPr="0005564B">
        <w:rPr>
          <w:rFonts w:hint="eastAsia"/>
          <w:b/>
          <w:lang w:eastAsia="zh-HK"/>
        </w:rPr>
        <w:t>可</w:t>
      </w:r>
      <w:r w:rsidR="00CF177D" w:rsidRPr="0005564B">
        <w:rPr>
          <w:rFonts w:hint="eastAsia"/>
          <w:b/>
        </w:rPr>
        <w:t>能</w:t>
      </w:r>
      <w:r w:rsidR="00CF177D" w:rsidRPr="0005564B">
        <w:rPr>
          <w:rFonts w:hint="eastAsia"/>
          <w:b/>
          <w:lang w:eastAsia="zh-HK"/>
        </w:rPr>
        <w:t>惡化之</w:t>
      </w:r>
      <w:r w:rsidRPr="0005564B">
        <w:rPr>
          <w:rFonts w:hint="eastAsia"/>
          <w:b/>
          <w:lang w:eastAsia="zh-HK"/>
        </w:rPr>
        <w:t>健保財</w:t>
      </w:r>
      <w:r w:rsidRPr="0005564B">
        <w:rPr>
          <w:rFonts w:hint="eastAsia"/>
          <w:b/>
        </w:rPr>
        <w:t>務</w:t>
      </w:r>
      <w:r w:rsidRPr="0005564B">
        <w:rPr>
          <w:rFonts w:hint="eastAsia"/>
          <w:b/>
          <w:lang w:eastAsia="zh-HK"/>
        </w:rPr>
        <w:t>狀</w:t>
      </w:r>
      <w:r w:rsidRPr="0005564B">
        <w:rPr>
          <w:rFonts w:hint="eastAsia"/>
          <w:b/>
        </w:rPr>
        <w:t>況</w:t>
      </w:r>
      <w:r w:rsidRPr="0005564B">
        <w:rPr>
          <w:rFonts w:hint="eastAsia"/>
          <w:b/>
          <w:lang w:eastAsia="zh-HK"/>
        </w:rPr>
        <w:t>，未雨</w:t>
      </w:r>
      <w:r w:rsidRPr="0005564B">
        <w:rPr>
          <w:rFonts w:hint="eastAsia"/>
          <w:b/>
        </w:rPr>
        <w:t>綢繆</w:t>
      </w:r>
      <w:r w:rsidRPr="0005564B">
        <w:rPr>
          <w:rFonts w:hint="eastAsia"/>
          <w:b/>
          <w:lang w:eastAsia="zh-HK"/>
        </w:rPr>
        <w:t>，持續積極</w:t>
      </w:r>
      <w:r w:rsidRPr="0005564B">
        <w:rPr>
          <w:b/>
        </w:rPr>
        <w:t>進行健保</w:t>
      </w:r>
      <w:r w:rsidRPr="0005564B">
        <w:rPr>
          <w:rFonts w:hint="eastAsia"/>
          <w:b/>
          <w:lang w:eastAsia="zh-HK"/>
        </w:rPr>
        <w:t>財務</w:t>
      </w:r>
      <w:r w:rsidRPr="0005564B">
        <w:rPr>
          <w:b/>
        </w:rPr>
        <w:t>改革</w:t>
      </w:r>
      <w:r w:rsidRPr="0005564B">
        <w:rPr>
          <w:rFonts w:hint="eastAsia"/>
          <w:b/>
          <w:lang w:eastAsia="zh-HK"/>
        </w:rPr>
        <w:t>作為</w:t>
      </w:r>
      <w:r w:rsidRPr="0005564B">
        <w:rPr>
          <w:b/>
        </w:rPr>
        <w:t>，</w:t>
      </w:r>
      <w:r w:rsidRPr="0005564B">
        <w:rPr>
          <w:rFonts w:hint="eastAsia"/>
          <w:b/>
          <w:lang w:eastAsia="zh-HK"/>
        </w:rPr>
        <w:t>以更周全的改善方案尋求</w:t>
      </w:r>
      <w:r w:rsidRPr="0005564B">
        <w:rPr>
          <w:rFonts w:hint="eastAsia"/>
          <w:b/>
        </w:rPr>
        <w:t>全民健康保險</w:t>
      </w:r>
      <w:r w:rsidRPr="0005564B">
        <w:rPr>
          <w:rFonts w:hint="eastAsia"/>
          <w:b/>
          <w:lang w:eastAsia="zh-HK"/>
        </w:rPr>
        <w:t>會委員之支持，俾改善</w:t>
      </w:r>
      <w:r w:rsidRPr="0005564B">
        <w:rPr>
          <w:b/>
        </w:rPr>
        <w:t>保險財務收支連動機制缺乏</w:t>
      </w:r>
      <w:r w:rsidRPr="0005564B">
        <w:rPr>
          <w:rFonts w:hint="eastAsia"/>
          <w:b/>
          <w:lang w:eastAsia="zh-HK"/>
        </w:rPr>
        <w:t>合理</w:t>
      </w:r>
      <w:r w:rsidRPr="0005564B">
        <w:rPr>
          <w:b/>
        </w:rPr>
        <w:t>彈性</w:t>
      </w:r>
      <w:r w:rsidRPr="0005564B">
        <w:rPr>
          <w:rFonts w:hint="eastAsia"/>
          <w:b/>
          <w:lang w:eastAsia="zh-HK"/>
        </w:rPr>
        <w:t>等問</w:t>
      </w:r>
      <w:r w:rsidRPr="0005564B">
        <w:rPr>
          <w:rFonts w:hint="eastAsia"/>
          <w:b/>
        </w:rPr>
        <w:t>題</w:t>
      </w:r>
      <w:r w:rsidRPr="0005564B">
        <w:rPr>
          <w:b/>
        </w:rPr>
        <w:t>，</w:t>
      </w:r>
      <w:r w:rsidRPr="0005564B">
        <w:rPr>
          <w:rFonts w:hint="eastAsia"/>
          <w:b/>
          <w:lang w:eastAsia="zh-HK"/>
        </w:rPr>
        <w:t>以避免未來因</w:t>
      </w:r>
      <w:r w:rsidRPr="0005564B">
        <w:rPr>
          <w:b/>
        </w:rPr>
        <w:t>健保</w:t>
      </w:r>
      <w:r w:rsidRPr="0005564B">
        <w:rPr>
          <w:rFonts w:hint="eastAsia"/>
          <w:b/>
          <w:lang w:eastAsia="zh-HK"/>
        </w:rPr>
        <w:t>財務</w:t>
      </w:r>
      <w:r w:rsidRPr="0005564B">
        <w:rPr>
          <w:b/>
          <w:kern w:val="0"/>
          <w:szCs w:val="32"/>
        </w:rPr>
        <w:t>收支</w:t>
      </w:r>
      <w:r w:rsidRPr="0005564B">
        <w:rPr>
          <w:rFonts w:hint="eastAsia"/>
          <w:b/>
          <w:kern w:val="0"/>
          <w:szCs w:val="32"/>
          <w:lang w:eastAsia="zh-HK"/>
        </w:rPr>
        <w:t>出現重大</w:t>
      </w:r>
      <w:r w:rsidRPr="0005564B">
        <w:rPr>
          <w:b/>
          <w:kern w:val="0"/>
          <w:szCs w:val="32"/>
        </w:rPr>
        <w:t>逆差</w:t>
      </w:r>
      <w:r w:rsidRPr="0005564B">
        <w:rPr>
          <w:rFonts w:hint="eastAsia"/>
          <w:b/>
          <w:kern w:val="0"/>
          <w:szCs w:val="32"/>
          <w:lang w:eastAsia="zh-HK"/>
        </w:rPr>
        <w:t>時</w:t>
      </w:r>
      <w:r w:rsidRPr="0005564B">
        <w:rPr>
          <w:b/>
          <w:kern w:val="0"/>
          <w:szCs w:val="32"/>
        </w:rPr>
        <w:t>，保險費率調幅急遽攀升</w:t>
      </w:r>
      <w:r w:rsidRPr="0005564B">
        <w:rPr>
          <w:rFonts w:hint="eastAsia"/>
          <w:b/>
          <w:lang w:eastAsia="zh-HK"/>
        </w:rPr>
        <w:t>可能</w:t>
      </w:r>
      <w:r w:rsidR="00CF177D" w:rsidRPr="0005564B">
        <w:rPr>
          <w:rFonts w:hint="eastAsia"/>
          <w:b/>
          <w:kern w:val="0"/>
          <w:szCs w:val="32"/>
          <w:lang w:eastAsia="zh-HK"/>
        </w:rPr>
        <w:t>形</w:t>
      </w:r>
      <w:r w:rsidR="00CF177D" w:rsidRPr="0005564B">
        <w:rPr>
          <w:rFonts w:hint="eastAsia"/>
          <w:b/>
          <w:kern w:val="0"/>
          <w:szCs w:val="32"/>
        </w:rPr>
        <w:t>成</w:t>
      </w:r>
      <w:r w:rsidRPr="0005564B">
        <w:rPr>
          <w:rFonts w:hint="eastAsia"/>
          <w:b/>
          <w:kern w:val="0"/>
          <w:szCs w:val="32"/>
          <w:lang w:eastAsia="zh-HK"/>
        </w:rPr>
        <w:t>對全民</w:t>
      </w:r>
      <w:r w:rsidR="00CF177D" w:rsidRPr="0005564B">
        <w:rPr>
          <w:rFonts w:hint="eastAsia"/>
          <w:b/>
          <w:kern w:val="0"/>
          <w:szCs w:val="32"/>
          <w:lang w:eastAsia="zh-HK"/>
        </w:rPr>
        <w:t>之</w:t>
      </w:r>
      <w:r w:rsidRPr="0005564B">
        <w:rPr>
          <w:rFonts w:hint="eastAsia"/>
          <w:b/>
          <w:kern w:val="0"/>
          <w:szCs w:val="32"/>
          <w:lang w:eastAsia="zh-HK"/>
        </w:rPr>
        <w:t>極大衝</w:t>
      </w:r>
      <w:r w:rsidRPr="0005564B">
        <w:rPr>
          <w:rFonts w:hint="eastAsia"/>
          <w:b/>
          <w:kern w:val="0"/>
          <w:szCs w:val="32"/>
        </w:rPr>
        <w:t>擊</w:t>
      </w:r>
      <w:r w:rsidRPr="0005564B">
        <w:rPr>
          <w:b/>
        </w:rPr>
        <w:t>。</w:t>
      </w:r>
      <w:bookmarkEnd w:id="59"/>
      <w:bookmarkEnd w:id="60"/>
    </w:p>
    <w:p w:rsidR="00630E4A" w:rsidRPr="0005564B" w:rsidRDefault="00630E4A" w:rsidP="00630E4A">
      <w:pPr>
        <w:pStyle w:val="3"/>
        <w:numPr>
          <w:ilvl w:val="2"/>
          <w:numId w:val="1"/>
        </w:numPr>
      </w:pPr>
      <w:bookmarkStart w:id="63" w:name="_Toc10027545"/>
      <w:bookmarkStart w:id="64" w:name="_Toc10054238"/>
      <w:bookmarkStart w:id="65" w:name="_Toc10066328"/>
      <w:r w:rsidRPr="0005564B">
        <w:rPr>
          <w:rFonts w:hint="eastAsia"/>
        </w:rPr>
        <w:t>「全民健康保險財務平衡及收支連動機制」之訂定，係因</w:t>
      </w:r>
      <w:r w:rsidRPr="0005564B">
        <w:t>健保署</w:t>
      </w:r>
      <w:r w:rsidRPr="0005564B">
        <w:rPr>
          <w:rFonts w:hint="eastAsia"/>
        </w:rPr>
        <w:t>於全民健康保險</w:t>
      </w:r>
      <w:r w:rsidRPr="0005564B">
        <w:rPr>
          <w:rFonts w:hint="eastAsia"/>
          <w:lang w:eastAsia="zh-HK"/>
        </w:rPr>
        <w:t>會（下稱</w:t>
      </w:r>
      <w:r w:rsidRPr="0005564B">
        <w:rPr>
          <w:rFonts w:hint="eastAsia"/>
        </w:rPr>
        <w:t>健保會）104年10月22日召開之</w:t>
      </w:r>
      <w:r w:rsidRPr="0005564B">
        <w:t>「105年度全民健康保險保險費率審議前意見諮詢會議」</w:t>
      </w:r>
      <w:r w:rsidRPr="0005564B">
        <w:rPr>
          <w:rFonts w:hint="eastAsia"/>
          <w:lang w:eastAsia="zh-HK"/>
        </w:rPr>
        <w:t>中</w:t>
      </w:r>
      <w:r w:rsidRPr="0005564B">
        <w:t>提</w:t>
      </w:r>
      <w:r w:rsidRPr="0005564B">
        <w:rPr>
          <w:rFonts w:hint="eastAsia"/>
        </w:rPr>
        <w:t>出</w:t>
      </w:r>
      <w:r w:rsidRPr="0005564B">
        <w:t>「健保財務平衡及收支連動之機制與標準暨105年度保險費率審議方</w:t>
      </w:r>
      <w:r w:rsidRPr="0005564B">
        <w:lastRenderedPageBreak/>
        <w:t>案」之財務推估</w:t>
      </w:r>
      <w:r w:rsidRPr="0005564B">
        <w:rPr>
          <w:rFonts w:hint="eastAsia"/>
        </w:rPr>
        <w:t>結果</w:t>
      </w:r>
      <w:r w:rsidRPr="0005564B">
        <w:t>，105年底之安全準備餘額預估將</w:t>
      </w:r>
      <w:r w:rsidRPr="0005564B">
        <w:rPr>
          <w:rFonts w:hint="eastAsia"/>
        </w:rPr>
        <w:t>逾</w:t>
      </w:r>
      <w:r w:rsidRPr="0005564B">
        <w:t>2</w:t>
      </w:r>
      <w:r w:rsidRPr="0005564B">
        <w:rPr>
          <w:rFonts w:hint="eastAsia"/>
        </w:rPr>
        <w:t>,400</w:t>
      </w:r>
      <w:r w:rsidRPr="0005564B">
        <w:t>億元，約當5.2個月保險給付支出。部分健保會</w:t>
      </w:r>
      <w:r w:rsidRPr="0005564B">
        <w:rPr>
          <w:rFonts w:hint="eastAsia"/>
        </w:rPr>
        <w:t>委員</w:t>
      </w:r>
      <w:r w:rsidRPr="0005564B">
        <w:t>認為已超</w:t>
      </w:r>
      <w:r w:rsidRPr="0005564B">
        <w:rPr>
          <w:rFonts w:hint="eastAsia"/>
        </w:rPr>
        <w:t>出</w:t>
      </w:r>
      <w:r w:rsidRPr="0005564B">
        <w:rPr>
          <w:rFonts w:hAnsi="標楷體" w:hint="eastAsia"/>
        </w:rPr>
        <w:t>「</w:t>
      </w:r>
      <w:r w:rsidRPr="0005564B">
        <w:t>健保法</w:t>
      </w:r>
      <w:r w:rsidRPr="0005564B">
        <w:rPr>
          <w:rFonts w:hAnsi="標楷體" w:hint="eastAsia"/>
        </w:rPr>
        <w:t>」</w:t>
      </w:r>
      <w:r w:rsidRPr="0005564B">
        <w:t>第78條規定</w:t>
      </w:r>
      <w:r w:rsidRPr="0005564B">
        <w:rPr>
          <w:rFonts w:hint="eastAsia"/>
        </w:rPr>
        <w:t>維持</w:t>
      </w:r>
      <w:r w:rsidRPr="0005564B">
        <w:t>1</w:t>
      </w:r>
      <w:r w:rsidRPr="0005564B">
        <w:rPr>
          <w:rFonts w:hint="eastAsia"/>
          <w:lang w:eastAsia="zh-HK"/>
        </w:rPr>
        <w:t>至</w:t>
      </w:r>
      <w:r w:rsidRPr="0005564B">
        <w:t>3個月</w:t>
      </w:r>
      <w:r w:rsidRPr="0005564B">
        <w:rPr>
          <w:rFonts w:hint="eastAsia"/>
        </w:rPr>
        <w:t>的安全準備餘額原則</w:t>
      </w:r>
      <w:r w:rsidRPr="0005564B">
        <w:t>甚多，顯示4.91%</w:t>
      </w:r>
      <w:r w:rsidRPr="0005564B">
        <w:rPr>
          <w:rFonts w:hint="eastAsia"/>
        </w:rPr>
        <w:t>保險</w:t>
      </w:r>
      <w:r w:rsidRPr="0005564B">
        <w:t>費率過高，乃於104年第9次委員會議</w:t>
      </w:r>
      <w:r w:rsidRPr="0005564B">
        <w:rPr>
          <w:rFonts w:hint="eastAsia"/>
        </w:rPr>
        <w:t>（104年10月23日）</w:t>
      </w:r>
      <w:r w:rsidRPr="0005564B">
        <w:t>提出要求依據</w:t>
      </w:r>
      <w:r w:rsidRPr="0005564B">
        <w:rPr>
          <w:rFonts w:hAnsi="標楷體" w:hint="eastAsia"/>
        </w:rPr>
        <w:t>「</w:t>
      </w:r>
      <w:r w:rsidRPr="0005564B">
        <w:t>健保法</w:t>
      </w:r>
      <w:r w:rsidRPr="0005564B">
        <w:rPr>
          <w:rFonts w:hAnsi="標楷體" w:hint="eastAsia"/>
        </w:rPr>
        <w:t>」</w:t>
      </w:r>
      <w:r w:rsidRPr="0005564B">
        <w:t>第24條條文規定，於105年</w:t>
      </w:r>
      <w:r w:rsidRPr="0005564B">
        <w:rPr>
          <w:rFonts w:hint="eastAsia"/>
        </w:rPr>
        <w:t>1</w:t>
      </w:r>
      <w:r w:rsidRPr="0005564B">
        <w:t>月1日起調降健保費率0.5%，以4.41%來徵收健保費，以還全民公平、公正、合理、公道收費責任</w:t>
      </w:r>
      <w:r w:rsidRPr="0005564B">
        <w:rPr>
          <w:rFonts w:hint="eastAsia"/>
          <w:lang w:eastAsia="zh-HK"/>
        </w:rPr>
        <w:t>之</w:t>
      </w:r>
      <w:r w:rsidRPr="0005564B">
        <w:t>臨時提案；</w:t>
      </w:r>
      <w:r w:rsidRPr="0005564B">
        <w:rPr>
          <w:rFonts w:hint="eastAsia"/>
        </w:rPr>
        <w:t>另</w:t>
      </w:r>
      <w:r w:rsidRPr="0005564B">
        <w:rPr>
          <w:rFonts w:hint="eastAsia"/>
          <w:lang w:eastAsia="zh-HK"/>
        </w:rPr>
        <w:t>部分</w:t>
      </w:r>
      <w:r w:rsidRPr="0005564B">
        <w:t>委員則認為健保財務自106年起將出現收支短絀，</w:t>
      </w:r>
      <w:r w:rsidRPr="0005564B">
        <w:rPr>
          <w:rFonts w:hint="eastAsia"/>
        </w:rPr>
        <w:t>爰</w:t>
      </w:r>
      <w:r w:rsidRPr="0005564B">
        <w:t>提出支持全民健康保險105年費率維持現行4.91%</w:t>
      </w:r>
      <w:r w:rsidRPr="0005564B">
        <w:rPr>
          <w:rFonts w:hint="eastAsia"/>
          <w:lang w:eastAsia="zh-HK"/>
        </w:rPr>
        <w:t>之</w:t>
      </w:r>
      <w:r w:rsidRPr="0005564B">
        <w:rPr>
          <w:rFonts w:hint="eastAsia"/>
        </w:rPr>
        <w:t>臨時提案。前揭</w:t>
      </w:r>
      <w:r w:rsidRPr="0005564B">
        <w:rPr>
          <w:rFonts w:hint="eastAsia"/>
          <w:lang w:eastAsia="zh-HK"/>
        </w:rPr>
        <w:t>二</w:t>
      </w:r>
      <w:r w:rsidRPr="0005564B">
        <w:rPr>
          <w:rFonts w:hint="eastAsia"/>
        </w:rPr>
        <w:t>提案併案討論後，</w:t>
      </w:r>
      <w:r w:rsidRPr="0005564B">
        <w:t>健保會委員</w:t>
      </w:r>
      <w:r w:rsidRPr="0005564B">
        <w:rPr>
          <w:rFonts w:hint="eastAsia"/>
        </w:rPr>
        <w:t>達成共識，認應遵循</w:t>
      </w:r>
      <w:r w:rsidRPr="0005564B">
        <w:t>二代健保財務收支連動精神</w:t>
      </w:r>
      <w:r w:rsidRPr="0005564B">
        <w:rPr>
          <w:rFonts w:hint="eastAsia"/>
        </w:rPr>
        <w:t>，建立以科學數據為基礎且不受外力干擾之可長可久費率調整機制</w:t>
      </w:r>
      <w:r w:rsidRPr="0005564B">
        <w:t>，使健保費率調整基於健保財務之客觀條件，並能適時彈性調升或調降，決議請健保署研提「財務平衡及收支連動機制」提104年第10次委員會議</w:t>
      </w:r>
      <w:r w:rsidRPr="0005564B">
        <w:rPr>
          <w:rFonts w:hint="eastAsia"/>
        </w:rPr>
        <w:t>（104年11月20日）討論，經委員討論</w:t>
      </w:r>
      <w:r w:rsidRPr="0005564B">
        <w:rPr>
          <w:rFonts w:hint="eastAsia"/>
          <w:lang w:eastAsia="zh-HK"/>
        </w:rPr>
        <w:t>後</w:t>
      </w:r>
      <w:r w:rsidRPr="0005564B">
        <w:rPr>
          <w:rFonts w:hint="eastAsia"/>
        </w:rPr>
        <w:t>研訂</w:t>
      </w:r>
      <w:r w:rsidRPr="0005564B">
        <w:rPr>
          <w:rFonts w:hint="eastAsia"/>
          <w:lang w:eastAsia="zh-HK"/>
        </w:rPr>
        <w:t>之</w:t>
      </w:r>
      <w:r w:rsidRPr="0005564B">
        <w:rPr>
          <w:rFonts w:hAnsi="標楷體" w:hint="eastAsia"/>
        </w:rPr>
        <w:t>「</w:t>
      </w:r>
      <w:r w:rsidRPr="0005564B">
        <w:rPr>
          <w:rFonts w:hint="eastAsia"/>
        </w:rPr>
        <w:t>全民健保財務平衡及收支連動機制</w:t>
      </w:r>
      <w:r w:rsidRPr="0005564B">
        <w:rPr>
          <w:rFonts w:hAnsi="標楷體" w:hint="eastAsia"/>
        </w:rPr>
        <w:t>」</w:t>
      </w:r>
      <w:r w:rsidRPr="0005564B">
        <w:rPr>
          <w:rFonts w:hint="eastAsia"/>
        </w:rPr>
        <w:t>如下</w:t>
      </w:r>
      <w:r w:rsidRPr="0005564B">
        <w:rPr>
          <w:rFonts w:hAnsi="標楷體" w:hint="eastAsia"/>
        </w:rPr>
        <w:t>：</w:t>
      </w:r>
      <w:bookmarkEnd w:id="63"/>
      <w:bookmarkEnd w:id="64"/>
      <w:bookmarkEnd w:id="65"/>
    </w:p>
    <w:p w:rsidR="00630E4A" w:rsidRPr="0005564B" w:rsidRDefault="00630E4A" w:rsidP="00630E4A">
      <w:pPr>
        <w:pStyle w:val="4"/>
        <w:numPr>
          <w:ilvl w:val="3"/>
          <w:numId w:val="1"/>
        </w:numPr>
      </w:pPr>
      <w:r w:rsidRPr="0005564B">
        <w:rPr>
          <w:rFonts w:hint="eastAsia"/>
        </w:rPr>
        <w:t>當年起（含）第3年年底安全準備餘額超出3個月保險給付支出時，啟動保險費率調降機制。其調降以超出之金額計算為原則。</w:t>
      </w:r>
    </w:p>
    <w:p w:rsidR="00630E4A" w:rsidRPr="0005564B" w:rsidRDefault="00630E4A" w:rsidP="00630E4A">
      <w:pPr>
        <w:pStyle w:val="4"/>
        <w:numPr>
          <w:ilvl w:val="3"/>
          <w:numId w:val="1"/>
        </w:numPr>
      </w:pPr>
      <w:r w:rsidRPr="0005564B">
        <w:rPr>
          <w:rFonts w:hint="eastAsia"/>
        </w:rPr>
        <w:t>當年年底安全準備餘額不足1.5個月保險給付支出時，啟動保險費率調漲機制。其調漲以當年起（含）第2年年底可維持2個月保險給付支出之金額計算為原則。</w:t>
      </w:r>
    </w:p>
    <w:p w:rsidR="00630E4A" w:rsidRPr="0005564B" w:rsidRDefault="00630E4A" w:rsidP="00630E4A">
      <w:pPr>
        <w:pStyle w:val="3"/>
        <w:numPr>
          <w:ilvl w:val="2"/>
          <w:numId w:val="1"/>
        </w:numPr>
      </w:pPr>
      <w:bookmarkStart w:id="66" w:name="_Toc10027546"/>
      <w:bookmarkStart w:id="67" w:name="_Toc10054239"/>
      <w:bookmarkStart w:id="68" w:name="_Toc10066329"/>
      <w:r w:rsidRPr="0005564B">
        <w:rPr>
          <w:kern w:val="0"/>
          <w:szCs w:val="32"/>
        </w:rPr>
        <w:t>健保署</w:t>
      </w:r>
      <w:r w:rsidRPr="0005564B">
        <w:rPr>
          <w:rFonts w:hint="eastAsia"/>
          <w:kern w:val="0"/>
          <w:szCs w:val="32"/>
          <w:lang w:eastAsia="zh-HK"/>
        </w:rPr>
        <w:t>嗣</w:t>
      </w:r>
      <w:r w:rsidRPr="0005564B">
        <w:rPr>
          <w:kern w:val="0"/>
          <w:szCs w:val="32"/>
        </w:rPr>
        <w:t>於105</w:t>
      </w:r>
      <w:r w:rsidRPr="0005564B">
        <w:rPr>
          <w:rFonts w:hint="eastAsia"/>
          <w:kern w:val="0"/>
          <w:szCs w:val="32"/>
        </w:rPr>
        <w:t>年</w:t>
      </w:r>
      <w:r w:rsidRPr="0005564B">
        <w:rPr>
          <w:kern w:val="0"/>
          <w:szCs w:val="32"/>
        </w:rPr>
        <w:t>10</w:t>
      </w:r>
      <w:r w:rsidRPr="0005564B">
        <w:rPr>
          <w:rFonts w:hint="eastAsia"/>
          <w:kern w:val="0"/>
          <w:szCs w:val="32"/>
        </w:rPr>
        <w:t>月</w:t>
      </w:r>
      <w:r w:rsidRPr="0005564B">
        <w:rPr>
          <w:kern w:val="0"/>
          <w:szCs w:val="32"/>
        </w:rPr>
        <w:t>17</w:t>
      </w:r>
      <w:r w:rsidRPr="0005564B">
        <w:rPr>
          <w:rFonts w:hint="eastAsia"/>
          <w:kern w:val="0"/>
          <w:szCs w:val="32"/>
        </w:rPr>
        <w:t>日</w:t>
      </w:r>
      <w:r w:rsidRPr="0005564B">
        <w:rPr>
          <w:kern w:val="0"/>
          <w:szCs w:val="32"/>
        </w:rPr>
        <w:t>「106年度全民健康保險保險費率審議前意見諮詢會議」提報「106年度保險費率審議方案（草案</w:t>
      </w:r>
      <w:r w:rsidRPr="0005564B">
        <w:rPr>
          <w:rFonts w:hint="eastAsia"/>
          <w:kern w:val="0"/>
          <w:szCs w:val="32"/>
        </w:rPr>
        <w:t>）</w:t>
      </w:r>
      <w:r w:rsidRPr="0005564B">
        <w:rPr>
          <w:kern w:val="0"/>
          <w:szCs w:val="32"/>
        </w:rPr>
        <w:t>」時指出，依「全民健保財務平衡及收支連動機制」進行之財務推估顯示，該</w:t>
      </w:r>
      <w:r w:rsidRPr="0005564B">
        <w:rPr>
          <w:kern w:val="0"/>
          <w:szCs w:val="32"/>
        </w:rPr>
        <w:lastRenderedPageBreak/>
        <w:t>機制存在「啟動費率調整時點無法適時反映收支狀況」、「保險收支存在結構性失衡的逆差，未來保險費率調幅將急遽攀升」等問題，</w:t>
      </w:r>
      <w:r w:rsidRPr="0005564B">
        <w:rPr>
          <w:rFonts w:hint="eastAsia"/>
          <w:kern w:val="0"/>
          <w:szCs w:val="32"/>
          <w:lang w:eastAsia="zh-HK"/>
        </w:rPr>
        <w:t>惟後續所提之</w:t>
      </w:r>
      <w:r w:rsidRPr="0005564B">
        <w:rPr>
          <w:rFonts w:hint="eastAsia"/>
          <w:kern w:val="0"/>
          <w:szCs w:val="32"/>
        </w:rPr>
        <w:t>「全民健保財務平衡及收支連動機制建議修正方案」，</w:t>
      </w:r>
      <w:r w:rsidRPr="0005564B">
        <w:rPr>
          <w:rFonts w:hint="eastAsia"/>
          <w:kern w:val="0"/>
          <w:szCs w:val="32"/>
          <w:lang w:eastAsia="zh-HK"/>
        </w:rPr>
        <w:t>未獲</w:t>
      </w:r>
      <w:r w:rsidRPr="0005564B">
        <w:rPr>
          <w:rFonts w:hint="eastAsia"/>
          <w:kern w:val="0"/>
          <w:szCs w:val="32"/>
        </w:rPr>
        <w:t>健保會</w:t>
      </w:r>
      <w:r w:rsidRPr="0005564B">
        <w:rPr>
          <w:rFonts w:hint="eastAsia"/>
          <w:kern w:val="0"/>
          <w:szCs w:val="32"/>
          <w:lang w:eastAsia="zh-HK"/>
        </w:rPr>
        <w:t>支持</w:t>
      </w:r>
      <w:r w:rsidRPr="0005564B">
        <w:rPr>
          <w:rFonts w:hint="eastAsia"/>
          <w:kern w:val="0"/>
          <w:szCs w:val="32"/>
        </w:rPr>
        <w:t>，仍維持104年11月20日通過之機制</w:t>
      </w:r>
      <w:r w:rsidRPr="0005564B">
        <w:rPr>
          <w:rFonts w:hint="eastAsia"/>
        </w:rPr>
        <w:t>。</w:t>
      </w:r>
      <w:r w:rsidRPr="0005564B">
        <w:rPr>
          <w:kern w:val="0"/>
          <w:szCs w:val="32"/>
        </w:rPr>
        <w:t>健保署</w:t>
      </w:r>
      <w:r w:rsidRPr="0005564B">
        <w:rPr>
          <w:rFonts w:hint="eastAsia"/>
          <w:kern w:val="0"/>
          <w:szCs w:val="32"/>
          <w:lang w:eastAsia="zh-HK"/>
        </w:rPr>
        <w:t>於</w:t>
      </w:r>
      <w:r w:rsidRPr="0005564B">
        <w:rPr>
          <w:rFonts w:hAnsi="標楷體"/>
        </w:rPr>
        <w:t>106</w:t>
      </w:r>
      <w:r w:rsidRPr="0005564B">
        <w:rPr>
          <w:rFonts w:hAnsi="標楷體" w:hint="eastAsia"/>
        </w:rPr>
        <w:t>年間</w:t>
      </w:r>
      <w:r w:rsidRPr="0005564B">
        <w:rPr>
          <w:rFonts w:hAnsi="標楷體" w:hint="eastAsia"/>
          <w:lang w:eastAsia="zh-HK"/>
        </w:rPr>
        <w:t>再</w:t>
      </w:r>
      <w:r w:rsidRPr="0005564B">
        <w:rPr>
          <w:rFonts w:hAnsi="標楷體" w:hint="eastAsia"/>
        </w:rPr>
        <w:t>召開</w:t>
      </w:r>
      <w:r w:rsidRPr="0005564B">
        <w:rPr>
          <w:rFonts w:hAnsi="標楷體"/>
        </w:rPr>
        <w:t>2</w:t>
      </w:r>
      <w:r w:rsidRPr="0005564B">
        <w:rPr>
          <w:rFonts w:hAnsi="標楷體" w:hint="eastAsia"/>
        </w:rPr>
        <w:t>場專家學者諮詢會議，參採專家學者「啟動條件多元化」、「調整方式具彈性」等意見，將「保險成本超出保險收入」、「</w:t>
      </w:r>
      <w:r w:rsidRPr="0005564B">
        <w:rPr>
          <w:rFonts w:hAnsi="標楷體"/>
        </w:rPr>
        <w:t>2</w:t>
      </w:r>
      <w:r w:rsidRPr="0005564B">
        <w:rPr>
          <w:rFonts w:hAnsi="標楷體" w:hint="eastAsia"/>
        </w:rPr>
        <w:t>年收支平衡費率超出現行費率」之幅度等因素納入「啟動條件」；並於「調整方式」列入財務缺口應同時藉開源及節流（部分調整費率、部分節流措施）處理、費率調整幅度應具有彈性（如</w:t>
      </w:r>
      <w:r w:rsidRPr="0005564B">
        <w:rPr>
          <w:rFonts w:hAnsi="標楷體"/>
        </w:rPr>
        <w:t>3~5%</w:t>
      </w:r>
      <w:r w:rsidRPr="0005564B">
        <w:rPr>
          <w:rFonts w:hAnsi="標楷體" w:hint="eastAsia"/>
        </w:rPr>
        <w:t>，以免變動幅度太大影響民生過鉅，並可衡酌當年國家經濟整體情況）等，以使費率審議可多面向考量並能適度彈性調整，研擬「全民健保財務平衡及收支連動機制」建議修正方案，</w:t>
      </w:r>
      <w:r w:rsidRPr="0005564B">
        <w:rPr>
          <w:rFonts w:hAnsi="標楷體" w:hint="eastAsia"/>
          <w:lang w:eastAsia="zh-HK"/>
        </w:rPr>
        <w:t>然該</w:t>
      </w:r>
      <w:r w:rsidRPr="0005564B">
        <w:rPr>
          <w:rFonts w:hint="eastAsia"/>
        </w:rPr>
        <w:t>修正方案</w:t>
      </w:r>
      <w:r w:rsidRPr="0005564B">
        <w:rPr>
          <w:rFonts w:hint="eastAsia"/>
          <w:lang w:eastAsia="zh-HK"/>
        </w:rPr>
        <w:t>經</w:t>
      </w:r>
      <w:r w:rsidRPr="0005564B">
        <w:rPr>
          <w:rFonts w:hint="eastAsia"/>
          <w:kern w:val="0"/>
          <w:szCs w:val="32"/>
        </w:rPr>
        <w:t>健保會</w:t>
      </w:r>
      <w:r w:rsidRPr="0005564B">
        <w:rPr>
          <w:rFonts w:hint="eastAsia"/>
          <w:kern w:val="0"/>
          <w:szCs w:val="32"/>
          <w:lang w:eastAsia="zh-HK"/>
        </w:rPr>
        <w:t>討</w:t>
      </w:r>
      <w:r w:rsidRPr="0005564B">
        <w:rPr>
          <w:rFonts w:hint="eastAsia"/>
          <w:kern w:val="0"/>
          <w:szCs w:val="32"/>
        </w:rPr>
        <w:t>論</w:t>
      </w:r>
      <w:r w:rsidRPr="0005564B">
        <w:rPr>
          <w:rFonts w:hint="eastAsia"/>
          <w:kern w:val="0"/>
          <w:szCs w:val="32"/>
          <w:lang w:eastAsia="zh-HK"/>
        </w:rPr>
        <w:t>後，認為未盡周延</w:t>
      </w:r>
      <w:r w:rsidRPr="0005564B">
        <w:rPr>
          <w:rFonts w:hint="eastAsia"/>
          <w:kern w:val="0"/>
          <w:szCs w:val="32"/>
        </w:rPr>
        <w:t>，</w:t>
      </w:r>
      <w:r w:rsidRPr="0005564B">
        <w:rPr>
          <w:rFonts w:hint="eastAsia"/>
          <w:lang w:eastAsia="zh-HK"/>
        </w:rPr>
        <w:t>仍</w:t>
      </w:r>
      <w:r w:rsidRPr="0005564B">
        <w:rPr>
          <w:rFonts w:hint="eastAsia"/>
        </w:rPr>
        <w:t>未獲通過</w:t>
      </w:r>
      <w:r w:rsidRPr="0005564B">
        <w:rPr>
          <w:rFonts w:hAnsi="標楷體" w:hint="eastAsia"/>
        </w:rPr>
        <w:t>。</w:t>
      </w:r>
      <w:bookmarkEnd w:id="66"/>
      <w:bookmarkEnd w:id="67"/>
      <w:bookmarkEnd w:id="68"/>
    </w:p>
    <w:p w:rsidR="00630E4A" w:rsidRPr="0005564B" w:rsidRDefault="00630E4A" w:rsidP="00630E4A">
      <w:pPr>
        <w:pStyle w:val="3"/>
        <w:numPr>
          <w:ilvl w:val="2"/>
          <w:numId w:val="1"/>
        </w:numPr>
      </w:pPr>
      <w:bookmarkStart w:id="69" w:name="_Toc10027547"/>
      <w:bookmarkStart w:id="70" w:name="_Toc10054240"/>
      <w:bookmarkStart w:id="71" w:name="_Toc10066330"/>
      <w:r w:rsidRPr="0005564B">
        <w:rPr>
          <w:rFonts w:hint="eastAsia"/>
          <w:lang w:eastAsia="zh-HK"/>
        </w:rPr>
        <w:t>惟查，</w:t>
      </w:r>
      <w:r w:rsidRPr="0005564B">
        <w:t>健保署</w:t>
      </w:r>
      <w:r w:rsidRPr="0005564B">
        <w:rPr>
          <w:rFonts w:hint="eastAsia"/>
          <w:lang w:eastAsia="zh-HK"/>
        </w:rPr>
        <w:t>所</w:t>
      </w:r>
      <w:r w:rsidRPr="0005564B">
        <w:t>編製</w:t>
      </w:r>
      <w:r w:rsidRPr="0005564B">
        <w:rPr>
          <w:rFonts w:hint="eastAsia"/>
          <w:lang w:eastAsia="zh-HK"/>
        </w:rPr>
        <w:t>之</w:t>
      </w:r>
      <w:r w:rsidRPr="0005564B">
        <w:rPr>
          <w:rFonts w:hAnsi="標楷體" w:hint="eastAsia"/>
        </w:rPr>
        <w:t>「</w:t>
      </w:r>
      <w:r w:rsidRPr="0005564B">
        <w:rPr>
          <w:rFonts w:hint="eastAsia"/>
        </w:rPr>
        <w:t>106年度全民健康保險財務評估報告</w:t>
      </w:r>
      <w:r w:rsidRPr="0005564B">
        <w:rPr>
          <w:rFonts w:hAnsi="標楷體" w:hint="eastAsia"/>
        </w:rPr>
        <w:t>」，係二代健保實施以來首次編製，</w:t>
      </w:r>
      <w:r w:rsidRPr="0005564B">
        <w:rPr>
          <w:rFonts w:hAnsi="標楷體" w:hint="eastAsia"/>
          <w:lang w:eastAsia="zh-HK"/>
        </w:rPr>
        <w:t>該評估</w:t>
      </w:r>
      <w:r w:rsidRPr="0005564B">
        <w:rPr>
          <w:rFonts w:hAnsi="標楷體" w:hint="eastAsia"/>
        </w:rPr>
        <w:t>報告結論</w:t>
      </w:r>
      <w:r w:rsidRPr="0005564B">
        <w:rPr>
          <w:rFonts w:hAnsi="標楷體" w:hint="eastAsia"/>
          <w:lang w:eastAsia="zh-HK"/>
        </w:rPr>
        <w:t>明確</w:t>
      </w:r>
      <w:r w:rsidRPr="0005564B">
        <w:t>指出：</w:t>
      </w:r>
      <w:r w:rsidRPr="0005564B">
        <w:rPr>
          <w:rFonts w:hAnsi="標楷體" w:hint="eastAsia"/>
        </w:rPr>
        <w:t>「</w:t>
      </w:r>
      <w:r w:rsidRPr="0005564B">
        <w:rPr>
          <w:rFonts w:hint="eastAsia"/>
        </w:rPr>
        <w:t>健保財務收支存在結構性失衡，於維持現行健保費率4.69%情況下，106年至110年平均每年財務收支逆差3.26個百分點，且逐年持續擴大，預估110年財務收支短絀將達994億元；如以未來每年收支平衡費率觀之，呈逐步上升趨勢，若嗣後每年調整，平均調幅僅約3.77%，衝擊較小；若依健保會研訂之收支連動機制，於110年調升費率至5.69%，調整幅度達21.32%，113年將再調整費率為6.34%，調整幅度達11.42%，之後每3年調整1次費率，平均每次調幅為13.06%，衝擊較大。</w:t>
      </w:r>
      <w:r w:rsidRPr="0005564B">
        <w:rPr>
          <w:rFonts w:hAnsi="標楷體" w:hint="eastAsia"/>
        </w:rPr>
        <w:t>」</w:t>
      </w:r>
      <w:r w:rsidRPr="0005564B">
        <w:rPr>
          <w:rFonts w:hint="eastAsia"/>
        </w:rPr>
        <w:t>衛福部表示，在</w:t>
      </w:r>
      <w:r w:rsidR="00D55239" w:rsidRPr="0005564B">
        <w:rPr>
          <w:rFonts w:hint="eastAsia"/>
        </w:rPr>
        <w:t>現行</w:t>
      </w:r>
      <w:r w:rsidRPr="0005564B">
        <w:rPr>
          <w:rFonts w:hint="eastAsia"/>
        </w:rPr>
        <w:t>保險費率維持4.69%下，預估108年</w:t>
      </w:r>
      <w:r w:rsidRPr="0005564B">
        <w:rPr>
          <w:rFonts w:hint="eastAsia"/>
        </w:rPr>
        <w:lastRenderedPageBreak/>
        <w:t>收支短絀約400億元，安全準備將於111年用罄。</w:t>
      </w:r>
      <w:r w:rsidRPr="0005564B">
        <w:rPr>
          <w:rFonts w:hint="eastAsia"/>
          <w:lang w:eastAsia="zh-HK"/>
        </w:rPr>
        <w:t>復依</w:t>
      </w:r>
      <w:r w:rsidRPr="0005564B">
        <w:rPr>
          <w:rFonts w:hAnsi="標楷體" w:hint="eastAsia"/>
        </w:rPr>
        <w:t>「106年度全民健康保險保險費率審議前意見諮詢會議」決議</w:t>
      </w:r>
      <w:r w:rsidRPr="0005564B">
        <w:rPr>
          <w:rFonts w:hAnsi="標楷體" w:hint="eastAsia"/>
          <w:lang w:eastAsia="zh-HK"/>
        </w:rPr>
        <w:t>中</w:t>
      </w:r>
      <w:r w:rsidRPr="0005564B">
        <w:rPr>
          <w:rFonts w:hAnsi="標楷體" w:hint="eastAsia"/>
        </w:rPr>
        <w:t>，就「全民健保財務平衡及收支連動機制建議方案」之意見</w:t>
      </w:r>
      <w:r w:rsidRPr="0005564B">
        <w:rPr>
          <w:rFonts w:hAnsi="標楷體" w:hint="eastAsia"/>
          <w:lang w:eastAsia="zh-HK"/>
        </w:rPr>
        <w:t>亦指出</w:t>
      </w:r>
      <w:r w:rsidRPr="0005564B">
        <w:rPr>
          <w:rFonts w:hAnsi="標楷體" w:hint="eastAsia"/>
        </w:rPr>
        <w:t>：「現行機制及健保署建議方案，皆無法解決健保財務收支結構性失衡的問題，預估110或111年之保險費率將超過法定上限6%，屆時須面對修法或調整給付範圍的難題」。</w:t>
      </w:r>
      <w:r w:rsidRPr="0005564B">
        <w:rPr>
          <w:rFonts w:hint="eastAsia"/>
          <w:lang w:eastAsia="zh-HK"/>
        </w:rPr>
        <w:t>本院舉</w:t>
      </w:r>
      <w:r w:rsidRPr="0005564B">
        <w:rPr>
          <w:rFonts w:hint="eastAsia"/>
        </w:rPr>
        <w:t>辦</w:t>
      </w:r>
      <w:r w:rsidRPr="0005564B">
        <w:rPr>
          <w:rFonts w:hint="eastAsia"/>
          <w:lang w:eastAsia="zh-HK"/>
        </w:rPr>
        <w:t>諮詢會議中，與會專家直言調漲費率對</w:t>
      </w:r>
      <w:r w:rsidRPr="0005564B">
        <w:rPr>
          <w:rFonts w:hint="eastAsia"/>
        </w:rPr>
        <w:t>於</w:t>
      </w:r>
      <w:r w:rsidRPr="0005564B">
        <w:rPr>
          <w:rFonts w:hint="eastAsia"/>
          <w:lang w:eastAsia="zh-HK"/>
        </w:rPr>
        <w:t>改</w:t>
      </w:r>
      <w:r w:rsidRPr="0005564B">
        <w:rPr>
          <w:rFonts w:hint="eastAsia"/>
        </w:rPr>
        <w:t>善</w:t>
      </w:r>
      <w:r w:rsidRPr="0005564B">
        <w:rPr>
          <w:rFonts w:hint="eastAsia"/>
          <w:lang w:eastAsia="zh-HK"/>
        </w:rPr>
        <w:t>健保財</w:t>
      </w:r>
      <w:r w:rsidRPr="0005564B">
        <w:rPr>
          <w:rFonts w:hint="eastAsia"/>
        </w:rPr>
        <w:t>務</w:t>
      </w:r>
      <w:r w:rsidRPr="0005564B">
        <w:rPr>
          <w:rFonts w:hint="eastAsia"/>
          <w:lang w:eastAsia="zh-HK"/>
        </w:rPr>
        <w:t>狀</w:t>
      </w:r>
      <w:r w:rsidRPr="0005564B">
        <w:rPr>
          <w:rFonts w:hint="eastAsia"/>
        </w:rPr>
        <w:t>況</w:t>
      </w:r>
      <w:r w:rsidRPr="0005564B">
        <w:rPr>
          <w:rFonts w:hint="eastAsia"/>
          <w:lang w:eastAsia="zh-HK"/>
        </w:rPr>
        <w:t>最為直</w:t>
      </w:r>
      <w:r w:rsidRPr="0005564B">
        <w:rPr>
          <w:rFonts w:hint="eastAsia"/>
        </w:rPr>
        <w:t>接</w:t>
      </w:r>
      <w:r w:rsidRPr="0005564B">
        <w:rPr>
          <w:rFonts w:hint="eastAsia"/>
          <w:lang w:eastAsia="zh-HK"/>
        </w:rPr>
        <w:t>有效，然不易</w:t>
      </w:r>
      <w:r w:rsidR="00D55239" w:rsidRPr="0005564B">
        <w:rPr>
          <w:rFonts w:hint="eastAsia"/>
          <w:lang w:eastAsia="zh-HK"/>
        </w:rPr>
        <w:t>為</w:t>
      </w:r>
      <w:r w:rsidRPr="0005564B">
        <w:rPr>
          <w:rFonts w:hint="eastAsia"/>
          <w:lang w:eastAsia="zh-HK"/>
        </w:rPr>
        <w:t>一般社會大眾</w:t>
      </w:r>
      <w:r w:rsidR="00D55239" w:rsidRPr="0005564B">
        <w:rPr>
          <w:rFonts w:hint="eastAsia"/>
          <w:lang w:eastAsia="zh-HK"/>
        </w:rPr>
        <w:t>所接受</w:t>
      </w:r>
      <w:r w:rsidRPr="0005564B">
        <w:rPr>
          <w:rFonts w:hint="eastAsia"/>
          <w:lang w:eastAsia="zh-HK"/>
        </w:rPr>
        <w:t>，2次調漲費率後首長即去職，</w:t>
      </w:r>
      <w:r w:rsidR="00D55239" w:rsidRPr="0005564B">
        <w:rPr>
          <w:rFonts w:hint="eastAsia"/>
          <w:lang w:eastAsia="zh-HK"/>
        </w:rPr>
        <w:t>復以我國</w:t>
      </w:r>
      <w:r w:rsidRPr="0005564B">
        <w:rPr>
          <w:rFonts w:hint="eastAsia"/>
          <w:lang w:eastAsia="zh-HK"/>
        </w:rPr>
        <w:t>目</w:t>
      </w:r>
      <w:r w:rsidRPr="0005564B">
        <w:rPr>
          <w:rFonts w:hint="eastAsia"/>
        </w:rPr>
        <w:t>前</w:t>
      </w:r>
      <w:r w:rsidRPr="0005564B">
        <w:rPr>
          <w:rFonts w:hint="eastAsia"/>
          <w:lang w:eastAsia="zh-HK"/>
        </w:rPr>
        <w:t>每</w:t>
      </w:r>
      <w:r w:rsidR="00D55239" w:rsidRPr="0005564B">
        <w:rPr>
          <w:rFonts w:hint="eastAsia"/>
          <w:lang w:eastAsia="zh-HK"/>
        </w:rPr>
        <w:t>4</w:t>
      </w:r>
      <w:r w:rsidRPr="0005564B">
        <w:rPr>
          <w:rFonts w:hint="eastAsia"/>
          <w:lang w:eastAsia="zh-HK"/>
        </w:rPr>
        <w:t>年即有總統、立法委員或縣市長之選舉，政治干預將是很大問題，調漲費率幾</w:t>
      </w:r>
      <w:r w:rsidRPr="0005564B">
        <w:rPr>
          <w:rFonts w:hint="eastAsia"/>
        </w:rPr>
        <w:t>乎</w:t>
      </w:r>
      <w:r w:rsidRPr="0005564B">
        <w:rPr>
          <w:rFonts w:hint="eastAsia"/>
          <w:lang w:eastAsia="zh-HK"/>
        </w:rPr>
        <w:t>是不可能之任務</w:t>
      </w:r>
      <w:r w:rsidR="009C0D16" w:rsidRPr="0005564B">
        <w:rPr>
          <w:rFonts w:hint="eastAsia"/>
        </w:rPr>
        <w:t>。衛福部於接受本院詢問時亦說明</w:t>
      </w:r>
      <w:r w:rsidR="00B51BEB" w:rsidRPr="0005564B">
        <w:rPr>
          <w:rFonts w:hint="eastAsia"/>
          <w:lang w:eastAsia="zh-HK"/>
        </w:rPr>
        <w:t>，推動</w:t>
      </w:r>
      <w:r w:rsidR="009C0D16" w:rsidRPr="0005564B">
        <w:rPr>
          <w:rFonts w:hint="eastAsia"/>
        </w:rPr>
        <w:t>健保</w:t>
      </w:r>
      <w:r w:rsidR="00B51BEB" w:rsidRPr="0005564B">
        <w:rPr>
          <w:rFonts w:hint="eastAsia"/>
          <w:lang w:eastAsia="zh-HK"/>
        </w:rPr>
        <w:t>相關制度改革時，主</w:t>
      </w:r>
      <w:r w:rsidR="00B51BEB" w:rsidRPr="0005564B">
        <w:rPr>
          <w:rFonts w:hint="eastAsia"/>
        </w:rPr>
        <w:t>管</w:t>
      </w:r>
      <w:r w:rsidR="00B51BEB" w:rsidRPr="0005564B">
        <w:rPr>
          <w:rFonts w:hint="eastAsia"/>
          <w:lang w:eastAsia="zh-HK"/>
        </w:rPr>
        <w:t>機</w:t>
      </w:r>
      <w:r w:rsidR="00B51BEB" w:rsidRPr="0005564B">
        <w:rPr>
          <w:rFonts w:hint="eastAsia"/>
        </w:rPr>
        <w:t>關</w:t>
      </w:r>
      <w:r w:rsidR="00B51BEB" w:rsidRPr="0005564B">
        <w:rPr>
          <w:rFonts w:hint="eastAsia"/>
          <w:lang w:eastAsia="zh-HK"/>
        </w:rPr>
        <w:t>也得注</w:t>
      </w:r>
      <w:r w:rsidR="00B51BEB" w:rsidRPr="0005564B">
        <w:rPr>
          <w:rFonts w:hint="eastAsia"/>
        </w:rPr>
        <w:t>意</w:t>
      </w:r>
      <w:r w:rsidR="00B51BEB" w:rsidRPr="0005564B">
        <w:rPr>
          <w:rFonts w:hint="eastAsia"/>
          <w:lang w:eastAsia="zh-HK"/>
        </w:rPr>
        <w:t>避開政治敏感時期</w:t>
      </w:r>
      <w:r w:rsidR="009C0D16" w:rsidRPr="0005564B">
        <w:rPr>
          <w:rFonts w:hint="eastAsia"/>
        </w:rPr>
        <w:t>，尋求適當的時機，改革作為方有機會較為順利的達成</w:t>
      </w:r>
      <w:r w:rsidRPr="0005564B">
        <w:rPr>
          <w:rFonts w:hint="eastAsia"/>
          <w:lang w:eastAsia="zh-HK"/>
        </w:rPr>
        <w:t>。</w:t>
      </w:r>
      <w:r w:rsidRPr="0005564B">
        <w:rPr>
          <w:rFonts w:hint="eastAsia"/>
          <w:kern w:val="0"/>
        </w:rPr>
        <w:t>經統計</w:t>
      </w:r>
      <w:r w:rsidRPr="0005564B">
        <w:rPr>
          <w:rFonts w:hint="eastAsia"/>
          <w:kern w:val="0"/>
          <w:lang w:eastAsia="zh-HK"/>
        </w:rPr>
        <w:t>我國</w:t>
      </w:r>
      <w:r w:rsidRPr="0005564B">
        <w:rPr>
          <w:rFonts w:hint="eastAsia"/>
          <w:kern w:val="0"/>
        </w:rPr>
        <w:t>85年65歲以上人口占</w:t>
      </w:r>
      <w:r w:rsidRPr="0005564B">
        <w:rPr>
          <w:rFonts w:hint="eastAsia"/>
        </w:rPr>
        <w:t>比</w:t>
      </w:r>
      <w:r w:rsidRPr="0005564B">
        <w:rPr>
          <w:rFonts w:hint="eastAsia"/>
          <w:kern w:val="0"/>
        </w:rPr>
        <w:t>為8.3%，費用占</w:t>
      </w:r>
      <w:r w:rsidRPr="0005564B">
        <w:rPr>
          <w:rFonts w:hint="eastAsia"/>
        </w:rPr>
        <w:t>比</w:t>
      </w:r>
      <w:r w:rsidRPr="0005564B">
        <w:rPr>
          <w:rFonts w:hint="eastAsia"/>
          <w:kern w:val="0"/>
        </w:rPr>
        <w:t>25%，107年時65歲以上人口占</w:t>
      </w:r>
      <w:r w:rsidRPr="0005564B">
        <w:rPr>
          <w:rFonts w:hint="eastAsia"/>
        </w:rPr>
        <w:t>比</w:t>
      </w:r>
      <w:r w:rsidRPr="0005564B">
        <w:rPr>
          <w:rFonts w:hint="eastAsia"/>
          <w:kern w:val="0"/>
        </w:rPr>
        <w:t>為14.5%，費用占</w:t>
      </w:r>
      <w:r w:rsidRPr="0005564B">
        <w:rPr>
          <w:rFonts w:hint="eastAsia"/>
        </w:rPr>
        <w:t>比</w:t>
      </w:r>
      <w:r w:rsidRPr="0005564B">
        <w:rPr>
          <w:rFonts w:hint="eastAsia"/>
          <w:kern w:val="0"/>
        </w:rPr>
        <w:t>達38.4%，即不到15%的老年人口已耗費近4成的醫療費用；</w:t>
      </w:r>
      <w:r w:rsidRPr="0005564B">
        <w:rPr>
          <w:rFonts w:hint="eastAsia"/>
          <w:lang w:eastAsia="zh-HK"/>
        </w:rPr>
        <w:t>然目前</w:t>
      </w:r>
      <w:r w:rsidRPr="0005564B">
        <w:rPr>
          <w:rFonts w:hint="eastAsia"/>
        </w:rPr>
        <w:t>我國與OECD其他社會保險模型國家相較，65歲以上人口占比較低，且我國強制醫療保險占GDP比重較低，</w:t>
      </w:r>
      <w:r w:rsidRPr="0005564B">
        <w:rPr>
          <w:rFonts w:hint="eastAsia"/>
          <w:lang w:eastAsia="zh-HK"/>
        </w:rPr>
        <w:t>隨著我國人口逐漸老化</w:t>
      </w:r>
      <w:r w:rsidRPr="0005564B">
        <w:rPr>
          <w:rFonts w:hint="eastAsia"/>
          <w:kern w:val="0"/>
        </w:rPr>
        <w:t>，</w:t>
      </w:r>
      <w:r w:rsidRPr="0005564B">
        <w:rPr>
          <w:rFonts w:hint="eastAsia"/>
          <w:kern w:val="0"/>
          <w:lang w:eastAsia="zh-HK"/>
        </w:rPr>
        <w:t>日後勢將</w:t>
      </w:r>
      <w:r w:rsidRPr="0005564B">
        <w:rPr>
          <w:rFonts w:hint="eastAsia"/>
          <w:kern w:val="0"/>
        </w:rPr>
        <w:t>造成醫療費用</w:t>
      </w:r>
      <w:r w:rsidRPr="0005564B">
        <w:rPr>
          <w:rFonts w:hint="eastAsia"/>
          <w:kern w:val="0"/>
          <w:lang w:eastAsia="zh-HK"/>
        </w:rPr>
        <w:t>進一步</w:t>
      </w:r>
      <w:r w:rsidRPr="0005564B">
        <w:rPr>
          <w:rFonts w:hint="eastAsia"/>
          <w:kern w:val="0"/>
        </w:rPr>
        <w:t>成長。</w:t>
      </w:r>
      <w:r w:rsidRPr="0005564B">
        <w:rPr>
          <w:rFonts w:hint="eastAsia"/>
          <w:kern w:val="0"/>
          <w:lang w:eastAsia="zh-HK"/>
        </w:rPr>
        <w:t>此外，</w:t>
      </w:r>
      <w:r w:rsidRPr="0005564B">
        <w:rPr>
          <w:rFonts w:hAnsi="標楷體" w:hint="eastAsia"/>
          <w:szCs w:val="32"/>
        </w:rPr>
        <w:t>為改善醫師勞動條件並兼顧民眾就醫權益，於108年9月1日起</w:t>
      </w:r>
      <w:r w:rsidRPr="0005564B">
        <w:rPr>
          <w:rFonts w:hAnsi="標楷體" w:cs="Arial"/>
          <w:spacing w:val="14"/>
          <w:szCs w:val="32"/>
        </w:rPr>
        <w:t>「醫療保健服務業僱用之住院醫師」（不包括公立醫療院所依公務人員法制進用之人員）</w:t>
      </w:r>
      <w:r w:rsidRPr="0005564B">
        <w:rPr>
          <w:rFonts w:hAnsi="標楷體" w:hint="eastAsia"/>
          <w:szCs w:val="32"/>
        </w:rPr>
        <w:t>將納入勞</w:t>
      </w:r>
      <w:r w:rsidRPr="0005564B">
        <w:rPr>
          <w:rFonts w:hAnsi="標楷體" w:hint="eastAsia"/>
          <w:szCs w:val="32"/>
          <w:lang w:eastAsia="zh-HK"/>
        </w:rPr>
        <w:t>動</w:t>
      </w:r>
      <w:r w:rsidRPr="0005564B">
        <w:rPr>
          <w:rFonts w:hAnsi="標楷體" w:hint="eastAsia"/>
          <w:szCs w:val="32"/>
        </w:rPr>
        <w:t>基</w:t>
      </w:r>
      <w:r w:rsidRPr="0005564B">
        <w:rPr>
          <w:rFonts w:hAnsi="標楷體" w:hint="eastAsia"/>
          <w:szCs w:val="32"/>
          <w:lang w:eastAsia="zh-HK"/>
        </w:rPr>
        <w:t>準</w:t>
      </w:r>
      <w:r w:rsidRPr="0005564B">
        <w:rPr>
          <w:rFonts w:hAnsi="標楷體" w:hint="eastAsia"/>
          <w:szCs w:val="32"/>
        </w:rPr>
        <w:t>法</w:t>
      </w:r>
      <w:r w:rsidRPr="0005564B">
        <w:rPr>
          <w:rFonts w:hAnsi="標楷體" w:hint="eastAsia"/>
          <w:szCs w:val="32"/>
          <w:lang w:eastAsia="zh-HK"/>
        </w:rPr>
        <w:t>之</w:t>
      </w:r>
      <w:r w:rsidRPr="0005564B">
        <w:rPr>
          <w:rFonts w:hAnsi="標楷體" w:hint="eastAsia"/>
          <w:szCs w:val="32"/>
        </w:rPr>
        <w:t>適用對象，</w:t>
      </w:r>
      <w:r w:rsidRPr="0005564B">
        <w:rPr>
          <w:rFonts w:hAnsi="標楷體" w:hint="eastAsia"/>
          <w:szCs w:val="32"/>
          <w:lang w:eastAsia="zh-HK"/>
        </w:rPr>
        <w:t>屆時相</w:t>
      </w:r>
      <w:r w:rsidRPr="0005564B">
        <w:rPr>
          <w:rFonts w:hAnsi="標楷體" w:hint="eastAsia"/>
          <w:szCs w:val="32"/>
        </w:rPr>
        <w:t>關</w:t>
      </w:r>
      <w:r w:rsidRPr="0005564B">
        <w:rPr>
          <w:rFonts w:hAnsi="標楷體" w:hint="eastAsia"/>
          <w:szCs w:val="32"/>
          <w:lang w:eastAsia="zh-HK"/>
        </w:rPr>
        <w:t>醫療院所之營</w:t>
      </w:r>
      <w:r w:rsidRPr="0005564B">
        <w:rPr>
          <w:rFonts w:hAnsi="標楷體" w:hint="eastAsia"/>
          <w:szCs w:val="32"/>
        </w:rPr>
        <w:t>運</w:t>
      </w:r>
      <w:r w:rsidRPr="0005564B">
        <w:rPr>
          <w:rFonts w:hAnsi="標楷體" w:hint="eastAsia"/>
          <w:szCs w:val="32"/>
          <w:lang w:eastAsia="zh-HK"/>
        </w:rPr>
        <w:t>成本勢必增加，其將採取哪些因</w:t>
      </w:r>
      <w:r w:rsidRPr="0005564B">
        <w:rPr>
          <w:rFonts w:hAnsi="標楷體" w:hint="eastAsia"/>
          <w:szCs w:val="32"/>
        </w:rPr>
        <w:t>應</w:t>
      </w:r>
      <w:r w:rsidRPr="0005564B">
        <w:rPr>
          <w:rFonts w:hAnsi="標楷體" w:hint="eastAsia"/>
          <w:szCs w:val="32"/>
          <w:lang w:eastAsia="zh-HK"/>
        </w:rPr>
        <w:t>對策，是否將導</w:t>
      </w:r>
      <w:r w:rsidRPr="0005564B">
        <w:rPr>
          <w:rFonts w:hAnsi="標楷體" w:hint="eastAsia"/>
          <w:szCs w:val="32"/>
        </w:rPr>
        <w:t>致</w:t>
      </w:r>
      <w:r w:rsidRPr="0005564B">
        <w:rPr>
          <w:rFonts w:hAnsi="標楷體" w:hint="eastAsia"/>
          <w:szCs w:val="32"/>
          <w:lang w:eastAsia="zh-HK"/>
        </w:rPr>
        <w:t>健保支出增加，仍待觀察。</w:t>
      </w:r>
      <w:r w:rsidRPr="0005564B">
        <w:rPr>
          <w:rFonts w:hint="eastAsia"/>
          <w:lang w:eastAsia="zh-HK"/>
        </w:rPr>
        <w:t>爰</w:t>
      </w:r>
      <w:r w:rsidRPr="0005564B">
        <w:t>衛福部</w:t>
      </w:r>
      <w:r w:rsidRPr="0005564B">
        <w:rPr>
          <w:rFonts w:hint="eastAsia"/>
          <w:lang w:eastAsia="zh-HK"/>
        </w:rPr>
        <w:t>與</w:t>
      </w:r>
      <w:r w:rsidRPr="0005564B">
        <w:t>健保署</w:t>
      </w:r>
      <w:r w:rsidRPr="0005564B">
        <w:rPr>
          <w:rFonts w:hint="eastAsia"/>
          <w:lang w:eastAsia="zh-HK"/>
        </w:rPr>
        <w:t>責無旁貸，允應對</w:t>
      </w:r>
      <w:r w:rsidR="00D55239" w:rsidRPr="0005564B">
        <w:rPr>
          <w:rFonts w:hint="eastAsia"/>
          <w:lang w:eastAsia="zh-HK"/>
        </w:rPr>
        <w:t>可</w:t>
      </w:r>
      <w:r w:rsidR="00D55239" w:rsidRPr="0005564B">
        <w:rPr>
          <w:rFonts w:hint="eastAsia"/>
        </w:rPr>
        <w:t>能</w:t>
      </w:r>
      <w:r w:rsidR="00D55239" w:rsidRPr="0005564B">
        <w:rPr>
          <w:rFonts w:hint="eastAsia"/>
          <w:lang w:eastAsia="zh-HK"/>
        </w:rPr>
        <w:t>惡化之</w:t>
      </w:r>
      <w:r w:rsidRPr="0005564B">
        <w:rPr>
          <w:rFonts w:hint="eastAsia"/>
          <w:lang w:eastAsia="zh-HK"/>
        </w:rPr>
        <w:t>健保財</w:t>
      </w:r>
      <w:r w:rsidRPr="0005564B">
        <w:rPr>
          <w:rFonts w:hint="eastAsia"/>
        </w:rPr>
        <w:t>務</w:t>
      </w:r>
      <w:r w:rsidRPr="0005564B">
        <w:rPr>
          <w:rFonts w:hint="eastAsia"/>
          <w:lang w:eastAsia="zh-HK"/>
        </w:rPr>
        <w:t>狀</w:t>
      </w:r>
      <w:r w:rsidRPr="0005564B">
        <w:rPr>
          <w:rFonts w:hint="eastAsia"/>
        </w:rPr>
        <w:t>況</w:t>
      </w:r>
      <w:r w:rsidRPr="0005564B">
        <w:rPr>
          <w:rFonts w:hint="eastAsia"/>
          <w:lang w:eastAsia="zh-HK"/>
        </w:rPr>
        <w:t>，未雨</w:t>
      </w:r>
      <w:r w:rsidRPr="0005564B">
        <w:rPr>
          <w:rFonts w:hint="eastAsia"/>
        </w:rPr>
        <w:t>綢</w:t>
      </w:r>
      <w:r w:rsidRPr="0005564B">
        <w:rPr>
          <w:rFonts w:hint="eastAsia"/>
          <w:lang w:eastAsia="zh-HK"/>
        </w:rPr>
        <w:t>繆，繼續推動及</w:t>
      </w:r>
      <w:r w:rsidRPr="0005564B">
        <w:t>進行健保</w:t>
      </w:r>
      <w:r w:rsidRPr="0005564B">
        <w:rPr>
          <w:rFonts w:hint="eastAsia"/>
          <w:lang w:eastAsia="zh-HK"/>
        </w:rPr>
        <w:t>財務</w:t>
      </w:r>
      <w:r w:rsidRPr="0005564B">
        <w:t>改革</w:t>
      </w:r>
      <w:r w:rsidRPr="0005564B">
        <w:rPr>
          <w:rFonts w:hint="eastAsia"/>
          <w:lang w:eastAsia="zh-HK"/>
        </w:rPr>
        <w:lastRenderedPageBreak/>
        <w:t>之作為，消除政治因素之干擾</w:t>
      </w:r>
      <w:r w:rsidRPr="0005564B">
        <w:t>，將</w:t>
      </w:r>
      <w:r w:rsidRPr="0005564B">
        <w:rPr>
          <w:rFonts w:hint="eastAsia"/>
          <w:lang w:eastAsia="zh-HK"/>
        </w:rPr>
        <w:t>健保會委員之疑義，審慎研議或再次諮詢</w:t>
      </w:r>
      <w:r w:rsidRPr="0005564B">
        <w:t>專家學者</w:t>
      </w:r>
      <w:r w:rsidRPr="0005564B">
        <w:rPr>
          <w:rFonts w:hint="eastAsia"/>
          <w:lang w:eastAsia="zh-HK"/>
        </w:rPr>
        <w:t>之專業</w:t>
      </w:r>
      <w:r w:rsidRPr="0005564B">
        <w:t>意見，</w:t>
      </w:r>
      <w:r w:rsidRPr="0005564B">
        <w:rPr>
          <w:rFonts w:hint="eastAsia"/>
          <w:lang w:eastAsia="zh-HK"/>
        </w:rPr>
        <w:t>以更周全的改善方案尋求</w:t>
      </w:r>
      <w:r w:rsidRPr="0005564B">
        <w:rPr>
          <w:rFonts w:hint="eastAsia"/>
        </w:rPr>
        <w:t>全民健康保險</w:t>
      </w:r>
      <w:r w:rsidRPr="0005564B">
        <w:rPr>
          <w:rFonts w:hint="eastAsia"/>
          <w:lang w:eastAsia="zh-HK"/>
        </w:rPr>
        <w:t>會委員之支持，俾改善</w:t>
      </w:r>
      <w:r w:rsidRPr="0005564B">
        <w:t>現行保險財務收支連動機制缺乏</w:t>
      </w:r>
      <w:r w:rsidRPr="0005564B">
        <w:rPr>
          <w:rFonts w:hint="eastAsia"/>
          <w:lang w:eastAsia="zh-HK"/>
        </w:rPr>
        <w:t>合理</w:t>
      </w:r>
      <w:r w:rsidRPr="0005564B">
        <w:t>彈性</w:t>
      </w:r>
      <w:r w:rsidRPr="0005564B">
        <w:rPr>
          <w:rFonts w:hint="eastAsia"/>
          <w:lang w:eastAsia="zh-HK"/>
        </w:rPr>
        <w:t>等問</w:t>
      </w:r>
      <w:r w:rsidRPr="0005564B">
        <w:rPr>
          <w:rFonts w:hint="eastAsia"/>
        </w:rPr>
        <w:t>題</w:t>
      </w:r>
      <w:r w:rsidRPr="0005564B">
        <w:t>，</w:t>
      </w:r>
      <w:r w:rsidRPr="0005564B">
        <w:rPr>
          <w:rFonts w:hint="eastAsia"/>
          <w:lang w:eastAsia="zh-HK"/>
        </w:rPr>
        <w:t>以避免未來可能因</w:t>
      </w:r>
      <w:r w:rsidRPr="0005564B">
        <w:rPr>
          <w:kern w:val="0"/>
          <w:szCs w:val="32"/>
        </w:rPr>
        <w:t>保險收支</w:t>
      </w:r>
      <w:r w:rsidRPr="0005564B">
        <w:rPr>
          <w:rFonts w:hint="eastAsia"/>
          <w:kern w:val="0"/>
          <w:szCs w:val="32"/>
          <w:lang w:eastAsia="zh-HK"/>
        </w:rPr>
        <w:t>出現重大</w:t>
      </w:r>
      <w:r w:rsidRPr="0005564B">
        <w:rPr>
          <w:kern w:val="0"/>
          <w:szCs w:val="32"/>
        </w:rPr>
        <w:t>逆差</w:t>
      </w:r>
      <w:r w:rsidRPr="0005564B">
        <w:rPr>
          <w:rFonts w:hint="eastAsia"/>
          <w:kern w:val="0"/>
          <w:szCs w:val="32"/>
          <w:lang w:eastAsia="zh-HK"/>
        </w:rPr>
        <w:t>時</w:t>
      </w:r>
      <w:r w:rsidRPr="0005564B">
        <w:rPr>
          <w:kern w:val="0"/>
          <w:szCs w:val="32"/>
        </w:rPr>
        <w:t>，</w:t>
      </w:r>
      <w:bookmarkEnd w:id="69"/>
      <w:bookmarkEnd w:id="70"/>
      <w:bookmarkEnd w:id="71"/>
      <w:r w:rsidR="00CF177D" w:rsidRPr="0005564B">
        <w:rPr>
          <w:kern w:val="0"/>
          <w:szCs w:val="32"/>
        </w:rPr>
        <w:t>保險費率調幅急遽攀升</w:t>
      </w:r>
      <w:r w:rsidR="00CF177D" w:rsidRPr="0005564B">
        <w:rPr>
          <w:rFonts w:hint="eastAsia"/>
          <w:lang w:eastAsia="zh-HK"/>
        </w:rPr>
        <w:t>可能</w:t>
      </w:r>
      <w:r w:rsidR="00CF177D" w:rsidRPr="0005564B">
        <w:rPr>
          <w:rFonts w:hint="eastAsia"/>
          <w:kern w:val="0"/>
          <w:szCs w:val="32"/>
          <w:lang w:eastAsia="zh-HK"/>
        </w:rPr>
        <w:t>形</w:t>
      </w:r>
      <w:r w:rsidR="00CF177D" w:rsidRPr="0005564B">
        <w:rPr>
          <w:rFonts w:hint="eastAsia"/>
          <w:kern w:val="0"/>
          <w:szCs w:val="32"/>
        </w:rPr>
        <w:t>成</w:t>
      </w:r>
      <w:r w:rsidR="00CF177D" w:rsidRPr="0005564B">
        <w:rPr>
          <w:rFonts w:hint="eastAsia"/>
          <w:kern w:val="0"/>
          <w:szCs w:val="32"/>
          <w:lang w:eastAsia="zh-HK"/>
        </w:rPr>
        <w:t>對全民之極大衝</w:t>
      </w:r>
      <w:r w:rsidR="00CF177D" w:rsidRPr="0005564B">
        <w:rPr>
          <w:rFonts w:hint="eastAsia"/>
          <w:kern w:val="0"/>
          <w:szCs w:val="32"/>
        </w:rPr>
        <w:t>擊</w:t>
      </w:r>
      <w:r w:rsidR="00CF177D" w:rsidRPr="0005564B">
        <w:t>。</w:t>
      </w:r>
    </w:p>
    <w:p w:rsidR="00630E4A" w:rsidRPr="0005564B" w:rsidRDefault="00630E4A" w:rsidP="00630E4A">
      <w:pPr>
        <w:pStyle w:val="3"/>
        <w:numPr>
          <w:ilvl w:val="0"/>
          <w:numId w:val="0"/>
        </w:numPr>
        <w:ind w:left="1361"/>
      </w:pPr>
    </w:p>
    <w:p w:rsidR="00525F63" w:rsidRPr="0005564B" w:rsidRDefault="009D22F4" w:rsidP="00DE4238">
      <w:pPr>
        <w:pStyle w:val="2"/>
        <w:rPr>
          <w:b/>
        </w:rPr>
      </w:pPr>
      <w:bookmarkStart w:id="72" w:name="_Toc10066331"/>
      <w:bookmarkStart w:id="73" w:name="_Toc10295278"/>
      <w:r w:rsidRPr="0005564B">
        <w:rPr>
          <w:rFonts w:hint="eastAsia"/>
          <w:b/>
          <w:lang w:eastAsia="zh-HK"/>
        </w:rPr>
        <w:t>二代健保</w:t>
      </w:r>
      <w:r w:rsidR="00423AF4" w:rsidRPr="0005564B">
        <w:rPr>
          <w:rFonts w:hint="eastAsia"/>
          <w:b/>
        </w:rPr>
        <w:t>縱然</w:t>
      </w:r>
      <w:r w:rsidRPr="0005564B">
        <w:rPr>
          <w:rFonts w:hint="eastAsia"/>
          <w:b/>
        </w:rPr>
        <w:t>未能將費基一次擴大至</w:t>
      </w:r>
      <w:r w:rsidR="00CD10E5" w:rsidRPr="0005564B">
        <w:rPr>
          <w:rFonts w:hint="eastAsia"/>
          <w:b/>
        </w:rPr>
        <w:t>總所得，惟已使所得相同被保險人之保險費負擔更為趨近，其公平性較一代健保相對改善，亦契合社會保險量能負擔之精神。</w:t>
      </w:r>
      <w:r w:rsidR="00CD10E5" w:rsidRPr="0005564B">
        <w:rPr>
          <w:rFonts w:hAnsi="標楷體" w:hint="eastAsia"/>
          <w:b/>
          <w:kern w:val="28"/>
          <w:szCs w:val="32"/>
        </w:rPr>
        <w:t>衛福</w:t>
      </w:r>
      <w:r w:rsidR="00CD10E5" w:rsidRPr="0005564B">
        <w:rPr>
          <w:rFonts w:hAnsi="標楷體" w:hint="eastAsia"/>
          <w:b/>
          <w:kern w:val="28"/>
          <w:szCs w:val="32"/>
          <w:lang w:eastAsia="zh-HK"/>
        </w:rPr>
        <w:t>部</w:t>
      </w:r>
      <w:r w:rsidR="00D55239" w:rsidRPr="0005564B">
        <w:rPr>
          <w:rFonts w:hAnsi="標楷體" w:hint="eastAsia"/>
          <w:b/>
          <w:kern w:val="28"/>
          <w:szCs w:val="32"/>
          <w:lang w:eastAsia="zh-HK"/>
        </w:rPr>
        <w:t>允</w:t>
      </w:r>
      <w:r w:rsidR="00CD10E5" w:rsidRPr="0005564B">
        <w:rPr>
          <w:rFonts w:hAnsi="標楷體" w:hint="eastAsia"/>
          <w:b/>
          <w:kern w:val="28"/>
          <w:szCs w:val="32"/>
        </w:rPr>
        <w:t>應</w:t>
      </w:r>
      <w:r w:rsidR="009C0D16" w:rsidRPr="0005564B">
        <w:rPr>
          <w:rFonts w:hAnsi="標楷體" w:hint="eastAsia"/>
          <w:b/>
          <w:kern w:val="28"/>
          <w:szCs w:val="32"/>
        </w:rPr>
        <w:t>再接再厲，</w:t>
      </w:r>
      <w:r w:rsidR="00CD10E5" w:rsidRPr="0005564B">
        <w:rPr>
          <w:rFonts w:hAnsi="標楷體" w:hint="eastAsia"/>
          <w:b/>
          <w:kern w:val="28"/>
          <w:szCs w:val="32"/>
          <w:lang w:eastAsia="zh-HK"/>
        </w:rPr>
        <w:t>持續結合各領域之專家學者，就健保財務制度改革深入研析，以尋求更完善之配套方案</w:t>
      </w:r>
      <w:r w:rsidRPr="0005564B">
        <w:rPr>
          <w:rFonts w:hAnsi="標楷體" w:hint="eastAsia"/>
          <w:b/>
          <w:kern w:val="28"/>
          <w:szCs w:val="32"/>
        </w:rPr>
        <w:t>，確保</w:t>
      </w:r>
      <w:r w:rsidR="00CD10E5" w:rsidRPr="0005564B">
        <w:rPr>
          <w:rFonts w:hAnsi="標楷體" w:hint="eastAsia"/>
          <w:b/>
          <w:kern w:val="28"/>
          <w:szCs w:val="32"/>
        </w:rPr>
        <w:t>健保</w:t>
      </w:r>
      <w:r w:rsidRPr="0005564B">
        <w:rPr>
          <w:rFonts w:hAnsi="標楷體" w:hint="eastAsia"/>
          <w:b/>
          <w:kern w:val="28"/>
          <w:szCs w:val="32"/>
        </w:rPr>
        <w:t>制度</w:t>
      </w:r>
      <w:r w:rsidR="00CD10E5" w:rsidRPr="0005564B">
        <w:rPr>
          <w:rFonts w:hAnsi="標楷體" w:hint="eastAsia"/>
          <w:b/>
          <w:kern w:val="28"/>
          <w:szCs w:val="32"/>
        </w:rPr>
        <w:t>之永續</w:t>
      </w:r>
      <w:r w:rsidR="00CD10E5" w:rsidRPr="0005564B">
        <w:rPr>
          <w:rFonts w:hAnsi="標楷體" w:hint="eastAsia"/>
          <w:b/>
          <w:kern w:val="28"/>
          <w:szCs w:val="32"/>
          <w:lang w:eastAsia="zh-HK"/>
        </w:rPr>
        <w:t>。</w:t>
      </w:r>
      <w:bookmarkEnd w:id="61"/>
      <w:bookmarkEnd w:id="62"/>
      <w:bookmarkEnd w:id="72"/>
      <w:bookmarkEnd w:id="73"/>
    </w:p>
    <w:p w:rsidR="00820183" w:rsidRPr="0005564B" w:rsidRDefault="00820183" w:rsidP="00820183">
      <w:pPr>
        <w:pStyle w:val="3"/>
        <w:numPr>
          <w:ilvl w:val="2"/>
          <w:numId w:val="1"/>
        </w:numPr>
      </w:pPr>
      <w:bookmarkStart w:id="74" w:name="_Toc9058261"/>
      <w:bookmarkStart w:id="75" w:name="_Toc10027530"/>
      <w:bookmarkStart w:id="76" w:name="_Toc10054223"/>
      <w:bookmarkStart w:id="77" w:name="_Toc10066332"/>
      <w:r w:rsidRPr="0005564B">
        <w:rPr>
          <w:rFonts w:hint="eastAsia"/>
          <w:lang w:eastAsia="zh-HK"/>
        </w:rPr>
        <w:t>第一</w:t>
      </w:r>
      <w:r w:rsidR="00D4359F" w:rsidRPr="0005564B">
        <w:rPr>
          <w:rFonts w:hint="eastAsia"/>
        </w:rPr>
        <w:t>代健保在財務設計上因沿</w:t>
      </w:r>
      <w:r w:rsidRPr="0005564B">
        <w:rPr>
          <w:rFonts w:hint="eastAsia"/>
        </w:rPr>
        <w:t>襲並整合不同既有制度，故被保險人依職業及屬性區分為6類14目(二代健保調整為6類15目)</w:t>
      </w:r>
      <w:r w:rsidR="009D22F4" w:rsidRPr="0005564B">
        <w:rPr>
          <w:rFonts w:hint="eastAsia"/>
        </w:rPr>
        <w:t>，各類目之</w:t>
      </w:r>
      <w:r w:rsidRPr="0005564B">
        <w:rPr>
          <w:rFonts w:hint="eastAsia"/>
        </w:rPr>
        <w:t>最低投保金額及負擔比率</w:t>
      </w:r>
      <w:r w:rsidR="009D22F4" w:rsidRPr="0005564B">
        <w:rPr>
          <w:rFonts w:hint="eastAsia"/>
        </w:rPr>
        <w:t>存</w:t>
      </w:r>
      <w:r w:rsidRPr="0005564B">
        <w:rPr>
          <w:rFonts w:hint="eastAsia"/>
        </w:rPr>
        <w:t>有部分落差；第1、2、3類被保險人係依職域分類，按投保金額及負擔比率，由被保險人、雇主及政府分別計算應納保險費；第4、5、6類被保險人非以一般職域歸類，無可參照之所得，考量其組成之所得變異大，並兼顧行政成本，因此依全體保險對象之每人平均保險費定額徵收。至於依附被保險人投保之眷屬，則比照被保險人繳納保費，並訂有計費眷口數上限，以減輕多眷口家庭負擔。</w:t>
      </w:r>
      <w:r w:rsidR="009D22F4" w:rsidRPr="0005564B">
        <w:rPr>
          <w:rFonts w:hint="eastAsia"/>
        </w:rPr>
        <w:t>二代健保</w:t>
      </w:r>
      <w:r w:rsidRPr="0005564B">
        <w:rPr>
          <w:rFonts w:hint="eastAsia"/>
        </w:rPr>
        <w:t>自102年1月1日實施</w:t>
      </w:r>
      <w:r w:rsidR="00DA68FE" w:rsidRPr="0005564B">
        <w:rPr>
          <w:rFonts w:hint="eastAsia"/>
        </w:rPr>
        <w:t>，</w:t>
      </w:r>
      <w:r w:rsidR="009D22F4" w:rsidRPr="0005564B">
        <w:rPr>
          <w:rFonts w:hint="eastAsia"/>
        </w:rPr>
        <w:t>茲說明</w:t>
      </w:r>
      <w:r w:rsidR="00DA68FE" w:rsidRPr="0005564B">
        <w:rPr>
          <w:rFonts w:hint="eastAsia"/>
        </w:rPr>
        <w:t>其</w:t>
      </w:r>
      <w:r w:rsidRPr="0005564B">
        <w:rPr>
          <w:rFonts w:hint="eastAsia"/>
          <w:lang w:eastAsia="zh-HK"/>
        </w:rPr>
        <w:t>特色</w:t>
      </w:r>
      <w:r w:rsidR="00DA68FE" w:rsidRPr="0005564B">
        <w:rPr>
          <w:rFonts w:hint="eastAsia"/>
        </w:rPr>
        <w:t>如下</w:t>
      </w:r>
      <w:r w:rsidRPr="0005564B">
        <w:rPr>
          <w:rFonts w:hAnsi="標楷體" w:hint="eastAsia"/>
        </w:rPr>
        <w:t>：</w:t>
      </w:r>
      <w:bookmarkEnd w:id="74"/>
      <w:bookmarkEnd w:id="75"/>
      <w:bookmarkEnd w:id="76"/>
      <w:bookmarkEnd w:id="77"/>
    </w:p>
    <w:p w:rsidR="00820183" w:rsidRPr="0005564B" w:rsidRDefault="00820183" w:rsidP="00820183">
      <w:pPr>
        <w:pStyle w:val="4"/>
        <w:numPr>
          <w:ilvl w:val="3"/>
          <w:numId w:val="1"/>
        </w:numPr>
      </w:pPr>
      <w:r w:rsidRPr="0005564B">
        <w:rPr>
          <w:rFonts w:hint="eastAsia"/>
        </w:rPr>
        <w:t>一代健保之投保金額主要是採計經常性薪資所得，惟</w:t>
      </w:r>
      <w:r w:rsidRPr="0005564B">
        <w:rPr>
          <w:rFonts w:hAnsi="標楷體" w:hint="eastAsia"/>
          <w:szCs w:val="32"/>
        </w:rPr>
        <w:t>民眾所得來源漸趨多元，薪資所得占綜合總所得比率呈現遞減的趨勢，且高所得者之所得來源多來自薪資以外之非勞務所得，以經常性薪</w:t>
      </w:r>
      <w:r w:rsidRPr="0005564B">
        <w:rPr>
          <w:rFonts w:hAnsi="標楷體" w:hint="eastAsia"/>
          <w:szCs w:val="32"/>
        </w:rPr>
        <w:lastRenderedPageBreak/>
        <w:t>資為保險費計算基礎，造成薪資所得者相對承擔較多的財務責任。為提升保險費負擔公平性，爰進行健保財務改革。</w:t>
      </w:r>
      <w:r w:rsidRPr="0005564B">
        <w:rPr>
          <w:rFonts w:hAnsi="標楷體" w:hint="eastAsia"/>
          <w:szCs w:val="32"/>
          <w:lang w:eastAsia="zh-HK"/>
        </w:rPr>
        <w:t>二代健保</w:t>
      </w:r>
      <w:r w:rsidRPr="0005564B">
        <w:rPr>
          <w:rFonts w:hAnsi="標楷體" w:hint="eastAsia"/>
          <w:szCs w:val="32"/>
        </w:rPr>
        <w:t>係在既有基礎上進行改革，</w:t>
      </w:r>
      <w:r w:rsidR="00EF3398" w:rsidRPr="0005564B">
        <w:rPr>
          <w:rFonts w:hAnsi="標楷體" w:hint="eastAsia"/>
          <w:szCs w:val="32"/>
        </w:rPr>
        <w:t>除</w:t>
      </w:r>
      <w:r w:rsidRPr="0005564B">
        <w:rPr>
          <w:rFonts w:hAnsi="標楷體" w:hint="eastAsia"/>
          <w:szCs w:val="32"/>
        </w:rPr>
        <w:t>維持既有計收方式</w:t>
      </w:r>
      <w:r w:rsidR="00EF3398" w:rsidRPr="0005564B">
        <w:rPr>
          <w:rFonts w:hAnsi="標楷體" w:hint="eastAsia"/>
          <w:szCs w:val="32"/>
        </w:rPr>
        <w:t>外</w:t>
      </w:r>
      <w:r w:rsidRPr="0005564B">
        <w:rPr>
          <w:rFonts w:hAnsi="標楷體" w:hint="eastAsia"/>
          <w:szCs w:val="32"/>
        </w:rPr>
        <w:t>，另針對未列入投保金額之高額獎金、兼職所得、執行業務收入、股利、利息及租金等6項所得（收入），計收補充保險費，使費基涵蓋綜合所得之範圍由原先之6成擴大至9成以上，拉近所得相同者之保險費負擔，以提升負擔公平性。</w:t>
      </w:r>
    </w:p>
    <w:p w:rsidR="00820183" w:rsidRPr="0005564B" w:rsidRDefault="00820183" w:rsidP="00820183">
      <w:pPr>
        <w:pStyle w:val="4"/>
        <w:numPr>
          <w:ilvl w:val="3"/>
          <w:numId w:val="1"/>
        </w:numPr>
      </w:pPr>
      <w:r w:rsidRPr="0005564B">
        <w:rPr>
          <w:rFonts w:hint="eastAsia"/>
        </w:rPr>
        <w:t>另</w:t>
      </w:r>
      <w:r w:rsidR="008F0862" w:rsidRPr="0005564B">
        <w:rPr>
          <w:rFonts w:hint="eastAsia"/>
        </w:rPr>
        <w:t>外</w:t>
      </w:r>
      <w:r w:rsidRPr="0005564B">
        <w:rPr>
          <w:rFonts w:hint="eastAsia"/>
        </w:rPr>
        <w:t>在雇主負擔方面，二代健保依投保單位每月支付之薪資所得總額逾其受僱者當月投保金額總額之部分，扣取補充保險費，使不同行業別之雇主負擔趨於公平，並減少投保單位將薪資轉以其他名目給付以規避保險費負擔之誘因。而在政府方面則於</w:t>
      </w:r>
      <w:r w:rsidRPr="0005564B">
        <w:rPr>
          <w:rFonts w:hAnsi="標楷體" w:hint="eastAsia"/>
        </w:rPr>
        <w:t>「</w:t>
      </w:r>
      <w:r w:rsidRPr="0005564B">
        <w:rPr>
          <w:rFonts w:hint="eastAsia"/>
        </w:rPr>
        <w:t>健保法</w:t>
      </w:r>
      <w:r w:rsidRPr="0005564B">
        <w:rPr>
          <w:rFonts w:hAnsi="標楷體" w:hint="eastAsia"/>
        </w:rPr>
        <w:t>」</w:t>
      </w:r>
      <w:r w:rsidRPr="0005564B">
        <w:rPr>
          <w:rFonts w:hint="eastAsia"/>
        </w:rPr>
        <w:t>明定政府負擔不得少於保險費扣除法定收入後金額之36%(二代健保實施前約33~34%)，同步提升政府對健保之財務責任。</w:t>
      </w:r>
    </w:p>
    <w:p w:rsidR="00820183" w:rsidRPr="0005564B" w:rsidRDefault="00820183" w:rsidP="00820183">
      <w:pPr>
        <w:pStyle w:val="3"/>
        <w:numPr>
          <w:ilvl w:val="2"/>
          <w:numId w:val="1"/>
        </w:numPr>
      </w:pPr>
      <w:bookmarkStart w:id="78" w:name="_Toc9058262"/>
      <w:bookmarkStart w:id="79" w:name="_Toc10027531"/>
      <w:bookmarkStart w:id="80" w:name="_Toc10054224"/>
      <w:bookmarkStart w:id="81" w:name="_Toc10066333"/>
      <w:r w:rsidRPr="0005564B">
        <w:rPr>
          <w:rFonts w:hint="eastAsia"/>
        </w:rPr>
        <w:t>二代健保保費新制，</w:t>
      </w:r>
      <w:r w:rsidR="008F0862" w:rsidRPr="0005564B">
        <w:rPr>
          <w:rFonts w:hint="eastAsia"/>
        </w:rPr>
        <w:t>對於改善健保財務頗有助益，惟</w:t>
      </w:r>
      <w:r w:rsidRPr="0005564B">
        <w:rPr>
          <w:rFonts w:hint="eastAsia"/>
        </w:rPr>
        <w:t>其理想與實務</w:t>
      </w:r>
      <w:r w:rsidR="008F0862" w:rsidRPr="0005564B">
        <w:rPr>
          <w:rFonts w:hint="eastAsia"/>
        </w:rPr>
        <w:t>仍有</w:t>
      </w:r>
      <w:r w:rsidR="00CD10E5" w:rsidRPr="0005564B">
        <w:rPr>
          <w:rFonts w:hint="eastAsia"/>
        </w:rPr>
        <w:t>若干</w:t>
      </w:r>
      <w:r w:rsidRPr="0005564B">
        <w:rPr>
          <w:rFonts w:hint="eastAsia"/>
        </w:rPr>
        <w:t>落差</w:t>
      </w:r>
      <w:r w:rsidR="00CD10E5" w:rsidRPr="0005564B">
        <w:rPr>
          <w:rFonts w:hint="eastAsia"/>
        </w:rPr>
        <w:t>，略以</w:t>
      </w:r>
      <w:r w:rsidRPr="0005564B">
        <w:rPr>
          <w:rFonts w:hAnsi="標楷體" w:hint="eastAsia"/>
        </w:rPr>
        <w:t>：</w:t>
      </w:r>
      <w:bookmarkEnd w:id="78"/>
      <w:bookmarkEnd w:id="79"/>
      <w:bookmarkEnd w:id="80"/>
      <w:bookmarkEnd w:id="81"/>
    </w:p>
    <w:p w:rsidR="00820183" w:rsidRPr="0005564B" w:rsidRDefault="00820183" w:rsidP="00820183">
      <w:pPr>
        <w:pStyle w:val="4"/>
        <w:numPr>
          <w:ilvl w:val="3"/>
          <w:numId w:val="1"/>
        </w:numPr>
        <w:rPr>
          <w:lang w:eastAsia="zh-HK"/>
        </w:rPr>
      </w:pPr>
      <w:r w:rsidRPr="0005564B">
        <w:rPr>
          <w:rFonts w:hint="eastAsia"/>
        </w:rPr>
        <w:t>二代健保實施前，主要</w:t>
      </w:r>
      <w:r w:rsidRPr="0005564B">
        <w:rPr>
          <w:rFonts w:hint="eastAsia"/>
          <w:lang w:eastAsia="zh-HK"/>
        </w:rPr>
        <w:t>係</w:t>
      </w:r>
      <w:r w:rsidRPr="0005564B">
        <w:rPr>
          <w:rFonts w:hint="eastAsia"/>
        </w:rPr>
        <w:t>以經常性薪資所得，作為保費計算基礎，但</w:t>
      </w:r>
      <w:r w:rsidRPr="0005564B">
        <w:rPr>
          <w:rFonts w:hint="eastAsia"/>
          <w:lang w:eastAsia="zh-HK"/>
        </w:rPr>
        <w:t>因</w:t>
      </w:r>
      <w:r w:rsidRPr="0005564B">
        <w:rPr>
          <w:rFonts w:hint="eastAsia"/>
        </w:rPr>
        <w:t>經常性薪資所得，僅占綜合所得6成左右，受薪民眾相對承擔較大的保費責任；</w:t>
      </w:r>
      <w:r w:rsidRPr="0005564B">
        <w:rPr>
          <w:rFonts w:hint="eastAsia"/>
          <w:lang w:eastAsia="zh-HK"/>
        </w:rPr>
        <w:t>另因以職業別計算保險費制度之設計，存</w:t>
      </w:r>
      <w:r w:rsidR="00EF3398" w:rsidRPr="0005564B">
        <w:rPr>
          <w:rFonts w:hint="eastAsia"/>
          <w:lang w:eastAsia="zh-HK"/>
        </w:rPr>
        <w:t>有保險費負擔未盡公平合理及政府負擔責任有待適度提升等因素之考量</w:t>
      </w:r>
      <w:r w:rsidRPr="0005564B">
        <w:rPr>
          <w:rFonts w:hint="eastAsia"/>
        </w:rPr>
        <w:t>，衛福</w:t>
      </w:r>
      <w:r w:rsidRPr="0005564B">
        <w:rPr>
          <w:rFonts w:hint="eastAsia"/>
          <w:lang w:eastAsia="zh-HK"/>
        </w:rPr>
        <w:t>部</w:t>
      </w:r>
      <w:r w:rsidR="00EF3398" w:rsidRPr="0005564B">
        <w:rPr>
          <w:rFonts w:hint="eastAsia"/>
        </w:rPr>
        <w:t>遂</w:t>
      </w:r>
      <w:r w:rsidRPr="0005564B">
        <w:rPr>
          <w:rFonts w:hint="eastAsia"/>
          <w:lang w:eastAsia="zh-HK"/>
        </w:rPr>
        <w:t>於</w:t>
      </w:r>
      <w:r w:rsidRPr="0005564B">
        <w:rPr>
          <w:rFonts w:hint="eastAsia"/>
        </w:rPr>
        <w:t>9</w:t>
      </w:r>
      <w:r w:rsidRPr="0005564B">
        <w:rPr>
          <w:rFonts w:hint="eastAsia"/>
          <w:lang w:eastAsia="zh-HK"/>
        </w:rPr>
        <w:t>9年提出以家戶總所得為保費計費基礎之</w:t>
      </w:r>
      <w:r w:rsidR="00574DD8" w:rsidRPr="0005564B">
        <w:rPr>
          <w:rFonts w:hint="eastAsia"/>
          <w:lang w:eastAsia="zh-HK"/>
        </w:rPr>
        <w:t>「</w:t>
      </w:r>
      <w:r w:rsidRPr="0005564B">
        <w:rPr>
          <w:rFonts w:hint="eastAsia"/>
          <w:lang w:eastAsia="zh-HK"/>
        </w:rPr>
        <w:t>健保法</w:t>
      </w:r>
      <w:r w:rsidR="00574DD8" w:rsidRPr="0005564B">
        <w:rPr>
          <w:rFonts w:hint="eastAsia"/>
          <w:lang w:eastAsia="zh-HK"/>
        </w:rPr>
        <w:t>」</w:t>
      </w:r>
      <w:r w:rsidRPr="0005564B">
        <w:rPr>
          <w:rFonts w:hint="eastAsia"/>
          <w:lang w:eastAsia="zh-HK"/>
        </w:rPr>
        <w:t>修法案</w:t>
      </w:r>
      <w:r w:rsidRPr="0005564B">
        <w:rPr>
          <w:rFonts w:hint="eastAsia"/>
        </w:rPr>
        <w:t>，</w:t>
      </w:r>
      <w:r w:rsidRPr="0005564B">
        <w:rPr>
          <w:rFonts w:hint="eastAsia"/>
          <w:lang w:eastAsia="zh-HK"/>
        </w:rPr>
        <w:t>目的係為強化量能負擔及擴大計費基礎。</w:t>
      </w:r>
    </w:p>
    <w:p w:rsidR="00820183" w:rsidRPr="0005564B" w:rsidRDefault="00820183" w:rsidP="00820183">
      <w:pPr>
        <w:pStyle w:val="4"/>
        <w:numPr>
          <w:ilvl w:val="3"/>
          <w:numId w:val="1"/>
        </w:numPr>
      </w:pPr>
      <w:r w:rsidRPr="0005564B">
        <w:rPr>
          <w:rFonts w:hint="eastAsia"/>
        </w:rPr>
        <w:t>99年原規劃之家戶總所得制度，係取消被保險人類目分類，保險費計費方式係扣費義務人於給付被保險人所得稅法規定之各類所得達一定金額</w:t>
      </w:r>
      <w:r w:rsidRPr="0005564B">
        <w:rPr>
          <w:rFonts w:hint="eastAsia"/>
        </w:rPr>
        <w:lastRenderedPageBreak/>
        <w:t>以上時，按保險費率扣取被保險人之保險費，並由保險人依財政部核定之綜合所得總額按年度結算，不論眷口人數，就每戶所得總額，依保險費率計費。另所得未達下限者依下限計費，超過上限者依上限計費，適用上下限者應論口計費，但最多4口。</w:t>
      </w:r>
    </w:p>
    <w:p w:rsidR="00820183" w:rsidRPr="0005564B" w:rsidRDefault="00820183" w:rsidP="00820183">
      <w:pPr>
        <w:pStyle w:val="4"/>
        <w:numPr>
          <w:ilvl w:val="3"/>
          <w:numId w:val="1"/>
        </w:numPr>
        <w:rPr>
          <w:rFonts w:hAnsi="標楷體"/>
          <w:kern w:val="28"/>
          <w:szCs w:val="32"/>
          <w:lang w:eastAsia="zh-HK"/>
        </w:rPr>
      </w:pPr>
      <w:r w:rsidRPr="0005564B">
        <w:rPr>
          <w:rFonts w:hint="eastAsia"/>
        </w:rPr>
        <w:t>惟國人無所得稅資料比率極高，若保險費制度架構於所得稅制下，可能複</w:t>
      </w:r>
      <w:r w:rsidR="00EF3398" w:rsidRPr="0005564B">
        <w:rPr>
          <w:rFonts w:hint="eastAsia"/>
        </w:rPr>
        <w:t>製現行稅制問題，潛藏另一形式的不公平；且未申報綜合所得者之戶籍</w:t>
      </w:r>
      <w:r w:rsidRPr="0005564B">
        <w:rPr>
          <w:rFonts w:hint="eastAsia"/>
        </w:rPr>
        <w:t>內人口，按下限收費，衍生設算虛擬所得爭議。另家戶總所得之計費方式，使家戶人口少者負擔加重、單身者保險費增加，引起懲罰單身之批評。衛福部表示，考量推動過程中，因制度變革過大，社會無法達成共識</w:t>
      </w:r>
      <w:r w:rsidRPr="0005564B">
        <w:rPr>
          <w:rFonts w:hAnsi="標楷體" w:hint="eastAsia"/>
          <w:kern w:val="28"/>
          <w:szCs w:val="32"/>
          <w:lang w:eastAsia="zh-HK"/>
        </w:rPr>
        <w:t>，</w:t>
      </w:r>
      <w:r w:rsidRPr="0005564B">
        <w:rPr>
          <w:rFonts w:hAnsi="標楷體" w:hint="eastAsia"/>
          <w:kern w:val="28"/>
          <w:szCs w:val="32"/>
        </w:rPr>
        <w:t>爰以計收補充保險費方式進行改革。</w:t>
      </w:r>
    </w:p>
    <w:p w:rsidR="00820183" w:rsidRPr="003B110E" w:rsidRDefault="00CD10E5" w:rsidP="00820183">
      <w:pPr>
        <w:pStyle w:val="3"/>
        <w:numPr>
          <w:ilvl w:val="2"/>
          <w:numId w:val="1"/>
        </w:numPr>
      </w:pPr>
      <w:bookmarkStart w:id="82" w:name="_Toc9058263"/>
      <w:bookmarkStart w:id="83" w:name="_Toc10027532"/>
      <w:bookmarkStart w:id="84" w:name="_Toc10054225"/>
      <w:bookmarkStart w:id="85" w:name="_Toc10066334"/>
      <w:r w:rsidRPr="0005564B">
        <w:rPr>
          <w:rFonts w:hint="eastAsia"/>
        </w:rPr>
        <w:t>經查</w:t>
      </w:r>
      <w:r w:rsidR="00820183" w:rsidRPr="0005564B">
        <w:rPr>
          <w:rFonts w:hint="eastAsia"/>
        </w:rPr>
        <w:t>，</w:t>
      </w:r>
      <w:r w:rsidR="00820183" w:rsidRPr="0005564B">
        <w:rPr>
          <w:rFonts w:hint="eastAsia"/>
          <w:lang w:eastAsia="zh-HK"/>
        </w:rPr>
        <w:t>二代健保</w:t>
      </w:r>
      <w:r w:rsidR="00820183" w:rsidRPr="0005564B">
        <w:rPr>
          <w:rFonts w:hint="eastAsia"/>
        </w:rPr>
        <w:t>雖然未能將費基一次擴大到總所得，</w:t>
      </w:r>
      <w:r w:rsidRPr="0005564B">
        <w:rPr>
          <w:rFonts w:hint="eastAsia"/>
        </w:rPr>
        <w:t>惟</w:t>
      </w:r>
      <w:r w:rsidR="00820183" w:rsidRPr="0005564B">
        <w:rPr>
          <w:rFonts w:hint="eastAsia"/>
        </w:rPr>
        <w:t>已</w:t>
      </w:r>
      <w:r w:rsidR="00EF3398" w:rsidRPr="0005564B">
        <w:rPr>
          <w:rFonts w:hint="eastAsia"/>
        </w:rPr>
        <w:t>再</w:t>
      </w:r>
      <w:r w:rsidRPr="0005564B">
        <w:rPr>
          <w:rFonts w:hint="eastAsia"/>
        </w:rPr>
        <w:t>向前邁進一大步，</w:t>
      </w:r>
      <w:r w:rsidR="00820183" w:rsidRPr="0005564B">
        <w:rPr>
          <w:rFonts w:hint="eastAsia"/>
        </w:rPr>
        <w:t>掌握</w:t>
      </w:r>
      <w:r w:rsidRPr="0005564B">
        <w:rPr>
          <w:rFonts w:hint="eastAsia"/>
        </w:rPr>
        <w:t>更多原</w:t>
      </w:r>
      <w:r w:rsidR="00820183" w:rsidRPr="0005564B">
        <w:rPr>
          <w:rFonts w:hint="eastAsia"/>
        </w:rPr>
        <w:t>未列入計費之所得</w:t>
      </w:r>
      <w:r w:rsidRPr="0005564B">
        <w:rPr>
          <w:rFonts w:hint="eastAsia"/>
        </w:rPr>
        <w:t>或</w:t>
      </w:r>
      <w:r w:rsidR="00820183" w:rsidRPr="0005564B">
        <w:rPr>
          <w:rFonts w:hint="eastAsia"/>
        </w:rPr>
        <w:t>收入，</w:t>
      </w:r>
      <w:r w:rsidRPr="0005564B">
        <w:rPr>
          <w:rFonts w:hint="eastAsia"/>
        </w:rPr>
        <w:t>以</w:t>
      </w:r>
      <w:r w:rsidR="00820183" w:rsidRPr="0005564B">
        <w:rPr>
          <w:rFonts w:hint="eastAsia"/>
        </w:rPr>
        <w:t>自給付源頭計收補充保險費</w:t>
      </w:r>
      <w:r w:rsidRPr="0005564B">
        <w:rPr>
          <w:rFonts w:hint="eastAsia"/>
        </w:rPr>
        <w:t>方式</w:t>
      </w:r>
      <w:r w:rsidR="00820183" w:rsidRPr="0005564B">
        <w:rPr>
          <w:rFonts w:hint="eastAsia"/>
        </w:rPr>
        <w:t>，使所得相同被保險人</w:t>
      </w:r>
      <w:r w:rsidRPr="0005564B">
        <w:rPr>
          <w:rFonts w:hint="eastAsia"/>
        </w:rPr>
        <w:t>之</w:t>
      </w:r>
      <w:r w:rsidR="00820183" w:rsidRPr="0005564B">
        <w:rPr>
          <w:rFonts w:hint="eastAsia"/>
        </w:rPr>
        <w:t>保險費負擔</w:t>
      </w:r>
      <w:r w:rsidRPr="0005564B">
        <w:rPr>
          <w:rFonts w:hint="eastAsia"/>
        </w:rPr>
        <w:t>更</w:t>
      </w:r>
      <w:r w:rsidR="00EF3398" w:rsidRPr="0005564B">
        <w:rPr>
          <w:rFonts w:hint="eastAsia"/>
        </w:rPr>
        <w:t>為</w:t>
      </w:r>
      <w:r w:rsidR="00820183" w:rsidRPr="0005564B">
        <w:rPr>
          <w:rFonts w:hint="eastAsia"/>
        </w:rPr>
        <w:t>趨近，</w:t>
      </w:r>
      <w:r w:rsidRPr="0005564B">
        <w:rPr>
          <w:rFonts w:hint="eastAsia"/>
        </w:rPr>
        <w:t>其</w:t>
      </w:r>
      <w:r w:rsidR="00820183" w:rsidRPr="0005564B">
        <w:rPr>
          <w:rFonts w:hint="eastAsia"/>
        </w:rPr>
        <w:t>公平性較一代健保</w:t>
      </w:r>
      <w:r w:rsidRPr="0005564B">
        <w:rPr>
          <w:rFonts w:hint="eastAsia"/>
        </w:rPr>
        <w:t>相對</w:t>
      </w:r>
      <w:r w:rsidR="00820183" w:rsidRPr="0005564B">
        <w:rPr>
          <w:rFonts w:hint="eastAsia"/>
        </w:rPr>
        <w:t>改善，亦</w:t>
      </w:r>
      <w:r w:rsidRPr="0005564B">
        <w:rPr>
          <w:rFonts w:hint="eastAsia"/>
        </w:rPr>
        <w:t>契合</w:t>
      </w:r>
      <w:r w:rsidR="00820183" w:rsidRPr="0005564B">
        <w:rPr>
          <w:rFonts w:hint="eastAsia"/>
        </w:rPr>
        <w:t>社會保險量能負擔之精神。</w:t>
      </w:r>
      <w:r w:rsidR="00820183" w:rsidRPr="0005564B">
        <w:rPr>
          <w:rFonts w:hAnsi="標楷體" w:hint="eastAsia"/>
          <w:kern w:val="28"/>
          <w:szCs w:val="32"/>
        </w:rPr>
        <w:t>衛福</w:t>
      </w:r>
      <w:r w:rsidR="00820183" w:rsidRPr="0005564B">
        <w:rPr>
          <w:rFonts w:hAnsi="標楷體" w:hint="eastAsia"/>
          <w:kern w:val="28"/>
          <w:szCs w:val="32"/>
          <w:lang w:eastAsia="zh-HK"/>
        </w:rPr>
        <w:t>部</w:t>
      </w:r>
      <w:r w:rsidR="00D55239" w:rsidRPr="0005564B">
        <w:rPr>
          <w:rFonts w:hAnsi="標楷體" w:hint="eastAsia"/>
          <w:kern w:val="28"/>
          <w:szCs w:val="32"/>
          <w:lang w:eastAsia="zh-HK"/>
        </w:rPr>
        <w:t>允</w:t>
      </w:r>
      <w:r w:rsidRPr="0005564B">
        <w:rPr>
          <w:rFonts w:hAnsi="標楷體" w:hint="eastAsia"/>
          <w:kern w:val="28"/>
          <w:szCs w:val="32"/>
        </w:rPr>
        <w:t>應</w:t>
      </w:r>
      <w:r w:rsidR="009C0D16" w:rsidRPr="0005564B">
        <w:rPr>
          <w:rFonts w:hAnsi="標楷體" w:hint="eastAsia"/>
          <w:kern w:val="28"/>
          <w:szCs w:val="32"/>
        </w:rPr>
        <w:t>再接再厲</w:t>
      </w:r>
      <w:r w:rsidR="009C0D16" w:rsidRPr="0005564B">
        <w:rPr>
          <w:rFonts w:hAnsi="標楷體" w:hint="eastAsia"/>
          <w:b/>
          <w:kern w:val="28"/>
          <w:szCs w:val="32"/>
        </w:rPr>
        <w:t>，</w:t>
      </w:r>
      <w:r w:rsidR="00820183" w:rsidRPr="0005564B">
        <w:rPr>
          <w:rFonts w:hAnsi="標楷體" w:hint="eastAsia"/>
          <w:kern w:val="28"/>
          <w:szCs w:val="32"/>
          <w:lang w:eastAsia="zh-HK"/>
        </w:rPr>
        <w:t>持續結合各領域之專家學者，就健保財務制度改革深入研析</w:t>
      </w:r>
      <w:r w:rsidR="004A7E00" w:rsidRPr="0005564B">
        <w:rPr>
          <w:rFonts w:hAnsi="標楷體" w:hint="eastAsia"/>
          <w:kern w:val="28"/>
          <w:szCs w:val="32"/>
        </w:rPr>
        <w:t>，精益求精</w:t>
      </w:r>
      <w:r w:rsidR="00820183" w:rsidRPr="0005564B">
        <w:rPr>
          <w:rFonts w:hAnsi="標楷體" w:hint="eastAsia"/>
          <w:kern w:val="28"/>
          <w:szCs w:val="32"/>
          <w:lang w:eastAsia="zh-HK"/>
        </w:rPr>
        <w:t>，尋求更完善之配套方案</w:t>
      </w:r>
      <w:r w:rsidR="00EF3398" w:rsidRPr="0005564B">
        <w:rPr>
          <w:rFonts w:hAnsi="標楷體" w:hint="eastAsia"/>
          <w:kern w:val="28"/>
          <w:szCs w:val="32"/>
        </w:rPr>
        <w:t>，以確保</w:t>
      </w:r>
      <w:r w:rsidRPr="0005564B">
        <w:rPr>
          <w:rFonts w:hAnsi="標楷體" w:hint="eastAsia"/>
          <w:kern w:val="28"/>
          <w:szCs w:val="32"/>
        </w:rPr>
        <w:t>健保</w:t>
      </w:r>
      <w:r w:rsidR="00EF3398" w:rsidRPr="0005564B">
        <w:rPr>
          <w:rFonts w:hAnsi="標楷體" w:hint="eastAsia"/>
          <w:kern w:val="28"/>
          <w:szCs w:val="32"/>
        </w:rPr>
        <w:t>制度</w:t>
      </w:r>
      <w:r w:rsidRPr="0005564B">
        <w:rPr>
          <w:rFonts w:hAnsi="標楷體" w:hint="eastAsia"/>
          <w:kern w:val="28"/>
          <w:szCs w:val="32"/>
        </w:rPr>
        <w:t>之永續</w:t>
      </w:r>
      <w:r w:rsidR="00820183" w:rsidRPr="0005564B">
        <w:rPr>
          <w:rFonts w:hAnsi="標楷體" w:hint="eastAsia"/>
          <w:kern w:val="28"/>
          <w:szCs w:val="32"/>
          <w:lang w:eastAsia="zh-HK"/>
        </w:rPr>
        <w:t>。</w:t>
      </w:r>
      <w:bookmarkEnd w:id="82"/>
      <w:bookmarkEnd w:id="83"/>
      <w:bookmarkEnd w:id="84"/>
      <w:bookmarkEnd w:id="85"/>
    </w:p>
    <w:p w:rsidR="003B110E" w:rsidRPr="0005564B" w:rsidRDefault="003B110E" w:rsidP="003B110E">
      <w:pPr>
        <w:pStyle w:val="3"/>
        <w:numPr>
          <w:ilvl w:val="0"/>
          <w:numId w:val="0"/>
        </w:numPr>
        <w:ind w:left="1361"/>
      </w:pPr>
    </w:p>
    <w:p w:rsidR="00095511" w:rsidRPr="0005564B" w:rsidRDefault="00D55239" w:rsidP="00DE4238">
      <w:pPr>
        <w:pStyle w:val="2"/>
        <w:rPr>
          <w:b/>
        </w:rPr>
      </w:pPr>
      <w:bookmarkStart w:id="86" w:name="_Toc9058296"/>
      <w:bookmarkStart w:id="87" w:name="_Toc9078574"/>
      <w:bookmarkStart w:id="88" w:name="_Toc10066335"/>
      <w:bookmarkStart w:id="89" w:name="_Toc10295279"/>
      <w:r w:rsidRPr="0005564B">
        <w:rPr>
          <w:rFonts w:hint="eastAsia"/>
          <w:b/>
          <w:lang w:eastAsia="zh-HK"/>
        </w:rPr>
        <w:t>在</w:t>
      </w:r>
      <w:r w:rsidR="0020692E" w:rsidRPr="0005564B">
        <w:rPr>
          <w:rFonts w:hint="eastAsia"/>
          <w:b/>
        </w:rPr>
        <w:t>目前</w:t>
      </w:r>
      <w:r w:rsidR="004F72A4" w:rsidRPr="0005564B">
        <w:rPr>
          <w:rFonts w:hint="eastAsia"/>
          <w:b/>
          <w:lang w:eastAsia="zh-HK"/>
        </w:rPr>
        <w:t>健保</w:t>
      </w:r>
      <w:r w:rsidRPr="0005564B">
        <w:rPr>
          <w:rFonts w:hint="eastAsia"/>
          <w:b/>
          <w:lang w:eastAsia="zh-HK"/>
        </w:rPr>
        <w:t>署</w:t>
      </w:r>
      <w:r w:rsidR="0020692E" w:rsidRPr="0005564B">
        <w:rPr>
          <w:rFonts w:hint="eastAsia"/>
          <w:b/>
        </w:rPr>
        <w:t>所推動之各</w:t>
      </w:r>
      <w:r w:rsidRPr="0005564B">
        <w:rPr>
          <w:rFonts w:hint="eastAsia"/>
          <w:b/>
          <w:lang w:eastAsia="zh-HK"/>
        </w:rPr>
        <w:t>項</w:t>
      </w:r>
      <w:r w:rsidR="0020692E" w:rsidRPr="0005564B">
        <w:rPr>
          <w:rFonts w:hint="eastAsia"/>
          <w:b/>
        </w:rPr>
        <w:t>開源措施中，以102年</w:t>
      </w:r>
      <w:r w:rsidR="00AC56C7" w:rsidRPr="0005564B">
        <w:rPr>
          <w:rFonts w:hint="eastAsia"/>
          <w:b/>
          <w:lang w:eastAsia="zh-HK"/>
        </w:rPr>
        <w:t>始</w:t>
      </w:r>
      <w:r w:rsidR="0020692E" w:rsidRPr="0005564B">
        <w:rPr>
          <w:rFonts w:hint="eastAsia"/>
          <w:b/>
        </w:rPr>
        <w:t>實施</w:t>
      </w:r>
      <w:r w:rsidR="00AC56C7" w:rsidRPr="0005564B">
        <w:rPr>
          <w:rFonts w:hint="eastAsia"/>
          <w:b/>
          <w:lang w:eastAsia="zh-HK"/>
        </w:rPr>
        <w:t>之</w:t>
      </w:r>
      <w:r w:rsidR="0020692E" w:rsidRPr="0005564B">
        <w:rPr>
          <w:rFonts w:hint="eastAsia"/>
          <w:b/>
        </w:rPr>
        <w:t>二代健保成效最為顯著；至於節流措施部分，</w:t>
      </w:r>
      <w:r w:rsidR="009F6479" w:rsidRPr="0005564B">
        <w:rPr>
          <w:rFonts w:hAnsi="標楷體" w:hint="eastAsia"/>
          <w:b/>
          <w:szCs w:val="32"/>
        </w:rPr>
        <w:t>最有效的</w:t>
      </w:r>
      <w:r w:rsidR="009F6479" w:rsidRPr="0005564B">
        <w:rPr>
          <w:rFonts w:hAnsi="標楷體" w:hint="eastAsia"/>
          <w:b/>
          <w:szCs w:val="32"/>
          <w:lang w:eastAsia="zh-HK"/>
        </w:rPr>
        <w:t>方案</w:t>
      </w:r>
      <w:r w:rsidRPr="0005564B">
        <w:rPr>
          <w:rFonts w:hAnsi="標楷體" w:hint="eastAsia"/>
          <w:b/>
          <w:szCs w:val="32"/>
          <w:lang w:eastAsia="zh-HK"/>
        </w:rPr>
        <w:t>則</w:t>
      </w:r>
      <w:r w:rsidR="009F6479" w:rsidRPr="0005564B">
        <w:rPr>
          <w:rFonts w:hAnsi="標楷體" w:hint="eastAsia"/>
          <w:b/>
          <w:szCs w:val="32"/>
          <w:lang w:eastAsia="zh-HK"/>
        </w:rPr>
        <w:t>為</w:t>
      </w:r>
      <w:r w:rsidR="009F6479" w:rsidRPr="0005564B">
        <w:rPr>
          <w:rFonts w:hAnsi="標楷體" w:hint="eastAsia"/>
          <w:b/>
          <w:szCs w:val="32"/>
        </w:rPr>
        <w:t>總額支付制度，</w:t>
      </w:r>
      <w:r w:rsidR="009F6479" w:rsidRPr="0005564B">
        <w:rPr>
          <w:rFonts w:hAnsi="標楷體" w:hint="eastAsia"/>
          <w:b/>
          <w:szCs w:val="32"/>
          <w:lang w:eastAsia="zh-HK"/>
        </w:rPr>
        <w:t>此外</w:t>
      </w:r>
      <w:r w:rsidR="0020692E" w:rsidRPr="0005564B">
        <w:rPr>
          <w:rFonts w:hint="eastAsia"/>
          <w:b/>
        </w:rPr>
        <w:t>有效落實重複用藥管理方案，推動減少</w:t>
      </w:r>
      <w:r w:rsidRPr="0005564B">
        <w:rPr>
          <w:rFonts w:hint="eastAsia"/>
          <w:b/>
          <w:lang w:eastAsia="zh-HK"/>
        </w:rPr>
        <w:t>不必要之</w:t>
      </w:r>
      <w:r w:rsidR="0020692E" w:rsidRPr="0005564B">
        <w:rPr>
          <w:rFonts w:hint="eastAsia"/>
          <w:b/>
        </w:rPr>
        <w:t>檢驗檢查，並運用</w:t>
      </w:r>
      <w:r w:rsidR="0020692E" w:rsidRPr="0005564B">
        <w:rPr>
          <w:rFonts w:hint="eastAsia"/>
          <w:b/>
          <w:spacing w:val="-1"/>
        </w:rPr>
        <w:t>大數據分析</w:t>
      </w:r>
      <w:r w:rsidR="009F6479" w:rsidRPr="0005564B">
        <w:rPr>
          <w:rFonts w:hint="eastAsia"/>
          <w:b/>
          <w:spacing w:val="-1"/>
          <w:lang w:eastAsia="zh-HK"/>
        </w:rPr>
        <w:t>等</w:t>
      </w:r>
      <w:r w:rsidR="0020692E" w:rsidRPr="0005564B">
        <w:rPr>
          <w:rFonts w:hint="eastAsia"/>
          <w:b/>
          <w:spacing w:val="-1"/>
        </w:rPr>
        <w:t>，</w:t>
      </w:r>
      <w:r w:rsidR="004F72A4" w:rsidRPr="0005564B">
        <w:rPr>
          <w:rFonts w:hint="eastAsia"/>
          <w:b/>
        </w:rPr>
        <w:t>每年</w:t>
      </w:r>
      <w:r w:rsidR="009F6479" w:rsidRPr="0005564B">
        <w:rPr>
          <w:rFonts w:hint="eastAsia"/>
          <w:b/>
          <w:lang w:eastAsia="zh-HK"/>
        </w:rPr>
        <w:t>均</w:t>
      </w:r>
      <w:r w:rsidR="004F72A4" w:rsidRPr="0005564B">
        <w:rPr>
          <w:rFonts w:hint="eastAsia"/>
          <w:b/>
        </w:rPr>
        <w:t>可節省</w:t>
      </w:r>
      <w:r w:rsidR="0020692E" w:rsidRPr="0005564B">
        <w:rPr>
          <w:rFonts w:hint="eastAsia"/>
          <w:b/>
        </w:rPr>
        <w:t>相當金額之健保支出。</w:t>
      </w:r>
      <w:r w:rsidR="0020692E" w:rsidRPr="0005564B">
        <w:rPr>
          <w:rFonts w:hint="eastAsia"/>
          <w:b/>
        </w:rPr>
        <w:lastRenderedPageBreak/>
        <w:t>各開源節流措施</w:t>
      </w:r>
      <w:r w:rsidR="004F72A4" w:rsidRPr="0005564B">
        <w:rPr>
          <w:rFonts w:hint="eastAsia"/>
          <w:b/>
        </w:rPr>
        <w:t>成效</w:t>
      </w:r>
      <w:r w:rsidR="0020692E" w:rsidRPr="0005564B">
        <w:rPr>
          <w:rFonts w:hint="eastAsia"/>
          <w:b/>
        </w:rPr>
        <w:t>允應定期檢視，適時調整，俾維持健保財務平衡，同時降低健保費率調整對社會各界所造成的衝擊。</w:t>
      </w:r>
      <w:bookmarkEnd w:id="86"/>
      <w:bookmarkEnd w:id="87"/>
      <w:bookmarkEnd w:id="88"/>
      <w:r w:rsidR="00C27862" w:rsidRPr="0005564B">
        <w:rPr>
          <w:rFonts w:hint="eastAsia"/>
          <w:b/>
        </w:rPr>
        <w:t>又，</w:t>
      </w:r>
      <w:r w:rsidR="00C27862" w:rsidRPr="0005564B">
        <w:rPr>
          <w:rFonts w:hAnsi="標楷體" w:hint="eastAsia"/>
          <w:b/>
          <w:szCs w:val="32"/>
        </w:rPr>
        <w:t>長期居住國外之國民於有醫療需要時，短期返國投保，即可</w:t>
      </w:r>
      <w:r w:rsidRPr="0005564B">
        <w:rPr>
          <w:rFonts w:hAnsi="標楷體" w:hint="eastAsia"/>
          <w:b/>
          <w:szCs w:val="32"/>
          <w:lang w:eastAsia="zh-HK"/>
        </w:rPr>
        <w:t>享受</w:t>
      </w:r>
      <w:r w:rsidR="00C27862" w:rsidRPr="0005564B">
        <w:rPr>
          <w:rFonts w:hAnsi="標楷體" w:hint="eastAsia"/>
          <w:b/>
          <w:szCs w:val="32"/>
        </w:rPr>
        <w:t>高額之醫療資源，增加健保之支出，亦對長期投保繳納保險費者不公，主管機關</w:t>
      </w:r>
      <w:r w:rsidRPr="0005564B">
        <w:rPr>
          <w:rFonts w:hAnsi="標楷體" w:hint="eastAsia"/>
          <w:b/>
          <w:szCs w:val="32"/>
          <w:lang w:eastAsia="zh-HK"/>
        </w:rPr>
        <w:t>似</w:t>
      </w:r>
      <w:r w:rsidR="00C27862" w:rsidRPr="0005564B">
        <w:rPr>
          <w:rFonts w:hAnsi="標楷體" w:hint="eastAsia"/>
          <w:b/>
          <w:szCs w:val="32"/>
        </w:rPr>
        <w:t>應採取</w:t>
      </w:r>
      <w:r w:rsidRPr="0005564B">
        <w:rPr>
          <w:rFonts w:hAnsi="標楷體" w:hint="eastAsia"/>
          <w:b/>
          <w:szCs w:val="32"/>
          <w:lang w:eastAsia="zh-HK"/>
        </w:rPr>
        <w:t>更</w:t>
      </w:r>
      <w:r w:rsidR="00C27862" w:rsidRPr="0005564B">
        <w:rPr>
          <w:rFonts w:hAnsi="標楷體" w:hint="eastAsia"/>
          <w:b/>
          <w:szCs w:val="32"/>
        </w:rPr>
        <w:t>積極作為，以杜絕</w:t>
      </w:r>
      <w:r w:rsidRPr="0005564B">
        <w:rPr>
          <w:rFonts w:hAnsi="標楷體" w:hint="eastAsia"/>
          <w:b/>
          <w:szCs w:val="32"/>
          <w:lang w:eastAsia="zh-HK"/>
        </w:rPr>
        <w:t>類</w:t>
      </w:r>
      <w:r w:rsidR="00C27862" w:rsidRPr="0005564B">
        <w:rPr>
          <w:rFonts w:hAnsi="標楷體" w:hint="eastAsia"/>
          <w:b/>
          <w:szCs w:val="32"/>
        </w:rPr>
        <w:t>此情</w:t>
      </w:r>
      <w:r w:rsidRPr="0005564B">
        <w:rPr>
          <w:rFonts w:hAnsi="標楷體" w:hint="eastAsia"/>
          <w:b/>
          <w:szCs w:val="32"/>
          <w:lang w:eastAsia="zh-HK"/>
        </w:rPr>
        <w:t>事</w:t>
      </w:r>
      <w:r w:rsidR="00C27862" w:rsidRPr="0005564B">
        <w:rPr>
          <w:rFonts w:hAnsi="標楷體" w:hint="eastAsia"/>
          <w:b/>
          <w:szCs w:val="32"/>
        </w:rPr>
        <w:t>。</w:t>
      </w:r>
      <w:bookmarkEnd w:id="89"/>
    </w:p>
    <w:p w:rsidR="000E42FA" w:rsidRPr="0005564B" w:rsidRDefault="000E42FA" w:rsidP="0021660B">
      <w:pPr>
        <w:pStyle w:val="3"/>
        <w:numPr>
          <w:ilvl w:val="2"/>
          <w:numId w:val="1"/>
        </w:numPr>
      </w:pPr>
      <w:bookmarkStart w:id="90" w:name="_Toc9058297"/>
      <w:bookmarkStart w:id="91" w:name="_Toc10027534"/>
      <w:bookmarkStart w:id="92" w:name="_Toc10054227"/>
      <w:bookmarkStart w:id="93" w:name="_Toc10066336"/>
      <w:r w:rsidRPr="0005564B">
        <w:rPr>
          <w:rFonts w:hint="eastAsia"/>
        </w:rPr>
        <w:t>為維持健保財務平衡及降低健保費率調整對整體社會的衝擊，</w:t>
      </w:r>
      <w:r w:rsidR="0021660B" w:rsidRPr="0005564B">
        <w:rPr>
          <w:rFonts w:hint="eastAsia"/>
        </w:rPr>
        <w:t>主管機關</w:t>
      </w:r>
      <w:r w:rsidRPr="0005564B">
        <w:rPr>
          <w:rFonts w:hint="eastAsia"/>
        </w:rPr>
        <w:t>推動</w:t>
      </w:r>
      <w:r w:rsidR="0021660B" w:rsidRPr="0005564B">
        <w:rPr>
          <w:rFonts w:hint="eastAsia"/>
        </w:rPr>
        <w:t>之</w:t>
      </w:r>
      <w:r w:rsidRPr="0005564B">
        <w:rPr>
          <w:rFonts w:hint="eastAsia"/>
        </w:rPr>
        <w:t>開源措施如下</w:t>
      </w:r>
      <w:r w:rsidR="0021660B" w:rsidRPr="0005564B">
        <w:rPr>
          <w:rFonts w:hint="eastAsia"/>
        </w:rPr>
        <w:t>：</w:t>
      </w:r>
      <w:bookmarkEnd w:id="90"/>
      <w:bookmarkEnd w:id="91"/>
      <w:bookmarkEnd w:id="92"/>
      <w:bookmarkEnd w:id="93"/>
    </w:p>
    <w:p w:rsidR="000E42FA" w:rsidRPr="0005564B" w:rsidRDefault="000E42FA" w:rsidP="000E42FA">
      <w:pPr>
        <w:pStyle w:val="4"/>
        <w:numPr>
          <w:ilvl w:val="3"/>
          <w:numId w:val="1"/>
        </w:numPr>
      </w:pPr>
      <w:r w:rsidRPr="0005564B">
        <w:rPr>
          <w:rFonts w:hint="eastAsia"/>
        </w:rPr>
        <w:t>為貫徹健保保險費負擔之公平性，健保署自87年起即陸續以財稅資料、勞保及勞退等外部資料，執行投保金額輔導查核作業，每年增加保險費收入達15億元以上。</w:t>
      </w:r>
    </w:p>
    <w:p w:rsidR="000E42FA" w:rsidRPr="0005564B" w:rsidRDefault="000E42FA" w:rsidP="000E42FA">
      <w:pPr>
        <w:pStyle w:val="4"/>
        <w:numPr>
          <w:ilvl w:val="3"/>
          <w:numId w:val="1"/>
        </w:numPr>
        <w:rPr>
          <w:szCs w:val="32"/>
        </w:rPr>
      </w:pPr>
      <w:r w:rsidRPr="0005564B">
        <w:rPr>
          <w:rFonts w:hint="eastAsia"/>
          <w:szCs w:val="32"/>
        </w:rPr>
        <w:t>每月辦理保險對象中斷投保開單作業，每年增加保險費收入約29億元。</w:t>
      </w:r>
    </w:p>
    <w:p w:rsidR="000E42FA" w:rsidRPr="0005564B" w:rsidRDefault="000E42FA" w:rsidP="000E42FA">
      <w:pPr>
        <w:pStyle w:val="4"/>
        <w:rPr>
          <w:szCs w:val="32"/>
        </w:rPr>
      </w:pPr>
      <w:r w:rsidRPr="0005564B">
        <w:rPr>
          <w:rFonts w:hint="eastAsia"/>
        </w:rPr>
        <w:t>91年6月修法通過</w:t>
      </w:r>
      <w:r w:rsidR="00E375A8" w:rsidRPr="0005564B">
        <w:rPr>
          <w:rFonts w:hint="eastAsia"/>
        </w:rPr>
        <w:t>擴大</w:t>
      </w:r>
      <w:r w:rsidRPr="0005564B">
        <w:rPr>
          <w:rFonts w:hint="eastAsia"/>
        </w:rPr>
        <w:t>投保金額分級表最高與最低一級維持</w:t>
      </w:r>
      <w:r w:rsidR="00E375A8" w:rsidRPr="0005564B">
        <w:rPr>
          <w:rFonts w:hint="eastAsia"/>
        </w:rPr>
        <w:t>在5</w:t>
      </w:r>
      <w:r w:rsidRPr="0005564B">
        <w:rPr>
          <w:rFonts w:hint="eastAsia"/>
        </w:rPr>
        <w:t>倍以上差距，因而投保金額上限由60,800元，於91年8月提高至87,600元，94年4月提高至131,700元，99年4月提高至182,000元，一年（107年）增加健保收入約167億元</w:t>
      </w:r>
      <w:r w:rsidRPr="0005564B">
        <w:rPr>
          <w:rFonts w:hint="eastAsia"/>
          <w:szCs w:val="32"/>
        </w:rPr>
        <w:t>。</w:t>
      </w:r>
    </w:p>
    <w:p w:rsidR="000E42FA" w:rsidRPr="0005564B" w:rsidRDefault="000E42FA" w:rsidP="000E42FA">
      <w:pPr>
        <w:pStyle w:val="4"/>
        <w:numPr>
          <w:ilvl w:val="3"/>
          <w:numId w:val="1"/>
        </w:numPr>
        <w:rPr>
          <w:szCs w:val="32"/>
        </w:rPr>
      </w:pPr>
      <w:r w:rsidRPr="0005564B">
        <w:rPr>
          <w:rFonts w:hint="eastAsia"/>
          <w:szCs w:val="32"/>
        </w:rPr>
        <w:t>調整軍公</w:t>
      </w:r>
      <w:r w:rsidRPr="0005564B">
        <w:rPr>
          <w:rFonts w:hint="eastAsia"/>
        </w:rPr>
        <w:t>教人員以全薪乘以公告比率投保至全薪納保，由91年8月82.42%，</w:t>
      </w:r>
      <w:r w:rsidR="00E01728" w:rsidRPr="0005564B">
        <w:rPr>
          <w:rFonts w:hint="eastAsia"/>
          <w:lang w:eastAsia="zh-HK"/>
        </w:rPr>
        <w:t>分別</w:t>
      </w:r>
      <w:r w:rsidRPr="0005564B">
        <w:rPr>
          <w:rFonts w:hint="eastAsia"/>
        </w:rPr>
        <w:t>於94年4月調整為87.04%，96年8月調整為90.67%，98年10月調整為93.52%，至102年1月調整為實際俸（薪）給總額投保，一年（107年）增</w:t>
      </w:r>
      <w:r w:rsidRPr="0005564B">
        <w:rPr>
          <w:rFonts w:hint="eastAsia"/>
          <w:szCs w:val="32"/>
        </w:rPr>
        <w:t>加</w:t>
      </w:r>
      <w:r w:rsidR="00E01728" w:rsidRPr="0005564B">
        <w:rPr>
          <w:rFonts w:hint="eastAsia"/>
          <w:szCs w:val="32"/>
          <w:lang w:eastAsia="zh-HK"/>
        </w:rPr>
        <w:t>之</w:t>
      </w:r>
      <w:r w:rsidRPr="0005564B">
        <w:rPr>
          <w:rFonts w:hint="eastAsia"/>
          <w:szCs w:val="32"/>
        </w:rPr>
        <w:t>收入約168億元。</w:t>
      </w:r>
    </w:p>
    <w:p w:rsidR="000E42FA" w:rsidRPr="0005564B" w:rsidRDefault="000E42FA" w:rsidP="000E42FA">
      <w:pPr>
        <w:pStyle w:val="4"/>
        <w:numPr>
          <w:ilvl w:val="3"/>
          <w:numId w:val="1"/>
        </w:numPr>
      </w:pPr>
      <w:r w:rsidRPr="0005564B">
        <w:rPr>
          <w:rFonts w:hint="eastAsia"/>
        </w:rPr>
        <w:t>爭取菸品健康福利捐、公益彩券盈餘（含運動彩券）挹注健保安全準備，一年（107年）增加健保收入約154億元。</w:t>
      </w:r>
    </w:p>
    <w:p w:rsidR="000E42FA" w:rsidRPr="0005564B" w:rsidRDefault="000E42FA" w:rsidP="000E42FA">
      <w:pPr>
        <w:pStyle w:val="4"/>
        <w:numPr>
          <w:ilvl w:val="3"/>
          <w:numId w:val="1"/>
        </w:numPr>
      </w:pPr>
      <w:r w:rsidRPr="0005564B">
        <w:rPr>
          <w:rFonts w:hint="eastAsia"/>
        </w:rPr>
        <w:t>102年實施二代健保，擴大費基針對保險對象未列入投保金額之高額獎金、兼職、執行業務、股利、利息、租金等6項所得（收入），以及投保單</w:t>
      </w:r>
      <w:r w:rsidRPr="0005564B">
        <w:rPr>
          <w:rFonts w:hint="eastAsia"/>
        </w:rPr>
        <w:lastRenderedPageBreak/>
        <w:t>位每月支付之薪資所得總額逾其受僱者當月投保金額總額部分計收補充保險費，一年（107年）增加健保收入463億元。</w:t>
      </w:r>
    </w:p>
    <w:p w:rsidR="000E42FA" w:rsidRPr="0005564B" w:rsidRDefault="000E42FA" w:rsidP="0021660B">
      <w:pPr>
        <w:pStyle w:val="3"/>
        <w:numPr>
          <w:ilvl w:val="2"/>
          <w:numId w:val="1"/>
        </w:numPr>
      </w:pPr>
      <w:bookmarkStart w:id="94" w:name="_Toc9058298"/>
      <w:bookmarkStart w:id="95" w:name="_Toc10027535"/>
      <w:bookmarkStart w:id="96" w:name="_Toc10054228"/>
      <w:bookmarkStart w:id="97" w:name="_Toc10066337"/>
      <w:r w:rsidRPr="0005564B">
        <w:rPr>
          <w:rFonts w:hint="eastAsia"/>
        </w:rPr>
        <w:t>在節約醫療資源方面，健保已全面實施總額預算制度，每年度預算金額之擬訂、協定、分配，係依據</w:t>
      </w:r>
      <w:r w:rsidR="00E375A8" w:rsidRPr="0005564B">
        <w:rPr>
          <w:rFonts w:hAnsi="標楷體" w:hint="eastAsia"/>
        </w:rPr>
        <w:t>「</w:t>
      </w:r>
      <w:r w:rsidRPr="0005564B">
        <w:rPr>
          <w:rFonts w:hint="eastAsia"/>
        </w:rPr>
        <w:t>健保法</w:t>
      </w:r>
      <w:r w:rsidR="00E375A8" w:rsidRPr="0005564B">
        <w:rPr>
          <w:rFonts w:hAnsi="標楷體" w:hint="eastAsia"/>
        </w:rPr>
        <w:t>」</w:t>
      </w:r>
      <w:r w:rsidRPr="0005564B">
        <w:rPr>
          <w:rFonts w:hint="eastAsia"/>
        </w:rPr>
        <w:t>第</w:t>
      </w:r>
      <w:r w:rsidRPr="0005564B">
        <w:t>60</w:t>
      </w:r>
      <w:r w:rsidRPr="0005564B">
        <w:rPr>
          <w:rFonts w:hint="eastAsia"/>
        </w:rPr>
        <w:t>、</w:t>
      </w:r>
      <w:r w:rsidRPr="0005564B">
        <w:t>61</w:t>
      </w:r>
      <w:r w:rsidRPr="0005564B">
        <w:rPr>
          <w:rFonts w:hint="eastAsia"/>
        </w:rPr>
        <w:t>條規定辦理，已有效控制醫療費用於預算範圍內</w:t>
      </w:r>
      <w:r w:rsidR="009F6479" w:rsidRPr="0005564B">
        <w:rPr>
          <w:rFonts w:hint="eastAsia"/>
        </w:rPr>
        <w:t>，</w:t>
      </w:r>
      <w:r w:rsidR="009F6479" w:rsidRPr="0005564B">
        <w:rPr>
          <w:rFonts w:hint="eastAsia"/>
          <w:lang w:eastAsia="zh-HK"/>
        </w:rPr>
        <w:t>衛福部於接受本院詢問時即強調</w:t>
      </w:r>
      <w:r w:rsidR="009F6479" w:rsidRPr="0005564B">
        <w:rPr>
          <w:rFonts w:hAnsi="標楷體" w:hint="eastAsia"/>
          <w:szCs w:val="32"/>
        </w:rPr>
        <w:t>控管</w:t>
      </w:r>
      <w:r w:rsidR="009F6479" w:rsidRPr="0005564B">
        <w:rPr>
          <w:rFonts w:hAnsi="標楷體" w:hint="eastAsia"/>
          <w:szCs w:val="32"/>
          <w:lang w:eastAsia="zh-HK"/>
        </w:rPr>
        <w:t>健保支出</w:t>
      </w:r>
      <w:r w:rsidR="009F6479" w:rsidRPr="0005564B">
        <w:rPr>
          <w:rFonts w:hAnsi="標楷體" w:hint="eastAsia"/>
          <w:szCs w:val="32"/>
        </w:rPr>
        <w:t>最有效的</w:t>
      </w:r>
      <w:r w:rsidR="009F6479" w:rsidRPr="0005564B">
        <w:rPr>
          <w:rFonts w:hAnsi="標楷體" w:hint="eastAsia"/>
          <w:szCs w:val="32"/>
          <w:lang w:eastAsia="zh-HK"/>
        </w:rPr>
        <w:t>方案即為</w:t>
      </w:r>
      <w:r w:rsidR="009F6479" w:rsidRPr="0005564B">
        <w:rPr>
          <w:rFonts w:hAnsi="標楷體" w:hint="eastAsia"/>
          <w:szCs w:val="32"/>
        </w:rPr>
        <w:t>總額支付制度。</w:t>
      </w:r>
      <w:r w:rsidRPr="0005564B">
        <w:rPr>
          <w:rFonts w:hint="eastAsia"/>
        </w:rPr>
        <w:t>自91年7月全面實施總額支付制度以來，藉由總額制度有效將</w:t>
      </w:r>
      <w:r w:rsidR="00E375A8" w:rsidRPr="0005564B">
        <w:rPr>
          <w:rFonts w:hint="eastAsia"/>
        </w:rPr>
        <w:t>每年</w:t>
      </w:r>
      <w:r w:rsidRPr="0005564B">
        <w:rPr>
          <w:rFonts w:hint="eastAsia"/>
        </w:rPr>
        <w:t>醫療費用成長率大約控制在5%以下。總額預算下，因醫療資源有限，健保長期推動相關方案，例如：加強偏遠地區服務以提升民眾就醫公平性、加強慢性病照護以提升醫療品質、提升醫療服務效率等。為減少不必要的醫療支出，健保署積極尋求應用資訊科技技術及大數據分析方法，將病患於不同院所之就醫資訊歸戶，提供醫師診療及處方參考，以避免重複處方藥品或檢驗(查)，實施策略及成效說明如下：</w:t>
      </w:r>
      <w:bookmarkEnd w:id="94"/>
      <w:bookmarkEnd w:id="95"/>
      <w:bookmarkEnd w:id="96"/>
      <w:bookmarkEnd w:id="97"/>
    </w:p>
    <w:p w:rsidR="000E42FA" w:rsidRPr="0005564B" w:rsidRDefault="000E42FA" w:rsidP="0021660B">
      <w:pPr>
        <w:pStyle w:val="4"/>
      </w:pPr>
      <w:r w:rsidRPr="0005564B">
        <w:rPr>
          <w:rFonts w:hint="eastAsia"/>
        </w:rPr>
        <w:t>有關</w:t>
      </w:r>
      <w:r w:rsidRPr="0005564B">
        <w:t>「健保雲端藥歷系統」</w:t>
      </w:r>
      <w:r w:rsidRPr="0005564B">
        <w:rPr>
          <w:rFonts w:hint="eastAsia"/>
        </w:rPr>
        <w:t>及「健保醫療資訊雲端查詢系統」</w:t>
      </w:r>
      <w:r w:rsidRPr="0005564B">
        <w:rPr>
          <w:rFonts w:hAnsi="標楷體" w:hint="eastAsia"/>
        </w:rPr>
        <w:t>：</w:t>
      </w:r>
    </w:p>
    <w:p w:rsidR="000E42FA" w:rsidRPr="0005564B" w:rsidRDefault="000E42FA" w:rsidP="0021660B">
      <w:pPr>
        <w:pStyle w:val="5"/>
      </w:pPr>
      <w:r w:rsidRPr="0005564B">
        <w:t>健保累積</w:t>
      </w:r>
      <w:r w:rsidRPr="0005564B">
        <w:rPr>
          <w:rFonts w:hint="eastAsia"/>
        </w:rPr>
        <w:t>近</w:t>
      </w:r>
      <w:r w:rsidRPr="0005564B">
        <w:t>2</w:t>
      </w:r>
      <w:r w:rsidRPr="0005564B">
        <w:rPr>
          <w:rFonts w:hint="eastAsia"/>
        </w:rPr>
        <w:t>5</w:t>
      </w:r>
      <w:r w:rsidRPr="0005564B">
        <w:t>年的健保申報資料，是全國最大的個人資料庫</w:t>
      </w:r>
      <w:r w:rsidRPr="0005564B">
        <w:rPr>
          <w:rFonts w:hint="eastAsia"/>
        </w:rPr>
        <w:t>，因應</w:t>
      </w:r>
      <w:r w:rsidRPr="0005564B">
        <w:t>近年來大數據觀念</w:t>
      </w:r>
      <w:r w:rsidR="00E375A8" w:rsidRPr="0005564B">
        <w:rPr>
          <w:rFonts w:hint="eastAsia"/>
        </w:rPr>
        <w:t>之</w:t>
      </w:r>
      <w:r w:rsidRPr="0005564B">
        <w:t>興起</w:t>
      </w:r>
      <w:r w:rsidR="00E375A8" w:rsidRPr="0005564B">
        <w:rPr>
          <w:rFonts w:hint="eastAsia"/>
        </w:rPr>
        <w:t>和電子化政府政策</w:t>
      </w:r>
      <w:r w:rsidRPr="0005564B">
        <w:rPr>
          <w:rFonts w:hint="eastAsia"/>
        </w:rPr>
        <w:t>，</w:t>
      </w:r>
      <w:r w:rsidRPr="0005564B">
        <w:t>在</w:t>
      </w:r>
      <w:r w:rsidR="00F47799" w:rsidRPr="0005564B">
        <w:t>確保</w:t>
      </w:r>
      <w:r w:rsidRPr="0005564B">
        <w:t>資安下，開始逐步彙整各領域資料，於102年7月建置完成以病人為中心的「健保雲端藥歷系統」，</w:t>
      </w:r>
      <w:r w:rsidRPr="0005564B">
        <w:rPr>
          <w:rFonts w:hint="eastAsia"/>
        </w:rPr>
        <w:t>提供醫事人員因醫療需要可以查詢該病人，以健保身分跨院所就醫資料，</w:t>
      </w:r>
      <w:r w:rsidRPr="0005564B">
        <w:t>減少不必要之醫療資源重複使用。</w:t>
      </w:r>
    </w:p>
    <w:p w:rsidR="000E42FA" w:rsidRPr="0005564B" w:rsidRDefault="000E42FA" w:rsidP="0021660B">
      <w:pPr>
        <w:pStyle w:val="5"/>
      </w:pPr>
      <w:r w:rsidRPr="0005564B">
        <w:rPr>
          <w:rFonts w:hint="eastAsia"/>
        </w:rPr>
        <w:t>「</w:t>
      </w:r>
      <w:r w:rsidRPr="0005564B">
        <w:t>健保雲端藥歷系統</w:t>
      </w:r>
      <w:r w:rsidRPr="0005564B">
        <w:rPr>
          <w:rFonts w:hint="eastAsia"/>
        </w:rPr>
        <w:t>」自</w:t>
      </w:r>
      <w:r w:rsidRPr="0005564B">
        <w:t>105年升級為「健保醫療資訊雲端查詢系統」，</w:t>
      </w:r>
      <w:r w:rsidRPr="0005564B">
        <w:rPr>
          <w:rFonts w:hint="eastAsia"/>
        </w:rPr>
        <w:t>提供線上查詢</w:t>
      </w:r>
      <w:r w:rsidRPr="0005564B">
        <w:t>西醫用藥、中醫用藥、過敏藥物、特定管制藥品用藥、</w:t>
      </w:r>
      <w:r w:rsidRPr="0005564B">
        <w:lastRenderedPageBreak/>
        <w:t>特定凝血因子用藥、檢查檢驗紀錄、檢查檢驗結果、牙科處置及手術、復健醫療、手術紀錄、出院病摘及</w:t>
      </w:r>
      <w:r w:rsidRPr="0005564B">
        <w:rPr>
          <w:rFonts w:hint="eastAsia"/>
        </w:rPr>
        <w:t>疾病管制署之</w:t>
      </w:r>
      <w:r w:rsidRPr="0005564B">
        <w:t>預防接種等12類資訊</w:t>
      </w:r>
      <w:r w:rsidRPr="0005564B">
        <w:rPr>
          <w:rFonts w:hint="eastAsia"/>
        </w:rPr>
        <w:t>；</w:t>
      </w:r>
      <w:r w:rsidRPr="0005564B">
        <w:t>107年</w:t>
      </w:r>
      <w:r w:rsidRPr="0005564B">
        <w:rPr>
          <w:rFonts w:hint="eastAsia"/>
        </w:rPr>
        <w:t>再新增及擴大各項功能，包括</w:t>
      </w:r>
      <w:r w:rsidRPr="0005564B">
        <w:rPr>
          <w:rFonts w:hAnsi="標楷體" w:hint="eastAsia"/>
        </w:rPr>
        <w:t>：</w:t>
      </w:r>
      <w:r w:rsidRPr="0005564B">
        <w:t>新增醫療影像查詢功能</w:t>
      </w:r>
      <w:r w:rsidRPr="0005564B">
        <w:rPr>
          <w:rFonts w:hint="eastAsia"/>
        </w:rPr>
        <w:t>、</w:t>
      </w:r>
      <w:r w:rsidRPr="0005564B">
        <w:t>新增「疑似藥品療效不等」通報功能</w:t>
      </w:r>
      <w:r w:rsidRPr="0005564B">
        <w:rPr>
          <w:rFonts w:hint="eastAsia"/>
        </w:rPr>
        <w:t>、</w:t>
      </w:r>
      <w:r w:rsidRPr="0005564B">
        <w:t>新增「院所上傳影像品質」通報功能</w:t>
      </w:r>
      <w:r w:rsidRPr="0005564B">
        <w:rPr>
          <w:rFonts w:hint="eastAsia"/>
        </w:rPr>
        <w:t>，以及</w:t>
      </w:r>
      <w:r w:rsidRPr="0005564B">
        <w:t>全面推動醫療院所使用跨院重複開立藥品及檢驗（查）醫囑主動提示功能</w:t>
      </w:r>
      <w:r w:rsidRPr="0005564B">
        <w:rPr>
          <w:rFonts w:hint="eastAsia"/>
        </w:rPr>
        <w:t>，有助於落實醫師善用雲端醫療系統資訊以減少醫療的重複浪費</w:t>
      </w:r>
      <w:r w:rsidRPr="0005564B">
        <w:t>。</w:t>
      </w:r>
    </w:p>
    <w:p w:rsidR="000E42FA" w:rsidRPr="0005564B" w:rsidRDefault="000E42FA" w:rsidP="0021660B">
      <w:pPr>
        <w:pStyle w:val="5"/>
      </w:pPr>
      <w:r w:rsidRPr="0005564B">
        <w:rPr>
          <w:rFonts w:hint="eastAsia"/>
        </w:rPr>
        <w:t>「健保醫療資訊雲端</w:t>
      </w:r>
      <w:r w:rsidRPr="0005564B">
        <w:rPr>
          <w:rFonts w:hAnsi="標楷體" w:hint="eastAsia"/>
          <w:kern w:val="28"/>
          <w:szCs w:val="32"/>
        </w:rPr>
        <w:t>查詢</w:t>
      </w:r>
      <w:r w:rsidRPr="0005564B">
        <w:rPr>
          <w:rFonts w:hint="eastAsia"/>
        </w:rPr>
        <w:t>系統」特約醫事機構使用率統計如</w:t>
      </w:r>
      <w:r w:rsidR="0021660B" w:rsidRPr="0005564B">
        <w:rPr>
          <w:rFonts w:hint="eastAsia"/>
        </w:rPr>
        <w:t>下</w:t>
      </w:r>
      <w:r w:rsidRPr="0005564B">
        <w:rPr>
          <w:rFonts w:hint="eastAsia"/>
        </w:rPr>
        <w:t>表</w:t>
      </w:r>
      <w:r w:rsidR="0021660B" w:rsidRPr="0005564B">
        <w:rPr>
          <w:rFonts w:hint="eastAsia"/>
        </w:rPr>
        <w:t>。</w:t>
      </w:r>
    </w:p>
    <w:p w:rsidR="000E42FA" w:rsidRPr="0005564B" w:rsidRDefault="000E42FA" w:rsidP="000E42FA">
      <w:pPr>
        <w:pStyle w:val="a3"/>
        <w:jc w:val="center"/>
        <w:rPr>
          <w:b/>
        </w:rPr>
      </w:pPr>
      <w:r w:rsidRPr="0005564B">
        <w:rPr>
          <w:rFonts w:hint="eastAsia"/>
          <w:b/>
          <w:kern w:val="0"/>
        </w:rPr>
        <w:t>「健保醫療資訊雲端</w:t>
      </w:r>
      <w:r w:rsidRPr="0005564B">
        <w:rPr>
          <w:rFonts w:hAnsi="標楷體" w:hint="eastAsia"/>
          <w:b/>
          <w:szCs w:val="32"/>
        </w:rPr>
        <w:t>查詢</w:t>
      </w:r>
      <w:r w:rsidRPr="0005564B">
        <w:rPr>
          <w:rFonts w:hint="eastAsia"/>
          <w:b/>
          <w:kern w:val="0"/>
        </w:rPr>
        <w:t>系統」特約醫事機構使用率統計表</w:t>
      </w:r>
    </w:p>
    <w:p w:rsidR="000E42FA" w:rsidRPr="0005564B" w:rsidRDefault="0021660B" w:rsidP="000E42FA">
      <w:pPr>
        <w:jc w:val="right"/>
        <w:rPr>
          <w:sz w:val="24"/>
          <w:szCs w:val="24"/>
        </w:rPr>
      </w:pPr>
      <w:r w:rsidRPr="0005564B">
        <w:rPr>
          <w:rFonts w:hint="eastAsia"/>
          <w:sz w:val="24"/>
          <w:szCs w:val="24"/>
        </w:rPr>
        <w:t>單</w:t>
      </w:r>
      <w:r w:rsidRPr="0005564B">
        <w:rPr>
          <w:rFonts w:hAnsi="標楷體" w:hint="eastAsia"/>
          <w:sz w:val="24"/>
          <w:szCs w:val="24"/>
        </w:rPr>
        <w:t>位：家數、%</w:t>
      </w:r>
    </w:p>
    <w:tbl>
      <w:tblPr>
        <w:tblW w:w="8890"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91"/>
        <w:gridCol w:w="2268"/>
        <w:gridCol w:w="2693"/>
        <w:gridCol w:w="2638"/>
      </w:tblGrid>
      <w:tr w:rsidR="0005564B" w:rsidRPr="0005564B" w:rsidTr="00574DD8">
        <w:trPr>
          <w:trHeight w:val="914"/>
        </w:trPr>
        <w:tc>
          <w:tcPr>
            <w:tcW w:w="1291" w:type="dxa"/>
            <w:shd w:val="clear" w:color="auto" w:fill="auto"/>
            <w:vAlign w:val="center"/>
            <w:hideMark/>
          </w:tcPr>
          <w:p w:rsidR="00574DD8" w:rsidRPr="0005564B" w:rsidRDefault="00574DD8" w:rsidP="00DF4EFE">
            <w:pPr>
              <w:widowControl/>
              <w:spacing w:line="260" w:lineRule="exact"/>
              <w:jc w:val="center"/>
              <w:rPr>
                <w:rFonts w:cs="Arial"/>
                <w:b/>
                <w:bCs/>
                <w:kern w:val="0"/>
                <w:sz w:val="24"/>
                <w:szCs w:val="24"/>
              </w:rPr>
            </w:pPr>
            <w:r w:rsidRPr="0005564B">
              <w:rPr>
                <w:rFonts w:cs="Arial"/>
                <w:b/>
                <w:bCs/>
                <w:kern w:val="0"/>
                <w:sz w:val="24"/>
                <w:szCs w:val="24"/>
              </w:rPr>
              <w:t>特約類別</w:t>
            </w:r>
          </w:p>
        </w:tc>
        <w:tc>
          <w:tcPr>
            <w:tcW w:w="2268" w:type="dxa"/>
            <w:shd w:val="clear" w:color="auto" w:fill="auto"/>
            <w:vAlign w:val="center"/>
            <w:hideMark/>
          </w:tcPr>
          <w:p w:rsidR="00574DD8" w:rsidRPr="0005564B" w:rsidRDefault="00574DD8" w:rsidP="00DF4EFE">
            <w:pPr>
              <w:widowControl/>
              <w:spacing w:line="260" w:lineRule="exact"/>
              <w:jc w:val="center"/>
              <w:rPr>
                <w:rFonts w:cs="新細明體"/>
                <w:b/>
                <w:bCs/>
                <w:kern w:val="0"/>
                <w:sz w:val="24"/>
                <w:szCs w:val="24"/>
              </w:rPr>
            </w:pPr>
            <w:r w:rsidRPr="0005564B">
              <w:rPr>
                <w:rFonts w:cs="新細明體" w:hint="eastAsia"/>
                <w:b/>
                <w:bCs/>
                <w:kern w:val="0"/>
                <w:sz w:val="24"/>
                <w:szCs w:val="24"/>
              </w:rPr>
              <w:t>107年健保特約</w:t>
            </w:r>
          </w:p>
          <w:p w:rsidR="00574DD8" w:rsidRPr="0005564B" w:rsidRDefault="00574DD8" w:rsidP="00DF4EFE">
            <w:pPr>
              <w:widowControl/>
              <w:spacing w:line="260" w:lineRule="exact"/>
              <w:jc w:val="center"/>
              <w:rPr>
                <w:rFonts w:cs="新細明體"/>
                <w:b/>
                <w:bCs/>
                <w:kern w:val="0"/>
                <w:sz w:val="24"/>
                <w:szCs w:val="24"/>
              </w:rPr>
            </w:pPr>
            <w:r w:rsidRPr="0005564B">
              <w:rPr>
                <w:rFonts w:cs="新細明體" w:hint="eastAsia"/>
                <w:b/>
                <w:bCs/>
                <w:kern w:val="0"/>
                <w:sz w:val="24"/>
                <w:szCs w:val="24"/>
              </w:rPr>
              <w:t>醫事機構家數</w:t>
            </w:r>
          </w:p>
          <w:p w:rsidR="00574DD8" w:rsidRPr="0005564B" w:rsidRDefault="00574DD8" w:rsidP="00DF4EFE">
            <w:pPr>
              <w:widowControl/>
              <w:spacing w:line="260" w:lineRule="exact"/>
              <w:jc w:val="center"/>
              <w:rPr>
                <w:rFonts w:cs="新細明體"/>
                <w:b/>
                <w:bCs/>
                <w:kern w:val="0"/>
                <w:sz w:val="24"/>
                <w:szCs w:val="24"/>
              </w:rPr>
            </w:pPr>
            <w:r w:rsidRPr="0005564B">
              <w:rPr>
                <w:rFonts w:cs="新細明體" w:hint="eastAsia"/>
                <w:b/>
                <w:bCs/>
                <w:kern w:val="0"/>
                <w:sz w:val="24"/>
                <w:szCs w:val="24"/>
              </w:rPr>
              <w:t>(A)</w:t>
            </w:r>
          </w:p>
        </w:tc>
        <w:tc>
          <w:tcPr>
            <w:tcW w:w="2693" w:type="dxa"/>
            <w:shd w:val="clear" w:color="auto" w:fill="auto"/>
            <w:vAlign w:val="center"/>
            <w:hideMark/>
          </w:tcPr>
          <w:p w:rsidR="00574DD8" w:rsidRPr="0005564B" w:rsidRDefault="00574DD8" w:rsidP="00DF4EFE">
            <w:pPr>
              <w:widowControl/>
              <w:spacing w:line="260" w:lineRule="exact"/>
              <w:jc w:val="center"/>
              <w:rPr>
                <w:rFonts w:cs="新細明體"/>
                <w:b/>
                <w:bCs/>
                <w:kern w:val="0"/>
                <w:sz w:val="24"/>
                <w:szCs w:val="24"/>
              </w:rPr>
            </w:pPr>
            <w:r w:rsidRPr="0005564B">
              <w:rPr>
                <w:rFonts w:cs="新細明體" w:hint="eastAsia"/>
                <w:b/>
                <w:bCs/>
                <w:kern w:val="0"/>
                <w:sz w:val="24"/>
                <w:szCs w:val="24"/>
              </w:rPr>
              <w:t>使用雲端查詢系統</w:t>
            </w:r>
          </w:p>
          <w:p w:rsidR="00574DD8" w:rsidRPr="0005564B" w:rsidRDefault="00574DD8" w:rsidP="00DF4EFE">
            <w:pPr>
              <w:widowControl/>
              <w:spacing w:line="260" w:lineRule="exact"/>
              <w:jc w:val="center"/>
              <w:rPr>
                <w:rFonts w:cs="新細明體"/>
                <w:b/>
                <w:bCs/>
                <w:kern w:val="0"/>
                <w:sz w:val="24"/>
                <w:szCs w:val="24"/>
              </w:rPr>
            </w:pPr>
            <w:r w:rsidRPr="0005564B">
              <w:rPr>
                <w:rFonts w:cs="新細明體" w:hint="eastAsia"/>
                <w:b/>
                <w:bCs/>
                <w:kern w:val="0"/>
                <w:sz w:val="24"/>
                <w:szCs w:val="24"/>
              </w:rPr>
              <w:t>特約醫事機構家數</w:t>
            </w:r>
          </w:p>
          <w:p w:rsidR="00574DD8" w:rsidRPr="0005564B" w:rsidRDefault="00574DD8" w:rsidP="00DF4EFE">
            <w:pPr>
              <w:widowControl/>
              <w:spacing w:line="260" w:lineRule="exact"/>
              <w:jc w:val="center"/>
              <w:rPr>
                <w:rFonts w:cs="新細明體"/>
                <w:b/>
                <w:bCs/>
                <w:kern w:val="0"/>
                <w:sz w:val="24"/>
                <w:szCs w:val="24"/>
              </w:rPr>
            </w:pPr>
            <w:r w:rsidRPr="0005564B">
              <w:rPr>
                <w:rFonts w:cs="新細明體" w:hint="eastAsia"/>
                <w:b/>
                <w:bCs/>
                <w:kern w:val="0"/>
                <w:sz w:val="24"/>
                <w:szCs w:val="24"/>
              </w:rPr>
              <w:t>(B)</w:t>
            </w:r>
          </w:p>
        </w:tc>
        <w:tc>
          <w:tcPr>
            <w:tcW w:w="2638" w:type="dxa"/>
            <w:shd w:val="clear" w:color="auto" w:fill="auto"/>
            <w:vAlign w:val="center"/>
            <w:hideMark/>
          </w:tcPr>
          <w:p w:rsidR="00574DD8" w:rsidRPr="0005564B" w:rsidRDefault="00574DD8" w:rsidP="00DF4EFE">
            <w:pPr>
              <w:widowControl/>
              <w:spacing w:line="260" w:lineRule="exact"/>
              <w:jc w:val="center"/>
              <w:rPr>
                <w:rFonts w:cs="新細明體"/>
                <w:b/>
                <w:bCs/>
                <w:kern w:val="0"/>
                <w:sz w:val="24"/>
                <w:szCs w:val="24"/>
              </w:rPr>
            </w:pPr>
            <w:r w:rsidRPr="0005564B">
              <w:rPr>
                <w:rFonts w:cs="新細明體" w:hint="eastAsia"/>
                <w:b/>
                <w:bCs/>
                <w:kern w:val="0"/>
                <w:sz w:val="24"/>
                <w:szCs w:val="24"/>
              </w:rPr>
              <w:t>使用雲端查詢系統特約醫事機構家數比率</w:t>
            </w:r>
            <w:r w:rsidRPr="0005564B">
              <w:rPr>
                <w:rFonts w:cs="新細明體" w:hint="eastAsia"/>
                <w:b/>
                <w:bCs/>
                <w:kern w:val="0"/>
                <w:sz w:val="24"/>
                <w:szCs w:val="24"/>
              </w:rPr>
              <w:br/>
              <w:t>(C)= (B)/(A)</w:t>
            </w:r>
          </w:p>
        </w:tc>
      </w:tr>
      <w:tr w:rsidR="0005564B" w:rsidRPr="0005564B" w:rsidTr="00F47799">
        <w:trPr>
          <w:trHeight w:val="20"/>
        </w:trPr>
        <w:tc>
          <w:tcPr>
            <w:tcW w:w="1291" w:type="dxa"/>
            <w:shd w:val="clear" w:color="auto" w:fill="auto"/>
            <w:vAlign w:val="center"/>
            <w:hideMark/>
          </w:tcPr>
          <w:p w:rsidR="000E42FA" w:rsidRPr="0005564B" w:rsidRDefault="000E42FA" w:rsidP="004F7DDF">
            <w:pPr>
              <w:widowControl/>
              <w:spacing w:beforeLines="5" w:before="22" w:afterLines="5" w:after="22" w:line="300" w:lineRule="exact"/>
              <w:jc w:val="center"/>
              <w:rPr>
                <w:rFonts w:cs="Arial"/>
                <w:kern w:val="0"/>
                <w:sz w:val="24"/>
                <w:szCs w:val="24"/>
              </w:rPr>
            </w:pPr>
            <w:r w:rsidRPr="0005564B">
              <w:rPr>
                <w:rFonts w:cs="Arial"/>
                <w:kern w:val="0"/>
                <w:sz w:val="24"/>
                <w:szCs w:val="24"/>
              </w:rPr>
              <w:t>醫學中心</w:t>
            </w:r>
          </w:p>
        </w:tc>
        <w:tc>
          <w:tcPr>
            <w:tcW w:w="2268" w:type="dxa"/>
            <w:shd w:val="clear" w:color="auto" w:fill="auto"/>
            <w:vAlign w:val="center"/>
            <w:hideMark/>
          </w:tcPr>
          <w:p w:rsidR="000E42FA" w:rsidRPr="0005564B" w:rsidRDefault="000E42FA" w:rsidP="0033087C">
            <w:pPr>
              <w:spacing w:line="300" w:lineRule="exact"/>
              <w:ind w:rightChars="200" w:right="680"/>
              <w:jc w:val="right"/>
              <w:rPr>
                <w:kern w:val="0"/>
                <w:sz w:val="24"/>
                <w:szCs w:val="24"/>
              </w:rPr>
            </w:pPr>
            <w:r w:rsidRPr="0005564B">
              <w:rPr>
                <w:kern w:val="0"/>
                <w:sz w:val="24"/>
                <w:szCs w:val="24"/>
              </w:rPr>
              <w:t>26</w:t>
            </w:r>
          </w:p>
        </w:tc>
        <w:tc>
          <w:tcPr>
            <w:tcW w:w="2693" w:type="dxa"/>
            <w:shd w:val="clear" w:color="auto" w:fill="auto"/>
            <w:vAlign w:val="center"/>
            <w:hideMark/>
          </w:tcPr>
          <w:p w:rsidR="000E42FA" w:rsidRPr="0005564B" w:rsidRDefault="000E42FA" w:rsidP="0033087C">
            <w:pPr>
              <w:spacing w:line="300" w:lineRule="exact"/>
              <w:ind w:rightChars="250" w:right="850"/>
              <w:jc w:val="right"/>
              <w:rPr>
                <w:kern w:val="0"/>
                <w:sz w:val="24"/>
                <w:szCs w:val="24"/>
              </w:rPr>
            </w:pPr>
            <w:r w:rsidRPr="0005564B">
              <w:rPr>
                <w:kern w:val="0"/>
                <w:sz w:val="24"/>
                <w:szCs w:val="24"/>
              </w:rPr>
              <w:t>26</w:t>
            </w:r>
          </w:p>
        </w:tc>
        <w:tc>
          <w:tcPr>
            <w:tcW w:w="2638" w:type="dxa"/>
            <w:shd w:val="clear" w:color="auto" w:fill="auto"/>
            <w:vAlign w:val="center"/>
            <w:hideMark/>
          </w:tcPr>
          <w:p w:rsidR="000E42FA" w:rsidRPr="0005564B" w:rsidRDefault="000E42FA" w:rsidP="0033087C">
            <w:pPr>
              <w:spacing w:line="300" w:lineRule="exact"/>
              <w:ind w:rightChars="250" w:right="850"/>
              <w:jc w:val="right"/>
              <w:rPr>
                <w:kern w:val="0"/>
                <w:sz w:val="24"/>
                <w:szCs w:val="24"/>
              </w:rPr>
            </w:pPr>
            <w:r w:rsidRPr="0005564B">
              <w:rPr>
                <w:kern w:val="0"/>
                <w:sz w:val="24"/>
                <w:szCs w:val="24"/>
              </w:rPr>
              <w:t>100%</w:t>
            </w:r>
          </w:p>
        </w:tc>
      </w:tr>
      <w:tr w:rsidR="0005564B" w:rsidRPr="0005564B" w:rsidTr="00F47799">
        <w:trPr>
          <w:trHeight w:val="20"/>
        </w:trPr>
        <w:tc>
          <w:tcPr>
            <w:tcW w:w="1291" w:type="dxa"/>
            <w:shd w:val="clear" w:color="auto" w:fill="auto"/>
            <w:vAlign w:val="center"/>
            <w:hideMark/>
          </w:tcPr>
          <w:p w:rsidR="000E42FA" w:rsidRPr="0005564B" w:rsidRDefault="000E42FA" w:rsidP="004F7DDF">
            <w:pPr>
              <w:widowControl/>
              <w:spacing w:beforeLines="5" w:before="22" w:afterLines="5" w:after="22" w:line="300" w:lineRule="exact"/>
              <w:jc w:val="center"/>
              <w:rPr>
                <w:rFonts w:cs="Arial"/>
                <w:kern w:val="0"/>
                <w:sz w:val="24"/>
                <w:szCs w:val="24"/>
              </w:rPr>
            </w:pPr>
            <w:r w:rsidRPr="0005564B">
              <w:rPr>
                <w:rFonts w:cs="Arial"/>
                <w:kern w:val="0"/>
                <w:sz w:val="24"/>
                <w:szCs w:val="24"/>
              </w:rPr>
              <w:t>區域醫院</w:t>
            </w:r>
          </w:p>
        </w:tc>
        <w:tc>
          <w:tcPr>
            <w:tcW w:w="2268" w:type="dxa"/>
            <w:shd w:val="clear" w:color="auto" w:fill="auto"/>
            <w:vAlign w:val="center"/>
            <w:hideMark/>
          </w:tcPr>
          <w:p w:rsidR="000E42FA" w:rsidRPr="0005564B" w:rsidRDefault="000E42FA" w:rsidP="0033087C">
            <w:pPr>
              <w:spacing w:line="300" w:lineRule="exact"/>
              <w:ind w:rightChars="200" w:right="680"/>
              <w:jc w:val="right"/>
              <w:rPr>
                <w:kern w:val="0"/>
                <w:sz w:val="24"/>
                <w:szCs w:val="24"/>
              </w:rPr>
            </w:pPr>
            <w:r w:rsidRPr="0005564B">
              <w:rPr>
                <w:kern w:val="0"/>
                <w:sz w:val="24"/>
                <w:szCs w:val="24"/>
              </w:rPr>
              <w:t>84</w:t>
            </w:r>
          </w:p>
        </w:tc>
        <w:tc>
          <w:tcPr>
            <w:tcW w:w="2693" w:type="dxa"/>
            <w:shd w:val="clear" w:color="auto" w:fill="auto"/>
            <w:vAlign w:val="center"/>
            <w:hideMark/>
          </w:tcPr>
          <w:p w:rsidR="000E42FA" w:rsidRPr="0005564B" w:rsidRDefault="000E42FA" w:rsidP="0033087C">
            <w:pPr>
              <w:spacing w:line="300" w:lineRule="exact"/>
              <w:ind w:rightChars="200" w:right="680"/>
              <w:jc w:val="right"/>
              <w:rPr>
                <w:kern w:val="0"/>
                <w:sz w:val="24"/>
                <w:szCs w:val="24"/>
              </w:rPr>
            </w:pPr>
            <w:r w:rsidRPr="0005564B">
              <w:rPr>
                <w:kern w:val="0"/>
                <w:sz w:val="24"/>
                <w:szCs w:val="24"/>
              </w:rPr>
              <w:t>85</w:t>
            </w:r>
            <w:r w:rsidRPr="0005564B">
              <w:rPr>
                <w:rFonts w:cs="新細明體" w:hint="eastAsia"/>
                <w:kern w:val="0"/>
                <w:sz w:val="24"/>
                <w:szCs w:val="24"/>
                <w:vertAlign w:val="superscript"/>
              </w:rPr>
              <w:t>註</w:t>
            </w:r>
          </w:p>
        </w:tc>
        <w:tc>
          <w:tcPr>
            <w:tcW w:w="2638" w:type="dxa"/>
            <w:shd w:val="clear" w:color="auto" w:fill="auto"/>
            <w:vAlign w:val="center"/>
            <w:hideMark/>
          </w:tcPr>
          <w:p w:rsidR="000E42FA" w:rsidRPr="0005564B" w:rsidRDefault="000E42FA" w:rsidP="0033087C">
            <w:pPr>
              <w:spacing w:line="300" w:lineRule="exact"/>
              <w:ind w:rightChars="250" w:right="850"/>
              <w:jc w:val="right"/>
              <w:rPr>
                <w:kern w:val="0"/>
                <w:sz w:val="24"/>
                <w:szCs w:val="24"/>
              </w:rPr>
            </w:pPr>
            <w:r w:rsidRPr="0005564B">
              <w:rPr>
                <w:kern w:val="0"/>
                <w:sz w:val="24"/>
                <w:szCs w:val="24"/>
              </w:rPr>
              <w:t>100%</w:t>
            </w:r>
          </w:p>
        </w:tc>
      </w:tr>
      <w:tr w:rsidR="0005564B" w:rsidRPr="0005564B" w:rsidTr="00F47799">
        <w:trPr>
          <w:trHeight w:val="20"/>
        </w:trPr>
        <w:tc>
          <w:tcPr>
            <w:tcW w:w="1291" w:type="dxa"/>
            <w:shd w:val="clear" w:color="auto" w:fill="auto"/>
            <w:vAlign w:val="center"/>
            <w:hideMark/>
          </w:tcPr>
          <w:p w:rsidR="000E42FA" w:rsidRPr="0005564B" w:rsidRDefault="000E42FA" w:rsidP="004F7DDF">
            <w:pPr>
              <w:widowControl/>
              <w:spacing w:beforeLines="5" w:before="22" w:afterLines="5" w:after="22" w:line="300" w:lineRule="exact"/>
              <w:jc w:val="center"/>
              <w:rPr>
                <w:rFonts w:cs="Arial"/>
                <w:kern w:val="0"/>
                <w:sz w:val="24"/>
                <w:szCs w:val="24"/>
              </w:rPr>
            </w:pPr>
            <w:r w:rsidRPr="0005564B">
              <w:rPr>
                <w:rFonts w:cs="Arial"/>
                <w:kern w:val="0"/>
                <w:sz w:val="24"/>
                <w:szCs w:val="24"/>
              </w:rPr>
              <w:t>地區醫院</w:t>
            </w:r>
          </w:p>
        </w:tc>
        <w:tc>
          <w:tcPr>
            <w:tcW w:w="2268" w:type="dxa"/>
            <w:shd w:val="clear" w:color="auto" w:fill="auto"/>
            <w:vAlign w:val="center"/>
            <w:hideMark/>
          </w:tcPr>
          <w:p w:rsidR="000E42FA" w:rsidRPr="0005564B" w:rsidRDefault="000E42FA" w:rsidP="0033087C">
            <w:pPr>
              <w:spacing w:line="300" w:lineRule="exact"/>
              <w:ind w:rightChars="200" w:right="680"/>
              <w:jc w:val="right"/>
              <w:rPr>
                <w:kern w:val="0"/>
                <w:sz w:val="24"/>
                <w:szCs w:val="24"/>
              </w:rPr>
            </w:pPr>
            <w:r w:rsidRPr="0005564B">
              <w:rPr>
                <w:kern w:val="0"/>
                <w:sz w:val="24"/>
                <w:szCs w:val="24"/>
              </w:rPr>
              <w:t>363</w:t>
            </w:r>
          </w:p>
        </w:tc>
        <w:tc>
          <w:tcPr>
            <w:tcW w:w="2693" w:type="dxa"/>
            <w:shd w:val="clear" w:color="auto" w:fill="auto"/>
            <w:vAlign w:val="center"/>
            <w:hideMark/>
          </w:tcPr>
          <w:p w:rsidR="000E42FA" w:rsidRPr="0005564B" w:rsidRDefault="000E42FA" w:rsidP="0033087C">
            <w:pPr>
              <w:spacing w:line="300" w:lineRule="exact"/>
              <w:ind w:rightChars="200" w:right="680"/>
              <w:jc w:val="right"/>
              <w:rPr>
                <w:kern w:val="0"/>
                <w:sz w:val="24"/>
                <w:szCs w:val="24"/>
              </w:rPr>
            </w:pPr>
            <w:r w:rsidRPr="0005564B">
              <w:rPr>
                <w:kern w:val="0"/>
                <w:sz w:val="24"/>
                <w:szCs w:val="24"/>
              </w:rPr>
              <w:t>367</w:t>
            </w:r>
            <w:r w:rsidRPr="0005564B">
              <w:rPr>
                <w:rFonts w:cs="新細明體" w:hint="eastAsia"/>
                <w:kern w:val="0"/>
                <w:sz w:val="24"/>
                <w:szCs w:val="24"/>
                <w:vertAlign w:val="superscript"/>
              </w:rPr>
              <w:t>註</w:t>
            </w:r>
          </w:p>
        </w:tc>
        <w:tc>
          <w:tcPr>
            <w:tcW w:w="2638" w:type="dxa"/>
            <w:shd w:val="clear" w:color="auto" w:fill="auto"/>
            <w:vAlign w:val="center"/>
            <w:hideMark/>
          </w:tcPr>
          <w:p w:rsidR="000E42FA" w:rsidRPr="0005564B" w:rsidRDefault="000E42FA" w:rsidP="0033087C">
            <w:pPr>
              <w:spacing w:line="300" w:lineRule="exact"/>
              <w:ind w:rightChars="250" w:right="850"/>
              <w:jc w:val="right"/>
              <w:rPr>
                <w:kern w:val="0"/>
                <w:sz w:val="24"/>
                <w:szCs w:val="24"/>
              </w:rPr>
            </w:pPr>
            <w:r w:rsidRPr="0005564B">
              <w:rPr>
                <w:kern w:val="0"/>
                <w:sz w:val="24"/>
                <w:szCs w:val="24"/>
              </w:rPr>
              <w:t>100%</w:t>
            </w:r>
          </w:p>
        </w:tc>
      </w:tr>
      <w:tr w:rsidR="0005564B" w:rsidRPr="0005564B" w:rsidTr="00F47799">
        <w:trPr>
          <w:trHeight w:val="20"/>
        </w:trPr>
        <w:tc>
          <w:tcPr>
            <w:tcW w:w="1291" w:type="dxa"/>
            <w:shd w:val="clear" w:color="auto" w:fill="auto"/>
            <w:vAlign w:val="center"/>
            <w:hideMark/>
          </w:tcPr>
          <w:p w:rsidR="000E42FA" w:rsidRPr="0005564B" w:rsidRDefault="000E42FA" w:rsidP="004F7DDF">
            <w:pPr>
              <w:widowControl/>
              <w:spacing w:beforeLines="5" w:before="22" w:afterLines="5" w:after="22" w:line="300" w:lineRule="exact"/>
              <w:jc w:val="center"/>
              <w:rPr>
                <w:rFonts w:cs="新細明體"/>
                <w:kern w:val="0"/>
                <w:sz w:val="24"/>
                <w:szCs w:val="24"/>
              </w:rPr>
            </w:pPr>
            <w:r w:rsidRPr="0005564B">
              <w:rPr>
                <w:rFonts w:cs="新細明體" w:hint="eastAsia"/>
                <w:kern w:val="0"/>
                <w:sz w:val="24"/>
                <w:szCs w:val="24"/>
              </w:rPr>
              <w:t>西醫診所</w:t>
            </w:r>
          </w:p>
        </w:tc>
        <w:tc>
          <w:tcPr>
            <w:tcW w:w="2268" w:type="dxa"/>
            <w:shd w:val="clear" w:color="auto" w:fill="auto"/>
            <w:vAlign w:val="center"/>
            <w:hideMark/>
          </w:tcPr>
          <w:p w:rsidR="000E42FA" w:rsidRPr="0005564B" w:rsidRDefault="000E42FA" w:rsidP="0033087C">
            <w:pPr>
              <w:spacing w:line="300" w:lineRule="exact"/>
              <w:ind w:rightChars="200" w:right="680"/>
              <w:jc w:val="right"/>
              <w:rPr>
                <w:kern w:val="0"/>
                <w:sz w:val="24"/>
                <w:szCs w:val="24"/>
              </w:rPr>
            </w:pPr>
            <w:r w:rsidRPr="0005564B">
              <w:rPr>
                <w:kern w:val="0"/>
                <w:sz w:val="24"/>
                <w:szCs w:val="24"/>
              </w:rPr>
              <w:t>10,430</w:t>
            </w:r>
          </w:p>
        </w:tc>
        <w:tc>
          <w:tcPr>
            <w:tcW w:w="2693" w:type="dxa"/>
            <w:shd w:val="clear" w:color="auto" w:fill="auto"/>
            <w:vAlign w:val="center"/>
            <w:hideMark/>
          </w:tcPr>
          <w:p w:rsidR="000E42FA" w:rsidRPr="0005564B" w:rsidRDefault="000E42FA" w:rsidP="0033087C">
            <w:pPr>
              <w:spacing w:line="300" w:lineRule="exact"/>
              <w:ind w:rightChars="250" w:right="850"/>
              <w:jc w:val="right"/>
              <w:rPr>
                <w:kern w:val="0"/>
                <w:sz w:val="24"/>
                <w:szCs w:val="24"/>
              </w:rPr>
            </w:pPr>
            <w:r w:rsidRPr="0005564B">
              <w:rPr>
                <w:kern w:val="0"/>
                <w:sz w:val="24"/>
                <w:szCs w:val="24"/>
              </w:rPr>
              <w:t>10,158</w:t>
            </w:r>
          </w:p>
        </w:tc>
        <w:tc>
          <w:tcPr>
            <w:tcW w:w="2638" w:type="dxa"/>
            <w:shd w:val="clear" w:color="auto" w:fill="auto"/>
            <w:vAlign w:val="center"/>
            <w:hideMark/>
          </w:tcPr>
          <w:p w:rsidR="000E42FA" w:rsidRPr="0005564B" w:rsidRDefault="000E42FA" w:rsidP="0033087C">
            <w:pPr>
              <w:spacing w:line="300" w:lineRule="exact"/>
              <w:ind w:rightChars="250" w:right="850"/>
              <w:jc w:val="right"/>
              <w:rPr>
                <w:kern w:val="0"/>
                <w:sz w:val="24"/>
                <w:szCs w:val="24"/>
              </w:rPr>
            </w:pPr>
            <w:r w:rsidRPr="0005564B">
              <w:rPr>
                <w:kern w:val="0"/>
                <w:sz w:val="24"/>
                <w:szCs w:val="24"/>
              </w:rPr>
              <w:t>97%</w:t>
            </w:r>
          </w:p>
        </w:tc>
      </w:tr>
      <w:tr w:rsidR="0005564B" w:rsidRPr="0005564B" w:rsidTr="00F47799">
        <w:trPr>
          <w:trHeight w:val="20"/>
        </w:trPr>
        <w:tc>
          <w:tcPr>
            <w:tcW w:w="1291" w:type="dxa"/>
            <w:shd w:val="clear" w:color="auto" w:fill="auto"/>
            <w:vAlign w:val="center"/>
            <w:hideMark/>
          </w:tcPr>
          <w:p w:rsidR="000E42FA" w:rsidRPr="0005564B" w:rsidRDefault="000E42FA" w:rsidP="004F7DDF">
            <w:pPr>
              <w:widowControl/>
              <w:spacing w:beforeLines="5" w:before="22" w:afterLines="5" w:after="22" w:line="300" w:lineRule="exact"/>
              <w:jc w:val="center"/>
              <w:rPr>
                <w:rFonts w:cs="新細明體"/>
                <w:kern w:val="0"/>
                <w:sz w:val="24"/>
                <w:szCs w:val="24"/>
              </w:rPr>
            </w:pPr>
            <w:r w:rsidRPr="0005564B">
              <w:rPr>
                <w:rFonts w:cs="新細明體" w:hint="eastAsia"/>
                <w:kern w:val="0"/>
                <w:sz w:val="24"/>
                <w:szCs w:val="24"/>
              </w:rPr>
              <w:t>中醫診所</w:t>
            </w:r>
          </w:p>
        </w:tc>
        <w:tc>
          <w:tcPr>
            <w:tcW w:w="2268" w:type="dxa"/>
            <w:shd w:val="clear" w:color="auto" w:fill="auto"/>
            <w:vAlign w:val="center"/>
            <w:hideMark/>
          </w:tcPr>
          <w:p w:rsidR="000E42FA" w:rsidRPr="0005564B" w:rsidRDefault="000E42FA" w:rsidP="0033087C">
            <w:pPr>
              <w:spacing w:line="300" w:lineRule="exact"/>
              <w:ind w:rightChars="200" w:right="680"/>
              <w:jc w:val="right"/>
              <w:rPr>
                <w:kern w:val="0"/>
                <w:sz w:val="24"/>
                <w:szCs w:val="24"/>
              </w:rPr>
            </w:pPr>
            <w:r w:rsidRPr="0005564B">
              <w:rPr>
                <w:kern w:val="0"/>
                <w:sz w:val="24"/>
                <w:szCs w:val="24"/>
              </w:rPr>
              <w:t>3,661</w:t>
            </w:r>
          </w:p>
        </w:tc>
        <w:tc>
          <w:tcPr>
            <w:tcW w:w="2693" w:type="dxa"/>
            <w:shd w:val="clear" w:color="auto" w:fill="auto"/>
            <w:vAlign w:val="center"/>
            <w:hideMark/>
          </w:tcPr>
          <w:p w:rsidR="000E42FA" w:rsidRPr="0005564B" w:rsidRDefault="000E42FA" w:rsidP="0033087C">
            <w:pPr>
              <w:spacing w:line="300" w:lineRule="exact"/>
              <w:ind w:rightChars="250" w:right="850"/>
              <w:jc w:val="right"/>
              <w:rPr>
                <w:kern w:val="0"/>
                <w:sz w:val="24"/>
                <w:szCs w:val="24"/>
              </w:rPr>
            </w:pPr>
            <w:r w:rsidRPr="0005564B">
              <w:rPr>
                <w:kern w:val="0"/>
                <w:sz w:val="24"/>
                <w:szCs w:val="24"/>
              </w:rPr>
              <w:t>3,017</w:t>
            </w:r>
          </w:p>
        </w:tc>
        <w:tc>
          <w:tcPr>
            <w:tcW w:w="2638" w:type="dxa"/>
            <w:shd w:val="clear" w:color="auto" w:fill="auto"/>
            <w:vAlign w:val="center"/>
            <w:hideMark/>
          </w:tcPr>
          <w:p w:rsidR="000E42FA" w:rsidRPr="0005564B" w:rsidRDefault="000E42FA" w:rsidP="0033087C">
            <w:pPr>
              <w:spacing w:line="300" w:lineRule="exact"/>
              <w:ind w:rightChars="250" w:right="850"/>
              <w:jc w:val="right"/>
              <w:rPr>
                <w:kern w:val="0"/>
                <w:sz w:val="24"/>
                <w:szCs w:val="24"/>
              </w:rPr>
            </w:pPr>
            <w:r w:rsidRPr="0005564B">
              <w:rPr>
                <w:kern w:val="0"/>
                <w:sz w:val="24"/>
                <w:szCs w:val="24"/>
              </w:rPr>
              <w:t>82%</w:t>
            </w:r>
          </w:p>
        </w:tc>
      </w:tr>
      <w:tr w:rsidR="0005564B" w:rsidRPr="0005564B" w:rsidTr="00F47799">
        <w:trPr>
          <w:trHeight w:val="20"/>
        </w:trPr>
        <w:tc>
          <w:tcPr>
            <w:tcW w:w="1291" w:type="dxa"/>
            <w:shd w:val="clear" w:color="auto" w:fill="auto"/>
            <w:vAlign w:val="center"/>
            <w:hideMark/>
          </w:tcPr>
          <w:p w:rsidR="000E42FA" w:rsidRPr="0005564B" w:rsidRDefault="000E42FA" w:rsidP="004F7DDF">
            <w:pPr>
              <w:widowControl/>
              <w:spacing w:beforeLines="5" w:before="22" w:afterLines="5" w:after="22" w:line="300" w:lineRule="exact"/>
              <w:jc w:val="center"/>
              <w:rPr>
                <w:rFonts w:cs="新細明體"/>
                <w:kern w:val="0"/>
                <w:sz w:val="24"/>
                <w:szCs w:val="24"/>
              </w:rPr>
            </w:pPr>
            <w:r w:rsidRPr="0005564B">
              <w:rPr>
                <w:rFonts w:cs="新細明體" w:hint="eastAsia"/>
                <w:kern w:val="0"/>
                <w:sz w:val="24"/>
                <w:szCs w:val="24"/>
              </w:rPr>
              <w:t>牙醫診所</w:t>
            </w:r>
          </w:p>
        </w:tc>
        <w:tc>
          <w:tcPr>
            <w:tcW w:w="2268" w:type="dxa"/>
            <w:shd w:val="clear" w:color="auto" w:fill="auto"/>
            <w:vAlign w:val="center"/>
            <w:hideMark/>
          </w:tcPr>
          <w:p w:rsidR="000E42FA" w:rsidRPr="0005564B" w:rsidRDefault="000E42FA" w:rsidP="0033087C">
            <w:pPr>
              <w:spacing w:line="300" w:lineRule="exact"/>
              <w:ind w:rightChars="200" w:right="680"/>
              <w:jc w:val="right"/>
              <w:rPr>
                <w:kern w:val="0"/>
                <w:sz w:val="24"/>
                <w:szCs w:val="24"/>
              </w:rPr>
            </w:pPr>
            <w:r w:rsidRPr="0005564B">
              <w:rPr>
                <w:kern w:val="0"/>
                <w:sz w:val="24"/>
                <w:szCs w:val="24"/>
              </w:rPr>
              <w:t>6,723</w:t>
            </w:r>
          </w:p>
        </w:tc>
        <w:tc>
          <w:tcPr>
            <w:tcW w:w="2693" w:type="dxa"/>
            <w:shd w:val="clear" w:color="auto" w:fill="auto"/>
            <w:vAlign w:val="center"/>
            <w:hideMark/>
          </w:tcPr>
          <w:p w:rsidR="000E42FA" w:rsidRPr="0005564B" w:rsidRDefault="000E42FA" w:rsidP="0033087C">
            <w:pPr>
              <w:spacing w:line="300" w:lineRule="exact"/>
              <w:ind w:rightChars="250" w:right="850"/>
              <w:jc w:val="right"/>
              <w:rPr>
                <w:kern w:val="0"/>
                <w:sz w:val="24"/>
                <w:szCs w:val="24"/>
              </w:rPr>
            </w:pPr>
            <w:r w:rsidRPr="0005564B">
              <w:rPr>
                <w:kern w:val="0"/>
                <w:sz w:val="24"/>
                <w:szCs w:val="24"/>
              </w:rPr>
              <w:t>6,188</w:t>
            </w:r>
          </w:p>
        </w:tc>
        <w:tc>
          <w:tcPr>
            <w:tcW w:w="2638" w:type="dxa"/>
            <w:shd w:val="clear" w:color="auto" w:fill="auto"/>
            <w:vAlign w:val="center"/>
            <w:hideMark/>
          </w:tcPr>
          <w:p w:rsidR="000E42FA" w:rsidRPr="0005564B" w:rsidRDefault="000E42FA" w:rsidP="0033087C">
            <w:pPr>
              <w:spacing w:line="300" w:lineRule="exact"/>
              <w:ind w:rightChars="250" w:right="850"/>
              <w:jc w:val="right"/>
              <w:rPr>
                <w:kern w:val="0"/>
                <w:sz w:val="24"/>
                <w:szCs w:val="24"/>
              </w:rPr>
            </w:pPr>
            <w:r w:rsidRPr="0005564B">
              <w:rPr>
                <w:kern w:val="0"/>
                <w:sz w:val="24"/>
                <w:szCs w:val="24"/>
              </w:rPr>
              <w:t>92%</w:t>
            </w:r>
          </w:p>
        </w:tc>
      </w:tr>
      <w:tr w:rsidR="0005564B" w:rsidRPr="0005564B" w:rsidTr="00F47799">
        <w:trPr>
          <w:trHeight w:val="20"/>
        </w:trPr>
        <w:tc>
          <w:tcPr>
            <w:tcW w:w="1291" w:type="dxa"/>
            <w:shd w:val="clear" w:color="auto" w:fill="auto"/>
            <w:vAlign w:val="center"/>
            <w:hideMark/>
          </w:tcPr>
          <w:p w:rsidR="000E42FA" w:rsidRPr="0005564B" w:rsidRDefault="000E42FA" w:rsidP="004F7DDF">
            <w:pPr>
              <w:widowControl/>
              <w:spacing w:beforeLines="5" w:before="22" w:afterLines="5" w:after="22" w:line="300" w:lineRule="exact"/>
              <w:jc w:val="center"/>
              <w:rPr>
                <w:rFonts w:cs="Arial"/>
                <w:kern w:val="0"/>
                <w:sz w:val="24"/>
                <w:szCs w:val="24"/>
              </w:rPr>
            </w:pPr>
            <w:r w:rsidRPr="0005564B">
              <w:rPr>
                <w:rFonts w:cs="Arial"/>
                <w:kern w:val="0"/>
                <w:sz w:val="24"/>
                <w:szCs w:val="24"/>
              </w:rPr>
              <w:t>特約藥局</w:t>
            </w:r>
          </w:p>
        </w:tc>
        <w:tc>
          <w:tcPr>
            <w:tcW w:w="2268" w:type="dxa"/>
            <w:shd w:val="clear" w:color="auto" w:fill="auto"/>
            <w:vAlign w:val="center"/>
            <w:hideMark/>
          </w:tcPr>
          <w:p w:rsidR="000E42FA" w:rsidRPr="0005564B" w:rsidRDefault="000E42FA" w:rsidP="0033087C">
            <w:pPr>
              <w:spacing w:line="300" w:lineRule="exact"/>
              <w:ind w:rightChars="200" w:right="680"/>
              <w:jc w:val="right"/>
              <w:rPr>
                <w:kern w:val="0"/>
                <w:sz w:val="24"/>
                <w:szCs w:val="24"/>
              </w:rPr>
            </w:pPr>
            <w:r w:rsidRPr="0005564B">
              <w:rPr>
                <w:kern w:val="0"/>
                <w:sz w:val="24"/>
                <w:szCs w:val="24"/>
              </w:rPr>
              <w:t>6,350</w:t>
            </w:r>
          </w:p>
        </w:tc>
        <w:tc>
          <w:tcPr>
            <w:tcW w:w="2693" w:type="dxa"/>
            <w:shd w:val="clear" w:color="auto" w:fill="auto"/>
            <w:vAlign w:val="center"/>
            <w:hideMark/>
          </w:tcPr>
          <w:p w:rsidR="000E42FA" w:rsidRPr="0005564B" w:rsidRDefault="000E42FA" w:rsidP="0033087C">
            <w:pPr>
              <w:spacing w:line="300" w:lineRule="exact"/>
              <w:ind w:rightChars="250" w:right="850"/>
              <w:jc w:val="right"/>
              <w:rPr>
                <w:kern w:val="0"/>
                <w:sz w:val="24"/>
                <w:szCs w:val="24"/>
              </w:rPr>
            </w:pPr>
            <w:r w:rsidRPr="0005564B">
              <w:rPr>
                <w:kern w:val="0"/>
                <w:sz w:val="24"/>
                <w:szCs w:val="24"/>
              </w:rPr>
              <w:t>5,920</w:t>
            </w:r>
          </w:p>
        </w:tc>
        <w:tc>
          <w:tcPr>
            <w:tcW w:w="2638" w:type="dxa"/>
            <w:shd w:val="clear" w:color="auto" w:fill="auto"/>
            <w:vAlign w:val="center"/>
            <w:hideMark/>
          </w:tcPr>
          <w:p w:rsidR="000E42FA" w:rsidRPr="0005564B" w:rsidRDefault="000E42FA" w:rsidP="0033087C">
            <w:pPr>
              <w:spacing w:line="300" w:lineRule="exact"/>
              <w:ind w:rightChars="250" w:right="850"/>
              <w:jc w:val="right"/>
              <w:rPr>
                <w:kern w:val="0"/>
                <w:sz w:val="24"/>
                <w:szCs w:val="24"/>
              </w:rPr>
            </w:pPr>
            <w:r w:rsidRPr="0005564B">
              <w:rPr>
                <w:kern w:val="0"/>
                <w:sz w:val="24"/>
                <w:szCs w:val="24"/>
              </w:rPr>
              <w:t>93%</w:t>
            </w:r>
          </w:p>
        </w:tc>
      </w:tr>
      <w:tr w:rsidR="0005564B" w:rsidRPr="0005564B" w:rsidTr="00F47799">
        <w:trPr>
          <w:trHeight w:val="20"/>
        </w:trPr>
        <w:tc>
          <w:tcPr>
            <w:tcW w:w="1291" w:type="dxa"/>
            <w:shd w:val="clear" w:color="auto" w:fill="auto"/>
            <w:vAlign w:val="center"/>
            <w:hideMark/>
          </w:tcPr>
          <w:p w:rsidR="000E42FA" w:rsidRPr="0005564B" w:rsidRDefault="000E42FA" w:rsidP="004F7DDF">
            <w:pPr>
              <w:widowControl/>
              <w:spacing w:beforeLines="15" w:before="68" w:afterLines="15" w:after="68" w:line="300" w:lineRule="exact"/>
              <w:jc w:val="center"/>
              <w:rPr>
                <w:rFonts w:cs="Arial"/>
                <w:kern w:val="0"/>
                <w:sz w:val="24"/>
                <w:szCs w:val="24"/>
              </w:rPr>
            </w:pPr>
            <w:r w:rsidRPr="0005564B">
              <w:rPr>
                <w:rFonts w:cs="Arial" w:hint="eastAsia"/>
                <w:kern w:val="0"/>
                <w:sz w:val="24"/>
                <w:szCs w:val="24"/>
              </w:rPr>
              <w:t>總計</w:t>
            </w:r>
          </w:p>
        </w:tc>
        <w:tc>
          <w:tcPr>
            <w:tcW w:w="2268" w:type="dxa"/>
            <w:shd w:val="clear" w:color="auto" w:fill="auto"/>
            <w:vAlign w:val="center"/>
            <w:hideMark/>
          </w:tcPr>
          <w:p w:rsidR="000E42FA" w:rsidRPr="0005564B" w:rsidRDefault="000E42FA" w:rsidP="0033087C">
            <w:pPr>
              <w:spacing w:line="300" w:lineRule="exact"/>
              <w:ind w:rightChars="200" w:right="680"/>
              <w:jc w:val="right"/>
              <w:rPr>
                <w:rFonts w:cs="Arial"/>
                <w:kern w:val="0"/>
                <w:sz w:val="24"/>
                <w:szCs w:val="24"/>
              </w:rPr>
            </w:pPr>
            <w:r w:rsidRPr="0005564B">
              <w:rPr>
                <w:rFonts w:cs="Arial"/>
                <w:kern w:val="0"/>
                <w:sz w:val="24"/>
                <w:szCs w:val="24"/>
              </w:rPr>
              <w:t>27,637</w:t>
            </w:r>
          </w:p>
        </w:tc>
        <w:tc>
          <w:tcPr>
            <w:tcW w:w="2693" w:type="dxa"/>
            <w:shd w:val="clear" w:color="auto" w:fill="auto"/>
            <w:vAlign w:val="center"/>
            <w:hideMark/>
          </w:tcPr>
          <w:p w:rsidR="000E42FA" w:rsidRPr="0005564B" w:rsidRDefault="000E42FA" w:rsidP="0033087C">
            <w:pPr>
              <w:spacing w:line="300" w:lineRule="exact"/>
              <w:ind w:rightChars="250" w:right="850"/>
              <w:jc w:val="right"/>
              <w:rPr>
                <w:rFonts w:cs="Arial"/>
                <w:kern w:val="0"/>
                <w:sz w:val="24"/>
                <w:szCs w:val="24"/>
              </w:rPr>
            </w:pPr>
            <w:r w:rsidRPr="0005564B">
              <w:rPr>
                <w:rFonts w:cs="Arial"/>
                <w:kern w:val="0"/>
                <w:sz w:val="24"/>
                <w:szCs w:val="24"/>
              </w:rPr>
              <w:t>25,761</w:t>
            </w:r>
          </w:p>
        </w:tc>
        <w:tc>
          <w:tcPr>
            <w:tcW w:w="2638" w:type="dxa"/>
            <w:shd w:val="clear" w:color="auto" w:fill="auto"/>
            <w:vAlign w:val="center"/>
            <w:hideMark/>
          </w:tcPr>
          <w:p w:rsidR="000E42FA" w:rsidRPr="0005564B" w:rsidRDefault="000E42FA" w:rsidP="0033087C">
            <w:pPr>
              <w:spacing w:line="300" w:lineRule="exact"/>
              <w:ind w:rightChars="250" w:right="850"/>
              <w:jc w:val="right"/>
              <w:rPr>
                <w:rFonts w:cs="Arial"/>
                <w:kern w:val="0"/>
                <w:sz w:val="24"/>
                <w:szCs w:val="24"/>
              </w:rPr>
            </w:pPr>
            <w:r w:rsidRPr="0005564B">
              <w:rPr>
                <w:rFonts w:cs="Arial"/>
                <w:kern w:val="0"/>
                <w:sz w:val="24"/>
                <w:szCs w:val="24"/>
              </w:rPr>
              <w:t>93%</w:t>
            </w:r>
          </w:p>
        </w:tc>
      </w:tr>
    </w:tbl>
    <w:p w:rsidR="00202E90" w:rsidRPr="0005564B" w:rsidRDefault="00202E90" w:rsidP="00202E90">
      <w:pPr>
        <w:spacing w:line="320" w:lineRule="exact"/>
        <w:ind w:left="502" w:hangingChars="193" w:hanging="502"/>
        <w:rPr>
          <w:rFonts w:cs="新細明體"/>
          <w:kern w:val="0"/>
          <w:sz w:val="24"/>
          <w:szCs w:val="24"/>
        </w:rPr>
      </w:pPr>
      <w:r w:rsidRPr="0005564B">
        <w:rPr>
          <w:rFonts w:cs="新細明體" w:hint="eastAsia"/>
          <w:kern w:val="0"/>
          <w:sz w:val="24"/>
          <w:szCs w:val="24"/>
        </w:rPr>
        <w:t>註：有使用健保醫療資訊雲端查詢系統但停止健保特約醫事機構亦列入計算。</w:t>
      </w:r>
    </w:p>
    <w:p w:rsidR="000E42FA" w:rsidRPr="0005564B" w:rsidRDefault="00BD28C3" w:rsidP="000E42FA">
      <w:pPr>
        <w:spacing w:line="320" w:lineRule="exact"/>
        <w:ind w:left="921" w:hangingChars="354" w:hanging="921"/>
        <w:rPr>
          <w:rFonts w:cs="新細明體"/>
          <w:kern w:val="0"/>
          <w:sz w:val="24"/>
          <w:szCs w:val="24"/>
        </w:rPr>
      </w:pPr>
      <w:r w:rsidRPr="0005564B">
        <w:rPr>
          <w:rFonts w:cs="新細明體" w:hint="eastAsia"/>
          <w:kern w:val="0"/>
          <w:sz w:val="24"/>
          <w:szCs w:val="24"/>
        </w:rPr>
        <w:t>資料來源：衛福部。</w:t>
      </w:r>
    </w:p>
    <w:p w:rsidR="00574DD8" w:rsidRPr="0005564B" w:rsidRDefault="00574DD8" w:rsidP="000E42FA">
      <w:pPr>
        <w:spacing w:line="320" w:lineRule="exact"/>
        <w:ind w:left="921" w:hangingChars="354" w:hanging="921"/>
        <w:rPr>
          <w:rFonts w:cs="新細明體"/>
          <w:kern w:val="0"/>
          <w:sz w:val="24"/>
          <w:szCs w:val="24"/>
        </w:rPr>
      </w:pPr>
    </w:p>
    <w:p w:rsidR="000E42FA" w:rsidRPr="0005564B" w:rsidRDefault="000E42FA" w:rsidP="0021660B">
      <w:pPr>
        <w:pStyle w:val="4"/>
      </w:pPr>
      <w:r w:rsidRPr="0005564B">
        <w:rPr>
          <w:rFonts w:hint="eastAsia"/>
        </w:rPr>
        <w:t>減少重複用藥部分：</w:t>
      </w:r>
    </w:p>
    <w:p w:rsidR="000E42FA" w:rsidRPr="0005564B" w:rsidRDefault="000E42FA" w:rsidP="0021660B">
      <w:pPr>
        <w:pStyle w:val="5"/>
        <w:rPr>
          <w:rFonts w:hAnsi="標楷體"/>
        </w:rPr>
      </w:pPr>
      <w:r w:rsidRPr="0005564B">
        <w:rPr>
          <w:rFonts w:hint="eastAsia"/>
        </w:rPr>
        <w:t>107年資料顯示，86.5%的病人在就醫或領藥時，均有透過醫事人員查詢</w:t>
      </w:r>
      <w:r w:rsidRPr="0005564B">
        <w:t>「健保醫療資訊雲端查詢系統」</w:t>
      </w:r>
      <w:r w:rsidRPr="0005564B">
        <w:rPr>
          <w:rFonts w:hint="eastAsia"/>
        </w:rPr>
        <w:t>。以降血壓、降血脂、抗思覺失調症、抗憂鬱症、降血糖及安眠鎮靜類等六大類</w:t>
      </w:r>
      <w:r w:rsidRPr="0005564B">
        <w:rPr>
          <w:rFonts w:hint="eastAsia"/>
        </w:rPr>
        <w:lastRenderedPageBreak/>
        <w:t>藥品為例，經統計103年至106年用藥日數重疊率(以查詢藥歷門診病人之六類藥品的給藥日數為分母，以該病人跨院勾稽同藥理不同處方之開始用藥日期與結束用藥日期間有重疊之給藥日數為分子)與前一年同期比較減少之藥費，103年減少0.5億元、104年減少1.5億元、105年減少1.0億元、106年減少0.4億元，合計減少3.4億元；已達</w:t>
      </w:r>
      <w:r w:rsidR="000E5868" w:rsidRPr="0005564B">
        <w:rPr>
          <w:rFonts w:hint="eastAsia"/>
        </w:rPr>
        <w:t>成減少重複用藥</w:t>
      </w:r>
      <w:r w:rsidR="00FD0470" w:rsidRPr="0005564B">
        <w:rPr>
          <w:rFonts w:hint="eastAsia"/>
        </w:rPr>
        <w:t>目的</w:t>
      </w:r>
      <w:r w:rsidRPr="0005564B">
        <w:rPr>
          <w:rFonts w:hint="eastAsia"/>
        </w:rPr>
        <w:t>。</w:t>
      </w:r>
    </w:p>
    <w:p w:rsidR="000E42FA" w:rsidRPr="0005564B" w:rsidRDefault="000E42FA" w:rsidP="0021660B">
      <w:pPr>
        <w:pStyle w:val="5"/>
      </w:pPr>
      <w:r w:rsidRPr="0005564B">
        <w:rPr>
          <w:rFonts w:hint="eastAsia"/>
        </w:rPr>
        <w:t>自</w:t>
      </w:r>
      <w:r w:rsidRPr="0005564B">
        <w:t>107</w:t>
      </w:r>
      <w:r w:rsidRPr="0005564B">
        <w:rPr>
          <w:rFonts w:hint="eastAsia"/>
        </w:rPr>
        <w:t>年起針對重點藥品及</w:t>
      </w:r>
      <w:r w:rsidRPr="0005564B">
        <w:t>20</w:t>
      </w:r>
      <w:r w:rsidRPr="0005564B">
        <w:rPr>
          <w:rFonts w:hint="eastAsia"/>
        </w:rPr>
        <w:t>大類檢驗</w:t>
      </w:r>
      <w:r w:rsidRPr="0005564B">
        <w:t>(</w:t>
      </w:r>
      <w:r w:rsidRPr="0005564B">
        <w:rPr>
          <w:rFonts w:hint="eastAsia"/>
        </w:rPr>
        <w:t>查</w:t>
      </w:r>
      <w:r w:rsidRPr="0005564B">
        <w:t>)</w:t>
      </w:r>
      <w:r w:rsidRPr="0005564B">
        <w:rPr>
          <w:rFonts w:hint="eastAsia"/>
        </w:rPr>
        <w:t>執行情形高於同儕之醫療院所按月資訊回饋，供其自我管理；並針對異常案件，進行立意專業審查，於</w:t>
      </w:r>
      <w:r w:rsidRPr="0005564B">
        <w:t>108</w:t>
      </w:r>
      <w:r w:rsidRPr="0005564B">
        <w:rPr>
          <w:rFonts w:hint="eastAsia"/>
        </w:rPr>
        <w:t>年</w:t>
      </w:r>
      <w:r w:rsidRPr="0005564B">
        <w:t>1</w:t>
      </w:r>
      <w:r w:rsidRPr="0005564B">
        <w:rPr>
          <w:rFonts w:hint="eastAsia"/>
        </w:rPr>
        <w:t>月也擴大實施</w:t>
      </w:r>
      <w:r w:rsidRPr="0005564B">
        <w:t>60</w:t>
      </w:r>
      <w:r w:rsidRPr="0005564B">
        <w:rPr>
          <w:rFonts w:hint="eastAsia"/>
        </w:rPr>
        <w:t>類重複用藥管理方案。經管理後初步統計，</w:t>
      </w:r>
      <w:r w:rsidRPr="0005564B">
        <w:t>20</w:t>
      </w:r>
      <w:r w:rsidRPr="0005564B">
        <w:rPr>
          <w:rFonts w:hint="eastAsia"/>
        </w:rPr>
        <w:t>大類檢驗</w:t>
      </w:r>
      <w:r w:rsidRPr="0005564B">
        <w:t>(</w:t>
      </w:r>
      <w:r w:rsidRPr="0005564B">
        <w:rPr>
          <w:rFonts w:hint="eastAsia"/>
        </w:rPr>
        <w:t>查</w:t>
      </w:r>
      <w:r w:rsidRPr="0005564B">
        <w:t>)</w:t>
      </w:r>
      <w:r w:rsidRPr="0005564B">
        <w:rPr>
          <w:rFonts w:hint="eastAsia"/>
        </w:rPr>
        <w:t>於</w:t>
      </w:r>
      <w:r w:rsidRPr="0005564B">
        <w:t>107</w:t>
      </w:r>
      <w:r w:rsidRPr="0005564B">
        <w:rPr>
          <w:rFonts w:hint="eastAsia"/>
        </w:rPr>
        <w:t>年上半年較去年同期成長率為</w:t>
      </w:r>
      <w:r w:rsidRPr="0005564B">
        <w:t>4.0%</w:t>
      </w:r>
      <w:r w:rsidRPr="0005564B">
        <w:rPr>
          <w:rFonts w:hint="eastAsia"/>
        </w:rPr>
        <w:t>，與</w:t>
      </w:r>
      <w:r w:rsidRPr="0005564B">
        <w:t>106</w:t>
      </w:r>
      <w:r w:rsidRPr="0005564B">
        <w:rPr>
          <w:rFonts w:hint="eastAsia"/>
        </w:rPr>
        <w:t>年上半年成長率</w:t>
      </w:r>
      <w:r w:rsidRPr="0005564B">
        <w:t>7%</w:t>
      </w:r>
      <w:r w:rsidRPr="0005564B">
        <w:rPr>
          <w:rFonts w:hint="eastAsia"/>
        </w:rPr>
        <w:t>比較已收管理成效。而</w:t>
      </w:r>
      <w:r w:rsidRPr="0005564B">
        <w:t>80/20</w:t>
      </w:r>
      <w:r w:rsidRPr="0005564B">
        <w:rPr>
          <w:rFonts w:hint="eastAsia"/>
        </w:rPr>
        <w:t>藥費管理</w:t>
      </w:r>
      <w:r w:rsidR="007A5B0D" w:rsidRPr="0005564B">
        <w:rPr>
          <w:rFonts w:hint="eastAsia"/>
        </w:rPr>
        <w:t>部分，統計近3</w:t>
      </w:r>
      <w:r w:rsidRPr="0005564B">
        <w:rPr>
          <w:rFonts w:hint="eastAsia"/>
        </w:rPr>
        <w:t>年（</w:t>
      </w:r>
      <w:r w:rsidRPr="0005564B">
        <w:t>105</w:t>
      </w:r>
      <w:r w:rsidRPr="0005564B">
        <w:rPr>
          <w:rFonts w:hint="eastAsia"/>
        </w:rPr>
        <w:t>至</w:t>
      </w:r>
      <w:r w:rsidRPr="0005564B">
        <w:t>107</w:t>
      </w:r>
      <w:r w:rsidRPr="0005564B">
        <w:rPr>
          <w:rFonts w:hint="eastAsia"/>
        </w:rPr>
        <w:t>年）上半年門診校正藥費成長率，與去年同期相比，成長率分別為</w:t>
      </w:r>
      <w:r w:rsidRPr="0005564B">
        <w:t>7.84%</w:t>
      </w:r>
      <w:r w:rsidRPr="0005564B">
        <w:rPr>
          <w:rFonts w:hint="eastAsia"/>
        </w:rPr>
        <w:t>、</w:t>
      </w:r>
      <w:r w:rsidRPr="0005564B">
        <w:t>14.11%</w:t>
      </w:r>
      <w:r w:rsidRPr="0005564B">
        <w:rPr>
          <w:rFonts w:hint="eastAsia"/>
        </w:rPr>
        <w:t>、</w:t>
      </w:r>
      <w:r w:rsidRPr="0005564B">
        <w:t>1.19%</w:t>
      </w:r>
      <w:r w:rsidRPr="0005564B">
        <w:rPr>
          <w:rFonts w:hint="eastAsia"/>
        </w:rPr>
        <w:t>，顯示重點管理藥品於</w:t>
      </w:r>
      <w:r w:rsidRPr="0005564B">
        <w:t>107</w:t>
      </w:r>
      <w:r w:rsidRPr="0005564B">
        <w:rPr>
          <w:rFonts w:hint="eastAsia"/>
        </w:rPr>
        <w:t>年申報成長趨緩；另重複用藥管理方案以</w:t>
      </w:r>
      <w:r w:rsidR="007A5B0D" w:rsidRPr="0005564B">
        <w:rPr>
          <w:rFonts w:hAnsi="標楷體" w:hint="eastAsia"/>
        </w:rPr>
        <w:t>以</w:t>
      </w:r>
      <w:r w:rsidR="007A5B0D" w:rsidRPr="0005564B">
        <w:rPr>
          <w:rFonts w:hAnsi="標楷體"/>
        </w:rPr>
        <w:t>107</w:t>
      </w:r>
      <w:r w:rsidR="007A5B0D" w:rsidRPr="0005564B">
        <w:rPr>
          <w:rFonts w:hAnsi="標楷體" w:hint="eastAsia"/>
        </w:rPr>
        <w:t>年第4季資料預估，每年可以減少重複之藥費</w:t>
      </w:r>
      <w:r w:rsidR="007A5B0D" w:rsidRPr="0005564B">
        <w:rPr>
          <w:rFonts w:hAnsi="標楷體"/>
        </w:rPr>
        <w:t>2.2</w:t>
      </w:r>
      <w:r w:rsidR="007A5B0D" w:rsidRPr="0005564B">
        <w:rPr>
          <w:rFonts w:hAnsi="標楷體" w:hint="eastAsia"/>
        </w:rPr>
        <w:t>億元</w:t>
      </w:r>
      <w:r w:rsidRPr="0005564B">
        <w:rPr>
          <w:rFonts w:hint="eastAsia"/>
        </w:rPr>
        <w:t>。</w:t>
      </w:r>
    </w:p>
    <w:p w:rsidR="000E42FA" w:rsidRPr="0005564B" w:rsidRDefault="000E42FA" w:rsidP="0021660B">
      <w:pPr>
        <w:pStyle w:val="5"/>
      </w:pPr>
      <w:r w:rsidRPr="0005564B">
        <w:rPr>
          <w:rFonts w:hint="eastAsia"/>
        </w:rPr>
        <w:t>另106年10月起再加強管理抗血栓、前列腺肥大、抗癲癇、心臟疾病、緩瀉劑及痛風治療等6類藥品，截至107年其用藥日數重疊率降幅亦達16%。</w:t>
      </w:r>
    </w:p>
    <w:p w:rsidR="000E42FA" w:rsidRPr="0005564B" w:rsidRDefault="000E42FA" w:rsidP="0021660B">
      <w:pPr>
        <w:pStyle w:val="5"/>
      </w:pPr>
      <w:r w:rsidRPr="0005564B">
        <w:rPr>
          <w:rFonts w:hint="eastAsia"/>
        </w:rPr>
        <w:t>自108年1月起，再將重複用藥風險較高或較多之藥品，如免疫製劑、支氣管阻塞劑、抗病毒藥物、抗組織胺、胃腸道用藥與制酸劑等納入加強管理範圍，重點管理藥品約占門診藥費7成。</w:t>
      </w:r>
    </w:p>
    <w:p w:rsidR="000E42FA" w:rsidRPr="0005564B" w:rsidRDefault="000E42FA" w:rsidP="0021660B">
      <w:pPr>
        <w:pStyle w:val="4"/>
      </w:pPr>
      <w:r w:rsidRPr="0005564B">
        <w:rPr>
          <w:rFonts w:hint="eastAsia"/>
        </w:rPr>
        <w:lastRenderedPageBreak/>
        <w:t>減少檢驗檢查部分：</w:t>
      </w:r>
    </w:p>
    <w:p w:rsidR="000E42FA" w:rsidRPr="0005564B" w:rsidRDefault="000E42FA" w:rsidP="0021660B">
      <w:pPr>
        <w:pStyle w:val="5"/>
      </w:pPr>
      <w:r w:rsidRPr="0005564B">
        <w:rPr>
          <w:rFonts w:hint="eastAsia"/>
        </w:rPr>
        <w:t>健保署自106年第3季起，按月提供醫療院所病人跨院門診28日內再次執行統計暨院所及醫師門診執行率統計資料，供醫師處方參考，並透過健保雲端查詢平台，以避免不必要的電腦斷層掃描（Computed Tomography，下稱CT）及核磁共振造影（Magnetic Resonance Imaging，下稱，MRI）檢查，估計每月節省健保3,500萬點CT及MRI檢查費用及病患139萬元複製影像費用。</w:t>
      </w:r>
    </w:p>
    <w:p w:rsidR="000E42FA" w:rsidRPr="0005564B" w:rsidRDefault="000E42FA" w:rsidP="0021660B">
      <w:pPr>
        <w:pStyle w:val="5"/>
      </w:pPr>
      <w:r w:rsidRPr="0005564B">
        <w:rPr>
          <w:rFonts w:hint="eastAsia"/>
        </w:rPr>
        <w:t>自107年9月輔導未調閱病人已做檢查之影像或報告卻逕自開立檢查單之情形，截至107年12月底其案件量</w:t>
      </w:r>
      <w:r w:rsidR="00FD0470" w:rsidRPr="0005564B">
        <w:rPr>
          <w:rFonts w:hint="eastAsia"/>
        </w:rPr>
        <w:t>已</w:t>
      </w:r>
      <w:r w:rsidRPr="0005564B">
        <w:rPr>
          <w:rFonts w:hint="eastAsia"/>
        </w:rPr>
        <w:t>由808件降至346件。</w:t>
      </w:r>
    </w:p>
    <w:p w:rsidR="000E42FA" w:rsidRPr="0005564B" w:rsidRDefault="000E42FA" w:rsidP="0021660B">
      <w:pPr>
        <w:pStyle w:val="5"/>
      </w:pPr>
      <w:r w:rsidRPr="0005564B">
        <w:rPr>
          <w:rFonts w:hint="eastAsia"/>
        </w:rPr>
        <w:t>運用大數據分析配合立意抽審，提升整體審查成效：健保署自102年發展篩異平台以針對疑似異常案件抽樣專審，目前建置超過100</w:t>
      </w:r>
      <w:r w:rsidR="00984061" w:rsidRPr="0005564B">
        <w:rPr>
          <w:rFonts w:hint="eastAsia"/>
        </w:rPr>
        <w:t>項</w:t>
      </w:r>
      <w:r w:rsidRPr="0005564B">
        <w:rPr>
          <w:rFonts w:hint="eastAsia"/>
        </w:rPr>
        <w:t>指標進行管理，統計106年共核減醫療費用1.6億點、</w:t>
      </w:r>
      <w:r w:rsidR="007A5B0D" w:rsidRPr="0005564B">
        <w:rPr>
          <w:rFonts w:hint="eastAsia"/>
          <w:szCs w:val="32"/>
        </w:rPr>
        <w:t>107年共核減醫療費用近2億點。</w:t>
      </w:r>
    </w:p>
    <w:p w:rsidR="0033087C" w:rsidRPr="0005564B" w:rsidRDefault="00984061" w:rsidP="00984061">
      <w:pPr>
        <w:pStyle w:val="a3"/>
        <w:jc w:val="center"/>
        <w:rPr>
          <w:b/>
        </w:rPr>
      </w:pPr>
      <w:r w:rsidRPr="0005564B">
        <w:rPr>
          <w:rFonts w:hint="eastAsia"/>
          <w:b/>
        </w:rPr>
        <w:t>健保署避免重複處方藥品或檢驗(查)實施策略及成效</w:t>
      </w:r>
    </w:p>
    <w:tbl>
      <w:tblPr>
        <w:tblStyle w:val="af6"/>
        <w:tblW w:w="5000" w:type="pct"/>
        <w:tblLook w:val="04A0" w:firstRow="1" w:lastRow="0" w:firstColumn="1" w:lastColumn="0" w:noHBand="0" w:noVBand="1"/>
      </w:tblPr>
      <w:tblGrid>
        <w:gridCol w:w="4417"/>
        <w:gridCol w:w="4417"/>
      </w:tblGrid>
      <w:tr w:rsidR="0005564B" w:rsidRPr="0005564B" w:rsidTr="004F7DDF">
        <w:trPr>
          <w:trHeight w:val="582"/>
          <w:tblHeader/>
        </w:trPr>
        <w:tc>
          <w:tcPr>
            <w:tcW w:w="2500" w:type="pct"/>
            <w:vAlign w:val="center"/>
          </w:tcPr>
          <w:p w:rsidR="00A47C08" w:rsidRPr="0005564B" w:rsidRDefault="00984061" w:rsidP="004F7DDF">
            <w:pPr>
              <w:pStyle w:val="5"/>
              <w:numPr>
                <w:ilvl w:val="0"/>
                <w:numId w:val="0"/>
              </w:numPr>
              <w:jc w:val="center"/>
              <w:rPr>
                <w:b/>
                <w:sz w:val="28"/>
                <w:szCs w:val="28"/>
              </w:rPr>
            </w:pPr>
            <w:r w:rsidRPr="0005564B">
              <w:rPr>
                <w:rFonts w:hint="eastAsia"/>
                <w:b/>
                <w:sz w:val="28"/>
                <w:szCs w:val="28"/>
              </w:rPr>
              <w:t>實施策略及</w:t>
            </w:r>
            <w:r w:rsidR="00A47C08" w:rsidRPr="0005564B">
              <w:rPr>
                <w:rFonts w:hint="eastAsia"/>
                <w:b/>
                <w:sz w:val="28"/>
                <w:szCs w:val="28"/>
              </w:rPr>
              <w:t>措施</w:t>
            </w:r>
          </w:p>
        </w:tc>
        <w:tc>
          <w:tcPr>
            <w:tcW w:w="2500" w:type="pct"/>
            <w:vAlign w:val="center"/>
          </w:tcPr>
          <w:p w:rsidR="00A47C08" w:rsidRPr="0005564B" w:rsidRDefault="00984061" w:rsidP="004F7DDF">
            <w:pPr>
              <w:pStyle w:val="5"/>
              <w:numPr>
                <w:ilvl w:val="0"/>
                <w:numId w:val="0"/>
              </w:numPr>
              <w:jc w:val="center"/>
              <w:rPr>
                <w:b/>
                <w:sz w:val="28"/>
                <w:szCs w:val="28"/>
              </w:rPr>
            </w:pPr>
            <w:r w:rsidRPr="0005564B">
              <w:rPr>
                <w:rFonts w:hint="eastAsia"/>
                <w:b/>
                <w:sz w:val="28"/>
                <w:szCs w:val="28"/>
              </w:rPr>
              <w:t>實施成效</w:t>
            </w:r>
          </w:p>
        </w:tc>
      </w:tr>
      <w:tr w:rsidR="0005564B" w:rsidRPr="0005564B" w:rsidTr="004F7DDF">
        <w:trPr>
          <w:trHeight w:val="560"/>
        </w:trPr>
        <w:tc>
          <w:tcPr>
            <w:tcW w:w="5000" w:type="pct"/>
            <w:gridSpan w:val="2"/>
            <w:vAlign w:val="center"/>
          </w:tcPr>
          <w:p w:rsidR="00984061" w:rsidRPr="0005564B" w:rsidRDefault="00984061" w:rsidP="004F7DDF">
            <w:pPr>
              <w:pStyle w:val="5"/>
              <w:numPr>
                <w:ilvl w:val="0"/>
                <w:numId w:val="0"/>
              </w:numPr>
              <w:rPr>
                <w:b/>
                <w:sz w:val="28"/>
                <w:szCs w:val="28"/>
              </w:rPr>
            </w:pPr>
            <w:r w:rsidRPr="0005564B">
              <w:rPr>
                <w:rFonts w:hint="eastAsia"/>
                <w:b/>
                <w:sz w:val="28"/>
                <w:szCs w:val="28"/>
              </w:rPr>
              <w:t>減少重複用藥部分：</w:t>
            </w:r>
          </w:p>
        </w:tc>
      </w:tr>
      <w:tr w:rsidR="0005564B" w:rsidRPr="0005564B" w:rsidTr="0033087C">
        <w:tc>
          <w:tcPr>
            <w:tcW w:w="2500" w:type="pct"/>
          </w:tcPr>
          <w:p w:rsidR="0033087C" w:rsidRPr="0005564B" w:rsidRDefault="0033087C" w:rsidP="003B110E">
            <w:pPr>
              <w:pStyle w:val="5"/>
              <w:numPr>
                <w:ilvl w:val="0"/>
                <w:numId w:val="34"/>
              </w:numPr>
              <w:spacing w:line="300" w:lineRule="exact"/>
              <w:rPr>
                <w:sz w:val="26"/>
                <w:szCs w:val="26"/>
              </w:rPr>
            </w:pPr>
            <w:r w:rsidRPr="0005564B">
              <w:rPr>
                <w:rFonts w:hint="eastAsia"/>
                <w:sz w:val="26"/>
                <w:szCs w:val="26"/>
              </w:rPr>
              <w:t>107年資料顯示，86.5%的病人在就醫或領藥時，均有透過醫事人員查詢</w:t>
            </w:r>
            <w:r w:rsidRPr="0005564B">
              <w:rPr>
                <w:sz w:val="26"/>
                <w:szCs w:val="26"/>
              </w:rPr>
              <w:t>「健保醫療資訊雲端查詢系統」</w:t>
            </w:r>
            <w:r w:rsidRPr="0005564B">
              <w:rPr>
                <w:rFonts w:hint="eastAsia"/>
                <w:sz w:val="26"/>
                <w:szCs w:val="26"/>
              </w:rPr>
              <w:t>。</w:t>
            </w:r>
          </w:p>
        </w:tc>
        <w:tc>
          <w:tcPr>
            <w:tcW w:w="2500" w:type="pct"/>
          </w:tcPr>
          <w:p w:rsidR="0033087C" w:rsidRPr="0005564B" w:rsidRDefault="0033087C" w:rsidP="003B110E">
            <w:pPr>
              <w:pStyle w:val="5"/>
              <w:numPr>
                <w:ilvl w:val="0"/>
                <w:numId w:val="0"/>
              </w:numPr>
              <w:spacing w:line="300" w:lineRule="exact"/>
              <w:rPr>
                <w:sz w:val="26"/>
                <w:szCs w:val="26"/>
              </w:rPr>
            </w:pPr>
            <w:r w:rsidRPr="0005564B">
              <w:rPr>
                <w:rFonts w:hint="eastAsia"/>
                <w:sz w:val="26"/>
                <w:szCs w:val="26"/>
              </w:rPr>
              <w:t>以降血壓、降血脂、抗思覺失調症、抗憂鬱症、降血糖及安眠鎮靜類等六大類藥品為例，經統計103年至106年用藥日數重疊率與前一年同期比較減少之藥費，103年減少0.5億元、104年減少1.5億元、105年減少1.0億元、106年減少0.4億元，合計減少3.4億元；爰確定已達成減少重複用藥目的。</w:t>
            </w:r>
          </w:p>
        </w:tc>
      </w:tr>
      <w:tr w:rsidR="0005564B" w:rsidRPr="0005564B" w:rsidTr="0033087C">
        <w:tc>
          <w:tcPr>
            <w:tcW w:w="2500" w:type="pct"/>
          </w:tcPr>
          <w:p w:rsidR="0033087C" w:rsidRPr="0005564B" w:rsidRDefault="00A47C08" w:rsidP="003B110E">
            <w:pPr>
              <w:pStyle w:val="5"/>
              <w:numPr>
                <w:ilvl w:val="0"/>
                <w:numId w:val="34"/>
              </w:numPr>
              <w:spacing w:line="300" w:lineRule="exact"/>
              <w:rPr>
                <w:sz w:val="26"/>
                <w:szCs w:val="26"/>
              </w:rPr>
            </w:pPr>
            <w:r w:rsidRPr="0005564B">
              <w:rPr>
                <w:rFonts w:hint="eastAsia"/>
                <w:sz w:val="26"/>
                <w:szCs w:val="26"/>
              </w:rPr>
              <w:t>自</w:t>
            </w:r>
            <w:r w:rsidRPr="0005564B">
              <w:rPr>
                <w:sz w:val="26"/>
                <w:szCs w:val="26"/>
              </w:rPr>
              <w:t>107</w:t>
            </w:r>
            <w:r w:rsidRPr="0005564B">
              <w:rPr>
                <w:rFonts w:hint="eastAsia"/>
                <w:sz w:val="26"/>
                <w:szCs w:val="26"/>
              </w:rPr>
              <w:t>年起針對重點藥品及</w:t>
            </w:r>
            <w:r w:rsidRPr="0005564B">
              <w:rPr>
                <w:sz w:val="26"/>
                <w:szCs w:val="26"/>
              </w:rPr>
              <w:t>20</w:t>
            </w:r>
            <w:r w:rsidRPr="0005564B">
              <w:rPr>
                <w:rFonts w:hint="eastAsia"/>
                <w:sz w:val="26"/>
                <w:szCs w:val="26"/>
              </w:rPr>
              <w:t>大類檢驗</w:t>
            </w:r>
            <w:r w:rsidRPr="0005564B">
              <w:rPr>
                <w:sz w:val="26"/>
                <w:szCs w:val="26"/>
              </w:rPr>
              <w:t>(</w:t>
            </w:r>
            <w:r w:rsidRPr="0005564B">
              <w:rPr>
                <w:rFonts w:hint="eastAsia"/>
                <w:sz w:val="26"/>
                <w:szCs w:val="26"/>
              </w:rPr>
              <w:t>查</w:t>
            </w:r>
            <w:r w:rsidRPr="0005564B">
              <w:rPr>
                <w:sz w:val="26"/>
                <w:szCs w:val="26"/>
              </w:rPr>
              <w:t>)</w:t>
            </w:r>
            <w:r w:rsidRPr="0005564B">
              <w:rPr>
                <w:rFonts w:hint="eastAsia"/>
                <w:sz w:val="26"/>
                <w:szCs w:val="26"/>
              </w:rPr>
              <w:t>執行情形高於同儕之醫療院所按月資訊回饋，</w:t>
            </w:r>
            <w:r w:rsidRPr="0005564B">
              <w:rPr>
                <w:rFonts w:hint="eastAsia"/>
                <w:sz w:val="26"/>
                <w:szCs w:val="26"/>
              </w:rPr>
              <w:lastRenderedPageBreak/>
              <w:t>供其自我管理；並針對異常案件，進行立意專業審查，於</w:t>
            </w:r>
            <w:r w:rsidRPr="0005564B">
              <w:rPr>
                <w:sz w:val="26"/>
                <w:szCs w:val="26"/>
              </w:rPr>
              <w:t>108</w:t>
            </w:r>
            <w:r w:rsidRPr="0005564B">
              <w:rPr>
                <w:rFonts w:hint="eastAsia"/>
                <w:sz w:val="26"/>
                <w:szCs w:val="26"/>
              </w:rPr>
              <w:t>年</w:t>
            </w:r>
            <w:r w:rsidRPr="0005564B">
              <w:rPr>
                <w:sz w:val="26"/>
                <w:szCs w:val="26"/>
              </w:rPr>
              <w:t>1</w:t>
            </w:r>
            <w:r w:rsidRPr="0005564B">
              <w:rPr>
                <w:rFonts w:hint="eastAsia"/>
                <w:sz w:val="26"/>
                <w:szCs w:val="26"/>
              </w:rPr>
              <w:t>月也擴大實施</w:t>
            </w:r>
            <w:r w:rsidRPr="0005564B">
              <w:rPr>
                <w:sz w:val="26"/>
                <w:szCs w:val="26"/>
              </w:rPr>
              <w:t>60</w:t>
            </w:r>
            <w:r w:rsidRPr="0005564B">
              <w:rPr>
                <w:rFonts w:hint="eastAsia"/>
                <w:sz w:val="26"/>
                <w:szCs w:val="26"/>
              </w:rPr>
              <w:t>類重複用藥管理方案。</w:t>
            </w:r>
          </w:p>
        </w:tc>
        <w:tc>
          <w:tcPr>
            <w:tcW w:w="2500" w:type="pct"/>
          </w:tcPr>
          <w:p w:rsidR="0033087C" w:rsidRPr="0005564B" w:rsidRDefault="00A47C08" w:rsidP="003B110E">
            <w:pPr>
              <w:pStyle w:val="5"/>
              <w:numPr>
                <w:ilvl w:val="0"/>
                <w:numId w:val="0"/>
              </w:numPr>
              <w:spacing w:line="300" w:lineRule="exact"/>
              <w:rPr>
                <w:sz w:val="26"/>
                <w:szCs w:val="26"/>
              </w:rPr>
            </w:pPr>
            <w:r w:rsidRPr="0005564B">
              <w:rPr>
                <w:rFonts w:hint="eastAsia"/>
                <w:sz w:val="26"/>
                <w:szCs w:val="26"/>
              </w:rPr>
              <w:lastRenderedPageBreak/>
              <w:t>經管理後初步統計，</w:t>
            </w:r>
            <w:r w:rsidRPr="0005564B">
              <w:rPr>
                <w:sz w:val="26"/>
                <w:szCs w:val="26"/>
              </w:rPr>
              <w:t>20</w:t>
            </w:r>
            <w:r w:rsidRPr="0005564B">
              <w:rPr>
                <w:rFonts w:hint="eastAsia"/>
                <w:sz w:val="26"/>
                <w:szCs w:val="26"/>
              </w:rPr>
              <w:t>大類檢驗</w:t>
            </w:r>
            <w:r w:rsidRPr="0005564B">
              <w:rPr>
                <w:sz w:val="26"/>
                <w:szCs w:val="26"/>
              </w:rPr>
              <w:t>(</w:t>
            </w:r>
            <w:r w:rsidRPr="0005564B">
              <w:rPr>
                <w:rFonts w:hint="eastAsia"/>
                <w:sz w:val="26"/>
                <w:szCs w:val="26"/>
              </w:rPr>
              <w:t>查</w:t>
            </w:r>
            <w:r w:rsidRPr="0005564B">
              <w:rPr>
                <w:sz w:val="26"/>
                <w:szCs w:val="26"/>
              </w:rPr>
              <w:t>)</w:t>
            </w:r>
            <w:r w:rsidRPr="0005564B">
              <w:rPr>
                <w:rFonts w:hint="eastAsia"/>
                <w:sz w:val="26"/>
                <w:szCs w:val="26"/>
              </w:rPr>
              <w:t>於</w:t>
            </w:r>
            <w:r w:rsidRPr="0005564B">
              <w:rPr>
                <w:sz w:val="26"/>
                <w:szCs w:val="26"/>
              </w:rPr>
              <w:t>107</w:t>
            </w:r>
            <w:r w:rsidRPr="0005564B">
              <w:rPr>
                <w:rFonts w:hint="eastAsia"/>
                <w:sz w:val="26"/>
                <w:szCs w:val="26"/>
              </w:rPr>
              <w:t>年上半年較去年同期成長率為</w:t>
            </w:r>
            <w:r w:rsidRPr="0005564B">
              <w:rPr>
                <w:sz w:val="26"/>
                <w:szCs w:val="26"/>
              </w:rPr>
              <w:t>4.0%</w:t>
            </w:r>
            <w:r w:rsidRPr="0005564B">
              <w:rPr>
                <w:rFonts w:hint="eastAsia"/>
                <w:sz w:val="26"/>
                <w:szCs w:val="26"/>
              </w:rPr>
              <w:t>，與</w:t>
            </w:r>
            <w:r w:rsidRPr="0005564B">
              <w:rPr>
                <w:sz w:val="26"/>
                <w:szCs w:val="26"/>
              </w:rPr>
              <w:t>106</w:t>
            </w:r>
            <w:r w:rsidRPr="0005564B">
              <w:rPr>
                <w:rFonts w:hint="eastAsia"/>
                <w:sz w:val="26"/>
                <w:szCs w:val="26"/>
              </w:rPr>
              <w:t>年上半年成長</w:t>
            </w:r>
            <w:r w:rsidRPr="0005564B">
              <w:rPr>
                <w:rFonts w:hint="eastAsia"/>
                <w:sz w:val="26"/>
                <w:szCs w:val="26"/>
              </w:rPr>
              <w:lastRenderedPageBreak/>
              <w:t>率</w:t>
            </w:r>
            <w:r w:rsidRPr="0005564B">
              <w:rPr>
                <w:sz w:val="26"/>
                <w:szCs w:val="26"/>
              </w:rPr>
              <w:t>7%</w:t>
            </w:r>
            <w:r w:rsidRPr="0005564B">
              <w:rPr>
                <w:rFonts w:hint="eastAsia"/>
                <w:sz w:val="26"/>
                <w:szCs w:val="26"/>
              </w:rPr>
              <w:t>比較已收管理成效。而</w:t>
            </w:r>
            <w:r w:rsidRPr="0005564B">
              <w:rPr>
                <w:sz w:val="26"/>
                <w:szCs w:val="26"/>
              </w:rPr>
              <w:t>80/20</w:t>
            </w:r>
            <w:r w:rsidRPr="0005564B">
              <w:rPr>
                <w:rFonts w:hint="eastAsia"/>
                <w:sz w:val="26"/>
                <w:szCs w:val="26"/>
              </w:rPr>
              <w:t>藥費管理部分，統計近3年（</w:t>
            </w:r>
            <w:r w:rsidRPr="0005564B">
              <w:rPr>
                <w:sz w:val="26"/>
                <w:szCs w:val="26"/>
              </w:rPr>
              <w:t>105</w:t>
            </w:r>
            <w:r w:rsidRPr="0005564B">
              <w:rPr>
                <w:rFonts w:hint="eastAsia"/>
                <w:sz w:val="26"/>
                <w:szCs w:val="26"/>
              </w:rPr>
              <w:t>至</w:t>
            </w:r>
            <w:r w:rsidRPr="0005564B">
              <w:rPr>
                <w:sz w:val="26"/>
                <w:szCs w:val="26"/>
              </w:rPr>
              <w:t>107</w:t>
            </w:r>
            <w:r w:rsidRPr="0005564B">
              <w:rPr>
                <w:rFonts w:hint="eastAsia"/>
                <w:sz w:val="26"/>
                <w:szCs w:val="26"/>
              </w:rPr>
              <w:t>年）上半年門診校正藥費成長率，與去年同期相比，成長率分別為</w:t>
            </w:r>
            <w:r w:rsidRPr="0005564B">
              <w:rPr>
                <w:sz w:val="26"/>
                <w:szCs w:val="26"/>
              </w:rPr>
              <w:t>7.84%</w:t>
            </w:r>
            <w:r w:rsidRPr="0005564B">
              <w:rPr>
                <w:rFonts w:hint="eastAsia"/>
                <w:sz w:val="26"/>
                <w:szCs w:val="26"/>
              </w:rPr>
              <w:t>、</w:t>
            </w:r>
            <w:r w:rsidRPr="0005564B">
              <w:rPr>
                <w:sz w:val="26"/>
                <w:szCs w:val="26"/>
              </w:rPr>
              <w:t>14.11%</w:t>
            </w:r>
            <w:r w:rsidRPr="0005564B">
              <w:rPr>
                <w:rFonts w:hint="eastAsia"/>
                <w:sz w:val="26"/>
                <w:szCs w:val="26"/>
              </w:rPr>
              <w:t>、</w:t>
            </w:r>
            <w:r w:rsidRPr="0005564B">
              <w:rPr>
                <w:sz w:val="26"/>
                <w:szCs w:val="26"/>
              </w:rPr>
              <w:t>1.19%</w:t>
            </w:r>
            <w:r w:rsidRPr="0005564B">
              <w:rPr>
                <w:rFonts w:hint="eastAsia"/>
                <w:sz w:val="26"/>
                <w:szCs w:val="26"/>
              </w:rPr>
              <w:t>，顯示重點管理藥品於</w:t>
            </w:r>
            <w:r w:rsidRPr="0005564B">
              <w:rPr>
                <w:sz w:val="26"/>
                <w:szCs w:val="26"/>
              </w:rPr>
              <w:t>107</w:t>
            </w:r>
            <w:r w:rsidRPr="0005564B">
              <w:rPr>
                <w:rFonts w:hint="eastAsia"/>
                <w:sz w:val="26"/>
                <w:szCs w:val="26"/>
              </w:rPr>
              <w:t>年申報成長趨緩；另重複用藥管理方案以</w:t>
            </w:r>
            <w:r w:rsidRPr="0005564B">
              <w:rPr>
                <w:rFonts w:hAnsi="標楷體" w:hint="eastAsia"/>
                <w:sz w:val="26"/>
                <w:szCs w:val="26"/>
              </w:rPr>
              <w:t>以</w:t>
            </w:r>
            <w:r w:rsidRPr="0005564B">
              <w:rPr>
                <w:rFonts w:hAnsi="標楷體"/>
                <w:sz w:val="26"/>
                <w:szCs w:val="26"/>
              </w:rPr>
              <w:t>107</w:t>
            </w:r>
            <w:r w:rsidRPr="0005564B">
              <w:rPr>
                <w:rFonts w:hAnsi="標楷體" w:hint="eastAsia"/>
                <w:sz w:val="26"/>
                <w:szCs w:val="26"/>
              </w:rPr>
              <w:t>年第4季資料預估，每年可以減少重複之藥費</w:t>
            </w:r>
            <w:r w:rsidRPr="0005564B">
              <w:rPr>
                <w:rFonts w:hAnsi="標楷體"/>
                <w:sz w:val="26"/>
                <w:szCs w:val="26"/>
              </w:rPr>
              <w:t>2.2</w:t>
            </w:r>
            <w:r w:rsidRPr="0005564B">
              <w:rPr>
                <w:rFonts w:hAnsi="標楷體" w:hint="eastAsia"/>
                <w:sz w:val="26"/>
                <w:szCs w:val="26"/>
              </w:rPr>
              <w:t>億元</w:t>
            </w:r>
            <w:r w:rsidRPr="0005564B">
              <w:rPr>
                <w:rFonts w:hint="eastAsia"/>
                <w:sz w:val="26"/>
                <w:szCs w:val="26"/>
              </w:rPr>
              <w:t>。</w:t>
            </w:r>
          </w:p>
        </w:tc>
      </w:tr>
      <w:tr w:rsidR="0005564B" w:rsidRPr="0005564B" w:rsidTr="0033087C">
        <w:tc>
          <w:tcPr>
            <w:tcW w:w="2500" w:type="pct"/>
          </w:tcPr>
          <w:p w:rsidR="0033087C" w:rsidRPr="0005564B" w:rsidRDefault="00984061" w:rsidP="003B110E">
            <w:pPr>
              <w:pStyle w:val="5"/>
              <w:numPr>
                <w:ilvl w:val="0"/>
                <w:numId w:val="34"/>
              </w:numPr>
              <w:spacing w:line="300" w:lineRule="exact"/>
              <w:rPr>
                <w:sz w:val="26"/>
                <w:szCs w:val="26"/>
              </w:rPr>
            </w:pPr>
            <w:r w:rsidRPr="0005564B">
              <w:rPr>
                <w:rFonts w:hint="eastAsia"/>
                <w:sz w:val="26"/>
                <w:szCs w:val="26"/>
              </w:rPr>
              <w:lastRenderedPageBreak/>
              <w:t>106年10月起再加強管理抗血栓、前列腺肥大、抗癲癇、心臟疾病、緩瀉劑及痛風治療等6類藥品。</w:t>
            </w:r>
          </w:p>
        </w:tc>
        <w:tc>
          <w:tcPr>
            <w:tcW w:w="2500" w:type="pct"/>
          </w:tcPr>
          <w:p w:rsidR="0033087C" w:rsidRPr="0005564B" w:rsidRDefault="00984061" w:rsidP="003B110E">
            <w:pPr>
              <w:pStyle w:val="5"/>
              <w:numPr>
                <w:ilvl w:val="0"/>
                <w:numId w:val="0"/>
              </w:numPr>
              <w:spacing w:line="300" w:lineRule="exact"/>
              <w:rPr>
                <w:sz w:val="26"/>
                <w:szCs w:val="26"/>
              </w:rPr>
            </w:pPr>
            <w:r w:rsidRPr="0005564B">
              <w:rPr>
                <w:rFonts w:hint="eastAsia"/>
                <w:sz w:val="26"/>
                <w:szCs w:val="26"/>
              </w:rPr>
              <w:t>截至107年其用藥日數重疊率降幅達16%。</w:t>
            </w:r>
          </w:p>
        </w:tc>
      </w:tr>
      <w:tr w:rsidR="0005564B" w:rsidRPr="0005564B" w:rsidTr="0033087C">
        <w:tc>
          <w:tcPr>
            <w:tcW w:w="2500" w:type="pct"/>
          </w:tcPr>
          <w:p w:rsidR="0033087C" w:rsidRPr="0005564B" w:rsidRDefault="00984061" w:rsidP="003B110E">
            <w:pPr>
              <w:pStyle w:val="5"/>
              <w:numPr>
                <w:ilvl w:val="0"/>
                <w:numId w:val="34"/>
              </w:numPr>
              <w:spacing w:line="300" w:lineRule="exact"/>
              <w:rPr>
                <w:sz w:val="26"/>
                <w:szCs w:val="26"/>
              </w:rPr>
            </w:pPr>
            <w:r w:rsidRPr="0005564B">
              <w:rPr>
                <w:rFonts w:hint="eastAsia"/>
                <w:sz w:val="26"/>
                <w:szCs w:val="26"/>
              </w:rPr>
              <w:t>自108年1月起，再將重複用藥風險較高或較多之藥品，如免疫製劑、支氣管阻塞劑、抗病毒藥物、抗組織胺、胃腸道用藥與制酸劑等納入加強管理範圍。</w:t>
            </w:r>
          </w:p>
        </w:tc>
        <w:tc>
          <w:tcPr>
            <w:tcW w:w="2500" w:type="pct"/>
          </w:tcPr>
          <w:p w:rsidR="0033087C" w:rsidRPr="0005564B" w:rsidRDefault="00103487" w:rsidP="003B110E">
            <w:pPr>
              <w:pStyle w:val="5"/>
              <w:numPr>
                <w:ilvl w:val="0"/>
                <w:numId w:val="0"/>
              </w:numPr>
              <w:spacing w:line="300" w:lineRule="exact"/>
              <w:rPr>
                <w:sz w:val="26"/>
                <w:szCs w:val="26"/>
              </w:rPr>
            </w:pPr>
            <w:r w:rsidRPr="0005564B">
              <w:rPr>
                <w:rFonts w:hint="eastAsia"/>
                <w:sz w:val="26"/>
                <w:szCs w:val="26"/>
              </w:rPr>
              <w:t>重點管理藥品約占門診藥費7成。</w:t>
            </w:r>
          </w:p>
        </w:tc>
      </w:tr>
      <w:tr w:rsidR="0005564B" w:rsidRPr="0005564B" w:rsidTr="004F7DDF">
        <w:trPr>
          <w:trHeight w:val="529"/>
        </w:trPr>
        <w:tc>
          <w:tcPr>
            <w:tcW w:w="5000" w:type="pct"/>
            <w:gridSpan w:val="2"/>
            <w:vAlign w:val="center"/>
          </w:tcPr>
          <w:p w:rsidR="00984061" w:rsidRPr="0005564B" w:rsidRDefault="00984061" w:rsidP="003B110E">
            <w:pPr>
              <w:pStyle w:val="5"/>
              <w:numPr>
                <w:ilvl w:val="0"/>
                <w:numId w:val="0"/>
              </w:numPr>
              <w:spacing w:line="300" w:lineRule="exact"/>
              <w:rPr>
                <w:b/>
                <w:sz w:val="28"/>
                <w:szCs w:val="28"/>
              </w:rPr>
            </w:pPr>
            <w:r w:rsidRPr="0005564B">
              <w:rPr>
                <w:rFonts w:hint="eastAsia"/>
                <w:b/>
                <w:sz w:val="28"/>
                <w:szCs w:val="28"/>
              </w:rPr>
              <w:t>減少檢驗(查)部分：</w:t>
            </w:r>
          </w:p>
        </w:tc>
      </w:tr>
      <w:tr w:rsidR="0005564B" w:rsidRPr="0005564B" w:rsidTr="0033087C">
        <w:tc>
          <w:tcPr>
            <w:tcW w:w="2500" w:type="pct"/>
          </w:tcPr>
          <w:p w:rsidR="0033087C" w:rsidRPr="0005564B" w:rsidRDefault="00984061" w:rsidP="003B110E">
            <w:pPr>
              <w:pStyle w:val="5"/>
              <w:numPr>
                <w:ilvl w:val="0"/>
                <w:numId w:val="35"/>
              </w:numPr>
              <w:spacing w:line="300" w:lineRule="exact"/>
              <w:rPr>
                <w:sz w:val="26"/>
                <w:szCs w:val="26"/>
              </w:rPr>
            </w:pPr>
            <w:r w:rsidRPr="0005564B">
              <w:rPr>
                <w:rFonts w:hint="eastAsia"/>
                <w:sz w:val="26"/>
                <w:szCs w:val="26"/>
              </w:rPr>
              <w:t>健保署自106年第3季起，按月提供醫療院所病人跨院門診28日內再次執行統計暨院所及醫師門診執行率統計資料，供醫師處方參考，並透過健保雲端查詢平台，以避免不必要之電腦斷層掃描(CT)及核磁共振造影(MRI)檢查。</w:t>
            </w:r>
          </w:p>
        </w:tc>
        <w:tc>
          <w:tcPr>
            <w:tcW w:w="2500" w:type="pct"/>
          </w:tcPr>
          <w:p w:rsidR="0033087C" w:rsidRPr="0005564B" w:rsidRDefault="00984061" w:rsidP="003B110E">
            <w:pPr>
              <w:pStyle w:val="5"/>
              <w:numPr>
                <w:ilvl w:val="0"/>
                <w:numId w:val="0"/>
              </w:numPr>
              <w:spacing w:line="300" w:lineRule="exact"/>
              <w:rPr>
                <w:sz w:val="26"/>
                <w:szCs w:val="26"/>
              </w:rPr>
            </w:pPr>
            <w:r w:rsidRPr="0005564B">
              <w:rPr>
                <w:rFonts w:hint="eastAsia"/>
                <w:sz w:val="26"/>
                <w:szCs w:val="26"/>
              </w:rPr>
              <w:t>估計每月節省健保3,500萬點CT及MRI檢查費用及病患139萬元複製影像費用</w:t>
            </w:r>
          </w:p>
        </w:tc>
      </w:tr>
      <w:tr w:rsidR="0005564B" w:rsidRPr="0005564B" w:rsidTr="0033087C">
        <w:tc>
          <w:tcPr>
            <w:tcW w:w="2500" w:type="pct"/>
          </w:tcPr>
          <w:p w:rsidR="0033087C" w:rsidRPr="0005564B" w:rsidRDefault="00984061" w:rsidP="003B110E">
            <w:pPr>
              <w:pStyle w:val="5"/>
              <w:numPr>
                <w:ilvl w:val="0"/>
                <w:numId w:val="35"/>
              </w:numPr>
              <w:spacing w:line="300" w:lineRule="exact"/>
              <w:rPr>
                <w:sz w:val="26"/>
                <w:szCs w:val="26"/>
              </w:rPr>
            </w:pPr>
            <w:r w:rsidRPr="0005564B">
              <w:rPr>
                <w:rFonts w:hint="eastAsia"/>
                <w:sz w:val="26"/>
                <w:szCs w:val="26"/>
              </w:rPr>
              <w:t>自107年9月輔導未調閱病人已做檢查之影像或報告卻逕自開立檢查單之情形。</w:t>
            </w:r>
          </w:p>
        </w:tc>
        <w:tc>
          <w:tcPr>
            <w:tcW w:w="2500" w:type="pct"/>
          </w:tcPr>
          <w:p w:rsidR="0033087C" w:rsidRPr="0005564B" w:rsidRDefault="00984061" w:rsidP="003B110E">
            <w:pPr>
              <w:pStyle w:val="5"/>
              <w:numPr>
                <w:ilvl w:val="0"/>
                <w:numId w:val="0"/>
              </w:numPr>
              <w:spacing w:line="300" w:lineRule="exact"/>
              <w:rPr>
                <w:sz w:val="26"/>
                <w:szCs w:val="26"/>
              </w:rPr>
            </w:pPr>
            <w:r w:rsidRPr="0005564B">
              <w:rPr>
                <w:rFonts w:hint="eastAsia"/>
                <w:sz w:val="26"/>
                <w:szCs w:val="26"/>
              </w:rPr>
              <w:t>截至107年12月底其案件量已由808件降至346件。</w:t>
            </w:r>
          </w:p>
        </w:tc>
      </w:tr>
      <w:tr w:rsidR="0005564B" w:rsidRPr="0005564B" w:rsidTr="0033087C">
        <w:tc>
          <w:tcPr>
            <w:tcW w:w="2500" w:type="pct"/>
          </w:tcPr>
          <w:p w:rsidR="00984061" w:rsidRPr="0005564B" w:rsidRDefault="00984061" w:rsidP="003B110E">
            <w:pPr>
              <w:pStyle w:val="5"/>
              <w:numPr>
                <w:ilvl w:val="0"/>
                <w:numId w:val="35"/>
              </w:numPr>
              <w:spacing w:line="300" w:lineRule="exact"/>
              <w:rPr>
                <w:sz w:val="26"/>
                <w:szCs w:val="26"/>
              </w:rPr>
            </w:pPr>
            <w:r w:rsidRPr="0005564B">
              <w:rPr>
                <w:rFonts w:hint="eastAsia"/>
                <w:sz w:val="26"/>
                <w:szCs w:val="26"/>
              </w:rPr>
              <w:t>運用大數據分析配合立意抽審，提升整體審查成效：健保署自102年發展篩異平台以針對疑似異常案件抽樣專審，目前建置超過100項指標進行管理。</w:t>
            </w:r>
          </w:p>
        </w:tc>
        <w:tc>
          <w:tcPr>
            <w:tcW w:w="2500" w:type="pct"/>
          </w:tcPr>
          <w:p w:rsidR="00984061" w:rsidRPr="0005564B" w:rsidRDefault="00984061" w:rsidP="003B110E">
            <w:pPr>
              <w:pStyle w:val="5"/>
              <w:numPr>
                <w:ilvl w:val="0"/>
                <w:numId w:val="0"/>
              </w:numPr>
              <w:spacing w:line="300" w:lineRule="exact"/>
              <w:rPr>
                <w:sz w:val="26"/>
                <w:szCs w:val="26"/>
              </w:rPr>
            </w:pPr>
            <w:r w:rsidRPr="0005564B">
              <w:rPr>
                <w:rFonts w:hint="eastAsia"/>
                <w:sz w:val="26"/>
                <w:szCs w:val="26"/>
              </w:rPr>
              <w:t>統計106年共核減醫療費用1.6億點、107年共核減醫療費用近2億點。</w:t>
            </w:r>
          </w:p>
        </w:tc>
      </w:tr>
    </w:tbl>
    <w:p w:rsidR="0033087C" w:rsidRPr="0005564B" w:rsidRDefault="00984061" w:rsidP="00984061">
      <w:pPr>
        <w:pStyle w:val="5"/>
        <w:numPr>
          <w:ilvl w:val="0"/>
          <w:numId w:val="0"/>
        </w:numPr>
        <w:ind w:left="-98"/>
        <w:jc w:val="left"/>
        <w:rPr>
          <w:sz w:val="24"/>
          <w:szCs w:val="24"/>
        </w:rPr>
      </w:pPr>
      <w:r w:rsidRPr="0005564B">
        <w:rPr>
          <w:rFonts w:hint="eastAsia"/>
          <w:sz w:val="24"/>
          <w:szCs w:val="24"/>
        </w:rPr>
        <w:t>資料來源：彙整自衛福部提供資料。</w:t>
      </w:r>
    </w:p>
    <w:p w:rsidR="001A6AF0" w:rsidRPr="0005564B" w:rsidRDefault="001A6AF0" w:rsidP="00984061">
      <w:pPr>
        <w:pStyle w:val="5"/>
        <w:numPr>
          <w:ilvl w:val="0"/>
          <w:numId w:val="0"/>
        </w:numPr>
        <w:ind w:left="-98"/>
        <w:jc w:val="left"/>
        <w:rPr>
          <w:sz w:val="24"/>
          <w:szCs w:val="24"/>
        </w:rPr>
      </w:pPr>
    </w:p>
    <w:p w:rsidR="00C27862" w:rsidRPr="0005564B" w:rsidRDefault="00C27862" w:rsidP="0021660B">
      <w:pPr>
        <w:pStyle w:val="3"/>
      </w:pPr>
      <w:bookmarkStart w:id="98" w:name="_Toc9058299"/>
      <w:bookmarkStart w:id="99" w:name="_Toc10027536"/>
      <w:bookmarkStart w:id="100" w:name="_Toc10054229"/>
      <w:bookmarkStart w:id="101" w:name="_Toc10066338"/>
      <w:r w:rsidRPr="0005564B">
        <w:rPr>
          <w:rFonts w:hAnsi="標楷體" w:hint="eastAsia"/>
          <w:szCs w:val="32"/>
        </w:rPr>
        <w:t>除上述開源節流措施外，依</w:t>
      </w:r>
      <w:r w:rsidRPr="0005564B">
        <w:rPr>
          <w:rFonts w:hAnsi="標楷體" w:hint="eastAsia"/>
        </w:rPr>
        <w:t>「</w:t>
      </w:r>
      <w:r w:rsidRPr="0005564B">
        <w:rPr>
          <w:rFonts w:hAnsi="標楷體" w:cs="Arial" w:hint="eastAsia"/>
        </w:rPr>
        <w:t>全民健康保險法</w:t>
      </w:r>
      <w:r w:rsidRPr="0005564B">
        <w:rPr>
          <w:rFonts w:hAnsi="標楷體" w:hint="eastAsia"/>
        </w:rPr>
        <w:t>施行細則」（下稱「</w:t>
      </w:r>
      <w:r w:rsidRPr="0005564B">
        <w:rPr>
          <w:rFonts w:hAnsi="標楷體" w:cs="Arial" w:hint="eastAsia"/>
        </w:rPr>
        <w:t>健保法</w:t>
      </w:r>
      <w:r w:rsidRPr="0005564B">
        <w:rPr>
          <w:rFonts w:hAnsi="標楷體" w:hint="eastAsia"/>
        </w:rPr>
        <w:t>施行細則」）</w:t>
      </w:r>
      <w:r w:rsidRPr="0005564B">
        <w:rPr>
          <w:rFonts w:hAnsi="標楷體" w:hint="eastAsia"/>
          <w:szCs w:val="32"/>
        </w:rPr>
        <w:t>第37條：「</w:t>
      </w:r>
      <w:r w:rsidRPr="0005564B">
        <w:rPr>
          <w:rFonts w:hint="eastAsia"/>
        </w:rPr>
        <w:t>保險對象具有下列情形之一，得辦理停保，由投保單位填</w:t>
      </w:r>
      <w:r w:rsidRPr="0005564B">
        <w:rPr>
          <w:rFonts w:hint="eastAsia"/>
        </w:rPr>
        <w:lastRenderedPageBreak/>
        <w:t>具停保申報表1份送交保險人，並於失蹤或出國期間，暫時停止繳納保險費，保險人亦相對暫時停止保險給付：一、失蹤未滿6個月者。二、預定出國6個月以上者。但曾辦理出國停保，於返國復保後應屆滿3個月，始得再次辦理停保。前項第1款情形，自失蹤當月起停保；前項第2款情形，自出國當月起停保，但未於出國前辦理者，自停保申報表寄達保險人當月起停保。</w:t>
      </w:r>
      <w:r w:rsidRPr="0005564B">
        <w:rPr>
          <w:rFonts w:hAnsi="標楷體" w:hint="eastAsia"/>
          <w:szCs w:val="32"/>
        </w:rPr>
        <w:t>」及第39條：「</w:t>
      </w:r>
      <w:r w:rsidRPr="0005564B">
        <w:rPr>
          <w:rFonts w:hint="eastAsia"/>
        </w:rPr>
        <w:t>保險對象停保後，應依下列規定辦理：一、失蹤未滿6個月者，於6個月內尋獲時，應自尋獲之日註銷停保，並補繳保險費。逾6個月未尋獲者，應溯自停保之日起終止保險，辦理退保手續。二、預定出國6個月以上者，應自返國之日復保。但出國期間未滿6個月即提前返國者，應自返國之日註銷停保，並補繳保險費。政府駐外人員或其隨行之配偶及子女，辦理出國停保後，因公返國未逾30日且持有服務</w:t>
      </w:r>
      <w:r w:rsidRPr="0005564B">
        <w:rPr>
          <w:rFonts w:hAnsi="標楷體" w:hint="eastAsia"/>
        </w:rPr>
        <w:t>機關所出具之證明，得免依前項第2款規定註銷停保或復保，但在臺期間不得列入出國期間計算。</w:t>
      </w:r>
      <w:r w:rsidRPr="0005564B">
        <w:rPr>
          <w:rFonts w:hAnsi="標楷體"/>
        </w:rPr>
        <w:t>……</w:t>
      </w:r>
      <w:r w:rsidRPr="0005564B">
        <w:rPr>
          <w:rFonts w:hAnsi="標楷體" w:hint="eastAsia"/>
          <w:szCs w:val="32"/>
        </w:rPr>
        <w:t>」等規定，</w:t>
      </w:r>
      <w:r w:rsidRPr="0005564B">
        <w:rPr>
          <w:rFonts w:hAnsi="標楷體" w:hint="eastAsia"/>
        </w:rPr>
        <w:t>保險對象預定出國6個月以上者得選擇是否辦理停保，並於出國期間暫停繳納保險費，亦停止保險給付。而選擇辦理停保且出國6個月以上之民眾，須俟返國後方能以回國日辦理復保，應於復保之日起繳納保險費；但曾辦理出國停保者，如再次申請停保，應於其前次停保之返國復保日計算滿3個月，始得再次辦理停保。即應至少繳納3個月保險費，始得再次申請停保。惟上開制度，不時遭媒體批評</w:t>
      </w:r>
      <w:r w:rsidRPr="0005564B">
        <w:rPr>
          <w:rFonts w:hAnsi="標楷體" w:hint="eastAsia"/>
          <w:szCs w:val="32"/>
        </w:rPr>
        <w:t>長期居住國外之國民於有醫療需要時，短期返國投保，即可利用高額之醫療資源，增加健保之支出，亦對長期投保繳納保險費者不公，主管機關亦應採取積極作為，以杜絕此情形。</w:t>
      </w:r>
    </w:p>
    <w:p w:rsidR="0021660B" w:rsidRPr="0005564B" w:rsidRDefault="00F93F93" w:rsidP="0021660B">
      <w:pPr>
        <w:pStyle w:val="3"/>
      </w:pPr>
      <w:r w:rsidRPr="0005564B">
        <w:rPr>
          <w:rFonts w:hint="eastAsia"/>
        </w:rPr>
        <w:lastRenderedPageBreak/>
        <w:t>改善財務狀況之方法，</w:t>
      </w:r>
      <w:r w:rsidR="001C2687" w:rsidRPr="0005564B">
        <w:rPr>
          <w:rFonts w:hint="eastAsia"/>
        </w:rPr>
        <w:t>無非</w:t>
      </w:r>
      <w:r w:rsidRPr="0005564B">
        <w:rPr>
          <w:rFonts w:hint="eastAsia"/>
        </w:rPr>
        <w:t>開源</w:t>
      </w:r>
      <w:r w:rsidR="001C2687" w:rsidRPr="0005564B">
        <w:rPr>
          <w:rFonts w:hint="eastAsia"/>
        </w:rPr>
        <w:t>與</w:t>
      </w:r>
      <w:r w:rsidRPr="0005564B">
        <w:rPr>
          <w:rFonts w:hint="eastAsia"/>
        </w:rPr>
        <w:t>節流</w:t>
      </w:r>
      <w:r w:rsidR="001C2687" w:rsidRPr="0005564B">
        <w:rPr>
          <w:rFonts w:hint="eastAsia"/>
        </w:rPr>
        <w:t>二大方向</w:t>
      </w:r>
      <w:r w:rsidRPr="0005564B">
        <w:rPr>
          <w:rFonts w:hint="eastAsia"/>
        </w:rPr>
        <w:t>。</w:t>
      </w:r>
      <w:r w:rsidR="00054F56" w:rsidRPr="0005564B">
        <w:rPr>
          <w:rFonts w:hint="eastAsia"/>
        </w:rPr>
        <w:t>目前主管機關所推動之各</w:t>
      </w:r>
      <w:r w:rsidR="00FD0470" w:rsidRPr="0005564B">
        <w:rPr>
          <w:rFonts w:hint="eastAsia"/>
        </w:rPr>
        <w:t>項</w:t>
      </w:r>
      <w:r w:rsidR="00054F56" w:rsidRPr="0005564B">
        <w:rPr>
          <w:rFonts w:hint="eastAsia"/>
        </w:rPr>
        <w:t>開源措施中，以102年實施</w:t>
      </w:r>
      <w:r w:rsidR="00FD0470" w:rsidRPr="0005564B">
        <w:rPr>
          <w:rFonts w:hint="eastAsia"/>
        </w:rPr>
        <w:t>之</w:t>
      </w:r>
      <w:r w:rsidR="00054F56" w:rsidRPr="0005564B">
        <w:rPr>
          <w:rFonts w:hint="eastAsia"/>
        </w:rPr>
        <w:t>二代健保，擴大費基針對保險對象未列入投保金額之高額獎金、兼職、執行業務、股利、利息、租金等6項所得（收入），以及投保單位每月支付之薪資所得總額逾其受僱者當月投保金額總額部分計收補充保險費，以107年度為例，該年度即增加健保收入達463億元，成效最為顯著。</w:t>
      </w:r>
      <w:r w:rsidR="00027C0E" w:rsidRPr="0005564B">
        <w:rPr>
          <w:rFonts w:hint="eastAsia"/>
        </w:rPr>
        <w:t>至於節流措施部分，</w:t>
      </w:r>
      <w:r w:rsidR="00035416" w:rsidRPr="0005564B">
        <w:rPr>
          <w:rFonts w:hAnsi="標楷體" w:hint="eastAsia"/>
          <w:szCs w:val="32"/>
        </w:rPr>
        <w:t>最有效的</w:t>
      </w:r>
      <w:r w:rsidR="00035416" w:rsidRPr="0005564B">
        <w:rPr>
          <w:rFonts w:hAnsi="標楷體" w:hint="eastAsia"/>
          <w:szCs w:val="32"/>
          <w:lang w:eastAsia="zh-HK"/>
        </w:rPr>
        <w:t>方案則為</w:t>
      </w:r>
      <w:r w:rsidR="00035416" w:rsidRPr="0005564B">
        <w:rPr>
          <w:rFonts w:hAnsi="標楷體" w:hint="eastAsia"/>
          <w:szCs w:val="32"/>
        </w:rPr>
        <w:t>總額支付制度，</w:t>
      </w:r>
      <w:r w:rsidR="00035416" w:rsidRPr="0005564B">
        <w:rPr>
          <w:rFonts w:hAnsi="標楷體" w:hint="eastAsia"/>
          <w:szCs w:val="32"/>
          <w:lang w:eastAsia="zh-HK"/>
        </w:rPr>
        <w:t>此外</w:t>
      </w:r>
      <w:r w:rsidR="00027C0E" w:rsidRPr="0005564B">
        <w:rPr>
          <w:rFonts w:hint="eastAsia"/>
        </w:rPr>
        <w:t>有效落實重複用藥管理方案，推動減少</w:t>
      </w:r>
      <w:r w:rsidR="00035416" w:rsidRPr="0005564B">
        <w:rPr>
          <w:rFonts w:hint="eastAsia"/>
          <w:lang w:eastAsia="zh-HK"/>
        </w:rPr>
        <w:t>不必要之</w:t>
      </w:r>
      <w:r w:rsidR="00027C0E" w:rsidRPr="0005564B">
        <w:rPr>
          <w:rFonts w:hint="eastAsia"/>
        </w:rPr>
        <w:t>檢驗檢查，並運用</w:t>
      </w:r>
      <w:r w:rsidR="00027C0E" w:rsidRPr="0005564B">
        <w:rPr>
          <w:rFonts w:hint="eastAsia"/>
          <w:spacing w:val="-1"/>
        </w:rPr>
        <w:t>大數據分析，</w:t>
      </w:r>
      <w:r w:rsidR="00027C0E" w:rsidRPr="0005564B">
        <w:rPr>
          <w:rFonts w:hint="eastAsia"/>
        </w:rPr>
        <w:t>每年</w:t>
      </w:r>
      <w:r w:rsidR="00035416" w:rsidRPr="0005564B">
        <w:rPr>
          <w:rFonts w:hint="eastAsia"/>
          <w:lang w:eastAsia="zh-HK"/>
        </w:rPr>
        <w:t>均</w:t>
      </w:r>
      <w:r w:rsidR="00027C0E" w:rsidRPr="0005564B">
        <w:rPr>
          <w:rFonts w:hint="eastAsia"/>
        </w:rPr>
        <w:t>可減少相當金額之健保支出，</w:t>
      </w:r>
      <w:r w:rsidR="00FD0470" w:rsidRPr="0005564B">
        <w:rPr>
          <w:rFonts w:hint="eastAsia"/>
        </w:rPr>
        <w:t>亦</w:t>
      </w:r>
      <w:r w:rsidR="00027C0E" w:rsidRPr="0005564B">
        <w:rPr>
          <w:rFonts w:hint="eastAsia"/>
        </w:rPr>
        <w:t>頗具成效。</w:t>
      </w:r>
      <w:r w:rsidR="0090557C" w:rsidRPr="0005564B">
        <w:rPr>
          <w:rFonts w:hint="eastAsia"/>
        </w:rPr>
        <w:t>基於醫療科技持續進步，納入健保之範圍與給付，勢將逐漸增加，</w:t>
      </w:r>
      <w:r w:rsidR="0020692E" w:rsidRPr="0005564B">
        <w:rPr>
          <w:rFonts w:hint="eastAsia"/>
        </w:rPr>
        <w:t>爰</w:t>
      </w:r>
      <w:r w:rsidR="001E2930" w:rsidRPr="0005564B">
        <w:rPr>
          <w:rFonts w:hint="eastAsia"/>
        </w:rPr>
        <w:t>應定期檢視各開源節流措施</w:t>
      </w:r>
      <w:r w:rsidR="0020692E" w:rsidRPr="0005564B">
        <w:rPr>
          <w:rFonts w:hint="eastAsia"/>
        </w:rPr>
        <w:t>成效，適時調整，俾維持健保財務平衡，同時降低健保費率調整對社會各界所造成的衝擊。</w:t>
      </w:r>
      <w:bookmarkEnd w:id="98"/>
      <w:bookmarkEnd w:id="99"/>
      <w:bookmarkEnd w:id="100"/>
      <w:bookmarkEnd w:id="101"/>
      <w:r w:rsidR="00C27862" w:rsidRPr="0005564B">
        <w:rPr>
          <w:rFonts w:hint="eastAsia"/>
        </w:rPr>
        <w:t>此外，</w:t>
      </w:r>
      <w:r w:rsidR="00C27862" w:rsidRPr="0005564B">
        <w:rPr>
          <w:rFonts w:hAnsi="標楷體" w:hint="eastAsia"/>
          <w:szCs w:val="32"/>
        </w:rPr>
        <w:t>長期居住國外之國民於有醫療需要時，短期返國投保，即可</w:t>
      </w:r>
      <w:r w:rsidR="00035416" w:rsidRPr="0005564B">
        <w:rPr>
          <w:rFonts w:hAnsi="標楷體" w:hint="eastAsia"/>
          <w:szCs w:val="32"/>
          <w:lang w:eastAsia="zh-HK"/>
        </w:rPr>
        <w:t>享受</w:t>
      </w:r>
      <w:r w:rsidR="00C27862" w:rsidRPr="0005564B">
        <w:rPr>
          <w:rFonts w:hAnsi="標楷體" w:hint="eastAsia"/>
          <w:szCs w:val="32"/>
        </w:rPr>
        <w:t>高額之醫療資源，增加健保之支出，亦對長期投保繳納保險費者不公，主管機關</w:t>
      </w:r>
      <w:r w:rsidR="00035416" w:rsidRPr="0005564B">
        <w:rPr>
          <w:rFonts w:hAnsi="標楷體" w:hint="eastAsia"/>
          <w:szCs w:val="32"/>
          <w:lang w:eastAsia="zh-HK"/>
        </w:rPr>
        <w:t>似</w:t>
      </w:r>
      <w:r w:rsidR="00035416" w:rsidRPr="0005564B">
        <w:rPr>
          <w:rFonts w:hAnsi="標楷體" w:hint="eastAsia"/>
          <w:szCs w:val="32"/>
        </w:rPr>
        <w:t>應採取</w:t>
      </w:r>
      <w:r w:rsidR="00035416" w:rsidRPr="0005564B">
        <w:rPr>
          <w:rFonts w:hAnsi="標楷體" w:hint="eastAsia"/>
          <w:szCs w:val="32"/>
          <w:lang w:eastAsia="zh-HK"/>
        </w:rPr>
        <w:t>更</w:t>
      </w:r>
      <w:r w:rsidR="00035416" w:rsidRPr="0005564B">
        <w:rPr>
          <w:rFonts w:hAnsi="標楷體" w:hint="eastAsia"/>
          <w:szCs w:val="32"/>
        </w:rPr>
        <w:t>積極作為，以杜絕</w:t>
      </w:r>
      <w:r w:rsidR="00035416" w:rsidRPr="0005564B">
        <w:rPr>
          <w:rFonts w:hAnsi="標楷體" w:hint="eastAsia"/>
          <w:szCs w:val="32"/>
          <w:lang w:eastAsia="zh-HK"/>
        </w:rPr>
        <w:t>類</w:t>
      </w:r>
      <w:r w:rsidR="00035416" w:rsidRPr="0005564B">
        <w:rPr>
          <w:rFonts w:hAnsi="標楷體" w:hint="eastAsia"/>
          <w:szCs w:val="32"/>
        </w:rPr>
        <w:t>此情</w:t>
      </w:r>
      <w:r w:rsidR="00035416" w:rsidRPr="0005564B">
        <w:rPr>
          <w:rFonts w:hAnsi="標楷體" w:hint="eastAsia"/>
          <w:szCs w:val="32"/>
          <w:lang w:eastAsia="zh-HK"/>
        </w:rPr>
        <w:t>事</w:t>
      </w:r>
      <w:r w:rsidR="00035416" w:rsidRPr="0005564B">
        <w:rPr>
          <w:rFonts w:hAnsi="標楷體" w:hint="eastAsia"/>
          <w:szCs w:val="32"/>
        </w:rPr>
        <w:t>。</w:t>
      </w:r>
    </w:p>
    <w:p w:rsidR="009C0D16" w:rsidRPr="0005564B" w:rsidRDefault="009C0D16" w:rsidP="009C0D16">
      <w:pPr>
        <w:pStyle w:val="3"/>
        <w:numPr>
          <w:ilvl w:val="0"/>
          <w:numId w:val="0"/>
        </w:numPr>
        <w:ind w:left="1361"/>
      </w:pPr>
      <w:bookmarkStart w:id="102" w:name="_Toc9078577"/>
      <w:bookmarkStart w:id="103" w:name="_Toc10066346"/>
    </w:p>
    <w:p w:rsidR="009C0D16" w:rsidRPr="0005564B" w:rsidRDefault="009C0D16" w:rsidP="009C0D16">
      <w:pPr>
        <w:pStyle w:val="2"/>
        <w:rPr>
          <w:b/>
        </w:rPr>
      </w:pPr>
      <w:bookmarkStart w:id="104" w:name="_Toc9058323"/>
      <w:bookmarkStart w:id="105" w:name="_Toc9078579"/>
      <w:bookmarkStart w:id="106" w:name="_Toc10066356"/>
      <w:bookmarkStart w:id="107" w:name="_Toc10295280"/>
      <w:r w:rsidRPr="0005564B">
        <w:rPr>
          <w:rFonts w:hAnsi="標楷體" w:hint="eastAsia"/>
          <w:b/>
          <w:bCs w:val="0"/>
        </w:rPr>
        <w:t>實施DRG</w:t>
      </w:r>
      <w:r w:rsidR="00FE05E5" w:rsidRPr="0005564B">
        <w:rPr>
          <w:rFonts w:hAnsi="標楷體" w:hint="eastAsia"/>
          <w:b/>
          <w:bCs w:val="0"/>
          <w:lang w:eastAsia="zh-HK"/>
        </w:rPr>
        <w:t>制</w:t>
      </w:r>
      <w:r w:rsidRPr="0005564B">
        <w:rPr>
          <w:rFonts w:hAnsi="標楷體" w:hint="eastAsia"/>
          <w:b/>
          <w:bCs w:val="0"/>
        </w:rPr>
        <w:t>對醫院提升效率、減少浪費，確有助益，</w:t>
      </w:r>
      <w:r w:rsidRPr="0005564B">
        <w:rPr>
          <w:rFonts w:hAnsi="標楷體" w:hint="eastAsia"/>
          <w:b/>
          <w:kern w:val="0"/>
        </w:rPr>
        <w:t>惟</w:t>
      </w:r>
      <w:r w:rsidRPr="0005564B">
        <w:rPr>
          <w:rFonts w:hAnsi="標楷體" w:hint="eastAsia"/>
          <w:b/>
        </w:rPr>
        <w:t>目前仍僅實施</w:t>
      </w:r>
      <w:r w:rsidRPr="0005564B">
        <w:rPr>
          <w:rFonts w:hAnsi="標楷體"/>
          <w:b/>
        </w:rPr>
        <w:t>401項DRG</w:t>
      </w:r>
      <w:r w:rsidRPr="0005564B">
        <w:rPr>
          <w:rFonts w:hAnsi="標楷體" w:hint="eastAsia"/>
          <w:b/>
        </w:rPr>
        <w:t>(占比20%)，原預計</w:t>
      </w:r>
      <w:r w:rsidRPr="0005564B">
        <w:rPr>
          <w:rFonts w:hAnsi="標楷體"/>
          <w:b/>
        </w:rPr>
        <w:t>自107月7月1日起分3階段</w:t>
      </w:r>
      <w:r w:rsidR="00FE05E5" w:rsidRPr="0005564B">
        <w:rPr>
          <w:rFonts w:hAnsi="標楷體" w:hint="eastAsia"/>
          <w:b/>
          <w:lang w:eastAsia="zh-HK"/>
        </w:rPr>
        <w:t>推動</w:t>
      </w:r>
      <w:r w:rsidRPr="0005564B">
        <w:rPr>
          <w:rFonts w:hAnsi="標楷體"/>
          <w:b/>
        </w:rPr>
        <w:t>第3至5階</w:t>
      </w:r>
      <w:r w:rsidRPr="0005564B">
        <w:rPr>
          <w:rFonts w:hAnsi="標楷體" w:hint="eastAsia"/>
          <w:b/>
        </w:rPr>
        <w:t>段</w:t>
      </w:r>
      <w:r w:rsidRPr="0005564B">
        <w:rPr>
          <w:rFonts w:hAnsi="標楷體"/>
          <w:b/>
        </w:rPr>
        <w:t>計1,089項</w:t>
      </w:r>
      <w:r w:rsidRPr="0005564B">
        <w:rPr>
          <w:rFonts w:hAnsi="標楷體" w:hint="eastAsia"/>
          <w:b/>
        </w:rPr>
        <w:t>之</w:t>
      </w:r>
      <w:r w:rsidRPr="0005564B">
        <w:rPr>
          <w:rFonts w:hAnsi="標楷體"/>
          <w:b/>
        </w:rPr>
        <w:t>DRG</w:t>
      </w:r>
      <w:r w:rsidR="00FE05E5" w:rsidRPr="0005564B">
        <w:rPr>
          <w:rFonts w:hAnsi="標楷體"/>
          <w:b/>
        </w:rPr>
        <w:t>，</w:t>
      </w:r>
      <w:r w:rsidR="00FE05E5" w:rsidRPr="0005564B">
        <w:rPr>
          <w:rFonts w:hAnsi="標楷體" w:hint="eastAsia"/>
          <w:b/>
          <w:lang w:eastAsia="zh-HK"/>
        </w:rPr>
        <w:t>惟因醫師和醫療院所反對</w:t>
      </w:r>
      <w:r w:rsidRPr="0005564B">
        <w:rPr>
          <w:rFonts w:hAnsi="標楷體" w:hint="eastAsia"/>
          <w:b/>
        </w:rPr>
        <w:t>，迄今尚未能順利推</w:t>
      </w:r>
      <w:r w:rsidR="00FE05E5" w:rsidRPr="0005564B">
        <w:rPr>
          <w:rFonts w:hAnsi="標楷體" w:hint="eastAsia"/>
          <w:b/>
          <w:lang w:eastAsia="zh-HK"/>
        </w:rPr>
        <w:t>行</w:t>
      </w:r>
      <w:r w:rsidRPr="0005564B">
        <w:rPr>
          <w:rFonts w:hAnsi="標楷體" w:hint="eastAsia"/>
          <w:b/>
        </w:rPr>
        <w:t>。</w:t>
      </w:r>
      <w:r w:rsidRPr="0005564B">
        <w:rPr>
          <w:rFonts w:hint="eastAsia"/>
          <w:b/>
        </w:rPr>
        <w:t>DRG的支付制度可使得各醫院必須控制成本支出，以投入較少的醫療資源來達到較大的療效，減少醫療流程不必要的資源浪費，並進而提高醫療品質</w:t>
      </w:r>
      <w:r w:rsidR="00FE05E5" w:rsidRPr="0005564B">
        <w:rPr>
          <w:rFonts w:hint="eastAsia"/>
          <w:b/>
        </w:rPr>
        <w:t>。</w:t>
      </w:r>
      <w:r w:rsidRPr="0005564B">
        <w:rPr>
          <w:rFonts w:hAnsi="標楷體" w:hint="eastAsia"/>
          <w:b/>
        </w:rPr>
        <w:t>衛福部既已蒐集各</w:t>
      </w:r>
      <w:r w:rsidRPr="0005564B">
        <w:rPr>
          <w:rFonts w:hAnsi="標楷體"/>
          <w:b/>
          <w:szCs w:val="36"/>
        </w:rPr>
        <w:t>專科醫學會</w:t>
      </w:r>
      <w:r w:rsidRPr="0005564B">
        <w:rPr>
          <w:rFonts w:hAnsi="標楷體" w:hint="eastAsia"/>
          <w:b/>
        </w:rPr>
        <w:t>所</w:t>
      </w:r>
      <w:r w:rsidRPr="0005564B">
        <w:rPr>
          <w:rFonts w:hAnsi="標楷體"/>
          <w:b/>
          <w:szCs w:val="36"/>
        </w:rPr>
        <w:t>提供</w:t>
      </w:r>
      <w:r w:rsidRPr="0005564B">
        <w:rPr>
          <w:rFonts w:hAnsi="標楷體" w:hint="eastAsia"/>
          <w:b/>
        </w:rPr>
        <w:t>對</w:t>
      </w:r>
      <w:r w:rsidRPr="0005564B">
        <w:rPr>
          <w:rFonts w:hAnsi="標楷體"/>
          <w:b/>
          <w:szCs w:val="36"/>
        </w:rPr>
        <w:t>DRG</w:t>
      </w:r>
      <w:r w:rsidRPr="0005564B">
        <w:rPr>
          <w:rFonts w:hAnsi="標楷體" w:hint="eastAsia"/>
          <w:b/>
        </w:rPr>
        <w:t>之相關建議或</w:t>
      </w:r>
      <w:r w:rsidRPr="0005564B">
        <w:rPr>
          <w:rFonts w:hAnsi="標楷體" w:hint="eastAsia"/>
          <w:b/>
          <w:szCs w:val="36"/>
        </w:rPr>
        <w:t>意見</w:t>
      </w:r>
      <w:r w:rsidRPr="0005564B">
        <w:rPr>
          <w:rFonts w:hAnsi="標楷體" w:hint="eastAsia"/>
          <w:b/>
        </w:rPr>
        <w:t>，允應儘速研議並適切調整，俾利落實。</w:t>
      </w:r>
      <w:bookmarkEnd w:id="104"/>
      <w:bookmarkEnd w:id="105"/>
      <w:bookmarkEnd w:id="106"/>
      <w:bookmarkEnd w:id="107"/>
    </w:p>
    <w:p w:rsidR="009C0D16" w:rsidRPr="0005564B" w:rsidRDefault="009C0D16" w:rsidP="009C0D16">
      <w:pPr>
        <w:pStyle w:val="3"/>
        <w:numPr>
          <w:ilvl w:val="2"/>
          <w:numId w:val="1"/>
        </w:numPr>
      </w:pPr>
      <w:bookmarkStart w:id="108" w:name="_Toc10027559"/>
      <w:bookmarkStart w:id="109" w:name="_Toc10054252"/>
      <w:bookmarkStart w:id="110" w:name="_Toc10066357"/>
      <w:bookmarkStart w:id="111" w:name="_Toc9058324"/>
      <w:r w:rsidRPr="0005564B">
        <w:rPr>
          <w:rFonts w:hint="eastAsia"/>
        </w:rPr>
        <w:lastRenderedPageBreak/>
        <w:t>住院診斷關聯群（Diagnosis related groups，DRG）支付制度，是同病同酬為概念的醫療費用支付制度，同一住院疾病採包裹給付，和過去論量計酬有所不同，係各國實施醫療保險制度以來，由保險人給付醫療院所的主要支付制度之一。DRG是根據住院病患診斷、手術或處置，依年齡、性別、有無合併症或併發症及出院狀況等條件，分成不同群組，再依各群組所耗用醫療資源，訂定各群組的包裹支付方式。凡病患屬於同一診斷，住院給付均給予定額給付，亦即同病同酬。這種同病同酬包裹式的支付制度使得各個醫院必須針對群組的疾病建立起一定的診斷治療模式，即所謂的臨床路徑 (Clinical Pathway) 來控制醫院本身成本的支出，使醫療可以以最少的資源來達到最大的療效。由於 DRG 支付制度可以迫使醫療院所重新檢視院內的醫療流程是否有資源浪費，並進而提高醫療品質，因此各個先進國家爭相仿效，美國、加拿大、澳洲、紐西蘭、德國、比利時、愛爾蘭、捷克、葡萄牙、西班牙、法國、挪威、瑞典、日本、新加坡、韓國……等國都採用類似制度，以控管醫療費用。</w:t>
      </w:r>
      <w:bookmarkEnd w:id="108"/>
      <w:bookmarkEnd w:id="109"/>
      <w:bookmarkEnd w:id="110"/>
    </w:p>
    <w:p w:rsidR="009C0D16" w:rsidRPr="0005564B" w:rsidRDefault="009C0D16" w:rsidP="009C0D16">
      <w:pPr>
        <w:pStyle w:val="3"/>
        <w:numPr>
          <w:ilvl w:val="2"/>
          <w:numId w:val="1"/>
        </w:numPr>
      </w:pPr>
      <w:bookmarkStart w:id="112" w:name="_Toc10027560"/>
      <w:bookmarkStart w:id="113" w:name="_Toc10054253"/>
      <w:bookmarkStart w:id="114" w:name="_Toc10066358"/>
      <w:r w:rsidRPr="0005564B">
        <w:t>我國住院診斷關聯群（Tw-DRG）共規劃分5階段導入，第1階段於99年導入164項DRG，第2階段於103年7月導入237項DRG，</w:t>
      </w:r>
      <w:r w:rsidRPr="0005564B">
        <w:rPr>
          <w:rFonts w:hint="eastAsia"/>
        </w:rPr>
        <w:t>目前</w:t>
      </w:r>
      <w:r w:rsidRPr="0005564B">
        <w:t>合計</w:t>
      </w:r>
      <w:r w:rsidRPr="0005564B">
        <w:rPr>
          <w:rFonts w:hint="eastAsia"/>
        </w:rPr>
        <w:t>已</w:t>
      </w:r>
      <w:r w:rsidRPr="0005564B">
        <w:t>導入401項DRG。</w:t>
      </w:r>
      <w:r w:rsidRPr="0005564B">
        <w:rPr>
          <w:rFonts w:hint="eastAsia"/>
        </w:rPr>
        <w:t>因</w:t>
      </w:r>
      <w:r w:rsidRPr="0005564B">
        <w:t>現行導入之第1、2階DRG多為外科系疾病，為解決因分階段實施Tw-DRG，未實施之住院案件仍採論量計酬支付，造成醫院內部管理之矛盾。</w:t>
      </w:r>
      <w:bookmarkEnd w:id="111"/>
      <w:bookmarkEnd w:id="112"/>
      <w:bookmarkEnd w:id="113"/>
      <w:bookmarkEnd w:id="114"/>
    </w:p>
    <w:p w:rsidR="009C0D16" w:rsidRPr="0005564B" w:rsidRDefault="009C0D16" w:rsidP="009C0D16">
      <w:pPr>
        <w:pStyle w:val="3"/>
        <w:numPr>
          <w:ilvl w:val="2"/>
          <w:numId w:val="1"/>
        </w:numPr>
      </w:pPr>
      <w:bookmarkStart w:id="115" w:name="_Toc9058325"/>
      <w:bookmarkStart w:id="116" w:name="_Toc10027561"/>
      <w:bookmarkStart w:id="117" w:name="_Toc10054254"/>
      <w:bookmarkStart w:id="118" w:name="_Toc10066359"/>
      <w:r w:rsidRPr="0005564B">
        <w:rPr>
          <w:rFonts w:hint="eastAsia"/>
        </w:rPr>
        <w:t>衛福</w:t>
      </w:r>
      <w:r w:rsidRPr="0005564B">
        <w:t>部前於105年1月28日公告，自105年3月1日起，醫院住院全面實施Tw-DRG支付制度。惟考量醫界對於擴大實施Tw-DRG仍有疑義，且發布後適逢春節假期，特約醫院反映營運困擾或電腦資訊程式配合困</w:t>
      </w:r>
      <w:r w:rsidRPr="0005564B">
        <w:lastRenderedPageBreak/>
        <w:t>難等問題，</w:t>
      </w:r>
      <w:r w:rsidRPr="0005564B">
        <w:rPr>
          <w:rFonts w:hint="eastAsia"/>
        </w:rPr>
        <w:t>衛福</w:t>
      </w:r>
      <w:r w:rsidRPr="0005564B">
        <w:t>部健保署經謹慎評估後，決定暫緩實施。</w:t>
      </w:r>
      <w:r w:rsidRPr="0005564B">
        <w:rPr>
          <w:kern w:val="0"/>
        </w:rPr>
        <w:t>暫緩實施期間，</w:t>
      </w:r>
      <w:r w:rsidRPr="0005564B">
        <w:rPr>
          <w:rFonts w:hint="eastAsia"/>
          <w:kern w:val="0"/>
        </w:rPr>
        <w:t>衛福</w:t>
      </w:r>
      <w:r w:rsidRPr="0005564B">
        <w:t>部健保署廣納各界對於Tw-DRG之修訂意見並規劃4.0版Tw-DRG支付通則，後於107年3月20日「全民健康保險醫療服務給付項目及支付標準共同擬訂會議」決議，自107月7月1日起實施4.0版支付通則，扣除80項暫緩實施項目，分3階段實施第3至5階</w:t>
      </w:r>
      <w:r w:rsidRPr="0005564B">
        <w:rPr>
          <w:rFonts w:hint="eastAsia"/>
        </w:rPr>
        <w:t>段</w:t>
      </w:r>
      <w:r w:rsidRPr="0005564B">
        <w:t>計1,089項DRG：</w:t>
      </w:r>
      <w:bookmarkEnd w:id="115"/>
      <w:bookmarkEnd w:id="116"/>
      <w:bookmarkEnd w:id="117"/>
      <w:bookmarkEnd w:id="118"/>
    </w:p>
    <w:p w:rsidR="009C0D16" w:rsidRPr="0005564B" w:rsidRDefault="009C0D16" w:rsidP="009C0D16">
      <w:pPr>
        <w:pStyle w:val="4"/>
        <w:numPr>
          <w:ilvl w:val="3"/>
          <w:numId w:val="1"/>
        </w:numPr>
      </w:pPr>
      <w:r w:rsidRPr="0005564B">
        <w:t>第3階段DRG：107月7月1日實施，計443項。</w:t>
      </w:r>
    </w:p>
    <w:p w:rsidR="009C0D16" w:rsidRPr="0005564B" w:rsidRDefault="009C0D16" w:rsidP="009C0D16">
      <w:pPr>
        <w:pStyle w:val="4"/>
        <w:numPr>
          <w:ilvl w:val="3"/>
          <w:numId w:val="1"/>
        </w:numPr>
      </w:pPr>
      <w:r w:rsidRPr="0005564B">
        <w:t>第4階段DRG：107年9月1日實施，計259項</w:t>
      </w:r>
      <w:r w:rsidRPr="0005564B">
        <w:rPr>
          <w:rFonts w:hint="eastAsia"/>
        </w:rPr>
        <w:t>（</w:t>
      </w:r>
      <w:r w:rsidRPr="0005564B">
        <w:t>含原第3階段之20項</w:t>
      </w:r>
      <w:r w:rsidRPr="0005564B">
        <w:rPr>
          <w:rFonts w:hint="eastAsia"/>
        </w:rPr>
        <w:t>）</w:t>
      </w:r>
      <w:r w:rsidRPr="0005564B">
        <w:t>。</w:t>
      </w:r>
    </w:p>
    <w:p w:rsidR="009C0D16" w:rsidRPr="0005564B" w:rsidRDefault="009C0D16" w:rsidP="009C0D16">
      <w:pPr>
        <w:pStyle w:val="4"/>
        <w:numPr>
          <w:ilvl w:val="3"/>
          <w:numId w:val="1"/>
        </w:numPr>
      </w:pPr>
      <w:r w:rsidRPr="0005564B">
        <w:t>第5階段DRG：107年11月1日實施，計387項。</w:t>
      </w:r>
    </w:p>
    <w:p w:rsidR="009C0D16" w:rsidRPr="0005564B" w:rsidRDefault="009C0D16" w:rsidP="009C0D16">
      <w:pPr>
        <w:pStyle w:val="3"/>
        <w:numPr>
          <w:ilvl w:val="0"/>
          <w:numId w:val="0"/>
        </w:numPr>
        <w:ind w:left="1361" w:firstLineChars="213" w:firstLine="725"/>
        <w:rPr>
          <w:szCs w:val="32"/>
        </w:rPr>
      </w:pPr>
      <w:bookmarkStart w:id="119" w:name="_Toc9058326"/>
      <w:bookmarkStart w:id="120" w:name="_Toc10027562"/>
      <w:bookmarkStart w:id="121" w:name="_Toc10054255"/>
      <w:bookmarkStart w:id="122" w:name="_Toc10066360"/>
      <w:r w:rsidRPr="0005564B">
        <w:rPr>
          <w:rFonts w:hint="eastAsia"/>
        </w:rPr>
        <w:t>惟</w:t>
      </w:r>
      <w:r w:rsidRPr="0005564B">
        <w:t>上述決議</w:t>
      </w:r>
      <w:r w:rsidRPr="0005564B">
        <w:rPr>
          <w:rFonts w:hint="eastAsia"/>
        </w:rPr>
        <w:t>之</w:t>
      </w:r>
      <w:r w:rsidRPr="0005564B">
        <w:t>會議紀錄公開後，</w:t>
      </w:r>
      <w:r w:rsidRPr="0005564B">
        <w:rPr>
          <w:rFonts w:hint="eastAsia"/>
        </w:rPr>
        <w:t>衛福</w:t>
      </w:r>
      <w:r w:rsidRPr="0005564B">
        <w:t>部接獲各界反應意見多表示對於實施內容仍有疑慮。考量Tw-DRG實施屬重大支付制度變革，</w:t>
      </w:r>
      <w:r w:rsidRPr="0005564B">
        <w:rPr>
          <w:rFonts w:hint="eastAsia"/>
        </w:rPr>
        <w:t>衛福</w:t>
      </w:r>
      <w:r w:rsidRPr="0005564B">
        <w:t>部健保署於107年6月11日函請77家醫學會提出執行上有困難</w:t>
      </w:r>
      <w:r w:rsidRPr="0005564B">
        <w:rPr>
          <w:kern w:val="28"/>
          <w:szCs w:val="32"/>
        </w:rPr>
        <w:t>之DRG項目、具體理由說明及建議處理方式</w:t>
      </w:r>
      <w:r w:rsidRPr="0005564B">
        <w:rPr>
          <w:rFonts w:hint="eastAsia"/>
          <w:kern w:val="28"/>
          <w:szCs w:val="32"/>
        </w:rPr>
        <w:t>，</w:t>
      </w:r>
      <w:r w:rsidRPr="0005564B">
        <w:rPr>
          <w:rFonts w:hint="eastAsia"/>
          <w:kern w:val="0"/>
        </w:rPr>
        <w:t>健保署現針對前述醫學會函復意見調整Tw-DRG支付制度及財務試算，俟與相關醫學會討論後，再將辦理情形提案至全民健康保險醫療服務給付項目及支付標準共同擬訂會議討論。</w:t>
      </w:r>
      <w:r w:rsidRPr="0005564B">
        <w:rPr>
          <w:szCs w:val="32"/>
        </w:rPr>
        <w:t>截至108年1月14日止，共計47個專科醫學會提供823項修訂建議（共計影響923</w:t>
      </w:r>
      <w:r w:rsidRPr="0005564B">
        <w:rPr>
          <w:rFonts w:hint="eastAsia"/>
          <w:szCs w:val="32"/>
        </w:rPr>
        <w:t>項</w:t>
      </w:r>
      <w:r w:rsidRPr="0005564B">
        <w:rPr>
          <w:szCs w:val="32"/>
        </w:rPr>
        <w:t>DRG），綜整意見如</w:t>
      </w:r>
      <w:r w:rsidRPr="0005564B">
        <w:rPr>
          <w:rFonts w:hint="eastAsia"/>
          <w:szCs w:val="32"/>
        </w:rPr>
        <w:t>下表所示：</w:t>
      </w:r>
      <w:bookmarkEnd w:id="119"/>
      <w:bookmarkEnd w:id="120"/>
      <w:bookmarkEnd w:id="121"/>
      <w:bookmarkEnd w:id="122"/>
    </w:p>
    <w:p w:rsidR="009C0D16" w:rsidRPr="0005564B" w:rsidRDefault="009C0D16" w:rsidP="009C0D16">
      <w:pPr>
        <w:pStyle w:val="a3"/>
        <w:jc w:val="center"/>
        <w:rPr>
          <w:b/>
        </w:rPr>
      </w:pPr>
      <w:r w:rsidRPr="0005564B">
        <w:rPr>
          <w:b/>
          <w:szCs w:val="32"/>
        </w:rPr>
        <w:t>專科醫學會提供</w:t>
      </w:r>
      <w:r w:rsidRPr="0005564B">
        <w:rPr>
          <w:rFonts w:hint="eastAsia"/>
          <w:b/>
          <w:szCs w:val="32"/>
        </w:rPr>
        <w:t>對</w:t>
      </w:r>
      <w:r w:rsidRPr="0005564B">
        <w:rPr>
          <w:b/>
          <w:szCs w:val="32"/>
        </w:rPr>
        <w:t>DRG</w:t>
      </w:r>
      <w:r w:rsidRPr="0005564B">
        <w:rPr>
          <w:rFonts w:hint="eastAsia"/>
          <w:b/>
          <w:szCs w:val="32"/>
        </w:rPr>
        <w:t>制之意見</w:t>
      </w:r>
    </w:p>
    <w:tbl>
      <w:tblPr>
        <w:tblStyle w:val="62"/>
        <w:tblW w:w="9214" w:type="dxa"/>
        <w:tblInd w:w="250" w:type="dxa"/>
        <w:tblLook w:val="04A0" w:firstRow="1" w:lastRow="0" w:firstColumn="1" w:lastColumn="0" w:noHBand="0" w:noVBand="1"/>
      </w:tblPr>
      <w:tblGrid>
        <w:gridCol w:w="1843"/>
        <w:gridCol w:w="1264"/>
        <w:gridCol w:w="1004"/>
        <w:gridCol w:w="5103"/>
      </w:tblGrid>
      <w:tr w:rsidR="0005564B" w:rsidRPr="0005564B" w:rsidTr="008A108E">
        <w:trPr>
          <w:trHeight w:val="593"/>
          <w:tblHeader/>
        </w:trPr>
        <w:tc>
          <w:tcPr>
            <w:tcW w:w="1843" w:type="dxa"/>
            <w:vAlign w:val="center"/>
          </w:tcPr>
          <w:p w:rsidR="009C0D16" w:rsidRPr="0005564B" w:rsidRDefault="009C0D16" w:rsidP="004F7DDF">
            <w:pPr>
              <w:spacing w:line="300" w:lineRule="exact"/>
              <w:ind w:leftChars="-31" w:left="-105" w:rightChars="-31" w:right="-105"/>
              <w:jc w:val="center"/>
              <w:rPr>
                <w:b/>
                <w:sz w:val="24"/>
                <w:szCs w:val="24"/>
              </w:rPr>
            </w:pPr>
            <w:r w:rsidRPr="0005564B">
              <w:rPr>
                <w:b/>
                <w:sz w:val="24"/>
                <w:szCs w:val="24"/>
              </w:rPr>
              <w:t>建議處理方式</w:t>
            </w:r>
          </w:p>
        </w:tc>
        <w:tc>
          <w:tcPr>
            <w:tcW w:w="1264" w:type="dxa"/>
            <w:vAlign w:val="center"/>
          </w:tcPr>
          <w:p w:rsidR="009C0D16" w:rsidRPr="0005564B" w:rsidRDefault="009C0D16" w:rsidP="001A6AF0">
            <w:pPr>
              <w:spacing w:line="300" w:lineRule="exact"/>
              <w:jc w:val="center"/>
              <w:rPr>
                <w:b/>
                <w:sz w:val="24"/>
                <w:szCs w:val="24"/>
              </w:rPr>
            </w:pPr>
            <w:r w:rsidRPr="0005564B">
              <w:rPr>
                <w:b/>
                <w:sz w:val="24"/>
                <w:szCs w:val="24"/>
              </w:rPr>
              <w:t>提出</w:t>
            </w:r>
          </w:p>
          <w:p w:rsidR="009C0D16" w:rsidRPr="0005564B" w:rsidRDefault="009C0D16" w:rsidP="001A6AF0">
            <w:pPr>
              <w:spacing w:line="300" w:lineRule="exact"/>
              <w:jc w:val="center"/>
              <w:rPr>
                <w:b/>
                <w:sz w:val="24"/>
                <w:szCs w:val="24"/>
              </w:rPr>
            </w:pPr>
            <w:r w:rsidRPr="0005564B">
              <w:rPr>
                <w:b/>
                <w:sz w:val="24"/>
                <w:szCs w:val="24"/>
              </w:rPr>
              <w:t>學會數</w:t>
            </w:r>
          </w:p>
        </w:tc>
        <w:tc>
          <w:tcPr>
            <w:tcW w:w="1004" w:type="dxa"/>
            <w:vAlign w:val="center"/>
          </w:tcPr>
          <w:p w:rsidR="009C0D16" w:rsidRPr="0005564B" w:rsidRDefault="009C0D16" w:rsidP="001A6AF0">
            <w:pPr>
              <w:spacing w:line="300" w:lineRule="exact"/>
              <w:jc w:val="center"/>
              <w:rPr>
                <w:b/>
                <w:sz w:val="24"/>
                <w:szCs w:val="24"/>
              </w:rPr>
            </w:pPr>
            <w:r w:rsidRPr="0005564B">
              <w:rPr>
                <w:b/>
                <w:sz w:val="24"/>
                <w:szCs w:val="24"/>
              </w:rPr>
              <w:t>DRG數</w:t>
            </w:r>
          </w:p>
        </w:tc>
        <w:tc>
          <w:tcPr>
            <w:tcW w:w="5103" w:type="dxa"/>
            <w:vAlign w:val="center"/>
          </w:tcPr>
          <w:p w:rsidR="009C0D16" w:rsidRPr="0005564B" w:rsidRDefault="009C0D16" w:rsidP="001A6AF0">
            <w:pPr>
              <w:spacing w:line="300" w:lineRule="exact"/>
              <w:jc w:val="center"/>
              <w:rPr>
                <w:b/>
                <w:sz w:val="24"/>
                <w:szCs w:val="24"/>
              </w:rPr>
            </w:pPr>
            <w:r w:rsidRPr="0005564B">
              <w:rPr>
                <w:b/>
                <w:sz w:val="24"/>
                <w:szCs w:val="24"/>
              </w:rPr>
              <w:t>提出內容</w:t>
            </w:r>
          </w:p>
        </w:tc>
      </w:tr>
      <w:tr w:rsidR="0005564B" w:rsidRPr="0005564B" w:rsidTr="008A108E">
        <w:tc>
          <w:tcPr>
            <w:tcW w:w="1843" w:type="dxa"/>
            <w:vAlign w:val="center"/>
          </w:tcPr>
          <w:p w:rsidR="009C0D16" w:rsidRPr="0005564B" w:rsidRDefault="009C0D16" w:rsidP="001A6AF0">
            <w:pPr>
              <w:spacing w:line="300" w:lineRule="exact"/>
              <w:rPr>
                <w:sz w:val="24"/>
                <w:szCs w:val="24"/>
              </w:rPr>
            </w:pPr>
            <w:r w:rsidRPr="0005564B">
              <w:rPr>
                <w:sz w:val="24"/>
                <w:szCs w:val="24"/>
              </w:rPr>
              <w:t>核實</w:t>
            </w:r>
          </w:p>
        </w:tc>
        <w:tc>
          <w:tcPr>
            <w:tcW w:w="1264" w:type="dxa"/>
            <w:vAlign w:val="center"/>
          </w:tcPr>
          <w:p w:rsidR="009C0D16" w:rsidRPr="0005564B" w:rsidRDefault="009C0D16" w:rsidP="009C0D16">
            <w:pPr>
              <w:spacing w:line="300" w:lineRule="exact"/>
              <w:ind w:rightChars="75" w:right="255"/>
              <w:jc w:val="right"/>
              <w:rPr>
                <w:sz w:val="24"/>
                <w:szCs w:val="24"/>
              </w:rPr>
            </w:pPr>
            <w:r w:rsidRPr="0005564B">
              <w:rPr>
                <w:sz w:val="24"/>
                <w:szCs w:val="24"/>
              </w:rPr>
              <w:t>13</w:t>
            </w:r>
          </w:p>
        </w:tc>
        <w:tc>
          <w:tcPr>
            <w:tcW w:w="1004" w:type="dxa"/>
            <w:vAlign w:val="center"/>
          </w:tcPr>
          <w:p w:rsidR="009C0D16" w:rsidRPr="0005564B" w:rsidRDefault="009C0D16" w:rsidP="004F7DDF">
            <w:pPr>
              <w:spacing w:beforeLines="25" w:before="114" w:afterLines="25" w:after="114" w:line="300" w:lineRule="exact"/>
              <w:ind w:rightChars="75" w:right="255"/>
              <w:jc w:val="right"/>
              <w:rPr>
                <w:sz w:val="24"/>
                <w:szCs w:val="24"/>
              </w:rPr>
            </w:pPr>
            <w:r w:rsidRPr="0005564B">
              <w:rPr>
                <w:sz w:val="24"/>
                <w:szCs w:val="24"/>
              </w:rPr>
              <w:t>174</w:t>
            </w:r>
          </w:p>
        </w:tc>
        <w:tc>
          <w:tcPr>
            <w:tcW w:w="5103" w:type="dxa"/>
            <w:vAlign w:val="center"/>
          </w:tcPr>
          <w:p w:rsidR="009C0D16" w:rsidRPr="0005564B" w:rsidRDefault="009C0D16" w:rsidP="003B110E">
            <w:pPr>
              <w:spacing w:line="280" w:lineRule="exact"/>
              <w:rPr>
                <w:sz w:val="24"/>
                <w:szCs w:val="24"/>
              </w:rPr>
            </w:pPr>
            <w:r w:rsidRPr="0005564B">
              <w:rPr>
                <w:sz w:val="24"/>
                <w:szCs w:val="24"/>
              </w:rPr>
              <w:t>脊椎損傷、放射性手術、癲癇重積、癲癇手術術前評估、糖尿病足部傷口潰瘍/週邊血管疾病、天疱瘡</w:t>
            </w:r>
          </w:p>
        </w:tc>
      </w:tr>
      <w:tr w:rsidR="0005564B" w:rsidRPr="0005564B" w:rsidTr="008A108E">
        <w:tc>
          <w:tcPr>
            <w:tcW w:w="1843" w:type="dxa"/>
            <w:vAlign w:val="center"/>
          </w:tcPr>
          <w:p w:rsidR="009C0D16" w:rsidRPr="0005564B" w:rsidRDefault="009C0D16" w:rsidP="001A6AF0">
            <w:pPr>
              <w:spacing w:line="300" w:lineRule="exact"/>
              <w:rPr>
                <w:sz w:val="24"/>
                <w:szCs w:val="24"/>
              </w:rPr>
            </w:pPr>
            <w:r w:rsidRPr="0005564B">
              <w:rPr>
                <w:sz w:val="24"/>
                <w:szCs w:val="24"/>
              </w:rPr>
              <w:t>暫緩</w:t>
            </w:r>
          </w:p>
        </w:tc>
        <w:tc>
          <w:tcPr>
            <w:tcW w:w="1264" w:type="dxa"/>
            <w:vAlign w:val="center"/>
          </w:tcPr>
          <w:p w:rsidR="009C0D16" w:rsidRPr="0005564B" w:rsidRDefault="009C0D16" w:rsidP="009C0D16">
            <w:pPr>
              <w:spacing w:line="300" w:lineRule="exact"/>
              <w:ind w:rightChars="75" w:right="255"/>
              <w:jc w:val="right"/>
              <w:rPr>
                <w:sz w:val="24"/>
                <w:szCs w:val="24"/>
              </w:rPr>
            </w:pPr>
            <w:r w:rsidRPr="0005564B">
              <w:rPr>
                <w:sz w:val="24"/>
                <w:szCs w:val="24"/>
              </w:rPr>
              <w:t>14</w:t>
            </w:r>
          </w:p>
        </w:tc>
        <w:tc>
          <w:tcPr>
            <w:tcW w:w="1004" w:type="dxa"/>
            <w:vAlign w:val="center"/>
          </w:tcPr>
          <w:p w:rsidR="009C0D16" w:rsidRPr="0005564B" w:rsidRDefault="009C0D16" w:rsidP="004F7DDF">
            <w:pPr>
              <w:spacing w:beforeLines="25" w:before="114" w:afterLines="25" w:after="114" w:line="300" w:lineRule="exact"/>
              <w:ind w:rightChars="75" w:right="255"/>
              <w:jc w:val="right"/>
              <w:rPr>
                <w:sz w:val="24"/>
                <w:szCs w:val="24"/>
              </w:rPr>
            </w:pPr>
            <w:r w:rsidRPr="0005564B">
              <w:rPr>
                <w:sz w:val="24"/>
                <w:szCs w:val="24"/>
              </w:rPr>
              <w:t>460</w:t>
            </w:r>
          </w:p>
        </w:tc>
        <w:tc>
          <w:tcPr>
            <w:tcW w:w="5103" w:type="dxa"/>
            <w:vAlign w:val="center"/>
          </w:tcPr>
          <w:p w:rsidR="009C0D16" w:rsidRPr="0005564B" w:rsidRDefault="009C0D16" w:rsidP="003B110E">
            <w:pPr>
              <w:spacing w:line="280" w:lineRule="exact"/>
              <w:rPr>
                <w:sz w:val="24"/>
                <w:szCs w:val="24"/>
              </w:rPr>
            </w:pPr>
            <w:r w:rsidRPr="0005564B">
              <w:rPr>
                <w:sz w:val="24"/>
                <w:szCs w:val="24"/>
              </w:rPr>
              <w:t>敗血症、細菌性肺炎、結核病、顱骨切開術、再生不良性貧血、凝血因子異常、發炎性腸道疾病不同入院原因、住院復健（先發展功能相關群組）、消化系DRG可能涵蓋所有消化道及肝膽胰，差異性大、小兒外科相關DRG</w:t>
            </w:r>
          </w:p>
        </w:tc>
      </w:tr>
      <w:tr w:rsidR="0005564B" w:rsidRPr="0005564B" w:rsidTr="008A108E">
        <w:tc>
          <w:tcPr>
            <w:tcW w:w="1843" w:type="dxa"/>
            <w:vAlign w:val="center"/>
          </w:tcPr>
          <w:p w:rsidR="009C0D16" w:rsidRPr="0005564B" w:rsidRDefault="009C0D16" w:rsidP="001A6AF0">
            <w:pPr>
              <w:spacing w:line="300" w:lineRule="exact"/>
              <w:rPr>
                <w:sz w:val="24"/>
                <w:szCs w:val="24"/>
              </w:rPr>
            </w:pPr>
            <w:r w:rsidRPr="0005564B">
              <w:rPr>
                <w:sz w:val="24"/>
                <w:szCs w:val="24"/>
              </w:rPr>
              <w:lastRenderedPageBreak/>
              <w:t>再分類</w:t>
            </w:r>
          </w:p>
        </w:tc>
        <w:tc>
          <w:tcPr>
            <w:tcW w:w="1264" w:type="dxa"/>
            <w:vAlign w:val="center"/>
          </w:tcPr>
          <w:p w:rsidR="009C0D16" w:rsidRPr="0005564B" w:rsidRDefault="009C0D16" w:rsidP="009C0D16">
            <w:pPr>
              <w:spacing w:line="300" w:lineRule="exact"/>
              <w:ind w:rightChars="75" w:right="255"/>
              <w:jc w:val="right"/>
              <w:rPr>
                <w:sz w:val="24"/>
                <w:szCs w:val="24"/>
              </w:rPr>
            </w:pPr>
            <w:r w:rsidRPr="0005564B">
              <w:rPr>
                <w:sz w:val="24"/>
                <w:szCs w:val="24"/>
              </w:rPr>
              <w:t>13</w:t>
            </w:r>
          </w:p>
        </w:tc>
        <w:tc>
          <w:tcPr>
            <w:tcW w:w="1004" w:type="dxa"/>
            <w:vAlign w:val="center"/>
          </w:tcPr>
          <w:p w:rsidR="009C0D16" w:rsidRPr="0005564B" w:rsidRDefault="009C0D16" w:rsidP="004F7DDF">
            <w:pPr>
              <w:spacing w:beforeLines="25" w:before="114" w:afterLines="25" w:after="114" w:line="300" w:lineRule="exact"/>
              <w:ind w:rightChars="75" w:right="255"/>
              <w:jc w:val="right"/>
              <w:rPr>
                <w:sz w:val="24"/>
                <w:szCs w:val="24"/>
              </w:rPr>
            </w:pPr>
            <w:r w:rsidRPr="0005564B">
              <w:rPr>
                <w:sz w:val="24"/>
                <w:szCs w:val="24"/>
              </w:rPr>
              <w:t>70</w:t>
            </w:r>
          </w:p>
        </w:tc>
        <w:tc>
          <w:tcPr>
            <w:tcW w:w="5103" w:type="dxa"/>
            <w:vAlign w:val="center"/>
          </w:tcPr>
          <w:p w:rsidR="009C0D16" w:rsidRPr="0005564B" w:rsidRDefault="009C0D16" w:rsidP="003B110E">
            <w:pPr>
              <w:spacing w:line="280" w:lineRule="exact"/>
              <w:rPr>
                <w:sz w:val="24"/>
                <w:szCs w:val="24"/>
              </w:rPr>
            </w:pPr>
            <w:r w:rsidRPr="0005564B">
              <w:rPr>
                <w:sz w:val="24"/>
                <w:szCs w:val="24"/>
              </w:rPr>
              <w:t>急性胰臟炎/急性肝炎/肝膿瘍/肝硬化及酒精性肝炎（年齡）、腹股溝疝氣或腹壁疝氣與常規疝氣不同、耳鼻喉科建議依手術方式/年齡/CC再分類</w:t>
            </w:r>
          </w:p>
        </w:tc>
      </w:tr>
      <w:tr w:rsidR="0005564B" w:rsidRPr="0005564B" w:rsidTr="008A108E">
        <w:tc>
          <w:tcPr>
            <w:tcW w:w="1843" w:type="dxa"/>
            <w:vAlign w:val="center"/>
          </w:tcPr>
          <w:p w:rsidR="009C0D16" w:rsidRPr="0005564B" w:rsidRDefault="009C0D16" w:rsidP="001A6AF0">
            <w:pPr>
              <w:spacing w:line="300" w:lineRule="exact"/>
              <w:rPr>
                <w:sz w:val="24"/>
                <w:szCs w:val="24"/>
              </w:rPr>
            </w:pPr>
            <w:r w:rsidRPr="0005564B">
              <w:rPr>
                <w:sz w:val="24"/>
                <w:szCs w:val="24"/>
              </w:rPr>
              <w:t>部分排除部分暫緩</w:t>
            </w:r>
          </w:p>
        </w:tc>
        <w:tc>
          <w:tcPr>
            <w:tcW w:w="1264" w:type="dxa"/>
            <w:vAlign w:val="center"/>
          </w:tcPr>
          <w:p w:rsidR="009C0D16" w:rsidRPr="0005564B" w:rsidRDefault="009C0D16" w:rsidP="009C0D16">
            <w:pPr>
              <w:spacing w:line="300" w:lineRule="exact"/>
              <w:ind w:rightChars="75" w:right="255"/>
              <w:jc w:val="right"/>
              <w:rPr>
                <w:sz w:val="24"/>
                <w:szCs w:val="24"/>
              </w:rPr>
            </w:pPr>
            <w:r w:rsidRPr="0005564B">
              <w:rPr>
                <w:sz w:val="24"/>
                <w:szCs w:val="24"/>
              </w:rPr>
              <w:t>8</w:t>
            </w:r>
          </w:p>
        </w:tc>
        <w:tc>
          <w:tcPr>
            <w:tcW w:w="1004" w:type="dxa"/>
            <w:vAlign w:val="center"/>
          </w:tcPr>
          <w:p w:rsidR="009C0D16" w:rsidRPr="0005564B" w:rsidRDefault="009C0D16" w:rsidP="004F7DDF">
            <w:pPr>
              <w:spacing w:beforeLines="25" w:before="114" w:afterLines="25" w:after="114" w:line="300" w:lineRule="exact"/>
              <w:ind w:rightChars="75" w:right="255"/>
              <w:jc w:val="right"/>
              <w:rPr>
                <w:sz w:val="24"/>
                <w:szCs w:val="24"/>
              </w:rPr>
            </w:pPr>
            <w:r w:rsidRPr="0005564B">
              <w:rPr>
                <w:sz w:val="24"/>
                <w:szCs w:val="24"/>
              </w:rPr>
              <w:t>60</w:t>
            </w:r>
          </w:p>
        </w:tc>
        <w:tc>
          <w:tcPr>
            <w:tcW w:w="5103" w:type="dxa"/>
            <w:vAlign w:val="center"/>
          </w:tcPr>
          <w:p w:rsidR="009C0D16" w:rsidRPr="0005564B" w:rsidRDefault="009C0D16" w:rsidP="003B110E">
            <w:pPr>
              <w:spacing w:line="280" w:lineRule="exact"/>
              <w:rPr>
                <w:sz w:val="24"/>
                <w:szCs w:val="24"/>
              </w:rPr>
            </w:pPr>
            <w:r w:rsidRPr="0005564B">
              <w:rPr>
                <w:sz w:val="24"/>
                <w:szCs w:val="24"/>
              </w:rPr>
              <w:t>兒科醫學會建議0-17歲DRG項目暫緩實施</w:t>
            </w:r>
          </w:p>
        </w:tc>
      </w:tr>
      <w:tr w:rsidR="0005564B" w:rsidRPr="0005564B" w:rsidTr="008A108E">
        <w:tc>
          <w:tcPr>
            <w:tcW w:w="1843" w:type="dxa"/>
            <w:vAlign w:val="center"/>
          </w:tcPr>
          <w:p w:rsidR="009C0D16" w:rsidRPr="0005564B" w:rsidRDefault="009C0D16" w:rsidP="001A6AF0">
            <w:pPr>
              <w:spacing w:line="300" w:lineRule="exact"/>
              <w:rPr>
                <w:sz w:val="24"/>
                <w:szCs w:val="24"/>
              </w:rPr>
            </w:pPr>
            <w:r w:rsidRPr="0005564B">
              <w:rPr>
                <w:sz w:val="24"/>
                <w:szCs w:val="24"/>
              </w:rPr>
              <w:t>部分核實</w:t>
            </w:r>
          </w:p>
        </w:tc>
        <w:tc>
          <w:tcPr>
            <w:tcW w:w="1264" w:type="dxa"/>
            <w:vAlign w:val="center"/>
          </w:tcPr>
          <w:p w:rsidR="009C0D16" w:rsidRPr="0005564B" w:rsidRDefault="009C0D16" w:rsidP="009C0D16">
            <w:pPr>
              <w:spacing w:line="300" w:lineRule="exact"/>
              <w:ind w:rightChars="75" w:right="255"/>
              <w:jc w:val="right"/>
              <w:rPr>
                <w:sz w:val="24"/>
                <w:szCs w:val="24"/>
              </w:rPr>
            </w:pPr>
            <w:r w:rsidRPr="0005564B">
              <w:rPr>
                <w:sz w:val="24"/>
                <w:szCs w:val="24"/>
              </w:rPr>
              <w:t>5</w:t>
            </w:r>
          </w:p>
        </w:tc>
        <w:tc>
          <w:tcPr>
            <w:tcW w:w="1004" w:type="dxa"/>
            <w:vAlign w:val="center"/>
          </w:tcPr>
          <w:p w:rsidR="009C0D16" w:rsidRPr="0005564B" w:rsidRDefault="009C0D16" w:rsidP="004F7DDF">
            <w:pPr>
              <w:spacing w:beforeLines="25" w:before="114" w:afterLines="25" w:after="114" w:line="300" w:lineRule="exact"/>
              <w:ind w:rightChars="75" w:right="255"/>
              <w:jc w:val="right"/>
              <w:rPr>
                <w:sz w:val="24"/>
                <w:szCs w:val="24"/>
              </w:rPr>
            </w:pPr>
            <w:r w:rsidRPr="0005564B">
              <w:rPr>
                <w:sz w:val="24"/>
                <w:szCs w:val="24"/>
              </w:rPr>
              <w:t>123</w:t>
            </w:r>
          </w:p>
        </w:tc>
        <w:tc>
          <w:tcPr>
            <w:tcW w:w="5103" w:type="dxa"/>
            <w:vAlign w:val="center"/>
          </w:tcPr>
          <w:p w:rsidR="009C0D16" w:rsidRPr="0005564B" w:rsidRDefault="009C0D16" w:rsidP="003B110E">
            <w:pPr>
              <w:spacing w:line="280" w:lineRule="exact"/>
              <w:rPr>
                <w:sz w:val="24"/>
                <w:szCs w:val="24"/>
              </w:rPr>
            </w:pPr>
            <w:r w:rsidRPr="0005564B">
              <w:rPr>
                <w:sz w:val="24"/>
                <w:szCs w:val="24"/>
              </w:rPr>
              <w:t>血漿置換術、腎臟切片病理檢驗、腦血管疾病所使用之特材（腦血管閉塞球囊系統組/微導管/血管支架/氣球）、心瓣膜、DBS、IONM、血管內超音波、血栓抽吸導管</w:t>
            </w:r>
          </w:p>
        </w:tc>
      </w:tr>
      <w:tr w:rsidR="0005564B" w:rsidRPr="0005564B" w:rsidTr="008A108E">
        <w:tc>
          <w:tcPr>
            <w:tcW w:w="1843" w:type="dxa"/>
            <w:vAlign w:val="center"/>
          </w:tcPr>
          <w:p w:rsidR="009C0D16" w:rsidRPr="0005564B" w:rsidRDefault="009C0D16" w:rsidP="001A6AF0">
            <w:pPr>
              <w:spacing w:line="300" w:lineRule="exact"/>
              <w:rPr>
                <w:sz w:val="24"/>
                <w:szCs w:val="24"/>
              </w:rPr>
            </w:pPr>
            <w:r w:rsidRPr="0005564B">
              <w:rPr>
                <w:sz w:val="24"/>
                <w:szCs w:val="24"/>
              </w:rPr>
              <w:t>分類表調整</w:t>
            </w:r>
          </w:p>
        </w:tc>
        <w:tc>
          <w:tcPr>
            <w:tcW w:w="1264" w:type="dxa"/>
            <w:vAlign w:val="center"/>
          </w:tcPr>
          <w:p w:rsidR="009C0D16" w:rsidRPr="0005564B" w:rsidRDefault="009C0D16" w:rsidP="009C0D16">
            <w:pPr>
              <w:spacing w:line="300" w:lineRule="exact"/>
              <w:ind w:rightChars="75" w:right="255"/>
              <w:jc w:val="right"/>
              <w:rPr>
                <w:sz w:val="24"/>
                <w:szCs w:val="24"/>
              </w:rPr>
            </w:pPr>
            <w:r w:rsidRPr="0005564B">
              <w:rPr>
                <w:sz w:val="24"/>
                <w:szCs w:val="24"/>
              </w:rPr>
              <w:t>4</w:t>
            </w:r>
          </w:p>
        </w:tc>
        <w:tc>
          <w:tcPr>
            <w:tcW w:w="1004" w:type="dxa"/>
            <w:vAlign w:val="center"/>
          </w:tcPr>
          <w:p w:rsidR="009C0D16" w:rsidRPr="0005564B" w:rsidRDefault="009C0D16" w:rsidP="004F7DDF">
            <w:pPr>
              <w:spacing w:beforeLines="25" w:before="114" w:afterLines="25" w:after="114" w:line="300" w:lineRule="exact"/>
              <w:ind w:rightChars="75" w:right="255"/>
              <w:jc w:val="right"/>
              <w:rPr>
                <w:sz w:val="24"/>
                <w:szCs w:val="24"/>
              </w:rPr>
            </w:pPr>
            <w:r w:rsidRPr="0005564B">
              <w:rPr>
                <w:sz w:val="24"/>
                <w:szCs w:val="24"/>
              </w:rPr>
              <w:t>8</w:t>
            </w:r>
          </w:p>
        </w:tc>
        <w:tc>
          <w:tcPr>
            <w:tcW w:w="5103" w:type="dxa"/>
            <w:vAlign w:val="center"/>
          </w:tcPr>
          <w:p w:rsidR="009C0D16" w:rsidRPr="0005564B" w:rsidRDefault="009C0D16" w:rsidP="003B110E">
            <w:pPr>
              <w:spacing w:line="280" w:lineRule="exact"/>
              <w:rPr>
                <w:sz w:val="24"/>
                <w:szCs w:val="24"/>
              </w:rPr>
            </w:pPr>
            <w:r w:rsidRPr="0005564B">
              <w:rPr>
                <w:sz w:val="24"/>
                <w:szCs w:val="24"/>
              </w:rPr>
              <w:t>眼科相關虛擬碼調整</w:t>
            </w:r>
          </w:p>
        </w:tc>
      </w:tr>
      <w:tr w:rsidR="0005564B" w:rsidRPr="0005564B" w:rsidTr="008A108E">
        <w:tc>
          <w:tcPr>
            <w:tcW w:w="1843" w:type="dxa"/>
            <w:vAlign w:val="center"/>
          </w:tcPr>
          <w:p w:rsidR="009C0D16" w:rsidRPr="0005564B" w:rsidRDefault="009C0D16" w:rsidP="001A6AF0">
            <w:pPr>
              <w:spacing w:line="300" w:lineRule="exact"/>
              <w:rPr>
                <w:sz w:val="24"/>
                <w:szCs w:val="24"/>
              </w:rPr>
            </w:pPr>
            <w:r w:rsidRPr="0005564B">
              <w:rPr>
                <w:sz w:val="24"/>
                <w:szCs w:val="24"/>
              </w:rPr>
              <w:t>調升支付點數</w:t>
            </w:r>
          </w:p>
        </w:tc>
        <w:tc>
          <w:tcPr>
            <w:tcW w:w="1264" w:type="dxa"/>
            <w:vAlign w:val="center"/>
          </w:tcPr>
          <w:p w:rsidR="009C0D16" w:rsidRPr="0005564B" w:rsidRDefault="009C0D16" w:rsidP="009C0D16">
            <w:pPr>
              <w:spacing w:line="300" w:lineRule="exact"/>
              <w:ind w:rightChars="75" w:right="255"/>
              <w:jc w:val="right"/>
              <w:rPr>
                <w:sz w:val="24"/>
                <w:szCs w:val="24"/>
              </w:rPr>
            </w:pPr>
            <w:r w:rsidRPr="0005564B">
              <w:rPr>
                <w:sz w:val="24"/>
                <w:szCs w:val="24"/>
              </w:rPr>
              <w:t>2</w:t>
            </w:r>
          </w:p>
        </w:tc>
        <w:tc>
          <w:tcPr>
            <w:tcW w:w="1004" w:type="dxa"/>
            <w:vAlign w:val="center"/>
          </w:tcPr>
          <w:p w:rsidR="009C0D16" w:rsidRPr="0005564B" w:rsidRDefault="009C0D16" w:rsidP="004F7DDF">
            <w:pPr>
              <w:spacing w:beforeLines="25" w:before="114" w:afterLines="25" w:after="114" w:line="300" w:lineRule="exact"/>
              <w:ind w:rightChars="75" w:right="255"/>
              <w:jc w:val="right"/>
              <w:rPr>
                <w:sz w:val="24"/>
                <w:szCs w:val="24"/>
              </w:rPr>
            </w:pPr>
            <w:r w:rsidRPr="0005564B">
              <w:rPr>
                <w:sz w:val="24"/>
                <w:szCs w:val="24"/>
              </w:rPr>
              <w:t>28</w:t>
            </w:r>
          </w:p>
        </w:tc>
        <w:tc>
          <w:tcPr>
            <w:tcW w:w="5103" w:type="dxa"/>
            <w:vAlign w:val="center"/>
          </w:tcPr>
          <w:p w:rsidR="009C0D16" w:rsidRPr="0005564B" w:rsidRDefault="009C0D16" w:rsidP="003B110E">
            <w:pPr>
              <w:spacing w:line="280" w:lineRule="exact"/>
              <w:rPr>
                <w:sz w:val="24"/>
                <w:szCs w:val="24"/>
              </w:rPr>
            </w:pPr>
            <w:r w:rsidRPr="0005564B">
              <w:rPr>
                <w:sz w:val="24"/>
                <w:szCs w:val="24"/>
              </w:rPr>
              <w:t>骨髓炎、小耳手術</w:t>
            </w:r>
          </w:p>
        </w:tc>
      </w:tr>
      <w:tr w:rsidR="0005564B" w:rsidRPr="0005564B" w:rsidTr="008A108E">
        <w:tc>
          <w:tcPr>
            <w:tcW w:w="1843" w:type="dxa"/>
            <w:vAlign w:val="center"/>
          </w:tcPr>
          <w:p w:rsidR="009C0D16" w:rsidRPr="0005564B" w:rsidRDefault="009C0D16" w:rsidP="001A6AF0">
            <w:pPr>
              <w:spacing w:line="300" w:lineRule="exact"/>
              <w:jc w:val="center"/>
              <w:rPr>
                <w:sz w:val="24"/>
                <w:szCs w:val="24"/>
              </w:rPr>
            </w:pPr>
            <w:r w:rsidRPr="0005564B">
              <w:rPr>
                <w:sz w:val="24"/>
                <w:szCs w:val="24"/>
              </w:rPr>
              <w:t>合計</w:t>
            </w:r>
          </w:p>
        </w:tc>
        <w:tc>
          <w:tcPr>
            <w:tcW w:w="1264" w:type="dxa"/>
            <w:vAlign w:val="center"/>
          </w:tcPr>
          <w:p w:rsidR="009C0D16" w:rsidRPr="0005564B" w:rsidRDefault="009C0D16" w:rsidP="009C0D16">
            <w:pPr>
              <w:spacing w:line="300" w:lineRule="exact"/>
              <w:ind w:rightChars="75" w:right="255"/>
              <w:jc w:val="right"/>
              <w:rPr>
                <w:sz w:val="24"/>
                <w:szCs w:val="24"/>
              </w:rPr>
            </w:pPr>
            <w:r w:rsidRPr="0005564B">
              <w:rPr>
                <w:rFonts w:hint="eastAsia"/>
                <w:sz w:val="24"/>
                <w:szCs w:val="24"/>
              </w:rPr>
              <w:t>47</w:t>
            </w:r>
          </w:p>
        </w:tc>
        <w:tc>
          <w:tcPr>
            <w:tcW w:w="1004" w:type="dxa"/>
            <w:vAlign w:val="center"/>
          </w:tcPr>
          <w:p w:rsidR="009C0D16" w:rsidRPr="0005564B" w:rsidRDefault="009C0D16" w:rsidP="004F7DDF">
            <w:pPr>
              <w:spacing w:beforeLines="25" w:before="114" w:afterLines="25" w:after="114" w:line="300" w:lineRule="exact"/>
              <w:ind w:rightChars="75" w:right="255"/>
              <w:jc w:val="right"/>
              <w:rPr>
                <w:sz w:val="24"/>
                <w:szCs w:val="24"/>
              </w:rPr>
            </w:pPr>
            <w:r w:rsidRPr="0005564B">
              <w:rPr>
                <w:sz w:val="24"/>
                <w:szCs w:val="24"/>
              </w:rPr>
              <w:t>923</w:t>
            </w:r>
          </w:p>
        </w:tc>
        <w:tc>
          <w:tcPr>
            <w:tcW w:w="5103" w:type="dxa"/>
          </w:tcPr>
          <w:p w:rsidR="009C0D16" w:rsidRPr="0005564B" w:rsidRDefault="009C0D16" w:rsidP="003B110E">
            <w:pPr>
              <w:spacing w:line="280" w:lineRule="exact"/>
              <w:rPr>
                <w:sz w:val="24"/>
                <w:szCs w:val="24"/>
              </w:rPr>
            </w:pPr>
          </w:p>
        </w:tc>
      </w:tr>
    </w:tbl>
    <w:p w:rsidR="009C0D16" w:rsidRPr="0005564B" w:rsidRDefault="009C0D16" w:rsidP="004F7DDF">
      <w:pPr>
        <w:spacing w:afterLines="100" w:after="457"/>
        <w:ind w:leftChars="41" w:left="139"/>
        <w:rPr>
          <w:sz w:val="24"/>
          <w:szCs w:val="24"/>
        </w:rPr>
      </w:pPr>
      <w:r w:rsidRPr="0005564B">
        <w:rPr>
          <w:rFonts w:hint="eastAsia"/>
          <w:sz w:val="24"/>
          <w:szCs w:val="24"/>
        </w:rPr>
        <w:t>資料來源：衛福部。</w:t>
      </w:r>
    </w:p>
    <w:p w:rsidR="009C0D16" w:rsidRPr="003B110E" w:rsidRDefault="009C0D16" w:rsidP="009C0D16">
      <w:pPr>
        <w:pStyle w:val="3"/>
        <w:numPr>
          <w:ilvl w:val="2"/>
          <w:numId w:val="1"/>
        </w:numPr>
      </w:pPr>
      <w:bookmarkStart w:id="123" w:name="_Toc9058327"/>
      <w:bookmarkStart w:id="124" w:name="_Toc10027563"/>
      <w:bookmarkStart w:id="125" w:name="_Toc10054256"/>
      <w:bookmarkStart w:id="126" w:name="_Toc10066361"/>
      <w:r w:rsidRPr="0005564B">
        <w:rPr>
          <w:rFonts w:hint="eastAsia"/>
        </w:rPr>
        <w:t>經核，依衛福部提供資料，106年第1、2階段導入項目執行成果，包括平均住院日數為3.96日，較前1年成長0.1%</w:t>
      </w:r>
      <w:r w:rsidRPr="0005564B">
        <w:rPr>
          <w:rFonts w:ascii="新細明體" w:eastAsia="新細明體" w:hAnsi="新細明體" w:hint="eastAsia"/>
        </w:rPr>
        <w:t>、</w:t>
      </w:r>
      <w:r w:rsidRPr="0005564B">
        <w:rPr>
          <w:rFonts w:hint="eastAsia"/>
        </w:rPr>
        <w:t>DRG案件申報與實際點數比值1.195，較前1年下降0.8%，意即健保DRG支付之醫療點數高於醫院以論量計酬申報點數19.5%；此外，DRG案件3日內再急診率1.91%，較前一年下降4.2%，以及DRG住院案件轉出率0.58%，較前一年下降5.2%等。再</w:t>
      </w:r>
      <w:r w:rsidRPr="0005564B">
        <w:rPr>
          <w:rFonts w:hint="eastAsia"/>
          <w:bCs w:val="0"/>
        </w:rPr>
        <w:t>依107年申報資料，DRG案件總計71萬餘件、約401億點，其相較第3~5階未導入DRG項目及總住院案件，DRG案件數及醫療點數之成長率皆較低，顯示DRG案件之醫療效率較高；又DRG申報點數與實際點數比值為1.177(較前1年減少1.5%)，意即健保DRG支付之醫療點數高於醫院以論量計酬申報點數17.7%，顯見</w:t>
      </w:r>
      <w:r w:rsidRPr="0005564B">
        <w:rPr>
          <w:rFonts w:hAnsi="標楷體" w:hint="eastAsia"/>
          <w:bCs w:val="0"/>
        </w:rPr>
        <w:t>實施DRG</w:t>
      </w:r>
      <w:r w:rsidR="00FE05E5" w:rsidRPr="0005564B">
        <w:rPr>
          <w:rFonts w:hAnsi="標楷體" w:hint="eastAsia"/>
          <w:bCs w:val="0"/>
          <w:lang w:eastAsia="zh-HK"/>
        </w:rPr>
        <w:t>制</w:t>
      </w:r>
      <w:r w:rsidRPr="0005564B">
        <w:rPr>
          <w:rFonts w:hAnsi="標楷體" w:hint="eastAsia"/>
          <w:bCs w:val="0"/>
        </w:rPr>
        <w:t>對醫院提升效率、減少浪費，確有助益</w:t>
      </w:r>
      <w:r w:rsidRPr="0005564B">
        <w:rPr>
          <w:rFonts w:hAnsi="標楷體" w:hint="eastAsia"/>
          <w:kern w:val="0"/>
        </w:rPr>
        <w:t>。惟</w:t>
      </w:r>
      <w:r w:rsidRPr="0005564B">
        <w:rPr>
          <w:rFonts w:hAnsi="標楷體"/>
        </w:rPr>
        <w:t>107年3月20日「全民健康保險醫療服務給付項目及支付標準共同擬訂會議」</w:t>
      </w:r>
      <w:r w:rsidRPr="0005564B">
        <w:rPr>
          <w:rFonts w:hAnsi="標楷體" w:hint="eastAsia"/>
        </w:rPr>
        <w:t>之</w:t>
      </w:r>
      <w:r w:rsidRPr="0005564B">
        <w:rPr>
          <w:rFonts w:hAnsi="標楷體"/>
        </w:rPr>
        <w:t>決議</w:t>
      </w:r>
      <w:r w:rsidRPr="0005564B">
        <w:rPr>
          <w:rFonts w:hAnsi="標楷體" w:hint="eastAsia"/>
        </w:rPr>
        <w:t>：</w:t>
      </w:r>
      <w:r w:rsidRPr="0005564B">
        <w:rPr>
          <w:rFonts w:hAnsi="標楷體"/>
        </w:rPr>
        <w:t>自107月7</w:t>
      </w:r>
      <w:r w:rsidRPr="0005564B">
        <w:rPr>
          <w:rFonts w:hAnsi="標楷體"/>
        </w:rPr>
        <w:lastRenderedPageBreak/>
        <w:t>月1日起實施4.0版支付通則，扣除80項暫緩實施項目，分3階段</w:t>
      </w:r>
      <w:r w:rsidR="00FE05E5" w:rsidRPr="0005564B">
        <w:rPr>
          <w:rFonts w:hAnsi="標楷體" w:hint="eastAsia"/>
          <w:lang w:eastAsia="zh-HK"/>
        </w:rPr>
        <w:t>推動</w:t>
      </w:r>
      <w:r w:rsidRPr="0005564B">
        <w:rPr>
          <w:rFonts w:hAnsi="標楷體"/>
        </w:rPr>
        <w:t>第3至5階</w:t>
      </w:r>
      <w:r w:rsidRPr="0005564B">
        <w:rPr>
          <w:rFonts w:hAnsi="標楷體" w:hint="eastAsia"/>
        </w:rPr>
        <w:t>段</w:t>
      </w:r>
      <w:r w:rsidRPr="0005564B">
        <w:rPr>
          <w:rFonts w:hAnsi="標楷體"/>
        </w:rPr>
        <w:t>計1,089項DRG</w:t>
      </w:r>
      <w:r w:rsidRPr="0005564B">
        <w:rPr>
          <w:rFonts w:hAnsi="標楷體" w:hint="eastAsia"/>
        </w:rPr>
        <w:t>，</w:t>
      </w:r>
      <w:r w:rsidR="00FE05E5" w:rsidRPr="0005564B">
        <w:rPr>
          <w:rFonts w:hAnsi="標楷體" w:hint="eastAsia"/>
          <w:lang w:eastAsia="zh-HK"/>
        </w:rPr>
        <w:t>惟因醫師和醫療院所反對</w:t>
      </w:r>
      <w:r w:rsidR="00FE05E5" w:rsidRPr="0005564B">
        <w:rPr>
          <w:rFonts w:hAnsi="標楷體" w:hint="eastAsia"/>
        </w:rPr>
        <w:t>，迄今未能順利推</w:t>
      </w:r>
      <w:r w:rsidR="00FE05E5" w:rsidRPr="0005564B">
        <w:rPr>
          <w:rFonts w:hAnsi="標楷體" w:hint="eastAsia"/>
          <w:lang w:eastAsia="zh-HK"/>
        </w:rPr>
        <w:t>行</w:t>
      </w:r>
      <w:r w:rsidRPr="0005564B">
        <w:rPr>
          <w:rFonts w:hAnsi="標楷體" w:hint="eastAsia"/>
        </w:rPr>
        <w:t>，目前僅實施</w:t>
      </w:r>
      <w:r w:rsidRPr="0005564B">
        <w:rPr>
          <w:rFonts w:hAnsi="標楷體"/>
        </w:rPr>
        <w:t>401項DRG</w:t>
      </w:r>
      <w:r w:rsidRPr="0005564B">
        <w:rPr>
          <w:rFonts w:hAnsi="標楷體" w:hint="eastAsia"/>
        </w:rPr>
        <w:t>。</w:t>
      </w:r>
      <w:r w:rsidRPr="0005564B">
        <w:rPr>
          <w:rFonts w:hint="eastAsia"/>
        </w:rPr>
        <w:t>衛福</w:t>
      </w:r>
      <w:r w:rsidRPr="0005564B">
        <w:t>部</w:t>
      </w:r>
      <w:r w:rsidRPr="0005564B">
        <w:rPr>
          <w:rFonts w:hint="eastAsia"/>
          <w:lang w:eastAsia="zh-HK"/>
        </w:rPr>
        <w:t>於接受本院詢問時直言，健保從</w:t>
      </w:r>
      <w:r w:rsidRPr="0005564B">
        <w:rPr>
          <w:rFonts w:hAnsi="標楷體" w:hint="eastAsia"/>
          <w:szCs w:val="32"/>
        </w:rPr>
        <w:t>管價、管量與管總費用這三方面去管控，管價部分已凍結20年，對醫院已經控管很嚴；管量</w:t>
      </w:r>
      <w:r w:rsidRPr="0005564B">
        <w:rPr>
          <w:rFonts w:hAnsi="標楷體" w:hint="eastAsia"/>
          <w:szCs w:val="32"/>
          <w:lang w:eastAsia="zh-HK"/>
        </w:rPr>
        <w:t>可</w:t>
      </w:r>
      <w:r w:rsidRPr="0005564B">
        <w:rPr>
          <w:rFonts w:hAnsi="標楷體" w:hint="eastAsia"/>
          <w:szCs w:val="32"/>
        </w:rPr>
        <w:t>從病人方的部分負擔，但是調得太高也會影響病人就醫權益、犧牲窮人；違規查處的部分可能減少金額只有1-2%，但有嚇阻效果。內科病人的分類系統還不健全，</w:t>
      </w:r>
      <w:r w:rsidRPr="0005564B">
        <w:rPr>
          <w:rFonts w:hAnsi="標楷體" w:hint="eastAsia"/>
          <w:szCs w:val="32"/>
          <w:lang w:eastAsia="zh-HK"/>
        </w:rPr>
        <w:t>故</w:t>
      </w:r>
      <w:r w:rsidRPr="0005564B">
        <w:rPr>
          <w:rFonts w:hAnsi="標楷體" w:hint="eastAsia"/>
          <w:szCs w:val="32"/>
        </w:rPr>
        <w:t>目前</w:t>
      </w:r>
      <w:r w:rsidRPr="0005564B">
        <w:rPr>
          <w:rFonts w:hAnsi="標楷體" w:hint="eastAsia"/>
          <w:szCs w:val="32"/>
          <w:lang w:eastAsia="zh-HK"/>
        </w:rPr>
        <w:t>未全面實施</w:t>
      </w:r>
      <w:r w:rsidRPr="0005564B">
        <w:rPr>
          <w:rFonts w:hAnsi="標楷體" w:hint="eastAsia"/>
          <w:szCs w:val="32"/>
        </w:rPr>
        <w:t>DRG。</w:t>
      </w:r>
      <w:r w:rsidRPr="0005564B">
        <w:rPr>
          <w:rFonts w:hAnsi="標楷體" w:hint="eastAsia"/>
          <w:szCs w:val="32"/>
          <w:lang w:eastAsia="zh-HK"/>
        </w:rPr>
        <w:t>然</w:t>
      </w:r>
      <w:r w:rsidRPr="0005564B">
        <w:rPr>
          <w:rFonts w:hint="eastAsia"/>
        </w:rPr>
        <w:t>DRG的支付制度可使得各醫院必須控制成本支出，以投入較少的醫療資源來達到較大的療效，減少醫療流程不必要的資源浪費，並進而提高醫療品質</w:t>
      </w:r>
      <w:r w:rsidR="00FC5259" w:rsidRPr="0005564B">
        <w:rPr>
          <w:rFonts w:hint="eastAsia"/>
        </w:rPr>
        <w:t>。</w:t>
      </w:r>
      <w:r w:rsidRPr="0005564B">
        <w:rPr>
          <w:rFonts w:hAnsi="標楷體" w:hint="eastAsia"/>
        </w:rPr>
        <w:t>衛福部既已蒐集各</w:t>
      </w:r>
      <w:r w:rsidRPr="0005564B">
        <w:rPr>
          <w:rFonts w:hAnsi="標楷體"/>
        </w:rPr>
        <w:t>專科醫學會</w:t>
      </w:r>
      <w:r w:rsidRPr="0005564B">
        <w:rPr>
          <w:rFonts w:hAnsi="標楷體" w:hint="eastAsia"/>
        </w:rPr>
        <w:t>所</w:t>
      </w:r>
      <w:r w:rsidRPr="0005564B">
        <w:rPr>
          <w:rFonts w:hAnsi="標楷體"/>
        </w:rPr>
        <w:t>提供</w:t>
      </w:r>
      <w:r w:rsidRPr="0005564B">
        <w:rPr>
          <w:rFonts w:hAnsi="標楷體" w:hint="eastAsia"/>
        </w:rPr>
        <w:t>對</w:t>
      </w:r>
      <w:r w:rsidRPr="0005564B">
        <w:rPr>
          <w:rFonts w:hAnsi="標楷體"/>
        </w:rPr>
        <w:t>DRG</w:t>
      </w:r>
      <w:r w:rsidRPr="0005564B">
        <w:rPr>
          <w:rFonts w:hAnsi="標楷體" w:hint="eastAsia"/>
        </w:rPr>
        <w:t>之建議或意見，允應儘速研議並適切調整，俾利落實。</w:t>
      </w:r>
      <w:bookmarkEnd w:id="123"/>
      <w:bookmarkEnd w:id="124"/>
      <w:bookmarkEnd w:id="125"/>
      <w:bookmarkEnd w:id="126"/>
    </w:p>
    <w:p w:rsidR="003B110E" w:rsidRPr="0005564B" w:rsidRDefault="003B110E" w:rsidP="003B110E">
      <w:pPr>
        <w:pStyle w:val="3"/>
        <w:numPr>
          <w:ilvl w:val="0"/>
          <w:numId w:val="0"/>
        </w:numPr>
        <w:ind w:left="1361"/>
      </w:pPr>
    </w:p>
    <w:p w:rsidR="000E2A55" w:rsidRPr="0005564B" w:rsidRDefault="00B36217" w:rsidP="00DE4238">
      <w:pPr>
        <w:pStyle w:val="2"/>
        <w:rPr>
          <w:b/>
        </w:rPr>
      </w:pPr>
      <w:bookmarkStart w:id="127" w:name="_Toc10295281"/>
      <w:r w:rsidRPr="0005564B">
        <w:rPr>
          <w:rFonts w:hint="eastAsia"/>
          <w:b/>
          <w:lang w:eastAsia="zh-HK"/>
        </w:rPr>
        <w:t>健保藉由</w:t>
      </w:r>
      <w:r w:rsidRPr="0005564B">
        <w:rPr>
          <w:rFonts w:hint="eastAsia"/>
          <w:b/>
          <w:kern w:val="0"/>
        </w:rPr>
        <w:t>部分負擔</w:t>
      </w:r>
      <w:r w:rsidRPr="0005564B">
        <w:rPr>
          <w:rFonts w:hint="eastAsia"/>
          <w:b/>
          <w:kern w:val="0"/>
          <w:lang w:eastAsia="zh-HK"/>
        </w:rPr>
        <w:t>制度</w:t>
      </w:r>
      <w:r w:rsidRPr="0005564B">
        <w:rPr>
          <w:rFonts w:hint="eastAsia"/>
          <w:b/>
          <w:kern w:val="0"/>
        </w:rPr>
        <w:t>，</w:t>
      </w:r>
      <w:r w:rsidRPr="0005564B">
        <w:rPr>
          <w:rFonts w:hint="eastAsia"/>
          <w:b/>
          <w:kern w:val="0"/>
          <w:lang w:eastAsia="zh-HK"/>
        </w:rPr>
        <w:t>可</w:t>
      </w:r>
      <w:r w:rsidRPr="0005564B">
        <w:rPr>
          <w:rFonts w:hint="eastAsia"/>
          <w:b/>
          <w:kern w:val="0"/>
        </w:rPr>
        <w:t>提高民眾成本意識，</w:t>
      </w:r>
      <w:r w:rsidRPr="0005564B">
        <w:rPr>
          <w:rFonts w:hint="eastAsia"/>
          <w:b/>
          <w:kern w:val="0"/>
          <w:lang w:eastAsia="zh-HK"/>
        </w:rPr>
        <w:t>使</w:t>
      </w:r>
      <w:r w:rsidRPr="0005564B">
        <w:rPr>
          <w:rFonts w:hint="eastAsia"/>
          <w:b/>
          <w:kern w:val="0"/>
        </w:rPr>
        <w:t>民眾</w:t>
      </w:r>
      <w:r w:rsidRPr="0005564B">
        <w:rPr>
          <w:rFonts w:hint="eastAsia"/>
          <w:b/>
          <w:kern w:val="0"/>
          <w:lang w:eastAsia="zh-HK"/>
        </w:rPr>
        <w:t>更</w:t>
      </w:r>
      <w:r w:rsidRPr="0005564B">
        <w:rPr>
          <w:rFonts w:hint="eastAsia"/>
          <w:b/>
          <w:kern w:val="0"/>
        </w:rPr>
        <w:t>審慎使用醫療資源，防杜醫療</w:t>
      </w:r>
      <w:r w:rsidRPr="0005564B">
        <w:rPr>
          <w:rFonts w:hint="eastAsia"/>
          <w:b/>
          <w:kern w:val="0"/>
          <w:lang w:eastAsia="zh-HK"/>
        </w:rPr>
        <w:t>不必要的</w:t>
      </w:r>
      <w:r w:rsidRPr="0005564B">
        <w:rPr>
          <w:rFonts w:hint="eastAsia"/>
          <w:b/>
          <w:kern w:val="0"/>
        </w:rPr>
        <w:t>浪費及</w:t>
      </w:r>
      <w:r w:rsidR="00FA3ADF" w:rsidRPr="0005564B">
        <w:rPr>
          <w:rFonts w:hint="eastAsia"/>
          <w:b/>
          <w:kern w:val="0"/>
          <w:lang w:eastAsia="zh-HK"/>
        </w:rPr>
        <w:t>無謂的</w:t>
      </w:r>
      <w:r w:rsidRPr="0005564B">
        <w:rPr>
          <w:rFonts w:hint="eastAsia"/>
          <w:b/>
          <w:kern w:val="0"/>
        </w:rPr>
        <w:t>保險</w:t>
      </w:r>
      <w:r w:rsidRPr="0005564B">
        <w:rPr>
          <w:rFonts w:hint="eastAsia"/>
          <w:b/>
          <w:kern w:val="0"/>
          <w:lang w:eastAsia="zh-HK"/>
        </w:rPr>
        <w:t>支出，亦可順勢導引民眾的就醫選擇並改變民眾的就醫習慣，</w:t>
      </w:r>
      <w:r w:rsidRPr="0005564B">
        <w:rPr>
          <w:rFonts w:hint="eastAsia"/>
          <w:b/>
          <w:lang w:eastAsia="zh-HK"/>
        </w:rPr>
        <w:t>落實</w:t>
      </w:r>
      <w:r w:rsidRPr="0005564B">
        <w:rPr>
          <w:rFonts w:hint="eastAsia"/>
          <w:b/>
        </w:rPr>
        <w:t>轉診制度</w:t>
      </w:r>
      <w:r w:rsidR="00B01477" w:rsidRPr="0005564B">
        <w:rPr>
          <w:rFonts w:hint="eastAsia"/>
          <w:b/>
          <w:lang w:eastAsia="zh-HK"/>
        </w:rPr>
        <w:t>目標</w:t>
      </w:r>
      <w:r w:rsidRPr="0005564B">
        <w:rPr>
          <w:rFonts w:hint="eastAsia"/>
          <w:b/>
          <w:lang w:eastAsia="zh-HK"/>
        </w:rPr>
        <w:t>。</w:t>
      </w:r>
      <w:r w:rsidR="00FA3ADF" w:rsidRPr="0005564B">
        <w:rPr>
          <w:rFonts w:hint="eastAsia"/>
          <w:b/>
        </w:rPr>
        <w:t>另，</w:t>
      </w:r>
      <w:r w:rsidRPr="0005564B">
        <w:rPr>
          <w:rFonts w:hint="eastAsia"/>
          <w:b/>
        </w:rPr>
        <w:t>重大傷病免除部分負擔，能避免</w:t>
      </w:r>
      <w:r w:rsidR="00B01477" w:rsidRPr="0005564B">
        <w:rPr>
          <w:rFonts w:hint="eastAsia"/>
          <w:b/>
          <w:lang w:eastAsia="zh-HK"/>
        </w:rPr>
        <w:t>阻</w:t>
      </w:r>
      <w:r w:rsidRPr="0005564B">
        <w:rPr>
          <w:rFonts w:hint="eastAsia"/>
          <w:b/>
        </w:rPr>
        <w:t>礙病人適時就醫及</w:t>
      </w:r>
      <w:r w:rsidRPr="0005564B">
        <w:rPr>
          <w:rFonts w:hint="eastAsia"/>
          <w:b/>
          <w:lang w:eastAsia="zh-HK"/>
        </w:rPr>
        <w:t>大幅</w:t>
      </w:r>
      <w:r w:rsidRPr="0005564B">
        <w:rPr>
          <w:rFonts w:hint="eastAsia"/>
          <w:b/>
        </w:rPr>
        <w:t>減輕重大傷病患者</w:t>
      </w:r>
      <w:r w:rsidRPr="0005564B">
        <w:rPr>
          <w:rFonts w:hint="eastAsia"/>
          <w:b/>
          <w:lang w:eastAsia="zh-HK"/>
        </w:rPr>
        <w:t>及其家屬</w:t>
      </w:r>
      <w:r w:rsidRPr="0005564B">
        <w:rPr>
          <w:rFonts w:hint="eastAsia"/>
          <w:b/>
        </w:rPr>
        <w:t>之經濟負擔，</w:t>
      </w:r>
      <w:r w:rsidRPr="0005564B">
        <w:rPr>
          <w:rFonts w:hint="eastAsia"/>
          <w:b/>
          <w:lang w:eastAsia="zh-HK"/>
        </w:rPr>
        <w:t>有其必要；然為杜質疑，主</w:t>
      </w:r>
      <w:r w:rsidRPr="0005564B">
        <w:rPr>
          <w:rFonts w:hint="eastAsia"/>
          <w:b/>
        </w:rPr>
        <w:t>管</w:t>
      </w:r>
      <w:r w:rsidRPr="0005564B">
        <w:rPr>
          <w:rFonts w:hint="eastAsia"/>
          <w:b/>
          <w:lang w:eastAsia="zh-HK"/>
        </w:rPr>
        <w:t>機</w:t>
      </w:r>
      <w:r w:rsidRPr="0005564B">
        <w:rPr>
          <w:rFonts w:hint="eastAsia"/>
          <w:b/>
        </w:rPr>
        <w:t>關</w:t>
      </w:r>
      <w:r w:rsidRPr="0005564B">
        <w:rPr>
          <w:rFonts w:hint="eastAsia"/>
          <w:b/>
          <w:lang w:eastAsia="zh-HK"/>
        </w:rPr>
        <w:t>允應持續精進</w:t>
      </w:r>
      <w:r w:rsidRPr="0005564B">
        <w:rPr>
          <w:rFonts w:hint="eastAsia"/>
          <w:b/>
        </w:rPr>
        <w:t>重大傷病免除部分負擔</w:t>
      </w:r>
      <w:r w:rsidRPr="0005564B">
        <w:rPr>
          <w:rFonts w:hint="eastAsia"/>
          <w:b/>
          <w:lang w:eastAsia="zh-HK"/>
        </w:rPr>
        <w:t>之相</w:t>
      </w:r>
      <w:r w:rsidRPr="0005564B">
        <w:rPr>
          <w:rFonts w:hint="eastAsia"/>
          <w:b/>
        </w:rPr>
        <w:t>關</w:t>
      </w:r>
      <w:r w:rsidRPr="0005564B">
        <w:rPr>
          <w:rFonts w:hint="eastAsia"/>
          <w:b/>
          <w:lang w:eastAsia="zh-HK"/>
        </w:rPr>
        <w:t>管</w:t>
      </w:r>
      <w:r w:rsidR="00FA3ADF" w:rsidRPr="0005564B">
        <w:rPr>
          <w:rFonts w:hint="eastAsia"/>
          <w:b/>
          <w:lang w:eastAsia="zh-HK"/>
        </w:rPr>
        <w:t>控機制或作為，以避免</w:t>
      </w:r>
      <w:r w:rsidRPr="0005564B">
        <w:rPr>
          <w:rFonts w:hint="eastAsia"/>
          <w:b/>
          <w:lang w:eastAsia="zh-HK"/>
        </w:rPr>
        <w:t>不當</w:t>
      </w:r>
      <w:r w:rsidR="00FA3ADF" w:rsidRPr="0005564B">
        <w:rPr>
          <w:rFonts w:hint="eastAsia"/>
          <w:b/>
        </w:rPr>
        <w:t>之</w:t>
      </w:r>
      <w:r w:rsidRPr="0005564B">
        <w:rPr>
          <w:rFonts w:hint="eastAsia"/>
          <w:b/>
          <w:lang w:eastAsia="zh-HK"/>
        </w:rPr>
        <w:t>濫用</w:t>
      </w:r>
      <w:r w:rsidRPr="0005564B">
        <w:rPr>
          <w:rFonts w:hint="eastAsia"/>
          <w:b/>
        </w:rPr>
        <w:t>。</w:t>
      </w:r>
      <w:bookmarkEnd w:id="102"/>
      <w:bookmarkEnd w:id="103"/>
      <w:bookmarkEnd w:id="127"/>
    </w:p>
    <w:p w:rsidR="000E42FA" w:rsidRPr="0005564B" w:rsidRDefault="000E42FA" w:rsidP="000E42FA">
      <w:pPr>
        <w:pStyle w:val="3"/>
        <w:numPr>
          <w:ilvl w:val="2"/>
          <w:numId w:val="1"/>
        </w:numPr>
      </w:pPr>
      <w:bookmarkStart w:id="128" w:name="_Toc9058308"/>
      <w:bookmarkStart w:id="129" w:name="_Toc10027549"/>
      <w:bookmarkStart w:id="130" w:name="_Toc10054242"/>
      <w:bookmarkStart w:id="131" w:name="_Toc10066347"/>
      <w:r w:rsidRPr="0005564B">
        <w:rPr>
          <w:rFonts w:hint="eastAsia"/>
        </w:rPr>
        <w:t>健保自規劃時期即有部分負擔制度之構想，並自84年3月1日開辦時，即予採行。</w:t>
      </w:r>
      <w:bookmarkStart w:id="132" w:name="_Toc9058309"/>
      <w:bookmarkEnd w:id="128"/>
      <w:r w:rsidRPr="0005564B">
        <w:t>依</w:t>
      </w:r>
      <w:r w:rsidR="00FA3ADF" w:rsidRPr="0005564B">
        <w:rPr>
          <w:rFonts w:hAnsi="標楷體" w:hint="eastAsia"/>
        </w:rPr>
        <w:t>「</w:t>
      </w:r>
      <w:r w:rsidRPr="0005564B">
        <w:t>健保法</w:t>
      </w:r>
      <w:r w:rsidR="00FA3ADF" w:rsidRPr="0005564B">
        <w:rPr>
          <w:rFonts w:hAnsi="標楷體" w:hint="eastAsia"/>
        </w:rPr>
        <w:t>」</w:t>
      </w:r>
      <w:r w:rsidRPr="0005564B">
        <w:t>規定，門診或急診部分負擔有「定率制」與「定額制」；住院部分負擔為「定率制」</w:t>
      </w:r>
      <w:r w:rsidRPr="0005564B">
        <w:rPr>
          <w:rFonts w:hint="eastAsia"/>
        </w:rPr>
        <w:t>，</w:t>
      </w:r>
      <w:r w:rsidRPr="0005564B">
        <w:rPr>
          <w:rFonts w:cstheme="minorBidi" w:hint="eastAsia"/>
        </w:rPr>
        <w:t>且為避免民眾負擔過重，定有單次及全年上限</w:t>
      </w:r>
      <w:r w:rsidRPr="0005564B">
        <w:rPr>
          <w:rFonts w:hint="eastAsia"/>
        </w:rPr>
        <w:t>。</w:t>
      </w:r>
      <w:bookmarkEnd w:id="129"/>
      <w:bookmarkEnd w:id="130"/>
      <w:bookmarkEnd w:id="131"/>
      <w:bookmarkEnd w:id="132"/>
    </w:p>
    <w:p w:rsidR="000E42FA" w:rsidRPr="0005564B" w:rsidRDefault="000E42FA" w:rsidP="000E42FA">
      <w:pPr>
        <w:pStyle w:val="4"/>
        <w:numPr>
          <w:ilvl w:val="3"/>
          <w:numId w:val="1"/>
        </w:numPr>
        <w:rPr>
          <w:bCs/>
          <w:kern w:val="0"/>
        </w:rPr>
      </w:pPr>
      <w:r w:rsidRPr="0005564B">
        <w:rPr>
          <w:rFonts w:hint="eastAsia"/>
          <w:bCs/>
          <w:kern w:val="0"/>
        </w:rPr>
        <w:t>「定率制」就是每次就醫，都得依照醫療費用比</w:t>
      </w:r>
      <w:r w:rsidRPr="0005564B">
        <w:rPr>
          <w:rFonts w:hint="eastAsia"/>
          <w:bCs/>
          <w:kern w:val="0"/>
        </w:rPr>
        <w:lastRenderedPageBreak/>
        <w:t>率，計算應繳費用，手術、檢驗做得越多，或是藥品越貴，部分負擔就越高，但也相對較公平，就是使用多少醫療資源，就付多少部分負擔；但會造成民眾就醫前無法估算該次就醫所需的部分負擔費用。也可能易造成輕症往醫學中心就醫的情形；若是較嚴重疾病、需要做額外的檢查檢驗，部分負擔</w:t>
      </w:r>
      <w:r w:rsidR="00FA3ADF" w:rsidRPr="0005564B">
        <w:rPr>
          <w:rFonts w:hint="eastAsia"/>
          <w:bCs/>
          <w:kern w:val="0"/>
        </w:rPr>
        <w:t>動輒</w:t>
      </w:r>
      <w:r w:rsidRPr="0005564B">
        <w:rPr>
          <w:rFonts w:hint="eastAsia"/>
          <w:bCs/>
          <w:kern w:val="0"/>
        </w:rPr>
        <w:t>可能就要上千元，將導致重症者負擔沉重，輕症者定率金額低於現行金額，更易逕至醫學中心就醫，不利於分級醫療</w:t>
      </w:r>
      <w:r w:rsidR="00FA3ADF" w:rsidRPr="0005564B">
        <w:rPr>
          <w:rFonts w:hint="eastAsia"/>
          <w:bCs/>
          <w:kern w:val="0"/>
        </w:rPr>
        <w:t>之推動</w:t>
      </w:r>
      <w:r w:rsidRPr="0005564B">
        <w:rPr>
          <w:rFonts w:hint="eastAsia"/>
          <w:bCs/>
          <w:kern w:val="0"/>
        </w:rPr>
        <w:t>。</w:t>
      </w:r>
    </w:p>
    <w:p w:rsidR="000E42FA" w:rsidRPr="0005564B" w:rsidRDefault="000E42FA" w:rsidP="000E42FA">
      <w:pPr>
        <w:pStyle w:val="4"/>
        <w:numPr>
          <w:ilvl w:val="3"/>
          <w:numId w:val="1"/>
        </w:numPr>
      </w:pPr>
      <w:r w:rsidRPr="0005564B">
        <w:rPr>
          <w:rFonts w:hint="eastAsia"/>
        </w:rPr>
        <w:t>「定額制」係為</w:t>
      </w:r>
      <w:r w:rsidRPr="0005564B">
        <w:rPr>
          <w:spacing w:val="-48"/>
        </w:rPr>
        <w:t xml:space="preserve"> </w:t>
      </w:r>
      <w:r w:rsidRPr="0005564B">
        <w:rPr>
          <w:rFonts w:eastAsia="Times New Roman"/>
        </w:rPr>
        <w:t>20</w:t>
      </w:r>
      <w:r w:rsidRPr="0005564B">
        <w:rPr>
          <w:rFonts w:hint="eastAsia"/>
        </w:rPr>
        <w:t>多年前健保開辦時，為減少民眾就醫的經濟負擔，使經濟弱勢民眾無就醫之經濟障礙，即採行沿用至今。舉例來說，一般感冒患者到醫學中心看門診的診察費、藥事服務費等，現行收取定額部分負擔是</w:t>
      </w:r>
      <w:r w:rsidRPr="0005564B">
        <w:rPr>
          <w:spacing w:val="-48"/>
        </w:rPr>
        <w:t xml:space="preserve"> </w:t>
      </w:r>
      <w:r w:rsidRPr="0005564B">
        <w:rPr>
          <w:rFonts w:eastAsia="Times New Roman"/>
        </w:rPr>
        <w:t>420</w:t>
      </w:r>
      <w:r w:rsidRPr="0005564B">
        <w:rPr>
          <w:rFonts w:hint="eastAsia"/>
        </w:rPr>
        <w:t>元，所以民眾可以事先估算部分負擔金額，另外民眾如果選擇醫學中心就醫，部分負擔將高於選擇基層診所</w:t>
      </w:r>
      <w:r w:rsidRPr="0005564B">
        <w:rPr>
          <w:rFonts w:hAnsi="標楷體" w:hint="eastAsia"/>
        </w:rPr>
        <w:t>(50元)</w:t>
      </w:r>
      <w:r w:rsidRPr="0005564B">
        <w:rPr>
          <w:rFonts w:hint="eastAsia"/>
        </w:rPr>
        <w:t>、地區醫</w:t>
      </w:r>
      <w:r w:rsidRPr="0005564B">
        <w:rPr>
          <w:rFonts w:hint="eastAsia"/>
          <w:spacing w:val="-22"/>
        </w:rPr>
        <w:t>院</w:t>
      </w:r>
      <w:r w:rsidRPr="0005564B">
        <w:rPr>
          <w:rFonts w:hint="eastAsia"/>
        </w:rPr>
        <w:t>（</w:t>
      </w:r>
      <w:r w:rsidRPr="0005564B">
        <w:rPr>
          <w:rFonts w:eastAsia="Times New Roman"/>
        </w:rPr>
        <w:t>240</w:t>
      </w:r>
      <w:r w:rsidRPr="0005564B">
        <w:rPr>
          <w:rFonts w:hint="eastAsia"/>
        </w:rPr>
        <w:t>元</w:t>
      </w:r>
      <w:r w:rsidRPr="0005564B">
        <w:rPr>
          <w:rFonts w:hint="eastAsia"/>
          <w:spacing w:val="-25"/>
        </w:rPr>
        <w:t>）</w:t>
      </w:r>
      <w:r w:rsidRPr="0005564B">
        <w:rPr>
          <w:rFonts w:hint="eastAsia"/>
        </w:rPr>
        <w:t>或區域醫</w:t>
      </w:r>
      <w:r w:rsidRPr="0005564B">
        <w:rPr>
          <w:rFonts w:hint="eastAsia"/>
          <w:spacing w:val="-25"/>
        </w:rPr>
        <w:t>院</w:t>
      </w:r>
      <w:r w:rsidRPr="0005564B">
        <w:rPr>
          <w:rFonts w:hAnsi="標楷體" w:hint="eastAsia"/>
          <w:spacing w:val="-25"/>
        </w:rPr>
        <w:t>(80元)，</w:t>
      </w:r>
      <w:r w:rsidRPr="0005564B">
        <w:rPr>
          <w:rFonts w:hint="eastAsia"/>
        </w:rPr>
        <w:t>有利於醫療分級</w:t>
      </w:r>
      <w:r w:rsidR="00FA3ADF" w:rsidRPr="0005564B">
        <w:rPr>
          <w:rFonts w:hint="eastAsia"/>
        </w:rPr>
        <w:t>之推動。</w:t>
      </w:r>
      <w:r w:rsidRPr="0005564B">
        <w:rPr>
          <w:rFonts w:hint="eastAsia"/>
        </w:rPr>
        <w:t>缺點</w:t>
      </w:r>
      <w:r w:rsidR="00FA3ADF" w:rsidRPr="0005564B">
        <w:rPr>
          <w:rFonts w:hint="eastAsia"/>
        </w:rPr>
        <w:t>則</w:t>
      </w:r>
      <w:r w:rsidRPr="0005564B">
        <w:rPr>
          <w:rFonts w:hint="eastAsia"/>
        </w:rPr>
        <w:t>是負擔金額與醫療成本無絕對關係。</w:t>
      </w:r>
    </w:p>
    <w:p w:rsidR="000E42FA" w:rsidRPr="0005564B" w:rsidRDefault="000E42FA" w:rsidP="000E42FA">
      <w:pPr>
        <w:pStyle w:val="3"/>
        <w:numPr>
          <w:ilvl w:val="2"/>
          <w:numId w:val="1"/>
        </w:numPr>
      </w:pPr>
      <w:bookmarkStart w:id="133" w:name="_Toc9058310"/>
      <w:bookmarkStart w:id="134" w:name="_Toc10027550"/>
      <w:bookmarkStart w:id="135" w:name="_Toc10054243"/>
      <w:bookmarkStart w:id="136" w:name="_Toc10066348"/>
      <w:r w:rsidRPr="0005564B">
        <w:rPr>
          <w:rFonts w:hint="eastAsia"/>
        </w:rPr>
        <w:t>健保部分負擔之變化情形：</w:t>
      </w:r>
      <w:bookmarkEnd w:id="133"/>
      <w:bookmarkEnd w:id="134"/>
      <w:bookmarkEnd w:id="135"/>
      <w:bookmarkEnd w:id="136"/>
    </w:p>
    <w:p w:rsidR="000E42FA" w:rsidRPr="0005564B" w:rsidRDefault="000E42FA" w:rsidP="000E42FA">
      <w:pPr>
        <w:pStyle w:val="4"/>
        <w:numPr>
          <w:ilvl w:val="3"/>
          <w:numId w:val="1"/>
        </w:numPr>
      </w:pPr>
      <w:r w:rsidRPr="0005564B">
        <w:rPr>
          <w:rFonts w:hint="eastAsia"/>
        </w:rPr>
        <w:t>健保開辦時，考量如採定率制，硬體設備不足，須耗費相當之人力計算，其行政成本過高，且民眾就醫無法預估負擔金額，為使制度順利上路，採用「定額制」，為落實部分負擔制度設計之原意，自健保開辦以來，多次滾動式修正相關措施。</w:t>
      </w:r>
    </w:p>
    <w:p w:rsidR="000E42FA" w:rsidRPr="0005564B" w:rsidRDefault="000E42FA" w:rsidP="000E42FA">
      <w:pPr>
        <w:pStyle w:val="4"/>
        <w:numPr>
          <w:ilvl w:val="3"/>
          <w:numId w:val="1"/>
        </w:numPr>
      </w:pPr>
      <w:r w:rsidRPr="0005564B">
        <w:rPr>
          <w:rFonts w:hint="eastAsia"/>
        </w:rPr>
        <w:t>94年間，為促進轉診，公告調整西醫門診部分負擔之定額計收金額，依「經轉診」 及「未經轉診」計收。</w:t>
      </w:r>
    </w:p>
    <w:p w:rsidR="000E42FA" w:rsidRPr="0005564B" w:rsidRDefault="000E42FA" w:rsidP="000E42FA">
      <w:pPr>
        <w:pStyle w:val="a3"/>
        <w:jc w:val="center"/>
        <w:rPr>
          <w:b/>
        </w:rPr>
      </w:pPr>
      <w:r w:rsidRPr="0005564B">
        <w:rPr>
          <w:rFonts w:hint="eastAsia"/>
          <w:b/>
        </w:rPr>
        <w:lastRenderedPageBreak/>
        <w:t>94年公告之健保部分負擔計收金額</w:t>
      </w:r>
    </w:p>
    <w:tbl>
      <w:tblPr>
        <w:tblStyle w:val="af6"/>
        <w:tblW w:w="0" w:type="auto"/>
        <w:tblInd w:w="108" w:type="dxa"/>
        <w:tblLook w:val="04A0" w:firstRow="1" w:lastRow="0" w:firstColumn="1" w:lastColumn="0" w:noHBand="0" w:noVBand="1"/>
      </w:tblPr>
      <w:tblGrid>
        <w:gridCol w:w="2103"/>
        <w:gridCol w:w="2207"/>
        <w:gridCol w:w="2208"/>
        <w:gridCol w:w="2208"/>
      </w:tblGrid>
      <w:tr w:rsidR="0005564B" w:rsidRPr="0005564B" w:rsidTr="001D04E8">
        <w:tc>
          <w:tcPr>
            <w:tcW w:w="2155" w:type="dxa"/>
            <w:vMerge w:val="restart"/>
            <w:vAlign w:val="center"/>
          </w:tcPr>
          <w:p w:rsidR="000E42FA" w:rsidRPr="0005564B" w:rsidRDefault="000E42FA" w:rsidP="000E42FA">
            <w:pPr>
              <w:spacing w:line="300" w:lineRule="exact"/>
              <w:ind w:left="520" w:hangingChars="200" w:hanging="520"/>
              <w:jc w:val="center"/>
              <w:rPr>
                <w:rFonts w:hAnsi="標楷體"/>
                <w:sz w:val="24"/>
                <w:szCs w:val="24"/>
              </w:rPr>
            </w:pPr>
            <w:r w:rsidRPr="0005564B">
              <w:rPr>
                <w:rFonts w:hAnsi="標楷體" w:hint="eastAsia"/>
                <w:sz w:val="24"/>
                <w:szCs w:val="24"/>
              </w:rPr>
              <w:t>層級別</w:t>
            </w:r>
          </w:p>
        </w:tc>
        <w:tc>
          <w:tcPr>
            <w:tcW w:w="4531" w:type="dxa"/>
            <w:gridSpan w:val="2"/>
            <w:vAlign w:val="center"/>
          </w:tcPr>
          <w:p w:rsidR="000E42FA" w:rsidRPr="0005564B" w:rsidRDefault="000E42FA" w:rsidP="000E42FA">
            <w:pPr>
              <w:spacing w:line="300" w:lineRule="exact"/>
              <w:ind w:left="520" w:hangingChars="200" w:hanging="520"/>
              <w:jc w:val="center"/>
              <w:rPr>
                <w:rFonts w:hAnsi="標楷體"/>
                <w:sz w:val="24"/>
                <w:szCs w:val="24"/>
              </w:rPr>
            </w:pPr>
            <w:r w:rsidRPr="0005564B">
              <w:rPr>
                <w:rFonts w:hAnsi="標楷體"/>
                <w:sz w:val="24"/>
                <w:szCs w:val="24"/>
              </w:rPr>
              <w:t>西醫門診</w:t>
            </w:r>
          </w:p>
        </w:tc>
        <w:tc>
          <w:tcPr>
            <w:tcW w:w="2266" w:type="dxa"/>
            <w:vMerge w:val="restart"/>
            <w:vAlign w:val="center"/>
          </w:tcPr>
          <w:p w:rsidR="000E42FA" w:rsidRPr="0005564B" w:rsidRDefault="000E42FA" w:rsidP="000E42FA">
            <w:pPr>
              <w:spacing w:line="300" w:lineRule="exact"/>
              <w:ind w:left="520" w:hangingChars="200" w:hanging="520"/>
              <w:jc w:val="center"/>
              <w:rPr>
                <w:rFonts w:hAnsi="標楷體"/>
                <w:sz w:val="24"/>
                <w:szCs w:val="24"/>
              </w:rPr>
            </w:pPr>
            <w:r w:rsidRPr="0005564B">
              <w:rPr>
                <w:rFonts w:hAnsi="標楷體" w:hint="eastAsia"/>
                <w:sz w:val="24"/>
                <w:szCs w:val="24"/>
              </w:rPr>
              <w:t>急診</w:t>
            </w:r>
          </w:p>
        </w:tc>
      </w:tr>
      <w:tr w:rsidR="0005564B" w:rsidRPr="0005564B" w:rsidTr="001D04E8">
        <w:tc>
          <w:tcPr>
            <w:tcW w:w="2155" w:type="dxa"/>
            <w:vMerge/>
            <w:vAlign w:val="center"/>
          </w:tcPr>
          <w:p w:rsidR="000E42FA" w:rsidRPr="0005564B" w:rsidRDefault="000E42FA" w:rsidP="00C567B2">
            <w:pPr>
              <w:spacing w:line="300" w:lineRule="exact"/>
              <w:rPr>
                <w:rFonts w:hAnsi="標楷體"/>
                <w:sz w:val="24"/>
                <w:szCs w:val="24"/>
              </w:rPr>
            </w:pPr>
          </w:p>
        </w:tc>
        <w:tc>
          <w:tcPr>
            <w:tcW w:w="2265" w:type="dxa"/>
            <w:vAlign w:val="center"/>
          </w:tcPr>
          <w:p w:rsidR="000E42FA" w:rsidRPr="0005564B" w:rsidRDefault="000E42FA" w:rsidP="00C567B2">
            <w:pPr>
              <w:spacing w:line="300" w:lineRule="exact"/>
              <w:jc w:val="center"/>
              <w:rPr>
                <w:rFonts w:hAnsi="標楷體"/>
                <w:sz w:val="24"/>
                <w:szCs w:val="24"/>
              </w:rPr>
            </w:pPr>
            <w:r w:rsidRPr="0005564B">
              <w:rPr>
                <w:rFonts w:hAnsi="標楷體"/>
                <w:sz w:val="24"/>
                <w:szCs w:val="24"/>
              </w:rPr>
              <w:t>經轉診</w:t>
            </w:r>
          </w:p>
        </w:tc>
        <w:tc>
          <w:tcPr>
            <w:tcW w:w="2266" w:type="dxa"/>
            <w:vAlign w:val="center"/>
          </w:tcPr>
          <w:p w:rsidR="000E42FA" w:rsidRPr="0005564B" w:rsidRDefault="000E42FA" w:rsidP="000E42FA">
            <w:pPr>
              <w:spacing w:line="300" w:lineRule="exact"/>
              <w:ind w:left="520" w:hangingChars="200" w:hanging="520"/>
              <w:jc w:val="center"/>
              <w:rPr>
                <w:rFonts w:hAnsi="標楷體"/>
                <w:sz w:val="24"/>
                <w:szCs w:val="24"/>
              </w:rPr>
            </w:pPr>
            <w:r w:rsidRPr="0005564B">
              <w:rPr>
                <w:rFonts w:hAnsi="標楷體" w:hint="eastAsia"/>
                <w:sz w:val="24"/>
                <w:szCs w:val="24"/>
              </w:rPr>
              <w:t>未經轉診</w:t>
            </w:r>
          </w:p>
        </w:tc>
        <w:tc>
          <w:tcPr>
            <w:tcW w:w="2266" w:type="dxa"/>
            <w:vMerge/>
          </w:tcPr>
          <w:p w:rsidR="000E42FA" w:rsidRPr="0005564B" w:rsidRDefault="000E42FA" w:rsidP="00C567B2">
            <w:pPr>
              <w:spacing w:line="300" w:lineRule="exact"/>
              <w:rPr>
                <w:rFonts w:hAnsi="標楷體"/>
                <w:sz w:val="24"/>
                <w:szCs w:val="24"/>
              </w:rPr>
            </w:pPr>
          </w:p>
        </w:tc>
      </w:tr>
      <w:tr w:rsidR="0005564B" w:rsidRPr="0005564B" w:rsidTr="001D04E8">
        <w:tc>
          <w:tcPr>
            <w:tcW w:w="2155" w:type="dxa"/>
            <w:vAlign w:val="center"/>
          </w:tcPr>
          <w:p w:rsidR="000E42FA" w:rsidRPr="0005564B" w:rsidRDefault="000E42FA" w:rsidP="000E42FA">
            <w:pPr>
              <w:spacing w:line="300" w:lineRule="exact"/>
              <w:ind w:left="520" w:hangingChars="200" w:hanging="520"/>
              <w:jc w:val="center"/>
              <w:rPr>
                <w:rFonts w:hAnsi="標楷體"/>
                <w:sz w:val="24"/>
                <w:szCs w:val="24"/>
              </w:rPr>
            </w:pPr>
            <w:r w:rsidRPr="0005564B">
              <w:rPr>
                <w:rFonts w:hAnsi="標楷體"/>
                <w:sz w:val="24"/>
                <w:szCs w:val="24"/>
              </w:rPr>
              <w:t>醫學中心</w:t>
            </w:r>
          </w:p>
        </w:tc>
        <w:tc>
          <w:tcPr>
            <w:tcW w:w="2265" w:type="dxa"/>
            <w:vAlign w:val="center"/>
          </w:tcPr>
          <w:p w:rsidR="000E42FA" w:rsidRPr="0005564B" w:rsidRDefault="000E42FA" w:rsidP="000E42FA">
            <w:pPr>
              <w:spacing w:line="300" w:lineRule="exact"/>
              <w:ind w:left="520" w:hangingChars="200" w:hanging="520"/>
              <w:jc w:val="center"/>
              <w:rPr>
                <w:rFonts w:hAnsi="標楷體"/>
                <w:sz w:val="24"/>
                <w:szCs w:val="24"/>
              </w:rPr>
            </w:pPr>
            <w:r w:rsidRPr="0005564B">
              <w:rPr>
                <w:rFonts w:hAnsi="標楷體" w:hint="eastAsia"/>
                <w:sz w:val="24"/>
                <w:szCs w:val="24"/>
              </w:rPr>
              <w:t>210</w:t>
            </w:r>
            <w:r w:rsidRPr="0005564B">
              <w:rPr>
                <w:rFonts w:hAnsi="標楷體"/>
                <w:sz w:val="24"/>
                <w:szCs w:val="24"/>
              </w:rPr>
              <w:t>元</w:t>
            </w:r>
          </w:p>
        </w:tc>
        <w:tc>
          <w:tcPr>
            <w:tcW w:w="2266" w:type="dxa"/>
            <w:vAlign w:val="center"/>
          </w:tcPr>
          <w:p w:rsidR="000E42FA" w:rsidRPr="0005564B" w:rsidRDefault="000E42FA" w:rsidP="000E42FA">
            <w:pPr>
              <w:spacing w:line="300" w:lineRule="exact"/>
              <w:ind w:left="520" w:hangingChars="200" w:hanging="520"/>
              <w:jc w:val="center"/>
              <w:rPr>
                <w:rFonts w:hAnsi="標楷體"/>
                <w:sz w:val="24"/>
                <w:szCs w:val="24"/>
              </w:rPr>
            </w:pPr>
            <w:r w:rsidRPr="0005564B">
              <w:rPr>
                <w:rFonts w:hAnsi="標楷體" w:hint="eastAsia"/>
                <w:sz w:val="24"/>
                <w:szCs w:val="24"/>
              </w:rPr>
              <w:t>360</w:t>
            </w:r>
            <w:r w:rsidRPr="0005564B">
              <w:rPr>
                <w:rFonts w:hAnsi="標楷體"/>
                <w:sz w:val="24"/>
                <w:szCs w:val="24"/>
              </w:rPr>
              <w:t>元</w:t>
            </w:r>
          </w:p>
        </w:tc>
        <w:tc>
          <w:tcPr>
            <w:tcW w:w="2266" w:type="dxa"/>
            <w:vAlign w:val="center"/>
          </w:tcPr>
          <w:p w:rsidR="000E42FA" w:rsidRPr="0005564B" w:rsidRDefault="000E42FA" w:rsidP="000E42FA">
            <w:pPr>
              <w:spacing w:line="300" w:lineRule="exact"/>
              <w:ind w:left="520" w:hangingChars="200" w:hanging="520"/>
              <w:jc w:val="center"/>
              <w:rPr>
                <w:rFonts w:hAnsi="標楷體"/>
                <w:sz w:val="24"/>
                <w:szCs w:val="24"/>
              </w:rPr>
            </w:pPr>
            <w:r w:rsidRPr="0005564B">
              <w:rPr>
                <w:rFonts w:hAnsi="標楷體"/>
                <w:sz w:val="24"/>
                <w:szCs w:val="24"/>
              </w:rPr>
              <w:t>450元</w:t>
            </w:r>
          </w:p>
        </w:tc>
      </w:tr>
      <w:tr w:rsidR="0005564B" w:rsidRPr="0005564B" w:rsidTr="001D04E8">
        <w:tc>
          <w:tcPr>
            <w:tcW w:w="2155" w:type="dxa"/>
            <w:vAlign w:val="center"/>
          </w:tcPr>
          <w:p w:rsidR="000E42FA" w:rsidRPr="0005564B" w:rsidRDefault="000E42FA" w:rsidP="000E42FA">
            <w:pPr>
              <w:spacing w:line="300" w:lineRule="exact"/>
              <w:ind w:left="520" w:hangingChars="200" w:hanging="520"/>
              <w:jc w:val="center"/>
              <w:rPr>
                <w:rFonts w:hAnsi="標楷體"/>
                <w:sz w:val="24"/>
                <w:szCs w:val="24"/>
              </w:rPr>
            </w:pPr>
            <w:r w:rsidRPr="0005564B">
              <w:rPr>
                <w:rFonts w:hAnsi="標楷體"/>
                <w:sz w:val="24"/>
                <w:szCs w:val="24"/>
              </w:rPr>
              <w:t>區域醫院</w:t>
            </w:r>
          </w:p>
        </w:tc>
        <w:tc>
          <w:tcPr>
            <w:tcW w:w="2265" w:type="dxa"/>
            <w:vAlign w:val="center"/>
          </w:tcPr>
          <w:p w:rsidR="000E42FA" w:rsidRPr="0005564B" w:rsidRDefault="000E42FA" w:rsidP="000E42FA">
            <w:pPr>
              <w:spacing w:line="300" w:lineRule="exact"/>
              <w:ind w:left="520" w:hangingChars="200" w:hanging="520"/>
              <w:jc w:val="center"/>
              <w:rPr>
                <w:rFonts w:hAnsi="標楷體"/>
                <w:sz w:val="24"/>
                <w:szCs w:val="24"/>
              </w:rPr>
            </w:pPr>
            <w:r w:rsidRPr="0005564B">
              <w:rPr>
                <w:rFonts w:hAnsi="標楷體"/>
                <w:sz w:val="24"/>
                <w:szCs w:val="24"/>
              </w:rPr>
              <w:t>1</w:t>
            </w:r>
            <w:r w:rsidRPr="0005564B">
              <w:rPr>
                <w:rFonts w:hAnsi="標楷體" w:hint="eastAsia"/>
                <w:sz w:val="24"/>
                <w:szCs w:val="24"/>
              </w:rPr>
              <w:t>40</w:t>
            </w:r>
            <w:r w:rsidRPr="0005564B">
              <w:rPr>
                <w:rFonts w:hAnsi="標楷體"/>
                <w:sz w:val="24"/>
                <w:szCs w:val="24"/>
              </w:rPr>
              <w:t>元</w:t>
            </w:r>
          </w:p>
        </w:tc>
        <w:tc>
          <w:tcPr>
            <w:tcW w:w="2266" w:type="dxa"/>
            <w:vAlign w:val="center"/>
          </w:tcPr>
          <w:p w:rsidR="000E42FA" w:rsidRPr="0005564B" w:rsidRDefault="000E42FA" w:rsidP="000E42FA">
            <w:pPr>
              <w:spacing w:line="300" w:lineRule="exact"/>
              <w:ind w:left="520" w:hangingChars="200" w:hanging="520"/>
              <w:jc w:val="center"/>
              <w:rPr>
                <w:rFonts w:hAnsi="標楷體"/>
                <w:sz w:val="24"/>
                <w:szCs w:val="24"/>
              </w:rPr>
            </w:pPr>
            <w:r w:rsidRPr="0005564B">
              <w:rPr>
                <w:rFonts w:hAnsi="標楷體"/>
                <w:sz w:val="24"/>
                <w:szCs w:val="24"/>
              </w:rPr>
              <w:t>240元</w:t>
            </w:r>
          </w:p>
        </w:tc>
        <w:tc>
          <w:tcPr>
            <w:tcW w:w="2266" w:type="dxa"/>
            <w:vAlign w:val="center"/>
          </w:tcPr>
          <w:p w:rsidR="000E42FA" w:rsidRPr="0005564B" w:rsidRDefault="000E42FA" w:rsidP="000E42FA">
            <w:pPr>
              <w:spacing w:line="300" w:lineRule="exact"/>
              <w:ind w:left="520" w:hangingChars="200" w:hanging="520"/>
              <w:jc w:val="center"/>
              <w:rPr>
                <w:rFonts w:hAnsi="標楷體"/>
                <w:sz w:val="24"/>
                <w:szCs w:val="24"/>
              </w:rPr>
            </w:pPr>
            <w:r w:rsidRPr="0005564B">
              <w:rPr>
                <w:rFonts w:hAnsi="標楷體"/>
                <w:sz w:val="24"/>
                <w:szCs w:val="24"/>
              </w:rPr>
              <w:t>300元</w:t>
            </w:r>
          </w:p>
        </w:tc>
      </w:tr>
      <w:tr w:rsidR="0005564B" w:rsidRPr="0005564B" w:rsidTr="001D04E8">
        <w:tc>
          <w:tcPr>
            <w:tcW w:w="2155" w:type="dxa"/>
            <w:vAlign w:val="center"/>
          </w:tcPr>
          <w:p w:rsidR="000E42FA" w:rsidRPr="0005564B" w:rsidRDefault="000E42FA" w:rsidP="000E42FA">
            <w:pPr>
              <w:spacing w:line="300" w:lineRule="exact"/>
              <w:ind w:left="520" w:hangingChars="200" w:hanging="520"/>
              <w:jc w:val="center"/>
              <w:rPr>
                <w:rFonts w:hAnsi="標楷體"/>
                <w:sz w:val="24"/>
                <w:szCs w:val="24"/>
              </w:rPr>
            </w:pPr>
            <w:r w:rsidRPr="0005564B">
              <w:rPr>
                <w:rFonts w:hAnsi="標楷體"/>
                <w:sz w:val="24"/>
                <w:szCs w:val="24"/>
              </w:rPr>
              <w:t>地區醫院</w:t>
            </w:r>
          </w:p>
        </w:tc>
        <w:tc>
          <w:tcPr>
            <w:tcW w:w="2265" w:type="dxa"/>
            <w:vAlign w:val="center"/>
          </w:tcPr>
          <w:p w:rsidR="000E42FA" w:rsidRPr="0005564B" w:rsidRDefault="000E42FA" w:rsidP="000E42FA">
            <w:pPr>
              <w:spacing w:line="300" w:lineRule="exact"/>
              <w:ind w:left="520" w:hangingChars="200" w:hanging="520"/>
              <w:jc w:val="center"/>
              <w:rPr>
                <w:rFonts w:hAnsi="標楷體"/>
                <w:sz w:val="24"/>
                <w:szCs w:val="24"/>
              </w:rPr>
            </w:pPr>
            <w:r w:rsidRPr="0005564B">
              <w:rPr>
                <w:rFonts w:hAnsi="標楷體"/>
                <w:sz w:val="24"/>
                <w:szCs w:val="24"/>
              </w:rPr>
              <w:t>50元</w:t>
            </w:r>
          </w:p>
        </w:tc>
        <w:tc>
          <w:tcPr>
            <w:tcW w:w="2266" w:type="dxa"/>
            <w:vAlign w:val="center"/>
          </w:tcPr>
          <w:p w:rsidR="000E42FA" w:rsidRPr="0005564B" w:rsidRDefault="000E42FA" w:rsidP="000E42FA">
            <w:pPr>
              <w:spacing w:line="300" w:lineRule="exact"/>
              <w:ind w:left="520" w:hangingChars="200" w:hanging="520"/>
              <w:jc w:val="center"/>
              <w:rPr>
                <w:rFonts w:hAnsi="標楷體"/>
                <w:sz w:val="24"/>
                <w:szCs w:val="24"/>
              </w:rPr>
            </w:pPr>
            <w:r w:rsidRPr="0005564B">
              <w:rPr>
                <w:rFonts w:hAnsi="標楷體"/>
                <w:sz w:val="24"/>
                <w:szCs w:val="24"/>
              </w:rPr>
              <w:t>80元</w:t>
            </w:r>
          </w:p>
        </w:tc>
        <w:tc>
          <w:tcPr>
            <w:tcW w:w="2266" w:type="dxa"/>
            <w:vAlign w:val="center"/>
          </w:tcPr>
          <w:p w:rsidR="000E42FA" w:rsidRPr="0005564B" w:rsidRDefault="000E42FA" w:rsidP="000E42FA">
            <w:pPr>
              <w:spacing w:line="300" w:lineRule="exact"/>
              <w:ind w:left="520" w:hangingChars="200" w:hanging="520"/>
              <w:jc w:val="center"/>
              <w:rPr>
                <w:rFonts w:hAnsi="標楷體"/>
                <w:sz w:val="24"/>
                <w:szCs w:val="24"/>
              </w:rPr>
            </w:pPr>
            <w:r w:rsidRPr="0005564B">
              <w:rPr>
                <w:rFonts w:hAnsi="標楷體"/>
                <w:sz w:val="24"/>
                <w:szCs w:val="24"/>
              </w:rPr>
              <w:t>150元</w:t>
            </w:r>
          </w:p>
        </w:tc>
      </w:tr>
      <w:tr w:rsidR="0005564B" w:rsidRPr="0005564B" w:rsidTr="001D04E8">
        <w:tc>
          <w:tcPr>
            <w:tcW w:w="2155" w:type="dxa"/>
            <w:vAlign w:val="center"/>
          </w:tcPr>
          <w:p w:rsidR="000E42FA" w:rsidRPr="0005564B" w:rsidRDefault="000E42FA" w:rsidP="000E42FA">
            <w:pPr>
              <w:spacing w:line="300" w:lineRule="exact"/>
              <w:ind w:left="520" w:hangingChars="200" w:hanging="520"/>
              <w:jc w:val="center"/>
              <w:rPr>
                <w:rFonts w:hAnsi="標楷體"/>
                <w:sz w:val="24"/>
                <w:szCs w:val="24"/>
              </w:rPr>
            </w:pPr>
            <w:r w:rsidRPr="0005564B">
              <w:rPr>
                <w:rFonts w:hAnsi="標楷體"/>
                <w:sz w:val="24"/>
                <w:szCs w:val="24"/>
              </w:rPr>
              <w:t>診 所</w:t>
            </w:r>
          </w:p>
        </w:tc>
        <w:tc>
          <w:tcPr>
            <w:tcW w:w="2265" w:type="dxa"/>
            <w:vAlign w:val="center"/>
          </w:tcPr>
          <w:p w:rsidR="000E42FA" w:rsidRPr="0005564B" w:rsidRDefault="000E42FA" w:rsidP="000E42FA">
            <w:pPr>
              <w:spacing w:line="300" w:lineRule="exact"/>
              <w:ind w:left="520" w:hangingChars="200" w:hanging="520"/>
              <w:jc w:val="center"/>
              <w:rPr>
                <w:rFonts w:hAnsi="標楷體"/>
                <w:sz w:val="24"/>
                <w:szCs w:val="24"/>
              </w:rPr>
            </w:pPr>
            <w:r w:rsidRPr="0005564B">
              <w:rPr>
                <w:rFonts w:hAnsi="標楷體"/>
                <w:sz w:val="24"/>
                <w:szCs w:val="24"/>
              </w:rPr>
              <w:t>50元</w:t>
            </w:r>
          </w:p>
        </w:tc>
        <w:tc>
          <w:tcPr>
            <w:tcW w:w="2266" w:type="dxa"/>
            <w:vAlign w:val="center"/>
          </w:tcPr>
          <w:p w:rsidR="000E42FA" w:rsidRPr="0005564B" w:rsidRDefault="000E42FA" w:rsidP="000E42FA">
            <w:pPr>
              <w:spacing w:line="300" w:lineRule="exact"/>
              <w:ind w:left="520" w:hangingChars="200" w:hanging="520"/>
              <w:jc w:val="center"/>
              <w:rPr>
                <w:rFonts w:hAnsi="標楷體"/>
                <w:sz w:val="24"/>
                <w:szCs w:val="24"/>
              </w:rPr>
            </w:pPr>
            <w:r w:rsidRPr="0005564B">
              <w:rPr>
                <w:rFonts w:hAnsi="標楷體"/>
                <w:sz w:val="24"/>
                <w:szCs w:val="24"/>
              </w:rPr>
              <w:t>50元</w:t>
            </w:r>
          </w:p>
        </w:tc>
        <w:tc>
          <w:tcPr>
            <w:tcW w:w="2266" w:type="dxa"/>
            <w:vAlign w:val="center"/>
          </w:tcPr>
          <w:p w:rsidR="000E42FA" w:rsidRPr="0005564B" w:rsidRDefault="000E42FA" w:rsidP="000E42FA">
            <w:pPr>
              <w:spacing w:line="300" w:lineRule="exact"/>
              <w:ind w:left="520" w:hangingChars="200" w:hanging="520"/>
              <w:jc w:val="center"/>
              <w:rPr>
                <w:rFonts w:hAnsi="標楷體"/>
                <w:sz w:val="24"/>
                <w:szCs w:val="24"/>
              </w:rPr>
            </w:pPr>
            <w:r w:rsidRPr="0005564B">
              <w:rPr>
                <w:rFonts w:hAnsi="標楷體"/>
                <w:sz w:val="24"/>
                <w:szCs w:val="24"/>
              </w:rPr>
              <w:t>150元</w:t>
            </w:r>
          </w:p>
        </w:tc>
      </w:tr>
    </w:tbl>
    <w:p w:rsidR="000E42FA" w:rsidRPr="0005564B" w:rsidRDefault="00BD28C3" w:rsidP="004F7DDF">
      <w:pPr>
        <w:spacing w:afterLines="100" w:after="457" w:line="240" w:lineRule="exact"/>
        <w:ind w:left="260" w:hangingChars="100" w:hanging="260"/>
        <w:jc w:val="left"/>
        <w:rPr>
          <w:sz w:val="24"/>
          <w:szCs w:val="24"/>
        </w:rPr>
      </w:pPr>
      <w:r w:rsidRPr="0005564B">
        <w:rPr>
          <w:rFonts w:hint="eastAsia"/>
          <w:sz w:val="24"/>
          <w:szCs w:val="24"/>
        </w:rPr>
        <w:t>資料來源：衛福部。</w:t>
      </w:r>
    </w:p>
    <w:p w:rsidR="000E42FA" w:rsidRPr="0005564B" w:rsidRDefault="000E42FA" w:rsidP="000E42FA">
      <w:pPr>
        <w:pStyle w:val="4"/>
        <w:numPr>
          <w:ilvl w:val="3"/>
          <w:numId w:val="1"/>
        </w:numPr>
      </w:pPr>
      <w:r w:rsidRPr="0005564B">
        <w:rPr>
          <w:rFonts w:hint="eastAsia"/>
        </w:rPr>
        <w:t>106年4月，為了導引民眾改變就醫習慣，希望藉此建立有效的轉診制度，西醫門診部分負擔金額再次調整。主要調整內容為民眾如經基層診所轉診至醫學中心就醫，部分負擔費用由210元調降至170元；未經轉診至醫學中心門診就醫，部分負擔費用由360元調高至420元；另為紓解醫學中心急診輕症就醫，同時調整急診部分負擔，至醫學中心急診，檢傷分類第3-5級部分負擔費用調高為550元，第1-2級維持450元。區域醫院及地區醫院急診，維持300元及150元。</w:t>
      </w:r>
    </w:p>
    <w:p w:rsidR="000E42FA" w:rsidRPr="0005564B" w:rsidRDefault="000E42FA" w:rsidP="000E42FA">
      <w:pPr>
        <w:pStyle w:val="4"/>
        <w:numPr>
          <w:ilvl w:val="3"/>
          <w:numId w:val="1"/>
        </w:numPr>
      </w:pPr>
      <w:r w:rsidRPr="0005564B">
        <w:rPr>
          <w:rFonts w:hint="eastAsia"/>
        </w:rPr>
        <w:t>住院部分負擔</w:t>
      </w:r>
      <w:r w:rsidR="00417AC6" w:rsidRPr="0005564B">
        <w:rPr>
          <w:rFonts w:hint="eastAsia"/>
          <w:lang w:eastAsia="zh-HK"/>
        </w:rPr>
        <w:t>係</w:t>
      </w:r>
      <w:r w:rsidRPr="0005564B">
        <w:rPr>
          <w:rFonts w:hint="eastAsia"/>
        </w:rPr>
        <w:t>依</w:t>
      </w:r>
      <w:r w:rsidR="00FA3ADF" w:rsidRPr="0005564B">
        <w:rPr>
          <w:rFonts w:hAnsi="標楷體" w:hint="eastAsia"/>
        </w:rPr>
        <w:t>「</w:t>
      </w:r>
      <w:r w:rsidRPr="0005564B">
        <w:rPr>
          <w:rFonts w:hint="eastAsia"/>
        </w:rPr>
        <w:t>健保法</w:t>
      </w:r>
      <w:r w:rsidR="00FA3ADF" w:rsidRPr="0005564B">
        <w:rPr>
          <w:rFonts w:hAnsi="標楷體" w:hint="eastAsia"/>
        </w:rPr>
        <w:t>」</w:t>
      </w:r>
      <w:r w:rsidRPr="0005564B">
        <w:rPr>
          <w:rFonts w:hint="eastAsia"/>
        </w:rPr>
        <w:t>第47條第1項規定辦理，並依該法施行細則第</w:t>
      </w:r>
      <w:r w:rsidRPr="0005564B">
        <w:t>62</w:t>
      </w:r>
      <w:r w:rsidRPr="0005564B">
        <w:rPr>
          <w:rFonts w:hint="eastAsia"/>
        </w:rPr>
        <w:t>條規定訂定單次及全年上限。</w:t>
      </w:r>
    </w:p>
    <w:p w:rsidR="000E42FA" w:rsidRPr="0005564B" w:rsidRDefault="000E42FA" w:rsidP="000E42FA">
      <w:pPr>
        <w:pStyle w:val="a3"/>
        <w:jc w:val="center"/>
        <w:rPr>
          <w:b/>
        </w:rPr>
      </w:pPr>
      <w:r w:rsidRPr="0005564B">
        <w:rPr>
          <w:b/>
        </w:rPr>
        <w:t>急性病房應自行負擔之住院費用</w:t>
      </w:r>
    </w:p>
    <w:tbl>
      <w:tblPr>
        <w:tblStyle w:val="52"/>
        <w:tblW w:w="8080" w:type="dxa"/>
        <w:tblInd w:w="817" w:type="dxa"/>
        <w:tblLook w:val="04A0" w:firstRow="1" w:lastRow="0" w:firstColumn="1" w:lastColumn="0" w:noHBand="0" w:noVBand="1"/>
      </w:tblPr>
      <w:tblGrid>
        <w:gridCol w:w="1985"/>
        <w:gridCol w:w="1559"/>
        <w:gridCol w:w="2126"/>
        <w:gridCol w:w="2410"/>
      </w:tblGrid>
      <w:tr w:rsidR="0005564B" w:rsidRPr="0005564B" w:rsidTr="00C567B2">
        <w:tc>
          <w:tcPr>
            <w:tcW w:w="1985" w:type="dxa"/>
            <w:vAlign w:val="center"/>
          </w:tcPr>
          <w:p w:rsidR="000E42FA" w:rsidRPr="0005564B" w:rsidRDefault="000E42FA" w:rsidP="00C567B2">
            <w:pPr>
              <w:snapToGrid w:val="0"/>
              <w:jc w:val="center"/>
              <w:rPr>
                <w:sz w:val="24"/>
                <w:szCs w:val="24"/>
              </w:rPr>
            </w:pPr>
            <w:r w:rsidRPr="0005564B">
              <w:rPr>
                <w:sz w:val="24"/>
                <w:szCs w:val="24"/>
              </w:rPr>
              <w:t>住院天數</w:t>
            </w:r>
          </w:p>
        </w:tc>
        <w:tc>
          <w:tcPr>
            <w:tcW w:w="1559" w:type="dxa"/>
            <w:vAlign w:val="center"/>
          </w:tcPr>
          <w:p w:rsidR="000E42FA" w:rsidRPr="0005564B" w:rsidRDefault="000E42FA" w:rsidP="00C567B2">
            <w:pPr>
              <w:snapToGrid w:val="0"/>
              <w:jc w:val="center"/>
              <w:rPr>
                <w:sz w:val="24"/>
                <w:szCs w:val="24"/>
              </w:rPr>
            </w:pPr>
            <w:r w:rsidRPr="0005564B">
              <w:rPr>
                <w:sz w:val="24"/>
                <w:szCs w:val="24"/>
              </w:rPr>
              <w:t>30日以內</w:t>
            </w:r>
          </w:p>
        </w:tc>
        <w:tc>
          <w:tcPr>
            <w:tcW w:w="2126" w:type="dxa"/>
            <w:vAlign w:val="center"/>
          </w:tcPr>
          <w:p w:rsidR="000E42FA" w:rsidRPr="0005564B" w:rsidRDefault="000E42FA" w:rsidP="00C567B2">
            <w:pPr>
              <w:snapToGrid w:val="0"/>
              <w:jc w:val="center"/>
              <w:rPr>
                <w:sz w:val="24"/>
                <w:szCs w:val="24"/>
              </w:rPr>
            </w:pPr>
            <w:r w:rsidRPr="0005564B">
              <w:rPr>
                <w:sz w:val="24"/>
                <w:szCs w:val="24"/>
              </w:rPr>
              <w:t>逾30日至第60日</w:t>
            </w:r>
          </w:p>
        </w:tc>
        <w:tc>
          <w:tcPr>
            <w:tcW w:w="2410" w:type="dxa"/>
            <w:vAlign w:val="center"/>
          </w:tcPr>
          <w:p w:rsidR="000E42FA" w:rsidRPr="0005564B" w:rsidRDefault="000E42FA" w:rsidP="00C567B2">
            <w:pPr>
              <w:snapToGrid w:val="0"/>
              <w:jc w:val="center"/>
              <w:rPr>
                <w:sz w:val="24"/>
                <w:szCs w:val="24"/>
              </w:rPr>
            </w:pPr>
            <w:r w:rsidRPr="0005564B">
              <w:rPr>
                <w:sz w:val="24"/>
                <w:szCs w:val="24"/>
              </w:rPr>
              <w:t>逾60日起</w:t>
            </w:r>
          </w:p>
        </w:tc>
      </w:tr>
      <w:tr w:rsidR="0005564B" w:rsidRPr="0005564B" w:rsidTr="00C567B2">
        <w:tc>
          <w:tcPr>
            <w:tcW w:w="1985" w:type="dxa"/>
            <w:vAlign w:val="center"/>
          </w:tcPr>
          <w:p w:rsidR="000E42FA" w:rsidRPr="0005564B" w:rsidRDefault="000E42FA" w:rsidP="00C567B2">
            <w:pPr>
              <w:snapToGrid w:val="0"/>
              <w:jc w:val="center"/>
              <w:rPr>
                <w:sz w:val="24"/>
                <w:szCs w:val="24"/>
              </w:rPr>
            </w:pPr>
            <w:r w:rsidRPr="0005564B">
              <w:rPr>
                <w:sz w:val="24"/>
                <w:szCs w:val="24"/>
              </w:rPr>
              <w:t>部分負擔比率</w:t>
            </w:r>
          </w:p>
        </w:tc>
        <w:tc>
          <w:tcPr>
            <w:tcW w:w="1559" w:type="dxa"/>
            <w:vAlign w:val="center"/>
          </w:tcPr>
          <w:p w:rsidR="000E42FA" w:rsidRPr="0005564B" w:rsidRDefault="000E42FA" w:rsidP="00C567B2">
            <w:pPr>
              <w:snapToGrid w:val="0"/>
              <w:jc w:val="center"/>
              <w:rPr>
                <w:sz w:val="24"/>
                <w:szCs w:val="24"/>
              </w:rPr>
            </w:pPr>
            <w:r w:rsidRPr="0005564B">
              <w:rPr>
                <w:sz w:val="24"/>
                <w:szCs w:val="24"/>
              </w:rPr>
              <w:t>10%</w:t>
            </w:r>
          </w:p>
        </w:tc>
        <w:tc>
          <w:tcPr>
            <w:tcW w:w="2126" w:type="dxa"/>
            <w:vAlign w:val="center"/>
          </w:tcPr>
          <w:p w:rsidR="000E42FA" w:rsidRPr="0005564B" w:rsidRDefault="000E42FA" w:rsidP="00C567B2">
            <w:pPr>
              <w:snapToGrid w:val="0"/>
              <w:jc w:val="center"/>
              <w:rPr>
                <w:sz w:val="24"/>
                <w:szCs w:val="24"/>
              </w:rPr>
            </w:pPr>
            <w:r w:rsidRPr="0005564B">
              <w:rPr>
                <w:sz w:val="24"/>
                <w:szCs w:val="24"/>
              </w:rPr>
              <w:t>20%</w:t>
            </w:r>
          </w:p>
        </w:tc>
        <w:tc>
          <w:tcPr>
            <w:tcW w:w="2410" w:type="dxa"/>
            <w:vAlign w:val="center"/>
          </w:tcPr>
          <w:p w:rsidR="000E42FA" w:rsidRPr="0005564B" w:rsidRDefault="000E42FA" w:rsidP="00C567B2">
            <w:pPr>
              <w:snapToGrid w:val="0"/>
              <w:jc w:val="center"/>
              <w:rPr>
                <w:sz w:val="24"/>
                <w:szCs w:val="24"/>
              </w:rPr>
            </w:pPr>
            <w:r w:rsidRPr="0005564B">
              <w:rPr>
                <w:sz w:val="24"/>
                <w:szCs w:val="24"/>
              </w:rPr>
              <w:t>30%</w:t>
            </w:r>
          </w:p>
        </w:tc>
      </w:tr>
    </w:tbl>
    <w:p w:rsidR="000E42FA" w:rsidRPr="0005564B" w:rsidRDefault="00BD28C3" w:rsidP="004F7DDF">
      <w:pPr>
        <w:spacing w:afterLines="100" w:after="457" w:line="240" w:lineRule="exact"/>
        <w:ind w:leftChars="200" w:left="940" w:hangingChars="100" w:hanging="260"/>
        <w:jc w:val="left"/>
        <w:rPr>
          <w:sz w:val="24"/>
          <w:szCs w:val="24"/>
        </w:rPr>
      </w:pPr>
      <w:r w:rsidRPr="0005564B">
        <w:rPr>
          <w:rFonts w:hint="eastAsia"/>
          <w:sz w:val="24"/>
          <w:szCs w:val="24"/>
        </w:rPr>
        <w:t>資料來源：衛福部。</w:t>
      </w:r>
    </w:p>
    <w:p w:rsidR="000E42FA" w:rsidRPr="0005564B" w:rsidRDefault="000E42FA" w:rsidP="000E42FA">
      <w:pPr>
        <w:pStyle w:val="a3"/>
        <w:jc w:val="center"/>
        <w:rPr>
          <w:b/>
        </w:rPr>
      </w:pPr>
      <w:r w:rsidRPr="0005564B">
        <w:rPr>
          <w:b/>
        </w:rPr>
        <w:t>慢性病房應自行負擔之住院費用</w:t>
      </w:r>
    </w:p>
    <w:tbl>
      <w:tblPr>
        <w:tblStyle w:val="52"/>
        <w:tblW w:w="8363" w:type="dxa"/>
        <w:tblInd w:w="817" w:type="dxa"/>
        <w:tblLook w:val="04A0" w:firstRow="1" w:lastRow="0" w:firstColumn="1" w:lastColumn="0" w:noHBand="0" w:noVBand="1"/>
      </w:tblPr>
      <w:tblGrid>
        <w:gridCol w:w="1843"/>
        <w:gridCol w:w="1276"/>
        <w:gridCol w:w="1842"/>
        <w:gridCol w:w="1843"/>
        <w:gridCol w:w="1559"/>
      </w:tblGrid>
      <w:tr w:rsidR="0005564B" w:rsidRPr="0005564B" w:rsidTr="00C567B2">
        <w:tc>
          <w:tcPr>
            <w:tcW w:w="1843" w:type="dxa"/>
            <w:vAlign w:val="center"/>
          </w:tcPr>
          <w:p w:rsidR="000E42FA" w:rsidRPr="0005564B" w:rsidRDefault="000E42FA" w:rsidP="00C567B2">
            <w:pPr>
              <w:snapToGrid w:val="0"/>
              <w:jc w:val="center"/>
              <w:rPr>
                <w:sz w:val="24"/>
                <w:szCs w:val="24"/>
              </w:rPr>
            </w:pPr>
            <w:r w:rsidRPr="0005564B">
              <w:rPr>
                <w:sz w:val="24"/>
                <w:szCs w:val="24"/>
              </w:rPr>
              <w:t>住院天數</w:t>
            </w:r>
          </w:p>
        </w:tc>
        <w:tc>
          <w:tcPr>
            <w:tcW w:w="1276" w:type="dxa"/>
            <w:vAlign w:val="center"/>
          </w:tcPr>
          <w:p w:rsidR="000E42FA" w:rsidRPr="0005564B" w:rsidRDefault="000E42FA" w:rsidP="00C567B2">
            <w:pPr>
              <w:snapToGrid w:val="0"/>
              <w:jc w:val="center"/>
              <w:rPr>
                <w:sz w:val="24"/>
                <w:szCs w:val="24"/>
              </w:rPr>
            </w:pPr>
            <w:r w:rsidRPr="0005564B">
              <w:rPr>
                <w:sz w:val="24"/>
                <w:szCs w:val="24"/>
              </w:rPr>
              <w:t>30日以內</w:t>
            </w:r>
          </w:p>
        </w:tc>
        <w:tc>
          <w:tcPr>
            <w:tcW w:w="1842" w:type="dxa"/>
            <w:vAlign w:val="center"/>
          </w:tcPr>
          <w:p w:rsidR="000E42FA" w:rsidRPr="0005564B" w:rsidRDefault="000E42FA" w:rsidP="000E42FA">
            <w:pPr>
              <w:snapToGrid w:val="0"/>
              <w:ind w:leftChars="-50" w:left="-170" w:rightChars="-50" w:right="-170"/>
              <w:jc w:val="center"/>
              <w:rPr>
                <w:sz w:val="24"/>
                <w:szCs w:val="24"/>
              </w:rPr>
            </w:pPr>
            <w:r w:rsidRPr="0005564B">
              <w:rPr>
                <w:sz w:val="24"/>
                <w:szCs w:val="24"/>
              </w:rPr>
              <w:t>逾30日至第90日</w:t>
            </w:r>
          </w:p>
        </w:tc>
        <w:tc>
          <w:tcPr>
            <w:tcW w:w="1843" w:type="dxa"/>
            <w:vAlign w:val="center"/>
          </w:tcPr>
          <w:p w:rsidR="000E42FA" w:rsidRPr="0005564B" w:rsidRDefault="000E42FA" w:rsidP="000E42FA">
            <w:pPr>
              <w:snapToGrid w:val="0"/>
              <w:ind w:leftChars="-50" w:left="-170" w:rightChars="-50" w:right="-170"/>
              <w:jc w:val="center"/>
              <w:rPr>
                <w:sz w:val="24"/>
                <w:szCs w:val="24"/>
              </w:rPr>
            </w:pPr>
            <w:r w:rsidRPr="0005564B">
              <w:rPr>
                <w:sz w:val="24"/>
                <w:szCs w:val="24"/>
              </w:rPr>
              <w:t>逾90日至第180日</w:t>
            </w:r>
          </w:p>
        </w:tc>
        <w:tc>
          <w:tcPr>
            <w:tcW w:w="1559" w:type="dxa"/>
            <w:vAlign w:val="center"/>
          </w:tcPr>
          <w:p w:rsidR="000E42FA" w:rsidRPr="0005564B" w:rsidRDefault="000E42FA" w:rsidP="00C567B2">
            <w:pPr>
              <w:snapToGrid w:val="0"/>
              <w:jc w:val="center"/>
              <w:rPr>
                <w:sz w:val="24"/>
                <w:szCs w:val="24"/>
              </w:rPr>
            </w:pPr>
            <w:r w:rsidRPr="0005564B">
              <w:rPr>
                <w:sz w:val="24"/>
                <w:szCs w:val="24"/>
              </w:rPr>
              <w:t>逾180日起</w:t>
            </w:r>
          </w:p>
        </w:tc>
      </w:tr>
      <w:tr w:rsidR="0005564B" w:rsidRPr="0005564B" w:rsidTr="00C567B2">
        <w:tc>
          <w:tcPr>
            <w:tcW w:w="1843" w:type="dxa"/>
            <w:vAlign w:val="center"/>
          </w:tcPr>
          <w:p w:rsidR="000E42FA" w:rsidRPr="0005564B" w:rsidRDefault="000E42FA" w:rsidP="00C567B2">
            <w:pPr>
              <w:snapToGrid w:val="0"/>
              <w:jc w:val="center"/>
              <w:rPr>
                <w:sz w:val="24"/>
                <w:szCs w:val="24"/>
              </w:rPr>
            </w:pPr>
            <w:r w:rsidRPr="0005564B">
              <w:rPr>
                <w:sz w:val="24"/>
                <w:szCs w:val="24"/>
              </w:rPr>
              <w:t>部分負擔比率</w:t>
            </w:r>
          </w:p>
        </w:tc>
        <w:tc>
          <w:tcPr>
            <w:tcW w:w="1276" w:type="dxa"/>
            <w:vAlign w:val="center"/>
          </w:tcPr>
          <w:p w:rsidR="000E42FA" w:rsidRPr="0005564B" w:rsidRDefault="000E42FA" w:rsidP="00C567B2">
            <w:pPr>
              <w:snapToGrid w:val="0"/>
              <w:jc w:val="center"/>
              <w:rPr>
                <w:sz w:val="24"/>
                <w:szCs w:val="24"/>
              </w:rPr>
            </w:pPr>
            <w:r w:rsidRPr="0005564B">
              <w:rPr>
                <w:sz w:val="24"/>
                <w:szCs w:val="24"/>
              </w:rPr>
              <w:t>5%</w:t>
            </w:r>
          </w:p>
        </w:tc>
        <w:tc>
          <w:tcPr>
            <w:tcW w:w="1842" w:type="dxa"/>
            <w:vAlign w:val="center"/>
          </w:tcPr>
          <w:p w:rsidR="000E42FA" w:rsidRPr="0005564B" w:rsidRDefault="000E42FA" w:rsidP="00C567B2">
            <w:pPr>
              <w:snapToGrid w:val="0"/>
              <w:jc w:val="center"/>
              <w:rPr>
                <w:sz w:val="24"/>
                <w:szCs w:val="24"/>
              </w:rPr>
            </w:pPr>
            <w:r w:rsidRPr="0005564B">
              <w:rPr>
                <w:sz w:val="24"/>
                <w:szCs w:val="24"/>
              </w:rPr>
              <w:t>10%</w:t>
            </w:r>
          </w:p>
        </w:tc>
        <w:tc>
          <w:tcPr>
            <w:tcW w:w="1843" w:type="dxa"/>
            <w:vAlign w:val="center"/>
          </w:tcPr>
          <w:p w:rsidR="000E42FA" w:rsidRPr="0005564B" w:rsidRDefault="000E42FA" w:rsidP="00C567B2">
            <w:pPr>
              <w:snapToGrid w:val="0"/>
              <w:jc w:val="center"/>
              <w:rPr>
                <w:sz w:val="24"/>
                <w:szCs w:val="24"/>
              </w:rPr>
            </w:pPr>
            <w:r w:rsidRPr="0005564B">
              <w:rPr>
                <w:sz w:val="24"/>
                <w:szCs w:val="24"/>
              </w:rPr>
              <w:t>20%</w:t>
            </w:r>
          </w:p>
        </w:tc>
        <w:tc>
          <w:tcPr>
            <w:tcW w:w="1559" w:type="dxa"/>
            <w:vAlign w:val="center"/>
          </w:tcPr>
          <w:p w:rsidR="000E42FA" w:rsidRPr="0005564B" w:rsidRDefault="000E42FA" w:rsidP="00C567B2">
            <w:pPr>
              <w:snapToGrid w:val="0"/>
              <w:jc w:val="center"/>
              <w:rPr>
                <w:sz w:val="24"/>
                <w:szCs w:val="24"/>
              </w:rPr>
            </w:pPr>
            <w:r w:rsidRPr="0005564B">
              <w:rPr>
                <w:sz w:val="24"/>
                <w:szCs w:val="24"/>
              </w:rPr>
              <w:t>30%</w:t>
            </w:r>
          </w:p>
        </w:tc>
      </w:tr>
    </w:tbl>
    <w:p w:rsidR="000E42FA" w:rsidRPr="0005564B" w:rsidRDefault="00BD28C3" w:rsidP="004F7DDF">
      <w:pPr>
        <w:spacing w:afterLines="100" w:after="457" w:line="240" w:lineRule="exact"/>
        <w:ind w:leftChars="200" w:left="940" w:hangingChars="100" w:hanging="260"/>
        <w:jc w:val="left"/>
        <w:rPr>
          <w:sz w:val="24"/>
          <w:szCs w:val="24"/>
        </w:rPr>
      </w:pPr>
      <w:r w:rsidRPr="0005564B">
        <w:rPr>
          <w:rFonts w:hint="eastAsia"/>
          <w:sz w:val="24"/>
          <w:szCs w:val="24"/>
        </w:rPr>
        <w:t>資料來源：衛福部。</w:t>
      </w:r>
    </w:p>
    <w:p w:rsidR="000E42FA" w:rsidRPr="0005564B" w:rsidRDefault="000E42FA" w:rsidP="000E42FA">
      <w:pPr>
        <w:pStyle w:val="4"/>
        <w:numPr>
          <w:ilvl w:val="3"/>
          <w:numId w:val="1"/>
        </w:numPr>
      </w:pPr>
      <w:r w:rsidRPr="0005564B">
        <w:t>由於人口結構日益老化、民眾就醫行為改變及醫療科技不斷推陳出新，96年至106年，</w:t>
      </w:r>
      <w:r w:rsidRPr="0005564B">
        <w:rPr>
          <w:rFonts w:hint="eastAsia"/>
        </w:rPr>
        <w:t>健保</w:t>
      </w:r>
      <w:r w:rsidRPr="0005564B">
        <w:t>醫療點</w:t>
      </w:r>
      <w:r w:rsidRPr="0005564B">
        <w:lastRenderedPageBreak/>
        <w:t>數由4,400億成長至7,000億。106年整體部分負擔(含政府補助及保險對象自行負擔)為404.6億，占醫療點數約5.8%。</w:t>
      </w:r>
    </w:p>
    <w:p w:rsidR="000E42FA" w:rsidRPr="0005564B" w:rsidRDefault="000E42FA" w:rsidP="000E42FA">
      <w:pPr>
        <w:pStyle w:val="3"/>
        <w:numPr>
          <w:ilvl w:val="2"/>
          <w:numId w:val="1"/>
        </w:numPr>
      </w:pPr>
      <w:bookmarkStart w:id="137" w:name="_Toc9058311"/>
      <w:bookmarkStart w:id="138" w:name="_Toc10027551"/>
      <w:bookmarkStart w:id="139" w:name="_Toc10054244"/>
      <w:bookmarkStart w:id="140" w:name="_Toc10066349"/>
      <w:r w:rsidRPr="0005564B">
        <w:rPr>
          <w:rFonts w:hint="eastAsia"/>
        </w:rPr>
        <w:t>重大傷病免除部分負擔：</w:t>
      </w:r>
      <w:bookmarkEnd w:id="137"/>
      <w:bookmarkEnd w:id="138"/>
      <w:bookmarkEnd w:id="139"/>
      <w:bookmarkEnd w:id="140"/>
    </w:p>
    <w:p w:rsidR="000E42FA" w:rsidRPr="0005564B" w:rsidRDefault="000E42FA" w:rsidP="000E42FA">
      <w:pPr>
        <w:pStyle w:val="4"/>
        <w:numPr>
          <w:ilvl w:val="3"/>
          <w:numId w:val="1"/>
        </w:numPr>
      </w:pPr>
      <w:r w:rsidRPr="0005564B">
        <w:rPr>
          <w:rFonts w:hint="eastAsia"/>
        </w:rPr>
        <w:t>102年至107年分別截至當年度12月底，領有全民健康保險重大傷病證明有效領證數及醫療服務</w:t>
      </w:r>
      <w:r w:rsidR="00AC2BBB" w:rsidRPr="0005564B">
        <w:rPr>
          <w:rFonts w:hint="eastAsia"/>
          <w:lang w:eastAsia="zh-HK"/>
        </w:rPr>
        <w:t>分別</w:t>
      </w:r>
      <w:r w:rsidRPr="0005564B">
        <w:rPr>
          <w:rFonts w:hint="eastAsia"/>
        </w:rPr>
        <w:t>如</w:t>
      </w:r>
      <w:r w:rsidR="00AC2BBB" w:rsidRPr="0005564B">
        <w:rPr>
          <w:rFonts w:hint="eastAsia"/>
          <w:lang w:eastAsia="zh-HK"/>
        </w:rPr>
        <w:t>下列2</w:t>
      </w:r>
      <w:r w:rsidRPr="0005564B">
        <w:rPr>
          <w:rFonts w:hint="eastAsia"/>
        </w:rPr>
        <w:t>表。</w:t>
      </w:r>
    </w:p>
    <w:p w:rsidR="000E42FA" w:rsidRPr="0005564B" w:rsidRDefault="000E42FA" w:rsidP="001D04E8">
      <w:pPr>
        <w:pStyle w:val="a3"/>
        <w:ind w:left="851" w:hanging="851"/>
        <w:jc w:val="center"/>
        <w:rPr>
          <w:b/>
        </w:rPr>
      </w:pPr>
      <w:r w:rsidRPr="0005564B">
        <w:rPr>
          <w:rFonts w:hint="eastAsia"/>
          <w:b/>
        </w:rPr>
        <w:t>102年至107年底全民健康保險重大傷病證明有效領證統計表</w:t>
      </w:r>
    </w:p>
    <w:tbl>
      <w:tblPr>
        <w:tblStyle w:val="af6"/>
        <w:tblW w:w="0" w:type="auto"/>
        <w:tblInd w:w="108" w:type="dxa"/>
        <w:tblLook w:val="04A0" w:firstRow="1" w:lastRow="0" w:firstColumn="1" w:lastColumn="0" w:noHBand="0" w:noVBand="1"/>
      </w:tblPr>
      <w:tblGrid>
        <w:gridCol w:w="4307"/>
        <w:gridCol w:w="4419"/>
      </w:tblGrid>
      <w:tr w:rsidR="0005564B" w:rsidRPr="0005564B" w:rsidTr="00F47799">
        <w:trPr>
          <w:trHeight w:val="581"/>
          <w:tblHeader/>
        </w:trPr>
        <w:tc>
          <w:tcPr>
            <w:tcW w:w="4342" w:type="dxa"/>
            <w:vAlign w:val="center"/>
          </w:tcPr>
          <w:p w:rsidR="000E42FA" w:rsidRPr="0005564B" w:rsidRDefault="000E42FA" w:rsidP="004F7DDF">
            <w:pPr>
              <w:spacing w:beforeLines="5" w:before="22" w:afterLines="5" w:after="22"/>
              <w:jc w:val="center"/>
              <w:rPr>
                <w:b/>
                <w:sz w:val="24"/>
                <w:szCs w:val="24"/>
              </w:rPr>
            </w:pPr>
            <w:r w:rsidRPr="0005564B">
              <w:rPr>
                <w:rFonts w:hint="eastAsia"/>
                <w:b/>
                <w:sz w:val="24"/>
                <w:szCs w:val="24"/>
              </w:rPr>
              <w:t>年度</w:t>
            </w:r>
          </w:p>
        </w:tc>
        <w:tc>
          <w:tcPr>
            <w:tcW w:w="4450" w:type="dxa"/>
            <w:vAlign w:val="center"/>
          </w:tcPr>
          <w:p w:rsidR="000E42FA" w:rsidRPr="0005564B" w:rsidRDefault="000E42FA" w:rsidP="001D04E8">
            <w:pPr>
              <w:jc w:val="center"/>
              <w:rPr>
                <w:b/>
                <w:sz w:val="24"/>
                <w:szCs w:val="24"/>
              </w:rPr>
            </w:pPr>
            <w:r w:rsidRPr="0005564B">
              <w:rPr>
                <w:rFonts w:hint="eastAsia"/>
                <w:b/>
                <w:sz w:val="24"/>
                <w:szCs w:val="24"/>
              </w:rPr>
              <w:t>有效領證</w:t>
            </w:r>
          </w:p>
        </w:tc>
      </w:tr>
      <w:tr w:rsidR="0005564B" w:rsidRPr="0005564B" w:rsidTr="00E30A73">
        <w:tc>
          <w:tcPr>
            <w:tcW w:w="4342" w:type="dxa"/>
          </w:tcPr>
          <w:p w:rsidR="000E42FA" w:rsidRPr="0005564B" w:rsidRDefault="000E42FA" w:rsidP="003B110E">
            <w:pPr>
              <w:spacing w:beforeLines="10" w:before="45" w:afterLines="10" w:after="45"/>
              <w:jc w:val="center"/>
              <w:rPr>
                <w:sz w:val="24"/>
                <w:szCs w:val="24"/>
              </w:rPr>
            </w:pPr>
            <w:r w:rsidRPr="0005564B">
              <w:rPr>
                <w:rFonts w:hint="eastAsia"/>
                <w:sz w:val="24"/>
                <w:szCs w:val="24"/>
              </w:rPr>
              <w:t>102</w:t>
            </w:r>
          </w:p>
        </w:tc>
        <w:tc>
          <w:tcPr>
            <w:tcW w:w="4450" w:type="dxa"/>
            <w:vAlign w:val="center"/>
          </w:tcPr>
          <w:p w:rsidR="000E42FA" w:rsidRPr="0005564B" w:rsidRDefault="000E42FA" w:rsidP="00E30A73">
            <w:pPr>
              <w:jc w:val="center"/>
              <w:rPr>
                <w:sz w:val="24"/>
                <w:szCs w:val="24"/>
              </w:rPr>
            </w:pPr>
            <w:r w:rsidRPr="0005564B">
              <w:rPr>
                <w:rFonts w:hint="eastAsia"/>
                <w:sz w:val="24"/>
                <w:szCs w:val="24"/>
              </w:rPr>
              <w:t>986,287</w:t>
            </w:r>
          </w:p>
        </w:tc>
      </w:tr>
      <w:tr w:rsidR="0005564B" w:rsidRPr="0005564B" w:rsidTr="00E30A73">
        <w:tc>
          <w:tcPr>
            <w:tcW w:w="4342" w:type="dxa"/>
          </w:tcPr>
          <w:p w:rsidR="000E42FA" w:rsidRPr="0005564B" w:rsidRDefault="000E42FA" w:rsidP="003B110E">
            <w:pPr>
              <w:spacing w:beforeLines="10" w:before="45" w:afterLines="10" w:after="45"/>
              <w:jc w:val="center"/>
              <w:rPr>
                <w:sz w:val="24"/>
                <w:szCs w:val="24"/>
              </w:rPr>
            </w:pPr>
            <w:r w:rsidRPr="0005564B">
              <w:rPr>
                <w:rFonts w:hint="eastAsia"/>
                <w:sz w:val="24"/>
                <w:szCs w:val="24"/>
              </w:rPr>
              <w:t>103</w:t>
            </w:r>
          </w:p>
        </w:tc>
        <w:tc>
          <w:tcPr>
            <w:tcW w:w="4450" w:type="dxa"/>
            <w:vAlign w:val="center"/>
          </w:tcPr>
          <w:p w:rsidR="000E42FA" w:rsidRPr="0005564B" w:rsidRDefault="000E42FA" w:rsidP="00E30A73">
            <w:pPr>
              <w:jc w:val="center"/>
              <w:rPr>
                <w:sz w:val="24"/>
                <w:szCs w:val="24"/>
              </w:rPr>
            </w:pPr>
            <w:r w:rsidRPr="0005564B">
              <w:rPr>
                <w:rFonts w:hint="eastAsia"/>
                <w:sz w:val="24"/>
                <w:szCs w:val="24"/>
              </w:rPr>
              <w:t>974,720</w:t>
            </w:r>
          </w:p>
        </w:tc>
      </w:tr>
      <w:tr w:rsidR="0005564B" w:rsidRPr="0005564B" w:rsidTr="00E30A73">
        <w:tc>
          <w:tcPr>
            <w:tcW w:w="4342" w:type="dxa"/>
          </w:tcPr>
          <w:p w:rsidR="000E42FA" w:rsidRPr="0005564B" w:rsidRDefault="000E42FA" w:rsidP="003B110E">
            <w:pPr>
              <w:spacing w:beforeLines="10" w:before="45" w:afterLines="10" w:after="45"/>
              <w:jc w:val="center"/>
              <w:rPr>
                <w:sz w:val="24"/>
                <w:szCs w:val="24"/>
              </w:rPr>
            </w:pPr>
            <w:r w:rsidRPr="0005564B">
              <w:rPr>
                <w:rFonts w:hint="eastAsia"/>
                <w:sz w:val="24"/>
                <w:szCs w:val="24"/>
              </w:rPr>
              <w:t>104</w:t>
            </w:r>
          </w:p>
        </w:tc>
        <w:tc>
          <w:tcPr>
            <w:tcW w:w="4450" w:type="dxa"/>
            <w:vAlign w:val="center"/>
          </w:tcPr>
          <w:p w:rsidR="000E42FA" w:rsidRPr="0005564B" w:rsidRDefault="000E42FA" w:rsidP="00E30A73">
            <w:pPr>
              <w:jc w:val="center"/>
              <w:rPr>
                <w:sz w:val="24"/>
                <w:szCs w:val="24"/>
              </w:rPr>
            </w:pPr>
            <w:r w:rsidRPr="0005564B">
              <w:rPr>
                <w:rFonts w:hint="eastAsia"/>
                <w:sz w:val="24"/>
                <w:szCs w:val="24"/>
              </w:rPr>
              <w:t>967,239</w:t>
            </w:r>
          </w:p>
        </w:tc>
      </w:tr>
      <w:tr w:rsidR="0005564B" w:rsidRPr="0005564B" w:rsidTr="00E30A73">
        <w:tc>
          <w:tcPr>
            <w:tcW w:w="4342" w:type="dxa"/>
          </w:tcPr>
          <w:p w:rsidR="000E42FA" w:rsidRPr="0005564B" w:rsidRDefault="000E42FA" w:rsidP="003B110E">
            <w:pPr>
              <w:spacing w:beforeLines="10" w:before="45" w:afterLines="10" w:after="45"/>
              <w:jc w:val="center"/>
              <w:rPr>
                <w:sz w:val="24"/>
                <w:szCs w:val="24"/>
              </w:rPr>
            </w:pPr>
            <w:r w:rsidRPr="0005564B">
              <w:rPr>
                <w:rFonts w:hint="eastAsia"/>
                <w:sz w:val="24"/>
                <w:szCs w:val="24"/>
              </w:rPr>
              <w:t>105</w:t>
            </w:r>
          </w:p>
        </w:tc>
        <w:tc>
          <w:tcPr>
            <w:tcW w:w="4450" w:type="dxa"/>
            <w:vAlign w:val="center"/>
          </w:tcPr>
          <w:p w:rsidR="000E42FA" w:rsidRPr="0005564B" w:rsidRDefault="000E42FA" w:rsidP="00E30A73">
            <w:pPr>
              <w:jc w:val="center"/>
              <w:rPr>
                <w:sz w:val="24"/>
                <w:szCs w:val="24"/>
              </w:rPr>
            </w:pPr>
            <w:r w:rsidRPr="0005564B">
              <w:rPr>
                <w:rFonts w:hint="eastAsia"/>
                <w:sz w:val="24"/>
                <w:szCs w:val="24"/>
              </w:rPr>
              <w:t>954,681</w:t>
            </w:r>
          </w:p>
        </w:tc>
      </w:tr>
      <w:tr w:rsidR="0005564B" w:rsidRPr="0005564B" w:rsidTr="00E30A73">
        <w:tc>
          <w:tcPr>
            <w:tcW w:w="4342" w:type="dxa"/>
          </w:tcPr>
          <w:p w:rsidR="000E42FA" w:rsidRPr="0005564B" w:rsidRDefault="000E42FA" w:rsidP="003B110E">
            <w:pPr>
              <w:spacing w:beforeLines="10" w:before="45" w:afterLines="10" w:after="45"/>
              <w:jc w:val="center"/>
              <w:rPr>
                <w:sz w:val="24"/>
                <w:szCs w:val="24"/>
              </w:rPr>
            </w:pPr>
            <w:r w:rsidRPr="0005564B">
              <w:rPr>
                <w:rFonts w:hint="eastAsia"/>
                <w:sz w:val="24"/>
                <w:szCs w:val="24"/>
              </w:rPr>
              <w:t>106</w:t>
            </w:r>
          </w:p>
        </w:tc>
        <w:tc>
          <w:tcPr>
            <w:tcW w:w="4450" w:type="dxa"/>
            <w:vAlign w:val="center"/>
          </w:tcPr>
          <w:p w:rsidR="000E42FA" w:rsidRPr="0005564B" w:rsidRDefault="000E42FA" w:rsidP="00E30A73">
            <w:pPr>
              <w:jc w:val="center"/>
              <w:rPr>
                <w:sz w:val="24"/>
                <w:szCs w:val="24"/>
              </w:rPr>
            </w:pPr>
            <w:r w:rsidRPr="0005564B">
              <w:rPr>
                <w:rFonts w:hint="eastAsia"/>
                <w:sz w:val="24"/>
                <w:szCs w:val="24"/>
              </w:rPr>
              <w:t>956,376</w:t>
            </w:r>
          </w:p>
        </w:tc>
      </w:tr>
      <w:tr w:rsidR="0005564B" w:rsidRPr="0005564B" w:rsidTr="00E30A73">
        <w:tc>
          <w:tcPr>
            <w:tcW w:w="4342" w:type="dxa"/>
          </w:tcPr>
          <w:p w:rsidR="000E42FA" w:rsidRPr="0005564B" w:rsidRDefault="000E42FA" w:rsidP="003B110E">
            <w:pPr>
              <w:spacing w:beforeLines="10" w:before="45" w:afterLines="10" w:after="45"/>
              <w:jc w:val="center"/>
              <w:rPr>
                <w:sz w:val="24"/>
                <w:szCs w:val="24"/>
              </w:rPr>
            </w:pPr>
            <w:r w:rsidRPr="0005564B">
              <w:rPr>
                <w:rFonts w:hint="eastAsia"/>
                <w:sz w:val="24"/>
                <w:szCs w:val="24"/>
              </w:rPr>
              <w:t>107</w:t>
            </w:r>
          </w:p>
        </w:tc>
        <w:tc>
          <w:tcPr>
            <w:tcW w:w="4450" w:type="dxa"/>
            <w:vAlign w:val="center"/>
          </w:tcPr>
          <w:p w:rsidR="000E42FA" w:rsidRPr="0005564B" w:rsidRDefault="000E42FA" w:rsidP="00E30A73">
            <w:pPr>
              <w:jc w:val="center"/>
              <w:rPr>
                <w:sz w:val="24"/>
                <w:szCs w:val="24"/>
              </w:rPr>
            </w:pPr>
            <w:r w:rsidRPr="0005564B">
              <w:rPr>
                <w:rFonts w:hint="eastAsia"/>
                <w:sz w:val="24"/>
                <w:szCs w:val="24"/>
              </w:rPr>
              <w:t>957,033</w:t>
            </w:r>
          </w:p>
        </w:tc>
      </w:tr>
    </w:tbl>
    <w:p w:rsidR="000E42FA" w:rsidRPr="0005564B" w:rsidRDefault="000E42FA" w:rsidP="000E42FA">
      <w:pPr>
        <w:spacing w:line="300" w:lineRule="exact"/>
        <w:jc w:val="left"/>
        <w:rPr>
          <w:sz w:val="24"/>
          <w:szCs w:val="24"/>
        </w:rPr>
      </w:pPr>
      <w:r w:rsidRPr="0005564B">
        <w:rPr>
          <w:rFonts w:hint="eastAsia"/>
          <w:sz w:val="24"/>
          <w:szCs w:val="24"/>
        </w:rPr>
        <w:t>備註：有效領證數：係指實際有效領證卡數，已排除死亡及註銷案件。</w:t>
      </w:r>
    </w:p>
    <w:p w:rsidR="001D04E8" w:rsidRPr="0005564B" w:rsidRDefault="00BD28C3" w:rsidP="000E42FA">
      <w:pPr>
        <w:spacing w:line="300" w:lineRule="exact"/>
        <w:jc w:val="left"/>
        <w:rPr>
          <w:sz w:val="24"/>
          <w:szCs w:val="24"/>
        </w:rPr>
      </w:pPr>
      <w:r w:rsidRPr="0005564B">
        <w:rPr>
          <w:rFonts w:hint="eastAsia"/>
          <w:sz w:val="24"/>
          <w:szCs w:val="24"/>
        </w:rPr>
        <w:t>資料來源：衛福部。</w:t>
      </w:r>
    </w:p>
    <w:p w:rsidR="000E42FA" w:rsidRPr="0005564B" w:rsidRDefault="000E42FA" w:rsidP="001D04E8">
      <w:pPr>
        <w:pStyle w:val="a3"/>
        <w:jc w:val="center"/>
        <w:rPr>
          <w:b/>
        </w:rPr>
      </w:pPr>
      <w:r w:rsidRPr="0005564B">
        <w:rPr>
          <w:rFonts w:hint="eastAsia"/>
          <w:b/>
        </w:rPr>
        <w:t>近</w:t>
      </w:r>
      <w:r w:rsidRPr="0005564B">
        <w:rPr>
          <w:b/>
        </w:rPr>
        <w:t>6</w:t>
      </w:r>
      <w:r w:rsidRPr="0005564B">
        <w:rPr>
          <w:rFonts w:hint="eastAsia"/>
          <w:b/>
        </w:rPr>
        <w:t>年</w:t>
      </w:r>
      <w:r w:rsidRPr="0005564B">
        <w:rPr>
          <w:b/>
        </w:rPr>
        <w:t>(102</w:t>
      </w:r>
      <w:r w:rsidRPr="0005564B">
        <w:rPr>
          <w:rFonts w:hint="eastAsia"/>
          <w:b/>
        </w:rPr>
        <w:t>年</w:t>
      </w:r>
      <w:r w:rsidRPr="0005564B">
        <w:rPr>
          <w:b/>
        </w:rPr>
        <w:t>-107</w:t>
      </w:r>
      <w:r w:rsidRPr="0005564B">
        <w:rPr>
          <w:rFonts w:hint="eastAsia"/>
          <w:b/>
        </w:rPr>
        <w:t>年</w:t>
      </w:r>
      <w:r w:rsidRPr="0005564B">
        <w:rPr>
          <w:b/>
        </w:rPr>
        <w:t>)</w:t>
      </w:r>
      <w:r w:rsidRPr="0005564B">
        <w:rPr>
          <w:rFonts w:hint="eastAsia"/>
          <w:b/>
        </w:rPr>
        <w:t>重大傷病醫療服務概況統計－門住診合計</w:t>
      </w:r>
    </w:p>
    <w:tbl>
      <w:tblPr>
        <w:tblW w:w="8946"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56"/>
        <w:gridCol w:w="1727"/>
        <w:gridCol w:w="1110"/>
        <w:gridCol w:w="1111"/>
        <w:gridCol w:w="1110"/>
        <w:gridCol w:w="1111"/>
        <w:gridCol w:w="1110"/>
        <w:gridCol w:w="1111"/>
      </w:tblGrid>
      <w:tr w:rsidR="0005564B" w:rsidRPr="0005564B" w:rsidTr="00E30A73">
        <w:trPr>
          <w:trHeight w:val="738"/>
          <w:tblHeader/>
        </w:trPr>
        <w:tc>
          <w:tcPr>
            <w:tcW w:w="2283" w:type="dxa"/>
            <w:gridSpan w:val="2"/>
            <w:shd w:val="clear" w:color="auto" w:fill="auto"/>
            <w:noWrap/>
            <w:vAlign w:val="center"/>
            <w:hideMark/>
          </w:tcPr>
          <w:p w:rsidR="000E42FA" w:rsidRPr="0005564B" w:rsidRDefault="000E42FA" w:rsidP="004F7DDF">
            <w:pPr>
              <w:widowControl/>
              <w:spacing w:beforeLines="5" w:before="22" w:afterLines="5" w:after="22"/>
              <w:ind w:rightChars="-25" w:right="-85"/>
              <w:jc w:val="center"/>
              <w:rPr>
                <w:rFonts w:hAnsi="標楷體"/>
                <w:b/>
                <w:spacing w:val="-20"/>
                <w:kern w:val="0"/>
                <w:sz w:val="22"/>
                <w:szCs w:val="22"/>
              </w:rPr>
            </w:pPr>
            <w:r w:rsidRPr="0005564B">
              <w:rPr>
                <w:rFonts w:hAnsi="標楷體" w:hint="eastAsia"/>
                <w:b/>
                <w:spacing w:val="-20"/>
                <w:kern w:val="0"/>
                <w:sz w:val="22"/>
                <w:szCs w:val="22"/>
              </w:rPr>
              <w:t>醫療利用項目</w:t>
            </w:r>
          </w:p>
        </w:tc>
        <w:tc>
          <w:tcPr>
            <w:tcW w:w="1110" w:type="dxa"/>
            <w:shd w:val="clear" w:color="auto" w:fill="auto"/>
            <w:noWrap/>
            <w:vAlign w:val="center"/>
            <w:hideMark/>
          </w:tcPr>
          <w:p w:rsidR="000E42FA" w:rsidRPr="0005564B" w:rsidRDefault="000E42FA" w:rsidP="00C567B2">
            <w:pPr>
              <w:widowControl/>
              <w:jc w:val="center"/>
              <w:rPr>
                <w:rFonts w:hAnsi="標楷體"/>
                <w:b/>
                <w:spacing w:val="-20"/>
                <w:kern w:val="0"/>
                <w:sz w:val="22"/>
                <w:szCs w:val="22"/>
              </w:rPr>
            </w:pPr>
            <w:r w:rsidRPr="0005564B">
              <w:rPr>
                <w:rFonts w:hAnsi="標楷體"/>
                <w:b/>
                <w:spacing w:val="-20"/>
                <w:kern w:val="0"/>
                <w:sz w:val="22"/>
                <w:szCs w:val="22"/>
              </w:rPr>
              <w:t>102</w:t>
            </w:r>
            <w:r w:rsidRPr="0005564B">
              <w:rPr>
                <w:rFonts w:hAnsi="標楷體" w:hint="eastAsia"/>
                <w:b/>
                <w:spacing w:val="-20"/>
                <w:kern w:val="0"/>
                <w:sz w:val="22"/>
                <w:szCs w:val="22"/>
              </w:rPr>
              <w:t>年</w:t>
            </w:r>
          </w:p>
        </w:tc>
        <w:tc>
          <w:tcPr>
            <w:tcW w:w="1111" w:type="dxa"/>
            <w:shd w:val="clear" w:color="auto" w:fill="auto"/>
            <w:noWrap/>
            <w:vAlign w:val="center"/>
            <w:hideMark/>
          </w:tcPr>
          <w:p w:rsidR="000E42FA" w:rsidRPr="0005564B" w:rsidRDefault="000E42FA" w:rsidP="00C567B2">
            <w:pPr>
              <w:widowControl/>
              <w:jc w:val="center"/>
              <w:rPr>
                <w:rFonts w:hAnsi="標楷體"/>
                <w:b/>
                <w:spacing w:val="-20"/>
                <w:kern w:val="0"/>
                <w:sz w:val="22"/>
                <w:szCs w:val="22"/>
              </w:rPr>
            </w:pPr>
            <w:r w:rsidRPr="0005564B">
              <w:rPr>
                <w:rFonts w:hAnsi="標楷體"/>
                <w:b/>
                <w:spacing w:val="-20"/>
                <w:kern w:val="0"/>
                <w:sz w:val="22"/>
                <w:szCs w:val="22"/>
              </w:rPr>
              <w:t>103</w:t>
            </w:r>
            <w:r w:rsidRPr="0005564B">
              <w:rPr>
                <w:rFonts w:hAnsi="標楷體" w:hint="eastAsia"/>
                <w:b/>
                <w:spacing w:val="-20"/>
                <w:kern w:val="0"/>
                <w:sz w:val="22"/>
                <w:szCs w:val="22"/>
              </w:rPr>
              <w:t>年</w:t>
            </w:r>
          </w:p>
        </w:tc>
        <w:tc>
          <w:tcPr>
            <w:tcW w:w="1110" w:type="dxa"/>
            <w:shd w:val="clear" w:color="auto" w:fill="auto"/>
            <w:noWrap/>
            <w:vAlign w:val="center"/>
            <w:hideMark/>
          </w:tcPr>
          <w:p w:rsidR="000E42FA" w:rsidRPr="0005564B" w:rsidRDefault="000E42FA" w:rsidP="00C567B2">
            <w:pPr>
              <w:widowControl/>
              <w:jc w:val="center"/>
              <w:rPr>
                <w:rFonts w:hAnsi="標楷體"/>
                <w:b/>
                <w:spacing w:val="-20"/>
                <w:kern w:val="0"/>
                <w:sz w:val="22"/>
                <w:szCs w:val="22"/>
              </w:rPr>
            </w:pPr>
            <w:r w:rsidRPr="0005564B">
              <w:rPr>
                <w:rFonts w:hAnsi="標楷體"/>
                <w:b/>
                <w:spacing w:val="-20"/>
                <w:kern w:val="0"/>
                <w:sz w:val="22"/>
                <w:szCs w:val="22"/>
              </w:rPr>
              <w:t>104</w:t>
            </w:r>
            <w:r w:rsidRPr="0005564B">
              <w:rPr>
                <w:rFonts w:hAnsi="標楷體" w:hint="eastAsia"/>
                <w:b/>
                <w:spacing w:val="-20"/>
                <w:kern w:val="0"/>
                <w:sz w:val="22"/>
                <w:szCs w:val="22"/>
              </w:rPr>
              <w:t>年</w:t>
            </w:r>
          </w:p>
        </w:tc>
        <w:tc>
          <w:tcPr>
            <w:tcW w:w="1111" w:type="dxa"/>
            <w:shd w:val="clear" w:color="auto" w:fill="auto"/>
            <w:noWrap/>
            <w:vAlign w:val="center"/>
            <w:hideMark/>
          </w:tcPr>
          <w:p w:rsidR="000E42FA" w:rsidRPr="0005564B" w:rsidRDefault="000E42FA" w:rsidP="00C567B2">
            <w:pPr>
              <w:widowControl/>
              <w:jc w:val="center"/>
              <w:rPr>
                <w:rFonts w:hAnsi="標楷體"/>
                <w:b/>
                <w:spacing w:val="-20"/>
                <w:kern w:val="0"/>
                <w:sz w:val="22"/>
                <w:szCs w:val="22"/>
              </w:rPr>
            </w:pPr>
            <w:r w:rsidRPr="0005564B">
              <w:rPr>
                <w:rFonts w:hAnsi="標楷體"/>
                <w:b/>
                <w:spacing w:val="-20"/>
                <w:kern w:val="0"/>
                <w:sz w:val="22"/>
                <w:szCs w:val="22"/>
              </w:rPr>
              <w:t>105</w:t>
            </w:r>
            <w:r w:rsidRPr="0005564B">
              <w:rPr>
                <w:rFonts w:hAnsi="標楷體" w:hint="eastAsia"/>
                <w:b/>
                <w:spacing w:val="-20"/>
                <w:kern w:val="0"/>
                <w:sz w:val="22"/>
                <w:szCs w:val="22"/>
              </w:rPr>
              <w:t>年</w:t>
            </w:r>
          </w:p>
        </w:tc>
        <w:tc>
          <w:tcPr>
            <w:tcW w:w="1110" w:type="dxa"/>
            <w:shd w:val="clear" w:color="auto" w:fill="auto"/>
            <w:noWrap/>
            <w:vAlign w:val="center"/>
            <w:hideMark/>
          </w:tcPr>
          <w:p w:rsidR="000E42FA" w:rsidRPr="0005564B" w:rsidRDefault="000E42FA" w:rsidP="00C567B2">
            <w:pPr>
              <w:widowControl/>
              <w:jc w:val="center"/>
              <w:rPr>
                <w:rFonts w:hAnsi="標楷體"/>
                <w:b/>
                <w:spacing w:val="-20"/>
                <w:kern w:val="0"/>
                <w:sz w:val="22"/>
                <w:szCs w:val="22"/>
              </w:rPr>
            </w:pPr>
            <w:r w:rsidRPr="0005564B">
              <w:rPr>
                <w:rFonts w:hAnsi="標楷體"/>
                <w:b/>
                <w:spacing w:val="-20"/>
                <w:kern w:val="0"/>
                <w:sz w:val="22"/>
                <w:szCs w:val="22"/>
              </w:rPr>
              <w:t>106</w:t>
            </w:r>
            <w:r w:rsidRPr="0005564B">
              <w:rPr>
                <w:rFonts w:hAnsi="標楷體" w:hint="eastAsia"/>
                <w:b/>
                <w:spacing w:val="-20"/>
                <w:kern w:val="0"/>
                <w:sz w:val="22"/>
                <w:szCs w:val="22"/>
              </w:rPr>
              <w:t>年</w:t>
            </w:r>
          </w:p>
        </w:tc>
        <w:tc>
          <w:tcPr>
            <w:tcW w:w="1111" w:type="dxa"/>
            <w:shd w:val="clear" w:color="auto" w:fill="auto"/>
            <w:noWrap/>
            <w:vAlign w:val="center"/>
            <w:hideMark/>
          </w:tcPr>
          <w:p w:rsidR="000E42FA" w:rsidRPr="0005564B" w:rsidRDefault="000E42FA" w:rsidP="00C567B2">
            <w:pPr>
              <w:widowControl/>
              <w:jc w:val="center"/>
              <w:rPr>
                <w:rFonts w:hAnsi="標楷體"/>
                <w:b/>
                <w:spacing w:val="-20"/>
                <w:kern w:val="0"/>
                <w:sz w:val="22"/>
                <w:szCs w:val="22"/>
              </w:rPr>
            </w:pPr>
            <w:r w:rsidRPr="0005564B">
              <w:rPr>
                <w:rFonts w:hAnsi="標楷體"/>
                <w:b/>
                <w:spacing w:val="-20"/>
                <w:kern w:val="0"/>
                <w:sz w:val="22"/>
                <w:szCs w:val="22"/>
              </w:rPr>
              <w:t>107</w:t>
            </w:r>
            <w:r w:rsidRPr="0005564B">
              <w:rPr>
                <w:rFonts w:hAnsi="標楷體" w:hint="eastAsia"/>
                <w:b/>
                <w:spacing w:val="-20"/>
                <w:kern w:val="0"/>
                <w:sz w:val="22"/>
                <w:szCs w:val="22"/>
              </w:rPr>
              <w:t>年</w:t>
            </w:r>
          </w:p>
        </w:tc>
      </w:tr>
      <w:tr w:rsidR="0005564B" w:rsidRPr="0005564B" w:rsidTr="00C567B2">
        <w:tc>
          <w:tcPr>
            <w:tcW w:w="2283" w:type="dxa"/>
            <w:gridSpan w:val="2"/>
            <w:shd w:val="clear" w:color="auto" w:fill="auto"/>
            <w:noWrap/>
            <w:vAlign w:val="center"/>
            <w:hideMark/>
          </w:tcPr>
          <w:p w:rsidR="000E42FA" w:rsidRPr="0005564B" w:rsidRDefault="000E42FA" w:rsidP="004F7DDF">
            <w:pPr>
              <w:widowControl/>
              <w:spacing w:beforeLines="5" w:before="22" w:afterLines="5" w:after="22"/>
              <w:ind w:rightChars="-25" w:right="-85"/>
              <w:jc w:val="left"/>
              <w:rPr>
                <w:rFonts w:hAnsi="標楷體"/>
                <w:spacing w:val="-20"/>
                <w:kern w:val="0"/>
                <w:sz w:val="22"/>
                <w:szCs w:val="22"/>
              </w:rPr>
            </w:pPr>
            <w:r w:rsidRPr="0005564B">
              <w:rPr>
                <w:rFonts w:hAnsi="標楷體" w:hint="eastAsia"/>
                <w:spacing w:val="-20"/>
                <w:kern w:val="0"/>
                <w:sz w:val="22"/>
                <w:szCs w:val="22"/>
              </w:rPr>
              <w:t>就醫人數</w:t>
            </w:r>
          </w:p>
        </w:tc>
        <w:tc>
          <w:tcPr>
            <w:tcW w:w="1110" w:type="dxa"/>
            <w:shd w:val="clear" w:color="auto" w:fill="auto"/>
            <w:noWrap/>
            <w:vAlign w:val="center"/>
            <w:hideMark/>
          </w:tcPr>
          <w:p w:rsidR="000E42FA" w:rsidRPr="0005564B" w:rsidRDefault="000E42FA" w:rsidP="00C567B2">
            <w:pPr>
              <w:widowControl/>
              <w:jc w:val="left"/>
              <w:rPr>
                <w:rFonts w:hAnsi="標楷體"/>
                <w:spacing w:val="-20"/>
                <w:kern w:val="0"/>
                <w:sz w:val="22"/>
                <w:szCs w:val="22"/>
              </w:rPr>
            </w:pPr>
            <w:r w:rsidRPr="0005564B">
              <w:rPr>
                <w:rFonts w:hAnsi="標楷體"/>
                <w:spacing w:val="-20"/>
                <w:kern w:val="0"/>
                <w:sz w:val="22"/>
                <w:szCs w:val="22"/>
              </w:rPr>
              <w:t xml:space="preserve">　</w:t>
            </w:r>
          </w:p>
        </w:tc>
        <w:tc>
          <w:tcPr>
            <w:tcW w:w="1111" w:type="dxa"/>
            <w:shd w:val="clear" w:color="auto" w:fill="auto"/>
            <w:noWrap/>
            <w:vAlign w:val="center"/>
            <w:hideMark/>
          </w:tcPr>
          <w:p w:rsidR="000E42FA" w:rsidRPr="0005564B" w:rsidRDefault="000E42FA" w:rsidP="00C567B2">
            <w:pPr>
              <w:widowControl/>
              <w:jc w:val="left"/>
              <w:rPr>
                <w:rFonts w:hAnsi="標楷體"/>
                <w:spacing w:val="-20"/>
                <w:kern w:val="0"/>
                <w:sz w:val="22"/>
                <w:szCs w:val="22"/>
              </w:rPr>
            </w:pPr>
            <w:r w:rsidRPr="0005564B">
              <w:rPr>
                <w:rFonts w:hAnsi="標楷體"/>
                <w:spacing w:val="-20"/>
                <w:kern w:val="0"/>
                <w:sz w:val="22"/>
                <w:szCs w:val="22"/>
              </w:rPr>
              <w:t xml:space="preserve">　</w:t>
            </w:r>
          </w:p>
        </w:tc>
        <w:tc>
          <w:tcPr>
            <w:tcW w:w="1110" w:type="dxa"/>
            <w:shd w:val="clear" w:color="auto" w:fill="auto"/>
            <w:noWrap/>
            <w:vAlign w:val="center"/>
            <w:hideMark/>
          </w:tcPr>
          <w:p w:rsidR="000E42FA" w:rsidRPr="0005564B" w:rsidRDefault="000E42FA" w:rsidP="00C567B2">
            <w:pPr>
              <w:widowControl/>
              <w:jc w:val="left"/>
              <w:rPr>
                <w:rFonts w:hAnsi="標楷體"/>
                <w:spacing w:val="-20"/>
                <w:kern w:val="0"/>
                <w:sz w:val="22"/>
                <w:szCs w:val="22"/>
              </w:rPr>
            </w:pPr>
            <w:r w:rsidRPr="0005564B">
              <w:rPr>
                <w:rFonts w:hAnsi="標楷體"/>
                <w:spacing w:val="-20"/>
                <w:kern w:val="0"/>
                <w:sz w:val="22"/>
                <w:szCs w:val="22"/>
              </w:rPr>
              <w:t xml:space="preserve">　</w:t>
            </w:r>
          </w:p>
        </w:tc>
        <w:tc>
          <w:tcPr>
            <w:tcW w:w="1111" w:type="dxa"/>
            <w:shd w:val="clear" w:color="auto" w:fill="auto"/>
            <w:noWrap/>
            <w:vAlign w:val="center"/>
            <w:hideMark/>
          </w:tcPr>
          <w:p w:rsidR="000E42FA" w:rsidRPr="0005564B" w:rsidRDefault="000E42FA" w:rsidP="00C567B2">
            <w:pPr>
              <w:widowControl/>
              <w:jc w:val="left"/>
              <w:rPr>
                <w:rFonts w:hAnsi="標楷體"/>
                <w:spacing w:val="-20"/>
                <w:kern w:val="0"/>
                <w:sz w:val="22"/>
                <w:szCs w:val="22"/>
              </w:rPr>
            </w:pPr>
            <w:r w:rsidRPr="0005564B">
              <w:rPr>
                <w:rFonts w:hAnsi="標楷體"/>
                <w:spacing w:val="-20"/>
                <w:kern w:val="0"/>
                <w:sz w:val="22"/>
                <w:szCs w:val="22"/>
              </w:rPr>
              <w:t xml:space="preserve">　</w:t>
            </w:r>
          </w:p>
        </w:tc>
        <w:tc>
          <w:tcPr>
            <w:tcW w:w="1110" w:type="dxa"/>
            <w:shd w:val="clear" w:color="auto" w:fill="auto"/>
            <w:noWrap/>
            <w:vAlign w:val="center"/>
            <w:hideMark/>
          </w:tcPr>
          <w:p w:rsidR="000E42FA" w:rsidRPr="0005564B" w:rsidRDefault="000E42FA" w:rsidP="00C567B2">
            <w:pPr>
              <w:widowControl/>
              <w:jc w:val="left"/>
              <w:rPr>
                <w:rFonts w:hAnsi="標楷體"/>
                <w:spacing w:val="-20"/>
                <w:kern w:val="0"/>
                <w:sz w:val="22"/>
                <w:szCs w:val="22"/>
              </w:rPr>
            </w:pPr>
            <w:r w:rsidRPr="0005564B">
              <w:rPr>
                <w:rFonts w:hAnsi="標楷體"/>
                <w:spacing w:val="-20"/>
                <w:kern w:val="0"/>
                <w:sz w:val="22"/>
                <w:szCs w:val="22"/>
              </w:rPr>
              <w:t xml:space="preserve">　</w:t>
            </w:r>
          </w:p>
        </w:tc>
        <w:tc>
          <w:tcPr>
            <w:tcW w:w="1111" w:type="dxa"/>
            <w:shd w:val="clear" w:color="auto" w:fill="auto"/>
            <w:noWrap/>
            <w:vAlign w:val="center"/>
            <w:hideMark/>
          </w:tcPr>
          <w:p w:rsidR="000E42FA" w:rsidRPr="0005564B" w:rsidRDefault="000E42FA" w:rsidP="004F7DDF">
            <w:pPr>
              <w:widowControl/>
              <w:spacing w:beforeLines="15" w:before="68" w:afterLines="15" w:after="68"/>
              <w:jc w:val="left"/>
              <w:rPr>
                <w:rFonts w:hAnsi="標楷體"/>
                <w:spacing w:val="-20"/>
                <w:kern w:val="0"/>
                <w:sz w:val="22"/>
                <w:szCs w:val="22"/>
              </w:rPr>
            </w:pPr>
            <w:r w:rsidRPr="0005564B">
              <w:rPr>
                <w:rFonts w:hAnsi="標楷體"/>
                <w:spacing w:val="-20"/>
                <w:kern w:val="0"/>
                <w:sz w:val="22"/>
                <w:szCs w:val="22"/>
              </w:rPr>
              <w:t xml:space="preserve">　</w:t>
            </w:r>
          </w:p>
        </w:tc>
      </w:tr>
      <w:tr w:rsidR="0005564B" w:rsidRPr="0005564B" w:rsidTr="001D04E8">
        <w:tc>
          <w:tcPr>
            <w:tcW w:w="556" w:type="dxa"/>
            <w:tcBorders>
              <w:right w:val="nil"/>
            </w:tcBorders>
            <w:shd w:val="clear" w:color="000000" w:fill="FFFFFF"/>
            <w:noWrap/>
            <w:vAlign w:val="center"/>
            <w:hideMark/>
          </w:tcPr>
          <w:p w:rsidR="000E42FA" w:rsidRPr="0005564B" w:rsidRDefault="000E42FA" w:rsidP="000E42FA">
            <w:pPr>
              <w:widowControl/>
              <w:ind w:rightChars="-25" w:right="-85"/>
              <w:jc w:val="left"/>
              <w:rPr>
                <w:rFonts w:hAnsi="標楷體"/>
                <w:spacing w:val="-20"/>
                <w:kern w:val="0"/>
                <w:sz w:val="22"/>
                <w:szCs w:val="22"/>
              </w:rPr>
            </w:pPr>
            <w:r w:rsidRPr="0005564B">
              <w:rPr>
                <w:rFonts w:hAnsi="標楷體"/>
                <w:spacing w:val="-20"/>
                <w:kern w:val="0"/>
                <w:sz w:val="22"/>
                <w:szCs w:val="22"/>
              </w:rPr>
              <w:t xml:space="preserve">　</w:t>
            </w:r>
          </w:p>
        </w:tc>
        <w:tc>
          <w:tcPr>
            <w:tcW w:w="1727" w:type="dxa"/>
            <w:tcBorders>
              <w:left w:val="nil"/>
            </w:tcBorders>
            <w:shd w:val="clear" w:color="000000" w:fill="FFFFFF"/>
            <w:noWrap/>
            <w:vAlign w:val="center"/>
            <w:hideMark/>
          </w:tcPr>
          <w:p w:rsidR="000E42FA" w:rsidRPr="0005564B" w:rsidRDefault="000E42FA" w:rsidP="004F7DDF">
            <w:pPr>
              <w:widowControl/>
              <w:spacing w:beforeLines="5" w:before="22" w:afterLines="5" w:after="22"/>
              <w:ind w:rightChars="-25" w:right="-85"/>
              <w:jc w:val="left"/>
              <w:rPr>
                <w:rFonts w:hAnsi="標楷體"/>
                <w:spacing w:val="-20"/>
                <w:kern w:val="0"/>
                <w:sz w:val="22"/>
                <w:szCs w:val="22"/>
              </w:rPr>
            </w:pPr>
            <w:r w:rsidRPr="0005564B">
              <w:rPr>
                <w:rFonts w:hAnsi="標楷體" w:hint="eastAsia"/>
                <w:spacing w:val="-20"/>
                <w:kern w:val="0"/>
                <w:sz w:val="22"/>
                <w:szCs w:val="22"/>
              </w:rPr>
              <w:t>值</w:t>
            </w:r>
            <w:r w:rsidRPr="0005564B">
              <w:rPr>
                <w:rFonts w:hAnsi="標楷體"/>
                <w:spacing w:val="-20"/>
                <w:kern w:val="0"/>
                <w:sz w:val="22"/>
                <w:szCs w:val="22"/>
              </w:rPr>
              <w:t>(</w:t>
            </w:r>
            <w:r w:rsidRPr="0005564B">
              <w:rPr>
                <w:rFonts w:hAnsi="標楷體" w:hint="eastAsia"/>
                <w:spacing w:val="-20"/>
                <w:kern w:val="0"/>
                <w:sz w:val="22"/>
                <w:szCs w:val="22"/>
              </w:rPr>
              <w:t>人</w:t>
            </w:r>
            <w:r w:rsidRPr="0005564B">
              <w:rPr>
                <w:rFonts w:hAnsi="標楷體"/>
                <w:spacing w:val="-20"/>
                <w:kern w:val="0"/>
                <w:sz w:val="22"/>
                <w:szCs w:val="22"/>
              </w:rPr>
              <w:t>)</w:t>
            </w:r>
          </w:p>
        </w:tc>
        <w:tc>
          <w:tcPr>
            <w:tcW w:w="1110" w:type="dxa"/>
            <w:shd w:val="clear" w:color="000000" w:fill="FFFFFF"/>
            <w:noWrap/>
            <w:vAlign w:val="center"/>
            <w:hideMark/>
          </w:tcPr>
          <w:p w:rsidR="000E42FA" w:rsidRPr="0005564B" w:rsidRDefault="000E42FA" w:rsidP="00C567B2">
            <w:pPr>
              <w:widowControl/>
              <w:jc w:val="right"/>
              <w:rPr>
                <w:rFonts w:hAnsi="標楷體"/>
                <w:spacing w:val="-20"/>
                <w:kern w:val="0"/>
                <w:sz w:val="22"/>
                <w:szCs w:val="22"/>
              </w:rPr>
            </w:pPr>
            <w:r w:rsidRPr="0005564B">
              <w:rPr>
                <w:rFonts w:hAnsi="標楷體"/>
                <w:spacing w:val="-20"/>
                <w:kern w:val="0"/>
                <w:sz w:val="22"/>
                <w:szCs w:val="22"/>
              </w:rPr>
              <w:t xml:space="preserve">906,690 </w:t>
            </w:r>
          </w:p>
        </w:tc>
        <w:tc>
          <w:tcPr>
            <w:tcW w:w="1111" w:type="dxa"/>
            <w:shd w:val="clear" w:color="000000" w:fill="FFFFFF"/>
            <w:noWrap/>
            <w:vAlign w:val="center"/>
            <w:hideMark/>
          </w:tcPr>
          <w:p w:rsidR="000E42FA" w:rsidRPr="0005564B" w:rsidRDefault="000E42FA" w:rsidP="00C567B2">
            <w:pPr>
              <w:widowControl/>
              <w:jc w:val="right"/>
              <w:rPr>
                <w:rFonts w:hAnsi="標楷體"/>
                <w:spacing w:val="-20"/>
                <w:kern w:val="0"/>
                <w:sz w:val="22"/>
                <w:szCs w:val="22"/>
              </w:rPr>
            </w:pPr>
            <w:r w:rsidRPr="0005564B">
              <w:rPr>
                <w:rFonts w:hAnsi="標楷體"/>
                <w:spacing w:val="-20"/>
                <w:kern w:val="0"/>
                <w:sz w:val="22"/>
                <w:szCs w:val="22"/>
              </w:rPr>
              <w:t xml:space="preserve">926,281 </w:t>
            </w:r>
          </w:p>
        </w:tc>
        <w:tc>
          <w:tcPr>
            <w:tcW w:w="1110" w:type="dxa"/>
            <w:shd w:val="clear" w:color="000000" w:fill="FFFFFF"/>
            <w:noWrap/>
            <w:vAlign w:val="center"/>
            <w:hideMark/>
          </w:tcPr>
          <w:p w:rsidR="000E42FA" w:rsidRPr="0005564B" w:rsidRDefault="000E42FA" w:rsidP="00C567B2">
            <w:pPr>
              <w:widowControl/>
              <w:jc w:val="right"/>
              <w:rPr>
                <w:rFonts w:hAnsi="標楷體"/>
                <w:spacing w:val="-20"/>
                <w:kern w:val="0"/>
                <w:sz w:val="22"/>
                <w:szCs w:val="22"/>
              </w:rPr>
            </w:pPr>
            <w:r w:rsidRPr="0005564B">
              <w:rPr>
                <w:rFonts w:hAnsi="標楷體"/>
                <w:spacing w:val="-20"/>
                <w:kern w:val="0"/>
                <w:sz w:val="22"/>
                <w:szCs w:val="22"/>
              </w:rPr>
              <w:t xml:space="preserve">925,372 </w:t>
            </w:r>
          </w:p>
        </w:tc>
        <w:tc>
          <w:tcPr>
            <w:tcW w:w="1111" w:type="dxa"/>
            <w:shd w:val="clear" w:color="000000" w:fill="FFFFFF"/>
            <w:noWrap/>
            <w:vAlign w:val="center"/>
            <w:hideMark/>
          </w:tcPr>
          <w:p w:rsidR="000E42FA" w:rsidRPr="0005564B" w:rsidRDefault="000E42FA" w:rsidP="00C567B2">
            <w:pPr>
              <w:widowControl/>
              <w:jc w:val="right"/>
              <w:rPr>
                <w:rFonts w:hAnsi="標楷體"/>
                <w:spacing w:val="-20"/>
                <w:kern w:val="0"/>
                <w:sz w:val="22"/>
                <w:szCs w:val="22"/>
              </w:rPr>
            </w:pPr>
            <w:r w:rsidRPr="0005564B">
              <w:rPr>
                <w:rFonts w:hAnsi="標楷體"/>
                <w:spacing w:val="-20"/>
                <w:kern w:val="0"/>
                <w:sz w:val="22"/>
                <w:szCs w:val="22"/>
              </w:rPr>
              <w:t xml:space="preserve">931,793 </w:t>
            </w:r>
          </w:p>
        </w:tc>
        <w:tc>
          <w:tcPr>
            <w:tcW w:w="1110" w:type="dxa"/>
            <w:shd w:val="clear" w:color="000000" w:fill="FFFFFF"/>
            <w:noWrap/>
            <w:vAlign w:val="center"/>
            <w:hideMark/>
          </w:tcPr>
          <w:p w:rsidR="000E42FA" w:rsidRPr="0005564B" w:rsidRDefault="000E42FA" w:rsidP="00C567B2">
            <w:pPr>
              <w:widowControl/>
              <w:jc w:val="right"/>
              <w:rPr>
                <w:rFonts w:hAnsi="標楷體"/>
                <w:spacing w:val="-20"/>
                <w:kern w:val="0"/>
                <w:sz w:val="22"/>
                <w:szCs w:val="22"/>
              </w:rPr>
            </w:pPr>
            <w:r w:rsidRPr="0005564B">
              <w:rPr>
                <w:rFonts w:hAnsi="標楷體"/>
                <w:spacing w:val="-20"/>
                <w:kern w:val="0"/>
                <w:sz w:val="22"/>
                <w:szCs w:val="22"/>
              </w:rPr>
              <w:t xml:space="preserve">942,603 </w:t>
            </w:r>
          </w:p>
        </w:tc>
        <w:tc>
          <w:tcPr>
            <w:tcW w:w="1111" w:type="dxa"/>
            <w:shd w:val="clear" w:color="000000" w:fill="FFFFFF"/>
            <w:noWrap/>
            <w:vAlign w:val="center"/>
            <w:hideMark/>
          </w:tcPr>
          <w:p w:rsidR="000E42FA" w:rsidRPr="0005564B" w:rsidRDefault="000E42FA" w:rsidP="004F7DDF">
            <w:pPr>
              <w:widowControl/>
              <w:spacing w:beforeLines="15" w:before="68" w:afterLines="15" w:after="68"/>
              <w:jc w:val="right"/>
              <w:rPr>
                <w:rFonts w:hAnsi="標楷體"/>
                <w:spacing w:val="-20"/>
                <w:kern w:val="0"/>
                <w:sz w:val="22"/>
                <w:szCs w:val="22"/>
              </w:rPr>
            </w:pPr>
            <w:r w:rsidRPr="0005564B">
              <w:rPr>
                <w:rFonts w:hAnsi="標楷體"/>
                <w:spacing w:val="-20"/>
                <w:kern w:val="0"/>
                <w:sz w:val="22"/>
                <w:szCs w:val="22"/>
              </w:rPr>
              <w:t xml:space="preserve">957,134 </w:t>
            </w:r>
          </w:p>
        </w:tc>
      </w:tr>
      <w:tr w:rsidR="0005564B" w:rsidRPr="0005564B" w:rsidTr="001D04E8">
        <w:tc>
          <w:tcPr>
            <w:tcW w:w="556" w:type="dxa"/>
            <w:tcBorders>
              <w:right w:val="nil"/>
            </w:tcBorders>
            <w:shd w:val="clear" w:color="000000" w:fill="FFFFFF"/>
            <w:noWrap/>
            <w:vAlign w:val="center"/>
            <w:hideMark/>
          </w:tcPr>
          <w:p w:rsidR="000E42FA" w:rsidRPr="0005564B" w:rsidRDefault="000E42FA" w:rsidP="000E42FA">
            <w:pPr>
              <w:widowControl/>
              <w:ind w:rightChars="-25" w:right="-85"/>
              <w:jc w:val="left"/>
              <w:rPr>
                <w:rFonts w:hAnsi="標楷體"/>
                <w:spacing w:val="-20"/>
                <w:kern w:val="0"/>
                <w:sz w:val="22"/>
                <w:szCs w:val="22"/>
              </w:rPr>
            </w:pPr>
            <w:r w:rsidRPr="0005564B">
              <w:rPr>
                <w:rFonts w:hAnsi="標楷體"/>
                <w:spacing w:val="-20"/>
                <w:kern w:val="0"/>
                <w:sz w:val="22"/>
                <w:szCs w:val="22"/>
              </w:rPr>
              <w:t xml:space="preserve">　</w:t>
            </w:r>
          </w:p>
        </w:tc>
        <w:tc>
          <w:tcPr>
            <w:tcW w:w="1727" w:type="dxa"/>
            <w:tcBorders>
              <w:left w:val="nil"/>
            </w:tcBorders>
            <w:shd w:val="clear" w:color="000000" w:fill="FFFFFF"/>
            <w:noWrap/>
            <w:vAlign w:val="center"/>
            <w:hideMark/>
          </w:tcPr>
          <w:p w:rsidR="000E42FA" w:rsidRPr="0005564B" w:rsidRDefault="000E42FA" w:rsidP="004F7DDF">
            <w:pPr>
              <w:widowControl/>
              <w:spacing w:beforeLines="5" w:before="22" w:afterLines="5" w:after="22"/>
              <w:ind w:rightChars="-25" w:right="-85"/>
              <w:jc w:val="left"/>
              <w:rPr>
                <w:rFonts w:hAnsi="標楷體"/>
                <w:spacing w:val="-20"/>
                <w:kern w:val="0"/>
                <w:sz w:val="22"/>
                <w:szCs w:val="22"/>
              </w:rPr>
            </w:pPr>
            <w:r w:rsidRPr="0005564B">
              <w:rPr>
                <w:rFonts w:hAnsi="標楷體" w:hint="eastAsia"/>
                <w:spacing w:val="-20"/>
                <w:kern w:val="0"/>
                <w:sz w:val="22"/>
                <w:szCs w:val="22"/>
              </w:rPr>
              <w:t>成長率</w:t>
            </w:r>
            <w:r w:rsidRPr="0005564B">
              <w:rPr>
                <w:rFonts w:hAnsi="標楷體"/>
                <w:spacing w:val="-20"/>
                <w:kern w:val="0"/>
                <w:sz w:val="22"/>
                <w:szCs w:val="22"/>
              </w:rPr>
              <w:t>(%)</w:t>
            </w:r>
          </w:p>
        </w:tc>
        <w:tc>
          <w:tcPr>
            <w:tcW w:w="1110" w:type="dxa"/>
            <w:shd w:val="clear" w:color="000000" w:fill="FFFFFF"/>
            <w:noWrap/>
            <w:vAlign w:val="center"/>
            <w:hideMark/>
          </w:tcPr>
          <w:p w:rsidR="000E42FA" w:rsidRPr="0005564B" w:rsidRDefault="000E42FA" w:rsidP="00C567B2">
            <w:pPr>
              <w:widowControl/>
              <w:jc w:val="right"/>
              <w:rPr>
                <w:rFonts w:hAnsi="標楷體"/>
                <w:spacing w:val="-20"/>
                <w:kern w:val="0"/>
                <w:sz w:val="22"/>
                <w:szCs w:val="22"/>
              </w:rPr>
            </w:pPr>
            <w:r w:rsidRPr="0005564B">
              <w:rPr>
                <w:rFonts w:hAnsi="標楷體"/>
                <w:spacing w:val="-20"/>
                <w:kern w:val="0"/>
                <w:sz w:val="22"/>
                <w:szCs w:val="22"/>
              </w:rPr>
              <w:t xml:space="preserve">3.48 </w:t>
            </w:r>
          </w:p>
        </w:tc>
        <w:tc>
          <w:tcPr>
            <w:tcW w:w="1111" w:type="dxa"/>
            <w:shd w:val="clear" w:color="000000" w:fill="FFFFFF"/>
            <w:noWrap/>
            <w:vAlign w:val="center"/>
            <w:hideMark/>
          </w:tcPr>
          <w:p w:rsidR="000E42FA" w:rsidRPr="0005564B" w:rsidRDefault="000E42FA" w:rsidP="00C567B2">
            <w:pPr>
              <w:widowControl/>
              <w:jc w:val="right"/>
              <w:rPr>
                <w:rFonts w:hAnsi="標楷體"/>
                <w:spacing w:val="-20"/>
                <w:kern w:val="0"/>
                <w:sz w:val="22"/>
                <w:szCs w:val="22"/>
              </w:rPr>
            </w:pPr>
            <w:r w:rsidRPr="0005564B">
              <w:rPr>
                <w:rFonts w:hAnsi="標楷體"/>
                <w:spacing w:val="-20"/>
                <w:kern w:val="0"/>
                <w:sz w:val="22"/>
                <w:szCs w:val="22"/>
              </w:rPr>
              <w:t xml:space="preserve">2.16 </w:t>
            </w:r>
          </w:p>
        </w:tc>
        <w:tc>
          <w:tcPr>
            <w:tcW w:w="1110" w:type="dxa"/>
            <w:shd w:val="clear" w:color="000000" w:fill="FFFFFF"/>
            <w:noWrap/>
            <w:vAlign w:val="center"/>
            <w:hideMark/>
          </w:tcPr>
          <w:p w:rsidR="000E42FA" w:rsidRPr="0005564B" w:rsidRDefault="000E42FA" w:rsidP="00C567B2">
            <w:pPr>
              <w:widowControl/>
              <w:jc w:val="right"/>
              <w:rPr>
                <w:rFonts w:hAnsi="標楷體"/>
                <w:spacing w:val="-20"/>
                <w:kern w:val="0"/>
                <w:sz w:val="22"/>
                <w:szCs w:val="22"/>
              </w:rPr>
            </w:pPr>
            <w:r w:rsidRPr="0005564B">
              <w:rPr>
                <w:rFonts w:hAnsi="標楷體"/>
                <w:spacing w:val="-20"/>
                <w:kern w:val="0"/>
                <w:sz w:val="22"/>
                <w:szCs w:val="22"/>
              </w:rPr>
              <w:t xml:space="preserve">-0.10 </w:t>
            </w:r>
          </w:p>
        </w:tc>
        <w:tc>
          <w:tcPr>
            <w:tcW w:w="1111" w:type="dxa"/>
            <w:shd w:val="clear" w:color="000000" w:fill="FFFFFF"/>
            <w:noWrap/>
            <w:vAlign w:val="center"/>
            <w:hideMark/>
          </w:tcPr>
          <w:p w:rsidR="000E42FA" w:rsidRPr="0005564B" w:rsidRDefault="000E42FA" w:rsidP="00C567B2">
            <w:pPr>
              <w:widowControl/>
              <w:jc w:val="right"/>
              <w:rPr>
                <w:rFonts w:hAnsi="標楷體"/>
                <w:spacing w:val="-20"/>
                <w:kern w:val="0"/>
                <w:sz w:val="22"/>
                <w:szCs w:val="22"/>
              </w:rPr>
            </w:pPr>
            <w:r w:rsidRPr="0005564B">
              <w:rPr>
                <w:rFonts w:hAnsi="標楷體"/>
                <w:spacing w:val="-20"/>
                <w:kern w:val="0"/>
                <w:sz w:val="22"/>
                <w:szCs w:val="22"/>
              </w:rPr>
              <w:t xml:space="preserve">0.69 </w:t>
            </w:r>
          </w:p>
        </w:tc>
        <w:tc>
          <w:tcPr>
            <w:tcW w:w="1110" w:type="dxa"/>
            <w:shd w:val="clear" w:color="000000" w:fill="FFFFFF"/>
            <w:noWrap/>
            <w:vAlign w:val="center"/>
            <w:hideMark/>
          </w:tcPr>
          <w:p w:rsidR="000E42FA" w:rsidRPr="0005564B" w:rsidRDefault="000E42FA" w:rsidP="00C567B2">
            <w:pPr>
              <w:widowControl/>
              <w:jc w:val="right"/>
              <w:rPr>
                <w:rFonts w:hAnsi="標楷體"/>
                <w:spacing w:val="-20"/>
                <w:kern w:val="0"/>
                <w:sz w:val="22"/>
                <w:szCs w:val="22"/>
              </w:rPr>
            </w:pPr>
            <w:r w:rsidRPr="0005564B">
              <w:rPr>
                <w:rFonts w:hAnsi="標楷體"/>
                <w:spacing w:val="-20"/>
                <w:kern w:val="0"/>
                <w:sz w:val="22"/>
                <w:szCs w:val="22"/>
              </w:rPr>
              <w:t xml:space="preserve">1.16 </w:t>
            </w:r>
          </w:p>
        </w:tc>
        <w:tc>
          <w:tcPr>
            <w:tcW w:w="1111" w:type="dxa"/>
            <w:shd w:val="clear" w:color="000000" w:fill="FFFFFF"/>
            <w:noWrap/>
            <w:vAlign w:val="center"/>
            <w:hideMark/>
          </w:tcPr>
          <w:p w:rsidR="000E42FA" w:rsidRPr="0005564B" w:rsidRDefault="000E42FA" w:rsidP="004F7DDF">
            <w:pPr>
              <w:widowControl/>
              <w:spacing w:beforeLines="15" w:before="68" w:afterLines="15" w:after="68"/>
              <w:jc w:val="right"/>
              <w:rPr>
                <w:rFonts w:hAnsi="標楷體"/>
                <w:spacing w:val="-20"/>
                <w:kern w:val="0"/>
                <w:sz w:val="22"/>
                <w:szCs w:val="22"/>
              </w:rPr>
            </w:pPr>
            <w:r w:rsidRPr="0005564B">
              <w:rPr>
                <w:rFonts w:hAnsi="標楷體"/>
                <w:spacing w:val="-20"/>
                <w:kern w:val="0"/>
                <w:sz w:val="22"/>
                <w:szCs w:val="22"/>
              </w:rPr>
              <w:t xml:space="preserve">1.54 </w:t>
            </w:r>
          </w:p>
        </w:tc>
      </w:tr>
      <w:tr w:rsidR="0005564B" w:rsidRPr="0005564B" w:rsidTr="001D04E8">
        <w:tc>
          <w:tcPr>
            <w:tcW w:w="556" w:type="dxa"/>
            <w:tcBorders>
              <w:right w:val="nil"/>
            </w:tcBorders>
            <w:shd w:val="clear" w:color="000000" w:fill="FFFFFF"/>
            <w:noWrap/>
            <w:vAlign w:val="center"/>
            <w:hideMark/>
          </w:tcPr>
          <w:p w:rsidR="000E42FA" w:rsidRPr="0005564B" w:rsidRDefault="000E42FA" w:rsidP="000E42FA">
            <w:pPr>
              <w:widowControl/>
              <w:ind w:rightChars="-25" w:right="-85"/>
              <w:jc w:val="left"/>
              <w:rPr>
                <w:rFonts w:hAnsi="標楷體"/>
                <w:spacing w:val="-20"/>
                <w:kern w:val="0"/>
                <w:sz w:val="22"/>
                <w:szCs w:val="22"/>
              </w:rPr>
            </w:pPr>
            <w:r w:rsidRPr="0005564B">
              <w:rPr>
                <w:rFonts w:hAnsi="標楷體"/>
                <w:spacing w:val="-20"/>
                <w:kern w:val="0"/>
                <w:sz w:val="22"/>
                <w:szCs w:val="22"/>
              </w:rPr>
              <w:t xml:space="preserve">　</w:t>
            </w:r>
          </w:p>
        </w:tc>
        <w:tc>
          <w:tcPr>
            <w:tcW w:w="1727" w:type="dxa"/>
            <w:tcBorders>
              <w:left w:val="nil"/>
            </w:tcBorders>
            <w:shd w:val="clear" w:color="000000" w:fill="FFFFFF"/>
            <w:noWrap/>
            <w:vAlign w:val="center"/>
            <w:hideMark/>
          </w:tcPr>
          <w:p w:rsidR="000E42FA" w:rsidRPr="0005564B" w:rsidRDefault="000E42FA" w:rsidP="004F7DDF">
            <w:pPr>
              <w:widowControl/>
              <w:spacing w:beforeLines="5" w:before="22" w:afterLines="5" w:after="22"/>
              <w:ind w:rightChars="-25" w:right="-85"/>
              <w:jc w:val="left"/>
              <w:rPr>
                <w:rFonts w:hAnsi="標楷體"/>
                <w:spacing w:val="-20"/>
                <w:kern w:val="0"/>
                <w:sz w:val="22"/>
                <w:szCs w:val="22"/>
              </w:rPr>
            </w:pPr>
            <w:r w:rsidRPr="0005564B">
              <w:rPr>
                <w:rFonts w:hAnsi="標楷體" w:hint="eastAsia"/>
                <w:spacing w:val="-20"/>
                <w:kern w:val="0"/>
                <w:sz w:val="22"/>
                <w:szCs w:val="22"/>
              </w:rPr>
              <w:t>全國保險人數</w:t>
            </w:r>
          </w:p>
        </w:tc>
        <w:tc>
          <w:tcPr>
            <w:tcW w:w="1110" w:type="dxa"/>
            <w:shd w:val="clear" w:color="000000" w:fill="FFFFFF"/>
            <w:noWrap/>
            <w:vAlign w:val="center"/>
            <w:hideMark/>
          </w:tcPr>
          <w:p w:rsidR="000E42FA" w:rsidRPr="0005564B" w:rsidRDefault="000E42FA" w:rsidP="00C567B2">
            <w:pPr>
              <w:widowControl/>
              <w:jc w:val="right"/>
              <w:rPr>
                <w:rFonts w:hAnsi="標楷體"/>
                <w:spacing w:val="-20"/>
                <w:kern w:val="0"/>
                <w:sz w:val="22"/>
                <w:szCs w:val="22"/>
              </w:rPr>
            </w:pPr>
            <w:r w:rsidRPr="0005564B">
              <w:rPr>
                <w:rFonts w:hAnsi="標楷體"/>
                <w:spacing w:val="-20"/>
                <w:kern w:val="0"/>
                <w:sz w:val="22"/>
                <w:szCs w:val="22"/>
              </w:rPr>
              <w:t xml:space="preserve">23,193,063 </w:t>
            </w:r>
          </w:p>
        </w:tc>
        <w:tc>
          <w:tcPr>
            <w:tcW w:w="1111" w:type="dxa"/>
            <w:shd w:val="clear" w:color="000000" w:fill="FFFFFF"/>
            <w:noWrap/>
            <w:vAlign w:val="center"/>
            <w:hideMark/>
          </w:tcPr>
          <w:p w:rsidR="000E42FA" w:rsidRPr="0005564B" w:rsidRDefault="000E42FA" w:rsidP="00C567B2">
            <w:pPr>
              <w:widowControl/>
              <w:jc w:val="right"/>
              <w:rPr>
                <w:rFonts w:hAnsi="標楷體"/>
                <w:spacing w:val="-20"/>
                <w:kern w:val="0"/>
                <w:sz w:val="22"/>
                <w:szCs w:val="22"/>
              </w:rPr>
            </w:pPr>
            <w:r w:rsidRPr="0005564B">
              <w:rPr>
                <w:rFonts w:hAnsi="標楷體"/>
                <w:spacing w:val="-20"/>
                <w:kern w:val="0"/>
                <w:sz w:val="22"/>
                <w:szCs w:val="22"/>
              </w:rPr>
              <w:t xml:space="preserve">23,290,460 </w:t>
            </w:r>
          </w:p>
        </w:tc>
        <w:tc>
          <w:tcPr>
            <w:tcW w:w="1110" w:type="dxa"/>
            <w:shd w:val="clear" w:color="000000" w:fill="FFFFFF"/>
            <w:noWrap/>
            <w:vAlign w:val="center"/>
            <w:hideMark/>
          </w:tcPr>
          <w:p w:rsidR="000E42FA" w:rsidRPr="0005564B" w:rsidRDefault="000E42FA" w:rsidP="00C567B2">
            <w:pPr>
              <w:widowControl/>
              <w:jc w:val="right"/>
              <w:rPr>
                <w:rFonts w:hAnsi="標楷體"/>
                <w:spacing w:val="-20"/>
                <w:kern w:val="0"/>
                <w:sz w:val="22"/>
                <w:szCs w:val="22"/>
              </w:rPr>
            </w:pPr>
            <w:r w:rsidRPr="0005564B">
              <w:rPr>
                <w:rFonts w:hAnsi="標楷體"/>
                <w:spacing w:val="-20"/>
                <w:kern w:val="0"/>
                <w:sz w:val="22"/>
                <w:szCs w:val="22"/>
              </w:rPr>
              <w:t xml:space="preserve">23,453,723 </w:t>
            </w:r>
          </w:p>
        </w:tc>
        <w:tc>
          <w:tcPr>
            <w:tcW w:w="1111" w:type="dxa"/>
            <w:shd w:val="clear" w:color="000000" w:fill="FFFFFF"/>
            <w:noWrap/>
            <w:vAlign w:val="center"/>
            <w:hideMark/>
          </w:tcPr>
          <w:p w:rsidR="000E42FA" w:rsidRPr="0005564B" w:rsidRDefault="000E42FA" w:rsidP="00C567B2">
            <w:pPr>
              <w:widowControl/>
              <w:jc w:val="right"/>
              <w:rPr>
                <w:rFonts w:hAnsi="標楷體"/>
                <w:spacing w:val="-20"/>
                <w:kern w:val="0"/>
                <w:sz w:val="22"/>
                <w:szCs w:val="22"/>
              </w:rPr>
            </w:pPr>
            <w:r w:rsidRPr="0005564B">
              <w:rPr>
                <w:rFonts w:hAnsi="標楷體"/>
                <w:spacing w:val="-20"/>
                <w:kern w:val="0"/>
                <w:sz w:val="22"/>
                <w:szCs w:val="22"/>
              </w:rPr>
              <w:t xml:space="preserve">23,536,734 </w:t>
            </w:r>
          </w:p>
        </w:tc>
        <w:tc>
          <w:tcPr>
            <w:tcW w:w="1110" w:type="dxa"/>
            <w:shd w:val="clear" w:color="000000" w:fill="FFFFFF"/>
            <w:noWrap/>
            <w:vAlign w:val="center"/>
            <w:hideMark/>
          </w:tcPr>
          <w:p w:rsidR="000E42FA" w:rsidRPr="0005564B" w:rsidRDefault="000E42FA" w:rsidP="00C567B2">
            <w:pPr>
              <w:widowControl/>
              <w:jc w:val="right"/>
              <w:rPr>
                <w:rFonts w:hAnsi="標楷體"/>
                <w:spacing w:val="-20"/>
                <w:kern w:val="0"/>
                <w:sz w:val="22"/>
                <w:szCs w:val="22"/>
              </w:rPr>
            </w:pPr>
            <w:r w:rsidRPr="0005564B">
              <w:rPr>
                <w:rFonts w:hAnsi="標楷體"/>
                <w:spacing w:val="-20"/>
                <w:kern w:val="0"/>
                <w:sz w:val="22"/>
                <w:szCs w:val="22"/>
              </w:rPr>
              <w:t xml:space="preserve">23,618,666 </w:t>
            </w:r>
          </w:p>
        </w:tc>
        <w:tc>
          <w:tcPr>
            <w:tcW w:w="1111" w:type="dxa"/>
            <w:shd w:val="clear" w:color="000000" w:fill="FFFFFF"/>
            <w:noWrap/>
            <w:vAlign w:val="center"/>
            <w:hideMark/>
          </w:tcPr>
          <w:p w:rsidR="000E42FA" w:rsidRPr="0005564B" w:rsidRDefault="000E42FA" w:rsidP="004F7DDF">
            <w:pPr>
              <w:widowControl/>
              <w:spacing w:beforeLines="15" w:before="68" w:afterLines="15" w:after="68"/>
              <w:jc w:val="right"/>
              <w:rPr>
                <w:rFonts w:hAnsi="標楷體"/>
                <w:spacing w:val="-20"/>
                <w:kern w:val="0"/>
                <w:sz w:val="22"/>
                <w:szCs w:val="22"/>
              </w:rPr>
            </w:pPr>
            <w:r w:rsidRPr="0005564B">
              <w:rPr>
                <w:rFonts w:hAnsi="標楷體"/>
                <w:spacing w:val="-20"/>
                <w:kern w:val="0"/>
                <w:sz w:val="22"/>
                <w:szCs w:val="22"/>
              </w:rPr>
              <w:t xml:space="preserve">23,841,920 </w:t>
            </w:r>
          </w:p>
        </w:tc>
      </w:tr>
      <w:tr w:rsidR="0005564B" w:rsidRPr="0005564B" w:rsidTr="001D04E8">
        <w:tc>
          <w:tcPr>
            <w:tcW w:w="556" w:type="dxa"/>
            <w:tcBorders>
              <w:right w:val="nil"/>
            </w:tcBorders>
            <w:shd w:val="clear" w:color="000000" w:fill="FFFFFF"/>
            <w:noWrap/>
            <w:vAlign w:val="center"/>
            <w:hideMark/>
          </w:tcPr>
          <w:p w:rsidR="000E42FA" w:rsidRPr="0005564B" w:rsidRDefault="000E42FA" w:rsidP="000E42FA">
            <w:pPr>
              <w:widowControl/>
              <w:ind w:rightChars="-25" w:right="-85"/>
              <w:jc w:val="left"/>
              <w:rPr>
                <w:rFonts w:hAnsi="標楷體"/>
                <w:spacing w:val="-20"/>
                <w:kern w:val="0"/>
                <w:sz w:val="22"/>
                <w:szCs w:val="22"/>
              </w:rPr>
            </w:pPr>
            <w:r w:rsidRPr="0005564B">
              <w:rPr>
                <w:rFonts w:hAnsi="標楷體"/>
                <w:spacing w:val="-20"/>
                <w:kern w:val="0"/>
                <w:sz w:val="22"/>
                <w:szCs w:val="22"/>
              </w:rPr>
              <w:t xml:space="preserve">　</w:t>
            </w:r>
          </w:p>
        </w:tc>
        <w:tc>
          <w:tcPr>
            <w:tcW w:w="1727" w:type="dxa"/>
            <w:tcBorders>
              <w:left w:val="nil"/>
            </w:tcBorders>
            <w:shd w:val="clear" w:color="000000" w:fill="FFFFFF"/>
            <w:noWrap/>
            <w:vAlign w:val="center"/>
            <w:hideMark/>
          </w:tcPr>
          <w:p w:rsidR="000E42FA" w:rsidRPr="0005564B" w:rsidRDefault="000E42FA" w:rsidP="004F7DDF">
            <w:pPr>
              <w:widowControl/>
              <w:spacing w:beforeLines="5" w:before="22" w:afterLines="5" w:after="22"/>
              <w:ind w:rightChars="-25" w:right="-85"/>
              <w:jc w:val="left"/>
              <w:rPr>
                <w:rFonts w:hAnsi="標楷體"/>
                <w:spacing w:val="-20"/>
                <w:kern w:val="0"/>
                <w:sz w:val="22"/>
                <w:szCs w:val="22"/>
              </w:rPr>
            </w:pPr>
            <w:r w:rsidRPr="0005564B">
              <w:rPr>
                <w:rFonts w:hAnsi="標楷體" w:hint="eastAsia"/>
                <w:spacing w:val="-20"/>
                <w:kern w:val="0"/>
                <w:sz w:val="22"/>
                <w:szCs w:val="22"/>
              </w:rPr>
              <w:t>佔保險人數比率</w:t>
            </w:r>
            <w:r w:rsidRPr="0005564B">
              <w:rPr>
                <w:rFonts w:hAnsi="標楷體"/>
                <w:spacing w:val="-20"/>
                <w:kern w:val="0"/>
                <w:sz w:val="22"/>
                <w:szCs w:val="22"/>
              </w:rPr>
              <w:t>(%)</w:t>
            </w:r>
          </w:p>
        </w:tc>
        <w:tc>
          <w:tcPr>
            <w:tcW w:w="1110" w:type="dxa"/>
            <w:shd w:val="clear" w:color="000000" w:fill="FFFFFF"/>
            <w:noWrap/>
            <w:vAlign w:val="center"/>
            <w:hideMark/>
          </w:tcPr>
          <w:p w:rsidR="000E42FA" w:rsidRPr="0005564B" w:rsidRDefault="000E42FA" w:rsidP="00C567B2">
            <w:pPr>
              <w:widowControl/>
              <w:jc w:val="right"/>
              <w:rPr>
                <w:rFonts w:hAnsi="標楷體"/>
                <w:spacing w:val="-20"/>
                <w:kern w:val="0"/>
                <w:sz w:val="22"/>
                <w:szCs w:val="22"/>
              </w:rPr>
            </w:pPr>
            <w:r w:rsidRPr="0005564B">
              <w:rPr>
                <w:rFonts w:hAnsi="標楷體"/>
                <w:spacing w:val="-20"/>
                <w:kern w:val="0"/>
                <w:sz w:val="22"/>
                <w:szCs w:val="22"/>
              </w:rPr>
              <w:t xml:space="preserve">3.91 </w:t>
            </w:r>
          </w:p>
        </w:tc>
        <w:tc>
          <w:tcPr>
            <w:tcW w:w="1111" w:type="dxa"/>
            <w:shd w:val="clear" w:color="000000" w:fill="FFFFFF"/>
            <w:noWrap/>
            <w:vAlign w:val="center"/>
            <w:hideMark/>
          </w:tcPr>
          <w:p w:rsidR="000E42FA" w:rsidRPr="0005564B" w:rsidRDefault="000E42FA" w:rsidP="00C567B2">
            <w:pPr>
              <w:widowControl/>
              <w:jc w:val="right"/>
              <w:rPr>
                <w:rFonts w:hAnsi="標楷體"/>
                <w:spacing w:val="-20"/>
                <w:kern w:val="0"/>
                <w:sz w:val="22"/>
                <w:szCs w:val="22"/>
              </w:rPr>
            </w:pPr>
            <w:r w:rsidRPr="0005564B">
              <w:rPr>
                <w:rFonts w:hAnsi="標楷體"/>
                <w:spacing w:val="-20"/>
                <w:kern w:val="0"/>
                <w:sz w:val="22"/>
                <w:szCs w:val="22"/>
              </w:rPr>
              <w:t xml:space="preserve">3.98 </w:t>
            </w:r>
          </w:p>
        </w:tc>
        <w:tc>
          <w:tcPr>
            <w:tcW w:w="1110" w:type="dxa"/>
            <w:shd w:val="clear" w:color="000000" w:fill="FFFFFF"/>
            <w:noWrap/>
            <w:vAlign w:val="center"/>
            <w:hideMark/>
          </w:tcPr>
          <w:p w:rsidR="000E42FA" w:rsidRPr="0005564B" w:rsidRDefault="000E42FA" w:rsidP="00C567B2">
            <w:pPr>
              <w:widowControl/>
              <w:jc w:val="right"/>
              <w:rPr>
                <w:rFonts w:hAnsi="標楷體"/>
                <w:spacing w:val="-20"/>
                <w:kern w:val="0"/>
                <w:sz w:val="22"/>
                <w:szCs w:val="22"/>
              </w:rPr>
            </w:pPr>
            <w:r w:rsidRPr="0005564B">
              <w:rPr>
                <w:rFonts w:hAnsi="標楷體"/>
                <w:spacing w:val="-20"/>
                <w:kern w:val="0"/>
                <w:sz w:val="22"/>
                <w:szCs w:val="22"/>
              </w:rPr>
              <w:t xml:space="preserve">3.95 </w:t>
            </w:r>
          </w:p>
        </w:tc>
        <w:tc>
          <w:tcPr>
            <w:tcW w:w="1111" w:type="dxa"/>
            <w:shd w:val="clear" w:color="000000" w:fill="FFFFFF"/>
            <w:noWrap/>
            <w:vAlign w:val="center"/>
            <w:hideMark/>
          </w:tcPr>
          <w:p w:rsidR="000E42FA" w:rsidRPr="0005564B" w:rsidRDefault="000E42FA" w:rsidP="00C567B2">
            <w:pPr>
              <w:widowControl/>
              <w:jc w:val="right"/>
              <w:rPr>
                <w:rFonts w:hAnsi="標楷體"/>
                <w:spacing w:val="-20"/>
                <w:kern w:val="0"/>
                <w:sz w:val="22"/>
                <w:szCs w:val="22"/>
              </w:rPr>
            </w:pPr>
            <w:r w:rsidRPr="0005564B">
              <w:rPr>
                <w:rFonts w:hAnsi="標楷體"/>
                <w:spacing w:val="-20"/>
                <w:kern w:val="0"/>
                <w:sz w:val="22"/>
                <w:szCs w:val="22"/>
              </w:rPr>
              <w:t xml:space="preserve">3.96 </w:t>
            </w:r>
          </w:p>
        </w:tc>
        <w:tc>
          <w:tcPr>
            <w:tcW w:w="1110" w:type="dxa"/>
            <w:shd w:val="clear" w:color="000000" w:fill="FFFFFF"/>
            <w:noWrap/>
            <w:vAlign w:val="center"/>
            <w:hideMark/>
          </w:tcPr>
          <w:p w:rsidR="000E42FA" w:rsidRPr="0005564B" w:rsidRDefault="000E42FA" w:rsidP="00C567B2">
            <w:pPr>
              <w:widowControl/>
              <w:jc w:val="right"/>
              <w:rPr>
                <w:rFonts w:hAnsi="標楷體"/>
                <w:spacing w:val="-20"/>
                <w:kern w:val="0"/>
                <w:sz w:val="22"/>
                <w:szCs w:val="22"/>
              </w:rPr>
            </w:pPr>
            <w:r w:rsidRPr="0005564B">
              <w:rPr>
                <w:rFonts w:hAnsi="標楷體"/>
                <w:spacing w:val="-20"/>
                <w:kern w:val="0"/>
                <w:sz w:val="22"/>
                <w:szCs w:val="22"/>
              </w:rPr>
              <w:t xml:space="preserve">3.99 </w:t>
            </w:r>
          </w:p>
        </w:tc>
        <w:tc>
          <w:tcPr>
            <w:tcW w:w="1111" w:type="dxa"/>
            <w:shd w:val="clear" w:color="000000" w:fill="FFFFFF"/>
            <w:noWrap/>
            <w:vAlign w:val="center"/>
            <w:hideMark/>
          </w:tcPr>
          <w:p w:rsidR="000E42FA" w:rsidRPr="0005564B" w:rsidRDefault="000E42FA" w:rsidP="004F7DDF">
            <w:pPr>
              <w:widowControl/>
              <w:spacing w:beforeLines="15" w:before="68" w:afterLines="15" w:after="68"/>
              <w:jc w:val="right"/>
              <w:rPr>
                <w:rFonts w:hAnsi="標楷體"/>
                <w:spacing w:val="-20"/>
                <w:kern w:val="0"/>
                <w:sz w:val="22"/>
                <w:szCs w:val="22"/>
              </w:rPr>
            </w:pPr>
            <w:r w:rsidRPr="0005564B">
              <w:rPr>
                <w:rFonts w:hAnsi="標楷體"/>
                <w:spacing w:val="-20"/>
                <w:kern w:val="0"/>
                <w:sz w:val="22"/>
                <w:szCs w:val="22"/>
              </w:rPr>
              <w:t xml:space="preserve">4.01 </w:t>
            </w:r>
          </w:p>
        </w:tc>
      </w:tr>
      <w:tr w:rsidR="0005564B" w:rsidRPr="0005564B" w:rsidTr="00C567B2">
        <w:tc>
          <w:tcPr>
            <w:tcW w:w="2283" w:type="dxa"/>
            <w:gridSpan w:val="2"/>
            <w:shd w:val="clear" w:color="000000" w:fill="FFFFFF"/>
            <w:noWrap/>
            <w:vAlign w:val="center"/>
            <w:hideMark/>
          </w:tcPr>
          <w:p w:rsidR="000E42FA" w:rsidRPr="0005564B" w:rsidRDefault="000E42FA" w:rsidP="004F7DDF">
            <w:pPr>
              <w:widowControl/>
              <w:spacing w:beforeLines="5" w:before="22" w:afterLines="5" w:after="22"/>
              <w:ind w:rightChars="-25" w:right="-85"/>
              <w:jc w:val="left"/>
              <w:rPr>
                <w:rFonts w:hAnsi="標楷體" w:cs="新細明體"/>
                <w:spacing w:val="-20"/>
                <w:kern w:val="0"/>
                <w:sz w:val="22"/>
                <w:szCs w:val="22"/>
              </w:rPr>
            </w:pPr>
            <w:r w:rsidRPr="0005564B">
              <w:rPr>
                <w:rFonts w:hAnsi="標楷體" w:cs="新細明體" w:hint="eastAsia"/>
                <w:spacing w:val="-20"/>
                <w:kern w:val="0"/>
                <w:sz w:val="22"/>
                <w:szCs w:val="22"/>
              </w:rPr>
              <w:t>醫療點數</w:t>
            </w:r>
          </w:p>
        </w:tc>
        <w:tc>
          <w:tcPr>
            <w:tcW w:w="1110" w:type="dxa"/>
            <w:shd w:val="clear" w:color="000000" w:fill="FFFFFF"/>
            <w:noWrap/>
            <w:vAlign w:val="center"/>
            <w:hideMark/>
          </w:tcPr>
          <w:p w:rsidR="000E42FA" w:rsidRPr="0005564B" w:rsidRDefault="000E42FA" w:rsidP="00C567B2">
            <w:pPr>
              <w:widowControl/>
              <w:jc w:val="center"/>
              <w:rPr>
                <w:rFonts w:hAnsi="標楷體"/>
                <w:spacing w:val="-20"/>
                <w:kern w:val="0"/>
                <w:sz w:val="22"/>
                <w:szCs w:val="22"/>
              </w:rPr>
            </w:pPr>
            <w:r w:rsidRPr="0005564B">
              <w:rPr>
                <w:rFonts w:hAnsi="標楷體"/>
                <w:spacing w:val="-20"/>
                <w:kern w:val="0"/>
                <w:sz w:val="22"/>
                <w:szCs w:val="22"/>
              </w:rPr>
              <w:t xml:space="preserve">　</w:t>
            </w:r>
          </w:p>
        </w:tc>
        <w:tc>
          <w:tcPr>
            <w:tcW w:w="1111" w:type="dxa"/>
            <w:shd w:val="clear" w:color="000000" w:fill="FFFFFF"/>
            <w:noWrap/>
            <w:vAlign w:val="center"/>
            <w:hideMark/>
          </w:tcPr>
          <w:p w:rsidR="000E42FA" w:rsidRPr="0005564B" w:rsidRDefault="000E42FA" w:rsidP="00C567B2">
            <w:pPr>
              <w:widowControl/>
              <w:jc w:val="left"/>
              <w:rPr>
                <w:rFonts w:hAnsi="標楷體"/>
                <w:spacing w:val="-20"/>
                <w:kern w:val="0"/>
                <w:sz w:val="22"/>
                <w:szCs w:val="22"/>
              </w:rPr>
            </w:pPr>
            <w:r w:rsidRPr="0005564B">
              <w:rPr>
                <w:rFonts w:hAnsi="標楷體"/>
                <w:spacing w:val="-20"/>
                <w:kern w:val="0"/>
                <w:sz w:val="22"/>
                <w:szCs w:val="22"/>
              </w:rPr>
              <w:t xml:space="preserve">　</w:t>
            </w:r>
          </w:p>
        </w:tc>
        <w:tc>
          <w:tcPr>
            <w:tcW w:w="1110" w:type="dxa"/>
            <w:shd w:val="clear" w:color="000000" w:fill="FFFFFF"/>
            <w:noWrap/>
            <w:vAlign w:val="center"/>
            <w:hideMark/>
          </w:tcPr>
          <w:p w:rsidR="000E42FA" w:rsidRPr="0005564B" w:rsidRDefault="000E42FA" w:rsidP="00C567B2">
            <w:pPr>
              <w:widowControl/>
              <w:jc w:val="left"/>
              <w:rPr>
                <w:rFonts w:hAnsi="標楷體"/>
                <w:spacing w:val="-20"/>
                <w:kern w:val="0"/>
                <w:sz w:val="22"/>
                <w:szCs w:val="22"/>
              </w:rPr>
            </w:pPr>
            <w:r w:rsidRPr="0005564B">
              <w:rPr>
                <w:rFonts w:hAnsi="標楷體"/>
                <w:spacing w:val="-20"/>
                <w:kern w:val="0"/>
                <w:sz w:val="22"/>
                <w:szCs w:val="22"/>
              </w:rPr>
              <w:t xml:space="preserve">　</w:t>
            </w:r>
          </w:p>
        </w:tc>
        <w:tc>
          <w:tcPr>
            <w:tcW w:w="1111" w:type="dxa"/>
            <w:shd w:val="clear" w:color="000000" w:fill="FFFFFF"/>
            <w:noWrap/>
            <w:vAlign w:val="center"/>
            <w:hideMark/>
          </w:tcPr>
          <w:p w:rsidR="000E42FA" w:rsidRPr="0005564B" w:rsidRDefault="000E42FA" w:rsidP="00C567B2">
            <w:pPr>
              <w:widowControl/>
              <w:jc w:val="left"/>
              <w:rPr>
                <w:rFonts w:hAnsi="標楷體"/>
                <w:spacing w:val="-20"/>
                <w:kern w:val="0"/>
                <w:sz w:val="22"/>
                <w:szCs w:val="22"/>
              </w:rPr>
            </w:pPr>
            <w:r w:rsidRPr="0005564B">
              <w:rPr>
                <w:rFonts w:hAnsi="標楷體"/>
                <w:spacing w:val="-20"/>
                <w:kern w:val="0"/>
                <w:sz w:val="22"/>
                <w:szCs w:val="22"/>
              </w:rPr>
              <w:t xml:space="preserve">　</w:t>
            </w:r>
          </w:p>
        </w:tc>
        <w:tc>
          <w:tcPr>
            <w:tcW w:w="1110" w:type="dxa"/>
            <w:shd w:val="clear" w:color="000000" w:fill="FFFFFF"/>
            <w:noWrap/>
            <w:vAlign w:val="center"/>
            <w:hideMark/>
          </w:tcPr>
          <w:p w:rsidR="000E42FA" w:rsidRPr="0005564B" w:rsidRDefault="000E42FA" w:rsidP="00C567B2">
            <w:pPr>
              <w:widowControl/>
              <w:jc w:val="left"/>
              <w:rPr>
                <w:rFonts w:hAnsi="標楷體"/>
                <w:spacing w:val="-20"/>
                <w:kern w:val="0"/>
                <w:sz w:val="22"/>
                <w:szCs w:val="22"/>
              </w:rPr>
            </w:pPr>
            <w:r w:rsidRPr="0005564B">
              <w:rPr>
                <w:rFonts w:hAnsi="標楷體"/>
                <w:spacing w:val="-20"/>
                <w:kern w:val="0"/>
                <w:sz w:val="22"/>
                <w:szCs w:val="22"/>
              </w:rPr>
              <w:t xml:space="preserve">　</w:t>
            </w:r>
          </w:p>
        </w:tc>
        <w:tc>
          <w:tcPr>
            <w:tcW w:w="1111" w:type="dxa"/>
            <w:shd w:val="clear" w:color="000000" w:fill="FFFFFF"/>
            <w:noWrap/>
            <w:vAlign w:val="center"/>
            <w:hideMark/>
          </w:tcPr>
          <w:p w:rsidR="000E42FA" w:rsidRPr="0005564B" w:rsidRDefault="000E42FA" w:rsidP="004F7DDF">
            <w:pPr>
              <w:widowControl/>
              <w:spacing w:beforeLines="15" w:before="68" w:afterLines="15" w:after="68"/>
              <w:jc w:val="left"/>
              <w:rPr>
                <w:rFonts w:hAnsi="標楷體"/>
                <w:spacing w:val="-20"/>
                <w:kern w:val="0"/>
                <w:sz w:val="22"/>
                <w:szCs w:val="22"/>
              </w:rPr>
            </w:pPr>
            <w:r w:rsidRPr="0005564B">
              <w:rPr>
                <w:rFonts w:hAnsi="標楷體"/>
                <w:spacing w:val="-20"/>
                <w:kern w:val="0"/>
                <w:sz w:val="22"/>
                <w:szCs w:val="22"/>
              </w:rPr>
              <w:t xml:space="preserve">　</w:t>
            </w:r>
          </w:p>
        </w:tc>
      </w:tr>
      <w:tr w:rsidR="0005564B" w:rsidRPr="0005564B" w:rsidTr="001D04E8">
        <w:tc>
          <w:tcPr>
            <w:tcW w:w="556" w:type="dxa"/>
            <w:tcBorders>
              <w:right w:val="nil"/>
            </w:tcBorders>
            <w:shd w:val="clear" w:color="000000" w:fill="FFFFFF"/>
            <w:noWrap/>
            <w:vAlign w:val="center"/>
            <w:hideMark/>
          </w:tcPr>
          <w:p w:rsidR="000E42FA" w:rsidRPr="0005564B" w:rsidRDefault="000E42FA" w:rsidP="000E42FA">
            <w:pPr>
              <w:widowControl/>
              <w:ind w:rightChars="-25" w:right="-85"/>
              <w:jc w:val="left"/>
              <w:rPr>
                <w:rFonts w:hAnsi="標楷體" w:cs="新細明體"/>
                <w:spacing w:val="-20"/>
                <w:kern w:val="0"/>
                <w:sz w:val="22"/>
                <w:szCs w:val="22"/>
              </w:rPr>
            </w:pPr>
            <w:r w:rsidRPr="0005564B">
              <w:rPr>
                <w:rFonts w:hAnsi="標楷體" w:cs="新細明體" w:hint="eastAsia"/>
                <w:spacing w:val="-20"/>
                <w:kern w:val="0"/>
                <w:sz w:val="22"/>
                <w:szCs w:val="22"/>
              </w:rPr>
              <w:t xml:space="preserve">　</w:t>
            </w:r>
          </w:p>
        </w:tc>
        <w:tc>
          <w:tcPr>
            <w:tcW w:w="1727" w:type="dxa"/>
            <w:tcBorders>
              <w:left w:val="nil"/>
            </w:tcBorders>
            <w:shd w:val="clear" w:color="000000" w:fill="FFFFFF"/>
            <w:noWrap/>
            <w:vAlign w:val="center"/>
            <w:hideMark/>
          </w:tcPr>
          <w:p w:rsidR="000E42FA" w:rsidRPr="0005564B" w:rsidRDefault="000E42FA" w:rsidP="004F7DDF">
            <w:pPr>
              <w:widowControl/>
              <w:spacing w:beforeLines="5" w:before="22" w:afterLines="5" w:after="22"/>
              <w:ind w:rightChars="-25" w:right="-85"/>
              <w:jc w:val="left"/>
              <w:rPr>
                <w:rFonts w:hAnsi="標楷體"/>
                <w:spacing w:val="-20"/>
                <w:kern w:val="0"/>
                <w:sz w:val="22"/>
                <w:szCs w:val="22"/>
              </w:rPr>
            </w:pPr>
            <w:r w:rsidRPr="0005564B">
              <w:rPr>
                <w:rFonts w:hAnsi="標楷體" w:hint="eastAsia"/>
                <w:spacing w:val="-20"/>
                <w:kern w:val="0"/>
                <w:sz w:val="22"/>
                <w:szCs w:val="22"/>
              </w:rPr>
              <w:t>值</w:t>
            </w:r>
            <w:r w:rsidRPr="0005564B">
              <w:rPr>
                <w:rFonts w:hAnsi="標楷體"/>
                <w:spacing w:val="-20"/>
                <w:kern w:val="0"/>
                <w:sz w:val="22"/>
                <w:szCs w:val="22"/>
              </w:rPr>
              <w:t>(</w:t>
            </w:r>
            <w:r w:rsidRPr="0005564B">
              <w:rPr>
                <w:rFonts w:hAnsi="標楷體" w:hint="eastAsia"/>
                <w:spacing w:val="-20"/>
                <w:kern w:val="0"/>
                <w:sz w:val="22"/>
                <w:szCs w:val="22"/>
              </w:rPr>
              <w:t>百萬</w:t>
            </w:r>
            <w:r w:rsidRPr="0005564B">
              <w:rPr>
                <w:rFonts w:hAnsi="標楷體"/>
                <w:spacing w:val="-20"/>
                <w:kern w:val="0"/>
                <w:sz w:val="22"/>
                <w:szCs w:val="22"/>
              </w:rPr>
              <w:t>)</w:t>
            </w:r>
          </w:p>
        </w:tc>
        <w:tc>
          <w:tcPr>
            <w:tcW w:w="1110" w:type="dxa"/>
            <w:shd w:val="clear" w:color="000000" w:fill="FFFFFF"/>
            <w:noWrap/>
            <w:vAlign w:val="center"/>
            <w:hideMark/>
          </w:tcPr>
          <w:p w:rsidR="000E42FA" w:rsidRPr="0005564B" w:rsidRDefault="000E42FA" w:rsidP="00C567B2">
            <w:pPr>
              <w:widowControl/>
              <w:jc w:val="right"/>
              <w:rPr>
                <w:rFonts w:hAnsi="標楷體"/>
                <w:spacing w:val="-20"/>
                <w:kern w:val="0"/>
                <w:sz w:val="22"/>
                <w:szCs w:val="22"/>
              </w:rPr>
            </w:pPr>
            <w:r w:rsidRPr="0005564B">
              <w:rPr>
                <w:rFonts w:hAnsi="標楷體"/>
                <w:spacing w:val="-20"/>
                <w:kern w:val="0"/>
                <w:sz w:val="22"/>
                <w:szCs w:val="22"/>
              </w:rPr>
              <w:t xml:space="preserve">162,523.3 </w:t>
            </w:r>
          </w:p>
        </w:tc>
        <w:tc>
          <w:tcPr>
            <w:tcW w:w="1111" w:type="dxa"/>
            <w:shd w:val="clear" w:color="000000" w:fill="FFFFFF"/>
            <w:noWrap/>
            <w:vAlign w:val="center"/>
            <w:hideMark/>
          </w:tcPr>
          <w:p w:rsidR="000E42FA" w:rsidRPr="0005564B" w:rsidRDefault="000E42FA" w:rsidP="00C567B2">
            <w:pPr>
              <w:widowControl/>
              <w:jc w:val="right"/>
              <w:rPr>
                <w:rFonts w:hAnsi="標楷體"/>
                <w:spacing w:val="-20"/>
                <w:kern w:val="0"/>
                <w:sz w:val="22"/>
                <w:szCs w:val="22"/>
              </w:rPr>
            </w:pPr>
            <w:r w:rsidRPr="0005564B">
              <w:rPr>
                <w:rFonts w:hAnsi="標楷體"/>
                <w:spacing w:val="-20"/>
                <w:kern w:val="0"/>
                <w:sz w:val="22"/>
                <w:szCs w:val="22"/>
              </w:rPr>
              <w:t xml:space="preserve">167,910.0 </w:t>
            </w:r>
          </w:p>
        </w:tc>
        <w:tc>
          <w:tcPr>
            <w:tcW w:w="1110" w:type="dxa"/>
            <w:shd w:val="clear" w:color="000000" w:fill="FFFFFF"/>
            <w:noWrap/>
            <w:vAlign w:val="center"/>
            <w:hideMark/>
          </w:tcPr>
          <w:p w:rsidR="000E42FA" w:rsidRPr="0005564B" w:rsidRDefault="000E42FA" w:rsidP="00C567B2">
            <w:pPr>
              <w:widowControl/>
              <w:jc w:val="right"/>
              <w:rPr>
                <w:rFonts w:hAnsi="標楷體"/>
                <w:spacing w:val="-20"/>
                <w:kern w:val="0"/>
                <w:sz w:val="22"/>
                <w:szCs w:val="22"/>
              </w:rPr>
            </w:pPr>
            <w:r w:rsidRPr="0005564B">
              <w:rPr>
                <w:rFonts w:hAnsi="標楷體"/>
                <w:spacing w:val="-20"/>
                <w:kern w:val="0"/>
                <w:sz w:val="22"/>
                <w:szCs w:val="22"/>
              </w:rPr>
              <w:t xml:space="preserve">172,032.8 </w:t>
            </w:r>
          </w:p>
        </w:tc>
        <w:tc>
          <w:tcPr>
            <w:tcW w:w="1111" w:type="dxa"/>
            <w:shd w:val="clear" w:color="000000" w:fill="FFFFFF"/>
            <w:noWrap/>
            <w:vAlign w:val="center"/>
            <w:hideMark/>
          </w:tcPr>
          <w:p w:rsidR="000E42FA" w:rsidRPr="0005564B" w:rsidRDefault="000E42FA" w:rsidP="00C567B2">
            <w:pPr>
              <w:widowControl/>
              <w:jc w:val="right"/>
              <w:rPr>
                <w:rFonts w:hAnsi="標楷體"/>
                <w:spacing w:val="-20"/>
                <w:kern w:val="0"/>
                <w:sz w:val="22"/>
                <w:szCs w:val="22"/>
              </w:rPr>
            </w:pPr>
            <w:r w:rsidRPr="0005564B">
              <w:rPr>
                <w:rFonts w:hAnsi="標楷體"/>
                <w:spacing w:val="-20"/>
                <w:kern w:val="0"/>
                <w:sz w:val="22"/>
                <w:szCs w:val="22"/>
              </w:rPr>
              <w:t xml:space="preserve">181,453.7 </w:t>
            </w:r>
          </w:p>
        </w:tc>
        <w:tc>
          <w:tcPr>
            <w:tcW w:w="1110" w:type="dxa"/>
            <w:shd w:val="clear" w:color="000000" w:fill="FFFFFF"/>
            <w:noWrap/>
            <w:vAlign w:val="center"/>
            <w:hideMark/>
          </w:tcPr>
          <w:p w:rsidR="000E42FA" w:rsidRPr="0005564B" w:rsidRDefault="000E42FA" w:rsidP="00C567B2">
            <w:pPr>
              <w:widowControl/>
              <w:jc w:val="right"/>
              <w:rPr>
                <w:rFonts w:hAnsi="標楷體"/>
                <w:spacing w:val="-20"/>
                <w:kern w:val="0"/>
                <w:sz w:val="22"/>
                <w:szCs w:val="22"/>
              </w:rPr>
            </w:pPr>
            <w:r w:rsidRPr="0005564B">
              <w:rPr>
                <w:rFonts w:hAnsi="標楷體"/>
                <w:spacing w:val="-20"/>
                <w:kern w:val="0"/>
                <w:sz w:val="22"/>
                <w:szCs w:val="22"/>
              </w:rPr>
              <w:t xml:space="preserve">191,687.8 </w:t>
            </w:r>
          </w:p>
        </w:tc>
        <w:tc>
          <w:tcPr>
            <w:tcW w:w="1111" w:type="dxa"/>
            <w:shd w:val="clear" w:color="000000" w:fill="FFFFFF"/>
            <w:noWrap/>
            <w:vAlign w:val="center"/>
            <w:hideMark/>
          </w:tcPr>
          <w:p w:rsidR="000E42FA" w:rsidRPr="0005564B" w:rsidRDefault="000E42FA" w:rsidP="004F7DDF">
            <w:pPr>
              <w:widowControl/>
              <w:spacing w:beforeLines="15" w:before="68" w:afterLines="15" w:after="68"/>
              <w:jc w:val="right"/>
              <w:rPr>
                <w:rFonts w:hAnsi="標楷體"/>
                <w:spacing w:val="-20"/>
                <w:kern w:val="0"/>
                <w:sz w:val="22"/>
                <w:szCs w:val="22"/>
              </w:rPr>
            </w:pPr>
            <w:r w:rsidRPr="0005564B">
              <w:rPr>
                <w:rFonts w:hAnsi="標楷體"/>
                <w:spacing w:val="-20"/>
                <w:kern w:val="0"/>
                <w:sz w:val="22"/>
                <w:szCs w:val="22"/>
              </w:rPr>
              <w:t xml:space="preserve">203,878.9 </w:t>
            </w:r>
          </w:p>
        </w:tc>
      </w:tr>
      <w:tr w:rsidR="0005564B" w:rsidRPr="0005564B" w:rsidTr="001D04E8">
        <w:tc>
          <w:tcPr>
            <w:tcW w:w="556" w:type="dxa"/>
            <w:tcBorders>
              <w:right w:val="nil"/>
            </w:tcBorders>
            <w:shd w:val="clear" w:color="000000" w:fill="FFFFFF"/>
            <w:noWrap/>
            <w:vAlign w:val="center"/>
            <w:hideMark/>
          </w:tcPr>
          <w:p w:rsidR="000E42FA" w:rsidRPr="0005564B" w:rsidRDefault="000E42FA" w:rsidP="000E42FA">
            <w:pPr>
              <w:widowControl/>
              <w:ind w:rightChars="-25" w:right="-85"/>
              <w:jc w:val="left"/>
              <w:rPr>
                <w:rFonts w:hAnsi="標楷體" w:cs="新細明體"/>
                <w:spacing w:val="-20"/>
                <w:kern w:val="0"/>
                <w:sz w:val="22"/>
                <w:szCs w:val="22"/>
              </w:rPr>
            </w:pPr>
            <w:r w:rsidRPr="0005564B">
              <w:rPr>
                <w:rFonts w:hAnsi="標楷體" w:cs="新細明體" w:hint="eastAsia"/>
                <w:spacing w:val="-20"/>
                <w:kern w:val="0"/>
                <w:sz w:val="22"/>
                <w:szCs w:val="22"/>
              </w:rPr>
              <w:t xml:space="preserve">　</w:t>
            </w:r>
          </w:p>
        </w:tc>
        <w:tc>
          <w:tcPr>
            <w:tcW w:w="1727" w:type="dxa"/>
            <w:tcBorders>
              <w:left w:val="nil"/>
            </w:tcBorders>
            <w:shd w:val="clear" w:color="000000" w:fill="FFFFFF"/>
            <w:noWrap/>
            <w:vAlign w:val="center"/>
            <w:hideMark/>
          </w:tcPr>
          <w:p w:rsidR="000E42FA" w:rsidRPr="0005564B" w:rsidRDefault="000E42FA" w:rsidP="004F7DDF">
            <w:pPr>
              <w:widowControl/>
              <w:spacing w:beforeLines="5" w:before="22" w:afterLines="5" w:after="22"/>
              <w:ind w:rightChars="-25" w:right="-85"/>
              <w:jc w:val="left"/>
              <w:rPr>
                <w:rFonts w:hAnsi="標楷體"/>
                <w:spacing w:val="-20"/>
                <w:kern w:val="0"/>
                <w:sz w:val="22"/>
                <w:szCs w:val="22"/>
              </w:rPr>
            </w:pPr>
            <w:r w:rsidRPr="0005564B">
              <w:rPr>
                <w:rFonts w:hAnsi="標楷體" w:hint="eastAsia"/>
                <w:spacing w:val="-20"/>
                <w:kern w:val="0"/>
                <w:sz w:val="22"/>
                <w:szCs w:val="22"/>
              </w:rPr>
              <w:t>成長率</w:t>
            </w:r>
            <w:r w:rsidRPr="0005564B">
              <w:rPr>
                <w:rFonts w:hAnsi="標楷體"/>
                <w:spacing w:val="-20"/>
                <w:kern w:val="0"/>
                <w:sz w:val="22"/>
                <w:szCs w:val="22"/>
              </w:rPr>
              <w:t>(%)</w:t>
            </w:r>
          </w:p>
        </w:tc>
        <w:tc>
          <w:tcPr>
            <w:tcW w:w="1110" w:type="dxa"/>
            <w:shd w:val="clear" w:color="000000" w:fill="FFFFFF"/>
            <w:noWrap/>
            <w:vAlign w:val="center"/>
            <w:hideMark/>
          </w:tcPr>
          <w:p w:rsidR="000E42FA" w:rsidRPr="0005564B" w:rsidRDefault="000E42FA" w:rsidP="00C567B2">
            <w:pPr>
              <w:widowControl/>
              <w:jc w:val="right"/>
              <w:rPr>
                <w:rFonts w:hAnsi="標楷體"/>
                <w:spacing w:val="-20"/>
                <w:kern w:val="0"/>
                <w:sz w:val="22"/>
                <w:szCs w:val="22"/>
              </w:rPr>
            </w:pPr>
            <w:r w:rsidRPr="0005564B">
              <w:rPr>
                <w:rFonts w:hAnsi="標楷體"/>
                <w:spacing w:val="-20"/>
                <w:kern w:val="0"/>
                <w:sz w:val="22"/>
                <w:szCs w:val="22"/>
              </w:rPr>
              <w:t xml:space="preserve">4.29 </w:t>
            </w:r>
          </w:p>
        </w:tc>
        <w:tc>
          <w:tcPr>
            <w:tcW w:w="1111" w:type="dxa"/>
            <w:shd w:val="clear" w:color="000000" w:fill="FFFFFF"/>
            <w:noWrap/>
            <w:vAlign w:val="center"/>
            <w:hideMark/>
          </w:tcPr>
          <w:p w:rsidR="000E42FA" w:rsidRPr="0005564B" w:rsidRDefault="000E42FA" w:rsidP="00C567B2">
            <w:pPr>
              <w:widowControl/>
              <w:jc w:val="right"/>
              <w:rPr>
                <w:rFonts w:hAnsi="標楷體"/>
                <w:spacing w:val="-20"/>
                <w:kern w:val="0"/>
                <w:sz w:val="22"/>
                <w:szCs w:val="22"/>
              </w:rPr>
            </w:pPr>
            <w:r w:rsidRPr="0005564B">
              <w:rPr>
                <w:rFonts w:hAnsi="標楷體"/>
                <w:spacing w:val="-20"/>
                <w:kern w:val="0"/>
                <w:sz w:val="22"/>
                <w:szCs w:val="22"/>
              </w:rPr>
              <w:t xml:space="preserve">3.31 </w:t>
            </w:r>
          </w:p>
        </w:tc>
        <w:tc>
          <w:tcPr>
            <w:tcW w:w="1110" w:type="dxa"/>
            <w:shd w:val="clear" w:color="000000" w:fill="FFFFFF"/>
            <w:noWrap/>
            <w:vAlign w:val="center"/>
            <w:hideMark/>
          </w:tcPr>
          <w:p w:rsidR="000E42FA" w:rsidRPr="0005564B" w:rsidRDefault="000E42FA" w:rsidP="00C567B2">
            <w:pPr>
              <w:widowControl/>
              <w:jc w:val="right"/>
              <w:rPr>
                <w:rFonts w:hAnsi="標楷體"/>
                <w:spacing w:val="-20"/>
                <w:kern w:val="0"/>
                <w:sz w:val="22"/>
                <w:szCs w:val="22"/>
              </w:rPr>
            </w:pPr>
            <w:r w:rsidRPr="0005564B">
              <w:rPr>
                <w:rFonts w:hAnsi="標楷體"/>
                <w:spacing w:val="-20"/>
                <w:kern w:val="0"/>
                <w:sz w:val="22"/>
                <w:szCs w:val="22"/>
              </w:rPr>
              <w:t xml:space="preserve">2.46 </w:t>
            </w:r>
          </w:p>
        </w:tc>
        <w:tc>
          <w:tcPr>
            <w:tcW w:w="1111" w:type="dxa"/>
            <w:shd w:val="clear" w:color="000000" w:fill="FFFFFF"/>
            <w:noWrap/>
            <w:vAlign w:val="center"/>
            <w:hideMark/>
          </w:tcPr>
          <w:p w:rsidR="000E42FA" w:rsidRPr="0005564B" w:rsidRDefault="000E42FA" w:rsidP="00C567B2">
            <w:pPr>
              <w:widowControl/>
              <w:jc w:val="right"/>
              <w:rPr>
                <w:rFonts w:hAnsi="標楷體"/>
                <w:spacing w:val="-20"/>
                <w:kern w:val="0"/>
                <w:sz w:val="22"/>
                <w:szCs w:val="22"/>
              </w:rPr>
            </w:pPr>
            <w:r w:rsidRPr="0005564B">
              <w:rPr>
                <w:rFonts w:hAnsi="標楷體"/>
                <w:spacing w:val="-20"/>
                <w:kern w:val="0"/>
                <w:sz w:val="22"/>
                <w:szCs w:val="22"/>
              </w:rPr>
              <w:t xml:space="preserve">5.48 </w:t>
            </w:r>
          </w:p>
        </w:tc>
        <w:tc>
          <w:tcPr>
            <w:tcW w:w="1110" w:type="dxa"/>
            <w:shd w:val="clear" w:color="000000" w:fill="FFFFFF"/>
            <w:noWrap/>
            <w:vAlign w:val="center"/>
            <w:hideMark/>
          </w:tcPr>
          <w:p w:rsidR="000E42FA" w:rsidRPr="0005564B" w:rsidRDefault="000E42FA" w:rsidP="00C567B2">
            <w:pPr>
              <w:widowControl/>
              <w:jc w:val="right"/>
              <w:rPr>
                <w:rFonts w:hAnsi="標楷體"/>
                <w:spacing w:val="-20"/>
                <w:kern w:val="0"/>
                <w:sz w:val="22"/>
                <w:szCs w:val="22"/>
              </w:rPr>
            </w:pPr>
            <w:r w:rsidRPr="0005564B">
              <w:rPr>
                <w:rFonts w:hAnsi="標楷體"/>
                <w:spacing w:val="-20"/>
                <w:kern w:val="0"/>
                <w:sz w:val="22"/>
                <w:szCs w:val="22"/>
              </w:rPr>
              <w:t xml:space="preserve">5.64 </w:t>
            </w:r>
          </w:p>
        </w:tc>
        <w:tc>
          <w:tcPr>
            <w:tcW w:w="1111" w:type="dxa"/>
            <w:shd w:val="clear" w:color="000000" w:fill="FFFFFF"/>
            <w:noWrap/>
            <w:vAlign w:val="center"/>
            <w:hideMark/>
          </w:tcPr>
          <w:p w:rsidR="000E42FA" w:rsidRPr="0005564B" w:rsidRDefault="000E42FA" w:rsidP="004F7DDF">
            <w:pPr>
              <w:widowControl/>
              <w:spacing w:beforeLines="15" w:before="68" w:afterLines="15" w:after="68"/>
              <w:jc w:val="right"/>
              <w:rPr>
                <w:rFonts w:hAnsi="標楷體"/>
                <w:spacing w:val="-20"/>
                <w:kern w:val="0"/>
                <w:sz w:val="22"/>
                <w:szCs w:val="22"/>
              </w:rPr>
            </w:pPr>
            <w:r w:rsidRPr="0005564B">
              <w:rPr>
                <w:rFonts w:hAnsi="標楷體"/>
                <w:spacing w:val="-20"/>
                <w:kern w:val="0"/>
                <w:sz w:val="22"/>
                <w:szCs w:val="22"/>
              </w:rPr>
              <w:t xml:space="preserve">6.36 </w:t>
            </w:r>
          </w:p>
        </w:tc>
      </w:tr>
      <w:tr w:rsidR="0005564B" w:rsidRPr="0005564B" w:rsidTr="001D04E8">
        <w:tc>
          <w:tcPr>
            <w:tcW w:w="556" w:type="dxa"/>
            <w:tcBorders>
              <w:right w:val="nil"/>
            </w:tcBorders>
            <w:shd w:val="clear" w:color="000000" w:fill="FFFFFF"/>
            <w:noWrap/>
            <w:vAlign w:val="center"/>
            <w:hideMark/>
          </w:tcPr>
          <w:p w:rsidR="000E42FA" w:rsidRPr="0005564B" w:rsidRDefault="000E42FA" w:rsidP="000E42FA">
            <w:pPr>
              <w:widowControl/>
              <w:ind w:rightChars="-25" w:right="-85"/>
              <w:jc w:val="left"/>
              <w:rPr>
                <w:rFonts w:hAnsi="標楷體" w:cs="新細明體"/>
                <w:spacing w:val="-20"/>
                <w:kern w:val="0"/>
                <w:sz w:val="22"/>
                <w:szCs w:val="22"/>
              </w:rPr>
            </w:pPr>
            <w:r w:rsidRPr="0005564B">
              <w:rPr>
                <w:rFonts w:hAnsi="標楷體" w:cs="新細明體" w:hint="eastAsia"/>
                <w:spacing w:val="-20"/>
                <w:kern w:val="0"/>
                <w:sz w:val="22"/>
                <w:szCs w:val="22"/>
              </w:rPr>
              <w:t xml:space="preserve">　</w:t>
            </w:r>
          </w:p>
        </w:tc>
        <w:tc>
          <w:tcPr>
            <w:tcW w:w="1727" w:type="dxa"/>
            <w:tcBorders>
              <w:left w:val="nil"/>
            </w:tcBorders>
            <w:shd w:val="clear" w:color="000000" w:fill="FFFFFF"/>
            <w:noWrap/>
            <w:vAlign w:val="center"/>
            <w:hideMark/>
          </w:tcPr>
          <w:p w:rsidR="000E42FA" w:rsidRPr="0005564B" w:rsidRDefault="000E42FA" w:rsidP="004F7DDF">
            <w:pPr>
              <w:widowControl/>
              <w:spacing w:beforeLines="5" w:before="22" w:afterLines="5" w:after="22"/>
              <w:ind w:rightChars="-25" w:right="-85"/>
              <w:jc w:val="left"/>
              <w:rPr>
                <w:rFonts w:hAnsi="標楷體"/>
                <w:spacing w:val="-20"/>
                <w:kern w:val="0"/>
                <w:sz w:val="22"/>
                <w:szCs w:val="22"/>
              </w:rPr>
            </w:pPr>
            <w:r w:rsidRPr="0005564B">
              <w:rPr>
                <w:rFonts w:hAnsi="標楷體" w:hint="eastAsia"/>
                <w:spacing w:val="-20"/>
                <w:kern w:val="0"/>
                <w:sz w:val="22"/>
                <w:szCs w:val="22"/>
              </w:rPr>
              <w:t>全國點數</w:t>
            </w:r>
          </w:p>
        </w:tc>
        <w:tc>
          <w:tcPr>
            <w:tcW w:w="1110" w:type="dxa"/>
            <w:shd w:val="clear" w:color="000000" w:fill="FFFFFF"/>
            <w:noWrap/>
            <w:vAlign w:val="center"/>
            <w:hideMark/>
          </w:tcPr>
          <w:p w:rsidR="000E42FA" w:rsidRPr="0005564B" w:rsidRDefault="000E42FA" w:rsidP="00C567B2">
            <w:pPr>
              <w:widowControl/>
              <w:jc w:val="right"/>
              <w:rPr>
                <w:rFonts w:hAnsi="標楷體"/>
                <w:spacing w:val="-20"/>
                <w:kern w:val="0"/>
                <w:sz w:val="22"/>
                <w:szCs w:val="22"/>
              </w:rPr>
            </w:pPr>
            <w:r w:rsidRPr="0005564B">
              <w:rPr>
                <w:rFonts w:hAnsi="標楷體"/>
                <w:spacing w:val="-20"/>
                <w:kern w:val="0"/>
                <w:sz w:val="22"/>
                <w:szCs w:val="22"/>
              </w:rPr>
              <w:t xml:space="preserve">600,715.3 </w:t>
            </w:r>
          </w:p>
        </w:tc>
        <w:tc>
          <w:tcPr>
            <w:tcW w:w="1111" w:type="dxa"/>
            <w:shd w:val="clear" w:color="000000" w:fill="FFFFFF"/>
            <w:noWrap/>
            <w:vAlign w:val="center"/>
            <w:hideMark/>
          </w:tcPr>
          <w:p w:rsidR="000E42FA" w:rsidRPr="0005564B" w:rsidRDefault="000E42FA" w:rsidP="00C567B2">
            <w:pPr>
              <w:widowControl/>
              <w:jc w:val="right"/>
              <w:rPr>
                <w:rFonts w:hAnsi="標楷體"/>
                <w:spacing w:val="-20"/>
                <w:kern w:val="0"/>
                <w:sz w:val="22"/>
                <w:szCs w:val="22"/>
              </w:rPr>
            </w:pPr>
            <w:r w:rsidRPr="0005564B">
              <w:rPr>
                <w:rFonts w:hAnsi="標楷體"/>
                <w:spacing w:val="-20"/>
                <w:kern w:val="0"/>
                <w:sz w:val="22"/>
                <w:szCs w:val="22"/>
              </w:rPr>
              <w:t xml:space="preserve">627,047.5 </w:t>
            </w:r>
          </w:p>
        </w:tc>
        <w:tc>
          <w:tcPr>
            <w:tcW w:w="1110" w:type="dxa"/>
            <w:shd w:val="clear" w:color="000000" w:fill="FFFFFF"/>
            <w:noWrap/>
            <w:vAlign w:val="center"/>
            <w:hideMark/>
          </w:tcPr>
          <w:p w:rsidR="000E42FA" w:rsidRPr="0005564B" w:rsidRDefault="000E42FA" w:rsidP="00C567B2">
            <w:pPr>
              <w:widowControl/>
              <w:jc w:val="right"/>
              <w:rPr>
                <w:rFonts w:hAnsi="標楷體"/>
                <w:spacing w:val="-20"/>
                <w:kern w:val="0"/>
                <w:sz w:val="22"/>
                <w:szCs w:val="22"/>
              </w:rPr>
            </w:pPr>
            <w:r w:rsidRPr="0005564B">
              <w:rPr>
                <w:rFonts w:hAnsi="標楷體"/>
                <w:spacing w:val="-20"/>
                <w:kern w:val="0"/>
                <w:sz w:val="22"/>
                <w:szCs w:val="22"/>
              </w:rPr>
              <w:t xml:space="preserve">642,823.2 </w:t>
            </w:r>
          </w:p>
        </w:tc>
        <w:tc>
          <w:tcPr>
            <w:tcW w:w="1111" w:type="dxa"/>
            <w:shd w:val="clear" w:color="000000" w:fill="FFFFFF"/>
            <w:noWrap/>
            <w:vAlign w:val="center"/>
            <w:hideMark/>
          </w:tcPr>
          <w:p w:rsidR="000E42FA" w:rsidRPr="0005564B" w:rsidRDefault="000E42FA" w:rsidP="00C567B2">
            <w:pPr>
              <w:widowControl/>
              <w:jc w:val="right"/>
              <w:rPr>
                <w:rFonts w:hAnsi="標楷體"/>
                <w:spacing w:val="-20"/>
                <w:kern w:val="0"/>
                <w:sz w:val="22"/>
                <w:szCs w:val="22"/>
              </w:rPr>
            </w:pPr>
            <w:r w:rsidRPr="0005564B">
              <w:rPr>
                <w:rFonts w:hAnsi="標楷體"/>
                <w:spacing w:val="-20"/>
                <w:kern w:val="0"/>
                <w:sz w:val="22"/>
                <w:szCs w:val="22"/>
              </w:rPr>
              <w:t xml:space="preserve">500,890.8 </w:t>
            </w:r>
          </w:p>
        </w:tc>
        <w:tc>
          <w:tcPr>
            <w:tcW w:w="1110" w:type="dxa"/>
            <w:shd w:val="clear" w:color="000000" w:fill="FFFFFF"/>
            <w:noWrap/>
            <w:vAlign w:val="center"/>
            <w:hideMark/>
          </w:tcPr>
          <w:p w:rsidR="000E42FA" w:rsidRPr="0005564B" w:rsidRDefault="000E42FA" w:rsidP="00C567B2">
            <w:pPr>
              <w:widowControl/>
              <w:jc w:val="right"/>
              <w:rPr>
                <w:rFonts w:hAnsi="標楷體"/>
                <w:spacing w:val="-20"/>
                <w:kern w:val="0"/>
                <w:sz w:val="22"/>
                <w:szCs w:val="22"/>
              </w:rPr>
            </w:pPr>
            <w:r w:rsidRPr="0005564B">
              <w:rPr>
                <w:rFonts w:hAnsi="標楷體"/>
                <w:spacing w:val="-20"/>
                <w:kern w:val="0"/>
                <w:sz w:val="22"/>
                <w:szCs w:val="22"/>
              </w:rPr>
              <w:t xml:space="preserve">711,709.4 </w:t>
            </w:r>
          </w:p>
        </w:tc>
        <w:tc>
          <w:tcPr>
            <w:tcW w:w="1111" w:type="dxa"/>
            <w:shd w:val="clear" w:color="000000" w:fill="FFFFFF"/>
            <w:noWrap/>
            <w:vAlign w:val="center"/>
            <w:hideMark/>
          </w:tcPr>
          <w:p w:rsidR="000E42FA" w:rsidRPr="0005564B" w:rsidRDefault="000E42FA" w:rsidP="004F7DDF">
            <w:pPr>
              <w:widowControl/>
              <w:spacing w:beforeLines="15" w:before="68" w:afterLines="15" w:after="68"/>
              <w:jc w:val="right"/>
              <w:rPr>
                <w:rFonts w:hAnsi="標楷體"/>
                <w:spacing w:val="-20"/>
                <w:kern w:val="0"/>
                <w:sz w:val="22"/>
                <w:szCs w:val="22"/>
              </w:rPr>
            </w:pPr>
            <w:r w:rsidRPr="0005564B">
              <w:rPr>
                <w:rFonts w:hAnsi="標楷體"/>
                <w:spacing w:val="-20"/>
                <w:kern w:val="0"/>
                <w:sz w:val="22"/>
                <w:szCs w:val="22"/>
              </w:rPr>
              <w:t xml:space="preserve">738,202.9 </w:t>
            </w:r>
          </w:p>
        </w:tc>
      </w:tr>
      <w:tr w:rsidR="0005564B" w:rsidRPr="0005564B" w:rsidTr="001D04E8">
        <w:tc>
          <w:tcPr>
            <w:tcW w:w="556" w:type="dxa"/>
            <w:tcBorders>
              <w:right w:val="nil"/>
            </w:tcBorders>
            <w:shd w:val="clear" w:color="000000" w:fill="FFFFFF"/>
            <w:noWrap/>
            <w:vAlign w:val="center"/>
            <w:hideMark/>
          </w:tcPr>
          <w:p w:rsidR="000E42FA" w:rsidRPr="0005564B" w:rsidRDefault="000E42FA" w:rsidP="000E42FA">
            <w:pPr>
              <w:widowControl/>
              <w:ind w:rightChars="-25" w:right="-85"/>
              <w:jc w:val="left"/>
              <w:rPr>
                <w:rFonts w:hAnsi="標楷體" w:cs="新細明體"/>
                <w:spacing w:val="-20"/>
                <w:kern w:val="0"/>
                <w:sz w:val="22"/>
                <w:szCs w:val="22"/>
              </w:rPr>
            </w:pPr>
            <w:r w:rsidRPr="0005564B">
              <w:rPr>
                <w:rFonts w:hAnsi="標楷體" w:cs="新細明體" w:hint="eastAsia"/>
                <w:spacing w:val="-20"/>
                <w:kern w:val="0"/>
                <w:sz w:val="22"/>
                <w:szCs w:val="22"/>
              </w:rPr>
              <w:t xml:space="preserve">　</w:t>
            </w:r>
          </w:p>
        </w:tc>
        <w:tc>
          <w:tcPr>
            <w:tcW w:w="1727" w:type="dxa"/>
            <w:tcBorders>
              <w:left w:val="nil"/>
            </w:tcBorders>
            <w:shd w:val="clear" w:color="000000" w:fill="FFFFFF"/>
            <w:noWrap/>
            <w:vAlign w:val="center"/>
            <w:hideMark/>
          </w:tcPr>
          <w:p w:rsidR="000E42FA" w:rsidRPr="0005564B" w:rsidRDefault="000E42FA" w:rsidP="004F7DDF">
            <w:pPr>
              <w:widowControl/>
              <w:spacing w:beforeLines="5" w:before="22" w:afterLines="5" w:after="22"/>
              <w:ind w:rightChars="-25" w:right="-85"/>
              <w:jc w:val="left"/>
              <w:rPr>
                <w:rFonts w:hAnsi="標楷體" w:cs="新細明體"/>
                <w:spacing w:val="-20"/>
                <w:kern w:val="0"/>
                <w:sz w:val="22"/>
                <w:szCs w:val="22"/>
              </w:rPr>
            </w:pPr>
            <w:r w:rsidRPr="0005564B">
              <w:rPr>
                <w:rFonts w:hAnsi="標楷體" w:cs="新細明體" w:hint="eastAsia"/>
                <w:spacing w:val="-20"/>
                <w:kern w:val="0"/>
                <w:sz w:val="22"/>
                <w:szCs w:val="22"/>
              </w:rPr>
              <w:t>佔全國點數比率(%)</w:t>
            </w:r>
          </w:p>
        </w:tc>
        <w:tc>
          <w:tcPr>
            <w:tcW w:w="1110" w:type="dxa"/>
            <w:shd w:val="clear" w:color="000000" w:fill="FFFFFF"/>
            <w:noWrap/>
            <w:vAlign w:val="center"/>
            <w:hideMark/>
          </w:tcPr>
          <w:p w:rsidR="000E42FA" w:rsidRPr="0005564B" w:rsidRDefault="000E42FA" w:rsidP="00C567B2">
            <w:pPr>
              <w:widowControl/>
              <w:jc w:val="right"/>
              <w:rPr>
                <w:rFonts w:hAnsi="標楷體"/>
                <w:spacing w:val="-20"/>
                <w:kern w:val="0"/>
                <w:sz w:val="22"/>
                <w:szCs w:val="22"/>
              </w:rPr>
            </w:pPr>
            <w:r w:rsidRPr="0005564B">
              <w:rPr>
                <w:rFonts w:hAnsi="標楷體"/>
                <w:spacing w:val="-20"/>
                <w:kern w:val="0"/>
                <w:sz w:val="22"/>
                <w:szCs w:val="22"/>
              </w:rPr>
              <w:t xml:space="preserve">27.05 </w:t>
            </w:r>
          </w:p>
        </w:tc>
        <w:tc>
          <w:tcPr>
            <w:tcW w:w="1111" w:type="dxa"/>
            <w:shd w:val="clear" w:color="000000" w:fill="FFFFFF"/>
            <w:noWrap/>
            <w:vAlign w:val="center"/>
            <w:hideMark/>
          </w:tcPr>
          <w:p w:rsidR="000E42FA" w:rsidRPr="0005564B" w:rsidRDefault="000E42FA" w:rsidP="00C567B2">
            <w:pPr>
              <w:widowControl/>
              <w:jc w:val="right"/>
              <w:rPr>
                <w:rFonts w:hAnsi="標楷體"/>
                <w:spacing w:val="-20"/>
                <w:kern w:val="0"/>
                <w:sz w:val="22"/>
                <w:szCs w:val="22"/>
              </w:rPr>
            </w:pPr>
            <w:r w:rsidRPr="0005564B">
              <w:rPr>
                <w:rFonts w:hAnsi="標楷體"/>
                <w:spacing w:val="-20"/>
                <w:kern w:val="0"/>
                <w:sz w:val="22"/>
                <w:szCs w:val="22"/>
              </w:rPr>
              <w:t xml:space="preserve">26.78 </w:t>
            </w:r>
          </w:p>
        </w:tc>
        <w:tc>
          <w:tcPr>
            <w:tcW w:w="1110" w:type="dxa"/>
            <w:shd w:val="clear" w:color="000000" w:fill="FFFFFF"/>
            <w:noWrap/>
            <w:vAlign w:val="center"/>
            <w:hideMark/>
          </w:tcPr>
          <w:p w:rsidR="000E42FA" w:rsidRPr="0005564B" w:rsidRDefault="000E42FA" w:rsidP="00C567B2">
            <w:pPr>
              <w:widowControl/>
              <w:jc w:val="right"/>
              <w:rPr>
                <w:rFonts w:hAnsi="標楷體"/>
                <w:spacing w:val="-20"/>
                <w:kern w:val="0"/>
                <w:sz w:val="22"/>
                <w:szCs w:val="22"/>
              </w:rPr>
            </w:pPr>
            <w:r w:rsidRPr="0005564B">
              <w:rPr>
                <w:rFonts w:hAnsi="標楷體"/>
                <w:spacing w:val="-20"/>
                <w:kern w:val="0"/>
                <w:sz w:val="22"/>
                <w:szCs w:val="22"/>
              </w:rPr>
              <w:t xml:space="preserve">26.76 </w:t>
            </w:r>
          </w:p>
        </w:tc>
        <w:tc>
          <w:tcPr>
            <w:tcW w:w="1111" w:type="dxa"/>
            <w:shd w:val="clear" w:color="000000" w:fill="FFFFFF"/>
            <w:noWrap/>
            <w:vAlign w:val="center"/>
            <w:hideMark/>
          </w:tcPr>
          <w:p w:rsidR="000E42FA" w:rsidRPr="0005564B" w:rsidRDefault="000E42FA" w:rsidP="00C567B2">
            <w:pPr>
              <w:widowControl/>
              <w:jc w:val="right"/>
              <w:rPr>
                <w:rFonts w:hAnsi="標楷體"/>
                <w:spacing w:val="-20"/>
                <w:kern w:val="0"/>
                <w:sz w:val="22"/>
                <w:szCs w:val="22"/>
              </w:rPr>
            </w:pPr>
            <w:r w:rsidRPr="0005564B">
              <w:rPr>
                <w:rFonts w:hAnsi="標楷體"/>
                <w:spacing w:val="-20"/>
                <w:kern w:val="0"/>
                <w:sz w:val="22"/>
                <w:szCs w:val="22"/>
              </w:rPr>
              <w:t xml:space="preserve">36.23 </w:t>
            </w:r>
          </w:p>
        </w:tc>
        <w:tc>
          <w:tcPr>
            <w:tcW w:w="1110" w:type="dxa"/>
            <w:shd w:val="clear" w:color="000000" w:fill="FFFFFF"/>
            <w:noWrap/>
            <w:vAlign w:val="center"/>
            <w:hideMark/>
          </w:tcPr>
          <w:p w:rsidR="000E42FA" w:rsidRPr="0005564B" w:rsidRDefault="000E42FA" w:rsidP="00C567B2">
            <w:pPr>
              <w:widowControl/>
              <w:jc w:val="right"/>
              <w:rPr>
                <w:rFonts w:hAnsi="標楷體"/>
                <w:spacing w:val="-20"/>
                <w:kern w:val="0"/>
                <w:sz w:val="22"/>
                <w:szCs w:val="22"/>
              </w:rPr>
            </w:pPr>
            <w:r w:rsidRPr="0005564B">
              <w:rPr>
                <w:rFonts w:hAnsi="標楷體"/>
                <w:spacing w:val="-20"/>
                <w:kern w:val="0"/>
                <w:sz w:val="22"/>
                <w:szCs w:val="22"/>
              </w:rPr>
              <w:t xml:space="preserve">26.93 </w:t>
            </w:r>
          </w:p>
        </w:tc>
        <w:tc>
          <w:tcPr>
            <w:tcW w:w="1111" w:type="dxa"/>
            <w:shd w:val="clear" w:color="000000" w:fill="FFFFFF"/>
            <w:noWrap/>
            <w:vAlign w:val="center"/>
            <w:hideMark/>
          </w:tcPr>
          <w:p w:rsidR="000E42FA" w:rsidRPr="0005564B" w:rsidRDefault="000E42FA" w:rsidP="004F7DDF">
            <w:pPr>
              <w:widowControl/>
              <w:spacing w:beforeLines="15" w:before="68" w:afterLines="15" w:after="68"/>
              <w:jc w:val="right"/>
              <w:rPr>
                <w:rFonts w:hAnsi="標楷體"/>
                <w:spacing w:val="-20"/>
                <w:kern w:val="0"/>
                <w:sz w:val="22"/>
                <w:szCs w:val="22"/>
              </w:rPr>
            </w:pPr>
            <w:r w:rsidRPr="0005564B">
              <w:rPr>
                <w:rFonts w:hAnsi="標楷體"/>
                <w:spacing w:val="-20"/>
                <w:kern w:val="0"/>
                <w:sz w:val="22"/>
                <w:szCs w:val="22"/>
              </w:rPr>
              <w:t xml:space="preserve">27.62 </w:t>
            </w:r>
          </w:p>
        </w:tc>
      </w:tr>
    </w:tbl>
    <w:p w:rsidR="000E42FA" w:rsidRPr="0005564B" w:rsidRDefault="00BD28C3" w:rsidP="004F7DDF">
      <w:pPr>
        <w:spacing w:afterLines="100" w:after="457" w:line="240" w:lineRule="exact"/>
        <w:ind w:left="1101" w:hangingChars="500" w:hanging="1101"/>
        <w:rPr>
          <w:sz w:val="20"/>
        </w:rPr>
      </w:pPr>
      <w:r w:rsidRPr="0005564B">
        <w:rPr>
          <w:rFonts w:hAnsi="標楷體" w:hint="eastAsia"/>
          <w:kern w:val="0"/>
          <w:sz w:val="20"/>
        </w:rPr>
        <w:t>資料來源：衛福部。</w:t>
      </w:r>
    </w:p>
    <w:p w:rsidR="000E42FA" w:rsidRPr="0005564B" w:rsidRDefault="001D04E8" w:rsidP="000E42FA">
      <w:pPr>
        <w:pStyle w:val="4"/>
        <w:numPr>
          <w:ilvl w:val="3"/>
          <w:numId w:val="1"/>
        </w:numPr>
      </w:pPr>
      <w:r w:rsidRPr="0005564B">
        <w:rPr>
          <w:rFonts w:hint="eastAsia"/>
          <w:lang w:eastAsia="zh-HK"/>
        </w:rPr>
        <w:lastRenderedPageBreak/>
        <w:t>有關</w:t>
      </w:r>
      <w:r w:rsidR="000E42FA" w:rsidRPr="0005564B">
        <w:rPr>
          <w:rFonts w:hint="eastAsia"/>
        </w:rPr>
        <w:t>重大傷病免除部分負擔之公平性</w:t>
      </w:r>
      <w:r w:rsidR="00417AC6" w:rsidRPr="0005564B">
        <w:rPr>
          <w:rFonts w:hint="eastAsia"/>
        </w:rPr>
        <w:t>，衛福部</w:t>
      </w:r>
      <w:r w:rsidR="00417AC6" w:rsidRPr="0005564B">
        <w:rPr>
          <w:rFonts w:hint="eastAsia"/>
          <w:lang w:eastAsia="zh-HK"/>
        </w:rPr>
        <w:t>之說明</w:t>
      </w:r>
      <w:r w:rsidR="00417AC6" w:rsidRPr="0005564B">
        <w:rPr>
          <w:rFonts w:hint="eastAsia"/>
        </w:rPr>
        <w:t>略以</w:t>
      </w:r>
      <w:r w:rsidR="000E42FA" w:rsidRPr="0005564B">
        <w:rPr>
          <w:rFonts w:hint="eastAsia"/>
        </w:rPr>
        <w:t>：</w:t>
      </w:r>
    </w:p>
    <w:p w:rsidR="000E42FA" w:rsidRPr="0005564B" w:rsidRDefault="000E42FA" w:rsidP="000E42FA">
      <w:pPr>
        <w:pStyle w:val="5"/>
        <w:numPr>
          <w:ilvl w:val="4"/>
          <w:numId w:val="1"/>
        </w:numPr>
      </w:pPr>
      <w:r w:rsidRPr="0005564B">
        <w:rPr>
          <w:rFonts w:hint="eastAsia"/>
        </w:rPr>
        <w:t>部分負擔制度於規劃之初即有對弱勢群體及特定疾病予以免除、負擔不可過重以免妨礙適時就醫之基本原則，因此當時參考所收集各國制度，並考量在有限的行政及資訊系統資源下，於</w:t>
      </w:r>
      <w:r w:rsidR="00FA3ADF" w:rsidRPr="0005564B">
        <w:rPr>
          <w:rFonts w:hAnsi="標楷體" w:hint="eastAsia"/>
        </w:rPr>
        <w:t>「</w:t>
      </w:r>
      <w:r w:rsidR="00FA3ADF" w:rsidRPr="0005564B">
        <w:rPr>
          <w:rFonts w:hint="eastAsia"/>
        </w:rPr>
        <w:t>健保法</w:t>
      </w:r>
      <w:r w:rsidR="00FA3ADF" w:rsidRPr="0005564B">
        <w:rPr>
          <w:rFonts w:hAnsi="標楷體" w:hint="eastAsia"/>
        </w:rPr>
        <w:t>」</w:t>
      </w:r>
      <w:r w:rsidRPr="0005564B">
        <w:rPr>
          <w:rFonts w:hint="eastAsia"/>
        </w:rPr>
        <w:t>規定，保險對象因重大傷病就醫免自行負擔費用。</w:t>
      </w:r>
    </w:p>
    <w:p w:rsidR="000E42FA" w:rsidRPr="0005564B" w:rsidRDefault="000E42FA" w:rsidP="000E42FA">
      <w:pPr>
        <w:pStyle w:val="5"/>
        <w:numPr>
          <w:ilvl w:val="4"/>
          <w:numId w:val="1"/>
        </w:numPr>
      </w:pPr>
      <w:r w:rsidRPr="0005564B">
        <w:rPr>
          <w:rFonts w:hint="eastAsia"/>
        </w:rPr>
        <w:t>外界雖對重大傷病免部分負擔存</w:t>
      </w:r>
      <w:r w:rsidR="00FA3ADF" w:rsidRPr="0005564B">
        <w:rPr>
          <w:rFonts w:hint="eastAsia"/>
        </w:rPr>
        <w:t>在公平性的疑慮，但該措施是否造成醫療資源濫用仍較缺乏實證資料，然</w:t>
      </w:r>
      <w:r w:rsidRPr="0005564B">
        <w:rPr>
          <w:rFonts w:hint="eastAsia"/>
        </w:rPr>
        <w:t>不可否認確實能避免妨礙病人適時就醫及減輕重大傷病患者之經濟負擔，符合規劃原則。曾有學者提出以高醫療費用認定重大傷病免部分負擔的作法可能有助於促進公平性，但同時也提出仍會有醫療資源使用效率的疑慮，並同樣會產生道德風險，此外保險人及醫事服務機構之資訊系統及技術是否能配合也是關鍵挑戰。</w:t>
      </w:r>
    </w:p>
    <w:p w:rsidR="000E42FA" w:rsidRPr="0005564B" w:rsidRDefault="000E42FA" w:rsidP="000E42FA">
      <w:pPr>
        <w:pStyle w:val="5"/>
        <w:numPr>
          <w:ilvl w:val="4"/>
          <w:numId w:val="1"/>
        </w:numPr>
      </w:pPr>
      <w:r w:rsidRPr="0005564B">
        <w:rPr>
          <w:rFonts w:hint="eastAsia"/>
        </w:rPr>
        <w:t>現行重大傷病免除部分負擔之範圍僅限於重大傷病證明有效期限內，為重大傷病證明所載之傷病，或經診治醫師認定為該傷病之相關治療。近年來，健保署對於提出重大傷病項目之增修建議，態度愈趨嚴謹，並隨著科技進步、疾病相關治療之發展情形，適時建議調整核發要件及證明效期，未來仍將持續檢討調整。</w:t>
      </w:r>
    </w:p>
    <w:p w:rsidR="00B36217" w:rsidRPr="0005564B" w:rsidRDefault="00B36217" w:rsidP="000E42FA">
      <w:pPr>
        <w:pStyle w:val="3"/>
        <w:numPr>
          <w:ilvl w:val="2"/>
          <w:numId w:val="1"/>
        </w:numPr>
      </w:pPr>
      <w:bookmarkStart w:id="141" w:name="_Toc10027552"/>
      <w:bookmarkStart w:id="142" w:name="_Toc10054245"/>
      <w:bookmarkStart w:id="143" w:name="_Toc10066350"/>
      <w:bookmarkStart w:id="144" w:name="_Toc9058313"/>
      <w:r w:rsidRPr="0005564B">
        <w:rPr>
          <w:rFonts w:hint="eastAsia"/>
          <w:lang w:eastAsia="zh-HK"/>
        </w:rPr>
        <w:t>綜上</w:t>
      </w:r>
      <w:r w:rsidRPr="0005564B">
        <w:rPr>
          <w:rFonts w:hint="eastAsia"/>
        </w:rPr>
        <w:t>，</w:t>
      </w:r>
      <w:r w:rsidRPr="0005564B">
        <w:rPr>
          <w:rFonts w:hint="eastAsia"/>
          <w:lang w:eastAsia="zh-HK"/>
        </w:rPr>
        <w:t>健保藉由</w:t>
      </w:r>
      <w:r w:rsidRPr="0005564B">
        <w:rPr>
          <w:rFonts w:hint="eastAsia"/>
          <w:kern w:val="0"/>
        </w:rPr>
        <w:t>部分負擔</w:t>
      </w:r>
      <w:r w:rsidRPr="0005564B">
        <w:rPr>
          <w:rFonts w:hint="eastAsia"/>
          <w:kern w:val="0"/>
          <w:lang w:eastAsia="zh-HK"/>
        </w:rPr>
        <w:t>制度</w:t>
      </w:r>
      <w:r w:rsidR="00FA3ADF" w:rsidRPr="0005564B">
        <w:rPr>
          <w:rFonts w:hint="eastAsia"/>
          <w:kern w:val="0"/>
        </w:rPr>
        <w:t>，民眾就醫時除了健保付的醫療費用之外，自身也要負擔一小部分的費用</w:t>
      </w:r>
      <w:r w:rsidRPr="0005564B">
        <w:rPr>
          <w:rFonts w:hint="eastAsia"/>
          <w:kern w:val="0"/>
          <w:lang w:eastAsia="zh-HK"/>
        </w:rPr>
        <w:t>，可</w:t>
      </w:r>
      <w:r w:rsidRPr="0005564B">
        <w:rPr>
          <w:rFonts w:hint="eastAsia"/>
          <w:kern w:val="0"/>
        </w:rPr>
        <w:t>提高民眾成本意識，</w:t>
      </w:r>
      <w:r w:rsidRPr="0005564B">
        <w:rPr>
          <w:rFonts w:hint="eastAsia"/>
          <w:kern w:val="0"/>
          <w:lang w:eastAsia="zh-HK"/>
        </w:rPr>
        <w:t>使</w:t>
      </w:r>
      <w:r w:rsidRPr="0005564B">
        <w:rPr>
          <w:rFonts w:hint="eastAsia"/>
          <w:kern w:val="0"/>
        </w:rPr>
        <w:t>民眾</w:t>
      </w:r>
      <w:r w:rsidRPr="0005564B">
        <w:rPr>
          <w:rFonts w:hint="eastAsia"/>
          <w:kern w:val="0"/>
          <w:lang w:eastAsia="zh-HK"/>
        </w:rPr>
        <w:t>更</w:t>
      </w:r>
      <w:r w:rsidRPr="0005564B">
        <w:rPr>
          <w:rFonts w:hint="eastAsia"/>
          <w:kern w:val="0"/>
        </w:rPr>
        <w:t>審慎使用醫療資源，防杜醫療</w:t>
      </w:r>
      <w:r w:rsidRPr="0005564B">
        <w:rPr>
          <w:rFonts w:hint="eastAsia"/>
          <w:kern w:val="0"/>
          <w:lang w:eastAsia="zh-HK"/>
        </w:rPr>
        <w:t>不必要的</w:t>
      </w:r>
      <w:r w:rsidRPr="0005564B">
        <w:rPr>
          <w:rFonts w:hint="eastAsia"/>
          <w:kern w:val="0"/>
        </w:rPr>
        <w:t>浪費及保險</w:t>
      </w:r>
      <w:r w:rsidRPr="0005564B">
        <w:rPr>
          <w:rFonts w:hint="eastAsia"/>
          <w:kern w:val="0"/>
          <w:lang w:eastAsia="zh-HK"/>
        </w:rPr>
        <w:t>無謂的支出，亦可順勢導引民眾的就醫選擇並改變民眾的就醫</w:t>
      </w:r>
      <w:r w:rsidRPr="0005564B">
        <w:rPr>
          <w:rFonts w:hint="eastAsia"/>
          <w:kern w:val="0"/>
          <w:lang w:eastAsia="zh-HK"/>
        </w:rPr>
        <w:lastRenderedPageBreak/>
        <w:t>習慣。換言之，</w:t>
      </w:r>
      <w:r w:rsidRPr="0005564B">
        <w:rPr>
          <w:rFonts w:hint="eastAsia"/>
          <w:kern w:val="0"/>
        </w:rPr>
        <w:t>部分負擔</w:t>
      </w:r>
      <w:r w:rsidRPr="0005564B">
        <w:rPr>
          <w:rFonts w:hint="eastAsia"/>
          <w:kern w:val="0"/>
          <w:lang w:eastAsia="zh-HK"/>
        </w:rPr>
        <w:t>制度係為降</w:t>
      </w:r>
      <w:r w:rsidRPr="0005564B">
        <w:rPr>
          <w:rFonts w:hint="eastAsia"/>
          <w:kern w:val="0"/>
        </w:rPr>
        <w:t>低</w:t>
      </w:r>
      <w:r w:rsidRPr="0005564B">
        <w:rPr>
          <w:rFonts w:hint="eastAsia"/>
          <w:kern w:val="0"/>
          <w:lang w:eastAsia="zh-HK"/>
        </w:rPr>
        <w:t>道德風</w:t>
      </w:r>
      <w:r w:rsidRPr="0005564B">
        <w:rPr>
          <w:rFonts w:hint="eastAsia"/>
          <w:kern w:val="0"/>
        </w:rPr>
        <w:t>險</w:t>
      </w:r>
      <w:r w:rsidRPr="0005564B">
        <w:rPr>
          <w:rFonts w:hint="eastAsia"/>
          <w:kern w:val="0"/>
          <w:lang w:eastAsia="zh-HK"/>
        </w:rPr>
        <w:t>，可有</w:t>
      </w:r>
      <w:r w:rsidRPr="0005564B">
        <w:rPr>
          <w:rFonts w:hint="eastAsia"/>
          <w:kern w:val="0"/>
        </w:rPr>
        <w:t>效</w:t>
      </w:r>
      <w:r w:rsidRPr="0005564B">
        <w:rPr>
          <w:rFonts w:hint="eastAsia"/>
          <w:kern w:val="0"/>
          <w:lang w:eastAsia="zh-HK"/>
        </w:rPr>
        <w:t>減少</w:t>
      </w:r>
      <w:r w:rsidRPr="0005564B">
        <w:rPr>
          <w:rFonts w:hint="eastAsia"/>
          <w:kern w:val="0"/>
        </w:rPr>
        <w:t>醫療</w:t>
      </w:r>
      <w:r w:rsidRPr="0005564B">
        <w:rPr>
          <w:rFonts w:hint="eastAsia"/>
          <w:kern w:val="0"/>
          <w:lang w:eastAsia="zh-HK"/>
        </w:rPr>
        <w:t>不必要的浪</w:t>
      </w:r>
      <w:r w:rsidRPr="0005564B">
        <w:rPr>
          <w:rFonts w:hint="eastAsia"/>
          <w:kern w:val="0"/>
        </w:rPr>
        <w:t>費</w:t>
      </w:r>
      <w:r w:rsidRPr="0005564B">
        <w:rPr>
          <w:rFonts w:hint="eastAsia"/>
          <w:kern w:val="0"/>
          <w:lang w:eastAsia="zh-HK"/>
        </w:rPr>
        <w:t>並節</w:t>
      </w:r>
      <w:r w:rsidRPr="0005564B">
        <w:rPr>
          <w:rFonts w:hint="eastAsia"/>
          <w:kern w:val="0"/>
        </w:rPr>
        <w:t>省</w:t>
      </w:r>
      <w:r w:rsidRPr="0005564B">
        <w:rPr>
          <w:rFonts w:hint="eastAsia"/>
          <w:kern w:val="0"/>
          <w:lang w:eastAsia="zh-HK"/>
        </w:rPr>
        <w:t>健保之支出，故其制度設計之良窳，將決</w:t>
      </w:r>
      <w:r w:rsidRPr="0005564B">
        <w:rPr>
          <w:rFonts w:hint="eastAsia"/>
          <w:kern w:val="0"/>
        </w:rPr>
        <w:t>定</w:t>
      </w:r>
      <w:r w:rsidRPr="0005564B">
        <w:rPr>
          <w:rFonts w:hint="eastAsia"/>
          <w:kern w:val="0"/>
          <w:lang w:eastAsia="zh-HK"/>
        </w:rPr>
        <w:t>節</w:t>
      </w:r>
      <w:r w:rsidRPr="0005564B">
        <w:rPr>
          <w:rFonts w:hint="eastAsia"/>
          <w:kern w:val="0"/>
        </w:rPr>
        <w:t>省</w:t>
      </w:r>
      <w:r w:rsidRPr="0005564B">
        <w:rPr>
          <w:rFonts w:hint="eastAsia"/>
          <w:kern w:val="0"/>
          <w:lang w:eastAsia="zh-HK"/>
        </w:rPr>
        <w:t>健保支出之幅度或金額，亦能因勢利導而成為落</w:t>
      </w:r>
      <w:r w:rsidRPr="0005564B">
        <w:rPr>
          <w:rFonts w:hint="eastAsia"/>
          <w:kern w:val="0"/>
        </w:rPr>
        <w:t>實</w:t>
      </w:r>
      <w:r w:rsidRPr="0005564B">
        <w:rPr>
          <w:rFonts w:hint="eastAsia"/>
          <w:kern w:val="0"/>
          <w:lang w:eastAsia="zh-HK"/>
        </w:rPr>
        <w:t>政策的工具。</w:t>
      </w:r>
      <w:r w:rsidRPr="0005564B">
        <w:rPr>
          <w:rFonts w:hint="eastAsia"/>
        </w:rPr>
        <w:t>健保自84年3月1日開辦時</w:t>
      </w:r>
      <w:r w:rsidRPr="0005564B">
        <w:rPr>
          <w:rFonts w:hint="eastAsia"/>
          <w:lang w:eastAsia="zh-HK"/>
        </w:rPr>
        <w:t>即採用</w:t>
      </w:r>
      <w:r w:rsidRPr="0005564B">
        <w:rPr>
          <w:rFonts w:hint="eastAsia"/>
        </w:rPr>
        <w:t>部分負擔制度，並</w:t>
      </w:r>
      <w:r w:rsidRPr="0005564B">
        <w:t>依</w:t>
      </w:r>
      <w:r w:rsidR="00FA3ADF" w:rsidRPr="0005564B">
        <w:rPr>
          <w:rFonts w:hAnsi="標楷體" w:hint="eastAsia"/>
        </w:rPr>
        <w:t>「</w:t>
      </w:r>
      <w:r w:rsidR="00FA3ADF" w:rsidRPr="0005564B">
        <w:rPr>
          <w:rFonts w:hint="eastAsia"/>
        </w:rPr>
        <w:t>健保法</w:t>
      </w:r>
      <w:r w:rsidR="00FA3ADF" w:rsidRPr="0005564B">
        <w:rPr>
          <w:rFonts w:hAnsi="標楷體" w:hint="eastAsia"/>
        </w:rPr>
        <w:t>」</w:t>
      </w:r>
      <w:r w:rsidRPr="0005564B">
        <w:t>規定，門診或急診部分負擔有「定率制」與「定額制」；住院部分負擔為「定率制」</w:t>
      </w:r>
      <w:r w:rsidRPr="0005564B">
        <w:rPr>
          <w:rFonts w:hint="eastAsia"/>
        </w:rPr>
        <w:t>，</w:t>
      </w:r>
      <w:r w:rsidRPr="0005564B">
        <w:rPr>
          <w:rFonts w:cstheme="minorBidi" w:hint="eastAsia"/>
        </w:rPr>
        <w:t>定有單次及全年上限，</w:t>
      </w:r>
      <w:r w:rsidRPr="0005564B">
        <w:rPr>
          <w:rFonts w:cstheme="minorBidi" w:hint="eastAsia"/>
          <w:lang w:eastAsia="zh-HK"/>
        </w:rPr>
        <w:t>於兼顧</w:t>
      </w:r>
      <w:r w:rsidRPr="0005564B">
        <w:rPr>
          <w:rFonts w:cstheme="minorBidi" w:hint="eastAsia"/>
        </w:rPr>
        <w:t>避免民眾負擔過重</w:t>
      </w:r>
      <w:r w:rsidRPr="0005564B">
        <w:rPr>
          <w:rFonts w:cstheme="minorBidi" w:hint="eastAsia"/>
          <w:lang w:eastAsia="zh-HK"/>
        </w:rPr>
        <w:t>之同時</w:t>
      </w:r>
      <w:r w:rsidRPr="0005564B">
        <w:rPr>
          <w:rFonts w:cstheme="minorBidi" w:hint="eastAsia"/>
        </w:rPr>
        <w:t>，</w:t>
      </w:r>
      <w:r w:rsidRPr="0005564B">
        <w:rPr>
          <w:rFonts w:cstheme="minorBidi" w:hint="eastAsia"/>
          <w:lang w:eastAsia="zh-HK"/>
        </w:rPr>
        <w:t>期</w:t>
      </w:r>
      <w:r w:rsidRPr="0005564B">
        <w:rPr>
          <w:rFonts w:cstheme="minorBidi" w:hint="eastAsia"/>
        </w:rPr>
        <w:t>待</w:t>
      </w:r>
      <w:r w:rsidRPr="0005564B">
        <w:rPr>
          <w:rFonts w:cstheme="minorBidi" w:hint="eastAsia"/>
          <w:lang w:eastAsia="zh-HK"/>
        </w:rPr>
        <w:t>降低不必要的</w:t>
      </w:r>
      <w:r w:rsidRPr="0005564B">
        <w:rPr>
          <w:rFonts w:hint="eastAsia"/>
          <w:kern w:val="0"/>
        </w:rPr>
        <w:t>醫療浪費</w:t>
      </w:r>
      <w:r w:rsidRPr="0005564B">
        <w:rPr>
          <w:rFonts w:hint="eastAsia"/>
        </w:rPr>
        <w:t>。</w:t>
      </w:r>
      <w:r w:rsidRPr="0005564B">
        <w:rPr>
          <w:rFonts w:hint="eastAsia"/>
          <w:lang w:eastAsia="zh-HK"/>
        </w:rPr>
        <w:t>嗣</w:t>
      </w:r>
      <w:r w:rsidRPr="0005564B">
        <w:rPr>
          <w:rFonts w:hint="eastAsia"/>
        </w:rPr>
        <w:t>為導引民眾改變就醫習慣，</w:t>
      </w:r>
      <w:r w:rsidRPr="0005564B">
        <w:rPr>
          <w:rFonts w:hint="eastAsia"/>
          <w:lang w:eastAsia="zh-HK"/>
        </w:rPr>
        <w:t>對於</w:t>
      </w:r>
      <w:r w:rsidRPr="0005564B">
        <w:rPr>
          <w:rFonts w:hint="eastAsia"/>
        </w:rPr>
        <w:t>經基層診所轉診至醫學中心就醫</w:t>
      </w:r>
      <w:r w:rsidRPr="0005564B">
        <w:rPr>
          <w:rFonts w:hint="eastAsia"/>
          <w:lang w:eastAsia="zh-HK"/>
        </w:rPr>
        <w:t>者</w:t>
      </w:r>
      <w:r w:rsidRPr="0005564B">
        <w:rPr>
          <w:rFonts w:hint="eastAsia"/>
        </w:rPr>
        <w:t>，</w:t>
      </w:r>
      <w:r w:rsidRPr="0005564B">
        <w:rPr>
          <w:rFonts w:hint="eastAsia"/>
          <w:lang w:eastAsia="zh-HK"/>
        </w:rPr>
        <w:t>其</w:t>
      </w:r>
      <w:r w:rsidRPr="0005564B">
        <w:rPr>
          <w:rFonts w:hint="eastAsia"/>
        </w:rPr>
        <w:t>部分負擔費用由210元調降至170元；</w:t>
      </w:r>
      <w:r w:rsidRPr="0005564B">
        <w:rPr>
          <w:rFonts w:hint="eastAsia"/>
          <w:lang w:eastAsia="zh-HK"/>
        </w:rPr>
        <w:t>而</w:t>
      </w:r>
      <w:r w:rsidRPr="0005564B">
        <w:rPr>
          <w:rFonts w:hint="eastAsia"/>
        </w:rPr>
        <w:t>未經轉診至醫學中心門診就醫</w:t>
      </w:r>
      <w:r w:rsidRPr="0005564B">
        <w:rPr>
          <w:rFonts w:hint="eastAsia"/>
          <w:lang w:eastAsia="zh-HK"/>
        </w:rPr>
        <w:t>者</w:t>
      </w:r>
      <w:r w:rsidRPr="0005564B">
        <w:rPr>
          <w:rFonts w:hint="eastAsia"/>
        </w:rPr>
        <w:t>，部分負擔費用由360元調高至420元</w:t>
      </w:r>
      <w:r w:rsidRPr="0005564B">
        <w:t>門診或急診部分負擔，</w:t>
      </w:r>
      <w:r w:rsidRPr="0005564B">
        <w:rPr>
          <w:rFonts w:hint="eastAsia"/>
          <w:lang w:eastAsia="zh-HK"/>
        </w:rPr>
        <w:t>期待落實</w:t>
      </w:r>
      <w:r w:rsidRPr="0005564B">
        <w:rPr>
          <w:rFonts w:hint="eastAsia"/>
        </w:rPr>
        <w:t>轉診制度，</w:t>
      </w:r>
      <w:r w:rsidRPr="0005564B">
        <w:rPr>
          <w:rFonts w:hint="eastAsia"/>
          <w:lang w:eastAsia="zh-HK"/>
        </w:rPr>
        <w:t>其方向應為正確。</w:t>
      </w:r>
      <w:r w:rsidRPr="0005564B">
        <w:rPr>
          <w:rFonts w:hint="eastAsia"/>
        </w:rPr>
        <w:t>重大傷病免除部分負擔，</w:t>
      </w:r>
      <w:r w:rsidRPr="0005564B">
        <w:t>102</w:t>
      </w:r>
      <w:r w:rsidRPr="0005564B">
        <w:rPr>
          <w:rFonts w:hint="eastAsia"/>
        </w:rPr>
        <w:t>年至</w:t>
      </w:r>
      <w:r w:rsidRPr="0005564B">
        <w:t>107</w:t>
      </w:r>
      <w:r w:rsidRPr="0005564B">
        <w:rPr>
          <w:rFonts w:hint="eastAsia"/>
        </w:rPr>
        <w:t>年重大傷病就醫使用醫療服務人數佔</w:t>
      </w:r>
      <w:r w:rsidRPr="0005564B">
        <w:rPr>
          <w:rFonts w:hint="eastAsia"/>
          <w:lang w:eastAsia="zh-HK"/>
        </w:rPr>
        <w:t>全體</w:t>
      </w:r>
      <w:r w:rsidRPr="0005564B">
        <w:rPr>
          <w:rFonts w:hint="eastAsia"/>
        </w:rPr>
        <w:t>保險</w:t>
      </w:r>
      <w:r w:rsidRPr="0005564B">
        <w:rPr>
          <w:rFonts w:hint="eastAsia"/>
          <w:lang w:eastAsia="zh-HK"/>
        </w:rPr>
        <w:t>人數比率約4</w:t>
      </w:r>
      <w:r w:rsidR="005414CC" w:rsidRPr="0005564B">
        <w:rPr>
          <w:rFonts w:hint="eastAsia"/>
          <w:lang w:eastAsia="zh-HK"/>
        </w:rPr>
        <w:t>%</w:t>
      </w:r>
      <w:r w:rsidRPr="0005564B">
        <w:rPr>
          <w:rFonts w:hint="eastAsia"/>
          <w:lang w:eastAsia="zh-HK"/>
        </w:rPr>
        <w:t>，而其使用醫療點數占全國點數28.25</w:t>
      </w:r>
      <w:r w:rsidR="005414CC" w:rsidRPr="0005564B">
        <w:rPr>
          <w:rFonts w:hint="eastAsia"/>
          <w:lang w:eastAsia="zh-HK"/>
        </w:rPr>
        <w:t>%</w:t>
      </w:r>
      <w:r w:rsidRPr="0005564B">
        <w:rPr>
          <w:rStyle w:val="afe"/>
          <w:lang w:eastAsia="zh-HK"/>
        </w:rPr>
        <w:footnoteReference w:id="1"/>
      </w:r>
      <w:r w:rsidRPr="0005564B">
        <w:rPr>
          <w:rFonts w:hint="eastAsia"/>
          <w:lang w:eastAsia="zh-HK"/>
        </w:rPr>
        <w:t>，故目</w:t>
      </w:r>
      <w:r w:rsidRPr="0005564B">
        <w:rPr>
          <w:rFonts w:hint="eastAsia"/>
          <w:kern w:val="0"/>
          <w:lang w:eastAsia="zh-HK"/>
        </w:rPr>
        <w:t>前社會部分人士</w:t>
      </w:r>
      <w:r w:rsidRPr="0005564B">
        <w:rPr>
          <w:rFonts w:hint="eastAsia"/>
        </w:rPr>
        <w:t>對重大傷病免部分負擔</w:t>
      </w:r>
      <w:r w:rsidRPr="0005564B">
        <w:rPr>
          <w:rFonts w:hint="eastAsia"/>
          <w:lang w:eastAsia="zh-HK"/>
        </w:rPr>
        <w:t>之</w:t>
      </w:r>
      <w:r w:rsidRPr="0005564B">
        <w:rPr>
          <w:rFonts w:hint="eastAsia"/>
        </w:rPr>
        <w:t>公平性，存</w:t>
      </w:r>
      <w:r w:rsidRPr="0005564B">
        <w:rPr>
          <w:rFonts w:hint="eastAsia"/>
          <w:lang w:eastAsia="zh-HK"/>
        </w:rPr>
        <w:t>有</w:t>
      </w:r>
      <w:r w:rsidRPr="0005564B">
        <w:rPr>
          <w:rFonts w:hint="eastAsia"/>
        </w:rPr>
        <w:t>疑慮；惟</w:t>
      </w:r>
      <w:r w:rsidRPr="0005564B">
        <w:rPr>
          <w:rFonts w:hint="eastAsia"/>
          <w:lang w:eastAsia="zh-HK"/>
        </w:rPr>
        <w:t>對於</w:t>
      </w:r>
      <w:r w:rsidRPr="0005564B">
        <w:rPr>
          <w:rFonts w:hint="eastAsia"/>
        </w:rPr>
        <w:t>重大傷病免除部分負擔，不可否認確實能避免妨礙病人適時就醫及</w:t>
      </w:r>
      <w:r w:rsidRPr="0005564B">
        <w:rPr>
          <w:rFonts w:hint="eastAsia"/>
          <w:lang w:eastAsia="zh-HK"/>
        </w:rPr>
        <w:t>大幅</w:t>
      </w:r>
      <w:r w:rsidRPr="0005564B">
        <w:rPr>
          <w:rFonts w:hint="eastAsia"/>
        </w:rPr>
        <w:t>減輕重大傷病患者</w:t>
      </w:r>
      <w:r w:rsidRPr="0005564B">
        <w:rPr>
          <w:rFonts w:hint="eastAsia"/>
          <w:lang w:eastAsia="zh-HK"/>
        </w:rPr>
        <w:t>及其家屬</w:t>
      </w:r>
      <w:r w:rsidRPr="0005564B">
        <w:rPr>
          <w:rFonts w:hint="eastAsia"/>
        </w:rPr>
        <w:t>之經濟負擔，</w:t>
      </w:r>
      <w:r w:rsidRPr="0005564B">
        <w:rPr>
          <w:rFonts w:hint="eastAsia"/>
          <w:lang w:eastAsia="zh-HK"/>
        </w:rPr>
        <w:t>應有其必要</w:t>
      </w:r>
      <w:r w:rsidRPr="0005564B">
        <w:rPr>
          <w:rFonts w:hint="eastAsia"/>
        </w:rPr>
        <w:t>，</w:t>
      </w:r>
      <w:r w:rsidRPr="0005564B">
        <w:rPr>
          <w:rFonts w:hint="eastAsia"/>
          <w:lang w:eastAsia="zh-HK"/>
        </w:rPr>
        <w:t>主</w:t>
      </w:r>
      <w:r w:rsidRPr="0005564B">
        <w:rPr>
          <w:rFonts w:hint="eastAsia"/>
        </w:rPr>
        <w:t>管</w:t>
      </w:r>
      <w:r w:rsidRPr="0005564B">
        <w:rPr>
          <w:rFonts w:hint="eastAsia"/>
          <w:lang w:eastAsia="zh-HK"/>
        </w:rPr>
        <w:t>機</w:t>
      </w:r>
      <w:r w:rsidRPr="0005564B">
        <w:rPr>
          <w:rFonts w:hint="eastAsia"/>
        </w:rPr>
        <w:t>關</w:t>
      </w:r>
      <w:r w:rsidRPr="0005564B">
        <w:rPr>
          <w:rFonts w:hint="eastAsia"/>
          <w:lang w:eastAsia="zh-HK"/>
        </w:rPr>
        <w:t>應持續精進</w:t>
      </w:r>
      <w:r w:rsidRPr="0005564B">
        <w:rPr>
          <w:rFonts w:hint="eastAsia"/>
        </w:rPr>
        <w:t>重大傷病免除部分負擔</w:t>
      </w:r>
      <w:r w:rsidRPr="0005564B">
        <w:rPr>
          <w:rFonts w:hint="eastAsia"/>
          <w:lang w:eastAsia="zh-HK"/>
        </w:rPr>
        <w:t>之相</w:t>
      </w:r>
      <w:r w:rsidRPr="0005564B">
        <w:rPr>
          <w:rFonts w:hint="eastAsia"/>
        </w:rPr>
        <w:t>關</w:t>
      </w:r>
      <w:r w:rsidRPr="0005564B">
        <w:rPr>
          <w:rFonts w:hint="eastAsia"/>
          <w:lang w:eastAsia="zh-HK"/>
        </w:rPr>
        <w:t>機制，以避免</w:t>
      </w:r>
      <w:r w:rsidR="00B01477" w:rsidRPr="0005564B">
        <w:rPr>
          <w:rFonts w:hint="eastAsia"/>
          <w:lang w:eastAsia="zh-HK"/>
        </w:rPr>
        <w:t>不當之</w:t>
      </w:r>
      <w:r w:rsidRPr="0005564B">
        <w:rPr>
          <w:rFonts w:hint="eastAsia"/>
          <w:lang w:eastAsia="zh-HK"/>
        </w:rPr>
        <w:t>濫用</w:t>
      </w:r>
      <w:r w:rsidRPr="0005564B">
        <w:rPr>
          <w:rFonts w:hint="eastAsia"/>
        </w:rPr>
        <w:t>。</w:t>
      </w:r>
      <w:r w:rsidR="00EB67A4" w:rsidRPr="0005564B">
        <w:rPr>
          <w:rFonts w:hint="eastAsia"/>
          <w:lang w:eastAsia="zh-HK"/>
        </w:rPr>
        <w:t>提高</w:t>
      </w:r>
      <w:r w:rsidR="00EB67A4" w:rsidRPr="0005564B">
        <w:t>部分負擔</w:t>
      </w:r>
      <w:r w:rsidR="00EB67A4" w:rsidRPr="0005564B">
        <w:rPr>
          <w:rFonts w:hint="eastAsia"/>
          <w:lang w:eastAsia="zh-HK"/>
        </w:rPr>
        <w:t>金額，即可減少健保支出，然</w:t>
      </w:r>
      <w:r w:rsidRPr="0005564B">
        <w:t>部分負擔</w:t>
      </w:r>
      <w:r w:rsidR="00EB67A4" w:rsidRPr="0005564B">
        <w:rPr>
          <w:rFonts w:hint="eastAsia"/>
          <w:lang w:eastAsia="zh-HK"/>
        </w:rPr>
        <w:t>之</w:t>
      </w:r>
      <w:r w:rsidRPr="0005564B">
        <w:t>調整，</w:t>
      </w:r>
      <w:r w:rsidR="00EB67A4" w:rsidRPr="0005564B">
        <w:rPr>
          <w:rFonts w:hint="eastAsia"/>
          <w:lang w:eastAsia="zh-HK"/>
        </w:rPr>
        <w:t>如同衛福部之說明，</w:t>
      </w:r>
      <w:r w:rsidRPr="0005564B">
        <w:t>除考量財務的平衡性外，仍須以民眾的立場，考量整體醫療</w:t>
      </w:r>
      <w:r w:rsidR="00FA3ADF" w:rsidRPr="0005564B">
        <w:t>環境</w:t>
      </w:r>
      <w:r w:rsidRPr="0005564B">
        <w:t>及是否造成民眾</w:t>
      </w:r>
      <w:r w:rsidRPr="0005564B">
        <w:rPr>
          <w:rFonts w:hint="eastAsia"/>
        </w:rPr>
        <w:t>就醫</w:t>
      </w:r>
      <w:r w:rsidRPr="0005564B">
        <w:t>經濟</w:t>
      </w:r>
      <w:r w:rsidRPr="0005564B">
        <w:rPr>
          <w:rFonts w:hint="eastAsia"/>
        </w:rPr>
        <w:t>障礙等</w:t>
      </w:r>
      <w:r w:rsidR="00FA3ADF" w:rsidRPr="0005564B">
        <w:t>，</w:t>
      </w:r>
      <w:r w:rsidR="00FA3ADF" w:rsidRPr="0005564B">
        <w:rPr>
          <w:rFonts w:hint="eastAsia"/>
        </w:rPr>
        <w:t>另</w:t>
      </w:r>
      <w:r w:rsidRPr="0005564B">
        <w:t>取得社會共識</w:t>
      </w:r>
      <w:r w:rsidR="00EB67A4" w:rsidRPr="0005564B">
        <w:rPr>
          <w:rFonts w:hint="eastAsia"/>
          <w:lang w:eastAsia="zh-HK"/>
        </w:rPr>
        <w:t>支持</w:t>
      </w:r>
      <w:r w:rsidRPr="0005564B">
        <w:t>，</w:t>
      </w:r>
      <w:r w:rsidR="00FA3ADF" w:rsidRPr="0005564B">
        <w:rPr>
          <w:rFonts w:hint="eastAsia"/>
        </w:rPr>
        <w:t>尤其重要</w:t>
      </w:r>
      <w:r w:rsidRPr="0005564B">
        <w:rPr>
          <w:rFonts w:hint="eastAsia"/>
        </w:rPr>
        <w:t>。</w:t>
      </w:r>
      <w:bookmarkEnd w:id="141"/>
      <w:bookmarkEnd w:id="142"/>
      <w:bookmarkEnd w:id="143"/>
    </w:p>
    <w:bookmarkEnd w:id="144"/>
    <w:p w:rsidR="000E42FA" w:rsidRPr="0005564B" w:rsidRDefault="000E42FA" w:rsidP="00BA0B9D">
      <w:pPr>
        <w:pStyle w:val="3"/>
        <w:numPr>
          <w:ilvl w:val="0"/>
          <w:numId w:val="0"/>
        </w:numPr>
        <w:ind w:left="1361" w:hanging="681"/>
        <w:rPr>
          <w:szCs w:val="32"/>
        </w:rPr>
      </w:pPr>
    </w:p>
    <w:p w:rsidR="00E73BC3" w:rsidRPr="0005564B" w:rsidRDefault="00E73BC3" w:rsidP="00A83272">
      <w:pPr>
        <w:pStyle w:val="2"/>
        <w:numPr>
          <w:ilvl w:val="1"/>
          <w:numId w:val="1"/>
        </w:numPr>
        <w:spacing w:line="420" w:lineRule="exact"/>
        <w:rPr>
          <w:b/>
        </w:rPr>
      </w:pPr>
      <w:bookmarkStart w:id="145" w:name="_Toc9058335"/>
      <w:bookmarkStart w:id="146" w:name="_Toc9078580"/>
      <w:bookmarkStart w:id="147" w:name="_Toc10066362"/>
      <w:bookmarkStart w:id="148" w:name="_Toc10295282"/>
      <w:r w:rsidRPr="0005564B">
        <w:rPr>
          <w:rFonts w:hint="eastAsia"/>
          <w:b/>
        </w:rPr>
        <w:t>有鑒於</w:t>
      </w:r>
      <w:r w:rsidRPr="0005564B">
        <w:rPr>
          <w:b/>
        </w:rPr>
        <w:t>105年6月實施「健保欠費與就醫權脫鉤（全面</w:t>
      </w:r>
      <w:r w:rsidRPr="0005564B">
        <w:rPr>
          <w:b/>
        </w:rPr>
        <w:lastRenderedPageBreak/>
        <w:t>解卡）案」</w:t>
      </w:r>
      <w:r w:rsidRPr="0005564B">
        <w:rPr>
          <w:rFonts w:hint="eastAsia"/>
          <w:b/>
        </w:rPr>
        <w:t>後，</w:t>
      </w:r>
      <w:r w:rsidRPr="0005564B">
        <w:rPr>
          <w:b/>
        </w:rPr>
        <w:t>106年底</w:t>
      </w:r>
      <w:r w:rsidRPr="0005564B">
        <w:rPr>
          <w:rFonts w:hint="eastAsia"/>
          <w:b/>
        </w:rPr>
        <w:t>健保</w:t>
      </w:r>
      <w:r w:rsidRPr="0005564B">
        <w:rPr>
          <w:b/>
        </w:rPr>
        <w:t>欠費金額增為233億餘元，1年間增幅</w:t>
      </w:r>
      <w:r w:rsidRPr="0005564B">
        <w:rPr>
          <w:rFonts w:hint="eastAsia"/>
          <w:b/>
        </w:rPr>
        <w:t>達</w:t>
      </w:r>
      <w:r w:rsidRPr="0005564B">
        <w:rPr>
          <w:b/>
        </w:rPr>
        <w:t>10.76</w:t>
      </w:r>
      <w:r w:rsidRPr="0005564B">
        <w:rPr>
          <w:rFonts w:hint="eastAsia"/>
          <w:b/>
        </w:rPr>
        <w:t>%</w:t>
      </w:r>
      <w:r w:rsidRPr="0005564B">
        <w:rPr>
          <w:b/>
        </w:rPr>
        <w:t>，較以往年度為高</w:t>
      </w:r>
      <w:r w:rsidRPr="0005564B">
        <w:rPr>
          <w:rFonts w:hint="eastAsia"/>
          <w:b/>
        </w:rPr>
        <w:t>，</w:t>
      </w:r>
      <w:r w:rsidR="004C2131" w:rsidRPr="0005564B">
        <w:rPr>
          <w:rFonts w:hint="eastAsia"/>
          <w:b/>
          <w:lang w:eastAsia="zh-HK"/>
        </w:rPr>
        <w:t>而</w:t>
      </w:r>
      <w:r w:rsidRPr="0005564B">
        <w:rPr>
          <w:b/>
        </w:rPr>
        <w:t>保險對象當年度</w:t>
      </w:r>
      <w:r w:rsidRPr="0005564B">
        <w:rPr>
          <w:rFonts w:hint="eastAsia"/>
          <w:b/>
        </w:rPr>
        <w:t>保費</w:t>
      </w:r>
      <w:r w:rsidRPr="0005564B">
        <w:rPr>
          <w:b/>
        </w:rPr>
        <w:t>收繳率</w:t>
      </w:r>
      <w:r w:rsidR="004C2131" w:rsidRPr="0005564B">
        <w:rPr>
          <w:b/>
        </w:rPr>
        <w:t>降為69.72</w:t>
      </w:r>
      <w:r w:rsidR="004C2131" w:rsidRPr="0005564B">
        <w:rPr>
          <w:rFonts w:hint="eastAsia"/>
          <w:b/>
        </w:rPr>
        <w:t>%（</w:t>
      </w:r>
      <w:r w:rsidRPr="0005564B">
        <w:rPr>
          <w:b/>
        </w:rPr>
        <w:t>106年</w:t>
      </w:r>
      <w:r w:rsidR="004C2131" w:rsidRPr="0005564B">
        <w:rPr>
          <w:b/>
        </w:rPr>
        <w:t>）</w:t>
      </w:r>
      <w:r w:rsidRPr="0005564B">
        <w:rPr>
          <w:rFonts w:hint="eastAsia"/>
          <w:b/>
        </w:rPr>
        <w:t>等情，健保署允宜持續追蹤該案實施後之欠費變化情形，掌握並分析欠費者背景及欠費原因等資訊，以瞭解其中蓄意欠費者、無能力繳費者、弱勢或近貧欠費者增加</w:t>
      </w:r>
      <w:r w:rsidR="004C2131" w:rsidRPr="0005564B">
        <w:rPr>
          <w:rFonts w:hint="eastAsia"/>
          <w:b/>
          <w:lang w:eastAsia="zh-HK"/>
        </w:rPr>
        <w:t>實</w:t>
      </w:r>
      <w:r w:rsidRPr="0005564B">
        <w:rPr>
          <w:rFonts w:hint="eastAsia"/>
          <w:b/>
        </w:rPr>
        <w:t>情，俾免政策美意反造成蓄意欠費者之增加，形成健保財務漏洞，亦違反社會保險量能負擔之公平原則。</w:t>
      </w:r>
      <w:bookmarkEnd w:id="145"/>
      <w:bookmarkEnd w:id="146"/>
      <w:bookmarkEnd w:id="147"/>
      <w:bookmarkEnd w:id="148"/>
    </w:p>
    <w:p w:rsidR="00E73BC3" w:rsidRPr="0005564B" w:rsidRDefault="00E73BC3" w:rsidP="00A83272">
      <w:pPr>
        <w:pStyle w:val="3"/>
        <w:numPr>
          <w:ilvl w:val="2"/>
          <w:numId w:val="1"/>
        </w:numPr>
        <w:spacing w:line="420" w:lineRule="exact"/>
      </w:pPr>
      <w:bookmarkStart w:id="149" w:name="_Toc8659627"/>
      <w:bookmarkStart w:id="150" w:name="_Toc9058336"/>
      <w:bookmarkStart w:id="151" w:name="_Toc10027565"/>
      <w:bookmarkStart w:id="152" w:name="_Toc10054258"/>
      <w:bookmarkStart w:id="153" w:name="_Toc10066363"/>
      <w:r w:rsidRPr="0005564B">
        <w:rPr>
          <w:rFonts w:hint="eastAsia"/>
        </w:rPr>
        <w:t>83年8月9日公布之「健保法」第30條第3項前段規定：「保險人於起訴之日起，在投保單位或被保險人未繳清保險費及滯納金前，暫行拒絕給付。」再依88年7月15日公布之「健保法」第30條第3項前段規定：「保險人於投保單位或被保險人未繳清保險費及滯納金前，</w:t>
      </w:r>
      <w:r w:rsidRPr="0005564B">
        <w:rPr>
          <w:rFonts w:hAnsi="標楷體" w:hint="eastAsia"/>
        </w:rPr>
        <w:t>『</w:t>
      </w:r>
      <w:r w:rsidRPr="0005564B">
        <w:rPr>
          <w:rFonts w:hint="eastAsia"/>
        </w:rPr>
        <w:t>得</w:t>
      </w:r>
      <w:r w:rsidRPr="0005564B">
        <w:rPr>
          <w:rFonts w:hAnsi="標楷體" w:hint="eastAsia"/>
        </w:rPr>
        <w:t>』</w:t>
      </w:r>
      <w:r w:rsidRPr="0005564B">
        <w:rPr>
          <w:rFonts w:hint="eastAsia"/>
        </w:rPr>
        <w:t>暫行拒絕給付。」92年6月18日公布之「健保法」第30條第4項前段規定：「保險人於投保單位或被保險人未繳清保險費及滯納金前，得暫行拒絕給付及核發保險憑證。」爰</w:t>
      </w:r>
      <w:r w:rsidRPr="0005564B">
        <w:t>依原</w:t>
      </w:r>
      <w:r w:rsidRPr="0005564B">
        <w:rPr>
          <w:rFonts w:hint="eastAsia"/>
        </w:rPr>
        <w:t>「健保法」</w:t>
      </w:r>
      <w:r w:rsidRPr="0005564B">
        <w:t>第30條規定，對於被保險人未繳清保險費予以鎖卡，以避免欠費影響健保財務。</w:t>
      </w:r>
      <w:bookmarkEnd w:id="149"/>
      <w:bookmarkEnd w:id="150"/>
      <w:bookmarkEnd w:id="151"/>
      <w:bookmarkEnd w:id="152"/>
      <w:bookmarkEnd w:id="153"/>
    </w:p>
    <w:p w:rsidR="00E73BC3" w:rsidRPr="0005564B" w:rsidRDefault="00E73BC3" w:rsidP="00A83272">
      <w:pPr>
        <w:pStyle w:val="3"/>
        <w:numPr>
          <w:ilvl w:val="2"/>
          <w:numId w:val="1"/>
        </w:numPr>
        <w:spacing w:line="420" w:lineRule="exact"/>
      </w:pPr>
      <w:bookmarkStart w:id="154" w:name="_Toc8659628"/>
      <w:bookmarkStart w:id="155" w:name="_Toc9058337"/>
      <w:bookmarkStart w:id="156" w:name="_Toc10027566"/>
      <w:bookmarkStart w:id="157" w:name="_Toc10054259"/>
      <w:bookmarkStart w:id="158" w:name="_Toc10066364"/>
      <w:r w:rsidRPr="0005564B">
        <w:rPr>
          <w:rFonts w:hint="eastAsia"/>
        </w:rPr>
        <w:t>配合102年1月1日二代健保之實施，健保局依據100年1月26日公布之「健保法」第37條第1項前段規定：「保險人於投保單位或保險對象未繳清保險費及滯納金前，經查證及輔導後，得對有能力繳納，拒不繳納之保險對象暫行停止保險給付。」之立法精神，研訂「二代健保健保費欠費暫行停止保險給付執行規劃方案」，分階段全面清查欠費遭鎖卡對象，透過直轄市及縣(市)政府社政或民政單位之協助，僅就認定具繳納健保費之能力，經輔導後仍拒不繳納者，方予鎖卡；而屬無力繳納健保費之弱勢對象，即予解卡，以保障弱勢民眾健保就醫權。</w:t>
      </w:r>
      <w:r w:rsidRPr="0005564B">
        <w:rPr>
          <w:rStyle w:val="afe"/>
        </w:rPr>
        <w:footnoteReference w:id="2"/>
      </w:r>
      <w:bookmarkEnd w:id="154"/>
      <w:bookmarkEnd w:id="155"/>
      <w:bookmarkEnd w:id="156"/>
      <w:bookmarkEnd w:id="157"/>
      <w:bookmarkEnd w:id="158"/>
    </w:p>
    <w:p w:rsidR="00E73BC3" w:rsidRPr="0005564B" w:rsidRDefault="00E73BC3" w:rsidP="00A83272">
      <w:pPr>
        <w:pStyle w:val="3"/>
        <w:numPr>
          <w:ilvl w:val="2"/>
          <w:numId w:val="1"/>
        </w:numPr>
        <w:spacing w:line="420" w:lineRule="exact"/>
      </w:pPr>
      <w:bookmarkStart w:id="159" w:name="_Toc8659629"/>
      <w:bookmarkStart w:id="160" w:name="_Toc9058338"/>
      <w:bookmarkStart w:id="161" w:name="_Toc10027567"/>
      <w:bookmarkStart w:id="162" w:name="_Toc10054260"/>
      <w:bookmarkStart w:id="163" w:name="_Toc10066365"/>
      <w:r w:rsidRPr="0005564B">
        <w:rPr>
          <w:rFonts w:hint="eastAsia"/>
        </w:rPr>
        <w:lastRenderedPageBreak/>
        <w:t>嗣鑒於蔡總統競選時醫療政策主張，第11項廢除健保鎖卡制度以保障弱勢略以，</w:t>
      </w:r>
      <w:r w:rsidRPr="0005564B">
        <w:rPr>
          <w:rFonts w:hAnsi="標楷體" w:hint="eastAsia"/>
        </w:rPr>
        <w:t>「</w:t>
      </w:r>
      <w:r w:rsidRPr="0005564B">
        <w:rPr>
          <w:rFonts w:hint="eastAsia"/>
        </w:rPr>
        <w:t>只要符合健保資格者就可憑健保卡就醫，不鎖卡政策雖可能使欠費增加，加強欠費催收是另一公權力之行使，有如租稅稽徵般，不能因民眾之欠稅而影響其應享有之公民權利。</w:t>
      </w:r>
      <w:r w:rsidRPr="0005564B">
        <w:rPr>
          <w:rFonts w:hAnsi="標楷體" w:hint="eastAsia"/>
        </w:rPr>
        <w:t>」</w:t>
      </w:r>
      <w:r w:rsidRPr="0005564B">
        <w:t>為落實醫療平權之普世價值，給予就醫權益的公平性保障</w:t>
      </w:r>
      <w:r w:rsidRPr="0005564B">
        <w:rPr>
          <w:rFonts w:hint="eastAsia"/>
        </w:rPr>
        <w:t>，健保署爰於</w:t>
      </w:r>
      <w:r w:rsidRPr="0005564B">
        <w:t>105</w:t>
      </w:r>
      <w:r w:rsidRPr="0005564B">
        <w:rPr>
          <w:rFonts w:hint="eastAsia"/>
        </w:rPr>
        <w:t>年</w:t>
      </w:r>
      <w:r w:rsidRPr="0005564B">
        <w:t>6</w:t>
      </w:r>
      <w:r w:rsidRPr="0005564B">
        <w:rPr>
          <w:rFonts w:hint="eastAsia"/>
        </w:rPr>
        <w:t>月</w:t>
      </w:r>
      <w:r w:rsidRPr="0005564B">
        <w:t>7</w:t>
      </w:r>
      <w:r w:rsidRPr="0005564B">
        <w:rPr>
          <w:rFonts w:hint="eastAsia"/>
        </w:rPr>
        <w:t>日起實施「健保欠費與就醫權脫鉤（全面解卡）案」，藉廢除鎖卡制度，去除弱勢民眾欠費無法就醫之恐懼，更加落實弱勢照顧，對符合健保資格者，完成加保手續，均可就醫無礙。</w:t>
      </w:r>
      <w:bookmarkEnd w:id="159"/>
      <w:bookmarkEnd w:id="160"/>
      <w:bookmarkEnd w:id="161"/>
      <w:bookmarkEnd w:id="162"/>
      <w:bookmarkEnd w:id="163"/>
    </w:p>
    <w:p w:rsidR="00E73BC3" w:rsidRPr="0005564B" w:rsidRDefault="00E73BC3" w:rsidP="00A83272">
      <w:pPr>
        <w:pStyle w:val="3"/>
        <w:numPr>
          <w:ilvl w:val="2"/>
          <w:numId w:val="1"/>
        </w:numPr>
        <w:spacing w:line="420" w:lineRule="exact"/>
      </w:pPr>
      <w:bookmarkStart w:id="164" w:name="_Toc8659630"/>
      <w:bookmarkStart w:id="165" w:name="_Toc9058339"/>
      <w:bookmarkStart w:id="166" w:name="_Toc10027568"/>
      <w:bookmarkStart w:id="167" w:name="_Toc10054261"/>
      <w:bookmarkStart w:id="168" w:name="_Toc10066366"/>
      <w:r w:rsidRPr="0005564B">
        <w:rPr>
          <w:rFonts w:hint="eastAsia"/>
        </w:rPr>
        <w:t>依106年度中央政府總決算審核報告：</w:t>
      </w:r>
      <w:r w:rsidRPr="0005564B">
        <w:t>二代健保實施後，保險對象及投保單位欠費金額，由102年底之184億餘元，逐年增至105年底之210億餘元，每年欠費成長率約3</w:t>
      </w:r>
      <w:r w:rsidRPr="0005564B">
        <w:rPr>
          <w:rFonts w:hint="eastAsia"/>
        </w:rPr>
        <w:t>%</w:t>
      </w:r>
      <w:r w:rsidRPr="0005564B">
        <w:t>至6</w:t>
      </w:r>
      <w:r w:rsidRPr="0005564B">
        <w:rPr>
          <w:rFonts w:hint="eastAsia"/>
        </w:rPr>
        <w:t>%</w:t>
      </w:r>
      <w:r w:rsidRPr="0005564B">
        <w:t>，惟</w:t>
      </w:r>
      <w:r w:rsidRPr="0005564B">
        <w:rPr>
          <w:rFonts w:hint="eastAsia"/>
        </w:rPr>
        <w:t>健保全面解卡後，</w:t>
      </w:r>
      <w:r w:rsidRPr="0005564B">
        <w:t>106年底欠費金額增為233億餘元，1年間增幅約10.76</w:t>
      </w:r>
      <w:r w:rsidRPr="0005564B">
        <w:rPr>
          <w:rFonts w:hint="eastAsia"/>
        </w:rPr>
        <w:t>%</w:t>
      </w:r>
      <w:r w:rsidRPr="0005564B">
        <w:t>，較以往年度為高</w:t>
      </w:r>
      <w:r w:rsidRPr="0005564B">
        <w:rPr>
          <w:rFonts w:hint="eastAsia"/>
        </w:rPr>
        <w:t>；且</w:t>
      </w:r>
      <w:r w:rsidRPr="0005564B">
        <w:t>當年度應收保險費之收繳狀況，102至106年保險對象及投保單位當年度保險費收繳率平均約為97</w:t>
      </w:r>
      <w:r w:rsidRPr="0005564B">
        <w:rPr>
          <w:rFonts w:hint="eastAsia"/>
        </w:rPr>
        <w:t>%</w:t>
      </w:r>
      <w:r w:rsidRPr="0005564B">
        <w:t>，惟其中保險對象當年度收繳率102至105年間約為71.46</w:t>
      </w:r>
      <w:r w:rsidRPr="0005564B">
        <w:rPr>
          <w:rFonts w:hint="eastAsia"/>
        </w:rPr>
        <w:t>%</w:t>
      </w:r>
      <w:r w:rsidRPr="0005564B">
        <w:t>至72.04</w:t>
      </w:r>
      <w:r w:rsidRPr="0005564B">
        <w:rPr>
          <w:rFonts w:hint="eastAsia"/>
        </w:rPr>
        <w:t>%</w:t>
      </w:r>
      <w:r w:rsidRPr="0005564B">
        <w:t>不等，至解卡後之106年則降為69.72</w:t>
      </w:r>
      <w:r w:rsidRPr="0005564B">
        <w:rPr>
          <w:rFonts w:hint="eastAsia"/>
        </w:rPr>
        <w:t>%</w:t>
      </w:r>
      <w:r w:rsidRPr="0005564B">
        <w:t>，顯示保險對</w:t>
      </w:r>
      <w:r w:rsidRPr="0005564B">
        <w:rPr>
          <w:rFonts w:hAnsi="標楷體"/>
          <w:szCs w:val="32"/>
        </w:rPr>
        <w:t>象之保險費當年度收繳率呈下滑趨勢，將增加後續追訴之行政成本</w:t>
      </w:r>
      <w:r w:rsidRPr="0005564B">
        <w:rPr>
          <w:rFonts w:hAnsi="標楷體" w:hint="eastAsia"/>
          <w:szCs w:val="32"/>
        </w:rPr>
        <w:t>。</w:t>
      </w:r>
      <w:bookmarkEnd w:id="164"/>
      <w:bookmarkEnd w:id="165"/>
      <w:bookmarkEnd w:id="166"/>
      <w:bookmarkEnd w:id="167"/>
      <w:bookmarkEnd w:id="168"/>
    </w:p>
    <w:p w:rsidR="00E73BC3" w:rsidRPr="0005564B" w:rsidRDefault="00E73BC3" w:rsidP="00A83272">
      <w:pPr>
        <w:pStyle w:val="3"/>
        <w:numPr>
          <w:ilvl w:val="2"/>
          <w:numId w:val="1"/>
        </w:numPr>
        <w:spacing w:line="420" w:lineRule="exact"/>
      </w:pPr>
      <w:bookmarkStart w:id="169" w:name="_Toc8659631"/>
      <w:bookmarkStart w:id="170" w:name="_Toc9058340"/>
      <w:bookmarkStart w:id="171" w:name="_Toc10027569"/>
      <w:bookmarkStart w:id="172" w:name="_Toc10054262"/>
      <w:bookmarkStart w:id="173" w:name="_Toc10066367"/>
      <w:r w:rsidRPr="0005564B">
        <w:rPr>
          <w:rFonts w:hint="eastAsia"/>
        </w:rPr>
        <w:t>有關健保全面解卡對欠費之影響及相關追討措施之成效，據衛福部表示：</w:t>
      </w:r>
      <w:bookmarkEnd w:id="169"/>
      <w:bookmarkEnd w:id="170"/>
      <w:bookmarkEnd w:id="171"/>
      <w:bookmarkEnd w:id="172"/>
      <w:bookmarkEnd w:id="173"/>
    </w:p>
    <w:p w:rsidR="00E73BC3" w:rsidRPr="0005564B" w:rsidRDefault="00E73BC3" w:rsidP="00A83272">
      <w:pPr>
        <w:pStyle w:val="4"/>
        <w:numPr>
          <w:ilvl w:val="3"/>
          <w:numId w:val="1"/>
        </w:numPr>
        <w:spacing w:line="420" w:lineRule="exact"/>
      </w:pPr>
      <w:r w:rsidRPr="0005564B">
        <w:rPr>
          <w:rFonts w:hint="eastAsia"/>
        </w:rPr>
        <w:t>現行健保署對健保欠費均依「健保法」第</w:t>
      </w:r>
      <w:r w:rsidRPr="0005564B">
        <w:t>35</w:t>
      </w:r>
      <w:r w:rsidRPr="0005564B">
        <w:rPr>
          <w:rFonts w:hint="eastAsia"/>
        </w:rPr>
        <w:t>條規定，對除弱勢以外</w:t>
      </w:r>
      <w:r w:rsidRPr="0005564B">
        <w:rPr>
          <w:rStyle w:val="afe"/>
        </w:rPr>
        <w:footnoteReference w:id="3"/>
      </w:r>
      <w:r w:rsidRPr="0005564B">
        <w:rPr>
          <w:rFonts w:hint="eastAsia"/>
        </w:rPr>
        <w:t>之欠費民眾，經催繳仍未繳納者，即移送行政執行，有薪資、銀行存款或房產者的欠費者會被執行扣取；</w:t>
      </w:r>
      <w:r w:rsidRPr="0005564B">
        <w:t>105</w:t>
      </w:r>
      <w:r w:rsidRPr="0005564B">
        <w:rPr>
          <w:rFonts w:hint="eastAsia"/>
        </w:rPr>
        <w:t>年</w:t>
      </w:r>
      <w:r w:rsidRPr="0005564B">
        <w:t>6</w:t>
      </w:r>
      <w:r w:rsidRPr="0005564B">
        <w:rPr>
          <w:rFonts w:hint="eastAsia"/>
        </w:rPr>
        <w:t>月</w:t>
      </w:r>
      <w:r w:rsidRPr="0005564B">
        <w:t>7</w:t>
      </w:r>
      <w:r w:rsidRPr="0005564B">
        <w:rPr>
          <w:rFonts w:hint="eastAsia"/>
        </w:rPr>
        <w:t>日起實施全面解卡後仍依法催收，對蓄意拒繳健保欠費</w:t>
      </w:r>
      <w:r w:rsidRPr="0005564B">
        <w:rPr>
          <w:rFonts w:hint="eastAsia"/>
        </w:rPr>
        <w:lastRenderedPageBreak/>
        <w:t>者，應具相當嚇阻效果。另對經濟困難者，健保署賡續提供紓困基金貸款、轉介公益團體補助保險費及分期繳納保險費等措施</w:t>
      </w:r>
      <w:r w:rsidRPr="0005564B">
        <w:rPr>
          <w:rStyle w:val="afe"/>
        </w:rPr>
        <w:footnoteReference w:id="4"/>
      </w:r>
      <w:r w:rsidRPr="0005564B">
        <w:rPr>
          <w:rFonts w:hint="eastAsia"/>
        </w:rPr>
        <w:t>，以減輕其經濟負擔。</w:t>
      </w:r>
      <w:r w:rsidRPr="0005564B">
        <w:t>各級政府對特定弱勢民眾補助健保費，包括低收入戶、無職業榮民、失業勞工及眷屬、設籍前經濟弱勢新住民、身心障礙者、中低收入70歲以上老人及未滿18歲兒童及少年、未滿20歲及55歲以上之無職業原住民等，107年補助人數約305萬餘人，補助金額約252億餘元。</w:t>
      </w:r>
    </w:p>
    <w:p w:rsidR="00E73BC3" w:rsidRPr="0005564B" w:rsidRDefault="00E73BC3" w:rsidP="00A83272">
      <w:pPr>
        <w:pStyle w:val="4"/>
        <w:numPr>
          <w:ilvl w:val="3"/>
          <w:numId w:val="1"/>
        </w:numPr>
        <w:spacing w:line="420" w:lineRule="exact"/>
      </w:pPr>
      <w:r w:rsidRPr="0005564B">
        <w:rPr>
          <w:rFonts w:hint="eastAsia"/>
        </w:rPr>
        <w:t>據該部稱，由於保險對象積欠健保費原因複雜，且衛福部健保署無保險對象個人家庭及經濟生活等相關資料，爰難以定義欠費者是否為蓄意積欠健保費行為或屬無能力繳納者。另，囿於全面解卡實施後健保署並無取得最新個人綜合所得稅稅率等外部資料，加以欠費對象、欠費金額及保險對象戶籍所在地皆屬滾動資料，故尚難就欠費對象之背景、縣市別等屬性比較分析。惟整體欠費催收情形，該署均持續監控，及辦理各項欠費催繳及移送行政執行作業，長期而言保險費收繳率仍可達</w:t>
      </w:r>
      <w:r w:rsidRPr="0005564B">
        <w:t>99%</w:t>
      </w:r>
      <w:r w:rsidRPr="0005564B">
        <w:rPr>
          <w:rFonts w:hint="eastAsia"/>
        </w:rPr>
        <w:t>以上，全面解卡未對健保財務及營運造成影響，而實施全面解卡措施前、後之保險費收繳率，仍維持近99%之水準</w:t>
      </w:r>
      <w:r w:rsidR="00574DD8" w:rsidRPr="0005564B">
        <w:rPr>
          <w:rFonts w:hint="eastAsia"/>
        </w:rPr>
        <w:t>，</w:t>
      </w:r>
      <w:r w:rsidR="000C0DD7" w:rsidRPr="0005564B">
        <w:rPr>
          <w:rFonts w:hint="eastAsia"/>
        </w:rPr>
        <w:t>如</w:t>
      </w:r>
      <w:r w:rsidR="00574DD8" w:rsidRPr="0005564B">
        <w:rPr>
          <w:rFonts w:hint="eastAsia"/>
          <w:lang w:eastAsia="zh-HK"/>
        </w:rPr>
        <w:t>下</w:t>
      </w:r>
      <w:r w:rsidR="000C0DD7" w:rsidRPr="0005564B">
        <w:rPr>
          <w:rFonts w:hint="eastAsia"/>
        </w:rPr>
        <w:t>表</w:t>
      </w:r>
      <w:r w:rsidRPr="0005564B">
        <w:rPr>
          <w:rFonts w:hint="eastAsia"/>
        </w:rPr>
        <w:t>。</w:t>
      </w:r>
    </w:p>
    <w:p w:rsidR="00E73BC3" w:rsidRPr="0005564B" w:rsidRDefault="00E73BC3" w:rsidP="00E73BC3">
      <w:pPr>
        <w:pStyle w:val="a3"/>
        <w:jc w:val="center"/>
        <w:rPr>
          <w:b/>
        </w:rPr>
      </w:pPr>
      <w:r w:rsidRPr="0005564B">
        <w:rPr>
          <w:rFonts w:hint="eastAsia"/>
          <w:b/>
        </w:rPr>
        <w:t>健保署實施全面解卡措施前、後之保險費收繳率情形表</w:t>
      </w:r>
    </w:p>
    <w:p w:rsidR="00E73BC3" w:rsidRPr="0005564B" w:rsidRDefault="00E73BC3" w:rsidP="00E73BC3">
      <w:pPr>
        <w:spacing w:line="280" w:lineRule="exact"/>
        <w:ind w:rightChars="-9" w:right="-31"/>
        <w:jc w:val="right"/>
        <w:rPr>
          <w:sz w:val="24"/>
          <w:szCs w:val="24"/>
        </w:rPr>
      </w:pPr>
      <w:r w:rsidRPr="0005564B">
        <w:rPr>
          <w:rFonts w:hint="eastAsia"/>
          <w:sz w:val="24"/>
          <w:szCs w:val="24"/>
        </w:rPr>
        <w:t>單位：%</w:t>
      </w:r>
    </w:p>
    <w:tbl>
      <w:tblPr>
        <w:tblStyle w:val="af6"/>
        <w:tblW w:w="0" w:type="auto"/>
        <w:tblLook w:val="04A0" w:firstRow="1" w:lastRow="0" w:firstColumn="1" w:lastColumn="0" w:noHBand="0" w:noVBand="1"/>
      </w:tblPr>
      <w:tblGrid>
        <w:gridCol w:w="2175"/>
        <w:gridCol w:w="2193"/>
        <w:gridCol w:w="2193"/>
        <w:gridCol w:w="2273"/>
      </w:tblGrid>
      <w:tr w:rsidR="0005564B" w:rsidRPr="0005564B" w:rsidTr="00CC54C4">
        <w:tc>
          <w:tcPr>
            <w:tcW w:w="2225" w:type="dxa"/>
            <w:vMerge w:val="restart"/>
            <w:vAlign w:val="center"/>
          </w:tcPr>
          <w:p w:rsidR="00E73BC3" w:rsidRPr="0005564B" w:rsidRDefault="00E73BC3" w:rsidP="00CC54C4">
            <w:pPr>
              <w:jc w:val="center"/>
              <w:rPr>
                <w:sz w:val="28"/>
                <w:szCs w:val="28"/>
              </w:rPr>
            </w:pPr>
            <w:r w:rsidRPr="0005564B">
              <w:rPr>
                <w:rFonts w:hint="eastAsia"/>
                <w:sz w:val="28"/>
                <w:szCs w:val="28"/>
              </w:rPr>
              <w:t>資料年月</w:t>
            </w:r>
          </w:p>
        </w:tc>
        <w:tc>
          <w:tcPr>
            <w:tcW w:w="2225" w:type="dxa"/>
            <w:vAlign w:val="center"/>
          </w:tcPr>
          <w:p w:rsidR="00E73BC3" w:rsidRPr="0005564B" w:rsidRDefault="00E73BC3" w:rsidP="00CC54C4">
            <w:pPr>
              <w:jc w:val="center"/>
              <w:rPr>
                <w:sz w:val="28"/>
                <w:szCs w:val="28"/>
              </w:rPr>
            </w:pPr>
            <w:r w:rsidRPr="0005564B">
              <w:rPr>
                <w:rFonts w:hint="eastAsia"/>
                <w:sz w:val="28"/>
                <w:szCs w:val="28"/>
              </w:rPr>
              <w:t>全面解卡前</w:t>
            </w:r>
          </w:p>
        </w:tc>
        <w:tc>
          <w:tcPr>
            <w:tcW w:w="4533" w:type="dxa"/>
            <w:gridSpan w:val="2"/>
            <w:vAlign w:val="center"/>
          </w:tcPr>
          <w:p w:rsidR="00E73BC3" w:rsidRPr="0005564B" w:rsidRDefault="00E73BC3" w:rsidP="00CC54C4">
            <w:pPr>
              <w:jc w:val="center"/>
              <w:rPr>
                <w:sz w:val="28"/>
                <w:szCs w:val="28"/>
              </w:rPr>
            </w:pPr>
            <w:r w:rsidRPr="0005564B">
              <w:rPr>
                <w:rFonts w:hint="eastAsia"/>
                <w:sz w:val="28"/>
                <w:szCs w:val="28"/>
              </w:rPr>
              <w:t>全面解卡後</w:t>
            </w:r>
          </w:p>
        </w:tc>
      </w:tr>
      <w:tr w:rsidR="0005564B" w:rsidRPr="0005564B" w:rsidTr="00CC54C4">
        <w:tc>
          <w:tcPr>
            <w:tcW w:w="2225" w:type="dxa"/>
            <w:vMerge/>
            <w:vAlign w:val="center"/>
          </w:tcPr>
          <w:p w:rsidR="00E73BC3" w:rsidRPr="0005564B" w:rsidRDefault="00E73BC3" w:rsidP="00CC54C4">
            <w:pPr>
              <w:jc w:val="center"/>
              <w:rPr>
                <w:sz w:val="28"/>
                <w:szCs w:val="28"/>
              </w:rPr>
            </w:pPr>
          </w:p>
        </w:tc>
        <w:tc>
          <w:tcPr>
            <w:tcW w:w="2225" w:type="dxa"/>
            <w:vAlign w:val="center"/>
          </w:tcPr>
          <w:p w:rsidR="00E73BC3" w:rsidRPr="0005564B" w:rsidRDefault="00E73BC3" w:rsidP="00CC54C4">
            <w:pPr>
              <w:jc w:val="center"/>
              <w:rPr>
                <w:sz w:val="28"/>
                <w:szCs w:val="28"/>
              </w:rPr>
            </w:pPr>
            <w:r w:rsidRPr="0005564B">
              <w:rPr>
                <w:rFonts w:hint="eastAsia"/>
                <w:sz w:val="28"/>
                <w:szCs w:val="28"/>
              </w:rPr>
              <w:t>105年5月</w:t>
            </w:r>
          </w:p>
        </w:tc>
        <w:tc>
          <w:tcPr>
            <w:tcW w:w="2225" w:type="dxa"/>
            <w:vAlign w:val="center"/>
          </w:tcPr>
          <w:p w:rsidR="00E73BC3" w:rsidRPr="0005564B" w:rsidRDefault="00E73BC3" w:rsidP="00CC54C4">
            <w:pPr>
              <w:jc w:val="center"/>
              <w:rPr>
                <w:sz w:val="28"/>
                <w:szCs w:val="28"/>
              </w:rPr>
            </w:pPr>
            <w:r w:rsidRPr="0005564B">
              <w:rPr>
                <w:rFonts w:hint="eastAsia"/>
                <w:sz w:val="28"/>
                <w:szCs w:val="28"/>
              </w:rPr>
              <w:t>106年12月</w:t>
            </w:r>
          </w:p>
        </w:tc>
        <w:tc>
          <w:tcPr>
            <w:tcW w:w="2308" w:type="dxa"/>
            <w:vAlign w:val="center"/>
          </w:tcPr>
          <w:p w:rsidR="00E73BC3" w:rsidRPr="0005564B" w:rsidRDefault="00E73BC3" w:rsidP="00CC54C4">
            <w:pPr>
              <w:jc w:val="center"/>
              <w:rPr>
                <w:sz w:val="28"/>
                <w:szCs w:val="28"/>
              </w:rPr>
            </w:pPr>
            <w:r w:rsidRPr="0005564B">
              <w:rPr>
                <w:rFonts w:hint="eastAsia"/>
                <w:sz w:val="28"/>
                <w:szCs w:val="28"/>
              </w:rPr>
              <w:t>107年12月</w:t>
            </w:r>
          </w:p>
        </w:tc>
      </w:tr>
      <w:tr w:rsidR="0005564B" w:rsidRPr="0005564B" w:rsidTr="00CC54C4">
        <w:tc>
          <w:tcPr>
            <w:tcW w:w="2225" w:type="dxa"/>
            <w:vAlign w:val="center"/>
          </w:tcPr>
          <w:p w:rsidR="00E73BC3" w:rsidRPr="0005564B" w:rsidRDefault="00E73BC3" w:rsidP="00CC54C4">
            <w:pPr>
              <w:jc w:val="center"/>
              <w:rPr>
                <w:sz w:val="28"/>
                <w:szCs w:val="28"/>
              </w:rPr>
            </w:pPr>
            <w:r w:rsidRPr="0005564B">
              <w:rPr>
                <w:rFonts w:hint="eastAsia"/>
                <w:sz w:val="28"/>
                <w:szCs w:val="28"/>
              </w:rPr>
              <w:t>保險費收繳率</w:t>
            </w:r>
          </w:p>
        </w:tc>
        <w:tc>
          <w:tcPr>
            <w:tcW w:w="2225" w:type="dxa"/>
            <w:vAlign w:val="center"/>
          </w:tcPr>
          <w:p w:rsidR="00E73BC3" w:rsidRPr="0005564B" w:rsidRDefault="00E73BC3" w:rsidP="00CC54C4">
            <w:pPr>
              <w:jc w:val="center"/>
              <w:rPr>
                <w:sz w:val="28"/>
                <w:szCs w:val="28"/>
              </w:rPr>
            </w:pPr>
            <w:r w:rsidRPr="0005564B">
              <w:rPr>
                <w:rFonts w:hint="eastAsia"/>
                <w:sz w:val="28"/>
                <w:szCs w:val="28"/>
              </w:rPr>
              <w:t>98.82%</w:t>
            </w:r>
          </w:p>
        </w:tc>
        <w:tc>
          <w:tcPr>
            <w:tcW w:w="2225" w:type="dxa"/>
            <w:vAlign w:val="center"/>
          </w:tcPr>
          <w:p w:rsidR="00E73BC3" w:rsidRPr="0005564B" w:rsidRDefault="00E73BC3" w:rsidP="00CC54C4">
            <w:pPr>
              <w:jc w:val="center"/>
              <w:rPr>
                <w:sz w:val="28"/>
                <w:szCs w:val="28"/>
              </w:rPr>
            </w:pPr>
            <w:r w:rsidRPr="0005564B">
              <w:rPr>
                <w:rFonts w:hint="eastAsia"/>
                <w:sz w:val="28"/>
                <w:szCs w:val="28"/>
              </w:rPr>
              <w:t>98.66%</w:t>
            </w:r>
          </w:p>
        </w:tc>
        <w:tc>
          <w:tcPr>
            <w:tcW w:w="2308" w:type="dxa"/>
            <w:vAlign w:val="center"/>
          </w:tcPr>
          <w:p w:rsidR="00E73BC3" w:rsidRPr="0005564B" w:rsidRDefault="00E73BC3" w:rsidP="00CC54C4">
            <w:pPr>
              <w:jc w:val="center"/>
              <w:rPr>
                <w:sz w:val="28"/>
                <w:szCs w:val="28"/>
              </w:rPr>
            </w:pPr>
            <w:r w:rsidRPr="0005564B">
              <w:rPr>
                <w:rFonts w:hint="eastAsia"/>
                <w:sz w:val="28"/>
                <w:szCs w:val="28"/>
              </w:rPr>
              <w:t>98.54%</w:t>
            </w:r>
          </w:p>
        </w:tc>
      </w:tr>
    </w:tbl>
    <w:p w:rsidR="00E73BC3" w:rsidRPr="0005564B" w:rsidRDefault="00E73BC3" w:rsidP="008A108E">
      <w:pPr>
        <w:pStyle w:val="af5"/>
        <w:spacing w:before="0" w:after="0" w:line="300" w:lineRule="exact"/>
        <w:ind w:leftChars="-37" w:left="522" w:hangingChars="270" w:hanging="648"/>
        <w:rPr>
          <w:sz w:val="24"/>
          <w:szCs w:val="24"/>
        </w:rPr>
      </w:pPr>
      <w:r w:rsidRPr="0005564B">
        <w:rPr>
          <w:rFonts w:hint="eastAsia"/>
          <w:sz w:val="24"/>
          <w:szCs w:val="24"/>
          <w:lang w:eastAsia="zh-HK"/>
        </w:rPr>
        <w:t>註：</w:t>
      </w:r>
      <w:r w:rsidRPr="0005564B">
        <w:rPr>
          <w:rFonts w:hint="eastAsia"/>
          <w:sz w:val="24"/>
          <w:szCs w:val="24"/>
        </w:rPr>
        <w:t>統計期間為截至各該統計時間當月底止，保險費在5年請求權期間資料。</w:t>
      </w:r>
    </w:p>
    <w:p w:rsidR="00E73BC3" w:rsidRPr="0005564B" w:rsidRDefault="00E73BC3" w:rsidP="008A108E">
      <w:pPr>
        <w:pStyle w:val="af5"/>
        <w:spacing w:before="0" w:after="0" w:line="300" w:lineRule="exact"/>
        <w:ind w:leftChars="-37" w:left="522" w:hangingChars="270" w:hanging="648"/>
        <w:rPr>
          <w:sz w:val="24"/>
          <w:szCs w:val="24"/>
        </w:rPr>
      </w:pPr>
      <w:r w:rsidRPr="0005564B">
        <w:rPr>
          <w:rFonts w:hint="eastAsia"/>
          <w:sz w:val="24"/>
          <w:szCs w:val="24"/>
          <w:lang w:eastAsia="zh-HK"/>
        </w:rPr>
        <w:t>資料來源：衛福部。</w:t>
      </w:r>
    </w:p>
    <w:p w:rsidR="00E73BC3" w:rsidRPr="0005564B" w:rsidRDefault="00E73BC3" w:rsidP="00E73BC3">
      <w:pPr>
        <w:pStyle w:val="af5"/>
        <w:spacing w:before="0" w:after="0" w:line="280" w:lineRule="exact"/>
        <w:ind w:leftChars="-37" w:left="630" w:hangingChars="270" w:hanging="756"/>
      </w:pPr>
    </w:p>
    <w:p w:rsidR="00E73BC3" w:rsidRPr="0005564B" w:rsidRDefault="000C0DD7" w:rsidP="00A83272">
      <w:pPr>
        <w:pStyle w:val="4"/>
        <w:numPr>
          <w:ilvl w:val="3"/>
          <w:numId w:val="1"/>
        </w:numPr>
        <w:spacing w:line="420" w:lineRule="exact"/>
      </w:pPr>
      <w:r w:rsidRPr="0005564B">
        <w:rPr>
          <w:rFonts w:hint="eastAsia"/>
        </w:rPr>
        <w:lastRenderedPageBreak/>
        <w:t>依衛福部提供資料，全面解卡前、後之欠費金額如</w:t>
      </w:r>
      <w:r w:rsidR="00574DD8" w:rsidRPr="0005564B">
        <w:rPr>
          <w:rFonts w:hint="eastAsia"/>
          <w:lang w:eastAsia="zh-HK"/>
        </w:rPr>
        <w:t>下</w:t>
      </w:r>
      <w:r w:rsidR="00E73BC3" w:rsidRPr="0005564B">
        <w:rPr>
          <w:rFonts w:hint="eastAsia"/>
        </w:rPr>
        <w:t>表。全面解卡政策施行後之欠費金額較高，該部分析原因為欠費之催收執行期間拉長，及隨整體社會經濟發展，健保保險費收入賡續成長約3.5%</w:t>
      </w:r>
      <w:r w:rsidR="00E73BC3" w:rsidRPr="0005564B">
        <w:rPr>
          <w:rStyle w:val="afe"/>
        </w:rPr>
        <w:footnoteReference w:id="5"/>
      </w:r>
      <w:r w:rsidR="00E73BC3" w:rsidRPr="0005564B">
        <w:rPr>
          <w:rFonts w:hint="eastAsia"/>
        </w:rPr>
        <w:t>，爰每年發生之欠費金額亦隨之增加。</w:t>
      </w:r>
    </w:p>
    <w:p w:rsidR="00E73BC3" w:rsidRPr="0005564B" w:rsidRDefault="00E73BC3" w:rsidP="00E73BC3">
      <w:pPr>
        <w:pStyle w:val="a3"/>
        <w:jc w:val="center"/>
        <w:rPr>
          <w:b/>
        </w:rPr>
      </w:pPr>
      <w:r w:rsidRPr="0005564B">
        <w:rPr>
          <w:rFonts w:hint="eastAsia"/>
          <w:b/>
        </w:rPr>
        <w:t>解卡前、後之投保單位及保險對象保險費欠費金額統計</w:t>
      </w:r>
    </w:p>
    <w:p w:rsidR="00E73BC3" w:rsidRPr="0005564B" w:rsidRDefault="00E73BC3" w:rsidP="00E73BC3">
      <w:pPr>
        <w:spacing w:line="280" w:lineRule="exact"/>
        <w:ind w:rightChars="-9" w:right="-31"/>
        <w:jc w:val="right"/>
        <w:rPr>
          <w:sz w:val="24"/>
          <w:szCs w:val="24"/>
        </w:rPr>
      </w:pPr>
      <w:r w:rsidRPr="0005564B">
        <w:rPr>
          <w:rFonts w:hint="eastAsia"/>
          <w:sz w:val="24"/>
          <w:szCs w:val="24"/>
        </w:rPr>
        <w:t>單位：億元</w:t>
      </w:r>
    </w:p>
    <w:tbl>
      <w:tblPr>
        <w:tblStyle w:val="af6"/>
        <w:tblW w:w="0" w:type="auto"/>
        <w:tblLook w:val="04A0" w:firstRow="1" w:lastRow="0" w:firstColumn="1" w:lastColumn="0" w:noHBand="0" w:noVBand="1"/>
      </w:tblPr>
      <w:tblGrid>
        <w:gridCol w:w="2872"/>
        <w:gridCol w:w="1960"/>
        <w:gridCol w:w="2097"/>
        <w:gridCol w:w="1905"/>
      </w:tblGrid>
      <w:tr w:rsidR="0005564B" w:rsidRPr="0005564B" w:rsidTr="008A108E">
        <w:trPr>
          <w:trHeight w:val="360"/>
        </w:trPr>
        <w:tc>
          <w:tcPr>
            <w:tcW w:w="2943" w:type="dxa"/>
            <w:vMerge w:val="restart"/>
            <w:vAlign w:val="center"/>
          </w:tcPr>
          <w:p w:rsidR="00E73BC3" w:rsidRPr="0005564B" w:rsidRDefault="00E73BC3" w:rsidP="00CC54C4">
            <w:pPr>
              <w:jc w:val="center"/>
              <w:rPr>
                <w:sz w:val="28"/>
                <w:szCs w:val="28"/>
              </w:rPr>
            </w:pPr>
            <w:r w:rsidRPr="0005564B">
              <w:rPr>
                <w:rFonts w:hint="eastAsia"/>
                <w:sz w:val="28"/>
                <w:szCs w:val="28"/>
              </w:rPr>
              <w:t>資料年月</w:t>
            </w:r>
          </w:p>
        </w:tc>
        <w:tc>
          <w:tcPr>
            <w:tcW w:w="1985" w:type="dxa"/>
            <w:vAlign w:val="center"/>
          </w:tcPr>
          <w:p w:rsidR="00E73BC3" w:rsidRPr="0005564B" w:rsidRDefault="00E73BC3" w:rsidP="00CC54C4">
            <w:pPr>
              <w:jc w:val="center"/>
              <w:rPr>
                <w:sz w:val="28"/>
                <w:szCs w:val="28"/>
              </w:rPr>
            </w:pPr>
            <w:r w:rsidRPr="0005564B">
              <w:rPr>
                <w:rFonts w:hint="eastAsia"/>
                <w:sz w:val="28"/>
                <w:szCs w:val="28"/>
              </w:rPr>
              <w:t>全面解卡前</w:t>
            </w:r>
          </w:p>
        </w:tc>
        <w:tc>
          <w:tcPr>
            <w:tcW w:w="4055" w:type="dxa"/>
            <w:gridSpan w:val="2"/>
            <w:vAlign w:val="center"/>
          </w:tcPr>
          <w:p w:rsidR="00E73BC3" w:rsidRPr="0005564B" w:rsidRDefault="00E73BC3" w:rsidP="00CC54C4">
            <w:pPr>
              <w:jc w:val="center"/>
              <w:rPr>
                <w:sz w:val="28"/>
                <w:szCs w:val="28"/>
              </w:rPr>
            </w:pPr>
            <w:r w:rsidRPr="0005564B">
              <w:rPr>
                <w:rFonts w:hint="eastAsia"/>
                <w:sz w:val="28"/>
                <w:szCs w:val="28"/>
              </w:rPr>
              <w:t>全面解卡後</w:t>
            </w:r>
          </w:p>
        </w:tc>
      </w:tr>
      <w:tr w:rsidR="0005564B" w:rsidRPr="0005564B" w:rsidTr="008A108E">
        <w:trPr>
          <w:trHeight w:val="407"/>
        </w:trPr>
        <w:tc>
          <w:tcPr>
            <w:tcW w:w="2943" w:type="dxa"/>
            <w:vMerge/>
            <w:vAlign w:val="center"/>
          </w:tcPr>
          <w:p w:rsidR="00E73BC3" w:rsidRPr="0005564B" w:rsidRDefault="00E73BC3" w:rsidP="00CC54C4">
            <w:pPr>
              <w:jc w:val="center"/>
              <w:rPr>
                <w:sz w:val="28"/>
                <w:szCs w:val="28"/>
              </w:rPr>
            </w:pPr>
          </w:p>
        </w:tc>
        <w:tc>
          <w:tcPr>
            <w:tcW w:w="1985" w:type="dxa"/>
            <w:vAlign w:val="center"/>
          </w:tcPr>
          <w:p w:rsidR="00E73BC3" w:rsidRPr="0005564B" w:rsidRDefault="00E73BC3" w:rsidP="00CC54C4">
            <w:pPr>
              <w:jc w:val="center"/>
              <w:rPr>
                <w:sz w:val="28"/>
                <w:szCs w:val="28"/>
              </w:rPr>
            </w:pPr>
            <w:r w:rsidRPr="0005564B">
              <w:rPr>
                <w:rFonts w:hint="eastAsia"/>
                <w:sz w:val="28"/>
                <w:szCs w:val="28"/>
              </w:rPr>
              <w:t>105年5月</w:t>
            </w:r>
          </w:p>
        </w:tc>
        <w:tc>
          <w:tcPr>
            <w:tcW w:w="2126" w:type="dxa"/>
            <w:vAlign w:val="center"/>
          </w:tcPr>
          <w:p w:rsidR="00E73BC3" w:rsidRPr="0005564B" w:rsidRDefault="00E73BC3" w:rsidP="00CC54C4">
            <w:pPr>
              <w:jc w:val="center"/>
              <w:rPr>
                <w:sz w:val="28"/>
                <w:szCs w:val="28"/>
              </w:rPr>
            </w:pPr>
            <w:r w:rsidRPr="0005564B">
              <w:rPr>
                <w:rFonts w:hint="eastAsia"/>
                <w:sz w:val="28"/>
                <w:szCs w:val="28"/>
              </w:rPr>
              <w:t>106年12月</w:t>
            </w:r>
          </w:p>
        </w:tc>
        <w:tc>
          <w:tcPr>
            <w:tcW w:w="1929" w:type="dxa"/>
            <w:vAlign w:val="center"/>
          </w:tcPr>
          <w:p w:rsidR="00E73BC3" w:rsidRPr="0005564B" w:rsidRDefault="00E73BC3" w:rsidP="00CC54C4">
            <w:pPr>
              <w:jc w:val="center"/>
              <w:rPr>
                <w:sz w:val="28"/>
                <w:szCs w:val="28"/>
              </w:rPr>
            </w:pPr>
            <w:r w:rsidRPr="0005564B">
              <w:rPr>
                <w:rFonts w:hint="eastAsia"/>
                <w:sz w:val="28"/>
                <w:szCs w:val="28"/>
              </w:rPr>
              <w:t>107年12月</w:t>
            </w:r>
          </w:p>
        </w:tc>
      </w:tr>
      <w:tr w:rsidR="0005564B" w:rsidRPr="0005564B" w:rsidTr="00CC54C4">
        <w:tc>
          <w:tcPr>
            <w:tcW w:w="2943" w:type="dxa"/>
            <w:vAlign w:val="center"/>
          </w:tcPr>
          <w:p w:rsidR="00E73BC3" w:rsidRPr="0005564B" w:rsidRDefault="00E73BC3" w:rsidP="00CC54C4">
            <w:pPr>
              <w:jc w:val="center"/>
              <w:rPr>
                <w:sz w:val="28"/>
                <w:szCs w:val="28"/>
              </w:rPr>
            </w:pPr>
            <w:r w:rsidRPr="0005564B">
              <w:rPr>
                <w:rFonts w:hint="eastAsia"/>
                <w:sz w:val="28"/>
                <w:szCs w:val="28"/>
              </w:rPr>
              <w:t>投保單位及保險對象</w:t>
            </w:r>
          </w:p>
          <w:p w:rsidR="00E73BC3" w:rsidRPr="0005564B" w:rsidRDefault="00E73BC3" w:rsidP="00CC54C4">
            <w:pPr>
              <w:jc w:val="center"/>
              <w:rPr>
                <w:sz w:val="28"/>
                <w:szCs w:val="28"/>
              </w:rPr>
            </w:pPr>
            <w:r w:rsidRPr="0005564B">
              <w:rPr>
                <w:rFonts w:hint="eastAsia"/>
                <w:sz w:val="28"/>
                <w:szCs w:val="28"/>
              </w:rPr>
              <w:t>保險費欠費金額</w:t>
            </w:r>
          </w:p>
        </w:tc>
        <w:tc>
          <w:tcPr>
            <w:tcW w:w="1985" w:type="dxa"/>
            <w:vAlign w:val="center"/>
          </w:tcPr>
          <w:p w:rsidR="00E73BC3" w:rsidRPr="0005564B" w:rsidRDefault="00E73BC3" w:rsidP="00CC54C4">
            <w:pPr>
              <w:jc w:val="center"/>
              <w:rPr>
                <w:sz w:val="28"/>
                <w:szCs w:val="28"/>
              </w:rPr>
            </w:pPr>
            <w:r w:rsidRPr="0005564B">
              <w:rPr>
                <w:rFonts w:hint="eastAsia"/>
                <w:sz w:val="28"/>
                <w:szCs w:val="28"/>
              </w:rPr>
              <w:t>201.58</w:t>
            </w:r>
          </w:p>
        </w:tc>
        <w:tc>
          <w:tcPr>
            <w:tcW w:w="2126" w:type="dxa"/>
            <w:vAlign w:val="center"/>
          </w:tcPr>
          <w:p w:rsidR="00E73BC3" w:rsidRPr="0005564B" w:rsidRDefault="00E73BC3" w:rsidP="00CC54C4">
            <w:pPr>
              <w:jc w:val="center"/>
              <w:rPr>
                <w:sz w:val="28"/>
                <w:szCs w:val="28"/>
              </w:rPr>
            </w:pPr>
            <w:r w:rsidRPr="0005564B">
              <w:rPr>
                <w:rFonts w:hint="eastAsia"/>
                <w:sz w:val="28"/>
                <w:szCs w:val="28"/>
              </w:rPr>
              <w:t>233.43</w:t>
            </w:r>
          </w:p>
        </w:tc>
        <w:tc>
          <w:tcPr>
            <w:tcW w:w="1929" w:type="dxa"/>
            <w:vAlign w:val="center"/>
          </w:tcPr>
          <w:p w:rsidR="00E73BC3" w:rsidRPr="0005564B" w:rsidRDefault="00E73BC3" w:rsidP="00CC54C4">
            <w:pPr>
              <w:jc w:val="center"/>
              <w:rPr>
                <w:sz w:val="28"/>
                <w:szCs w:val="28"/>
              </w:rPr>
            </w:pPr>
            <w:r w:rsidRPr="0005564B">
              <w:rPr>
                <w:rFonts w:hint="eastAsia"/>
                <w:sz w:val="28"/>
                <w:szCs w:val="28"/>
              </w:rPr>
              <w:t>257.81</w:t>
            </w:r>
          </w:p>
        </w:tc>
      </w:tr>
    </w:tbl>
    <w:p w:rsidR="00E73BC3" w:rsidRPr="0005564B" w:rsidRDefault="00E73BC3" w:rsidP="008A108E">
      <w:pPr>
        <w:pStyle w:val="af5"/>
        <w:spacing w:beforeLines="15" w:before="68" w:after="0" w:line="300" w:lineRule="exact"/>
        <w:ind w:leftChars="-37" w:left="522" w:hangingChars="270" w:hanging="648"/>
        <w:rPr>
          <w:sz w:val="24"/>
          <w:szCs w:val="24"/>
          <w:lang w:eastAsia="zh-HK"/>
        </w:rPr>
      </w:pPr>
      <w:r w:rsidRPr="0005564B">
        <w:rPr>
          <w:rFonts w:hint="eastAsia"/>
          <w:sz w:val="24"/>
          <w:szCs w:val="24"/>
          <w:lang w:eastAsia="zh-HK"/>
        </w:rPr>
        <w:t>備註：</w:t>
      </w:r>
      <w:r w:rsidRPr="0005564B">
        <w:rPr>
          <w:rFonts w:hint="eastAsia"/>
          <w:sz w:val="24"/>
          <w:szCs w:val="24"/>
        </w:rPr>
        <w:t>1.</w:t>
      </w:r>
      <w:r w:rsidRPr="0005564B">
        <w:rPr>
          <w:rFonts w:hint="eastAsia"/>
          <w:sz w:val="24"/>
          <w:szCs w:val="24"/>
          <w:lang w:eastAsia="zh-HK"/>
        </w:rPr>
        <w:t>不含補充保險費。</w:t>
      </w:r>
    </w:p>
    <w:p w:rsidR="00E73BC3" w:rsidRPr="0005564B" w:rsidRDefault="00E73BC3" w:rsidP="008A108E">
      <w:pPr>
        <w:pStyle w:val="af5"/>
        <w:spacing w:before="0" w:after="0" w:line="300" w:lineRule="exact"/>
        <w:ind w:leftChars="153" w:left="520" w:firstLineChars="10" w:firstLine="24"/>
        <w:rPr>
          <w:sz w:val="24"/>
          <w:szCs w:val="24"/>
          <w:lang w:eastAsia="zh-HK"/>
        </w:rPr>
      </w:pPr>
      <w:r w:rsidRPr="0005564B">
        <w:rPr>
          <w:rFonts w:hint="eastAsia"/>
          <w:sz w:val="24"/>
          <w:szCs w:val="24"/>
        </w:rPr>
        <w:t>2.</w:t>
      </w:r>
      <w:r w:rsidRPr="0005564B">
        <w:rPr>
          <w:rFonts w:hint="eastAsia"/>
          <w:sz w:val="24"/>
          <w:szCs w:val="24"/>
          <w:lang w:eastAsia="zh-HK"/>
        </w:rPr>
        <w:t>計算期間為保險費在5年請求權期間資料。</w:t>
      </w:r>
    </w:p>
    <w:p w:rsidR="00E73BC3" w:rsidRDefault="00E73BC3" w:rsidP="008A108E">
      <w:pPr>
        <w:pStyle w:val="af5"/>
        <w:spacing w:before="0" w:after="0" w:line="300" w:lineRule="exact"/>
        <w:ind w:leftChars="-37" w:left="522" w:hangingChars="270" w:hanging="648"/>
        <w:rPr>
          <w:sz w:val="24"/>
          <w:szCs w:val="24"/>
        </w:rPr>
      </w:pPr>
      <w:r w:rsidRPr="0005564B">
        <w:rPr>
          <w:rFonts w:hint="eastAsia"/>
          <w:sz w:val="24"/>
          <w:szCs w:val="24"/>
          <w:lang w:eastAsia="zh-HK"/>
        </w:rPr>
        <w:t>資料來源：衛福部。</w:t>
      </w:r>
    </w:p>
    <w:p w:rsidR="003B110E" w:rsidRPr="0005564B" w:rsidRDefault="003B110E" w:rsidP="003B110E">
      <w:pPr>
        <w:pStyle w:val="af5"/>
        <w:spacing w:before="0" w:after="0" w:line="300" w:lineRule="exact"/>
        <w:ind w:leftChars="-37" w:left="630" w:hangingChars="270" w:hanging="756"/>
      </w:pPr>
    </w:p>
    <w:p w:rsidR="00E73BC3" w:rsidRPr="0005564B" w:rsidRDefault="00E73BC3" w:rsidP="00A83272">
      <w:pPr>
        <w:pStyle w:val="4"/>
        <w:numPr>
          <w:ilvl w:val="3"/>
          <w:numId w:val="1"/>
        </w:numPr>
        <w:spacing w:line="420" w:lineRule="exact"/>
      </w:pPr>
      <w:r w:rsidRPr="0005564B">
        <w:rPr>
          <w:rFonts w:hint="eastAsia"/>
        </w:rPr>
        <w:t>健保署為防杜蓄意積欠健保費者，已強化與法務部行政執行署溝通協調，針對有清償能力者加強催收，實施全面解卡措施前、後之執行命令數及收回金額數均增加。</w:t>
      </w:r>
    </w:p>
    <w:p w:rsidR="00E73BC3" w:rsidRPr="0005564B" w:rsidRDefault="00E73BC3" w:rsidP="00E73BC3">
      <w:pPr>
        <w:pStyle w:val="a3"/>
        <w:jc w:val="center"/>
        <w:rPr>
          <w:b/>
        </w:rPr>
      </w:pPr>
      <w:r w:rsidRPr="0005564B">
        <w:rPr>
          <w:rFonts w:hint="eastAsia"/>
          <w:b/>
        </w:rPr>
        <w:t>健保署實施全面解卡措施前、後之欠費執行及追討情形表</w:t>
      </w:r>
    </w:p>
    <w:p w:rsidR="00E73BC3" w:rsidRPr="0005564B" w:rsidRDefault="00E73BC3" w:rsidP="00E73BC3">
      <w:pPr>
        <w:spacing w:line="280" w:lineRule="exact"/>
        <w:ind w:rightChars="-9" w:right="-31"/>
        <w:jc w:val="right"/>
        <w:rPr>
          <w:sz w:val="24"/>
          <w:szCs w:val="24"/>
        </w:rPr>
      </w:pPr>
      <w:r w:rsidRPr="0005564B">
        <w:rPr>
          <w:rFonts w:hint="eastAsia"/>
          <w:sz w:val="24"/>
          <w:szCs w:val="24"/>
        </w:rPr>
        <w:t>單位：萬件、億元</w:t>
      </w:r>
    </w:p>
    <w:tbl>
      <w:tblPr>
        <w:tblStyle w:val="af6"/>
        <w:tblW w:w="0" w:type="auto"/>
        <w:tblLook w:val="04A0" w:firstRow="1" w:lastRow="0" w:firstColumn="1" w:lastColumn="0" w:noHBand="0" w:noVBand="1"/>
      </w:tblPr>
      <w:tblGrid>
        <w:gridCol w:w="2744"/>
        <w:gridCol w:w="2027"/>
        <w:gridCol w:w="2031"/>
        <w:gridCol w:w="2032"/>
      </w:tblGrid>
      <w:tr w:rsidR="0005564B" w:rsidRPr="0005564B" w:rsidTr="00CC54C4">
        <w:tc>
          <w:tcPr>
            <w:tcW w:w="2802" w:type="dxa"/>
            <w:vMerge w:val="restart"/>
            <w:vAlign w:val="center"/>
          </w:tcPr>
          <w:p w:rsidR="00E73BC3" w:rsidRPr="0005564B" w:rsidRDefault="00E73BC3" w:rsidP="00CC54C4">
            <w:pPr>
              <w:jc w:val="center"/>
              <w:rPr>
                <w:sz w:val="28"/>
                <w:szCs w:val="28"/>
              </w:rPr>
            </w:pPr>
            <w:r w:rsidRPr="0005564B">
              <w:rPr>
                <w:rFonts w:hint="eastAsia"/>
                <w:sz w:val="28"/>
                <w:szCs w:val="28"/>
              </w:rPr>
              <w:t>項目</w:t>
            </w:r>
          </w:p>
        </w:tc>
        <w:tc>
          <w:tcPr>
            <w:tcW w:w="2060" w:type="dxa"/>
            <w:vAlign w:val="center"/>
          </w:tcPr>
          <w:p w:rsidR="00E73BC3" w:rsidRPr="0005564B" w:rsidRDefault="00E73BC3" w:rsidP="00CC54C4">
            <w:pPr>
              <w:jc w:val="center"/>
              <w:rPr>
                <w:sz w:val="28"/>
                <w:szCs w:val="28"/>
              </w:rPr>
            </w:pPr>
            <w:r w:rsidRPr="0005564B">
              <w:rPr>
                <w:rFonts w:hint="eastAsia"/>
                <w:sz w:val="28"/>
                <w:szCs w:val="28"/>
              </w:rPr>
              <w:t>全面解卡前</w:t>
            </w:r>
          </w:p>
        </w:tc>
        <w:tc>
          <w:tcPr>
            <w:tcW w:w="4121" w:type="dxa"/>
            <w:gridSpan w:val="2"/>
            <w:vAlign w:val="center"/>
          </w:tcPr>
          <w:p w:rsidR="00E73BC3" w:rsidRPr="0005564B" w:rsidRDefault="00E73BC3" w:rsidP="00CC54C4">
            <w:pPr>
              <w:jc w:val="center"/>
              <w:rPr>
                <w:sz w:val="28"/>
                <w:szCs w:val="28"/>
              </w:rPr>
            </w:pPr>
            <w:r w:rsidRPr="0005564B">
              <w:rPr>
                <w:rFonts w:hint="eastAsia"/>
                <w:sz w:val="28"/>
                <w:szCs w:val="28"/>
              </w:rPr>
              <w:t>全面解卡後</w:t>
            </w:r>
          </w:p>
        </w:tc>
      </w:tr>
      <w:tr w:rsidR="0005564B" w:rsidRPr="0005564B" w:rsidTr="00CC54C4">
        <w:tc>
          <w:tcPr>
            <w:tcW w:w="2802" w:type="dxa"/>
            <w:vMerge/>
            <w:vAlign w:val="center"/>
          </w:tcPr>
          <w:p w:rsidR="00E73BC3" w:rsidRPr="0005564B" w:rsidRDefault="00E73BC3" w:rsidP="00CC54C4">
            <w:pPr>
              <w:jc w:val="center"/>
              <w:rPr>
                <w:sz w:val="28"/>
                <w:szCs w:val="28"/>
              </w:rPr>
            </w:pPr>
          </w:p>
        </w:tc>
        <w:tc>
          <w:tcPr>
            <w:tcW w:w="2060" w:type="dxa"/>
            <w:vAlign w:val="center"/>
          </w:tcPr>
          <w:p w:rsidR="00E73BC3" w:rsidRPr="0005564B" w:rsidRDefault="00E73BC3" w:rsidP="00CC54C4">
            <w:pPr>
              <w:jc w:val="center"/>
              <w:rPr>
                <w:sz w:val="28"/>
                <w:szCs w:val="28"/>
              </w:rPr>
            </w:pPr>
            <w:r w:rsidRPr="0005564B">
              <w:rPr>
                <w:rFonts w:hint="eastAsia"/>
                <w:sz w:val="28"/>
                <w:szCs w:val="28"/>
              </w:rPr>
              <w:t>105年</w:t>
            </w:r>
          </w:p>
        </w:tc>
        <w:tc>
          <w:tcPr>
            <w:tcW w:w="2060" w:type="dxa"/>
            <w:vAlign w:val="center"/>
          </w:tcPr>
          <w:p w:rsidR="00E73BC3" w:rsidRPr="0005564B" w:rsidRDefault="00E73BC3" w:rsidP="00CC54C4">
            <w:pPr>
              <w:jc w:val="center"/>
              <w:rPr>
                <w:sz w:val="28"/>
                <w:szCs w:val="28"/>
              </w:rPr>
            </w:pPr>
            <w:r w:rsidRPr="0005564B">
              <w:rPr>
                <w:rFonts w:hint="eastAsia"/>
                <w:sz w:val="28"/>
                <w:szCs w:val="28"/>
              </w:rPr>
              <w:t>106年</w:t>
            </w:r>
          </w:p>
        </w:tc>
        <w:tc>
          <w:tcPr>
            <w:tcW w:w="2061" w:type="dxa"/>
            <w:vAlign w:val="center"/>
          </w:tcPr>
          <w:p w:rsidR="00E73BC3" w:rsidRPr="0005564B" w:rsidRDefault="00E73BC3" w:rsidP="00CC54C4">
            <w:pPr>
              <w:jc w:val="center"/>
              <w:rPr>
                <w:sz w:val="28"/>
                <w:szCs w:val="28"/>
              </w:rPr>
            </w:pPr>
            <w:r w:rsidRPr="0005564B">
              <w:rPr>
                <w:rFonts w:hint="eastAsia"/>
                <w:sz w:val="28"/>
                <w:szCs w:val="28"/>
              </w:rPr>
              <w:t>107年</w:t>
            </w:r>
          </w:p>
        </w:tc>
      </w:tr>
      <w:tr w:rsidR="0005564B" w:rsidRPr="0005564B" w:rsidTr="00CC54C4">
        <w:tc>
          <w:tcPr>
            <w:tcW w:w="2802" w:type="dxa"/>
            <w:vAlign w:val="center"/>
          </w:tcPr>
          <w:p w:rsidR="00E73BC3" w:rsidRPr="0005564B" w:rsidRDefault="00E73BC3" w:rsidP="00CC54C4">
            <w:pPr>
              <w:jc w:val="center"/>
              <w:rPr>
                <w:sz w:val="28"/>
                <w:szCs w:val="28"/>
              </w:rPr>
            </w:pPr>
            <w:r w:rsidRPr="0005564B">
              <w:rPr>
                <w:rFonts w:hint="eastAsia"/>
                <w:sz w:val="28"/>
                <w:szCs w:val="28"/>
              </w:rPr>
              <w:t>執行命令數(萬件)</w:t>
            </w:r>
          </w:p>
        </w:tc>
        <w:tc>
          <w:tcPr>
            <w:tcW w:w="2060" w:type="dxa"/>
            <w:vAlign w:val="center"/>
          </w:tcPr>
          <w:p w:rsidR="00E73BC3" w:rsidRPr="0005564B" w:rsidRDefault="00E73BC3" w:rsidP="00CC54C4">
            <w:pPr>
              <w:jc w:val="center"/>
              <w:rPr>
                <w:sz w:val="28"/>
                <w:szCs w:val="28"/>
              </w:rPr>
            </w:pPr>
            <w:r w:rsidRPr="0005564B">
              <w:rPr>
                <w:rFonts w:hint="eastAsia"/>
                <w:sz w:val="28"/>
                <w:szCs w:val="28"/>
              </w:rPr>
              <w:t>9.7</w:t>
            </w:r>
          </w:p>
        </w:tc>
        <w:tc>
          <w:tcPr>
            <w:tcW w:w="2060" w:type="dxa"/>
            <w:vAlign w:val="center"/>
          </w:tcPr>
          <w:p w:rsidR="00E73BC3" w:rsidRPr="0005564B" w:rsidRDefault="00E73BC3" w:rsidP="00CC54C4">
            <w:pPr>
              <w:jc w:val="center"/>
              <w:rPr>
                <w:sz w:val="28"/>
                <w:szCs w:val="28"/>
              </w:rPr>
            </w:pPr>
            <w:r w:rsidRPr="0005564B">
              <w:rPr>
                <w:rFonts w:hint="eastAsia"/>
                <w:sz w:val="28"/>
                <w:szCs w:val="28"/>
              </w:rPr>
              <w:t>15.0</w:t>
            </w:r>
          </w:p>
        </w:tc>
        <w:tc>
          <w:tcPr>
            <w:tcW w:w="2061" w:type="dxa"/>
            <w:vAlign w:val="center"/>
          </w:tcPr>
          <w:p w:rsidR="00E73BC3" w:rsidRPr="0005564B" w:rsidRDefault="00E73BC3" w:rsidP="00CC54C4">
            <w:pPr>
              <w:jc w:val="center"/>
              <w:rPr>
                <w:sz w:val="28"/>
                <w:szCs w:val="28"/>
              </w:rPr>
            </w:pPr>
            <w:r w:rsidRPr="0005564B">
              <w:rPr>
                <w:rFonts w:hint="eastAsia"/>
                <w:sz w:val="28"/>
                <w:szCs w:val="28"/>
              </w:rPr>
              <w:t>18.2</w:t>
            </w:r>
          </w:p>
        </w:tc>
      </w:tr>
      <w:tr w:rsidR="0005564B" w:rsidRPr="0005564B" w:rsidTr="00CC54C4">
        <w:tc>
          <w:tcPr>
            <w:tcW w:w="2802" w:type="dxa"/>
            <w:vAlign w:val="center"/>
          </w:tcPr>
          <w:p w:rsidR="00E73BC3" w:rsidRPr="0005564B" w:rsidRDefault="00E73BC3" w:rsidP="00CC54C4">
            <w:pPr>
              <w:jc w:val="center"/>
              <w:rPr>
                <w:sz w:val="28"/>
                <w:szCs w:val="28"/>
              </w:rPr>
            </w:pPr>
            <w:r w:rsidRPr="0005564B">
              <w:rPr>
                <w:rFonts w:hint="eastAsia"/>
                <w:sz w:val="28"/>
                <w:szCs w:val="28"/>
              </w:rPr>
              <w:t>收回金額(億元)</w:t>
            </w:r>
          </w:p>
        </w:tc>
        <w:tc>
          <w:tcPr>
            <w:tcW w:w="2060" w:type="dxa"/>
            <w:vAlign w:val="center"/>
          </w:tcPr>
          <w:p w:rsidR="00E73BC3" w:rsidRPr="0005564B" w:rsidRDefault="00E73BC3" w:rsidP="00CC54C4">
            <w:pPr>
              <w:jc w:val="center"/>
              <w:rPr>
                <w:sz w:val="28"/>
                <w:szCs w:val="28"/>
              </w:rPr>
            </w:pPr>
            <w:r w:rsidRPr="0005564B">
              <w:rPr>
                <w:rFonts w:hint="eastAsia"/>
                <w:sz w:val="28"/>
                <w:szCs w:val="28"/>
              </w:rPr>
              <w:t>7.10</w:t>
            </w:r>
          </w:p>
        </w:tc>
        <w:tc>
          <w:tcPr>
            <w:tcW w:w="2060" w:type="dxa"/>
            <w:vAlign w:val="center"/>
          </w:tcPr>
          <w:p w:rsidR="00E73BC3" w:rsidRPr="0005564B" w:rsidRDefault="00E73BC3" w:rsidP="00CC54C4">
            <w:pPr>
              <w:jc w:val="center"/>
              <w:rPr>
                <w:sz w:val="28"/>
                <w:szCs w:val="28"/>
              </w:rPr>
            </w:pPr>
            <w:r w:rsidRPr="0005564B">
              <w:rPr>
                <w:rFonts w:hint="eastAsia"/>
                <w:sz w:val="28"/>
                <w:szCs w:val="28"/>
              </w:rPr>
              <w:t>12.16</w:t>
            </w:r>
          </w:p>
        </w:tc>
        <w:tc>
          <w:tcPr>
            <w:tcW w:w="2061" w:type="dxa"/>
            <w:vAlign w:val="center"/>
          </w:tcPr>
          <w:p w:rsidR="00E73BC3" w:rsidRPr="0005564B" w:rsidRDefault="00E73BC3" w:rsidP="00CC54C4">
            <w:pPr>
              <w:jc w:val="center"/>
              <w:rPr>
                <w:sz w:val="28"/>
                <w:szCs w:val="28"/>
              </w:rPr>
            </w:pPr>
            <w:r w:rsidRPr="0005564B">
              <w:rPr>
                <w:rFonts w:hint="eastAsia"/>
                <w:sz w:val="28"/>
                <w:szCs w:val="28"/>
              </w:rPr>
              <w:t>15.55</w:t>
            </w:r>
          </w:p>
        </w:tc>
      </w:tr>
    </w:tbl>
    <w:p w:rsidR="00E73BC3" w:rsidRPr="0005564B" w:rsidRDefault="00E73BC3" w:rsidP="008A108E">
      <w:pPr>
        <w:pStyle w:val="af5"/>
        <w:spacing w:before="0" w:after="0" w:line="300" w:lineRule="exact"/>
        <w:ind w:leftChars="-37" w:left="522" w:rightChars="-5" w:right="-17" w:hangingChars="270" w:hanging="648"/>
        <w:rPr>
          <w:sz w:val="24"/>
          <w:szCs w:val="24"/>
        </w:rPr>
      </w:pPr>
      <w:r w:rsidRPr="0005564B">
        <w:rPr>
          <w:rFonts w:hint="eastAsia"/>
          <w:sz w:val="24"/>
          <w:szCs w:val="24"/>
        </w:rPr>
        <w:t>資料來源：衛福部。</w:t>
      </w:r>
    </w:p>
    <w:p w:rsidR="000C0DD7" w:rsidRPr="0005564B" w:rsidRDefault="000C0DD7" w:rsidP="00E73BC3">
      <w:pPr>
        <w:pStyle w:val="af5"/>
        <w:spacing w:before="0" w:after="0" w:line="280" w:lineRule="exact"/>
        <w:ind w:leftChars="-37" w:left="630" w:rightChars="-5" w:right="-17" w:hangingChars="270" w:hanging="756"/>
      </w:pPr>
    </w:p>
    <w:p w:rsidR="00BF6096" w:rsidRPr="0005564B" w:rsidRDefault="00E73BC3" w:rsidP="00E73BC3">
      <w:pPr>
        <w:pStyle w:val="3"/>
        <w:rPr>
          <w:rFonts w:hAnsi="標楷體"/>
          <w:szCs w:val="32"/>
        </w:rPr>
      </w:pPr>
      <w:bookmarkStart w:id="174" w:name="_Toc8659632"/>
      <w:bookmarkStart w:id="175" w:name="_Toc9058341"/>
      <w:bookmarkStart w:id="176" w:name="_Toc10027570"/>
      <w:bookmarkStart w:id="177" w:name="_Toc10054263"/>
      <w:bookmarkStart w:id="178" w:name="_Toc10066368"/>
      <w:r w:rsidRPr="0005564B">
        <w:rPr>
          <w:rFonts w:hint="eastAsia"/>
        </w:rPr>
        <w:t>按</w:t>
      </w:r>
      <w:r w:rsidRPr="0005564B">
        <w:t>全民健保為自助互助</w:t>
      </w:r>
      <w:r w:rsidRPr="0005564B">
        <w:rPr>
          <w:rFonts w:hint="eastAsia"/>
        </w:rPr>
        <w:t>之</w:t>
      </w:r>
      <w:r w:rsidRPr="0005564B">
        <w:t>社會保險</w:t>
      </w:r>
      <w:r w:rsidRPr="0005564B">
        <w:rPr>
          <w:rFonts w:hint="eastAsia"/>
        </w:rPr>
        <w:t>，</w:t>
      </w:r>
      <w:r w:rsidRPr="0005564B">
        <w:t>健保財源必須來自民眾、雇主及政府等共同分攤，因此民眾</w:t>
      </w:r>
      <w:r w:rsidRPr="0005564B">
        <w:rPr>
          <w:rFonts w:hint="eastAsia"/>
        </w:rPr>
        <w:t>具有</w:t>
      </w:r>
      <w:r w:rsidRPr="0005564B">
        <w:t>享受健保保障</w:t>
      </w:r>
      <w:r w:rsidRPr="0005564B">
        <w:rPr>
          <w:rFonts w:hint="eastAsia"/>
        </w:rPr>
        <w:t>之</w:t>
      </w:r>
      <w:r w:rsidRPr="0005564B">
        <w:t>權利，</w:t>
      </w:r>
      <w:r w:rsidRPr="0005564B">
        <w:rPr>
          <w:rFonts w:hint="eastAsia"/>
        </w:rPr>
        <w:t>亦</w:t>
      </w:r>
      <w:r w:rsidRPr="0005564B">
        <w:t>有繳納健保費</w:t>
      </w:r>
      <w:r w:rsidRPr="0005564B">
        <w:rPr>
          <w:rFonts w:hint="eastAsia"/>
        </w:rPr>
        <w:t>之</w:t>
      </w:r>
      <w:r w:rsidRPr="0005564B">
        <w:t>義務</w:t>
      </w:r>
      <w:r w:rsidRPr="0005564B">
        <w:rPr>
          <w:rFonts w:hint="eastAsia"/>
        </w:rPr>
        <w:t>。實</w:t>
      </w:r>
      <w:r w:rsidRPr="0005564B">
        <w:rPr>
          <w:rFonts w:hint="eastAsia"/>
        </w:rPr>
        <w:lastRenderedPageBreak/>
        <w:t>施全面解卡後，對蓄意拒繳健保欠費者，無法</w:t>
      </w:r>
      <w:r w:rsidRPr="0005564B">
        <w:t>針對欠費民眾</w:t>
      </w:r>
      <w:r w:rsidRPr="0005564B">
        <w:rPr>
          <w:rFonts w:hint="eastAsia"/>
        </w:rPr>
        <w:t>暫行停止保險給付</w:t>
      </w:r>
      <w:r w:rsidRPr="0005564B">
        <w:t>（健保卡鎖卡）</w:t>
      </w:r>
      <w:r w:rsidRPr="0005564B">
        <w:rPr>
          <w:rFonts w:hint="eastAsia"/>
        </w:rPr>
        <w:t>，端賴欠費催繳、加徵滯納金及移送行政執行，以</w:t>
      </w:r>
      <w:r w:rsidRPr="0005564B">
        <w:t>促使民眾按時繳納保費</w:t>
      </w:r>
      <w:r w:rsidRPr="0005564B">
        <w:rPr>
          <w:rFonts w:hint="eastAsia"/>
        </w:rPr>
        <w:t>。如106年度中央政府總決算審核報告所指，健保全面解卡後，</w:t>
      </w:r>
      <w:r w:rsidRPr="0005564B">
        <w:t>106年底</w:t>
      </w:r>
      <w:r w:rsidRPr="0005564B">
        <w:rPr>
          <w:rFonts w:hint="eastAsia"/>
        </w:rPr>
        <w:t>健保</w:t>
      </w:r>
      <w:r w:rsidRPr="0005564B">
        <w:t>欠費金額增為233億餘元，1年間增幅約10.76</w:t>
      </w:r>
      <w:r w:rsidRPr="0005564B">
        <w:rPr>
          <w:rFonts w:hint="eastAsia"/>
        </w:rPr>
        <w:t>%</w:t>
      </w:r>
      <w:r w:rsidRPr="0005564B">
        <w:t>，較以往年度為高</w:t>
      </w:r>
      <w:r w:rsidR="004C2131" w:rsidRPr="0005564B">
        <w:rPr>
          <w:rFonts w:hint="eastAsia"/>
        </w:rPr>
        <w:t>，</w:t>
      </w:r>
      <w:r w:rsidR="004C2131" w:rsidRPr="0005564B">
        <w:rPr>
          <w:rFonts w:hint="eastAsia"/>
          <w:lang w:eastAsia="zh-HK"/>
        </w:rPr>
        <w:t>而</w:t>
      </w:r>
      <w:r w:rsidRPr="0005564B">
        <w:rPr>
          <w:rFonts w:hAnsi="標楷體"/>
          <w:szCs w:val="32"/>
        </w:rPr>
        <w:t>保險對象當年度</w:t>
      </w:r>
      <w:r w:rsidRPr="0005564B">
        <w:rPr>
          <w:rFonts w:hAnsi="標楷體" w:hint="eastAsia"/>
          <w:szCs w:val="32"/>
        </w:rPr>
        <w:t>保費</w:t>
      </w:r>
      <w:r w:rsidRPr="0005564B">
        <w:rPr>
          <w:rFonts w:hAnsi="標楷體"/>
          <w:szCs w:val="32"/>
        </w:rPr>
        <w:t>收繳率106年降為69.72</w:t>
      </w:r>
      <w:r w:rsidRPr="0005564B">
        <w:rPr>
          <w:rFonts w:hAnsi="標楷體" w:hint="eastAsia"/>
          <w:szCs w:val="32"/>
        </w:rPr>
        <w:t>%等情，健保署除加強蓄意欠費者相關催繳機制外，</w:t>
      </w:r>
      <w:r w:rsidR="00CC54C4" w:rsidRPr="0005564B">
        <w:rPr>
          <w:rFonts w:hAnsi="標楷體" w:hint="eastAsia"/>
          <w:szCs w:val="32"/>
        </w:rPr>
        <w:t>仍</w:t>
      </w:r>
      <w:r w:rsidRPr="0005564B">
        <w:rPr>
          <w:rFonts w:hAnsi="標楷體" w:hint="eastAsia"/>
          <w:szCs w:val="32"/>
        </w:rPr>
        <w:t>允宜持續追蹤</w:t>
      </w:r>
      <w:r w:rsidRPr="0005564B">
        <w:rPr>
          <w:rFonts w:hint="eastAsia"/>
        </w:rPr>
        <w:t>健保全面解卡</w:t>
      </w:r>
      <w:r w:rsidRPr="0005564B">
        <w:rPr>
          <w:rFonts w:hAnsi="標楷體" w:hint="eastAsia"/>
          <w:szCs w:val="32"/>
        </w:rPr>
        <w:t>後相關欠費變化情形</w:t>
      </w:r>
      <w:r w:rsidR="00CC54C4" w:rsidRPr="0005564B">
        <w:rPr>
          <w:rFonts w:hAnsi="標楷體" w:hint="eastAsia"/>
          <w:szCs w:val="32"/>
        </w:rPr>
        <w:t>，</w:t>
      </w:r>
      <w:r w:rsidR="0061528C" w:rsidRPr="0005564B">
        <w:rPr>
          <w:rFonts w:hAnsi="標楷體" w:hint="eastAsia"/>
          <w:szCs w:val="32"/>
        </w:rPr>
        <w:t>包括</w:t>
      </w:r>
      <w:r w:rsidR="0061528C" w:rsidRPr="0005564B">
        <w:rPr>
          <w:rFonts w:hint="eastAsia"/>
          <w:kern w:val="0"/>
        </w:rPr>
        <w:t>欠費對象之分析，</w:t>
      </w:r>
      <w:r w:rsidR="00B275BA" w:rsidRPr="0005564B">
        <w:rPr>
          <w:rFonts w:hint="eastAsia"/>
          <w:kern w:val="0"/>
        </w:rPr>
        <w:t>縣市、投保單位、弱勢欠費金額</w:t>
      </w:r>
      <w:r w:rsidR="0047719C" w:rsidRPr="0005564B">
        <w:rPr>
          <w:rFonts w:hAnsi="標楷體" w:hint="eastAsia"/>
          <w:szCs w:val="32"/>
        </w:rPr>
        <w:t>等欠費者背景及欠費原因</w:t>
      </w:r>
      <w:r w:rsidRPr="0005564B">
        <w:rPr>
          <w:rFonts w:hAnsi="標楷體" w:hint="eastAsia"/>
          <w:szCs w:val="32"/>
        </w:rPr>
        <w:t>資訊</w:t>
      </w:r>
      <w:r w:rsidR="00B275BA" w:rsidRPr="0005564B">
        <w:rPr>
          <w:rFonts w:hAnsi="標楷體" w:hint="eastAsia"/>
          <w:szCs w:val="32"/>
        </w:rPr>
        <w:t>，</w:t>
      </w:r>
      <w:r w:rsidRPr="0005564B">
        <w:rPr>
          <w:rFonts w:hAnsi="標楷體" w:hint="eastAsia"/>
          <w:szCs w:val="32"/>
        </w:rPr>
        <w:t>以瞭解</w:t>
      </w:r>
      <w:r w:rsidR="00B275BA" w:rsidRPr="0005564B">
        <w:rPr>
          <w:rFonts w:hAnsi="標楷體" w:hint="eastAsia"/>
          <w:szCs w:val="32"/>
        </w:rPr>
        <w:t>蓄意欠費有無異常增加，</w:t>
      </w:r>
      <w:r w:rsidRPr="0005564B">
        <w:rPr>
          <w:rFonts w:hAnsi="標楷體" w:hint="eastAsia"/>
          <w:szCs w:val="32"/>
        </w:rPr>
        <w:t>蓄意欠費者、無能力繳費者、弱勢或近貧欠費者</w:t>
      </w:r>
      <w:r w:rsidR="00B275BA" w:rsidRPr="0005564B">
        <w:rPr>
          <w:rFonts w:hAnsi="標楷體" w:hint="eastAsia"/>
          <w:szCs w:val="32"/>
        </w:rPr>
        <w:t>之變化情形，</w:t>
      </w:r>
      <w:r w:rsidRPr="0005564B">
        <w:rPr>
          <w:rFonts w:hAnsi="標楷體" w:hint="eastAsia"/>
          <w:szCs w:val="32"/>
        </w:rPr>
        <w:t>俾免政策美意反造成蓄意欠費者增加，形成健保財務漏洞，亦違反社會保險量能負擔之公平原則。</w:t>
      </w:r>
      <w:bookmarkEnd w:id="174"/>
      <w:bookmarkEnd w:id="175"/>
      <w:bookmarkEnd w:id="176"/>
      <w:bookmarkEnd w:id="177"/>
      <w:bookmarkEnd w:id="178"/>
    </w:p>
    <w:p w:rsidR="00E85D82" w:rsidRPr="0005564B" w:rsidRDefault="00E85D82" w:rsidP="00E85D82">
      <w:pPr>
        <w:pStyle w:val="3"/>
        <w:numPr>
          <w:ilvl w:val="0"/>
          <w:numId w:val="0"/>
        </w:numPr>
        <w:ind w:left="1361"/>
      </w:pPr>
    </w:p>
    <w:p w:rsidR="00E85D82" w:rsidRPr="0005564B" w:rsidRDefault="00E85D82" w:rsidP="00E85D82">
      <w:pPr>
        <w:pStyle w:val="2"/>
        <w:rPr>
          <w:b/>
        </w:rPr>
      </w:pPr>
      <w:bookmarkStart w:id="179" w:name="_Toc9078578"/>
      <w:bookmarkStart w:id="180" w:name="_Toc10066351"/>
      <w:bookmarkStart w:id="181" w:name="_Toc10295283"/>
      <w:r w:rsidRPr="0005564B">
        <w:rPr>
          <w:rFonts w:hint="eastAsia"/>
          <w:b/>
          <w:lang w:eastAsia="zh-HK"/>
        </w:rPr>
        <w:t>透過</w:t>
      </w:r>
      <w:r w:rsidRPr="0005564B">
        <w:rPr>
          <w:rFonts w:hint="eastAsia"/>
          <w:b/>
        </w:rPr>
        <w:t>健保抑制資源不當耗用改善方案</w:t>
      </w:r>
      <w:r w:rsidRPr="0005564B">
        <w:rPr>
          <w:rFonts w:hint="eastAsia"/>
          <w:b/>
          <w:kern w:val="0"/>
          <w:lang w:eastAsia="zh-HK"/>
        </w:rPr>
        <w:t>之推動</w:t>
      </w:r>
      <w:r w:rsidRPr="0005564B">
        <w:rPr>
          <w:rFonts w:hint="eastAsia"/>
          <w:b/>
          <w:kern w:val="0"/>
        </w:rPr>
        <w:t>，</w:t>
      </w:r>
      <w:r w:rsidRPr="0005564B">
        <w:rPr>
          <w:rFonts w:hint="eastAsia"/>
          <w:b/>
          <w:kern w:val="0"/>
          <w:lang w:eastAsia="zh-HK"/>
        </w:rPr>
        <w:t>可</w:t>
      </w:r>
      <w:r w:rsidRPr="0005564B">
        <w:rPr>
          <w:rFonts w:hint="eastAsia"/>
          <w:b/>
          <w:kern w:val="0"/>
        </w:rPr>
        <w:t>反映至點值提升，</w:t>
      </w:r>
      <w:r w:rsidRPr="0005564B">
        <w:rPr>
          <w:rFonts w:hint="eastAsia"/>
          <w:b/>
          <w:kern w:val="0"/>
          <w:lang w:eastAsia="zh-HK"/>
        </w:rPr>
        <w:t>落實</w:t>
      </w:r>
      <w:r w:rsidRPr="0005564B">
        <w:rPr>
          <w:rFonts w:hint="eastAsia"/>
          <w:b/>
          <w:kern w:val="0"/>
        </w:rPr>
        <w:t>公平、品質、效率等</w:t>
      </w:r>
      <w:r w:rsidRPr="0005564B">
        <w:rPr>
          <w:rFonts w:hint="eastAsia"/>
          <w:b/>
          <w:kern w:val="0"/>
          <w:lang w:eastAsia="zh-HK"/>
        </w:rPr>
        <w:t>目標；此外，該</w:t>
      </w:r>
      <w:r w:rsidRPr="0005564B">
        <w:rPr>
          <w:rFonts w:hint="eastAsia"/>
          <w:b/>
        </w:rPr>
        <w:t>改善方案每年</w:t>
      </w:r>
      <w:r w:rsidRPr="0005564B">
        <w:rPr>
          <w:rFonts w:hint="eastAsia"/>
          <w:b/>
          <w:lang w:eastAsia="zh-HK"/>
        </w:rPr>
        <w:t>度之</w:t>
      </w:r>
      <w:r w:rsidRPr="0005564B">
        <w:rPr>
          <w:rFonts w:hint="eastAsia"/>
          <w:b/>
        </w:rPr>
        <w:t>執行成果，除提報健保會外，亦於年度</w:t>
      </w:r>
      <w:r w:rsidR="00574DD8" w:rsidRPr="0005564B">
        <w:rPr>
          <w:rFonts w:hint="eastAsia"/>
          <w:b/>
          <w:lang w:eastAsia="zh-HK"/>
        </w:rPr>
        <w:t>健保給付</w:t>
      </w:r>
      <w:r w:rsidRPr="0005564B">
        <w:rPr>
          <w:rFonts w:hint="eastAsia"/>
          <w:b/>
        </w:rPr>
        <w:t>總額協商時列為重要參考資料，</w:t>
      </w:r>
      <w:r w:rsidRPr="0005564B">
        <w:rPr>
          <w:rFonts w:hint="eastAsia"/>
          <w:b/>
          <w:lang w:eastAsia="zh-HK"/>
        </w:rPr>
        <w:t>對</w:t>
      </w:r>
      <w:r w:rsidRPr="0005564B">
        <w:rPr>
          <w:rFonts w:hint="eastAsia"/>
          <w:b/>
        </w:rPr>
        <w:t>於</w:t>
      </w:r>
      <w:r w:rsidRPr="0005564B">
        <w:rPr>
          <w:rFonts w:hint="eastAsia"/>
          <w:b/>
          <w:lang w:eastAsia="zh-HK"/>
        </w:rPr>
        <w:t>改</w:t>
      </w:r>
      <w:r w:rsidRPr="0005564B">
        <w:rPr>
          <w:rFonts w:hint="eastAsia"/>
          <w:b/>
        </w:rPr>
        <w:t>善</w:t>
      </w:r>
      <w:r w:rsidRPr="0005564B">
        <w:rPr>
          <w:rFonts w:hint="eastAsia"/>
          <w:b/>
          <w:lang w:eastAsia="zh-HK"/>
        </w:rPr>
        <w:t>健保財</w:t>
      </w:r>
      <w:r w:rsidRPr="0005564B">
        <w:rPr>
          <w:rFonts w:hint="eastAsia"/>
          <w:b/>
        </w:rPr>
        <w:t>務</w:t>
      </w:r>
      <w:r w:rsidRPr="0005564B">
        <w:rPr>
          <w:rFonts w:hint="eastAsia"/>
          <w:b/>
          <w:lang w:eastAsia="zh-HK"/>
        </w:rPr>
        <w:t>狀</w:t>
      </w:r>
      <w:r w:rsidRPr="0005564B">
        <w:rPr>
          <w:rFonts w:hint="eastAsia"/>
          <w:b/>
        </w:rPr>
        <w:t>況</w:t>
      </w:r>
      <w:r w:rsidRPr="0005564B">
        <w:rPr>
          <w:rFonts w:hint="eastAsia"/>
          <w:b/>
          <w:lang w:eastAsia="zh-HK"/>
        </w:rPr>
        <w:t>，</w:t>
      </w:r>
      <w:r w:rsidRPr="0005564B">
        <w:rPr>
          <w:rFonts w:hint="eastAsia"/>
          <w:b/>
        </w:rPr>
        <w:t>不無助益</w:t>
      </w:r>
      <w:r w:rsidRPr="0005564B">
        <w:rPr>
          <w:rFonts w:hint="eastAsia"/>
          <w:b/>
          <w:lang w:eastAsia="zh-HK"/>
        </w:rPr>
        <w:t>，應予重視並加強辦理</w:t>
      </w:r>
      <w:r w:rsidRPr="0005564B">
        <w:rPr>
          <w:rFonts w:hint="eastAsia"/>
          <w:b/>
        </w:rPr>
        <w:t>。</w:t>
      </w:r>
      <w:bookmarkEnd w:id="179"/>
      <w:bookmarkEnd w:id="180"/>
      <w:r w:rsidRPr="0005564B">
        <w:rPr>
          <w:rFonts w:hint="eastAsia"/>
          <w:b/>
        </w:rPr>
        <w:t>「</w:t>
      </w:r>
      <w:r w:rsidRPr="0005564B">
        <w:rPr>
          <w:b/>
          <w:kern w:val="0"/>
          <w:szCs w:val="36"/>
        </w:rPr>
        <w:t>病人自主權利法</w:t>
      </w:r>
      <w:r w:rsidRPr="0005564B">
        <w:rPr>
          <w:rFonts w:hint="eastAsia"/>
          <w:b/>
        </w:rPr>
        <w:t>」</w:t>
      </w:r>
      <w:r w:rsidRPr="0005564B">
        <w:rPr>
          <w:rFonts w:hint="eastAsia"/>
          <w:b/>
          <w:kern w:val="0"/>
          <w:szCs w:val="36"/>
        </w:rPr>
        <w:t>業已施行</w:t>
      </w:r>
      <w:r w:rsidRPr="0005564B">
        <w:rPr>
          <w:b/>
          <w:kern w:val="0"/>
          <w:szCs w:val="36"/>
        </w:rPr>
        <w:t>，健保署</w:t>
      </w:r>
      <w:r w:rsidRPr="0005564B">
        <w:rPr>
          <w:rFonts w:hint="eastAsia"/>
          <w:b/>
        </w:rPr>
        <w:t>允應針對末期</w:t>
      </w:r>
      <w:r w:rsidRPr="0005564B">
        <w:rPr>
          <w:b/>
          <w:szCs w:val="36"/>
        </w:rPr>
        <w:t>無效醫療提出檢討與</w:t>
      </w:r>
      <w:r w:rsidRPr="0005564B">
        <w:rPr>
          <w:rFonts w:hint="eastAsia"/>
          <w:b/>
        </w:rPr>
        <w:t>具體</w:t>
      </w:r>
      <w:r w:rsidRPr="0005564B">
        <w:rPr>
          <w:b/>
          <w:szCs w:val="36"/>
        </w:rPr>
        <w:t>改善方案</w:t>
      </w:r>
      <w:r w:rsidRPr="0005564B">
        <w:rPr>
          <w:rFonts w:hint="eastAsia"/>
          <w:b/>
        </w:rPr>
        <w:t>，以適當</w:t>
      </w:r>
      <w:r w:rsidRPr="0005564B">
        <w:rPr>
          <w:b/>
          <w:szCs w:val="36"/>
        </w:rPr>
        <w:t>監測數據</w:t>
      </w:r>
      <w:r w:rsidRPr="0005564B">
        <w:rPr>
          <w:rFonts w:hint="eastAsia"/>
          <w:b/>
        </w:rPr>
        <w:t>檢驗</w:t>
      </w:r>
      <w:r w:rsidRPr="0005564B">
        <w:rPr>
          <w:b/>
          <w:szCs w:val="36"/>
        </w:rPr>
        <w:t>改善成效</w:t>
      </w:r>
      <w:r w:rsidRPr="0005564B">
        <w:rPr>
          <w:rFonts w:hint="eastAsia"/>
          <w:b/>
        </w:rPr>
        <w:t>。又，</w:t>
      </w:r>
      <w:r w:rsidRPr="0005564B">
        <w:rPr>
          <w:b/>
          <w:kern w:val="0"/>
          <w:szCs w:val="36"/>
        </w:rPr>
        <w:t>健保署未能參考</w:t>
      </w:r>
      <w:r w:rsidRPr="0005564B">
        <w:rPr>
          <w:rFonts w:hint="eastAsia"/>
          <w:b/>
          <w:kern w:val="0"/>
        </w:rPr>
        <w:t>如</w:t>
      </w:r>
      <w:r w:rsidRPr="0005564B">
        <w:rPr>
          <w:b/>
          <w:kern w:val="0"/>
          <w:szCs w:val="36"/>
        </w:rPr>
        <w:t>美國及加拿大</w:t>
      </w:r>
      <w:r w:rsidRPr="0005564B">
        <w:rPr>
          <w:rFonts w:hint="eastAsia"/>
          <w:b/>
          <w:kern w:val="0"/>
        </w:rPr>
        <w:t>等國家之</w:t>
      </w:r>
      <w:r w:rsidRPr="0005564B">
        <w:rPr>
          <w:b/>
          <w:kern w:val="0"/>
          <w:szCs w:val="36"/>
        </w:rPr>
        <w:t>作法，利用健保給付方式</w:t>
      </w:r>
      <w:r w:rsidRPr="0005564B">
        <w:rPr>
          <w:rFonts w:hint="eastAsia"/>
          <w:b/>
          <w:kern w:val="0"/>
        </w:rPr>
        <w:t>對</w:t>
      </w:r>
      <w:r w:rsidRPr="0005564B">
        <w:rPr>
          <w:b/>
          <w:kern w:val="0"/>
          <w:szCs w:val="36"/>
        </w:rPr>
        <w:t>高齡共病衰老者、癌症病患、失智或失能者，提供預立醫療照護諮商，鼓勵此等族群經諮商後預立醫療計</w:t>
      </w:r>
      <w:r w:rsidRPr="0005564B">
        <w:rPr>
          <w:rFonts w:hint="eastAsia"/>
          <w:b/>
          <w:kern w:val="0"/>
        </w:rPr>
        <w:t>畫</w:t>
      </w:r>
      <w:r w:rsidRPr="0005564B">
        <w:rPr>
          <w:b/>
          <w:kern w:val="0"/>
          <w:szCs w:val="36"/>
        </w:rPr>
        <w:t>以減少</w:t>
      </w:r>
      <w:r w:rsidRPr="0005564B">
        <w:rPr>
          <w:rFonts w:hint="eastAsia"/>
          <w:b/>
          <w:kern w:val="0"/>
          <w:szCs w:val="36"/>
          <w:lang w:eastAsia="zh-HK"/>
        </w:rPr>
        <w:t>持續</w:t>
      </w:r>
      <w:r w:rsidRPr="0005564B">
        <w:rPr>
          <w:b/>
          <w:kern w:val="0"/>
          <w:szCs w:val="36"/>
        </w:rPr>
        <w:t>無效</w:t>
      </w:r>
      <w:r w:rsidRPr="0005564B">
        <w:rPr>
          <w:rFonts w:hint="eastAsia"/>
          <w:b/>
          <w:kern w:val="0"/>
          <w:szCs w:val="36"/>
          <w:lang w:eastAsia="zh-HK"/>
        </w:rPr>
        <w:t>之</w:t>
      </w:r>
      <w:r w:rsidRPr="0005564B">
        <w:rPr>
          <w:b/>
          <w:kern w:val="0"/>
          <w:szCs w:val="36"/>
        </w:rPr>
        <w:t>醫療，</w:t>
      </w:r>
      <w:r w:rsidRPr="0005564B">
        <w:rPr>
          <w:rFonts w:hint="eastAsia"/>
          <w:b/>
          <w:kern w:val="0"/>
          <w:szCs w:val="36"/>
        </w:rPr>
        <w:t>態度</w:t>
      </w:r>
      <w:r w:rsidRPr="0005564B">
        <w:rPr>
          <w:rFonts w:hint="eastAsia"/>
          <w:b/>
          <w:kern w:val="0"/>
          <w:szCs w:val="36"/>
          <w:lang w:eastAsia="zh-HK"/>
        </w:rPr>
        <w:t>顯得</w:t>
      </w:r>
      <w:r w:rsidRPr="0005564B">
        <w:rPr>
          <w:b/>
          <w:kern w:val="0"/>
          <w:szCs w:val="36"/>
        </w:rPr>
        <w:t>消極</w:t>
      </w:r>
      <w:r w:rsidRPr="0005564B">
        <w:rPr>
          <w:rFonts w:hint="eastAsia"/>
          <w:b/>
          <w:kern w:val="0"/>
        </w:rPr>
        <w:t>，</w:t>
      </w:r>
      <w:r w:rsidRPr="0005564B">
        <w:rPr>
          <w:rFonts w:hint="eastAsia"/>
          <w:b/>
          <w:kern w:val="0"/>
          <w:lang w:eastAsia="zh-HK"/>
        </w:rPr>
        <w:t>確</w:t>
      </w:r>
      <w:r w:rsidRPr="0005564B">
        <w:rPr>
          <w:b/>
          <w:kern w:val="0"/>
          <w:szCs w:val="36"/>
        </w:rPr>
        <w:t>有檢討之</w:t>
      </w:r>
      <w:r w:rsidRPr="0005564B">
        <w:rPr>
          <w:rFonts w:hint="eastAsia"/>
          <w:b/>
          <w:kern w:val="0"/>
          <w:szCs w:val="36"/>
          <w:lang w:eastAsia="zh-HK"/>
        </w:rPr>
        <w:t>空間</w:t>
      </w:r>
      <w:r w:rsidRPr="0005564B">
        <w:rPr>
          <w:b/>
          <w:kern w:val="0"/>
          <w:szCs w:val="36"/>
        </w:rPr>
        <w:t>。</w:t>
      </w:r>
      <w:bookmarkEnd w:id="181"/>
    </w:p>
    <w:p w:rsidR="00E85D82" w:rsidRPr="0005564B" w:rsidRDefault="00E85D82" w:rsidP="00E85D82">
      <w:pPr>
        <w:pStyle w:val="3"/>
        <w:numPr>
          <w:ilvl w:val="2"/>
          <w:numId w:val="1"/>
        </w:numPr>
      </w:pPr>
      <w:bookmarkStart w:id="182" w:name="_Toc9058316"/>
      <w:bookmarkStart w:id="183" w:name="_Toc10027554"/>
      <w:bookmarkStart w:id="184" w:name="_Toc10054247"/>
      <w:bookmarkStart w:id="185" w:name="_Toc10066352"/>
      <w:r w:rsidRPr="0005564B">
        <w:rPr>
          <w:rFonts w:hint="eastAsia"/>
        </w:rPr>
        <w:t>造成醫療資源不當耗用因素包括「不足使用」、「不當使用」及「過度使用」，</w:t>
      </w:r>
      <w:r w:rsidRPr="0005564B">
        <w:rPr>
          <w:rFonts w:hint="eastAsia"/>
          <w:lang w:eastAsia="zh-HK"/>
        </w:rPr>
        <w:t>其概</w:t>
      </w:r>
      <w:r w:rsidRPr="0005564B">
        <w:rPr>
          <w:rFonts w:hint="eastAsia"/>
        </w:rPr>
        <w:t>況</w:t>
      </w:r>
      <w:r w:rsidRPr="0005564B">
        <w:rPr>
          <w:rFonts w:hint="eastAsia"/>
          <w:lang w:eastAsia="zh-HK"/>
        </w:rPr>
        <w:t>與檢討情</w:t>
      </w:r>
      <w:r w:rsidRPr="0005564B">
        <w:rPr>
          <w:rFonts w:hint="eastAsia"/>
        </w:rPr>
        <w:t>形</w:t>
      </w:r>
      <w:r w:rsidRPr="0005564B">
        <w:rPr>
          <w:rFonts w:hint="eastAsia"/>
          <w:lang w:eastAsia="zh-HK"/>
        </w:rPr>
        <w:t>，略述</w:t>
      </w:r>
      <w:r w:rsidRPr="0005564B">
        <w:rPr>
          <w:rFonts w:hint="eastAsia"/>
        </w:rPr>
        <w:lastRenderedPageBreak/>
        <w:t>如下：</w:t>
      </w:r>
      <w:bookmarkEnd w:id="182"/>
      <w:bookmarkEnd w:id="183"/>
      <w:bookmarkEnd w:id="184"/>
      <w:bookmarkEnd w:id="185"/>
    </w:p>
    <w:p w:rsidR="00E85D82" w:rsidRPr="0005564B" w:rsidRDefault="00E85D82" w:rsidP="00E85D82">
      <w:pPr>
        <w:pStyle w:val="4"/>
        <w:numPr>
          <w:ilvl w:val="3"/>
          <w:numId w:val="1"/>
        </w:numPr>
      </w:pPr>
      <w:r w:rsidRPr="0005564B">
        <w:rPr>
          <w:rFonts w:hint="eastAsia"/>
        </w:rPr>
        <w:t>不足使用係指醫療資源尚無法滿足需求，可能發生於偏遠地區等醫療資源較缺乏地區，健保署已透過IDS計畫</w:t>
      </w:r>
      <w:r w:rsidRPr="0005564B">
        <w:rPr>
          <w:rStyle w:val="afe"/>
        </w:rPr>
        <w:footnoteReference w:id="6"/>
      </w:r>
      <w:r w:rsidRPr="0005564B">
        <w:rPr>
          <w:rFonts w:hint="eastAsia"/>
        </w:rPr>
        <w:t>、醫療資源不足地區改善方案、醫療資源不足地區醫療服務提升計畫等，將醫療送進偏遠地區，以106年山地離島、醫療資源不足區、一般地區之西醫基層就醫率(門診就醫人數/保險總人數)觀之，分別為84.33%(山地離島)、82.40%(醫療資源不足區)、80.16%(一般地區)，已較一般地區為高。</w:t>
      </w:r>
    </w:p>
    <w:p w:rsidR="00E85D82" w:rsidRPr="0005564B" w:rsidRDefault="00E85D82" w:rsidP="00E85D82">
      <w:pPr>
        <w:pStyle w:val="4"/>
        <w:numPr>
          <w:ilvl w:val="3"/>
          <w:numId w:val="1"/>
        </w:numPr>
      </w:pPr>
      <w:r w:rsidRPr="0005564B">
        <w:rPr>
          <w:rFonts w:hint="eastAsia"/>
        </w:rPr>
        <w:t>對於醫療資源不當使用部分，如屬於專業認定，則將透過審查機制予以核刪，健保署亦透過大數據分析，以精準審查方式掌控醫療品質；如屬於浮報虛報部分，則健保署將啟動查核機制，查證屬實者均依相關規定辦理。</w:t>
      </w:r>
    </w:p>
    <w:p w:rsidR="00E85D82" w:rsidRPr="0005564B" w:rsidRDefault="00E85D82" w:rsidP="00E85D82">
      <w:pPr>
        <w:pStyle w:val="4"/>
        <w:numPr>
          <w:ilvl w:val="3"/>
          <w:numId w:val="1"/>
        </w:numPr>
      </w:pPr>
      <w:r w:rsidRPr="0005564B">
        <w:rPr>
          <w:rFonts w:hint="eastAsia"/>
        </w:rPr>
        <w:t>如為醫療資源過度使用部分，可分為無效醫療及重複醫療，無效醫療因目前國內並無共識，且基於醫療倫理及無法律授權，只能以衛教鼓勵方式執行，如安寧緩和治療等；而對於重複醫療部分，健保署則透過建置雲端系統，由前端醫師處方即予以通知，並輔以對重複開藥不予支付之策略，</w:t>
      </w:r>
      <w:r w:rsidRPr="0005564B">
        <w:rPr>
          <w:rFonts w:hint="eastAsia"/>
          <w:lang w:eastAsia="zh-HK"/>
        </w:rPr>
        <w:t>應</w:t>
      </w:r>
      <w:r w:rsidRPr="0005564B">
        <w:rPr>
          <w:rFonts w:hint="eastAsia"/>
        </w:rPr>
        <w:t>已一定程度降低重複之處置、藥品及檢驗</w:t>
      </w:r>
      <w:r w:rsidRPr="0005564B">
        <w:rPr>
          <w:rFonts w:hint="eastAsia"/>
          <w:lang w:eastAsia="zh-HK"/>
        </w:rPr>
        <w:t>或</w:t>
      </w:r>
      <w:r w:rsidRPr="0005564B">
        <w:rPr>
          <w:rFonts w:hint="eastAsia"/>
        </w:rPr>
        <w:t>檢查。</w:t>
      </w:r>
    </w:p>
    <w:p w:rsidR="00E85D82" w:rsidRPr="0005564B" w:rsidRDefault="00E85D82" w:rsidP="00E85D82">
      <w:pPr>
        <w:pStyle w:val="3"/>
      </w:pPr>
      <w:bookmarkStart w:id="186" w:name="_Toc9058315"/>
      <w:bookmarkStart w:id="187" w:name="_Toc9058569"/>
      <w:bookmarkStart w:id="188" w:name="_Toc9064473"/>
      <w:bookmarkStart w:id="189" w:name="_Toc10027555"/>
      <w:bookmarkStart w:id="190" w:name="_Toc10054248"/>
      <w:bookmarkStart w:id="191" w:name="_Toc10066353"/>
      <w:r w:rsidRPr="0005564B">
        <w:rPr>
          <w:rFonts w:hint="eastAsia"/>
        </w:rPr>
        <w:t>健保署每</w:t>
      </w:r>
      <w:r w:rsidRPr="0005564B">
        <w:rPr>
          <w:rFonts w:hint="eastAsia"/>
          <w:kern w:val="0"/>
        </w:rPr>
        <w:t>年研議提升民眾就醫及用藥品質，減少重複或不必要之藥品或檢驗，就重複之醫療耗用提出改善對策</w:t>
      </w:r>
      <w:r w:rsidRPr="0005564B">
        <w:rPr>
          <w:rFonts w:hint="eastAsia"/>
          <w:kern w:val="0"/>
          <w:lang w:eastAsia="zh-HK"/>
        </w:rPr>
        <w:t>後</w:t>
      </w:r>
      <w:r w:rsidRPr="0005564B">
        <w:rPr>
          <w:rFonts w:hint="eastAsia"/>
          <w:kern w:val="0"/>
        </w:rPr>
        <w:t>，提健保會討論，</w:t>
      </w:r>
      <w:r w:rsidRPr="0005564B">
        <w:rPr>
          <w:rFonts w:hint="eastAsia"/>
          <w:kern w:val="0"/>
          <w:lang w:eastAsia="zh-HK"/>
        </w:rPr>
        <w:t>並</w:t>
      </w:r>
      <w:r w:rsidRPr="0005564B">
        <w:rPr>
          <w:rFonts w:hint="eastAsia"/>
          <w:kern w:val="0"/>
        </w:rPr>
        <w:t>依健保會意見修訂後報</w:t>
      </w:r>
      <w:r w:rsidRPr="0005564B">
        <w:rPr>
          <w:rFonts w:hint="eastAsia"/>
        </w:rPr>
        <w:t>衛福部</w:t>
      </w:r>
      <w:r w:rsidRPr="0005564B">
        <w:rPr>
          <w:rFonts w:hint="eastAsia"/>
          <w:kern w:val="0"/>
        </w:rPr>
        <w:t>核定</w:t>
      </w:r>
      <w:bookmarkStart w:id="192" w:name="_Toc9058317"/>
      <w:bookmarkEnd w:id="186"/>
      <w:bookmarkEnd w:id="187"/>
      <w:bookmarkEnd w:id="188"/>
      <w:r w:rsidRPr="0005564B">
        <w:rPr>
          <w:rFonts w:hint="eastAsia"/>
        </w:rPr>
        <w:t>，</w:t>
      </w:r>
      <w:r w:rsidRPr="0005564B">
        <w:rPr>
          <w:rFonts w:hint="eastAsia"/>
          <w:lang w:eastAsia="zh-HK"/>
        </w:rPr>
        <w:t>茲將</w:t>
      </w:r>
      <w:r w:rsidRPr="0005564B">
        <w:rPr>
          <w:rFonts w:hint="eastAsia"/>
        </w:rPr>
        <w:t>102年至108年健保抑制資源</w:t>
      </w:r>
      <w:r w:rsidRPr="0005564B">
        <w:rPr>
          <w:rFonts w:hint="eastAsia"/>
        </w:rPr>
        <w:lastRenderedPageBreak/>
        <w:t>不當耗用改善方案之相關內容，</w:t>
      </w:r>
      <w:r w:rsidRPr="0005564B">
        <w:rPr>
          <w:rFonts w:hint="eastAsia"/>
          <w:lang w:eastAsia="zh-HK"/>
        </w:rPr>
        <w:t>彙整</w:t>
      </w:r>
      <w:r w:rsidRPr="0005564B">
        <w:rPr>
          <w:rFonts w:hint="eastAsia"/>
        </w:rPr>
        <w:t>說明如下：</w:t>
      </w:r>
      <w:bookmarkEnd w:id="189"/>
      <w:bookmarkEnd w:id="190"/>
      <w:bookmarkEnd w:id="191"/>
      <w:bookmarkEnd w:id="192"/>
    </w:p>
    <w:p w:rsidR="00E85D82" w:rsidRPr="0005564B" w:rsidRDefault="00E85D82" w:rsidP="00E85D82">
      <w:pPr>
        <w:pStyle w:val="4"/>
      </w:pPr>
      <w:r w:rsidRPr="0005564B">
        <w:rPr>
          <w:rFonts w:hint="eastAsia"/>
        </w:rPr>
        <w:t>分析可能造成醫療浪費之原因：</w:t>
      </w:r>
    </w:p>
    <w:p w:rsidR="00E85D82" w:rsidRPr="0005564B" w:rsidRDefault="00E85D82" w:rsidP="00E85D82">
      <w:pPr>
        <w:pStyle w:val="42"/>
        <w:ind w:left="1701" w:firstLine="680"/>
      </w:pPr>
      <w:r w:rsidRPr="0005564B">
        <w:rPr>
          <w:rFonts w:hint="eastAsia"/>
        </w:rPr>
        <w:t>包括總額支付制度下論量計酬之誘因，致提供過多之醫療照護；生命末期甚多非必要的醫療，造成資源排擠效應；醫療提供者採防禦性之醫療，增加不必要之高科技醫療檢查及治療；人口老化多重慢性病缺乏整合性醫療，易造成重複就醫及重複用藥的問題(108年更改為保險對象就醫資訊傳遞未暢通，易造成就醫後重複用藥、檢驗檢查與處置問題)；就醫可近性高，少數病患有高診次就醫問題；醫療分科過細，造成整體就醫屬片斷醫療，就醫次數不易控制</w:t>
      </w:r>
      <w:r w:rsidRPr="0005564B">
        <w:rPr>
          <w:rFonts w:hAnsi="標楷體" w:hint="eastAsia"/>
        </w:rPr>
        <w:t>(</w:t>
      </w:r>
      <w:r w:rsidRPr="0005564B">
        <w:rPr>
          <w:rFonts w:hint="eastAsia"/>
        </w:rPr>
        <w:t>108年更改為照護體系及院所間未建立成熟之病人轉銜系統，造成整體就醫屬片斷醫療</w:t>
      </w:r>
      <w:r w:rsidRPr="0005564B">
        <w:rPr>
          <w:rFonts w:hAnsi="標楷體" w:hint="eastAsia"/>
        </w:rPr>
        <w:t>)</w:t>
      </w:r>
      <w:r w:rsidRPr="0005564B">
        <w:rPr>
          <w:rFonts w:hint="eastAsia"/>
        </w:rPr>
        <w:t>等。</w:t>
      </w:r>
    </w:p>
    <w:p w:rsidR="00E85D82" w:rsidRPr="0005564B" w:rsidRDefault="00E85D82" w:rsidP="00E85D82">
      <w:pPr>
        <w:pStyle w:val="4"/>
      </w:pPr>
      <w:r w:rsidRPr="0005564B">
        <w:rPr>
          <w:rFonts w:hint="eastAsia"/>
        </w:rPr>
        <w:t>實施內容：</w:t>
      </w:r>
    </w:p>
    <w:p w:rsidR="00E85D82" w:rsidRPr="0005564B" w:rsidRDefault="00E85D82" w:rsidP="00E85D82">
      <w:pPr>
        <w:pStyle w:val="5"/>
      </w:pPr>
      <w:r w:rsidRPr="0005564B">
        <w:rPr>
          <w:rFonts w:hint="eastAsia"/>
        </w:rPr>
        <w:t>加強全民健保教育宣導(103年)</w:t>
      </w:r>
      <w:r w:rsidRPr="0005564B">
        <w:rPr>
          <w:rFonts w:hAnsi="標楷體" w:hint="eastAsia"/>
        </w:rPr>
        <w:t>；</w:t>
      </w:r>
      <w:r w:rsidRPr="0005564B">
        <w:rPr>
          <w:rFonts w:hint="eastAsia"/>
        </w:rPr>
        <w:t>深化民眾珍惜健保資源宣導(104、105、106、107、108年)。</w:t>
      </w:r>
    </w:p>
    <w:p w:rsidR="00E85D82" w:rsidRPr="0005564B" w:rsidRDefault="00E85D82" w:rsidP="00E85D82">
      <w:pPr>
        <w:pStyle w:val="5"/>
      </w:pPr>
      <w:r w:rsidRPr="0005564B">
        <w:rPr>
          <w:rFonts w:hint="eastAsia"/>
        </w:rPr>
        <w:t>高診次就醫輔導</w:t>
      </w:r>
      <w:r w:rsidRPr="0005564B">
        <w:rPr>
          <w:rFonts w:hAnsi="標楷體" w:hint="eastAsia"/>
        </w:rPr>
        <w:t>(102、103</w:t>
      </w:r>
      <w:r w:rsidRPr="0005564B">
        <w:rPr>
          <w:rFonts w:hint="eastAsia"/>
        </w:rPr>
        <w:t>年</w:t>
      </w:r>
      <w:r w:rsidRPr="0005564B">
        <w:rPr>
          <w:rFonts w:hAnsi="標楷體" w:hint="eastAsia"/>
        </w:rPr>
        <w:t>)；</w:t>
      </w:r>
      <w:r w:rsidRPr="0005564B">
        <w:rPr>
          <w:rFonts w:hint="eastAsia"/>
        </w:rPr>
        <w:t>正確就醫觀念及行為(104、105、106、107、108年)。</w:t>
      </w:r>
    </w:p>
    <w:p w:rsidR="00E85D82" w:rsidRPr="0005564B" w:rsidRDefault="00E85D82" w:rsidP="00E85D82">
      <w:pPr>
        <w:pStyle w:val="5"/>
      </w:pPr>
      <w:r w:rsidRPr="0005564B">
        <w:rPr>
          <w:rFonts w:hint="eastAsia"/>
        </w:rPr>
        <w:t>強化自我照護能力(106、107、108年)。</w:t>
      </w:r>
    </w:p>
    <w:p w:rsidR="00E85D82" w:rsidRPr="0005564B" w:rsidRDefault="00E85D82" w:rsidP="00E85D82">
      <w:pPr>
        <w:pStyle w:val="5"/>
      </w:pPr>
      <w:r w:rsidRPr="0005564B">
        <w:rPr>
          <w:rFonts w:hint="eastAsia"/>
        </w:rPr>
        <w:t>持續推動分級醫療(107、108年)。</w:t>
      </w:r>
    </w:p>
    <w:p w:rsidR="00E85D82" w:rsidRPr="0005564B" w:rsidRDefault="00E85D82" w:rsidP="00E85D82">
      <w:pPr>
        <w:pStyle w:val="5"/>
      </w:pPr>
      <w:r w:rsidRPr="0005564B">
        <w:rPr>
          <w:rFonts w:hint="eastAsia"/>
        </w:rPr>
        <w:t>提供(或利用)即時資訊避免重複醫療</w:t>
      </w:r>
      <w:r w:rsidRPr="0005564B">
        <w:rPr>
          <w:rFonts w:hAnsi="標楷體" w:hint="eastAsia"/>
        </w:rPr>
        <w:t>(102、103、104、105、106年)；減少重複醫療利用(107、108年)；</w:t>
      </w:r>
      <w:r w:rsidRPr="0005564B">
        <w:rPr>
          <w:rFonts w:hint="eastAsia"/>
        </w:rPr>
        <w:t>精進雲端醫療資訊系統(107、108年)。</w:t>
      </w:r>
    </w:p>
    <w:p w:rsidR="00E85D82" w:rsidRPr="0005564B" w:rsidRDefault="00E85D82" w:rsidP="00E85D82">
      <w:pPr>
        <w:pStyle w:val="5"/>
      </w:pPr>
      <w:r w:rsidRPr="0005564B">
        <w:rPr>
          <w:rFonts w:hint="eastAsia"/>
        </w:rPr>
        <w:t>持續支付制度改革</w:t>
      </w:r>
      <w:r w:rsidRPr="0005564B">
        <w:rPr>
          <w:rFonts w:hAnsi="標楷體" w:hint="eastAsia"/>
        </w:rPr>
        <w:t>(102、103、104、105、106年)；</w:t>
      </w:r>
      <w:r w:rsidRPr="0005564B">
        <w:rPr>
          <w:rFonts w:hint="eastAsia"/>
        </w:rPr>
        <w:t>持續推動疾病管理(107、108年)。</w:t>
      </w:r>
    </w:p>
    <w:p w:rsidR="00E85D82" w:rsidRPr="0005564B" w:rsidRDefault="00E85D82" w:rsidP="00E85D82">
      <w:pPr>
        <w:pStyle w:val="5"/>
      </w:pPr>
      <w:r w:rsidRPr="0005564B">
        <w:rPr>
          <w:rFonts w:hint="eastAsia"/>
        </w:rPr>
        <w:t>高耗用醫療項目管控</w:t>
      </w:r>
      <w:r w:rsidRPr="0005564B">
        <w:rPr>
          <w:rFonts w:hAnsi="標楷體" w:hint="eastAsia"/>
        </w:rPr>
        <w:t>(102、103年)；</w:t>
      </w:r>
      <w:r w:rsidRPr="0005564B">
        <w:rPr>
          <w:rFonts w:hint="eastAsia"/>
        </w:rPr>
        <w:t>減少不必要的高耗用醫療項目(104、105、106年)。</w:t>
      </w:r>
    </w:p>
    <w:p w:rsidR="00E85D82" w:rsidRPr="0005564B" w:rsidRDefault="00E85D82" w:rsidP="00E85D82">
      <w:pPr>
        <w:pStyle w:val="5"/>
      </w:pPr>
      <w:r w:rsidRPr="0005564B">
        <w:rPr>
          <w:rFonts w:hint="eastAsia"/>
        </w:rPr>
        <w:t>多重疾病整合醫療之推動</w:t>
      </w:r>
      <w:r w:rsidRPr="0005564B">
        <w:rPr>
          <w:rFonts w:hAnsi="標楷體" w:hint="eastAsia"/>
        </w:rPr>
        <w:t>(102、</w:t>
      </w:r>
      <w:r w:rsidRPr="0005564B">
        <w:rPr>
          <w:rFonts w:hint="eastAsia"/>
        </w:rPr>
        <w:t>103年</w:t>
      </w:r>
      <w:r w:rsidRPr="0005564B">
        <w:rPr>
          <w:rFonts w:hAnsi="標楷體" w:hint="eastAsia"/>
        </w:rPr>
        <w:t>)；</w:t>
      </w:r>
      <w:r w:rsidRPr="0005564B">
        <w:rPr>
          <w:rFonts w:hint="eastAsia"/>
        </w:rPr>
        <w:t>提供民眾多重疾病整合醫療服務(104、105、106年)。</w:t>
      </w:r>
    </w:p>
    <w:p w:rsidR="00E85D82" w:rsidRPr="0005564B" w:rsidRDefault="00E85D82" w:rsidP="00E85D82">
      <w:pPr>
        <w:pStyle w:val="5"/>
      </w:pPr>
      <w:r w:rsidRPr="0005564B">
        <w:rPr>
          <w:rFonts w:hint="eastAsia"/>
        </w:rPr>
        <w:lastRenderedPageBreak/>
        <w:t>減少無效醫療耗用</w:t>
      </w:r>
      <w:r w:rsidRPr="0005564B">
        <w:rPr>
          <w:rFonts w:hAnsi="標楷體" w:hint="eastAsia"/>
        </w:rPr>
        <w:t>(102、</w:t>
      </w:r>
      <w:r w:rsidRPr="0005564B">
        <w:rPr>
          <w:rFonts w:hint="eastAsia"/>
        </w:rPr>
        <w:t>103</w:t>
      </w:r>
      <w:r w:rsidRPr="0005564B">
        <w:rPr>
          <w:rFonts w:hAnsi="標楷體" w:hint="eastAsia"/>
        </w:rPr>
        <w:t>、104、105、106、107</w:t>
      </w:r>
      <w:r w:rsidRPr="0005564B">
        <w:rPr>
          <w:rFonts w:hint="eastAsia"/>
        </w:rPr>
        <w:t>年</w:t>
      </w:r>
      <w:r w:rsidRPr="0005564B">
        <w:rPr>
          <w:rFonts w:hAnsi="標楷體" w:hint="eastAsia"/>
        </w:rPr>
        <w:t>)；</w:t>
      </w:r>
      <w:r w:rsidRPr="0005564B">
        <w:rPr>
          <w:rFonts w:hint="eastAsia"/>
        </w:rPr>
        <w:t>尊重醫療自主，保障善終權益(108年)。</w:t>
      </w:r>
    </w:p>
    <w:p w:rsidR="00E85D82" w:rsidRPr="0005564B" w:rsidRDefault="00E85D82" w:rsidP="00E85D82">
      <w:pPr>
        <w:pStyle w:val="5"/>
      </w:pPr>
      <w:r w:rsidRPr="0005564B">
        <w:rPr>
          <w:rFonts w:hint="eastAsia"/>
        </w:rPr>
        <w:t>增進院所之合作機制(107、108年)。</w:t>
      </w:r>
    </w:p>
    <w:p w:rsidR="00E85D82" w:rsidRPr="0005564B" w:rsidRDefault="00E85D82" w:rsidP="00E85D82">
      <w:pPr>
        <w:pStyle w:val="5"/>
      </w:pPr>
      <w:r w:rsidRPr="0005564B">
        <w:rPr>
          <w:rFonts w:hint="eastAsia"/>
        </w:rPr>
        <w:t>藥費管制措施或</w:t>
      </w:r>
      <w:r w:rsidRPr="0005564B">
        <w:rPr>
          <w:rFonts w:hAnsi="標楷體" w:hint="eastAsia"/>
        </w:rPr>
        <w:t>合理藥費管控措施(102、103、104、105、106</w:t>
      </w:r>
      <w:r w:rsidRPr="0005564B">
        <w:rPr>
          <w:rFonts w:hint="eastAsia"/>
        </w:rPr>
        <w:t>年</w:t>
      </w:r>
      <w:r w:rsidRPr="0005564B">
        <w:rPr>
          <w:rFonts w:hAnsi="標楷體" w:hint="eastAsia"/>
        </w:rPr>
        <w:t>)。</w:t>
      </w:r>
    </w:p>
    <w:p w:rsidR="00E85D82" w:rsidRPr="0005564B" w:rsidRDefault="00E85D82" w:rsidP="00E85D82">
      <w:pPr>
        <w:pStyle w:val="5"/>
      </w:pPr>
      <w:r w:rsidRPr="0005564B">
        <w:rPr>
          <w:rFonts w:hint="eastAsia"/>
        </w:rPr>
        <w:t>提高審查之精準度(107年)。</w:t>
      </w:r>
    </w:p>
    <w:p w:rsidR="00E85D82" w:rsidRPr="0005564B" w:rsidRDefault="00E85D82" w:rsidP="00E85D82">
      <w:pPr>
        <w:pStyle w:val="5"/>
      </w:pPr>
      <w:r w:rsidRPr="0005564B">
        <w:rPr>
          <w:rFonts w:hint="eastAsia"/>
        </w:rPr>
        <w:t>強化違規查處機制(103、104、105、106、107、108年)。</w:t>
      </w:r>
    </w:p>
    <w:p w:rsidR="00E85D82" w:rsidRPr="0005564B" w:rsidRDefault="00E85D82" w:rsidP="00E85D82">
      <w:pPr>
        <w:pStyle w:val="5"/>
      </w:pPr>
      <w:r w:rsidRPr="0005564B">
        <w:rPr>
          <w:rFonts w:hint="eastAsia"/>
        </w:rPr>
        <w:t>各分區自訂管理策略(106年)。</w:t>
      </w:r>
    </w:p>
    <w:p w:rsidR="00E85D82" w:rsidRPr="0005564B" w:rsidRDefault="00E85D82" w:rsidP="00E85D82">
      <w:pPr>
        <w:pStyle w:val="4"/>
      </w:pPr>
      <w:r w:rsidRPr="0005564B">
        <w:rPr>
          <w:rFonts w:hint="eastAsia"/>
        </w:rPr>
        <w:t>預期效益：</w:t>
      </w:r>
    </w:p>
    <w:p w:rsidR="00E85D82" w:rsidRPr="0005564B" w:rsidRDefault="00E85D82" w:rsidP="00E85D82">
      <w:pPr>
        <w:pStyle w:val="5"/>
      </w:pPr>
      <w:r w:rsidRPr="0005564B">
        <w:rPr>
          <w:rFonts w:hint="eastAsia"/>
        </w:rPr>
        <w:t>降低民眾不必要就醫及避免不必要的檢查及用藥。(102、103、104、105年)</w:t>
      </w:r>
    </w:p>
    <w:p w:rsidR="00E85D82" w:rsidRPr="0005564B" w:rsidRDefault="00E85D82" w:rsidP="00E85D82">
      <w:pPr>
        <w:pStyle w:val="5"/>
      </w:pPr>
      <w:r w:rsidRPr="0005564B">
        <w:rPr>
          <w:rFonts w:hint="eastAsia"/>
        </w:rPr>
        <w:t>避免延長末期病患的痛苦，讓生命有尊嚴，臨終有品質，降低臨終醫療使用。(102、103、104、105年)</w:t>
      </w:r>
      <w:r w:rsidRPr="0005564B">
        <w:rPr>
          <w:rFonts w:hAnsi="標楷體" w:hint="eastAsia"/>
        </w:rPr>
        <w:t>；</w:t>
      </w:r>
      <w:r w:rsidRPr="0005564B">
        <w:rPr>
          <w:rFonts w:hint="eastAsia"/>
        </w:rPr>
        <w:t>讓生命有尊嚴、臨終有品質，使病患獲得適切之醫療服務，促進民眾健康(105年)；</w:t>
      </w:r>
    </w:p>
    <w:p w:rsidR="00E85D82" w:rsidRPr="0005564B" w:rsidRDefault="00E85D82" w:rsidP="00E85D82">
      <w:pPr>
        <w:pStyle w:val="5"/>
      </w:pPr>
      <w:r w:rsidRPr="0005564B">
        <w:rPr>
          <w:rFonts w:hint="eastAsia"/>
        </w:rPr>
        <w:t xml:space="preserve">提供整合式照護，降低民眾重複就醫情形，提升醫療效率及品質，使病患獲得適切之醫療服務，促進民眾健康(106年)；減少不必要的檢驗(查)、提供有品質的臨終照護，加強疾病管理、增進院所間之合作機制，降低民眾重複就醫情形，提升就醫醫療安全與品質，增進醫療連續性，使病患獲得適切之醫療，促進民眾健康(107、108年)。 </w:t>
      </w:r>
    </w:p>
    <w:p w:rsidR="00E85D82" w:rsidRPr="0005564B" w:rsidRDefault="00E85D82" w:rsidP="00E85D82">
      <w:pPr>
        <w:pStyle w:val="5"/>
      </w:pPr>
      <w:r w:rsidRPr="0005564B">
        <w:rPr>
          <w:rFonts w:hint="eastAsia"/>
        </w:rPr>
        <w:t>透過支付制度改革，提升醫療效率及品質，使病患獲得適切之醫療服務，促進民眾健康。(102、103、104年)；經由支付制度改革及提供有品質的臨終照護，避免不必要的檢查、用藥與臨終前急性醫療利用(106年)。</w:t>
      </w:r>
    </w:p>
    <w:p w:rsidR="00E85D82" w:rsidRPr="0005564B" w:rsidRDefault="00E85D82" w:rsidP="00E85D82">
      <w:pPr>
        <w:pStyle w:val="5"/>
      </w:pPr>
      <w:r w:rsidRPr="0005564B">
        <w:rPr>
          <w:rFonts w:hint="eastAsia"/>
        </w:rPr>
        <w:t>降低慢性病患不當處方用藥及提升慢性病患</w:t>
      </w:r>
      <w:r w:rsidRPr="0005564B">
        <w:rPr>
          <w:rFonts w:hint="eastAsia"/>
        </w:rPr>
        <w:lastRenderedPageBreak/>
        <w:t>用藥品質。(102、103、104、105年)</w:t>
      </w:r>
    </w:p>
    <w:p w:rsidR="00E85D82" w:rsidRPr="0005564B" w:rsidRDefault="00E85D82" w:rsidP="00E85D82">
      <w:pPr>
        <w:pStyle w:val="5"/>
      </w:pPr>
      <w:r w:rsidRPr="0005564B">
        <w:rPr>
          <w:rFonts w:hint="eastAsia"/>
        </w:rPr>
        <w:t>透過珍惜健保資源宣導與落實醫療知情權，加強民眾正確就醫觀念及行為(106、107、108年)。</w:t>
      </w:r>
    </w:p>
    <w:p w:rsidR="00E85D82" w:rsidRPr="0005564B" w:rsidRDefault="00E85D82" w:rsidP="00E85D82">
      <w:pPr>
        <w:pStyle w:val="5"/>
      </w:pPr>
      <w:r w:rsidRPr="0005564B">
        <w:rPr>
          <w:rFonts w:hint="eastAsia"/>
        </w:rPr>
        <w:t>經由持續推動分級醫療政策、精進轉診平台及雲端醫療資訊之使用、提升審查精準性等，促使醫療資源使用更有效率(107、108年)。</w:t>
      </w:r>
    </w:p>
    <w:p w:rsidR="003B110E" w:rsidRPr="003B110E" w:rsidRDefault="00E85D82" w:rsidP="00E85D82">
      <w:pPr>
        <w:pStyle w:val="3"/>
        <w:numPr>
          <w:ilvl w:val="2"/>
          <w:numId w:val="1"/>
        </w:numPr>
        <w:rPr>
          <w:kern w:val="0"/>
        </w:rPr>
      </w:pPr>
      <w:bookmarkStart w:id="193" w:name="_Toc10027556"/>
      <w:bookmarkStart w:id="194" w:name="_Toc10054249"/>
      <w:bookmarkStart w:id="195" w:name="_Toc10066354"/>
      <w:bookmarkStart w:id="196" w:name="_Toc9058318"/>
      <w:r w:rsidRPr="0005564B">
        <w:rPr>
          <w:rFonts w:hint="eastAsia"/>
          <w:lang w:eastAsia="zh-HK"/>
        </w:rPr>
        <w:t>關於</w:t>
      </w:r>
      <w:r w:rsidRPr="0005564B">
        <w:rPr>
          <w:rFonts w:hint="eastAsia"/>
        </w:rPr>
        <w:t>健保抑制資源不當耗用改善方案</w:t>
      </w:r>
      <w:r w:rsidRPr="0005564B">
        <w:rPr>
          <w:rFonts w:hint="eastAsia"/>
          <w:lang w:eastAsia="zh-HK"/>
        </w:rPr>
        <w:t>之成效</w:t>
      </w:r>
      <w:r w:rsidRPr="0005564B">
        <w:rPr>
          <w:rFonts w:hint="eastAsia"/>
        </w:rPr>
        <w:t>，</w:t>
      </w:r>
      <w:r w:rsidRPr="0005564B">
        <w:rPr>
          <w:rFonts w:hint="eastAsia"/>
          <w:lang w:eastAsia="zh-HK"/>
        </w:rPr>
        <w:t>詢據</w:t>
      </w:r>
      <w:r w:rsidRPr="0005564B">
        <w:rPr>
          <w:rFonts w:hint="eastAsia"/>
        </w:rPr>
        <w:t>衛福部表示大部分醫療費用之成長主要來自人口老化及新藥新科技之引進，自健保署推動總額支付制度以來，醫療費用每年成長率已控制在4-6%之間，比其他國家已相對穩健，惟因醫療費用影響因素眾多，亦非僅</w:t>
      </w:r>
      <w:r w:rsidRPr="0005564B">
        <w:rPr>
          <w:rFonts w:hint="eastAsia"/>
          <w:lang w:eastAsia="zh-HK"/>
        </w:rPr>
        <w:t>上開</w:t>
      </w:r>
      <w:r w:rsidRPr="0005564B">
        <w:rPr>
          <w:rFonts w:hint="eastAsia"/>
        </w:rPr>
        <w:t>方案之執行即有重大影響，另</w:t>
      </w:r>
      <w:r w:rsidRPr="0005564B">
        <w:rPr>
          <w:rFonts w:hint="eastAsia"/>
          <w:lang w:eastAsia="zh-HK"/>
        </w:rPr>
        <w:t>上開</w:t>
      </w:r>
      <w:r w:rsidRPr="0005564B">
        <w:rPr>
          <w:rFonts w:hint="eastAsia"/>
        </w:rPr>
        <w:t>方案相關執行結果可能反映於公平（如：加強偏遠地區服務）、品質（如：加強慢性病照護）、效率（如：DRG、分級醫療）。</w:t>
      </w:r>
    </w:p>
    <w:p w:rsidR="003B110E" w:rsidRDefault="00E85D82" w:rsidP="003B110E">
      <w:pPr>
        <w:pStyle w:val="3"/>
        <w:numPr>
          <w:ilvl w:val="0"/>
          <w:numId w:val="0"/>
        </w:numPr>
        <w:ind w:left="1361" w:firstLineChars="188" w:firstLine="639"/>
      </w:pPr>
      <w:r w:rsidRPr="0005564B">
        <w:rPr>
          <w:rFonts w:hint="eastAsia"/>
        </w:rPr>
        <w:t>關於</w:t>
      </w:r>
      <w:r w:rsidRPr="0005564B">
        <w:rPr>
          <w:rFonts w:hint="eastAsia"/>
          <w:lang w:eastAsia="zh-HK"/>
        </w:rPr>
        <w:t>上開</w:t>
      </w:r>
      <w:r w:rsidRPr="0005564B">
        <w:rPr>
          <w:rFonts w:hint="eastAsia"/>
        </w:rPr>
        <w:t>方案費用節省效益部分，健保署以推動健保醫療資訊雲端服務為例，透過資訊公開，減少重複用藥及檢查，103年至106年推估共節省3.4億元（一年平均8,500萬元），反映於總額點值之提升、新藥及新科技之導入、增加給付範圍等。</w:t>
      </w:r>
      <w:r w:rsidRPr="0005564B">
        <w:rPr>
          <w:rFonts w:hint="eastAsia"/>
          <w:lang w:eastAsia="zh-HK"/>
        </w:rPr>
        <w:t>此外，</w:t>
      </w:r>
      <w:r w:rsidRPr="0005564B">
        <w:rPr>
          <w:rFonts w:hint="eastAsia"/>
        </w:rPr>
        <w:t>高診次就醫輔導</w:t>
      </w:r>
      <w:r w:rsidRPr="0005564B">
        <w:rPr>
          <w:rFonts w:hint="eastAsia"/>
          <w:lang w:eastAsia="zh-HK"/>
        </w:rPr>
        <w:t>部分，</w:t>
      </w:r>
      <w:r w:rsidRPr="0005564B">
        <w:rPr>
          <w:rFonts w:hint="eastAsia"/>
        </w:rPr>
        <w:t>102年至106年高診次就醫輔導，平均每年輔導人數約4.5萬人，經輔導後，平均每人就醫次數較輔導前下降約20%，節省健保資源金額分別為5.32億元、7.29億元、5.58億元、4.25億元、5.28億元。</w:t>
      </w:r>
    </w:p>
    <w:p w:rsidR="003B110E" w:rsidRDefault="00E85D82" w:rsidP="003B110E">
      <w:pPr>
        <w:pStyle w:val="3"/>
        <w:numPr>
          <w:ilvl w:val="0"/>
          <w:numId w:val="0"/>
        </w:numPr>
        <w:ind w:left="1361" w:firstLineChars="188" w:firstLine="639"/>
      </w:pPr>
      <w:r w:rsidRPr="0005564B">
        <w:rPr>
          <w:rFonts w:hint="eastAsia"/>
        </w:rPr>
        <w:t>推動安寧療護之成效</w:t>
      </w:r>
      <w:r w:rsidRPr="0005564B">
        <w:rPr>
          <w:rFonts w:hint="eastAsia"/>
          <w:lang w:eastAsia="zh-HK"/>
        </w:rPr>
        <w:t>部分</w:t>
      </w:r>
      <w:r w:rsidRPr="0005564B">
        <w:rPr>
          <w:rFonts w:hint="eastAsia"/>
        </w:rPr>
        <w:t>，接受安寧療護之人數逐年穩定成長，從</w:t>
      </w:r>
      <w:r w:rsidRPr="0005564B">
        <w:t>102</w:t>
      </w:r>
      <w:r w:rsidRPr="0005564B">
        <w:rPr>
          <w:rFonts w:hint="eastAsia"/>
        </w:rPr>
        <w:t>年約2.6萬人，增加至</w:t>
      </w:r>
      <w:r w:rsidRPr="0005564B">
        <w:t>107</w:t>
      </w:r>
      <w:r w:rsidRPr="0005564B">
        <w:rPr>
          <w:rFonts w:hint="eastAsia"/>
        </w:rPr>
        <w:t>年</w:t>
      </w:r>
      <w:r w:rsidRPr="0005564B">
        <w:t>5.1</w:t>
      </w:r>
      <w:r w:rsidRPr="0005564B">
        <w:rPr>
          <w:rFonts w:hint="eastAsia"/>
        </w:rPr>
        <w:t>萬人；病患死亡前一年接受安寧療護之人數比率亦由</w:t>
      </w:r>
      <w:r w:rsidRPr="0005564B">
        <w:t>102</w:t>
      </w:r>
      <w:r w:rsidRPr="0005564B">
        <w:rPr>
          <w:rFonts w:hint="eastAsia"/>
        </w:rPr>
        <w:t>年</w:t>
      </w:r>
      <w:r w:rsidRPr="0005564B">
        <w:t>15.7%</w:t>
      </w:r>
      <w:r w:rsidRPr="0005564B">
        <w:rPr>
          <w:rFonts w:hint="eastAsia"/>
        </w:rPr>
        <w:t>增加至</w:t>
      </w:r>
      <w:r w:rsidRPr="0005564B">
        <w:t>106</w:t>
      </w:r>
      <w:r w:rsidRPr="0005564B">
        <w:rPr>
          <w:rFonts w:hint="eastAsia"/>
        </w:rPr>
        <w:t>年</w:t>
      </w:r>
      <w:r w:rsidRPr="0005564B">
        <w:t>25.2%，</w:t>
      </w:r>
      <w:r w:rsidRPr="0005564B">
        <w:rPr>
          <w:rFonts w:hint="eastAsia"/>
        </w:rPr>
        <w:t>安寧療護費用</w:t>
      </w:r>
      <w:r w:rsidRPr="0005564B">
        <w:rPr>
          <w:rFonts w:hint="eastAsia"/>
          <w:lang w:eastAsia="zh-HK"/>
        </w:rPr>
        <w:t>逐</w:t>
      </w:r>
      <w:r w:rsidRPr="0005564B">
        <w:rPr>
          <w:rFonts w:hint="eastAsia"/>
        </w:rPr>
        <w:t>年</w:t>
      </w:r>
      <w:r w:rsidRPr="0005564B">
        <w:rPr>
          <w:rFonts w:hint="eastAsia"/>
          <w:lang w:eastAsia="zh-HK"/>
        </w:rPr>
        <w:t>成長</w:t>
      </w:r>
      <w:r w:rsidRPr="0005564B">
        <w:rPr>
          <w:rFonts w:hint="eastAsia"/>
        </w:rPr>
        <w:t>。「</w:t>
      </w:r>
      <w:r w:rsidRPr="0005564B">
        <w:t>病人自主權利法</w:t>
      </w:r>
      <w:r w:rsidRPr="0005564B">
        <w:rPr>
          <w:rFonts w:hint="eastAsia"/>
        </w:rPr>
        <w:t>」</w:t>
      </w:r>
      <w:r w:rsidRPr="0005564B">
        <w:rPr>
          <w:rFonts w:hint="eastAsia"/>
          <w:lang w:eastAsia="zh-HK"/>
        </w:rPr>
        <w:t>於105年1月</w:t>
      </w:r>
      <w:r w:rsidRPr="0005564B">
        <w:rPr>
          <w:rFonts w:hAnsi="標楷體" w:hint="eastAsia"/>
          <w:szCs w:val="32"/>
          <w:lang w:eastAsia="zh-HK"/>
        </w:rPr>
        <w:t>6日公</w:t>
      </w:r>
      <w:r w:rsidRPr="0005564B">
        <w:rPr>
          <w:rFonts w:hAnsi="標楷體" w:hint="eastAsia"/>
          <w:szCs w:val="32"/>
          <w:lang w:eastAsia="zh-HK"/>
        </w:rPr>
        <w:lastRenderedPageBreak/>
        <w:t>布，依該法第19條</w:t>
      </w:r>
      <w:r w:rsidRPr="0005564B">
        <w:rPr>
          <w:rFonts w:hAnsi="標楷體" w:cs="細明體" w:hint="eastAsia"/>
          <w:szCs w:val="32"/>
        </w:rPr>
        <w:t>自公布後3年施行</w:t>
      </w:r>
      <w:r w:rsidRPr="0005564B">
        <w:rPr>
          <w:rFonts w:hAnsi="標楷體" w:cs="細明體" w:hint="eastAsia"/>
          <w:szCs w:val="32"/>
          <w:lang w:eastAsia="zh-HK"/>
        </w:rPr>
        <w:t>之規定，自</w:t>
      </w:r>
      <w:r w:rsidRPr="0005564B">
        <w:t>108年1月6</w:t>
      </w:r>
      <w:r w:rsidRPr="0005564B">
        <w:rPr>
          <w:rFonts w:hint="eastAsia"/>
          <w:lang w:eastAsia="zh-HK"/>
        </w:rPr>
        <w:t>日起施行，依據該法第14條規定，</w:t>
      </w:r>
      <w:r w:rsidRPr="0005564B">
        <w:t>末期病人、</w:t>
      </w:r>
      <w:r w:rsidRPr="0005564B">
        <w:rPr>
          <w:rFonts w:hint="eastAsia"/>
        </w:rPr>
        <w:t>處於不可逆轉之昏迷狀況</w:t>
      </w:r>
      <w:r w:rsidRPr="0005564B">
        <w:t>、永久植物人狀態</w:t>
      </w:r>
      <w:r w:rsidRPr="0005564B">
        <w:rPr>
          <w:rFonts w:hint="eastAsia"/>
        </w:rPr>
        <w:t>、</w:t>
      </w:r>
      <w:r w:rsidRPr="0005564B">
        <w:t>極重度失智，</w:t>
      </w:r>
      <w:r w:rsidRPr="0005564B">
        <w:rPr>
          <w:rFonts w:hint="eastAsia"/>
        </w:rPr>
        <w:t>以及其他經中央主管機關公告之病人疾病狀況或痛苦難以忍受、疾病無法治癒且依當時醫療水準無其他合適解決方法之情形，若病人有預立醫療決定者，醫療機構或醫師得依其預立醫療決定終止、撤除或不施行維持生命治療或人工營養及流體餵養之全部或一部。</w:t>
      </w:r>
      <w:r w:rsidRPr="0005564B">
        <w:rPr>
          <w:rFonts w:hint="eastAsia"/>
          <w:lang w:eastAsia="zh-HK"/>
        </w:rPr>
        <w:t>本院諮詢</w:t>
      </w:r>
      <w:r w:rsidRPr="0005564B">
        <w:rPr>
          <w:rFonts w:hint="eastAsia"/>
        </w:rPr>
        <w:t>學者亦</w:t>
      </w:r>
      <w:r w:rsidRPr="0005564B">
        <w:rPr>
          <w:rFonts w:hint="eastAsia"/>
          <w:lang w:eastAsia="zh-HK"/>
        </w:rPr>
        <w:t>指出</w:t>
      </w:r>
      <w:r w:rsidRPr="0005564B">
        <w:t>在有安寧照護的機構推動情形甚佳，</w:t>
      </w:r>
      <w:r w:rsidRPr="0005564B">
        <w:rPr>
          <w:rFonts w:hint="eastAsia"/>
        </w:rPr>
        <w:t>應</w:t>
      </w:r>
      <w:r w:rsidRPr="0005564B">
        <w:t>廣為宣導，</w:t>
      </w:r>
      <w:r w:rsidRPr="0005564B">
        <w:rPr>
          <w:rFonts w:hint="eastAsia"/>
        </w:rPr>
        <w:t>除可尊重病人醫療自主並保障其善終權益外</w:t>
      </w:r>
      <w:r w:rsidRPr="0005564B">
        <w:t>，</w:t>
      </w:r>
      <w:r w:rsidRPr="0005564B">
        <w:rPr>
          <w:rFonts w:hint="eastAsia"/>
        </w:rPr>
        <w:t>尚</w:t>
      </w:r>
      <w:r w:rsidRPr="0005564B">
        <w:t>可節省醫療支出。</w:t>
      </w:r>
      <w:bookmarkEnd w:id="193"/>
      <w:bookmarkEnd w:id="194"/>
      <w:bookmarkEnd w:id="195"/>
    </w:p>
    <w:p w:rsidR="00E85D82" w:rsidRPr="0005564B" w:rsidRDefault="003B110E" w:rsidP="003B110E">
      <w:pPr>
        <w:pStyle w:val="3"/>
        <w:numPr>
          <w:ilvl w:val="0"/>
          <w:numId w:val="0"/>
        </w:numPr>
        <w:ind w:left="1361" w:firstLineChars="188" w:firstLine="639"/>
        <w:rPr>
          <w:kern w:val="0"/>
        </w:rPr>
      </w:pPr>
      <w:r>
        <w:rPr>
          <w:rFonts w:ascii="新細明體" w:eastAsia="新細明體" w:hAnsi="新細明體" w:hint="eastAsia"/>
        </w:rPr>
        <w:t>「</w:t>
      </w:r>
      <w:r w:rsidR="00E85D82" w:rsidRPr="0005564B">
        <w:rPr>
          <w:kern w:val="0"/>
        </w:rPr>
        <w:t>病人自主權利法</w:t>
      </w:r>
      <w:r>
        <w:rPr>
          <w:rFonts w:ascii="新細明體" w:eastAsia="新細明體" w:hAnsi="新細明體" w:hint="eastAsia"/>
          <w:kern w:val="0"/>
        </w:rPr>
        <w:t>」</w:t>
      </w:r>
      <w:r w:rsidR="00E85D82" w:rsidRPr="0005564B">
        <w:rPr>
          <w:kern w:val="0"/>
        </w:rPr>
        <w:t>歷經</w:t>
      </w:r>
      <w:r w:rsidR="00E85D82" w:rsidRPr="0005564B">
        <w:rPr>
          <w:rFonts w:hint="eastAsia"/>
          <w:kern w:val="0"/>
        </w:rPr>
        <w:t>3</w:t>
      </w:r>
      <w:r w:rsidR="00E85D82" w:rsidRPr="0005564B">
        <w:rPr>
          <w:kern w:val="0"/>
        </w:rPr>
        <w:t>年準備期</w:t>
      </w:r>
      <w:r w:rsidR="00E85D82" w:rsidRPr="0005564B">
        <w:rPr>
          <w:rFonts w:hint="eastAsia"/>
          <w:kern w:val="0"/>
        </w:rPr>
        <w:t>已</w:t>
      </w:r>
      <w:r w:rsidR="00E85D82" w:rsidRPr="0005564B">
        <w:rPr>
          <w:kern w:val="0"/>
        </w:rPr>
        <w:t>於</w:t>
      </w:r>
      <w:r w:rsidR="00E85D82" w:rsidRPr="0005564B">
        <w:rPr>
          <w:rFonts w:hint="eastAsia"/>
          <w:kern w:val="0"/>
        </w:rPr>
        <w:t>本（108）</w:t>
      </w:r>
      <w:r w:rsidR="00E85D82" w:rsidRPr="0005564B">
        <w:rPr>
          <w:kern w:val="0"/>
        </w:rPr>
        <w:t>年1月6日正式生效上路，</w:t>
      </w:r>
      <w:r w:rsidR="00E85D82" w:rsidRPr="0005564B">
        <w:rPr>
          <w:rFonts w:hint="eastAsia"/>
        </w:rPr>
        <w:t>減少無效醫療耗用</w:t>
      </w:r>
      <w:r w:rsidR="00E85D82" w:rsidRPr="0005564B">
        <w:rPr>
          <w:rFonts w:ascii="新細明體" w:eastAsia="新細明體" w:hAnsi="新細明體" w:hint="eastAsia"/>
        </w:rPr>
        <w:t>、</w:t>
      </w:r>
      <w:r w:rsidR="00E85D82" w:rsidRPr="0005564B">
        <w:rPr>
          <w:rFonts w:hint="eastAsia"/>
        </w:rPr>
        <w:t>尊重醫療自主，保障善終權益等計畫雖已列入歷年之健保</w:t>
      </w:r>
      <w:r>
        <w:rPr>
          <w:rFonts w:ascii="新細明體" w:eastAsia="新細明體" w:hAnsi="新細明體" w:hint="eastAsia"/>
        </w:rPr>
        <w:t>「</w:t>
      </w:r>
      <w:r w:rsidR="00E85D82" w:rsidRPr="0005564B">
        <w:rPr>
          <w:rFonts w:hint="eastAsia"/>
        </w:rPr>
        <w:t>抑制資源不當耗用改善方案</w:t>
      </w:r>
      <w:r>
        <w:rPr>
          <w:rFonts w:ascii="新細明體" w:eastAsia="新細明體" w:hAnsi="新細明體" w:hint="eastAsia"/>
        </w:rPr>
        <w:t>」</w:t>
      </w:r>
      <w:r w:rsidR="00E85D82" w:rsidRPr="0005564B">
        <w:rPr>
          <w:rFonts w:hint="eastAsia"/>
        </w:rPr>
        <w:t>中，允應針對</w:t>
      </w:r>
      <w:r>
        <w:rPr>
          <w:rFonts w:hint="eastAsia"/>
        </w:rPr>
        <w:t>非屬</w:t>
      </w:r>
      <w:r>
        <w:rPr>
          <w:rFonts w:ascii="新細明體" w:eastAsia="新細明體" w:hAnsi="新細明體" w:hint="eastAsia"/>
        </w:rPr>
        <w:t>「</w:t>
      </w:r>
      <w:r w:rsidRPr="0005564B">
        <w:rPr>
          <w:kern w:val="0"/>
        </w:rPr>
        <w:t>病人自主權利法</w:t>
      </w:r>
      <w:r w:rsidRPr="003B110E">
        <w:rPr>
          <w:rFonts w:hAnsi="標楷體" w:hint="eastAsia"/>
          <w:kern w:val="0"/>
        </w:rPr>
        <w:t>」規範之</w:t>
      </w:r>
      <w:r w:rsidR="00E85D82" w:rsidRPr="003B110E">
        <w:rPr>
          <w:rFonts w:hAnsi="標楷體" w:hint="eastAsia"/>
        </w:rPr>
        <w:t>末期</w:t>
      </w:r>
      <w:r w:rsidR="00E85D82" w:rsidRPr="003B110E">
        <w:rPr>
          <w:rFonts w:hAnsi="標楷體"/>
        </w:rPr>
        <w:t>無效醫療提出檢討與</w:t>
      </w:r>
      <w:r w:rsidR="00E85D82" w:rsidRPr="003B110E">
        <w:rPr>
          <w:rFonts w:hAnsi="標楷體" w:hint="eastAsia"/>
        </w:rPr>
        <w:t>具體</w:t>
      </w:r>
      <w:r w:rsidR="00E85D82" w:rsidRPr="003B110E">
        <w:rPr>
          <w:rFonts w:hAnsi="標楷體"/>
        </w:rPr>
        <w:t>改善方案</w:t>
      </w:r>
      <w:r w:rsidR="00E85D82" w:rsidRPr="003B110E">
        <w:rPr>
          <w:rFonts w:hAnsi="標楷體" w:hint="eastAsia"/>
        </w:rPr>
        <w:t>，以</w:t>
      </w:r>
      <w:r w:rsidR="00E85D82" w:rsidRPr="0005564B">
        <w:rPr>
          <w:rFonts w:hint="eastAsia"/>
        </w:rPr>
        <w:t>適當</w:t>
      </w:r>
      <w:r w:rsidR="00E85D82" w:rsidRPr="0005564B">
        <w:t>監測數據</w:t>
      </w:r>
      <w:r w:rsidR="00E85D82" w:rsidRPr="0005564B">
        <w:rPr>
          <w:rFonts w:hint="eastAsia"/>
        </w:rPr>
        <w:t>檢驗</w:t>
      </w:r>
      <w:r w:rsidR="00E85D82" w:rsidRPr="0005564B">
        <w:t>改善成效</w:t>
      </w:r>
      <w:r w:rsidR="00E85D82" w:rsidRPr="0005564B">
        <w:rPr>
          <w:rFonts w:hint="eastAsia"/>
        </w:rPr>
        <w:t>。又，</w:t>
      </w:r>
      <w:r w:rsidR="00E85D82" w:rsidRPr="0005564B">
        <w:rPr>
          <w:kern w:val="0"/>
        </w:rPr>
        <w:t>健保署未能參考</w:t>
      </w:r>
      <w:r w:rsidR="00E85D82" w:rsidRPr="0005564B">
        <w:rPr>
          <w:rFonts w:hint="eastAsia"/>
          <w:kern w:val="0"/>
        </w:rPr>
        <w:t>如</w:t>
      </w:r>
      <w:r w:rsidR="00E85D82" w:rsidRPr="0005564B">
        <w:rPr>
          <w:kern w:val="0"/>
        </w:rPr>
        <w:t>美國及加拿大</w:t>
      </w:r>
      <w:r w:rsidR="00E85D82" w:rsidRPr="0005564B">
        <w:rPr>
          <w:rFonts w:hint="eastAsia"/>
          <w:kern w:val="0"/>
        </w:rPr>
        <w:t>等國家之</w:t>
      </w:r>
      <w:r w:rsidR="00E85D82" w:rsidRPr="0005564B">
        <w:rPr>
          <w:kern w:val="0"/>
        </w:rPr>
        <w:t>作法，利用健保給付方式</w:t>
      </w:r>
      <w:r w:rsidR="00E85D82" w:rsidRPr="0005564B">
        <w:rPr>
          <w:rFonts w:hint="eastAsia"/>
          <w:kern w:val="0"/>
        </w:rPr>
        <w:t>對</w:t>
      </w:r>
      <w:r w:rsidR="00E85D82" w:rsidRPr="0005564B">
        <w:rPr>
          <w:kern w:val="0"/>
        </w:rPr>
        <w:t>高齡共病衰老者、癌症病患、失智或失能者，提供預立醫療照護諮商（ACP)，鼓勵此等族群經諮商後預立醫療計</w:t>
      </w:r>
      <w:r w:rsidR="00E85D82" w:rsidRPr="0005564B">
        <w:rPr>
          <w:rFonts w:hint="eastAsia"/>
          <w:kern w:val="0"/>
        </w:rPr>
        <w:t>畫</w:t>
      </w:r>
      <w:r w:rsidR="00E85D82" w:rsidRPr="0005564B">
        <w:rPr>
          <w:kern w:val="0"/>
        </w:rPr>
        <w:t>以減少無效醫療拖磨，健保署消極作為</w:t>
      </w:r>
      <w:r w:rsidR="00E85D82" w:rsidRPr="0005564B">
        <w:rPr>
          <w:rFonts w:hint="eastAsia"/>
          <w:kern w:val="0"/>
        </w:rPr>
        <w:t>，</w:t>
      </w:r>
      <w:r w:rsidR="00E85D82" w:rsidRPr="0005564B">
        <w:rPr>
          <w:kern w:val="0"/>
        </w:rPr>
        <w:t>實有檢討之必要。</w:t>
      </w:r>
    </w:p>
    <w:p w:rsidR="00E85D82" w:rsidRDefault="00E85D82" w:rsidP="00E85D82">
      <w:pPr>
        <w:pStyle w:val="3"/>
        <w:numPr>
          <w:ilvl w:val="2"/>
          <w:numId w:val="1"/>
        </w:numPr>
        <w:rPr>
          <w:kern w:val="0"/>
        </w:rPr>
      </w:pPr>
      <w:bookmarkStart w:id="197" w:name="_Toc10027557"/>
      <w:bookmarkStart w:id="198" w:name="_Toc10054250"/>
      <w:bookmarkStart w:id="199" w:name="_Toc10066355"/>
      <w:r w:rsidRPr="0005564B">
        <w:rPr>
          <w:rFonts w:hint="eastAsia"/>
          <w:lang w:eastAsia="zh-HK"/>
        </w:rPr>
        <w:t>經查，</w:t>
      </w:r>
      <w:r w:rsidRPr="0005564B">
        <w:rPr>
          <w:rFonts w:hint="eastAsia"/>
        </w:rPr>
        <w:t>健保署每</w:t>
      </w:r>
      <w:r w:rsidRPr="0005564B">
        <w:rPr>
          <w:rFonts w:hint="eastAsia"/>
          <w:kern w:val="0"/>
        </w:rPr>
        <w:t>年研議提升民眾就醫及用藥品質，減少重複或不必要之藥品或檢驗，就重複之醫療耗用提出改善對策</w:t>
      </w:r>
      <w:r w:rsidRPr="0005564B">
        <w:rPr>
          <w:rFonts w:hint="eastAsia"/>
          <w:kern w:val="0"/>
          <w:lang w:eastAsia="zh-HK"/>
        </w:rPr>
        <w:t>之相</w:t>
      </w:r>
      <w:r w:rsidRPr="0005564B">
        <w:rPr>
          <w:rFonts w:hint="eastAsia"/>
          <w:kern w:val="0"/>
        </w:rPr>
        <w:t>關</w:t>
      </w:r>
      <w:r w:rsidRPr="0005564B">
        <w:rPr>
          <w:rFonts w:hint="eastAsia"/>
          <w:kern w:val="0"/>
          <w:lang w:eastAsia="zh-HK"/>
        </w:rPr>
        <w:t>作為，符合「</w:t>
      </w:r>
      <w:r w:rsidRPr="0005564B">
        <w:rPr>
          <w:rFonts w:hint="eastAsia"/>
        </w:rPr>
        <w:t>健保法</w:t>
      </w:r>
      <w:r w:rsidRPr="0005564B">
        <w:rPr>
          <w:rFonts w:hint="eastAsia"/>
          <w:kern w:val="0"/>
          <w:lang w:eastAsia="zh-HK"/>
        </w:rPr>
        <w:t>」</w:t>
      </w:r>
      <w:r w:rsidRPr="0005564B">
        <w:rPr>
          <w:rFonts w:hint="eastAsia"/>
        </w:rPr>
        <w:t>第72條：「為減少無效醫療等不當耗用保險醫療資源之情形，保險人每年度應擬訂抑制資源不當耗用之改善方案，提健保會討論後，報主管機關核定。」</w:t>
      </w:r>
      <w:r w:rsidRPr="0005564B">
        <w:rPr>
          <w:rFonts w:hint="eastAsia"/>
          <w:lang w:eastAsia="zh-HK"/>
        </w:rPr>
        <w:t>之</w:t>
      </w:r>
      <w:r w:rsidRPr="0005564B">
        <w:rPr>
          <w:rFonts w:hint="eastAsia"/>
          <w:lang w:eastAsia="zh-HK"/>
        </w:rPr>
        <w:lastRenderedPageBreak/>
        <w:t>規定，透過各</w:t>
      </w:r>
      <w:r w:rsidRPr="0005564B">
        <w:rPr>
          <w:rFonts w:hint="eastAsia"/>
          <w:kern w:val="0"/>
        </w:rPr>
        <w:t>改善對策</w:t>
      </w:r>
      <w:r w:rsidRPr="0005564B">
        <w:rPr>
          <w:rFonts w:hint="eastAsia"/>
          <w:kern w:val="0"/>
          <w:lang w:eastAsia="zh-HK"/>
        </w:rPr>
        <w:t>之實施</w:t>
      </w:r>
      <w:r w:rsidRPr="0005564B">
        <w:rPr>
          <w:rFonts w:hint="eastAsia"/>
          <w:kern w:val="0"/>
        </w:rPr>
        <w:t>，</w:t>
      </w:r>
      <w:r w:rsidRPr="0005564B">
        <w:rPr>
          <w:rFonts w:hint="eastAsia"/>
          <w:kern w:val="0"/>
          <w:lang w:eastAsia="zh-HK"/>
        </w:rPr>
        <w:t>其對所增</w:t>
      </w:r>
      <w:r w:rsidRPr="0005564B">
        <w:rPr>
          <w:rFonts w:hint="eastAsia"/>
          <w:kern w:val="0"/>
        </w:rPr>
        <w:t>加</w:t>
      </w:r>
      <w:r w:rsidRPr="0005564B">
        <w:rPr>
          <w:rFonts w:hint="eastAsia"/>
          <w:kern w:val="0"/>
          <w:lang w:eastAsia="zh-HK"/>
        </w:rPr>
        <w:t>健保</w:t>
      </w:r>
      <w:r w:rsidRPr="0005564B">
        <w:rPr>
          <w:rFonts w:hint="eastAsia"/>
          <w:kern w:val="0"/>
        </w:rPr>
        <w:t>節餘之金額，</w:t>
      </w:r>
      <w:r w:rsidRPr="0005564B">
        <w:rPr>
          <w:rFonts w:hint="eastAsia"/>
          <w:kern w:val="0"/>
          <w:lang w:eastAsia="zh-HK"/>
        </w:rPr>
        <w:t>可</w:t>
      </w:r>
      <w:r w:rsidRPr="0005564B">
        <w:rPr>
          <w:rFonts w:hint="eastAsia"/>
          <w:kern w:val="0"/>
        </w:rPr>
        <w:t>反映至點值提升，</w:t>
      </w:r>
      <w:r w:rsidRPr="0005564B">
        <w:rPr>
          <w:rFonts w:hint="eastAsia"/>
          <w:kern w:val="0"/>
          <w:lang w:eastAsia="zh-HK"/>
        </w:rPr>
        <w:t>達到</w:t>
      </w:r>
      <w:r w:rsidRPr="0005564B">
        <w:rPr>
          <w:rFonts w:hint="eastAsia"/>
          <w:kern w:val="0"/>
        </w:rPr>
        <w:t>提升公平、品質、效率等</w:t>
      </w:r>
      <w:r w:rsidRPr="0005564B">
        <w:rPr>
          <w:rFonts w:hint="eastAsia"/>
          <w:kern w:val="0"/>
          <w:lang w:eastAsia="zh-HK"/>
        </w:rPr>
        <w:t>目標；此外，縱如</w:t>
      </w:r>
      <w:r w:rsidRPr="0005564B">
        <w:rPr>
          <w:rFonts w:hint="eastAsia"/>
        </w:rPr>
        <w:t>衛福部</w:t>
      </w:r>
      <w:r w:rsidRPr="0005564B">
        <w:rPr>
          <w:rFonts w:hint="eastAsia"/>
          <w:lang w:eastAsia="zh-HK"/>
        </w:rPr>
        <w:t>之說明，</w:t>
      </w:r>
      <w:r w:rsidRPr="0005564B">
        <w:rPr>
          <w:rFonts w:hint="eastAsia"/>
        </w:rPr>
        <w:t>醫療費用大部分成長主要來自人口老化及新藥新科技之引進，</w:t>
      </w:r>
      <w:r w:rsidRPr="0005564B">
        <w:rPr>
          <w:rFonts w:hint="eastAsia"/>
          <w:lang w:eastAsia="zh-HK"/>
        </w:rPr>
        <w:t>自</w:t>
      </w:r>
      <w:r w:rsidRPr="0005564B">
        <w:rPr>
          <w:rFonts w:hint="eastAsia"/>
        </w:rPr>
        <w:t>推動</w:t>
      </w:r>
      <w:r w:rsidRPr="0005564B">
        <w:rPr>
          <w:rFonts w:hint="eastAsia"/>
          <w:lang w:eastAsia="zh-HK"/>
        </w:rPr>
        <w:t>並施行</w:t>
      </w:r>
      <w:r w:rsidRPr="0005564B">
        <w:rPr>
          <w:rFonts w:hint="eastAsia"/>
        </w:rPr>
        <w:t>總額支付制度以來，醫療費用每年成長率已</w:t>
      </w:r>
      <w:r w:rsidRPr="0005564B">
        <w:rPr>
          <w:rFonts w:hint="eastAsia"/>
          <w:lang w:eastAsia="zh-HK"/>
        </w:rPr>
        <w:t>受</w:t>
      </w:r>
      <w:r w:rsidRPr="0005564B">
        <w:rPr>
          <w:rFonts w:hint="eastAsia"/>
        </w:rPr>
        <w:t>控制，</w:t>
      </w:r>
      <w:r w:rsidRPr="0005564B">
        <w:rPr>
          <w:rFonts w:hint="eastAsia"/>
          <w:lang w:eastAsia="zh-HK"/>
        </w:rPr>
        <w:t>然</w:t>
      </w:r>
      <w:r w:rsidRPr="0005564B">
        <w:rPr>
          <w:rFonts w:hint="eastAsia"/>
        </w:rPr>
        <w:t>健保抑制資源不當耗用改善方案每年</w:t>
      </w:r>
      <w:r w:rsidRPr="0005564B">
        <w:rPr>
          <w:rFonts w:hint="eastAsia"/>
          <w:lang w:eastAsia="zh-HK"/>
        </w:rPr>
        <w:t>度之</w:t>
      </w:r>
      <w:r w:rsidRPr="0005564B">
        <w:rPr>
          <w:rFonts w:hint="eastAsia"/>
        </w:rPr>
        <w:t>執行成果，除提報健保會外，亦於年度總額協商時列為重要參考資料，</w:t>
      </w:r>
      <w:r w:rsidRPr="0005564B">
        <w:rPr>
          <w:rFonts w:hint="eastAsia"/>
          <w:lang w:eastAsia="zh-HK"/>
        </w:rPr>
        <w:t>對</w:t>
      </w:r>
      <w:r w:rsidRPr="0005564B">
        <w:rPr>
          <w:rFonts w:hint="eastAsia"/>
        </w:rPr>
        <w:t>於</w:t>
      </w:r>
      <w:r w:rsidRPr="0005564B">
        <w:rPr>
          <w:rFonts w:hint="eastAsia"/>
          <w:lang w:eastAsia="zh-HK"/>
        </w:rPr>
        <w:t>改</w:t>
      </w:r>
      <w:r w:rsidRPr="0005564B">
        <w:rPr>
          <w:rFonts w:hint="eastAsia"/>
        </w:rPr>
        <w:t>善</w:t>
      </w:r>
      <w:r w:rsidRPr="0005564B">
        <w:rPr>
          <w:rFonts w:hint="eastAsia"/>
          <w:lang w:eastAsia="zh-HK"/>
        </w:rPr>
        <w:t>健保財</w:t>
      </w:r>
      <w:r w:rsidRPr="0005564B">
        <w:rPr>
          <w:rFonts w:hint="eastAsia"/>
        </w:rPr>
        <w:t>務</w:t>
      </w:r>
      <w:r w:rsidRPr="0005564B">
        <w:rPr>
          <w:rFonts w:hint="eastAsia"/>
          <w:lang w:eastAsia="zh-HK"/>
        </w:rPr>
        <w:t>狀</w:t>
      </w:r>
      <w:r w:rsidRPr="0005564B">
        <w:rPr>
          <w:rFonts w:hint="eastAsia"/>
        </w:rPr>
        <w:t>況</w:t>
      </w:r>
      <w:r w:rsidRPr="0005564B">
        <w:rPr>
          <w:rFonts w:hint="eastAsia"/>
          <w:lang w:eastAsia="zh-HK"/>
        </w:rPr>
        <w:t>，</w:t>
      </w:r>
      <w:r w:rsidRPr="0005564B">
        <w:rPr>
          <w:rFonts w:hint="eastAsia"/>
        </w:rPr>
        <w:t>不無助益</w:t>
      </w:r>
      <w:r w:rsidRPr="0005564B">
        <w:rPr>
          <w:rFonts w:hint="eastAsia"/>
          <w:lang w:eastAsia="zh-HK"/>
        </w:rPr>
        <w:t>，應予重視並加強辦理</w:t>
      </w:r>
      <w:r w:rsidRPr="0005564B">
        <w:rPr>
          <w:rFonts w:hint="eastAsia"/>
        </w:rPr>
        <w:t>。</w:t>
      </w:r>
      <w:bookmarkEnd w:id="197"/>
      <w:bookmarkEnd w:id="198"/>
      <w:bookmarkEnd w:id="199"/>
      <w:r w:rsidRPr="0005564B">
        <w:rPr>
          <w:rFonts w:hint="eastAsia"/>
        </w:rPr>
        <w:t>此外，</w:t>
      </w:r>
      <w:r w:rsidR="00185CD0" w:rsidRPr="0005564B">
        <w:rPr>
          <w:rFonts w:hint="eastAsia"/>
        </w:rPr>
        <w:t>「</w:t>
      </w:r>
      <w:r w:rsidRPr="0005564B">
        <w:rPr>
          <w:kern w:val="0"/>
        </w:rPr>
        <w:t>病人自主權利法</w:t>
      </w:r>
      <w:r w:rsidR="00185CD0" w:rsidRPr="0005564B">
        <w:rPr>
          <w:rFonts w:hint="eastAsia"/>
        </w:rPr>
        <w:t>」</w:t>
      </w:r>
      <w:r w:rsidRPr="0005564B">
        <w:rPr>
          <w:rFonts w:hint="eastAsia"/>
          <w:kern w:val="0"/>
        </w:rPr>
        <w:t>已</w:t>
      </w:r>
      <w:r w:rsidRPr="0005564B">
        <w:rPr>
          <w:kern w:val="0"/>
        </w:rPr>
        <w:t>於</w:t>
      </w:r>
      <w:r w:rsidRPr="0005564B">
        <w:rPr>
          <w:rFonts w:hint="eastAsia"/>
          <w:kern w:val="0"/>
        </w:rPr>
        <w:t>本（108）</w:t>
      </w:r>
      <w:r w:rsidRPr="0005564B">
        <w:rPr>
          <w:kern w:val="0"/>
        </w:rPr>
        <w:t>年1月6日</w:t>
      </w:r>
      <w:r w:rsidR="00185CD0" w:rsidRPr="0005564B">
        <w:rPr>
          <w:rFonts w:hint="eastAsia"/>
          <w:kern w:val="0"/>
        </w:rPr>
        <w:t>施行</w:t>
      </w:r>
      <w:r w:rsidRPr="0005564B">
        <w:rPr>
          <w:kern w:val="0"/>
        </w:rPr>
        <w:t>，</w:t>
      </w:r>
      <w:r w:rsidRPr="0005564B">
        <w:rPr>
          <w:rFonts w:hint="eastAsia"/>
          <w:kern w:val="0"/>
        </w:rPr>
        <w:t>減少無效醫療</w:t>
      </w:r>
      <w:r w:rsidRPr="0005564B">
        <w:rPr>
          <w:rFonts w:hint="eastAsia"/>
        </w:rPr>
        <w:t>耗用</w:t>
      </w:r>
      <w:r w:rsidRPr="0005564B">
        <w:rPr>
          <w:rFonts w:ascii="新細明體" w:eastAsia="新細明體" w:hAnsi="新細明體" w:hint="eastAsia"/>
        </w:rPr>
        <w:t>、</w:t>
      </w:r>
      <w:r w:rsidRPr="0005564B">
        <w:rPr>
          <w:rFonts w:hint="eastAsia"/>
        </w:rPr>
        <w:t>尊重醫療自主，保障善終權益等計畫雖已列入歷年之健保抑制資源不當耗用改善方案中，然允應針對末期</w:t>
      </w:r>
      <w:r w:rsidRPr="0005564B">
        <w:t>無效醫療提出檢討與</w:t>
      </w:r>
      <w:r w:rsidRPr="0005564B">
        <w:rPr>
          <w:rFonts w:hint="eastAsia"/>
        </w:rPr>
        <w:t>具體</w:t>
      </w:r>
      <w:r w:rsidRPr="0005564B">
        <w:t>改善方案</w:t>
      </w:r>
      <w:r w:rsidRPr="0005564B">
        <w:rPr>
          <w:rFonts w:hint="eastAsia"/>
        </w:rPr>
        <w:t>，以適當</w:t>
      </w:r>
      <w:r w:rsidRPr="0005564B">
        <w:t>監測數據</w:t>
      </w:r>
      <w:r w:rsidRPr="0005564B">
        <w:rPr>
          <w:rFonts w:hint="eastAsia"/>
        </w:rPr>
        <w:t>檢驗</w:t>
      </w:r>
      <w:r w:rsidRPr="0005564B">
        <w:t>改善成效</w:t>
      </w:r>
      <w:r w:rsidRPr="0005564B">
        <w:rPr>
          <w:rFonts w:hint="eastAsia"/>
        </w:rPr>
        <w:t>。又，</w:t>
      </w:r>
      <w:r w:rsidRPr="0005564B">
        <w:rPr>
          <w:kern w:val="0"/>
        </w:rPr>
        <w:t>健保署未能參考</w:t>
      </w:r>
      <w:r w:rsidRPr="0005564B">
        <w:rPr>
          <w:rFonts w:hint="eastAsia"/>
          <w:kern w:val="0"/>
        </w:rPr>
        <w:t>如</w:t>
      </w:r>
      <w:r w:rsidRPr="0005564B">
        <w:rPr>
          <w:kern w:val="0"/>
        </w:rPr>
        <w:t>美國及加拿大</w:t>
      </w:r>
      <w:r w:rsidRPr="0005564B">
        <w:rPr>
          <w:rFonts w:hint="eastAsia"/>
          <w:kern w:val="0"/>
        </w:rPr>
        <w:t>等國家之</w:t>
      </w:r>
      <w:r w:rsidRPr="0005564B">
        <w:rPr>
          <w:kern w:val="0"/>
        </w:rPr>
        <w:t>作法，利用健保給付方式</w:t>
      </w:r>
      <w:r w:rsidRPr="0005564B">
        <w:rPr>
          <w:rFonts w:hint="eastAsia"/>
          <w:kern w:val="0"/>
        </w:rPr>
        <w:t>對</w:t>
      </w:r>
      <w:r w:rsidRPr="0005564B">
        <w:rPr>
          <w:kern w:val="0"/>
        </w:rPr>
        <w:t>高齡共病衰老者、癌症病患、失智或失能者，提供預立醫療照護諮商（ACP)，鼓勵此等族群經諮商後預立醫療計</w:t>
      </w:r>
      <w:r w:rsidRPr="0005564B">
        <w:rPr>
          <w:rFonts w:hint="eastAsia"/>
          <w:kern w:val="0"/>
        </w:rPr>
        <w:t>畫</w:t>
      </w:r>
      <w:r w:rsidRPr="0005564B">
        <w:rPr>
          <w:kern w:val="0"/>
        </w:rPr>
        <w:t>以減少</w:t>
      </w:r>
      <w:r w:rsidRPr="0005564B">
        <w:rPr>
          <w:rFonts w:hint="eastAsia"/>
          <w:kern w:val="0"/>
          <w:lang w:eastAsia="zh-HK"/>
        </w:rPr>
        <w:t>持續之</w:t>
      </w:r>
      <w:r w:rsidRPr="0005564B">
        <w:rPr>
          <w:kern w:val="0"/>
        </w:rPr>
        <w:t>無效醫療，</w:t>
      </w:r>
      <w:r w:rsidRPr="0005564B">
        <w:rPr>
          <w:rFonts w:hint="eastAsia"/>
          <w:kern w:val="0"/>
          <w:lang w:eastAsia="zh-HK"/>
        </w:rPr>
        <w:t>態度顯得</w:t>
      </w:r>
      <w:r w:rsidRPr="0005564B">
        <w:rPr>
          <w:kern w:val="0"/>
        </w:rPr>
        <w:t>消極</w:t>
      </w:r>
      <w:r w:rsidRPr="0005564B">
        <w:rPr>
          <w:rFonts w:hint="eastAsia"/>
          <w:kern w:val="0"/>
        </w:rPr>
        <w:t>，</w:t>
      </w:r>
      <w:r w:rsidRPr="0005564B">
        <w:rPr>
          <w:rFonts w:hint="eastAsia"/>
          <w:kern w:val="0"/>
          <w:lang w:eastAsia="zh-HK"/>
        </w:rPr>
        <w:t>確</w:t>
      </w:r>
      <w:r w:rsidRPr="0005564B">
        <w:rPr>
          <w:kern w:val="0"/>
        </w:rPr>
        <w:t>有檢討之</w:t>
      </w:r>
      <w:r w:rsidRPr="0005564B">
        <w:rPr>
          <w:rFonts w:hint="eastAsia"/>
          <w:kern w:val="0"/>
          <w:lang w:eastAsia="zh-HK"/>
        </w:rPr>
        <w:t>空間</w:t>
      </w:r>
      <w:r w:rsidRPr="0005564B">
        <w:rPr>
          <w:kern w:val="0"/>
        </w:rPr>
        <w:t>。</w:t>
      </w:r>
    </w:p>
    <w:p w:rsidR="003B110E" w:rsidRPr="0005564B" w:rsidRDefault="003B110E" w:rsidP="003B110E">
      <w:pPr>
        <w:pStyle w:val="3"/>
        <w:numPr>
          <w:ilvl w:val="0"/>
          <w:numId w:val="0"/>
        </w:numPr>
        <w:ind w:left="1361"/>
        <w:rPr>
          <w:kern w:val="0"/>
        </w:rPr>
      </w:pPr>
    </w:p>
    <w:p w:rsidR="00E85D82" w:rsidRPr="0005564B" w:rsidRDefault="00E85D82" w:rsidP="00E85D82">
      <w:pPr>
        <w:pStyle w:val="2"/>
        <w:numPr>
          <w:ilvl w:val="1"/>
          <w:numId w:val="1"/>
        </w:numPr>
        <w:rPr>
          <w:b/>
        </w:rPr>
      </w:pPr>
      <w:bookmarkStart w:id="200" w:name="_Toc9058328"/>
      <w:bookmarkStart w:id="201" w:name="_Toc9078575"/>
      <w:bookmarkStart w:id="202" w:name="_Toc10066339"/>
      <w:bookmarkStart w:id="203" w:name="_Toc10295284"/>
      <w:bookmarkEnd w:id="196"/>
      <w:r w:rsidRPr="0005564B">
        <w:rPr>
          <w:rFonts w:hint="eastAsia"/>
          <w:b/>
        </w:rPr>
        <w:t>衛福部未對</w:t>
      </w:r>
      <w:r w:rsidRPr="0005564B">
        <w:rPr>
          <w:rFonts w:hAnsi="標楷體" w:hint="eastAsia"/>
          <w:b/>
        </w:rPr>
        <w:t>「</w:t>
      </w:r>
      <w:r w:rsidRPr="0005564B">
        <w:rPr>
          <w:rFonts w:hint="eastAsia"/>
          <w:b/>
        </w:rPr>
        <w:t>公司法</w:t>
      </w:r>
      <w:r w:rsidRPr="0005564B">
        <w:rPr>
          <w:rFonts w:hAnsi="標楷體" w:hint="eastAsia"/>
          <w:b/>
        </w:rPr>
        <w:t>」</w:t>
      </w:r>
      <w:r w:rsidRPr="0005564B">
        <w:rPr>
          <w:rFonts w:hint="eastAsia"/>
          <w:b/>
        </w:rPr>
        <w:t>修正後對補充保險費之影響進行評估並採取因應措施，凸顯該部未能確實掌握影響健保財務之因素，似欠積極</w:t>
      </w:r>
      <w:bookmarkEnd w:id="200"/>
      <w:bookmarkEnd w:id="201"/>
      <w:bookmarkEnd w:id="202"/>
      <w:r w:rsidRPr="0005564B">
        <w:rPr>
          <w:rFonts w:hAnsi="標楷體" w:hint="eastAsia"/>
        </w:rPr>
        <w:t>。</w:t>
      </w:r>
      <w:bookmarkEnd w:id="203"/>
    </w:p>
    <w:p w:rsidR="00E85D82" w:rsidRPr="0005564B" w:rsidRDefault="00E85D82" w:rsidP="00E85D82">
      <w:pPr>
        <w:pStyle w:val="3"/>
        <w:numPr>
          <w:ilvl w:val="2"/>
          <w:numId w:val="1"/>
        </w:numPr>
      </w:pPr>
      <w:bookmarkStart w:id="204" w:name="_Toc8659620"/>
      <w:bookmarkStart w:id="205" w:name="_Toc9058329"/>
      <w:bookmarkStart w:id="206" w:name="_Toc10027538"/>
      <w:bookmarkStart w:id="207" w:name="_Toc10054231"/>
      <w:bookmarkStart w:id="208" w:name="_Toc10066340"/>
      <w:r w:rsidRPr="0005564B">
        <w:rPr>
          <w:rFonts w:hint="eastAsia"/>
        </w:rPr>
        <w:t>100年1月26日修正公布並自102年1月1日起施行之</w:t>
      </w:r>
      <w:r w:rsidRPr="0005564B">
        <w:rPr>
          <w:rFonts w:hAnsi="標楷體" w:hint="eastAsia"/>
        </w:rPr>
        <w:t>「</w:t>
      </w:r>
      <w:r w:rsidRPr="0005564B">
        <w:rPr>
          <w:rFonts w:hint="eastAsia"/>
        </w:rPr>
        <w:t>健保法</w:t>
      </w:r>
      <w:r w:rsidRPr="0005564B">
        <w:rPr>
          <w:rFonts w:hAnsi="標楷體" w:hint="eastAsia"/>
        </w:rPr>
        <w:t>」</w:t>
      </w:r>
      <w:r w:rsidRPr="0005564B">
        <w:rPr>
          <w:rFonts w:hint="eastAsia"/>
        </w:rPr>
        <w:t>第31條規定：</w:t>
      </w:r>
      <w:r w:rsidRPr="0005564B">
        <w:rPr>
          <w:rFonts w:hAnsi="標楷體" w:hint="eastAsia"/>
        </w:rPr>
        <w:t>「</w:t>
      </w:r>
      <w:r w:rsidRPr="0005564B">
        <w:rPr>
          <w:rFonts w:hint="eastAsia"/>
        </w:rPr>
        <w:t>第一類至第四類及第六類保險對象有下列各類所得，應依規定之補充保險費率計收補充保險費，由扣費義務人於給付時扣取，並於給付日之次月底前向保險人繳納。但單次給付金額逾新臺幣1千萬元之部分及未達一定金額者，免予扣取：一、所屬投保單位給付全年累計逾當月</w:t>
      </w:r>
      <w:r w:rsidRPr="0005564B">
        <w:rPr>
          <w:rFonts w:hint="eastAsia"/>
        </w:rPr>
        <w:lastRenderedPageBreak/>
        <w:t>投保金額四倍部分之獎金。二、非所屬投保單位給付之薪資所得。但第二類被保險人之薪資所得，不在此限。三、執行業務收入。但依第20條規定以執行業務所得為投保金額者之執行業務收入，不在此限。四、股利所得。但已列入投保金額計算保險費部分，不在此限。五、利息所得。六、租金收入。扣費義務人因故不及於規定期限內扣繳時，應先行墊繳。第一項所稱一定金額、扣取與繳納補充保險費之方式及其他應遵行事項之辦法，由主管機關定之</w:t>
      </w:r>
      <w:r w:rsidRPr="0005564B">
        <w:rPr>
          <w:rFonts w:ascii="細明體" w:eastAsia="細明體" w:hAnsi="細明體" w:cs="細明體" w:hint="eastAsia"/>
          <w:kern w:val="0"/>
          <w:sz w:val="24"/>
          <w:szCs w:val="24"/>
        </w:rPr>
        <w:t>。</w:t>
      </w:r>
      <w:r w:rsidRPr="0005564B">
        <w:rPr>
          <w:rFonts w:hAnsi="標楷體" w:cs="細明體" w:hint="eastAsia"/>
        </w:rPr>
        <w:t>」而</w:t>
      </w:r>
      <w:r w:rsidRPr="0005564B">
        <w:rPr>
          <w:rFonts w:hint="eastAsia"/>
        </w:rPr>
        <w:t>前行政院衛生署於101年10月30日衛署健保字第1012600179號令訂定發布並自102年1月1日施行之「全民健康保險扣取及繳納補充保險費辦法」第4條規定：「扣費義務人給付本法第31條第1項各類所得時，其單次給付金額達新臺幣5千元者，應按規定之補充保險費率扣取補充保險費，並於給付日之次月底前填具繳款書，向保險人繳納。但符合本法第31條第1項第1款逾當月投保金額4倍部分之獎金，應全數計收補充保險費。前項應扣取補充保險費之利息所得，其單次給付未達新臺幣2萬元者，扣費義務人併得於次年1月31日之前，依照規定格式造冊，彙送給保險人，由保險人逕向保險對象收取。……」其後，為兼顧健保財務之穩健，適度減輕民眾補充保險費負擔，該規定於104年12月2日修正，將利息所得、股利所得、租金收入及執行業務收入，全面放寬補充保險費扣費標準，單筆扣費下限一律由5千元提高到2萬元。而原訂補充保險費率2%亦於105年1月1日起調降為1.91%。</w:t>
      </w:r>
      <w:bookmarkEnd w:id="204"/>
      <w:bookmarkEnd w:id="205"/>
      <w:bookmarkEnd w:id="206"/>
      <w:bookmarkEnd w:id="207"/>
      <w:bookmarkEnd w:id="208"/>
    </w:p>
    <w:p w:rsidR="00E85D82" w:rsidRPr="0005564B" w:rsidRDefault="00E85D82" w:rsidP="00E85D82">
      <w:pPr>
        <w:pStyle w:val="3"/>
        <w:numPr>
          <w:ilvl w:val="2"/>
          <w:numId w:val="1"/>
        </w:numPr>
      </w:pPr>
      <w:bookmarkStart w:id="209" w:name="_Toc8659621"/>
      <w:bookmarkStart w:id="210" w:name="_Toc9058330"/>
      <w:bookmarkStart w:id="211" w:name="_Toc10027539"/>
      <w:bookmarkStart w:id="212" w:name="_Toc10054232"/>
      <w:bookmarkStart w:id="213" w:name="_Toc10066341"/>
      <w:r w:rsidRPr="0005564B">
        <w:rPr>
          <w:rFonts w:hAnsi="標楷體" w:hint="eastAsia"/>
        </w:rPr>
        <w:t>衛福部表示，</w:t>
      </w:r>
      <w:r w:rsidRPr="0005564B">
        <w:rPr>
          <w:rFonts w:hint="eastAsia"/>
        </w:rPr>
        <w:t>107年增加健保保險收入約463億元，約占健保保險收入7%，</w:t>
      </w:r>
      <w:r w:rsidRPr="0005564B">
        <w:rPr>
          <w:noProof/>
        </w:rPr>
        <w:t>實施後費基涵蓋綜合所得之範圍已擴大至9成以上，</w:t>
      </w:r>
      <w:r w:rsidRPr="0005564B">
        <w:rPr>
          <w:rFonts w:hint="eastAsia"/>
          <w:noProof/>
        </w:rPr>
        <w:t>對</w:t>
      </w:r>
      <w:r w:rsidRPr="0005564B">
        <w:rPr>
          <w:rFonts w:hint="eastAsia"/>
        </w:rPr>
        <w:t>健保財務收支結構性問</w:t>
      </w:r>
      <w:r w:rsidRPr="0005564B">
        <w:rPr>
          <w:rFonts w:hint="eastAsia"/>
        </w:rPr>
        <w:lastRenderedPageBreak/>
        <w:t>題之改善助益不小</w:t>
      </w:r>
      <w:r w:rsidRPr="0005564B">
        <w:rPr>
          <w:noProof/>
        </w:rPr>
        <w:t>。</w:t>
      </w:r>
      <w:bookmarkEnd w:id="209"/>
      <w:bookmarkEnd w:id="210"/>
      <w:bookmarkEnd w:id="211"/>
      <w:bookmarkEnd w:id="212"/>
      <w:bookmarkEnd w:id="213"/>
      <w:r w:rsidRPr="0005564B">
        <w:rPr>
          <w:rFonts w:hAnsi="標楷體" w:hint="eastAsia"/>
        </w:rPr>
        <w:t>102年至107年補充保險費收繳情形如下表。</w:t>
      </w:r>
    </w:p>
    <w:p w:rsidR="00E85D82" w:rsidRPr="0005564B" w:rsidRDefault="00E85D82" w:rsidP="00E85D82">
      <w:pPr>
        <w:pStyle w:val="a3"/>
        <w:jc w:val="center"/>
        <w:rPr>
          <w:b/>
        </w:rPr>
      </w:pPr>
      <w:r w:rsidRPr="0005564B">
        <w:rPr>
          <w:rFonts w:hAnsi="標楷體" w:hint="eastAsia"/>
          <w:b/>
        </w:rPr>
        <w:t>102年至107年健保補充保險費收繳情形</w:t>
      </w:r>
    </w:p>
    <w:tbl>
      <w:tblPr>
        <w:tblStyle w:val="af6"/>
        <w:tblW w:w="0" w:type="auto"/>
        <w:tblInd w:w="817" w:type="dxa"/>
        <w:tblLook w:val="04A0" w:firstRow="1" w:lastRow="0" w:firstColumn="1" w:lastColumn="0" w:noHBand="0" w:noVBand="1"/>
      </w:tblPr>
      <w:tblGrid>
        <w:gridCol w:w="3603"/>
        <w:gridCol w:w="4414"/>
      </w:tblGrid>
      <w:tr w:rsidR="0005564B" w:rsidRPr="0005564B" w:rsidTr="006A51E2">
        <w:trPr>
          <w:trHeight w:val="641"/>
          <w:tblHeader/>
        </w:trPr>
        <w:tc>
          <w:tcPr>
            <w:tcW w:w="3633" w:type="dxa"/>
            <w:vAlign w:val="center"/>
          </w:tcPr>
          <w:p w:rsidR="00E85D82" w:rsidRPr="0005564B" w:rsidRDefault="00E85D82" w:rsidP="004F7DDF">
            <w:pPr>
              <w:spacing w:beforeLines="15" w:before="68" w:afterLines="15" w:after="68"/>
              <w:jc w:val="center"/>
              <w:rPr>
                <w:b/>
                <w:sz w:val="28"/>
                <w:szCs w:val="28"/>
              </w:rPr>
            </w:pPr>
            <w:r w:rsidRPr="0005564B">
              <w:rPr>
                <w:rFonts w:hint="eastAsia"/>
                <w:b/>
                <w:sz w:val="28"/>
                <w:szCs w:val="28"/>
              </w:rPr>
              <w:t>年度</w:t>
            </w:r>
          </w:p>
        </w:tc>
        <w:tc>
          <w:tcPr>
            <w:tcW w:w="4450" w:type="dxa"/>
            <w:vAlign w:val="center"/>
          </w:tcPr>
          <w:p w:rsidR="00E85D82" w:rsidRPr="0005564B" w:rsidRDefault="00E85D82" w:rsidP="006A51E2">
            <w:pPr>
              <w:jc w:val="center"/>
              <w:rPr>
                <w:b/>
                <w:sz w:val="28"/>
                <w:szCs w:val="28"/>
              </w:rPr>
            </w:pPr>
            <w:r w:rsidRPr="0005564B">
              <w:rPr>
                <w:rFonts w:hint="eastAsia"/>
                <w:b/>
                <w:sz w:val="28"/>
                <w:szCs w:val="28"/>
              </w:rPr>
              <w:t>收繳金額(億元)</w:t>
            </w:r>
          </w:p>
        </w:tc>
      </w:tr>
      <w:tr w:rsidR="0005564B" w:rsidRPr="0005564B" w:rsidTr="006A51E2">
        <w:tc>
          <w:tcPr>
            <w:tcW w:w="3633" w:type="dxa"/>
            <w:vAlign w:val="center"/>
          </w:tcPr>
          <w:p w:rsidR="00E85D82" w:rsidRPr="0005564B" w:rsidRDefault="00E85D82" w:rsidP="004F7DDF">
            <w:pPr>
              <w:spacing w:beforeLines="15" w:before="68" w:afterLines="15" w:after="68"/>
              <w:jc w:val="center"/>
              <w:rPr>
                <w:sz w:val="28"/>
                <w:szCs w:val="28"/>
              </w:rPr>
            </w:pPr>
            <w:r w:rsidRPr="0005564B">
              <w:rPr>
                <w:rFonts w:hint="eastAsia"/>
                <w:sz w:val="28"/>
                <w:szCs w:val="28"/>
              </w:rPr>
              <w:t>102</w:t>
            </w:r>
          </w:p>
        </w:tc>
        <w:tc>
          <w:tcPr>
            <w:tcW w:w="4450" w:type="dxa"/>
            <w:vAlign w:val="center"/>
          </w:tcPr>
          <w:p w:rsidR="00E85D82" w:rsidRPr="0005564B" w:rsidRDefault="00E85D82" w:rsidP="006A51E2">
            <w:pPr>
              <w:jc w:val="center"/>
              <w:rPr>
                <w:sz w:val="28"/>
                <w:szCs w:val="28"/>
              </w:rPr>
            </w:pPr>
            <w:r w:rsidRPr="0005564B">
              <w:rPr>
                <w:rFonts w:hint="eastAsia"/>
                <w:sz w:val="28"/>
                <w:szCs w:val="28"/>
              </w:rPr>
              <w:t>403.5</w:t>
            </w:r>
          </w:p>
        </w:tc>
      </w:tr>
      <w:tr w:rsidR="0005564B" w:rsidRPr="0005564B" w:rsidTr="006A51E2">
        <w:tc>
          <w:tcPr>
            <w:tcW w:w="3633" w:type="dxa"/>
            <w:vAlign w:val="center"/>
          </w:tcPr>
          <w:p w:rsidR="00E85D82" w:rsidRPr="0005564B" w:rsidRDefault="00E85D82" w:rsidP="004F7DDF">
            <w:pPr>
              <w:spacing w:beforeLines="15" w:before="68" w:afterLines="15" w:after="68"/>
              <w:jc w:val="center"/>
              <w:rPr>
                <w:sz w:val="28"/>
                <w:szCs w:val="28"/>
              </w:rPr>
            </w:pPr>
            <w:r w:rsidRPr="0005564B">
              <w:rPr>
                <w:rFonts w:hint="eastAsia"/>
                <w:sz w:val="28"/>
                <w:szCs w:val="28"/>
              </w:rPr>
              <w:t>103</w:t>
            </w:r>
          </w:p>
        </w:tc>
        <w:tc>
          <w:tcPr>
            <w:tcW w:w="4450" w:type="dxa"/>
            <w:vAlign w:val="center"/>
          </w:tcPr>
          <w:p w:rsidR="00E85D82" w:rsidRPr="0005564B" w:rsidRDefault="00E85D82" w:rsidP="006A51E2">
            <w:pPr>
              <w:jc w:val="center"/>
              <w:rPr>
                <w:sz w:val="28"/>
                <w:szCs w:val="28"/>
              </w:rPr>
            </w:pPr>
            <w:r w:rsidRPr="0005564B">
              <w:rPr>
                <w:rFonts w:hint="eastAsia"/>
                <w:sz w:val="28"/>
                <w:szCs w:val="28"/>
              </w:rPr>
              <w:t>468.2</w:t>
            </w:r>
          </w:p>
        </w:tc>
      </w:tr>
      <w:tr w:rsidR="0005564B" w:rsidRPr="0005564B" w:rsidTr="006A51E2">
        <w:tc>
          <w:tcPr>
            <w:tcW w:w="3633" w:type="dxa"/>
            <w:vAlign w:val="center"/>
          </w:tcPr>
          <w:p w:rsidR="00E85D82" w:rsidRPr="0005564B" w:rsidRDefault="00E85D82" w:rsidP="004F7DDF">
            <w:pPr>
              <w:spacing w:beforeLines="15" w:before="68" w:afterLines="15" w:after="68"/>
              <w:jc w:val="center"/>
              <w:rPr>
                <w:sz w:val="28"/>
                <w:szCs w:val="28"/>
              </w:rPr>
            </w:pPr>
            <w:r w:rsidRPr="0005564B">
              <w:rPr>
                <w:rFonts w:hint="eastAsia"/>
                <w:sz w:val="28"/>
                <w:szCs w:val="28"/>
              </w:rPr>
              <w:t>104</w:t>
            </w:r>
          </w:p>
        </w:tc>
        <w:tc>
          <w:tcPr>
            <w:tcW w:w="4450" w:type="dxa"/>
            <w:vAlign w:val="center"/>
          </w:tcPr>
          <w:p w:rsidR="00E85D82" w:rsidRPr="0005564B" w:rsidRDefault="00E85D82" w:rsidP="006A51E2">
            <w:pPr>
              <w:jc w:val="center"/>
              <w:rPr>
                <w:sz w:val="28"/>
                <w:szCs w:val="28"/>
              </w:rPr>
            </w:pPr>
            <w:r w:rsidRPr="0005564B">
              <w:rPr>
                <w:rFonts w:hint="eastAsia"/>
                <w:sz w:val="28"/>
                <w:szCs w:val="28"/>
              </w:rPr>
              <w:t>474.5</w:t>
            </w:r>
          </w:p>
        </w:tc>
      </w:tr>
      <w:tr w:rsidR="0005564B" w:rsidRPr="0005564B" w:rsidTr="006A51E2">
        <w:tc>
          <w:tcPr>
            <w:tcW w:w="3633" w:type="dxa"/>
            <w:vAlign w:val="center"/>
          </w:tcPr>
          <w:p w:rsidR="00E85D82" w:rsidRPr="0005564B" w:rsidRDefault="00E85D82" w:rsidP="004F7DDF">
            <w:pPr>
              <w:spacing w:beforeLines="15" w:before="68" w:afterLines="15" w:after="68"/>
              <w:jc w:val="center"/>
              <w:rPr>
                <w:sz w:val="28"/>
                <w:szCs w:val="28"/>
              </w:rPr>
            </w:pPr>
            <w:r w:rsidRPr="0005564B">
              <w:rPr>
                <w:rFonts w:hint="eastAsia"/>
                <w:sz w:val="28"/>
                <w:szCs w:val="28"/>
              </w:rPr>
              <w:t>105</w:t>
            </w:r>
          </w:p>
        </w:tc>
        <w:tc>
          <w:tcPr>
            <w:tcW w:w="4450" w:type="dxa"/>
            <w:vAlign w:val="center"/>
          </w:tcPr>
          <w:p w:rsidR="00E85D82" w:rsidRPr="0005564B" w:rsidRDefault="00E85D82" w:rsidP="006A51E2">
            <w:pPr>
              <w:jc w:val="center"/>
              <w:rPr>
                <w:sz w:val="28"/>
                <w:szCs w:val="28"/>
              </w:rPr>
            </w:pPr>
            <w:r w:rsidRPr="0005564B">
              <w:rPr>
                <w:rFonts w:hint="eastAsia"/>
                <w:sz w:val="28"/>
                <w:szCs w:val="28"/>
              </w:rPr>
              <w:t>443.9</w:t>
            </w:r>
          </w:p>
        </w:tc>
      </w:tr>
      <w:tr w:rsidR="0005564B" w:rsidRPr="0005564B" w:rsidTr="006A51E2">
        <w:tc>
          <w:tcPr>
            <w:tcW w:w="3633" w:type="dxa"/>
            <w:vAlign w:val="center"/>
          </w:tcPr>
          <w:p w:rsidR="00E85D82" w:rsidRPr="0005564B" w:rsidRDefault="00E85D82" w:rsidP="004F7DDF">
            <w:pPr>
              <w:spacing w:beforeLines="15" w:before="68" w:afterLines="15" w:after="68"/>
              <w:jc w:val="center"/>
              <w:rPr>
                <w:sz w:val="28"/>
                <w:szCs w:val="28"/>
              </w:rPr>
            </w:pPr>
            <w:r w:rsidRPr="0005564B">
              <w:rPr>
                <w:rFonts w:hint="eastAsia"/>
                <w:sz w:val="28"/>
                <w:szCs w:val="28"/>
              </w:rPr>
              <w:t>106</w:t>
            </w:r>
          </w:p>
        </w:tc>
        <w:tc>
          <w:tcPr>
            <w:tcW w:w="4450" w:type="dxa"/>
            <w:vAlign w:val="center"/>
          </w:tcPr>
          <w:p w:rsidR="00E85D82" w:rsidRPr="0005564B" w:rsidRDefault="00E85D82" w:rsidP="006A51E2">
            <w:pPr>
              <w:jc w:val="center"/>
              <w:rPr>
                <w:sz w:val="28"/>
                <w:szCs w:val="28"/>
              </w:rPr>
            </w:pPr>
            <w:r w:rsidRPr="0005564B">
              <w:rPr>
                <w:rFonts w:hint="eastAsia"/>
                <w:sz w:val="28"/>
                <w:szCs w:val="28"/>
              </w:rPr>
              <w:t>449.8</w:t>
            </w:r>
          </w:p>
        </w:tc>
      </w:tr>
      <w:tr w:rsidR="0005564B" w:rsidRPr="0005564B" w:rsidTr="006A51E2">
        <w:tc>
          <w:tcPr>
            <w:tcW w:w="3633" w:type="dxa"/>
            <w:vAlign w:val="center"/>
          </w:tcPr>
          <w:p w:rsidR="00E85D82" w:rsidRPr="0005564B" w:rsidRDefault="00E85D82" w:rsidP="004F7DDF">
            <w:pPr>
              <w:spacing w:beforeLines="15" w:before="68" w:afterLines="15" w:after="68"/>
              <w:jc w:val="center"/>
              <w:rPr>
                <w:sz w:val="28"/>
                <w:szCs w:val="28"/>
              </w:rPr>
            </w:pPr>
            <w:r w:rsidRPr="0005564B">
              <w:rPr>
                <w:rFonts w:hint="eastAsia"/>
                <w:sz w:val="28"/>
                <w:szCs w:val="28"/>
              </w:rPr>
              <w:t>107</w:t>
            </w:r>
          </w:p>
        </w:tc>
        <w:tc>
          <w:tcPr>
            <w:tcW w:w="4450" w:type="dxa"/>
            <w:vAlign w:val="center"/>
          </w:tcPr>
          <w:p w:rsidR="00E85D82" w:rsidRPr="0005564B" w:rsidRDefault="00E85D82" w:rsidP="006A51E2">
            <w:pPr>
              <w:jc w:val="center"/>
              <w:rPr>
                <w:sz w:val="28"/>
                <w:szCs w:val="28"/>
              </w:rPr>
            </w:pPr>
            <w:r w:rsidRPr="0005564B">
              <w:rPr>
                <w:rFonts w:hint="eastAsia"/>
                <w:sz w:val="28"/>
                <w:szCs w:val="28"/>
              </w:rPr>
              <w:t>463.4</w:t>
            </w:r>
          </w:p>
        </w:tc>
      </w:tr>
    </w:tbl>
    <w:p w:rsidR="00E85D82" w:rsidRPr="0005564B" w:rsidRDefault="00E85D82" w:rsidP="004F7DDF">
      <w:pPr>
        <w:pStyle w:val="3"/>
        <w:numPr>
          <w:ilvl w:val="0"/>
          <w:numId w:val="0"/>
        </w:numPr>
        <w:spacing w:afterLines="100" w:after="457"/>
        <w:ind w:leftChars="200" w:left="680"/>
        <w:rPr>
          <w:sz w:val="24"/>
          <w:szCs w:val="24"/>
        </w:rPr>
      </w:pPr>
      <w:bookmarkStart w:id="214" w:name="_Toc10027540"/>
      <w:bookmarkStart w:id="215" w:name="_Toc10054233"/>
      <w:bookmarkStart w:id="216" w:name="_Toc10066342"/>
      <w:r w:rsidRPr="0005564B">
        <w:rPr>
          <w:rFonts w:hint="eastAsia"/>
          <w:sz w:val="24"/>
          <w:szCs w:val="24"/>
        </w:rPr>
        <w:t>資料來源：衛福部。</w:t>
      </w:r>
      <w:bookmarkEnd w:id="214"/>
      <w:bookmarkEnd w:id="215"/>
      <w:bookmarkEnd w:id="216"/>
    </w:p>
    <w:p w:rsidR="00E85D82" w:rsidRPr="0005564B" w:rsidRDefault="00E85D82" w:rsidP="00E85D82">
      <w:pPr>
        <w:pStyle w:val="3"/>
        <w:numPr>
          <w:ilvl w:val="2"/>
          <w:numId w:val="1"/>
        </w:numPr>
      </w:pPr>
      <w:bookmarkStart w:id="217" w:name="_Toc8659623"/>
      <w:bookmarkStart w:id="218" w:name="_Toc9058332"/>
      <w:bookmarkStart w:id="219" w:name="_Toc10027541"/>
      <w:bookmarkStart w:id="220" w:name="_Toc10054234"/>
      <w:bookmarkStart w:id="221" w:name="_Toc10066343"/>
      <w:r w:rsidRPr="0005564B">
        <w:rPr>
          <w:rFonts w:hint="eastAsia"/>
        </w:rPr>
        <w:t>107年8月1日修正公布</w:t>
      </w:r>
      <w:r w:rsidRPr="0005564B">
        <w:rPr>
          <w:rFonts w:hAnsi="標楷體" w:hint="eastAsia"/>
        </w:rPr>
        <w:t>前之「公司法」第228條規定：「每會計年度終了，董事會應編造左列表冊，於股東常會開會30日前交監察人查核：一、營業報告書。二、財務報表。三、盈餘分派或虧損撥補之議案。」及同法就「閉鎖性股份有限公司」</w:t>
      </w:r>
      <w:r w:rsidRPr="0005564B">
        <w:rPr>
          <w:rStyle w:val="afe"/>
          <w:rFonts w:hAnsi="標楷體"/>
        </w:rPr>
        <w:footnoteReference w:id="7"/>
      </w:r>
      <w:r w:rsidRPr="0005564B">
        <w:rPr>
          <w:rFonts w:hAnsi="標楷體" w:hint="eastAsia"/>
        </w:rPr>
        <w:t>於第356條之10規定：「公司章程得訂明盈餘分派或虧損撥補於每半會計年度終了後為之。」嗣因彈性化之盈餘分派或虧損撥補有助於提升股東投資意願，使公司治理更具彈性。爰修正後之「公司法」增訂第228條之1第1項規定：「公司章程得訂明盈餘分派或虧損撥補於每季或每半會計年度終了後為之。」並刪除同法第356條之10之規定，以鬆綁公司盈餘分派次數限制得於每半年或每季為期限為之。是以公司法修正後，公司1</w:t>
      </w:r>
      <w:r w:rsidRPr="0005564B">
        <w:rPr>
          <w:rFonts w:hAnsi="標楷體"/>
        </w:rPr>
        <w:t>年最多可分派</w:t>
      </w:r>
      <w:r w:rsidRPr="0005564B">
        <w:rPr>
          <w:rFonts w:hAnsi="標楷體" w:hint="eastAsia"/>
        </w:rPr>
        <w:t>4</w:t>
      </w:r>
      <w:r w:rsidRPr="0005564B">
        <w:rPr>
          <w:rFonts w:hAnsi="標楷體"/>
        </w:rPr>
        <w:t>次盈餘</w:t>
      </w:r>
      <w:r w:rsidRPr="0005564B">
        <w:rPr>
          <w:rFonts w:hAnsi="標楷體" w:hint="eastAsia"/>
        </w:rPr>
        <w:t>，亦即股東1年最多</w:t>
      </w:r>
      <w:r w:rsidRPr="0005564B">
        <w:rPr>
          <w:rFonts w:hAnsi="標楷體" w:hint="eastAsia"/>
        </w:rPr>
        <w:lastRenderedPageBreak/>
        <w:t>可領取4次股利，股利發放次數增加，減少每次股利所得金額，易致每次股利所得低於健保補充保費單筆扣費下限，而無須繳納健保補充保費，影響其收入。</w:t>
      </w:r>
      <w:r w:rsidRPr="0005564B">
        <w:rPr>
          <w:rFonts w:hint="eastAsia"/>
        </w:rPr>
        <w:t>惟衛福部就本院所詢</w:t>
      </w:r>
      <w:r w:rsidRPr="0005564B">
        <w:rPr>
          <w:rFonts w:hAnsi="標楷體" w:hint="eastAsia"/>
        </w:rPr>
        <w:t>「『公司法』修正後，放寬股利發放次數，貴部有無評估其對於健保補充保費之影響？又有無因應措施？」時卻</w:t>
      </w:r>
      <w:r w:rsidRPr="0005564B">
        <w:rPr>
          <w:rFonts w:hint="eastAsia"/>
        </w:rPr>
        <w:t>表示，實際影響金額須視各公司獲利盈餘、股利發放政策及民眾持有情形而定。顯見，衛福部並未對</w:t>
      </w:r>
      <w:r w:rsidRPr="0005564B">
        <w:rPr>
          <w:rFonts w:hAnsi="標楷體" w:hint="eastAsia"/>
        </w:rPr>
        <w:t>「</w:t>
      </w:r>
      <w:r w:rsidRPr="0005564B">
        <w:rPr>
          <w:rFonts w:hint="eastAsia"/>
        </w:rPr>
        <w:t>公司法</w:t>
      </w:r>
      <w:r w:rsidRPr="0005564B">
        <w:rPr>
          <w:rFonts w:hAnsi="標楷體" w:hint="eastAsia"/>
        </w:rPr>
        <w:t>」</w:t>
      </w:r>
      <w:r w:rsidRPr="0005564B">
        <w:rPr>
          <w:rFonts w:hint="eastAsia"/>
        </w:rPr>
        <w:t>之修正可能造成補充保險費之影響進行評估並採取因應措施，似欠積極。</w:t>
      </w:r>
      <w:bookmarkEnd w:id="217"/>
      <w:bookmarkEnd w:id="218"/>
      <w:bookmarkEnd w:id="219"/>
      <w:bookmarkEnd w:id="220"/>
      <w:bookmarkEnd w:id="221"/>
    </w:p>
    <w:p w:rsidR="00E85D82" w:rsidRPr="0005564B" w:rsidRDefault="00E85D82" w:rsidP="00E85D82">
      <w:pPr>
        <w:pStyle w:val="3"/>
        <w:numPr>
          <w:ilvl w:val="2"/>
          <w:numId w:val="1"/>
        </w:numPr>
      </w:pPr>
      <w:bookmarkStart w:id="222" w:name="_Toc8659624"/>
      <w:bookmarkStart w:id="223" w:name="_Toc9058333"/>
      <w:bookmarkStart w:id="224" w:name="_Toc10027542"/>
      <w:bookmarkStart w:id="225" w:name="_Toc10054235"/>
      <w:bookmarkStart w:id="226" w:name="_Toc10066344"/>
      <w:r w:rsidRPr="0005564B">
        <w:rPr>
          <w:rFonts w:hint="eastAsia"/>
        </w:rPr>
        <w:t>再者，衛福部表示，為瞭解扣費單位補充保險費繳納情形，健保署自104年起取得財稅單位核定之102年所得資料（財稅所得核定資料與實際所得有2年落差）啟動補充保險費查核作業，平均每年約1.2萬家扣費單位有短漏繳情形、金額約2億元。依查核經驗，除少數民眾採合法節費健保署予以尊重外，絕大多數扣費單位及保險對象均能依規定繳納補充保險費，僅少部分因不諳相關規定或認知疑義致有漏短繳，經輔導後大多能配合補繳，尚不至有所謂規避脫序之情形。又</w:t>
      </w:r>
      <w:r w:rsidRPr="0005564B">
        <w:rPr>
          <w:rFonts w:hint="eastAsia"/>
          <w:kern w:val="0"/>
        </w:rPr>
        <w:t>以存款500萬元為例，分成數張1年期之定期存款，利息約定按月支領，補充保險費係依個別定期存款各月給付之利息金額分別計算；前開案例屬民眾個人投資理財</w:t>
      </w:r>
      <w:r w:rsidRPr="0005564B">
        <w:rPr>
          <w:rFonts w:hint="eastAsia"/>
        </w:rPr>
        <w:t>規劃</w:t>
      </w:r>
      <w:r w:rsidRPr="0005564B">
        <w:rPr>
          <w:rFonts w:hint="eastAsia"/>
          <w:kern w:val="0"/>
        </w:rPr>
        <w:t>行為，尚難遽以認定係針對</w:t>
      </w:r>
      <w:r w:rsidRPr="0005564B">
        <w:rPr>
          <w:rFonts w:hint="eastAsia"/>
          <w:kern w:val="0"/>
          <w:lang w:eastAsia="zh-HK"/>
        </w:rPr>
        <w:t>徵</w:t>
      </w:r>
      <w:r w:rsidRPr="0005564B">
        <w:rPr>
          <w:rFonts w:hint="eastAsia"/>
          <w:kern w:val="0"/>
        </w:rPr>
        <w:t>收補充保險費所致，健保署予以尊重。</w:t>
      </w:r>
      <w:bookmarkEnd w:id="222"/>
      <w:bookmarkEnd w:id="223"/>
      <w:bookmarkEnd w:id="224"/>
      <w:bookmarkEnd w:id="225"/>
      <w:bookmarkEnd w:id="226"/>
    </w:p>
    <w:p w:rsidR="00E85D82" w:rsidRPr="0005564B" w:rsidRDefault="00E85D82" w:rsidP="00E85D82">
      <w:pPr>
        <w:pStyle w:val="3"/>
      </w:pPr>
      <w:bookmarkStart w:id="227" w:name="_Toc8659625"/>
      <w:bookmarkStart w:id="228" w:name="_Toc9058334"/>
      <w:bookmarkStart w:id="229" w:name="_Toc10027543"/>
      <w:bookmarkStart w:id="230" w:name="_Toc10054236"/>
      <w:bookmarkStart w:id="231" w:name="_Toc10066345"/>
      <w:r w:rsidRPr="0005564B">
        <w:rPr>
          <w:rFonts w:hint="eastAsia"/>
        </w:rPr>
        <w:t>按</w:t>
      </w:r>
      <w:r w:rsidRPr="0005564B">
        <w:rPr>
          <w:rFonts w:hAnsi="標楷體" w:hint="eastAsia"/>
        </w:rPr>
        <w:t>「</w:t>
      </w:r>
      <w:r w:rsidRPr="0005564B">
        <w:rPr>
          <w:rFonts w:hint="eastAsia"/>
        </w:rPr>
        <w:t>106年度全民健康保險財務評估報告</w:t>
      </w:r>
      <w:r w:rsidRPr="0005564B">
        <w:rPr>
          <w:rFonts w:hAnsi="標楷體" w:hint="eastAsia"/>
        </w:rPr>
        <w:t>」業已指出，</w:t>
      </w:r>
      <w:r w:rsidRPr="0005564B">
        <w:rPr>
          <w:rFonts w:hint="eastAsia"/>
        </w:rPr>
        <w:t>健保財務收支存在結構性失衡，於維持現行健保費率4.69%情況下，106年至110年平均每年財務收支逆差3.26個百分點，且逐年持續擴大，預估110年財務收支短絀將達994億元。以102年至107年補充保</w:t>
      </w:r>
      <w:r w:rsidRPr="0005564B">
        <w:rPr>
          <w:rFonts w:hint="eastAsia"/>
        </w:rPr>
        <w:lastRenderedPageBreak/>
        <w:t>險費收繳情形觀之，105年調降補充保險費費率，其補充保險費即較104年短少約30.6億元，而</w:t>
      </w:r>
      <w:r w:rsidRPr="0005564B">
        <w:rPr>
          <w:rFonts w:hAnsi="標楷體" w:hint="eastAsia"/>
        </w:rPr>
        <w:t>「</w:t>
      </w:r>
      <w:r w:rsidRPr="0005564B">
        <w:rPr>
          <w:rFonts w:hint="eastAsia"/>
        </w:rPr>
        <w:t>公司法</w:t>
      </w:r>
      <w:r w:rsidRPr="0005564B">
        <w:rPr>
          <w:rFonts w:hAnsi="標楷體" w:hint="eastAsia"/>
        </w:rPr>
        <w:t>」</w:t>
      </w:r>
      <w:r w:rsidRPr="0005564B">
        <w:rPr>
          <w:rFonts w:hint="eastAsia"/>
        </w:rPr>
        <w:t>修正放寬年度內盈餘發放次數，民眾存款拆單、按月取息等</w:t>
      </w:r>
      <w:r w:rsidRPr="0005564B">
        <w:rPr>
          <w:rFonts w:hint="eastAsia"/>
          <w:kern w:val="0"/>
        </w:rPr>
        <w:t>個人投資理財</w:t>
      </w:r>
      <w:r w:rsidRPr="0005564B">
        <w:rPr>
          <w:rFonts w:hint="eastAsia"/>
        </w:rPr>
        <w:t>規劃</w:t>
      </w:r>
      <w:r w:rsidRPr="0005564B">
        <w:rPr>
          <w:rFonts w:hint="eastAsia"/>
          <w:kern w:val="0"/>
        </w:rPr>
        <w:t>行為，在在均影響健保補充保險費所能挹注健保財務之金額。衛</w:t>
      </w:r>
      <w:r w:rsidRPr="0005564B">
        <w:rPr>
          <w:rFonts w:hint="eastAsia"/>
        </w:rPr>
        <w:t>福部雖稱，健保補充保險費</w:t>
      </w:r>
      <w:r w:rsidRPr="0005564B">
        <w:rPr>
          <w:rFonts w:hint="eastAsia"/>
          <w:noProof/>
        </w:rPr>
        <w:t>對</w:t>
      </w:r>
      <w:r w:rsidRPr="0005564B">
        <w:rPr>
          <w:rFonts w:hint="eastAsia"/>
        </w:rPr>
        <w:t>健保財務收支結構性問題之改善有所助益，且少數民眾採合法節費，該部予以尊重，惟該部未對</w:t>
      </w:r>
      <w:r w:rsidRPr="0005564B">
        <w:rPr>
          <w:rFonts w:hAnsi="標楷體" w:hint="eastAsia"/>
        </w:rPr>
        <w:t>「</w:t>
      </w:r>
      <w:r w:rsidRPr="0005564B">
        <w:rPr>
          <w:rFonts w:hint="eastAsia"/>
        </w:rPr>
        <w:t>公司法</w:t>
      </w:r>
      <w:r w:rsidRPr="0005564B">
        <w:rPr>
          <w:rFonts w:hAnsi="標楷體" w:hint="eastAsia"/>
        </w:rPr>
        <w:t>」</w:t>
      </w:r>
      <w:r w:rsidRPr="0005564B">
        <w:rPr>
          <w:rFonts w:hint="eastAsia"/>
        </w:rPr>
        <w:t>之修正所造成補充保險費之影響進行評估及採取因應措施，實凸顯該部未能注意影響健保財務之因素，似欠積極。</w:t>
      </w:r>
      <w:bookmarkEnd w:id="227"/>
      <w:bookmarkEnd w:id="228"/>
      <w:bookmarkEnd w:id="229"/>
      <w:bookmarkEnd w:id="230"/>
      <w:bookmarkEnd w:id="231"/>
    </w:p>
    <w:p w:rsidR="00E85D82" w:rsidRPr="0005564B" w:rsidRDefault="00E85D82" w:rsidP="00E85D82">
      <w:pPr>
        <w:pStyle w:val="2"/>
        <w:numPr>
          <w:ilvl w:val="0"/>
          <w:numId w:val="0"/>
        </w:numPr>
        <w:ind w:left="1021"/>
      </w:pPr>
    </w:p>
    <w:p w:rsidR="00E25849" w:rsidRPr="0005564B" w:rsidRDefault="00E25849" w:rsidP="004E05A1">
      <w:pPr>
        <w:pStyle w:val="1"/>
        <w:ind w:left="2380" w:hanging="2380"/>
        <w:rPr>
          <w:b/>
        </w:rPr>
      </w:pPr>
      <w:bookmarkStart w:id="232" w:name="_Toc524895648"/>
      <w:bookmarkStart w:id="233" w:name="_Toc524896194"/>
      <w:bookmarkStart w:id="234" w:name="_Toc524896224"/>
      <w:bookmarkStart w:id="235" w:name="_Toc524902734"/>
      <w:bookmarkStart w:id="236" w:name="_Toc525066148"/>
      <w:bookmarkStart w:id="237" w:name="_Toc525070839"/>
      <w:bookmarkStart w:id="238" w:name="_Toc525938379"/>
      <w:bookmarkStart w:id="239" w:name="_Toc525939227"/>
      <w:bookmarkStart w:id="240" w:name="_Toc525939732"/>
      <w:bookmarkStart w:id="241" w:name="_Toc529218272"/>
      <w:bookmarkEnd w:id="58"/>
      <w:r w:rsidRPr="0005564B">
        <w:br w:type="page"/>
      </w:r>
      <w:bookmarkStart w:id="242" w:name="_Toc529222689"/>
      <w:bookmarkStart w:id="243" w:name="_Toc529223111"/>
      <w:bookmarkStart w:id="244" w:name="_Toc529223862"/>
      <w:bookmarkStart w:id="245" w:name="_Toc529228265"/>
      <w:bookmarkStart w:id="246" w:name="_Toc2400395"/>
      <w:bookmarkStart w:id="247" w:name="_Toc4316189"/>
      <w:bookmarkStart w:id="248" w:name="_Toc4473330"/>
      <w:bookmarkStart w:id="249" w:name="_Toc69556897"/>
      <w:bookmarkStart w:id="250" w:name="_Toc69556946"/>
      <w:bookmarkStart w:id="251" w:name="_Toc69609820"/>
      <w:bookmarkStart w:id="252" w:name="_Toc70241816"/>
      <w:bookmarkStart w:id="253" w:name="_Toc70242205"/>
      <w:bookmarkStart w:id="254" w:name="_Toc421794875"/>
      <w:bookmarkStart w:id="255" w:name="_Toc422834160"/>
      <w:bookmarkStart w:id="256" w:name="_Toc9058342"/>
      <w:bookmarkStart w:id="257" w:name="_Toc9078581"/>
      <w:bookmarkStart w:id="258" w:name="_Toc10066369"/>
      <w:bookmarkStart w:id="259" w:name="_Toc10295285"/>
      <w:r w:rsidRPr="0005564B">
        <w:rPr>
          <w:rFonts w:hint="eastAsia"/>
          <w:b/>
        </w:rPr>
        <w:lastRenderedPageBreak/>
        <w:t>處理辦法：</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rsidR="00E25849" w:rsidRPr="0005564B" w:rsidRDefault="00E25849">
      <w:pPr>
        <w:pStyle w:val="2"/>
      </w:pPr>
      <w:bookmarkStart w:id="260" w:name="_Toc524895649"/>
      <w:bookmarkStart w:id="261" w:name="_Toc524896195"/>
      <w:bookmarkStart w:id="262" w:name="_Toc524896225"/>
      <w:bookmarkStart w:id="263" w:name="_Toc2400396"/>
      <w:bookmarkStart w:id="264" w:name="_Toc4316190"/>
      <w:bookmarkStart w:id="265" w:name="_Toc4473331"/>
      <w:bookmarkStart w:id="266" w:name="_Toc69556898"/>
      <w:bookmarkStart w:id="267" w:name="_Toc69556947"/>
      <w:bookmarkStart w:id="268" w:name="_Toc69609821"/>
      <w:bookmarkStart w:id="269" w:name="_Toc70241817"/>
      <w:bookmarkStart w:id="270" w:name="_Toc70242206"/>
      <w:bookmarkStart w:id="271" w:name="_Toc421794877"/>
      <w:bookmarkStart w:id="272" w:name="_Toc421795443"/>
      <w:bookmarkStart w:id="273" w:name="_Toc421796024"/>
      <w:bookmarkStart w:id="274" w:name="_Toc422728959"/>
      <w:bookmarkStart w:id="275" w:name="_Toc422834162"/>
      <w:bookmarkStart w:id="276" w:name="_Toc8659635"/>
      <w:bookmarkStart w:id="277" w:name="_Toc9058343"/>
      <w:bookmarkStart w:id="278" w:name="_Toc9058574"/>
      <w:bookmarkStart w:id="279" w:name="_Toc9064478"/>
      <w:bookmarkStart w:id="280" w:name="_Toc9077407"/>
      <w:bookmarkStart w:id="281" w:name="_Toc9078582"/>
      <w:bookmarkStart w:id="282" w:name="_Toc10027572"/>
      <w:bookmarkStart w:id="283" w:name="_Toc10054265"/>
      <w:bookmarkStart w:id="284" w:name="_Toc10066370"/>
      <w:bookmarkStart w:id="285" w:name="_Toc10295286"/>
      <w:bookmarkStart w:id="286" w:name="_Toc524902735"/>
      <w:bookmarkStart w:id="287" w:name="_Toc525066149"/>
      <w:bookmarkStart w:id="288" w:name="_Toc525070840"/>
      <w:bookmarkStart w:id="289" w:name="_Toc525938380"/>
      <w:bookmarkStart w:id="290" w:name="_Toc525939228"/>
      <w:bookmarkStart w:id="291" w:name="_Toc525939733"/>
      <w:bookmarkStart w:id="292" w:name="_Toc529218273"/>
      <w:bookmarkStart w:id="293" w:name="_Toc529222690"/>
      <w:bookmarkStart w:id="294" w:name="_Toc529223112"/>
      <w:bookmarkStart w:id="295" w:name="_Toc529223863"/>
      <w:bookmarkStart w:id="296" w:name="_Toc529228266"/>
      <w:bookmarkEnd w:id="260"/>
      <w:bookmarkEnd w:id="261"/>
      <w:bookmarkEnd w:id="262"/>
      <w:r w:rsidRPr="0005564B">
        <w:rPr>
          <w:rFonts w:hint="eastAsia"/>
        </w:rPr>
        <w:t>調查意見，函請</w:t>
      </w:r>
      <w:r w:rsidR="00AA3D2B" w:rsidRPr="0005564B">
        <w:rPr>
          <w:rFonts w:hint="eastAsia"/>
          <w:lang w:eastAsia="zh-HK"/>
        </w:rPr>
        <w:t>衛生福利部</w:t>
      </w:r>
      <w:r w:rsidRPr="0005564B">
        <w:rPr>
          <w:rFonts w:hint="eastAsia"/>
        </w:rPr>
        <w:t>檢討改進見復。</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rsidR="00560DDA" w:rsidRPr="0005564B" w:rsidRDefault="00560DDA" w:rsidP="00560DDA">
      <w:pPr>
        <w:pStyle w:val="2"/>
      </w:pPr>
      <w:bookmarkStart w:id="297" w:name="_Toc70241819"/>
      <w:bookmarkStart w:id="298" w:name="_Toc70242208"/>
      <w:bookmarkStart w:id="299" w:name="_Toc421794878"/>
      <w:bookmarkStart w:id="300" w:name="_Toc421795444"/>
      <w:bookmarkStart w:id="301" w:name="_Toc421796025"/>
      <w:bookmarkStart w:id="302" w:name="_Toc422728960"/>
      <w:bookmarkStart w:id="303" w:name="_Toc422834163"/>
      <w:bookmarkStart w:id="304" w:name="_Toc8659636"/>
      <w:bookmarkStart w:id="305" w:name="_Toc9058344"/>
      <w:bookmarkStart w:id="306" w:name="_Toc9058575"/>
      <w:bookmarkStart w:id="307" w:name="_Toc9064479"/>
      <w:bookmarkStart w:id="308" w:name="_Toc9077408"/>
      <w:bookmarkStart w:id="309" w:name="_Toc9078583"/>
      <w:bookmarkStart w:id="310" w:name="_Toc10027573"/>
      <w:bookmarkStart w:id="311" w:name="_Toc10054266"/>
      <w:bookmarkStart w:id="312" w:name="_Toc10066371"/>
      <w:bookmarkStart w:id="313" w:name="_Toc10295287"/>
      <w:bookmarkStart w:id="314" w:name="_Toc70241818"/>
      <w:bookmarkStart w:id="315" w:name="_Toc70242207"/>
      <w:r w:rsidRPr="0005564B">
        <w:rPr>
          <w:rFonts w:hint="eastAsia"/>
        </w:rPr>
        <w:t>調查意見，函復審計部。</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p>
    <w:p w:rsidR="00E25849" w:rsidRPr="0005564B" w:rsidRDefault="00E25849">
      <w:pPr>
        <w:pStyle w:val="2"/>
      </w:pPr>
      <w:bookmarkStart w:id="316" w:name="_Toc2400397"/>
      <w:bookmarkStart w:id="317" w:name="_Toc4316191"/>
      <w:bookmarkStart w:id="318" w:name="_Toc4473332"/>
      <w:bookmarkStart w:id="319" w:name="_Toc69556901"/>
      <w:bookmarkStart w:id="320" w:name="_Toc69556950"/>
      <w:bookmarkStart w:id="321" w:name="_Toc69609824"/>
      <w:bookmarkStart w:id="322" w:name="_Toc70241822"/>
      <w:bookmarkStart w:id="323" w:name="_Toc70242211"/>
      <w:bookmarkStart w:id="324" w:name="_Toc421794881"/>
      <w:bookmarkStart w:id="325" w:name="_Toc421795447"/>
      <w:bookmarkStart w:id="326" w:name="_Toc421796028"/>
      <w:bookmarkStart w:id="327" w:name="_Toc422728963"/>
      <w:bookmarkStart w:id="328" w:name="_Toc422834166"/>
      <w:bookmarkStart w:id="329" w:name="_Toc8659642"/>
      <w:bookmarkStart w:id="330" w:name="_Toc9058345"/>
      <w:bookmarkStart w:id="331" w:name="_Toc9058576"/>
      <w:bookmarkStart w:id="332" w:name="_Toc9064480"/>
      <w:bookmarkStart w:id="333" w:name="_Toc9077409"/>
      <w:bookmarkStart w:id="334" w:name="_Toc9078584"/>
      <w:bookmarkStart w:id="335" w:name="_Toc10027574"/>
      <w:bookmarkStart w:id="336" w:name="_Toc10054267"/>
      <w:bookmarkStart w:id="337" w:name="_Toc10066372"/>
      <w:bookmarkStart w:id="338" w:name="_Toc10295288"/>
      <w:bookmarkEnd w:id="286"/>
      <w:bookmarkEnd w:id="287"/>
      <w:bookmarkEnd w:id="288"/>
      <w:bookmarkEnd w:id="289"/>
      <w:bookmarkEnd w:id="290"/>
      <w:bookmarkEnd w:id="291"/>
      <w:bookmarkEnd w:id="292"/>
      <w:bookmarkEnd w:id="293"/>
      <w:bookmarkEnd w:id="294"/>
      <w:bookmarkEnd w:id="295"/>
      <w:bookmarkEnd w:id="296"/>
      <w:bookmarkEnd w:id="314"/>
      <w:bookmarkEnd w:id="315"/>
      <w:r w:rsidRPr="0005564B">
        <w:rPr>
          <w:rFonts w:hint="eastAsia"/>
        </w:rPr>
        <w:t>檢附派查函及相關附件，送請</w:t>
      </w:r>
      <w:r w:rsidR="00AA3D2B" w:rsidRPr="0005564B">
        <w:rPr>
          <w:rFonts w:hint="eastAsia"/>
        </w:rPr>
        <w:t>內政及少數民族委員會</w:t>
      </w:r>
      <w:r w:rsidRPr="0005564B">
        <w:rPr>
          <w:rFonts w:hint="eastAsia"/>
        </w:rPr>
        <w:t>處理。</w:t>
      </w:r>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 w:rsidR="00770453" w:rsidRPr="0005564B" w:rsidRDefault="00770453" w:rsidP="004F7DDF">
      <w:pPr>
        <w:pStyle w:val="aa"/>
        <w:spacing w:beforeLines="50" w:before="228" w:afterLines="100" w:after="457"/>
        <w:ind w:leftChars="1100" w:left="3742"/>
        <w:rPr>
          <w:b w:val="0"/>
          <w:bCs/>
          <w:snapToGrid/>
          <w:spacing w:val="12"/>
          <w:kern w:val="0"/>
          <w:sz w:val="40"/>
        </w:rPr>
      </w:pPr>
    </w:p>
    <w:p w:rsidR="00E25849" w:rsidRPr="0005564B" w:rsidRDefault="00E25849" w:rsidP="00AF455F">
      <w:pPr>
        <w:pStyle w:val="aa"/>
        <w:spacing w:beforeLines="50" w:before="228" w:afterLines="100" w:after="457"/>
        <w:ind w:left="0"/>
        <w:rPr>
          <w:b w:val="0"/>
          <w:bCs/>
          <w:snapToGrid/>
          <w:spacing w:val="12"/>
          <w:kern w:val="0"/>
          <w:sz w:val="40"/>
        </w:rPr>
      </w:pPr>
      <w:r w:rsidRPr="0005564B">
        <w:rPr>
          <w:rFonts w:hint="eastAsia"/>
          <w:b w:val="0"/>
          <w:bCs/>
          <w:snapToGrid/>
          <w:spacing w:val="12"/>
          <w:kern w:val="0"/>
          <w:sz w:val="40"/>
        </w:rPr>
        <w:t>調查委員：</w:t>
      </w:r>
      <w:r w:rsidR="00AF455F" w:rsidRPr="00AF455F">
        <w:rPr>
          <w:rFonts w:hint="eastAsia"/>
          <w:b w:val="0"/>
          <w:bCs/>
          <w:snapToGrid/>
          <w:spacing w:val="12"/>
          <w:kern w:val="0"/>
          <w:sz w:val="40"/>
        </w:rPr>
        <w:t>陳小紅、章仁香、楊美鈴、田秋堇</w:t>
      </w:r>
      <w:bookmarkStart w:id="339" w:name="_GoBack"/>
      <w:bookmarkEnd w:id="339"/>
    </w:p>
    <w:p w:rsidR="00770453" w:rsidRPr="0005564B" w:rsidRDefault="00770453" w:rsidP="00770453">
      <w:pPr>
        <w:pStyle w:val="aa"/>
        <w:spacing w:before="0" w:after="0"/>
        <w:ind w:leftChars="1100" w:left="3742"/>
        <w:rPr>
          <w:rFonts w:ascii="Times New Roman"/>
          <w:b w:val="0"/>
          <w:bCs/>
          <w:snapToGrid/>
          <w:spacing w:val="0"/>
          <w:kern w:val="0"/>
          <w:sz w:val="40"/>
        </w:rPr>
      </w:pPr>
    </w:p>
    <w:p w:rsidR="00AA3D2B" w:rsidRPr="0005564B" w:rsidRDefault="00AA3D2B" w:rsidP="00770453">
      <w:pPr>
        <w:pStyle w:val="aa"/>
        <w:spacing w:before="0" w:after="0"/>
        <w:ind w:leftChars="1100" w:left="3742"/>
        <w:rPr>
          <w:rFonts w:ascii="Times New Roman"/>
          <w:b w:val="0"/>
          <w:bCs/>
          <w:snapToGrid/>
          <w:spacing w:val="0"/>
          <w:kern w:val="0"/>
          <w:sz w:val="40"/>
        </w:rPr>
      </w:pPr>
    </w:p>
    <w:p w:rsidR="00AA3D2B" w:rsidRPr="0005564B" w:rsidRDefault="00AA3D2B" w:rsidP="00770453">
      <w:pPr>
        <w:pStyle w:val="aa"/>
        <w:spacing w:before="0" w:after="0"/>
        <w:ind w:leftChars="1100" w:left="3742"/>
        <w:rPr>
          <w:rFonts w:ascii="Times New Roman"/>
          <w:b w:val="0"/>
          <w:bCs/>
          <w:snapToGrid/>
          <w:spacing w:val="0"/>
          <w:kern w:val="0"/>
          <w:sz w:val="40"/>
        </w:rPr>
      </w:pPr>
    </w:p>
    <w:p w:rsidR="00AA3D2B" w:rsidRPr="0005564B" w:rsidRDefault="00AA3D2B" w:rsidP="00770453">
      <w:pPr>
        <w:pStyle w:val="aa"/>
        <w:spacing w:before="0" w:after="0"/>
        <w:ind w:leftChars="1100" w:left="3742"/>
        <w:rPr>
          <w:rFonts w:ascii="Times New Roman"/>
          <w:b w:val="0"/>
          <w:bCs/>
          <w:snapToGrid/>
          <w:spacing w:val="0"/>
          <w:kern w:val="0"/>
          <w:sz w:val="40"/>
        </w:rPr>
      </w:pPr>
    </w:p>
    <w:p w:rsidR="00F816CB" w:rsidRPr="00AF455F" w:rsidRDefault="00F816CB" w:rsidP="00AF455F">
      <w:pPr>
        <w:pStyle w:val="2"/>
        <w:widowControl/>
        <w:numPr>
          <w:ilvl w:val="0"/>
          <w:numId w:val="0"/>
        </w:numPr>
        <w:overflowPunct/>
        <w:autoSpaceDE/>
        <w:autoSpaceDN/>
        <w:jc w:val="left"/>
        <w:rPr>
          <w:rFonts w:hint="eastAsia"/>
        </w:rPr>
      </w:pPr>
      <w:bookmarkStart w:id="340" w:name="_Toc421794883"/>
      <w:bookmarkEnd w:id="340"/>
    </w:p>
    <w:sectPr w:rsidR="00F816CB" w:rsidRPr="00AF455F" w:rsidSect="00476DEC">
      <w:headerReference w:type="default" r:id="rId9"/>
      <w:footerReference w:type="default" r:id="rId10"/>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1811" w:rsidRDefault="00B11811">
      <w:r>
        <w:separator/>
      </w:r>
    </w:p>
  </w:endnote>
  <w:endnote w:type="continuationSeparator" w:id="0">
    <w:p w:rsidR="00B11811" w:rsidRDefault="00B11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BDF" w:rsidRDefault="00D35BDF" w:rsidP="003B4111">
    <w:pPr>
      <w:pStyle w:val="af3"/>
      <w:framePr w:h="361" w:hRule="exact" w:wrap="around" w:vAnchor="text" w:hAnchor="margin" w:xAlign="center" w:y="-68"/>
      <w:rPr>
        <w:rStyle w:val="ac"/>
        <w:sz w:val="24"/>
      </w:rPr>
    </w:pPr>
    <w:r>
      <w:rPr>
        <w:rStyle w:val="ac"/>
        <w:sz w:val="24"/>
      </w:rPr>
      <w:fldChar w:fldCharType="begin"/>
    </w:r>
    <w:r>
      <w:rPr>
        <w:rStyle w:val="ac"/>
        <w:sz w:val="24"/>
      </w:rPr>
      <w:instrText xml:space="preserve">PAGE  </w:instrText>
    </w:r>
    <w:r>
      <w:rPr>
        <w:rStyle w:val="ac"/>
        <w:sz w:val="24"/>
      </w:rPr>
      <w:fldChar w:fldCharType="separate"/>
    </w:r>
    <w:r w:rsidR="00AF455F">
      <w:rPr>
        <w:rStyle w:val="ac"/>
        <w:noProof/>
        <w:sz w:val="24"/>
      </w:rPr>
      <w:t>39</w:t>
    </w:r>
    <w:r>
      <w:rPr>
        <w:rStyle w:val="ac"/>
        <w:sz w:val="24"/>
      </w:rPr>
      <w:fldChar w:fldCharType="end"/>
    </w:r>
  </w:p>
  <w:p w:rsidR="00D35BDF" w:rsidRDefault="00D35BDF">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1811" w:rsidRDefault="00B11811">
      <w:r>
        <w:separator/>
      </w:r>
    </w:p>
  </w:footnote>
  <w:footnote w:type="continuationSeparator" w:id="0">
    <w:p w:rsidR="00B11811" w:rsidRDefault="00B11811">
      <w:r>
        <w:continuationSeparator/>
      </w:r>
    </w:p>
  </w:footnote>
  <w:footnote w:id="1">
    <w:p w:rsidR="00D35BDF" w:rsidRPr="00B72C8F" w:rsidRDefault="00D35BDF" w:rsidP="00A83272">
      <w:pPr>
        <w:pStyle w:val="afc"/>
        <w:ind w:left="222" w:hangingChars="101" w:hanging="222"/>
      </w:pPr>
      <w:r>
        <w:rPr>
          <w:rStyle w:val="afe"/>
        </w:rPr>
        <w:footnoteRef/>
      </w:r>
      <w:r>
        <w:t xml:space="preserve"> </w:t>
      </w:r>
      <w:r>
        <w:rPr>
          <w:rFonts w:hint="eastAsia"/>
          <w:lang w:eastAsia="zh-HK"/>
        </w:rPr>
        <w:t>此數據之計算</w:t>
      </w:r>
      <w:r>
        <w:rPr>
          <w:rFonts w:hint="eastAsia"/>
        </w:rPr>
        <w:t>，</w:t>
      </w:r>
      <w:r>
        <w:rPr>
          <w:rFonts w:hint="eastAsia"/>
          <w:lang w:eastAsia="zh-HK"/>
        </w:rPr>
        <w:t>係以</w:t>
      </w:r>
      <w:r w:rsidRPr="00B72C8F">
        <w:rPr>
          <w:rFonts w:hint="eastAsia"/>
        </w:rPr>
        <w:t>重大傷病</w:t>
      </w:r>
      <w:r w:rsidRPr="00B72C8F">
        <w:t>102</w:t>
      </w:r>
      <w:r w:rsidRPr="00B72C8F">
        <w:rPr>
          <w:rFonts w:hint="eastAsia"/>
        </w:rPr>
        <w:t>年至</w:t>
      </w:r>
      <w:r w:rsidRPr="00B72C8F">
        <w:t>107</w:t>
      </w:r>
      <w:r w:rsidRPr="00B72C8F">
        <w:rPr>
          <w:rFonts w:hint="eastAsia"/>
        </w:rPr>
        <w:t>年</w:t>
      </w:r>
      <w:r>
        <w:rPr>
          <w:rFonts w:hint="eastAsia"/>
        </w:rPr>
        <w:t>使用醫療點數</w:t>
      </w:r>
      <w:r>
        <w:rPr>
          <w:rFonts w:hint="eastAsia"/>
          <w:lang w:eastAsia="zh-HK"/>
        </w:rPr>
        <w:t>之合計數</w:t>
      </w:r>
      <w:r>
        <w:rPr>
          <w:rFonts w:hint="eastAsia"/>
        </w:rPr>
        <w:t>，</w:t>
      </w:r>
      <w:r>
        <w:rPr>
          <w:rFonts w:hint="eastAsia"/>
          <w:lang w:eastAsia="zh-HK"/>
        </w:rPr>
        <w:t>除以同期間</w:t>
      </w:r>
      <w:r w:rsidRPr="00B72C8F">
        <w:rPr>
          <w:rFonts w:hint="eastAsia"/>
        </w:rPr>
        <w:t>全國點數</w:t>
      </w:r>
      <w:r>
        <w:rPr>
          <w:rFonts w:hint="eastAsia"/>
          <w:lang w:eastAsia="zh-HK"/>
        </w:rPr>
        <w:t>之合計數。</w:t>
      </w:r>
    </w:p>
  </w:footnote>
  <w:footnote w:id="2">
    <w:p w:rsidR="00D35BDF" w:rsidRDefault="00D35BDF" w:rsidP="00A83272">
      <w:pPr>
        <w:pStyle w:val="afc"/>
        <w:ind w:left="196" w:hangingChars="89" w:hanging="196"/>
      </w:pPr>
      <w:r>
        <w:rPr>
          <w:rStyle w:val="afe"/>
        </w:rPr>
        <w:footnoteRef/>
      </w:r>
      <w:r>
        <w:t xml:space="preserve"> </w:t>
      </w:r>
      <w:r>
        <w:rPr>
          <w:rFonts w:hint="eastAsia"/>
        </w:rPr>
        <w:t>依據101年5月24日原衛生署(</w:t>
      </w:r>
      <w:r w:rsidRPr="00A30CE8">
        <w:t>102年7月23日改制成立</w:t>
      </w:r>
      <w:r w:rsidRPr="00A30CE8">
        <w:rPr>
          <w:rFonts w:hint="eastAsia"/>
        </w:rPr>
        <w:t>衛生福利部</w:t>
      </w:r>
      <w:r>
        <w:rPr>
          <w:rFonts w:hint="eastAsia"/>
        </w:rPr>
        <w:t>)</w:t>
      </w:r>
      <w:r w:rsidRPr="00A30CE8">
        <w:rPr>
          <w:rFonts w:hint="eastAsia"/>
        </w:rPr>
        <w:t>「</w:t>
      </w:r>
      <w:r w:rsidRPr="00244AEC">
        <w:rPr>
          <w:rFonts w:hint="eastAsia"/>
        </w:rPr>
        <w:t>保障弱勢民眾健保就醫權</w:t>
      </w:r>
      <w:r>
        <w:rPr>
          <w:rFonts w:hint="eastAsia"/>
        </w:rPr>
        <w:t>,</w:t>
      </w:r>
      <w:r w:rsidRPr="00244AEC">
        <w:rPr>
          <w:rFonts w:hint="eastAsia"/>
        </w:rPr>
        <w:t>未來健保局僅對有能力但拒繳健保費者鎖卡</w:t>
      </w:r>
      <w:r>
        <w:rPr>
          <w:rFonts w:hAnsi="標楷體" w:hint="eastAsia"/>
        </w:rPr>
        <w:t>」</w:t>
      </w:r>
      <w:r>
        <w:rPr>
          <w:rFonts w:hint="eastAsia"/>
        </w:rPr>
        <w:t>新聞。</w:t>
      </w:r>
    </w:p>
  </w:footnote>
  <w:footnote w:id="3">
    <w:p w:rsidR="00D35BDF" w:rsidRPr="0005564B" w:rsidRDefault="00D35BDF" w:rsidP="00A83272">
      <w:pPr>
        <w:pStyle w:val="afc"/>
        <w:ind w:left="196" w:hangingChars="89" w:hanging="196"/>
        <w:jc w:val="both"/>
      </w:pPr>
      <w:r>
        <w:rPr>
          <w:rStyle w:val="afe"/>
        </w:rPr>
        <w:footnoteRef/>
      </w:r>
      <w:r>
        <w:t xml:space="preserve"> </w:t>
      </w:r>
      <w:r w:rsidRPr="0005564B">
        <w:rPr>
          <w:rFonts w:hint="eastAsia"/>
        </w:rPr>
        <w:t>依健保署針對本院108年1月11日處台調參字第1080830103號函所詢內容，於同年5月28日再補充說明：「全民健康保險保險費及滯納金欠費催收暨轉銷呆帳作業要點」第5點規定排除弱勢民眾約13.6萬人後，將欠費移送法務部行政執行署執行。</w:t>
      </w:r>
    </w:p>
  </w:footnote>
  <w:footnote w:id="4">
    <w:p w:rsidR="00D35BDF" w:rsidRPr="0005564B" w:rsidRDefault="00D35BDF" w:rsidP="00A83272">
      <w:pPr>
        <w:pStyle w:val="afc"/>
        <w:ind w:left="196" w:hangingChars="89" w:hanging="196"/>
        <w:jc w:val="both"/>
      </w:pPr>
      <w:r w:rsidRPr="0005564B">
        <w:rPr>
          <w:rStyle w:val="afe"/>
        </w:rPr>
        <w:footnoteRef/>
      </w:r>
      <w:r w:rsidRPr="0005564B">
        <w:t xml:space="preserve"> 107年欠費協助</w:t>
      </w:r>
      <w:r w:rsidRPr="0005564B">
        <w:rPr>
          <w:rFonts w:hint="eastAsia"/>
        </w:rPr>
        <w:t>為</w:t>
      </w:r>
      <w:r w:rsidRPr="0005564B">
        <w:t>：紓困貸款</w:t>
      </w:r>
      <w:r w:rsidRPr="0005564B">
        <w:rPr>
          <w:rFonts w:hint="eastAsia"/>
        </w:rPr>
        <w:t>，</w:t>
      </w:r>
      <w:r w:rsidRPr="0005564B">
        <w:t>核貸2,406件，金額1.83億元</w:t>
      </w:r>
      <w:r w:rsidRPr="0005564B">
        <w:rPr>
          <w:rFonts w:hint="eastAsia"/>
        </w:rPr>
        <w:t>；</w:t>
      </w:r>
      <w:r w:rsidRPr="0005564B">
        <w:t>分期繳納</w:t>
      </w:r>
      <w:r w:rsidRPr="0005564B">
        <w:rPr>
          <w:rFonts w:hint="eastAsia"/>
        </w:rPr>
        <w:t>，</w:t>
      </w:r>
      <w:r w:rsidRPr="0005564B">
        <w:t>核准8.1萬件，金額23.05億元</w:t>
      </w:r>
      <w:r w:rsidRPr="0005564B">
        <w:rPr>
          <w:rFonts w:hint="eastAsia"/>
        </w:rPr>
        <w:t>；</w:t>
      </w:r>
      <w:r w:rsidRPr="0005564B">
        <w:t>愛心轉介</w:t>
      </w:r>
      <w:r w:rsidRPr="0005564B">
        <w:rPr>
          <w:rFonts w:hint="eastAsia"/>
        </w:rPr>
        <w:t>，</w:t>
      </w:r>
      <w:r w:rsidRPr="0005564B">
        <w:t>補助5,749件，金額2,579萬元</w:t>
      </w:r>
      <w:r w:rsidRPr="0005564B">
        <w:rPr>
          <w:rFonts w:hint="eastAsia"/>
        </w:rPr>
        <w:t>；</w:t>
      </w:r>
      <w:r w:rsidRPr="0005564B">
        <w:t>公益彩券回饋金</w:t>
      </w:r>
      <w:r w:rsidRPr="0005564B">
        <w:rPr>
          <w:rFonts w:hint="eastAsia"/>
        </w:rPr>
        <w:t>，</w:t>
      </w:r>
      <w:r w:rsidRPr="0005564B">
        <w:t>4.4萬人次，金額2.48億元。</w:t>
      </w:r>
    </w:p>
  </w:footnote>
  <w:footnote w:id="5">
    <w:p w:rsidR="00D35BDF" w:rsidRPr="0005564B" w:rsidRDefault="00D35BDF" w:rsidP="00A83272">
      <w:pPr>
        <w:pStyle w:val="afc"/>
        <w:ind w:left="209" w:hangingChars="95" w:hanging="209"/>
        <w:jc w:val="both"/>
      </w:pPr>
      <w:r>
        <w:rPr>
          <w:rStyle w:val="afe"/>
        </w:rPr>
        <w:footnoteRef/>
      </w:r>
      <w:r>
        <w:t xml:space="preserve"> </w:t>
      </w:r>
      <w:r w:rsidRPr="0005564B">
        <w:rPr>
          <w:rFonts w:hint="eastAsia"/>
        </w:rPr>
        <w:t>健保署強化與法務部行政執行署溝通，該署加強執行作業力道，扣押欠費者薪資、存款等動產及不動產，爰健保署近年移送案件</w:t>
      </w:r>
      <w:r w:rsidRPr="0005564B">
        <w:t>平均執行時間拉長</w:t>
      </w:r>
      <w:r w:rsidRPr="0005564B">
        <w:rPr>
          <w:rFonts w:hint="eastAsia"/>
        </w:rPr>
        <w:t>，107年平均執行期間約415天，較105年增加約110天。</w:t>
      </w:r>
      <w:r w:rsidRPr="0005564B">
        <w:t>投保單位欠費移送案件雖已取得債證，但仍須依據健保法38條向負責人求償</w:t>
      </w:r>
      <w:r w:rsidRPr="0005564B">
        <w:rPr>
          <w:rFonts w:hint="eastAsia"/>
        </w:rPr>
        <w:t>，致其整體收繳期程拉長</w:t>
      </w:r>
      <w:r w:rsidRPr="0005564B">
        <w:t>。</w:t>
      </w:r>
    </w:p>
  </w:footnote>
  <w:footnote w:id="6">
    <w:p w:rsidR="00D35BDF" w:rsidRPr="0005564B" w:rsidRDefault="00D35BDF" w:rsidP="00E85D82">
      <w:pPr>
        <w:pStyle w:val="afc"/>
        <w:ind w:left="222" w:hangingChars="101" w:hanging="222"/>
      </w:pPr>
      <w:r>
        <w:rPr>
          <w:rStyle w:val="afe"/>
        </w:rPr>
        <w:footnoteRef/>
      </w:r>
      <w:r>
        <w:t xml:space="preserve"> </w:t>
      </w:r>
      <w:r w:rsidRPr="0005564B">
        <w:rPr>
          <w:rFonts w:hint="eastAsia"/>
        </w:rPr>
        <w:t>健保局</w:t>
      </w:r>
      <w:r w:rsidRPr="0005564B">
        <w:t>於88年11月</w:t>
      </w:r>
      <w:r w:rsidRPr="0005564B">
        <w:rPr>
          <w:rFonts w:hint="eastAsia"/>
        </w:rPr>
        <w:t>推動</w:t>
      </w:r>
      <w:r w:rsidRPr="0005564B">
        <w:t>「全民健康保險山地離島地區醫療給付效益提昇計畫」（Integrated Delivery System，簡稱IDS計畫）</w:t>
      </w:r>
      <w:r w:rsidRPr="0005564B">
        <w:rPr>
          <w:rFonts w:hint="eastAsia"/>
        </w:rPr>
        <w:t>。</w:t>
      </w:r>
    </w:p>
  </w:footnote>
  <w:footnote w:id="7">
    <w:p w:rsidR="00D35BDF" w:rsidRPr="00765330" w:rsidRDefault="00D35BDF" w:rsidP="00E85D82">
      <w:pPr>
        <w:pStyle w:val="afc"/>
        <w:ind w:left="209" w:hangingChars="95" w:hanging="209"/>
        <w:jc w:val="both"/>
      </w:pPr>
      <w:r>
        <w:rPr>
          <w:rStyle w:val="afe"/>
        </w:rPr>
        <w:footnoteRef/>
      </w:r>
      <w:r>
        <w:t xml:space="preserve"> </w:t>
      </w:r>
      <w:r w:rsidRPr="00765330">
        <w:rPr>
          <w:rFonts w:hint="eastAsia"/>
        </w:rPr>
        <w:t>公司法第356條之1規定：「閉鎖性股份有限公司，指股東人數不超過</w:t>
      </w:r>
      <w:r>
        <w:rPr>
          <w:rFonts w:hint="eastAsia"/>
        </w:rPr>
        <w:t>50</w:t>
      </w:r>
      <w:r w:rsidRPr="00765330">
        <w:rPr>
          <w:rFonts w:hint="eastAsia"/>
        </w:rPr>
        <w:t>人，並於章程定有股份轉讓限制之非公開發行股票公司。」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BDF" w:rsidRDefault="00D35BDF">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434E7D6E"/>
    <w:lvl w:ilvl="0">
      <w:start w:val="1"/>
      <w:numFmt w:val="ideographLegalTraditional"/>
      <w:pStyle w:val="1"/>
      <w:suff w:val="nothing"/>
      <w:lvlText w:val="%1、"/>
      <w:lvlJc w:val="left"/>
      <w:pPr>
        <w:ind w:left="2381" w:hanging="2381"/>
      </w:pPr>
      <w:rPr>
        <w:rFonts w:ascii="標楷體" w:eastAsia="標楷體" w:hint="eastAsia"/>
        <w:b/>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i w:val="0"/>
        <w:snapToGrid/>
        <w:color w:val="000000" w:themeColor="text1"/>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F8929942"/>
    <w:lvl w:ilvl="0" w:tplc="DFA085D2">
      <w:start w:val="1"/>
      <w:numFmt w:val="decimal"/>
      <w:pStyle w:val="a1"/>
      <w:lvlText w:val="圖%1　"/>
      <w:lvlJc w:val="left"/>
      <w:pPr>
        <w:ind w:left="480" w:hanging="480"/>
      </w:pPr>
      <w:rPr>
        <w:rFonts w:ascii="標楷體" w:eastAsia="標楷體" w:hint="eastAsia"/>
        <w:b/>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2CB6A408"/>
    <w:lvl w:ilvl="0" w:tplc="306281D8">
      <w:start w:val="1"/>
      <w:numFmt w:val="taiwaneseCountingThousand"/>
      <w:pStyle w:val="a2"/>
      <w:lvlText w:val="附件%1、"/>
      <w:lvlJc w:val="left"/>
      <w:pPr>
        <w:ind w:left="480" w:hanging="480"/>
      </w:pPr>
      <w:rPr>
        <w:rFonts w:hAnsi="Times New Roman" w:cs="Times New Roman"/>
        <w:b w:val="0"/>
        <w:bCs w:val="0"/>
        <w:i w:val="0"/>
        <w:iCs w:val="0"/>
        <w:caps w:val="0"/>
        <w:smallCaps w:val="0"/>
        <w:strike w:val="0"/>
        <w:dstrike w:val="0"/>
        <w:noProof w:val="0"/>
        <w:vanish w:val="0"/>
        <w:spacing w:val="0"/>
        <w:position w:val="0"/>
        <w:u w:val="none"/>
        <w:effect w:val="none"/>
        <w:vertAlign w:val="baseline"/>
        <w:em w:val="none"/>
        <w:specVanish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0172C236"/>
    <w:lvl w:ilvl="0" w:tplc="032E7CBC">
      <w:start w:val="1"/>
      <w:numFmt w:val="decimal"/>
      <w:pStyle w:val="a3"/>
      <w:lvlText w:val="表%1　"/>
      <w:lvlJc w:val="left"/>
      <w:pPr>
        <w:ind w:left="480"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4BDE59EB"/>
    <w:multiLevelType w:val="hybridMultilevel"/>
    <w:tmpl w:val="AC9442D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5DA2BDC"/>
    <w:multiLevelType w:val="hybridMultilevel"/>
    <w:tmpl w:val="ADF2AAA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6"/>
  </w:num>
  <w:num w:numId="5">
    <w:abstractNumId w:val="4"/>
  </w:num>
  <w:num w:numId="6">
    <w:abstractNumId w:val="8"/>
  </w:num>
  <w:num w:numId="7">
    <w:abstractNumId w:val="1"/>
  </w:num>
  <w:num w:numId="8">
    <w:abstractNumId w:val="9"/>
  </w:num>
  <w:num w:numId="9">
    <w:abstractNumId w:val="5"/>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num>
  <w:num w:numId="15">
    <w:abstractNumId w:val="1"/>
  </w:num>
  <w:num w:numId="16">
    <w:abstractNumId w:val="1"/>
  </w:num>
  <w:num w:numId="17">
    <w:abstractNumId w:val="1"/>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6"/>
  </w:num>
  <w:num w:numId="29">
    <w:abstractNumId w:val="6"/>
  </w:num>
  <w:num w:numId="30">
    <w:abstractNumId w:val="1"/>
  </w:num>
  <w:num w:numId="31">
    <w:abstractNumId w:val="1"/>
  </w:num>
  <w:num w:numId="32">
    <w:abstractNumId w:val="1"/>
  </w:num>
  <w:num w:numId="33">
    <w:abstractNumId w:val="1"/>
  </w:num>
  <w:num w:numId="34">
    <w:abstractNumId w:val="10"/>
  </w:num>
  <w:num w:numId="35">
    <w:abstractNumId w:val="7"/>
  </w:num>
  <w:num w:numId="36">
    <w:abstractNumId w:val="1"/>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1"/>
  </w:num>
  <w:num w:numId="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num>
  <w:num w:numId="42">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17723"/>
    <w:rsid w:val="000229AD"/>
    <w:rsid w:val="000246F7"/>
    <w:rsid w:val="00025CBC"/>
    <w:rsid w:val="00027C0E"/>
    <w:rsid w:val="00027FF1"/>
    <w:rsid w:val="0003114D"/>
    <w:rsid w:val="00034064"/>
    <w:rsid w:val="00035416"/>
    <w:rsid w:val="00036D76"/>
    <w:rsid w:val="00046909"/>
    <w:rsid w:val="00050A3B"/>
    <w:rsid w:val="00054F56"/>
    <w:rsid w:val="0005564B"/>
    <w:rsid w:val="00055F8A"/>
    <w:rsid w:val="00057227"/>
    <w:rsid w:val="000574D8"/>
    <w:rsid w:val="00057F32"/>
    <w:rsid w:val="00062A25"/>
    <w:rsid w:val="00062E88"/>
    <w:rsid w:val="00072185"/>
    <w:rsid w:val="0007302C"/>
    <w:rsid w:val="00073CB5"/>
    <w:rsid w:val="0007425C"/>
    <w:rsid w:val="00075FFA"/>
    <w:rsid w:val="00077553"/>
    <w:rsid w:val="0008171A"/>
    <w:rsid w:val="00082380"/>
    <w:rsid w:val="000851A2"/>
    <w:rsid w:val="00091BAA"/>
    <w:rsid w:val="0009352E"/>
    <w:rsid w:val="00095511"/>
    <w:rsid w:val="0009569D"/>
    <w:rsid w:val="00096B96"/>
    <w:rsid w:val="000A2F3F"/>
    <w:rsid w:val="000A7170"/>
    <w:rsid w:val="000B0408"/>
    <w:rsid w:val="000B0B4A"/>
    <w:rsid w:val="000B178E"/>
    <w:rsid w:val="000B279A"/>
    <w:rsid w:val="000B4127"/>
    <w:rsid w:val="000B4E80"/>
    <w:rsid w:val="000B61D2"/>
    <w:rsid w:val="000B70A7"/>
    <w:rsid w:val="000B73DD"/>
    <w:rsid w:val="000B74CF"/>
    <w:rsid w:val="000C0DD7"/>
    <w:rsid w:val="000C495F"/>
    <w:rsid w:val="000C54D4"/>
    <w:rsid w:val="000D66D9"/>
    <w:rsid w:val="000D7711"/>
    <w:rsid w:val="000E2A55"/>
    <w:rsid w:val="000E40A6"/>
    <w:rsid w:val="000E42FA"/>
    <w:rsid w:val="000E5868"/>
    <w:rsid w:val="000E6431"/>
    <w:rsid w:val="000F10F3"/>
    <w:rsid w:val="000F1C02"/>
    <w:rsid w:val="000F21A5"/>
    <w:rsid w:val="000F384C"/>
    <w:rsid w:val="0010006C"/>
    <w:rsid w:val="00100EDA"/>
    <w:rsid w:val="00102B9F"/>
    <w:rsid w:val="00103487"/>
    <w:rsid w:val="001036A2"/>
    <w:rsid w:val="00105A26"/>
    <w:rsid w:val="0011126F"/>
    <w:rsid w:val="00112637"/>
    <w:rsid w:val="00112ABC"/>
    <w:rsid w:val="00115228"/>
    <w:rsid w:val="00116E23"/>
    <w:rsid w:val="0012001E"/>
    <w:rsid w:val="00121B2D"/>
    <w:rsid w:val="00124447"/>
    <w:rsid w:val="001248C2"/>
    <w:rsid w:val="001248EF"/>
    <w:rsid w:val="00124AD5"/>
    <w:rsid w:val="001267B7"/>
    <w:rsid w:val="00126A55"/>
    <w:rsid w:val="001275AF"/>
    <w:rsid w:val="00133F08"/>
    <w:rsid w:val="001345E6"/>
    <w:rsid w:val="0013741A"/>
    <w:rsid w:val="001378B0"/>
    <w:rsid w:val="00142E00"/>
    <w:rsid w:val="00152793"/>
    <w:rsid w:val="00153B7E"/>
    <w:rsid w:val="00153DB4"/>
    <w:rsid w:val="001545A9"/>
    <w:rsid w:val="00157F69"/>
    <w:rsid w:val="0016328B"/>
    <w:rsid w:val="001637C7"/>
    <w:rsid w:val="0016480E"/>
    <w:rsid w:val="00165A58"/>
    <w:rsid w:val="00170D69"/>
    <w:rsid w:val="001740E5"/>
    <w:rsid w:val="00174297"/>
    <w:rsid w:val="00175B1F"/>
    <w:rsid w:val="0018064D"/>
    <w:rsid w:val="00180E06"/>
    <w:rsid w:val="001817B3"/>
    <w:rsid w:val="00183014"/>
    <w:rsid w:val="001831CC"/>
    <w:rsid w:val="00184FC7"/>
    <w:rsid w:val="00185CD0"/>
    <w:rsid w:val="00193148"/>
    <w:rsid w:val="001959C2"/>
    <w:rsid w:val="001A0440"/>
    <w:rsid w:val="001A51E3"/>
    <w:rsid w:val="001A6AF0"/>
    <w:rsid w:val="001A7968"/>
    <w:rsid w:val="001B20A7"/>
    <w:rsid w:val="001B2E98"/>
    <w:rsid w:val="001B3483"/>
    <w:rsid w:val="001B3C1E"/>
    <w:rsid w:val="001B4494"/>
    <w:rsid w:val="001B4603"/>
    <w:rsid w:val="001B5864"/>
    <w:rsid w:val="001C0D8B"/>
    <w:rsid w:val="001C0DA8"/>
    <w:rsid w:val="001C2687"/>
    <w:rsid w:val="001C58EB"/>
    <w:rsid w:val="001C7C6C"/>
    <w:rsid w:val="001D04E8"/>
    <w:rsid w:val="001D4099"/>
    <w:rsid w:val="001D4AD7"/>
    <w:rsid w:val="001D6E98"/>
    <w:rsid w:val="001E0D8A"/>
    <w:rsid w:val="001E2930"/>
    <w:rsid w:val="001E5B14"/>
    <w:rsid w:val="001E67BA"/>
    <w:rsid w:val="001E74C2"/>
    <w:rsid w:val="001E7827"/>
    <w:rsid w:val="001F03F6"/>
    <w:rsid w:val="001F3804"/>
    <w:rsid w:val="001F4F82"/>
    <w:rsid w:val="001F5A48"/>
    <w:rsid w:val="001F6260"/>
    <w:rsid w:val="001F7C0E"/>
    <w:rsid w:val="00200007"/>
    <w:rsid w:val="00202E90"/>
    <w:rsid w:val="002030A5"/>
    <w:rsid w:val="00203131"/>
    <w:rsid w:val="0020692E"/>
    <w:rsid w:val="00210A22"/>
    <w:rsid w:val="00212E88"/>
    <w:rsid w:val="00213384"/>
    <w:rsid w:val="00213C9C"/>
    <w:rsid w:val="0021660B"/>
    <w:rsid w:val="0022009E"/>
    <w:rsid w:val="00223241"/>
    <w:rsid w:val="0022372A"/>
    <w:rsid w:val="00223ADF"/>
    <w:rsid w:val="0022425C"/>
    <w:rsid w:val="002246DE"/>
    <w:rsid w:val="00234AC3"/>
    <w:rsid w:val="002429E2"/>
    <w:rsid w:val="00244FFA"/>
    <w:rsid w:val="00245059"/>
    <w:rsid w:val="00247716"/>
    <w:rsid w:val="00252BC4"/>
    <w:rsid w:val="00253B61"/>
    <w:rsid w:val="00254014"/>
    <w:rsid w:val="00254B39"/>
    <w:rsid w:val="00255226"/>
    <w:rsid w:val="00263207"/>
    <w:rsid w:val="0026504D"/>
    <w:rsid w:val="002667E4"/>
    <w:rsid w:val="00267636"/>
    <w:rsid w:val="00273A2F"/>
    <w:rsid w:val="00277898"/>
    <w:rsid w:val="00280986"/>
    <w:rsid w:val="0028115B"/>
    <w:rsid w:val="00281ECE"/>
    <w:rsid w:val="002831C7"/>
    <w:rsid w:val="002840C6"/>
    <w:rsid w:val="00286BE7"/>
    <w:rsid w:val="00286C5D"/>
    <w:rsid w:val="002906AE"/>
    <w:rsid w:val="002906F2"/>
    <w:rsid w:val="00295174"/>
    <w:rsid w:val="00296172"/>
    <w:rsid w:val="00296B92"/>
    <w:rsid w:val="00296F76"/>
    <w:rsid w:val="002A0486"/>
    <w:rsid w:val="002A1BB1"/>
    <w:rsid w:val="002A2C22"/>
    <w:rsid w:val="002B02EB"/>
    <w:rsid w:val="002B1223"/>
    <w:rsid w:val="002B2D35"/>
    <w:rsid w:val="002C0602"/>
    <w:rsid w:val="002D5AF7"/>
    <w:rsid w:val="002D5C16"/>
    <w:rsid w:val="002D6425"/>
    <w:rsid w:val="002F08A0"/>
    <w:rsid w:val="002F2476"/>
    <w:rsid w:val="002F39B4"/>
    <w:rsid w:val="002F3D62"/>
    <w:rsid w:val="002F3DFF"/>
    <w:rsid w:val="002F422A"/>
    <w:rsid w:val="002F5E05"/>
    <w:rsid w:val="00307A76"/>
    <w:rsid w:val="00313DDA"/>
    <w:rsid w:val="0031455E"/>
    <w:rsid w:val="00315A16"/>
    <w:rsid w:val="00317053"/>
    <w:rsid w:val="0032109C"/>
    <w:rsid w:val="00321B48"/>
    <w:rsid w:val="00322B45"/>
    <w:rsid w:val="00323809"/>
    <w:rsid w:val="00323D41"/>
    <w:rsid w:val="00325414"/>
    <w:rsid w:val="0032545E"/>
    <w:rsid w:val="003302F1"/>
    <w:rsid w:val="0033087C"/>
    <w:rsid w:val="0034470E"/>
    <w:rsid w:val="00346E66"/>
    <w:rsid w:val="00352DB0"/>
    <w:rsid w:val="00355460"/>
    <w:rsid w:val="00357BFC"/>
    <w:rsid w:val="00361063"/>
    <w:rsid w:val="003708A4"/>
    <w:rsid w:val="0037094A"/>
    <w:rsid w:val="00371ED3"/>
    <w:rsid w:val="00372659"/>
    <w:rsid w:val="00372FFC"/>
    <w:rsid w:val="0037534F"/>
    <w:rsid w:val="0037728A"/>
    <w:rsid w:val="00380B7D"/>
    <w:rsid w:val="00381A99"/>
    <w:rsid w:val="003829C2"/>
    <w:rsid w:val="003830B2"/>
    <w:rsid w:val="00384724"/>
    <w:rsid w:val="00387B8C"/>
    <w:rsid w:val="003913B1"/>
    <w:rsid w:val="003919B7"/>
    <w:rsid w:val="00391D57"/>
    <w:rsid w:val="00392292"/>
    <w:rsid w:val="00394F45"/>
    <w:rsid w:val="00396D2C"/>
    <w:rsid w:val="00396FF0"/>
    <w:rsid w:val="003977C3"/>
    <w:rsid w:val="003A0AD9"/>
    <w:rsid w:val="003A1E52"/>
    <w:rsid w:val="003A2C9D"/>
    <w:rsid w:val="003A5927"/>
    <w:rsid w:val="003B1017"/>
    <w:rsid w:val="003B110E"/>
    <w:rsid w:val="003B3C07"/>
    <w:rsid w:val="003B4111"/>
    <w:rsid w:val="003B6081"/>
    <w:rsid w:val="003B6775"/>
    <w:rsid w:val="003C1CC9"/>
    <w:rsid w:val="003C5DAD"/>
    <w:rsid w:val="003C5FE2"/>
    <w:rsid w:val="003D05FB"/>
    <w:rsid w:val="003D1A3E"/>
    <w:rsid w:val="003D1B16"/>
    <w:rsid w:val="003D45BF"/>
    <w:rsid w:val="003D508A"/>
    <w:rsid w:val="003D537F"/>
    <w:rsid w:val="003D695F"/>
    <w:rsid w:val="003D6E35"/>
    <w:rsid w:val="003D7B75"/>
    <w:rsid w:val="003E0208"/>
    <w:rsid w:val="003E271E"/>
    <w:rsid w:val="003E4B57"/>
    <w:rsid w:val="003F27E1"/>
    <w:rsid w:val="003F437A"/>
    <w:rsid w:val="003F4A5B"/>
    <w:rsid w:val="003F5C2B"/>
    <w:rsid w:val="00402240"/>
    <w:rsid w:val="004023E9"/>
    <w:rsid w:val="00403E85"/>
    <w:rsid w:val="0040454A"/>
    <w:rsid w:val="0040658C"/>
    <w:rsid w:val="00407E42"/>
    <w:rsid w:val="00410B85"/>
    <w:rsid w:val="00413F83"/>
    <w:rsid w:val="0041475B"/>
    <w:rsid w:val="0041490C"/>
    <w:rsid w:val="00416191"/>
    <w:rsid w:val="00416721"/>
    <w:rsid w:val="00417AC6"/>
    <w:rsid w:val="00421073"/>
    <w:rsid w:val="00421EF0"/>
    <w:rsid w:val="004224FA"/>
    <w:rsid w:val="00423AF4"/>
    <w:rsid w:val="00423D07"/>
    <w:rsid w:val="004255A4"/>
    <w:rsid w:val="004269FA"/>
    <w:rsid w:val="00427936"/>
    <w:rsid w:val="00440772"/>
    <w:rsid w:val="00442866"/>
    <w:rsid w:val="0044346F"/>
    <w:rsid w:val="0044373D"/>
    <w:rsid w:val="00447264"/>
    <w:rsid w:val="00450BC9"/>
    <w:rsid w:val="00453FF6"/>
    <w:rsid w:val="004611BB"/>
    <w:rsid w:val="00464DDA"/>
    <w:rsid w:val="0046520A"/>
    <w:rsid w:val="004672AB"/>
    <w:rsid w:val="004714FE"/>
    <w:rsid w:val="0047378B"/>
    <w:rsid w:val="00474163"/>
    <w:rsid w:val="00475750"/>
    <w:rsid w:val="00476DEC"/>
    <w:rsid w:val="0047719C"/>
    <w:rsid w:val="00477BAA"/>
    <w:rsid w:val="004817E7"/>
    <w:rsid w:val="00492E79"/>
    <w:rsid w:val="00495053"/>
    <w:rsid w:val="00495D49"/>
    <w:rsid w:val="004A1F59"/>
    <w:rsid w:val="004A20E8"/>
    <w:rsid w:val="004A29BE"/>
    <w:rsid w:val="004A3225"/>
    <w:rsid w:val="004A33EE"/>
    <w:rsid w:val="004A358E"/>
    <w:rsid w:val="004A3AA8"/>
    <w:rsid w:val="004A5C34"/>
    <w:rsid w:val="004A7625"/>
    <w:rsid w:val="004A7E00"/>
    <w:rsid w:val="004B13C7"/>
    <w:rsid w:val="004B28D7"/>
    <w:rsid w:val="004B4FEE"/>
    <w:rsid w:val="004B728F"/>
    <w:rsid w:val="004B778F"/>
    <w:rsid w:val="004C0609"/>
    <w:rsid w:val="004C2131"/>
    <w:rsid w:val="004C639F"/>
    <w:rsid w:val="004C7CAC"/>
    <w:rsid w:val="004D141F"/>
    <w:rsid w:val="004D2742"/>
    <w:rsid w:val="004D6310"/>
    <w:rsid w:val="004E0062"/>
    <w:rsid w:val="004E05A1"/>
    <w:rsid w:val="004F26FF"/>
    <w:rsid w:val="004F472A"/>
    <w:rsid w:val="004F5E57"/>
    <w:rsid w:val="004F6368"/>
    <w:rsid w:val="004F6710"/>
    <w:rsid w:val="004F72A4"/>
    <w:rsid w:val="004F7DDF"/>
    <w:rsid w:val="00500C3E"/>
    <w:rsid w:val="00502849"/>
    <w:rsid w:val="00504334"/>
    <w:rsid w:val="0050498D"/>
    <w:rsid w:val="005104D7"/>
    <w:rsid w:val="00510B30"/>
    <w:rsid w:val="00510B9E"/>
    <w:rsid w:val="00510CCA"/>
    <w:rsid w:val="00511F01"/>
    <w:rsid w:val="00513D0F"/>
    <w:rsid w:val="00522C13"/>
    <w:rsid w:val="00523AA7"/>
    <w:rsid w:val="00525AD6"/>
    <w:rsid w:val="00525F63"/>
    <w:rsid w:val="005365AD"/>
    <w:rsid w:val="00536BC2"/>
    <w:rsid w:val="005414CC"/>
    <w:rsid w:val="005425E1"/>
    <w:rsid w:val="005427C5"/>
    <w:rsid w:val="00542CF6"/>
    <w:rsid w:val="005521AB"/>
    <w:rsid w:val="00553C03"/>
    <w:rsid w:val="0055720A"/>
    <w:rsid w:val="005601F5"/>
    <w:rsid w:val="0056071C"/>
    <w:rsid w:val="00560DDA"/>
    <w:rsid w:val="00563692"/>
    <w:rsid w:val="00571679"/>
    <w:rsid w:val="005734B7"/>
    <w:rsid w:val="005741E2"/>
    <w:rsid w:val="00574DD8"/>
    <w:rsid w:val="00575BD4"/>
    <w:rsid w:val="00584235"/>
    <w:rsid w:val="005844E7"/>
    <w:rsid w:val="005908B8"/>
    <w:rsid w:val="0059512E"/>
    <w:rsid w:val="005A205B"/>
    <w:rsid w:val="005A6DD2"/>
    <w:rsid w:val="005B0819"/>
    <w:rsid w:val="005B19FD"/>
    <w:rsid w:val="005B45A1"/>
    <w:rsid w:val="005B6253"/>
    <w:rsid w:val="005C1215"/>
    <w:rsid w:val="005C385D"/>
    <w:rsid w:val="005D3B20"/>
    <w:rsid w:val="005D5F1F"/>
    <w:rsid w:val="005D71B7"/>
    <w:rsid w:val="005E1D28"/>
    <w:rsid w:val="005E4759"/>
    <w:rsid w:val="005E5446"/>
    <w:rsid w:val="005E5C68"/>
    <w:rsid w:val="005E65C0"/>
    <w:rsid w:val="005F0390"/>
    <w:rsid w:val="00605AD2"/>
    <w:rsid w:val="006072CD"/>
    <w:rsid w:val="00612023"/>
    <w:rsid w:val="00613931"/>
    <w:rsid w:val="00614190"/>
    <w:rsid w:val="0061528C"/>
    <w:rsid w:val="00622A99"/>
    <w:rsid w:val="00622E67"/>
    <w:rsid w:val="00626B57"/>
    <w:rsid w:val="00626EDC"/>
    <w:rsid w:val="00630E4A"/>
    <w:rsid w:val="00640CBB"/>
    <w:rsid w:val="006452D3"/>
    <w:rsid w:val="006470EC"/>
    <w:rsid w:val="006542D6"/>
    <w:rsid w:val="0065598E"/>
    <w:rsid w:val="00655AAE"/>
    <w:rsid w:val="00655AF2"/>
    <w:rsid w:val="00655BC5"/>
    <w:rsid w:val="006568BE"/>
    <w:rsid w:val="0066025D"/>
    <w:rsid w:val="0066091A"/>
    <w:rsid w:val="00660B67"/>
    <w:rsid w:val="0066119B"/>
    <w:rsid w:val="00661A4E"/>
    <w:rsid w:val="00666B89"/>
    <w:rsid w:val="00670B36"/>
    <w:rsid w:val="00677038"/>
    <w:rsid w:val="006773EC"/>
    <w:rsid w:val="00680504"/>
    <w:rsid w:val="00681CD9"/>
    <w:rsid w:val="00683E30"/>
    <w:rsid w:val="00683E6B"/>
    <w:rsid w:val="00685317"/>
    <w:rsid w:val="00687024"/>
    <w:rsid w:val="00691E19"/>
    <w:rsid w:val="00695E22"/>
    <w:rsid w:val="006A4103"/>
    <w:rsid w:val="006A51E2"/>
    <w:rsid w:val="006B026E"/>
    <w:rsid w:val="006B2DF4"/>
    <w:rsid w:val="006B5FA4"/>
    <w:rsid w:val="006B7093"/>
    <w:rsid w:val="006B7417"/>
    <w:rsid w:val="006C0ED9"/>
    <w:rsid w:val="006C4667"/>
    <w:rsid w:val="006C5D36"/>
    <w:rsid w:val="006D249D"/>
    <w:rsid w:val="006D31F9"/>
    <w:rsid w:val="006D3691"/>
    <w:rsid w:val="006D4997"/>
    <w:rsid w:val="006E5EF0"/>
    <w:rsid w:val="006F3563"/>
    <w:rsid w:val="006F42B9"/>
    <w:rsid w:val="006F6103"/>
    <w:rsid w:val="006F63DF"/>
    <w:rsid w:val="007037FA"/>
    <w:rsid w:val="00704E00"/>
    <w:rsid w:val="007106F0"/>
    <w:rsid w:val="007112CE"/>
    <w:rsid w:val="00712214"/>
    <w:rsid w:val="00713904"/>
    <w:rsid w:val="00715DC7"/>
    <w:rsid w:val="00717DF7"/>
    <w:rsid w:val="007209E7"/>
    <w:rsid w:val="00726182"/>
    <w:rsid w:val="007262C9"/>
    <w:rsid w:val="00727635"/>
    <w:rsid w:val="00732329"/>
    <w:rsid w:val="0073247F"/>
    <w:rsid w:val="007337CA"/>
    <w:rsid w:val="00734CE4"/>
    <w:rsid w:val="00735123"/>
    <w:rsid w:val="00736C30"/>
    <w:rsid w:val="00741076"/>
    <w:rsid w:val="00741837"/>
    <w:rsid w:val="007453E6"/>
    <w:rsid w:val="007526B4"/>
    <w:rsid w:val="007574EE"/>
    <w:rsid w:val="00757D0A"/>
    <w:rsid w:val="00763F3E"/>
    <w:rsid w:val="007649F5"/>
    <w:rsid w:val="00765D2A"/>
    <w:rsid w:val="00770453"/>
    <w:rsid w:val="00771CC1"/>
    <w:rsid w:val="0077309D"/>
    <w:rsid w:val="00775FEA"/>
    <w:rsid w:val="007774EE"/>
    <w:rsid w:val="00777A74"/>
    <w:rsid w:val="00781822"/>
    <w:rsid w:val="007818F0"/>
    <w:rsid w:val="00783D8D"/>
    <w:rsid w:val="00783F21"/>
    <w:rsid w:val="00784EA9"/>
    <w:rsid w:val="00787159"/>
    <w:rsid w:val="0079043A"/>
    <w:rsid w:val="00791668"/>
    <w:rsid w:val="00791AA1"/>
    <w:rsid w:val="007A3793"/>
    <w:rsid w:val="007A54CE"/>
    <w:rsid w:val="007A5B0D"/>
    <w:rsid w:val="007B2FA4"/>
    <w:rsid w:val="007B737E"/>
    <w:rsid w:val="007B76CA"/>
    <w:rsid w:val="007C0822"/>
    <w:rsid w:val="007C1BA2"/>
    <w:rsid w:val="007C21D5"/>
    <w:rsid w:val="007C23E6"/>
    <w:rsid w:val="007C2B48"/>
    <w:rsid w:val="007D20E9"/>
    <w:rsid w:val="007D7881"/>
    <w:rsid w:val="007D7E3A"/>
    <w:rsid w:val="007E0E10"/>
    <w:rsid w:val="007E4768"/>
    <w:rsid w:val="007E47DF"/>
    <w:rsid w:val="007E777B"/>
    <w:rsid w:val="007F2070"/>
    <w:rsid w:val="007F63C1"/>
    <w:rsid w:val="007F74F4"/>
    <w:rsid w:val="0080304F"/>
    <w:rsid w:val="008053F5"/>
    <w:rsid w:val="008065BF"/>
    <w:rsid w:val="00807846"/>
    <w:rsid w:val="00807AF7"/>
    <w:rsid w:val="00810198"/>
    <w:rsid w:val="00815DA8"/>
    <w:rsid w:val="00820183"/>
    <w:rsid w:val="0082137C"/>
    <w:rsid w:val="0082194D"/>
    <w:rsid w:val="008221F9"/>
    <w:rsid w:val="0082497E"/>
    <w:rsid w:val="00826EF5"/>
    <w:rsid w:val="00827D39"/>
    <w:rsid w:val="00831693"/>
    <w:rsid w:val="00840104"/>
    <w:rsid w:val="00840C1F"/>
    <w:rsid w:val="008411C9"/>
    <w:rsid w:val="00841FC5"/>
    <w:rsid w:val="00843D0F"/>
    <w:rsid w:val="00845709"/>
    <w:rsid w:val="00847319"/>
    <w:rsid w:val="00852E49"/>
    <w:rsid w:val="00853BED"/>
    <w:rsid w:val="008559EE"/>
    <w:rsid w:val="008568E3"/>
    <w:rsid w:val="008576BD"/>
    <w:rsid w:val="00860463"/>
    <w:rsid w:val="008645C9"/>
    <w:rsid w:val="00865798"/>
    <w:rsid w:val="00867456"/>
    <w:rsid w:val="008733DA"/>
    <w:rsid w:val="00884F06"/>
    <w:rsid w:val="008850E4"/>
    <w:rsid w:val="00885418"/>
    <w:rsid w:val="008874A0"/>
    <w:rsid w:val="00891A79"/>
    <w:rsid w:val="00892DFE"/>
    <w:rsid w:val="008939AB"/>
    <w:rsid w:val="00895AF1"/>
    <w:rsid w:val="008967E5"/>
    <w:rsid w:val="00896832"/>
    <w:rsid w:val="008A108E"/>
    <w:rsid w:val="008A12F5"/>
    <w:rsid w:val="008B1587"/>
    <w:rsid w:val="008B1B01"/>
    <w:rsid w:val="008B3BCD"/>
    <w:rsid w:val="008B62A8"/>
    <w:rsid w:val="008B6DF8"/>
    <w:rsid w:val="008C106C"/>
    <w:rsid w:val="008C10F1"/>
    <w:rsid w:val="008C1926"/>
    <w:rsid w:val="008C1E99"/>
    <w:rsid w:val="008C6582"/>
    <w:rsid w:val="008D25EA"/>
    <w:rsid w:val="008D4D15"/>
    <w:rsid w:val="008D54D4"/>
    <w:rsid w:val="008E0085"/>
    <w:rsid w:val="008E2AA6"/>
    <w:rsid w:val="008E311B"/>
    <w:rsid w:val="008F0862"/>
    <w:rsid w:val="008F1E0A"/>
    <w:rsid w:val="008F46E7"/>
    <w:rsid w:val="008F4857"/>
    <w:rsid w:val="008F64CA"/>
    <w:rsid w:val="008F6F0B"/>
    <w:rsid w:val="008F7E4B"/>
    <w:rsid w:val="0090456D"/>
    <w:rsid w:val="0090557C"/>
    <w:rsid w:val="009062B6"/>
    <w:rsid w:val="00907BA7"/>
    <w:rsid w:val="0091064E"/>
    <w:rsid w:val="00910CC1"/>
    <w:rsid w:val="00911FC5"/>
    <w:rsid w:val="00915650"/>
    <w:rsid w:val="009162F1"/>
    <w:rsid w:val="00922BB1"/>
    <w:rsid w:val="0092304F"/>
    <w:rsid w:val="00925749"/>
    <w:rsid w:val="00931628"/>
    <w:rsid w:val="00931A10"/>
    <w:rsid w:val="009342D1"/>
    <w:rsid w:val="0093677C"/>
    <w:rsid w:val="00937BB1"/>
    <w:rsid w:val="00943A9F"/>
    <w:rsid w:val="00947967"/>
    <w:rsid w:val="00953728"/>
    <w:rsid w:val="00955201"/>
    <w:rsid w:val="00965200"/>
    <w:rsid w:val="009668B3"/>
    <w:rsid w:val="009674AC"/>
    <w:rsid w:val="00971471"/>
    <w:rsid w:val="009716AC"/>
    <w:rsid w:val="00972828"/>
    <w:rsid w:val="00981843"/>
    <w:rsid w:val="00984061"/>
    <w:rsid w:val="009849C2"/>
    <w:rsid w:val="00984D24"/>
    <w:rsid w:val="009858EB"/>
    <w:rsid w:val="009909FB"/>
    <w:rsid w:val="009A15E6"/>
    <w:rsid w:val="009A3EB2"/>
    <w:rsid w:val="009A3F47"/>
    <w:rsid w:val="009A5702"/>
    <w:rsid w:val="009B0046"/>
    <w:rsid w:val="009B09CF"/>
    <w:rsid w:val="009B0E29"/>
    <w:rsid w:val="009C0D16"/>
    <w:rsid w:val="009C1440"/>
    <w:rsid w:val="009C2107"/>
    <w:rsid w:val="009C5D9E"/>
    <w:rsid w:val="009D122E"/>
    <w:rsid w:val="009D22F4"/>
    <w:rsid w:val="009D2C3E"/>
    <w:rsid w:val="009E0625"/>
    <w:rsid w:val="009E3034"/>
    <w:rsid w:val="009E549F"/>
    <w:rsid w:val="009F0219"/>
    <w:rsid w:val="009F28A8"/>
    <w:rsid w:val="009F473E"/>
    <w:rsid w:val="009F5247"/>
    <w:rsid w:val="009F6479"/>
    <w:rsid w:val="009F682A"/>
    <w:rsid w:val="00A022BE"/>
    <w:rsid w:val="00A0526A"/>
    <w:rsid w:val="00A06243"/>
    <w:rsid w:val="00A07B4B"/>
    <w:rsid w:val="00A10D36"/>
    <w:rsid w:val="00A11547"/>
    <w:rsid w:val="00A120BA"/>
    <w:rsid w:val="00A15E4C"/>
    <w:rsid w:val="00A22734"/>
    <w:rsid w:val="00A24C95"/>
    <w:rsid w:val="00A2599A"/>
    <w:rsid w:val="00A26094"/>
    <w:rsid w:val="00A301BF"/>
    <w:rsid w:val="00A302B2"/>
    <w:rsid w:val="00A331B4"/>
    <w:rsid w:val="00A3484E"/>
    <w:rsid w:val="00A356D3"/>
    <w:rsid w:val="00A36ADA"/>
    <w:rsid w:val="00A37C4D"/>
    <w:rsid w:val="00A438D8"/>
    <w:rsid w:val="00A473F5"/>
    <w:rsid w:val="00A47C08"/>
    <w:rsid w:val="00A50AE1"/>
    <w:rsid w:val="00A51F9D"/>
    <w:rsid w:val="00A5416A"/>
    <w:rsid w:val="00A57056"/>
    <w:rsid w:val="00A60CCE"/>
    <w:rsid w:val="00A639F4"/>
    <w:rsid w:val="00A65864"/>
    <w:rsid w:val="00A65FAE"/>
    <w:rsid w:val="00A76317"/>
    <w:rsid w:val="00A811F1"/>
    <w:rsid w:val="00A81A32"/>
    <w:rsid w:val="00A83272"/>
    <w:rsid w:val="00A835BD"/>
    <w:rsid w:val="00A90C3C"/>
    <w:rsid w:val="00A922AC"/>
    <w:rsid w:val="00A93512"/>
    <w:rsid w:val="00A97B15"/>
    <w:rsid w:val="00AA0788"/>
    <w:rsid w:val="00AA1883"/>
    <w:rsid w:val="00AA3D2B"/>
    <w:rsid w:val="00AA42D5"/>
    <w:rsid w:val="00AB2FAB"/>
    <w:rsid w:val="00AB5C14"/>
    <w:rsid w:val="00AC1EE7"/>
    <w:rsid w:val="00AC2BBB"/>
    <w:rsid w:val="00AC333F"/>
    <w:rsid w:val="00AC56C7"/>
    <w:rsid w:val="00AC585C"/>
    <w:rsid w:val="00AD1925"/>
    <w:rsid w:val="00AD7CBA"/>
    <w:rsid w:val="00AE067D"/>
    <w:rsid w:val="00AE1EC7"/>
    <w:rsid w:val="00AF0A2E"/>
    <w:rsid w:val="00AF1181"/>
    <w:rsid w:val="00AF193C"/>
    <w:rsid w:val="00AF269E"/>
    <w:rsid w:val="00AF2F79"/>
    <w:rsid w:val="00AF455F"/>
    <w:rsid w:val="00AF4653"/>
    <w:rsid w:val="00AF7DB7"/>
    <w:rsid w:val="00B01477"/>
    <w:rsid w:val="00B03903"/>
    <w:rsid w:val="00B0422F"/>
    <w:rsid w:val="00B0470C"/>
    <w:rsid w:val="00B05DA2"/>
    <w:rsid w:val="00B10A5B"/>
    <w:rsid w:val="00B10D02"/>
    <w:rsid w:val="00B11811"/>
    <w:rsid w:val="00B1550D"/>
    <w:rsid w:val="00B17572"/>
    <w:rsid w:val="00B201E2"/>
    <w:rsid w:val="00B239AC"/>
    <w:rsid w:val="00B275BA"/>
    <w:rsid w:val="00B32D5E"/>
    <w:rsid w:val="00B36217"/>
    <w:rsid w:val="00B443E4"/>
    <w:rsid w:val="00B467BD"/>
    <w:rsid w:val="00B51BEB"/>
    <w:rsid w:val="00B5484D"/>
    <w:rsid w:val="00B563EA"/>
    <w:rsid w:val="00B56CDF"/>
    <w:rsid w:val="00B60E51"/>
    <w:rsid w:val="00B63A54"/>
    <w:rsid w:val="00B66E5D"/>
    <w:rsid w:val="00B678C6"/>
    <w:rsid w:val="00B7278E"/>
    <w:rsid w:val="00B72C8F"/>
    <w:rsid w:val="00B75107"/>
    <w:rsid w:val="00B75360"/>
    <w:rsid w:val="00B77D18"/>
    <w:rsid w:val="00B80669"/>
    <w:rsid w:val="00B81569"/>
    <w:rsid w:val="00B8313A"/>
    <w:rsid w:val="00B93503"/>
    <w:rsid w:val="00B96D74"/>
    <w:rsid w:val="00B97138"/>
    <w:rsid w:val="00BA0B9D"/>
    <w:rsid w:val="00BA13C4"/>
    <w:rsid w:val="00BA2EF0"/>
    <w:rsid w:val="00BA31E8"/>
    <w:rsid w:val="00BA55E0"/>
    <w:rsid w:val="00BA6BD4"/>
    <w:rsid w:val="00BA6C7A"/>
    <w:rsid w:val="00BB17D1"/>
    <w:rsid w:val="00BB3752"/>
    <w:rsid w:val="00BB6688"/>
    <w:rsid w:val="00BB7039"/>
    <w:rsid w:val="00BC196E"/>
    <w:rsid w:val="00BC1CEE"/>
    <w:rsid w:val="00BC26D4"/>
    <w:rsid w:val="00BD28C3"/>
    <w:rsid w:val="00BD2EC3"/>
    <w:rsid w:val="00BD6859"/>
    <w:rsid w:val="00BE0C80"/>
    <w:rsid w:val="00BF193B"/>
    <w:rsid w:val="00BF2A42"/>
    <w:rsid w:val="00BF6096"/>
    <w:rsid w:val="00C0323E"/>
    <w:rsid w:val="00C03D8C"/>
    <w:rsid w:val="00C055EC"/>
    <w:rsid w:val="00C06C18"/>
    <w:rsid w:val="00C10115"/>
    <w:rsid w:val="00C10DC9"/>
    <w:rsid w:val="00C12FB3"/>
    <w:rsid w:val="00C13D8F"/>
    <w:rsid w:val="00C17341"/>
    <w:rsid w:val="00C21FA4"/>
    <w:rsid w:val="00C22500"/>
    <w:rsid w:val="00C22625"/>
    <w:rsid w:val="00C231F7"/>
    <w:rsid w:val="00C24EEF"/>
    <w:rsid w:val="00C25CF6"/>
    <w:rsid w:val="00C26003"/>
    <w:rsid w:val="00C26C36"/>
    <w:rsid w:val="00C27862"/>
    <w:rsid w:val="00C32768"/>
    <w:rsid w:val="00C3374A"/>
    <w:rsid w:val="00C40F39"/>
    <w:rsid w:val="00C41254"/>
    <w:rsid w:val="00C431DF"/>
    <w:rsid w:val="00C456BD"/>
    <w:rsid w:val="00C460B3"/>
    <w:rsid w:val="00C51B09"/>
    <w:rsid w:val="00C530DC"/>
    <w:rsid w:val="00C5350D"/>
    <w:rsid w:val="00C567B2"/>
    <w:rsid w:val="00C6123C"/>
    <w:rsid w:val="00C6311A"/>
    <w:rsid w:val="00C7084D"/>
    <w:rsid w:val="00C7315E"/>
    <w:rsid w:val="00C75895"/>
    <w:rsid w:val="00C822A0"/>
    <w:rsid w:val="00C83C9F"/>
    <w:rsid w:val="00C8544A"/>
    <w:rsid w:val="00C85D13"/>
    <w:rsid w:val="00C92D3F"/>
    <w:rsid w:val="00C9413E"/>
    <w:rsid w:val="00C94840"/>
    <w:rsid w:val="00CA0B51"/>
    <w:rsid w:val="00CA156E"/>
    <w:rsid w:val="00CA1CB2"/>
    <w:rsid w:val="00CA1FB8"/>
    <w:rsid w:val="00CA32FB"/>
    <w:rsid w:val="00CA4EE3"/>
    <w:rsid w:val="00CA7C82"/>
    <w:rsid w:val="00CB027F"/>
    <w:rsid w:val="00CB101F"/>
    <w:rsid w:val="00CB1421"/>
    <w:rsid w:val="00CB15BD"/>
    <w:rsid w:val="00CB73A7"/>
    <w:rsid w:val="00CC0EBB"/>
    <w:rsid w:val="00CC54C4"/>
    <w:rsid w:val="00CC6297"/>
    <w:rsid w:val="00CC7690"/>
    <w:rsid w:val="00CD10E5"/>
    <w:rsid w:val="00CD1986"/>
    <w:rsid w:val="00CD4554"/>
    <w:rsid w:val="00CD54BF"/>
    <w:rsid w:val="00CE3442"/>
    <w:rsid w:val="00CE4D5C"/>
    <w:rsid w:val="00CE623D"/>
    <w:rsid w:val="00CE701B"/>
    <w:rsid w:val="00CE70CF"/>
    <w:rsid w:val="00CF05DA"/>
    <w:rsid w:val="00CF177D"/>
    <w:rsid w:val="00CF58EB"/>
    <w:rsid w:val="00CF6FEC"/>
    <w:rsid w:val="00CF714D"/>
    <w:rsid w:val="00D0106E"/>
    <w:rsid w:val="00D01F67"/>
    <w:rsid w:val="00D04218"/>
    <w:rsid w:val="00D0596B"/>
    <w:rsid w:val="00D06383"/>
    <w:rsid w:val="00D16CDE"/>
    <w:rsid w:val="00D1795C"/>
    <w:rsid w:val="00D20E85"/>
    <w:rsid w:val="00D24615"/>
    <w:rsid w:val="00D34A98"/>
    <w:rsid w:val="00D35BDF"/>
    <w:rsid w:val="00D373AB"/>
    <w:rsid w:val="00D37842"/>
    <w:rsid w:val="00D42DC2"/>
    <w:rsid w:val="00D4302B"/>
    <w:rsid w:val="00D43161"/>
    <w:rsid w:val="00D4359F"/>
    <w:rsid w:val="00D4437F"/>
    <w:rsid w:val="00D50C69"/>
    <w:rsid w:val="00D537E1"/>
    <w:rsid w:val="00D55239"/>
    <w:rsid w:val="00D55BB2"/>
    <w:rsid w:val="00D6091A"/>
    <w:rsid w:val="00D62A74"/>
    <w:rsid w:val="00D62E5A"/>
    <w:rsid w:val="00D6605A"/>
    <w:rsid w:val="00D6695F"/>
    <w:rsid w:val="00D6796C"/>
    <w:rsid w:val="00D679DC"/>
    <w:rsid w:val="00D70B86"/>
    <w:rsid w:val="00D7271D"/>
    <w:rsid w:val="00D72FDA"/>
    <w:rsid w:val="00D75644"/>
    <w:rsid w:val="00D75E8F"/>
    <w:rsid w:val="00D77DA5"/>
    <w:rsid w:val="00D81656"/>
    <w:rsid w:val="00D83D87"/>
    <w:rsid w:val="00D84A6D"/>
    <w:rsid w:val="00D86A30"/>
    <w:rsid w:val="00D97BF8"/>
    <w:rsid w:val="00D97CB4"/>
    <w:rsid w:val="00D97DD4"/>
    <w:rsid w:val="00DA5A8A"/>
    <w:rsid w:val="00DA68FE"/>
    <w:rsid w:val="00DA74CC"/>
    <w:rsid w:val="00DB069D"/>
    <w:rsid w:val="00DB0C7F"/>
    <w:rsid w:val="00DB1170"/>
    <w:rsid w:val="00DB26CD"/>
    <w:rsid w:val="00DB441C"/>
    <w:rsid w:val="00DB44AF"/>
    <w:rsid w:val="00DC1F58"/>
    <w:rsid w:val="00DC339B"/>
    <w:rsid w:val="00DC4731"/>
    <w:rsid w:val="00DC58FD"/>
    <w:rsid w:val="00DC5D40"/>
    <w:rsid w:val="00DC69A7"/>
    <w:rsid w:val="00DD2191"/>
    <w:rsid w:val="00DD30E9"/>
    <w:rsid w:val="00DD4F47"/>
    <w:rsid w:val="00DD635A"/>
    <w:rsid w:val="00DD7FBB"/>
    <w:rsid w:val="00DE0B9F"/>
    <w:rsid w:val="00DE2A9E"/>
    <w:rsid w:val="00DE4238"/>
    <w:rsid w:val="00DE657F"/>
    <w:rsid w:val="00DF1218"/>
    <w:rsid w:val="00DF163C"/>
    <w:rsid w:val="00DF4EFE"/>
    <w:rsid w:val="00DF6462"/>
    <w:rsid w:val="00DF7957"/>
    <w:rsid w:val="00E01728"/>
    <w:rsid w:val="00E02FA0"/>
    <w:rsid w:val="00E036DC"/>
    <w:rsid w:val="00E03C01"/>
    <w:rsid w:val="00E07C11"/>
    <w:rsid w:val="00E10454"/>
    <w:rsid w:val="00E112E5"/>
    <w:rsid w:val="00E122D8"/>
    <w:rsid w:val="00E12CC8"/>
    <w:rsid w:val="00E15352"/>
    <w:rsid w:val="00E21CC7"/>
    <w:rsid w:val="00E24D9E"/>
    <w:rsid w:val="00E25849"/>
    <w:rsid w:val="00E30A73"/>
    <w:rsid w:val="00E3197E"/>
    <w:rsid w:val="00E342F8"/>
    <w:rsid w:val="00E351ED"/>
    <w:rsid w:val="00E375A8"/>
    <w:rsid w:val="00E42B19"/>
    <w:rsid w:val="00E57168"/>
    <w:rsid w:val="00E6034B"/>
    <w:rsid w:val="00E60CE0"/>
    <w:rsid w:val="00E6549E"/>
    <w:rsid w:val="00E65EDE"/>
    <w:rsid w:val="00E70F81"/>
    <w:rsid w:val="00E73BC3"/>
    <w:rsid w:val="00E75B00"/>
    <w:rsid w:val="00E77055"/>
    <w:rsid w:val="00E77460"/>
    <w:rsid w:val="00E77509"/>
    <w:rsid w:val="00E77C2C"/>
    <w:rsid w:val="00E83ABC"/>
    <w:rsid w:val="00E844F2"/>
    <w:rsid w:val="00E85D82"/>
    <w:rsid w:val="00E90AD0"/>
    <w:rsid w:val="00E92FCB"/>
    <w:rsid w:val="00EA147F"/>
    <w:rsid w:val="00EA394B"/>
    <w:rsid w:val="00EA4A27"/>
    <w:rsid w:val="00EA4FA6"/>
    <w:rsid w:val="00EB0123"/>
    <w:rsid w:val="00EB1A25"/>
    <w:rsid w:val="00EB67A4"/>
    <w:rsid w:val="00EC7363"/>
    <w:rsid w:val="00ED03AB"/>
    <w:rsid w:val="00ED1963"/>
    <w:rsid w:val="00ED1CD4"/>
    <w:rsid w:val="00ED1D2B"/>
    <w:rsid w:val="00ED219C"/>
    <w:rsid w:val="00ED2244"/>
    <w:rsid w:val="00ED64B5"/>
    <w:rsid w:val="00ED683E"/>
    <w:rsid w:val="00ED6D0C"/>
    <w:rsid w:val="00ED73A4"/>
    <w:rsid w:val="00EE01CC"/>
    <w:rsid w:val="00EE3FA6"/>
    <w:rsid w:val="00EE4B0E"/>
    <w:rsid w:val="00EE7CCA"/>
    <w:rsid w:val="00EF05A3"/>
    <w:rsid w:val="00EF3398"/>
    <w:rsid w:val="00F00B60"/>
    <w:rsid w:val="00F0416D"/>
    <w:rsid w:val="00F06E53"/>
    <w:rsid w:val="00F16A14"/>
    <w:rsid w:val="00F22E98"/>
    <w:rsid w:val="00F25249"/>
    <w:rsid w:val="00F362D7"/>
    <w:rsid w:val="00F37D7B"/>
    <w:rsid w:val="00F45E96"/>
    <w:rsid w:val="00F47799"/>
    <w:rsid w:val="00F5314C"/>
    <w:rsid w:val="00F54263"/>
    <w:rsid w:val="00F56792"/>
    <w:rsid w:val="00F5688C"/>
    <w:rsid w:val="00F60048"/>
    <w:rsid w:val="00F635DD"/>
    <w:rsid w:val="00F64033"/>
    <w:rsid w:val="00F6627B"/>
    <w:rsid w:val="00F70A20"/>
    <w:rsid w:val="00F7336E"/>
    <w:rsid w:val="00F734F2"/>
    <w:rsid w:val="00F75052"/>
    <w:rsid w:val="00F77341"/>
    <w:rsid w:val="00F804D3"/>
    <w:rsid w:val="00F80859"/>
    <w:rsid w:val="00F816CB"/>
    <w:rsid w:val="00F81CD2"/>
    <w:rsid w:val="00F82641"/>
    <w:rsid w:val="00F90F18"/>
    <w:rsid w:val="00F9189B"/>
    <w:rsid w:val="00F937E4"/>
    <w:rsid w:val="00F93F93"/>
    <w:rsid w:val="00F95EE7"/>
    <w:rsid w:val="00FA02A7"/>
    <w:rsid w:val="00FA18AC"/>
    <w:rsid w:val="00FA31A5"/>
    <w:rsid w:val="00FA39E6"/>
    <w:rsid w:val="00FA3ADF"/>
    <w:rsid w:val="00FA570C"/>
    <w:rsid w:val="00FA77D7"/>
    <w:rsid w:val="00FA7BC9"/>
    <w:rsid w:val="00FB378E"/>
    <w:rsid w:val="00FB37F1"/>
    <w:rsid w:val="00FB47C0"/>
    <w:rsid w:val="00FB501B"/>
    <w:rsid w:val="00FB719A"/>
    <w:rsid w:val="00FB7770"/>
    <w:rsid w:val="00FC34E3"/>
    <w:rsid w:val="00FC5259"/>
    <w:rsid w:val="00FC6536"/>
    <w:rsid w:val="00FC65BE"/>
    <w:rsid w:val="00FC6C83"/>
    <w:rsid w:val="00FD0470"/>
    <w:rsid w:val="00FD1CE8"/>
    <w:rsid w:val="00FD3B91"/>
    <w:rsid w:val="00FD447D"/>
    <w:rsid w:val="00FD576B"/>
    <w:rsid w:val="00FD579E"/>
    <w:rsid w:val="00FD6845"/>
    <w:rsid w:val="00FE05E5"/>
    <w:rsid w:val="00FE4516"/>
    <w:rsid w:val="00FE64C8"/>
    <w:rsid w:val="00FE71D7"/>
    <w:rsid w:val="00FF303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03D25BB-2B27-43AC-B49A-49CC69DF9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
    <w:basedOn w:val="a6"/>
    <w:qFormat/>
    <w:rsid w:val="004F5E57"/>
    <w:pPr>
      <w:numPr>
        <w:numId w:val="7"/>
      </w:numPr>
      <w:outlineLvl w:val="0"/>
    </w:pPr>
    <w:rPr>
      <w:rFonts w:hAnsi="Arial"/>
      <w:bCs/>
      <w:kern w:val="32"/>
      <w:szCs w:val="52"/>
    </w:rPr>
  </w:style>
  <w:style w:type="paragraph" w:styleId="2">
    <w:name w:val="heading 2"/>
    <w:aliases w:val="標題110/111,節,節1,標題110/111 字元,一."/>
    <w:basedOn w:val="a6"/>
    <w:link w:val="20"/>
    <w:qFormat/>
    <w:rsid w:val="004F5E57"/>
    <w:pPr>
      <w:numPr>
        <w:ilvl w:val="1"/>
        <w:numId w:val="7"/>
      </w:numPr>
      <w:outlineLvl w:val="1"/>
    </w:pPr>
    <w:rPr>
      <w:rFonts w:hAnsi="Arial"/>
      <w:bCs/>
      <w:kern w:val="32"/>
      <w:szCs w:val="48"/>
    </w:rPr>
  </w:style>
  <w:style w:type="paragraph" w:styleId="3">
    <w:name w:val="heading 3"/>
    <w:aliases w:val="(一)"/>
    <w:basedOn w:val="a6"/>
    <w:link w:val="30"/>
    <w:qFormat/>
    <w:rsid w:val="004F5E57"/>
    <w:pPr>
      <w:numPr>
        <w:ilvl w:val="2"/>
        <w:numId w:val="7"/>
      </w:numPr>
      <w:outlineLvl w:val="2"/>
    </w:pPr>
    <w:rPr>
      <w:rFonts w:hAnsi="Arial"/>
      <w:bCs/>
      <w:kern w:val="32"/>
      <w:szCs w:val="36"/>
    </w:rPr>
  </w:style>
  <w:style w:type="paragraph" w:styleId="4">
    <w:name w:val="heading 4"/>
    <w:aliases w:val="表格,一"/>
    <w:basedOn w:val="a6"/>
    <w:link w:val="40"/>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1,節 字元,節1 字元,標題110/111 字元 字元,一. 字元"/>
    <w:basedOn w:val="a7"/>
    <w:link w:val="2"/>
    <w:rsid w:val="0031455E"/>
    <w:rPr>
      <w:rFonts w:ascii="標楷體" w:eastAsia="標楷體" w:hAnsi="Arial"/>
      <w:bCs/>
      <w:kern w:val="32"/>
      <w:sz w:val="32"/>
      <w:szCs w:val="48"/>
    </w:rPr>
  </w:style>
  <w:style w:type="character" w:customStyle="1" w:styleId="30">
    <w:name w:val="標題 3 字元"/>
    <w:aliases w:val="(一) 字元"/>
    <w:basedOn w:val="a7"/>
    <w:link w:val="3"/>
    <w:rsid w:val="000A7170"/>
    <w:rPr>
      <w:rFonts w:ascii="標楷體" w:eastAsia="標楷體" w:hAnsi="Arial"/>
      <w:bCs/>
      <w:kern w:val="32"/>
      <w:sz w:val="32"/>
      <w:szCs w:val="36"/>
    </w:rPr>
  </w:style>
  <w:style w:type="paragraph" w:styleId="afc">
    <w:name w:val="footnote text"/>
    <w:basedOn w:val="a6"/>
    <w:link w:val="afd"/>
    <w:uiPriority w:val="99"/>
    <w:unhideWhenUsed/>
    <w:rsid w:val="00A11547"/>
    <w:pPr>
      <w:snapToGrid w:val="0"/>
      <w:jc w:val="left"/>
    </w:pPr>
    <w:rPr>
      <w:sz w:val="20"/>
    </w:rPr>
  </w:style>
  <w:style w:type="character" w:customStyle="1" w:styleId="afd">
    <w:name w:val="註腳文字 字元"/>
    <w:basedOn w:val="a7"/>
    <w:link w:val="afc"/>
    <w:uiPriority w:val="99"/>
    <w:rsid w:val="00A11547"/>
    <w:rPr>
      <w:rFonts w:ascii="標楷體" w:eastAsia="標楷體"/>
      <w:kern w:val="2"/>
    </w:rPr>
  </w:style>
  <w:style w:type="character" w:styleId="afe">
    <w:name w:val="footnote reference"/>
    <w:basedOn w:val="a7"/>
    <w:uiPriority w:val="99"/>
    <w:semiHidden/>
    <w:unhideWhenUsed/>
    <w:rsid w:val="00A11547"/>
    <w:rPr>
      <w:vertAlign w:val="superscript"/>
    </w:rPr>
  </w:style>
  <w:style w:type="paragraph" w:styleId="HTML">
    <w:name w:val="HTML Preformatted"/>
    <w:basedOn w:val="a6"/>
    <w:link w:val="HTML0"/>
    <w:uiPriority w:val="99"/>
    <w:unhideWhenUsed/>
    <w:rsid w:val="00A11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A11547"/>
    <w:rPr>
      <w:rFonts w:ascii="細明體" w:eastAsia="細明體" w:hAnsi="細明體" w:cs="細明體"/>
      <w:sz w:val="24"/>
      <w:szCs w:val="24"/>
    </w:rPr>
  </w:style>
  <w:style w:type="character" w:customStyle="1" w:styleId="40">
    <w:name w:val="標題 4 字元"/>
    <w:aliases w:val="表格 字元,一 字元"/>
    <w:basedOn w:val="a7"/>
    <w:link w:val="4"/>
    <w:rsid w:val="00A11547"/>
    <w:rPr>
      <w:rFonts w:ascii="標楷體" w:eastAsia="標楷體" w:hAnsi="Arial"/>
      <w:kern w:val="32"/>
      <w:sz w:val="32"/>
      <w:szCs w:val="36"/>
    </w:rPr>
  </w:style>
  <w:style w:type="table" w:customStyle="1" w:styleId="33">
    <w:name w:val="表格格線3"/>
    <w:basedOn w:val="a8"/>
    <w:next w:val="af6"/>
    <w:uiPriority w:val="59"/>
    <w:rsid w:val="00ED73A4"/>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表格格線5"/>
    <w:basedOn w:val="a8"/>
    <w:next w:val="af6"/>
    <w:uiPriority w:val="59"/>
    <w:rsid w:val="00D373AB"/>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FollowedHyperlink"/>
    <w:basedOn w:val="a7"/>
    <w:uiPriority w:val="99"/>
    <w:semiHidden/>
    <w:unhideWhenUsed/>
    <w:rsid w:val="00D373AB"/>
    <w:rPr>
      <w:color w:val="800080" w:themeColor="followedHyperlink"/>
      <w:u w:val="single"/>
    </w:rPr>
  </w:style>
  <w:style w:type="table" w:customStyle="1" w:styleId="62">
    <w:name w:val="表格格線6"/>
    <w:basedOn w:val="a8"/>
    <w:next w:val="af6"/>
    <w:uiPriority w:val="59"/>
    <w:rsid w:val="00C06C18"/>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0">
    <w:name w:val="意見表標"/>
    <w:basedOn w:val="a3"/>
    <w:link w:val="aff1"/>
    <w:qFormat/>
    <w:rsid w:val="00655AAE"/>
    <w:pPr>
      <w:numPr>
        <w:numId w:val="0"/>
      </w:numPr>
      <w:jc w:val="center"/>
    </w:pPr>
    <w:rPr>
      <w:rFonts w:hAnsi="標楷體"/>
      <w:b/>
    </w:rPr>
  </w:style>
  <w:style w:type="character" w:customStyle="1" w:styleId="aff1">
    <w:name w:val="意見表標 字元"/>
    <w:basedOn w:val="a7"/>
    <w:link w:val="aff0"/>
    <w:rsid w:val="00655AAE"/>
    <w:rPr>
      <w:rFonts w:ascii="標楷體" w:eastAsia="標楷體" w:hAnsi="標楷體"/>
      <w:b/>
      <w:bCs/>
      <w:spacing w:val="-10"/>
      <w:kern w:val="28"/>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39615">
      <w:bodyDiv w:val="1"/>
      <w:marLeft w:val="0"/>
      <w:marRight w:val="0"/>
      <w:marTop w:val="0"/>
      <w:marBottom w:val="0"/>
      <w:divBdr>
        <w:top w:val="none" w:sz="0" w:space="0" w:color="auto"/>
        <w:left w:val="none" w:sz="0" w:space="0" w:color="auto"/>
        <w:bottom w:val="none" w:sz="0" w:space="0" w:color="auto"/>
        <w:right w:val="none" w:sz="0" w:space="0" w:color="auto"/>
      </w:divBdr>
      <w:divsChild>
        <w:div w:id="400981518">
          <w:marLeft w:val="0"/>
          <w:marRight w:val="0"/>
          <w:marTop w:val="0"/>
          <w:marBottom w:val="0"/>
          <w:divBdr>
            <w:top w:val="none" w:sz="0" w:space="0" w:color="auto"/>
            <w:left w:val="none" w:sz="0" w:space="0" w:color="auto"/>
            <w:bottom w:val="none" w:sz="0" w:space="0" w:color="auto"/>
            <w:right w:val="none" w:sz="0" w:space="0" w:color="auto"/>
          </w:divBdr>
          <w:divsChild>
            <w:div w:id="31225755">
              <w:marLeft w:val="0"/>
              <w:marRight w:val="0"/>
              <w:marTop w:val="100"/>
              <w:marBottom w:val="100"/>
              <w:divBdr>
                <w:top w:val="none" w:sz="0" w:space="0" w:color="auto"/>
                <w:left w:val="none" w:sz="0" w:space="0" w:color="auto"/>
                <w:bottom w:val="none" w:sz="0" w:space="0" w:color="auto"/>
                <w:right w:val="none" w:sz="0" w:space="0" w:color="auto"/>
              </w:divBdr>
              <w:divsChild>
                <w:div w:id="1033381400">
                  <w:marLeft w:val="0"/>
                  <w:marRight w:val="0"/>
                  <w:marTop w:val="45"/>
                  <w:marBottom w:val="120"/>
                  <w:divBdr>
                    <w:top w:val="none" w:sz="0" w:space="0" w:color="auto"/>
                    <w:left w:val="none" w:sz="0" w:space="0" w:color="auto"/>
                    <w:bottom w:val="none" w:sz="0" w:space="0" w:color="auto"/>
                    <w:right w:val="none" w:sz="0" w:space="0" w:color="auto"/>
                  </w:divBdr>
                  <w:divsChild>
                    <w:div w:id="1195583659">
                      <w:marLeft w:val="0"/>
                      <w:marRight w:val="0"/>
                      <w:marTop w:val="0"/>
                      <w:marBottom w:val="0"/>
                      <w:divBdr>
                        <w:top w:val="none" w:sz="0" w:space="0" w:color="auto"/>
                        <w:left w:val="none" w:sz="0" w:space="0" w:color="auto"/>
                        <w:bottom w:val="none" w:sz="0" w:space="0" w:color="auto"/>
                        <w:right w:val="none" w:sz="0" w:space="0" w:color="auto"/>
                      </w:divBdr>
                      <w:divsChild>
                        <w:div w:id="1433280166">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77082391">
      <w:bodyDiv w:val="1"/>
      <w:marLeft w:val="0"/>
      <w:marRight w:val="0"/>
      <w:marTop w:val="0"/>
      <w:marBottom w:val="0"/>
      <w:divBdr>
        <w:top w:val="none" w:sz="0" w:space="0" w:color="auto"/>
        <w:left w:val="none" w:sz="0" w:space="0" w:color="auto"/>
        <w:bottom w:val="none" w:sz="0" w:space="0" w:color="auto"/>
        <w:right w:val="none" w:sz="0" w:space="0" w:color="auto"/>
      </w:divBdr>
      <w:divsChild>
        <w:div w:id="1233008377">
          <w:marLeft w:val="0"/>
          <w:marRight w:val="0"/>
          <w:marTop w:val="0"/>
          <w:marBottom w:val="0"/>
          <w:divBdr>
            <w:top w:val="none" w:sz="0" w:space="0" w:color="auto"/>
            <w:left w:val="none" w:sz="0" w:space="0" w:color="auto"/>
            <w:bottom w:val="none" w:sz="0" w:space="0" w:color="auto"/>
            <w:right w:val="none" w:sz="0" w:space="0" w:color="auto"/>
          </w:divBdr>
          <w:divsChild>
            <w:div w:id="1970472852">
              <w:marLeft w:val="0"/>
              <w:marRight w:val="0"/>
              <w:marTop w:val="100"/>
              <w:marBottom w:val="100"/>
              <w:divBdr>
                <w:top w:val="none" w:sz="0" w:space="0" w:color="auto"/>
                <w:left w:val="none" w:sz="0" w:space="0" w:color="auto"/>
                <w:bottom w:val="none" w:sz="0" w:space="0" w:color="auto"/>
                <w:right w:val="none" w:sz="0" w:space="0" w:color="auto"/>
              </w:divBdr>
              <w:divsChild>
                <w:div w:id="1283270391">
                  <w:marLeft w:val="0"/>
                  <w:marRight w:val="0"/>
                  <w:marTop w:val="45"/>
                  <w:marBottom w:val="120"/>
                  <w:divBdr>
                    <w:top w:val="none" w:sz="0" w:space="0" w:color="auto"/>
                    <w:left w:val="none" w:sz="0" w:space="0" w:color="auto"/>
                    <w:bottom w:val="none" w:sz="0" w:space="0" w:color="auto"/>
                    <w:right w:val="none" w:sz="0" w:space="0" w:color="auto"/>
                  </w:divBdr>
                  <w:divsChild>
                    <w:div w:id="2087146761">
                      <w:marLeft w:val="0"/>
                      <w:marRight w:val="0"/>
                      <w:marTop w:val="0"/>
                      <w:marBottom w:val="0"/>
                      <w:divBdr>
                        <w:top w:val="none" w:sz="0" w:space="0" w:color="auto"/>
                        <w:left w:val="none" w:sz="0" w:space="0" w:color="auto"/>
                        <w:bottom w:val="none" w:sz="0" w:space="0" w:color="auto"/>
                        <w:right w:val="none" w:sz="0" w:space="0" w:color="auto"/>
                      </w:divBdr>
                      <w:divsChild>
                        <w:div w:id="1800145924">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453065259">
      <w:bodyDiv w:val="1"/>
      <w:marLeft w:val="0"/>
      <w:marRight w:val="0"/>
      <w:marTop w:val="0"/>
      <w:marBottom w:val="0"/>
      <w:divBdr>
        <w:top w:val="none" w:sz="0" w:space="0" w:color="auto"/>
        <w:left w:val="none" w:sz="0" w:space="0" w:color="auto"/>
        <w:bottom w:val="none" w:sz="0" w:space="0" w:color="auto"/>
        <w:right w:val="none" w:sz="0" w:space="0" w:color="auto"/>
      </w:divBdr>
      <w:divsChild>
        <w:div w:id="1083064290">
          <w:marLeft w:val="0"/>
          <w:marRight w:val="0"/>
          <w:marTop w:val="0"/>
          <w:marBottom w:val="0"/>
          <w:divBdr>
            <w:top w:val="none" w:sz="0" w:space="0" w:color="auto"/>
            <w:left w:val="none" w:sz="0" w:space="0" w:color="auto"/>
            <w:bottom w:val="single" w:sz="6" w:space="0" w:color="DEDEDE"/>
            <w:right w:val="none" w:sz="0" w:space="0" w:color="auto"/>
          </w:divBdr>
          <w:divsChild>
            <w:div w:id="1375735571">
              <w:marLeft w:val="0"/>
              <w:marRight w:val="0"/>
              <w:marTop w:val="0"/>
              <w:marBottom w:val="0"/>
              <w:divBdr>
                <w:top w:val="none" w:sz="0" w:space="0" w:color="auto"/>
                <w:left w:val="none" w:sz="0" w:space="0" w:color="auto"/>
                <w:bottom w:val="none" w:sz="0" w:space="0" w:color="auto"/>
                <w:right w:val="none" w:sz="0" w:space="0" w:color="auto"/>
              </w:divBdr>
            </w:div>
            <w:div w:id="1482766519">
              <w:marLeft w:val="0"/>
              <w:marRight w:val="0"/>
              <w:marTop w:val="0"/>
              <w:marBottom w:val="0"/>
              <w:divBdr>
                <w:top w:val="none" w:sz="0" w:space="0" w:color="auto"/>
                <w:left w:val="none" w:sz="0" w:space="0" w:color="auto"/>
                <w:bottom w:val="none" w:sz="0" w:space="0" w:color="auto"/>
                <w:right w:val="none" w:sz="0" w:space="0" w:color="auto"/>
              </w:divBdr>
            </w:div>
            <w:div w:id="979848386">
              <w:marLeft w:val="0"/>
              <w:marRight w:val="0"/>
              <w:marTop w:val="0"/>
              <w:marBottom w:val="0"/>
              <w:divBdr>
                <w:top w:val="none" w:sz="0" w:space="0" w:color="auto"/>
                <w:left w:val="none" w:sz="0" w:space="0" w:color="auto"/>
                <w:bottom w:val="none" w:sz="0" w:space="0" w:color="auto"/>
                <w:right w:val="none" w:sz="0" w:space="0" w:color="auto"/>
              </w:divBdr>
            </w:div>
          </w:divsChild>
        </w:div>
        <w:div w:id="983656493">
          <w:marLeft w:val="0"/>
          <w:marRight w:val="0"/>
          <w:marTop w:val="0"/>
          <w:marBottom w:val="0"/>
          <w:divBdr>
            <w:top w:val="none" w:sz="0" w:space="0" w:color="auto"/>
            <w:left w:val="none" w:sz="0" w:space="0" w:color="auto"/>
            <w:bottom w:val="none" w:sz="0" w:space="0" w:color="auto"/>
            <w:right w:val="none" w:sz="0" w:space="0" w:color="auto"/>
          </w:divBdr>
          <w:divsChild>
            <w:div w:id="156745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305804">
      <w:bodyDiv w:val="1"/>
      <w:marLeft w:val="0"/>
      <w:marRight w:val="0"/>
      <w:marTop w:val="0"/>
      <w:marBottom w:val="0"/>
      <w:divBdr>
        <w:top w:val="none" w:sz="0" w:space="0" w:color="auto"/>
        <w:left w:val="none" w:sz="0" w:space="0" w:color="auto"/>
        <w:bottom w:val="none" w:sz="0" w:space="0" w:color="auto"/>
        <w:right w:val="none" w:sz="0" w:space="0" w:color="auto"/>
      </w:divBdr>
      <w:divsChild>
        <w:div w:id="1958025906">
          <w:marLeft w:val="0"/>
          <w:marRight w:val="0"/>
          <w:marTop w:val="0"/>
          <w:marBottom w:val="0"/>
          <w:divBdr>
            <w:top w:val="none" w:sz="0" w:space="0" w:color="auto"/>
            <w:left w:val="none" w:sz="0" w:space="0" w:color="auto"/>
            <w:bottom w:val="none" w:sz="0" w:space="0" w:color="auto"/>
            <w:right w:val="none" w:sz="0" w:space="0" w:color="auto"/>
          </w:divBdr>
          <w:divsChild>
            <w:div w:id="1981570378">
              <w:marLeft w:val="0"/>
              <w:marRight w:val="0"/>
              <w:marTop w:val="100"/>
              <w:marBottom w:val="100"/>
              <w:divBdr>
                <w:top w:val="none" w:sz="0" w:space="0" w:color="auto"/>
                <w:left w:val="none" w:sz="0" w:space="0" w:color="auto"/>
                <w:bottom w:val="none" w:sz="0" w:space="0" w:color="auto"/>
                <w:right w:val="none" w:sz="0" w:space="0" w:color="auto"/>
              </w:divBdr>
              <w:divsChild>
                <w:div w:id="1731731601">
                  <w:marLeft w:val="0"/>
                  <w:marRight w:val="0"/>
                  <w:marTop w:val="45"/>
                  <w:marBottom w:val="120"/>
                  <w:divBdr>
                    <w:top w:val="none" w:sz="0" w:space="0" w:color="auto"/>
                    <w:left w:val="none" w:sz="0" w:space="0" w:color="auto"/>
                    <w:bottom w:val="none" w:sz="0" w:space="0" w:color="auto"/>
                    <w:right w:val="none" w:sz="0" w:space="0" w:color="auto"/>
                  </w:divBdr>
                  <w:divsChild>
                    <w:div w:id="286591256">
                      <w:marLeft w:val="0"/>
                      <w:marRight w:val="0"/>
                      <w:marTop w:val="0"/>
                      <w:marBottom w:val="0"/>
                      <w:divBdr>
                        <w:top w:val="none" w:sz="0" w:space="0" w:color="auto"/>
                        <w:left w:val="none" w:sz="0" w:space="0" w:color="auto"/>
                        <w:bottom w:val="none" w:sz="0" w:space="0" w:color="auto"/>
                        <w:right w:val="none" w:sz="0" w:space="0" w:color="auto"/>
                      </w:divBdr>
                      <w:divsChild>
                        <w:div w:id="1190068558">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099520550">
      <w:bodyDiv w:val="1"/>
      <w:marLeft w:val="0"/>
      <w:marRight w:val="0"/>
      <w:marTop w:val="0"/>
      <w:marBottom w:val="0"/>
      <w:divBdr>
        <w:top w:val="none" w:sz="0" w:space="0" w:color="auto"/>
        <w:left w:val="none" w:sz="0" w:space="0" w:color="auto"/>
        <w:bottom w:val="none" w:sz="0" w:space="0" w:color="auto"/>
        <w:right w:val="none" w:sz="0" w:space="0" w:color="auto"/>
      </w:divBdr>
      <w:divsChild>
        <w:div w:id="322004567">
          <w:marLeft w:val="0"/>
          <w:marRight w:val="0"/>
          <w:marTop w:val="0"/>
          <w:marBottom w:val="0"/>
          <w:divBdr>
            <w:top w:val="none" w:sz="0" w:space="0" w:color="auto"/>
            <w:left w:val="none" w:sz="0" w:space="0" w:color="auto"/>
            <w:bottom w:val="none" w:sz="0" w:space="0" w:color="auto"/>
            <w:right w:val="none" w:sz="0" w:space="0" w:color="auto"/>
          </w:divBdr>
          <w:divsChild>
            <w:div w:id="1509785419">
              <w:marLeft w:val="0"/>
              <w:marRight w:val="0"/>
              <w:marTop w:val="100"/>
              <w:marBottom w:val="100"/>
              <w:divBdr>
                <w:top w:val="none" w:sz="0" w:space="0" w:color="auto"/>
                <w:left w:val="none" w:sz="0" w:space="0" w:color="auto"/>
                <w:bottom w:val="none" w:sz="0" w:space="0" w:color="auto"/>
                <w:right w:val="none" w:sz="0" w:space="0" w:color="auto"/>
              </w:divBdr>
              <w:divsChild>
                <w:div w:id="2115131287">
                  <w:marLeft w:val="0"/>
                  <w:marRight w:val="0"/>
                  <w:marTop w:val="45"/>
                  <w:marBottom w:val="120"/>
                  <w:divBdr>
                    <w:top w:val="none" w:sz="0" w:space="0" w:color="auto"/>
                    <w:left w:val="none" w:sz="0" w:space="0" w:color="auto"/>
                    <w:bottom w:val="none" w:sz="0" w:space="0" w:color="auto"/>
                    <w:right w:val="none" w:sz="0" w:space="0" w:color="auto"/>
                  </w:divBdr>
                  <w:divsChild>
                    <w:div w:id="1622152824">
                      <w:marLeft w:val="0"/>
                      <w:marRight w:val="0"/>
                      <w:marTop w:val="0"/>
                      <w:marBottom w:val="0"/>
                      <w:divBdr>
                        <w:top w:val="none" w:sz="0" w:space="0" w:color="auto"/>
                        <w:left w:val="none" w:sz="0" w:space="0" w:color="auto"/>
                        <w:bottom w:val="none" w:sz="0" w:space="0" w:color="auto"/>
                        <w:right w:val="none" w:sz="0" w:space="0" w:color="auto"/>
                      </w:divBdr>
                      <w:divsChild>
                        <w:div w:id="484053369">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620448059">
      <w:bodyDiv w:val="1"/>
      <w:marLeft w:val="0"/>
      <w:marRight w:val="0"/>
      <w:marTop w:val="0"/>
      <w:marBottom w:val="0"/>
      <w:divBdr>
        <w:top w:val="none" w:sz="0" w:space="0" w:color="auto"/>
        <w:left w:val="none" w:sz="0" w:space="0" w:color="auto"/>
        <w:bottom w:val="none" w:sz="0" w:space="0" w:color="auto"/>
        <w:right w:val="none" w:sz="0" w:space="0" w:color="auto"/>
      </w:divBdr>
      <w:divsChild>
        <w:div w:id="607811738">
          <w:marLeft w:val="0"/>
          <w:marRight w:val="0"/>
          <w:marTop w:val="0"/>
          <w:marBottom w:val="0"/>
          <w:divBdr>
            <w:top w:val="none" w:sz="0" w:space="0" w:color="auto"/>
            <w:left w:val="none" w:sz="0" w:space="0" w:color="auto"/>
            <w:bottom w:val="none" w:sz="0" w:space="0" w:color="auto"/>
            <w:right w:val="none" w:sz="0" w:space="0" w:color="auto"/>
          </w:divBdr>
          <w:divsChild>
            <w:div w:id="2009287292">
              <w:marLeft w:val="0"/>
              <w:marRight w:val="0"/>
              <w:marTop w:val="100"/>
              <w:marBottom w:val="100"/>
              <w:divBdr>
                <w:top w:val="none" w:sz="0" w:space="0" w:color="auto"/>
                <w:left w:val="none" w:sz="0" w:space="0" w:color="auto"/>
                <w:bottom w:val="none" w:sz="0" w:space="0" w:color="auto"/>
                <w:right w:val="none" w:sz="0" w:space="0" w:color="auto"/>
              </w:divBdr>
              <w:divsChild>
                <w:div w:id="1021124159">
                  <w:marLeft w:val="0"/>
                  <w:marRight w:val="0"/>
                  <w:marTop w:val="45"/>
                  <w:marBottom w:val="120"/>
                  <w:divBdr>
                    <w:top w:val="none" w:sz="0" w:space="0" w:color="auto"/>
                    <w:left w:val="none" w:sz="0" w:space="0" w:color="auto"/>
                    <w:bottom w:val="none" w:sz="0" w:space="0" w:color="auto"/>
                    <w:right w:val="none" w:sz="0" w:space="0" w:color="auto"/>
                  </w:divBdr>
                  <w:divsChild>
                    <w:div w:id="1841188784">
                      <w:marLeft w:val="0"/>
                      <w:marRight w:val="0"/>
                      <w:marTop w:val="0"/>
                      <w:marBottom w:val="0"/>
                      <w:divBdr>
                        <w:top w:val="none" w:sz="0" w:space="0" w:color="auto"/>
                        <w:left w:val="none" w:sz="0" w:space="0" w:color="auto"/>
                        <w:bottom w:val="none" w:sz="0" w:space="0" w:color="auto"/>
                        <w:right w:val="none" w:sz="0" w:space="0" w:color="auto"/>
                      </w:divBdr>
                      <w:divsChild>
                        <w:div w:id="437213016">
                          <w:marLeft w:val="0"/>
                          <w:marRight w:val="0"/>
                          <w:marTop w:val="180"/>
                          <w:marBottom w:val="180"/>
                          <w:divBdr>
                            <w:top w:val="single" w:sz="6" w:space="0" w:color="4EA3E9"/>
                            <w:left w:val="single" w:sz="6" w:space="0" w:color="4EA3E9"/>
                            <w:bottom w:val="single" w:sz="6" w:space="12" w:color="4EA3E9"/>
                            <w:right w:val="single" w:sz="6" w:space="0" w:color="4EA3E9"/>
                          </w:divBdr>
                          <w:divsChild>
                            <w:div w:id="885527948">
                              <w:marLeft w:val="0"/>
                              <w:marRight w:val="0"/>
                              <w:marTop w:val="0"/>
                              <w:marBottom w:val="720"/>
                              <w:divBdr>
                                <w:top w:val="single" w:sz="6" w:space="10" w:color="FF9933"/>
                                <w:left w:val="single" w:sz="6" w:space="10" w:color="FF9933"/>
                                <w:bottom w:val="single" w:sz="6" w:space="10" w:color="FF9933"/>
                                <w:right w:val="single" w:sz="6" w:space="10" w:color="FF9933"/>
                              </w:divBdr>
                              <w:divsChild>
                                <w:div w:id="7112883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7727219">
      <w:bodyDiv w:val="1"/>
      <w:marLeft w:val="0"/>
      <w:marRight w:val="0"/>
      <w:marTop w:val="0"/>
      <w:marBottom w:val="0"/>
      <w:divBdr>
        <w:top w:val="none" w:sz="0" w:space="0" w:color="auto"/>
        <w:left w:val="none" w:sz="0" w:space="0" w:color="auto"/>
        <w:bottom w:val="none" w:sz="0" w:space="0" w:color="auto"/>
        <w:right w:val="none" w:sz="0" w:space="0" w:color="auto"/>
      </w:divBdr>
      <w:divsChild>
        <w:div w:id="367294468">
          <w:marLeft w:val="0"/>
          <w:marRight w:val="0"/>
          <w:marTop w:val="0"/>
          <w:marBottom w:val="0"/>
          <w:divBdr>
            <w:top w:val="none" w:sz="0" w:space="0" w:color="auto"/>
            <w:left w:val="none" w:sz="0" w:space="0" w:color="auto"/>
            <w:bottom w:val="none" w:sz="0" w:space="0" w:color="auto"/>
            <w:right w:val="none" w:sz="0" w:space="0" w:color="auto"/>
          </w:divBdr>
          <w:divsChild>
            <w:div w:id="138350854">
              <w:marLeft w:val="0"/>
              <w:marRight w:val="0"/>
              <w:marTop w:val="100"/>
              <w:marBottom w:val="100"/>
              <w:divBdr>
                <w:top w:val="none" w:sz="0" w:space="0" w:color="auto"/>
                <w:left w:val="none" w:sz="0" w:space="0" w:color="auto"/>
                <w:bottom w:val="none" w:sz="0" w:space="0" w:color="auto"/>
                <w:right w:val="none" w:sz="0" w:space="0" w:color="auto"/>
              </w:divBdr>
              <w:divsChild>
                <w:div w:id="397872286">
                  <w:marLeft w:val="0"/>
                  <w:marRight w:val="0"/>
                  <w:marTop w:val="45"/>
                  <w:marBottom w:val="120"/>
                  <w:divBdr>
                    <w:top w:val="none" w:sz="0" w:space="0" w:color="auto"/>
                    <w:left w:val="none" w:sz="0" w:space="0" w:color="auto"/>
                    <w:bottom w:val="none" w:sz="0" w:space="0" w:color="auto"/>
                    <w:right w:val="none" w:sz="0" w:space="0" w:color="auto"/>
                  </w:divBdr>
                  <w:divsChild>
                    <w:div w:id="1165392565">
                      <w:marLeft w:val="0"/>
                      <w:marRight w:val="0"/>
                      <w:marTop w:val="0"/>
                      <w:marBottom w:val="0"/>
                      <w:divBdr>
                        <w:top w:val="none" w:sz="0" w:space="0" w:color="auto"/>
                        <w:left w:val="none" w:sz="0" w:space="0" w:color="auto"/>
                        <w:bottom w:val="none" w:sz="0" w:space="0" w:color="auto"/>
                        <w:right w:val="none" w:sz="0" w:space="0" w:color="auto"/>
                      </w:divBdr>
                      <w:divsChild>
                        <w:div w:id="32190639">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954441421">
      <w:bodyDiv w:val="1"/>
      <w:marLeft w:val="0"/>
      <w:marRight w:val="0"/>
      <w:marTop w:val="0"/>
      <w:marBottom w:val="0"/>
      <w:divBdr>
        <w:top w:val="none" w:sz="0" w:space="0" w:color="auto"/>
        <w:left w:val="none" w:sz="0" w:space="0" w:color="auto"/>
        <w:bottom w:val="none" w:sz="0" w:space="0" w:color="auto"/>
        <w:right w:val="none" w:sz="0" w:space="0" w:color="auto"/>
      </w:divBdr>
      <w:divsChild>
        <w:div w:id="916983679">
          <w:marLeft w:val="0"/>
          <w:marRight w:val="0"/>
          <w:marTop w:val="0"/>
          <w:marBottom w:val="0"/>
          <w:divBdr>
            <w:top w:val="none" w:sz="0" w:space="0" w:color="auto"/>
            <w:left w:val="none" w:sz="0" w:space="0" w:color="auto"/>
            <w:bottom w:val="none" w:sz="0" w:space="0" w:color="auto"/>
            <w:right w:val="none" w:sz="0" w:space="0" w:color="auto"/>
          </w:divBdr>
          <w:divsChild>
            <w:div w:id="629632816">
              <w:marLeft w:val="0"/>
              <w:marRight w:val="0"/>
              <w:marTop w:val="100"/>
              <w:marBottom w:val="100"/>
              <w:divBdr>
                <w:top w:val="none" w:sz="0" w:space="0" w:color="auto"/>
                <w:left w:val="none" w:sz="0" w:space="0" w:color="auto"/>
                <w:bottom w:val="none" w:sz="0" w:space="0" w:color="auto"/>
                <w:right w:val="none" w:sz="0" w:space="0" w:color="auto"/>
              </w:divBdr>
              <w:divsChild>
                <w:div w:id="1792240058">
                  <w:marLeft w:val="0"/>
                  <w:marRight w:val="0"/>
                  <w:marTop w:val="45"/>
                  <w:marBottom w:val="120"/>
                  <w:divBdr>
                    <w:top w:val="none" w:sz="0" w:space="0" w:color="auto"/>
                    <w:left w:val="none" w:sz="0" w:space="0" w:color="auto"/>
                    <w:bottom w:val="none" w:sz="0" w:space="0" w:color="auto"/>
                    <w:right w:val="none" w:sz="0" w:space="0" w:color="auto"/>
                  </w:divBdr>
                  <w:divsChild>
                    <w:div w:id="2074499815">
                      <w:marLeft w:val="0"/>
                      <w:marRight w:val="0"/>
                      <w:marTop w:val="0"/>
                      <w:marBottom w:val="0"/>
                      <w:divBdr>
                        <w:top w:val="none" w:sz="0" w:space="0" w:color="auto"/>
                        <w:left w:val="none" w:sz="0" w:space="0" w:color="auto"/>
                        <w:bottom w:val="none" w:sz="0" w:space="0" w:color="auto"/>
                        <w:right w:val="none" w:sz="0" w:space="0" w:color="auto"/>
                      </w:divBdr>
                      <w:divsChild>
                        <w:div w:id="1498762599">
                          <w:marLeft w:val="0"/>
                          <w:marRight w:val="0"/>
                          <w:marTop w:val="180"/>
                          <w:marBottom w:val="180"/>
                          <w:divBdr>
                            <w:top w:val="single" w:sz="6" w:space="0" w:color="4EA3E9"/>
                            <w:left w:val="single" w:sz="6" w:space="0" w:color="4EA3E9"/>
                            <w:bottom w:val="single" w:sz="6" w:space="12" w:color="4EA3E9"/>
                            <w:right w:val="single" w:sz="6" w:space="0" w:color="4EA3E9"/>
                          </w:divBdr>
                          <w:divsChild>
                            <w:div w:id="683359605">
                              <w:marLeft w:val="0"/>
                              <w:marRight w:val="0"/>
                              <w:marTop w:val="0"/>
                              <w:marBottom w:val="720"/>
                              <w:divBdr>
                                <w:top w:val="single" w:sz="6" w:space="10" w:color="FF9933"/>
                                <w:left w:val="single" w:sz="6" w:space="10" w:color="FF9933"/>
                                <w:bottom w:val="single" w:sz="6" w:space="10" w:color="FF9933"/>
                                <w:right w:val="single" w:sz="6" w:space="10" w:color="FF9933"/>
                              </w:divBdr>
                              <w:divsChild>
                                <w:div w:id="11398760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1440938">
      <w:bodyDiv w:val="1"/>
      <w:marLeft w:val="0"/>
      <w:marRight w:val="0"/>
      <w:marTop w:val="0"/>
      <w:marBottom w:val="0"/>
      <w:divBdr>
        <w:top w:val="none" w:sz="0" w:space="0" w:color="auto"/>
        <w:left w:val="none" w:sz="0" w:space="0" w:color="auto"/>
        <w:bottom w:val="none" w:sz="0" w:space="0" w:color="auto"/>
        <w:right w:val="none" w:sz="0" w:space="0" w:color="auto"/>
      </w:divBdr>
      <w:divsChild>
        <w:div w:id="358049405">
          <w:marLeft w:val="0"/>
          <w:marRight w:val="0"/>
          <w:marTop w:val="0"/>
          <w:marBottom w:val="0"/>
          <w:divBdr>
            <w:top w:val="none" w:sz="0" w:space="0" w:color="auto"/>
            <w:left w:val="none" w:sz="0" w:space="0" w:color="auto"/>
            <w:bottom w:val="none" w:sz="0" w:space="0" w:color="auto"/>
            <w:right w:val="none" w:sz="0" w:space="0" w:color="auto"/>
          </w:divBdr>
          <w:divsChild>
            <w:div w:id="941380097">
              <w:marLeft w:val="0"/>
              <w:marRight w:val="0"/>
              <w:marTop w:val="0"/>
              <w:marBottom w:val="0"/>
              <w:divBdr>
                <w:top w:val="none" w:sz="0" w:space="0" w:color="auto"/>
                <w:left w:val="none" w:sz="0" w:space="0" w:color="auto"/>
                <w:bottom w:val="none" w:sz="0" w:space="0" w:color="auto"/>
                <w:right w:val="none" w:sz="0" w:space="0" w:color="auto"/>
              </w:divBdr>
              <w:divsChild>
                <w:div w:id="982001084">
                  <w:marLeft w:val="0"/>
                  <w:marRight w:val="0"/>
                  <w:marTop w:val="0"/>
                  <w:marBottom w:val="0"/>
                  <w:divBdr>
                    <w:top w:val="none" w:sz="0" w:space="0" w:color="auto"/>
                    <w:left w:val="none" w:sz="0" w:space="0" w:color="auto"/>
                    <w:bottom w:val="none" w:sz="0" w:space="0" w:color="auto"/>
                    <w:right w:val="none" w:sz="0" w:space="0" w:color="auto"/>
                  </w:divBdr>
                  <w:divsChild>
                    <w:div w:id="904605220">
                      <w:marLeft w:val="0"/>
                      <w:marRight w:val="0"/>
                      <w:marTop w:val="0"/>
                      <w:marBottom w:val="450"/>
                      <w:divBdr>
                        <w:top w:val="single" w:sz="6" w:space="8" w:color="148383"/>
                        <w:left w:val="single" w:sz="36" w:space="8" w:color="148383"/>
                        <w:bottom w:val="single" w:sz="6" w:space="8" w:color="148383"/>
                        <w:right w:val="single" w:sz="6" w:space="8" w:color="148383"/>
                      </w:divBdr>
                    </w:div>
                  </w:divsChild>
                </w:div>
              </w:divsChild>
            </w:div>
          </w:divsChild>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5C35F-710C-49BF-A681-332750BD6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TotalTime>
  <Pages>41</Pages>
  <Words>6084</Words>
  <Characters>18983</Characters>
  <Application>Microsoft Office Word</Application>
  <DocSecurity>0</DocSecurity>
  <Lines>4745</Lines>
  <Paragraphs>3580</Paragraphs>
  <ScaleCrop>false</ScaleCrop>
  <Company>cy</Company>
  <LinksUpToDate>false</LinksUpToDate>
  <CharactersWithSpaces>21487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曾莉雯</cp:lastModifiedBy>
  <cp:revision>3</cp:revision>
  <cp:lastPrinted>2019-06-03T10:27:00Z</cp:lastPrinted>
  <dcterms:created xsi:type="dcterms:W3CDTF">2019-06-14T06:59:00Z</dcterms:created>
  <dcterms:modified xsi:type="dcterms:W3CDTF">2019-06-14T07:03:00Z</dcterms:modified>
</cp:coreProperties>
</file>