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40021" w:rsidRDefault="00361390" w:rsidP="00F37D7B">
      <w:pPr>
        <w:pStyle w:val="af6"/>
        <w:rPr>
          <w:rFonts w:hAnsi="標楷體"/>
        </w:rPr>
      </w:pPr>
      <w:r w:rsidRPr="00D40021">
        <w:rPr>
          <w:rFonts w:hAnsi="標楷體" w:hint="eastAsia"/>
        </w:rPr>
        <w:t>調查</w:t>
      </w:r>
      <w:r w:rsidR="00D75644" w:rsidRPr="00D40021">
        <w:rPr>
          <w:rFonts w:hAnsi="標楷體" w:hint="eastAsia"/>
        </w:rPr>
        <w:t>報告</w:t>
      </w:r>
    </w:p>
    <w:p w:rsidR="00E25849" w:rsidRPr="00D40021"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40021">
        <w:rPr>
          <w:rFonts w:hAnsi="標楷體" w:hint="eastAsia"/>
        </w:rPr>
        <w:t>案</w:t>
      </w:r>
      <w:r w:rsidR="00B46C15" w:rsidRPr="00D40021">
        <w:rPr>
          <w:rFonts w:hAnsi="標楷體" w:hint="eastAsia"/>
        </w:rPr>
        <w:t xml:space="preserve">　　</w:t>
      </w:r>
      <w:r w:rsidRPr="00D40021">
        <w:rPr>
          <w:rFonts w:hAnsi="標楷體" w:hint="eastAsia"/>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26FA6" w:rsidRPr="00D40021">
        <w:rPr>
          <w:rFonts w:hAnsi="標楷體" w:hint="eastAsia"/>
          <w:szCs w:val="32"/>
        </w:rPr>
        <w:t>據訴</w:t>
      </w:r>
      <w:proofErr w:type="gramEnd"/>
      <w:r w:rsidR="00926FA6" w:rsidRPr="00D40021">
        <w:rPr>
          <w:rFonts w:hAnsi="標楷體" w:hint="eastAsia"/>
          <w:szCs w:val="32"/>
        </w:rPr>
        <w:t>，軍人年金</w:t>
      </w:r>
      <w:r w:rsidR="000B7991" w:rsidRPr="00D40021">
        <w:rPr>
          <w:rFonts w:hAnsi="標楷體"/>
          <w:szCs w:val="32"/>
        </w:rPr>
        <w:t>修法</w:t>
      </w:r>
      <w:r w:rsidR="00FC1C31" w:rsidRPr="00D40021">
        <w:rPr>
          <w:rFonts w:hAnsi="標楷體" w:hint="eastAsia"/>
          <w:szCs w:val="32"/>
        </w:rPr>
        <w:t>相關法案是否有違法律</w:t>
      </w:r>
      <w:proofErr w:type="gramStart"/>
      <w:r w:rsidR="00FC1C31" w:rsidRPr="00D40021">
        <w:rPr>
          <w:rFonts w:hAnsi="標楷體" w:hint="eastAsia"/>
          <w:szCs w:val="32"/>
        </w:rPr>
        <w:t>不</w:t>
      </w:r>
      <w:proofErr w:type="gramEnd"/>
      <w:r w:rsidR="00FC1C31" w:rsidRPr="00D40021">
        <w:rPr>
          <w:rFonts w:hAnsi="標楷體" w:hint="eastAsia"/>
          <w:szCs w:val="32"/>
        </w:rPr>
        <w:t>溯及既往、信賴保護等相關原則？是否有違憲之疑義？相關軍人之權益有無被公平合理之對待</w:t>
      </w:r>
      <w:proofErr w:type="gramStart"/>
      <w:r w:rsidR="00FC1C31" w:rsidRPr="00D40021">
        <w:rPr>
          <w:rFonts w:hAnsi="標楷體" w:hint="eastAsia"/>
          <w:szCs w:val="32"/>
        </w:rPr>
        <w:t>等情案</w:t>
      </w:r>
      <w:proofErr w:type="gramEnd"/>
      <w:r w:rsidR="00CC2679" w:rsidRPr="00D40021">
        <w:rPr>
          <w:rFonts w:hAnsi="標楷體" w:hint="eastAsia"/>
          <w:szCs w:val="32"/>
        </w:rPr>
        <w:t>。</w:t>
      </w:r>
    </w:p>
    <w:p w:rsidR="00C67D50" w:rsidRPr="00D40021" w:rsidRDefault="00C67D50" w:rsidP="00C67D50">
      <w:pPr>
        <w:pStyle w:val="1"/>
        <w:numPr>
          <w:ilvl w:val="0"/>
          <w:numId w:val="1"/>
        </w:numPr>
        <w:kinsoku w:val="0"/>
        <w:overflowPunct/>
        <w:spacing w:line="462" w:lineRule="exact"/>
        <w:rPr>
          <w:rFonts w:hAnsi="標楷體"/>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D40021">
        <w:rPr>
          <w:rFonts w:hAnsi="標楷體"/>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C67D50" w:rsidRPr="00D40021" w:rsidRDefault="00C67D50" w:rsidP="00C67D50">
      <w:pPr>
        <w:pStyle w:val="11"/>
        <w:kinsoku w:val="0"/>
        <w:overflowPunct/>
        <w:spacing w:line="460" w:lineRule="exact"/>
        <w:ind w:left="680" w:firstLine="680"/>
        <w:rPr>
          <w:rFonts w:hAnsi="標楷體"/>
        </w:rPr>
      </w:pPr>
      <w:r w:rsidRPr="00D40021">
        <w:rPr>
          <w:rFonts w:hAnsi="標楷體"/>
          <w:szCs w:val="32"/>
        </w:rPr>
        <w:t>民國</w:t>
      </w:r>
      <w:r w:rsidR="00144B17" w:rsidRPr="00D40021">
        <w:rPr>
          <w:rFonts w:hAnsi="標楷體"/>
          <w:szCs w:val="32"/>
        </w:rPr>
        <w:t>（</w:t>
      </w:r>
      <w:r w:rsidRPr="00D40021">
        <w:rPr>
          <w:rFonts w:hAnsi="標楷體"/>
          <w:szCs w:val="32"/>
        </w:rPr>
        <w:t>下同）</w:t>
      </w:r>
      <w:r w:rsidR="0070633C" w:rsidRPr="00D40021">
        <w:rPr>
          <w:rFonts w:hAnsi="標楷體" w:hint="eastAsia"/>
          <w:szCs w:val="32"/>
        </w:rPr>
        <w:t>107年6月21日</w:t>
      </w:r>
      <w:r w:rsidRPr="00D40021">
        <w:rPr>
          <w:rFonts w:hAnsi="標楷體"/>
          <w:szCs w:val="32"/>
        </w:rPr>
        <w:t>總統</w:t>
      </w:r>
      <w:proofErr w:type="gramStart"/>
      <w:r w:rsidRPr="00D40021">
        <w:rPr>
          <w:rFonts w:hAnsi="標楷體"/>
          <w:szCs w:val="32"/>
        </w:rPr>
        <w:t>華總一義字第</w:t>
      </w:r>
      <w:r w:rsidR="0070633C" w:rsidRPr="00D40021">
        <w:rPr>
          <w:rFonts w:hAnsi="標楷體" w:hint="eastAsia"/>
          <w:szCs w:val="32"/>
        </w:rPr>
        <w:t>10700068321</w:t>
      </w:r>
      <w:proofErr w:type="gramEnd"/>
      <w:r w:rsidRPr="00D40021">
        <w:rPr>
          <w:rFonts w:hAnsi="標楷體"/>
          <w:szCs w:val="32"/>
        </w:rPr>
        <w:t>號令</w:t>
      </w:r>
      <w:r w:rsidR="0070633C" w:rsidRPr="00D40021">
        <w:rPr>
          <w:rFonts w:hAnsi="標楷體" w:hint="eastAsia"/>
          <w:szCs w:val="32"/>
        </w:rPr>
        <w:t>修正</w:t>
      </w:r>
      <w:r w:rsidR="00B74F2D" w:rsidRPr="00D40021">
        <w:rPr>
          <w:rFonts w:hAnsi="標楷體"/>
          <w:szCs w:val="32"/>
        </w:rPr>
        <w:t>公布</w:t>
      </w:r>
      <w:r w:rsidR="000942DE" w:rsidRPr="00D40021">
        <w:rPr>
          <w:rFonts w:hAnsi="標楷體" w:hint="eastAsia"/>
          <w:szCs w:val="32"/>
        </w:rPr>
        <w:t>陸海空軍軍官士官服役條例</w:t>
      </w:r>
      <w:r w:rsidR="00144B17" w:rsidRPr="00D40021">
        <w:rPr>
          <w:rFonts w:hAnsi="標楷體"/>
          <w:szCs w:val="32"/>
        </w:rPr>
        <w:t>（</w:t>
      </w:r>
      <w:r w:rsidR="000942DE" w:rsidRPr="00D40021">
        <w:rPr>
          <w:rFonts w:hAnsi="標楷體" w:hint="eastAsia"/>
          <w:szCs w:val="32"/>
        </w:rPr>
        <w:t>下稱服役條例</w:t>
      </w:r>
      <w:r w:rsidRPr="00D40021">
        <w:rPr>
          <w:rFonts w:hAnsi="標楷體"/>
          <w:szCs w:val="32"/>
        </w:rPr>
        <w:t>）全文</w:t>
      </w:r>
      <w:r w:rsidR="00EB13DE" w:rsidRPr="00D40021">
        <w:rPr>
          <w:rFonts w:hAnsi="標楷體" w:hint="eastAsia"/>
          <w:szCs w:val="32"/>
        </w:rPr>
        <w:t>61</w:t>
      </w:r>
      <w:r w:rsidRPr="00D40021">
        <w:rPr>
          <w:rFonts w:hAnsi="標楷體"/>
          <w:szCs w:val="32"/>
        </w:rPr>
        <w:t>條，</w:t>
      </w:r>
      <w:r w:rsidR="00904FD1" w:rsidRPr="00D40021">
        <w:rPr>
          <w:rFonts w:hAnsi="標楷體" w:hint="eastAsia"/>
          <w:szCs w:val="32"/>
        </w:rPr>
        <w:t>行政院依第60條規定，以</w:t>
      </w:r>
      <w:r w:rsidR="00904FD1" w:rsidRPr="00D40021">
        <w:rPr>
          <w:rFonts w:hAnsi="標楷體"/>
          <w:szCs w:val="32"/>
        </w:rPr>
        <w:t>107年6月22日院</w:t>
      </w:r>
      <w:proofErr w:type="gramStart"/>
      <w:r w:rsidR="00904FD1" w:rsidRPr="00D40021">
        <w:rPr>
          <w:rFonts w:hAnsi="標楷體"/>
          <w:szCs w:val="32"/>
        </w:rPr>
        <w:t>臺綜字</w:t>
      </w:r>
      <w:proofErr w:type="gramEnd"/>
      <w:r w:rsidR="00904FD1" w:rsidRPr="00D40021">
        <w:rPr>
          <w:rFonts w:hAnsi="標楷體"/>
          <w:szCs w:val="32"/>
        </w:rPr>
        <w:t>第1070023073號令發布除第26條、第37條、第45條、第46條</w:t>
      </w:r>
      <w:r w:rsidR="00EB611B" w:rsidRPr="00D40021">
        <w:rPr>
          <w:rFonts w:hAnsi="標楷體" w:hint="eastAsia"/>
          <w:szCs w:val="32"/>
        </w:rPr>
        <w:t>規</w:t>
      </w:r>
      <w:r w:rsidR="00904FD1" w:rsidRPr="00D40021">
        <w:rPr>
          <w:rFonts w:hAnsi="標楷體"/>
          <w:szCs w:val="32"/>
        </w:rPr>
        <w:t>定自107年7月1日施行外，其餘條文，定自107年6月23日施行</w:t>
      </w:r>
      <w:r w:rsidR="00904FD1" w:rsidRPr="00D40021">
        <w:rPr>
          <w:rFonts w:hAnsi="標楷體" w:hint="eastAsia"/>
          <w:szCs w:val="32"/>
        </w:rPr>
        <w:t>。</w:t>
      </w:r>
      <w:r w:rsidR="00F745DE" w:rsidRPr="00D40021">
        <w:rPr>
          <w:rFonts w:hAnsi="標楷體" w:hint="eastAsia"/>
          <w:szCs w:val="32"/>
        </w:rPr>
        <w:t>有關「軍人年金</w:t>
      </w:r>
      <w:r w:rsidR="00F745DE" w:rsidRPr="00D40021">
        <w:rPr>
          <w:rFonts w:hAnsi="標楷體"/>
          <w:szCs w:val="32"/>
        </w:rPr>
        <w:t>修法</w:t>
      </w:r>
      <w:r w:rsidR="00F745DE" w:rsidRPr="00D40021">
        <w:rPr>
          <w:rFonts w:hAnsi="標楷體" w:hint="eastAsia"/>
          <w:szCs w:val="32"/>
        </w:rPr>
        <w:t>相關法案是否有違法律</w:t>
      </w:r>
      <w:proofErr w:type="gramStart"/>
      <w:r w:rsidR="00F745DE" w:rsidRPr="00D40021">
        <w:rPr>
          <w:rFonts w:hAnsi="標楷體" w:hint="eastAsia"/>
          <w:szCs w:val="32"/>
        </w:rPr>
        <w:t>不</w:t>
      </w:r>
      <w:proofErr w:type="gramEnd"/>
      <w:r w:rsidR="00F745DE" w:rsidRPr="00D40021">
        <w:rPr>
          <w:rFonts w:hAnsi="標楷體" w:hint="eastAsia"/>
          <w:szCs w:val="32"/>
        </w:rPr>
        <w:t>溯及既往、信賴保護等相關</w:t>
      </w:r>
      <w:r w:rsidR="002B65ED" w:rsidRPr="00D40021">
        <w:rPr>
          <w:rFonts w:hAnsi="標楷體" w:hint="eastAsia"/>
          <w:szCs w:val="32"/>
        </w:rPr>
        <w:t>原則？是否有違憲之疑義？相關軍人之權益有無被公平合理之對待</w:t>
      </w:r>
      <w:r w:rsidR="00270965" w:rsidRPr="00D40021">
        <w:rPr>
          <w:rFonts w:hAnsi="標楷體" w:hint="eastAsia"/>
          <w:szCs w:val="32"/>
        </w:rPr>
        <w:t>」</w:t>
      </w:r>
      <w:proofErr w:type="gramStart"/>
      <w:r w:rsidR="002B65ED" w:rsidRPr="00D40021">
        <w:rPr>
          <w:rFonts w:hAnsi="標楷體" w:hint="eastAsia"/>
          <w:szCs w:val="32"/>
        </w:rPr>
        <w:t>等情</w:t>
      </w:r>
      <w:r w:rsidR="00F745DE" w:rsidRPr="00D40021">
        <w:rPr>
          <w:rFonts w:hAnsi="標楷體" w:hint="eastAsia"/>
          <w:szCs w:val="32"/>
        </w:rPr>
        <w:t>案</w:t>
      </w:r>
      <w:proofErr w:type="gramEnd"/>
      <w:r w:rsidR="002B65ED" w:rsidRPr="00D40021">
        <w:rPr>
          <w:rFonts w:hAnsi="標楷體" w:hint="eastAsia"/>
          <w:szCs w:val="32"/>
        </w:rPr>
        <w:t>，</w:t>
      </w:r>
      <w:r w:rsidR="00F745DE" w:rsidRPr="00D40021">
        <w:rPr>
          <w:rFonts w:hAnsi="標楷體" w:hint="eastAsia"/>
          <w:szCs w:val="32"/>
        </w:rPr>
        <w:t>經立案調查後，並</w:t>
      </w:r>
      <w:r w:rsidRPr="00D40021">
        <w:rPr>
          <w:rFonts w:hAnsi="標楷體"/>
          <w:szCs w:val="32"/>
        </w:rPr>
        <w:t>屢有民眾向本院陳訴。</w:t>
      </w:r>
    </w:p>
    <w:p w:rsidR="00DE053E" w:rsidRPr="00D40021" w:rsidRDefault="00C67D50" w:rsidP="00C67D50">
      <w:pPr>
        <w:pStyle w:val="11"/>
        <w:kinsoku w:val="0"/>
        <w:overflowPunct/>
        <w:spacing w:line="460" w:lineRule="exact"/>
        <w:ind w:left="680" w:firstLine="680"/>
        <w:rPr>
          <w:rFonts w:hAnsi="標楷體"/>
        </w:rPr>
      </w:pPr>
      <w:r w:rsidRPr="00D40021">
        <w:rPr>
          <w:rFonts w:hAnsi="標楷體"/>
          <w:szCs w:val="32"/>
        </w:rPr>
        <w:t>案</w:t>
      </w:r>
      <w:r w:rsidRPr="00D40021">
        <w:rPr>
          <w:rFonts w:hAnsi="標楷體"/>
        </w:rPr>
        <w:t>經本院</w:t>
      </w:r>
      <w:r w:rsidR="00D95B1E" w:rsidRPr="00D40021">
        <w:rPr>
          <w:rFonts w:hAnsi="標楷體" w:hint="eastAsia"/>
        </w:rPr>
        <w:t>調閱國防部、</w:t>
      </w:r>
      <w:r w:rsidR="00BA15BD" w:rsidRPr="00D40021">
        <w:rPr>
          <w:rFonts w:hAnsi="標楷體" w:hint="eastAsia"/>
        </w:rPr>
        <w:t>國軍退除役官兵輔導委員會</w:t>
      </w:r>
      <w:r w:rsidR="00144B17" w:rsidRPr="00D40021">
        <w:rPr>
          <w:rFonts w:hAnsi="標楷體"/>
        </w:rPr>
        <w:t>（</w:t>
      </w:r>
      <w:r w:rsidR="00BA15BD" w:rsidRPr="00D40021">
        <w:rPr>
          <w:rFonts w:hAnsi="標楷體" w:hint="eastAsia"/>
        </w:rPr>
        <w:t>下稱</w:t>
      </w:r>
      <w:r w:rsidR="00FD5EDE" w:rsidRPr="00D40021">
        <w:rPr>
          <w:rFonts w:hAnsi="標楷體" w:hint="eastAsia"/>
        </w:rPr>
        <w:t>輔導會</w:t>
      </w:r>
      <w:r w:rsidR="00144B17" w:rsidRPr="00D40021">
        <w:rPr>
          <w:rFonts w:hAnsi="標楷體"/>
        </w:rPr>
        <w:t>）</w:t>
      </w:r>
      <w:r w:rsidR="00D95B1E" w:rsidRPr="00D40021">
        <w:rPr>
          <w:rFonts w:hAnsi="標楷體" w:hint="eastAsia"/>
        </w:rPr>
        <w:t>、司法院、國家發展委員會及</w:t>
      </w:r>
      <w:proofErr w:type="gramStart"/>
      <w:r w:rsidR="00D95B1E" w:rsidRPr="00D40021">
        <w:rPr>
          <w:rFonts w:hAnsi="標楷體" w:hint="eastAsia"/>
        </w:rPr>
        <w:t>銓敘部等</w:t>
      </w:r>
      <w:proofErr w:type="gramEnd"/>
      <w:r w:rsidR="00D95B1E" w:rsidRPr="00D40021">
        <w:rPr>
          <w:rFonts w:hAnsi="標楷體" w:hint="eastAsia"/>
        </w:rPr>
        <w:t>5機關</w:t>
      </w:r>
      <w:r w:rsidR="00BA15BD" w:rsidRPr="00D40021">
        <w:rPr>
          <w:rFonts w:hAnsi="標楷體" w:hint="eastAsia"/>
        </w:rPr>
        <w:t>卷證資料，並於107年10月30日</w:t>
      </w:r>
      <w:r w:rsidR="00D95B1E" w:rsidRPr="00D40021">
        <w:rPr>
          <w:rFonts w:hAnsi="標楷體" w:hint="eastAsia"/>
        </w:rPr>
        <w:t>、11月2日分別詢問國防部、輔導會</w:t>
      </w:r>
      <w:r w:rsidR="00D95B1E" w:rsidRPr="00D40021">
        <w:rPr>
          <w:rFonts w:hAnsi="標楷體"/>
        </w:rPr>
        <w:t>主管業務人員</w:t>
      </w:r>
      <w:r w:rsidR="00BA15BD" w:rsidRPr="00D40021">
        <w:rPr>
          <w:rFonts w:hAnsi="標楷體"/>
        </w:rPr>
        <w:t>，再經</w:t>
      </w:r>
      <w:r w:rsidR="00D95B1E" w:rsidRPr="00D40021">
        <w:rPr>
          <w:rFonts w:hAnsi="標楷體" w:hint="eastAsia"/>
        </w:rPr>
        <w:t>國防部及輔導會</w:t>
      </w:r>
      <w:r w:rsidR="00BA15BD" w:rsidRPr="00D40021">
        <w:rPr>
          <w:rFonts w:hAnsi="標楷體"/>
        </w:rPr>
        <w:t>補充說明資料後</w:t>
      </w:r>
      <w:r w:rsidRPr="00D40021">
        <w:rPr>
          <w:rFonts w:hAnsi="標楷體"/>
        </w:rPr>
        <w:t>，已</w:t>
      </w:r>
      <w:proofErr w:type="gramStart"/>
      <w:r w:rsidRPr="00D40021">
        <w:rPr>
          <w:rFonts w:hAnsi="標楷體"/>
        </w:rPr>
        <w:t>調查竣事</w:t>
      </w:r>
      <w:proofErr w:type="gramEnd"/>
      <w:r w:rsidRPr="00D40021">
        <w:rPr>
          <w:rFonts w:hAnsi="標楷體"/>
        </w:rPr>
        <w:t>，茲</w:t>
      </w:r>
      <w:proofErr w:type="gramStart"/>
      <w:r w:rsidRPr="00D40021">
        <w:rPr>
          <w:rFonts w:hAnsi="標楷體"/>
        </w:rPr>
        <w:t>臚</w:t>
      </w:r>
      <w:proofErr w:type="gramEnd"/>
      <w:r w:rsidRPr="00D40021">
        <w:rPr>
          <w:rFonts w:hAnsi="標楷體"/>
        </w:rPr>
        <w:t>列調查意見如下：</w:t>
      </w:r>
    </w:p>
    <w:p w:rsidR="00E606B3" w:rsidRPr="00D40021" w:rsidRDefault="00E606B3" w:rsidP="00C67D50">
      <w:pPr>
        <w:pStyle w:val="11"/>
        <w:kinsoku w:val="0"/>
        <w:overflowPunct/>
        <w:spacing w:line="460" w:lineRule="exact"/>
        <w:ind w:left="680" w:firstLine="680"/>
        <w:rPr>
          <w:rFonts w:hAnsi="標楷體"/>
        </w:rPr>
      </w:pPr>
    </w:p>
    <w:p w:rsidR="004A5C2F" w:rsidRPr="00D40021" w:rsidRDefault="004A5C2F" w:rsidP="003F408C">
      <w:pPr>
        <w:pStyle w:val="2"/>
        <w:rPr>
          <w:rFonts w:hAnsi="標楷體"/>
          <w:b/>
        </w:rPr>
      </w:pPr>
      <w:r w:rsidRPr="00D40021">
        <w:rPr>
          <w:rFonts w:hAnsi="標楷體" w:hint="eastAsia"/>
          <w:b/>
        </w:rPr>
        <w:t>新修正施行之服役條例，因部分條文變更軍、士官退除給與計算基礎，削減退除給與優惠存款利息，</w:t>
      </w:r>
      <w:r w:rsidR="00775F47" w:rsidRPr="00D40021">
        <w:rPr>
          <w:rFonts w:hAnsi="標楷體" w:hint="eastAsia"/>
          <w:b/>
        </w:rPr>
        <w:t>立法院審查該條例時，有立法委員認為</w:t>
      </w:r>
      <w:r w:rsidRPr="00D40021">
        <w:rPr>
          <w:rFonts w:hAnsi="標楷體" w:hint="eastAsia"/>
          <w:b/>
        </w:rPr>
        <w:t>涉有</w:t>
      </w:r>
      <w:r w:rsidR="00330924" w:rsidRPr="00D40021">
        <w:rPr>
          <w:rFonts w:hAnsi="標楷體" w:hint="eastAsia"/>
          <w:b/>
        </w:rPr>
        <w:t>侵害憲法保障人民之財產權、工作權</w:t>
      </w:r>
      <w:r w:rsidR="00330924" w:rsidRPr="00D40021">
        <w:rPr>
          <w:rFonts w:ascii="新細明體" w:eastAsia="新細明體" w:hAnsi="新細明體" w:hint="eastAsia"/>
          <w:b/>
        </w:rPr>
        <w:t>、</w:t>
      </w:r>
      <w:r w:rsidR="00330924" w:rsidRPr="00D40021">
        <w:rPr>
          <w:rFonts w:hAnsi="標楷體" w:hint="eastAsia"/>
          <w:b/>
        </w:rPr>
        <w:t>生存權及違反法律</w:t>
      </w:r>
      <w:proofErr w:type="gramStart"/>
      <w:r w:rsidR="00330924" w:rsidRPr="00D40021">
        <w:rPr>
          <w:rFonts w:hAnsi="標楷體" w:hint="eastAsia"/>
          <w:b/>
        </w:rPr>
        <w:t>不</w:t>
      </w:r>
      <w:proofErr w:type="gramEnd"/>
      <w:r w:rsidR="00330924" w:rsidRPr="00D40021">
        <w:rPr>
          <w:rFonts w:hAnsi="標楷體" w:hint="eastAsia"/>
          <w:b/>
        </w:rPr>
        <w:t>溯既往、信賴保護原則等</w:t>
      </w:r>
      <w:r w:rsidRPr="00D40021">
        <w:rPr>
          <w:rFonts w:hAnsi="標楷體" w:hint="eastAsia"/>
          <w:b/>
        </w:rPr>
        <w:t>違憲疑義，</w:t>
      </w:r>
      <w:proofErr w:type="gramStart"/>
      <w:r w:rsidR="00330924" w:rsidRPr="00D40021">
        <w:rPr>
          <w:rFonts w:hAnsi="標楷體" w:hint="eastAsia"/>
          <w:b/>
        </w:rPr>
        <w:t>爰</w:t>
      </w:r>
      <w:proofErr w:type="gramEnd"/>
      <w:r w:rsidR="00A01BC3" w:rsidRPr="00D40021">
        <w:rPr>
          <w:rFonts w:hAnsi="標楷體" w:hint="eastAsia"/>
          <w:b/>
        </w:rPr>
        <w:t>依司法院大法官審理案件法第5條第1項第3款規定，以立法委員現有員額三</w:t>
      </w:r>
      <w:r w:rsidR="00A01BC3" w:rsidRPr="00D40021">
        <w:rPr>
          <w:rFonts w:hAnsi="標楷體" w:hint="eastAsia"/>
          <w:b/>
        </w:rPr>
        <w:lastRenderedPageBreak/>
        <w:t>分之一以上連署</w:t>
      </w:r>
      <w:r w:rsidRPr="00D40021">
        <w:rPr>
          <w:rFonts w:hAnsi="標楷體" w:hint="eastAsia"/>
          <w:b/>
        </w:rPr>
        <w:t>聲請大法官解釋，刻由該院依法處理中，相關爭議允應尊重</w:t>
      </w:r>
      <w:r w:rsidR="00330924" w:rsidRPr="00D40021">
        <w:rPr>
          <w:rFonts w:hAnsi="標楷體" w:hint="eastAsia"/>
          <w:b/>
        </w:rPr>
        <w:t>大法官</w:t>
      </w:r>
      <w:r w:rsidRPr="00D40021">
        <w:rPr>
          <w:rFonts w:hAnsi="標楷體" w:hint="eastAsia"/>
          <w:b/>
        </w:rPr>
        <w:t>解釋結果。</w:t>
      </w:r>
    </w:p>
    <w:p w:rsidR="004A5C2F" w:rsidRPr="00D40021" w:rsidRDefault="004A5C2F" w:rsidP="004A5C2F">
      <w:pPr>
        <w:pStyle w:val="3"/>
      </w:pPr>
      <w:r w:rsidRPr="00D40021">
        <w:rPr>
          <w:rFonts w:hint="eastAsia"/>
        </w:rPr>
        <w:t>立法委員江啟臣、李鴻鈞、高金素梅等38人為行政院送立法院審查之「陸海空軍軍官士官服役條例」（下稱系爭規定），已嚴重侵害憲法保障人民之財產權、工作權及生存權等權利，其適用上亦有</w:t>
      </w:r>
      <w:proofErr w:type="gramStart"/>
      <w:r w:rsidRPr="00D40021">
        <w:rPr>
          <w:rFonts w:hint="eastAsia"/>
        </w:rPr>
        <w:t>有</w:t>
      </w:r>
      <w:proofErr w:type="gramEnd"/>
      <w:r w:rsidRPr="00D40021">
        <w:rPr>
          <w:rFonts w:hint="eastAsia"/>
        </w:rPr>
        <w:t>違反憲法上之法律</w:t>
      </w:r>
      <w:proofErr w:type="gramStart"/>
      <w:r w:rsidRPr="00D40021">
        <w:rPr>
          <w:rFonts w:hint="eastAsia"/>
        </w:rPr>
        <w:t>不</w:t>
      </w:r>
      <w:proofErr w:type="gramEnd"/>
      <w:r w:rsidRPr="00D40021">
        <w:rPr>
          <w:rFonts w:hint="eastAsia"/>
        </w:rPr>
        <w:t>溯既往、信賴保護原則及比例原則等情事，產生牴觸憲法與適用上之疑義，</w:t>
      </w:r>
      <w:proofErr w:type="gramStart"/>
      <w:r w:rsidRPr="00D40021">
        <w:rPr>
          <w:rFonts w:hint="eastAsia"/>
        </w:rPr>
        <w:t>爰</w:t>
      </w:r>
      <w:proofErr w:type="gramEnd"/>
      <w:r w:rsidRPr="00D40021">
        <w:rPr>
          <w:rFonts w:hint="eastAsia"/>
        </w:rPr>
        <w:t>依</w:t>
      </w:r>
      <w:r w:rsidR="00CD5075" w:rsidRPr="00D40021">
        <w:rPr>
          <w:rFonts w:hint="eastAsia"/>
        </w:rPr>
        <w:t>司法院</w:t>
      </w:r>
      <w:r w:rsidRPr="00D40021">
        <w:rPr>
          <w:rFonts w:hint="eastAsia"/>
        </w:rPr>
        <w:t>大法官審理案件法</w:t>
      </w:r>
      <w:r w:rsidR="00CD5075" w:rsidRPr="00D40021">
        <w:rPr>
          <w:rStyle w:val="aff3"/>
        </w:rPr>
        <w:footnoteReference w:id="1"/>
      </w:r>
      <w:r w:rsidRPr="00D40021">
        <w:rPr>
          <w:rFonts w:hint="eastAsia"/>
        </w:rPr>
        <w:t>第5條第1項第3款規定，以立法委員現有員額三分之一以上連署聲請司法院大法官解釋，且為避免造成憲法基本原則及憲法保障人民法益不可回復之重大損害，請司法院大法官在做出解釋之前，依司法院釋字第585號、第599號、第633號等解釋意旨，</w:t>
      </w:r>
      <w:proofErr w:type="gramStart"/>
      <w:r w:rsidRPr="00D40021">
        <w:rPr>
          <w:rFonts w:hint="eastAsia"/>
        </w:rPr>
        <w:t>併</w:t>
      </w:r>
      <w:proofErr w:type="gramEnd"/>
      <w:r w:rsidRPr="00D40021">
        <w:rPr>
          <w:rFonts w:hint="eastAsia"/>
        </w:rPr>
        <w:t>對上開條例相關爭議條文為停止適用之暫時處分。</w:t>
      </w:r>
    </w:p>
    <w:p w:rsidR="00CD5075" w:rsidRPr="00D40021" w:rsidRDefault="00CD5075" w:rsidP="00CD5075">
      <w:pPr>
        <w:pStyle w:val="3"/>
      </w:pPr>
      <w:r w:rsidRPr="00D40021">
        <w:rPr>
          <w:rFonts w:hint="eastAsia"/>
        </w:rPr>
        <w:t>立法委員連署聲請解釋憲法之理由</w:t>
      </w:r>
      <w:r w:rsidRPr="00D40021">
        <w:rPr>
          <w:rFonts w:ascii="新細明體" w:eastAsia="新細明體" w:hAnsi="新細明體" w:hint="eastAsia"/>
        </w:rPr>
        <w:t>，</w:t>
      </w:r>
      <w:r w:rsidRPr="00D40021">
        <w:rPr>
          <w:rFonts w:hint="eastAsia"/>
        </w:rPr>
        <w:t>摘要</w:t>
      </w:r>
      <w:r w:rsidRPr="00D40021">
        <w:rPr>
          <w:rFonts w:hAnsi="標楷體" w:hint="eastAsia"/>
        </w:rPr>
        <w:t>如下</w:t>
      </w:r>
      <w:r w:rsidRPr="00D40021">
        <w:rPr>
          <w:rFonts w:ascii="新細明體" w:eastAsia="新細明體" w:hAnsi="新細明體" w:hint="eastAsia"/>
        </w:rPr>
        <w:t>：</w:t>
      </w:r>
    </w:p>
    <w:p w:rsidR="00CD5075" w:rsidRPr="00D40021" w:rsidRDefault="00CD5075" w:rsidP="00CD5075">
      <w:pPr>
        <w:pStyle w:val="4"/>
      </w:pPr>
      <w:r w:rsidRPr="00D40021">
        <w:rPr>
          <w:rFonts w:hint="eastAsia"/>
        </w:rPr>
        <w:t>違悖信賴保護原則及比例原則</w:t>
      </w:r>
    </w:p>
    <w:p w:rsidR="00CD5075" w:rsidRPr="00D40021" w:rsidRDefault="00CD5075" w:rsidP="00CD5075">
      <w:pPr>
        <w:pStyle w:val="5"/>
      </w:pPr>
      <w:r w:rsidRPr="00D40021">
        <w:rPr>
          <w:rFonts w:hint="eastAsia"/>
        </w:rPr>
        <w:t>軍職人員退伍金</w:t>
      </w:r>
      <w:r w:rsidRPr="00D40021">
        <w:rPr>
          <w:rFonts w:ascii="新細明體" w:eastAsia="新細明體" w:hAnsi="新細明體" w:hint="eastAsia"/>
        </w:rPr>
        <w:t>、</w:t>
      </w:r>
      <w:r w:rsidRPr="00D40021">
        <w:rPr>
          <w:rFonts w:hint="eastAsia"/>
        </w:rPr>
        <w:t>退休</w:t>
      </w:r>
      <w:proofErr w:type="gramStart"/>
      <w:r w:rsidRPr="00D40021">
        <w:rPr>
          <w:rFonts w:hint="eastAsia"/>
        </w:rPr>
        <w:t>俸</w:t>
      </w:r>
      <w:proofErr w:type="gramEnd"/>
      <w:r w:rsidRPr="00D40021">
        <w:rPr>
          <w:rFonts w:ascii="新細明體" w:eastAsia="新細明體" w:hAnsi="新細明體" w:hint="eastAsia"/>
        </w:rPr>
        <w:t>、</w:t>
      </w:r>
      <w:r w:rsidRPr="00D40021">
        <w:rPr>
          <w:rFonts w:hint="eastAsia"/>
        </w:rPr>
        <w:t>贍養金</w:t>
      </w:r>
      <w:r w:rsidRPr="00D40021">
        <w:rPr>
          <w:rFonts w:ascii="新細明體" w:eastAsia="新細明體" w:hAnsi="新細明體" w:hint="eastAsia"/>
        </w:rPr>
        <w:t>、</w:t>
      </w:r>
      <w:r w:rsidRPr="00D40021">
        <w:rPr>
          <w:rFonts w:hint="eastAsia"/>
        </w:rPr>
        <w:t>軍人保險退伍給付及其優惠存款利息</w:t>
      </w:r>
      <w:r w:rsidRPr="00D40021">
        <w:rPr>
          <w:rFonts w:hAnsi="標楷體" w:hint="eastAsia"/>
        </w:rPr>
        <w:t>…</w:t>
      </w:r>
      <w:proofErr w:type="gramStart"/>
      <w:r w:rsidRPr="00D40021">
        <w:rPr>
          <w:rFonts w:hAnsi="標楷體" w:hint="eastAsia"/>
        </w:rPr>
        <w:t>…</w:t>
      </w:r>
      <w:proofErr w:type="gramEnd"/>
      <w:r w:rsidRPr="00D40021">
        <w:rPr>
          <w:rFonts w:hint="eastAsia"/>
        </w:rPr>
        <w:t>等</w:t>
      </w:r>
      <w:r w:rsidRPr="00D40021">
        <w:rPr>
          <w:rFonts w:ascii="新細明體" w:eastAsia="新細明體" w:hAnsi="新細明體" w:hint="eastAsia"/>
        </w:rPr>
        <w:t>，</w:t>
      </w:r>
      <w:proofErr w:type="gramStart"/>
      <w:r w:rsidRPr="00D40021">
        <w:rPr>
          <w:rFonts w:hint="eastAsia"/>
        </w:rPr>
        <w:t>乃依系爭</w:t>
      </w:r>
      <w:proofErr w:type="gramEnd"/>
      <w:r w:rsidRPr="00D40021">
        <w:rPr>
          <w:rFonts w:hint="eastAsia"/>
        </w:rPr>
        <w:t>規定修正前施行之法令條件所取得之請求權</w:t>
      </w:r>
      <w:r w:rsidRPr="00D40021">
        <w:rPr>
          <w:rFonts w:ascii="新細明體" w:eastAsia="新細明體" w:hAnsi="新細明體" w:hint="eastAsia"/>
        </w:rPr>
        <w:t>，</w:t>
      </w:r>
      <w:r w:rsidRPr="00D40021">
        <w:rPr>
          <w:rFonts w:hint="eastAsia"/>
        </w:rPr>
        <w:t>其所生利益並非單純之期待利益</w:t>
      </w:r>
      <w:r w:rsidRPr="00D40021">
        <w:rPr>
          <w:rFonts w:ascii="新細明體" w:eastAsia="新細明體" w:hAnsi="新細明體" w:hint="eastAsia"/>
        </w:rPr>
        <w:t>，</w:t>
      </w:r>
      <w:r w:rsidRPr="00D40021">
        <w:rPr>
          <w:rFonts w:hint="eastAsia"/>
        </w:rPr>
        <w:t>而為應受保障之信賴利益</w:t>
      </w:r>
      <w:r w:rsidRPr="00D40021">
        <w:rPr>
          <w:rFonts w:ascii="新細明體" w:eastAsia="新細明體" w:hAnsi="新細明體" w:hint="eastAsia"/>
        </w:rPr>
        <w:t>。</w:t>
      </w:r>
      <w:proofErr w:type="gramStart"/>
      <w:r w:rsidRPr="00D40021">
        <w:rPr>
          <w:rFonts w:hint="eastAsia"/>
        </w:rPr>
        <w:t>惟查系</w:t>
      </w:r>
      <w:proofErr w:type="gramEnd"/>
      <w:r w:rsidRPr="00D40021">
        <w:rPr>
          <w:rFonts w:hint="eastAsia"/>
        </w:rPr>
        <w:t>爭規定第3條、第26條、第46條等規定</w:t>
      </w:r>
      <w:r w:rsidRPr="00D40021">
        <w:rPr>
          <w:rFonts w:ascii="新細明體" w:eastAsia="新細明體" w:hAnsi="新細明體" w:hint="eastAsia"/>
        </w:rPr>
        <w:t>，</w:t>
      </w:r>
      <w:r w:rsidRPr="00D40021">
        <w:rPr>
          <w:rFonts w:hint="eastAsia"/>
        </w:rPr>
        <w:t>卻變更軍官</w:t>
      </w:r>
      <w:r w:rsidRPr="00D40021">
        <w:rPr>
          <w:rFonts w:ascii="新細明體" w:eastAsia="新細明體" w:hAnsi="新細明體" w:hint="eastAsia"/>
        </w:rPr>
        <w:t>、</w:t>
      </w:r>
      <w:r w:rsidRPr="00D40021">
        <w:rPr>
          <w:rFonts w:hint="eastAsia"/>
        </w:rPr>
        <w:t>士官退除給與計算基礎</w:t>
      </w:r>
      <w:r w:rsidRPr="00D40021">
        <w:rPr>
          <w:rFonts w:ascii="新細明體" w:eastAsia="新細明體" w:hAnsi="新細明體" w:hint="eastAsia"/>
        </w:rPr>
        <w:t>，</w:t>
      </w:r>
      <w:r w:rsidRPr="00D40021">
        <w:rPr>
          <w:rFonts w:hint="eastAsia"/>
        </w:rPr>
        <w:t>削減退除給與優惠存款利息</w:t>
      </w:r>
      <w:r w:rsidRPr="00D40021">
        <w:rPr>
          <w:rFonts w:ascii="新細明體" w:eastAsia="新細明體" w:hAnsi="新細明體" w:hint="eastAsia"/>
        </w:rPr>
        <w:t>，</w:t>
      </w:r>
      <w:r w:rsidRPr="00D40021">
        <w:rPr>
          <w:rFonts w:hint="eastAsia"/>
        </w:rPr>
        <w:t>降低退除給與基準</w:t>
      </w:r>
      <w:r w:rsidRPr="00D40021">
        <w:rPr>
          <w:rFonts w:ascii="新細明體" w:eastAsia="新細明體" w:hAnsi="新細明體" w:hint="eastAsia"/>
        </w:rPr>
        <w:t>，</w:t>
      </w:r>
      <w:r w:rsidRPr="00D40021">
        <w:rPr>
          <w:rFonts w:hint="eastAsia"/>
        </w:rPr>
        <w:t>並溯及適用退除役人員</w:t>
      </w:r>
      <w:r w:rsidRPr="00D40021">
        <w:rPr>
          <w:rFonts w:ascii="新細明體" w:eastAsia="新細明體" w:hAnsi="新細明體" w:hint="eastAsia"/>
        </w:rPr>
        <w:t>，</w:t>
      </w:r>
      <w:proofErr w:type="gramStart"/>
      <w:r w:rsidRPr="00D40021">
        <w:rPr>
          <w:rFonts w:hint="eastAsia"/>
        </w:rPr>
        <w:t>顯違司法</w:t>
      </w:r>
      <w:proofErr w:type="gramEnd"/>
      <w:r w:rsidRPr="00D40021">
        <w:rPr>
          <w:rFonts w:hint="eastAsia"/>
        </w:rPr>
        <w:t>院釋字第525號</w:t>
      </w:r>
      <w:r w:rsidRPr="00D40021">
        <w:rPr>
          <w:rFonts w:ascii="新細明體" w:eastAsia="新細明體" w:hAnsi="新細明體" w:hint="eastAsia"/>
        </w:rPr>
        <w:t>、</w:t>
      </w:r>
      <w:r w:rsidRPr="00D40021">
        <w:rPr>
          <w:rFonts w:hint="eastAsia"/>
        </w:rPr>
        <w:t>第589號</w:t>
      </w:r>
      <w:r w:rsidRPr="00D40021">
        <w:rPr>
          <w:rFonts w:ascii="新細明體" w:eastAsia="新細明體" w:hAnsi="新細明體" w:hint="eastAsia"/>
        </w:rPr>
        <w:t>、</w:t>
      </w:r>
      <w:r w:rsidRPr="00D40021">
        <w:rPr>
          <w:rFonts w:hint="eastAsia"/>
        </w:rPr>
        <w:t>第605號</w:t>
      </w:r>
      <w:r w:rsidRPr="00D40021">
        <w:rPr>
          <w:rFonts w:ascii="新細明體" w:eastAsia="新細明體" w:hAnsi="新細明體" w:hint="eastAsia"/>
        </w:rPr>
        <w:t>、</w:t>
      </w:r>
      <w:r w:rsidRPr="00D40021">
        <w:rPr>
          <w:rFonts w:hint="eastAsia"/>
        </w:rPr>
        <w:t>第717號等解釋之意旨</w:t>
      </w:r>
      <w:r w:rsidRPr="00D40021">
        <w:rPr>
          <w:rFonts w:ascii="新細明體" w:eastAsia="新細明體" w:hAnsi="新細明體" w:hint="eastAsia"/>
        </w:rPr>
        <w:t>。</w:t>
      </w:r>
    </w:p>
    <w:p w:rsidR="00CD5075" w:rsidRPr="00D40021" w:rsidRDefault="00CD5075" w:rsidP="00CD5075">
      <w:pPr>
        <w:pStyle w:val="5"/>
      </w:pPr>
      <w:r w:rsidRPr="00D40021">
        <w:rPr>
          <w:rFonts w:hint="eastAsia"/>
        </w:rPr>
        <w:t>政府始終</w:t>
      </w:r>
      <w:proofErr w:type="gramStart"/>
      <w:r w:rsidRPr="00D40021">
        <w:rPr>
          <w:rFonts w:hint="eastAsia"/>
        </w:rPr>
        <w:t>罔</w:t>
      </w:r>
      <w:proofErr w:type="gramEnd"/>
      <w:r w:rsidRPr="00D40021">
        <w:rPr>
          <w:rFonts w:hint="eastAsia"/>
        </w:rPr>
        <w:t>顧應有責任</w:t>
      </w:r>
      <w:r w:rsidRPr="00D40021">
        <w:rPr>
          <w:rFonts w:ascii="新細明體" w:eastAsia="新細明體" w:hAnsi="新細明體" w:hint="eastAsia"/>
        </w:rPr>
        <w:t>，</w:t>
      </w:r>
      <w:r w:rsidRPr="00D40021">
        <w:rPr>
          <w:rFonts w:hint="eastAsia"/>
        </w:rPr>
        <w:t>未善盡依法</w:t>
      </w:r>
      <w:proofErr w:type="gramStart"/>
      <w:r w:rsidRPr="00D40021">
        <w:rPr>
          <w:rFonts w:hint="eastAsia"/>
        </w:rPr>
        <w:t>應負撥補</w:t>
      </w:r>
      <w:proofErr w:type="gramEnd"/>
      <w:r w:rsidRPr="00D40021">
        <w:rPr>
          <w:rFonts w:hint="eastAsia"/>
        </w:rPr>
        <w:lastRenderedPageBreak/>
        <w:t>及最終支付保證責任</w:t>
      </w:r>
      <w:r w:rsidRPr="00D40021">
        <w:rPr>
          <w:rFonts w:ascii="新細明體" w:eastAsia="新細明體" w:hAnsi="新細明體" w:hint="eastAsia"/>
        </w:rPr>
        <w:t>（</w:t>
      </w:r>
      <w:r w:rsidRPr="00D40021">
        <w:rPr>
          <w:rFonts w:hint="eastAsia"/>
        </w:rPr>
        <w:t>修正前之服役條例第27條及公務人員退撫基金管理條例第1條</w:t>
      </w:r>
      <w:r w:rsidRPr="00D40021">
        <w:rPr>
          <w:rFonts w:ascii="新細明體" w:eastAsia="新細明體" w:hAnsi="新細明體" w:hint="eastAsia"/>
        </w:rPr>
        <w:t>、</w:t>
      </w:r>
      <w:r w:rsidRPr="00D40021">
        <w:rPr>
          <w:rFonts w:hint="eastAsia"/>
        </w:rPr>
        <w:t>第5條</w:t>
      </w:r>
      <w:r w:rsidRPr="00D40021">
        <w:rPr>
          <w:rFonts w:ascii="新細明體" w:eastAsia="新細明體" w:hAnsi="新細明體" w:hint="eastAsia"/>
        </w:rPr>
        <w:t>、</w:t>
      </w:r>
      <w:r w:rsidRPr="00D40021">
        <w:rPr>
          <w:rFonts w:hint="eastAsia"/>
        </w:rPr>
        <w:t>第8條請參照</w:t>
      </w:r>
      <w:r w:rsidRPr="00D40021">
        <w:rPr>
          <w:rFonts w:hAnsi="標楷體" w:hint="eastAsia"/>
        </w:rPr>
        <w:t>）</w:t>
      </w:r>
      <w:r w:rsidRPr="00D40021">
        <w:rPr>
          <w:rFonts w:ascii="新細明體" w:eastAsia="新細明體" w:hAnsi="新細明體" w:hint="eastAsia"/>
        </w:rPr>
        <w:t>。</w:t>
      </w:r>
      <w:r w:rsidRPr="00D40021">
        <w:rPr>
          <w:rFonts w:hint="eastAsia"/>
        </w:rPr>
        <w:t>更何況</w:t>
      </w:r>
      <w:r w:rsidRPr="00D40021">
        <w:rPr>
          <w:rFonts w:ascii="新細明體" w:eastAsia="新細明體" w:hAnsi="新細明體" w:hint="eastAsia"/>
        </w:rPr>
        <w:t>，</w:t>
      </w:r>
      <w:r w:rsidRPr="00D40021">
        <w:rPr>
          <w:rFonts w:hint="eastAsia"/>
        </w:rPr>
        <w:t>退撫基金之經營及投資操作績效</w:t>
      </w:r>
      <w:proofErr w:type="gramStart"/>
      <w:r w:rsidRPr="00D40021">
        <w:rPr>
          <w:rFonts w:hint="eastAsia"/>
        </w:rPr>
        <w:t>不</w:t>
      </w:r>
      <w:proofErr w:type="gramEnd"/>
      <w:r w:rsidRPr="00D40021">
        <w:rPr>
          <w:rFonts w:hint="eastAsia"/>
        </w:rPr>
        <w:t>彰</w:t>
      </w:r>
      <w:r w:rsidRPr="00D40021">
        <w:rPr>
          <w:rFonts w:ascii="新細明體" w:eastAsia="新細明體" w:hAnsi="新細明體" w:hint="eastAsia"/>
        </w:rPr>
        <w:t>，</w:t>
      </w:r>
      <w:proofErr w:type="gramStart"/>
      <w:r w:rsidRPr="00D40021">
        <w:rPr>
          <w:rFonts w:hint="eastAsia"/>
        </w:rPr>
        <w:t>亦均係政府</w:t>
      </w:r>
      <w:proofErr w:type="gramEnd"/>
      <w:r w:rsidRPr="00D40021">
        <w:rPr>
          <w:rFonts w:hint="eastAsia"/>
        </w:rPr>
        <w:t>所為</w:t>
      </w:r>
      <w:r w:rsidRPr="00D40021">
        <w:rPr>
          <w:rFonts w:ascii="新細明體" w:eastAsia="新細明體" w:hAnsi="新細明體" w:hint="eastAsia"/>
        </w:rPr>
        <w:t>，</w:t>
      </w:r>
      <w:r w:rsidRPr="00D40021">
        <w:rPr>
          <w:rFonts w:hint="eastAsia"/>
        </w:rPr>
        <w:t>顯與現役及退除役人員無關</w:t>
      </w:r>
      <w:r w:rsidRPr="00D40021">
        <w:rPr>
          <w:rFonts w:ascii="新細明體" w:eastAsia="新細明體" w:hAnsi="新細明體" w:hint="eastAsia"/>
        </w:rPr>
        <w:t>。</w:t>
      </w:r>
      <w:r w:rsidRPr="00D40021">
        <w:rPr>
          <w:rFonts w:hint="eastAsia"/>
        </w:rPr>
        <w:t>竟將109年軍人面臨退撫基金不足問題</w:t>
      </w:r>
      <w:r w:rsidRPr="00D40021">
        <w:rPr>
          <w:rFonts w:ascii="新細明體" w:eastAsia="新細明體" w:hAnsi="新細明體" w:hint="eastAsia"/>
        </w:rPr>
        <w:t>，</w:t>
      </w:r>
      <w:proofErr w:type="gramStart"/>
      <w:r w:rsidRPr="00D40021">
        <w:rPr>
          <w:rFonts w:hint="eastAsia"/>
        </w:rPr>
        <w:t>轉嫁由退除役</w:t>
      </w:r>
      <w:proofErr w:type="gramEnd"/>
      <w:r w:rsidRPr="00D40021">
        <w:rPr>
          <w:rFonts w:hint="eastAsia"/>
        </w:rPr>
        <w:t>人員承擔</w:t>
      </w:r>
      <w:r w:rsidRPr="00D40021">
        <w:rPr>
          <w:rFonts w:ascii="新細明體" w:eastAsia="新細明體" w:hAnsi="新細明體" w:hint="eastAsia"/>
        </w:rPr>
        <w:t>，</w:t>
      </w:r>
      <w:r w:rsidRPr="00D40021">
        <w:rPr>
          <w:rFonts w:hint="eastAsia"/>
        </w:rPr>
        <w:t>進而非法刪減退除役人員之退除給與</w:t>
      </w:r>
      <w:r w:rsidRPr="00D40021">
        <w:rPr>
          <w:rFonts w:ascii="新細明體" w:eastAsia="新細明體" w:hAnsi="新細明體" w:hint="eastAsia"/>
        </w:rPr>
        <w:t>，</w:t>
      </w:r>
      <w:r w:rsidRPr="00D40021">
        <w:rPr>
          <w:rFonts w:hint="eastAsia"/>
        </w:rPr>
        <w:t>而修正系爭規定</w:t>
      </w:r>
      <w:r w:rsidRPr="00D40021">
        <w:rPr>
          <w:rFonts w:ascii="新細明體" w:eastAsia="新細明體" w:hAnsi="新細明體" w:hint="eastAsia"/>
        </w:rPr>
        <w:t>。</w:t>
      </w:r>
    </w:p>
    <w:p w:rsidR="00CD5075" w:rsidRPr="00D40021" w:rsidRDefault="00CD5075" w:rsidP="00CD5075">
      <w:pPr>
        <w:pStyle w:val="5"/>
      </w:pPr>
      <w:proofErr w:type="gramStart"/>
      <w:r w:rsidRPr="00D40021">
        <w:rPr>
          <w:rFonts w:hint="eastAsia"/>
        </w:rPr>
        <w:t>罔</w:t>
      </w:r>
      <w:proofErr w:type="gramEnd"/>
      <w:r w:rsidRPr="00D40021">
        <w:rPr>
          <w:rFonts w:hint="eastAsia"/>
        </w:rPr>
        <w:t>顧憲法增修條文明確規定</w:t>
      </w:r>
      <w:r w:rsidRPr="00D40021">
        <w:rPr>
          <w:rFonts w:ascii="新細明體" w:eastAsia="新細明體" w:hAnsi="新細明體" w:hint="eastAsia"/>
        </w:rPr>
        <w:t>，</w:t>
      </w:r>
      <w:r w:rsidRPr="00D40021">
        <w:rPr>
          <w:rFonts w:hint="eastAsia"/>
        </w:rPr>
        <w:t>國家應尊重軍人對社會之貢獻</w:t>
      </w:r>
      <w:r w:rsidRPr="00D40021">
        <w:rPr>
          <w:rFonts w:ascii="新細明體" w:eastAsia="新細明體" w:hAnsi="新細明體" w:hint="eastAsia"/>
        </w:rPr>
        <w:t>，</w:t>
      </w:r>
      <w:r w:rsidRPr="00D40021">
        <w:rPr>
          <w:rFonts w:hint="eastAsia"/>
        </w:rPr>
        <w:t>並對其退役後之就學</w:t>
      </w:r>
      <w:r w:rsidRPr="00D40021">
        <w:rPr>
          <w:rFonts w:ascii="新細明體" w:eastAsia="新細明體" w:hAnsi="新細明體" w:hint="eastAsia"/>
        </w:rPr>
        <w:t>、</w:t>
      </w:r>
      <w:r w:rsidRPr="00D40021">
        <w:rPr>
          <w:rFonts w:hint="eastAsia"/>
        </w:rPr>
        <w:t>就業</w:t>
      </w:r>
      <w:r w:rsidRPr="00D40021">
        <w:rPr>
          <w:rFonts w:ascii="新細明體" w:eastAsia="新細明體" w:hAnsi="新細明體" w:hint="eastAsia"/>
        </w:rPr>
        <w:t>、</w:t>
      </w:r>
      <w:r w:rsidRPr="00D40021">
        <w:rPr>
          <w:rFonts w:hint="eastAsia"/>
        </w:rPr>
        <w:t>就醫</w:t>
      </w:r>
      <w:r w:rsidRPr="00D40021">
        <w:rPr>
          <w:rFonts w:ascii="新細明體" w:eastAsia="新細明體" w:hAnsi="新細明體" w:hint="eastAsia"/>
        </w:rPr>
        <w:t>、</w:t>
      </w:r>
      <w:r w:rsidRPr="00D40021">
        <w:rPr>
          <w:rFonts w:hint="eastAsia"/>
        </w:rPr>
        <w:t>就養予以保障</w:t>
      </w:r>
      <w:r w:rsidRPr="00D40021">
        <w:rPr>
          <w:rFonts w:ascii="新細明體" w:eastAsia="新細明體" w:hAnsi="新細明體" w:hint="eastAsia"/>
        </w:rPr>
        <w:t>，</w:t>
      </w:r>
      <w:r w:rsidRPr="00D40021">
        <w:rPr>
          <w:rFonts w:hint="eastAsia"/>
        </w:rPr>
        <w:t>亦即應該尊重退除役人員對社會之貢獻及保障其退撫</w:t>
      </w:r>
      <w:r w:rsidRPr="00D40021">
        <w:rPr>
          <w:rFonts w:ascii="新細明體" w:eastAsia="新細明體" w:hAnsi="新細明體" w:hint="eastAsia"/>
        </w:rPr>
        <w:t>，</w:t>
      </w:r>
      <w:r w:rsidRPr="00D40021">
        <w:rPr>
          <w:rFonts w:hint="eastAsia"/>
        </w:rPr>
        <w:t>故</w:t>
      </w:r>
      <w:proofErr w:type="gramStart"/>
      <w:r w:rsidRPr="00D40021">
        <w:rPr>
          <w:rFonts w:hint="eastAsia"/>
        </w:rPr>
        <w:t>其均受憲法</w:t>
      </w:r>
      <w:proofErr w:type="gramEnd"/>
      <w:r w:rsidRPr="00D40021">
        <w:rPr>
          <w:rFonts w:hint="eastAsia"/>
        </w:rPr>
        <w:t>特別規定保障之</w:t>
      </w:r>
      <w:r w:rsidRPr="00D40021">
        <w:rPr>
          <w:rFonts w:ascii="新細明體" w:eastAsia="新細明體" w:hAnsi="新細明體" w:hint="eastAsia"/>
        </w:rPr>
        <w:t>，</w:t>
      </w:r>
      <w:r w:rsidRPr="00D40021">
        <w:rPr>
          <w:rFonts w:hint="eastAsia"/>
        </w:rPr>
        <w:t>較諸一般公益利益當屬更重</w:t>
      </w:r>
      <w:r w:rsidRPr="00D40021">
        <w:rPr>
          <w:rFonts w:ascii="新細明體" w:eastAsia="新細明體" w:hAnsi="新細明體" w:hint="eastAsia"/>
        </w:rPr>
        <w:t>。</w:t>
      </w:r>
    </w:p>
    <w:p w:rsidR="00CD5075" w:rsidRPr="00D40021" w:rsidRDefault="00CD5075" w:rsidP="00CD5075">
      <w:pPr>
        <w:pStyle w:val="4"/>
      </w:pPr>
      <w:r w:rsidRPr="00D40021">
        <w:rPr>
          <w:rFonts w:hint="eastAsia"/>
        </w:rPr>
        <w:t>侵害人民財產權</w:t>
      </w:r>
    </w:p>
    <w:p w:rsidR="00CD5075" w:rsidRPr="00D40021" w:rsidRDefault="00CD5075" w:rsidP="00CD5075">
      <w:pPr>
        <w:pStyle w:val="5"/>
      </w:pPr>
      <w:r w:rsidRPr="00D40021">
        <w:rPr>
          <w:rFonts w:hint="eastAsia"/>
        </w:rPr>
        <w:t>退除給與屬於退除役人員依其入伍服役期間之有效法令</w:t>
      </w:r>
      <w:r w:rsidRPr="00D40021">
        <w:rPr>
          <w:rFonts w:ascii="新細明體" w:eastAsia="新細明體" w:hAnsi="新細明體" w:hint="eastAsia"/>
        </w:rPr>
        <w:t>，</w:t>
      </w:r>
      <w:r w:rsidRPr="00D40021">
        <w:rPr>
          <w:rFonts w:hint="eastAsia"/>
        </w:rPr>
        <w:t>完成退伍除役時而產生</w:t>
      </w:r>
      <w:proofErr w:type="gramStart"/>
      <w:r w:rsidRPr="00D40021">
        <w:rPr>
          <w:rFonts w:hint="eastAsia"/>
        </w:rPr>
        <w:t>法效之</w:t>
      </w:r>
      <w:proofErr w:type="gramEnd"/>
      <w:r w:rsidRPr="00D40021">
        <w:rPr>
          <w:rFonts w:hint="eastAsia"/>
        </w:rPr>
        <w:t>法定給付</w:t>
      </w:r>
      <w:r w:rsidRPr="00D40021">
        <w:rPr>
          <w:rFonts w:ascii="新細明體" w:eastAsia="新細明體" w:hAnsi="新細明體" w:hint="eastAsia"/>
        </w:rPr>
        <w:t>，</w:t>
      </w:r>
      <w:r w:rsidRPr="00D40021">
        <w:rPr>
          <w:rFonts w:hint="eastAsia"/>
        </w:rPr>
        <w:t>性質上當然是退除役人員法定之財產權</w:t>
      </w:r>
      <w:r w:rsidRPr="00D40021">
        <w:rPr>
          <w:rFonts w:ascii="新細明體" w:eastAsia="新細明體" w:hAnsi="新細明體" w:hint="eastAsia"/>
        </w:rPr>
        <w:t>，</w:t>
      </w:r>
      <w:r w:rsidRPr="00D40021">
        <w:rPr>
          <w:rFonts w:hint="eastAsia"/>
        </w:rPr>
        <w:t>參酌司法院釋字第434號解釋意旨</w:t>
      </w:r>
      <w:r w:rsidRPr="00D40021">
        <w:rPr>
          <w:rFonts w:ascii="新細明體" w:eastAsia="新細明體" w:hAnsi="新細明體" w:hint="eastAsia"/>
        </w:rPr>
        <w:t>，</w:t>
      </w:r>
      <w:r w:rsidRPr="00D40021">
        <w:rPr>
          <w:rFonts w:hint="eastAsia"/>
        </w:rPr>
        <w:t>自屬憲法第15條規定財產權保障之法律地位</w:t>
      </w:r>
      <w:r w:rsidRPr="00D40021">
        <w:rPr>
          <w:rFonts w:ascii="新細明體" w:eastAsia="新細明體" w:hAnsi="新細明體" w:hint="eastAsia"/>
        </w:rPr>
        <w:t>。</w:t>
      </w:r>
    </w:p>
    <w:p w:rsidR="00CD5075" w:rsidRPr="00D40021" w:rsidRDefault="00CD5075" w:rsidP="00CD5075">
      <w:pPr>
        <w:pStyle w:val="5"/>
      </w:pPr>
      <w:r w:rsidRPr="00D40021">
        <w:rPr>
          <w:rFonts w:hint="eastAsia"/>
        </w:rPr>
        <w:t>系爭規定第26條第2項第2款及第3項規定</w:t>
      </w:r>
      <w:r w:rsidRPr="00D40021">
        <w:rPr>
          <w:rFonts w:ascii="新細明體" w:eastAsia="新細明體" w:hAnsi="新細明體" w:hint="eastAsia"/>
        </w:rPr>
        <w:t>，</w:t>
      </w:r>
      <w:r w:rsidRPr="00D40021">
        <w:rPr>
          <w:rFonts w:hint="eastAsia"/>
        </w:rPr>
        <w:t>自修正施行後第1年起</w:t>
      </w:r>
      <w:r w:rsidRPr="00D40021">
        <w:rPr>
          <w:rFonts w:ascii="新細明體" w:eastAsia="新細明體" w:hAnsi="新細明體" w:hint="eastAsia"/>
        </w:rPr>
        <w:t>，</w:t>
      </w:r>
      <w:r w:rsidRPr="00D40021">
        <w:rPr>
          <w:rFonts w:hint="eastAsia"/>
        </w:rPr>
        <w:t>逐年調降退休</w:t>
      </w:r>
      <w:proofErr w:type="gramStart"/>
      <w:r w:rsidRPr="00D40021">
        <w:rPr>
          <w:rFonts w:hint="eastAsia"/>
        </w:rPr>
        <w:t>俸</w:t>
      </w:r>
      <w:proofErr w:type="gramEnd"/>
      <w:r w:rsidRPr="00D40021">
        <w:rPr>
          <w:rFonts w:hint="eastAsia"/>
        </w:rPr>
        <w:t>之給付</w:t>
      </w:r>
      <w:r w:rsidRPr="00D40021">
        <w:rPr>
          <w:rFonts w:ascii="新細明體" w:eastAsia="新細明體" w:hAnsi="新細明體" w:hint="eastAsia"/>
        </w:rPr>
        <w:t>，</w:t>
      </w:r>
      <w:r w:rsidRPr="00D40021">
        <w:rPr>
          <w:rFonts w:hint="eastAsia"/>
        </w:rPr>
        <w:t>已違背憲法第15條規定及大法官解釋</w:t>
      </w:r>
      <w:r w:rsidRPr="00D40021">
        <w:rPr>
          <w:rFonts w:ascii="新細明體" w:eastAsia="新細明體" w:hAnsi="新細明體" w:hint="eastAsia"/>
        </w:rPr>
        <w:t>，</w:t>
      </w:r>
      <w:r w:rsidRPr="00D40021">
        <w:rPr>
          <w:rFonts w:hint="eastAsia"/>
        </w:rPr>
        <w:t>侵害人民財產權</w:t>
      </w:r>
      <w:r w:rsidRPr="00D40021">
        <w:rPr>
          <w:rFonts w:ascii="新細明體" w:eastAsia="新細明體" w:hAnsi="新細明體" w:hint="eastAsia"/>
        </w:rPr>
        <w:t>。</w:t>
      </w:r>
    </w:p>
    <w:p w:rsidR="00CD5075" w:rsidRPr="00D40021" w:rsidRDefault="00CD5075" w:rsidP="00CD5075">
      <w:pPr>
        <w:pStyle w:val="5"/>
      </w:pPr>
      <w:r w:rsidRPr="00D40021">
        <w:rPr>
          <w:rFonts w:hint="eastAsia"/>
        </w:rPr>
        <w:t>系爭規定第46條第4項第2款及第5項規定</w:t>
      </w:r>
      <w:r w:rsidRPr="00D40021">
        <w:rPr>
          <w:rFonts w:ascii="新細明體" w:eastAsia="新細明體" w:hAnsi="新細明體" w:hint="eastAsia"/>
        </w:rPr>
        <w:t>，</w:t>
      </w:r>
      <w:r w:rsidRPr="00D40021">
        <w:rPr>
          <w:rFonts w:hint="eastAsia"/>
        </w:rPr>
        <w:t>逐年調降支領退休</w:t>
      </w:r>
      <w:proofErr w:type="gramStart"/>
      <w:r w:rsidRPr="00D40021">
        <w:rPr>
          <w:rFonts w:hint="eastAsia"/>
        </w:rPr>
        <w:t>俸</w:t>
      </w:r>
      <w:proofErr w:type="gramEnd"/>
      <w:r w:rsidRPr="00D40021">
        <w:rPr>
          <w:rFonts w:ascii="新細明體" w:eastAsia="新細明體" w:hAnsi="新細明體" w:hint="eastAsia"/>
        </w:rPr>
        <w:t>、</w:t>
      </w:r>
      <w:r w:rsidRPr="00D40021">
        <w:rPr>
          <w:rFonts w:hint="eastAsia"/>
        </w:rPr>
        <w:t>退伍金或贍養金等人員之優惠存款利息</w:t>
      </w:r>
      <w:r w:rsidRPr="00D40021">
        <w:rPr>
          <w:rFonts w:ascii="新細明體" w:eastAsia="新細明體" w:hAnsi="新細明體" w:hint="eastAsia"/>
        </w:rPr>
        <w:t>，</w:t>
      </w:r>
      <w:r w:rsidRPr="00D40021">
        <w:rPr>
          <w:rFonts w:hint="eastAsia"/>
        </w:rPr>
        <w:t>以及優惠存款本金於第11年始退還</w:t>
      </w:r>
      <w:r w:rsidRPr="00D40021">
        <w:rPr>
          <w:rFonts w:ascii="新細明體" w:eastAsia="新細明體" w:hAnsi="新細明體" w:hint="eastAsia"/>
        </w:rPr>
        <w:t>，</w:t>
      </w:r>
      <w:r w:rsidRPr="00D40021">
        <w:rPr>
          <w:rFonts w:hint="eastAsia"/>
        </w:rPr>
        <w:t>剝奪支領退除給與人員之優惠存款本金與利息</w:t>
      </w:r>
      <w:r w:rsidRPr="00D40021">
        <w:rPr>
          <w:rFonts w:ascii="新細明體" w:eastAsia="新細明體" w:hAnsi="新細明體" w:hint="eastAsia"/>
        </w:rPr>
        <w:t>，</w:t>
      </w:r>
      <w:r w:rsidRPr="00D40021">
        <w:rPr>
          <w:rFonts w:hint="eastAsia"/>
        </w:rPr>
        <w:t>其未經法院審判扣押人民財產</w:t>
      </w:r>
      <w:r w:rsidRPr="00D40021">
        <w:rPr>
          <w:rFonts w:ascii="新細明體" w:eastAsia="新細明體" w:hAnsi="新細明體" w:hint="eastAsia"/>
        </w:rPr>
        <w:t>，</w:t>
      </w:r>
      <w:r w:rsidRPr="00D40021">
        <w:rPr>
          <w:rFonts w:hint="eastAsia"/>
        </w:rPr>
        <w:t>又屬違反權力分立</w:t>
      </w:r>
      <w:r w:rsidRPr="00D40021">
        <w:rPr>
          <w:rFonts w:ascii="新細明體" w:eastAsia="新細明體" w:hAnsi="新細明體" w:hint="eastAsia"/>
        </w:rPr>
        <w:t>，</w:t>
      </w:r>
      <w:r w:rsidRPr="00D40021">
        <w:rPr>
          <w:rFonts w:hint="eastAsia"/>
        </w:rPr>
        <w:t>以侵犯司法權方式</w:t>
      </w:r>
      <w:r w:rsidRPr="00D40021">
        <w:rPr>
          <w:rFonts w:ascii="新細明體" w:eastAsia="新細明體" w:hAnsi="新細明體" w:hint="eastAsia"/>
        </w:rPr>
        <w:t>，</w:t>
      </w:r>
      <w:r w:rsidRPr="00D40021">
        <w:rPr>
          <w:rFonts w:hint="eastAsia"/>
        </w:rPr>
        <w:t>侵害人民財產權</w:t>
      </w:r>
      <w:r w:rsidRPr="00D40021">
        <w:rPr>
          <w:rFonts w:ascii="新細明體" w:eastAsia="新細明體" w:hAnsi="新細明體" w:hint="eastAsia"/>
        </w:rPr>
        <w:t>。</w:t>
      </w:r>
    </w:p>
    <w:p w:rsidR="00CD5075" w:rsidRPr="00D40021" w:rsidRDefault="00CD5075" w:rsidP="00CD5075">
      <w:pPr>
        <w:pStyle w:val="5"/>
      </w:pPr>
      <w:r w:rsidRPr="00D40021">
        <w:rPr>
          <w:rFonts w:hint="eastAsia"/>
        </w:rPr>
        <w:lastRenderedPageBreak/>
        <w:t>系爭規定第54條第2項有關每年所節省之退撫經費支出</w:t>
      </w:r>
      <w:r w:rsidRPr="00D40021">
        <w:rPr>
          <w:rFonts w:ascii="新細明體" w:eastAsia="新細明體" w:hAnsi="新細明體" w:hint="eastAsia"/>
        </w:rPr>
        <w:t>，</w:t>
      </w:r>
      <w:r w:rsidRPr="00D40021">
        <w:rPr>
          <w:rFonts w:hint="eastAsia"/>
        </w:rPr>
        <w:t>應全數</w:t>
      </w:r>
      <w:proofErr w:type="gramStart"/>
      <w:r w:rsidRPr="00D40021">
        <w:rPr>
          <w:rFonts w:hint="eastAsia"/>
        </w:rPr>
        <w:t>挹</w:t>
      </w:r>
      <w:proofErr w:type="gramEnd"/>
      <w:r w:rsidRPr="00D40021">
        <w:rPr>
          <w:rFonts w:hint="eastAsia"/>
        </w:rPr>
        <w:t>注退撫基金之規定</w:t>
      </w:r>
      <w:r w:rsidRPr="00D40021">
        <w:rPr>
          <w:rFonts w:ascii="新細明體" w:eastAsia="新細明體" w:hAnsi="新細明體" w:hint="eastAsia"/>
        </w:rPr>
        <w:t>，</w:t>
      </w:r>
      <w:r w:rsidRPr="00D40021">
        <w:rPr>
          <w:rFonts w:hint="eastAsia"/>
        </w:rPr>
        <w:t>係倒果為因</w:t>
      </w:r>
      <w:r w:rsidRPr="00D40021">
        <w:rPr>
          <w:rFonts w:ascii="新細明體" w:eastAsia="新細明體" w:hAnsi="新細明體" w:hint="eastAsia"/>
        </w:rPr>
        <w:t>，</w:t>
      </w:r>
      <w:r w:rsidRPr="00D40021">
        <w:rPr>
          <w:rFonts w:hint="eastAsia"/>
        </w:rPr>
        <w:t>誣指退撫基金收支缺口日益擴大</w:t>
      </w:r>
      <w:r w:rsidRPr="00D40021">
        <w:rPr>
          <w:rFonts w:ascii="新細明體" w:eastAsia="新細明體" w:hAnsi="新細明體" w:hint="eastAsia"/>
        </w:rPr>
        <w:t>，</w:t>
      </w:r>
      <w:r w:rsidRPr="00D40021">
        <w:rPr>
          <w:rFonts w:hint="eastAsia"/>
        </w:rPr>
        <w:t>將責任推卸給退除役人員並刪減其退除給與</w:t>
      </w:r>
      <w:r w:rsidRPr="00D40021">
        <w:rPr>
          <w:rFonts w:ascii="新細明體" w:eastAsia="新細明體" w:hAnsi="新細明體" w:hint="eastAsia"/>
        </w:rPr>
        <w:t>。</w:t>
      </w:r>
    </w:p>
    <w:p w:rsidR="00CD5075" w:rsidRPr="00D40021" w:rsidRDefault="00CD5075" w:rsidP="00CD5075">
      <w:pPr>
        <w:pStyle w:val="4"/>
      </w:pPr>
      <w:r w:rsidRPr="00D40021">
        <w:rPr>
          <w:rFonts w:hint="eastAsia"/>
        </w:rPr>
        <w:t>侵害人民工作權</w:t>
      </w:r>
    </w:p>
    <w:p w:rsidR="00CD5075" w:rsidRPr="00D40021" w:rsidRDefault="00CD5075" w:rsidP="00CD5075">
      <w:pPr>
        <w:pStyle w:val="5"/>
      </w:pPr>
      <w:r w:rsidRPr="00D40021">
        <w:rPr>
          <w:rFonts w:hint="eastAsia"/>
        </w:rPr>
        <w:t>系爭規定第3條、第26條、第46條等規定</w:t>
      </w:r>
      <w:r w:rsidRPr="00D40021">
        <w:rPr>
          <w:rFonts w:ascii="新細明體" w:eastAsia="新細明體" w:hAnsi="新細明體" w:hint="eastAsia"/>
        </w:rPr>
        <w:t>，</w:t>
      </w:r>
      <w:r w:rsidRPr="00D40021">
        <w:rPr>
          <w:rFonts w:hint="eastAsia"/>
        </w:rPr>
        <w:t>變更軍官、士官退除給與計算基礎，削減退除給與優惠存款利息，及系爭規定第29條第2項規定，提高退除給與撥繳費用，嚴重衝擊退除役及現役人員職業生涯規劃</w:t>
      </w:r>
      <w:r w:rsidRPr="00D40021">
        <w:rPr>
          <w:rFonts w:ascii="新細明體" w:eastAsia="新細明體" w:hAnsi="新細明體" w:hint="eastAsia"/>
        </w:rPr>
        <w:t>，</w:t>
      </w:r>
      <w:r w:rsidRPr="00D40021">
        <w:rPr>
          <w:rFonts w:hint="eastAsia"/>
        </w:rPr>
        <w:t>顯已違悖憲法第15條保障人民工作權之意旨</w:t>
      </w:r>
      <w:r w:rsidRPr="00D40021">
        <w:rPr>
          <w:rFonts w:ascii="新細明體" w:eastAsia="新細明體" w:hAnsi="新細明體" w:hint="eastAsia"/>
        </w:rPr>
        <w:t>。</w:t>
      </w:r>
    </w:p>
    <w:p w:rsidR="00CD5075" w:rsidRPr="00D40021" w:rsidRDefault="00CD5075" w:rsidP="00CD5075">
      <w:pPr>
        <w:pStyle w:val="5"/>
      </w:pPr>
      <w:r w:rsidRPr="00D40021">
        <w:rPr>
          <w:rFonts w:hint="eastAsia"/>
        </w:rPr>
        <w:t>系爭規定第34條第1項規定</w:t>
      </w:r>
      <w:r w:rsidRPr="00D40021">
        <w:rPr>
          <w:rFonts w:ascii="新細明體" w:eastAsia="新細明體" w:hAnsi="新細明體" w:hint="eastAsia"/>
        </w:rPr>
        <w:t>，</w:t>
      </w:r>
      <w:r w:rsidRPr="00D40021">
        <w:rPr>
          <w:rFonts w:hint="eastAsia"/>
        </w:rPr>
        <w:t>以</w:t>
      </w:r>
      <w:proofErr w:type="gramStart"/>
      <w:r w:rsidRPr="00D40021">
        <w:rPr>
          <w:rFonts w:hint="eastAsia"/>
        </w:rPr>
        <w:t>停領退休俸</w:t>
      </w:r>
      <w:proofErr w:type="gramEnd"/>
      <w:r w:rsidRPr="00D40021">
        <w:rPr>
          <w:rFonts w:hint="eastAsia"/>
        </w:rPr>
        <w:t>或贍養金方式</w:t>
      </w:r>
      <w:r w:rsidRPr="00D40021">
        <w:rPr>
          <w:rFonts w:ascii="新細明體" w:eastAsia="新細明體" w:hAnsi="新細明體" w:hint="eastAsia"/>
        </w:rPr>
        <w:t>，</w:t>
      </w:r>
      <w:r w:rsidRPr="00D40021">
        <w:rPr>
          <w:rFonts w:hint="eastAsia"/>
        </w:rPr>
        <w:t>實質限制退除役人員轉換職業之工作權</w:t>
      </w:r>
      <w:r w:rsidRPr="00D40021">
        <w:rPr>
          <w:rFonts w:ascii="新細明體" w:eastAsia="新細明體" w:hAnsi="新細明體" w:hint="eastAsia"/>
        </w:rPr>
        <w:t>，</w:t>
      </w:r>
      <w:r w:rsidRPr="00D40021">
        <w:rPr>
          <w:rFonts w:hint="eastAsia"/>
        </w:rPr>
        <w:t>尤以轉任私立大學專任教師為甚</w:t>
      </w:r>
      <w:r w:rsidRPr="00D40021">
        <w:rPr>
          <w:rFonts w:ascii="新細明體" w:eastAsia="新細明體" w:hAnsi="新細明體" w:hint="eastAsia"/>
        </w:rPr>
        <w:t>，</w:t>
      </w:r>
      <w:r w:rsidRPr="00D40021">
        <w:rPr>
          <w:rFonts w:hint="eastAsia"/>
        </w:rPr>
        <w:t>侵害憲法保障工作權</w:t>
      </w:r>
      <w:r w:rsidRPr="00D40021">
        <w:rPr>
          <w:rFonts w:ascii="新細明體" w:eastAsia="新細明體" w:hAnsi="新細明體" w:hint="eastAsia"/>
        </w:rPr>
        <w:t>、</w:t>
      </w:r>
      <w:r w:rsidRPr="00D40021">
        <w:rPr>
          <w:rFonts w:hint="eastAsia"/>
        </w:rPr>
        <w:t>財產權</w:t>
      </w:r>
      <w:r w:rsidRPr="00D40021">
        <w:rPr>
          <w:rFonts w:ascii="新細明體" w:eastAsia="新細明體" w:hAnsi="新細明體" w:hint="eastAsia"/>
        </w:rPr>
        <w:t>、</w:t>
      </w:r>
      <w:r w:rsidRPr="00D40021">
        <w:rPr>
          <w:rFonts w:hint="eastAsia"/>
        </w:rPr>
        <w:t>服公職權等權利</w:t>
      </w:r>
      <w:r w:rsidRPr="00D40021">
        <w:rPr>
          <w:rFonts w:ascii="新細明體" w:eastAsia="新細明體" w:hAnsi="新細明體" w:hint="eastAsia"/>
        </w:rPr>
        <w:t>，</w:t>
      </w:r>
      <w:r w:rsidRPr="00D40021">
        <w:rPr>
          <w:rFonts w:hint="eastAsia"/>
        </w:rPr>
        <w:t>其適用亦違反比例原則</w:t>
      </w:r>
      <w:r w:rsidRPr="00D40021">
        <w:rPr>
          <w:rFonts w:ascii="新細明體" w:eastAsia="新細明體" w:hAnsi="新細明體" w:hint="eastAsia"/>
        </w:rPr>
        <w:t>、</w:t>
      </w:r>
      <w:r w:rsidRPr="00D40021">
        <w:rPr>
          <w:rFonts w:hint="eastAsia"/>
        </w:rPr>
        <w:t>平等原則</w:t>
      </w:r>
      <w:r w:rsidRPr="00D40021">
        <w:rPr>
          <w:rFonts w:ascii="新細明體" w:eastAsia="新細明體" w:hAnsi="新細明體" w:hint="eastAsia"/>
        </w:rPr>
        <w:t>、</w:t>
      </w:r>
      <w:r w:rsidRPr="00D40021">
        <w:rPr>
          <w:rFonts w:hint="eastAsia"/>
        </w:rPr>
        <w:t>信賴保護原則</w:t>
      </w:r>
      <w:r w:rsidRPr="00D40021">
        <w:rPr>
          <w:rFonts w:ascii="新細明體" w:eastAsia="新細明體" w:hAnsi="新細明體" w:hint="eastAsia"/>
        </w:rPr>
        <w:t>、</w:t>
      </w:r>
      <w:r w:rsidRPr="00D40021">
        <w:rPr>
          <w:rFonts w:hint="eastAsia"/>
        </w:rPr>
        <w:t>法律</w:t>
      </w:r>
      <w:proofErr w:type="gramStart"/>
      <w:r w:rsidRPr="00D40021">
        <w:rPr>
          <w:rFonts w:hint="eastAsia"/>
        </w:rPr>
        <w:t>不</w:t>
      </w:r>
      <w:proofErr w:type="gramEnd"/>
      <w:r w:rsidRPr="00D40021">
        <w:rPr>
          <w:rFonts w:hint="eastAsia"/>
        </w:rPr>
        <w:t>溯既往原則及禁止不當連結原則等</w:t>
      </w:r>
      <w:r w:rsidRPr="00D40021">
        <w:rPr>
          <w:rFonts w:ascii="新細明體" w:eastAsia="新細明體" w:hAnsi="新細明體" w:hint="eastAsia"/>
        </w:rPr>
        <w:t>。</w:t>
      </w:r>
    </w:p>
    <w:p w:rsidR="00CD5075" w:rsidRPr="00D40021" w:rsidRDefault="00CD5075" w:rsidP="00CD5075">
      <w:pPr>
        <w:pStyle w:val="4"/>
      </w:pPr>
      <w:proofErr w:type="gramStart"/>
      <w:r w:rsidRPr="00D40021">
        <w:rPr>
          <w:rFonts w:hint="eastAsia"/>
        </w:rPr>
        <w:t>悖離</w:t>
      </w:r>
      <w:proofErr w:type="gramEnd"/>
      <w:r w:rsidRPr="00D40021">
        <w:rPr>
          <w:rFonts w:hint="eastAsia"/>
        </w:rPr>
        <w:t>人性尊嚴與國家生存照顧義務</w:t>
      </w:r>
    </w:p>
    <w:p w:rsidR="00CD5075" w:rsidRPr="00D40021" w:rsidRDefault="00CD5075" w:rsidP="00CD5075">
      <w:pPr>
        <w:pStyle w:val="5"/>
      </w:pPr>
      <w:r w:rsidRPr="00D40021">
        <w:rPr>
          <w:rFonts w:hint="eastAsia"/>
        </w:rPr>
        <w:t>立法者依憲法所定</w:t>
      </w:r>
      <w:r w:rsidRPr="00D40021">
        <w:rPr>
          <w:rFonts w:ascii="新細明體" w:eastAsia="新細明體" w:hAnsi="新細明體" w:hint="eastAsia"/>
        </w:rPr>
        <w:t>，</w:t>
      </w:r>
      <w:r w:rsidRPr="00D40021">
        <w:rPr>
          <w:rFonts w:hint="eastAsia"/>
        </w:rPr>
        <w:t>負有立</w:t>
      </w:r>
      <w:r w:rsidRPr="00D40021">
        <w:rPr>
          <w:rFonts w:ascii="新細明體" w:eastAsia="新細明體" w:hAnsi="新細明體" w:hint="eastAsia"/>
        </w:rPr>
        <w:t>、</w:t>
      </w:r>
      <w:r w:rsidRPr="00D40021">
        <w:rPr>
          <w:rFonts w:hint="eastAsia"/>
        </w:rPr>
        <w:t>修法保障退除役人員享有人性尊嚴與生存權之義務</w:t>
      </w:r>
      <w:r w:rsidRPr="00D40021">
        <w:rPr>
          <w:rFonts w:ascii="新細明體" w:eastAsia="新細明體" w:hAnsi="新細明體" w:hint="eastAsia"/>
        </w:rPr>
        <w:t>（</w:t>
      </w:r>
      <w:r w:rsidRPr="00D40021">
        <w:rPr>
          <w:rFonts w:hint="eastAsia"/>
        </w:rPr>
        <w:t>司法院釋字第658號解釋參照</w:t>
      </w:r>
      <w:r w:rsidRPr="00D40021">
        <w:rPr>
          <w:rFonts w:hAnsi="標楷體" w:hint="eastAsia"/>
        </w:rPr>
        <w:t>）</w:t>
      </w:r>
      <w:r w:rsidRPr="00D40021">
        <w:rPr>
          <w:rFonts w:ascii="新細明體" w:eastAsia="新細明體" w:hAnsi="新細明體" w:hint="eastAsia"/>
        </w:rPr>
        <w:t>。</w:t>
      </w:r>
    </w:p>
    <w:p w:rsidR="00CD5075" w:rsidRPr="00D40021" w:rsidRDefault="00CD5075" w:rsidP="00CD5075">
      <w:pPr>
        <w:pStyle w:val="5"/>
      </w:pPr>
      <w:r w:rsidRPr="00D40021">
        <w:rPr>
          <w:rFonts w:hint="eastAsia"/>
        </w:rPr>
        <w:t>系爭規定第26條與第46條調降退除給與及優惠存款利率等規定，只以少尉一級軍官最低俸給發給，形同刪減其原領有之退休</w:t>
      </w:r>
      <w:proofErr w:type="gramStart"/>
      <w:r w:rsidRPr="00D40021">
        <w:rPr>
          <w:rFonts w:hint="eastAsia"/>
        </w:rPr>
        <w:t>俸</w:t>
      </w:r>
      <w:proofErr w:type="gramEnd"/>
      <w:r w:rsidRPr="00D40021">
        <w:rPr>
          <w:rFonts w:hint="eastAsia"/>
        </w:rPr>
        <w:t>，且不論此等規範毫無客觀依據，</w:t>
      </w:r>
      <w:proofErr w:type="gramStart"/>
      <w:r w:rsidRPr="00D40021">
        <w:rPr>
          <w:rFonts w:hint="eastAsia"/>
        </w:rPr>
        <w:t>究否能</w:t>
      </w:r>
      <w:proofErr w:type="gramEnd"/>
      <w:r w:rsidRPr="00D40021">
        <w:rPr>
          <w:rFonts w:hint="eastAsia"/>
        </w:rPr>
        <w:t>如立法理由所謂保障渠等風燭殘年退除役人員最低生活之功能，或司法院釋字第717號解釋理由書所揭，退休制度目的在保障退休人員之生活條件與尊嚴，檢討優惠存款規定時，應避免使其退休所</w:t>
      </w:r>
      <w:r w:rsidRPr="00D40021">
        <w:rPr>
          <w:rFonts w:hint="eastAsia"/>
        </w:rPr>
        <w:lastRenderedPageBreak/>
        <w:t>得降至影響生活程度之意旨，殊非無疑；更遑論退除役</w:t>
      </w:r>
      <w:proofErr w:type="gramStart"/>
      <w:r w:rsidRPr="00D40021">
        <w:rPr>
          <w:rFonts w:hint="eastAsia"/>
        </w:rPr>
        <w:t>人員得藉此</w:t>
      </w:r>
      <w:proofErr w:type="gramEnd"/>
      <w:r w:rsidRPr="00D40021">
        <w:rPr>
          <w:rFonts w:hint="eastAsia"/>
        </w:rPr>
        <w:t>維繫尊嚴生活，且支領退休</w:t>
      </w:r>
      <w:proofErr w:type="gramStart"/>
      <w:r w:rsidRPr="00D40021">
        <w:rPr>
          <w:rFonts w:hint="eastAsia"/>
        </w:rPr>
        <w:t>俸</w:t>
      </w:r>
      <w:proofErr w:type="gramEnd"/>
      <w:r w:rsidRPr="00D40021">
        <w:rPr>
          <w:rFonts w:hint="eastAsia"/>
        </w:rPr>
        <w:t>若低於最低保障金額者，仍按原金額支領，所謂「最低保障金額」顯然形同虛設。</w:t>
      </w:r>
    </w:p>
    <w:p w:rsidR="00CD5075" w:rsidRPr="00D40021" w:rsidRDefault="00CD5075" w:rsidP="00CD5075">
      <w:pPr>
        <w:pStyle w:val="4"/>
      </w:pPr>
      <w:r w:rsidRPr="00D40021">
        <w:rPr>
          <w:rFonts w:hint="eastAsia"/>
        </w:rPr>
        <w:t>違反法律</w:t>
      </w:r>
      <w:proofErr w:type="gramStart"/>
      <w:r w:rsidRPr="00D40021">
        <w:rPr>
          <w:rFonts w:hint="eastAsia"/>
        </w:rPr>
        <w:t>不</w:t>
      </w:r>
      <w:proofErr w:type="gramEnd"/>
      <w:r w:rsidRPr="00D40021">
        <w:rPr>
          <w:rFonts w:hint="eastAsia"/>
        </w:rPr>
        <w:t>溯既往原則</w:t>
      </w:r>
    </w:p>
    <w:p w:rsidR="00CD5075" w:rsidRPr="00D40021" w:rsidRDefault="00CD5075" w:rsidP="00CD5075">
      <w:pPr>
        <w:pStyle w:val="5"/>
      </w:pPr>
      <w:r w:rsidRPr="00D40021">
        <w:rPr>
          <w:rFonts w:hint="eastAsia"/>
        </w:rPr>
        <w:t>系爭規定第26條第3項、第46條第4項第2款及第5項規定，將變更退伍金、退休</w:t>
      </w:r>
      <w:proofErr w:type="gramStart"/>
      <w:r w:rsidRPr="00D40021">
        <w:rPr>
          <w:rFonts w:hint="eastAsia"/>
        </w:rPr>
        <w:t>俸</w:t>
      </w:r>
      <w:proofErr w:type="gramEnd"/>
      <w:r w:rsidRPr="00D40021">
        <w:rPr>
          <w:rFonts w:hint="eastAsia"/>
        </w:rPr>
        <w:t>及優惠存款利息，</w:t>
      </w:r>
      <w:proofErr w:type="gramStart"/>
      <w:r w:rsidRPr="00D40021">
        <w:rPr>
          <w:rFonts w:hint="eastAsia"/>
        </w:rPr>
        <w:t>適用於系爭</w:t>
      </w:r>
      <w:proofErr w:type="gramEnd"/>
      <w:r w:rsidRPr="00D40021">
        <w:rPr>
          <w:rFonts w:hint="eastAsia"/>
        </w:rPr>
        <w:t>規定</w:t>
      </w:r>
      <w:proofErr w:type="gramStart"/>
      <w:r w:rsidRPr="00D40021">
        <w:rPr>
          <w:rFonts w:hint="eastAsia"/>
        </w:rPr>
        <w:t>施行前退除役</w:t>
      </w:r>
      <w:proofErr w:type="gramEnd"/>
      <w:r w:rsidRPr="00D40021">
        <w:rPr>
          <w:rFonts w:hint="eastAsia"/>
        </w:rPr>
        <w:t>人員</w:t>
      </w:r>
      <w:r w:rsidRPr="00D40021">
        <w:rPr>
          <w:rFonts w:ascii="新細明體" w:eastAsia="新細明體" w:hAnsi="新細明體" w:hint="eastAsia"/>
        </w:rPr>
        <w:t>，</w:t>
      </w:r>
      <w:r w:rsidRPr="00D40021">
        <w:rPr>
          <w:rFonts w:hint="eastAsia"/>
        </w:rPr>
        <w:t>減少其退除給與</w:t>
      </w:r>
      <w:r w:rsidRPr="00D40021">
        <w:rPr>
          <w:rFonts w:ascii="新細明體" w:eastAsia="新細明體" w:hAnsi="新細明體" w:hint="eastAsia"/>
        </w:rPr>
        <w:t>。</w:t>
      </w:r>
      <w:r w:rsidRPr="00D40021">
        <w:rPr>
          <w:rFonts w:hint="eastAsia"/>
        </w:rPr>
        <w:t>惟以退除役人員年資都已確定</w:t>
      </w:r>
      <w:r w:rsidRPr="00D40021">
        <w:rPr>
          <w:rFonts w:ascii="新細明體" w:eastAsia="新細明體" w:hAnsi="新細明體" w:hint="eastAsia"/>
        </w:rPr>
        <w:t>，</w:t>
      </w:r>
      <w:r w:rsidRPr="00D40021">
        <w:rPr>
          <w:rFonts w:hint="eastAsia"/>
        </w:rPr>
        <w:t>無法再選擇延役而增加其服務年資</w:t>
      </w:r>
      <w:r w:rsidRPr="00D40021">
        <w:rPr>
          <w:rFonts w:ascii="新細明體" w:eastAsia="新細明體" w:hAnsi="新細明體" w:hint="eastAsia"/>
        </w:rPr>
        <w:t>，</w:t>
      </w:r>
      <w:r w:rsidRPr="00D40021">
        <w:rPr>
          <w:rFonts w:hint="eastAsia"/>
        </w:rPr>
        <w:t>系爭規定修正前後之差額雖</w:t>
      </w:r>
      <w:proofErr w:type="gramStart"/>
      <w:r w:rsidRPr="00D40021">
        <w:rPr>
          <w:rFonts w:hint="eastAsia"/>
        </w:rPr>
        <w:t>採</w:t>
      </w:r>
      <w:proofErr w:type="gramEnd"/>
      <w:r w:rsidRPr="00D40021">
        <w:rPr>
          <w:rFonts w:hint="eastAsia"/>
        </w:rPr>
        <w:t>10年調降</w:t>
      </w:r>
      <w:r w:rsidRPr="00D40021">
        <w:rPr>
          <w:rFonts w:ascii="新細明體" w:eastAsia="新細明體" w:hAnsi="新細明體" w:hint="eastAsia"/>
        </w:rPr>
        <w:t>，</w:t>
      </w:r>
      <w:r w:rsidRPr="00D40021">
        <w:rPr>
          <w:rFonts w:hint="eastAsia"/>
        </w:rPr>
        <w:t>但仍造成已退除役人員財產重大損失（以第1年月減</w:t>
      </w:r>
      <w:r w:rsidR="00D5654B" w:rsidRPr="00D40021">
        <w:rPr>
          <w:rFonts w:hint="eastAsia"/>
        </w:rPr>
        <w:t>新臺幣﹝下同</w:t>
      </w:r>
      <w:proofErr w:type="gramStart"/>
      <w:r w:rsidR="00D5654B" w:rsidRPr="00D40021">
        <w:rPr>
          <w:rFonts w:hint="eastAsia"/>
        </w:rPr>
        <w:t>﹞</w:t>
      </w:r>
      <w:proofErr w:type="gramEnd"/>
      <w:r w:rsidRPr="00D40021">
        <w:rPr>
          <w:rFonts w:hint="eastAsia"/>
        </w:rPr>
        <w:t>1,000元為例</w:t>
      </w:r>
      <w:r w:rsidRPr="00D40021">
        <w:rPr>
          <w:rFonts w:ascii="新細明體" w:eastAsia="新細明體" w:hAnsi="新細明體" w:hint="eastAsia"/>
        </w:rPr>
        <w:t>，</w:t>
      </w:r>
      <w:r w:rsidRPr="00D40021">
        <w:rPr>
          <w:rFonts w:hint="eastAsia"/>
        </w:rPr>
        <w:t>10年即減少660,000元）</w:t>
      </w:r>
      <w:r w:rsidRPr="00D40021">
        <w:rPr>
          <w:rFonts w:ascii="新細明體" w:eastAsia="新細明體" w:hAnsi="新細明體" w:hint="eastAsia"/>
        </w:rPr>
        <w:t>，</w:t>
      </w:r>
      <w:r w:rsidRPr="00D40021">
        <w:rPr>
          <w:rFonts w:hint="eastAsia"/>
        </w:rPr>
        <w:t>並規定至第11年發還本金</w:t>
      </w:r>
      <w:r w:rsidRPr="00D40021">
        <w:rPr>
          <w:rFonts w:ascii="新細明體" w:eastAsia="新細明體" w:hAnsi="新細明體" w:hint="eastAsia"/>
        </w:rPr>
        <w:t>，</w:t>
      </w:r>
      <w:r w:rsidRPr="00D40021">
        <w:rPr>
          <w:rFonts w:hint="eastAsia"/>
        </w:rPr>
        <w:t>才可啟動第26條第2</w:t>
      </w:r>
      <w:r w:rsidR="00FA2279" w:rsidRPr="00D40021">
        <w:rPr>
          <w:rFonts w:hint="eastAsia"/>
        </w:rPr>
        <w:t>項</w:t>
      </w:r>
      <w:r w:rsidRPr="00D40021">
        <w:rPr>
          <w:rFonts w:hint="eastAsia"/>
        </w:rPr>
        <w:t>標準發給退休</w:t>
      </w:r>
      <w:proofErr w:type="gramStart"/>
      <w:r w:rsidRPr="00D40021">
        <w:rPr>
          <w:rFonts w:hint="eastAsia"/>
        </w:rPr>
        <w:t>俸</w:t>
      </w:r>
      <w:proofErr w:type="gramEnd"/>
      <w:r w:rsidRPr="00D40021">
        <w:rPr>
          <w:rFonts w:ascii="新細明體" w:eastAsia="新細明體" w:hAnsi="新細明體" w:hint="eastAsia"/>
        </w:rPr>
        <w:t>，</w:t>
      </w:r>
      <w:r w:rsidRPr="00D40021">
        <w:rPr>
          <w:rFonts w:hint="eastAsia"/>
        </w:rPr>
        <w:t>實為變相之累進費率</w:t>
      </w:r>
      <w:r w:rsidRPr="00D40021">
        <w:rPr>
          <w:rFonts w:ascii="新細明體" w:eastAsia="新細明體" w:hAnsi="新細明體" w:hint="eastAsia"/>
        </w:rPr>
        <w:t>，</w:t>
      </w:r>
      <w:r w:rsidRPr="00D40021">
        <w:rPr>
          <w:rFonts w:hint="eastAsia"/>
        </w:rPr>
        <w:t>扣押人民財產</w:t>
      </w:r>
      <w:r w:rsidRPr="00D40021">
        <w:rPr>
          <w:rFonts w:ascii="新細明體" w:eastAsia="新細明體" w:hAnsi="新細明體" w:hint="eastAsia"/>
        </w:rPr>
        <w:t>，</w:t>
      </w:r>
      <w:r w:rsidRPr="00D40021">
        <w:rPr>
          <w:rFonts w:hint="eastAsia"/>
        </w:rPr>
        <w:t>嚴重侵害退除役人員權利</w:t>
      </w:r>
      <w:r w:rsidRPr="00D40021">
        <w:rPr>
          <w:rFonts w:ascii="新細明體" w:eastAsia="新細明體" w:hAnsi="新細明體" w:hint="eastAsia"/>
        </w:rPr>
        <w:t>，</w:t>
      </w:r>
      <w:r w:rsidRPr="00D40021">
        <w:rPr>
          <w:rFonts w:hint="eastAsia"/>
        </w:rPr>
        <w:t>將新訂生效之法規</w:t>
      </w:r>
      <w:r w:rsidRPr="00D40021">
        <w:rPr>
          <w:rFonts w:ascii="新細明體" w:eastAsia="新細明體" w:hAnsi="新細明體" w:hint="eastAsia"/>
        </w:rPr>
        <w:t>，</w:t>
      </w:r>
      <w:r w:rsidRPr="00D40021">
        <w:rPr>
          <w:rFonts w:hint="eastAsia"/>
        </w:rPr>
        <w:t>適用於法規生效前</w:t>
      </w:r>
      <w:r w:rsidRPr="00D40021">
        <w:rPr>
          <w:rFonts w:ascii="新細明體" w:eastAsia="新細明體" w:hAnsi="新細明體" w:hint="eastAsia"/>
        </w:rPr>
        <w:t>「</w:t>
      </w:r>
      <w:r w:rsidRPr="00D40021">
        <w:rPr>
          <w:rFonts w:hint="eastAsia"/>
        </w:rPr>
        <w:t>已終結事實</w:t>
      </w:r>
      <w:r w:rsidRPr="00D40021">
        <w:rPr>
          <w:rFonts w:ascii="新細明體" w:eastAsia="新細明體" w:hAnsi="新細明體" w:hint="eastAsia"/>
        </w:rPr>
        <w:t>」，</w:t>
      </w:r>
      <w:r w:rsidRPr="00D40021">
        <w:rPr>
          <w:rFonts w:hint="eastAsia"/>
        </w:rPr>
        <w:t>顯已違反法律</w:t>
      </w:r>
      <w:proofErr w:type="gramStart"/>
      <w:r w:rsidRPr="00D40021">
        <w:rPr>
          <w:rFonts w:hint="eastAsia"/>
        </w:rPr>
        <w:t>不</w:t>
      </w:r>
      <w:proofErr w:type="gramEnd"/>
      <w:r w:rsidRPr="00D40021">
        <w:rPr>
          <w:rFonts w:hint="eastAsia"/>
        </w:rPr>
        <w:t>溯既往原則</w:t>
      </w:r>
      <w:r w:rsidRPr="00D40021">
        <w:rPr>
          <w:rFonts w:ascii="新細明體" w:eastAsia="新細明體" w:hAnsi="新細明體" w:hint="eastAsia"/>
        </w:rPr>
        <w:t>。</w:t>
      </w:r>
    </w:p>
    <w:p w:rsidR="00CD5075" w:rsidRPr="00D40021" w:rsidRDefault="00CD5075" w:rsidP="00CD5075">
      <w:pPr>
        <w:pStyle w:val="5"/>
      </w:pPr>
      <w:r w:rsidRPr="00D40021">
        <w:rPr>
          <w:rFonts w:hint="eastAsia"/>
        </w:rPr>
        <w:t>系爭規定第47條第3項有關月補償金之規定</w:t>
      </w:r>
      <w:r w:rsidRPr="00D40021">
        <w:rPr>
          <w:rFonts w:ascii="新細明體" w:eastAsia="新細明體" w:hAnsi="新細明體" w:hint="eastAsia"/>
        </w:rPr>
        <w:t>，</w:t>
      </w:r>
      <w:r w:rsidRPr="00D40021">
        <w:rPr>
          <w:rFonts w:hint="eastAsia"/>
        </w:rPr>
        <w:t>依其修正理由所載</w:t>
      </w:r>
      <w:r w:rsidRPr="00D40021">
        <w:rPr>
          <w:rFonts w:ascii="新細明體" w:eastAsia="新細明體" w:hAnsi="新細明體" w:hint="eastAsia"/>
        </w:rPr>
        <w:t>，</w:t>
      </w:r>
      <w:r w:rsidRPr="00D40021">
        <w:rPr>
          <w:rFonts w:hint="eastAsia"/>
        </w:rPr>
        <w:t>原為彌補據新舊制年資人員繳交基金費用後之損失</w:t>
      </w:r>
      <w:r w:rsidRPr="00D40021">
        <w:rPr>
          <w:rFonts w:ascii="新細明體" w:eastAsia="新細明體" w:hAnsi="新細明體" w:hint="eastAsia"/>
        </w:rPr>
        <w:t>，</w:t>
      </w:r>
      <w:r w:rsidRPr="00D40021">
        <w:rPr>
          <w:rFonts w:hint="eastAsia"/>
        </w:rPr>
        <w:t>及為避免引發大量現役軍</w:t>
      </w:r>
      <w:r w:rsidRPr="00D40021">
        <w:rPr>
          <w:rFonts w:ascii="新細明體" w:eastAsia="新細明體" w:hAnsi="新細明體" w:hint="eastAsia"/>
        </w:rPr>
        <w:t>、</w:t>
      </w:r>
      <w:proofErr w:type="gramStart"/>
      <w:r w:rsidRPr="00D40021">
        <w:rPr>
          <w:rFonts w:hint="eastAsia"/>
        </w:rPr>
        <w:t>士官搶退</w:t>
      </w:r>
      <w:proofErr w:type="gramEnd"/>
      <w:r w:rsidRPr="00D40021">
        <w:rPr>
          <w:rFonts w:ascii="新細明體" w:eastAsia="新細明體" w:hAnsi="新細明體" w:hint="eastAsia"/>
        </w:rPr>
        <w:t>，</w:t>
      </w:r>
      <w:r w:rsidRPr="00D40021">
        <w:rPr>
          <w:rFonts w:hint="eastAsia"/>
        </w:rPr>
        <w:t>影響國防安全</w:t>
      </w:r>
      <w:r w:rsidRPr="00D40021">
        <w:rPr>
          <w:rFonts w:ascii="新細明體" w:eastAsia="新細明體" w:hAnsi="新細明體" w:hint="eastAsia"/>
        </w:rPr>
        <w:t>，</w:t>
      </w:r>
      <w:r w:rsidRPr="00D40021">
        <w:rPr>
          <w:rFonts w:hint="eastAsia"/>
        </w:rPr>
        <w:t>而保留一次補償金云云</w:t>
      </w:r>
      <w:r w:rsidRPr="00D40021">
        <w:rPr>
          <w:rFonts w:ascii="新細明體" w:eastAsia="新細明體" w:hAnsi="新細明體" w:hint="eastAsia"/>
        </w:rPr>
        <w:t>，</w:t>
      </w:r>
      <w:r w:rsidRPr="00D40021">
        <w:rPr>
          <w:rFonts w:hint="eastAsia"/>
        </w:rPr>
        <w:t>卻擴張適用於原已領取月補償金之退除役人員</w:t>
      </w:r>
      <w:r w:rsidRPr="00D40021">
        <w:rPr>
          <w:rFonts w:ascii="新細明體" w:eastAsia="新細明體" w:hAnsi="新細明體" w:hint="eastAsia"/>
        </w:rPr>
        <w:t>，</w:t>
      </w:r>
      <w:r w:rsidRPr="00D40021">
        <w:rPr>
          <w:rFonts w:hint="eastAsia"/>
        </w:rPr>
        <w:t>同樣計算其應領之一次補償金</w:t>
      </w:r>
      <w:r w:rsidRPr="00D40021">
        <w:rPr>
          <w:rFonts w:ascii="新細明體" w:eastAsia="新細明體" w:hAnsi="新細明體" w:hint="eastAsia"/>
        </w:rPr>
        <w:t>，</w:t>
      </w:r>
      <w:r w:rsidRPr="00D40021">
        <w:rPr>
          <w:rFonts w:hint="eastAsia"/>
        </w:rPr>
        <w:t>扣除其於服役條例修正施行前</w:t>
      </w:r>
      <w:r w:rsidRPr="00D40021">
        <w:rPr>
          <w:rFonts w:ascii="新細明體" w:eastAsia="新細明體" w:hAnsi="新細明體" w:hint="eastAsia"/>
        </w:rPr>
        <w:t>、</w:t>
      </w:r>
      <w:r w:rsidRPr="00D40021">
        <w:rPr>
          <w:rFonts w:hint="eastAsia"/>
        </w:rPr>
        <w:t>後所領之月補償金後</w:t>
      </w:r>
      <w:r w:rsidRPr="00D40021">
        <w:rPr>
          <w:rFonts w:ascii="新細明體" w:eastAsia="新細明體" w:hAnsi="新細明體" w:hint="eastAsia"/>
        </w:rPr>
        <w:t>，</w:t>
      </w:r>
      <w:r w:rsidRPr="00D40021">
        <w:rPr>
          <w:rFonts w:hint="eastAsia"/>
        </w:rPr>
        <w:t>依次補發其餘額</w:t>
      </w:r>
      <w:r w:rsidRPr="00D40021">
        <w:rPr>
          <w:rFonts w:ascii="新細明體" w:eastAsia="新細明體" w:hAnsi="新細明體" w:hint="eastAsia"/>
        </w:rPr>
        <w:t>，</w:t>
      </w:r>
      <w:r w:rsidRPr="00D40021">
        <w:rPr>
          <w:rFonts w:hint="eastAsia"/>
        </w:rPr>
        <w:t>無餘額者不再補發</w:t>
      </w:r>
      <w:r w:rsidRPr="00D40021">
        <w:rPr>
          <w:rFonts w:ascii="新細明體" w:eastAsia="新細明體" w:hAnsi="新細明體" w:hint="eastAsia"/>
        </w:rPr>
        <w:t>。</w:t>
      </w:r>
      <w:r w:rsidRPr="00D40021">
        <w:rPr>
          <w:rFonts w:hint="eastAsia"/>
        </w:rPr>
        <w:t>不僅逾越修法</w:t>
      </w:r>
      <w:proofErr w:type="gramStart"/>
      <w:r w:rsidRPr="00D40021">
        <w:rPr>
          <w:rFonts w:hint="eastAsia"/>
        </w:rPr>
        <w:t>本旨及框架</w:t>
      </w:r>
      <w:proofErr w:type="gramEnd"/>
      <w:r w:rsidRPr="00D40021">
        <w:rPr>
          <w:rFonts w:ascii="新細明體" w:eastAsia="新細明體" w:hAnsi="新細明體" w:hint="eastAsia"/>
        </w:rPr>
        <w:t>，</w:t>
      </w:r>
      <w:r w:rsidRPr="00D40021">
        <w:rPr>
          <w:rFonts w:hint="eastAsia"/>
        </w:rPr>
        <w:t>且將新訂生效之法規，適用於法規生效前「已終結事實」，</w:t>
      </w:r>
      <w:proofErr w:type="gramStart"/>
      <w:r w:rsidRPr="00D40021">
        <w:rPr>
          <w:rFonts w:hint="eastAsia"/>
        </w:rPr>
        <w:t>並顯違反</w:t>
      </w:r>
      <w:proofErr w:type="gramEnd"/>
      <w:r w:rsidRPr="00D40021">
        <w:rPr>
          <w:rFonts w:hint="eastAsia"/>
        </w:rPr>
        <w:t>法律</w:t>
      </w:r>
      <w:proofErr w:type="gramStart"/>
      <w:r w:rsidRPr="00D40021">
        <w:rPr>
          <w:rFonts w:hint="eastAsia"/>
        </w:rPr>
        <w:t>不</w:t>
      </w:r>
      <w:proofErr w:type="gramEnd"/>
      <w:r w:rsidRPr="00D40021">
        <w:rPr>
          <w:rFonts w:hint="eastAsia"/>
        </w:rPr>
        <w:t>溯既往原則。</w:t>
      </w:r>
    </w:p>
    <w:p w:rsidR="00CD5075" w:rsidRPr="00D40021" w:rsidRDefault="00CD5075" w:rsidP="00CD5075">
      <w:pPr>
        <w:pStyle w:val="4"/>
      </w:pPr>
      <w:proofErr w:type="gramStart"/>
      <w:r w:rsidRPr="00D40021">
        <w:rPr>
          <w:rFonts w:hint="eastAsia"/>
        </w:rPr>
        <w:t>針對性修法</w:t>
      </w:r>
      <w:proofErr w:type="gramEnd"/>
      <w:r w:rsidRPr="00D40021">
        <w:rPr>
          <w:rFonts w:hint="eastAsia"/>
        </w:rPr>
        <w:t>有違法律平等原則及比例原則</w:t>
      </w:r>
    </w:p>
    <w:p w:rsidR="00CD5075" w:rsidRPr="00D40021" w:rsidRDefault="00CD5075" w:rsidP="00CD5075">
      <w:pPr>
        <w:pStyle w:val="5"/>
      </w:pPr>
      <w:r w:rsidRPr="00D40021">
        <w:rPr>
          <w:rFonts w:hint="eastAsia"/>
        </w:rPr>
        <w:lastRenderedPageBreak/>
        <w:t>憲法第7條平等原則並非指絕對</w:t>
      </w:r>
      <w:r w:rsidRPr="00D40021">
        <w:rPr>
          <w:rFonts w:ascii="新細明體" w:eastAsia="新細明體" w:hAnsi="新細明體" w:hint="eastAsia"/>
        </w:rPr>
        <w:t>、</w:t>
      </w:r>
      <w:r w:rsidRPr="00D40021">
        <w:rPr>
          <w:rFonts w:hint="eastAsia"/>
        </w:rPr>
        <w:t>機械之形式上平等</w:t>
      </w:r>
      <w:r w:rsidRPr="00D40021">
        <w:rPr>
          <w:rFonts w:ascii="新細明體" w:eastAsia="新細明體" w:hAnsi="新細明體" w:hint="eastAsia"/>
        </w:rPr>
        <w:t>，</w:t>
      </w:r>
      <w:r w:rsidRPr="00D40021">
        <w:rPr>
          <w:rFonts w:hint="eastAsia"/>
        </w:rPr>
        <w:t>而係保障人民在</w:t>
      </w:r>
      <w:r w:rsidRPr="00D40021">
        <w:rPr>
          <w:rFonts w:ascii="新細明體" w:eastAsia="新細明體" w:hAnsi="新細明體" w:hint="eastAsia"/>
        </w:rPr>
        <w:t>「</w:t>
      </w:r>
      <w:r w:rsidRPr="00D40021">
        <w:rPr>
          <w:rFonts w:hint="eastAsia"/>
        </w:rPr>
        <w:t>法律上</w:t>
      </w:r>
      <w:r w:rsidRPr="00D40021">
        <w:rPr>
          <w:rFonts w:ascii="新細明體" w:eastAsia="新細明體" w:hAnsi="新細明體" w:hint="eastAsia"/>
        </w:rPr>
        <w:t>」</w:t>
      </w:r>
      <w:r w:rsidRPr="00D40021">
        <w:rPr>
          <w:rFonts w:hint="eastAsia"/>
        </w:rPr>
        <w:t>地位之實質平等</w:t>
      </w:r>
      <w:r w:rsidRPr="00D40021">
        <w:rPr>
          <w:rFonts w:ascii="新細明體" w:eastAsia="新細明體" w:hAnsi="新細明體" w:hint="eastAsia"/>
        </w:rPr>
        <w:t>。</w:t>
      </w:r>
      <w:r w:rsidRPr="00D40021">
        <w:rPr>
          <w:rFonts w:hint="eastAsia"/>
        </w:rPr>
        <w:t>系爭規定第26條第2項第2款規定</w:t>
      </w:r>
      <w:r w:rsidRPr="00D40021">
        <w:rPr>
          <w:rFonts w:ascii="新細明體" w:eastAsia="新細明體" w:hAnsi="新細明體" w:hint="eastAsia"/>
        </w:rPr>
        <w:t>，</w:t>
      </w:r>
      <w:r w:rsidRPr="00D40021">
        <w:rPr>
          <w:rFonts w:hint="eastAsia"/>
        </w:rPr>
        <w:t>退休</w:t>
      </w:r>
      <w:proofErr w:type="gramStart"/>
      <w:r w:rsidRPr="00D40021">
        <w:rPr>
          <w:rFonts w:hint="eastAsia"/>
        </w:rPr>
        <w:t>俸</w:t>
      </w:r>
      <w:proofErr w:type="gramEnd"/>
      <w:r w:rsidRPr="00D40021">
        <w:rPr>
          <w:rFonts w:hint="eastAsia"/>
        </w:rPr>
        <w:t>係以退伍除役生效日</w:t>
      </w:r>
      <w:r w:rsidRPr="00D40021">
        <w:rPr>
          <w:rFonts w:ascii="新細明體" w:eastAsia="新細明體" w:hAnsi="新細明體" w:hint="eastAsia"/>
        </w:rPr>
        <w:t>，</w:t>
      </w:r>
      <w:r w:rsidRPr="00D40021">
        <w:rPr>
          <w:rFonts w:hint="eastAsia"/>
        </w:rPr>
        <w:t>現役同官階</w:t>
      </w:r>
      <w:proofErr w:type="gramStart"/>
      <w:r w:rsidRPr="00D40021">
        <w:rPr>
          <w:rFonts w:hint="eastAsia"/>
        </w:rPr>
        <w:t>俸</w:t>
      </w:r>
      <w:proofErr w:type="gramEnd"/>
      <w:r w:rsidRPr="00D40021">
        <w:rPr>
          <w:rFonts w:hint="eastAsia"/>
        </w:rPr>
        <w:t>級人員服役期間最後五分之一年資之本</w:t>
      </w:r>
      <w:proofErr w:type="gramStart"/>
      <w:r w:rsidRPr="00D40021">
        <w:rPr>
          <w:rFonts w:hint="eastAsia"/>
        </w:rPr>
        <w:t>俸</w:t>
      </w:r>
      <w:proofErr w:type="gramEnd"/>
      <w:r w:rsidRPr="00D40021">
        <w:rPr>
          <w:rFonts w:hint="eastAsia"/>
        </w:rPr>
        <w:t>平均數加1倍做為計算基準</w:t>
      </w:r>
      <w:r w:rsidRPr="00D40021">
        <w:rPr>
          <w:rFonts w:ascii="新細明體" w:eastAsia="新細明體" w:hAnsi="新細明體" w:hint="eastAsia"/>
        </w:rPr>
        <w:t>。</w:t>
      </w:r>
      <w:r w:rsidRPr="00D40021">
        <w:rPr>
          <w:rFonts w:hint="eastAsia"/>
        </w:rPr>
        <w:t>顯然限制退除給與支領上限</w:t>
      </w:r>
      <w:r w:rsidRPr="00D40021">
        <w:rPr>
          <w:rFonts w:ascii="新細明體" w:eastAsia="新細明體" w:hAnsi="新細明體" w:hint="eastAsia"/>
        </w:rPr>
        <w:t>，</w:t>
      </w:r>
      <w:r w:rsidRPr="00D40021">
        <w:rPr>
          <w:rFonts w:hint="eastAsia"/>
        </w:rPr>
        <w:t>破壞軍隊官制</w:t>
      </w:r>
      <w:r w:rsidRPr="00D40021">
        <w:rPr>
          <w:rFonts w:ascii="新細明體" w:eastAsia="新細明體" w:hAnsi="新細明體" w:hint="eastAsia"/>
        </w:rPr>
        <w:t>，</w:t>
      </w:r>
      <w:r w:rsidRPr="00D40021">
        <w:rPr>
          <w:rFonts w:hint="eastAsia"/>
        </w:rPr>
        <w:t>否定軍人國家社會特殊之犧牲與奉獻</w:t>
      </w:r>
      <w:r w:rsidRPr="00D40021">
        <w:rPr>
          <w:rFonts w:ascii="新細明體" w:eastAsia="新細明體" w:hAnsi="新細明體" w:hint="eastAsia"/>
        </w:rPr>
        <w:t>，</w:t>
      </w:r>
      <w:proofErr w:type="gramStart"/>
      <w:r w:rsidRPr="00D40021">
        <w:rPr>
          <w:rFonts w:hint="eastAsia"/>
        </w:rPr>
        <w:t>悖離</w:t>
      </w:r>
      <w:proofErr w:type="gramEnd"/>
      <w:r w:rsidRPr="00D40021">
        <w:rPr>
          <w:rFonts w:hint="eastAsia"/>
        </w:rPr>
        <w:t>憲法增修條文第10條第9項明定尊重軍人之規定</w:t>
      </w:r>
      <w:r w:rsidRPr="00D40021">
        <w:rPr>
          <w:rFonts w:ascii="新細明體" w:eastAsia="新細明體" w:hAnsi="新細明體" w:hint="eastAsia"/>
        </w:rPr>
        <w:t>，</w:t>
      </w:r>
      <w:r w:rsidRPr="00D40021">
        <w:rPr>
          <w:rFonts w:hint="eastAsia"/>
        </w:rPr>
        <w:t>違背法律平等原則</w:t>
      </w:r>
      <w:r w:rsidRPr="00D40021">
        <w:rPr>
          <w:rFonts w:ascii="新細明體" w:eastAsia="新細明體" w:hAnsi="新細明體" w:hint="eastAsia"/>
        </w:rPr>
        <w:t>。</w:t>
      </w:r>
    </w:p>
    <w:p w:rsidR="00CD5075" w:rsidRPr="00D40021" w:rsidRDefault="00CD5075" w:rsidP="00CD5075">
      <w:pPr>
        <w:pStyle w:val="5"/>
      </w:pPr>
      <w:r w:rsidRPr="00D40021">
        <w:rPr>
          <w:rFonts w:hint="eastAsia"/>
        </w:rPr>
        <w:t>系爭規定第26條第3項規定</w:t>
      </w:r>
      <w:r w:rsidRPr="00D40021">
        <w:rPr>
          <w:rFonts w:ascii="新細明體" w:eastAsia="新細明體" w:hAnsi="新細明體" w:hint="eastAsia"/>
        </w:rPr>
        <w:t>，</w:t>
      </w:r>
      <w:r w:rsidRPr="00D40021">
        <w:rPr>
          <w:rFonts w:hint="eastAsia"/>
        </w:rPr>
        <w:t>採取削減優惠存款利息與拉近不同時期</w:t>
      </w:r>
      <w:proofErr w:type="gramStart"/>
      <w:r w:rsidRPr="00D40021">
        <w:rPr>
          <w:rFonts w:hint="eastAsia"/>
        </w:rPr>
        <w:t>同階同年資</w:t>
      </w:r>
      <w:proofErr w:type="gramEnd"/>
      <w:r w:rsidRPr="00D40021">
        <w:rPr>
          <w:rFonts w:hint="eastAsia"/>
        </w:rPr>
        <w:t>給付水準等溯及既往之不當修法</w:t>
      </w:r>
      <w:r w:rsidRPr="00D40021">
        <w:rPr>
          <w:rFonts w:ascii="新細明體" w:eastAsia="新細明體" w:hAnsi="新細明體" w:hint="eastAsia"/>
        </w:rPr>
        <w:t>，</w:t>
      </w:r>
      <w:r w:rsidRPr="00D40021">
        <w:rPr>
          <w:rFonts w:hint="eastAsia"/>
        </w:rPr>
        <w:t>受影響最大者為具有跨新舊制年資之士官5,050人</w:t>
      </w:r>
      <w:r w:rsidRPr="00D40021">
        <w:rPr>
          <w:rFonts w:ascii="新細明體" w:eastAsia="新細明體" w:hAnsi="新細明體" w:hint="eastAsia"/>
        </w:rPr>
        <w:t>，</w:t>
      </w:r>
      <w:r w:rsidRPr="00D40021">
        <w:rPr>
          <w:rFonts w:hint="eastAsia"/>
        </w:rPr>
        <w:t>校官49,029人</w:t>
      </w:r>
      <w:r w:rsidRPr="00D40021">
        <w:rPr>
          <w:rFonts w:ascii="新細明體" w:eastAsia="新細明體" w:hAnsi="新細明體" w:hint="eastAsia"/>
        </w:rPr>
        <w:t>，</w:t>
      </w:r>
      <w:r w:rsidRPr="00D40021">
        <w:rPr>
          <w:rFonts w:hint="eastAsia"/>
        </w:rPr>
        <w:t>將官2,233人</w:t>
      </w:r>
      <w:r w:rsidRPr="00D40021">
        <w:rPr>
          <w:rFonts w:ascii="新細明體" w:eastAsia="新細明體" w:hAnsi="新細明體" w:hint="eastAsia"/>
        </w:rPr>
        <w:t>，</w:t>
      </w:r>
      <w:r w:rsidRPr="00D40021">
        <w:rPr>
          <w:rFonts w:hint="eastAsia"/>
        </w:rPr>
        <w:t>合計56,512人</w:t>
      </w:r>
      <w:r w:rsidRPr="00D40021">
        <w:rPr>
          <w:rFonts w:ascii="新細明體" w:eastAsia="新細明體" w:hAnsi="新細明體" w:hint="eastAsia"/>
        </w:rPr>
        <w:t>，</w:t>
      </w:r>
      <w:proofErr w:type="gramStart"/>
      <w:r w:rsidRPr="00D40021">
        <w:rPr>
          <w:rFonts w:hint="eastAsia"/>
        </w:rPr>
        <w:t>佔</w:t>
      </w:r>
      <w:proofErr w:type="gramEnd"/>
      <w:r w:rsidRPr="00D40021">
        <w:rPr>
          <w:rFonts w:hint="eastAsia"/>
        </w:rPr>
        <w:t>支領月退</w:t>
      </w:r>
      <w:proofErr w:type="gramStart"/>
      <w:r w:rsidRPr="00D40021">
        <w:rPr>
          <w:rFonts w:hint="eastAsia"/>
        </w:rPr>
        <w:t>俸</w:t>
      </w:r>
      <w:proofErr w:type="gramEnd"/>
      <w:r w:rsidRPr="00D40021">
        <w:rPr>
          <w:rFonts w:hint="eastAsia"/>
        </w:rPr>
        <w:t>退除役人員之48%</w:t>
      </w:r>
      <w:r w:rsidRPr="00D40021">
        <w:rPr>
          <w:rFonts w:ascii="新細明體" w:eastAsia="新細明體" w:hAnsi="新細明體" w:hint="eastAsia"/>
        </w:rPr>
        <w:t>，</w:t>
      </w:r>
      <w:proofErr w:type="gramStart"/>
      <w:r w:rsidRPr="00D40021">
        <w:rPr>
          <w:rFonts w:hint="eastAsia"/>
        </w:rPr>
        <w:t>佔</w:t>
      </w:r>
      <w:proofErr w:type="gramEnd"/>
      <w:r w:rsidRPr="00D40021">
        <w:rPr>
          <w:rFonts w:hint="eastAsia"/>
        </w:rPr>
        <w:t>整體支領退除役給與人員之28%</w:t>
      </w:r>
      <w:r w:rsidRPr="00D40021">
        <w:rPr>
          <w:rFonts w:ascii="新細明體" w:eastAsia="新細明體" w:hAnsi="新細明體" w:hint="eastAsia"/>
        </w:rPr>
        <w:t>，</w:t>
      </w:r>
      <w:r w:rsidRPr="00D40021">
        <w:rPr>
          <w:rFonts w:hint="eastAsia"/>
        </w:rPr>
        <w:t>此針對性之修法</w:t>
      </w:r>
      <w:r w:rsidRPr="00D40021">
        <w:rPr>
          <w:rFonts w:ascii="新細明體" w:eastAsia="新細明體" w:hAnsi="新細明體" w:hint="eastAsia"/>
        </w:rPr>
        <w:t>，</w:t>
      </w:r>
      <w:r w:rsidRPr="00D40021">
        <w:rPr>
          <w:rFonts w:hint="eastAsia"/>
        </w:rPr>
        <w:t>調降退除給與</w:t>
      </w:r>
      <w:r w:rsidRPr="00D40021">
        <w:rPr>
          <w:rFonts w:ascii="新細明體" w:eastAsia="新細明體" w:hAnsi="新細明體" w:hint="eastAsia"/>
        </w:rPr>
        <w:t>（</w:t>
      </w:r>
      <w:r w:rsidRPr="00D40021">
        <w:rPr>
          <w:rFonts w:hint="eastAsia"/>
        </w:rPr>
        <w:t>含優惠存款18%差息補貼結餘款</w:t>
      </w:r>
      <w:r w:rsidRPr="00D40021">
        <w:rPr>
          <w:rFonts w:hAnsi="標楷體" w:hint="eastAsia"/>
        </w:rPr>
        <w:t>）</w:t>
      </w:r>
      <w:r w:rsidRPr="00D40021">
        <w:rPr>
          <w:rFonts w:ascii="新細明體" w:eastAsia="新細明體" w:hAnsi="新細明體" w:hint="eastAsia"/>
        </w:rPr>
        <w:t>，</w:t>
      </w:r>
      <w:r w:rsidRPr="00D40021">
        <w:rPr>
          <w:rFonts w:hint="eastAsia"/>
        </w:rPr>
        <w:t>共計1,628億元</w:t>
      </w:r>
      <w:r w:rsidRPr="00D40021">
        <w:rPr>
          <w:rFonts w:ascii="新細明體" w:eastAsia="新細明體" w:hAnsi="新細明體" w:hint="eastAsia"/>
        </w:rPr>
        <w:t>，</w:t>
      </w:r>
      <w:r w:rsidRPr="00D40021">
        <w:rPr>
          <w:rFonts w:hint="eastAsia"/>
        </w:rPr>
        <w:t>並稱可延後軍人退撫基金至少30年不會有破產疑慮</w:t>
      </w:r>
      <w:r w:rsidRPr="00D40021">
        <w:rPr>
          <w:rFonts w:ascii="新細明體" w:eastAsia="新細明體" w:hAnsi="新細明體" w:hint="eastAsia"/>
        </w:rPr>
        <w:t>，</w:t>
      </w:r>
      <w:r w:rsidRPr="00D40021">
        <w:rPr>
          <w:rFonts w:hint="eastAsia"/>
        </w:rPr>
        <w:t>甚至推估將剩餘1,233億元</w:t>
      </w:r>
      <w:r w:rsidRPr="00D40021">
        <w:rPr>
          <w:rFonts w:ascii="新細明體" w:eastAsia="新細明體" w:hAnsi="新細明體" w:hint="eastAsia"/>
        </w:rPr>
        <w:t>。</w:t>
      </w:r>
      <w:proofErr w:type="gramStart"/>
      <w:r w:rsidRPr="00D40021">
        <w:rPr>
          <w:rFonts w:hint="eastAsia"/>
        </w:rPr>
        <w:t>竟誣稱</w:t>
      </w:r>
      <w:proofErr w:type="gramEnd"/>
      <w:r w:rsidRPr="00D40021">
        <w:rPr>
          <w:rFonts w:hint="eastAsia"/>
        </w:rPr>
        <w:t>軍人退撫基金缺口將日益擴大</w:t>
      </w:r>
      <w:r w:rsidRPr="00D40021">
        <w:rPr>
          <w:rFonts w:ascii="新細明體" w:eastAsia="新細明體" w:hAnsi="新細明體" w:hint="eastAsia"/>
        </w:rPr>
        <w:t>，</w:t>
      </w:r>
      <w:r w:rsidRPr="00D40021">
        <w:rPr>
          <w:rFonts w:hint="eastAsia"/>
        </w:rPr>
        <w:t>並將虛擬不實之政府財政困難壓力</w:t>
      </w:r>
      <w:r w:rsidRPr="00D40021">
        <w:rPr>
          <w:rFonts w:ascii="新細明體" w:eastAsia="新細明體" w:hAnsi="新細明體" w:hint="eastAsia"/>
        </w:rPr>
        <w:t>，</w:t>
      </w:r>
      <w:r w:rsidRPr="00D40021">
        <w:rPr>
          <w:rFonts w:hint="eastAsia"/>
        </w:rPr>
        <w:t>以不當</w:t>
      </w:r>
      <w:proofErr w:type="gramStart"/>
      <w:r w:rsidRPr="00D40021">
        <w:rPr>
          <w:rFonts w:hint="eastAsia"/>
        </w:rPr>
        <w:t>針對性修法</w:t>
      </w:r>
      <w:proofErr w:type="gramEnd"/>
      <w:r w:rsidRPr="00D40021">
        <w:rPr>
          <w:rFonts w:ascii="新細明體" w:eastAsia="新細明體" w:hAnsi="新細明體" w:hint="eastAsia"/>
        </w:rPr>
        <w:t>，</w:t>
      </w:r>
      <w:r w:rsidRPr="00D40021">
        <w:rPr>
          <w:rFonts w:hint="eastAsia"/>
        </w:rPr>
        <w:t>僅推由受影響最大之5萬6,000餘人承擔</w:t>
      </w:r>
      <w:r w:rsidRPr="00D40021">
        <w:rPr>
          <w:rFonts w:ascii="新細明體" w:eastAsia="新細明體" w:hAnsi="新細明體" w:hint="eastAsia"/>
        </w:rPr>
        <w:t>，</w:t>
      </w:r>
      <w:r w:rsidRPr="00D40021">
        <w:rPr>
          <w:rFonts w:hint="eastAsia"/>
        </w:rPr>
        <w:t>顯然不符平等原則及比例原則</w:t>
      </w:r>
      <w:r w:rsidRPr="00D40021">
        <w:rPr>
          <w:rFonts w:ascii="新細明體" w:eastAsia="新細明體" w:hAnsi="新細明體" w:hint="eastAsia"/>
        </w:rPr>
        <w:t>。</w:t>
      </w:r>
    </w:p>
    <w:p w:rsidR="00586298" w:rsidRPr="00D40021" w:rsidRDefault="00586298" w:rsidP="00586298">
      <w:pPr>
        <w:pStyle w:val="3"/>
      </w:pPr>
      <w:r w:rsidRPr="00D40021">
        <w:rPr>
          <w:rFonts w:hint="eastAsia"/>
        </w:rPr>
        <w:t>綜上，</w:t>
      </w:r>
      <w:r w:rsidR="003805B9" w:rsidRPr="00D40021">
        <w:rPr>
          <w:rFonts w:hint="eastAsia"/>
        </w:rPr>
        <w:t>新</w:t>
      </w:r>
      <w:r w:rsidR="003805B9" w:rsidRPr="00D40021">
        <w:rPr>
          <w:rFonts w:hAnsi="標楷體" w:hint="eastAsia"/>
        </w:rPr>
        <w:t>修正施行之服役條例，因第26條、第46條、第47條等部分條文，變更軍、士官退除給與計算基</w:t>
      </w:r>
      <w:r w:rsidR="003805B9" w:rsidRPr="00D40021">
        <w:rPr>
          <w:rFonts w:hint="eastAsia"/>
        </w:rPr>
        <w:t>礎，削減退除給與優惠存款利息，立法院審查該條例時，有立法委員認為涉有侵害憲法保障人民之財產權、工作權、生存權及違反法律</w:t>
      </w:r>
      <w:proofErr w:type="gramStart"/>
      <w:r w:rsidR="003805B9" w:rsidRPr="00D40021">
        <w:rPr>
          <w:rFonts w:hint="eastAsia"/>
        </w:rPr>
        <w:t>不</w:t>
      </w:r>
      <w:proofErr w:type="gramEnd"/>
      <w:r w:rsidR="003805B9" w:rsidRPr="00D40021">
        <w:rPr>
          <w:rFonts w:hint="eastAsia"/>
        </w:rPr>
        <w:t>溯既往、信賴保護原則等違憲疑義，</w:t>
      </w:r>
      <w:proofErr w:type="gramStart"/>
      <w:r w:rsidR="003805B9" w:rsidRPr="00D40021">
        <w:rPr>
          <w:rFonts w:hint="eastAsia"/>
        </w:rPr>
        <w:t>爰</w:t>
      </w:r>
      <w:proofErr w:type="gramEnd"/>
      <w:r w:rsidR="003805B9" w:rsidRPr="00D40021">
        <w:rPr>
          <w:rFonts w:hint="eastAsia"/>
        </w:rPr>
        <w:t>依司法院大法官審理案件法第5條第1項第3款規定，以立法委員現有員額三</w:t>
      </w:r>
      <w:r w:rsidR="003805B9" w:rsidRPr="00D40021">
        <w:rPr>
          <w:rFonts w:hint="eastAsia"/>
        </w:rPr>
        <w:lastRenderedPageBreak/>
        <w:t>分之一以上連署聲請大法官解釋，刻由司法院依法處理中，相關爭議允應尊重大法官解釋結果。</w:t>
      </w:r>
    </w:p>
    <w:p w:rsidR="005B1E88" w:rsidRPr="00D40021" w:rsidRDefault="005B1E88" w:rsidP="005B1E88">
      <w:pPr>
        <w:pStyle w:val="3"/>
        <w:numPr>
          <w:ilvl w:val="0"/>
          <w:numId w:val="0"/>
        </w:numPr>
        <w:ind w:left="1361"/>
      </w:pPr>
    </w:p>
    <w:p w:rsidR="007A2D2F" w:rsidRPr="00D40021" w:rsidRDefault="007A2D2F" w:rsidP="007A2D2F">
      <w:pPr>
        <w:pStyle w:val="2"/>
        <w:numPr>
          <w:ilvl w:val="1"/>
          <w:numId w:val="1"/>
        </w:numPr>
        <w:rPr>
          <w:rFonts w:hAnsi="標楷體"/>
          <w:b/>
        </w:rPr>
      </w:pPr>
      <w:r w:rsidRPr="00D40021">
        <w:rPr>
          <w:rFonts w:hAnsi="標楷體" w:hint="eastAsia"/>
          <w:b/>
        </w:rPr>
        <w:t>107年7月1日修正施行服役條例第26條第1項、第2項第2款及第3項規定與第59條規定，就修正施行前已退伍除役之人員，定有依</w:t>
      </w:r>
      <w:r w:rsidRPr="00D40021">
        <w:rPr>
          <w:rFonts w:hAnsi="標楷體"/>
          <w:b/>
        </w:rPr>
        <w:t>修正施行前給與基準計算之每月支領退休</w:t>
      </w:r>
      <w:proofErr w:type="gramStart"/>
      <w:r w:rsidRPr="00D40021">
        <w:rPr>
          <w:rFonts w:hAnsi="標楷體"/>
          <w:b/>
        </w:rPr>
        <w:t>俸</w:t>
      </w:r>
      <w:proofErr w:type="gramEnd"/>
      <w:r w:rsidRPr="00D40021">
        <w:rPr>
          <w:rFonts w:hAnsi="標楷體"/>
          <w:b/>
        </w:rPr>
        <w:t>、優存利息及月補償金合計數額，</w:t>
      </w:r>
      <w:proofErr w:type="gramStart"/>
      <w:r w:rsidRPr="00D40021">
        <w:rPr>
          <w:rFonts w:hAnsi="標楷體" w:hint="eastAsia"/>
          <w:b/>
        </w:rPr>
        <w:t>然倘</w:t>
      </w:r>
      <w:r w:rsidRPr="00D40021">
        <w:rPr>
          <w:rFonts w:hAnsi="標楷體"/>
          <w:b/>
        </w:rPr>
        <w:t>超過</w:t>
      </w:r>
      <w:proofErr w:type="gramEnd"/>
      <w:r w:rsidRPr="00D40021">
        <w:rPr>
          <w:rFonts w:hAnsi="標楷體"/>
          <w:b/>
        </w:rPr>
        <w:t>依修正施行後給與基準計算之退休</w:t>
      </w:r>
      <w:proofErr w:type="gramStart"/>
      <w:r w:rsidRPr="00D40021">
        <w:rPr>
          <w:rFonts w:hAnsi="標楷體"/>
          <w:b/>
        </w:rPr>
        <w:t>俸</w:t>
      </w:r>
      <w:proofErr w:type="gramEnd"/>
      <w:r w:rsidRPr="00D40021">
        <w:rPr>
          <w:rFonts w:hAnsi="標楷體"/>
          <w:b/>
        </w:rPr>
        <w:t>者</w:t>
      </w:r>
      <w:r w:rsidRPr="00D40021">
        <w:rPr>
          <w:rFonts w:hAnsi="標楷體" w:hint="eastAsia"/>
          <w:b/>
        </w:rPr>
        <w:t>，需</w:t>
      </w:r>
      <w:r w:rsidRPr="00D40021">
        <w:rPr>
          <w:rFonts w:hAnsi="標楷體"/>
          <w:b/>
        </w:rPr>
        <w:t>自施行日起10年內，分年平均調降至無差額止</w:t>
      </w:r>
      <w:r w:rsidRPr="00D40021">
        <w:rPr>
          <w:rFonts w:hAnsi="標楷體" w:hint="eastAsia"/>
          <w:b/>
        </w:rPr>
        <w:t>，</w:t>
      </w:r>
      <w:proofErr w:type="gramStart"/>
      <w:r w:rsidRPr="00D40021">
        <w:rPr>
          <w:rFonts w:hAnsi="標楷體" w:hint="eastAsia"/>
          <w:b/>
        </w:rPr>
        <w:t>業減損</w:t>
      </w:r>
      <w:proofErr w:type="gramEnd"/>
      <w:r w:rsidRPr="00D40021">
        <w:rPr>
          <w:rFonts w:hAnsi="標楷體" w:hint="eastAsia"/>
          <w:b/>
        </w:rPr>
        <w:t>軍人退休所得權益，並該條例得於每5年內檢討制度設計與財務永續發展，而使退休給付債權成為永不確定狀態，</w:t>
      </w:r>
      <w:r w:rsidR="00FC0775" w:rsidRPr="00D40021">
        <w:rPr>
          <w:rFonts w:hAnsi="標楷體" w:hint="eastAsia"/>
          <w:b/>
        </w:rPr>
        <w:t>其適用對象與範圍涵蓋已退伍與未退伍之軍人，涉有背離憲法</w:t>
      </w:r>
      <w:proofErr w:type="gramStart"/>
      <w:r w:rsidR="00FC0775" w:rsidRPr="00D40021">
        <w:rPr>
          <w:rFonts w:hAnsi="標楷體" w:hint="eastAsia"/>
          <w:b/>
        </w:rPr>
        <w:t>法</w:t>
      </w:r>
      <w:proofErr w:type="gramEnd"/>
      <w:r w:rsidR="00FC0775" w:rsidRPr="00D40021">
        <w:rPr>
          <w:rFonts w:hAnsi="標楷體" w:hint="eastAsia"/>
          <w:b/>
        </w:rPr>
        <w:t>安定原則，有違法律</w:t>
      </w:r>
      <w:proofErr w:type="gramStart"/>
      <w:r w:rsidR="0005441D" w:rsidRPr="00D40021">
        <w:rPr>
          <w:rFonts w:hAnsi="標楷體" w:hint="eastAsia"/>
          <w:b/>
        </w:rPr>
        <w:t>不</w:t>
      </w:r>
      <w:proofErr w:type="gramEnd"/>
      <w:r w:rsidR="00FC0775" w:rsidRPr="00D40021">
        <w:rPr>
          <w:rFonts w:hAnsi="標楷體" w:hint="eastAsia"/>
          <w:b/>
        </w:rPr>
        <w:t>溯既往原則，侵害軍人財產權之虞</w:t>
      </w:r>
      <w:r w:rsidRPr="00D40021">
        <w:rPr>
          <w:rFonts w:hAnsi="標楷體" w:hint="eastAsia"/>
          <w:b/>
        </w:rPr>
        <w:t>。</w:t>
      </w:r>
    </w:p>
    <w:p w:rsidR="007A2D2F" w:rsidRPr="00D40021" w:rsidRDefault="007A2D2F" w:rsidP="007A2D2F">
      <w:pPr>
        <w:pStyle w:val="3"/>
      </w:pPr>
      <w:r w:rsidRPr="00D40021">
        <w:rPr>
          <w:rFonts w:hint="eastAsia"/>
        </w:rPr>
        <w:t>軍人</w:t>
      </w:r>
      <w:r w:rsidRPr="00D40021">
        <w:t>個人法律地位受國家特別法律關係之限制</w:t>
      </w:r>
      <w:r w:rsidRPr="00D40021">
        <w:rPr>
          <w:rFonts w:hint="eastAsia"/>
        </w:rPr>
        <w:t>，</w:t>
      </w:r>
      <w:r w:rsidRPr="00D40021">
        <w:t>從「任</w:t>
      </w:r>
      <w:r w:rsidRPr="00D40021">
        <w:rPr>
          <w:rFonts w:hint="eastAsia"/>
        </w:rPr>
        <w:t>官</w:t>
      </w:r>
      <w:r w:rsidRPr="00D40021">
        <w:t>」時起，即與國家產生公法上勤務關係</w:t>
      </w:r>
      <w:r w:rsidRPr="00D40021">
        <w:rPr>
          <w:rFonts w:hint="eastAsia"/>
        </w:rPr>
        <w:t>，退除給與及薪資給付就軍人</w:t>
      </w:r>
      <w:proofErr w:type="gramStart"/>
      <w:r w:rsidRPr="00D40021">
        <w:rPr>
          <w:rFonts w:hint="eastAsia"/>
        </w:rPr>
        <w:t>而言均屬報酬</w:t>
      </w:r>
      <w:proofErr w:type="gramEnd"/>
      <w:r w:rsidRPr="00D40021">
        <w:rPr>
          <w:rFonts w:hint="eastAsia"/>
        </w:rPr>
        <w:t>價金</w:t>
      </w:r>
      <w:r w:rsidRPr="00D40021">
        <w:t>，</w:t>
      </w:r>
      <w:r w:rsidRPr="00D40021">
        <w:rPr>
          <w:rFonts w:hint="eastAsia"/>
        </w:rPr>
        <w:t>不得任意變更，</w:t>
      </w:r>
      <w:r w:rsidR="00246CAC" w:rsidRPr="00D40021">
        <w:rPr>
          <w:rFonts w:hint="eastAsia"/>
        </w:rPr>
        <w:t>否則涉有違反法律</w:t>
      </w:r>
      <w:proofErr w:type="gramStart"/>
      <w:r w:rsidR="00246CAC" w:rsidRPr="00D40021">
        <w:rPr>
          <w:rFonts w:hint="eastAsia"/>
        </w:rPr>
        <w:t>不</w:t>
      </w:r>
      <w:proofErr w:type="gramEnd"/>
      <w:r w:rsidR="00246CAC" w:rsidRPr="00D40021">
        <w:rPr>
          <w:rFonts w:hint="eastAsia"/>
        </w:rPr>
        <w:t>溯既往原則之虞</w:t>
      </w:r>
      <w:r w:rsidR="00246CAC" w:rsidRPr="00D40021">
        <w:t>。</w:t>
      </w:r>
    </w:p>
    <w:p w:rsidR="007A2D2F" w:rsidRPr="00D40021" w:rsidRDefault="007A2D2F" w:rsidP="007A2D2F">
      <w:pPr>
        <w:pStyle w:val="4"/>
      </w:pPr>
      <w:bookmarkStart w:id="39" w:name="_Toc473204343"/>
      <w:bookmarkStart w:id="40" w:name="_Toc474154128"/>
      <w:bookmarkStart w:id="41" w:name="_Toc474400040"/>
      <w:r w:rsidRPr="00D40021">
        <w:t>按</w:t>
      </w:r>
      <w:r w:rsidRPr="00D40021">
        <w:rPr>
          <w:rFonts w:hint="eastAsia"/>
        </w:rPr>
        <w:t>陸海空軍軍官士官任官條例</w:t>
      </w:r>
      <w:r w:rsidRPr="00D40021">
        <w:t>第1條規定：「</w:t>
      </w:r>
      <w:r w:rsidRPr="00D40021">
        <w:rPr>
          <w:rFonts w:hint="eastAsia"/>
        </w:rPr>
        <w:t>陸海空軍軍官、士官之任官，依本條例之規定。</w:t>
      </w:r>
      <w:r w:rsidRPr="00D40021">
        <w:t>」同</w:t>
      </w:r>
      <w:r w:rsidRPr="00D40021">
        <w:rPr>
          <w:rFonts w:hint="eastAsia"/>
        </w:rPr>
        <w:t>條例</w:t>
      </w:r>
      <w:r w:rsidRPr="00D40021">
        <w:t>第</w:t>
      </w:r>
      <w:r w:rsidRPr="00D40021">
        <w:rPr>
          <w:rFonts w:hint="eastAsia"/>
        </w:rPr>
        <w:t>2</w:t>
      </w:r>
      <w:r w:rsidRPr="00D40021">
        <w:t>條規定：「</w:t>
      </w:r>
      <w:r w:rsidRPr="00D40021">
        <w:rPr>
          <w:rFonts w:hint="eastAsia"/>
        </w:rPr>
        <w:t>軍官、士官之官等、官階如左（下略）</w:t>
      </w:r>
      <w:r w:rsidRPr="00D40021">
        <w:t>」</w:t>
      </w:r>
      <w:r w:rsidRPr="00D40021">
        <w:rPr>
          <w:rFonts w:hint="eastAsia"/>
        </w:rPr>
        <w:t>依據</w:t>
      </w:r>
      <w:r w:rsidRPr="00D40021">
        <w:t>我國學說通說</w:t>
      </w:r>
      <w:r w:rsidRPr="00D40021">
        <w:rPr>
          <w:rStyle w:val="aff3"/>
          <w:rFonts w:hAnsi="標楷體"/>
        </w:rPr>
        <w:footnoteReference w:id="2"/>
      </w:r>
      <w:r w:rsidRPr="00D40021">
        <w:t>，</w:t>
      </w:r>
      <w:r w:rsidRPr="00D40021">
        <w:rPr>
          <w:rFonts w:hint="eastAsia"/>
        </w:rPr>
        <w:t>軍人亦屬</w:t>
      </w:r>
      <w:r w:rsidRPr="00D40021">
        <w:t>特別法律關係</w:t>
      </w:r>
      <w:r w:rsidRPr="00D40021">
        <w:rPr>
          <w:rFonts w:hint="eastAsia"/>
        </w:rPr>
        <w:t>範疇，軍人之任官為</w:t>
      </w:r>
      <w:r w:rsidRPr="00D40021">
        <w:t>須相對人同意的行政處分</w:t>
      </w:r>
      <w:r w:rsidRPr="00D40021">
        <w:rPr>
          <w:vertAlign w:val="superscript"/>
        </w:rPr>
        <w:footnoteReference w:id="3"/>
      </w:r>
      <w:r w:rsidRPr="00D40021">
        <w:rPr>
          <w:rFonts w:hint="eastAsia"/>
        </w:rPr>
        <w:t>。</w:t>
      </w:r>
      <w:bookmarkEnd w:id="39"/>
      <w:bookmarkEnd w:id="40"/>
      <w:bookmarkEnd w:id="41"/>
      <w:r w:rsidRPr="00D40021">
        <w:t>然</w:t>
      </w:r>
      <w:r w:rsidRPr="00D40021">
        <w:rPr>
          <w:rFonts w:hint="eastAsia"/>
        </w:rPr>
        <w:t>軍人</w:t>
      </w:r>
      <w:r w:rsidRPr="00D40021">
        <w:t>與國家關係究竟為何，依據憲法第</w:t>
      </w:r>
      <w:r w:rsidRPr="00D40021">
        <w:rPr>
          <w:rFonts w:hint="eastAsia"/>
        </w:rPr>
        <w:t>第36條規定：「總統統率全國陸海空軍。」同法第</w:t>
      </w:r>
      <w:r w:rsidRPr="00D40021">
        <w:rPr>
          <w:rFonts w:hint="eastAsia"/>
        </w:rPr>
        <w:lastRenderedPageBreak/>
        <w:t>41條規定：「總統依法任免文武官員。」同法第138條規定：「全國陸海空軍，須超出個人、地域及黨派關係</w:t>
      </w:r>
      <w:proofErr w:type="gramStart"/>
      <w:r w:rsidRPr="00D40021">
        <w:rPr>
          <w:rFonts w:hint="eastAsia"/>
        </w:rPr>
        <w:t>以外，</w:t>
      </w:r>
      <w:proofErr w:type="gramEnd"/>
      <w:r w:rsidRPr="00D40021">
        <w:rPr>
          <w:rFonts w:hint="eastAsia"/>
        </w:rPr>
        <w:t>效忠國家，愛護人民。」同法第140條：「現役軍人不得兼任文官。」</w:t>
      </w:r>
      <w:r w:rsidRPr="00D40021">
        <w:t>亦即在民主法治國家，</w:t>
      </w:r>
      <w:r w:rsidRPr="00D40021">
        <w:rPr>
          <w:rFonts w:hint="eastAsia"/>
        </w:rPr>
        <w:t>採用軍文分立制度，軍人受</w:t>
      </w:r>
      <w:r w:rsidRPr="00D40021">
        <w:t>終身僱用（終身職）保障，</w:t>
      </w:r>
      <w:r w:rsidRPr="00D40021">
        <w:rPr>
          <w:rFonts w:hint="eastAsia"/>
        </w:rPr>
        <w:t>其目的</w:t>
      </w:r>
      <w:r w:rsidRPr="00D40021">
        <w:t>係期待</w:t>
      </w:r>
      <w:r w:rsidRPr="00D40021">
        <w:rPr>
          <w:rFonts w:hint="eastAsia"/>
        </w:rPr>
        <w:t>軍人於</w:t>
      </w:r>
      <w:r w:rsidRPr="00D40021">
        <w:t>執行</w:t>
      </w:r>
      <w:r w:rsidRPr="00D40021">
        <w:rPr>
          <w:rFonts w:hint="eastAsia"/>
        </w:rPr>
        <w:t>任務</w:t>
      </w:r>
      <w:r w:rsidRPr="00D40021">
        <w:t>，</w:t>
      </w:r>
      <w:r w:rsidRPr="00D40021">
        <w:rPr>
          <w:rFonts w:hAnsi="標楷體" w:hint="eastAsia"/>
        </w:rPr>
        <w:t>能基於全體國民意志，</w:t>
      </w:r>
      <w:r w:rsidRPr="00D40021">
        <w:t>在政治</w:t>
      </w:r>
      <w:r w:rsidRPr="00D40021">
        <w:rPr>
          <w:rFonts w:hint="eastAsia"/>
        </w:rPr>
        <w:t>上</w:t>
      </w:r>
      <w:r w:rsidRPr="00D40021">
        <w:t>保持中立，</w:t>
      </w:r>
      <w:r w:rsidRPr="00D40021">
        <w:rPr>
          <w:rFonts w:hint="eastAsia"/>
        </w:rPr>
        <w:t>進而</w:t>
      </w:r>
      <w:r w:rsidRPr="00D40021">
        <w:t>確保其</w:t>
      </w:r>
      <w:r w:rsidRPr="00D40021">
        <w:rPr>
          <w:rFonts w:hint="eastAsia"/>
        </w:rPr>
        <w:t>效忠國家，愛護人民</w:t>
      </w:r>
      <w:r w:rsidRPr="00D40021">
        <w:t>，</w:t>
      </w:r>
      <w:r w:rsidRPr="00D40021">
        <w:rPr>
          <w:rFonts w:hint="eastAsia"/>
        </w:rPr>
        <w:t>而</w:t>
      </w:r>
      <w:r w:rsidRPr="00D40021">
        <w:t>非屈從於</w:t>
      </w:r>
      <w:r w:rsidRPr="00D40021">
        <w:rPr>
          <w:rFonts w:hint="eastAsia"/>
        </w:rPr>
        <w:t>任何</w:t>
      </w:r>
      <w:r w:rsidRPr="00D40021">
        <w:t>政黨或長官違法</w:t>
      </w:r>
      <w:r w:rsidRPr="00D40021">
        <w:rPr>
          <w:rFonts w:hint="eastAsia"/>
        </w:rPr>
        <w:t>意志</w:t>
      </w:r>
      <w:r w:rsidRPr="00D40021">
        <w:t>，</w:t>
      </w:r>
      <w:r w:rsidRPr="00D40021">
        <w:rPr>
          <w:rFonts w:hint="eastAsia"/>
        </w:rPr>
        <w:t>而與</w:t>
      </w:r>
      <w:r w:rsidRPr="00D40021">
        <w:t>一般</w:t>
      </w:r>
      <w:proofErr w:type="gramStart"/>
      <w:r w:rsidRPr="00D40021">
        <w:t>僱傭</w:t>
      </w:r>
      <w:proofErr w:type="gramEnd"/>
      <w:r w:rsidRPr="00D40021">
        <w:t>關係服務於資本家</w:t>
      </w:r>
      <w:r w:rsidRPr="00D40021">
        <w:rPr>
          <w:rFonts w:hint="eastAsia"/>
        </w:rPr>
        <w:t>顯不相同</w:t>
      </w:r>
      <w:r w:rsidRPr="00D40021">
        <w:t>；</w:t>
      </w:r>
      <w:r w:rsidRPr="00D40021">
        <w:rPr>
          <w:rFonts w:hint="eastAsia"/>
        </w:rPr>
        <w:t>另就</w:t>
      </w:r>
      <w:r w:rsidRPr="00D40021">
        <w:t>全體國民（使用者）而論，</w:t>
      </w:r>
      <w:r w:rsidRPr="00D40021">
        <w:rPr>
          <w:rFonts w:hint="eastAsia"/>
        </w:rPr>
        <w:t>軍人</w:t>
      </w:r>
      <w:r w:rsidRPr="00D40021">
        <w:t>提供服務國家藉以獲取俸給、退休金</w:t>
      </w:r>
      <w:r w:rsidRPr="00D40021">
        <w:rPr>
          <w:rFonts w:hint="eastAsia"/>
        </w:rPr>
        <w:t>而</w:t>
      </w:r>
      <w:r w:rsidRPr="00D40021">
        <w:t>滿足一身生存之所需，</w:t>
      </w:r>
      <w:r w:rsidRPr="00D40021">
        <w:rPr>
          <w:rFonts w:hint="eastAsia"/>
        </w:rPr>
        <w:t>同時要求</w:t>
      </w:r>
      <w:r w:rsidRPr="00D40021">
        <w:t>對</w:t>
      </w:r>
      <w:r w:rsidRPr="00D40021">
        <w:rPr>
          <w:rFonts w:hint="eastAsia"/>
        </w:rPr>
        <w:t>於</w:t>
      </w:r>
      <w:r w:rsidRPr="00D40021">
        <w:t>國家</w:t>
      </w:r>
      <w:r w:rsidRPr="00D40021">
        <w:rPr>
          <w:rFonts w:hint="eastAsia"/>
        </w:rPr>
        <w:t>具有高</w:t>
      </w:r>
      <w:r w:rsidRPr="00D40021">
        <w:t>度忠誠義務，此即「權利之所在，義務之所在」之法理</w:t>
      </w:r>
      <w:r w:rsidRPr="00D40021">
        <w:rPr>
          <w:rStyle w:val="aff3"/>
          <w:rFonts w:hAnsi="標楷體"/>
        </w:rPr>
        <w:footnoteReference w:id="4"/>
      </w:r>
      <w:r w:rsidRPr="00D40021">
        <w:t>，</w:t>
      </w:r>
      <w:r w:rsidRPr="00D40021">
        <w:rPr>
          <w:rFonts w:hint="eastAsia"/>
        </w:rPr>
        <w:t>從而軍人</w:t>
      </w:r>
      <w:r w:rsidRPr="00D40021">
        <w:t>個人法律地位受到國家特別法律關係之限制，</w:t>
      </w:r>
      <w:r w:rsidRPr="00D40021">
        <w:rPr>
          <w:rFonts w:hint="eastAsia"/>
        </w:rPr>
        <w:t>當</w:t>
      </w:r>
      <w:r w:rsidRPr="00D40021">
        <w:t>從任用關係開始。</w:t>
      </w:r>
    </w:p>
    <w:p w:rsidR="00114829" w:rsidRPr="00D40021" w:rsidRDefault="007A2D2F" w:rsidP="007A2D2F">
      <w:pPr>
        <w:pStyle w:val="4"/>
        <w:rPr>
          <w:rFonts w:hAnsi="標楷體"/>
          <w:b/>
        </w:rPr>
      </w:pPr>
      <w:proofErr w:type="gramStart"/>
      <w:r w:rsidRPr="00D40021">
        <w:rPr>
          <w:rFonts w:hint="eastAsia"/>
        </w:rPr>
        <w:t>復按法律不</w:t>
      </w:r>
      <w:proofErr w:type="gramEnd"/>
      <w:r w:rsidRPr="00D40021">
        <w:rPr>
          <w:rFonts w:hint="eastAsia"/>
        </w:rPr>
        <w:t>溯及既往原則作為法治國原則之重要基石，係為維護法秩序安定並保護人民信賴與預見可能性，故人民因信賴法律秩序，而安排其生涯規劃或處置其財產者，不能因法規制定或修正，而使其遭受不可預見之損害，因此禁止法律溯及既往，</w:t>
      </w:r>
      <w:proofErr w:type="gramStart"/>
      <w:r w:rsidRPr="00D40021">
        <w:rPr>
          <w:rFonts w:hint="eastAsia"/>
        </w:rPr>
        <w:t>俾</w:t>
      </w:r>
      <w:proofErr w:type="gramEnd"/>
      <w:r w:rsidRPr="00D40021">
        <w:rPr>
          <w:rFonts w:hint="eastAsia"/>
        </w:rPr>
        <w:t>維持法律生活之安定，保障人民之既得權益，並維護法律尊嚴。次按司法院釋字第717號解釋，黃茂榮大法官稱「退休給付以退休為</w:t>
      </w:r>
      <w:r w:rsidRPr="00D40021">
        <w:rPr>
          <w:rFonts w:hint="eastAsia"/>
        </w:rPr>
        <w:lastRenderedPageBreak/>
        <w:t>其發生之要件事實，而在退休時，公教人員已完全履行其債務，所以其對待給付中之退休給付債權的範圍基本上應已確定下來。可能保留之調整事由，應限於通貨膨脹及情事變更的因素，而不應該包含：在退休之要件事實完成後，關於退休給付之法令有不利於公教人員之變更。」黃璽君大法官稱「按公務人員退休金請求等權利，係基於其公務人員身分衍生而來。人民任公務人員從事公務，國家給與之報酬，除任公務人員期間之俸給外，於退休時之退休金等退休給與亦屬之。故人民自擔任公務人員之日起，即可預期服務達退休年限時可領取退休金等退休給與，而於退休時取得退休金等退休給與之請求權。相關退休金等退休給與法規，係規範因退休原因而終結國家與公務人員間公務員法律關係時，公務人員可得之退休給與。其內容（給與種類、金額等）</w:t>
      </w:r>
      <w:proofErr w:type="gramStart"/>
      <w:r w:rsidRPr="00D40021">
        <w:rPr>
          <w:rFonts w:hint="eastAsia"/>
        </w:rPr>
        <w:t>均依退休</w:t>
      </w:r>
      <w:proofErr w:type="gramEnd"/>
      <w:r w:rsidRPr="00D40021">
        <w:rPr>
          <w:rFonts w:hint="eastAsia"/>
        </w:rPr>
        <w:t>時法規及事實定之，於退休時即已確定。相關法規變動時，如規定對已退休者確定之退休給與適用新法規並予以變更，係對已終結之事實或法律</w:t>
      </w:r>
      <w:proofErr w:type="gramStart"/>
      <w:r w:rsidRPr="00D40021">
        <w:rPr>
          <w:rFonts w:hint="eastAsia"/>
        </w:rPr>
        <w:t>關係為溯及</w:t>
      </w:r>
      <w:proofErr w:type="gramEnd"/>
      <w:r w:rsidRPr="00D40021">
        <w:rPr>
          <w:rFonts w:hint="eastAsia"/>
        </w:rPr>
        <w:t>適用。對已退休者而言，已完成提供服務而退休，其依退休時規定所得退休給與為生活規劃，</w:t>
      </w:r>
      <w:proofErr w:type="gramStart"/>
      <w:r w:rsidRPr="00D40021">
        <w:rPr>
          <w:rFonts w:hint="eastAsia"/>
        </w:rPr>
        <w:t>嗣</w:t>
      </w:r>
      <w:proofErr w:type="gramEnd"/>
      <w:r w:rsidRPr="00D40021">
        <w:rPr>
          <w:rFonts w:hint="eastAsia"/>
        </w:rPr>
        <w:t>因</w:t>
      </w:r>
      <w:proofErr w:type="gramStart"/>
      <w:r w:rsidRPr="00D40021">
        <w:rPr>
          <w:rFonts w:hint="eastAsia"/>
        </w:rPr>
        <w:t>上開溯及</w:t>
      </w:r>
      <w:proofErr w:type="gramEnd"/>
      <w:r w:rsidRPr="00D40021">
        <w:rPr>
          <w:rFonts w:hint="eastAsia"/>
        </w:rPr>
        <w:t>規定而減少其每月所得後，難於另為生活規劃（未能如在職者選擇是否提前離開公職從事其他工作、選擇領取月退休金或一次退休金等），</w:t>
      </w:r>
      <w:proofErr w:type="gramStart"/>
      <w:r w:rsidRPr="00D40021">
        <w:rPr>
          <w:rFonts w:hint="eastAsia"/>
        </w:rPr>
        <w:t>對屆齡退休</w:t>
      </w:r>
      <w:proofErr w:type="gramEnd"/>
      <w:r w:rsidRPr="00D40021">
        <w:rPr>
          <w:rFonts w:hint="eastAsia"/>
        </w:rPr>
        <w:t>者尤其明顯，此過度侵害退休者之信賴保護及法安定性。而政府將隨時變更退休給與，嚴重影響政府誠信，除已退休者外，</w:t>
      </w:r>
      <w:proofErr w:type="gramStart"/>
      <w:r w:rsidRPr="00D40021">
        <w:rPr>
          <w:rFonts w:hint="eastAsia"/>
        </w:rPr>
        <w:t>在職者亦慮及</w:t>
      </w:r>
      <w:proofErr w:type="gramEnd"/>
      <w:r w:rsidRPr="00D40021">
        <w:rPr>
          <w:rFonts w:hint="eastAsia"/>
        </w:rPr>
        <w:t>將來退休之保障不足，可能提前退休，領取一次退休金，以防嗣後政府變更規定，其衝擊非小，不可不慎。」陳碧玉大</w:t>
      </w:r>
      <w:r w:rsidRPr="00D40021">
        <w:rPr>
          <w:rFonts w:hint="eastAsia"/>
        </w:rPr>
        <w:lastRenderedPageBreak/>
        <w:t>法官稱：「公職人員依法退休時，國家應給付法定退休金，此權利受憲法制度性之保障（司法院釋字第605號解釋參照）。退休所得替代率雖非恆定，然應有其長期性，替代率確定後，依此計算之法定退休金，即應受憲法制度性之保障，非有極重大公益，不得以法規</w:t>
      </w:r>
      <w:proofErr w:type="gramStart"/>
      <w:r w:rsidRPr="00D40021">
        <w:rPr>
          <w:rFonts w:hint="eastAsia"/>
        </w:rPr>
        <w:t>變動更異</w:t>
      </w:r>
      <w:proofErr w:type="gramEnd"/>
      <w:r w:rsidRPr="00D40021">
        <w:rPr>
          <w:rFonts w:hint="eastAsia"/>
        </w:rPr>
        <w:t>。」是則，法律</w:t>
      </w:r>
      <w:proofErr w:type="gramStart"/>
      <w:r w:rsidRPr="00D40021">
        <w:rPr>
          <w:rFonts w:hint="eastAsia"/>
        </w:rPr>
        <w:t>不</w:t>
      </w:r>
      <w:proofErr w:type="gramEnd"/>
      <w:r w:rsidRPr="00D40021">
        <w:rPr>
          <w:rFonts w:hint="eastAsia"/>
        </w:rPr>
        <w:t>溯既往原則是法規範概念，必須符合規範經驗，亦即回歸「維護法秩序安定並保護人民信賴與預見可能性，故人民因信賴法律秩序，而安排其生涯規劃或處置其財產者，不能因法規制定或修正，而使其遭受不可預見之損害」軍人請領退除給與之本質，與一般社會安全保障之年金制度有間，退除給與及薪資給付就軍人</w:t>
      </w:r>
      <w:proofErr w:type="gramStart"/>
      <w:r w:rsidRPr="00D40021">
        <w:rPr>
          <w:rFonts w:hint="eastAsia"/>
        </w:rPr>
        <w:t>而言均屬報酬</w:t>
      </w:r>
      <w:proofErr w:type="gramEnd"/>
      <w:r w:rsidRPr="00D40021">
        <w:rPr>
          <w:rFonts w:hint="eastAsia"/>
        </w:rPr>
        <w:t>價金，軍人相對於國家亦屬契約</w:t>
      </w:r>
      <w:proofErr w:type="gramStart"/>
      <w:r w:rsidRPr="00D40021">
        <w:rPr>
          <w:rFonts w:hint="eastAsia"/>
        </w:rPr>
        <w:t>一</w:t>
      </w:r>
      <w:proofErr w:type="gramEnd"/>
      <w:r w:rsidRPr="00D40021">
        <w:rPr>
          <w:rFonts w:hint="eastAsia"/>
        </w:rPr>
        <w:t>造之債權人，具有請求權基礎，其於「任官」時起，即與國家產生公法上勤務關係，受特別法律關係之拘束，當屬「法規生效前『業已終結』之事實或法律關係」，新法所改變不單僅為「規範勞動契約之上位法令」之普遍性與對</w:t>
      </w:r>
      <w:proofErr w:type="gramStart"/>
      <w:r w:rsidRPr="00D40021">
        <w:rPr>
          <w:rFonts w:hint="eastAsia"/>
        </w:rPr>
        <w:t>世</w:t>
      </w:r>
      <w:proofErr w:type="gramEnd"/>
      <w:r w:rsidRPr="00D40021">
        <w:rPr>
          <w:rFonts w:hint="eastAsia"/>
        </w:rPr>
        <w:t>效，同時亦變更「勞動契約實質內容」相對效，亦即國家作為契約當事人，擅以國家地位，而未經同意變更軍人退伍權益之法令時，其事物本質即為契約當事人透過單方行為，</w:t>
      </w:r>
      <w:proofErr w:type="gramStart"/>
      <w:r w:rsidRPr="00D40021">
        <w:rPr>
          <w:rFonts w:hint="eastAsia"/>
        </w:rPr>
        <w:t>事後破棄契約</w:t>
      </w:r>
      <w:proofErr w:type="gramEnd"/>
      <w:r w:rsidRPr="00D40021">
        <w:rPr>
          <w:rFonts w:hint="eastAsia"/>
        </w:rPr>
        <w:t>，而生債務不履行情形無異，從正當法律程序與法治國原則而論，自屬違反法律</w:t>
      </w:r>
      <w:proofErr w:type="gramStart"/>
      <w:r w:rsidRPr="00D40021">
        <w:rPr>
          <w:rFonts w:hint="eastAsia"/>
        </w:rPr>
        <w:t>不</w:t>
      </w:r>
      <w:proofErr w:type="gramEnd"/>
      <w:r w:rsidRPr="00D40021">
        <w:rPr>
          <w:rFonts w:hint="eastAsia"/>
        </w:rPr>
        <w:t>溯既往原則；退</w:t>
      </w:r>
      <w:proofErr w:type="gramStart"/>
      <w:r w:rsidRPr="00D40021">
        <w:rPr>
          <w:rFonts w:hint="eastAsia"/>
        </w:rPr>
        <w:t>萬步言</w:t>
      </w:r>
      <w:proofErr w:type="gramEnd"/>
      <w:r w:rsidRPr="00D40021">
        <w:rPr>
          <w:rFonts w:hint="eastAsia"/>
        </w:rPr>
        <w:t>，若僅以債權債務之對待給付關係而論，而將退除給與脫離薪資給付之範疇，而單獨作為債之成立的獨立構成要件事實，因軍人於</w:t>
      </w:r>
      <w:proofErr w:type="gramStart"/>
      <w:r w:rsidRPr="00D40021">
        <w:rPr>
          <w:rFonts w:hint="eastAsia"/>
        </w:rPr>
        <w:t>退伍時業完全</w:t>
      </w:r>
      <w:proofErr w:type="gramEnd"/>
      <w:r w:rsidRPr="00D40021">
        <w:rPr>
          <w:rFonts w:hint="eastAsia"/>
        </w:rPr>
        <w:t>履行其勞動債務，故國家對待給付中之退除給與範圍已告確定。</w:t>
      </w:r>
      <w:proofErr w:type="gramStart"/>
      <w:r w:rsidRPr="00D40021">
        <w:rPr>
          <w:rFonts w:hint="eastAsia"/>
        </w:rPr>
        <w:t>縱</w:t>
      </w:r>
      <w:proofErr w:type="gramEnd"/>
      <w:r w:rsidRPr="00D40021">
        <w:rPr>
          <w:rFonts w:hint="eastAsia"/>
        </w:rPr>
        <w:t>基於情事變更原則，亦應僅限於通貨膨脹等因素而</w:t>
      </w:r>
      <w:r w:rsidRPr="00D40021">
        <w:rPr>
          <w:rFonts w:hint="eastAsia"/>
        </w:rPr>
        <w:lastRenderedPageBreak/>
        <w:t>已，而不應該包含新法所得替代率等不利於</w:t>
      </w:r>
      <w:proofErr w:type="gramStart"/>
      <w:r w:rsidRPr="00D40021">
        <w:rPr>
          <w:rFonts w:hint="eastAsia"/>
        </w:rPr>
        <w:t>一</w:t>
      </w:r>
      <w:proofErr w:type="gramEnd"/>
      <w:r w:rsidRPr="00D40021">
        <w:rPr>
          <w:rFonts w:hint="eastAsia"/>
        </w:rPr>
        <w:t>造當事人之變更，</w:t>
      </w:r>
      <w:proofErr w:type="gramStart"/>
      <w:r w:rsidRPr="00D40021">
        <w:rPr>
          <w:rFonts w:hint="eastAsia"/>
        </w:rPr>
        <w:t>從而，縱採</w:t>
      </w:r>
      <w:proofErr w:type="gramEnd"/>
      <w:r w:rsidRPr="00D40021">
        <w:rPr>
          <w:rFonts w:hint="eastAsia"/>
        </w:rPr>
        <w:t>以退伍作為判斷基準，構成所謂退除給與要件事實跨越新、舊法之情形，就退伍後之新法而論，對於退伍後</w:t>
      </w:r>
      <w:proofErr w:type="gramStart"/>
      <w:r w:rsidRPr="00D40021">
        <w:rPr>
          <w:rFonts w:hint="eastAsia"/>
        </w:rPr>
        <w:t>後</w:t>
      </w:r>
      <w:proofErr w:type="gramEnd"/>
      <w:r w:rsidRPr="00D40021">
        <w:rPr>
          <w:rFonts w:hint="eastAsia"/>
        </w:rPr>
        <w:t>之軍人適用新法亦為真正的溯及適用。</w:t>
      </w:r>
    </w:p>
    <w:p w:rsidR="00EB611B" w:rsidRPr="00D40021" w:rsidRDefault="000A02BB" w:rsidP="00657BB9">
      <w:pPr>
        <w:pStyle w:val="3"/>
        <w:rPr>
          <w:rFonts w:hAnsi="標楷體"/>
        </w:rPr>
      </w:pPr>
      <w:r w:rsidRPr="00D40021">
        <w:rPr>
          <w:rFonts w:hAnsi="標楷體" w:hint="eastAsia"/>
        </w:rPr>
        <w:t>按</w:t>
      </w:r>
      <w:r w:rsidR="00EB611B" w:rsidRPr="00D40021">
        <w:rPr>
          <w:rFonts w:hAnsi="標楷體" w:hint="eastAsia"/>
        </w:rPr>
        <w:t>107年7月1日修正施行服役條</w:t>
      </w:r>
      <w:r w:rsidRPr="00D40021">
        <w:rPr>
          <w:rFonts w:hAnsi="標楷體" w:hint="eastAsia"/>
        </w:rPr>
        <w:t>例</w:t>
      </w:r>
      <w:r w:rsidR="00EB611B" w:rsidRPr="00D40021">
        <w:rPr>
          <w:rFonts w:hAnsi="標楷體" w:hint="eastAsia"/>
        </w:rPr>
        <w:t>第26條</w:t>
      </w:r>
      <w:r w:rsidR="00A7091F" w:rsidRPr="00D40021">
        <w:rPr>
          <w:rFonts w:hAnsi="標楷體" w:hint="eastAsia"/>
        </w:rPr>
        <w:t>第1項、</w:t>
      </w:r>
      <w:r w:rsidR="00EB611B" w:rsidRPr="00D40021">
        <w:rPr>
          <w:rFonts w:hAnsi="標楷體" w:hint="eastAsia"/>
        </w:rPr>
        <w:t>第2項第2款</w:t>
      </w:r>
      <w:r w:rsidR="002864FE" w:rsidRPr="00D40021">
        <w:rPr>
          <w:rFonts w:hAnsi="標楷體" w:hint="eastAsia"/>
        </w:rPr>
        <w:t>及</w:t>
      </w:r>
      <w:r w:rsidR="00EB611B" w:rsidRPr="00D40021">
        <w:rPr>
          <w:rFonts w:hAnsi="標楷體" w:hint="eastAsia"/>
        </w:rPr>
        <w:t>第3項規定：</w:t>
      </w:r>
      <w:r w:rsidR="00A7091F" w:rsidRPr="00D40021">
        <w:rPr>
          <w:rFonts w:hAnsi="標楷體" w:hint="eastAsia"/>
        </w:rPr>
        <w:t>「退撫新制施行前、後年資之退伍金、退休</w:t>
      </w:r>
      <w:proofErr w:type="gramStart"/>
      <w:r w:rsidR="00A7091F" w:rsidRPr="00D40021">
        <w:rPr>
          <w:rFonts w:hAnsi="標楷體" w:hint="eastAsia"/>
        </w:rPr>
        <w:t>俸</w:t>
      </w:r>
      <w:proofErr w:type="gramEnd"/>
      <w:r w:rsidR="00A7091F" w:rsidRPr="00D40021">
        <w:rPr>
          <w:rFonts w:hAnsi="標楷體" w:hint="eastAsia"/>
        </w:rPr>
        <w:t>或贍養金給與基準如下：一、退撫新制施行前：依附表</w:t>
      </w:r>
      <w:proofErr w:type="gramStart"/>
      <w:r w:rsidR="00A7091F" w:rsidRPr="00D40021">
        <w:rPr>
          <w:rFonts w:hAnsi="標楷體" w:hint="eastAsia"/>
        </w:rPr>
        <w:t>一</w:t>
      </w:r>
      <w:proofErr w:type="gramEnd"/>
      <w:r w:rsidR="00A7091F" w:rsidRPr="00D40021">
        <w:rPr>
          <w:rFonts w:hAnsi="標楷體" w:hint="eastAsia"/>
        </w:rPr>
        <w:t>規定及行政院核定之其他給與發給</w:t>
      </w:r>
      <w:r w:rsidR="002864FE" w:rsidRPr="00D40021">
        <w:rPr>
          <w:rFonts w:hAnsi="標楷體" w:hint="eastAsia"/>
        </w:rPr>
        <w:t>…</w:t>
      </w:r>
      <w:proofErr w:type="gramStart"/>
      <w:r w:rsidR="002864FE" w:rsidRPr="00D40021">
        <w:rPr>
          <w:rFonts w:hAnsi="標楷體" w:hint="eastAsia"/>
        </w:rPr>
        <w:t>…</w:t>
      </w:r>
      <w:proofErr w:type="gramEnd"/>
      <w:r w:rsidR="00A7091F" w:rsidRPr="00D40021">
        <w:rPr>
          <w:rFonts w:hAnsi="標楷體" w:hint="eastAsia"/>
        </w:rPr>
        <w:t>」、「退休</w:t>
      </w:r>
      <w:proofErr w:type="gramStart"/>
      <w:r w:rsidR="00A7091F" w:rsidRPr="00D40021">
        <w:rPr>
          <w:rFonts w:hAnsi="標楷體" w:hint="eastAsia"/>
        </w:rPr>
        <w:t>俸</w:t>
      </w:r>
      <w:proofErr w:type="gramEnd"/>
      <w:r w:rsidR="00A7091F" w:rsidRPr="00D40021">
        <w:rPr>
          <w:rFonts w:hAnsi="標楷體" w:hint="eastAsia"/>
        </w:rPr>
        <w:t>：以退伍除役生效日，現役同官階</w:t>
      </w:r>
      <w:proofErr w:type="gramStart"/>
      <w:r w:rsidR="00A7091F" w:rsidRPr="00D40021">
        <w:rPr>
          <w:rFonts w:hAnsi="標楷體" w:hint="eastAsia"/>
        </w:rPr>
        <w:t>俸</w:t>
      </w:r>
      <w:proofErr w:type="gramEnd"/>
      <w:r w:rsidR="00A7091F" w:rsidRPr="00D40021">
        <w:rPr>
          <w:rFonts w:hAnsi="標楷體" w:hint="eastAsia"/>
        </w:rPr>
        <w:t>級人員服役期間最後五分之一年資之本</w:t>
      </w:r>
      <w:proofErr w:type="gramStart"/>
      <w:r w:rsidR="00A7091F" w:rsidRPr="00D40021">
        <w:rPr>
          <w:rFonts w:hAnsi="標楷體" w:hint="eastAsia"/>
        </w:rPr>
        <w:t>俸</w:t>
      </w:r>
      <w:proofErr w:type="gramEnd"/>
      <w:r w:rsidR="00A7091F" w:rsidRPr="00D40021">
        <w:rPr>
          <w:rFonts w:hAnsi="標楷體" w:hint="eastAsia"/>
        </w:rPr>
        <w:t>平均數加</w:t>
      </w:r>
      <w:r w:rsidR="0033177D" w:rsidRPr="00D40021">
        <w:rPr>
          <w:rFonts w:hAnsi="標楷體" w:hint="eastAsia"/>
        </w:rPr>
        <w:t>1</w:t>
      </w:r>
      <w:r w:rsidR="00A7091F" w:rsidRPr="00D40021">
        <w:rPr>
          <w:rFonts w:hAnsi="標楷體" w:hint="eastAsia"/>
        </w:rPr>
        <w:t>倍為基數，其年資以月計算，</w:t>
      </w:r>
      <w:proofErr w:type="gramStart"/>
      <w:r w:rsidR="00A7091F" w:rsidRPr="00D40021">
        <w:rPr>
          <w:rFonts w:hAnsi="標楷體" w:hint="eastAsia"/>
        </w:rPr>
        <w:t>畸</w:t>
      </w:r>
      <w:proofErr w:type="gramEnd"/>
      <w:r w:rsidR="00A7091F" w:rsidRPr="00D40021">
        <w:rPr>
          <w:rFonts w:hAnsi="標楷體" w:hint="eastAsia"/>
        </w:rPr>
        <w:t>零日數不予</w:t>
      </w:r>
      <w:proofErr w:type="gramStart"/>
      <w:r w:rsidR="00A7091F" w:rsidRPr="00D40021">
        <w:rPr>
          <w:rFonts w:hAnsi="標楷體" w:hint="eastAsia"/>
        </w:rPr>
        <w:t>採</w:t>
      </w:r>
      <w:proofErr w:type="gramEnd"/>
      <w:r w:rsidR="00A7091F" w:rsidRPr="00D40021">
        <w:rPr>
          <w:rFonts w:hAnsi="標楷體" w:hint="eastAsia"/>
        </w:rPr>
        <w:t>計，換算後取整數月。服役滿20年者，應核給</w:t>
      </w:r>
      <w:proofErr w:type="gramStart"/>
      <w:r w:rsidR="00A7091F" w:rsidRPr="00D40021">
        <w:rPr>
          <w:rFonts w:hAnsi="標楷體" w:hint="eastAsia"/>
        </w:rPr>
        <w:t>俸</w:t>
      </w:r>
      <w:proofErr w:type="gramEnd"/>
      <w:r w:rsidR="00A7091F" w:rsidRPr="00D40021">
        <w:rPr>
          <w:rFonts w:hAnsi="標楷體" w:hint="eastAsia"/>
        </w:rPr>
        <w:t>率百分之</w:t>
      </w:r>
      <w:r w:rsidR="0033177D" w:rsidRPr="00D40021">
        <w:rPr>
          <w:rFonts w:hAnsi="標楷體" w:hint="eastAsia"/>
        </w:rPr>
        <w:t>五十五</w:t>
      </w:r>
      <w:r w:rsidR="00A7091F" w:rsidRPr="00D40021">
        <w:rPr>
          <w:rFonts w:hAnsi="標楷體" w:hint="eastAsia"/>
        </w:rPr>
        <w:t>，其後每增加</w:t>
      </w:r>
      <w:r w:rsidR="00F93A45" w:rsidRPr="00D40021">
        <w:rPr>
          <w:rFonts w:hAnsi="標楷體" w:hint="eastAsia"/>
        </w:rPr>
        <w:t>1</w:t>
      </w:r>
      <w:r w:rsidR="00A7091F" w:rsidRPr="00D40021">
        <w:rPr>
          <w:rFonts w:hAnsi="標楷體" w:hint="eastAsia"/>
        </w:rPr>
        <w:t>年增給百分之</w:t>
      </w:r>
      <w:r w:rsidR="0033177D" w:rsidRPr="00D40021">
        <w:rPr>
          <w:rFonts w:hAnsi="標楷體" w:hint="eastAsia"/>
        </w:rPr>
        <w:t>二</w:t>
      </w:r>
      <w:r w:rsidR="00A7091F" w:rsidRPr="00D40021">
        <w:rPr>
          <w:rFonts w:hAnsi="標楷體" w:hint="eastAsia"/>
        </w:rPr>
        <w:t>，但軍官核給</w:t>
      </w:r>
      <w:proofErr w:type="gramStart"/>
      <w:r w:rsidR="00A7091F" w:rsidRPr="00D40021">
        <w:rPr>
          <w:rFonts w:hAnsi="標楷體" w:hint="eastAsia"/>
        </w:rPr>
        <w:t>俸</w:t>
      </w:r>
      <w:proofErr w:type="gramEnd"/>
      <w:r w:rsidR="00A7091F" w:rsidRPr="00D40021">
        <w:rPr>
          <w:rFonts w:hAnsi="標楷體" w:hint="eastAsia"/>
        </w:rPr>
        <w:t>率以不超過百分之</w:t>
      </w:r>
      <w:r w:rsidR="0033177D" w:rsidRPr="00D40021">
        <w:rPr>
          <w:rFonts w:hAnsi="標楷體" w:hint="eastAsia"/>
        </w:rPr>
        <w:t>九十</w:t>
      </w:r>
      <w:r w:rsidR="00A7091F" w:rsidRPr="00D40021">
        <w:rPr>
          <w:rFonts w:hAnsi="標楷體" w:hint="eastAsia"/>
        </w:rPr>
        <w:t>為限，士官核給</w:t>
      </w:r>
      <w:proofErr w:type="gramStart"/>
      <w:r w:rsidR="00A7091F" w:rsidRPr="00D40021">
        <w:rPr>
          <w:rFonts w:hAnsi="標楷體" w:hint="eastAsia"/>
        </w:rPr>
        <w:t>俸</w:t>
      </w:r>
      <w:proofErr w:type="gramEnd"/>
      <w:r w:rsidR="00A7091F" w:rsidRPr="00D40021">
        <w:rPr>
          <w:rFonts w:hAnsi="標楷體" w:hint="eastAsia"/>
        </w:rPr>
        <w:t>率以不超過百分之</w:t>
      </w:r>
      <w:r w:rsidR="0033177D" w:rsidRPr="00D40021">
        <w:rPr>
          <w:rFonts w:hAnsi="標楷體" w:hint="eastAsia"/>
        </w:rPr>
        <w:t>九十五</w:t>
      </w:r>
      <w:r w:rsidR="00A7091F" w:rsidRPr="00D40021">
        <w:rPr>
          <w:rFonts w:hAnsi="標楷體" w:hint="eastAsia"/>
        </w:rPr>
        <w:t>為限」、「依本條例修正施行前給與基準計算之每月支領退休</w:t>
      </w:r>
      <w:proofErr w:type="gramStart"/>
      <w:r w:rsidR="00A7091F" w:rsidRPr="00D40021">
        <w:rPr>
          <w:rFonts w:hAnsi="標楷體" w:hint="eastAsia"/>
        </w:rPr>
        <w:t>俸</w:t>
      </w:r>
      <w:proofErr w:type="gramEnd"/>
      <w:r w:rsidR="00A7091F" w:rsidRPr="00D40021">
        <w:rPr>
          <w:rFonts w:hAnsi="標楷體" w:hint="eastAsia"/>
        </w:rPr>
        <w:t>、優存利息及月補償金合計數額，未超過依本條例修正施行後給與基準計算之退休</w:t>
      </w:r>
      <w:proofErr w:type="gramStart"/>
      <w:r w:rsidR="00A7091F" w:rsidRPr="00D40021">
        <w:rPr>
          <w:rFonts w:hAnsi="標楷體" w:hint="eastAsia"/>
        </w:rPr>
        <w:t>俸</w:t>
      </w:r>
      <w:proofErr w:type="gramEnd"/>
      <w:r w:rsidR="00A7091F" w:rsidRPr="00D40021">
        <w:rPr>
          <w:rFonts w:hAnsi="標楷體" w:hint="eastAsia"/>
        </w:rPr>
        <w:t>者，按原核計數額發給；超過者，其二者間之差額自施行日起10年內，分年平均調降至無差額止…</w:t>
      </w:r>
      <w:proofErr w:type="gramStart"/>
      <w:r w:rsidR="00A7091F" w:rsidRPr="00D40021">
        <w:rPr>
          <w:rFonts w:hAnsi="標楷體" w:hint="eastAsia"/>
        </w:rPr>
        <w:t>…</w:t>
      </w:r>
      <w:proofErr w:type="gramEnd"/>
      <w:r w:rsidR="00A7091F" w:rsidRPr="00D40021">
        <w:rPr>
          <w:rFonts w:hAnsi="標楷體" w:hint="eastAsia"/>
        </w:rPr>
        <w:t>。」</w:t>
      </w:r>
      <w:proofErr w:type="gramStart"/>
      <w:r w:rsidR="00A7091F" w:rsidRPr="00D40021">
        <w:rPr>
          <w:rFonts w:hAnsi="標楷體" w:hint="eastAsia"/>
        </w:rPr>
        <w:t>爰</w:t>
      </w:r>
      <w:proofErr w:type="gramEnd"/>
      <w:r w:rsidR="004E7EBE" w:rsidRPr="00D40021">
        <w:rPr>
          <w:rFonts w:hAnsi="標楷體" w:hint="eastAsia"/>
        </w:rPr>
        <w:t>服役條例修正施行後仍在役者，雖適用</w:t>
      </w:r>
      <w:r w:rsidR="004E7EBE" w:rsidRPr="00D40021">
        <w:rPr>
          <w:rFonts w:hAnsi="標楷體" w:hint="eastAsia"/>
          <w:b/>
        </w:rPr>
        <w:t>「</w:t>
      </w:r>
      <w:r w:rsidR="004E7EBE" w:rsidRPr="00D40021">
        <w:rPr>
          <w:rFonts w:hAnsi="標楷體" w:hint="eastAsia"/>
        </w:rPr>
        <w:t>服役期間最後五分之一年資之本</w:t>
      </w:r>
      <w:proofErr w:type="gramStart"/>
      <w:r w:rsidR="004E7EBE" w:rsidRPr="00D40021">
        <w:rPr>
          <w:rFonts w:hAnsi="標楷體" w:hint="eastAsia"/>
        </w:rPr>
        <w:t>俸</w:t>
      </w:r>
      <w:proofErr w:type="gramEnd"/>
      <w:r w:rsidR="004E7EBE" w:rsidRPr="00D40021">
        <w:rPr>
          <w:rFonts w:hAnsi="標楷體" w:hint="eastAsia"/>
        </w:rPr>
        <w:t>平均數加1</w:t>
      </w:r>
      <w:r w:rsidR="00462FAF" w:rsidRPr="00D40021">
        <w:rPr>
          <w:rFonts w:hAnsi="標楷體" w:hint="eastAsia"/>
        </w:rPr>
        <w:t>倍為基數」之均</w:t>
      </w:r>
      <w:proofErr w:type="gramStart"/>
      <w:r w:rsidR="00462FAF" w:rsidRPr="00D40021">
        <w:rPr>
          <w:rFonts w:hAnsi="標楷體" w:hint="eastAsia"/>
        </w:rPr>
        <w:t>俸</w:t>
      </w:r>
      <w:proofErr w:type="gramEnd"/>
      <w:r w:rsidR="00462FAF" w:rsidRPr="00D40021">
        <w:rPr>
          <w:rFonts w:hAnsi="標楷體" w:hint="eastAsia"/>
        </w:rPr>
        <w:t>計算基準，惟</w:t>
      </w:r>
      <w:r w:rsidR="004E7EBE" w:rsidRPr="00D40021">
        <w:rPr>
          <w:rFonts w:hAnsi="標楷體" w:hint="eastAsia"/>
        </w:rPr>
        <w:t>核定起支</w:t>
      </w:r>
      <w:proofErr w:type="gramStart"/>
      <w:r w:rsidR="004E7EBE" w:rsidRPr="00D40021">
        <w:rPr>
          <w:rFonts w:hAnsi="標楷體" w:hint="eastAsia"/>
        </w:rPr>
        <w:t>俸</w:t>
      </w:r>
      <w:proofErr w:type="gramEnd"/>
      <w:r w:rsidR="004E7EBE" w:rsidRPr="00D40021">
        <w:rPr>
          <w:rFonts w:hAnsi="標楷體" w:hint="eastAsia"/>
        </w:rPr>
        <w:t>率為55%，年增</w:t>
      </w:r>
      <w:proofErr w:type="gramStart"/>
      <w:r w:rsidR="004E7EBE" w:rsidRPr="00D40021">
        <w:rPr>
          <w:rFonts w:hAnsi="標楷體" w:hint="eastAsia"/>
        </w:rPr>
        <w:t>俸</w:t>
      </w:r>
      <w:proofErr w:type="gramEnd"/>
      <w:r w:rsidR="004E7EBE" w:rsidRPr="00D40021">
        <w:rPr>
          <w:rFonts w:hAnsi="標楷體" w:hint="eastAsia"/>
        </w:rPr>
        <w:t>率達2%，且軍官最高以90%及士官最高以95%為上限，</w:t>
      </w:r>
      <w:r w:rsidR="007A2D2F" w:rsidRPr="00D40021">
        <w:rPr>
          <w:rFonts w:hAnsi="標楷體" w:hint="eastAsia"/>
        </w:rPr>
        <w:t>固</w:t>
      </w:r>
      <w:r w:rsidR="00462FAF" w:rsidRPr="00D40021">
        <w:rPr>
          <w:rFonts w:hAnsi="標楷體" w:hint="eastAsia"/>
        </w:rPr>
        <w:t>高於服役條例修正施行前起支</w:t>
      </w:r>
      <w:proofErr w:type="gramStart"/>
      <w:r w:rsidR="00462FAF" w:rsidRPr="00D40021">
        <w:rPr>
          <w:rFonts w:hAnsi="標楷體" w:hint="eastAsia"/>
        </w:rPr>
        <w:t>俸</w:t>
      </w:r>
      <w:proofErr w:type="gramEnd"/>
      <w:r w:rsidR="00462FAF" w:rsidRPr="00D40021">
        <w:rPr>
          <w:rFonts w:hAnsi="標楷體" w:hint="eastAsia"/>
        </w:rPr>
        <w:t>率40%及最高以70%為限之規定</w:t>
      </w:r>
      <w:r w:rsidR="00546514" w:rsidRPr="00D40021">
        <w:rPr>
          <w:rStyle w:val="aff3"/>
          <w:rFonts w:hAnsi="標楷體"/>
        </w:rPr>
        <w:footnoteReference w:id="5"/>
      </w:r>
      <w:r w:rsidR="00462FAF" w:rsidRPr="00D40021">
        <w:rPr>
          <w:rFonts w:hAnsi="標楷體" w:hint="eastAsia"/>
        </w:rPr>
        <w:t>；</w:t>
      </w:r>
      <w:r w:rsidR="007A2D2F" w:rsidRPr="00D40021">
        <w:rPr>
          <w:rFonts w:hAnsi="標楷體" w:hint="eastAsia"/>
        </w:rPr>
        <w:t>然</w:t>
      </w:r>
      <w:r w:rsidR="00A7091F" w:rsidRPr="00D40021">
        <w:rPr>
          <w:rFonts w:hAnsi="標楷體" w:hint="eastAsia"/>
        </w:rPr>
        <w:t>服役條例修正施行前</w:t>
      </w:r>
      <w:r w:rsidR="00F93A45" w:rsidRPr="00D40021">
        <w:rPr>
          <w:rFonts w:hAnsi="標楷體" w:hint="eastAsia"/>
        </w:rPr>
        <w:t>已</w:t>
      </w:r>
      <w:r w:rsidR="002864FE" w:rsidRPr="00D40021">
        <w:rPr>
          <w:rFonts w:hAnsi="標楷體" w:hint="eastAsia"/>
        </w:rPr>
        <w:t>退伍除役</w:t>
      </w:r>
      <w:r w:rsidR="00A7091F" w:rsidRPr="00D40021">
        <w:rPr>
          <w:rFonts w:hAnsi="標楷體" w:hint="eastAsia"/>
        </w:rPr>
        <w:t>者</w:t>
      </w:r>
      <w:r w:rsidR="00F93A45" w:rsidRPr="00D40021">
        <w:rPr>
          <w:rFonts w:hAnsi="標楷體" w:hint="eastAsia"/>
        </w:rPr>
        <w:t>，</w:t>
      </w:r>
      <w:r w:rsidR="00A7091F" w:rsidRPr="00D40021">
        <w:rPr>
          <w:rFonts w:hAnsi="標楷體"/>
          <w:szCs w:val="32"/>
        </w:rPr>
        <w:t>依</w:t>
      </w:r>
      <w:r w:rsidR="00F93A45" w:rsidRPr="00D40021">
        <w:rPr>
          <w:rFonts w:hAnsi="標楷體" w:hint="eastAsia"/>
          <w:szCs w:val="32"/>
        </w:rPr>
        <w:t>該</w:t>
      </w:r>
      <w:r w:rsidR="00A7091F" w:rsidRPr="00D40021">
        <w:rPr>
          <w:rFonts w:hAnsi="標楷體"/>
          <w:szCs w:val="32"/>
        </w:rPr>
        <w:t>條例修正施行前給與基準計算之每月支領退休</w:t>
      </w:r>
      <w:proofErr w:type="gramStart"/>
      <w:r w:rsidR="00A7091F" w:rsidRPr="00D40021">
        <w:rPr>
          <w:rFonts w:hAnsi="標楷體"/>
          <w:szCs w:val="32"/>
        </w:rPr>
        <w:t>俸</w:t>
      </w:r>
      <w:proofErr w:type="gramEnd"/>
      <w:r w:rsidR="00A7091F" w:rsidRPr="00D40021">
        <w:rPr>
          <w:rFonts w:hAnsi="標楷體"/>
          <w:szCs w:val="32"/>
        </w:rPr>
        <w:t>、優存利息</w:t>
      </w:r>
      <w:r w:rsidR="00A7091F" w:rsidRPr="00D40021">
        <w:rPr>
          <w:rFonts w:hAnsi="標楷體"/>
          <w:szCs w:val="32"/>
        </w:rPr>
        <w:lastRenderedPageBreak/>
        <w:t>及月補償金合計數額，未超過依</w:t>
      </w:r>
      <w:r w:rsidR="00F0206E" w:rsidRPr="00D40021">
        <w:rPr>
          <w:rFonts w:hAnsi="標楷體" w:hint="eastAsia"/>
          <w:szCs w:val="32"/>
        </w:rPr>
        <w:t>該</w:t>
      </w:r>
      <w:r w:rsidR="00A7091F" w:rsidRPr="00D40021">
        <w:rPr>
          <w:rFonts w:hAnsi="標楷體"/>
          <w:szCs w:val="32"/>
        </w:rPr>
        <w:t>條例修正施行後給與基準計算之退休</w:t>
      </w:r>
      <w:proofErr w:type="gramStart"/>
      <w:r w:rsidR="00A7091F" w:rsidRPr="00D40021">
        <w:rPr>
          <w:rFonts w:hAnsi="標楷體"/>
          <w:szCs w:val="32"/>
        </w:rPr>
        <w:t>俸</w:t>
      </w:r>
      <w:proofErr w:type="gramEnd"/>
      <w:r w:rsidR="00A7091F" w:rsidRPr="00D40021">
        <w:rPr>
          <w:rFonts w:hAnsi="標楷體"/>
          <w:szCs w:val="32"/>
        </w:rPr>
        <w:t>者，按原核計數額發給；</w:t>
      </w:r>
      <w:r w:rsidR="00462FAF" w:rsidRPr="00D40021">
        <w:rPr>
          <w:rFonts w:hAnsi="標楷體" w:hint="eastAsia"/>
          <w:szCs w:val="32"/>
        </w:rPr>
        <w:t>倘有</w:t>
      </w:r>
      <w:r w:rsidR="00A7091F" w:rsidRPr="00D40021">
        <w:rPr>
          <w:rFonts w:hAnsi="標楷體"/>
          <w:szCs w:val="32"/>
        </w:rPr>
        <w:t>超過者，其二者間之差額</w:t>
      </w:r>
      <w:r w:rsidR="00462FAF" w:rsidRPr="00D40021">
        <w:rPr>
          <w:rFonts w:hAnsi="標楷體" w:hint="eastAsia"/>
          <w:szCs w:val="32"/>
        </w:rPr>
        <w:t>需</w:t>
      </w:r>
      <w:r w:rsidR="00A7091F" w:rsidRPr="00D40021">
        <w:rPr>
          <w:rFonts w:hAnsi="標楷體"/>
          <w:szCs w:val="32"/>
        </w:rPr>
        <w:t>自施行日起10年內，分年平均調降至無差額止</w:t>
      </w:r>
      <w:r w:rsidR="00A7091F" w:rsidRPr="00D40021">
        <w:rPr>
          <w:rFonts w:hAnsi="標楷體" w:hint="eastAsia"/>
          <w:szCs w:val="32"/>
        </w:rPr>
        <w:t>，</w:t>
      </w:r>
      <w:proofErr w:type="gramStart"/>
      <w:r w:rsidR="00A7091F" w:rsidRPr="00D40021">
        <w:rPr>
          <w:rFonts w:hAnsi="標楷體" w:hint="eastAsia"/>
          <w:szCs w:val="32"/>
        </w:rPr>
        <w:t>合先敘</w:t>
      </w:r>
      <w:proofErr w:type="gramEnd"/>
      <w:r w:rsidR="00A7091F" w:rsidRPr="00D40021">
        <w:rPr>
          <w:rFonts w:hAnsi="標楷體" w:hint="eastAsia"/>
          <w:szCs w:val="32"/>
        </w:rPr>
        <w:t>明</w:t>
      </w:r>
      <w:r w:rsidR="00A7091F" w:rsidRPr="00D40021">
        <w:rPr>
          <w:rFonts w:hAnsi="標楷體"/>
          <w:szCs w:val="32"/>
        </w:rPr>
        <w:t>。</w:t>
      </w:r>
    </w:p>
    <w:p w:rsidR="00A7091F" w:rsidRPr="00D40021" w:rsidRDefault="007A2D2F" w:rsidP="00657BB9">
      <w:pPr>
        <w:pStyle w:val="3"/>
        <w:rPr>
          <w:rFonts w:hAnsi="標楷體"/>
        </w:rPr>
      </w:pPr>
      <w:r w:rsidRPr="00D40021">
        <w:rPr>
          <w:rFonts w:hAnsi="標楷體" w:hint="eastAsia"/>
        </w:rPr>
        <w:t>依據107年7月1日修正施行服役條例規定，</w:t>
      </w:r>
      <w:proofErr w:type="gramStart"/>
      <w:r w:rsidR="008B160E" w:rsidRPr="00D40021">
        <w:rPr>
          <w:rFonts w:hAnsi="標楷體" w:hint="eastAsia"/>
        </w:rPr>
        <w:t>僅具純舊制</w:t>
      </w:r>
      <w:proofErr w:type="gramEnd"/>
      <w:r w:rsidR="00BF05AE" w:rsidRPr="00D40021">
        <w:rPr>
          <w:rFonts w:hAnsi="標楷體" w:hint="eastAsia"/>
        </w:rPr>
        <w:t>年資之</w:t>
      </w:r>
      <w:r w:rsidR="004A2E97" w:rsidRPr="00D40021">
        <w:rPr>
          <w:rFonts w:hAnsi="標楷體" w:hint="eastAsia"/>
        </w:rPr>
        <w:t>已退伍除役人</w:t>
      </w:r>
      <w:r w:rsidR="00BF05AE" w:rsidRPr="00D40021">
        <w:rPr>
          <w:rFonts w:hAnsi="標楷體" w:hint="eastAsia"/>
        </w:rPr>
        <w:t>員</w:t>
      </w:r>
      <w:r w:rsidR="008B160E" w:rsidRPr="00D40021">
        <w:rPr>
          <w:rFonts w:hAnsi="標楷體" w:hint="eastAsia"/>
        </w:rPr>
        <w:t>，依退伍階級及年資，</w:t>
      </w:r>
      <w:r w:rsidR="00BF05AE" w:rsidRPr="00D40021">
        <w:rPr>
          <w:rFonts w:hAnsi="標楷體" w:hint="eastAsia"/>
        </w:rPr>
        <w:t>年金改革施行</w:t>
      </w:r>
      <w:r w:rsidR="00A363F8" w:rsidRPr="00D40021">
        <w:rPr>
          <w:rFonts w:hAnsi="標楷體" w:hint="eastAsia"/>
        </w:rPr>
        <w:t>10年後</w:t>
      </w:r>
      <w:r w:rsidR="00BF05AE" w:rsidRPr="00D40021">
        <w:rPr>
          <w:rFonts w:hAnsi="標楷體" w:hint="eastAsia"/>
        </w:rPr>
        <w:t>，</w:t>
      </w:r>
      <w:r w:rsidR="008B160E" w:rsidRPr="00D40021">
        <w:rPr>
          <w:rFonts w:hAnsi="標楷體" w:hint="eastAsia"/>
        </w:rPr>
        <w:t>相較</w:t>
      </w:r>
      <w:r w:rsidR="00BF05AE" w:rsidRPr="00D40021">
        <w:rPr>
          <w:rFonts w:hAnsi="標楷體" w:hint="eastAsia"/>
        </w:rPr>
        <w:t>年金改革</w:t>
      </w:r>
      <w:r w:rsidR="008B160E" w:rsidRPr="00D40021">
        <w:rPr>
          <w:rFonts w:hAnsi="標楷體" w:hint="eastAsia"/>
        </w:rPr>
        <w:t>前所得之扣減</w:t>
      </w:r>
      <w:r w:rsidR="00A363F8" w:rsidRPr="00D40021">
        <w:rPr>
          <w:rFonts w:hAnsi="標楷體" w:hint="eastAsia"/>
        </w:rPr>
        <w:t>金額</w:t>
      </w:r>
      <w:r w:rsidR="008B160E" w:rsidRPr="00D40021">
        <w:rPr>
          <w:rFonts w:hAnsi="標楷體" w:hint="eastAsia"/>
        </w:rPr>
        <w:t>及</w:t>
      </w:r>
      <w:r w:rsidR="00A363F8" w:rsidRPr="00D40021">
        <w:rPr>
          <w:rFonts w:hAnsi="標楷體" w:hint="eastAsia"/>
        </w:rPr>
        <w:t>比率</w:t>
      </w:r>
      <w:r w:rsidR="008B160E" w:rsidRPr="00D40021">
        <w:rPr>
          <w:rFonts w:hAnsi="標楷體" w:hint="eastAsia"/>
        </w:rPr>
        <w:t>為</w:t>
      </w:r>
      <w:r w:rsidR="00A363F8" w:rsidRPr="00D40021">
        <w:rPr>
          <w:rFonts w:hAnsi="標楷體" w:hint="eastAsia"/>
        </w:rPr>
        <w:t>1,548元至39,220元及</w:t>
      </w:r>
      <w:r w:rsidR="008B160E" w:rsidRPr="00D40021">
        <w:rPr>
          <w:rFonts w:hAnsi="標楷體" w:hint="eastAsia"/>
        </w:rPr>
        <w:t>2.98</w:t>
      </w:r>
      <w:r w:rsidR="00213265" w:rsidRPr="00D40021">
        <w:rPr>
          <w:rFonts w:hAnsi="標楷體" w:hint="eastAsia"/>
        </w:rPr>
        <w:t>%</w:t>
      </w:r>
      <w:r w:rsidR="008B160E" w:rsidRPr="00D40021">
        <w:rPr>
          <w:rFonts w:hAnsi="標楷體" w:hint="eastAsia"/>
        </w:rPr>
        <w:t>至36.57</w:t>
      </w:r>
      <w:r w:rsidR="00213265" w:rsidRPr="00D40021">
        <w:rPr>
          <w:rFonts w:hAnsi="標楷體" w:hint="eastAsia"/>
        </w:rPr>
        <w:t>%</w:t>
      </w:r>
      <w:r w:rsidR="005E3D8C" w:rsidRPr="00D40021">
        <w:rPr>
          <w:rFonts w:hAnsi="標楷體" w:hint="eastAsia"/>
        </w:rPr>
        <w:t>，</w:t>
      </w:r>
      <w:r w:rsidR="00F53069" w:rsidRPr="00D40021">
        <w:rPr>
          <w:rFonts w:hAnsi="標楷體" w:hint="eastAsia"/>
        </w:rPr>
        <w:t>業涉有侵害退伍除役人員財產權之虞。</w:t>
      </w:r>
    </w:p>
    <w:p w:rsidR="00BF3F60" w:rsidRPr="00D40021" w:rsidRDefault="00462FAF" w:rsidP="00AD6576">
      <w:pPr>
        <w:pStyle w:val="4"/>
      </w:pPr>
      <w:r w:rsidRPr="00D40021">
        <w:rPr>
          <w:rFonts w:hint="eastAsia"/>
        </w:rPr>
        <w:t>查</w:t>
      </w:r>
      <w:r w:rsidR="00BF3F60" w:rsidRPr="00D40021">
        <w:rPr>
          <w:rFonts w:hint="eastAsia"/>
        </w:rPr>
        <w:t>107年7月1日服役條例修正施行後，純舊制年資退休軍職人員扣減金額及比率最多者為年資24年之少將10級，107年7月1日由107,247元降低為</w:t>
      </w:r>
      <w:r w:rsidR="00BF05AE" w:rsidRPr="00D40021">
        <w:rPr>
          <w:rFonts w:hint="eastAsia"/>
        </w:rPr>
        <w:t>103,325</w:t>
      </w:r>
      <w:r w:rsidR="00BF3F60" w:rsidRPr="00D40021">
        <w:rPr>
          <w:rFonts w:hint="eastAsia"/>
        </w:rPr>
        <w:t>元，扣減金額及比率為3,922元及3.66</w:t>
      </w:r>
      <w:r w:rsidR="00213265" w:rsidRPr="00D40021">
        <w:rPr>
          <w:rFonts w:hint="eastAsia"/>
        </w:rPr>
        <w:t>%</w:t>
      </w:r>
      <w:r w:rsidR="00BF3F60" w:rsidRPr="00D40021">
        <w:rPr>
          <w:rFonts w:hint="eastAsia"/>
        </w:rPr>
        <w:t>；117年7月1日以後，再降低為68,027元，相較年金改革前之扣減金額及比率為39,220元及36.57</w:t>
      </w:r>
      <w:r w:rsidR="00213265" w:rsidRPr="00D40021">
        <w:rPr>
          <w:rFonts w:hint="eastAsia"/>
        </w:rPr>
        <w:t>%</w:t>
      </w:r>
      <w:r w:rsidR="00D5003C" w:rsidRPr="00D40021">
        <w:rPr>
          <w:rFonts w:hint="eastAsia"/>
        </w:rPr>
        <w:t>。</w:t>
      </w:r>
      <w:proofErr w:type="gramStart"/>
      <w:r w:rsidR="00D5003C" w:rsidRPr="00D40021">
        <w:rPr>
          <w:rFonts w:hint="eastAsia"/>
        </w:rPr>
        <w:t>另</w:t>
      </w:r>
      <w:proofErr w:type="gramEnd"/>
      <w:r w:rsidR="00D5003C" w:rsidRPr="00D40021">
        <w:rPr>
          <w:rFonts w:hint="eastAsia"/>
        </w:rPr>
        <w:t>，117年7月1日以後，整體已退休軍職人員所領月退</w:t>
      </w:r>
      <w:proofErr w:type="gramStart"/>
      <w:r w:rsidR="00D5003C" w:rsidRPr="00D40021">
        <w:rPr>
          <w:rFonts w:hint="eastAsia"/>
        </w:rPr>
        <w:t>俸</w:t>
      </w:r>
      <w:proofErr w:type="gramEnd"/>
      <w:r w:rsidR="00D5003C" w:rsidRPr="00D40021">
        <w:rPr>
          <w:rFonts w:hint="eastAsia"/>
        </w:rPr>
        <w:t>金額，依退伍階級及年資，相較年金改革前所得之扣減金額及比率為1,548元至39,220元及2.98%至36.57%，</w:t>
      </w:r>
      <w:proofErr w:type="gramStart"/>
      <w:r w:rsidR="00D5003C" w:rsidRPr="00D40021">
        <w:rPr>
          <w:rFonts w:hint="eastAsia"/>
        </w:rPr>
        <w:t>餘</w:t>
      </w:r>
      <w:r w:rsidR="00BF3F60" w:rsidRPr="00D40021">
        <w:rPr>
          <w:rFonts w:hint="eastAsia"/>
        </w:rPr>
        <w:t>詳表</w:t>
      </w:r>
      <w:proofErr w:type="gramEnd"/>
      <w:r w:rsidR="00B57721" w:rsidRPr="00D40021">
        <w:rPr>
          <w:rFonts w:hint="eastAsia"/>
        </w:rPr>
        <w:t>1</w:t>
      </w:r>
      <w:r w:rsidR="00BF3F60" w:rsidRPr="00D40021">
        <w:rPr>
          <w:rFonts w:hint="eastAsia"/>
        </w:rPr>
        <w:t>。</w:t>
      </w:r>
    </w:p>
    <w:p w:rsidR="00F728C7" w:rsidRPr="00D40021" w:rsidRDefault="00F728C7" w:rsidP="0055173E">
      <w:pPr>
        <w:pStyle w:val="a3"/>
        <w:numPr>
          <w:ilvl w:val="0"/>
          <w:numId w:val="4"/>
        </w:numPr>
        <w:ind w:left="709" w:hanging="709"/>
        <w:rPr>
          <w:rFonts w:hAnsi="標楷體"/>
          <w:sz w:val="18"/>
          <w:szCs w:val="18"/>
        </w:rPr>
      </w:pPr>
      <w:proofErr w:type="gramStart"/>
      <w:r w:rsidRPr="00D40021">
        <w:rPr>
          <w:rFonts w:hAnsi="標楷體" w:hint="eastAsia"/>
        </w:rPr>
        <w:t>年改後已</w:t>
      </w:r>
      <w:proofErr w:type="gramEnd"/>
      <w:r w:rsidRPr="00D40021">
        <w:rPr>
          <w:rFonts w:hAnsi="標楷體" w:hint="eastAsia"/>
        </w:rPr>
        <w:t>退軍職人員月退休所得減少情形</w:t>
      </w:r>
      <w:proofErr w:type="gramStart"/>
      <w:r w:rsidRPr="00D40021">
        <w:rPr>
          <w:rFonts w:hAnsi="標楷體" w:hint="eastAsia"/>
        </w:rPr>
        <w:t>（</w:t>
      </w:r>
      <w:proofErr w:type="gramEnd"/>
      <w:r w:rsidRPr="00D40021">
        <w:rPr>
          <w:rFonts w:hAnsi="標楷體" w:hint="eastAsia"/>
        </w:rPr>
        <w:t>純舊制：</w:t>
      </w:r>
      <w:r w:rsidR="00246404" w:rsidRPr="00D40021">
        <w:rPr>
          <w:rFonts w:hAnsi="標楷體" w:hint="eastAsia"/>
        </w:rPr>
        <w:t>85</w:t>
      </w:r>
      <w:r w:rsidRPr="00D40021">
        <w:rPr>
          <w:rFonts w:hAnsi="標楷體" w:hint="eastAsia"/>
        </w:rPr>
        <w:t>年1</w:t>
      </w:r>
      <w:r w:rsidR="00246404" w:rsidRPr="00D40021">
        <w:rPr>
          <w:rFonts w:hAnsi="標楷體" w:hint="eastAsia"/>
        </w:rPr>
        <w:t>2</w:t>
      </w:r>
      <w:r w:rsidRPr="00D40021">
        <w:rPr>
          <w:rFonts w:hAnsi="標楷體" w:hint="eastAsia"/>
        </w:rPr>
        <w:t>月</w:t>
      </w:r>
      <w:r w:rsidR="00246404" w:rsidRPr="00D40021">
        <w:rPr>
          <w:rFonts w:hAnsi="標楷體" w:hint="eastAsia"/>
        </w:rPr>
        <w:t>3</w:t>
      </w:r>
      <w:r w:rsidRPr="00D40021">
        <w:rPr>
          <w:rFonts w:hAnsi="標楷體" w:hint="eastAsia"/>
        </w:rPr>
        <w:t>1日以前退休</w:t>
      </w:r>
      <w:proofErr w:type="gramStart"/>
      <w:r w:rsidRPr="00D40021">
        <w:rPr>
          <w:rFonts w:hAnsi="標楷體" w:hint="eastAsia"/>
        </w:rPr>
        <w:t>）</w:t>
      </w:r>
      <w:proofErr w:type="gramEnd"/>
    </w:p>
    <w:p w:rsidR="00F728C7" w:rsidRPr="00D40021" w:rsidRDefault="00F728C7" w:rsidP="00F728C7">
      <w:pPr>
        <w:pStyle w:val="afa"/>
        <w:spacing w:after="40"/>
        <w:ind w:leftChars="100" w:left="340"/>
        <w:jc w:val="right"/>
        <w:rPr>
          <w:rFonts w:hAnsi="標楷體"/>
          <w:sz w:val="24"/>
          <w:szCs w:val="24"/>
        </w:rPr>
      </w:pPr>
      <w:r w:rsidRPr="00D40021">
        <w:rPr>
          <w:rFonts w:hAnsi="標楷體" w:hint="eastAsia"/>
          <w:sz w:val="24"/>
          <w:szCs w:val="24"/>
        </w:rPr>
        <w:t>單位：元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2"/>
        <w:gridCol w:w="509"/>
        <w:gridCol w:w="355"/>
        <w:gridCol w:w="915"/>
        <w:gridCol w:w="1254"/>
        <w:gridCol w:w="1055"/>
        <w:gridCol w:w="776"/>
        <w:gridCol w:w="776"/>
        <w:gridCol w:w="915"/>
        <w:gridCol w:w="915"/>
        <w:gridCol w:w="912"/>
      </w:tblGrid>
      <w:tr w:rsidR="00D40021" w:rsidRPr="00D40021" w:rsidTr="003D6607">
        <w:trPr>
          <w:trHeight w:val="170"/>
          <w:tblHeader/>
          <w:jc w:val="center"/>
        </w:trPr>
        <w:tc>
          <w:tcPr>
            <w:tcW w:w="256" w:type="pct"/>
            <w:vMerge w:val="restart"/>
            <w:shd w:val="clear" w:color="auto" w:fill="EEECE1" w:themeFill="background2"/>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hint="eastAsia"/>
              </w:rPr>
              <w:t>退伍</w:t>
            </w:r>
            <w:r w:rsidRPr="00D40021">
              <w:rPr>
                <w:rFonts w:hAnsi="標楷體" w:hint="eastAsia"/>
              </w:rPr>
              <w:br/>
              <w:t>階級</w:t>
            </w:r>
          </w:p>
        </w:tc>
        <w:tc>
          <w:tcPr>
            <w:tcW w:w="288" w:type="pct"/>
            <w:vMerge w:val="restart"/>
            <w:shd w:val="clear" w:color="auto" w:fill="EEECE1" w:themeFill="background2"/>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hint="eastAsia"/>
              </w:rPr>
              <w:t>退伍</w:t>
            </w:r>
            <w:r w:rsidRPr="00D40021">
              <w:rPr>
                <w:rFonts w:hAnsi="標楷體" w:hint="eastAsia"/>
              </w:rPr>
              <w:br/>
              <w:t>年資</w:t>
            </w:r>
          </w:p>
        </w:tc>
        <w:tc>
          <w:tcPr>
            <w:tcW w:w="201" w:type="pct"/>
            <w:vMerge w:val="restar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cs="新細明體" w:hint="eastAsia"/>
              </w:rPr>
              <w:t>級</w:t>
            </w:r>
          </w:p>
          <w:p w:rsidR="0084281E" w:rsidRPr="00D40021" w:rsidRDefault="0084281E" w:rsidP="002D6B80">
            <w:pPr>
              <w:pStyle w:val="121"/>
              <w:jc w:val="center"/>
              <w:rPr>
                <w:rFonts w:hAnsi="標楷體" w:cs="新細明體"/>
              </w:rPr>
            </w:pPr>
            <w:r w:rsidRPr="00D40021">
              <w:rPr>
                <w:rFonts w:hAnsi="標楷體" w:cs="新細明體" w:hint="eastAsia"/>
              </w:rPr>
              <w:t>數</w:t>
            </w:r>
          </w:p>
        </w:tc>
        <w:tc>
          <w:tcPr>
            <w:tcW w:w="518" w:type="pct"/>
            <w:vMerge w:val="restar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cs="新細明體" w:hint="eastAsia"/>
              </w:rPr>
              <w:t>本</w:t>
            </w:r>
            <w:proofErr w:type="gramStart"/>
            <w:r w:rsidRPr="00D40021">
              <w:rPr>
                <w:rFonts w:hAnsi="標楷體" w:cs="新細明體" w:hint="eastAsia"/>
              </w:rPr>
              <w:t>俸</w:t>
            </w:r>
            <w:proofErr w:type="gramEnd"/>
          </w:p>
        </w:tc>
        <w:tc>
          <w:tcPr>
            <w:tcW w:w="710" w:type="pct"/>
            <w:vMerge w:val="restar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改革前月退休所得（月退</w:t>
            </w:r>
            <w:proofErr w:type="gramStart"/>
            <w:r w:rsidRPr="00D40021">
              <w:rPr>
                <w:rFonts w:hAnsi="標楷體" w:hint="eastAsia"/>
              </w:rPr>
              <w:t>俸</w:t>
            </w:r>
            <w:proofErr w:type="gramEnd"/>
            <w:r w:rsidRPr="00D40021">
              <w:rPr>
                <w:rFonts w:hAnsi="標楷體" w:hint="eastAsia"/>
              </w:rPr>
              <w:t>+18%）</w:t>
            </w:r>
          </w:p>
        </w:tc>
        <w:tc>
          <w:tcPr>
            <w:tcW w:w="1474" w:type="pct"/>
            <w:gridSpan w:val="3"/>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107.7.1~108.6.30</w:t>
            </w:r>
          </w:p>
        </w:tc>
        <w:tc>
          <w:tcPr>
            <w:tcW w:w="1554" w:type="pct"/>
            <w:gridSpan w:val="3"/>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117.7.1以後</w:t>
            </w:r>
          </w:p>
        </w:tc>
      </w:tr>
      <w:tr w:rsidR="00D40021" w:rsidRPr="00D40021" w:rsidTr="003D6607">
        <w:trPr>
          <w:trHeight w:val="170"/>
          <w:tblHeader/>
          <w:jc w:val="center"/>
        </w:trPr>
        <w:tc>
          <w:tcPr>
            <w:tcW w:w="256" w:type="pct"/>
            <w:vMerge/>
            <w:shd w:val="clear" w:color="auto" w:fill="EEECE1" w:themeFill="background2"/>
            <w:vAlign w:val="center"/>
          </w:tcPr>
          <w:p w:rsidR="0084281E" w:rsidRPr="00D40021" w:rsidRDefault="0084281E" w:rsidP="002D6B80">
            <w:pPr>
              <w:pStyle w:val="121"/>
              <w:jc w:val="center"/>
              <w:rPr>
                <w:rFonts w:hAnsi="標楷體"/>
              </w:rPr>
            </w:pPr>
          </w:p>
        </w:tc>
        <w:tc>
          <w:tcPr>
            <w:tcW w:w="288" w:type="pct"/>
            <w:vMerge/>
            <w:shd w:val="clear" w:color="auto" w:fill="EEECE1" w:themeFill="background2"/>
            <w:vAlign w:val="center"/>
          </w:tcPr>
          <w:p w:rsidR="0084281E" w:rsidRPr="00D40021" w:rsidRDefault="0084281E" w:rsidP="002D6B80">
            <w:pPr>
              <w:pStyle w:val="121"/>
              <w:jc w:val="center"/>
              <w:rPr>
                <w:rFonts w:hAnsi="標楷體"/>
              </w:rPr>
            </w:pPr>
          </w:p>
        </w:tc>
        <w:tc>
          <w:tcPr>
            <w:tcW w:w="201" w:type="pct"/>
            <w:vMerge/>
            <w:shd w:val="clear" w:color="auto" w:fill="EEECE1" w:themeFill="background2"/>
            <w:vAlign w:val="center"/>
          </w:tcPr>
          <w:p w:rsidR="0084281E" w:rsidRPr="00D40021" w:rsidRDefault="0084281E" w:rsidP="002D6B80">
            <w:pPr>
              <w:pStyle w:val="121"/>
              <w:jc w:val="center"/>
              <w:rPr>
                <w:rFonts w:hAnsi="標楷體"/>
              </w:rPr>
            </w:pPr>
          </w:p>
        </w:tc>
        <w:tc>
          <w:tcPr>
            <w:tcW w:w="518" w:type="pct"/>
            <w:vMerge/>
            <w:shd w:val="clear" w:color="auto" w:fill="EEECE1" w:themeFill="background2"/>
            <w:vAlign w:val="center"/>
          </w:tcPr>
          <w:p w:rsidR="0084281E" w:rsidRPr="00D40021" w:rsidRDefault="0084281E" w:rsidP="002D6B80">
            <w:pPr>
              <w:pStyle w:val="121"/>
              <w:jc w:val="center"/>
              <w:rPr>
                <w:rFonts w:hAnsi="標楷體"/>
              </w:rPr>
            </w:pPr>
          </w:p>
        </w:tc>
        <w:tc>
          <w:tcPr>
            <w:tcW w:w="710" w:type="pct"/>
            <w:vMerge/>
            <w:shd w:val="clear" w:color="auto" w:fill="EEECE1" w:themeFill="background2"/>
            <w:vAlign w:val="center"/>
          </w:tcPr>
          <w:p w:rsidR="0084281E" w:rsidRPr="00D40021" w:rsidRDefault="0084281E" w:rsidP="002D6B80">
            <w:pPr>
              <w:pStyle w:val="121"/>
              <w:jc w:val="center"/>
              <w:rPr>
                <w:rFonts w:hAnsi="標楷體"/>
              </w:rPr>
            </w:pPr>
          </w:p>
        </w:tc>
        <w:tc>
          <w:tcPr>
            <w:tcW w:w="597"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扣減後</w:t>
            </w:r>
          </w:p>
          <w:p w:rsidR="0084281E" w:rsidRPr="00D40021" w:rsidRDefault="0084281E" w:rsidP="002D6B80">
            <w:pPr>
              <w:pStyle w:val="121"/>
              <w:jc w:val="center"/>
              <w:rPr>
                <w:rFonts w:hAnsi="標楷體" w:cs="新細明體"/>
              </w:rPr>
            </w:pPr>
            <w:r w:rsidRPr="00D40021">
              <w:rPr>
                <w:rFonts w:hAnsi="標楷體" w:hint="eastAsia"/>
              </w:rPr>
              <w:t>所得</w:t>
            </w:r>
          </w:p>
        </w:tc>
        <w:tc>
          <w:tcPr>
            <w:tcW w:w="439"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w:t>
            </w:r>
          </w:p>
          <w:p w:rsidR="0084281E" w:rsidRPr="00D40021" w:rsidRDefault="0084281E" w:rsidP="002D6B80">
            <w:pPr>
              <w:pStyle w:val="121"/>
              <w:jc w:val="center"/>
              <w:rPr>
                <w:rFonts w:hAnsi="標楷體" w:cs="新細明體"/>
              </w:rPr>
            </w:pPr>
            <w:r w:rsidRPr="00D40021">
              <w:rPr>
                <w:rFonts w:hAnsi="標楷體" w:hint="eastAsia"/>
              </w:rPr>
              <w:t>金額</w:t>
            </w:r>
          </w:p>
        </w:tc>
        <w:tc>
          <w:tcPr>
            <w:tcW w:w="439"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w:t>
            </w:r>
          </w:p>
          <w:p w:rsidR="0084281E" w:rsidRPr="00D40021" w:rsidRDefault="0084281E" w:rsidP="002D6B80">
            <w:pPr>
              <w:pStyle w:val="121"/>
              <w:jc w:val="center"/>
              <w:rPr>
                <w:rFonts w:hAnsi="標楷體" w:cs="新細明體"/>
              </w:rPr>
            </w:pPr>
            <w:r w:rsidRPr="00D40021">
              <w:rPr>
                <w:rFonts w:hAnsi="標楷體" w:hint="eastAsia"/>
              </w:rPr>
              <w:t>比例</w:t>
            </w:r>
          </w:p>
        </w:tc>
        <w:tc>
          <w:tcPr>
            <w:tcW w:w="518"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扣減後</w:t>
            </w:r>
          </w:p>
          <w:p w:rsidR="0084281E" w:rsidRPr="00D40021" w:rsidRDefault="0084281E" w:rsidP="002D6B80">
            <w:pPr>
              <w:pStyle w:val="121"/>
              <w:jc w:val="center"/>
              <w:rPr>
                <w:rFonts w:hAnsi="標楷體" w:cs="新細明體"/>
              </w:rPr>
            </w:pPr>
            <w:r w:rsidRPr="00D40021">
              <w:rPr>
                <w:rFonts w:hAnsi="標楷體" w:hint="eastAsia"/>
              </w:rPr>
              <w:t>所得</w:t>
            </w:r>
          </w:p>
        </w:tc>
        <w:tc>
          <w:tcPr>
            <w:tcW w:w="518"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w:t>
            </w:r>
          </w:p>
          <w:p w:rsidR="0084281E" w:rsidRPr="00D40021" w:rsidRDefault="0084281E" w:rsidP="002D6B80">
            <w:pPr>
              <w:pStyle w:val="121"/>
              <w:jc w:val="center"/>
              <w:rPr>
                <w:rFonts w:hAnsi="標楷體" w:cs="新細明體"/>
              </w:rPr>
            </w:pPr>
            <w:r w:rsidRPr="00D40021">
              <w:rPr>
                <w:rFonts w:hAnsi="標楷體" w:hint="eastAsia"/>
              </w:rPr>
              <w:t>金額</w:t>
            </w:r>
          </w:p>
        </w:tc>
        <w:tc>
          <w:tcPr>
            <w:tcW w:w="518"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w:t>
            </w:r>
          </w:p>
          <w:p w:rsidR="0084281E" w:rsidRPr="00D40021" w:rsidRDefault="0084281E" w:rsidP="002D6B80">
            <w:pPr>
              <w:pStyle w:val="121"/>
              <w:jc w:val="center"/>
              <w:rPr>
                <w:rFonts w:hAnsi="標楷體" w:cs="新細明體"/>
              </w:rPr>
            </w:pPr>
            <w:r w:rsidRPr="00D40021">
              <w:rPr>
                <w:rFonts w:hAnsi="標楷體" w:hint="eastAsia"/>
              </w:rPr>
              <w:t>比例</w:t>
            </w:r>
          </w:p>
        </w:tc>
      </w:tr>
      <w:tr w:rsidR="00D40021" w:rsidRPr="00D40021" w:rsidTr="003D6607">
        <w:trPr>
          <w:trHeight w:val="170"/>
          <w:jc w:val="center"/>
        </w:trPr>
        <w:tc>
          <w:tcPr>
            <w:tcW w:w="256" w:type="pct"/>
            <w:vMerge w:val="restart"/>
            <w:shd w:val="clear" w:color="auto" w:fill="EEECE1" w:themeFill="background2"/>
            <w:vAlign w:val="center"/>
          </w:tcPr>
          <w:p w:rsidR="0084281E" w:rsidRPr="00D40021" w:rsidRDefault="0084281E" w:rsidP="002D6B80">
            <w:pPr>
              <w:pStyle w:val="121"/>
              <w:rPr>
                <w:rFonts w:hAnsi="標楷體"/>
              </w:rPr>
            </w:pPr>
            <w:proofErr w:type="gramStart"/>
            <w:r w:rsidRPr="00D40021">
              <w:rPr>
                <w:rFonts w:hAnsi="標楷體" w:hint="eastAsia"/>
              </w:rPr>
              <w:t>一</w:t>
            </w:r>
            <w:proofErr w:type="gramEnd"/>
            <w:r w:rsidRPr="00D40021">
              <w:rPr>
                <w:rFonts w:hAnsi="標楷體" w:hint="eastAsia"/>
              </w:rPr>
              <w:t>等長</w:t>
            </w: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20</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10</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32,040</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42,150</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41,834</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316</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0.75%</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38,990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3,160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7.50%</w:t>
            </w:r>
          </w:p>
        </w:tc>
      </w:tr>
      <w:tr w:rsidR="00D40021" w:rsidRPr="00D40021" w:rsidTr="003D6607">
        <w:trPr>
          <w:trHeight w:val="170"/>
          <w:jc w:val="center"/>
        </w:trPr>
        <w:tc>
          <w:tcPr>
            <w:tcW w:w="256" w:type="pct"/>
            <w:vMerge/>
            <w:shd w:val="clear" w:color="auto" w:fill="EEECE1" w:themeFill="background2"/>
            <w:vAlign w:val="center"/>
          </w:tcPr>
          <w:p w:rsidR="0084281E" w:rsidRPr="00D40021" w:rsidRDefault="0084281E" w:rsidP="002D6B80">
            <w:pPr>
              <w:pStyle w:val="121"/>
              <w:rPr>
                <w:rFonts w:hAnsi="標楷體"/>
              </w:rPr>
            </w:pP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24</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14</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34,785</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47,693</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47,307</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386</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0.81%</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43,829</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3,864</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8.10%</w:t>
            </w:r>
          </w:p>
        </w:tc>
      </w:tr>
      <w:tr w:rsidR="00D40021" w:rsidRPr="00D40021" w:rsidTr="003D6607">
        <w:trPr>
          <w:trHeight w:val="170"/>
          <w:jc w:val="center"/>
        </w:trPr>
        <w:tc>
          <w:tcPr>
            <w:tcW w:w="256" w:type="pct"/>
            <w:vMerge/>
            <w:shd w:val="clear" w:color="auto" w:fill="EEECE1" w:themeFill="background2"/>
            <w:vAlign w:val="center"/>
          </w:tcPr>
          <w:p w:rsidR="0084281E" w:rsidRPr="00D40021" w:rsidRDefault="0084281E" w:rsidP="002D6B80">
            <w:pPr>
              <w:pStyle w:val="121"/>
              <w:rPr>
                <w:rFonts w:hAnsi="標楷體"/>
              </w:rPr>
            </w:pP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28</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15</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35,470</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51,915</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51,760</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155</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0.30%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50,367</w:t>
            </w:r>
          </w:p>
        </w:tc>
        <w:tc>
          <w:tcPr>
            <w:tcW w:w="518"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1,548</w:t>
            </w:r>
          </w:p>
        </w:tc>
        <w:tc>
          <w:tcPr>
            <w:tcW w:w="518"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2.98%</w:t>
            </w:r>
          </w:p>
        </w:tc>
      </w:tr>
      <w:tr w:rsidR="00D40021" w:rsidRPr="00D40021" w:rsidTr="003D6607">
        <w:trPr>
          <w:trHeight w:val="170"/>
          <w:jc w:val="center"/>
        </w:trPr>
        <w:tc>
          <w:tcPr>
            <w:tcW w:w="256" w:type="pct"/>
            <w:shd w:val="clear" w:color="auto" w:fill="EEECE1" w:themeFill="background2"/>
            <w:vAlign w:val="center"/>
          </w:tcPr>
          <w:p w:rsidR="0084281E" w:rsidRPr="00D40021" w:rsidRDefault="0084281E" w:rsidP="002D6B80">
            <w:pPr>
              <w:pStyle w:val="121"/>
              <w:rPr>
                <w:rFonts w:hAnsi="標楷體"/>
              </w:rPr>
            </w:pPr>
            <w:r w:rsidRPr="00D40021">
              <w:rPr>
                <w:rFonts w:hAnsi="標楷體" w:hint="eastAsia"/>
              </w:rPr>
              <w:t>少校</w:t>
            </w: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20</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40,615</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51,810</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51,097</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713</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1.38%</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44,677</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7,134</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13.77%</w:t>
            </w:r>
          </w:p>
        </w:tc>
      </w:tr>
      <w:tr w:rsidR="00D40021" w:rsidRPr="00D40021" w:rsidTr="003D6607">
        <w:trPr>
          <w:trHeight w:val="170"/>
          <w:jc w:val="center"/>
        </w:trPr>
        <w:tc>
          <w:tcPr>
            <w:tcW w:w="256" w:type="pct"/>
            <w:vMerge w:val="restart"/>
            <w:shd w:val="clear" w:color="auto" w:fill="EEECE1" w:themeFill="background2"/>
            <w:vAlign w:val="center"/>
          </w:tcPr>
          <w:p w:rsidR="0084281E" w:rsidRPr="00D40021" w:rsidRDefault="0084281E" w:rsidP="002D6B80">
            <w:pPr>
              <w:pStyle w:val="121"/>
              <w:rPr>
                <w:rFonts w:hAnsi="標楷體"/>
              </w:rPr>
            </w:pPr>
            <w:r w:rsidRPr="00D40021">
              <w:rPr>
                <w:rFonts w:hAnsi="標楷體" w:hint="eastAsia"/>
              </w:rPr>
              <w:t>中校</w:t>
            </w: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20</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44,730</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59,111</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58,120</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991</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1.68%</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49,203</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9,908</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16.76%</w:t>
            </w:r>
          </w:p>
        </w:tc>
      </w:tr>
      <w:tr w:rsidR="00D40021" w:rsidRPr="00D40021" w:rsidTr="003D6607">
        <w:trPr>
          <w:trHeight w:val="170"/>
          <w:jc w:val="center"/>
        </w:trPr>
        <w:tc>
          <w:tcPr>
            <w:tcW w:w="256" w:type="pct"/>
            <w:vMerge/>
            <w:shd w:val="clear" w:color="auto" w:fill="EEECE1" w:themeFill="background2"/>
            <w:vAlign w:val="center"/>
          </w:tcPr>
          <w:p w:rsidR="0084281E" w:rsidRPr="00D40021" w:rsidRDefault="0084281E" w:rsidP="002D6B80">
            <w:pPr>
              <w:pStyle w:val="121"/>
              <w:rPr>
                <w:rFonts w:hAnsi="標楷體"/>
              </w:rPr>
            </w:pPr>
          </w:p>
        </w:tc>
        <w:tc>
          <w:tcPr>
            <w:tcW w:w="288" w:type="pct"/>
            <w:shd w:val="clear" w:color="auto" w:fill="EEECE1" w:themeFill="background2"/>
            <w:vAlign w:val="center"/>
          </w:tcPr>
          <w:p w:rsidR="0084281E" w:rsidRPr="00D40021" w:rsidRDefault="0084281E" w:rsidP="002D6B80">
            <w:pPr>
              <w:pStyle w:val="121"/>
              <w:rPr>
                <w:rFonts w:hAnsi="標楷體"/>
              </w:rPr>
            </w:pPr>
            <w:r w:rsidRPr="00D40021">
              <w:rPr>
                <w:rFonts w:hAnsi="標楷體" w:hint="eastAsia"/>
              </w:rPr>
              <w:t>24</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44,730</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64,250</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63,461</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789</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1.23%</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56,360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7,890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12.28%</w:t>
            </w:r>
          </w:p>
        </w:tc>
      </w:tr>
      <w:tr w:rsidR="00D40021" w:rsidRPr="00D40021" w:rsidTr="003D6607">
        <w:trPr>
          <w:trHeight w:val="170"/>
          <w:jc w:val="center"/>
        </w:trPr>
        <w:tc>
          <w:tcPr>
            <w:tcW w:w="256" w:type="pct"/>
            <w:vMerge/>
            <w:shd w:val="clear" w:color="auto" w:fill="EEECE1" w:themeFill="background2"/>
            <w:vAlign w:val="center"/>
          </w:tcPr>
          <w:p w:rsidR="0084281E" w:rsidRPr="00D40021" w:rsidRDefault="0084281E" w:rsidP="002D6B80">
            <w:pPr>
              <w:pStyle w:val="121"/>
              <w:rPr>
                <w:rFonts w:hAnsi="標楷體"/>
              </w:rPr>
            </w:pP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28</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44,730</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66,396</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66,108</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288</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0.43%</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63,517</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2,879</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4.34%</w:t>
            </w:r>
          </w:p>
        </w:tc>
      </w:tr>
      <w:tr w:rsidR="00D40021" w:rsidRPr="00D40021" w:rsidTr="003D6607">
        <w:trPr>
          <w:trHeight w:val="170"/>
          <w:jc w:val="center"/>
        </w:trPr>
        <w:tc>
          <w:tcPr>
            <w:tcW w:w="256" w:type="pct"/>
            <w:vMerge w:val="restart"/>
            <w:shd w:val="clear" w:color="auto" w:fill="EEECE1" w:themeFill="background2"/>
            <w:vAlign w:val="center"/>
          </w:tcPr>
          <w:p w:rsidR="0084281E" w:rsidRPr="00D40021" w:rsidRDefault="0084281E" w:rsidP="002D6B80">
            <w:pPr>
              <w:pStyle w:val="121"/>
              <w:rPr>
                <w:rFonts w:hAnsi="標楷體"/>
              </w:rPr>
            </w:pPr>
            <w:r w:rsidRPr="00D40021">
              <w:rPr>
                <w:rFonts w:hAnsi="標楷體" w:hint="eastAsia"/>
              </w:rPr>
              <w:lastRenderedPageBreak/>
              <w:t>上校</w:t>
            </w: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20</w:t>
            </w:r>
          </w:p>
        </w:tc>
        <w:tc>
          <w:tcPr>
            <w:tcW w:w="201" w:type="pct"/>
            <w:shd w:val="clear" w:color="auto" w:fill="FFFF00"/>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10</w:t>
            </w:r>
          </w:p>
        </w:tc>
        <w:tc>
          <w:tcPr>
            <w:tcW w:w="518" w:type="pct"/>
            <w:shd w:val="clear" w:color="auto" w:fill="FFFF00"/>
            <w:vAlign w:val="center"/>
          </w:tcPr>
          <w:p w:rsidR="0084281E" w:rsidRPr="00D40021" w:rsidRDefault="0084281E" w:rsidP="002D6B80">
            <w:pPr>
              <w:pStyle w:val="121"/>
              <w:jc w:val="right"/>
              <w:rPr>
                <w:rFonts w:hAnsi="標楷體" w:cs="新細明體"/>
              </w:rPr>
            </w:pPr>
            <w:r w:rsidRPr="00D40021">
              <w:rPr>
                <w:rFonts w:hAnsi="標楷體" w:cs="新細明體" w:hint="eastAsia"/>
              </w:rPr>
              <w:t>49,875</w:t>
            </w:r>
          </w:p>
        </w:tc>
        <w:tc>
          <w:tcPr>
            <w:tcW w:w="710" w:type="pct"/>
            <w:shd w:val="clear" w:color="auto" w:fill="FFFF00"/>
            <w:vAlign w:val="center"/>
          </w:tcPr>
          <w:p w:rsidR="0084281E" w:rsidRPr="00D40021" w:rsidRDefault="0084281E" w:rsidP="002D6B80">
            <w:pPr>
              <w:pStyle w:val="121"/>
              <w:jc w:val="right"/>
              <w:rPr>
                <w:rFonts w:hAnsi="標楷體" w:cs="新細明體"/>
              </w:rPr>
            </w:pPr>
            <w:r w:rsidRPr="00D40021">
              <w:rPr>
                <w:rFonts w:hAnsi="標楷體" w:cs="新細明體" w:hint="eastAsia"/>
              </w:rPr>
              <w:t>67,889</w:t>
            </w:r>
          </w:p>
        </w:tc>
        <w:tc>
          <w:tcPr>
            <w:tcW w:w="597"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66,586</w:t>
            </w:r>
          </w:p>
        </w:tc>
        <w:tc>
          <w:tcPr>
            <w:tcW w:w="439"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1,303</w:t>
            </w:r>
          </w:p>
        </w:tc>
        <w:tc>
          <w:tcPr>
            <w:tcW w:w="439"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1.92%</w:t>
            </w:r>
          </w:p>
        </w:tc>
        <w:tc>
          <w:tcPr>
            <w:tcW w:w="518"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54,863</w:t>
            </w:r>
          </w:p>
        </w:tc>
        <w:tc>
          <w:tcPr>
            <w:tcW w:w="518"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13,027</w:t>
            </w:r>
          </w:p>
        </w:tc>
        <w:tc>
          <w:tcPr>
            <w:tcW w:w="518"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19.19%</w:t>
            </w:r>
          </w:p>
        </w:tc>
      </w:tr>
      <w:tr w:rsidR="00D40021" w:rsidRPr="00D40021" w:rsidTr="003D6607">
        <w:trPr>
          <w:trHeight w:val="170"/>
          <w:jc w:val="center"/>
        </w:trPr>
        <w:tc>
          <w:tcPr>
            <w:tcW w:w="256" w:type="pct"/>
            <w:vMerge/>
            <w:shd w:val="clear" w:color="auto" w:fill="EEECE1" w:themeFill="background2"/>
            <w:vAlign w:val="center"/>
          </w:tcPr>
          <w:p w:rsidR="0084281E" w:rsidRPr="00D40021" w:rsidRDefault="0084281E" w:rsidP="002D6B80">
            <w:pPr>
              <w:pStyle w:val="121"/>
              <w:rPr>
                <w:rFonts w:hAnsi="標楷體"/>
              </w:rPr>
            </w:pP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24</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52,620</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74,323</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73,521</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802</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1.08%</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66,301</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8,022</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10.79%</w:t>
            </w:r>
          </w:p>
        </w:tc>
      </w:tr>
      <w:tr w:rsidR="00D40021" w:rsidRPr="00D40021" w:rsidTr="003D6607">
        <w:trPr>
          <w:trHeight w:val="170"/>
          <w:jc w:val="center"/>
        </w:trPr>
        <w:tc>
          <w:tcPr>
            <w:tcW w:w="256" w:type="pct"/>
            <w:vMerge/>
            <w:shd w:val="clear" w:color="auto" w:fill="EEECE1" w:themeFill="background2"/>
            <w:vAlign w:val="center"/>
          </w:tcPr>
          <w:p w:rsidR="0084281E" w:rsidRPr="00D40021" w:rsidRDefault="0084281E" w:rsidP="002D6B80">
            <w:pPr>
              <w:pStyle w:val="121"/>
              <w:rPr>
                <w:rFonts w:hAnsi="標楷體"/>
              </w:rPr>
            </w:pP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28</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52,620</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77,527</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77,246</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281</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0.36%</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74,720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2,807</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3.62%</w:t>
            </w:r>
          </w:p>
        </w:tc>
      </w:tr>
      <w:tr w:rsidR="00D40021" w:rsidRPr="00D40021" w:rsidTr="003D6607">
        <w:trPr>
          <w:trHeight w:val="170"/>
          <w:jc w:val="center"/>
        </w:trPr>
        <w:tc>
          <w:tcPr>
            <w:tcW w:w="256" w:type="pct"/>
            <w:vMerge w:val="restart"/>
            <w:shd w:val="clear" w:color="auto" w:fill="EEECE1" w:themeFill="background2"/>
            <w:vAlign w:val="center"/>
          </w:tcPr>
          <w:p w:rsidR="0084281E" w:rsidRPr="00D40021" w:rsidRDefault="0084281E" w:rsidP="002D6B80">
            <w:pPr>
              <w:pStyle w:val="121"/>
              <w:rPr>
                <w:rFonts w:hAnsi="標楷體"/>
              </w:rPr>
            </w:pPr>
            <w:r w:rsidRPr="00D40021">
              <w:rPr>
                <w:rFonts w:hAnsi="標楷體" w:hint="eastAsia"/>
              </w:rPr>
              <w:t>少將</w:t>
            </w: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24</w:t>
            </w:r>
          </w:p>
        </w:tc>
        <w:tc>
          <w:tcPr>
            <w:tcW w:w="201" w:type="pct"/>
            <w:shd w:val="clear" w:color="auto" w:fill="FFFF00"/>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10</w:t>
            </w:r>
          </w:p>
        </w:tc>
        <w:tc>
          <w:tcPr>
            <w:tcW w:w="518" w:type="pct"/>
            <w:shd w:val="clear" w:color="auto" w:fill="FFFF00"/>
            <w:vAlign w:val="center"/>
          </w:tcPr>
          <w:p w:rsidR="0084281E" w:rsidRPr="00D40021" w:rsidRDefault="0084281E" w:rsidP="002D6B80">
            <w:pPr>
              <w:pStyle w:val="121"/>
              <w:jc w:val="right"/>
              <w:rPr>
                <w:rFonts w:hAnsi="標楷體" w:cs="新細明體"/>
              </w:rPr>
            </w:pPr>
            <w:r w:rsidRPr="00D40021">
              <w:rPr>
                <w:rFonts w:hAnsi="標楷體" w:cs="新細明體" w:hint="eastAsia"/>
              </w:rPr>
              <w:t>53,990</w:t>
            </w:r>
          </w:p>
        </w:tc>
        <w:tc>
          <w:tcPr>
            <w:tcW w:w="710" w:type="pct"/>
            <w:shd w:val="clear" w:color="auto" w:fill="FFFF00"/>
            <w:vAlign w:val="center"/>
          </w:tcPr>
          <w:p w:rsidR="0084281E" w:rsidRPr="00D40021" w:rsidRDefault="0084281E" w:rsidP="002D6B80">
            <w:pPr>
              <w:pStyle w:val="121"/>
              <w:jc w:val="right"/>
              <w:rPr>
                <w:rFonts w:hAnsi="標楷體" w:cs="新細明體"/>
              </w:rPr>
            </w:pPr>
            <w:r w:rsidRPr="00D40021">
              <w:rPr>
                <w:rFonts w:hAnsi="標楷體" w:cs="新細明體" w:hint="eastAsia"/>
              </w:rPr>
              <w:t>107,247</w:t>
            </w:r>
          </w:p>
        </w:tc>
        <w:tc>
          <w:tcPr>
            <w:tcW w:w="597"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103,325</w:t>
            </w:r>
          </w:p>
        </w:tc>
        <w:tc>
          <w:tcPr>
            <w:tcW w:w="439"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3,922</w:t>
            </w:r>
          </w:p>
        </w:tc>
        <w:tc>
          <w:tcPr>
            <w:tcW w:w="439"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3.66%</w:t>
            </w:r>
          </w:p>
        </w:tc>
        <w:tc>
          <w:tcPr>
            <w:tcW w:w="518"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68,027</w:t>
            </w:r>
          </w:p>
        </w:tc>
        <w:tc>
          <w:tcPr>
            <w:tcW w:w="518"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39,220</w:t>
            </w:r>
          </w:p>
        </w:tc>
        <w:tc>
          <w:tcPr>
            <w:tcW w:w="518"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36.57%</w:t>
            </w:r>
          </w:p>
        </w:tc>
      </w:tr>
      <w:tr w:rsidR="00D40021" w:rsidRPr="00D40021" w:rsidTr="003D6607">
        <w:trPr>
          <w:trHeight w:val="170"/>
          <w:jc w:val="center"/>
        </w:trPr>
        <w:tc>
          <w:tcPr>
            <w:tcW w:w="256" w:type="pct"/>
            <w:vMerge/>
            <w:shd w:val="clear" w:color="auto" w:fill="EEECE1" w:themeFill="background2"/>
            <w:vAlign w:val="center"/>
          </w:tcPr>
          <w:p w:rsidR="0084281E" w:rsidRPr="00D40021" w:rsidRDefault="0084281E" w:rsidP="002D6B80">
            <w:pPr>
              <w:pStyle w:val="121"/>
              <w:rPr>
                <w:rFonts w:hAnsi="標楷體"/>
              </w:rPr>
            </w:pP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28</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10</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53,990</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109,810</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106,496</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3,314</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3.02%</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76,666</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33,144</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30.18%</w:t>
            </w:r>
          </w:p>
        </w:tc>
      </w:tr>
      <w:tr w:rsidR="00D40021" w:rsidRPr="00D40021" w:rsidTr="003D6607">
        <w:trPr>
          <w:trHeight w:val="170"/>
          <w:jc w:val="center"/>
        </w:trPr>
        <w:tc>
          <w:tcPr>
            <w:tcW w:w="256" w:type="pct"/>
            <w:shd w:val="clear" w:color="auto" w:fill="EEECE1" w:themeFill="background2"/>
            <w:vAlign w:val="center"/>
          </w:tcPr>
          <w:p w:rsidR="0084281E" w:rsidRPr="00D40021" w:rsidRDefault="0084281E" w:rsidP="002D6B80">
            <w:pPr>
              <w:pStyle w:val="121"/>
              <w:rPr>
                <w:rFonts w:hAnsi="標楷體"/>
              </w:rPr>
            </w:pPr>
            <w:r w:rsidRPr="00D40021">
              <w:rPr>
                <w:rFonts w:hAnsi="標楷體" w:hint="eastAsia"/>
              </w:rPr>
              <w:t>中將</w:t>
            </w:r>
          </w:p>
        </w:tc>
        <w:tc>
          <w:tcPr>
            <w:tcW w:w="288" w:type="pct"/>
            <w:shd w:val="clear" w:color="auto" w:fill="EEECE1" w:themeFill="background2"/>
            <w:vAlign w:val="center"/>
          </w:tcPr>
          <w:p w:rsidR="0084281E" w:rsidRPr="00D40021" w:rsidRDefault="0084281E" w:rsidP="002D6B80">
            <w:pPr>
              <w:pStyle w:val="121"/>
              <w:rPr>
                <w:rFonts w:hAnsi="標楷體" w:cs="新細明體"/>
              </w:rPr>
            </w:pPr>
            <w:r w:rsidRPr="00D40021">
              <w:rPr>
                <w:rFonts w:hAnsi="標楷體" w:hint="eastAsia"/>
              </w:rPr>
              <w:t>35</w:t>
            </w:r>
          </w:p>
        </w:tc>
        <w:tc>
          <w:tcPr>
            <w:tcW w:w="201" w:type="pct"/>
            <w:shd w:val="clear" w:color="auto" w:fill="auto"/>
            <w:tcMar>
              <w:left w:w="0" w:type="dxa"/>
              <w:right w:w="0" w:type="dxa"/>
            </w:tcMar>
            <w:vAlign w:val="center"/>
          </w:tcPr>
          <w:p w:rsidR="0084281E" w:rsidRPr="00D40021" w:rsidRDefault="0084281E" w:rsidP="002D6B80">
            <w:pPr>
              <w:pStyle w:val="121"/>
              <w:rPr>
                <w:rFonts w:hAnsi="標楷體" w:cs="新細明體"/>
              </w:rPr>
            </w:pPr>
            <w:r w:rsidRPr="00D40021">
              <w:rPr>
                <w:rFonts w:hAnsi="標楷體" w:cs="新細明體" w:hint="eastAsia"/>
              </w:rPr>
              <w:t>6</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56,930</w:t>
            </w:r>
          </w:p>
        </w:tc>
        <w:tc>
          <w:tcPr>
            <w:tcW w:w="710"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119,347</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117,090</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2,257</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1.89%</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96,781</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22,566</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18.91%</w:t>
            </w:r>
          </w:p>
        </w:tc>
      </w:tr>
    </w:tbl>
    <w:p w:rsidR="00F728C7" w:rsidRPr="00D40021" w:rsidRDefault="00F728C7" w:rsidP="003D6607">
      <w:pPr>
        <w:pStyle w:val="42"/>
        <w:snapToGrid w:val="0"/>
        <w:ind w:leftChars="0" w:left="0" w:firstLineChars="0" w:firstLine="0"/>
        <w:rPr>
          <w:rFonts w:hAnsi="標楷體"/>
          <w:sz w:val="24"/>
          <w:szCs w:val="24"/>
        </w:rPr>
      </w:pPr>
      <w:r w:rsidRPr="00D40021">
        <w:rPr>
          <w:rFonts w:hAnsi="標楷體" w:hint="eastAsia"/>
          <w:sz w:val="24"/>
          <w:szCs w:val="24"/>
        </w:rPr>
        <w:t xml:space="preserve">資料來源：輔導會。 </w:t>
      </w:r>
    </w:p>
    <w:p w:rsidR="00AD6576" w:rsidRPr="00D40021" w:rsidRDefault="00AD6576" w:rsidP="003E2736">
      <w:pPr>
        <w:pStyle w:val="4"/>
        <w:rPr>
          <w:rFonts w:hAnsi="標楷體"/>
        </w:rPr>
      </w:pPr>
      <w:r w:rsidRPr="00D40021">
        <w:rPr>
          <w:rFonts w:hAnsi="標楷體" w:hint="eastAsia"/>
        </w:rPr>
        <w:t>其中，</w:t>
      </w:r>
      <w:r w:rsidR="003E2736" w:rsidRPr="00D40021">
        <w:rPr>
          <w:rFonts w:hAnsi="標楷體" w:hint="eastAsia"/>
        </w:rPr>
        <w:t>純舊制</w:t>
      </w:r>
      <w:r w:rsidR="00CD6C8A" w:rsidRPr="00D40021">
        <w:rPr>
          <w:rFonts w:hAnsi="標楷體" w:hint="eastAsia"/>
        </w:rPr>
        <w:t>年資20年之</w:t>
      </w:r>
      <w:r w:rsidR="003E2736" w:rsidRPr="00D40021">
        <w:rPr>
          <w:rFonts w:hAnsi="標楷體" w:hint="eastAsia"/>
        </w:rPr>
        <w:t>已退上校10級本</w:t>
      </w:r>
      <w:proofErr w:type="gramStart"/>
      <w:r w:rsidR="003E2736" w:rsidRPr="00D40021">
        <w:rPr>
          <w:rFonts w:hAnsi="標楷體" w:hint="eastAsia"/>
        </w:rPr>
        <w:t>俸</w:t>
      </w:r>
      <w:proofErr w:type="gramEnd"/>
      <w:r w:rsidR="003E2736" w:rsidRPr="00D40021">
        <w:rPr>
          <w:rFonts w:hAnsi="標楷體" w:hint="eastAsia"/>
        </w:rPr>
        <w:t>49,875元，本次</w:t>
      </w:r>
      <w:r w:rsidR="001A042D" w:rsidRPr="00D40021">
        <w:rPr>
          <w:rFonts w:hAnsi="標楷體" w:hint="eastAsia"/>
        </w:rPr>
        <w:t>年金改革</w:t>
      </w:r>
      <w:r w:rsidR="003E2736" w:rsidRPr="00D40021">
        <w:rPr>
          <w:rFonts w:hAnsi="標楷體" w:hint="eastAsia"/>
        </w:rPr>
        <w:t>前，原領月退休所得</w:t>
      </w:r>
      <w:r w:rsidR="009F5A61" w:rsidRPr="00D40021">
        <w:rPr>
          <w:rFonts w:hAnsi="標楷體" w:hint="eastAsia"/>
        </w:rPr>
        <w:t>包括</w:t>
      </w:r>
      <w:proofErr w:type="gramStart"/>
      <w:r w:rsidR="007310E2" w:rsidRPr="00D40021">
        <w:rPr>
          <w:rFonts w:hAnsi="標楷體" w:hint="eastAsia"/>
        </w:rPr>
        <w:t>俸</w:t>
      </w:r>
      <w:proofErr w:type="gramEnd"/>
      <w:r w:rsidR="007310E2" w:rsidRPr="00D40021">
        <w:rPr>
          <w:rFonts w:hAnsi="標楷體" w:hint="eastAsia"/>
        </w:rPr>
        <w:t>率80%之</w:t>
      </w:r>
      <w:r w:rsidR="009F5A61" w:rsidRPr="00D40021">
        <w:rPr>
          <w:rFonts w:hAnsi="標楷體" w:hint="eastAsia"/>
        </w:rPr>
        <w:t>舊制退休</w:t>
      </w:r>
      <w:proofErr w:type="gramStart"/>
      <w:r w:rsidR="009F5A61" w:rsidRPr="00D40021">
        <w:rPr>
          <w:rFonts w:hAnsi="標楷體" w:hint="eastAsia"/>
        </w:rPr>
        <w:t>俸</w:t>
      </w:r>
      <w:proofErr w:type="gramEnd"/>
      <w:r w:rsidR="009F5A61" w:rsidRPr="00D40021">
        <w:rPr>
          <w:rFonts w:hAnsi="標楷體" w:hint="eastAsia"/>
        </w:rPr>
        <w:t>40</w:t>
      </w:r>
      <w:r w:rsidR="00891C48" w:rsidRPr="00D40021">
        <w:rPr>
          <w:rFonts w:hAnsi="標楷體" w:hint="eastAsia"/>
        </w:rPr>
        <w:t>,</w:t>
      </w:r>
      <w:r w:rsidR="009F5A61" w:rsidRPr="00D40021">
        <w:rPr>
          <w:rFonts w:hAnsi="標楷體" w:hint="eastAsia"/>
        </w:rPr>
        <w:t>830元</w:t>
      </w:r>
      <w:r w:rsidR="007310E2" w:rsidRPr="00D40021">
        <w:rPr>
          <w:rFonts w:hAnsi="標楷體" w:hint="eastAsia"/>
        </w:rPr>
        <w:t>，再</w:t>
      </w:r>
      <w:r w:rsidR="009F5A61" w:rsidRPr="00D40021">
        <w:rPr>
          <w:rFonts w:hAnsi="標楷體" w:hint="eastAsia"/>
        </w:rPr>
        <w:t>加上</w:t>
      </w:r>
      <w:r w:rsidR="00891C48" w:rsidRPr="00D40021">
        <w:rPr>
          <w:rFonts w:hAnsi="標楷體" w:hint="eastAsia"/>
        </w:rPr>
        <w:t>18%優存月息</w:t>
      </w:r>
      <w:r w:rsidR="009F5A61" w:rsidRPr="00D40021">
        <w:rPr>
          <w:rFonts w:hAnsi="標楷體" w:hint="eastAsia"/>
        </w:rPr>
        <w:t>27</w:t>
      </w:r>
      <w:r w:rsidR="00891C48" w:rsidRPr="00D40021">
        <w:rPr>
          <w:rFonts w:hAnsi="標楷體" w:hint="eastAsia"/>
        </w:rPr>
        <w:t>,</w:t>
      </w:r>
      <w:r w:rsidR="009F5A61" w:rsidRPr="00D40021">
        <w:rPr>
          <w:rFonts w:hAnsi="標楷體" w:hint="eastAsia"/>
        </w:rPr>
        <w:t>059元，</w:t>
      </w:r>
      <w:r w:rsidR="00891C48" w:rsidRPr="00D40021">
        <w:rPr>
          <w:rFonts w:hAnsi="標楷體" w:hint="eastAsia"/>
        </w:rPr>
        <w:t>合計</w:t>
      </w:r>
      <w:r w:rsidR="009F5A61" w:rsidRPr="00D40021">
        <w:rPr>
          <w:rFonts w:hAnsi="標楷體" w:hint="eastAsia"/>
        </w:rPr>
        <w:t>67,889元</w:t>
      </w:r>
      <w:r w:rsidR="00891C48" w:rsidRPr="00D40021">
        <w:rPr>
          <w:rFonts w:hAnsi="標楷體" w:hint="eastAsia"/>
        </w:rPr>
        <w:t>，</w:t>
      </w:r>
      <w:proofErr w:type="gramStart"/>
      <w:r w:rsidR="00891C48" w:rsidRPr="00D40021">
        <w:rPr>
          <w:rFonts w:hAnsi="標楷體" w:hint="eastAsia"/>
        </w:rPr>
        <w:t>詳表</w:t>
      </w:r>
      <w:proofErr w:type="gramEnd"/>
      <w:r w:rsidR="00891C48" w:rsidRPr="00D40021">
        <w:rPr>
          <w:rFonts w:hAnsi="標楷體" w:hint="eastAsia"/>
        </w:rPr>
        <w:t>2；本次年</w:t>
      </w:r>
      <w:r w:rsidR="00F97313" w:rsidRPr="00D40021">
        <w:rPr>
          <w:rFonts w:hAnsi="標楷體" w:hint="eastAsia"/>
        </w:rPr>
        <w:t>金</w:t>
      </w:r>
      <w:r w:rsidR="00891C48" w:rsidRPr="00D40021">
        <w:rPr>
          <w:rFonts w:hAnsi="標楷體" w:hint="eastAsia"/>
        </w:rPr>
        <w:t>改</w:t>
      </w:r>
      <w:r w:rsidR="00F97313" w:rsidRPr="00D40021">
        <w:rPr>
          <w:rFonts w:hAnsi="標楷體" w:hint="eastAsia"/>
        </w:rPr>
        <w:t>革</w:t>
      </w:r>
      <w:r w:rsidR="00891C48" w:rsidRPr="00D40021">
        <w:rPr>
          <w:rFonts w:hAnsi="標楷體" w:hint="eastAsia"/>
        </w:rPr>
        <w:t>後，</w:t>
      </w:r>
      <w:r w:rsidR="007310E2" w:rsidRPr="00D40021">
        <w:rPr>
          <w:rFonts w:hAnsi="標楷體" w:hint="eastAsia"/>
        </w:rPr>
        <w:t>月退休</w:t>
      </w:r>
      <w:proofErr w:type="gramStart"/>
      <w:r w:rsidR="007310E2" w:rsidRPr="00D40021">
        <w:rPr>
          <w:rFonts w:hAnsi="標楷體" w:hint="eastAsia"/>
        </w:rPr>
        <w:t>俸</w:t>
      </w:r>
      <w:proofErr w:type="gramEnd"/>
      <w:r w:rsidR="007310E2" w:rsidRPr="00D40021">
        <w:rPr>
          <w:rFonts w:hAnsi="標楷體" w:hint="eastAsia"/>
        </w:rPr>
        <w:t>計算公式一律</w:t>
      </w:r>
      <w:proofErr w:type="gramStart"/>
      <w:r w:rsidR="007310E2" w:rsidRPr="00D40021">
        <w:rPr>
          <w:rFonts w:hAnsi="標楷體" w:hint="eastAsia"/>
        </w:rPr>
        <w:t>採</w:t>
      </w:r>
      <w:proofErr w:type="gramEnd"/>
      <w:r w:rsidR="007310E2" w:rsidRPr="00D40021">
        <w:rPr>
          <w:rFonts w:hAnsi="標楷體" w:hint="eastAsia"/>
        </w:rPr>
        <w:t>行</w:t>
      </w:r>
      <w:r w:rsidR="00891C48" w:rsidRPr="00D40021">
        <w:rPr>
          <w:rFonts w:hAnsi="標楷體"/>
        </w:rPr>
        <w:t>服役滿20年</w:t>
      </w:r>
      <w:r w:rsidR="007310E2" w:rsidRPr="00D40021">
        <w:rPr>
          <w:rFonts w:hAnsi="標楷體" w:hint="eastAsia"/>
        </w:rPr>
        <w:t>之</w:t>
      </w:r>
      <w:r w:rsidR="00891C48" w:rsidRPr="00D40021">
        <w:rPr>
          <w:rFonts w:hAnsi="標楷體"/>
        </w:rPr>
        <w:t>起支</w:t>
      </w:r>
      <w:proofErr w:type="gramStart"/>
      <w:r w:rsidR="00891C48" w:rsidRPr="00D40021">
        <w:rPr>
          <w:rFonts w:hAnsi="標楷體"/>
        </w:rPr>
        <w:t>俸</w:t>
      </w:r>
      <w:proofErr w:type="gramEnd"/>
      <w:r w:rsidR="00891C48" w:rsidRPr="00D40021">
        <w:rPr>
          <w:rFonts w:hAnsi="標楷體"/>
        </w:rPr>
        <w:t>率為55</w:t>
      </w:r>
      <w:r w:rsidR="00891C48" w:rsidRPr="00D40021">
        <w:rPr>
          <w:rFonts w:hAnsi="標楷體" w:hint="eastAsia"/>
        </w:rPr>
        <w:t>%</w:t>
      </w:r>
      <w:r w:rsidR="00891C48" w:rsidRPr="00D40021">
        <w:rPr>
          <w:rFonts w:hAnsi="標楷體"/>
        </w:rPr>
        <w:t>，每增加服役1年，增加2%（55+2制度）</w:t>
      </w:r>
      <w:r w:rsidR="00891C48" w:rsidRPr="00D40021">
        <w:rPr>
          <w:rFonts w:hAnsi="標楷體" w:hint="eastAsia"/>
        </w:rPr>
        <w:t>，則</w:t>
      </w:r>
      <w:r w:rsidR="00CD6C8A" w:rsidRPr="00D40021">
        <w:rPr>
          <w:rFonts w:hAnsi="標楷體" w:hint="eastAsia"/>
        </w:rPr>
        <w:t>純舊制年資20年之已退上校</w:t>
      </w:r>
      <w:r w:rsidR="00957DCC" w:rsidRPr="00D40021">
        <w:rPr>
          <w:rFonts w:hAnsi="標楷體" w:hint="eastAsia"/>
        </w:rPr>
        <w:t>10級</w:t>
      </w:r>
      <w:r w:rsidR="00CD6C8A" w:rsidRPr="00D40021">
        <w:rPr>
          <w:rFonts w:hAnsi="標楷體" w:hint="eastAsia"/>
        </w:rPr>
        <w:t>，於</w:t>
      </w:r>
      <w:r w:rsidR="00891C48" w:rsidRPr="00D40021">
        <w:rPr>
          <w:rFonts w:hAnsi="標楷體" w:hint="eastAsia"/>
        </w:rPr>
        <w:t>117年7月1日以後之</w:t>
      </w:r>
      <w:proofErr w:type="gramStart"/>
      <w:r w:rsidR="00EC2005" w:rsidRPr="00D40021">
        <w:rPr>
          <w:rFonts w:hAnsi="標楷體" w:hint="eastAsia"/>
        </w:rPr>
        <w:t>俸</w:t>
      </w:r>
      <w:proofErr w:type="gramEnd"/>
      <w:r w:rsidR="00EC2005" w:rsidRPr="00D40021">
        <w:rPr>
          <w:rFonts w:hAnsi="標楷體" w:hint="eastAsia"/>
        </w:rPr>
        <w:t>率為55%</w:t>
      </w:r>
      <w:r w:rsidR="0036758B" w:rsidRPr="00D40021">
        <w:rPr>
          <w:rFonts w:hAnsi="標楷體" w:hint="eastAsia"/>
        </w:rPr>
        <w:t>【=</w:t>
      </w:r>
      <w:r w:rsidR="0036758B" w:rsidRPr="00D40021">
        <w:rPr>
          <w:rFonts w:hint="eastAsia"/>
        </w:rPr>
        <w:t>55%＋2%</w:t>
      </w:r>
      <w:r w:rsidR="0036758B" w:rsidRPr="00D40021">
        <w:t>×</w:t>
      </w:r>
      <w:r w:rsidR="0036758B" w:rsidRPr="00D40021">
        <w:rPr>
          <w:rFonts w:hint="eastAsia"/>
        </w:rPr>
        <w:t>（20-20）】</w:t>
      </w:r>
      <w:r w:rsidR="00EC2005" w:rsidRPr="00D40021">
        <w:rPr>
          <w:rFonts w:hAnsi="標楷體" w:hint="eastAsia"/>
        </w:rPr>
        <w:t>，其</w:t>
      </w:r>
      <w:r w:rsidR="00891C48" w:rsidRPr="00D40021">
        <w:rPr>
          <w:rFonts w:hAnsi="標楷體" w:hint="eastAsia"/>
        </w:rPr>
        <w:t>月退休</w:t>
      </w:r>
      <w:proofErr w:type="gramStart"/>
      <w:r w:rsidR="00891C48" w:rsidRPr="00D40021">
        <w:rPr>
          <w:rFonts w:hAnsi="標楷體" w:hint="eastAsia"/>
        </w:rPr>
        <w:t>俸</w:t>
      </w:r>
      <w:proofErr w:type="gramEnd"/>
      <w:r w:rsidR="00891C48" w:rsidRPr="00D40021">
        <w:rPr>
          <w:rFonts w:hAnsi="標楷體" w:hint="eastAsia"/>
        </w:rPr>
        <w:t>降低為54,863元</w:t>
      </w:r>
      <w:r w:rsidR="007310E2" w:rsidRPr="00D40021">
        <w:rPr>
          <w:rFonts w:hAnsi="標楷體" w:hint="eastAsia"/>
        </w:rPr>
        <w:t>【=</w:t>
      </w:r>
      <w:r w:rsidR="007310E2" w:rsidRPr="00D40021">
        <w:rPr>
          <w:rFonts w:hint="eastAsia"/>
        </w:rPr>
        <w:t>本俸</w:t>
      </w:r>
      <w:r w:rsidR="007310E2" w:rsidRPr="00D40021">
        <w:rPr>
          <w:rFonts w:hAnsi="標楷體" w:hint="eastAsia"/>
        </w:rPr>
        <w:t>49,875元</w:t>
      </w:r>
      <w:r w:rsidR="007310E2" w:rsidRPr="00D40021">
        <w:t>×</w:t>
      </w:r>
      <w:r w:rsidR="007310E2" w:rsidRPr="00D40021">
        <w:rPr>
          <w:rFonts w:hint="eastAsia"/>
        </w:rPr>
        <w:t>2倍</w:t>
      </w:r>
      <w:r w:rsidR="007310E2" w:rsidRPr="00D40021">
        <w:t>×</w:t>
      </w:r>
      <w:r w:rsidR="0036758B" w:rsidRPr="00D40021">
        <w:rPr>
          <w:rFonts w:hint="eastAsia"/>
        </w:rPr>
        <w:t>俸率55%</w:t>
      </w:r>
      <w:r w:rsidR="007310E2" w:rsidRPr="00D40021">
        <w:rPr>
          <w:rFonts w:hint="eastAsia"/>
        </w:rPr>
        <w:t>】</w:t>
      </w:r>
      <w:r w:rsidR="00891C48" w:rsidRPr="00D40021">
        <w:rPr>
          <w:rFonts w:hAnsi="標楷體" w:hint="eastAsia"/>
        </w:rPr>
        <w:t>，扣減金額及比率為13,027元及19.19%。至於，</w:t>
      </w:r>
      <w:r w:rsidR="00CD6C8A" w:rsidRPr="00D40021">
        <w:rPr>
          <w:rFonts w:hAnsi="標楷體" w:hint="eastAsia"/>
        </w:rPr>
        <w:t>純舊制年資24年之已退</w:t>
      </w:r>
      <w:r w:rsidR="00957DCC" w:rsidRPr="00D40021">
        <w:rPr>
          <w:rFonts w:hAnsi="標楷體" w:hint="eastAsia"/>
        </w:rPr>
        <w:t>少將</w:t>
      </w:r>
      <w:r w:rsidR="00CD6C8A" w:rsidRPr="00D40021">
        <w:rPr>
          <w:rFonts w:hAnsi="標楷體" w:hint="eastAsia"/>
        </w:rPr>
        <w:t>10級</w:t>
      </w:r>
      <w:r w:rsidR="00891C48" w:rsidRPr="00D40021">
        <w:rPr>
          <w:rFonts w:hAnsi="標楷體" w:hint="eastAsia"/>
        </w:rPr>
        <w:t>本</w:t>
      </w:r>
      <w:proofErr w:type="gramStart"/>
      <w:r w:rsidR="00891C48" w:rsidRPr="00D40021">
        <w:rPr>
          <w:rFonts w:hAnsi="標楷體" w:hint="eastAsia"/>
        </w:rPr>
        <w:t>俸</w:t>
      </w:r>
      <w:proofErr w:type="gramEnd"/>
      <w:r w:rsidR="00891C48" w:rsidRPr="00D40021">
        <w:rPr>
          <w:rFonts w:hAnsi="標楷體" w:hint="eastAsia"/>
        </w:rPr>
        <w:t>5</w:t>
      </w:r>
      <w:r w:rsidR="007310E2" w:rsidRPr="00D40021">
        <w:rPr>
          <w:rFonts w:hAnsi="標楷體" w:hint="eastAsia"/>
        </w:rPr>
        <w:t>3,990</w:t>
      </w:r>
      <w:r w:rsidR="00891C48" w:rsidRPr="00D40021">
        <w:rPr>
          <w:rFonts w:hAnsi="標楷體" w:hint="eastAsia"/>
        </w:rPr>
        <w:t>元，本次</w:t>
      </w:r>
      <w:r w:rsidR="001A042D" w:rsidRPr="00D40021">
        <w:rPr>
          <w:rFonts w:hAnsi="標楷體" w:hint="eastAsia"/>
        </w:rPr>
        <w:t>年金改革前</w:t>
      </w:r>
      <w:r w:rsidR="00891C48" w:rsidRPr="00D40021">
        <w:rPr>
          <w:rFonts w:hAnsi="標楷體" w:hint="eastAsia"/>
        </w:rPr>
        <w:t>，原領月退休所得包括</w:t>
      </w:r>
      <w:proofErr w:type="gramStart"/>
      <w:r w:rsidR="007310E2" w:rsidRPr="00D40021">
        <w:rPr>
          <w:rFonts w:hAnsi="標楷體" w:hint="eastAsia"/>
        </w:rPr>
        <w:t>俸</w:t>
      </w:r>
      <w:proofErr w:type="gramEnd"/>
      <w:r w:rsidR="007310E2" w:rsidRPr="00D40021">
        <w:rPr>
          <w:rFonts w:hAnsi="標楷體" w:hint="eastAsia"/>
        </w:rPr>
        <w:t>率84%之</w:t>
      </w:r>
      <w:r w:rsidR="00891C48" w:rsidRPr="00D40021">
        <w:rPr>
          <w:rFonts w:hAnsi="標楷體" w:hint="eastAsia"/>
        </w:rPr>
        <w:t>舊制退休</w:t>
      </w:r>
      <w:proofErr w:type="gramStart"/>
      <w:r w:rsidR="00891C48" w:rsidRPr="00D40021">
        <w:rPr>
          <w:rFonts w:hAnsi="標楷體" w:hint="eastAsia"/>
        </w:rPr>
        <w:t>俸</w:t>
      </w:r>
      <w:proofErr w:type="gramEnd"/>
      <w:r w:rsidR="007310E2" w:rsidRPr="00D40021">
        <w:rPr>
          <w:rFonts w:hAnsi="標楷體" w:hint="eastAsia"/>
        </w:rPr>
        <w:t>77,910</w:t>
      </w:r>
      <w:r w:rsidR="00891C48" w:rsidRPr="00D40021">
        <w:rPr>
          <w:rFonts w:hAnsi="標楷體" w:hint="eastAsia"/>
        </w:rPr>
        <w:t>元</w:t>
      </w:r>
      <w:r w:rsidR="007310E2" w:rsidRPr="00D40021">
        <w:rPr>
          <w:rFonts w:hAnsi="標楷體" w:hint="eastAsia"/>
        </w:rPr>
        <w:t>，</w:t>
      </w:r>
      <w:r w:rsidR="00891C48" w:rsidRPr="00D40021">
        <w:rPr>
          <w:rFonts w:hAnsi="標楷體" w:hint="eastAsia"/>
        </w:rPr>
        <w:t>加上18%優存月息2</w:t>
      </w:r>
      <w:r w:rsidR="007310E2" w:rsidRPr="00D40021">
        <w:rPr>
          <w:rFonts w:hAnsi="標楷體" w:hint="eastAsia"/>
        </w:rPr>
        <w:t>9,337</w:t>
      </w:r>
      <w:r w:rsidR="00891C48" w:rsidRPr="00D40021">
        <w:rPr>
          <w:rFonts w:hAnsi="標楷體" w:hint="eastAsia"/>
        </w:rPr>
        <w:t>元，</w:t>
      </w:r>
      <w:r w:rsidR="007310E2" w:rsidRPr="00D40021">
        <w:rPr>
          <w:rFonts w:hAnsi="標楷體" w:hint="eastAsia"/>
        </w:rPr>
        <w:t>共107,247</w:t>
      </w:r>
      <w:r w:rsidR="00891C48" w:rsidRPr="00D40021">
        <w:rPr>
          <w:rFonts w:hAnsi="標楷體" w:hint="eastAsia"/>
        </w:rPr>
        <w:t>元，同表2；本次年</w:t>
      </w:r>
      <w:r w:rsidR="00F97313" w:rsidRPr="00D40021">
        <w:rPr>
          <w:rFonts w:hAnsi="標楷體" w:hint="eastAsia"/>
        </w:rPr>
        <w:t>金</w:t>
      </w:r>
      <w:r w:rsidR="00891C48" w:rsidRPr="00D40021">
        <w:rPr>
          <w:rFonts w:hAnsi="標楷體" w:hint="eastAsia"/>
        </w:rPr>
        <w:t>改</w:t>
      </w:r>
      <w:r w:rsidR="00F97313" w:rsidRPr="00D40021">
        <w:rPr>
          <w:rFonts w:hAnsi="標楷體" w:hint="eastAsia"/>
        </w:rPr>
        <w:t>革</w:t>
      </w:r>
      <w:r w:rsidR="00891C48" w:rsidRPr="00D40021">
        <w:rPr>
          <w:rFonts w:hAnsi="標楷體" w:hint="eastAsia"/>
        </w:rPr>
        <w:t>後，</w:t>
      </w:r>
      <w:r w:rsidR="00CD6C8A" w:rsidRPr="00D40021">
        <w:rPr>
          <w:rFonts w:hAnsi="標楷體" w:hint="eastAsia"/>
        </w:rPr>
        <w:t>純舊制年資2</w:t>
      </w:r>
      <w:r w:rsidR="00350CD7" w:rsidRPr="00D40021">
        <w:rPr>
          <w:rFonts w:hAnsi="標楷體" w:hint="eastAsia"/>
        </w:rPr>
        <w:t>4</w:t>
      </w:r>
      <w:r w:rsidR="00957DCC" w:rsidRPr="00D40021">
        <w:rPr>
          <w:rFonts w:hAnsi="標楷體" w:hint="eastAsia"/>
        </w:rPr>
        <w:t>年之已退少將10級</w:t>
      </w:r>
      <w:r w:rsidR="00CD6C8A" w:rsidRPr="00D40021">
        <w:rPr>
          <w:rFonts w:hAnsi="標楷體" w:hint="eastAsia"/>
        </w:rPr>
        <w:t>，於117年7月1日以後</w:t>
      </w:r>
      <w:r w:rsidR="00EC2005" w:rsidRPr="00D40021">
        <w:rPr>
          <w:rFonts w:hAnsi="標楷體" w:hint="eastAsia"/>
        </w:rPr>
        <w:t>之</w:t>
      </w:r>
      <w:proofErr w:type="gramStart"/>
      <w:r w:rsidR="00EC2005" w:rsidRPr="00D40021">
        <w:rPr>
          <w:rFonts w:hAnsi="標楷體" w:hint="eastAsia"/>
        </w:rPr>
        <w:t>俸</w:t>
      </w:r>
      <w:proofErr w:type="gramEnd"/>
      <w:r w:rsidR="00EC2005" w:rsidRPr="00D40021">
        <w:rPr>
          <w:rFonts w:hAnsi="標楷體" w:hint="eastAsia"/>
        </w:rPr>
        <w:t>率為63%</w:t>
      </w:r>
      <w:r w:rsidR="0036758B" w:rsidRPr="00D40021">
        <w:rPr>
          <w:rFonts w:hAnsi="標楷體" w:hint="eastAsia"/>
        </w:rPr>
        <w:t>【=</w:t>
      </w:r>
      <w:r w:rsidR="0036758B" w:rsidRPr="00D40021">
        <w:rPr>
          <w:rFonts w:hint="eastAsia"/>
        </w:rPr>
        <w:t>55%＋2%</w:t>
      </w:r>
      <w:r w:rsidR="0036758B" w:rsidRPr="00D40021">
        <w:t>×</w:t>
      </w:r>
      <w:r w:rsidR="0036758B" w:rsidRPr="00D40021">
        <w:rPr>
          <w:rFonts w:hint="eastAsia"/>
        </w:rPr>
        <w:t>（24-20）】</w:t>
      </w:r>
      <w:r w:rsidR="00EC2005" w:rsidRPr="00D40021">
        <w:rPr>
          <w:rFonts w:hAnsi="標楷體" w:hint="eastAsia"/>
        </w:rPr>
        <w:t>，其月</w:t>
      </w:r>
      <w:r w:rsidR="00CD6C8A" w:rsidRPr="00D40021">
        <w:rPr>
          <w:rFonts w:hAnsi="標楷體" w:hint="eastAsia"/>
        </w:rPr>
        <w:t>退休</w:t>
      </w:r>
      <w:proofErr w:type="gramStart"/>
      <w:r w:rsidR="00CD6C8A" w:rsidRPr="00D40021">
        <w:rPr>
          <w:rFonts w:hAnsi="標楷體" w:hint="eastAsia"/>
        </w:rPr>
        <w:t>俸</w:t>
      </w:r>
      <w:proofErr w:type="gramEnd"/>
      <w:r w:rsidR="00CD6C8A" w:rsidRPr="00D40021">
        <w:rPr>
          <w:rFonts w:hAnsi="標楷體" w:hint="eastAsia"/>
        </w:rPr>
        <w:t>降低為</w:t>
      </w:r>
      <w:r w:rsidR="007310E2" w:rsidRPr="00D40021">
        <w:rPr>
          <w:rFonts w:hAnsi="標楷體" w:hint="eastAsia"/>
        </w:rPr>
        <w:t>68,027</w:t>
      </w:r>
      <w:r w:rsidR="00CD6C8A" w:rsidRPr="00D40021">
        <w:rPr>
          <w:rFonts w:hAnsi="標楷體" w:hint="eastAsia"/>
        </w:rPr>
        <w:t>元</w:t>
      </w:r>
      <w:r w:rsidR="00F514F4" w:rsidRPr="00D40021">
        <w:rPr>
          <w:rFonts w:hAnsi="標楷體" w:hint="eastAsia"/>
        </w:rPr>
        <w:t>【=</w:t>
      </w:r>
      <w:r w:rsidR="00F514F4" w:rsidRPr="00D40021">
        <w:rPr>
          <w:rFonts w:hint="eastAsia"/>
        </w:rPr>
        <w:t>本俸</w:t>
      </w:r>
      <w:r w:rsidR="00F514F4" w:rsidRPr="00D40021">
        <w:rPr>
          <w:rFonts w:hAnsi="標楷體" w:hint="eastAsia"/>
        </w:rPr>
        <w:t>53,990元</w:t>
      </w:r>
      <w:r w:rsidR="00F514F4" w:rsidRPr="00D40021">
        <w:t>×</w:t>
      </w:r>
      <w:r w:rsidR="00F514F4" w:rsidRPr="00D40021">
        <w:rPr>
          <w:rFonts w:hint="eastAsia"/>
        </w:rPr>
        <w:t>2倍</w:t>
      </w:r>
      <w:r w:rsidR="00F514F4" w:rsidRPr="00D40021">
        <w:t>×</w:t>
      </w:r>
      <w:r w:rsidR="0036758B" w:rsidRPr="00D40021">
        <w:rPr>
          <w:rFonts w:hint="eastAsia"/>
        </w:rPr>
        <w:t>俸率</w:t>
      </w:r>
      <w:r w:rsidR="00F65C9F" w:rsidRPr="00D40021">
        <w:rPr>
          <w:rFonts w:hAnsi="標楷體" w:hint="eastAsia"/>
        </w:rPr>
        <w:t>63%</w:t>
      </w:r>
      <w:r w:rsidR="00F514F4" w:rsidRPr="00D40021">
        <w:rPr>
          <w:rFonts w:hint="eastAsia"/>
        </w:rPr>
        <w:t>】</w:t>
      </w:r>
      <w:r w:rsidR="00CD6C8A" w:rsidRPr="00D40021">
        <w:rPr>
          <w:rFonts w:hAnsi="標楷體" w:hint="eastAsia"/>
        </w:rPr>
        <w:t>，扣減金額及比率為</w:t>
      </w:r>
      <w:r w:rsidR="007310E2" w:rsidRPr="00D40021">
        <w:rPr>
          <w:rFonts w:hAnsi="標楷體" w:hint="eastAsia"/>
        </w:rPr>
        <w:t>39,220</w:t>
      </w:r>
      <w:r w:rsidR="00CD6C8A" w:rsidRPr="00D40021">
        <w:rPr>
          <w:rFonts w:hAnsi="標楷體" w:hint="eastAsia"/>
        </w:rPr>
        <w:t>元及</w:t>
      </w:r>
      <w:r w:rsidR="007310E2" w:rsidRPr="00D40021">
        <w:rPr>
          <w:rFonts w:hAnsi="標楷體" w:hint="eastAsia"/>
        </w:rPr>
        <w:t>36.57</w:t>
      </w:r>
      <w:r w:rsidR="00CD6C8A" w:rsidRPr="00D40021">
        <w:rPr>
          <w:rFonts w:hAnsi="標楷體" w:hint="eastAsia"/>
        </w:rPr>
        <w:t>%</w:t>
      </w:r>
      <w:r w:rsidR="00891C48" w:rsidRPr="00D40021">
        <w:rPr>
          <w:rFonts w:hAnsi="標楷體" w:hint="eastAsia"/>
        </w:rPr>
        <w:t>。</w:t>
      </w:r>
    </w:p>
    <w:p w:rsidR="003E2736" w:rsidRPr="00D40021" w:rsidRDefault="00017FF0" w:rsidP="0055173E">
      <w:pPr>
        <w:pStyle w:val="a3"/>
        <w:numPr>
          <w:ilvl w:val="0"/>
          <w:numId w:val="4"/>
        </w:numPr>
        <w:ind w:left="709" w:hanging="709"/>
        <w:rPr>
          <w:rFonts w:hAnsi="標楷體"/>
        </w:rPr>
      </w:pPr>
      <w:r w:rsidRPr="00D40021">
        <w:rPr>
          <w:rFonts w:hAnsi="標楷體" w:hint="eastAsia"/>
        </w:rPr>
        <w:t>純舊制已退上校10級、少將10級於117年7月1日以後</w:t>
      </w:r>
      <w:r w:rsidR="0092189B" w:rsidRPr="00D40021">
        <w:rPr>
          <w:rFonts w:hAnsi="標楷體" w:hint="eastAsia"/>
        </w:rPr>
        <w:t>，</w:t>
      </w:r>
      <w:r w:rsidR="003E2736" w:rsidRPr="00D40021">
        <w:rPr>
          <w:rFonts w:hAnsi="標楷體" w:hint="eastAsia"/>
        </w:rPr>
        <w:t>月退休所得減少案例</w:t>
      </w:r>
      <w:r w:rsidRPr="00D40021">
        <w:rPr>
          <w:rFonts w:hAnsi="標楷體" w:hint="eastAsia"/>
        </w:rPr>
        <w:t>解析</w:t>
      </w:r>
    </w:p>
    <w:p w:rsidR="00017FF0" w:rsidRPr="00D40021" w:rsidRDefault="00017FF0" w:rsidP="00017FF0">
      <w:pPr>
        <w:pStyle w:val="afa"/>
        <w:spacing w:after="40"/>
        <w:ind w:leftChars="100" w:left="340"/>
        <w:jc w:val="right"/>
        <w:rPr>
          <w:rFonts w:hAnsi="標楷體"/>
          <w:sz w:val="24"/>
          <w:szCs w:val="24"/>
        </w:rPr>
      </w:pPr>
      <w:r w:rsidRPr="00D40021">
        <w:rPr>
          <w:rFonts w:hAnsi="標楷體" w:hint="eastAsia"/>
          <w:sz w:val="24"/>
          <w:szCs w:val="24"/>
        </w:rPr>
        <w:t>單位：元</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3"/>
        <w:gridCol w:w="702"/>
        <w:gridCol w:w="703"/>
        <w:gridCol w:w="563"/>
        <w:gridCol w:w="845"/>
        <w:gridCol w:w="1264"/>
        <w:gridCol w:w="986"/>
        <w:gridCol w:w="703"/>
        <w:gridCol w:w="841"/>
        <w:gridCol w:w="843"/>
        <w:gridCol w:w="925"/>
      </w:tblGrid>
      <w:tr w:rsidR="00D40021" w:rsidRPr="00D40021" w:rsidTr="000F4C4D">
        <w:trPr>
          <w:trHeight w:val="737"/>
          <w:tblHeader/>
        </w:trPr>
        <w:tc>
          <w:tcPr>
            <w:tcW w:w="330" w:type="pct"/>
            <w:vMerge w:val="restart"/>
            <w:shd w:val="clear" w:color="auto" w:fill="EEECE1" w:themeFill="background2"/>
            <w:vAlign w:val="center"/>
          </w:tcPr>
          <w:p w:rsidR="006F6190" w:rsidRPr="00D40021" w:rsidRDefault="006F6190" w:rsidP="00D767C5">
            <w:pPr>
              <w:pStyle w:val="121"/>
              <w:jc w:val="center"/>
            </w:pPr>
            <w:r w:rsidRPr="00D40021">
              <w:rPr>
                <w:rFonts w:hint="eastAsia"/>
              </w:rPr>
              <w:lastRenderedPageBreak/>
              <w:t>階級</w:t>
            </w:r>
          </w:p>
        </w:tc>
        <w:tc>
          <w:tcPr>
            <w:tcW w:w="391" w:type="pct"/>
            <w:vMerge w:val="restart"/>
            <w:shd w:val="clear" w:color="auto" w:fill="EEECE1" w:themeFill="background2"/>
            <w:vAlign w:val="center"/>
          </w:tcPr>
          <w:p w:rsidR="006F6190" w:rsidRPr="00D40021" w:rsidRDefault="006F6190" w:rsidP="00D767C5">
            <w:pPr>
              <w:pStyle w:val="121"/>
              <w:jc w:val="center"/>
            </w:pPr>
            <w:r w:rsidRPr="00D40021">
              <w:rPr>
                <w:rFonts w:hint="eastAsia"/>
              </w:rPr>
              <w:t>本</w:t>
            </w:r>
            <w:proofErr w:type="gramStart"/>
            <w:r w:rsidRPr="00D40021">
              <w:rPr>
                <w:rFonts w:hint="eastAsia"/>
              </w:rPr>
              <w:t>俸</w:t>
            </w:r>
            <w:proofErr w:type="gramEnd"/>
          </w:p>
        </w:tc>
        <w:tc>
          <w:tcPr>
            <w:tcW w:w="392" w:type="pct"/>
            <w:vMerge w:val="restart"/>
            <w:shd w:val="clear" w:color="auto" w:fill="EEECE1" w:themeFill="background2"/>
            <w:vAlign w:val="center"/>
          </w:tcPr>
          <w:p w:rsidR="006F6190" w:rsidRPr="00D40021" w:rsidRDefault="006F6190" w:rsidP="00D767C5">
            <w:pPr>
              <w:pStyle w:val="121"/>
              <w:jc w:val="center"/>
              <w:rPr>
                <w:spacing w:val="-20"/>
              </w:rPr>
            </w:pPr>
            <w:r w:rsidRPr="00D40021">
              <w:rPr>
                <w:rFonts w:hint="eastAsia"/>
                <w:spacing w:val="-20"/>
              </w:rPr>
              <w:t>退伍</w:t>
            </w:r>
          </w:p>
          <w:p w:rsidR="006F6190" w:rsidRPr="00D40021" w:rsidRDefault="006F6190" w:rsidP="00D767C5">
            <w:pPr>
              <w:pStyle w:val="121"/>
              <w:jc w:val="center"/>
            </w:pPr>
            <w:r w:rsidRPr="00D40021">
              <w:rPr>
                <w:rFonts w:hint="eastAsia"/>
                <w:spacing w:val="-20"/>
              </w:rPr>
              <w:t>年資</w:t>
            </w:r>
          </w:p>
        </w:tc>
        <w:tc>
          <w:tcPr>
            <w:tcW w:w="2040" w:type="pct"/>
            <w:gridSpan w:val="4"/>
            <w:shd w:val="clear" w:color="auto" w:fill="EEECE1" w:themeFill="background2"/>
            <w:noWrap/>
            <w:vAlign w:val="center"/>
          </w:tcPr>
          <w:p w:rsidR="006F6190" w:rsidRPr="00D40021" w:rsidRDefault="006F6190" w:rsidP="00A2684F">
            <w:pPr>
              <w:pStyle w:val="121"/>
              <w:jc w:val="center"/>
            </w:pPr>
            <w:r w:rsidRPr="00D40021">
              <w:rPr>
                <w:rFonts w:hint="eastAsia"/>
              </w:rPr>
              <w:t>改革前月退休所得</w:t>
            </w:r>
          </w:p>
          <w:p w:rsidR="006F6190" w:rsidRPr="00D40021" w:rsidRDefault="006F6190" w:rsidP="00A2684F">
            <w:pPr>
              <w:pStyle w:val="121"/>
              <w:jc w:val="center"/>
            </w:pPr>
            <w:r w:rsidRPr="00D40021">
              <w:rPr>
                <w:rFonts w:hint="eastAsia"/>
              </w:rPr>
              <w:t>(月退</w:t>
            </w:r>
            <w:proofErr w:type="gramStart"/>
            <w:r w:rsidRPr="00D40021">
              <w:rPr>
                <w:rFonts w:hint="eastAsia"/>
              </w:rPr>
              <w:t>俸</w:t>
            </w:r>
            <w:proofErr w:type="gramEnd"/>
            <w:r w:rsidRPr="00D40021">
              <w:rPr>
                <w:rFonts w:hint="eastAsia"/>
              </w:rPr>
              <w:t>+18%)</w:t>
            </w:r>
          </w:p>
        </w:tc>
        <w:tc>
          <w:tcPr>
            <w:tcW w:w="861" w:type="pct"/>
            <w:gridSpan w:val="2"/>
            <w:shd w:val="clear" w:color="auto" w:fill="EEECE1" w:themeFill="background2"/>
            <w:vAlign w:val="center"/>
          </w:tcPr>
          <w:p w:rsidR="006F6190" w:rsidRPr="00D40021" w:rsidRDefault="006F6190" w:rsidP="00A2684F">
            <w:pPr>
              <w:pStyle w:val="121"/>
              <w:jc w:val="center"/>
            </w:pPr>
            <w:r w:rsidRPr="00D40021">
              <w:rPr>
                <w:rFonts w:hint="eastAsia"/>
              </w:rPr>
              <w:t>117.7.1以後</w:t>
            </w:r>
          </w:p>
          <w:p w:rsidR="006F6190" w:rsidRPr="00D40021" w:rsidRDefault="006F6190" w:rsidP="00A2684F">
            <w:pPr>
              <w:pStyle w:val="121"/>
              <w:jc w:val="center"/>
            </w:pPr>
            <w:r w:rsidRPr="00D40021">
              <w:rPr>
                <w:rFonts w:hint="eastAsia"/>
              </w:rPr>
              <w:t>月退休所得</w:t>
            </w:r>
          </w:p>
        </w:tc>
        <w:tc>
          <w:tcPr>
            <w:tcW w:w="470" w:type="pct"/>
            <w:vMerge w:val="restart"/>
            <w:shd w:val="clear" w:color="auto" w:fill="EEECE1" w:themeFill="background2"/>
            <w:vAlign w:val="center"/>
          </w:tcPr>
          <w:p w:rsidR="006F6190" w:rsidRPr="00D40021" w:rsidRDefault="006F6190" w:rsidP="00A2684F">
            <w:pPr>
              <w:pStyle w:val="121"/>
              <w:jc w:val="center"/>
            </w:pPr>
            <w:r w:rsidRPr="00D40021">
              <w:rPr>
                <w:rFonts w:hint="eastAsia"/>
              </w:rPr>
              <w:t>扣減</w:t>
            </w:r>
          </w:p>
          <w:p w:rsidR="006F6190" w:rsidRPr="00D40021" w:rsidRDefault="006F6190" w:rsidP="00A2684F">
            <w:pPr>
              <w:pStyle w:val="121"/>
              <w:jc w:val="center"/>
            </w:pPr>
            <w:r w:rsidRPr="00D40021">
              <w:rPr>
                <w:rFonts w:hint="eastAsia"/>
              </w:rPr>
              <w:t>金額</w:t>
            </w:r>
          </w:p>
        </w:tc>
        <w:tc>
          <w:tcPr>
            <w:tcW w:w="516" w:type="pct"/>
            <w:vMerge w:val="restart"/>
            <w:shd w:val="clear" w:color="auto" w:fill="EEECE1" w:themeFill="background2"/>
            <w:vAlign w:val="center"/>
          </w:tcPr>
          <w:p w:rsidR="006F6190" w:rsidRPr="00D40021" w:rsidRDefault="006F6190" w:rsidP="00A2684F">
            <w:pPr>
              <w:pStyle w:val="121"/>
              <w:jc w:val="center"/>
            </w:pPr>
            <w:r w:rsidRPr="00D40021">
              <w:rPr>
                <w:rFonts w:hint="eastAsia"/>
              </w:rPr>
              <w:t>扣減</w:t>
            </w:r>
          </w:p>
          <w:p w:rsidR="006F6190" w:rsidRPr="00D40021" w:rsidRDefault="006F6190" w:rsidP="00A2684F">
            <w:pPr>
              <w:pStyle w:val="121"/>
              <w:jc w:val="center"/>
            </w:pPr>
            <w:r w:rsidRPr="00D40021">
              <w:rPr>
                <w:rFonts w:hint="eastAsia"/>
              </w:rPr>
              <w:t>比例</w:t>
            </w:r>
          </w:p>
        </w:tc>
      </w:tr>
      <w:tr w:rsidR="00D40021" w:rsidRPr="00D40021" w:rsidTr="000F4C4D">
        <w:trPr>
          <w:trHeight w:val="737"/>
          <w:tblHeader/>
        </w:trPr>
        <w:tc>
          <w:tcPr>
            <w:tcW w:w="330" w:type="pct"/>
            <w:vMerge/>
            <w:shd w:val="clear" w:color="auto" w:fill="EEECE1" w:themeFill="background2"/>
            <w:vAlign w:val="center"/>
            <w:hideMark/>
          </w:tcPr>
          <w:p w:rsidR="006F6190" w:rsidRPr="00D40021" w:rsidRDefault="006F6190" w:rsidP="00D767C5">
            <w:pPr>
              <w:pStyle w:val="121"/>
              <w:jc w:val="center"/>
            </w:pPr>
          </w:p>
        </w:tc>
        <w:tc>
          <w:tcPr>
            <w:tcW w:w="391" w:type="pct"/>
            <w:vMerge/>
            <w:shd w:val="clear" w:color="auto" w:fill="EEECE1" w:themeFill="background2"/>
            <w:vAlign w:val="center"/>
          </w:tcPr>
          <w:p w:rsidR="006F6190" w:rsidRPr="00D40021" w:rsidRDefault="006F6190" w:rsidP="00D767C5">
            <w:pPr>
              <w:pStyle w:val="121"/>
              <w:jc w:val="center"/>
            </w:pPr>
          </w:p>
        </w:tc>
        <w:tc>
          <w:tcPr>
            <w:tcW w:w="392" w:type="pct"/>
            <w:vMerge/>
            <w:shd w:val="clear" w:color="auto" w:fill="EEECE1" w:themeFill="background2"/>
            <w:vAlign w:val="center"/>
            <w:hideMark/>
          </w:tcPr>
          <w:p w:rsidR="006F6190" w:rsidRPr="00D40021" w:rsidRDefault="006F6190" w:rsidP="00D767C5">
            <w:pPr>
              <w:pStyle w:val="121"/>
              <w:jc w:val="center"/>
            </w:pPr>
          </w:p>
        </w:tc>
        <w:tc>
          <w:tcPr>
            <w:tcW w:w="785" w:type="pct"/>
            <w:gridSpan w:val="2"/>
            <w:shd w:val="clear" w:color="auto" w:fill="EEECE1" w:themeFill="background2"/>
            <w:noWrap/>
            <w:vAlign w:val="center"/>
            <w:hideMark/>
          </w:tcPr>
          <w:p w:rsidR="006F6190" w:rsidRPr="00D40021" w:rsidRDefault="006F6190" w:rsidP="00A2684F">
            <w:pPr>
              <w:pStyle w:val="121"/>
              <w:jc w:val="center"/>
              <w:rPr>
                <w:spacing w:val="-20"/>
              </w:rPr>
            </w:pPr>
            <w:r w:rsidRPr="00D40021">
              <w:rPr>
                <w:rFonts w:hint="eastAsia"/>
                <w:spacing w:val="-20"/>
              </w:rPr>
              <w:t>舊制退休</w:t>
            </w:r>
            <w:proofErr w:type="gramStart"/>
            <w:r w:rsidRPr="00D40021">
              <w:rPr>
                <w:rFonts w:hint="eastAsia"/>
                <w:spacing w:val="-20"/>
              </w:rPr>
              <w:t>俸</w:t>
            </w:r>
            <w:proofErr w:type="gramEnd"/>
          </w:p>
        </w:tc>
        <w:tc>
          <w:tcPr>
            <w:tcW w:w="705" w:type="pct"/>
            <w:vMerge w:val="restart"/>
            <w:shd w:val="clear" w:color="auto" w:fill="EEECE1" w:themeFill="background2"/>
            <w:vAlign w:val="center"/>
            <w:hideMark/>
          </w:tcPr>
          <w:p w:rsidR="006F6190" w:rsidRPr="00D40021" w:rsidRDefault="006F6190" w:rsidP="00A2684F">
            <w:pPr>
              <w:pStyle w:val="121"/>
              <w:jc w:val="center"/>
              <w:rPr>
                <w:spacing w:val="-20"/>
              </w:rPr>
            </w:pPr>
            <w:r w:rsidRPr="00D40021">
              <w:rPr>
                <w:rFonts w:hint="eastAsia"/>
              </w:rPr>
              <w:t>18%</w:t>
            </w:r>
            <w:r w:rsidRPr="00D40021">
              <w:rPr>
                <w:rFonts w:hint="eastAsia"/>
                <w:spacing w:val="-20"/>
              </w:rPr>
              <w:t>優存月息</w:t>
            </w:r>
          </w:p>
          <w:p w:rsidR="006F6190" w:rsidRPr="00D40021" w:rsidRDefault="006F6190" w:rsidP="00A2684F">
            <w:pPr>
              <w:pStyle w:val="121"/>
              <w:jc w:val="center"/>
            </w:pPr>
            <w:r w:rsidRPr="00D40021">
              <w:rPr>
                <w:rFonts w:hint="eastAsia"/>
                <w:spacing w:val="-20"/>
              </w:rPr>
              <w:t>(2)</w:t>
            </w:r>
          </w:p>
        </w:tc>
        <w:tc>
          <w:tcPr>
            <w:tcW w:w="550" w:type="pct"/>
            <w:vMerge w:val="restart"/>
            <w:shd w:val="clear" w:color="auto" w:fill="EEECE1" w:themeFill="background2"/>
            <w:vAlign w:val="center"/>
            <w:hideMark/>
          </w:tcPr>
          <w:p w:rsidR="006F6190" w:rsidRPr="00D40021" w:rsidRDefault="006F6190" w:rsidP="00A2684F">
            <w:pPr>
              <w:pStyle w:val="121"/>
              <w:jc w:val="center"/>
            </w:pPr>
            <w:r w:rsidRPr="00D40021">
              <w:rPr>
                <w:rFonts w:hint="eastAsia"/>
              </w:rPr>
              <w:t>合計</w:t>
            </w:r>
          </w:p>
          <w:p w:rsidR="006F6190" w:rsidRPr="00D40021" w:rsidRDefault="006F6190" w:rsidP="00A2684F">
            <w:pPr>
              <w:pStyle w:val="121"/>
              <w:jc w:val="center"/>
            </w:pPr>
            <w:r w:rsidRPr="00D40021">
              <w:rPr>
                <w:rFonts w:hint="eastAsia"/>
              </w:rPr>
              <w:t>(1)+(2)</w:t>
            </w:r>
          </w:p>
        </w:tc>
        <w:tc>
          <w:tcPr>
            <w:tcW w:w="392" w:type="pct"/>
            <w:vMerge w:val="restart"/>
            <w:shd w:val="clear" w:color="auto" w:fill="EEECE1" w:themeFill="background2"/>
            <w:vAlign w:val="center"/>
          </w:tcPr>
          <w:p w:rsidR="006F6190" w:rsidRPr="00D40021" w:rsidRDefault="006F6190" w:rsidP="00A2684F">
            <w:pPr>
              <w:pStyle w:val="121"/>
              <w:jc w:val="center"/>
            </w:pPr>
            <w:proofErr w:type="gramStart"/>
            <w:r w:rsidRPr="00D40021">
              <w:rPr>
                <w:rFonts w:hint="eastAsia"/>
              </w:rPr>
              <w:t>俸</w:t>
            </w:r>
            <w:proofErr w:type="gramEnd"/>
            <w:r w:rsidRPr="00D40021">
              <w:rPr>
                <w:rFonts w:hint="eastAsia"/>
              </w:rPr>
              <w:t>率</w:t>
            </w:r>
          </w:p>
        </w:tc>
        <w:tc>
          <w:tcPr>
            <w:tcW w:w="469" w:type="pct"/>
            <w:vMerge w:val="restart"/>
            <w:shd w:val="clear" w:color="auto" w:fill="EEECE1" w:themeFill="background2"/>
            <w:vAlign w:val="center"/>
          </w:tcPr>
          <w:p w:rsidR="006F6190" w:rsidRPr="00D40021" w:rsidRDefault="006F6190" w:rsidP="00A2684F">
            <w:pPr>
              <w:pStyle w:val="121"/>
              <w:jc w:val="center"/>
            </w:pPr>
            <w:r w:rsidRPr="00D40021">
              <w:rPr>
                <w:rFonts w:hint="eastAsia"/>
                <w:spacing w:val="-20"/>
              </w:rPr>
              <w:t>金額</w:t>
            </w:r>
          </w:p>
        </w:tc>
        <w:tc>
          <w:tcPr>
            <w:tcW w:w="470" w:type="pct"/>
            <w:vMerge/>
            <w:shd w:val="clear" w:color="auto" w:fill="EEECE1" w:themeFill="background2"/>
            <w:vAlign w:val="center"/>
          </w:tcPr>
          <w:p w:rsidR="006F6190" w:rsidRPr="00D40021" w:rsidRDefault="006F6190" w:rsidP="00A2684F">
            <w:pPr>
              <w:pStyle w:val="121"/>
              <w:jc w:val="center"/>
            </w:pPr>
          </w:p>
        </w:tc>
        <w:tc>
          <w:tcPr>
            <w:tcW w:w="516" w:type="pct"/>
            <w:vMerge/>
            <w:shd w:val="clear" w:color="auto" w:fill="EEECE1" w:themeFill="background2"/>
            <w:vAlign w:val="center"/>
          </w:tcPr>
          <w:p w:rsidR="006F6190" w:rsidRPr="00D40021" w:rsidRDefault="006F6190" w:rsidP="00A2684F">
            <w:pPr>
              <w:pStyle w:val="121"/>
              <w:jc w:val="center"/>
            </w:pPr>
          </w:p>
        </w:tc>
      </w:tr>
      <w:tr w:rsidR="00D40021" w:rsidRPr="00D40021" w:rsidTr="000F4C4D">
        <w:trPr>
          <w:trHeight w:val="737"/>
          <w:tblHeader/>
        </w:trPr>
        <w:tc>
          <w:tcPr>
            <w:tcW w:w="330" w:type="pct"/>
            <w:vMerge/>
            <w:shd w:val="clear" w:color="auto" w:fill="EEECE1" w:themeFill="background2"/>
            <w:vAlign w:val="center"/>
            <w:hideMark/>
          </w:tcPr>
          <w:p w:rsidR="006F6190" w:rsidRPr="00D40021" w:rsidRDefault="006F6190" w:rsidP="00D767C5">
            <w:pPr>
              <w:pStyle w:val="121"/>
              <w:jc w:val="center"/>
            </w:pPr>
          </w:p>
        </w:tc>
        <w:tc>
          <w:tcPr>
            <w:tcW w:w="391" w:type="pct"/>
            <w:vMerge/>
            <w:shd w:val="clear" w:color="auto" w:fill="EEECE1" w:themeFill="background2"/>
            <w:vAlign w:val="center"/>
          </w:tcPr>
          <w:p w:rsidR="006F6190" w:rsidRPr="00D40021" w:rsidRDefault="006F6190" w:rsidP="00D767C5">
            <w:pPr>
              <w:pStyle w:val="121"/>
              <w:jc w:val="center"/>
            </w:pPr>
          </w:p>
        </w:tc>
        <w:tc>
          <w:tcPr>
            <w:tcW w:w="392" w:type="pct"/>
            <w:vMerge/>
            <w:shd w:val="clear" w:color="auto" w:fill="EEECE1" w:themeFill="background2"/>
            <w:vAlign w:val="center"/>
            <w:hideMark/>
          </w:tcPr>
          <w:p w:rsidR="006F6190" w:rsidRPr="00D40021" w:rsidRDefault="006F6190" w:rsidP="00D767C5">
            <w:pPr>
              <w:pStyle w:val="121"/>
              <w:jc w:val="center"/>
            </w:pPr>
          </w:p>
        </w:tc>
        <w:tc>
          <w:tcPr>
            <w:tcW w:w="314" w:type="pct"/>
            <w:shd w:val="clear" w:color="auto" w:fill="EEECE1" w:themeFill="background2"/>
            <w:noWrap/>
            <w:vAlign w:val="center"/>
            <w:hideMark/>
          </w:tcPr>
          <w:p w:rsidR="006F6190" w:rsidRPr="00D40021" w:rsidRDefault="006F6190" w:rsidP="00A2684F">
            <w:pPr>
              <w:pStyle w:val="121"/>
              <w:jc w:val="center"/>
              <w:rPr>
                <w:spacing w:val="-20"/>
              </w:rPr>
            </w:pPr>
            <w:proofErr w:type="gramStart"/>
            <w:r w:rsidRPr="00D40021">
              <w:rPr>
                <w:rFonts w:hint="eastAsia"/>
                <w:spacing w:val="-20"/>
              </w:rPr>
              <w:t>俸</w:t>
            </w:r>
            <w:proofErr w:type="gramEnd"/>
            <w:r w:rsidRPr="00D40021">
              <w:rPr>
                <w:rFonts w:hint="eastAsia"/>
                <w:spacing w:val="-20"/>
              </w:rPr>
              <w:t>率</w:t>
            </w:r>
          </w:p>
        </w:tc>
        <w:tc>
          <w:tcPr>
            <w:tcW w:w="471" w:type="pct"/>
            <w:shd w:val="clear" w:color="auto" w:fill="EEECE1" w:themeFill="background2"/>
            <w:noWrap/>
            <w:vAlign w:val="center"/>
            <w:hideMark/>
          </w:tcPr>
          <w:p w:rsidR="006F6190" w:rsidRPr="00D40021" w:rsidRDefault="006F6190" w:rsidP="00A2684F">
            <w:pPr>
              <w:pStyle w:val="121"/>
              <w:jc w:val="center"/>
              <w:rPr>
                <w:spacing w:val="-20"/>
              </w:rPr>
            </w:pPr>
            <w:r w:rsidRPr="00D40021">
              <w:rPr>
                <w:rFonts w:hint="eastAsia"/>
                <w:spacing w:val="-20"/>
              </w:rPr>
              <w:t>金額</w:t>
            </w:r>
          </w:p>
          <w:p w:rsidR="006F6190" w:rsidRPr="00D40021" w:rsidRDefault="006F6190" w:rsidP="00A2684F">
            <w:pPr>
              <w:pStyle w:val="121"/>
              <w:jc w:val="center"/>
            </w:pPr>
            <w:r w:rsidRPr="00D40021">
              <w:rPr>
                <w:rFonts w:hint="eastAsia"/>
                <w:spacing w:val="-20"/>
              </w:rPr>
              <w:t>(1)</w:t>
            </w:r>
          </w:p>
        </w:tc>
        <w:tc>
          <w:tcPr>
            <w:tcW w:w="705" w:type="pct"/>
            <w:vMerge/>
            <w:shd w:val="clear" w:color="auto" w:fill="EEECE1" w:themeFill="background2"/>
            <w:vAlign w:val="center"/>
            <w:hideMark/>
          </w:tcPr>
          <w:p w:rsidR="006F6190" w:rsidRPr="00D40021" w:rsidRDefault="006F6190" w:rsidP="00A2684F">
            <w:pPr>
              <w:pStyle w:val="121"/>
              <w:jc w:val="center"/>
            </w:pPr>
          </w:p>
        </w:tc>
        <w:tc>
          <w:tcPr>
            <w:tcW w:w="550" w:type="pct"/>
            <w:vMerge/>
            <w:shd w:val="clear" w:color="auto" w:fill="EEECE1" w:themeFill="background2"/>
            <w:vAlign w:val="center"/>
            <w:hideMark/>
          </w:tcPr>
          <w:p w:rsidR="006F6190" w:rsidRPr="00D40021" w:rsidRDefault="006F6190" w:rsidP="00A2684F">
            <w:pPr>
              <w:pStyle w:val="121"/>
              <w:jc w:val="center"/>
            </w:pPr>
          </w:p>
        </w:tc>
        <w:tc>
          <w:tcPr>
            <w:tcW w:w="392" w:type="pct"/>
            <w:vMerge/>
            <w:shd w:val="clear" w:color="auto" w:fill="EEECE1" w:themeFill="background2"/>
            <w:vAlign w:val="center"/>
          </w:tcPr>
          <w:p w:rsidR="006F6190" w:rsidRPr="00D40021" w:rsidRDefault="006F6190" w:rsidP="00A2684F">
            <w:pPr>
              <w:pStyle w:val="121"/>
              <w:jc w:val="center"/>
            </w:pPr>
          </w:p>
        </w:tc>
        <w:tc>
          <w:tcPr>
            <w:tcW w:w="469" w:type="pct"/>
            <w:vMerge/>
            <w:shd w:val="clear" w:color="auto" w:fill="EEECE1" w:themeFill="background2"/>
            <w:vAlign w:val="center"/>
          </w:tcPr>
          <w:p w:rsidR="006F6190" w:rsidRPr="00D40021" w:rsidRDefault="006F6190" w:rsidP="00A2684F">
            <w:pPr>
              <w:pStyle w:val="121"/>
              <w:jc w:val="center"/>
            </w:pPr>
          </w:p>
        </w:tc>
        <w:tc>
          <w:tcPr>
            <w:tcW w:w="470" w:type="pct"/>
            <w:vMerge/>
            <w:shd w:val="clear" w:color="auto" w:fill="EEECE1" w:themeFill="background2"/>
            <w:vAlign w:val="center"/>
          </w:tcPr>
          <w:p w:rsidR="006F6190" w:rsidRPr="00D40021" w:rsidRDefault="006F6190" w:rsidP="00A2684F">
            <w:pPr>
              <w:pStyle w:val="121"/>
              <w:jc w:val="center"/>
            </w:pPr>
          </w:p>
        </w:tc>
        <w:tc>
          <w:tcPr>
            <w:tcW w:w="516" w:type="pct"/>
            <w:vMerge/>
            <w:shd w:val="clear" w:color="auto" w:fill="EEECE1" w:themeFill="background2"/>
            <w:vAlign w:val="center"/>
          </w:tcPr>
          <w:p w:rsidR="006F6190" w:rsidRPr="00D40021" w:rsidRDefault="006F6190" w:rsidP="00A2684F">
            <w:pPr>
              <w:pStyle w:val="121"/>
              <w:jc w:val="center"/>
            </w:pPr>
          </w:p>
        </w:tc>
      </w:tr>
      <w:tr w:rsidR="00D40021" w:rsidRPr="00D40021" w:rsidTr="000F4C4D">
        <w:trPr>
          <w:trHeight w:val="737"/>
        </w:trPr>
        <w:tc>
          <w:tcPr>
            <w:tcW w:w="330" w:type="pct"/>
            <w:noWrap/>
            <w:vAlign w:val="center"/>
            <w:hideMark/>
          </w:tcPr>
          <w:p w:rsidR="006F6190" w:rsidRPr="00D40021" w:rsidRDefault="006F6190" w:rsidP="00D767C5">
            <w:pPr>
              <w:pStyle w:val="121"/>
              <w:jc w:val="center"/>
              <w:rPr>
                <w:spacing w:val="-20"/>
              </w:rPr>
            </w:pPr>
            <w:r w:rsidRPr="00D40021">
              <w:rPr>
                <w:rFonts w:hint="eastAsia"/>
                <w:spacing w:val="-20"/>
              </w:rPr>
              <w:t>上校</w:t>
            </w:r>
          </w:p>
          <w:p w:rsidR="006F6190" w:rsidRPr="00D40021" w:rsidRDefault="006F6190" w:rsidP="00D767C5">
            <w:pPr>
              <w:pStyle w:val="121"/>
              <w:jc w:val="center"/>
              <w:rPr>
                <w:spacing w:val="-20"/>
              </w:rPr>
            </w:pPr>
            <w:r w:rsidRPr="00D40021">
              <w:rPr>
                <w:rFonts w:hint="eastAsia"/>
                <w:spacing w:val="-20"/>
              </w:rPr>
              <w:t>10級</w:t>
            </w:r>
          </w:p>
        </w:tc>
        <w:tc>
          <w:tcPr>
            <w:tcW w:w="391" w:type="pct"/>
            <w:vAlign w:val="center"/>
          </w:tcPr>
          <w:p w:rsidR="006F6190" w:rsidRPr="00D40021" w:rsidRDefault="006F6190" w:rsidP="00D767C5">
            <w:pPr>
              <w:pStyle w:val="121"/>
              <w:jc w:val="center"/>
              <w:rPr>
                <w:spacing w:val="-20"/>
              </w:rPr>
            </w:pPr>
            <w:r w:rsidRPr="00D40021">
              <w:rPr>
                <w:rFonts w:hint="eastAsia"/>
                <w:spacing w:val="-20"/>
              </w:rPr>
              <w:t>49,875</w:t>
            </w:r>
          </w:p>
        </w:tc>
        <w:tc>
          <w:tcPr>
            <w:tcW w:w="392" w:type="pct"/>
            <w:noWrap/>
            <w:vAlign w:val="center"/>
            <w:hideMark/>
          </w:tcPr>
          <w:p w:rsidR="006F6190" w:rsidRPr="00D40021" w:rsidRDefault="006F6190" w:rsidP="00D767C5">
            <w:pPr>
              <w:pStyle w:val="121"/>
              <w:jc w:val="center"/>
              <w:rPr>
                <w:spacing w:val="-20"/>
              </w:rPr>
            </w:pPr>
            <w:r w:rsidRPr="00D40021">
              <w:rPr>
                <w:rFonts w:hint="eastAsia"/>
              </w:rPr>
              <w:t>20年</w:t>
            </w:r>
          </w:p>
        </w:tc>
        <w:tc>
          <w:tcPr>
            <w:tcW w:w="314" w:type="pct"/>
            <w:noWrap/>
            <w:vAlign w:val="center"/>
          </w:tcPr>
          <w:p w:rsidR="006F6190" w:rsidRPr="00D40021" w:rsidRDefault="006F6190" w:rsidP="00A2684F">
            <w:pPr>
              <w:pStyle w:val="121"/>
              <w:jc w:val="center"/>
            </w:pPr>
            <w:r w:rsidRPr="00D40021">
              <w:rPr>
                <w:rFonts w:hint="eastAsia"/>
              </w:rPr>
              <w:t>80%</w:t>
            </w:r>
          </w:p>
        </w:tc>
        <w:tc>
          <w:tcPr>
            <w:tcW w:w="471" w:type="pct"/>
            <w:noWrap/>
            <w:vAlign w:val="center"/>
          </w:tcPr>
          <w:p w:rsidR="006F6190" w:rsidRPr="00D40021" w:rsidRDefault="006F6190" w:rsidP="00A2684F">
            <w:pPr>
              <w:pStyle w:val="121"/>
              <w:jc w:val="center"/>
            </w:pPr>
            <w:r w:rsidRPr="00D40021">
              <w:rPr>
                <w:rFonts w:hint="eastAsia"/>
              </w:rPr>
              <w:t>40,830</w:t>
            </w:r>
          </w:p>
        </w:tc>
        <w:tc>
          <w:tcPr>
            <w:tcW w:w="705" w:type="pct"/>
            <w:vAlign w:val="center"/>
          </w:tcPr>
          <w:p w:rsidR="006F6190" w:rsidRPr="00D40021" w:rsidRDefault="006F6190" w:rsidP="00A2684F">
            <w:pPr>
              <w:pStyle w:val="121"/>
              <w:jc w:val="center"/>
              <w:rPr>
                <w:spacing w:val="-20"/>
              </w:rPr>
            </w:pPr>
            <w:r w:rsidRPr="00D40021">
              <w:rPr>
                <w:rFonts w:hint="eastAsia"/>
              </w:rPr>
              <w:t>27,059</w:t>
            </w:r>
          </w:p>
        </w:tc>
        <w:tc>
          <w:tcPr>
            <w:tcW w:w="550" w:type="pct"/>
            <w:shd w:val="clear" w:color="auto" w:fill="FFFF00"/>
            <w:vAlign w:val="center"/>
          </w:tcPr>
          <w:p w:rsidR="006F6190" w:rsidRPr="00D40021" w:rsidRDefault="006F6190" w:rsidP="00A2684F">
            <w:pPr>
              <w:pStyle w:val="121"/>
              <w:jc w:val="center"/>
              <w:rPr>
                <w:spacing w:val="-20"/>
              </w:rPr>
            </w:pPr>
            <w:r w:rsidRPr="00D40021">
              <w:rPr>
                <w:rFonts w:hint="eastAsia"/>
              </w:rPr>
              <w:t>67,889</w:t>
            </w:r>
          </w:p>
        </w:tc>
        <w:tc>
          <w:tcPr>
            <w:tcW w:w="392" w:type="pct"/>
            <w:vAlign w:val="center"/>
          </w:tcPr>
          <w:p w:rsidR="006F6190" w:rsidRPr="00D40021" w:rsidRDefault="006F6190" w:rsidP="00A2684F">
            <w:pPr>
              <w:pStyle w:val="121"/>
              <w:jc w:val="center"/>
            </w:pPr>
            <w:r w:rsidRPr="00D40021">
              <w:rPr>
                <w:rFonts w:hint="eastAsia"/>
              </w:rPr>
              <w:t>55%</w:t>
            </w:r>
          </w:p>
        </w:tc>
        <w:tc>
          <w:tcPr>
            <w:tcW w:w="469" w:type="pct"/>
            <w:shd w:val="clear" w:color="auto" w:fill="FFFF00"/>
            <w:vAlign w:val="center"/>
          </w:tcPr>
          <w:p w:rsidR="006F6190" w:rsidRPr="00D40021" w:rsidRDefault="006F6190" w:rsidP="00A2684F">
            <w:pPr>
              <w:pStyle w:val="121"/>
              <w:jc w:val="center"/>
            </w:pPr>
            <w:r w:rsidRPr="00D40021">
              <w:rPr>
                <w:rFonts w:hint="eastAsia"/>
              </w:rPr>
              <w:t>54,863</w:t>
            </w:r>
          </w:p>
        </w:tc>
        <w:tc>
          <w:tcPr>
            <w:tcW w:w="470" w:type="pct"/>
            <w:shd w:val="clear" w:color="auto" w:fill="FFFF00"/>
            <w:vAlign w:val="center"/>
          </w:tcPr>
          <w:p w:rsidR="006F6190" w:rsidRPr="00D40021" w:rsidRDefault="006F6190" w:rsidP="00A2684F">
            <w:pPr>
              <w:pStyle w:val="121"/>
              <w:jc w:val="center"/>
            </w:pPr>
            <w:r w:rsidRPr="00D40021">
              <w:rPr>
                <w:rFonts w:hint="eastAsia"/>
              </w:rPr>
              <w:t>13,027</w:t>
            </w:r>
          </w:p>
        </w:tc>
        <w:tc>
          <w:tcPr>
            <w:tcW w:w="516" w:type="pct"/>
            <w:shd w:val="clear" w:color="auto" w:fill="FFFF00"/>
            <w:vAlign w:val="center"/>
          </w:tcPr>
          <w:p w:rsidR="006F6190" w:rsidRPr="00D40021" w:rsidRDefault="006F6190" w:rsidP="00A2684F">
            <w:pPr>
              <w:pStyle w:val="121"/>
              <w:jc w:val="center"/>
            </w:pPr>
            <w:r w:rsidRPr="00D40021">
              <w:rPr>
                <w:rFonts w:hint="eastAsia"/>
              </w:rPr>
              <w:t>19.19%</w:t>
            </w:r>
          </w:p>
        </w:tc>
      </w:tr>
      <w:tr w:rsidR="00D40021" w:rsidRPr="00D40021" w:rsidTr="000F4C4D">
        <w:trPr>
          <w:trHeight w:val="737"/>
        </w:trPr>
        <w:tc>
          <w:tcPr>
            <w:tcW w:w="330" w:type="pct"/>
            <w:noWrap/>
            <w:vAlign w:val="center"/>
            <w:hideMark/>
          </w:tcPr>
          <w:p w:rsidR="006F6190" w:rsidRPr="00D40021" w:rsidRDefault="006F6190" w:rsidP="00D767C5">
            <w:pPr>
              <w:pStyle w:val="121"/>
              <w:jc w:val="center"/>
              <w:rPr>
                <w:spacing w:val="-20"/>
              </w:rPr>
            </w:pPr>
            <w:r w:rsidRPr="00D40021">
              <w:rPr>
                <w:rFonts w:hint="eastAsia"/>
                <w:spacing w:val="-20"/>
              </w:rPr>
              <w:t>少將</w:t>
            </w:r>
          </w:p>
          <w:p w:rsidR="006F6190" w:rsidRPr="00D40021" w:rsidRDefault="006F6190" w:rsidP="00D767C5">
            <w:pPr>
              <w:pStyle w:val="121"/>
              <w:jc w:val="center"/>
              <w:rPr>
                <w:spacing w:val="-20"/>
              </w:rPr>
            </w:pPr>
            <w:r w:rsidRPr="00D40021">
              <w:rPr>
                <w:rFonts w:hint="eastAsia"/>
                <w:spacing w:val="-20"/>
              </w:rPr>
              <w:t>10級</w:t>
            </w:r>
          </w:p>
        </w:tc>
        <w:tc>
          <w:tcPr>
            <w:tcW w:w="391" w:type="pct"/>
            <w:vAlign w:val="center"/>
          </w:tcPr>
          <w:p w:rsidR="006F6190" w:rsidRPr="00D40021" w:rsidRDefault="006F6190" w:rsidP="00D767C5">
            <w:pPr>
              <w:pStyle w:val="121"/>
              <w:jc w:val="center"/>
              <w:rPr>
                <w:spacing w:val="-20"/>
              </w:rPr>
            </w:pPr>
            <w:r w:rsidRPr="00D40021">
              <w:rPr>
                <w:rFonts w:hint="eastAsia"/>
                <w:spacing w:val="-20"/>
              </w:rPr>
              <w:t>53,990</w:t>
            </w:r>
          </w:p>
        </w:tc>
        <w:tc>
          <w:tcPr>
            <w:tcW w:w="392" w:type="pct"/>
            <w:noWrap/>
            <w:vAlign w:val="center"/>
            <w:hideMark/>
          </w:tcPr>
          <w:p w:rsidR="006F6190" w:rsidRPr="00D40021" w:rsidRDefault="006F6190" w:rsidP="00D767C5">
            <w:pPr>
              <w:pStyle w:val="121"/>
              <w:jc w:val="center"/>
              <w:rPr>
                <w:spacing w:val="-20"/>
              </w:rPr>
            </w:pPr>
            <w:r w:rsidRPr="00D40021">
              <w:rPr>
                <w:rFonts w:hint="eastAsia"/>
              </w:rPr>
              <w:t>24年</w:t>
            </w:r>
          </w:p>
        </w:tc>
        <w:tc>
          <w:tcPr>
            <w:tcW w:w="314" w:type="pct"/>
            <w:noWrap/>
            <w:vAlign w:val="center"/>
          </w:tcPr>
          <w:p w:rsidR="006F6190" w:rsidRPr="00D40021" w:rsidRDefault="006F6190" w:rsidP="00A2684F">
            <w:pPr>
              <w:pStyle w:val="121"/>
              <w:jc w:val="center"/>
            </w:pPr>
            <w:r w:rsidRPr="00D40021">
              <w:rPr>
                <w:rFonts w:hint="eastAsia"/>
              </w:rPr>
              <w:t>84%</w:t>
            </w:r>
          </w:p>
        </w:tc>
        <w:tc>
          <w:tcPr>
            <w:tcW w:w="471" w:type="pct"/>
            <w:noWrap/>
            <w:vAlign w:val="center"/>
          </w:tcPr>
          <w:p w:rsidR="006F6190" w:rsidRPr="00D40021" w:rsidRDefault="006F6190" w:rsidP="00A2684F">
            <w:pPr>
              <w:pStyle w:val="121"/>
              <w:jc w:val="center"/>
            </w:pPr>
            <w:r w:rsidRPr="00D40021">
              <w:rPr>
                <w:rFonts w:hint="eastAsia"/>
              </w:rPr>
              <w:t>77,910</w:t>
            </w:r>
          </w:p>
        </w:tc>
        <w:tc>
          <w:tcPr>
            <w:tcW w:w="705" w:type="pct"/>
            <w:vAlign w:val="center"/>
          </w:tcPr>
          <w:p w:rsidR="006F6190" w:rsidRPr="00D40021" w:rsidRDefault="006F6190" w:rsidP="00A2684F">
            <w:pPr>
              <w:pStyle w:val="121"/>
              <w:jc w:val="center"/>
              <w:rPr>
                <w:spacing w:val="-20"/>
              </w:rPr>
            </w:pPr>
            <w:r w:rsidRPr="00D40021">
              <w:rPr>
                <w:rFonts w:hint="eastAsia"/>
              </w:rPr>
              <w:t>29,337</w:t>
            </w:r>
          </w:p>
        </w:tc>
        <w:tc>
          <w:tcPr>
            <w:tcW w:w="550" w:type="pct"/>
            <w:shd w:val="clear" w:color="auto" w:fill="FFFF00"/>
            <w:vAlign w:val="center"/>
          </w:tcPr>
          <w:p w:rsidR="006F6190" w:rsidRPr="00D40021" w:rsidRDefault="006F6190" w:rsidP="00A2684F">
            <w:pPr>
              <w:pStyle w:val="121"/>
              <w:jc w:val="center"/>
              <w:rPr>
                <w:spacing w:val="-20"/>
              </w:rPr>
            </w:pPr>
            <w:r w:rsidRPr="00D40021">
              <w:rPr>
                <w:rFonts w:hint="eastAsia"/>
              </w:rPr>
              <w:t>107,247</w:t>
            </w:r>
          </w:p>
        </w:tc>
        <w:tc>
          <w:tcPr>
            <w:tcW w:w="392" w:type="pct"/>
            <w:vAlign w:val="center"/>
          </w:tcPr>
          <w:p w:rsidR="006F6190" w:rsidRPr="00D40021" w:rsidRDefault="006F6190" w:rsidP="00A2684F">
            <w:pPr>
              <w:pStyle w:val="121"/>
              <w:jc w:val="center"/>
            </w:pPr>
            <w:r w:rsidRPr="00D40021">
              <w:rPr>
                <w:rFonts w:hint="eastAsia"/>
              </w:rPr>
              <w:t>63%</w:t>
            </w:r>
          </w:p>
        </w:tc>
        <w:tc>
          <w:tcPr>
            <w:tcW w:w="469" w:type="pct"/>
            <w:shd w:val="clear" w:color="auto" w:fill="FFFF00"/>
            <w:vAlign w:val="center"/>
          </w:tcPr>
          <w:p w:rsidR="006F6190" w:rsidRPr="00D40021" w:rsidRDefault="006F6190" w:rsidP="00A2684F">
            <w:pPr>
              <w:pStyle w:val="121"/>
              <w:jc w:val="center"/>
            </w:pPr>
            <w:r w:rsidRPr="00D40021">
              <w:rPr>
                <w:rFonts w:hint="eastAsia"/>
              </w:rPr>
              <w:t>68,027</w:t>
            </w:r>
          </w:p>
        </w:tc>
        <w:tc>
          <w:tcPr>
            <w:tcW w:w="470" w:type="pct"/>
            <w:shd w:val="clear" w:color="auto" w:fill="FFFF00"/>
            <w:vAlign w:val="center"/>
          </w:tcPr>
          <w:p w:rsidR="006F6190" w:rsidRPr="00D40021" w:rsidRDefault="006F6190" w:rsidP="00A2684F">
            <w:pPr>
              <w:pStyle w:val="121"/>
              <w:jc w:val="center"/>
            </w:pPr>
            <w:r w:rsidRPr="00D40021">
              <w:rPr>
                <w:rFonts w:hint="eastAsia"/>
              </w:rPr>
              <w:t>39,220</w:t>
            </w:r>
          </w:p>
        </w:tc>
        <w:tc>
          <w:tcPr>
            <w:tcW w:w="516" w:type="pct"/>
            <w:shd w:val="clear" w:color="auto" w:fill="FFFF00"/>
            <w:vAlign w:val="center"/>
          </w:tcPr>
          <w:p w:rsidR="006F6190" w:rsidRPr="00D40021" w:rsidRDefault="006F6190" w:rsidP="00A2684F">
            <w:pPr>
              <w:pStyle w:val="121"/>
              <w:jc w:val="center"/>
            </w:pPr>
            <w:r w:rsidRPr="00D40021">
              <w:rPr>
                <w:rFonts w:hint="eastAsia"/>
              </w:rPr>
              <w:t>36.57%</w:t>
            </w:r>
          </w:p>
        </w:tc>
      </w:tr>
      <w:tr w:rsidR="00D40021" w:rsidRPr="00D40021" w:rsidTr="000F4C4D">
        <w:trPr>
          <w:trHeight w:val="737"/>
        </w:trPr>
        <w:tc>
          <w:tcPr>
            <w:tcW w:w="1113" w:type="pct"/>
            <w:gridSpan w:val="3"/>
            <w:vAlign w:val="center"/>
          </w:tcPr>
          <w:p w:rsidR="00A2684F" w:rsidRPr="00D40021" w:rsidRDefault="00A2684F" w:rsidP="00A2684F">
            <w:pPr>
              <w:pStyle w:val="121"/>
              <w:jc w:val="center"/>
              <w:rPr>
                <w:spacing w:val="-20"/>
              </w:rPr>
            </w:pPr>
            <w:r w:rsidRPr="00D40021">
              <w:rPr>
                <w:rFonts w:hint="eastAsia"/>
                <w:spacing w:val="-20"/>
              </w:rPr>
              <w:t>附註</w:t>
            </w:r>
          </w:p>
        </w:tc>
        <w:tc>
          <w:tcPr>
            <w:tcW w:w="2040" w:type="pct"/>
            <w:gridSpan w:val="4"/>
            <w:noWrap/>
          </w:tcPr>
          <w:p w:rsidR="00A2684F" w:rsidRPr="00D40021" w:rsidRDefault="00A2684F" w:rsidP="00A2684F">
            <w:pPr>
              <w:pStyle w:val="121"/>
              <w:ind w:left="232" w:hangingChars="100" w:hanging="232"/>
            </w:pPr>
            <w:r w:rsidRPr="00D40021">
              <w:rPr>
                <w:rFonts w:hint="eastAsia"/>
              </w:rPr>
              <w:t>1.舊制退休</w:t>
            </w:r>
            <w:proofErr w:type="gramStart"/>
            <w:r w:rsidRPr="00D40021">
              <w:rPr>
                <w:rFonts w:hint="eastAsia"/>
              </w:rPr>
              <w:t>俸</w:t>
            </w:r>
            <w:proofErr w:type="gramEnd"/>
            <w:r w:rsidRPr="00D40021">
              <w:rPr>
                <w:rFonts w:hint="eastAsia"/>
              </w:rPr>
              <w:t>年資</w:t>
            </w:r>
            <w:proofErr w:type="gramStart"/>
            <w:r w:rsidRPr="00D40021">
              <w:rPr>
                <w:rFonts w:hint="eastAsia"/>
              </w:rPr>
              <w:t>俸</w:t>
            </w:r>
            <w:proofErr w:type="gramEnd"/>
            <w:r w:rsidRPr="00D40021">
              <w:rPr>
                <w:rFonts w:hint="eastAsia"/>
              </w:rPr>
              <w:t>率計算：1-15年，每年5</w:t>
            </w:r>
            <w:r w:rsidRPr="00D40021">
              <w:t>%</w:t>
            </w:r>
            <w:r w:rsidRPr="00D40021">
              <w:rPr>
                <w:rFonts w:hint="eastAsia"/>
              </w:rPr>
              <w:t>，16年以上每年1%。</w:t>
            </w:r>
          </w:p>
          <w:p w:rsidR="00A2684F" w:rsidRPr="00D40021" w:rsidRDefault="00A2684F" w:rsidP="00A2684F">
            <w:pPr>
              <w:pStyle w:val="121"/>
              <w:ind w:left="232" w:hangingChars="100" w:hanging="232"/>
            </w:pPr>
            <w:r w:rsidRPr="00D40021">
              <w:rPr>
                <w:rFonts w:hint="eastAsia"/>
              </w:rPr>
              <w:t>2.舊制退休</w:t>
            </w:r>
            <w:proofErr w:type="gramStart"/>
            <w:r w:rsidRPr="00D40021">
              <w:rPr>
                <w:rFonts w:hint="eastAsia"/>
              </w:rPr>
              <w:t>俸俸</w:t>
            </w:r>
            <w:proofErr w:type="gramEnd"/>
            <w:r w:rsidRPr="00D40021">
              <w:rPr>
                <w:rFonts w:hint="eastAsia"/>
              </w:rPr>
              <w:t>金計算：本</w:t>
            </w:r>
            <w:proofErr w:type="gramStart"/>
            <w:r w:rsidRPr="00D40021">
              <w:rPr>
                <w:rFonts w:hint="eastAsia"/>
              </w:rPr>
              <w:t>俸</w:t>
            </w:r>
            <w:proofErr w:type="gramEnd"/>
            <w:r w:rsidRPr="00D40021">
              <w:t>×</w:t>
            </w:r>
            <w:r w:rsidRPr="00D40021">
              <w:rPr>
                <w:rFonts w:hint="eastAsia"/>
              </w:rPr>
              <w:t>舊制</w:t>
            </w:r>
            <w:proofErr w:type="gramStart"/>
            <w:r w:rsidRPr="00D40021">
              <w:rPr>
                <w:rFonts w:hint="eastAsia"/>
              </w:rPr>
              <w:t>俸</w:t>
            </w:r>
            <w:proofErr w:type="gramEnd"/>
            <w:r w:rsidRPr="00D40021">
              <w:rPr>
                <w:rFonts w:hint="eastAsia"/>
              </w:rPr>
              <w:t>率+930元。</w:t>
            </w:r>
          </w:p>
          <w:p w:rsidR="00A2684F" w:rsidRPr="00D40021" w:rsidRDefault="00A2684F" w:rsidP="00A2684F">
            <w:pPr>
              <w:pStyle w:val="121"/>
              <w:ind w:left="232" w:hangingChars="100" w:hanging="232"/>
            </w:pPr>
            <w:r w:rsidRPr="00D40021">
              <w:rPr>
                <w:rFonts w:hint="eastAsia"/>
              </w:rPr>
              <w:t>3.少將退休</w:t>
            </w:r>
            <w:proofErr w:type="gramStart"/>
            <w:r w:rsidRPr="00D40021">
              <w:rPr>
                <w:rFonts w:hint="eastAsia"/>
              </w:rPr>
              <w:t>俸</w:t>
            </w:r>
            <w:proofErr w:type="gramEnd"/>
            <w:r w:rsidRPr="00D40021">
              <w:rPr>
                <w:rFonts w:hint="eastAsia"/>
              </w:rPr>
              <w:t>計算固定以77,910元發給(含補足退除給與差額31,628元)</w:t>
            </w:r>
          </w:p>
        </w:tc>
        <w:tc>
          <w:tcPr>
            <w:tcW w:w="861" w:type="pct"/>
            <w:gridSpan w:val="2"/>
            <w:vAlign w:val="center"/>
          </w:tcPr>
          <w:p w:rsidR="00A2684F" w:rsidRPr="00D40021" w:rsidRDefault="00A2684F" w:rsidP="00A2684F">
            <w:pPr>
              <w:pStyle w:val="121"/>
            </w:pPr>
            <w:r w:rsidRPr="00D40021">
              <w:rPr>
                <w:rFonts w:hAnsi="標楷體" w:hint="eastAsia"/>
              </w:rPr>
              <w:t>計算公式=</w:t>
            </w:r>
            <w:r w:rsidRPr="00D40021">
              <w:rPr>
                <w:rFonts w:hint="eastAsia"/>
              </w:rPr>
              <w:t>本</w:t>
            </w:r>
            <w:proofErr w:type="gramStart"/>
            <w:r w:rsidRPr="00D40021">
              <w:rPr>
                <w:rFonts w:hint="eastAsia"/>
              </w:rPr>
              <w:t>俸</w:t>
            </w:r>
            <w:proofErr w:type="gramEnd"/>
            <w:r w:rsidRPr="00D40021">
              <w:rPr>
                <w:rFonts w:hint="eastAsia"/>
              </w:rPr>
              <w:t xml:space="preserve">2倍 </w:t>
            </w:r>
            <w:r w:rsidRPr="00D40021">
              <w:t>×</w:t>
            </w:r>
            <w:proofErr w:type="gramStart"/>
            <w:r w:rsidRPr="00D40021">
              <w:rPr>
                <w:rFonts w:hint="eastAsia"/>
              </w:rPr>
              <w:t>﹝</w:t>
            </w:r>
            <w:proofErr w:type="gramEnd"/>
            <w:r w:rsidRPr="00D40021">
              <w:rPr>
                <w:rFonts w:hint="eastAsia"/>
              </w:rPr>
              <w:t xml:space="preserve">55%＋2% </w:t>
            </w:r>
            <w:r w:rsidRPr="00D40021">
              <w:t>×</w:t>
            </w:r>
            <w:r w:rsidRPr="00D40021">
              <w:rPr>
                <w:rFonts w:hint="eastAsia"/>
              </w:rPr>
              <w:t>（年資 - 20）</w:t>
            </w:r>
            <w:proofErr w:type="gramStart"/>
            <w:r w:rsidRPr="00D40021">
              <w:rPr>
                <w:rFonts w:hint="eastAsia"/>
              </w:rPr>
              <w:t>﹞</w:t>
            </w:r>
            <w:proofErr w:type="gramEnd"/>
          </w:p>
        </w:tc>
        <w:tc>
          <w:tcPr>
            <w:tcW w:w="470" w:type="pct"/>
            <w:vAlign w:val="center"/>
          </w:tcPr>
          <w:p w:rsidR="00A2684F" w:rsidRPr="00D40021" w:rsidRDefault="00A2684F" w:rsidP="00A2684F">
            <w:pPr>
              <w:pStyle w:val="121"/>
            </w:pPr>
          </w:p>
        </w:tc>
        <w:tc>
          <w:tcPr>
            <w:tcW w:w="516" w:type="pct"/>
            <w:vAlign w:val="center"/>
          </w:tcPr>
          <w:p w:rsidR="00A2684F" w:rsidRPr="00D40021" w:rsidRDefault="00A2684F" w:rsidP="00A2684F">
            <w:pPr>
              <w:pStyle w:val="121"/>
            </w:pPr>
          </w:p>
        </w:tc>
      </w:tr>
    </w:tbl>
    <w:p w:rsidR="006F021A" w:rsidRPr="00D40021" w:rsidRDefault="00A2684F" w:rsidP="00A2684F">
      <w:pPr>
        <w:pStyle w:val="42"/>
        <w:ind w:leftChars="0" w:left="0" w:firstLineChars="0" w:firstLine="0"/>
        <w:rPr>
          <w:rFonts w:hAnsi="標楷體"/>
          <w:sz w:val="24"/>
          <w:szCs w:val="24"/>
        </w:rPr>
      </w:pPr>
      <w:r w:rsidRPr="00D40021">
        <w:rPr>
          <w:rFonts w:hAnsi="標楷體" w:hint="eastAsia"/>
          <w:sz w:val="24"/>
          <w:szCs w:val="24"/>
        </w:rPr>
        <w:t>資料來源：輔導會。</w:t>
      </w:r>
    </w:p>
    <w:p w:rsidR="00A2684F" w:rsidRPr="00D40021" w:rsidRDefault="00A2684F" w:rsidP="00BF3F60">
      <w:pPr>
        <w:pStyle w:val="4"/>
        <w:numPr>
          <w:ilvl w:val="0"/>
          <w:numId w:val="0"/>
        </w:numPr>
        <w:rPr>
          <w:rFonts w:hAnsi="標楷體"/>
        </w:rPr>
      </w:pPr>
    </w:p>
    <w:p w:rsidR="00344BAC" w:rsidRPr="00D40021" w:rsidRDefault="00344BAC" w:rsidP="00344BAC">
      <w:pPr>
        <w:pStyle w:val="3"/>
        <w:rPr>
          <w:rFonts w:hAnsi="標楷體"/>
        </w:rPr>
      </w:pPr>
      <w:r w:rsidRPr="00D40021">
        <w:rPr>
          <w:rFonts w:hAnsi="標楷體" w:hint="eastAsia"/>
        </w:rPr>
        <w:t>依據107年7月1日修正施行服役條例規定，</w:t>
      </w:r>
      <w:r w:rsidR="00A363F8" w:rsidRPr="00D40021">
        <w:rPr>
          <w:rFonts w:hAnsi="標楷體" w:hint="eastAsia"/>
        </w:rPr>
        <w:t>兼</w:t>
      </w:r>
      <w:r w:rsidR="00BF3F60" w:rsidRPr="00D40021">
        <w:rPr>
          <w:rFonts w:hAnsi="標楷體" w:hint="eastAsia"/>
        </w:rPr>
        <w:t>具新舊制年資</w:t>
      </w:r>
      <w:r w:rsidR="004A2E97" w:rsidRPr="00D40021">
        <w:rPr>
          <w:rFonts w:hAnsi="標楷體" w:hint="eastAsia"/>
        </w:rPr>
        <w:t>之已退伍除役人員</w:t>
      </w:r>
      <w:r w:rsidR="00A363F8" w:rsidRPr="00D40021">
        <w:rPr>
          <w:rFonts w:hAnsi="標楷體" w:hint="eastAsia"/>
        </w:rPr>
        <w:t>，依退伍階級及年資，10年後相較年改前所得之扣減金額及比率為2,648元至26,599元及6.36</w:t>
      </w:r>
      <w:r w:rsidR="00213265" w:rsidRPr="00D40021">
        <w:rPr>
          <w:rFonts w:hAnsi="標楷體" w:hint="eastAsia"/>
        </w:rPr>
        <w:t>%</w:t>
      </w:r>
      <w:r w:rsidR="00A363F8" w:rsidRPr="00D40021">
        <w:rPr>
          <w:rFonts w:hAnsi="標楷體" w:hint="eastAsia"/>
        </w:rPr>
        <w:t>至22.66</w:t>
      </w:r>
      <w:r w:rsidR="00213265" w:rsidRPr="00D40021">
        <w:rPr>
          <w:rFonts w:hAnsi="標楷體" w:hint="eastAsia"/>
        </w:rPr>
        <w:t>%</w:t>
      </w:r>
      <w:r w:rsidRPr="00D40021">
        <w:rPr>
          <w:rFonts w:hAnsi="標楷體" w:hint="eastAsia"/>
        </w:rPr>
        <w:t>，</w:t>
      </w:r>
      <w:r w:rsidR="008F69DA" w:rsidRPr="00D40021">
        <w:rPr>
          <w:rFonts w:hAnsi="標楷體" w:hint="eastAsia"/>
        </w:rPr>
        <w:t>業涉有侵害退伍除役人員財產權之虞。</w:t>
      </w:r>
    </w:p>
    <w:p w:rsidR="00BF3F60" w:rsidRPr="00D40021" w:rsidRDefault="00546514" w:rsidP="00AD6576">
      <w:pPr>
        <w:pStyle w:val="4"/>
      </w:pPr>
      <w:r w:rsidRPr="00D40021">
        <w:rPr>
          <w:rFonts w:hint="eastAsia"/>
        </w:rPr>
        <w:t>次查</w:t>
      </w:r>
      <w:r w:rsidR="00BF3F60" w:rsidRPr="00D40021">
        <w:rPr>
          <w:rFonts w:hint="eastAsia"/>
        </w:rPr>
        <w:t>107年7月1日服役條例修正施行後，具新舊制年資，且於101年1月1日退休軍職人員扣減金額最多者為年資35年之中將6級，107年7月1日由123,380元降低為120,720元，扣減金額及比率為2,660元及</w:t>
      </w:r>
      <w:r w:rsidR="00AD6576" w:rsidRPr="00D40021">
        <w:rPr>
          <w:rFonts w:hint="eastAsia"/>
        </w:rPr>
        <w:t>2</w:t>
      </w:r>
      <w:r w:rsidR="00BF3F60" w:rsidRPr="00D40021">
        <w:rPr>
          <w:rFonts w:hint="eastAsia"/>
        </w:rPr>
        <w:t>.16</w:t>
      </w:r>
      <w:r w:rsidR="00213265" w:rsidRPr="00D40021">
        <w:rPr>
          <w:rFonts w:hint="eastAsia"/>
        </w:rPr>
        <w:t>%</w:t>
      </w:r>
      <w:r w:rsidR="00BF3F60" w:rsidRPr="00D40021">
        <w:rPr>
          <w:rFonts w:hint="eastAsia"/>
        </w:rPr>
        <w:t>；117年1月1日以後，再降低為96,781元，扣減金額及比率為26,599元及21.56</w:t>
      </w:r>
      <w:r w:rsidR="00213265" w:rsidRPr="00D40021">
        <w:rPr>
          <w:rFonts w:hint="eastAsia"/>
        </w:rPr>
        <w:t>%</w:t>
      </w:r>
      <w:r w:rsidR="00D5003C" w:rsidRPr="00D40021">
        <w:rPr>
          <w:rFonts w:hint="eastAsia"/>
        </w:rPr>
        <w:t>。</w:t>
      </w:r>
      <w:proofErr w:type="gramStart"/>
      <w:r w:rsidR="00D5003C" w:rsidRPr="00D40021">
        <w:rPr>
          <w:rFonts w:hint="eastAsia"/>
        </w:rPr>
        <w:t>另</w:t>
      </w:r>
      <w:proofErr w:type="gramEnd"/>
      <w:r w:rsidR="00D5003C" w:rsidRPr="00D40021">
        <w:rPr>
          <w:rFonts w:hint="eastAsia"/>
        </w:rPr>
        <w:t>，117年7月1日以後，整體已退休軍職人員所領月退</w:t>
      </w:r>
      <w:proofErr w:type="gramStart"/>
      <w:r w:rsidR="00D5003C" w:rsidRPr="00D40021">
        <w:rPr>
          <w:rFonts w:hint="eastAsia"/>
        </w:rPr>
        <w:t>俸</w:t>
      </w:r>
      <w:proofErr w:type="gramEnd"/>
      <w:r w:rsidR="00D5003C" w:rsidRPr="00D40021">
        <w:rPr>
          <w:rFonts w:hint="eastAsia"/>
        </w:rPr>
        <w:t>金額，依退伍階級及年資，相較年金改革前所得之扣減金額及比率為2,648元至26,599元及6.36%至22.66%，</w:t>
      </w:r>
      <w:proofErr w:type="gramStart"/>
      <w:r w:rsidR="00BF3F60" w:rsidRPr="00D40021">
        <w:rPr>
          <w:rFonts w:hint="eastAsia"/>
        </w:rPr>
        <w:t>餘詳表</w:t>
      </w:r>
      <w:proofErr w:type="gramEnd"/>
      <w:r w:rsidR="00EC2005" w:rsidRPr="00D40021">
        <w:rPr>
          <w:rFonts w:hint="eastAsia"/>
        </w:rPr>
        <w:t>3</w:t>
      </w:r>
      <w:r w:rsidR="00BF3F60" w:rsidRPr="00D40021">
        <w:rPr>
          <w:rFonts w:hint="eastAsia"/>
        </w:rPr>
        <w:t>。</w:t>
      </w:r>
    </w:p>
    <w:p w:rsidR="00A2451B" w:rsidRPr="00D40021" w:rsidRDefault="00A2451B" w:rsidP="0055173E">
      <w:pPr>
        <w:pStyle w:val="a3"/>
        <w:numPr>
          <w:ilvl w:val="0"/>
          <w:numId w:val="4"/>
        </w:numPr>
        <w:ind w:left="709" w:hanging="709"/>
        <w:rPr>
          <w:rFonts w:hAnsi="標楷體"/>
        </w:rPr>
      </w:pPr>
      <w:proofErr w:type="gramStart"/>
      <w:r w:rsidRPr="00D40021">
        <w:rPr>
          <w:rFonts w:hAnsi="標楷體" w:hint="eastAsia"/>
        </w:rPr>
        <w:lastRenderedPageBreak/>
        <w:t>年改後已</w:t>
      </w:r>
      <w:proofErr w:type="gramEnd"/>
      <w:r w:rsidRPr="00D40021">
        <w:rPr>
          <w:rFonts w:hAnsi="標楷體" w:hint="eastAsia"/>
        </w:rPr>
        <w:t>退軍職人員月退休所得減少情形</w:t>
      </w:r>
      <w:proofErr w:type="gramStart"/>
      <w:r w:rsidRPr="00D40021">
        <w:rPr>
          <w:rFonts w:hAnsi="標楷體" w:hint="eastAsia"/>
        </w:rPr>
        <w:t>（</w:t>
      </w:r>
      <w:proofErr w:type="gramEnd"/>
      <w:r w:rsidRPr="00D40021">
        <w:rPr>
          <w:rFonts w:hAnsi="標楷體" w:hint="eastAsia"/>
        </w:rPr>
        <w:t>兼具新舊制人員：101年1月1日退休</w:t>
      </w:r>
      <w:proofErr w:type="gramStart"/>
      <w:r w:rsidRPr="00D40021">
        <w:rPr>
          <w:rFonts w:hAnsi="標楷體" w:hint="eastAsia"/>
        </w:rPr>
        <w:t>）</w:t>
      </w:r>
      <w:proofErr w:type="gramEnd"/>
    </w:p>
    <w:p w:rsidR="00A2451B" w:rsidRPr="00D40021" w:rsidRDefault="00A2451B" w:rsidP="00A2451B">
      <w:pPr>
        <w:pStyle w:val="afa"/>
        <w:spacing w:after="40"/>
        <w:ind w:leftChars="100" w:left="340"/>
        <w:jc w:val="right"/>
        <w:rPr>
          <w:rFonts w:hAnsi="標楷體"/>
          <w:sz w:val="24"/>
          <w:szCs w:val="24"/>
        </w:rPr>
      </w:pPr>
      <w:r w:rsidRPr="00D40021">
        <w:rPr>
          <w:rFonts w:hAnsi="標楷體" w:hint="eastAsia"/>
          <w:sz w:val="24"/>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
        <w:gridCol w:w="378"/>
        <w:gridCol w:w="355"/>
        <w:gridCol w:w="915"/>
        <w:gridCol w:w="1417"/>
        <w:gridCol w:w="1055"/>
        <w:gridCol w:w="776"/>
        <w:gridCol w:w="777"/>
        <w:gridCol w:w="915"/>
        <w:gridCol w:w="915"/>
        <w:gridCol w:w="915"/>
      </w:tblGrid>
      <w:tr w:rsidR="00D40021" w:rsidRPr="00D40021" w:rsidTr="0084281E">
        <w:trPr>
          <w:trHeight w:val="20"/>
          <w:tblHeader/>
        </w:trPr>
        <w:tc>
          <w:tcPr>
            <w:tcW w:w="235" w:type="pct"/>
            <w:vMerge w:val="restart"/>
            <w:shd w:val="clear" w:color="auto" w:fill="EEECE1" w:themeFill="background2"/>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hint="eastAsia"/>
              </w:rPr>
              <w:t>退伍</w:t>
            </w:r>
            <w:r w:rsidRPr="00D40021">
              <w:rPr>
                <w:rFonts w:hAnsi="標楷體" w:hint="eastAsia"/>
              </w:rPr>
              <w:br/>
              <w:t>階級</w:t>
            </w:r>
          </w:p>
        </w:tc>
        <w:tc>
          <w:tcPr>
            <w:tcW w:w="214" w:type="pct"/>
            <w:vMerge w:val="restart"/>
            <w:shd w:val="clear" w:color="auto" w:fill="EEECE1" w:themeFill="background2"/>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hint="eastAsia"/>
              </w:rPr>
              <w:t>退伍</w:t>
            </w:r>
            <w:r w:rsidRPr="00D40021">
              <w:rPr>
                <w:rFonts w:hAnsi="標楷體" w:hint="eastAsia"/>
              </w:rPr>
              <w:br/>
              <w:t>年資</w:t>
            </w:r>
          </w:p>
        </w:tc>
        <w:tc>
          <w:tcPr>
            <w:tcW w:w="201" w:type="pct"/>
            <w:vMerge w:val="restar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cs="新細明體" w:hint="eastAsia"/>
              </w:rPr>
              <w:t>級</w:t>
            </w:r>
          </w:p>
          <w:p w:rsidR="0084281E" w:rsidRPr="00D40021" w:rsidRDefault="0084281E" w:rsidP="002D6B80">
            <w:pPr>
              <w:pStyle w:val="121"/>
              <w:jc w:val="center"/>
              <w:rPr>
                <w:rFonts w:hAnsi="標楷體" w:cs="新細明體"/>
              </w:rPr>
            </w:pPr>
            <w:r w:rsidRPr="00D40021">
              <w:rPr>
                <w:rFonts w:hAnsi="標楷體" w:cs="新細明體" w:hint="eastAsia"/>
              </w:rPr>
              <w:t>數</w:t>
            </w:r>
          </w:p>
        </w:tc>
        <w:tc>
          <w:tcPr>
            <w:tcW w:w="518" w:type="pct"/>
            <w:vMerge w:val="restar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cs="新細明體" w:hint="eastAsia"/>
              </w:rPr>
              <w:t>本</w:t>
            </w:r>
            <w:proofErr w:type="gramStart"/>
            <w:r w:rsidRPr="00D40021">
              <w:rPr>
                <w:rFonts w:hAnsi="標楷體" w:cs="新細明體" w:hint="eastAsia"/>
              </w:rPr>
              <w:t>俸</w:t>
            </w:r>
            <w:proofErr w:type="gramEnd"/>
          </w:p>
        </w:tc>
        <w:tc>
          <w:tcPr>
            <w:tcW w:w="802" w:type="pct"/>
            <w:vMerge w:val="restar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改革前月退休所得（月退</w:t>
            </w:r>
            <w:proofErr w:type="gramStart"/>
            <w:r w:rsidRPr="00D40021">
              <w:rPr>
                <w:rFonts w:hAnsi="標楷體" w:hint="eastAsia"/>
              </w:rPr>
              <w:t>俸</w:t>
            </w:r>
            <w:proofErr w:type="gramEnd"/>
            <w:r w:rsidRPr="00D40021">
              <w:rPr>
                <w:rFonts w:hAnsi="標楷體" w:hint="eastAsia"/>
              </w:rPr>
              <w:t>+18%）</w:t>
            </w:r>
          </w:p>
        </w:tc>
        <w:tc>
          <w:tcPr>
            <w:tcW w:w="1476" w:type="pct"/>
            <w:gridSpan w:val="3"/>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107.7.1~108.6.30</w:t>
            </w:r>
          </w:p>
        </w:tc>
        <w:tc>
          <w:tcPr>
            <w:tcW w:w="1554" w:type="pct"/>
            <w:gridSpan w:val="3"/>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117.7.1以後</w:t>
            </w:r>
          </w:p>
        </w:tc>
      </w:tr>
      <w:tr w:rsidR="00D40021" w:rsidRPr="00D40021" w:rsidTr="0084281E">
        <w:trPr>
          <w:trHeight w:val="20"/>
          <w:tblHeader/>
        </w:trPr>
        <w:tc>
          <w:tcPr>
            <w:tcW w:w="235" w:type="pct"/>
            <w:vMerge/>
            <w:shd w:val="clear" w:color="auto" w:fill="EEECE1" w:themeFill="background2"/>
            <w:vAlign w:val="center"/>
          </w:tcPr>
          <w:p w:rsidR="0084281E" w:rsidRPr="00D40021" w:rsidRDefault="0084281E" w:rsidP="002D6B80">
            <w:pPr>
              <w:pStyle w:val="121"/>
              <w:jc w:val="center"/>
              <w:rPr>
                <w:rFonts w:hAnsi="標楷體"/>
              </w:rPr>
            </w:pPr>
          </w:p>
        </w:tc>
        <w:tc>
          <w:tcPr>
            <w:tcW w:w="214" w:type="pct"/>
            <w:vMerge/>
            <w:shd w:val="clear" w:color="auto" w:fill="EEECE1" w:themeFill="background2"/>
            <w:vAlign w:val="center"/>
          </w:tcPr>
          <w:p w:rsidR="0084281E" w:rsidRPr="00D40021" w:rsidRDefault="0084281E" w:rsidP="002D6B80">
            <w:pPr>
              <w:pStyle w:val="121"/>
              <w:jc w:val="center"/>
              <w:rPr>
                <w:rFonts w:hAnsi="標楷體"/>
              </w:rPr>
            </w:pPr>
          </w:p>
        </w:tc>
        <w:tc>
          <w:tcPr>
            <w:tcW w:w="201" w:type="pct"/>
            <w:vMerge/>
            <w:shd w:val="clear" w:color="auto" w:fill="EEECE1" w:themeFill="background2"/>
            <w:vAlign w:val="center"/>
          </w:tcPr>
          <w:p w:rsidR="0084281E" w:rsidRPr="00D40021" w:rsidRDefault="0084281E" w:rsidP="002D6B80">
            <w:pPr>
              <w:pStyle w:val="121"/>
              <w:jc w:val="center"/>
              <w:rPr>
                <w:rFonts w:hAnsi="標楷體"/>
              </w:rPr>
            </w:pPr>
          </w:p>
        </w:tc>
        <w:tc>
          <w:tcPr>
            <w:tcW w:w="518" w:type="pct"/>
            <w:vMerge/>
            <w:shd w:val="clear" w:color="auto" w:fill="EEECE1" w:themeFill="background2"/>
            <w:vAlign w:val="center"/>
          </w:tcPr>
          <w:p w:rsidR="0084281E" w:rsidRPr="00D40021" w:rsidRDefault="0084281E" w:rsidP="002D6B80">
            <w:pPr>
              <w:pStyle w:val="121"/>
              <w:jc w:val="center"/>
              <w:rPr>
                <w:rFonts w:hAnsi="標楷體"/>
              </w:rPr>
            </w:pPr>
          </w:p>
        </w:tc>
        <w:tc>
          <w:tcPr>
            <w:tcW w:w="802" w:type="pct"/>
            <w:vMerge/>
            <w:shd w:val="clear" w:color="auto" w:fill="EEECE1" w:themeFill="background2"/>
            <w:vAlign w:val="center"/>
          </w:tcPr>
          <w:p w:rsidR="0084281E" w:rsidRPr="00D40021" w:rsidRDefault="0084281E" w:rsidP="002D6B80">
            <w:pPr>
              <w:pStyle w:val="121"/>
              <w:jc w:val="center"/>
              <w:rPr>
                <w:rFonts w:hAnsi="標楷體"/>
              </w:rPr>
            </w:pPr>
          </w:p>
        </w:tc>
        <w:tc>
          <w:tcPr>
            <w:tcW w:w="597"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扣減後</w:t>
            </w:r>
          </w:p>
          <w:p w:rsidR="0084281E" w:rsidRPr="00D40021" w:rsidRDefault="0084281E" w:rsidP="002D6B80">
            <w:pPr>
              <w:pStyle w:val="121"/>
              <w:jc w:val="center"/>
              <w:rPr>
                <w:rFonts w:hAnsi="標楷體" w:cs="新細明體"/>
              </w:rPr>
            </w:pPr>
            <w:r w:rsidRPr="00D40021">
              <w:rPr>
                <w:rFonts w:hAnsi="標楷體" w:hint="eastAsia"/>
              </w:rPr>
              <w:t>所得</w:t>
            </w:r>
          </w:p>
        </w:tc>
        <w:tc>
          <w:tcPr>
            <w:tcW w:w="439"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w:t>
            </w:r>
          </w:p>
          <w:p w:rsidR="0084281E" w:rsidRPr="00D40021" w:rsidRDefault="0084281E" w:rsidP="002D6B80">
            <w:pPr>
              <w:pStyle w:val="121"/>
              <w:jc w:val="center"/>
              <w:rPr>
                <w:rFonts w:hAnsi="標楷體" w:cs="新細明體"/>
              </w:rPr>
            </w:pPr>
            <w:r w:rsidRPr="00D40021">
              <w:rPr>
                <w:rFonts w:hAnsi="標楷體" w:hint="eastAsia"/>
              </w:rPr>
              <w:t>金額</w:t>
            </w:r>
          </w:p>
        </w:tc>
        <w:tc>
          <w:tcPr>
            <w:tcW w:w="440"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w:t>
            </w:r>
          </w:p>
          <w:p w:rsidR="0084281E" w:rsidRPr="00D40021" w:rsidRDefault="0084281E" w:rsidP="002D6B80">
            <w:pPr>
              <w:pStyle w:val="121"/>
              <w:jc w:val="center"/>
              <w:rPr>
                <w:rFonts w:hAnsi="標楷體" w:cs="新細明體"/>
              </w:rPr>
            </w:pPr>
            <w:r w:rsidRPr="00D40021">
              <w:rPr>
                <w:rFonts w:hAnsi="標楷體" w:hint="eastAsia"/>
              </w:rPr>
              <w:t>比例</w:t>
            </w:r>
          </w:p>
        </w:tc>
        <w:tc>
          <w:tcPr>
            <w:tcW w:w="518"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扣減後</w:t>
            </w:r>
          </w:p>
          <w:p w:rsidR="0084281E" w:rsidRPr="00D40021" w:rsidRDefault="0084281E" w:rsidP="002D6B80">
            <w:pPr>
              <w:pStyle w:val="121"/>
              <w:jc w:val="center"/>
              <w:rPr>
                <w:rFonts w:hAnsi="標楷體" w:cs="新細明體"/>
              </w:rPr>
            </w:pPr>
            <w:r w:rsidRPr="00D40021">
              <w:rPr>
                <w:rFonts w:hAnsi="標楷體" w:hint="eastAsia"/>
              </w:rPr>
              <w:t>所得</w:t>
            </w:r>
          </w:p>
        </w:tc>
        <w:tc>
          <w:tcPr>
            <w:tcW w:w="518"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w:t>
            </w:r>
          </w:p>
          <w:p w:rsidR="0084281E" w:rsidRPr="00D40021" w:rsidRDefault="0084281E" w:rsidP="002D6B80">
            <w:pPr>
              <w:pStyle w:val="121"/>
              <w:jc w:val="center"/>
              <w:rPr>
                <w:rFonts w:hAnsi="標楷體" w:cs="新細明體"/>
              </w:rPr>
            </w:pPr>
            <w:r w:rsidRPr="00D40021">
              <w:rPr>
                <w:rFonts w:hAnsi="標楷體" w:hint="eastAsia"/>
              </w:rPr>
              <w:t>金額</w:t>
            </w:r>
          </w:p>
        </w:tc>
        <w:tc>
          <w:tcPr>
            <w:tcW w:w="518" w:type="pct"/>
            <w:shd w:val="clear" w:color="auto" w:fill="EEECE1" w:themeFill="background2"/>
            <w:tcMar>
              <w:left w:w="0" w:type="dxa"/>
              <w:right w:w="0" w:type="dxa"/>
            </w:tcMar>
            <w:vAlign w:val="center"/>
          </w:tcPr>
          <w:p w:rsidR="0084281E" w:rsidRPr="00D40021" w:rsidRDefault="0084281E" w:rsidP="002D6B80">
            <w:pPr>
              <w:pStyle w:val="121"/>
              <w:jc w:val="center"/>
              <w:rPr>
                <w:rFonts w:hAnsi="標楷體"/>
              </w:rPr>
            </w:pPr>
            <w:r w:rsidRPr="00D40021">
              <w:rPr>
                <w:rFonts w:hAnsi="標楷體" w:hint="eastAsia"/>
              </w:rPr>
              <w:t>扣減</w:t>
            </w:r>
          </w:p>
          <w:p w:rsidR="0084281E" w:rsidRPr="00D40021" w:rsidRDefault="0084281E" w:rsidP="002D6B80">
            <w:pPr>
              <w:pStyle w:val="121"/>
              <w:jc w:val="center"/>
              <w:rPr>
                <w:rFonts w:hAnsi="標楷體" w:cs="新細明體"/>
              </w:rPr>
            </w:pPr>
            <w:r w:rsidRPr="00D40021">
              <w:rPr>
                <w:rFonts w:hAnsi="標楷體" w:hint="eastAsia"/>
              </w:rPr>
              <w:t>比例</w:t>
            </w:r>
          </w:p>
        </w:tc>
      </w:tr>
      <w:tr w:rsidR="00D40021" w:rsidRPr="00D40021" w:rsidTr="00AD6576">
        <w:trPr>
          <w:trHeight w:val="20"/>
        </w:trPr>
        <w:tc>
          <w:tcPr>
            <w:tcW w:w="235" w:type="pct"/>
            <w:vMerge w:val="restart"/>
            <w:shd w:val="clear" w:color="auto" w:fill="EEECE1" w:themeFill="background2"/>
            <w:vAlign w:val="center"/>
          </w:tcPr>
          <w:p w:rsidR="0084281E" w:rsidRPr="00D40021" w:rsidRDefault="0084281E" w:rsidP="002D6B80">
            <w:pPr>
              <w:pStyle w:val="121"/>
              <w:jc w:val="center"/>
              <w:rPr>
                <w:rFonts w:hAnsi="標楷體"/>
              </w:rPr>
            </w:pPr>
            <w:proofErr w:type="gramStart"/>
            <w:r w:rsidRPr="00D40021">
              <w:rPr>
                <w:rFonts w:hAnsi="標楷體" w:hint="eastAsia"/>
              </w:rPr>
              <w:t>一</w:t>
            </w:r>
            <w:proofErr w:type="gramEnd"/>
            <w:r w:rsidRPr="00D40021">
              <w:rPr>
                <w:rFonts w:hAnsi="標楷體" w:hint="eastAsia"/>
              </w:rPr>
              <w:t>等長</w:t>
            </w: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20</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10</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32,040</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41,638</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41,373</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265</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0.64%</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38,990</w:t>
            </w:r>
          </w:p>
        </w:tc>
        <w:tc>
          <w:tcPr>
            <w:tcW w:w="518"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2,648</w:t>
            </w:r>
          </w:p>
        </w:tc>
        <w:tc>
          <w:tcPr>
            <w:tcW w:w="518"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6.36%</w:t>
            </w:r>
          </w:p>
        </w:tc>
      </w:tr>
      <w:tr w:rsidR="00D40021" w:rsidRPr="00D40021" w:rsidTr="0084281E">
        <w:trPr>
          <w:trHeight w:val="20"/>
        </w:trPr>
        <w:tc>
          <w:tcPr>
            <w:tcW w:w="235" w:type="pct"/>
            <w:vMerge/>
            <w:shd w:val="clear" w:color="auto" w:fill="EEECE1" w:themeFill="background2"/>
            <w:vAlign w:val="center"/>
          </w:tcPr>
          <w:p w:rsidR="0084281E" w:rsidRPr="00D40021" w:rsidRDefault="0084281E" w:rsidP="002D6B80">
            <w:pPr>
              <w:pStyle w:val="121"/>
              <w:jc w:val="center"/>
              <w:rPr>
                <w:rFonts w:hAnsi="標楷體"/>
              </w:rPr>
            </w:pP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24</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14</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34,785</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55,903</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54,696</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1,207</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2.16%</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43,829</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12,074</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21.60%</w:t>
            </w:r>
          </w:p>
        </w:tc>
      </w:tr>
      <w:tr w:rsidR="00D40021" w:rsidRPr="00D40021" w:rsidTr="00A2684F">
        <w:trPr>
          <w:trHeight w:val="20"/>
        </w:trPr>
        <w:tc>
          <w:tcPr>
            <w:tcW w:w="235" w:type="pct"/>
            <w:vMerge/>
            <w:shd w:val="clear" w:color="auto" w:fill="EEECE1" w:themeFill="background2"/>
            <w:vAlign w:val="center"/>
          </w:tcPr>
          <w:p w:rsidR="0084281E" w:rsidRPr="00D40021" w:rsidRDefault="0084281E" w:rsidP="002D6B80">
            <w:pPr>
              <w:pStyle w:val="121"/>
              <w:jc w:val="center"/>
              <w:rPr>
                <w:rFonts w:hAnsi="標楷體"/>
              </w:rPr>
            </w:pPr>
          </w:p>
        </w:tc>
        <w:tc>
          <w:tcPr>
            <w:tcW w:w="214" w:type="pct"/>
            <w:shd w:val="clear" w:color="auto" w:fill="EEECE1" w:themeFill="background2"/>
            <w:vAlign w:val="center"/>
          </w:tcPr>
          <w:p w:rsidR="0084281E" w:rsidRPr="00D40021" w:rsidRDefault="0084281E" w:rsidP="002D6B80">
            <w:pPr>
              <w:pStyle w:val="121"/>
              <w:jc w:val="center"/>
              <w:rPr>
                <w:rFonts w:hAnsi="標楷體"/>
              </w:rPr>
            </w:pPr>
            <w:r w:rsidRPr="00D40021">
              <w:rPr>
                <w:rFonts w:hAnsi="標楷體" w:hint="eastAsia"/>
              </w:rPr>
              <w:t>28</w:t>
            </w:r>
          </w:p>
        </w:tc>
        <w:tc>
          <w:tcPr>
            <w:tcW w:w="201" w:type="pct"/>
            <w:shd w:val="clear" w:color="auto" w:fill="FFFF00"/>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16</w:t>
            </w:r>
          </w:p>
        </w:tc>
        <w:tc>
          <w:tcPr>
            <w:tcW w:w="518" w:type="pct"/>
            <w:shd w:val="clear" w:color="auto" w:fill="FFFF00"/>
            <w:vAlign w:val="center"/>
          </w:tcPr>
          <w:p w:rsidR="0084281E" w:rsidRPr="00D40021" w:rsidRDefault="0084281E" w:rsidP="002D6B80">
            <w:pPr>
              <w:pStyle w:val="121"/>
              <w:jc w:val="right"/>
              <w:rPr>
                <w:rFonts w:hAnsi="標楷體" w:cs="新細明體"/>
              </w:rPr>
            </w:pPr>
            <w:r w:rsidRPr="00D40021">
              <w:rPr>
                <w:rFonts w:hAnsi="標楷體" w:cs="新細明體" w:hint="eastAsia"/>
              </w:rPr>
              <w:t>36,155</w:t>
            </w:r>
          </w:p>
        </w:tc>
        <w:tc>
          <w:tcPr>
            <w:tcW w:w="802" w:type="pct"/>
            <w:shd w:val="clear" w:color="auto" w:fill="FFFF00"/>
            <w:vAlign w:val="center"/>
          </w:tcPr>
          <w:p w:rsidR="0084281E" w:rsidRPr="00D40021" w:rsidRDefault="0084281E" w:rsidP="002D6B80">
            <w:pPr>
              <w:pStyle w:val="121"/>
              <w:jc w:val="right"/>
              <w:rPr>
                <w:rFonts w:hAnsi="標楷體" w:cs="新細明體"/>
              </w:rPr>
            </w:pPr>
            <w:r w:rsidRPr="00D40021">
              <w:rPr>
                <w:rFonts w:hAnsi="標楷體" w:cs="新細明體" w:hint="eastAsia"/>
              </w:rPr>
              <w:t>66,041</w:t>
            </w:r>
          </w:p>
        </w:tc>
        <w:tc>
          <w:tcPr>
            <w:tcW w:w="597"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64,571</w:t>
            </w:r>
          </w:p>
        </w:tc>
        <w:tc>
          <w:tcPr>
            <w:tcW w:w="439"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1,470</w:t>
            </w:r>
          </w:p>
        </w:tc>
        <w:tc>
          <w:tcPr>
            <w:tcW w:w="440"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2.23%</w:t>
            </w:r>
          </w:p>
        </w:tc>
        <w:tc>
          <w:tcPr>
            <w:tcW w:w="518"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51,340</w:t>
            </w:r>
          </w:p>
        </w:tc>
        <w:tc>
          <w:tcPr>
            <w:tcW w:w="518"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14,701</w:t>
            </w:r>
          </w:p>
        </w:tc>
        <w:tc>
          <w:tcPr>
            <w:tcW w:w="518" w:type="pct"/>
            <w:shd w:val="clear" w:color="auto" w:fill="FFFF00"/>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22.26%</w:t>
            </w:r>
          </w:p>
        </w:tc>
      </w:tr>
      <w:tr w:rsidR="00D40021" w:rsidRPr="00D40021" w:rsidTr="0084281E">
        <w:trPr>
          <w:trHeight w:val="20"/>
        </w:trPr>
        <w:tc>
          <w:tcPr>
            <w:tcW w:w="235" w:type="pct"/>
            <w:vMerge/>
            <w:shd w:val="clear" w:color="auto" w:fill="EEECE1" w:themeFill="background2"/>
            <w:vAlign w:val="center"/>
          </w:tcPr>
          <w:p w:rsidR="0084281E" w:rsidRPr="00D40021" w:rsidRDefault="0084281E" w:rsidP="002D6B80">
            <w:pPr>
              <w:pStyle w:val="121"/>
              <w:jc w:val="center"/>
              <w:rPr>
                <w:rFonts w:hAnsi="標楷體"/>
              </w:rPr>
            </w:pP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35</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20</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38,900</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76,893</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75,817</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1,076</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1.40%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66,130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10,763</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14.00%</w:t>
            </w:r>
          </w:p>
        </w:tc>
      </w:tr>
      <w:tr w:rsidR="00D40021" w:rsidRPr="00D40021" w:rsidTr="0084281E">
        <w:trPr>
          <w:trHeight w:val="20"/>
        </w:trPr>
        <w:tc>
          <w:tcPr>
            <w:tcW w:w="235" w:type="pct"/>
            <w:vMerge w:val="restart"/>
            <w:shd w:val="clear" w:color="auto" w:fill="EEECE1" w:themeFill="background2"/>
            <w:vAlign w:val="center"/>
          </w:tcPr>
          <w:p w:rsidR="0084281E" w:rsidRPr="00D40021" w:rsidRDefault="0084281E" w:rsidP="002D6B80">
            <w:pPr>
              <w:pStyle w:val="121"/>
              <w:jc w:val="center"/>
              <w:rPr>
                <w:rFonts w:hAnsi="標楷體"/>
              </w:rPr>
            </w:pPr>
            <w:r w:rsidRPr="00D40021">
              <w:rPr>
                <w:rFonts w:hAnsi="標楷體" w:hint="eastAsia"/>
              </w:rPr>
              <w:t>少校</w:t>
            </w: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20</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40,615</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52,091</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51,350</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741</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1.42%</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44,677</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7,415</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14.23%</w:t>
            </w:r>
          </w:p>
        </w:tc>
      </w:tr>
      <w:tr w:rsidR="00D40021" w:rsidRPr="00D40021" w:rsidTr="0084281E">
        <w:trPr>
          <w:trHeight w:val="20"/>
        </w:trPr>
        <w:tc>
          <w:tcPr>
            <w:tcW w:w="235" w:type="pct"/>
            <w:vMerge/>
            <w:shd w:val="clear" w:color="auto" w:fill="EEECE1" w:themeFill="background2"/>
            <w:vAlign w:val="center"/>
          </w:tcPr>
          <w:p w:rsidR="0084281E" w:rsidRPr="00D40021" w:rsidRDefault="0084281E" w:rsidP="002D6B80">
            <w:pPr>
              <w:pStyle w:val="121"/>
              <w:jc w:val="center"/>
              <w:rPr>
                <w:rFonts w:hAnsi="標楷體"/>
              </w:rPr>
            </w:pPr>
          </w:p>
        </w:tc>
        <w:tc>
          <w:tcPr>
            <w:tcW w:w="214" w:type="pct"/>
            <w:shd w:val="clear" w:color="auto" w:fill="EEECE1" w:themeFill="background2"/>
            <w:vAlign w:val="center"/>
          </w:tcPr>
          <w:p w:rsidR="0084281E" w:rsidRPr="00D40021" w:rsidRDefault="0084281E" w:rsidP="002D6B80">
            <w:pPr>
              <w:pStyle w:val="121"/>
              <w:jc w:val="center"/>
              <w:rPr>
                <w:rFonts w:hAnsi="標楷體"/>
              </w:rPr>
            </w:pPr>
            <w:r w:rsidRPr="00D40021">
              <w:rPr>
                <w:rFonts w:hAnsi="標楷體" w:hint="eastAsia"/>
              </w:rPr>
              <w:t>24</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40,615</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64,125</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62,830</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1,295</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2.02%</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51,175</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12,950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20.20%</w:t>
            </w:r>
          </w:p>
        </w:tc>
      </w:tr>
      <w:tr w:rsidR="00D40021" w:rsidRPr="00D40021" w:rsidTr="0084281E">
        <w:trPr>
          <w:trHeight w:val="20"/>
        </w:trPr>
        <w:tc>
          <w:tcPr>
            <w:tcW w:w="235" w:type="pct"/>
            <w:vMerge w:val="restart"/>
            <w:shd w:val="clear" w:color="auto" w:fill="EEECE1" w:themeFill="background2"/>
            <w:vAlign w:val="center"/>
          </w:tcPr>
          <w:p w:rsidR="0084281E" w:rsidRPr="00D40021" w:rsidRDefault="0084281E" w:rsidP="002D6B80">
            <w:pPr>
              <w:pStyle w:val="121"/>
              <w:jc w:val="center"/>
              <w:rPr>
                <w:rFonts w:hAnsi="標楷體"/>
              </w:rPr>
            </w:pPr>
            <w:r w:rsidRPr="00D40021">
              <w:rPr>
                <w:rFonts w:hAnsi="標楷體" w:hint="eastAsia"/>
              </w:rPr>
              <w:t>中校</w:t>
            </w: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20</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44,730</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55,538</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54,678</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860</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1.55%</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46,943</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8,595</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15.48%</w:t>
            </w:r>
          </w:p>
        </w:tc>
      </w:tr>
      <w:tr w:rsidR="00D40021" w:rsidRPr="00D40021" w:rsidTr="0084281E">
        <w:trPr>
          <w:trHeight w:val="20"/>
        </w:trPr>
        <w:tc>
          <w:tcPr>
            <w:tcW w:w="235" w:type="pct"/>
            <w:vMerge/>
            <w:shd w:val="clear" w:color="auto" w:fill="EEECE1" w:themeFill="background2"/>
            <w:vAlign w:val="center"/>
          </w:tcPr>
          <w:p w:rsidR="0084281E" w:rsidRPr="00D40021" w:rsidRDefault="0084281E" w:rsidP="002D6B80">
            <w:pPr>
              <w:pStyle w:val="121"/>
              <w:jc w:val="center"/>
              <w:rPr>
                <w:rFonts w:hAnsi="標楷體"/>
              </w:rPr>
            </w:pPr>
          </w:p>
        </w:tc>
        <w:tc>
          <w:tcPr>
            <w:tcW w:w="214" w:type="pct"/>
            <w:shd w:val="clear" w:color="auto" w:fill="EEECE1" w:themeFill="background2"/>
            <w:vAlign w:val="center"/>
          </w:tcPr>
          <w:p w:rsidR="0084281E" w:rsidRPr="00D40021" w:rsidRDefault="0084281E" w:rsidP="002D6B80">
            <w:pPr>
              <w:pStyle w:val="121"/>
              <w:jc w:val="center"/>
              <w:rPr>
                <w:rFonts w:hAnsi="標楷體"/>
              </w:rPr>
            </w:pPr>
            <w:r w:rsidRPr="00D40021">
              <w:rPr>
                <w:rFonts w:hAnsi="標楷體" w:hint="eastAsia"/>
              </w:rPr>
              <w:t>24</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44,730</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69,106</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67,831</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1,275</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1.84%</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56,360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12,746</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18.44%</w:t>
            </w:r>
          </w:p>
        </w:tc>
      </w:tr>
      <w:tr w:rsidR="00D40021" w:rsidRPr="00D40021" w:rsidTr="0084281E">
        <w:trPr>
          <w:trHeight w:val="20"/>
        </w:trPr>
        <w:tc>
          <w:tcPr>
            <w:tcW w:w="235" w:type="pct"/>
            <w:vMerge/>
            <w:shd w:val="clear" w:color="auto" w:fill="EEECE1" w:themeFill="background2"/>
            <w:vAlign w:val="center"/>
          </w:tcPr>
          <w:p w:rsidR="0084281E" w:rsidRPr="00D40021" w:rsidRDefault="0084281E" w:rsidP="002D6B80">
            <w:pPr>
              <w:pStyle w:val="121"/>
              <w:jc w:val="center"/>
              <w:rPr>
                <w:rFonts w:hAnsi="標楷體"/>
              </w:rPr>
            </w:pP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28</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44,730</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71,846</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71,013</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833</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1.16%</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63,517</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8,329</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11.59%</w:t>
            </w:r>
          </w:p>
        </w:tc>
      </w:tr>
      <w:tr w:rsidR="00D40021" w:rsidRPr="00D40021" w:rsidTr="0084281E">
        <w:trPr>
          <w:trHeight w:val="20"/>
        </w:trPr>
        <w:tc>
          <w:tcPr>
            <w:tcW w:w="235" w:type="pct"/>
            <w:vMerge w:val="restart"/>
            <w:shd w:val="clear" w:color="auto" w:fill="EEECE1" w:themeFill="background2"/>
            <w:vAlign w:val="center"/>
          </w:tcPr>
          <w:p w:rsidR="0084281E" w:rsidRPr="00D40021" w:rsidRDefault="0084281E" w:rsidP="002D6B80">
            <w:pPr>
              <w:pStyle w:val="121"/>
              <w:jc w:val="center"/>
              <w:rPr>
                <w:rFonts w:hAnsi="標楷體"/>
              </w:rPr>
            </w:pPr>
            <w:r w:rsidRPr="00D40021">
              <w:rPr>
                <w:rFonts w:hAnsi="標楷體" w:hint="eastAsia"/>
              </w:rPr>
              <w:t>上校</w:t>
            </w: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20</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6</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44,390</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55,876</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55,171</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705</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1.26%</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48,829</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7,047</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12.61%</w:t>
            </w:r>
          </w:p>
        </w:tc>
      </w:tr>
      <w:tr w:rsidR="00D40021" w:rsidRPr="00D40021" w:rsidTr="00AD6576">
        <w:trPr>
          <w:trHeight w:val="20"/>
        </w:trPr>
        <w:tc>
          <w:tcPr>
            <w:tcW w:w="235" w:type="pct"/>
            <w:vMerge/>
            <w:shd w:val="clear" w:color="auto" w:fill="EEECE1" w:themeFill="background2"/>
            <w:vAlign w:val="center"/>
          </w:tcPr>
          <w:p w:rsidR="0084281E" w:rsidRPr="00D40021" w:rsidRDefault="0084281E" w:rsidP="002D6B80">
            <w:pPr>
              <w:pStyle w:val="121"/>
              <w:jc w:val="center"/>
              <w:rPr>
                <w:rFonts w:hAnsi="標楷體"/>
              </w:rPr>
            </w:pP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24</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10</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49,875</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81,257</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79,416</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1,841</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2.27%</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62,843</w:t>
            </w:r>
          </w:p>
        </w:tc>
        <w:tc>
          <w:tcPr>
            <w:tcW w:w="518"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18,415</w:t>
            </w:r>
          </w:p>
        </w:tc>
        <w:tc>
          <w:tcPr>
            <w:tcW w:w="518"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22.66%</w:t>
            </w:r>
          </w:p>
        </w:tc>
      </w:tr>
      <w:tr w:rsidR="00D40021" w:rsidRPr="00D40021" w:rsidTr="0084281E">
        <w:trPr>
          <w:trHeight w:val="20"/>
        </w:trPr>
        <w:tc>
          <w:tcPr>
            <w:tcW w:w="235" w:type="pct"/>
            <w:vMerge/>
            <w:shd w:val="clear" w:color="auto" w:fill="EEECE1" w:themeFill="background2"/>
            <w:vAlign w:val="center"/>
          </w:tcPr>
          <w:p w:rsidR="0084281E" w:rsidRPr="00D40021" w:rsidRDefault="0084281E" w:rsidP="002D6B80">
            <w:pPr>
              <w:pStyle w:val="121"/>
              <w:jc w:val="center"/>
              <w:rPr>
                <w:rFonts w:hAnsi="標楷體"/>
              </w:rPr>
            </w:pP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28</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12</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52,620</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95,760</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93,656</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2,104</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2.20%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74,720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21,040</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21.97%</w:t>
            </w:r>
          </w:p>
        </w:tc>
      </w:tr>
      <w:tr w:rsidR="00D40021" w:rsidRPr="00D40021" w:rsidTr="0084281E">
        <w:trPr>
          <w:trHeight w:val="20"/>
        </w:trPr>
        <w:tc>
          <w:tcPr>
            <w:tcW w:w="235" w:type="pct"/>
            <w:shd w:val="clear" w:color="auto" w:fill="EEECE1" w:themeFill="background2"/>
            <w:vAlign w:val="center"/>
          </w:tcPr>
          <w:p w:rsidR="0084281E" w:rsidRPr="00D40021" w:rsidRDefault="0084281E" w:rsidP="002D6B80">
            <w:pPr>
              <w:pStyle w:val="121"/>
              <w:jc w:val="center"/>
              <w:rPr>
                <w:rFonts w:hAnsi="標楷體"/>
              </w:rPr>
            </w:pPr>
            <w:r w:rsidRPr="00D40021">
              <w:rPr>
                <w:rFonts w:hAnsi="標楷體" w:hint="eastAsia"/>
              </w:rPr>
              <w:t>少將</w:t>
            </w: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35</w:t>
            </w:r>
          </w:p>
        </w:tc>
        <w:tc>
          <w:tcPr>
            <w:tcW w:w="201" w:type="pct"/>
            <w:shd w:val="clear" w:color="auto" w:fill="auto"/>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10</w:t>
            </w:r>
          </w:p>
        </w:tc>
        <w:tc>
          <w:tcPr>
            <w:tcW w:w="518"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53,990</w:t>
            </w:r>
          </w:p>
        </w:tc>
        <w:tc>
          <w:tcPr>
            <w:tcW w:w="802" w:type="pct"/>
            <w:shd w:val="clear" w:color="auto" w:fill="auto"/>
            <w:vAlign w:val="center"/>
          </w:tcPr>
          <w:p w:rsidR="0084281E" w:rsidRPr="00D40021" w:rsidRDefault="0084281E" w:rsidP="002D6B80">
            <w:pPr>
              <w:pStyle w:val="121"/>
              <w:jc w:val="right"/>
              <w:rPr>
                <w:rFonts w:hAnsi="標楷體" w:cs="新細明體"/>
              </w:rPr>
            </w:pPr>
            <w:r w:rsidRPr="00D40021">
              <w:rPr>
                <w:rFonts w:hAnsi="標楷體" w:cs="新細明體" w:hint="eastAsia"/>
              </w:rPr>
              <w:t>110,300</w:t>
            </w:r>
          </w:p>
        </w:tc>
        <w:tc>
          <w:tcPr>
            <w:tcW w:w="597"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108,448</w:t>
            </w:r>
          </w:p>
        </w:tc>
        <w:tc>
          <w:tcPr>
            <w:tcW w:w="439"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1,852</w:t>
            </w:r>
          </w:p>
        </w:tc>
        <w:tc>
          <w:tcPr>
            <w:tcW w:w="440"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1.68%</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91,783</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18,517</w:t>
            </w:r>
          </w:p>
        </w:tc>
        <w:tc>
          <w:tcPr>
            <w:tcW w:w="518" w:type="pct"/>
            <w:shd w:val="clear" w:color="auto" w:fill="auto"/>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16.79%</w:t>
            </w:r>
          </w:p>
        </w:tc>
      </w:tr>
      <w:tr w:rsidR="00D40021" w:rsidRPr="00D40021" w:rsidTr="00AD6576">
        <w:trPr>
          <w:trHeight w:val="20"/>
        </w:trPr>
        <w:tc>
          <w:tcPr>
            <w:tcW w:w="235" w:type="pct"/>
            <w:shd w:val="clear" w:color="auto" w:fill="EEECE1" w:themeFill="background2"/>
            <w:vAlign w:val="center"/>
          </w:tcPr>
          <w:p w:rsidR="0084281E" w:rsidRPr="00D40021" w:rsidRDefault="0084281E" w:rsidP="002D6B80">
            <w:pPr>
              <w:pStyle w:val="121"/>
              <w:jc w:val="center"/>
              <w:rPr>
                <w:rFonts w:hAnsi="標楷體"/>
              </w:rPr>
            </w:pPr>
            <w:r w:rsidRPr="00D40021">
              <w:rPr>
                <w:rFonts w:hAnsi="標楷體" w:hint="eastAsia"/>
              </w:rPr>
              <w:t>中將</w:t>
            </w:r>
          </w:p>
        </w:tc>
        <w:tc>
          <w:tcPr>
            <w:tcW w:w="214" w:type="pct"/>
            <w:shd w:val="clear" w:color="auto" w:fill="EEECE1" w:themeFill="background2"/>
            <w:vAlign w:val="center"/>
          </w:tcPr>
          <w:p w:rsidR="0084281E" w:rsidRPr="00D40021" w:rsidRDefault="0084281E" w:rsidP="002D6B80">
            <w:pPr>
              <w:pStyle w:val="121"/>
              <w:jc w:val="center"/>
              <w:rPr>
                <w:rFonts w:hAnsi="標楷體" w:cs="新細明體"/>
              </w:rPr>
            </w:pPr>
            <w:r w:rsidRPr="00D40021">
              <w:rPr>
                <w:rFonts w:hAnsi="標楷體" w:hint="eastAsia"/>
              </w:rPr>
              <w:t>35</w:t>
            </w:r>
          </w:p>
        </w:tc>
        <w:tc>
          <w:tcPr>
            <w:tcW w:w="201" w:type="pct"/>
            <w:shd w:val="clear" w:color="auto" w:fill="EAF1DD" w:themeFill="accent3" w:themeFillTint="33"/>
            <w:tcMar>
              <w:left w:w="0" w:type="dxa"/>
              <w:right w:w="0" w:type="dxa"/>
            </w:tcMar>
            <w:vAlign w:val="center"/>
          </w:tcPr>
          <w:p w:rsidR="0084281E" w:rsidRPr="00D40021" w:rsidRDefault="0084281E" w:rsidP="002D6B80">
            <w:pPr>
              <w:pStyle w:val="121"/>
              <w:jc w:val="center"/>
              <w:rPr>
                <w:rFonts w:hAnsi="標楷體" w:cs="新細明體"/>
              </w:rPr>
            </w:pPr>
            <w:r w:rsidRPr="00D40021">
              <w:rPr>
                <w:rFonts w:hAnsi="標楷體" w:cs="新細明體" w:hint="eastAsia"/>
              </w:rPr>
              <w:t>6</w:t>
            </w:r>
          </w:p>
        </w:tc>
        <w:tc>
          <w:tcPr>
            <w:tcW w:w="518" w:type="pct"/>
            <w:shd w:val="clear" w:color="auto" w:fill="EAF1DD" w:themeFill="accent3" w:themeFillTint="33"/>
            <w:vAlign w:val="center"/>
          </w:tcPr>
          <w:p w:rsidR="0084281E" w:rsidRPr="00D40021" w:rsidRDefault="0084281E" w:rsidP="002D6B80">
            <w:pPr>
              <w:pStyle w:val="121"/>
              <w:jc w:val="right"/>
              <w:rPr>
                <w:rFonts w:hAnsi="標楷體" w:cs="新細明體"/>
              </w:rPr>
            </w:pPr>
            <w:r w:rsidRPr="00D40021">
              <w:rPr>
                <w:rFonts w:hAnsi="標楷體" w:cs="新細明體" w:hint="eastAsia"/>
              </w:rPr>
              <w:t>56,930</w:t>
            </w:r>
          </w:p>
        </w:tc>
        <w:tc>
          <w:tcPr>
            <w:tcW w:w="802" w:type="pct"/>
            <w:shd w:val="clear" w:color="auto" w:fill="EAF1DD" w:themeFill="accent3" w:themeFillTint="33"/>
            <w:vAlign w:val="center"/>
          </w:tcPr>
          <w:p w:rsidR="0084281E" w:rsidRPr="00D40021" w:rsidRDefault="0084281E" w:rsidP="002D6B80">
            <w:pPr>
              <w:pStyle w:val="121"/>
              <w:jc w:val="right"/>
              <w:rPr>
                <w:rFonts w:hAnsi="標楷體" w:cs="新細明體"/>
              </w:rPr>
            </w:pPr>
            <w:r w:rsidRPr="00D40021">
              <w:rPr>
                <w:rFonts w:hAnsi="標楷體" w:cs="新細明體" w:hint="eastAsia"/>
              </w:rPr>
              <w:t>123,380</w:t>
            </w:r>
          </w:p>
        </w:tc>
        <w:tc>
          <w:tcPr>
            <w:tcW w:w="597"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120,720</w:t>
            </w:r>
          </w:p>
        </w:tc>
        <w:tc>
          <w:tcPr>
            <w:tcW w:w="439"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2,660</w:t>
            </w:r>
          </w:p>
        </w:tc>
        <w:tc>
          <w:tcPr>
            <w:tcW w:w="440"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2.16%</w:t>
            </w:r>
          </w:p>
        </w:tc>
        <w:tc>
          <w:tcPr>
            <w:tcW w:w="518"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96,781</w:t>
            </w:r>
          </w:p>
        </w:tc>
        <w:tc>
          <w:tcPr>
            <w:tcW w:w="518"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26,599</w:t>
            </w:r>
          </w:p>
        </w:tc>
        <w:tc>
          <w:tcPr>
            <w:tcW w:w="518" w:type="pct"/>
            <w:shd w:val="clear" w:color="auto" w:fill="EAF1DD" w:themeFill="accent3" w:themeFillTint="33"/>
            <w:tcMar>
              <w:left w:w="28" w:type="dxa"/>
              <w:right w:w="28" w:type="dxa"/>
            </w:tcMar>
            <w:vAlign w:val="center"/>
          </w:tcPr>
          <w:p w:rsidR="0084281E" w:rsidRPr="00D40021" w:rsidRDefault="0084281E" w:rsidP="002D6B80">
            <w:pPr>
              <w:pStyle w:val="121"/>
              <w:jc w:val="right"/>
              <w:rPr>
                <w:rFonts w:hAnsi="標楷體" w:cs="新細明體"/>
              </w:rPr>
            </w:pPr>
            <w:r w:rsidRPr="00D40021">
              <w:rPr>
                <w:rFonts w:hAnsi="標楷體" w:cs="新細明體" w:hint="eastAsia"/>
              </w:rPr>
              <w:t>21.56%</w:t>
            </w:r>
          </w:p>
        </w:tc>
      </w:tr>
    </w:tbl>
    <w:p w:rsidR="00A2451B" w:rsidRPr="00D40021" w:rsidRDefault="00A2451B" w:rsidP="00A2451B">
      <w:pPr>
        <w:pStyle w:val="42"/>
        <w:ind w:leftChars="0" w:left="3158" w:hangingChars="1214" w:hanging="3158"/>
        <w:rPr>
          <w:rFonts w:hAnsi="標楷體"/>
          <w:sz w:val="24"/>
          <w:szCs w:val="24"/>
        </w:rPr>
      </w:pPr>
      <w:r w:rsidRPr="00D40021">
        <w:rPr>
          <w:rFonts w:hAnsi="標楷體" w:hint="eastAsia"/>
          <w:sz w:val="24"/>
          <w:szCs w:val="24"/>
        </w:rPr>
        <w:t xml:space="preserve">資料來源：輔導會。 </w:t>
      </w:r>
    </w:p>
    <w:p w:rsidR="006F6190" w:rsidRPr="00D40021" w:rsidRDefault="006F6190" w:rsidP="008B160E">
      <w:pPr>
        <w:pStyle w:val="4"/>
        <w:numPr>
          <w:ilvl w:val="0"/>
          <w:numId w:val="0"/>
        </w:numPr>
        <w:ind w:left="1701"/>
        <w:rPr>
          <w:rFonts w:hAnsi="標楷體"/>
        </w:rPr>
      </w:pPr>
    </w:p>
    <w:p w:rsidR="00D330AB" w:rsidRPr="00D40021" w:rsidRDefault="00AD6576" w:rsidP="00AD6576">
      <w:pPr>
        <w:pStyle w:val="4"/>
        <w:rPr>
          <w:rFonts w:hAnsi="標楷體"/>
        </w:rPr>
      </w:pPr>
      <w:r w:rsidRPr="00D40021">
        <w:rPr>
          <w:rFonts w:hAnsi="標楷體" w:hint="eastAsia"/>
        </w:rPr>
        <w:t>其中，</w:t>
      </w:r>
      <w:r w:rsidR="001A042D" w:rsidRPr="00D40021">
        <w:rPr>
          <w:rFonts w:hAnsi="標楷體" w:hint="eastAsia"/>
        </w:rPr>
        <w:t>兼具</w:t>
      </w:r>
      <w:r w:rsidR="00106B47" w:rsidRPr="00D40021">
        <w:rPr>
          <w:rFonts w:hAnsi="標楷體" w:hint="eastAsia"/>
        </w:rPr>
        <w:t>新</w:t>
      </w:r>
      <w:r w:rsidR="00017FF0" w:rsidRPr="00D40021">
        <w:rPr>
          <w:rFonts w:hAnsi="標楷體" w:hint="eastAsia"/>
        </w:rPr>
        <w:t>舊制年資2</w:t>
      </w:r>
      <w:r w:rsidR="00106B47" w:rsidRPr="00D40021">
        <w:rPr>
          <w:rFonts w:hAnsi="標楷體" w:hint="eastAsia"/>
        </w:rPr>
        <w:t>8</w:t>
      </w:r>
      <w:r w:rsidR="00017FF0" w:rsidRPr="00D40021">
        <w:rPr>
          <w:rFonts w:hAnsi="標楷體" w:hint="eastAsia"/>
        </w:rPr>
        <w:t>年</w:t>
      </w:r>
      <w:r w:rsidR="00106B47" w:rsidRPr="00D40021">
        <w:rPr>
          <w:rFonts w:hAnsi="標楷體" w:hint="eastAsia"/>
        </w:rPr>
        <w:t>（舊制13年+新制15年）之已退</w:t>
      </w:r>
      <w:proofErr w:type="gramStart"/>
      <w:r w:rsidR="00106B47" w:rsidRPr="00D40021">
        <w:rPr>
          <w:rFonts w:hAnsi="標楷體" w:hint="eastAsia"/>
        </w:rPr>
        <w:t>一</w:t>
      </w:r>
      <w:proofErr w:type="gramEnd"/>
      <w:r w:rsidR="00106B47" w:rsidRPr="00D40021">
        <w:rPr>
          <w:rFonts w:hAnsi="標楷體" w:hint="eastAsia"/>
        </w:rPr>
        <w:t>等長16</w:t>
      </w:r>
      <w:r w:rsidR="00017FF0" w:rsidRPr="00D40021">
        <w:rPr>
          <w:rFonts w:hAnsi="標楷體" w:hint="eastAsia"/>
        </w:rPr>
        <w:t>級本</w:t>
      </w:r>
      <w:proofErr w:type="gramStart"/>
      <w:r w:rsidR="00017FF0" w:rsidRPr="00D40021">
        <w:rPr>
          <w:rFonts w:hAnsi="標楷體" w:hint="eastAsia"/>
        </w:rPr>
        <w:t>俸</w:t>
      </w:r>
      <w:proofErr w:type="gramEnd"/>
      <w:r w:rsidR="00106B47" w:rsidRPr="00D40021">
        <w:rPr>
          <w:rFonts w:hAnsi="標楷體" w:hint="eastAsia"/>
        </w:rPr>
        <w:t>36,155</w:t>
      </w:r>
      <w:r w:rsidR="00017FF0" w:rsidRPr="00D40021">
        <w:rPr>
          <w:rFonts w:hAnsi="標楷體" w:hint="eastAsia"/>
        </w:rPr>
        <w:t>元，本次年</w:t>
      </w:r>
      <w:r w:rsidR="001A042D" w:rsidRPr="00D40021">
        <w:rPr>
          <w:rFonts w:hAnsi="標楷體" w:hint="eastAsia"/>
        </w:rPr>
        <w:t>金</w:t>
      </w:r>
      <w:r w:rsidR="00017FF0" w:rsidRPr="00D40021">
        <w:rPr>
          <w:rFonts w:hAnsi="標楷體" w:hint="eastAsia"/>
        </w:rPr>
        <w:t>改</w:t>
      </w:r>
      <w:r w:rsidR="001A042D" w:rsidRPr="00D40021">
        <w:rPr>
          <w:rFonts w:hAnsi="標楷體" w:hint="eastAsia"/>
        </w:rPr>
        <w:t>革</w:t>
      </w:r>
      <w:r w:rsidR="00017FF0" w:rsidRPr="00D40021">
        <w:rPr>
          <w:rFonts w:hAnsi="標楷體" w:hint="eastAsia"/>
        </w:rPr>
        <w:t>前，原領月退休所得包括</w:t>
      </w:r>
      <w:proofErr w:type="gramStart"/>
      <w:r w:rsidR="00017FF0" w:rsidRPr="00D40021">
        <w:rPr>
          <w:rFonts w:hAnsi="標楷體" w:hint="eastAsia"/>
        </w:rPr>
        <w:t>俸</w:t>
      </w:r>
      <w:proofErr w:type="gramEnd"/>
      <w:r w:rsidR="00017FF0" w:rsidRPr="00D40021">
        <w:rPr>
          <w:rFonts w:hAnsi="標楷體" w:hint="eastAsia"/>
        </w:rPr>
        <w:t>率</w:t>
      </w:r>
      <w:r w:rsidR="00106B47" w:rsidRPr="00D40021">
        <w:rPr>
          <w:rFonts w:hAnsi="標楷體" w:hint="eastAsia"/>
        </w:rPr>
        <w:t>65</w:t>
      </w:r>
      <w:r w:rsidR="00017FF0" w:rsidRPr="00D40021">
        <w:rPr>
          <w:rFonts w:hAnsi="標楷體" w:hint="eastAsia"/>
        </w:rPr>
        <w:t>%之舊制退休</w:t>
      </w:r>
      <w:proofErr w:type="gramStart"/>
      <w:r w:rsidR="00017FF0" w:rsidRPr="00D40021">
        <w:rPr>
          <w:rFonts w:hAnsi="標楷體" w:hint="eastAsia"/>
        </w:rPr>
        <w:t>俸</w:t>
      </w:r>
      <w:proofErr w:type="gramEnd"/>
      <w:r w:rsidR="00106B47" w:rsidRPr="00D40021">
        <w:rPr>
          <w:rFonts w:hAnsi="標楷體" w:hint="eastAsia"/>
        </w:rPr>
        <w:t>24</w:t>
      </w:r>
      <w:r w:rsidR="00EC2005" w:rsidRPr="00D40021">
        <w:rPr>
          <w:rFonts w:hAnsi="標楷體" w:hint="eastAsia"/>
        </w:rPr>
        <w:t>,</w:t>
      </w:r>
      <w:r w:rsidR="00106B47" w:rsidRPr="00D40021">
        <w:rPr>
          <w:rFonts w:hAnsi="標楷體" w:hint="eastAsia"/>
        </w:rPr>
        <w:t>431</w:t>
      </w:r>
      <w:r w:rsidR="00017FF0" w:rsidRPr="00D40021">
        <w:rPr>
          <w:rFonts w:hAnsi="標楷體" w:hint="eastAsia"/>
        </w:rPr>
        <w:t>元</w:t>
      </w:r>
      <w:r w:rsidR="00106B47" w:rsidRPr="00D40021">
        <w:rPr>
          <w:rFonts w:hAnsi="標楷體" w:hint="eastAsia"/>
        </w:rPr>
        <w:t>、</w:t>
      </w:r>
      <w:proofErr w:type="gramStart"/>
      <w:r w:rsidR="00106B47" w:rsidRPr="00D40021">
        <w:rPr>
          <w:rFonts w:hAnsi="標楷體" w:hint="eastAsia"/>
        </w:rPr>
        <w:t>俸</w:t>
      </w:r>
      <w:proofErr w:type="gramEnd"/>
      <w:r w:rsidR="00106B47" w:rsidRPr="00D40021">
        <w:rPr>
          <w:rFonts w:hAnsi="標楷體" w:hint="eastAsia"/>
        </w:rPr>
        <w:t>率30%之新制退休</w:t>
      </w:r>
      <w:proofErr w:type="gramStart"/>
      <w:r w:rsidR="00106B47" w:rsidRPr="00D40021">
        <w:rPr>
          <w:rFonts w:hAnsi="標楷體" w:hint="eastAsia"/>
        </w:rPr>
        <w:t>俸</w:t>
      </w:r>
      <w:proofErr w:type="gramEnd"/>
      <w:r w:rsidR="00F440A2" w:rsidRPr="00D40021">
        <w:rPr>
          <w:rFonts w:hAnsi="標楷體" w:hint="eastAsia"/>
        </w:rPr>
        <w:t>21,693</w:t>
      </w:r>
      <w:r w:rsidR="00106B47" w:rsidRPr="00D40021">
        <w:rPr>
          <w:rFonts w:hAnsi="標楷體" w:hint="eastAsia"/>
        </w:rPr>
        <w:t>元</w:t>
      </w:r>
      <w:r w:rsidR="00017FF0" w:rsidRPr="00D40021">
        <w:rPr>
          <w:rFonts w:hAnsi="標楷體" w:hint="eastAsia"/>
        </w:rPr>
        <w:t>，再加上18%優存月息</w:t>
      </w:r>
      <w:r w:rsidR="00EC2005" w:rsidRPr="00D40021">
        <w:rPr>
          <w:rFonts w:hAnsi="標楷體" w:hint="eastAsia"/>
        </w:rPr>
        <w:t>19,194</w:t>
      </w:r>
      <w:r w:rsidR="00017FF0" w:rsidRPr="00D40021">
        <w:rPr>
          <w:rFonts w:hAnsi="標楷體" w:hint="eastAsia"/>
        </w:rPr>
        <w:t>元，合計6</w:t>
      </w:r>
      <w:r w:rsidR="00EC2005" w:rsidRPr="00D40021">
        <w:rPr>
          <w:rFonts w:hAnsi="標楷體" w:hint="eastAsia"/>
        </w:rPr>
        <w:t>6,041</w:t>
      </w:r>
      <w:r w:rsidR="00017FF0" w:rsidRPr="00D40021">
        <w:rPr>
          <w:rFonts w:hAnsi="標楷體" w:hint="eastAsia"/>
        </w:rPr>
        <w:t>元，</w:t>
      </w:r>
      <w:proofErr w:type="gramStart"/>
      <w:r w:rsidR="00017FF0" w:rsidRPr="00D40021">
        <w:rPr>
          <w:rFonts w:hAnsi="標楷體" w:hint="eastAsia"/>
        </w:rPr>
        <w:t>詳表</w:t>
      </w:r>
      <w:proofErr w:type="gramEnd"/>
      <w:r w:rsidR="00EC2005" w:rsidRPr="00D40021">
        <w:rPr>
          <w:rFonts w:hAnsi="標楷體" w:hint="eastAsia"/>
        </w:rPr>
        <w:t>4</w:t>
      </w:r>
      <w:r w:rsidR="00017FF0" w:rsidRPr="00D40021">
        <w:rPr>
          <w:rFonts w:hAnsi="標楷體" w:hint="eastAsia"/>
        </w:rPr>
        <w:t>；本次年</w:t>
      </w:r>
      <w:r w:rsidR="00F97313" w:rsidRPr="00D40021">
        <w:rPr>
          <w:rFonts w:hAnsi="標楷體" w:hint="eastAsia"/>
        </w:rPr>
        <w:t>金</w:t>
      </w:r>
      <w:r w:rsidR="00017FF0" w:rsidRPr="00D40021">
        <w:rPr>
          <w:rFonts w:hAnsi="標楷體" w:hint="eastAsia"/>
        </w:rPr>
        <w:t>改</w:t>
      </w:r>
      <w:r w:rsidR="00F97313" w:rsidRPr="00D40021">
        <w:rPr>
          <w:rFonts w:hAnsi="標楷體" w:hint="eastAsia"/>
        </w:rPr>
        <w:t>革</w:t>
      </w:r>
      <w:r w:rsidR="00017FF0" w:rsidRPr="00D40021">
        <w:rPr>
          <w:rFonts w:hAnsi="標楷體" w:hint="eastAsia"/>
        </w:rPr>
        <w:t>後，月退休</w:t>
      </w:r>
      <w:proofErr w:type="gramStart"/>
      <w:r w:rsidR="00017FF0" w:rsidRPr="00D40021">
        <w:rPr>
          <w:rFonts w:hAnsi="標楷體" w:hint="eastAsia"/>
        </w:rPr>
        <w:t>俸</w:t>
      </w:r>
      <w:proofErr w:type="gramEnd"/>
      <w:r w:rsidR="00017FF0" w:rsidRPr="00D40021">
        <w:rPr>
          <w:rFonts w:hAnsi="標楷體" w:hint="eastAsia"/>
        </w:rPr>
        <w:t>計算公式一律</w:t>
      </w:r>
      <w:proofErr w:type="gramStart"/>
      <w:r w:rsidR="00017FF0" w:rsidRPr="00D40021">
        <w:rPr>
          <w:rFonts w:hAnsi="標楷體" w:hint="eastAsia"/>
        </w:rPr>
        <w:t>採</w:t>
      </w:r>
      <w:proofErr w:type="gramEnd"/>
      <w:r w:rsidR="00017FF0" w:rsidRPr="00D40021">
        <w:rPr>
          <w:rFonts w:hAnsi="標楷體" w:hint="eastAsia"/>
        </w:rPr>
        <w:t>行</w:t>
      </w:r>
      <w:r w:rsidR="00017FF0" w:rsidRPr="00D40021">
        <w:rPr>
          <w:rFonts w:hAnsi="標楷體"/>
        </w:rPr>
        <w:t>服役滿20年</w:t>
      </w:r>
      <w:r w:rsidR="00017FF0" w:rsidRPr="00D40021">
        <w:rPr>
          <w:rFonts w:hAnsi="標楷體" w:hint="eastAsia"/>
        </w:rPr>
        <w:t>之</w:t>
      </w:r>
      <w:r w:rsidR="00017FF0" w:rsidRPr="00D40021">
        <w:rPr>
          <w:rFonts w:hAnsi="標楷體"/>
        </w:rPr>
        <w:t>起支</w:t>
      </w:r>
      <w:proofErr w:type="gramStart"/>
      <w:r w:rsidR="00017FF0" w:rsidRPr="00D40021">
        <w:rPr>
          <w:rFonts w:hAnsi="標楷體"/>
        </w:rPr>
        <w:t>俸</w:t>
      </w:r>
      <w:proofErr w:type="gramEnd"/>
      <w:r w:rsidR="00017FF0" w:rsidRPr="00D40021">
        <w:rPr>
          <w:rFonts w:hAnsi="標楷體"/>
        </w:rPr>
        <w:t>率為55</w:t>
      </w:r>
      <w:r w:rsidR="00017FF0" w:rsidRPr="00D40021">
        <w:rPr>
          <w:rFonts w:hAnsi="標楷體" w:hint="eastAsia"/>
        </w:rPr>
        <w:t>%</w:t>
      </w:r>
      <w:r w:rsidR="00017FF0" w:rsidRPr="00D40021">
        <w:rPr>
          <w:rFonts w:hAnsi="標楷體"/>
        </w:rPr>
        <w:t>，每增加服役1年，增加2%（55+2制度）</w:t>
      </w:r>
      <w:r w:rsidR="00017FF0" w:rsidRPr="00D40021">
        <w:rPr>
          <w:rFonts w:hAnsi="標楷體" w:hint="eastAsia"/>
        </w:rPr>
        <w:t>，則</w:t>
      </w:r>
      <w:r w:rsidR="001A042D" w:rsidRPr="00D40021">
        <w:rPr>
          <w:rFonts w:hAnsi="標楷體" w:hint="eastAsia"/>
        </w:rPr>
        <w:t>兼具</w:t>
      </w:r>
      <w:r w:rsidR="00EC2005" w:rsidRPr="00D40021">
        <w:rPr>
          <w:rFonts w:hAnsi="標楷體" w:hint="eastAsia"/>
        </w:rPr>
        <w:t>新舊制年資28年（舊制13年+新制15年）之已退</w:t>
      </w:r>
      <w:proofErr w:type="gramStart"/>
      <w:r w:rsidR="00EC2005" w:rsidRPr="00D40021">
        <w:rPr>
          <w:rFonts w:hAnsi="標楷體" w:hint="eastAsia"/>
        </w:rPr>
        <w:t>一</w:t>
      </w:r>
      <w:proofErr w:type="gramEnd"/>
      <w:r w:rsidR="00EC2005" w:rsidRPr="00D40021">
        <w:rPr>
          <w:rFonts w:hAnsi="標楷體" w:hint="eastAsia"/>
        </w:rPr>
        <w:t>等長</w:t>
      </w:r>
      <w:r w:rsidR="001A042D" w:rsidRPr="00D40021">
        <w:rPr>
          <w:rFonts w:hAnsi="標楷體" w:hint="eastAsia"/>
        </w:rPr>
        <w:t>16級</w:t>
      </w:r>
      <w:r w:rsidR="00017FF0" w:rsidRPr="00D40021">
        <w:rPr>
          <w:rFonts w:hAnsi="標楷體" w:hint="eastAsia"/>
        </w:rPr>
        <w:t>，於117年7月1日以後之</w:t>
      </w:r>
      <w:proofErr w:type="gramStart"/>
      <w:r w:rsidR="0036758B" w:rsidRPr="00D40021">
        <w:rPr>
          <w:rFonts w:hAnsi="標楷體" w:hint="eastAsia"/>
        </w:rPr>
        <w:t>俸</w:t>
      </w:r>
      <w:proofErr w:type="gramEnd"/>
      <w:r w:rsidR="0036758B" w:rsidRPr="00D40021">
        <w:rPr>
          <w:rFonts w:hAnsi="標楷體" w:hint="eastAsia"/>
        </w:rPr>
        <w:t>率為71%【=</w:t>
      </w:r>
      <w:r w:rsidR="0036758B" w:rsidRPr="00D40021">
        <w:rPr>
          <w:rFonts w:hint="eastAsia"/>
        </w:rPr>
        <w:t>55%＋2%</w:t>
      </w:r>
      <w:r w:rsidR="0036758B" w:rsidRPr="00D40021">
        <w:t>×</w:t>
      </w:r>
      <w:r w:rsidR="0036758B" w:rsidRPr="00D40021">
        <w:rPr>
          <w:rFonts w:hint="eastAsia"/>
        </w:rPr>
        <w:t>（28-20）】</w:t>
      </w:r>
      <w:r w:rsidR="0036758B" w:rsidRPr="00D40021">
        <w:rPr>
          <w:rFonts w:hAnsi="標楷體" w:hint="eastAsia"/>
        </w:rPr>
        <w:t>，</w:t>
      </w:r>
      <w:r w:rsidR="00017FF0" w:rsidRPr="00D40021">
        <w:rPr>
          <w:rFonts w:hAnsi="標楷體" w:hint="eastAsia"/>
        </w:rPr>
        <w:t>月退休</w:t>
      </w:r>
      <w:proofErr w:type="gramStart"/>
      <w:r w:rsidR="00017FF0" w:rsidRPr="00D40021">
        <w:rPr>
          <w:rFonts w:hAnsi="標楷體" w:hint="eastAsia"/>
        </w:rPr>
        <w:t>俸</w:t>
      </w:r>
      <w:proofErr w:type="gramEnd"/>
      <w:r w:rsidR="00017FF0" w:rsidRPr="00D40021">
        <w:rPr>
          <w:rFonts w:hAnsi="標楷體" w:hint="eastAsia"/>
        </w:rPr>
        <w:t>降低為5</w:t>
      </w:r>
      <w:r w:rsidR="00EC2005" w:rsidRPr="00D40021">
        <w:rPr>
          <w:rFonts w:hAnsi="標楷體" w:hint="eastAsia"/>
        </w:rPr>
        <w:t>1,340</w:t>
      </w:r>
      <w:r w:rsidR="00017FF0" w:rsidRPr="00D40021">
        <w:rPr>
          <w:rFonts w:hAnsi="標楷體" w:hint="eastAsia"/>
        </w:rPr>
        <w:t>元【=</w:t>
      </w:r>
      <w:r w:rsidR="00017FF0" w:rsidRPr="00D40021">
        <w:rPr>
          <w:rFonts w:hint="eastAsia"/>
        </w:rPr>
        <w:t>本俸</w:t>
      </w:r>
      <w:r w:rsidR="00EC2005" w:rsidRPr="00D40021">
        <w:rPr>
          <w:rFonts w:hAnsi="標楷體" w:hint="eastAsia"/>
        </w:rPr>
        <w:t>36,155</w:t>
      </w:r>
      <w:r w:rsidR="00017FF0" w:rsidRPr="00D40021">
        <w:rPr>
          <w:rFonts w:hAnsi="標楷體" w:hint="eastAsia"/>
        </w:rPr>
        <w:t>元</w:t>
      </w:r>
      <w:r w:rsidR="00017FF0" w:rsidRPr="00D40021">
        <w:t>×</w:t>
      </w:r>
      <w:r w:rsidR="00017FF0" w:rsidRPr="00D40021">
        <w:rPr>
          <w:rFonts w:hint="eastAsia"/>
        </w:rPr>
        <w:t>2倍</w:t>
      </w:r>
      <w:r w:rsidR="00017FF0" w:rsidRPr="00D40021">
        <w:t>×</w:t>
      </w:r>
      <w:r w:rsidR="0036758B" w:rsidRPr="00D40021">
        <w:rPr>
          <w:rFonts w:hint="eastAsia"/>
        </w:rPr>
        <w:t>俸率71%</w:t>
      </w:r>
      <w:r w:rsidR="00017FF0" w:rsidRPr="00D40021">
        <w:rPr>
          <w:rFonts w:hint="eastAsia"/>
        </w:rPr>
        <w:t>﹞】</w:t>
      </w:r>
      <w:r w:rsidR="00017FF0" w:rsidRPr="00D40021">
        <w:rPr>
          <w:rFonts w:hAnsi="標楷體" w:hint="eastAsia"/>
        </w:rPr>
        <w:t>，扣減金額及比率為1</w:t>
      </w:r>
      <w:r w:rsidR="00EC2005" w:rsidRPr="00D40021">
        <w:rPr>
          <w:rFonts w:hAnsi="標楷體" w:hint="eastAsia"/>
        </w:rPr>
        <w:t>4,701</w:t>
      </w:r>
      <w:r w:rsidR="00017FF0" w:rsidRPr="00D40021">
        <w:rPr>
          <w:rFonts w:hAnsi="標楷體" w:hint="eastAsia"/>
        </w:rPr>
        <w:t>元</w:t>
      </w:r>
      <w:r w:rsidR="00017FF0" w:rsidRPr="00D40021">
        <w:rPr>
          <w:rFonts w:hAnsi="標楷體" w:hint="eastAsia"/>
        </w:rPr>
        <w:lastRenderedPageBreak/>
        <w:t>及</w:t>
      </w:r>
      <w:r w:rsidR="00EC2005" w:rsidRPr="00D40021">
        <w:rPr>
          <w:rFonts w:hAnsi="標楷體" w:hint="eastAsia"/>
        </w:rPr>
        <w:t>22.26</w:t>
      </w:r>
      <w:r w:rsidR="00017FF0" w:rsidRPr="00D40021">
        <w:rPr>
          <w:rFonts w:hAnsi="標楷體" w:hint="eastAsia"/>
        </w:rPr>
        <w:t>%。</w:t>
      </w:r>
    </w:p>
    <w:p w:rsidR="00017FF0" w:rsidRPr="00D40021" w:rsidRDefault="00017FF0" w:rsidP="0055173E">
      <w:pPr>
        <w:pStyle w:val="a3"/>
        <w:numPr>
          <w:ilvl w:val="0"/>
          <w:numId w:val="4"/>
        </w:numPr>
        <w:ind w:left="709" w:hanging="709"/>
        <w:rPr>
          <w:rFonts w:hAnsi="標楷體"/>
        </w:rPr>
      </w:pPr>
      <w:r w:rsidRPr="00D40021">
        <w:rPr>
          <w:rFonts w:hAnsi="標楷體" w:hint="eastAsia"/>
        </w:rPr>
        <w:t>新舊年資28年（舊制13年+新制15年）已退</w:t>
      </w:r>
      <w:proofErr w:type="gramStart"/>
      <w:r w:rsidRPr="00D40021">
        <w:rPr>
          <w:rFonts w:hAnsi="標楷體" w:hint="eastAsia"/>
        </w:rPr>
        <w:t>一</w:t>
      </w:r>
      <w:proofErr w:type="gramEnd"/>
      <w:r w:rsidRPr="00D40021">
        <w:rPr>
          <w:rFonts w:hAnsi="標楷體" w:hint="eastAsia"/>
        </w:rPr>
        <w:t>等長16級於117年7月1日以後，月退休所得減少案例解析</w:t>
      </w:r>
    </w:p>
    <w:p w:rsidR="00017FF0" w:rsidRPr="00D40021" w:rsidRDefault="00017FF0" w:rsidP="00017FF0">
      <w:pPr>
        <w:pStyle w:val="afa"/>
        <w:spacing w:after="40"/>
        <w:ind w:leftChars="100" w:left="340"/>
        <w:jc w:val="right"/>
        <w:rPr>
          <w:rFonts w:hAnsi="標楷體"/>
          <w:sz w:val="24"/>
          <w:szCs w:val="24"/>
        </w:rPr>
      </w:pPr>
      <w:r w:rsidRPr="00D40021">
        <w:rPr>
          <w:rFonts w:hAnsi="標楷體" w:hint="eastAsia"/>
          <w:sz w:val="24"/>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0"/>
        <w:gridCol w:w="660"/>
        <w:gridCol w:w="413"/>
        <w:gridCol w:w="456"/>
        <w:gridCol w:w="656"/>
        <w:gridCol w:w="456"/>
        <w:gridCol w:w="656"/>
        <w:gridCol w:w="456"/>
        <w:gridCol w:w="456"/>
        <w:gridCol w:w="656"/>
        <w:gridCol w:w="856"/>
        <w:gridCol w:w="466"/>
        <w:gridCol w:w="675"/>
        <w:gridCol w:w="656"/>
        <w:gridCol w:w="656"/>
      </w:tblGrid>
      <w:tr w:rsidR="00D40021" w:rsidRPr="00D40021" w:rsidTr="0092189B">
        <w:tc>
          <w:tcPr>
            <w:tcW w:w="391" w:type="pct"/>
            <w:vMerge w:val="restart"/>
            <w:shd w:val="clear" w:color="auto" w:fill="EEECE1" w:themeFill="background2"/>
            <w:vAlign w:val="center"/>
          </w:tcPr>
          <w:p w:rsidR="0092189B" w:rsidRPr="00D40021" w:rsidRDefault="0092189B" w:rsidP="007063EE">
            <w:pPr>
              <w:pStyle w:val="121"/>
              <w:jc w:val="center"/>
              <w:rPr>
                <w:spacing w:val="-20"/>
              </w:rPr>
            </w:pPr>
            <w:r w:rsidRPr="00D40021">
              <w:rPr>
                <w:rFonts w:hint="eastAsia"/>
                <w:spacing w:val="-20"/>
              </w:rPr>
              <w:t>階級</w:t>
            </w:r>
          </w:p>
        </w:tc>
        <w:tc>
          <w:tcPr>
            <w:tcW w:w="391" w:type="pct"/>
            <w:vMerge w:val="restart"/>
            <w:shd w:val="clear" w:color="auto" w:fill="EEECE1" w:themeFill="background2"/>
            <w:vAlign w:val="center"/>
          </w:tcPr>
          <w:p w:rsidR="0092189B" w:rsidRPr="00D40021" w:rsidRDefault="0092189B" w:rsidP="007063EE">
            <w:pPr>
              <w:pStyle w:val="121"/>
              <w:jc w:val="center"/>
              <w:rPr>
                <w:spacing w:val="-20"/>
              </w:rPr>
            </w:pPr>
            <w:r w:rsidRPr="00D40021">
              <w:rPr>
                <w:rFonts w:hint="eastAsia"/>
                <w:spacing w:val="-20"/>
              </w:rPr>
              <w:t>本</w:t>
            </w:r>
            <w:proofErr w:type="gramStart"/>
            <w:r w:rsidRPr="00D40021">
              <w:rPr>
                <w:rFonts w:hint="eastAsia"/>
                <w:spacing w:val="-20"/>
              </w:rPr>
              <w:t>俸</w:t>
            </w:r>
            <w:proofErr w:type="gramEnd"/>
          </w:p>
        </w:tc>
        <w:tc>
          <w:tcPr>
            <w:tcW w:w="251" w:type="pct"/>
            <w:vMerge w:val="restart"/>
            <w:shd w:val="clear" w:color="auto" w:fill="EEECE1" w:themeFill="background2"/>
            <w:vAlign w:val="center"/>
          </w:tcPr>
          <w:p w:rsidR="0092189B" w:rsidRPr="00D40021" w:rsidRDefault="0092189B" w:rsidP="007063EE">
            <w:pPr>
              <w:pStyle w:val="121"/>
              <w:jc w:val="center"/>
              <w:rPr>
                <w:spacing w:val="-20"/>
              </w:rPr>
            </w:pPr>
            <w:r w:rsidRPr="00D40021">
              <w:rPr>
                <w:rFonts w:hint="eastAsia"/>
                <w:spacing w:val="-20"/>
              </w:rPr>
              <w:t>退伍</w:t>
            </w:r>
          </w:p>
          <w:p w:rsidR="0092189B" w:rsidRPr="00D40021" w:rsidRDefault="0092189B" w:rsidP="007063EE">
            <w:pPr>
              <w:pStyle w:val="121"/>
              <w:jc w:val="center"/>
              <w:rPr>
                <w:spacing w:val="-20"/>
              </w:rPr>
            </w:pPr>
            <w:r w:rsidRPr="00D40021">
              <w:rPr>
                <w:rFonts w:hint="eastAsia"/>
                <w:spacing w:val="-20"/>
              </w:rPr>
              <w:t>年資</w:t>
            </w:r>
          </w:p>
        </w:tc>
        <w:tc>
          <w:tcPr>
            <w:tcW w:w="2563" w:type="pct"/>
            <w:gridSpan w:val="8"/>
            <w:shd w:val="clear" w:color="auto" w:fill="EEECE1" w:themeFill="background2"/>
            <w:noWrap/>
            <w:vAlign w:val="center"/>
          </w:tcPr>
          <w:p w:rsidR="0092189B" w:rsidRPr="00D40021" w:rsidRDefault="0092189B" w:rsidP="007063EE">
            <w:pPr>
              <w:pStyle w:val="121"/>
              <w:jc w:val="center"/>
              <w:rPr>
                <w:spacing w:val="-20"/>
              </w:rPr>
            </w:pPr>
            <w:r w:rsidRPr="00D40021">
              <w:rPr>
                <w:rFonts w:hint="eastAsia"/>
                <w:spacing w:val="-20"/>
              </w:rPr>
              <w:t>改革前月退休所得</w:t>
            </w:r>
          </w:p>
          <w:p w:rsidR="0092189B" w:rsidRPr="00D40021" w:rsidRDefault="0092189B" w:rsidP="007063EE">
            <w:pPr>
              <w:pStyle w:val="121"/>
              <w:jc w:val="center"/>
              <w:rPr>
                <w:spacing w:val="-20"/>
              </w:rPr>
            </w:pPr>
            <w:r w:rsidRPr="00D40021">
              <w:rPr>
                <w:rFonts w:hint="eastAsia"/>
                <w:spacing w:val="-20"/>
              </w:rPr>
              <w:t>(月退</w:t>
            </w:r>
            <w:proofErr w:type="gramStart"/>
            <w:r w:rsidRPr="00D40021">
              <w:rPr>
                <w:rFonts w:hint="eastAsia"/>
                <w:spacing w:val="-20"/>
              </w:rPr>
              <w:t>俸</w:t>
            </w:r>
            <w:proofErr w:type="gramEnd"/>
            <w:r w:rsidRPr="00D40021">
              <w:rPr>
                <w:rFonts w:hint="eastAsia"/>
                <w:spacing w:val="-20"/>
              </w:rPr>
              <w:t>+18%)</w:t>
            </w:r>
          </w:p>
        </w:tc>
        <w:tc>
          <w:tcPr>
            <w:tcW w:w="680" w:type="pct"/>
            <w:gridSpan w:val="2"/>
            <w:shd w:val="clear" w:color="auto" w:fill="EEECE1" w:themeFill="background2"/>
            <w:vAlign w:val="center"/>
          </w:tcPr>
          <w:p w:rsidR="0092189B" w:rsidRPr="00D40021" w:rsidRDefault="0092189B" w:rsidP="007063EE">
            <w:pPr>
              <w:pStyle w:val="121"/>
              <w:jc w:val="center"/>
              <w:rPr>
                <w:spacing w:val="-20"/>
              </w:rPr>
            </w:pPr>
            <w:r w:rsidRPr="00D40021">
              <w:rPr>
                <w:rFonts w:hint="eastAsia"/>
                <w:spacing w:val="-20"/>
              </w:rPr>
              <w:t>117.7.1以後</w:t>
            </w:r>
          </w:p>
          <w:p w:rsidR="0092189B" w:rsidRPr="00D40021" w:rsidRDefault="0092189B" w:rsidP="007063EE">
            <w:pPr>
              <w:pStyle w:val="121"/>
              <w:jc w:val="center"/>
              <w:rPr>
                <w:spacing w:val="-20"/>
              </w:rPr>
            </w:pPr>
            <w:r w:rsidRPr="00D40021">
              <w:rPr>
                <w:rFonts w:hint="eastAsia"/>
                <w:spacing w:val="-20"/>
              </w:rPr>
              <w:t>月退休所得</w:t>
            </w:r>
          </w:p>
        </w:tc>
        <w:tc>
          <w:tcPr>
            <w:tcW w:w="362" w:type="pct"/>
            <w:vMerge w:val="restart"/>
            <w:shd w:val="clear" w:color="auto" w:fill="EEECE1" w:themeFill="background2"/>
            <w:vAlign w:val="center"/>
          </w:tcPr>
          <w:p w:rsidR="0092189B" w:rsidRPr="00D40021" w:rsidRDefault="0092189B" w:rsidP="0092189B">
            <w:pPr>
              <w:pStyle w:val="121"/>
              <w:jc w:val="center"/>
              <w:rPr>
                <w:spacing w:val="-20"/>
              </w:rPr>
            </w:pPr>
            <w:r w:rsidRPr="00D40021">
              <w:rPr>
                <w:rFonts w:hint="eastAsia"/>
                <w:spacing w:val="-20"/>
              </w:rPr>
              <w:t>扣減</w:t>
            </w:r>
          </w:p>
          <w:p w:rsidR="0092189B" w:rsidRPr="00D40021" w:rsidRDefault="0092189B" w:rsidP="0092189B">
            <w:pPr>
              <w:pStyle w:val="121"/>
              <w:jc w:val="center"/>
              <w:rPr>
                <w:spacing w:val="-20"/>
              </w:rPr>
            </w:pPr>
            <w:r w:rsidRPr="00D40021">
              <w:rPr>
                <w:rFonts w:hint="eastAsia"/>
                <w:spacing w:val="-20"/>
              </w:rPr>
              <w:t>金額</w:t>
            </w:r>
          </w:p>
        </w:tc>
        <w:tc>
          <w:tcPr>
            <w:tcW w:w="362" w:type="pct"/>
            <w:vMerge w:val="restart"/>
            <w:shd w:val="clear" w:color="auto" w:fill="EEECE1" w:themeFill="background2"/>
            <w:vAlign w:val="center"/>
          </w:tcPr>
          <w:p w:rsidR="0092189B" w:rsidRPr="00D40021" w:rsidRDefault="0092189B" w:rsidP="0092189B">
            <w:pPr>
              <w:pStyle w:val="121"/>
              <w:jc w:val="center"/>
              <w:rPr>
                <w:spacing w:val="-20"/>
              </w:rPr>
            </w:pPr>
            <w:r w:rsidRPr="00D40021">
              <w:rPr>
                <w:rFonts w:hint="eastAsia"/>
                <w:spacing w:val="-20"/>
              </w:rPr>
              <w:t>扣減</w:t>
            </w:r>
          </w:p>
          <w:p w:rsidR="0092189B" w:rsidRPr="00D40021" w:rsidRDefault="0092189B" w:rsidP="0092189B">
            <w:pPr>
              <w:pStyle w:val="121"/>
              <w:jc w:val="center"/>
              <w:rPr>
                <w:spacing w:val="-20"/>
              </w:rPr>
            </w:pPr>
            <w:r w:rsidRPr="00D40021">
              <w:rPr>
                <w:rFonts w:hint="eastAsia"/>
                <w:spacing w:val="-20"/>
              </w:rPr>
              <w:t>比例</w:t>
            </w:r>
          </w:p>
        </w:tc>
      </w:tr>
      <w:tr w:rsidR="00D40021" w:rsidRPr="00D40021" w:rsidTr="0092189B">
        <w:tc>
          <w:tcPr>
            <w:tcW w:w="391" w:type="pct"/>
            <w:vMerge/>
            <w:shd w:val="clear" w:color="auto" w:fill="EEECE1" w:themeFill="background2"/>
            <w:vAlign w:val="center"/>
            <w:hideMark/>
          </w:tcPr>
          <w:p w:rsidR="0092189B" w:rsidRPr="00D40021" w:rsidRDefault="0092189B" w:rsidP="00F12990">
            <w:pPr>
              <w:pStyle w:val="121"/>
              <w:jc w:val="center"/>
              <w:rPr>
                <w:spacing w:val="-20"/>
              </w:rPr>
            </w:pPr>
          </w:p>
        </w:tc>
        <w:tc>
          <w:tcPr>
            <w:tcW w:w="391" w:type="pct"/>
            <w:vMerge/>
            <w:shd w:val="clear" w:color="auto" w:fill="EEECE1" w:themeFill="background2"/>
            <w:vAlign w:val="center"/>
            <w:hideMark/>
          </w:tcPr>
          <w:p w:rsidR="0092189B" w:rsidRPr="00D40021" w:rsidRDefault="0092189B" w:rsidP="00F12990">
            <w:pPr>
              <w:pStyle w:val="121"/>
              <w:jc w:val="center"/>
              <w:rPr>
                <w:spacing w:val="-20"/>
              </w:rPr>
            </w:pPr>
          </w:p>
        </w:tc>
        <w:tc>
          <w:tcPr>
            <w:tcW w:w="251" w:type="pct"/>
            <w:vMerge/>
            <w:shd w:val="clear" w:color="auto" w:fill="EEECE1" w:themeFill="background2"/>
            <w:vAlign w:val="center"/>
          </w:tcPr>
          <w:p w:rsidR="0092189B" w:rsidRPr="00D40021" w:rsidRDefault="0092189B" w:rsidP="00F12990">
            <w:pPr>
              <w:pStyle w:val="121"/>
              <w:jc w:val="center"/>
              <w:rPr>
                <w:spacing w:val="-20"/>
              </w:rPr>
            </w:pPr>
          </w:p>
        </w:tc>
        <w:tc>
          <w:tcPr>
            <w:tcW w:w="613" w:type="pct"/>
            <w:gridSpan w:val="2"/>
            <w:shd w:val="clear" w:color="auto" w:fill="EEECE1" w:themeFill="background2"/>
            <w:noWrap/>
            <w:vAlign w:val="center"/>
            <w:hideMark/>
          </w:tcPr>
          <w:p w:rsidR="0092189B" w:rsidRPr="00D40021" w:rsidRDefault="0092189B" w:rsidP="00F12990">
            <w:pPr>
              <w:pStyle w:val="121"/>
              <w:jc w:val="center"/>
              <w:rPr>
                <w:spacing w:val="-20"/>
              </w:rPr>
            </w:pPr>
            <w:r w:rsidRPr="00D40021">
              <w:rPr>
                <w:rFonts w:hint="eastAsia"/>
                <w:spacing w:val="-20"/>
              </w:rPr>
              <w:t>舊制退休</w:t>
            </w:r>
            <w:proofErr w:type="gramStart"/>
            <w:r w:rsidRPr="00D40021">
              <w:rPr>
                <w:rFonts w:hint="eastAsia"/>
                <w:spacing w:val="-20"/>
              </w:rPr>
              <w:t>俸</w:t>
            </w:r>
            <w:proofErr w:type="gramEnd"/>
          </w:p>
          <w:p w:rsidR="0092189B" w:rsidRPr="00D40021" w:rsidRDefault="0092189B" w:rsidP="00F12990">
            <w:pPr>
              <w:pStyle w:val="121"/>
              <w:jc w:val="center"/>
              <w:rPr>
                <w:spacing w:val="-20"/>
              </w:rPr>
            </w:pPr>
            <w:r w:rsidRPr="00D40021">
              <w:rPr>
                <w:rFonts w:hint="eastAsia"/>
                <w:spacing w:val="-20"/>
              </w:rPr>
              <w:t>(13年)</w:t>
            </w:r>
          </w:p>
        </w:tc>
        <w:tc>
          <w:tcPr>
            <w:tcW w:w="613" w:type="pct"/>
            <w:gridSpan w:val="2"/>
            <w:shd w:val="clear" w:color="auto" w:fill="EEECE1" w:themeFill="background2"/>
            <w:noWrap/>
            <w:vAlign w:val="center"/>
            <w:hideMark/>
          </w:tcPr>
          <w:p w:rsidR="0092189B" w:rsidRPr="00D40021" w:rsidRDefault="0092189B" w:rsidP="00F12990">
            <w:pPr>
              <w:pStyle w:val="121"/>
              <w:jc w:val="center"/>
              <w:rPr>
                <w:spacing w:val="-20"/>
              </w:rPr>
            </w:pPr>
            <w:r w:rsidRPr="00D40021">
              <w:rPr>
                <w:rFonts w:hint="eastAsia"/>
                <w:spacing w:val="-20"/>
              </w:rPr>
              <w:t>新制退休</w:t>
            </w:r>
            <w:proofErr w:type="gramStart"/>
            <w:r w:rsidRPr="00D40021">
              <w:rPr>
                <w:rFonts w:hint="eastAsia"/>
                <w:spacing w:val="-20"/>
              </w:rPr>
              <w:t>俸</w:t>
            </w:r>
            <w:proofErr w:type="gramEnd"/>
          </w:p>
          <w:p w:rsidR="0092189B" w:rsidRPr="00D40021" w:rsidRDefault="0092189B" w:rsidP="00F12990">
            <w:pPr>
              <w:pStyle w:val="121"/>
              <w:jc w:val="center"/>
              <w:rPr>
                <w:spacing w:val="-20"/>
              </w:rPr>
            </w:pPr>
            <w:r w:rsidRPr="00D40021">
              <w:rPr>
                <w:rFonts w:hint="eastAsia"/>
                <w:spacing w:val="-20"/>
              </w:rPr>
              <w:t>(15年)</w:t>
            </w:r>
          </w:p>
        </w:tc>
        <w:tc>
          <w:tcPr>
            <w:tcW w:w="503" w:type="pct"/>
            <w:gridSpan w:val="2"/>
            <w:shd w:val="clear" w:color="auto" w:fill="EEECE1" w:themeFill="background2"/>
            <w:noWrap/>
            <w:vAlign w:val="center"/>
            <w:hideMark/>
          </w:tcPr>
          <w:p w:rsidR="0092189B" w:rsidRPr="00D40021" w:rsidRDefault="0092189B" w:rsidP="00F12990">
            <w:pPr>
              <w:pStyle w:val="121"/>
              <w:jc w:val="center"/>
              <w:rPr>
                <w:spacing w:val="-20"/>
              </w:rPr>
            </w:pPr>
            <w:r w:rsidRPr="00D40021">
              <w:rPr>
                <w:rFonts w:hint="eastAsia"/>
                <w:spacing w:val="-20"/>
              </w:rPr>
              <w:t>月補償金</w:t>
            </w:r>
          </w:p>
          <w:p w:rsidR="0092189B" w:rsidRPr="00D40021" w:rsidRDefault="0092189B" w:rsidP="00F12990">
            <w:pPr>
              <w:pStyle w:val="121"/>
              <w:jc w:val="center"/>
              <w:rPr>
                <w:spacing w:val="-20"/>
              </w:rPr>
            </w:pPr>
            <w:r w:rsidRPr="00D40021">
              <w:rPr>
                <w:rFonts w:hint="eastAsia"/>
                <w:spacing w:val="-20"/>
              </w:rPr>
              <w:t>(2年)</w:t>
            </w:r>
          </w:p>
        </w:tc>
        <w:tc>
          <w:tcPr>
            <w:tcW w:w="362" w:type="pct"/>
            <w:vMerge w:val="restart"/>
            <w:shd w:val="clear" w:color="auto" w:fill="EEECE1" w:themeFill="background2"/>
            <w:vAlign w:val="center"/>
            <w:hideMark/>
          </w:tcPr>
          <w:p w:rsidR="0092189B" w:rsidRPr="00D40021" w:rsidRDefault="0092189B" w:rsidP="0036758B">
            <w:pPr>
              <w:pStyle w:val="121"/>
              <w:jc w:val="center"/>
              <w:rPr>
                <w:spacing w:val="-20"/>
              </w:rPr>
            </w:pPr>
            <w:r w:rsidRPr="00D40021">
              <w:rPr>
                <w:rFonts w:hint="eastAsia"/>
                <w:spacing w:val="-20"/>
              </w:rPr>
              <w:t>18%</w:t>
            </w:r>
          </w:p>
          <w:p w:rsidR="0092189B" w:rsidRPr="00D40021" w:rsidRDefault="0092189B" w:rsidP="0036758B">
            <w:pPr>
              <w:pStyle w:val="121"/>
              <w:jc w:val="center"/>
              <w:rPr>
                <w:spacing w:val="-20"/>
              </w:rPr>
            </w:pPr>
            <w:r w:rsidRPr="00D40021">
              <w:rPr>
                <w:rFonts w:hint="eastAsia"/>
                <w:spacing w:val="-20"/>
              </w:rPr>
              <w:t>優存</w:t>
            </w:r>
          </w:p>
          <w:p w:rsidR="0092189B" w:rsidRPr="00D40021" w:rsidRDefault="0092189B" w:rsidP="0036758B">
            <w:pPr>
              <w:pStyle w:val="121"/>
              <w:jc w:val="center"/>
              <w:rPr>
                <w:spacing w:val="-20"/>
              </w:rPr>
            </w:pPr>
            <w:r w:rsidRPr="00D40021">
              <w:rPr>
                <w:rFonts w:hint="eastAsia"/>
                <w:spacing w:val="-20"/>
              </w:rPr>
              <w:t>月息</w:t>
            </w:r>
          </w:p>
          <w:p w:rsidR="0092189B" w:rsidRPr="00D40021" w:rsidRDefault="0092189B" w:rsidP="0036758B">
            <w:pPr>
              <w:pStyle w:val="121"/>
              <w:jc w:val="center"/>
              <w:rPr>
                <w:spacing w:val="-20"/>
              </w:rPr>
            </w:pPr>
            <w:r w:rsidRPr="00D40021">
              <w:rPr>
                <w:rFonts w:hint="eastAsia"/>
                <w:spacing w:val="-20"/>
              </w:rPr>
              <w:t>(4)</w:t>
            </w:r>
          </w:p>
        </w:tc>
        <w:tc>
          <w:tcPr>
            <w:tcW w:w="472" w:type="pct"/>
            <w:vMerge w:val="restart"/>
            <w:shd w:val="clear" w:color="auto" w:fill="EEECE1" w:themeFill="background2"/>
            <w:vAlign w:val="center"/>
            <w:hideMark/>
          </w:tcPr>
          <w:p w:rsidR="0092189B" w:rsidRPr="00D40021" w:rsidRDefault="0092189B" w:rsidP="0036758B">
            <w:pPr>
              <w:pStyle w:val="121"/>
              <w:jc w:val="center"/>
              <w:rPr>
                <w:spacing w:val="-20"/>
              </w:rPr>
            </w:pPr>
            <w:r w:rsidRPr="00D40021">
              <w:rPr>
                <w:rFonts w:hint="eastAsia"/>
                <w:spacing w:val="-20"/>
              </w:rPr>
              <w:t>合計</w:t>
            </w:r>
          </w:p>
          <w:p w:rsidR="0092189B" w:rsidRPr="00D40021" w:rsidRDefault="0092189B" w:rsidP="0036758B">
            <w:pPr>
              <w:pStyle w:val="121"/>
              <w:jc w:val="center"/>
              <w:rPr>
                <w:spacing w:val="-20"/>
              </w:rPr>
            </w:pPr>
            <w:r w:rsidRPr="00D40021">
              <w:rPr>
                <w:rFonts w:hint="eastAsia"/>
                <w:spacing w:val="-20"/>
              </w:rPr>
              <w:t>(1)+(2)</w:t>
            </w:r>
          </w:p>
          <w:p w:rsidR="0092189B" w:rsidRPr="00D40021" w:rsidRDefault="0092189B" w:rsidP="0036758B">
            <w:pPr>
              <w:pStyle w:val="121"/>
              <w:jc w:val="center"/>
              <w:rPr>
                <w:spacing w:val="-20"/>
              </w:rPr>
            </w:pPr>
            <w:r w:rsidRPr="00D40021">
              <w:rPr>
                <w:rFonts w:hint="eastAsia"/>
                <w:spacing w:val="-20"/>
              </w:rPr>
              <w:t>+(3)+(4)</w:t>
            </w:r>
          </w:p>
        </w:tc>
        <w:tc>
          <w:tcPr>
            <w:tcW w:w="281" w:type="pct"/>
            <w:vMerge w:val="restart"/>
            <w:shd w:val="clear" w:color="auto" w:fill="EEECE1" w:themeFill="background2"/>
            <w:vAlign w:val="center"/>
          </w:tcPr>
          <w:p w:rsidR="0092189B" w:rsidRPr="00D40021" w:rsidRDefault="0092189B" w:rsidP="0036758B">
            <w:pPr>
              <w:pStyle w:val="121"/>
              <w:jc w:val="center"/>
              <w:rPr>
                <w:spacing w:val="-20"/>
              </w:rPr>
            </w:pPr>
            <w:proofErr w:type="gramStart"/>
            <w:r w:rsidRPr="00D40021">
              <w:rPr>
                <w:rFonts w:hint="eastAsia"/>
                <w:spacing w:val="-20"/>
              </w:rPr>
              <w:t>俸</w:t>
            </w:r>
            <w:proofErr w:type="gramEnd"/>
            <w:r w:rsidRPr="00D40021">
              <w:rPr>
                <w:rFonts w:hint="eastAsia"/>
                <w:spacing w:val="-20"/>
              </w:rPr>
              <w:t>率</w:t>
            </w:r>
          </w:p>
        </w:tc>
        <w:tc>
          <w:tcPr>
            <w:tcW w:w="399" w:type="pct"/>
            <w:vMerge w:val="restart"/>
            <w:shd w:val="clear" w:color="auto" w:fill="EEECE1" w:themeFill="background2"/>
            <w:vAlign w:val="center"/>
          </w:tcPr>
          <w:p w:rsidR="0092189B" w:rsidRPr="00D40021" w:rsidRDefault="0092189B" w:rsidP="0036758B">
            <w:pPr>
              <w:pStyle w:val="121"/>
              <w:jc w:val="center"/>
              <w:rPr>
                <w:spacing w:val="-20"/>
              </w:rPr>
            </w:pPr>
            <w:r w:rsidRPr="00D40021">
              <w:rPr>
                <w:rFonts w:hint="eastAsia"/>
                <w:spacing w:val="-20"/>
              </w:rPr>
              <w:t>金額</w:t>
            </w:r>
          </w:p>
        </w:tc>
        <w:tc>
          <w:tcPr>
            <w:tcW w:w="362" w:type="pct"/>
            <w:vMerge/>
            <w:shd w:val="clear" w:color="auto" w:fill="EEECE1" w:themeFill="background2"/>
            <w:vAlign w:val="center"/>
          </w:tcPr>
          <w:p w:rsidR="0092189B" w:rsidRPr="00D40021" w:rsidRDefault="0092189B" w:rsidP="00F12990">
            <w:pPr>
              <w:pStyle w:val="121"/>
              <w:jc w:val="center"/>
              <w:rPr>
                <w:spacing w:val="-20"/>
              </w:rPr>
            </w:pPr>
          </w:p>
        </w:tc>
        <w:tc>
          <w:tcPr>
            <w:tcW w:w="362" w:type="pct"/>
            <w:vMerge/>
            <w:shd w:val="clear" w:color="auto" w:fill="EEECE1" w:themeFill="background2"/>
            <w:vAlign w:val="center"/>
          </w:tcPr>
          <w:p w:rsidR="0092189B" w:rsidRPr="00D40021" w:rsidRDefault="0092189B" w:rsidP="00F12990">
            <w:pPr>
              <w:pStyle w:val="121"/>
              <w:jc w:val="center"/>
              <w:rPr>
                <w:spacing w:val="-20"/>
              </w:rPr>
            </w:pPr>
          </w:p>
        </w:tc>
      </w:tr>
      <w:tr w:rsidR="00D40021" w:rsidRPr="00D40021" w:rsidTr="0092189B">
        <w:trPr>
          <w:trHeight w:val="330"/>
        </w:trPr>
        <w:tc>
          <w:tcPr>
            <w:tcW w:w="391" w:type="pct"/>
            <w:vMerge/>
            <w:shd w:val="clear" w:color="auto" w:fill="EEECE1" w:themeFill="background2"/>
            <w:vAlign w:val="center"/>
            <w:hideMark/>
          </w:tcPr>
          <w:p w:rsidR="0092189B" w:rsidRPr="00D40021" w:rsidRDefault="0092189B" w:rsidP="00F12990">
            <w:pPr>
              <w:pStyle w:val="121"/>
              <w:jc w:val="center"/>
              <w:rPr>
                <w:spacing w:val="-20"/>
              </w:rPr>
            </w:pPr>
          </w:p>
        </w:tc>
        <w:tc>
          <w:tcPr>
            <w:tcW w:w="391" w:type="pct"/>
            <w:vMerge/>
            <w:shd w:val="clear" w:color="auto" w:fill="EEECE1" w:themeFill="background2"/>
            <w:vAlign w:val="center"/>
            <w:hideMark/>
          </w:tcPr>
          <w:p w:rsidR="0092189B" w:rsidRPr="00D40021" w:rsidRDefault="0092189B" w:rsidP="00F12990">
            <w:pPr>
              <w:pStyle w:val="121"/>
              <w:jc w:val="center"/>
              <w:rPr>
                <w:spacing w:val="-20"/>
              </w:rPr>
            </w:pPr>
          </w:p>
        </w:tc>
        <w:tc>
          <w:tcPr>
            <w:tcW w:w="251" w:type="pct"/>
            <w:vMerge/>
            <w:shd w:val="clear" w:color="auto" w:fill="EEECE1" w:themeFill="background2"/>
            <w:vAlign w:val="center"/>
          </w:tcPr>
          <w:p w:rsidR="0092189B" w:rsidRPr="00D40021" w:rsidRDefault="0092189B" w:rsidP="00F12990">
            <w:pPr>
              <w:pStyle w:val="121"/>
              <w:jc w:val="center"/>
              <w:rPr>
                <w:spacing w:val="-20"/>
              </w:rPr>
            </w:pPr>
          </w:p>
        </w:tc>
        <w:tc>
          <w:tcPr>
            <w:tcW w:w="251" w:type="pct"/>
            <w:shd w:val="clear" w:color="auto" w:fill="EEECE1" w:themeFill="background2"/>
            <w:noWrap/>
            <w:vAlign w:val="center"/>
            <w:hideMark/>
          </w:tcPr>
          <w:p w:rsidR="0092189B" w:rsidRPr="00D40021" w:rsidRDefault="0092189B" w:rsidP="00F12990">
            <w:pPr>
              <w:pStyle w:val="121"/>
              <w:jc w:val="center"/>
              <w:rPr>
                <w:spacing w:val="-20"/>
              </w:rPr>
            </w:pPr>
            <w:proofErr w:type="gramStart"/>
            <w:r w:rsidRPr="00D40021">
              <w:rPr>
                <w:rFonts w:hint="eastAsia"/>
                <w:spacing w:val="-20"/>
              </w:rPr>
              <w:t>俸</w:t>
            </w:r>
            <w:proofErr w:type="gramEnd"/>
            <w:r w:rsidRPr="00D40021">
              <w:rPr>
                <w:rFonts w:hint="eastAsia"/>
                <w:spacing w:val="-20"/>
              </w:rPr>
              <w:t>率</w:t>
            </w:r>
          </w:p>
        </w:tc>
        <w:tc>
          <w:tcPr>
            <w:tcW w:w="362" w:type="pct"/>
            <w:shd w:val="clear" w:color="auto" w:fill="EEECE1" w:themeFill="background2"/>
            <w:noWrap/>
            <w:vAlign w:val="center"/>
            <w:hideMark/>
          </w:tcPr>
          <w:p w:rsidR="0092189B" w:rsidRPr="00D40021" w:rsidRDefault="0092189B" w:rsidP="00F12990">
            <w:pPr>
              <w:pStyle w:val="121"/>
              <w:jc w:val="center"/>
              <w:rPr>
                <w:spacing w:val="-20"/>
              </w:rPr>
            </w:pPr>
            <w:r w:rsidRPr="00D40021">
              <w:rPr>
                <w:rFonts w:hint="eastAsia"/>
                <w:spacing w:val="-20"/>
              </w:rPr>
              <w:t>金額</w:t>
            </w:r>
          </w:p>
          <w:p w:rsidR="0092189B" w:rsidRPr="00D40021" w:rsidRDefault="0092189B" w:rsidP="00F12990">
            <w:pPr>
              <w:pStyle w:val="121"/>
              <w:jc w:val="center"/>
              <w:rPr>
                <w:spacing w:val="-20"/>
              </w:rPr>
            </w:pPr>
            <w:r w:rsidRPr="00D40021">
              <w:rPr>
                <w:rFonts w:hint="eastAsia"/>
                <w:spacing w:val="-20"/>
              </w:rPr>
              <w:t>(1)</w:t>
            </w:r>
          </w:p>
        </w:tc>
        <w:tc>
          <w:tcPr>
            <w:tcW w:w="251" w:type="pct"/>
            <w:shd w:val="clear" w:color="auto" w:fill="EEECE1" w:themeFill="background2"/>
            <w:noWrap/>
            <w:vAlign w:val="center"/>
            <w:hideMark/>
          </w:tcPr>
          <w:p w:rsidR="0092189B" w:rsidRPr="00D40021" w:rsidRDefault="0092189B" w:rsidP="00F12990">
            <w:pPr>
              <w:pStyle w:val="121"/>
              <w:jc w:val="center"/>
              <w:rPr>
                <w:spacing w:val="-20"/>
              </w:rPr>
            </w:pPr>
            <w:proofErr w:type="gramStart"/>
            <w:r w:rsidRPr="00D40021">
              <w:rPr>
                <w:rFonts w:hint="eastAsia"/>
                <w:spacing w:val="-20"/>
              </w:rPr>
              <w:t>俸</w:t>
            </w:r>
            <w:proofErr w:type="gramEnd"/>
            <w:r w:rsidRPr="00D40021">
              <w:rPr>
                <w:rFonts w:hint="eastAsia"/>
                <w:spacing w:val="-20"/>
              </w:rPr>
              <w:t>率</w:t>
            </w:r>
          </w:p>
        </w:tc>
        <w:tc>
          <w:tcPr>
            <w:tcW w:w="362" w:type="pct"/>
            <w:shd w:val="clear" w:color="auto" w:fill="EEECE1" w:themeFill="background2"/>
            <w:noWrap/>
            <w:vAlign w:val="center"/>
            <w:hideMark/>
          </w:tcPr>
          <w:p w:rsidR="0092189B" w:rsidRPr="00D40021" w:rsidRDefault="0092189B" w:rsidP="00F12990">
            <w:pPr>
              <w:pStyle w:val="121"/>
              <w:jc w:val="center"/>
              <w:rPr>
                <w:spacing w:val="-20"/>
              </w:rPr>
            </w:pPr>
            <w:r w:rsidRPr="00D40021">
              <w:rPr>
                <w:rFonts w:hint="eastAsia"/>
                <w:spacing w:val="-20"/>
              </w:rPr>
              <w:t>金額</w:t>
            </w:r>
          </w:p>
          <w:p w:rsidR="0092189B" w:rsidRPr="00D40021" w:rsidRDefault="0092189B" w:rsidP="00F12990">
            <w:pPr>
              <w:pStyle w:val="121"/>
              <w:jc w:val="center"/>
              <w:rPr>
                <w:spacing w:val="-20"/>
              </w:rPr>
            </w:pPr>
            <w:r w:rsidRPr="00D40021">
              <w:rPr>
                <w:rFonts w:hint="eastAsia"/>
                <w:spacing w:val="-20"/>
              </w:rPr>
              <w:t>(2)</w:t>
            </w:r>
          </w:p>
        </w:tc>
        <w:tc>
          <w:tcPr>
            <w:tcW w:w="251" w:type="pct"/>
            <w:shd w:val="clear" w:color="auto" w:fill="EEECE1" w:themeFill="background2"/>
            <w:noWrap/>
            <w:vAlign w:val="center"/>
            <w:hideMark/>
          </w:tcPr>
          <w:p w:rsidR="0092189B" w:rsidRPr="00D40021" w:rsidRDefault="0092189B" w:rsidP="00F12990">
            <w:pPr>
              <w:pStyle w:val="121"/>
              <w:jc w:val="center"/>
              <w:rPr>
                <w:spacing w:val="-20"/>
              </w:rPr>
            </w:pPr>
            <w:proofErr w:type="gramStart"/>
            <w:r w:rsidRPr="00D40021">
              <w:rPr>
                <w:rFonts w:hint="eastAsia"/>
                <w:spacing w:val="-20"/>
              </w:rPr>
              <w:t>俸</w:t>
            </w:r>
            <w:proofErr w:type="gramEnd"/>
            <w:r w:rsidRPr="00D40021">
              <w:rPr>
                <w:rFonts w:hint="eastAsia"/>
                <w:spacing w:val="-20"/>
              </w:rPr>
              <w:t>率</w:t>
            </w:r>
          </w:p>
        </w:tc>
        <w:tc>
          <w:tcPr>
            <w:tcW w:w="251" w:type="pct"/>
            <w:shd w:val="clear" w:color="auto" w:fill="EEECE1" w:themeFill="background2"/>
            <w:noWrap/>
            <w:vAlign w:val="center"/>
            <w:hideMark/>
          </w:tcPr>
          <w:p w:rsidR="0092189B" w:rsidRPr="00D40021" w:rsidRDefault="0092189B" w:rsidP="00F12990">
            <w:pPr>
              <w:pStyle w:val="121"/>
              <w:jc w:val="center"/>
              <w:rPr>
                <w:spacing w:val="-20"/>
              </w:rPr>
            </w:pPr>
            <w:r w:rsidRPr="00D40021">
              <w:rPr>
                <w:rFonts w:hint="eastAsia"/>
                <w:spacing w:val="-20"/>
              </w:rPr>
              <w:t>金額</w:t>
            </w:r>
          </w:p>
          <w:p w:rsidR="0092189B" w:rsidRPr="00D40021" w:rsidRDefault="0092189B" w:rsidP="00F12990">
            <w:pPr>
              <w:pStyle w:val="121"/>
              <w:jc w:val="center"/>
              <w:rPr>
                <w:spacing w:val="-20"/>
              </w:rPr>
            </w:pPr>
            <w:r w:rsidRPr="00D40021">
              <w:rPr>
                <w:rFonts w:hint="eastAsia"/>
                <w:spacing w:val="-20"/>
              </w:rPr>
              <w:t>(3)</w:t>
            </w:r>
          </w:p>
        </w:tc>
        <w:tc>
          <w:tcPr>
            <w:tcW w:w="362" w:type="pct"/>
            <w:vMerge/>
            <w:shd w:val="clear" w:color="auto" w:fill="EEECE1" w:themeFill="background2"/>
            <w:vAlign w:val="center"/>
            <w:hideMark/>
          </w:tcPr>
          <w:p w:rsidR="0092189B" w:rsidRPr="00D40021" w:rsidRDefault="0092189B" w:rsidP="00F12990">
            <w:pPr>
              <w:pStyle w:val="121"/>
              <w:jc w:val="center"/>
              <w:rPr>
                <w:spacing w:val="-20"/>
              </w:rPr>
            </w:pPr>
          </w:p>
        </w:tc>
        <w:tc>
          <w:tcPr>
            <w:tcW w:w="472" w:type="pct"/>
            <w:vMerge/>
            <w:shd w:val="clear" w:color="auto" w:fill="EEECE1" w:themeFill="background2"/>
            <w:vAlign w:val="center"/>
            <w:hideMark/>
          </w:tcPr>
          <w:p w:rsidR="0092189B" w:rsidRPr="00D40021" w:rsidRDefault="0092189B" w:rsidP="00F12990">
            <w:pPr>
              <w:pStyle w:val="121"/>
              <w:jc w:val="center"/>
              <w:rPr>
                <w:spacing w:val="-20"/>
              </w:rPr>
            </w:pPr>
          </w:p>
        </w:tc>
        <w:tc>
          <w:tcPr>
            <w:tcW w:w="281" w:type="pct"/>
            <w:vMerge/>
            <w:shd w:val="clear" w:color="auto" w:fill="EEECE1" w:themeFill="background2"/>
            <w:vAlign w:val="center"/>
          </w:tcPr>
          <w:p w:rsidR="0092189B" w:rsidRPr="00D40021" w:rsidRDefault="0092189B" w:rsidP="00F12990">
            <w:pPr>
              <w:pStyle w:val="121"/>
              <w:jc w:val="center"/>
              <w:rPr>
                <w:spacing w:val="-20"/>
              </w:rPr>
            </w:pPr>
          </w:p>
        </w:tc>
        <w:tc>
          <w:tcPr>
            <w:tcW w:w="399" w:type="pct"/>
            <w:vMerge/>
            <w:shd w:val="clear" w:color="auto" w:fill="EEECE1" w:themeFill="background2"/>
            <w:vAlign w:val="center"/>
          </w:tcPr>
          <w:p w:rsidR="0092189B" w:rsidRPr="00D40021" w:rsidRDefault="0092189B" w:rsidP="00F12990">
            <w:pPr>
              <w:pStyle w:val="121"/>
              <w:jc w:val="center"/>
              <w:rPr>
                <w:spacing w:val="-20"/>
              </w:rPr>
            </w:pPr>
          </w:p>
        </w:tc>
        <w:tc>
          <w:tcPr>
            <w:tcW w:w="362" w:type="pct"/>
            <w:vMerge/>
            <w:shd w:val="clear" w:color="auto" w:fill="EEECE1" w:themeFill="background2"/>
            <w:vAlign w:val="center"/>
          </w:tcPr>
          <w:p w:rsidR="0092189B" w:rsidRPr="00D40021" w:rsidRDefault="0092189B" w:rsidP="00F12990">
            <w:pPr>
              <w:pStyle w:val="121"/>
              <w:jc w:val="center"/>
              <w:rPr>
                <w:spacing w:val="-20"/>
              </w:rPr>
            </w:pPr>
          </w:p>
        </w:tc>
        <w:tc>
          <w:tcPr>
            <w:tcW w:w="362" w:type="pct"/>
            <w:vMerge/>
            <w:shd w:val="clear" w:color="auto" w:fill="EEECE1" w:themeFill="background2"/>
            <w:vAlign w:val="center"/>
          </w:tcPr>
          <w:p w:rsidR="0092189B" w:rsidRPr="00D40021" w:rsidRDefault="0092189B" w:rsidP="00F12990">
            <w:pPr>
              <w:pStyle w:val="121"/>
              <w:jc w:val="center"/>
              <w:rPr>
                <w:spacing w:val="-20"/>
              </w:rPr>
            </w:pPr>
          </w:p>
        </w:tc>
      </w:tr>
      <w:tr w:rsidR="00D40021" w:rsidRPr="00D40021" w:rsidTr="0092189B">
        <w:trPr>
          <w:trHeight w:val="330"/>
        </w:trPr>
        <w:tc>
          <w:tcPr>
            <w:tcW w:w="391" w:type="pct"/>
            <w:noWrap/>
            <w:vAlign w:val="center"/>
            <w:hideMark/>
          </w:tcPr>
          <w:p w:rsidR="0092189B" w:rsidRPr="00D40021" w:rsidRDefault="0092189B" w:rsidP="00F12990">
            <w:pPr>
              <w:pStyle w:val="121"/>
              <w:jc w:val="center"/>
              <w:rPr>
                <w:spacing w:val="-20"/>
              </w:rPr>
            </w:pPr>
            <w:proofErr w:type="gramStart"/>
            <w:r w:rsidRPr="00D40021">
              <w:rPr>
                <w:rFonts w:hint="eastAsia"/>
                <w:spacing w:val="-20"/>
              </w:rPr>
              <w:t>一</w:t>
            </w:r>
            <w:proofErr w:type="gramEnd"/>
            <w:r w:rsidRPr="00D40021">
              <w:rPr>
                <w:rFonts w:hint="eastAsia"/>
                <w:spacing w:val="-20"/>
              </w:rPr>
              <w:t>等長</w:t>
            </w:r>
          </w:p>
          <w:p w:rsidR="0092189B" w:rsidRPr="00D40021" w:rsidRDefault="0092189B" w:rsidP="00F12990">
            <w:pPr>
              <w:pStyle w:val="121"/>
              <w:jc w:val="center"/>
              <w:rPr>
                <w:spacing w:val="-20"/>
              </w:rPr>
            </w:pPr>
            <w:r w:rsidRPr="00D40021">
              <w:rPr>
                <w:rFonts w:hint="eastAsia"/>
                <w:spacing w:val="-20"/>
              </w:rPr>
              <w:t>16級</w:t>
            </w:r>
          </w:p>
        </w:tc>
        <w:tc>
          <w:tcPr>
            <w:tcW w:w="391" w:type="pct"/>
            <w:noWrap/>
            <w:vAlign w:val="center"/>
            <w:hideMark/>
          </w:tcPr>
          <w:p w:rsidR="0092189B" w:rsidRPr="00D40021" w:rsidRDefault="0092189B" w:rsidP="00F12990">
            <w:pPr>
              <w:pStyle w:val="121"/>
              <w:jc w:val="center"/>
              <w:rPr>
                <w:spacing w:val="-20"/>
              </w:rPr>
            </w:pPr>
            <w:r w:rsidRPr="00D40021">
              <w:rPr>
                <w:rFonts w:hint="eastAsia"/>
                <w:spacing w:val="-20"/>
              </w:rPr>
              <w:t>36,155</w:t>
            </w:r>
          </w:p>
        </w:tc>
        <w:tc>
          <w:tcPr>
            <w:tcW w:w="251" w:type="pct"/>
            <w:vAlign w:val="center"/>
          </w:tcPr>
          <w:p w:rsidR="0092189B" w:rsidRPr="00D40021" w:rsidRDefault="0092189B" w:rsidP="00F12990">
            <w:pPr>
              <w:pStyle w:val="121"/>
              <w:jc w:val="center"/>
              <w:rPr>
                <w:spacing w:val="-20"/>
              </w:rPr>
            </w:pPr>
            <w:r w:rsidRPr="00D40021">
              <w:rPr>
                <w:rFonts w:hint="eastAsia"/>
                <w:spacing w:val="-20"/>
              </w:rPr>
              <w:t>28年</w:t>
            </w:r>
          </w:p>
        </w:tc>
        <w:tc>
          <w:tcPr>
            <w:tcW w:w="251" w:type="pct"/>
            <w:noWrap/>
            <w:vAlign w:val="center"/>
          </w:tcPr>
          <w:p w:rsidR="0092189B" w:rsidRPr="00D40021" w:rsidRDefault="0092189B" w:rsidP="00F12990">
            <w:pPr>
              <w:pStyle w:val="121"/>
              <w:jc w:val="center"/>
              <w:rPr>
                <w:spacing w:val="-20"/>
              </w:rPr>
            </w:pPr>
            <w:r w:rsidRPr="00D40021">
              <w:rPr>
                <w:rFonts w:hint="eastAsia"/>
                <w:spacing w:val="-20"/>
              </w:rPr>
              <w:t>65%</w:t>
            </w:r>
          </w:p>
        </w:tc>
        <w:tc>
          <w:tcPr>
            <w:tcW w:w="362" w:type="pct"/>
            <w:noWrap/>
            <w:vAlign w:val="center"/>
          </w:tcPr>
          <w:p w:rsidR="0092189B" w:rsidRPr="00D40021" w:rsidRDefault="0092189B" w:rsidP="00F12990">
            <w:pPr>
              <w:pStyle w:val="121"/>
              <w:jc w:val="center"/>
              <w:rPr>
                <w:spacing w:val="-20"/>
              </w:rPr>
            </w:pPr>
            <w:r w:rsidRPr="00D40021">
              <w:rPr>
                <w:rFonts w:hint="eastAsia"/>
                <w:spacing w:val="-20"/>
              </w:rPr>
              <w:t>24,431</w:t>
            </w:r>
          </w:p>
        </w:tc>
        <w:tc>
          <w:tcPr>
            <w:tcW w:w="251" w:type="pct"/>
            <w:noWrap/>
            <w:vAlign w:val="center"/>
          </w:tcPr>
          <w:p w:rsidR="0092189B" w:rsidRPr="00D40021" w:rsidRDefault="0092189B" w:rsidP="00F12990">
            <w:pPr>
              <w:pStyle w:val="121"/>
              <w:jc w:val="center"/>
              <w:rPr>
                <w:spacing w:val="-20"/>
              </w:rPr>
            </w:pPr>
            <w:r w:rsidRPr="00D40021">
              <w:rPr>
                <w:rFonts w:hint="eastAsia"/>
                <w:spacing w:val="-20"/>
              </w:rPr>
              <w:t>30%</w:t>
            </w:r>
          </w:p>
        </w:tc>
        <w:tc>
          <w:tcPr>
            <w:tcW w:w="362" w:type="pct"/>
            <w:noWrap/>
            <w:vAlign w:val="center"/>
          </w:tcPr>
          <w:p w:rsidR="0092189B" w:rsidRPr="00D40021" w:rsidRDefault="0092189B" w:rsidP="00F12990">
            <w:pPr>
              <w:pStyle w:val="121"/>
              <w:jc w:val="center"/>
              <w:rPr>
                <w:spacing w:val="-20"/>
              </w:rPr>
            </w:pPr>
            <w:r w:rsidRPr="00D40021">
              <w:rPr>
                <w:rFonts w:hint="eastAsia"/>
                <w:spacing w:val="-20"/>
              </w:rPr>
              <w:t>21,693</w:t>
            </w:r>
          </w:p>
        </w:tc>
        <w:tc>
          <w:tcPr>
            <w:tcW w:w="251" w:type="pct"/>
            <w:noWrap/>
            <w:vAlign w:val="center"/>
          </w:tcPr>
          <w:p w:rsidR="0092189B" w:rsidRPr="00D40021" w:rsidRDefault="0092189B" w:rsidP="00F12990">
            <w:pPr>
              <w:pStyle w:val="121"/>
              <w:jc w:val="center"/>
              <w:rPr>
                <w:spacing w:val="-20"/>
              </w:rPr>
            </w:pPr>
            <w:r w:rsidRPr="00D40021">
              <w:rPr>
                <w:rFonts w:hint="eastAsia"/>
                <w:spacing w:val="-20"/>
              </w:rPr>
              <w:t>1%</w:t>
            </w:r>
          </w:p>
        </w:tc>
        <w:tc>
          <w:tcPr>
            <w:tcW w:w="251" w:type="pct"/>
            <w:noWrap/>
            <w:vAlign w:val="center"/>
          </w:tcPr>
          <w:p w:rsidR="0092189B" w:rsidRPr="00D40021" w:rsidRDefault="0092189B" w:rsidP="00F12990">
            <w:pPr>
              <w:pStyle w:val="121"/>
              <w:jc w:val="center"/>
              <w:rPr>
                <w:spacing w:val="-20"/>
              </w:rPr>
            </w:pPr>
            <w:r w:rsidRPr="00D40021">
              <w:rPr>
                <w:rFonts w:hint="eastAsia"/>
                <w:spacing w:val="-20"/>
              </w:rPr>
              <w:t>723</w:t>
            </w:r>
          </w:p>
        </w:tc>
        <w:tc>
          <w:tcPr>
            <w:tcW w:w="362" w:type="pct"/>
            <w:vAlign w:val="center"/>
          </w:tcPr>
          <w:p w:rsidR="0092189B" w:rsidRPr="00D40021" w:rsidRDefault="0092189B" w:rsidP="00F12990">
            <w:pPr>
              <w:pStyle w:val="121"/>
              <w:jc w:val="center"/>
              <w:rPr>
                <w:spacing w:val="-20"/>
              </w:rPr>
            </w:pPr>
            <w:r w:rsidRPr="00D40021">
              <w:rPr>
                <w:rFonts w:hint="eastAsia"/>
                <w:spacing w:val="-20"/>
              </w:rPr>
              <w:t>19,194</w:t>
            </w:r>
          </w:p>
        </w:tc>
        <w:tc>
          <w:tcPr>
            <w:tcW w:w="472" w:type="pct"/>
            <w:shd w:val="clear" w:color="auto" w:fill="FFFF00"/>
            <w:vAlign w:val="center"/>
          </w:tcPr>
          <w:p w:rsidR="0092189B" w:rsidRPr="00D40021" w:rsidRDefault="0092189B" w:rsidP="00F12990">
            <w:pPr>
              <w:pStyle w:val="121"/>
              <w:jc w:val="center"/>
              <w:rPr>
                <w:spacing w:val="-20"/>
              </w:rPr>
            </w:pPr>
            <w:r w:rsidRPr="00D40021">
              <w:rPr>
                <w:rFonts w:hint="eastAsia"/>
                <w:spacing w:val="-20"/>
              </w:rPr>
              <w:t>66,041</w:t>
            </w:r>
          </w:p>
        </w:tc>
        <w:tc>
          <w:tcPr>
            <w:tcW w:w="281" w:type="pct"/>
            <w:vAlign w:val="center"/>
          </w:tcPr>
          <w:p w:rsidR="0092189B" w:rsidRPr="00D40021" w:rsidRDefault="0092189B" w:rsidP="00F12990">
            <w:pPr>
              <w:pStyle w:val="121"/>
              <w:jc w:val="center"/>
              <w:rPr>
                <w:spacing w:val="-20"/>
              </w:rPr>
            </w:pPr>
            <w:r w:rsidRPr="00D40021">
              <w:rPr>
                <w:rFonts w:hint="eastAsia"/>
                <w:spacing w:val="-20"/>
              </w:rPr>
              <w:t>71%</w:t>
            </w:r>
          </w:p>
        </w:tc>
        <w:tc>
          <w:tcPr>
            <w:tcW w:w="399" w:type="pct"/>
            <w:shd w:val="clear" w:color="auto" w:fill="FFFF00"/>
            <w:vAlign w:val="center"/>
          </w:tcPr>
          <w:p w:rsidR="0092189B" w:rsidRPr="00D40021" w:rsidRDefault="0092189B" w:rsidP="00F12990">
            <w:pPr>
              <w:pStyle w:val="121"/>
              <w:jc w:val="center"/>
              <w:rPr>
                <w:spacing w:val="-20"/>
              </w:rPr>
            </w:pPr>
            <w:r w:rsidRPr="00D40021">
              <w:rPr>
                <w:rFonts w:hAnsi="標楷體" w:cs="新細明體" w:hint="eastAsia"/>
                <w:spacing w:val="-20"/>
              </w:rPr>
              <w:t>51,340</w:t>
            </w:r>
          </w:p>
        </w:tc>
        <w:tc>
          <w:tcPr>
            <w:tcW w:w="362" w:type="pct"/>
            <w:shd w:val="clear" w:color="auto" w:fill="FFFF00"/>
            <w:vAlign w:val="center"/>
          </w:tcPr>
          <w:p w:rsidR="0092189B" w:rsidRPr="00D40021" w:rsidRDefault="0092189B" w:rsidP="00F12990">
            <w:pPr>
              <w:pStyle w:val="121"/>
              <w:jc w:val="center"/>
              <w:rPr>
                <w:rFonts w:hAnsi="標楷體" w:cs="新細明體"/>
                <w:spacing w:val="-20"/>
              </w:rPr>
            </w:pPr>
            <w:r w:rsidRPr="00D40021">
              <w:rPr>
                <w:rFonts w:hAnsi="標楷體" w:cs="新細明體" w:hint="eastAsia"/>
                <w:spacing w:val="-20"/>
              </w:rPr>
              <w:t>14,701</w:t>
            </w:r>
          </w:p>
        </w:tc>
        <w:tc>
          <w:tcPr>
            <w:tcW w:w="362" w:type="pct"/>
            <w:shd w:val="clear" w:color="auto" w:fill="FFFF00"/>
            <w:vAlign w:val="center"/>
          </w:tcPr>
          <w:p w:rsidR="0092189B" w:rsidRPr="00D40021" w:rsidRDefault="0092189B" w:rsidP="00F12990">
            <w:pPr>
              <w:pStyle w:val="121"/>
              <w:jc w:val="center"/>
              <w:rPr>
                <w:rFonts w:hAnsi="標楷體" w:cs="新細明體"/>
                <w:spacing w:val="-20"/>
              </w:rPr>
            </w:pPr>
            <w:r w:rsidRPr="00D40021">
              <w:rPr>
                <w:rFonts w:hAnsi="標楷體" w:cs="新細明體" w:hint="eastAsia"/>
                <w:spacing w:val="-20"/>
              </w:rPr>
              <w:t>22.26%</w:t>
            </w:r>
          </w:p>
        </w:tc>
      </w:tr>
      <w:tr w:rsidR="00D40021" w:rsidRPr="00D40021" w:rsidTr="0092189B">
        <w:trPr>
          <w:trHeight w:val="330"/>
        </w:trPr>
        <w:tc>
          <w:tcPr>
            <w:tcW w:w="1033" w:type="pct"/>
            <w:gridSpan w:val="3"/>
            <w:noWrap/>
            <w:vAlign w:val="center"/>
          </w:tcPr>
          <w:p w:rsidR="0092189B" w:rsidRPr="00D40021" w:rsidRDefault="0092189B" w:rsidP="00F12990">
            <w:pPr>
              <w:pStyle w:val="121"/>
              <w:jc w:val="center"/>
              <w:rPr>
                <w:spacing w:val="-20"/>
              </w:rPr>
            </w:pPr>
            <w:r w:rsidRPr="00D40021">
              <w:rPr>
                <w:rFonts w:hint="eastAsia"/>
                <w:spacing w:val="-20"/>
              </w:rPr>
              <w:t>附註</w:t>
            </w:r>
          </w:p>
        </w:tc>
        <w:tc>
          <w:tcPr>
            <w:tcW w:w="2563" w:type="pct"/>
            <w:gridSpan w:val="8"/>
            <w:noWrap/>
            <w:vAlign w:val="center"/>
          </w:tcPr>
          <w:p w:rsidR="0092189B" w:rsidRPr="00D40021" w:rsidRDefault="0092189B" w:rsidP="0092189B">
            <w:pPr>
              <w:snapToGrid w:val="0"/>
              <w:spacing w:line="240" w:lineRule="atLeast"/>
              <w:ind w:left="881" w:hangingChars="400" w:hanging="881"/>
              <w:rPr>
                <w:rFonts w:hAnsi="標楷體"/>
                <w:spacing w:val="-20"/>
                <w:sz w:val="24"/>
                <w:szCs w:val="24"/>
              </w:rPr>
            </w:pPr>
            <w:r w:rsidRPr="00D40021">
              <w:rPr>
                <w:rFonts w:hAnsi="標楷體" w:hint="eastAsia"/>
                <w:spacing w:val="-20"/>
                <w:sz w:val="24"/>
                <w:szCs w:val="24"/>
              </w:rPr>
              <w:t>1.舊制退休</w:t>
            </w:r>
            <w:proofErr w:type="gramStart"/>
            <w:r w:rsidRPr="00D40021">
              <w:rPr>
                <w:rFonts w:hAnsi="標楷體" w:hint="eastAsia"/>
                <w:spacing w:val="-20"/>
                <w:sz w:val="24"/>
                <w:szCs w:val="24"/>
              </w:rPr>
              <w:t>俸</w:t>
            </w:r>
            <w:proofErr w:type="gramEnd"/>
            <w:r w:rsidRPr="00D40021">
              <w:rPr>
                <w:rFonts w:hAnsi="標楷體" w:hint="eastAsia"/>
                <w:spacing w:val="-20"/>
                <w:sz w:val="24"/>
                <w:szCs w:val="24"/>
              </w:rPr>
              <w:t>(年)：(本</w:t>
            </w:r>
            <w:proofErr w:type="gramStart"/>
            <w:r w:rsidRPr="00D40021">
              <w:rPr>
                <w:rFonts w:hAnsi="標楷體" w:hint="eastAsia"/>
                <w:spacing w:val="-20"/>
                <w:sz w:val="24"/>
                <w:szCs w:val="24"/>
              </w:rPr>
              <w:t>俸</w:t>
            </w:r>
            <w:proofErr w:type="gramEnd"/>
            <w:r w:rsidRPr="00D40021">
              <w:rPr>
                <w:spacing w:val="-20"/>
                <w:sz w:val="24"/>
                <w:szCs w:val="24"/>
              </w:rPr>
              <w:t>×</w:t>
            </w:r>
            <w:r w:rsidRPr="00D40021">
              <w:rPr>
                <w:rFonts w:hAnsi="標楷體" w:hint="eastAsia"/>
                <w:spacing w:val="-20"/>
                <w:sz w:val="24"/>
                <w:szCs w:val="24"/>
              </w:rPr>
              <w:t>5%</w:t>
            </w:r>
            <w:r w:rsidRPr="00D40021">
              <w:rPr>
                <w:spacing w:val="-20"/>
                <w:sz w:val="24"/>
                <w:szCs w:val="24"/>
              </w:rPr>
              <w:t>×</w:t>
            </w:r>
            <w:r w:rsidRPr="00D40021">
              <w:rPr>
                <w:rFonts w:hAnsi="標楷體" w:hint="eastAsia"/>
                <w:spacing w:val="-20"/>
                <w:sz w:val="24"/>
                <w:szCs w:val="24"/>
              </w:rPr>
              <w:t>年數)+930</w:t>
            </w:r>
          </w:p>
          <w:p w:rsidR="0092189B" w:rsidRPr="00D40021" w:rsidRDefault="0092189B" w:rsidP="0092189B">
            <w:pPr>
              <w:snapToGrid w:val="0"/>
              <w:spacing w:line="240" w:lineRule="atLeast"/>
              <w:ind w:left="881" w:hangingChars="400" w:hanging="881"/>
              <w:rPr>
                <w:rFonts w:hAnsi="標楷體"/>
                <w:spacing w:val="-20"/>
                <w:sz w:val="24"/>
                <w:szCs w:val="24"/>
              </w:rPr>
            </w:pPr>
            <w:r w:rsidRPr="00D40021">
              <w:rPr>
                <w:rFonts w:hAnsi="標楷體" w:hint="eastAsia"/>
                <w:spacing w:val="-20"/>
                <w:sz w:val="24"/>
                <w:szCs w:val="24"/>
              </w:rPr>
              <w:t>2.新制退休</w:t>
            </w:r>
            <w:proofErr w:type="gramStart"/>
            <w:r w:rsidRPr="00D40021">
              <w:rPr>
                <w:rFonts w:hAnsi="標楷體" w:hint="eastAsia"/>
                <w:spacing w:val="-20"/>
                <w:sz w:val="24"/>
                <w:szCs w:val="24"/>
              </w:rPr>
              <w:t>俸</w:t>
            </w:r>
            <w:proofErr w:type="gramEnd"/>
            <w:r w:rsidRPr="00D40021">
              <w:rPr>
                <w:rFonts w:hAnsi="標楷體" w:hint="eastAsia"/>
                <w:spacing w:val="-20"/>
                <w:sz w:val="24"/>
                <w:szCs w:val="24"/>
              </w:rPr>
              <w:t>(年)：(本</w:t>
            </w:r>
            <w:proofErr w:type="gramStart"/>
            <w:r w:rsidRPr="00D40021">
              <w:rPr>
                <w:rFonts w:hAnsi="標楷體" w:hint="eastAsia"/>
                <w:spacing w:val="-20"/>
                <w:sz w:val="24"/>
                <w:szCs w:val="24"/>
              </w:rPr>
              <w:t>俸</w:t>
            </w:r>
            <w:proofErr w:type="gramEnd"/>
            <w:r w:rsidRPr="00D40021">
              <w:rPr>
                <w:spacing w:val="-20"/>
                <w:sz w:val="24"/>
                <w:szCs w:val="24"/>
              </w:rPr>
              <w:t>×</w:t>
            </w:r>
            <w:r w:rsidRPr="00D40021">
              <w:rPr>
                <w:rFonts w:hAnsi="標楷體" w:hint="eastAsia"/>
                <w:spacing w:val="-20"/>
                <w:sz w:val="24"/>
                <w:szCs w:val="24"/>
              </w:rPr>
              <w:t>2)</w:t>
            </w:r>
            <w:r w:rsidRPr="00D40021">
              <w:rPr>
                <w:spacing w:val="-20"/>
                <w:sz w:val="24"/>
                <w:szCs w:val="24"/>
              </w:rPr>
              <w:t>×</w:t>
            </w:r>
            <w:r w:rsidRPr="00D40021">
              <w:rPr>
                <w:rFonts w:hAnsi="標楷體" w:hint="eastAsia"/>
                <w:spacing w:val="-20"/>
                <w:sz w:val="24"/>
                <w:szCs w:val="24"/>
              </w:rPr>
              <w:t>年數*2%</w:t>
            </w:r>
          </w:p>
          <w:p w:rsidR="0092189B" w:rsidRPr="00D40021" w:rsidRDefault="0092189B" w:rsidP="0092189B">
            <w:pPr>
              <w:snapToGrid w:val="0"/>
              <w:spacing w:line="240" w:lineRule="atLeast"/>
              <w:ind w:left="881" w:hangingChars="400" w:hanging="881"/>
              <w:rPr>
                <w:spacing w:val="-20"/>
                <w:sz w:val="24"/>
                <w:szCs w:val="24"/>
              </w:rPr>
            </w:pPr>
            <w:r w:rsidRPr="00D40021">
              <w:rPr>
                <w:rFonts w:hAnsi="標楷體" w:hint="eastAsia"/>
                <w:spacing w:val="-20"/>
                <w:sz w:val="24"/>
                <w:szCs w:val="24"/>
              </w:rPr>
              <w:t>3.月補償金(年)：(本</w:t>
            </w:r>
            <w:proofErr w:type="gramStart"/>
            <w:r w:rsidRPr="00D40021">
              <w:rPr>
                <w:rFonts w:hAnsi="標楷體" w:hint="eastAsia"/>
                <w:spacing w:val="-20"/>
                <w:sz w:val="24"/>
                <w:szCs w:val="24"/>
              </w:rPr>
              <w:t>俸</w:t>
            </w:r>
            <w:proofErr w:type="gramEnd"/>
            <w:r w:rsidRPr="00D40021">
              <w:rPr>
                <w:spacing w:val="-20"/>
                <w:sz w:val="24"/>
                <w:szCs w:val="24"/>
              </w:rPr>
              <w:t>×</w:t>
            </w:r>
            <w:r w:rsidRPr="00D40021">
              <w:rPr>
                <w:rFonts w:hAnsi="標楷體" w:hint="eastAsia"/>
                <w:spacing w:val="-20"/>
                <w:sz w:val="24"/>
                <w:szCs w:val="24"/>
              </w:rPr>
              <w:t>2)</w:t>
            </w:r>
            <w:r w:rsidRPr="00D40021">
              <w:rPr>
                <w:spacing w:val="-20"/>
                <w:sz w:val="24"/>
                <w:szCs w:val="24"/>
              </w:rPr>
              <w:t>×</w:t>
            </w:r>
            <w:r w:rsidRPr="00D40021">
              <w:rPr>
                <w:rFonts w:hAnsi="標楷體" w:hint="eastAsia"/>
                <w:spacing w:val="-20"/>
                <w:sz w:val="24"/>
                <w:szCs w:val="24"/>
              </w:rPr>
              <w:t>年數*0.5%</w:t>
            </w:r>
          </w:p>
        </w:tc>
        <w:tc>
          <w:tcPr>
            <w:tcW w:w="680" w:type="pct"/>
            <w:gridSpan w:val="2"/>
            <w:vAlign w:val="center"/>
          </w:tcPr>
          <w:p w:rsidR="0092189B" w:rsidRPr="00D40021" w:rsidRDefault="0092189B" w:rsidP="0092189B">
            <w:pPr>
              <w:pStyle w:val="121"/>
              <w:jc w:val="left"/>
              <w:rPr>
                <w:rFonts w:hAnsi="標楷體" w:cs="新細明體"/>
                <w:spacing w:val="-20"/>
              </w:rPr>
            </w:pPr>
            <w:r w:rsidRPr="00D40021">
              <w:rPr>
                <w:rFonts w:hAnsi="標楷體" w:hint="eastAsia"/>
                <w:spacing w:val="-20"/>
              </w:rPr>
              <w:t>計算公式=</w:t>
            </w:r>
            <w:r w:rsidRPr="00D40021">
              <w:rPr>
                <w:rFonts w:hint="eastAsia"/>
                <w:spacing w:val="-20"/>
              </w:rPr>
              <w:t>本</w:t>
            </w:r>
            <w:proofErr w:type="gramStart"/>
            <w:r w:rsidRPr="00D40021">
              <w:rPr>
                <w:rFonts w:hint="eastAsia"/>
                <w:spacing w:val="-20"/>
              </w:rPr>
              <w:t>俸</w:t>
            </w:r>
            <w:proofErr w:type="gramEnd"/>
            <w:r w:rsidRPr="00D40021">
              <w:rPr>
                <w:rFonts w:hint="eastAsia"/>
                <w:spacing w:val="-20"/>
              </w:rPr>
              <w:t xml:space="preserve">2倍 </w:t>
            </w:r>
            <w:r w:rsidRPr="00D40021">
              <w:rPr>
                <w:spacing w:val="-20"/>
              </w:rPr>
              <w:t>×</w:t>
            </w:r>
            <w:proofErr w:type="gramStart"/>
            <w:r w:rsidRPr="00D40021">
              <w:rPr>
                <w:rFonts w:hint="eastAsia"/>
                <w:spacing w:val="-20"/>
              </w:rPr>
              <w:t>﹝</w:t>
            </w:r>
            <w:proofErr w:type="gramEnd"/>
            <w:r w:rsidRPr="00D40021">
              <w:rPr>
                <w:rFonts w:hint="eastAsia"/>
                <w:spacing w:val="-20"/>
              </w:rPr>
              <w:t xml:space="preserve">55%＋2% </w:t>
            </w:r>
            <w:r w:rsidRPr="00D40021">
              <w:rPr>
                <w:spacing w:val="-20"/>
              </w:rPr>
              <w:t>×</w:t>
            </w:r>
            <w:r w:rsidRPr="00D40021">
              <w:rPr>
                <w:rFonts w:hint="eastAsia"/>
                <w:spacing w:val="-20"/>
              </w:rPr>
              <w:t>（年資 - 20）</w:t>
            </w:r>
            <w:proofErr w:type="gramStart"/>
            <w:r w:rsidRPr="00D40021">
              <w:rPr>
                <w:rFonts w:hint="eastAsia"/>
                <w:spacing w:val="-20"/>
              </w:rPr>
              <w:t>﹞</w:t>
            </w:r>
            <w:proofErr w:type="gramEnd"/>
          </w:p>
        </w:tc>
        <w:tc>
          <w:tcPr>
            <w:tcW w:w="724" w:type="pct"/>
            <w:gridSpan w:val="2"/>
            <w:shd w:val="clear" w:color="auto" w:fill="auto"/>
            <w:vAlign w:val="center"/>
          </w:tcPr>
          <w:p w:rsidR="0092189B" w:rsidRPr="00D40021" w:rsidRDefault="0092189B" w:rsidP="00F12990">
            <w:pPr>
              <w:pStyle w:val="121"/>
              <w:jc w:val="center"/>
              <w:rPr>
                <w:rFonts w:hAnsi="標楷體" w:cs="新細明體"/>
                <w:spacing w:val="-20"/>
              </w:rPr>
            </w:pPr>
          </w:p>
        </w:tc>
      </w:tr>
    </w:tbl>
    <w:p w:rsidR="00F12990" w:rsidRPr="00D40021" w:rsidRDefault="00F12990" w:rsidP="0092189B">
      <w:pPr>
        <w:pStyle w:val="42"/>
        <w:tabs>
          <w:tab w:val="clear" w:pos="567"/>
        </w:tabs>
        <w:ind w:leftChars="0" w:left="0" w:firstLineChars="0" w:firstLine="0"/>
        <w:rPr>
          <w:rFonts w:hAnsi="標楷體"/>
          <w:sz w:val="24"/>
          <w:szCs w:val="24"/>
        </w:rPr>
      </w:pPr>
      <w:r w:rsidRPr="00D40021">
        <w:rPr>
          <w:rFonts w:hAnsi="標楷體" w:hint="eastAsia"/>
          <w:sz w:val="24"/>
          <w:szCs w:val="24"/>
        </w:rPr>
        <w:t>資料來源：輔導會。</w:t>
      </w:r>
    </w:p>
    <w:p w:rsidR="00F12990" w:rsidRPr="00D40021" w:rsidRDefault="00F12990" w:rsidP="00F12990">
      <w:pPr>
        <w:pStyle w:val="42"/>
        <w:ind w:leftChars="0" w:left="0" w:firstLineChars="0" w:firstLine="0"/>
        <w:rPr>
          <w:rFonts w:hAnsi="標楷體"/>
          <w:sz w:val="24"/>
          <w:szCs w:val="24"/>
        </w:rPr>
      </w:pPr>
    </w:p>
    <w:p w:rsidR="003A0B13" w:rsidRPr="00D40021" w:rsidRDefault="003A0B13" w:rsidP="003A0B13">
      <w:pPr>
        <w:pStyle w:val="3"/>
        <w:numPr>
          <w:ilvl w:val="2"/>
          <w:numId w:val="1"/>
        </w:numPr>
        <w:rPr>
          <w:rFonts w:hAnsi="標楷體"/>
        </w:rPr>
      </w:pPr>
      <w:r w:rsidRPr="00D40021">
        <w:rPr>
          <w:rFonts w:hAnsi="標楷體" w:hint="eastAsia"/>
        </w:rPr>
        <w:t>有關退除役將級軍官支領退休</w:t>
      </w:r>
      <w:proofErr w:type="gramStart"/>
      <w:r w:rsidRPr="00D40021">
        <w:rPr>
          <w:rFonts w:hAnsi="標楷體" w:hint="eastAsia"/>
        </w:rPr>
        <w:t>俸</w:t>
      </w:r>
      <w:proofErr w:type="gramEnd"/>
      <w:r w:rsidRPr="00D40021">
        <w:rPr>
          <w:rFonts w:hAnsi="標楷體" w:hint="eastAsia"/>
        </w:rPr>
        <w:t>，因取消行政院81年6月25日</w:t>
      </w:r>
      <w:proofErr w:type="gramStart"/>
      <w:r w:rsidRPr="00D40021">
        <w:rPr>
          <w:rFonts w:hAnsi="標楷體" w:hint="eastAsia"/>
        </w:rPr>
        <w:t>臺</w:t>
      </w:r>
      <w:proofErr w:type="gramEnd"/>
      <w:r w:rsidRPr="00D40021">
        <w:rPr>
          <w:rFonts w:hAnsi="標楷體" w:hint="eastAsia"/>
        </w:rPr>
        <w:t>八一人</w:t>
      </w:r>
      <w:proofErr w:type="gramStart"/>
      <w:r w:rsidRPr="00D40021">
        <w:rPr>
          <w:rFonts w:hAnsi="標楷體" w:hint="eastAsia"/>
        </w:rPr>
        <w:t>政肆字</w:t>
      </w:r>
      <w:proofErr w:type="gramEnd"/>
      <w:r w:rsidRPr="00D40021">
        <w:rPr>
          <w:rFonts w:hAnsi="標楷體" w:hint="eastAsia"/>
        </w:rPr>
        <w:t>第18116號函核定將級軍官月退休</w:t>
      </w:r>
      <w:proofErr w:type="gramStart"/>
      <w:r w:rsidRPr="00D40021">
        <w:rPr>
          <w:rFonts w:hAnsi="標楷體" w:hint="eastAsia"/>
        </w:rPr>
        <w:t>俸</w:t>
      </w:r>
      <w:proofErr w:type="gramEnd"/>
      <w:r w:rsidRPr="00D40021">
        <w:rPr>
          <w:rFonts w:hAnsi="標楷體" w:hint="eastAsia"/>
        </w:rPr>
        <w:t>差額補助之規定，</w:t>
      </w:r>
      <w:r w:rsidR="008A6BD6" w:rsidRPr="00D40021">
        <w:rPr>
          <w:rFonts w:hAnsi="標楷體" w:hint="eastAsia"/>
        </w:rPr>
        <w:t>業涉有侵害退伍除役人員財產權之虞。</w:t>
      </w:r>
    </w:p>
    <w:p w:rsidR="003A0B13" w:rsidRPr="00D40021" w:rsidRDefault="003A0B13" w:rsidP="003A0B13">
      <w:pPr>
        <w:pStyle w:val="3"/>
        <w:numPr>
          <w:ilvl w:val="0"/>
          <w:numId w:val="0"/>
        </w:numPr>
        <w:ind w:left="1361" w:firstLineChars="205" w:firstLine="697"/>
        <w:rPr>
          <w:rFonts w:hAnsi="標楷體"/>
        </w:rPr>
      </w:pPr>
      <w:r w:rsidRPr="00D40021">
        <w:rPr>
          <w:rFonts w:hAnsi="標楷體" w:hint="eastAsia"/>
          <w:szCs w:val="28"/>
        </w:rPr>
        <w:t>本次服役條例於107年7月1日修正施行後，固提高軍職人員退除給與起支</w:t>
      </w:r>
      <w:proofErr w:type="gramStart"/>
      <w:r w:rsidRPr="00D40021">
        <w:rPr>
          <w:rFonts w:hAnsi="標楷體" w:hint="eastAsia"/>
          <w:szCs w:val="28"/>
        </w:rPr>
        <w:t>俸</w:t>
      </w:r>
      <w:proofErr w:type="gramEnd"/>
      <w:r w:rsidRPr="00D40021">
        <w:rPr>
          <w:rFonts w:hAnsi="標楷體" w:hint="eastAsia"/>
          <w:szCs w:val="28"/>
        </w:rPr>
        <w:t>率，但因取消行政院81年6月25日</w:t>
      </w:r>
      <w:proofErr w:type="gramStart"/>
      <w:r w:rsidRPr="00D40021">
        <w:rPr>
          <w:rFonts w:hAnsi="標楷體" w:hint="eastAsia"/>
          <w:szCs w:val="28"/>
        </w:rPr>
        <w:t>臺</w:t>
      </w:r>
      <w:proofErr w:type="gramEnd"/>
      <w:r w:rsidRPr="00D40021">
        <w:rPr>
          <w:rFonts w:hAnsi="標楷體" w:hint="eastAsia"/>
          <w:szCs w:val="28"/>
        </w:rPr>
        <w:t>八一人</w:t>
      </w:r>
      <w:proofErr w:type="gramStart"/>
      <w:r w:rsidRPr="00D40021">
        <w:rPr>
          <w:rFonts w:hAnsi="標楷體" w:hint="eastAsia"/>
          <w:szCs w:val="28"/>
        </w:rPr>
        <w:t>政肆字</w:t>
      </w:r>
      <w:proofErr w:type="gramEnd"/>
      <w:r w:rsidRPr="00D40021">
        <w:rPr>
          <w:rFonts w:hAnsi="標楷體" w:hint="eastAsia"/>
          <w:szCs w:val="28"/>
        </w:rPr>
        <w:t>第18116號函核定將級軍官月退休</w:t>
      </w:r>
      <w:proofErr w:type="gramStart"/>
      <w:r w:rsidRPr="00D40021">
        <w:rPr>
          <w:rFonts w:hAnsi="標楷體" w:hint="eastAsia"/>
          <w:szCs w:val="28"/>
        </w:rPr>
        <w:t>俸</w:t>
      </w:r>
      <w:proofErr w:type="gramEnd"/>
      <w:r w:rsidRPr="00D40021">
        <w:rPr>
          <w:rFonts w:hAnsi="標楷體" w:hint="eastAsia"/>
          <w:szCs w:val="28"/>
        </w:rPr>
        <w:t>差額補助之規定，實質造成退除役高階將領之退休給與之財產權受到侵害。</w:t>
      </w:r>
      <w:proofErr w:type="gramStart"/>
      <w:r w:rsidRPr="00D40021">
        <w:rPr>
          <w:rFonts w:hAnsi="標楷體" w:hint="eastAsia"/>
          <w:szCs w:val="28"/>
        </w:rPr>
        <w:t>詢</w:t>
      </w:r>
      <w:proofErr w:type="gramEnd"/>
      <w:r w:rsidRPr="00D40021">
        <w:rPr>
          <w:rFonts w:hAnsi="標楷體" w:hint="eastAsia"/>
          <w:szCs w:val="28"/>
        </w:rPr>
        <w:t>據退輔會提供之資料，以108年4月為計算基礎，計有1,293名具新制年資（86年1月1日以後退伍）之退役少將、中將受影響，所取消之差額補助共20,780,740元；</w:t>
      </w:r>
      <w:proofErr w:type="gramStart"/>
      <w:r w:rsidRPr="00D40021">
        <w:rPr>
          <w:rFonts w:hAnsi="標楷體" w:hint="eastAsia"/>
          <w:szCs w:val="28"/>
        </w:rPr>
        <w:t>另純舊制</w:t>
      </w:r>
      <w:proofErr w:type="gramEnd"/>
      <w:r w:rsidRPr="00D40021">
        <w:rPr>
          <w:rFonts w:hAnsi="標楷體" w:hint="eastAsia"/>
          <w:szCs w:val="28"/>
        </w:rPr>
        <w:t>年資（85年12月31日以前退伍）之922名退役少將、中之差額補助則分10年調降。</w:t>
      </w:r>
      <w:r w:rsidRPr="00D40021">
        <w:rPr>
          <w:rFonts w:hAnsi="標楷體" w:hint="eastAsia"/>
        </w:rPr>
        <w:t>有關退除役</w:t>
      </w:r>
      <w:r w:rsidRPr="00D40021">
        <w:rPr>
          <w:rFonts w:hAnsi="標楷體" w:hint="eastAsia"/>
        </w:rPr>
        <w:lastRenderedPageBreak/>
        <w:t>將級軍官支領退休</w:t>
      </w:r>
      <w:proofErr w:type="gramStart"/>
      <w:r w:rsidRPr="00D40021">
        <w:rPr>
          <w:rFonts w:hAnsi="標楷體" w:hint="eastAsia"/>
        </w:rPr>
        <w:t>俸</w:t>
      </w:r>
      <w:proofErr w:type="gramEnd"/>
      <w:r w:rsidRPr="00D40021">
        <w:rPr>
          <w:rFonts w:hAnsi="標楷體" w:hint="eastAsia"/>
        </w:rPr>
        <w:t>補助差額辦理沿革，與配合本次服役條例修正施行後之變動情形，茲說明如下：</w:t>
      </w:r>
    </w:p>
    <w:p w:rsidR="00F213BD" w:rsidRPr="00D40021" w:rsidRDefault="008A1BC4" w:rsidP="003C362E">
      <w:pPr>
        <w:pStyle w:val="4"/>
      </w:pPr>
      <w:r w:rsidRPr="00D40021">
        <w:rPr>
          <w:rFonts w:hint="eastAsia"/>
        </w:rPr>
        <w:t>行政院</w:t>
      </w:r>
      <w:r w:rsidR="003C362E" w:rsidRPr="00D40021">
        <w:rPr>
          <w:rFonts w:hint="eastAsia"/>
        </w:rPr>
        <w:t>前於</w:t>
      </w:r>
      <w:r w:rsidRPr="00D40021">
        <w:rPr>
          <w:rFonts w:hint="eastAsia"/>
        </w:rPr>
        <w:t>81年6月25日</w:t>
      </w:r>
      <w:r w:rsidR="003C362E" w:rsidRPr="00D40021">
        <w:rPr>
          <w:rFonts w:hint="eastAsia"/>
        </w:rPr>
        <w:t>以</w:t>
      </w:r>
      <w:proofErr w:type="gramStart"/>
      <w:r w:rsidRPr="00D40021">
        <w:rPr>
          <w:rFonts w:hint="eastAsia"/>
        </w:rPr>
        <w:t>臺</w:t>
      </w:r>
      <w:proofErr w:type="gramEnd"/>
      <w:r w:rsidRPr="00D40021">
        <w:rPr>
          <w:rFonts w:hint="eastAsia"/>
        </w:rPr>
        <w:t>八一人</w:t>
      </w:r>
      <w:proofErr w:type="gramStart"/>
      <w:r w:rsidRPr="00D40021">
        <w:rPr>
          <w:rFonts w:hint="eastAsia"/>
        </w:rPr>
        <w:t>政肆字</w:t>
      </w:r>
      <w:proofErr w:type="gramEnd"/>
      <w:r w:rsidRPr="00D40021">
        <w:rPr>
          <w:rFonts w:hint="eastAsia"/>
        </w:rPr>
        <w:t>第18116號函核定將級軍官</w:t>
      </w:r>
      <w:r w:rsidR="007D3177" w:rsidRPr="00D40021">
        <w:rPr>
          <w:rFonts w:hint="eastAsia"/>
        </w:rPr>
        <w:t>月</w:t>
      </w:r>
      <w:r w:rsidRPr="00D40021">
        <w:rPr>
          <w:rFonts w:hint="eastAsia"/>
        </w:rPr>
        <w:t>退休</w:t>
      </w:r>
      <w:proofErr w:type="gramStart"/>
      <w:r w:rsidRPr="00D40021">
        <w:rPr>
          <w:rFonts w:hint="eastAsia"/>
        </w:rPr>
        <w:t>俸</w:t>
      </w:r>
      <w:proofErr w:type="gramEnd"/>
      <w:r w:rsidRPr="00D40021">
        <w:rPr>
          <w:rFonts w:hint="eastAsia"/>
        </w:rPr>
        <w:t>差額補助，</w:t>
      </w:r>
      <w:r w:rsidR="003C362E" w:rsidRPr="00D40021">
        <w:rPr>
          <w:rFonts w:hint="eastAsia"/>
        </w:rPr>
        <w:t>該函</w:t>
      </w:r>
      <w:r w:rsidRPr="00D40021">
        <w:rPr>
          <w:rFonts w:hint="eastAsia"/>
        </w:rPr>
        <w:t>摘要</w:t>
      </w:r>
      <w:r w:rsidR="003C362E" w:rsidRPr="00D40021">
        <w:rPr>
          <w:rFonts w:hint="eastAsia"/>
        </w:rPr>
        <w:t>如下：</w:t>
      </w:r>
    </w:p>
    <w:p w:rsidR="008A1BC4" w:rsidRPr="00D40021" w:rsidRDefault="008A1BC4" w:rsidP="003C362E">
      <w:pPr>
        <w:pStyle w:val="5"/>
      </w:pPr>
      <w:r w:rsidRPr="00D40021">
        <w:rPr>
          <w:rFonts w:hint="eastAsia"/>
        </w:rPr>
        <w:t>緣起</w:t>
      </w:r>
    </w:p>
    <w:p w:rsidR="008A1BC4" w:rsidRPr="00D40021" w:rsidRDefault="008A1BC4" w:rsidP="003C362E">
      <w:pPr>
        <w:pStyle w:val="6"/>
      </w:pPr>
      <w:r w:rsidRPr="00D40021">
        <w:rPr>
          <w:rFonts w:hint="eastAsia"/>
        </w:rPr>
        <w:t>在</w:t>
      </w:r>
      <w:proofErr w:type="gramStart"/>
      <w:r w:rsidRPr="00D40021">
        <w:rPr>
          <w:rFonts w:hint="eastAsia"/>
        </w:rPr>
        <w:t>臺</w:t>
      </w:r>
      <w:proofErr w:type="gramEnd"/>
      <w:r w:rsidRPr="00D40021">
        <w:rPr>
          <w:rFonts w:hint="eastAsia"/>
        </w:rPr>
        <w:t>將官自46年起，辦理正式退除役，經行政院國軍退除役官兵輔導委員會擬訂辦法，一律安置各公營事業機構擔任顧問，因當時顧問待遇高於現役將官，使將官退除制度得以順利實施，迄至54年底，因各公營事業機構顧問已呈飽和，乃決定停辦。</w:t>
      </w:r>
      <w:proofErr w:type="gramStart"/>
      <w:r w:rsidRPr="00D40021">
        <w:rPr>
          <w:rFonts w:hint="eastAsia"/>
        </w:rPr>
        <w:t>另策訂</w:t>
      </w:r>
      <w:proofErr w:type="gramEnd"/>
      <w:r w:rsidRPr="00D40021">
        <w:rPr>
          <w:rFonts w:hint="eastAsia"/>
        </w:rPr>
        <w:t>「加强退休俸及改進軍官退除安置方案」，擬以「退休俸」代替「安置顧問待遇」，惟因將級退休俸月支金額低於顧問，為使支領退休俸人員與顧問待遇一致，將級除依規定支領退休俸外，另比照顧問待遇補足其差額。上述退除安置方案，曾於54年奉總統（54）</w:t>
      </w:r>
      <w:proofErr w:type="gramStart"/>
      <w:r w:rsidRPr="00D40021">
        <w:rPr>
          <w:rFonts w:hint="eastAsia"/>
        </w:rPr>
        <w:t>台統</w:t>
      </w:r>
      <w:proofErr w:type="gramEnd"/>
      <w:r w:rsidRPr="00D40021">
        <w:rPr>
          <w:rFonts w:hint="eastAsia"/>
        </w:rPr>
        <w:t>二人字第0761號代電及行政院台（54）人55720號令核准實施。</w:t>
      </w:r>
    </w:p>
    <w:p w:rsidR="008A1BC4" w:rsidRPr="00D40021" w:rsidRDefault="008A1BC4" w:rsidP="003C362E">
      <w:pPr>
        <w:pStyle w:val="6"/>
      </w:pPr>
      <w:r w:rsidRPr="00D40021">
        <w:rPr>
          <w:rFonts w:hint="eastAsia"/>
        </w:rPr>
        <w:t>前項支領退休</w:t>
      </w:r>
      <w:proofErr w:type="gramStart"/>
      <w:r w:rsidRPr="00D40021">
        <w:rPr>
          <w:rFonts w:hint="eastAsia"/>
        </w:rPr>
        <w:t>俸</w:t>
      </w:r>
      <w:proofErr w:type="gramEnd"/>
      <w:r w:rsidRPr="00D40021">
        <w:rPr>
          <w:rFonts w:hint="eastAsia"/>
        </w:rPr>
        <w:t>將官待遇於62年配合待遇調整，採取一定之計算標準，並比照將級顧問月支數額發給其差額</w:t>
      </w:r>
      <w:proofErr w:type="gramStart"/>
      <w:r w:rsidRPr="00D40021">
        <w:rPr>
          <w:rFonts w:hint="eastAsia"/>
        </w:rPr>
        <w:t>（</w:t>
      </w:r>
      <w:proofErr w:type="gramEnd"/>
      <w:r w:rsidRPr="00D40021">
        <w:rPr>
          <w:rFonts w:hint="eastAsia"/>
        </w:rPr>
        <w:t>中將按12職等年功</w:t>
      </w:r>
      <w:proofErr w:type="gramStart"/>
      <w:r w:rsidRPr="00D40021">
        <w:rPr>
          <w:rFonts w:hint="eastAsia"/>
        </w:rPr>
        <w:t>俸</w:t>
      </w:r>
      <w:proofErr w:type="gramEnd"/>
      <w:r w:rsidR="003C362E" w:rsidRPr="00D40021">
        <w:rPr>
          <w:rFonts w:hint="eastAsia"/>
        </w:rPr>
        <w:t>1</w:t>
      </w:r>
      <w:r w:rsidRPr="00D40021">
        <w:rPr>
          <w:rFonts w:hint="eastAsia"/>
        </w:rPr>
        <w:t>級</w:t>
      </w:r>
      <w:proofErr w:type="gramStart"/>
      <w:r w:rsidRPr="00D40021">
        <w:rPr>
          <w:rFonts w:hint="eastAsia"/>
        </w:rPr>
        <w:t>俸</w:t>
      </w:r>
      <w:proofErr w:type="gramEnd"/>
      <w:r w:rsidRPr="00D40021">
        <w:rPr>
          <w:rFonts w:hint="eastAsia"/>
        </w:rPr>
        <w:t>額及專業加給；少將按11職等本</w:t>
      </w:r>
      <w:proofErr w:type="gramStart"/>
      <w:r w:rsidRPr="00D40021">
        <w:rPr>
          <w:rFonts w:hint="eastAsia"/>
        </w:rPr>
        <w:t>俸</w:t>
      </w:r>
      <w:proofErr w:type="gramEnd"/>
      <w:r w:rsidRPr="00D40021">
        <w:rPr>
          <w:rFonts w:hint="eastAsia"/>
        </w:rPr>
        <w:t>5級</w:t>
      </w:r>
      <w:proofErr w:type="gramStart"/>
      <w:r w:rsidRPr="00D40021">
        <w:rPr>
          <w:rFonts w:hint="eastAsia"/>
        </w:rPr>
        <w:t>俸</w:t>
      </w:r>
      <w:proofErr w:type="gramEnd"/>
      <w:r w:rsidRPr="00D40021">
        <w:rPr>
          <w:rFonts w:hint="eastAsia"/>
        </w:rPr>
        <w:t>額及專業加給為標準</w:t>
      </w:r>
      <w:proofErr w:type="gramStart"/>
      <w:r w:rsidRPr="00D40021">
        <w:rPr>
          <w:rFonts w:hint="eastAsia"/>
        </w:rPr>
        <w:t>）</w:t>
      </w:r>
      <w:proofErr w:type="gramEnd"/>
      <w:r w:rsidRPr="00D40021">
        <w:rPr>
          <w:rFonts w:hint="eastAsia"/>
        </w:rPr>
        <w:t>，經行政院62年6月29日台（62）人</w:t>
      </w:r>
      <w:proofErr w:type="gramStart"/>
      <w:r w:rsidRPr="00D40021">
        <w:rPr>
          <w:rFonts w:hint="eastAsia"/>
        </w:rPr>
        <w:t>政肆字</w:t>
      </w:r>
      <w:proofErr w:type="gramEnd"/>
      <w:r w:rsidRPr="00D40021">
        <w:rPr>
          <w:rFonts w:hint="eastAsia"/>
        </w:rPr>
        <w:t>第18507號函核定實施。</w:t>
      </w:r>
    </w:p>
    <w:p w:rsidR="008A1BC4" w:rsidRPr="00D40021" w:rsidRDefault="008A1BC4" w:rsidP="003C362E">
      <w:pPr>
        <w:pStyle w:val="5"/>
      </w:pPr>
      <w:r w:rsidRPr="00D40021">
        <w:rPr>
          <w:rFonts w:hint="eastAsia"/>
        </w:rPr>
        <w:t>分析</w:t>
      </w:r>
    </w:p>
    <w:p w:rsidR="008A1BC4" w:rsidRPr="00D40021" w:rsidRDefault="008A1BC4" w:rsidP="003C362E">
      <w:pPr>
        <w:pStyle w:val="6"/>
      </w:pPr>
      <w:r w:rsidRPr="00D40021">
        <w:rPr>
          <w:rFonts w:hint="eastAsia"/>
        </w:rPr>
        <w:t>現行（81年6</w:t>
      </w:r>
      <w:r w:rsidR="003C362E" w:rsidRPr="00D40021">
        <w:rPr>
          <w:rFonts w:hint="eastAsia"/>
        </w:rPr>
        <w:t>月）中、少將退休</w:t>
      </w:r>
      <w:proofErr w:type="gramStart"/>
      <w:r w:rsidR="003C362E" w:rsidRPr="00D40021">
        <w:rPr>
          <w:rFonts w:hint="eastAsia"/>
        </w:rPr>
        <w:t>俸</w:t>
      </w:r>
      <w:proofErr w:type="gramEnd"/>
      <w:r w:rsidR="003C362E" w:rsidRPr="00D40021">
        <w:rPr>
          <w:rFonts w:hint="eastAsia"/>
        </w:rPr>
        <w:t>除依</w:t>
      </w:r>
      <w:r w:rsidRPr="00D40021">
        <w:rPr>
          <w:rFonts w:hint="eastAsia"/>
        </w:rPr>
        <w:t>陸海空軍軍官服役條例給與規定外，另依行政院台</w:t>
      </w:r>
      <w:r w:rsidRPr="00D40021">
        <w:rPr>
          <w:rFonts w:hint="eastAsia"/>
        </w:rPr>
        <w:lastRenderedPageBreak/>
        <w:t>（54）人55720號令及（62）人</w:t>
      </w:r>
      <w:proofErr w:type="gramStart"/>
      <w:r w:rsidRPr="00D40021">
        <w:rPr>
          <w:rFonts w:hint="eastAsia"/>
        </w:rPr>
        <w:t>政肆字</w:t>
      </w:r>
      <w:proofErr w:type="gramEnd"/>
      <w:r w:rsidRPr="00D40021">
        <w:rPr>
          <w:rFonts w:hint="eastAsia"/>
        </w:rPr>
        <w:t>第18507號</w:t>
      </w:r>
      <w:r w:rsidR="003C362E" w:rsidRPr="00D40021">
        <w:rPr>
          <w:rFonts w:hint="eastAsia"/>
        </w:rPr>
        <w:t>函等行政命令，准照公營事業機構顧問待遇月支數額補足其差額發給如</w:t>
      </w:r>
      <w:r w:rsidRPr="00D40021">
        <w:rPr>
          <w:rFonts w:hint="eastAsia"/>
        </w:rPr>
        <w:t>表</w:t>
      </w:r>
      <w:r w:rsidR="003C362E" w:rsidRPr="00D40021">
        <w:rPr>
          <w:rFonts w:hint="eastAsia"/>
        </w:rPr>
        <w:t>5</w:t>
      </w:r>
      <w:r w:rsidRPr="00D40021">
        <w:rPr>
          <w:rFonts w:hint="eastAsia"/>
        </w:rPr>
        <w:t>：</w:t>
      </w:r>
    </w:p>
    <w:p w:rsidR="003C362E" w:rsidRPr="00D40021" w:rsidRDefault="003C362E" w:rsidP="0055173E">
      <w:pPr>
        <w:pStyle w:val="a3"/>
        <w:numPr>
          <w:ilvl w:val="0"/>
          <w:numId w:val="4"/>
        </w:numPr>
        <w:ind w:left="709" w:hanging="709"/>
        <w:rPr>
          <w:rFonts w:hAnsi="標楷體"/>
        </w:rPr>
      </w:pPr>
      <w:r w:rsidRPr="00D40021">
        <w:rPr>
          <w:rFonts w:hint="eastAsia"/>
        </w:rPr>
        <w:t>公營事業機構顧問待遇</w:t>
      </w:r>
      <w:proofErr w:type="gramStart"/>
      <w:r w:rsidRPr="00D40021">
        <w:rPr>
          <w:rFonts w:hint="eastAsia"/>
        </w:rPr>
        <w:t>月支數</w:t>
      </w:r>
      <w:r w:rsidR="009B5A39" w:rsidRPr="00D40021">
        <w:rPr>
          <w:rFonts w:hint="eastAsia"/>
        </w:rPr>
        <w:t>與</w:t>
      </w:r>
      <w:proofErr w:type="gramEnd"/>
      <w:r w:rsidRPr="00D40021">
        <w:rPr>
          <w:rFonts w:hint="eastAsia"/>
        </w:rPr>
        <w:t>中、少將退休差額補助</w:t>
      </w:r>
    </w:p>
    <w:tbl>
      <w:tblPr>
        <w:tblStyle w:val="afb"/>
        <w:tblW w:w="5000" w:type="pct"/>
        <w:tblLook w:val="04A0" w:firstRow="1" w:lastRow="0" w:firstColumn="1" w:lastColumn="0" w:noHBand="0" w:noVBand="1"/>
      </w:tblPr>
      <w:tblGrid>
        <w:gridCol w:w="791"/>
        <w:gridCol w:w="2866"/>
        <w:gridCol w:w="3834"/>
        <w:gridCol w:w="1343"/>
      </w:tblGrid>
      <w:tr w:rsidR="00D40021" w:rsidRPr="00D40021" w:rsidTr="0049162A">
        <w:tc>
          <w:tcPr>
            <w:tcW w:w="448" w:type="pct"/>
            <w:shd w:val="clear" w:color="auto" w:fill="EEECE1" w:themeFill="background2"/>
            <w:vAlign w:val="center"/>
          </w:tcPr>
          <w:p w:rsidR="008A1BC4" w:rsidRPr="00D40021" w:rsidRDefault="008A1BC4" w:rsidP="0049162A">
            <w:pPr>
              <w:pStyle w:val="14"/>
              <w:jc w:val="center"/>
            </w:pPr>
            <w:r w:rsidRPr="00D40021">
              <w:rPr>
                <w:rFonts w:hint="eastAsia"/>
              </w:rPr>
              <w:t>官階</w:t>
            </w:r>
          </w:p>
        </w:tc>
        <w:tc>
          <w:tcPr>
            <w:tcW w:w="1622" w:type="pct"/>
            <w:shd w:val="clear" w:color="auto" w:fill="EEECE1" w:themeFill="background2"/>
            <w:vAlign w:val="center"/>
          </w:tcPr>
          <w:p w:rsidR="0049162A" w:rsidRPr="00D40021" w:rsidRDefault="0049162A" w:rsidP="0049162A">
            <w:pPr>
              <w:pStyle w:val="14"/>
              <w:jc w:val="center"/>
            </w:pPr>
            <w:r w:rsidRPr="00D40021">
              <w:rPr>
                <w:rFonts w:hint="eastAsia"/>
              </w:rPr>
              <w:t>81年6月公營事業機構</w:t>
            </w:r>
          </w:p>
          <w:p w:rsidR="008A1BC4" w:rsidRPr="00D40021" w:rsidRDefault="0049162A" w:rsidP="0049162A">
            <w:pPr>
              <w:pStyle w:val="14"/>
              <w:jc w:val="center"/>
            </w:pPr>
            <w:r w:rsidRPr="00D40021">
              <w:rPr>
                <w:rFonts w:hint="eastAsia"/>
              </w:rPr>
              <w:t>顧問待遇</w:t>
            </w:r>
            <w:r w:rsidR="008A1BC4" w:rsidRPr="00D40021">
              <w:rPr>
                <w:rFonts w:hint="eastAsia"/>
              </w:rPr>
              <w:t>支給標準</w:t>
            </w:r>
          </w:p>
        </w:tc>
        <w:tc>
          <w:tcPr>
            <w:tcW w:w="2170" w:type="pct"/>
            <w:shd w:val="clear" w:color="auto" w:fill="EEECE1" w:themeFill="background2"/>
            <w:vAlign w:val="center"/>
          </w:tcPr>
          <w:p w:rsidR="0049162A" w:rsidRPr="00D40021" w:rsidRDefault="008A1BC4" w:rsidP="0049162A">
            <w:pPr>
              <w:pStyle w:val="14"/>
              <w:jc w:val="center"/>
            </w:pPr>
            <w:r w:rsidRPr="00D40021">
              <w:rPr>
                <w:rFonts w:hint="eastAsia"/>
              </w:rPr>
              <w:t>按</w:t>
            </w:r>
            <w:r w:rsidR="003C362E" w:rsidRPr="00D40021">
              <w:rPr>
                <w:rFonts w:hint="eastAsia"/>
              </w:rPr>
              <w:t>陸海空軍軍官服役條例</w:t>
            </w:r>
            <w:r w:rsidRPr="00D40021">
              <w:rPr>
                <w:rFonts w:hint="eastAsia"/>
              </w:rPr>
              <w:t>規定</w:t>
            </w:r>
          </w:p>
          <w:p w:rsidR="008A1BC4" w:rsidRPr="00D40021" w:rsidRDefault="008A1BC4" w:rsidP="0049162A">
            <w:pPr>
              <w:pStyle w:val="14"/>
              <w:jc w:val="center"/>
            </w:pPr>
            <w:r w:rsidRPr="00D40021">
              <w:rPr>
                <w:rFonts w:hint="eastAsia"/>
              </w:rPr>
              <w:t>支給本</w:t>
            </w:r>
            <w:proofErr w:type="gramStart"/>
            <w:r w:rsidRPr="00D40021">
              <w:rPr>
                <w:rFonts w:hint="eastAsia"/>
              </w:rPr>
              <w:t>俸</w:t>
            </w:r>
            <w:proofErr w:type="gramEnd"/>
            <w:r w:rsidR="003C362E" w:rsidRPr="00D40021">
              <w:rPr>
                <w:rFonts w:hint="eastAsia"/>
              </w:rPr>
              <w:t>之</w:t>
            </w:r>
            <w:r w:rsidRPr="00D40021">
              <w:rPr>
                <w:rFonts w:hint="eastAsia"/>
              </w:rPr>
              <w:t>90</w:t>
            </w:r>
            <w:proofErr w:type="gramStart"/>
            <w:r w:rsidRPr="00D40021">
              <w:rPr>
                <w:rFonts w:hint="eastAsia"/>
              </w:rPr>
              <w:t>﹪</w:t>
            </w:r>
            <w:proofErr w:type="gramEnd"/>
          </w:p>
        </w:tc>
        <w:tc>
          <w:tcPr>
            <w:tcW w:w="761" w:type="pct"/>
            <w:shd w:val="clear" w:color="auto" w:fill="EEECE1" w:themeFill="background2"/>
            <w:vAlign w:val="center"/>
          </w:tcPr>
          <w:p w:rsidR="008A1BC4" w:rsidRPr="00D40021" w:rsidRDefault="008A1BC4" w:rsidP="0049162A">
            <w:pPr>
              <w:pStyle w:val="14"/>
              <w:jc w:val="center"/>
            </w:pPr>
            <w:r w:rsidRPr="00D40021">
              <w:rPr>
                <w:rFonts w:hint="eastAsia"/>
              </w:rPr>
              <w:t>補足差額</w:t>
            </w:r>
          </w:p>
        </w:tc>
      </w:tr>
      <w:tr w:rsidR="00D40021" w:rsidRPr="00D40021" w:rsidTr="0049162A">
        <w:tc>
          <w:tcPr>
            <w:tcW w:w="448" w:type="pct"/>
            <w:vAlign w:val="center"/>
          </w:tcPr>
          <w:p w:rsidR="008A1BC4" w:rsidRPr="00D40021" w:rsidRDefault="008A1BC4" w:rsidP="0049162A">
            <w:pPr>
              <w:pStyle w:val="14"/>
              <w:jc w:val="center"/>
            </w:pPr>
            <w:r w:rsidRPr="00D40021">
              <w:rPr>
                <w:rFonts w:hint="eastAsia"/>
              </w:rPr>
              <w:t>中將</w:t>
            </w:r>
          </w:p>
        </w:tc>
        <w:tc>
          <w:tcPr>
            <w:tcW w:w="1622" w:type="pct"/>
            <w:vAlign w:val="center"/>
          </w:tcPr>
          <w:p w:rsidR="008A1BC4" w:rsidRPr="00D40021" w:rsidRDefault="008A1BC4" w:rsidP="0049162A">
            <w:pPr>
              <w:pStyle w:val="14"/>
              <w:jc w:val="center"/>
            </w:pPr>
            <w:r w:rsidRPr="00D40021">
              <w:rPr>
                <w:rFonts w:hint="eastAsia"/>
              </w:rPr>
              <w:t>51,165</w:t>
            </w:r>
          </w:p>
        </w:tc>
        <w:tc>
          <w:tcPr>
            <w:tcW w:w="2170" w:type="pct"/>
            <w:vAlign w:val="center"/>
          </w:tcPr>
          <w:p w:rsidR="008A1BC4" w:rsidRPr="00D40021" w:rsidRDefault="008A1BC4" w:rsidP="0049162A">
            <w:pPr>
              <w:pStyle w:val="14"/>
              <w:jc w:val="center"/>
            </w:pPr>
            <w:r w:rsidRPr="00D40021">
              <w:rPr>
                <w:rFonts w:hint="eastAsia"/>
              </w:rPr>
              <w:t>29,889</w:t>
            </w:r>
          </w:p>
        </w:tc>
        <w:tc>
          <w:tcPr>
            <w:tcW w:w="761" w:type="pct"/>
            <w:shd w:val="clear" w:color="auto" w:fill="FFFF00"/>
            <w:vAlign w:val="center"/>
          </w:tcPr>
          <w:p w:rsidR="008A1BC4" w:rsidRPr="00D40021" w:rsidRDefault="008A1BC4" w:rsidP="0049162A">
            <w:pPr>
              <w:pStyle w:val="14"/>
              <w:jc w:val="center"/>
            </w:pPr>
            <w:r w:rsidRPr="00D40021">
              <w:rPr>
                <w:rFonts w:hint="eastAsia"/>
              </w:rPr>
              <w:t>21,276</w:t>
            </w:r>
          </w:p>
        </w:tc>
      </w:tr>
      <w:tr w:rsidR="00D40021" w:rsidRPr="00D40021" w:rsidTr="0049162A">
        <w:tc>
          <w:tcPr>
            <w:tcW w:w="448" w:type="pct"/>
            <w:vAlign w:val="center"/>
          </w:tcPr>
          <w:p w:rsidR="008A1BC4" w:rsidRPr="00D40021" w:rsidRDefault="008A1BC4" w:rsidP="0049162A">
            <w:pPr>
              <w:pStyle w:val="14"/>
              <w:jc w:val="center"/>
            </w:pPr>
            <w:r w:rsidRPr="00D40021">
              <w:rPr>
                <w:rFonts w:hint="eastAsia"/>
              </w:rPr>
              <w:t>少將</w:t>
            </w:r>
          </w:p>
        </w:tc>
        <w:tc>
          <w:tcPr>
            <w:tcW w:w="1622" w:type="pct"/>
            <w:vAlign w:val="center"/>
          </w:tcPr>
          <w:p w:rsidR="008A1BC4" w:rsidRPr="00D40021" w:rsidRDefault="008A1BC4" w:rsidP="0049162A">
            <w:pPr>
              <w:pStyle w:val="14"/>
              <w:jc w:val="center"/>
            </w:pPr>
            <w:r w:rsidRPr="00D40021">
              <w:rPr>
                <w:rFonts w:hint="eastAsia"/>
              </w:rPr>
              <w:t>46,165</w:t>
            </w:r>
          </w:p>
        </w:tc>
        <w:tc>
          <w:tcPr>
            <w:tcW w:w="2170" w:type="pct"/>
            <w:vAlign w:val="center"/>
          </w:tcPr>
          <w:p w:rsidR="008A1BC4" w:rsidRPr="00D40021" w:rsidRDefault="008A1BC4" w:rsidP="0049162A">
            <w:pPr>
              <w:pStyle w:val="14"/>
              <w:jc w:val="center"/>
            </w:pPr>
            <w:r w:rsidRPr="00D40021">
              <w:rPr>
                <w:rFonts w:hint="eastAsia"/>
              </w:rPr>
              <w:t>29,507</w:t>
            </w:r>
          </w:p>
        </w:tc>
        <w:tc>
          <w:tcPr>
            <w:tcW w:w="761" w:type="pct"/>
            <w:shd w:val="clear" w:color="auto" w:fill="FFFF00"/>
            <w:vAlign w:val="center"/>
          </w:tcPr>
          <w:p w:rsidR="008A1BC4" w:rsidRPr="00D40021" w:rsidRDefault="008A1BC4" w:rsidP="0049162A">
            <w:pPr>
              <w:pStyle w:val="14"/>
              <w:jc w:val="center"/>
            </w:pPr>
            <w:r w:rsidRPr="00D40021">
              <w:rPr>
                <w:rFonts w:hint="eastAsia"/>
              </w:rPr>
              <w:t>16,658</w:t>
            </w:r>
          </w:p>
        </w:tc>
      </w:tr>
    </w:tbl>
    <w:p w:rsidR="008A1BC4" w:rsidRPr="00D40021" w:rsidRDefault="003C362E" w:rsidP="003C362E">
      <w:pPr>
        <w:pStyle w:val="42"/>
        <w:tabs>
          <w:tab w:val="clear" w:pos="567"/>
        </w:tabs>
        <w:ind w:leftChars="0" w:left="0" w:firstLineChars="0" w:firstLine="0"/>
        <w:rPr>
          <w:rFonts w:hAnsi="標楷體"/>
          <w:sz w:val="24"/>
          <w:szCs w:val="24"/>
        </w:rPr>
      </w:pPr>
      <w:r w:rsidRPr="00D40021">
        <w:rPr>
          <w:rFonts w:hAnsi="標楷體" w:hint="eastAsia"/>
          <w:sz w:val="24"/>
          <w:szCs w:val="24"/>
        </w:rPr>
        <w:t>資料來源：行政院81年6月25日</w:t>
      </w:r>
      <w:proofErr w:type="gramStart"/>
      <w:r w:rsidRPr="00D40021">
        <w:rPr>
          <w:rFonts w:hAnsi="標楷體" w:hint="eastAsia"/>
          <w:sz w:val="24"/>
          <w:szCs w:val="24"/>
        </w:rPr>
        <w:t>臺</w:t>
      </w:r>
      <w:proofErr w:type="gramEnd"/>
      <w:r w:rsidRPr="00D40021">
        <w:rPr>
          <w:rFonts w:hAnsi="標楷體" w:hint="eastAsia"/>
          <w:sz w:val="24"/>
          <w:szCs w:val="24"/>
        </w:rPr>
        <w:t>八一人</w:t>
      </w:r>
      <w:proofErr w:type="gramStart"/>
      <w:r w:rsidRPr="00D40021">
        <w:rPr>
          <w:rFonts w:hAnsi="標楷體" w:hint="eastAsia"/>
          <w:sz w:val="24"/>
          <w:szCs w:val="24"/>
        </w:rPr>
        <w:t>政肆字</w:t>
      </w:r>
      <w:proofErr w:type="gramEnd"/>
      <w:r w:rsidRPr="00D40021">
        <w:rPr>
          <w:rFonts w:hAnsi="標楷體" w:hint="eastAsia"/>
          <w:sz w:val="24"/>
          <w:szCs w:val="24"/>
        </w:rPr>
        <w:t>第18116號函。</w:t>
      </w:r>
    </w:p>
    <w:p w:rsidR="003C362E" w:rsidRPr="00D40021" w:rsidRDefault="003C362E" w:rsidP="003C362E">
      <w:pPr>
        <w:pStyle w:val="42"/>
        <w:tabs>
          <w:tab w:val="clear" w:pos="567"/>
        </w:tabs>
        <w:ind w:leftChars="0" w:left="0" w:firstLineChars="0" w:firstLine="0"/>
        <w:rPr>
          <w:rFonts w:hAnsi="標楷體"/>
          <w:sz w:val="24"/>
          <w:szCs w:val="24"/>
        </w:rPr>
      </w:pPr>
    </w:p>
    <w:p w:rsidR="008A1BC4" w:rsidRPr="00D40021" w:rsidRDefault="008A1BC4" w:rsidP="003C362E">
      <w:pPr>
        <w:pStyle w:val="6"/>
      </w:pPr>
      <w:r w:rsidRPr="00D40021">
        <w:rPr>
          <w:rFonts w:hint="eastAsia"/>
        </w:rPr>
        <w:t>退除中、少將支領退休</w:t>
      </w:r>
      <w:proofErr w:type="gramStart"/>
      <w:r w:rsidRPr="00D40021">
        <w:rPr>
          <w:rFonts w:hint="eastAsia"/>
        </w:rPr>
        <w:t>俸</w:t>
      </w:r>
      <w:proofErr w:type="gramEnd"/>
      <w:r w:rsidRPr="00D40021">
        <w:rPr>
          <w:rFonts w:hint="eastAsia"/>
        </w:rPr>
        <w:t>人員，增發差額給與，施行迄今（81年6月）已26年，若</w:t>
      </w:r>
      <w:proofErr w:type="gramStart"/>
      <w:r w:rsidRPr="00D40021">
        <w:rPr>
          <w:rFonts w:hint="eastAsia"/>
        </w:rPr>
        <w:t>遽</w:t>
      </w:r>
      <w:proofErr w:type="gramEnd"/>
      <w:r w:rsidRPr="00D40021">
        <w:rPr>
          <w:rFonts w:hint="eastAsia"/>
        </w:rPr>
        <w:t>予廢止，對退除中、少將生活及現職中、少將人員心理影響至</w:t>
      </w:r>
      <w:proofErr w:type="gramStart"/>
      <w:r w:rsidRPr="00D40021">
        <w:rPr>
          <w:rFonts w:hint="eastAsia"/>
        </w:rPr>
        <w:t>鉅</w:t>
      </w:r>
      <w:proofErr w:type="gramEnd"/>
      <w:r w:rsidRPr="00D40021">
        <w:rPr>
          <w:rFonts w:hint="eastAsia"/>
        </w:rPr>
        <w:t>。</w:t>
      </w:r>
    </w:p>
    <w:p w:rsidR="008A1BC4" w:rsidRPr="00D40021" w:rsidRDefault="008A1BC4" w:rsidP="003C362E">
      <w:pPr>
        <w:pStyle w:val="5"/>
      </w:pPr>
      <w:r w:rsidRPr="00D40021">
        <w:rPr>
          <w:rFonts w:hint="eastAsia"/>
        </w:rPr>
        <w:t>處理意見</w:t>
      </w:r>
    </w:p>
    <w:p w:rsidR="00F213BD" w:rsidRPr="00D40021" w:rsidRDefault="008A1BC4" w:rsidP="003C362E">
      <w:pPr>
        <w:pStyle w:val="21"/>
        <w:ind w:leftChars="600" w:left="2041" w:firstLine="680"/>
      </w:pPr>
      <w:r w:rsidRPr="00D40021">
        <w:rPr>
          <w:rFonts w:hint="eastAsia"/>
        </w:rPr>
        <w:t>維持現行（81年6月）行政命令規定，退除中、少將人員除按服役條例規定支領退休</w:t>
      </w:r>
      <w:proofErr w:type="gramStart"/>
      <w:r w:rsidRPr="00D40021">
        <w:rPr>
          <w:rFonts w:hint="eastAsia"/>
        </w:rPr>
        <w:t>俸</w:t>
      </w:r>
      <w:proofErr w:type="gramEnd"/>
      <w:r w:rsidRPr="00D40021">
        <w:rPr>
          <w:rFonts w:hint="eastAsia"/>
        </w:rPr>
        <w:t>外，</w:t>
      </w:r>
      <w:proofErr w:type="gramStart"/>
      <w:r w:rsidRPr="00D40021">
        <w:rPr>
          <w:rFonts w:hint="eastAsia"/>
        </w:rPr>
        <w:t>另准照</w:t>
      </w:r>
      <w:proofErr w:type="gramEnd"/>
      <w:r w:rsidRPr="00D40021">
        <w:rPr>
          <w:rFonts w:hint="eastAsia"/>
        </w:rPr>
        <w:t>公營事業機構顧問月支數額標準，補足其差額</w:t>
      </w:r>
      <w:r w:rsidR="007A2A1C" w:rsidRPr="00D40021">
        <w:rPr>
          <w:rFonts w:hint="eastAsia"/>
        </w:rPr>
        <w:t>等情</w:t>
      </w:r>
      <w:r w:rsidRPr="00D40021">
        <w:rPr>
          <w:rFonts w:hint="eastAsia"/>
        </w:rPr>
        <w:t>。</w:t>
      </w:r>
    </w:p>
    <w:p w:rsidR="00C4440B" w:rsidRPr="00D40021" w:rsidRDefault="00A015AF" w:rsidP="00C4440B">
      <w:pPr>
        <w:pStyle w:val="4"/>
      </w:pPr>
      <w:r w:rsidRPr="00D40021">
        <w:rPr>
          <w:rFonts w:hAnsi="標楷體" w:hint="eastAsia"/>
        </w:rPr>
        <w:t>本次服役條例修正施行</w:t>
      </w:r>
      <w:r w:rsidR="00A248AB" w:rsidRPr="00D40021">
        <w:rPr>
          <w:rFonts w:hAnsi="標楷體" w:hint="eastAsia"/>
        </w:rPr>
        <w:t>以前</w:t>
      </w:r>
      <w:r w:rsidRPr="00D40021">
        <w:rPr>
          <w:rFonts w:hAnsi="標楷體" w:hint="eastAsia"/>
        </w:rPr>
        <w:t>，</w:t>
      </w:r>
      <w:r w:rsidR="00C4440B" w:rsidRPr="00D40021">
        <w:rPr>
          <w:rFonts w:hAnsi="標楷體" w:hint="eastAsia"/>
        </w:rPr>
        <w:t>將</w:t>
      </w:r>
      <w:r w:rsidRPr="00D40021">
        <w:rPr>
          <w:rFonts w:hAnsi="標楷體" w:hint="eastAsia"/>
        </w:rPr>
        <w:t>級軍</w:t>
      </w:r>
      <w:r w:rsidR="00C4440B" w:rsidRPr="00D40021">
        <w:rPr>
          <w:rFonts w:hAnsi="標楷體" w:hint="eastAsia"/>
        </w:rPr>
        <w:t>官</w:t>
      </w:r>
      <w:r w:rsidRPr="00D40021">
        <w:rPr>
          <w:rFonts w:hAnsi="標楷體" w:hint="eastAsia"/>
        </w:rPr>
        <w:t>支領退休</w:t>
      </w:r>
      <w:proofErr w:type="gramStart"/>
      <w:r w:rsidRPr="00D40021">
        <w:rPr>
          <w:rFonts w:hAnsi="標楷體" w:hint="eastAsia"/>
        </w:rPr>
        <w:t>俸</w:t>
      </w:r>
      <w:proofErr w:type="gramEnd"/>
      <w:r w:rsidRPr="00D40021">
        <w:rPr>
          <w:rFonts w:hint="eastAsia"/>
        </w:rPr>
        <w:t>補助差額</w:t>
      </w:r>
      <w:r w:rsidR="00C4440B" w:rsidRPr="00D40021">
        <w:rPr>
          <w:rFonts w:hint="eastAsia"/>
        </w:rPr>
        <w:t>計算方式之案例說明</w:t>
      </w:r>
    </w:p>
    <w:p w:rsidR="00267314" w:rsidRPr="00D40021" w:rsidRDefault="00267314" w:rsidP="00267314">
      <w:pPr>
        <w:pStyle w:val="4"/>
        <w:numPr>
          <w:ilvl w:val="0"/>
          <w:numId w:val="0"/>
        </w:numPr>
        <w:ind w:left="1701" w:firstLineChars="208" w:firstLine="708"/>
      </w:pPr>
      <w:proofErr w:type="gramStart"/>
      <w:r w:rsidRPr="00D40021">
        <w:rPr>
          <w:rFonts w:hint="eastAsia"/>
        </w:rPr>
        <w:t>詢</w:t>
      </w:r>
      <w:proofErr w:type="gramEnd"/>
      <w:r w:rsidRPr="00D40021">
        <w:rPr>
          <w:rFonts w:hint="eastAsia"/>
        </w:rPr>
        <w:t>據退輔會提供資料如下：</w:t>
      </w:r>
    </w:p>
    <w:p w:rsidR="00C4440B" w:rsidRPr="00D40021" w:rsidRDefault="00C4440B" w:rsidP="00C4440B">
      <w:pPr>
        <w:pStyle w:val="5"/>
      </w:pPr>
      <w:r w:rsidRPr="00D40021">
        <w:rPr>
          <w:rFonts w:hint="eastAsia"/>
        </w:rPr>
        <w:t>以少將10級</w:t>
      </w:r>
      <w:r w:rsidR="003B343E" w:rsidRPr="00D40021">
        <w:rPr>
          <w:rFonts w:hint="eastAsia"/>
        </w:rPr>
        <w:t>（退伍年資24年）</w:t>
      </w:r>
      <w:r w:rsidR="004F4F48" w:rsidRPr="00D40021">
        <w:rPr>
          <w:rFonts w:hint="eastAsia"/>
        </w:rPr>
        <w:t>月</w:t>
      </w:r>
      <w:r w:rsidR="00DC681C" w:rsidRPr="00D40021">
        <w:rPr>
          <w:rFonts w:hint="eastAsia"/>
        </w:rPr>
        <w:t>補助差額31,628元</w:t>
      </w:r>
      <w:r w:rsidRPr="00D40021">
        <w:rPr>
          <w:rFonts w:hint="eastAsia"/>
        </w:rPr>
        <w:t>為例</w:t>
      </w:r>
    </w:p>
    <w:p w:rsidR="00C4440B" w:rsidRPr="00D40021" w:rsidRDefault="00C4440B" w:rsidP="00C4440B">
      <w:pPr>
        <w:pStyle w:val="6"/>
      </w:pPr>
      <w:r w:rsidRPr="00D40021">
        <w:rPr>
          <w:rFonts w:hint="eastAsia"/>
        </w:rPr>
        <w:t>少將10級</w:t>
      </w:r>
      <w:r w:rsidR="003B343E" w:rsidRPr="00D40021">
        <w:rPr>
          <w:rFonts w:hint="eastAsia"/>
        </w:rPr>
        <w:t>，本</w:t>
      </w:r>
      <w:proofErr w:type="gramStart"/>
      <w:r w:rsidR="003B343E" w:rsidRPr="00D40021">
        <w:rPr>
          <w:rFonts w:hint="eastAsia"/>
        </w:rPr>
        <w:t>俸</w:t>
      </w:r>
      <w:proofErr w:type="gramEnd"/>
      <w:r w:rsidR="003B343E" w:rsidRPr="00D40021">
        <w:rPr>
          <w:rFonts w:hint="eastAsia"/>
        </w:rPr>
        <w:t>為53,990元；</w:t>
      </w:r>
      <w:r w:rsidRPr="00D40021">
        <w:rPr>
          <w:rFonts w:hint="eastAsia"/>
        </w:rPr>
        <w:t>退伍年資24年，舊制</w:t>
      </w:r>
      <w:proofErr w:type="gramStart"/>
      <w:r w:rsidRPr="00D40021">
        <w:rPr>
          <w:rFonts w:hint="eastAsia"/>
        </w:rPr>
        <w:t>俸</w:t>
      </w:r>
      <w:proofErr w:type="gramEnd"/>
      <w:r w:rsidRPr="00D40021">
        <w:rPr>
          <w:rFonts w:hint="eastAsia"/>
        </w:rPr>
        <w:t>率</w:t>
      </w:r>
      <w:r w:rsidR="003B343E" w:rsidRPr="00D40021">
        <w:rPr>
          <w:rFonts w:hint="eastAsia"/>
        </w:rPr>
        <w:t>為</w:t>
      </w:r>
      <w:r w:rsidRPr="00D40021">
        <w:rPr>
          <w:rFonts w:hint="eastAsia"/>
        </w:rPr>
        <w:t>84%</w:t>
      </w:r>
      <w:r w:rsidR="003B343E" w:rsidRPr="00D40021">
        <w:rPr>
          <w:rFonts w:hint="eastAsia"/>
        </w:rPr>
        <w:t>。</w:t>
      </w:r>
    </w:p>
    <w:p w:rsidR="0049162A" w:rsidRPr="00D40021" w:rsidRDefault="00C4440B" w:rsidP="0049162A">
      <w:pPr>
        <w:pStyle w:val="6"/>
      </w:pPr>
      <w:r w:rsidRPr="00D40021">
        <w:rPr>
          <w:rFonts w:hint="eastAsia"/>
        </w:rPr>
        <w:t>舊制退休</w:t>
      </w:r>
      <w:proofErr w:type="gramStart"/>
      <w:r w:rsidRPr="00D40021">
        <w:rPr>
          <w:rFonts w:hint="eastAsia"/>
        </w:rPr>
        <w:t>俸俸</w:t>
      </w:r>
      <w:proofErr w:type="gramEnd"/>
      <w:r w:rsidRPr="00D40021">
        <w:rPr>
          <w:rFonts w:hint="eastAsia"/>
        </w:rPr>
        <w:t>金計算</w:t>
      </w:r>
      <w:r w:rsidR="004A0BAB" w:rsidRPr="00D40021">
        <w:rPr>
          <w:rFonts w:hint="eastAsia"/>
        </w:rPr>
        <w:t>：</w:t>
      </w:r>
      <w:r w:rsidRPr="00D40021">
        <w:rPr>
          <w:rFonts w:hint="eastAsia"/>
        </w:rPr>
        <w:t>本</w:t>
      </w:r>
      <w:proofErr w:type="gramStart"/>
      <w:r w:rsidRPr="00D40021">
        <w:rPr>
          <w:rFonts w:hint="eastAsia"/>
        </w:rPr>
        <w:t>俸</w:t>
      </w:r>
      <w:proofErr w:type="gramEnd"/>
      <w:r w:rsidRPr="00D40021">
        <w:t>×</w:t>
      </w:r>
      <w:proofErr w:type="gramStart"/>
      <w:r w:rsidRPr="00D40021">
        <w:rPr>
          <w:rFonts w:hint="eastAsia"/>
        </w:rPr>
        <w:t>俸</w:t>
      </w:r>
      <w:proofErr w:type="gramEnd"/>
      <w:r w:rsidRPr="00D40021">
        <w:rPr>
          <w:rFonts w:hint="eastAsia"/>
        </w:rPr>
        <w:t>率+930元=53,990</w:t>
      </w:r>
      <w:r w:rsidRPr="00D40021">
        <w:t>×</w:t>
      </w:r>
      <w:r w:rsidRPr="00D40021">
        <w:rPr>
          <w:rFonts w:hint="eastAsia"/>
        </w:rPr>
        <w:t>84%+930=46,282</w:t>
      </w:r>
      <w:r w:rsidR="004A0BAB" w:rsidRPr="00D40021">
        <w:rPr>
          <w:rFonts w:hint="eastAsia"/>
        </w:rPr>
        <w:t>元</w:t>
      </w:r>
      <w:r w:rsidR="0049162A" w:rsidRPr="00D40021">
        <w:rPr>
          <w:rFonts w:hint="eastAsia"/>
        </w:rPr>
        <w:t>。</w:t>
      </w:r>
    </w:p>
    <w:p w:rsidR="003B343E" w:rsidRPr="00D40021" w:rsidRDefault="0049162A" w:rsidP="00C4440B">
      <w:pPr>
        <w:pStyle w:val="6"/>
        <w:rPr>
          <w:bCs/>
        </w:rPr>
      </w:pPr>
      <w:r w:rsidRPr="00D40021">
        <w:rPr>
          <w:rFonts w:hint="eastAsia"/>
        </w:rPr>
        <w:t>每月公營事業機構顧問待遇標準：</w:t>
      </w:r>
      <w:r w:rsidR="00C4440B" w:rsidRPr="00D40021">
        <w:rPr>
          <w:rFonts w:hint="eastAsia"/>
        </w:rPr>
        <w:t>少將以77,910元</w:t>
      </w:r>
      <w:r w:rsidR="00267314" w:rsidRPr="00D40021">
        <w:rPr>
          <w:rFonts w:hint="eastAsia"/>
        </w:rPr>
        <w:t>計列</w:t>
      </w:r>
      <w:r w:rsidR="003B343E" w:rsidRPr="00D40021">
        <w:rPr>
          <w:rFonts w:hint="eastAsia"/>
        </w:rPr>
        <w:t>。</w:t>
      </w:r>
    </w:p>
    <w:p w:rsidR="00C4440B" w:rsidRPr="00D40021" w:rsidRDefault="00C4440B" w:rsidP="00C4440B">
      <w:pPr>
        <w:pStyle w:val="6"/>
        <w:rPr>
          <w:bCs/>
        </w:rPr>
      </w:pPr>
      <w:r w:rsidRPr="00D40021">
        <w:rPr>
          <w:rFonts w:hint="eastAsia"/>
        </w:rPr>
        <w:lastRenderedPageBreak/>
        <w:t>補足</w:t>
      </w:r>
      <w:r w:rsidR="0049162A" w:rsidRPr="00D40021">
        <w:rPr>
          <w:rFonts w:hint="eastAsia"/>
        </w:rPr>
        <w:t>少將</w:t>
      </w:r>
      <w:r w:rsidRPr="00D40021">
        <w:rPr>
          <w:rFonts w:hint="eastAsia"/>
        </w:rPr>
        <w:t>退除給與差額</w:t>
      </w:r>
      <w:r w:rsidR="00267314" w:rsidRPr="00D40021">
        <w:rPr>
          <w:rFonts w:hint="eastAsia"/>
        </w:rPr>
        <w:t>之計算如下</w:t>
      </w:r>
      <w:r w:rsidR="004A0BAB" w:rsidRPr="00D40021">
        <w:rPr>
          <w:rFonts w:hint="eastAsia"/>
        </w:rPr>
        <w:t>：</w:t>
      </w:r>
      <w:r w:rsidR="0049162A" w:rsidRPr="00D40021">
        <w:rPr>
          <w:rFonts w:hint="eastAsia"/>
        </w:rPr>
        <w:t>公營事業機構顧問待遇77,910元-舊制退休</w:t>
      </w:r>
      <w:proofErr w:type="gramStart"/>
      <w:r w:rsidR="0049162A" w:rsidRPr="00D40021">
        <w:rPr>
          <w:rFonts w:hint="eastAsia"/>
        </w:rPr>
        <w:t>俸俸</w:t>
      </w:r>
      <w:proofErr w:type="gramEnd"/>
      <w:r w:rsidR="0049162A" w:rsidRPr="00D40021">
        <w:rPr>
          <w:rFonts w:hint="eastAsia"/>
        </w:rPr>
        <w:t>金46,282元=</w:t>
      </w:r>
      <w:r w:rsidRPr="00D40021">
        <w:rPr>
          <w:rFonts w:hint="eastAsia"/>
        </w:rPr>
        <w:t>31,628元</w:t>
      </w:r>
      <w:r w:rsidR="0049162A" w:rsidRPr="00D40021">
        <w:rPr>
          <w:rFonts w:hint="eastAsia"/>
        </w:rPr>
        <w:t>。</w:t>
      </w:r>
    </w:p>
    <w:p w:rsidR="00C4440B" w:rsidRPr="00D40021" w:rsidRDefault="00C4440B" w:rsidP="004A0BAB">
      <w:pPr>
        <w:pStyle w:val="5"/>
      </w:pPr>
      <w:r w:rsidRPr="00D40021">
        <w:rPr>
          <w:rFonts w:hint="eastAsia"/>
        </w:rPr>
        <w:t>以中將</w:t>
      </w:r>
      <w:r w:rsidR="004A0BAB" w:rsidRPr="00D40021">
        <w:rPr>
          <w:rFonts w:hint="eastAsia"/>
        </w:rPr>
        <w:t>6級（退伍年資35年）</w:t>
      </w:r>
      <w:r w:rsidR="004F4F48" w:rsidRPr="00D40021">
        <w:rPr>
          <w:rFonts w:hint="eastAsia"/>
        </w:rPr>
        <w:t>月</w:t>
      </w:r>
      <w:r w:rsidR="00DC681C" w:rsidRPr="00D40021">
        <w:rPr>
          <w:rFonts w:hint="eastAsia"/>
        </w:rPr>
        <w:t>補助差額34,033元</w:t>
      </w:r>
      <w:r w:rsidR="004A0BAB" w:rsidRPr="00D40021">
        <w:rPr>
          <w:rFonts w:hint="eastAsia"/>
        </w:rPr>
        <w:t>為例</w:t>
      </w:r>
    </w:p>
    <w:p w:rsidR="004A0BAB" w:rsidRPr="00D40021" w:rsidRDefault="004A0BAB" w:rsidP="004A0BAB">
      <w:pPr>
        <w:pStyle w:val="6"/>
        <w:rPr>
          <w:rFonts w:hAnsi="標楷體"/>
          <w:szCs w:val="32"/>
        </w:rPr>
      </w:pPr>
      <w:r w:rsidRPr="00D40021">
        <w:rPr>
          <w:rFonts w:hint="eastAsia"/>
        </w:rPr>
        <w:t>少將10級，本</w:t>
      </w:r>
      <w:proofErr w:type="gramStart"/>
      <w:r w:rsidRPr="00D40021">
        <w:rPr>
          <w:rFonts w:hint="eastAsia"/>
        </w:rPr>
        <w:t>俸</w:t>
      </w:r>
      <w:proofErr w:type="gramEnd"/>
      <w:r w:rsidRPr="00D40021">
        <w:rPr>
          <w:rFonts w:hint="eastAsia"/>
        </w:rPr>
        <w:t>為53,990元；退伍年資</w:t>
      </w:r>
      <w:r w:rsidR="00FA162B" w:rsidRPr="00D40021">
        <w:rPr>
          <w:rFonts w:hint="eastAsia"/>
        </w:rPr>
        <w:t>35</w:t>
      </w:r>
      <w:r w:rsidRPr="00D40021">
        <w:rPr>
          <w:rFonts w:hint="eastAsia"/>
        </w:rPr>
        <w:t>年，舊制</w:t>
      </w:r>
      <w:proofErr w:type="gramStart"/>
      <w:r w:rsidRPr="00D40021">
        <w:rPr>
          <w:rFonts w:hint="eastAsia"/>
        </w:rPr>
        <w:t>俸</w:t>
      </w:r>
      <w:proofErr w:type="gramEnd"/>
      <w:r w:rsidRPr="00D40021">
        <w:rPr>
          <w:rFonts w:hint="eastAsia"/>
        </w:rPr>
        <w:t>率為</w:t>
      </w:r>
      <w:r w:rsidR="00FA162B" w:rsidRPr="00D40021">
        <w:rPr>
          <w:rFonts w:hint="eastAsia"/>
        </w:rPr>
        <w:t>90</w:t>
      </w:r>
      <w:r w:rsidRPr="00D40021">
        <w:rPr>
          <w:rFonts w:hint="eastAsia"/>
        </w:rPr>
        <w:t>%。</w:t>
      </w:r>
    </w:p>
    <w:p w:rsidR="004A0BAB" w:rsidRPr="00D40021" w:rsidRDefault="004A0BAB" w:rsidP="004A0BAB">
      <w:pPr>
        <w:pStyle w:val="6"/>
        <w:rPr>
          <w:rFonts w:hAnsi="標楷體"/>
          <w:szCs w:val="32"/>
        </w:rPr>
      </w:pPr>
      <w:r w:rsidRPr="00D40021">
        <w:rPr>
          <w:rFonts w:hint="eastAsia"/>
        </w:rPr>
        <w:t>舊制退休</w:t>
      </w:r>
      <w:proofErr w:type="gramStart"/>
      <w:r w:rsidRPr="00D40021">
        <w:rPr>
          <w:rFonts w:hint="eastAsia"/>
        </w:rPr>
        <w:t>俸俸</w:t>
      </w:r>
      <w:proofErr w:type="gramEnd"/>
      <w:r w:rsidRPr="00D40021">
        <w:rPr>
          <w:rFonts w:hint="eastAsia"/>
        </w:rPr>
        <w:t>金計算:本</w:t>
      </w:r>
      <w:proofErr w:type="gramStart"/>
      <w:r w:rsidRPr="00D40021">
        <w:rPr>
          <w:rFonts w:hint="eastAsia"/>
        </w:rPr>
        <w:t>俸</w:t>
      </w:r>
      <w:proofErr w:type="gramEnd"/>
      <w:r w:rsidRPr="00D40021">
        <w:t>×</w:t>
      </w:r>
      <w:proofErr w:type="gramStart"/>
      <w:r w:rsidRPr="00D40021">
        <w:rPr>
          <w:rFonts w:hint="eastAsia"/>
        </w:rPr>
        <w:t>俸</w:t>
      </w:r>
      <w:proofErr w:type="gramEnd"/>
      <w:r w:rsidRPr="00D40021">
        <w:rPr>
          <w:rFonts w:hint="eastAsia"/>
        </w:rPr>
        <w:t>率+930元=56,930</w:t>
      </w:r>
      <w:r w:rsidR="00440C27" w:rsidRPr="00D40021">
        <w:t>×</w:t>
      </w:r>
      <w:r w:rsidRPr="00D40021">
        <w:rPr>
          <w:rFonts w:hint="eastAsia"/>
        </w:rPr>
        <w:t>90%+930=52,167元。</w:t>
      </w:r>
    </w:p>
    <w:p w:rsidR="004A0BAB" w:rsidRPr="00D40021" w:rsidRDefault="004A0BAB" w:rsidP="004A0BAB">
      <w:pPr>
        <w:pStyle w:val="6"/>
        <w:rPr>
          <w:rFonts w:hAnsi="標楷體"/>
          <w:szCs w:val="32"/>
        </w:rPr>
      </w:pPr>
      <w:r w:rsidRPr="00D40021">
        <w:rPr>
          <w:rFonts w:hint="eastAsia"/>
        </w:rPr>
        <w:t>每月公營事業機構顧問待遇標準：</w:t>
      </w:r>
      <w:r w:rsidRPr="00D40021">
        <w:rPr>
          <w:rFonts w:hAnsi="標楷體" w:hint="eastAsia"/>
          <w:szCs w:val="32"/>
        </w:rPr>
        <w:t>中將</w:t>
      </w:r>
      <w:r w:rsidRPr="00D40021">
        <w:rPr>
          <w:rFonts w:hint="eastAsia"/>
        </w:rPr>
        <w:t>以</w:t>
      </w:r>
      <w:r w:rsidRPr="00D40021">
        <w:rPr>
          <w:rFonts w:hAnsi="標楷體" w:hint="eastAsia"/>
          <w:szCs w:val="32"/>
        </w:rPr>
        <w:t>86,200</w:t>
      </w:r>
      <w:r w:rsidR="00267314" w:rsidRPr="00D40021">
        <w:rPr>
          <w:rFonts w:hint="eastAsia"/>
        </w:rPr>
        <w:t>元計列</w:t>
      </w:r>
      <w:r w:rsidRPr="00D40021">
        <w:rPr>
          <w:rFonts w:hint="eastAsia"/>
        </w:rPr>
        <w:t>。</w:t>
      </w:r>
    </w:p>
    <w:p w:rsidR="004A0BAB" w:rsidRPr="00D40021" w:rsidRDefault="004A0BAB" w:rsidP="004A0BAB">
      <w:pPr>
        <w:pStyle w:val="6"/>
        <w:rPr>
          <w:bCs/>
        </w:rPr>
      </w:pPr>
      <w:r w:rsidRPr="00D40021">
        <w:rPr>
          <w:rFonts w:hint="eastAsia"/>
        </w:rPr>
        <w:t>補足中將退除給與差額</w:t>
      </w:r>
      <w:r w:rsidR="00267314" w:rsidRPr="00D40021">
        <w:rPr>
          <w:rFonts w:hint="eastAsia"/>
        </w:rPr>
        <w:t>之計算如下</w:t>
      </w:r>
      <w:r w:rsidRPr="00D40021">
        <w:rPr>
          <w:rFonts w:hint="eastAsia"/>
        </w:rPr>
        <w:t>：公營事業機構顧問待遇86,200元-舊制退休</w:t>
      </w:r>
      <w:proofErr w:type="gramStart"/>
      <w:r w:rsidRPr="00D40021">
        <w:rPr>
          <w:rFonts w:hint="eastAsia"/>
        </w:rPr>
        <w:t>俸俸</w:t>
      </w:r>
      <w:proofErr w:type="gramEnd"/>
      <w:r w:rsidRPr="00D40021">
        <w:rPr>
          <w:rFonts w:hint="eastAsia"/>
        </w:rPr>
        <w:t>金52,167元=34,033元。</w:t>
      </w:r>
    </w:p>
    <w:p w:rsidR="003C362E" w:rsidRPr="00D40021" w:rsidRDefault="003C362E" w:rsidP="003C362E">
      <w:pPr>
        <w:pStyle w:val="4"/>
        <w:rPr>
          <w:bCs/>
        </w:rPr>
      </w:pPr>
      <w:r w:rsidRPr="00D40021">
        <w:rPr>
          <w:rFonts w:hAnsi="標楷體" w:hint="eastAsia"/>
          <w:szCs w:val="28"/>
        </w:rPr>
        <w:t>本次服役條例於107年7月1日修正施行後，已提高軍職人員退除給與起支</w:t>
      </w:r>
      <w:proofErr w:type="gramStart"/>
      <w:r w:rsidRPr="00D40021">
        <w:rPr>
          <w:rFonts w:hAnsi="標楷體" w:hint="eastAsia"/>
          <w:szCs w:val="28"/>
        </w:rPr>
        <w:t>俸</w:t>
      </w:r>
      <w:proofErr w:type="gramEnd"/>
      <w:r w:rsidRPr="00D40021">
        <w:rPr>
          <w:rFonts w:hAnsi="標楷體" w:hint="eastAsia"/>
          <w:szCs w:val="28"/>
        </w:rPr>
        <w:t>率，</w:t>
      </w:r>
      <w:proofErr w:type="gramStart"/>
      <w:r w:rsidRPr="00D40021">
        <w:rPr>
          <w:rFonts w:hAnsi="標楷體" w:hint="eastAsia"/>
          <w:szCs w:val="28"/>
        </w:rPr>
        <w:t>爰</w:t>
      </w:r>
      <w:proofErr w:type="gramEnd"/>
      <w:r w:rsidRPr="00D40021">
        <w:rPr>
          <w:rFonts w:hAnsi="標楷體" w:hint="eastAsia"/>
          <w:szCs w:val="28"/>
        </w:rPr>
        <w:t>行政院81年6月25日</w:t>
      </w:r>
      <w:proofErr w:type="gramStart"/>
      <w:r w:rsidRPr="00D40021">
        <w:rPr>
          <w:rFonts w:hAnsi="標楷體" w:hint="eastAsia"/>
          <w:szCs w:val="28"/>
        </w:rPr>
        <w:t>臺</w:t>
      </w:r>
      <w:proofErr w:type="gramEnd"/>
      <w:r w:rsidRPr="00D40021">
        <w:rPr>
          <w:rFonts w:hAnsi="標楷體" w:hint="eastAsia"/>
          <w:szCs w:val="28"/>
        </w:rPr>
        <w:t>八一人</w:t>
      </w:r>
      <w:proofErr w:type="gramStart"/>
      <w:r w:rsidRPr="00D40021">
        <w:rPr>
          <w:rFonts w:hAnsi="標楷體" w:hint="eastAsia"/>
          <w:szCs w:val="28"/>
        </w:rPr>
        <w:t>政肆字</w:t>
      </w:r>
      <w:proofErr w:type="gramEnd"/>
      <w:r w:rsidRPr="00D40021">
        <w:rPr>
          <w:rFonts w:hAnsi="標楷體" w:hint="eastAsia"/>
          <w:szCs w:val="28"/>
        </w:rPr>
        <w:t>第18116號函核定將級軍官</w:t>
      </w:r>
      <w:r w:rsidR="007D3177" w:rsidRPr="00D40021">
        <w:rPr>
          <w:rFonts w:hAnsi="標楷體" w:hint="eastAsia"/>
          <w:szCs w:val="28"/>
        </w:rPr>
        <w:t>月</w:t>
      </w:r>
      <w:r w:rsidRPr="00D40021">
        <w:rPr>
          <w:rFonts w:hAnsi="標楷體" w:hint="eastAsia"/>
          <w:szCs w:val="28"/>
        </w:rPr>
        <w:t>退休</w:t>
      </w:r>
      <w:proofErr w:type="gramStart"/>
      <w:r w:rsidRPr="00D40021">
        <w:rPr>
          <w:rFonts w:hAnsi="標楷體" w:hint="eastAsia"/>
          <w:szCs w:val="28"/>
        </w:rPr>
        <w:t>俸</w:t>
      </w:r>
      <w:proofErr w:type="gramEnd"/>
      <w:r w:rsidRPr="00D40021">
        <w:rPr>
          <w:rFonts w:hAnsi="標楷體" w:hint="eastAsia"/>
          <w:szCs w:val="28"/>
        </w:rPr>
        <w:t>差額補助之規定配合檢討</w:t>
      </w:r>
      <w:r w:rsidR="00A015AF" w:rsidRPr="00D40021">
        <w:rPr>
          <w:rFonts w:hAnsi="標楷體" w:hint="eastAsia"/>
          <w:szCs w:val="28"/>
        </w:rPr>
        <w:t>結果</w:t>
      </w:r>
    </w:p>
    <w:p w:rsidR="00CF754D" w:rsidRPr="00D40021" w:rsidRDefault="007D3177" w:rsidP="00CF754D">
      <w:pPr>
        <w:pStyle w:val="5"/>
      </w:pPr>
      <w:r w:rsidRPr="00D40021">
        <w:rPr>
          <w:rFonts w:hint="eastAsia"/>
        </w:rPr>
        <w:t>於本次年金改革後，全面取消</w:t>
      </w:r>
      <w:r w:rsidR="00F97313" w:rsidRPr="00D40021">
        <w:rPr>
          <w:rFonts w:hint="eastAsia"/>
        </w:rPr>
        <w:t>具新制年資（86年1月1日</w:t>
      </w:r>
      <w:r w:rsidR="0049162A" w:rsidRPr="00D40021">
        <w:rPr>
          <w:rFonts w:hint="eastAsia"/>
        </w:rPr>
        <w:t>以</w:t>
      </w:r>
      <w:r w:rsidR="00F97313" w:rsidRPr="00D40021">
        <w:rPr>
          <w:rFonts w:hint="eastAsia"/>
        </w:rPr>
        <w:t>後退伍）</w:t>
      </w:r>
      <w:r w:rsidR="00E248EA" w:rsidRPr="00D40021">
        <w:rPr>
          <w:rFonts w:hint="eastAsia"/>
        </w:rPr>
        <w:t>已退伍</w:t>
      </w:r>
      <w:r w:rsidR="00F97313" w:rsidRPr="00D40021">
        <w:rPr>
          <w:rFonts w:hint="eastAsia"/>
        </w:rPr>
        <w:t>少將、中將</w:t>
      </w:r>
      <w:r w:rsidRPr="00D40021">
        <w:rPr>
          <w:rFonts w:hint="eastAsia"/>
        </w:rPr>
        <w:t>之</w:t>
      </w:r>
      <w:r w:rsidR="00F97313" w:rsidRPr="00D40021">
        <w:rPr>
          <w:rFonts w:hint="eastAsia"/>
        </w:rPr>
        <w:t>退休</w:t>
      </w:r>
      <w:proofErr w:type="gramStart"/>
      <w:r w:rsidR="00F97313" w:rsidRPr="00D40021">
        <w:rPr>
          <w:rFonts w:hint="eastAsia"/>
        </w:rPr>
        <w:t>俸</w:t>
      </w:r>
      <w:proofErr w:type="gramEnd"/>
      <w:r w:rsidR="00F97313" w:rsidRPr="00D40021">
        <w:rPr>
          <w:rFonts w:hint="eastAsia"/>
        </w:rPr>
        <w:t>差額補助</w:t>
      </w:r>
      <w:r w:rsidRPr="00D40021">
        <w:rPr>
          <w:rFonts w:hint="eastAsia"/>
        </w:rPr>
        <w:t>，計有973</w:t>
      </w:r>
      <w:r w:rsidR="00E248EA" w:rsidRPr="00D40021">
        <w:rPr>
          <w:rFonts w:hint="eastAsia"/>
        </w:rPr>
        <w:t>名退役少將與</w:t>
      </w:r>
      <w:r w:rsidRPr="00D40021">
        <w:rPr>
          <w:rFonts w:hint="eastAsia"/>
        </w:rPr>
        <w:t>320</w:t>
      </w:r>
      <w:r w:rsidR="00E248EA" w:rsidRPr="00D40021">
        <w:rPr>
          <w:rFonts w:hint="eastAsia"/>
        </w:rPr>
        <w:t>名退役中將受影響，取消補助</w:t>
      </w:r>
      <w:r w:rsidRPr="00D40021">
        <w:rPr>
          <w:rFonts w:hint="eastAsia"/>
        </w:rPr>
        <w:t>金額共20,780,740元，如表</w:t>
      </w:r>
      <w:r w:rsidR="004A0BAB" w:rsidRPr="00D40021">
        <w:rPr>
          <w:rFonts w:hint="eastAsia"/>
        </w:rPr>
        <w:t>6</w:t>
      </w:r>
      <w:r w:rsidRPr="00D40021">
        <w:rPr>
          <w:rFonts w:hint="eastAsia"/>
        </w:rPr>
        <w:t>。</w:t>
      </w:r>
    </w:p>
    <w:p w:rsidR="00E34413" w:rsidRPr="00D40021" w:rsidRDefault="00E248EA" w:rsidP="00020000">
      <w:pPr>
        <w:pStyle w:val="a3"/>
        <w:ind w:left="680" w:hanging="680"/>
      </w:pPr>
      <w:r w:rsidRPr="00D40021">
        <w:rPr>
          <w:rFonts w:hint="eastAsia"/>
        </w:rPr>
        <w:t>年金改革後，</w:t>
      </w:r>
      <w:r w:rsidR="00A015AF" w:rsidRPr="00D40021">
        <w:rPr>
          <w:rFonts w:hint="eastAsia"/>
        </w:rPr>
        <w:t>108年4月</w:t>
      </w:r>
      <w:r w:rsidR="00F721AB" w:rsidRPr="00D40021">
        <w:rPr>
          <w:rFonts w:hint="eastAsia"/>
        </w:rPr>
        <w:t>取消</w:t>
      </w:r>
      <w:r w:rsidR="00F97313" w:rsidRPr="00D40021">
        <w:rPr>
          <w:rFonts w:hint="eastAsia"/>
        </w:rPr>
        <w:t>具新制年資</w:t>
      </w:r>
      <w:r w:rsidR="00020000" w:rsidRPr="00D40021">
        <w:rPr>
          <w:rFonts w:hint="eastAsia"/>
        </w:rPr>
        <w:t>（</w:t>
      </w:r>
      <w:r w:rsidR="00020000" w:rsidRPr="00D40021">
        <w:rPr>
          <w:rFonts w:hAnsi="標楷體" w:hint="eastAsia"/>
        </w:rPr>
        <w:t>86年1月1日以後</w:t>
      </w:r>
      <w:r w:rsidR="00020000" w:rsidRPr="00D40021">
        <w:rPr>
          <w:rFonts w:hint="eastAsia"/>
        </w:rPr>
        <w:t>）</w:t>
      </w:r>
      <w:r w:rsidRPr="00D40021">
        <w:rPr>
          <w:rFonts w:hint="eastAsia"/>
        </w:rPr>
        <w:t>已退</w:t>
      </w:r>
      <w:r w:rsidR="00F97313" w:rsidRPr="00D40021">
        <w:rPr>
          <w:rFonts w:hint="eastAsia"/>
        </w:rPr>
        <w:t>少將、中將之</w:t>
      </w:r>
      <w:r w:rsidR="00E34413" w:rsidRPr="00D40021">
        <w:rPr>
          <w:rFonts w:hint="eastAsia"/>
        </w:rPr>
        <w:t>退除給與</w:t>
      </w:r>
      <w:r w:rsidR="00A015AF" w:rsidRPr="00D40021">
        <w:rPr>
          <w:rFonts w:hAnsi="標楷體" w:hint="eastAsia"/>
        </w:rPr>
        <w:t>差額補助</w:t>
      </w:r>
      <w:r w:rsidR="006D06DE" w:rsidRPr="00D40021">
        <w:rPr>
          <w:rFonts w:hint="eastAsia"/>
        </w:rPr>
        <w:t>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9"/>
        <w:gridCol w:w="2380"/>
        <w:gridCol w:w="4465"/>
      </w:tblGrid>
      <w:tr w:rsidR="00D40021" w:rsidRPr="00D40021" w:rsidTr="008D0AF0">
        <w:trPr>
          <w:trHeight w:val="397"/>
        </w:trPr>
        <w:tc>
          <w:tcPr>
            <w:tcW w:w="1126" w:type="pct"/>
            <w:shd w:val="clear" w:color="auto" w:fill="EEECE1" w:themeFill="background2"/>
            <w:vAlign w:val="center"/>
          </w:tcPr>
          <w:p w:rsidR="00E34413" w:rsidRPr="00D40021" w:rsidRDefault="00661331" w:rsidP="00AD3F06">
            <w:pPr>
              <w:pStyle w:val="14"/>
              <w:jc w:val="center"/>
            </w:pPr>
            <w:r w:rsidRPr="00D40021">
              <w:rPr>
                <w:rFonts w:hint="eastAsia"/>
              </w:rPr>
              <w:t>階級</w:t>
            </w:r>
          </w:p>
        </w:tc>
        <w:tc>
          <w:tcPr>
            <w:tcW w:w="1347" w:type="pct"/>
            <w:shd w:val="clear" w:color="auto" w:fill="EEECE1" w:themeFill="background2"/>
            <w:noWrap/>
            <w:vAlign w:val="center"/>
          </w:tcPr>
          <w:p w:rsidR="00E34413" w:rsidRPr="00D40021" w:rsidRDefault="00E248EA" w:rsidP="00AD3F06">
            <w:pPr>
              <w:pStyle w:val="14"/>
              <w:jc w:val="center"/>
            </w:pPr>
            <w:r w:rsidRPr="00D40021">
              <w:rPr>
                <w:rFonts w:hint="eastAsia"/>
              </w:rPr>
              <w:t>影響</w:t>
            </w:r>
            <w:r w:rsidR="00E34413" w:rsidRPr="00D40021">
              <w:rPr>
                <w:rFonts w:hint="eastAsia"/>
              </w:rPr>
              <w:t>人數</w:t>
            </w:r>
            <w:r w:rsidR="00F97313" w:rsidRPr="00D40021">
              <w:rPr>
                <w:rFonts w:hint="eastAsia"/>
              </w:rPr>
              <w:t>（</w:t>
            </w:r>
            <w:r w:rsidR="00AD3F06" w:rsidRPr="00D40021">
              <w:rPr>
                <w:rFonts w:hint="eastAsia"/>
              </w:rPr>
              <w:t>人</w:t>
            </w:r>
            <w:r w:rsidR="00F97313" w:rsidRPr="00D40021">
              <w:rPr>
                <w:rFonts w:hint="eastAsia"/>
              </w:rPr>
              <w:t>）</w:t>
            </w:r>
          </w:p>
        </w:tc>
        <w:tc>
          <w:tcPr>
            <w:tcW w:w="2527" w:type="pct"/>
            <w:shd w:val="clear" w:color="auto" w:fill="EEECE1" w:themeFill="background2"/>
            <w:noWrap/>
            <w:vAlign w:val="center"/>
          </w:tcPr>
          <w:p w:rsidR="00E34413" w:rsidRPr="00D40021" w:rsidRDefault="00AD3F06" w:rsidP="00E248EA">
            <w:pPr>
              <w:pStyle w:val="14"/>
              <w:jc w:val="center"/>
            </w:pPr>
            <w:r w:rsidRPr="00D40021">
              <w:rPr>
                <w:rFonts w:hAnsi="標楷體" w:hint="eastAsia"/>
                <w:szCs w:val="28"/>
              </w:rPr>
              <w:t>取消補助</w:t>
            </w:r>
            <w:r w:rsidR="00E34413" w:rsidRPr="00D40021">
              <w:rPr>
                <w:rFonts w:hint="eastAsia"/>
              </w:rPr>
              <w:t>金額</w:t>
            </w:r>
            <w:r w:rsidR="00F97313" w:rsidRPr="00D40021">
              <w:rPr>
                <w:rFonts w:hint="eastAsia"/>
              </w:rPr>
              <w:t>（元）</w:t>
            </w:r>
          </w:p>
        </w:tc>
      </w:tr>
      <w:tr w:rsidR="00D40021" w:rsidRPr="00D40021" w:rsidTr="008D0AF0">
        <w:trPr>
          <w:trHeight w:val="397"/>
        </w:trPr>
        <w:tc>
          <w:tcPr>
            <w:tcW w:w="1126" w:type="pct"/>
            <w:shd w:val="clear" w:color="auto" w:fill="EEECE1" w:themeFill="background2"/>
            <w:noWrap/>
            <w:vAlign w:val="center"/>
          </w:tcPr>
          <w:p w:rsidR="00F97313" w:rsidRPr="00D40021" w:rsidRDefault="00F97313" w:rsidP="00AD3F06">
            <w:pPr>
              <w:pStyle w:val="14"/>
              <w:jc w:val="center"/>
            </w:pPr>
            <w:r w:rsidRPr="00D40021">
              <w:rPr>
                <w:rFonts w:hint="eastAsia"/>
              </w:rPr>
              <w:t>少將</w:t>
            </w:r>
          </w:p>
        </w:tc>
        <w:tc>
          <w:tcPr>
            <w:tcW w:w="1347" w:type="pct"/>
            <w:shd w:val="clear" w:color="auto" w:fill="auto"/>
            <w:noWrap/>
            <w:vAlign w:val="center"/>
          </w:tcPr>
          <w:p w:rsidR="00F97313" w:rsidRPr="00D40021" w:rsidRDefault="00F97313" w:rsidP="00AD3F06">
            <w:pPr>
              <w:pStyle w:val="14"/>
              <w:jc w:val="center"/>
            </w:pPr>
            <w:r w:rsidRPr="00D40021">
              <w:rPr>
                <w:rFonts w:hint="eastAsia"/>
              </w:rPr>
              <w:t>973</w:t>
            </w:r>
          </w:p>
        </w:tc>
        <w:tc>
          <w:tcPr>
            <w:tcW w:w="2527" w:type="pct"/>
            <w:shd w:val="clear" w:color="auto" w:fill="auto"/>
            <w:noWrap/>
            <w:vAlign w:val="center"/>
          </w:tcPr>
          <w:p w:rsidR="00F97313" w:rsidRPr="00D40021" w:rsidRDefault="00F97313" w:rsidP="00AD3F06">
            <w:pPr>
              <w:pStyle w:val="14"/>
              <w:jc w:val="center"/>
            </w:pPr>
            <w:r w:rsidRPr="00D40021">
              <w:rPr>
                <w:rFonts w:hint="eastAsia"/>
              </w:rPr>
              <w:t>14,710,795</w:t>
            </w:r>
          </w:p>
        </w:tc>
      </w:tr>
      <w:tr w:rsidR="00D40021" w:rsidRPr="00D40021" w:rsidTr="008D0AF0">
        <w:trPr>
          <w:trHeight w:val="397"/>
        </w:trPr>
        <w:tc>
          <w:tcPr>
            <w:tcW w:w="1126" w:type="pct"/>
            <w:shd w:val="clear" w:color="auto" w:fill="EEECE1" w:themeFill="background2"/>
            <w:noWrap/>
            <w:vAlign w:val="center"/>
          </w:tcPr>
          <w:p w:rsidR="00E34413" w:rsidRPr="00D40021" w:rsidRDefault="00E34413" w:rsidP="00AD3F06">
            <w:pPr>
              <w:pStyle w:val="14"/>
              <w:jc w:val="center"/>
            </w:pPr>
            <w:r w:rsidRPr="00D40021">
              <w:rPr>
                <w:rFonts w:hint="eastAsia"/>
              </w:rPr>
              <w:t>中將</w:t>
            </w:r>
          </w:p>
        </w:tc>
        <w:tc>
          <w:tcPr>
            <w:tcW w:w="1347" w:type="pct"/>
            <w:shd w:val="clear" w:color="auto" w:fill="auto"/>
            <w:noWrap/>
            <w:vAlign w:val="center"/>
          </w:tcPr>
          <w:p w:rsidR="00E34413" w:rsidRPr="00D40021" w:rsidRDefault="00F97313" w:rsidP="00AD3F06">
            <w:pPr>
              <w:pStyle w:val="14"/>
              <w:jc w:val="center"/>
            </w:pPr>
            <w:r w:rsidRPr="00D40021">
              <w:rPr>
                <w:rFonts w:hint="eastAsia"/>
              </w:rPr>
              <w:t>320</w:t>
            </w:r>
          </w:p>
        </w:tc>
        <w:tc>
          <w:tcPr>
            <w:tcW w:w="2527" w:type="pct"/>
            <w:shd w:val="clear" w:color="auto" w:fill="auto"/>
            <w:noWrap/>
            <w:vAlign w:val="center"/>
          </w:tcPr>
          <w:p w:rsidR="00E34413" w:rsidRPr="00D40021" w:rsidRDefault="00E34413" w:rsidP="00AD3F06">
            <w:pPr>
              <w:pStyle w:val="14"/>
              <w:jc w:val="center"/>
            </w:pPr>
            <w:r w:rsidRPr="00D40021">
              <w:rPr>
                <w:rFonts w:hint="eastAsia"/>
              </w:rPr>
              <w:t>6,069,945</w:t>
            </w:r>
          </w:p>
        </w:tc>
      </w:tr>
      <w:tr w:rsidR="00D40021" w:rsidRPr="00D40021" w:rsidTr="008D0AF0">
        <w:trPr>
          <w:trHeight w:val="397"/>
        </w:trPr>
        <w:tc>
          <w:tcPr>
            <w:tcW w:w="1126" w:type="pct"/>
            <w:shd w:val="clear" w:color="auto" w:fill="EEECE1" w:themeFill="background2"/>
            <w:noWrap/>
            <w:vAlign w:val="center"/>
          </w:tcPr>
          <w:p w:rsidR="00E34413" w:rsidRPr="00D40021" w:rsidRDefault="00E34413" w:rsidP="00AD3F06">
            <w:pPr>
              <w:pStyle w:val="14"/>
              <w:jc w:val="center"/>
            </w:pPr>
            <w:r w:rsidRPr="00D40021">
              <w:rPr>
                <w:rFonts w:hint="eastAsia"/>
              </w:rPr>
              <w:t>總計</w:t>
            </w:r>
          </w:p>
        </w:tc>
        <w:tc>
          <w:tcPr>
            <w:tcW w:w="1347" w:type="pct"/>
            <w:shd w:val="clear" w:color="auto" w:fill="auto"/>
            <w:noWrap/>
            <w:vAlign w:val="center"/>
          </w:tcPr>
          <w:p w:rsidR="00E34413" w:rsidRPr="00D40021" w:rsidRDefault="00F97313" w:rsidP="00AD3F06">
            <w:pPr>
              <w:pStyle w:val="14"/>
              <w:jc w:val="center"/>
            </w:pPr>
            <w:r w:rsidRPr="00D40021">
              <w:rPr>
                <w:rFonts w:hint="eastAsia"/>
              </w:rPr>
              <w:t>1,293</w:t>
            </w:r>
          </w:p>
        </w:tc>
        <w:tc>
          <w:tcPr>
            <w:tcW w:w="2527" w:type="pct"/>
            <w:shd w:val="clear" w:color="auto" w:fill="auto"/>
            <w:noWrap/>
            <w:vAlign w:val="center"/>
          </w:tcPr>
          <w:p w:rsidR="00E34413" w:rsidRPr="00D40021" w:rsidRDefault="00E34413" w:rsidP="00AD3F06">
            <w:pPr>
              <w:pStyle w:val="14"/>
              <w:jc w:val="center"/>
            </w:pPr>
            <w:r w:rsidRPr="00D40021">
              <w:rPr>
                <w:rFonts w:hint="eastAsia"/>
              </w:rPr>
              <w:t>20,780,740</w:t>
            </w:r>
          </w:p>
        </w:tc>
      </w:tr>
    </w:tbl>
    <w:p w:rsidR="00E34413" w:rsidRPr="00D40021" w:rsidRDefault="00F97313" w:rsidP="00F97313">
      <w:pPr>
        <w:pStyle w:val="afa"/>
        <w:overflowPunct/>
        <w:rPr>
          <w:rFonts w:hAnsi="標楷體"/>
          <w:sz w:val="24"/>
          <w:szCs w:val="24"/>
        </w:rPr>
      </w:pPr>
      <w:r w:rsidRPr="00D40021">
        <w:rPr>
          <w:rFonts w:hAnsi="標楷體" w:hint="eastAsia"/>
          <w:sz w:val="24"/>
          <w:szCs w:val="24"/>
        </w:rPr>
        <w:t>資料來源：輔導會。</w:t>
      </w:r>
    </w:p>
    <w:p w:rsidR="00E34413" w:rsidRPr="00D40021" w:rsidRDefault="00E248EA" w:rsidP="00483253">
      <w:pPr>
        <w:pStyle w:val="5"/>
      </w:pPr>
      <w:proofErr w:type="gramStart"/>
      <w:r w:rsidRPr="00D40021">
        <w:rPr>
          <w:rFonts w:hint="eastAsia"/>
        </w:rPr>
        <w:lastRenderedPageBreak/>
        <w:t>另</w:t>
      </w:r>
      <w:proofErr w:type="gramEnd"/>
      <w:r w:rsidRPr="00D40021">
        <w:rPr>
          <w:rFonts w:hint="eastAsia"/>
        </w:rPr>
        <w:t>，</w:t>
      </w:r>
      <w:r w:rsidR="0049162A" w:rsidRPr="00D40021">
        <w:rPr>
          <w:rFonts w:hint="eastAsia"/>
        </w:rPr>
        <w:t>純舊制少將、中將</w:t>
      </w:r>
      <w:r w:rsidR="00020000" w:rsidRPr="00D40021">
        <w:rPr>
          <w:rFonts w:hint="eastAsia"/>
        </w:rPr>
        <w:t>（85年12月31日以前退伍）</w:t>
      </w:r>
      <w:r w:rsidR="0049162A" w:rsidRPr="00D40021">
        <w:rPr>
          <w:rFonts w:hint="eastAsia"/>
        </w:rPr>
        <w:t>之月退休</w:t>
      </w:r>
      <w:proofErr w:type="gramStart"/>
      <w:r w:rsidR="0049162A" w:rsidRPr="00D40021">
        <w:rPr>
          <w:rFonts w:hint="eastAsia"/>
        </w:rPr>
        <w:t>俸</w:t>
      </w:r>
      <w:proofErr w:type="gramEnd"/>
      <w:r w:rsidR="0049162A" w:rsidRPr="00D40021">
        <w:rPr>
          <w:rFonts w:hint="eastAsia"/>
        </w:rPr>
        <w:t>差額補助，於本次年金改革後分10年調降，</w:t>
      </w:r>
      <w:r w:rsidR="004A0BAB" w:rsidRPr="00D40021">
        <w:rPr>
          <w:rFonts w:hint="eastAsia"/>
        </w:rPr>
        <w:t>據輔導會</w:t>
      </w:r>
      <w:proofErr w:type="gramStart"/>
      <w:r w:rsidR="004A0BAB" w:rsidRPr="00D40021">
        <w:rPr>
          <w:rFonts w:hint="eastAsia"/>
        </w:rPr>
        <w:t>查復本院</w:t>
      </w:r>
      <w:proofErr w:type="gramEnd"/>
      <w:r w:rsidR="004A0BAB" w:rsidRPr="00D40021">
        <w:rPr>
          <w:rFonts w:hint="eastAsia"/>
        </w:rPr>
        <w:t>資料顯示，108年4月發放純舊制年資</w:t>
      </w:r>
      <w:r w:rsidR="00E41130" w:rsidRPr="00D40021">
        <w:rPr>
          <w:rFonts w:hint="eastAsia"/>
        </w:rPr>
        <w:t>退役少、中將</w:t>
      </w:r>
      <w:r w:rsidRPr="00D40021">
        <w:rPr>
          <w:rFonts w:hint="eastAsia"/>
        </w:rPr>
        <w:t>之</w:t>
      </w:r>
      <w:r w:rsidR="00E41130" w:rsidRPr="00D40021">
        <w:rPr>
          <w:rFonts w:hint="eastAsia"/>
        </w:rPr>
        <w:t>退休</w:t>
      </w:r>
      <w:proofErr w:type="gramStart"/>
      <w:r w:rsidR="00E41130" w:rsidRPr="00D40021">
        <w:rPr>
          <w:rFonts w:hint="eastAsia"/>
        </w:rPr>
        <w:t>俸</w:t>
      </w:r>
      <w:proofErr w:type="gramEnd"/>
      <w:r w:rsidR="00E41130" w:rsidRPr="00D40021">
        <w:rPr>
          <w:rFonts w:hint="eastAsia"/>
        </w:rPr>
        <w:t>差額補助計922人，共</w:t>
      </w:r>
      <w:r w:rsidRPr="00D40021">
        <w:rPr>
          <w:rFonts w:hint="eastAsia"/>
        </w:rPr>
        <w:t>發放</w:t>
      </w:r>
      <w:r w:rsidR="00E41130" w:rsidRPr="00D40021">
        <w:rPr>
          <w:rFonts w:hint="eastAsia"/>
        </w:rPr>
        <w:t>27,033,562元，</w:t>
      </w:r>
      <w:r w:rsidRPr="00D40021">
        <w:rPr>
          <w:rFonts w:hint="eastAsia"/>
        </w:rPr>
        <w:t>則</w:t>
      </w:r>
      <w:r w:rsidR="00E41130" w:rsidRPr="00D40021">
        <w:rPr>
          <w:rFonts w:hint="eastAsia"/>
        </w:rPr>
        <w:t>平均每人</w:t>
      </w:r>
      <w:r w:rsidRPr="00D40021">
        <w:rPr>
          <w:rFonts w:hint="eastAsia"/>
        </w:rPr>
        <w:t>當</w:t>
      </w:r>
      <w:r w:rsidR="00E41130" w:rsidRPr="00D40021">
        <w:rPr>
          <w:rFonts w:hint="eastAsia"/>
        </w:rPr>
        <w:t>月</w:t>
      </w:r>
      <w:r w:rsidRPr="00D40021">
        <w:rPr>
          <w:rFonts w:hint="eastAsia"/>
        </w:rPr>
        <w:t>所</w:t>
      </w:r>
      <w:r w:rsidR="00E41130" w:rsidRPr="00D40021">
        <w:rPr>
          <w:rFonts w:hint="eastAsia"/>
        </w:rPr>
        <w:t>領取</w:t>
      </w:r>
      <w:r w:rsidRPr="00D40021">
        <w:rPr>
          <w:rFonts w:hint="eastAsia"/>
        </w:rPr>
        <w:t>之差額補助約</w:t>
      </w:r>
      <w:r w:rsidR="00E41130" w:rsidRPr="00D40021">
        <w:rPr>
          <w:rFonts w:hint="eastAsia"/>
        </w:rPr>
        <w:t>29,320元</w:t>
      </w:r>
      <w:r w:rsidR="007D3177" w:rsidRPr="00D40021">
        <w:rPr>
          <w:rFonts w:hint="eastAsia"/>
        </w:rPr>
        <w:t>，如表</w:t>
      </w:r>
      <w:r w:rsidRPr="00D40021">
        <w:rPr>
          <w:rFonts w:hint="eastAsia"/>
        </w:rPr>
        <w:t>7</w:t>
      </w:r>
      <w:r w:rsidR="007D3177" w:rsidRPr="00D40021">
        <w:rPr>
          <w:rFonts w:hint="eastAsia"/>
        </w:rPr>
        <w:t>。</w:t>
      </w:r>
    </w:p>
    <w:p w:rsidR="007D3177" w:rsidRPr="00D40021" w:rsidRDefault="00655743" w:rsidP="00020000">
      <w:pPr>
        <w:pStyle w:val="a3"/>
        <w:ind w:left="680" w:hanging="680"/>
      </w:pPr>
      <w:r w:rsidRPr="00D40021">
        <w:rPr>
          <w:rFonts w:hint="eastAsia"/>
        </w:rPr>
        <w:t>年金改革後，</w:t>
      </w:r>
      <w:r w:rsidR="00020000" w:rsidRPr="00D40021">
        <w:rPr>
          <w:rFonts w:hint="eastAsia"/>
        </w:rPr>
        <w:t>108年4月純舊制年資（85年12月31日以前）少將、中將</w:t>
      </w:r>
      <w:r w:rsidRPr="00D40021">
        <w:rPr>
          <w:rFonts w:hint="eastAsia"/>
        </w:rPr>
        <w:t>之退除給與</w:t>
      </w:r>
      <w:r w:rsidR="0089119C" w:rsidRPr="00D40021">
        <w:rPr>
          <w:rFonts w:hAnsi="標楷體" w:hint="eastAsia"/>
        </w:rPr>
        <w:t>差額補助</w:t>
      </w:r>
      <w:r w:rsidR="00020000" w:rsidRPr="00D40021">
        <w:rPr>
          <w:rFonts w:hint="eastAsia"/>
        </w:rPr>
        <w:t>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1903"/>
        <w:gridCol w:w="2514"/>
        <w:gridCol w:w="3737"/>
      </w:tblGrid>
      <w:tr w:rsidR="00D40021" w:rsidRPr="00D40021" w:rsidTr="008D0AF0">
        <w:trPr>
          <w:trHeight w:val="454"/>
          <w:jc w:val="center"/>
        </w:trPr>
        <w:tc>
          <w:tcPr>
            <w:tcW w:w="385" w:type="pct"/>
            <w:shd w:val="clear" w:color="auto" w:fill="EEECE1" w:themeFill="background2"/>
            <w:vAlign w:val="center"/>
          </w:tcPr>
          <w:p w:rsidR="00F97313" w:rsidRPr="00D40021" w:rsidRDefault="00483253" w:rsidP="00E248EA">
            <w:pPr>
              <w:pStyle w:val="14"/>
              <w:jc w:val="center"/>
            </w:pPr>
            <w:r w:rsidRPr="00D40021">
              <w:rPr>
                <w:rFonts w:hint="eastAsia"/>
              </w:rPr>
              <w:t>階級</w:t>
            </w:r>
          </w:p>
        </w:tc>
        <w:tc>
          <w:tcPr>
            <w:tcW w:w="1077" w:type="pct"/>
            <w:shd w:val="clear" w:color="auto" w:fill="EEECE1" w:themeFill="background2"/>
            <w:noWrap/>
            <w:vAlign w:val="center"/>
          </w:tcPr>
          <w:p w:rsidR="00483253" w:rsidRPr="00D40021" w:rsidRDefault="00655743" w:rsidP="00E248EA">
            <w:pPr>
              <w:pStyle w:val="14"/>
              <w:jc w:val="center"/>
            </w:pPr>
            <w:r w:rsidRPr="00D40021">
              <w:rPr>
                <w:rFonts w:hint="eastAsia"/>
              </w:rPr>
              <w:t>補助</w:t>
            </w:r>
            <w:r w:rsidR="00F97313" w:rsidRPr="00D40021">
              <w:rPr>
                <w:rFonts w:hint="eastAsia"/>
              </w:rPr>
              <w:t>人數</w:t>
            </w:r>
            <w:r w:rsidR="00483253" w:rsidRPr="00D40021">
              <w:rPr>
                <w:rFonts w:hint="eastAsia"/>
              </w:rPr>
              <w:t>(人)</w:t>
            </w:r>
          </w:p>
        </w:tc>
        <w:tc>
          <w:tcPr>
            <w:tcW w:w="1423" w:type="pct"/>
            <w:shd w:val="clear" w:color="auto" w:fill="EEECE1" w:themeFill="background2"/>
            <w:noWrap/>
            <w:vAlign w:val="center"/>
          </w:tcPr>
          <w:p w:rsidR="00F97313" w:rsidRPr="00D40021" w:rsidRDefault="00BA2A7E" w:rsidP="00E248EA">
            <w:pPr>
              <w:pStyle w:val="14"/>
              <w:jc w:val="center"/>
            </w:pPr>
            <w:r w:rsidRPr="00D40021">
              <w:rPr>
                <w:rFonts w:hAnsi="Arial" w:hint="eastAsia"/>
                <w:kern w:val="32"/>
                <w:szCs w:val="36"/>
              </w:rPr>
              <w:t>當月補助金</w:t>
            </w:r>
            <w:r w:rsidR="00F97313" w:rsidRPr="00D40021">
              <w:rPr>
                <w:rFonts w:hint="eastAsia"/>
              </w:rPr>
              <w:t>額</w:t>
            </w:r>
            <w:r w:rsidR="00483253" w:rsidRPr="00D40021">
              <w:rPr>
                <w:rFonts w:hint="eastAsia"/>
              </w:rPr>
              <w:t>(元)</w:t>
            </w:r>
          </w:p>
        </w:tc>
        <w:tc>
          <w:tcPr>
            <w:tcW w:w="2115" w:type="pct"/>
            <w:shd w:val="clear" w:color="auto" w:fill="EEECE1" w:themeFill="background2"/>
            <w:vAlign w:val="center"/>
          </w:tcPr>
          <w:p w:rsidR="00F97313" w:rsidRPr="00D40021" w:rsidRDefault="00E41130" w:rsidP="00E248EA">
            <w:pPr>
              <w:pStyle w:val="14"/>
              <w:jc w:val="center"/>
            </w:pPr>
            <w:r w:rsidRPr="00D40021">
              <w:rPr>
                <w:rFonts w:hint="eastAsia"/>
              </w:rPr>
              <w:t>平均</w:t>
            </w:r>
            <w:r w:rsidR="00E248EA" w:rsidRPr="00D40021">
              <w:rPr>
                <w:rFonts w:hint="eastAsia"/>
              </w:rPr>
              <w:t>每人當月</w:t>
            </w:r>
            <w:r w:rsidRPr="00D40021">
              <w:rPr>
                <w:rFonts w:hint="eastAsia"/>
              </w:rPr>
              <w:t>補助</w:t>
            </w:r>
            <w:r w:rsidR="00F97313" w:rsidRPr="00D40021">
              <w:rPr>
                <w:rFonts w:hint="eastAsia"/>
              </w:rPr>
              <w:t>金額</w:t>
            </w:r>
            <w:r w:rsidR="00E248EA" w:rsidRPr="00D40021">
              <w:rPr>
                <w:rFonts w:hint="eastAsia"/>
              </w:rPr>
              <w:t>(元)</w:t>
            </w:r>
          </w:p>
        </w:tc>
      </w:tr>
      <w:tr w:rsidR="00D40021" w:rsidRPr="00D40021" w:rsidTr="008D0AF0">
        <w:trPr>
          <w:trHeight w:val="454"/>
          <w:jc w:val="center"/>
        </w:trPr>
        <w:tc>
          <w:tcPr>
            <w:tcW w:w="385" w:type="pct"/>
            <w:shd w:val="clear" w:color="auto" w:fill="EEECE1" w:themeFill="background2"/>
            <w:noWrap/>
            <w:vAlign w:val="center"/>
          </w:tcPr>
          <w:p w:rsidR="00E248EA" w:rsidRPr="00D40021" w:rsidRDefault="00E248EA" w:rsidP="00E248EA">
            <w:pPr>
              <w:pStyle w:val="14"/>
              <w:jc w:val="center"/>
            </w:pPr>
            <w:r w:rsidRPr="00D40021">
              <w:rPr>
                <w:rFonts w:hint="eastAsia"/>
              </w:rPr>
              <w:t>少將</w:t>
            </w:r>
          </w:p>
        </w:tc>
        <w:tc>
          <w:tcPr>
            <w:tcW w:w="1077" w:type="pct"/>
            <w:shd w:val="clear" w:color="auto" w:fill="auto"/>
            <w:noWrap/>
            <w:vAlign w:val="center"/>
          </w:tcPr>
          <w:p w:rsidR="00E248EA" w:rsidRPr="00D40021" w:rsidRDefault="00E248EA" w:rsidP="00E248EA">
            <w:pPr>
              <w:pStyle w:val="14"/>
              <w:jc w:val="center"/>
            </w:pPr>
            <w:r w:rsidRPr="00D40021">
              <w:rPr>
                <w:rFonts w:hint="eastAsia"/>
              </w:rPr>
              <w:t>746</w:t>
            </w:r>
          </w:p>
        </w:tc>
        <w:tc>
          <w:tcPr>
            <w:tcW w:w="1423" w:type="pct"/>
            <w:shd w:val="clear" w:color="auto" w:fill="auto"/>
            <w:noWrap/>
            <w:vAlign w:val="center"/>
          </w:tcPr>
          <w:p w:rsidR="00E248EA" w:rsidRPr="00D40021" w:rsidRDefault="00E248EA" w:rsidP="00E248EA">
            <w:pPr>
              <w:pStyle w:val="14"/>
              <w:jc w:val="center"/>
            </w:pPr>
            <w:r w:rsidRPr="00D40021">
              <w:rPr>
                <w:rFonts w:hint="eastAsia"/>
              </w:rPr>
              <w:t>21,213,367</w:t>
            </w:r>
          </w:p>
        </w:tc>
        <w:tc>
          <w:tcPr>
            <w:tcW w:w="2115" w:type="pct"/>
            <w:vAlign w:val="center"/>
          </w:tcPr>
          <w:p w:rsidR="00E248EA" w:rsidRPr="00D40021" w:rsidRDefault="00E248EA" w:rsidP="00E248EA">
            <w:pPr>
              <w:pStyle w:val="14"/>
              <w:jc w:val="center"/>
              <w:rPr>
                <w:rFonts w:ascii="新細明體" w:eastAsia="新細明體" w:hAnsi="新細明體" w:cs="新細明體"/>
                <w:sz w:val="24"/>
                <w:szCs w:val="24"/>
              </w:rPr>
            </w:pPr>
            <w:r w:rsidRPr="00D40021">
              <w:rPr>
                <w:rFonts w:hint="eastAsia"/>
              </w:rPr>
              <w:t>28,436</w:t>
            </w:r>
          </w:p>
        </w:tc>
      </w:tr>
      <w:tr w:rsidR="00D40021" w:rsidRPr="00D40021" w:rsidTr="008D0AF0">
        <w:trPr>
          <w:trHeight w:val="454"/>
          <w:jc w:val="center"/>
        </w:trPr>
        <w:tc>
          <w:tcPr>
            <w:tcW w:w="385" w:type="pct"/>
            <w:shd w:val="clear" w:color="auto" w:fill="EEECE1" w:themeFill="background2"/>
            <w:noWrap/>
            <w:vAlign w:val="center"/>
          </w:tcPr>
          <w:p w:rsidR="00E248EA" w:rsidRPr="00D40021" w:rsidRDefault="00E248EA" w:rsidP="00E248EA">
            <w:pPr>
              <w:pStyle w:val="14"/>
              <w:jc w:val="center"/>
            </w:pPr>
            <w:r w:rsidRPr="00D40021">
              <w:rPr>
                <w:rFonts w:hint="eastAsia"/>
              </w:rPr>
              <w:t>中將</w:t>
            </w:r>
          </w:p>
        </w:tc>
        <w:tc>
          <w:tcPr>
            <w:tcW w:w="1077" w:type="pct"/>
            <w:shd w:val="clear" w:color="auto" w:fill="auto"/>
            <w:noWrap/>
            <w:vAlign w:val="center"/>
          </w:tcPr>
          <w:p w:rsidR="00E248EA" w:rsidRPr="00D40021" w:rsidRDefault="00E248EA" w:rsidP="00E248EA">
            <w:pPr>
              <w:pStyle w:val="14"/>
              <w:jc w:val="center"/>
            </w:pPr>
            <w:r w:rsidRPr="00D40021">
              <w:rPr>
                <w:rFonts w:hint="eastAsia"/>
              </w:rPr>
              <w:t>176</w:t>
            </w:r>
          </w:p>
        </w:tc>
        <w:tc>
          <w:tcPr>
            <w:tcW w:w="1423" w:type="pct"/>
            <w:shd w:val="clear" w:color="auto" w:fill="auto"/>
            <w:noWrap/>
            <w:vAlign w:val="center"/>
          </w:tcPr>
          <w:p w:rsidR="00E248EA" w:rsidRPr="00D40021" w:rsidRDefault="00E248EA" w:rsidP="00E248EA">
            <w:pPr>
              <w:pStyle w:val="14"/>
              <w:jc w:val="center"/>
            </w:pPr>
            <w:r w:rsidRPr="00D40021">
              <w:rPr>
                <w:rFonts w:hint="eastAsia"/>
              </w:rPr>
              <w:t>5,820,195</w:t>
            </w:r>
          </w:p>
        </w:tc>
        <w:tc>
          <w:tcPr>
            <w:tcW w:w="2115" w:type="pct"/>
            <w:vAlign w:val="center"/>
          </w:tcPr>
          <w:p w:rsidR="00E248EA" w:rsidRPr="00D40021" w:rsidRDefault="00E248EA" w:rsidP="00E248EA">
            <w:pPr>
              <w:pStyle w:val="14"/>
              <w:jc w:val="center"/>
              <w:rPr>
                <w:rFonts w:ascii="新細明體" w:eastAsia="新細明體" w:hAnsi="新細明體" w:cs="新細明體"/>
                <w:sz w:val="24"/>
                <w:szCs w:val="24"/>
              </w:rPr>
            </w:pPr>
            <w:r w:rsidRPr="00D40021">
              <w:rPr>
                <w:rFonts w:hint="eastAsia"/>
              </w:rPr>
              <w:t>33,069</w:t>
            </w:r>
          </w:p>
        </w:tc>
      </w:tr>
      <w:tr w:rsidR="00D40021" w:rsidRPr="00D40021" w:rsidTr="008D0AF0">
        <w:trPr>
          <w:trHeight w:val="454"/>
          <w:jc w:val="center"/>
        </w:trPr>
        <w:tc>
          <w:tcPr>
            <w:tcW w:w="385" w:type="pct"/>
            <w:shd w:val="clear" w:color="auto" w:fill="EEECE1" w:themeFill="background2"/>
            <w:noWrap/>
            <w:vAlign w:val="center"/>
          </w:tcPr>
          <w:p w:rsidR="00E248EA" w:rsidRPr="00D40021" w:rsidRDefault="00E248EA" w:rsidP="00E248EA">
            <w:pPr>
              <w:pStyle w:val="14"/>
              <w:jc w:val="center"/>
            </w:pPr>
            <w:r w:rsidRPr="00D40021">
              <w:rPr>
                <w:rFonts w:hint="eastAsia"/>
              </w:rPr>
              <w:t>總計</w:t>
            </w:r>
          </w:p>
        </w:tc>
        <w:tc>
          <w:tcPr>
            <w:tcW w:w="1077" w:type="pct"/>
            <w:shd w:val="clear" w:color="auto" w:fill="auto"/>
            <w:noWrap/>
            <w:vAlign w:val="center"/>
          </w:tcPr>
          <w:p w:rsidR="00E248EA" w:rsidRPr="00D40021" w:rsidRDefault="00E248EA" w:rsidP="00E248EA">
            <w:pPr>
              <w:pStyle w:val="14"/>
              <w:jc w:val="center"/>
            </w:pPr>
            <w:r w:rsidRPr="00D40021">
              <w:rPr>
                <w:rFonts w:hint="eastAsia"/>
              </w:rPr>
              <w:t>922</w:t>
            </w:r>
          </w:p>
        </w:tc>
        <w:tc>
          <w:tcPr>
            <w:tcW w:w="1423" w:type="pct"/>
            <w:shd w:val="clear" w:color="auto" w:fill="auto"/>
            <w:noWrap/>
            <w:vAlign w:val="center"/>
          </w:tcPr>
          <w:p w:rsidR="00E248EA" w:rsidRPr="00D40021" w:rsidRDefault="00E248EA" w:rsidP="00E248EA">
            <w:pPr>
              <w:pStyle w:val="14"/>
              <w:jc w:val="center"/>
            </w:pPr>
            <w:r w:rsidRPr="00D40021">
              <w:rPr>
                <w:rFonts w:hint="eastAsia"/>
              </w:rPr>
              <w:t>27,033,562</w:t>
            </w:r>
          </w:p>
        </w:tc>
        <w:tc>
          <w:tcPr>
            <w:tcW w:w="2115" w:type="pct"/>
            <w:vAlign w:val="center"/>
          </w:tcPr>
          <w:p w:rsidR="00E248EA" w:rsidRPr="00D40021" w:rsidRDefault="00E248EA" w:rsidP="00E248EA">
            <w:pPr>
              <w:pStyle w:val="14"/>
              <w:jc w:val="center"/>
              <w:rPr>
                <w:rFonts w:ascii="新細明體" w:eastAsia="新細明體" w:hAnsi="新細明體" w:cs="新細明體"/>
                <w:sz w:val="24"/>
                <w:szCs w:val="24"/>
              </w:rPr>
            </w:pPr>
            <w:r w:rsidRPr="00D40021">
              <w:rPr>
                <w:rFonts w:hint="eastAsia"/>
              </w:rPr>
              <w:t>29,320</w:t>
            </w:r>
          </w:p>
        </w:tc>
      </w:tr>
    </w:tbl>
    <w:p w:rsidR="00CF754D" w:rsidRPr="00D40021" w:rsidRDefault="00CF754D" w:rsidP="00483253">
      <w:pPr>
        <w:pStyle w:val="afa"/>
        <w:overflowPunct/>
        <w:rPr>
          <w:rFonts w:hAnsi="標楷體"/>
        </w:rPr>
      </w:pPr>
      <w:r w:rsidRPr="00D40021">
        <w:rPr>
          <w:rFonts w:hAnsi="標楷體" w:hint="eastAsia"/>
        </w:rPr>
        <w:t>資料來源：輔導會。</w:t>
      </w:r>
    </w:p>
    <w:p w:rsidR="003A0B13" w:rsidRPr="00D40021" w:rsidRDefault="003A0B13" w:rsidP="003A0B13">
      <w:pPr>
        <w:pStyle w:val="3"/>
        <w:numPr>
          <w:ilvl w:val="2"/>
          <w:numId w:val="1"/>
        </w:numPr>
      </w:pPr>
      <w:r w:rsidRPr="00D40021">
        <w:rPr>
          <w:rFonts w:hint="eastAsia"/>
        </w:rPr>
        <w:t>另按</w:t>
      </w:r>
      <w:r w:rsidRPr="00D40021">
        <w:rPr>
          <w:rFonts w:hAnsi="標楷體" w:hint="eastAsia"/>
        </w:rPr>
        <w:t>107年7月1日修正施行服役條例</w:t>
      </w:r>
      <w:r w:rsidRPr="00D40021">
        <w:rPr>
          <w:rFonts w:hint="eastAsia"/>
        </w:rPr>
        <w:t>第59條規定：「本條例修正施行後，行政院應會同考試院建立年金制度監控機制，五年內檢討制度設計與財務永續發展，之後定期檢討。」其理由略</w:t>
      </w:r>
      <w:proofErr w:type="gramStart"/>
      <w:r w:rsidRPr="00D40021">
        <w:rPr>
          <w:rFonts w:hint="eastAsia"/>
        </w:rPr>
        <w:t>以</w:t>
      </w:r>
      <w:proofErr w:type="gramEnd"/>
      <w:r w:rsidRPr="00D40021">
        <w:rPr>
          <w:rFonts w:hint="eastAsia"/>
        </w:rPr>
        <w:t>：「1.參照公務人員退休資遣撫</w:t>
      </w:r>
      <w:proofErr w:type="gramStart"/>
      <w:r w:rsidRPr="00D40021">
        <w:rPr>
          <w:rFonts w:hint="eastAsia"/>
        </w:rPr>
        <w:t>卹</w:t>
      </w:r>
      <w:proofErr w:type="gramEnd"/>
      <w:r w:rsidRPr="00D40021">
        <w:rPr>
          <w:rFonts w:hint="eastAsia"/>
        </w:rPr>
        <w:t>法第</w:t>
      </w:r>
      <w:r w:rsidR="006D5A91" w:rsidRPr="00D40021">
        <w:rPr>
          <w:rFonts w:hint="eastAsia"/>
        </w:rPr>
        <w:t>92</w:t>
      </w:r>
      <w:r w:rsidRPr="00D40021">
        <w:rPr>
          <w:rFonts w:hint="eastAsia"/>
        </w:rPr>
        <w:t>條規定及其立法精神，增訂年金制度監控機制、</w:t>
      </w:r>
      <w:r w:rsidR="006D5A91" w:rsidRPr="00D40021">
        <w:rPr>
          <w:rFonts w:hint="eastAsia"/>
        </w:rPr>
        <w:t>5</w:t>
      </w:r>
      <w:r w:rsidRPr="00D40021">
        <w:rPr>
          <w:rFonts w:hint="eastAsia"/>
        </w:rPr>
        <w:t>年內檢討制度設計與財務永續發展等事宜。2.定期檢討內容包含基金運用收益情形、退休潛藏負債及國家整體財政狀況、消費者物價指數、經費支出等面向，並提出改善退撫基金財務具體建議，以使基金運作無虞。」云云，亦即隨時可以修改上開所列軍人退撫制度，將使軍人退休給付債權永成不確定狀態，</w:t>
      </w:r>
      <w:proofErr w:type="gramStart"/>
      <w:r w:rsidRPr="00D40021">
        <w:rPr>
          <w:rFonts w:hint="eastAsia"/>
        </w:rPr>
        <w:t>併</w:t>
      </w:r>
      <w:proofErr w:type="gramEnd"/>
      <w:r w:rsidRPr="00D40021">
        <w:rPr>
          <w:rFonts w:hint="eastAsia"/>
        </w:rPr>
        <w:t>予指明。</w:t>
      </w:r>
    </w:p>
    <w:p w:rsidR="00657BB9" w:rsidRPr="00D40021" w:rsidRDefault="003A0B13" w:rsidP="003A0B13">
      <w:pPr>
        <w:pStyle w:val="3"/>
        <w:rPr>
          <w:rFonts w:hAnsi="標楷體"/>
        </w:rPr>
      </w:pPr>
      <w:r w:rsidRPr="00D40021">
        <w:rPr>
          <w:rFonts w:hAnsi="標楷體" w:hint="eastAsia"/>
        </w:rPr>
        <w:t>綜上，107年7月1日修正施行服役條例第26條第1項、第2項第2款及第3項規定與第59條規定，就修正施行前已退伍除役之人員，定有依修正施行前給與基</w:t>
      </w:r>
      <w:r w:rsidRPr="00D40021">
        <w:rPr>
          <w:rFonts w:hAnsi="標楷體" w:hint="eastAsia"/>
        </w:rPr>
        <w:lastRenderedPageBreak/>
        <w:t>準計算之每月支領退休</w:t>
      </w:r>
      <w:proofErr w:type="gramStart"/>
      <w:r w:rsidRPr="00D40021">
        <w:rPr>
          <w:rFonts w:hAnsi="標楷體" w:hint="eastAsia"/>
        </w:rPr>
        <w:t>俸</w:t>
      </w:r>
      <w:proofErr w:type="gramEnd"/>
      <w:r w:rsidRPr="00D40021">
        <w:rPr>
          <w:rFonts w:hAnsi="標楷體" w:hint="eastAsia"/>
        </w:rPr>
        <w:t>、優存利息及月補償金合計數額，</w:t>
      </w:r>
      <w:proofErr w:type="gramStart"/>
      <w:r w:rsidRPr="00D40021">
        <w:rPr>
          <w:rFonts w:hAnsi="標楷體" w:hint="eastAsia"/>
        </w:rPr>
        <w:t>然倘超過</w:t>
      </w:r>
      <w:proofErr w:type="gramEnd"/>
      <w:r w:rsidRPr="00D40021">
        <w:rPr>
          <w:rFonts w:hAnsi="標楷體" w:hint="eastAsia"/>
        </w:rPr>
        <w:t>依修正施行後給與基準計算之退休</w:t>
      </w:r>
      <w:proofErr w:type="gramStart"/>
      <w:r w:rsidRPr="00D40021">
        <w:rPr>
          <w:rFonts w:hAnsi="標楷體" w:hint="eastAsia"/>
        </w:rPr>
        <w:t>俸</w:t>
      </w:r>
      <w:proofErr w:type="gramEnd"/>
      <w:r w:rsidRPr="00D40021">
        <w:rPr>
          <w:rFonts w:hAnsi="標楷體" w:hint="eastAsia"/>
        </w:rPr>
        <w:t>者，需自施行日起10年內，分年平均調降至無差額止，</w:t>
      </w:r>
      <w:proofErr w:type="gramStart"/>
      <w:r w:rsidRPr="00D40021">
        <w:rPr>
          <w:rFonts w:hAnsi="標楷體" w:hint="eastAsia"/>
        </w:rPr>
        <w:t>業減損</w:t>
      </w:r>
      <w:proofErr w:type="gramEnd"/>
      <w:r w:rsidRPr="00D40021">
        <w:rPr>
          <w:rFonts w:hAnsi="標楷體" w:hint="eastAsia"/>
        </w:rPr>
        <w:t>軍人退休所得權益，並該條例得於每5年內檢討制度設計與財務永續發展，而使退休給付債權成為永不確定狀態，其適用對象與範圍涵蓋已退伍與未退伍之軍人，</w:t>
      </w:r>
      <w:r w:rsidR="00927E1B" w:rsidRPr="00D40021">
        <w:rPr>
          <w:rFonts w:hAnsi="標楷體" w:hint="eastAsia"/>
        </w:rPr>
        <w:t>涉有背離憲法</w:t>
      </w:r>
      <w:proofErr w:type="gramStart"/>
      <w:r w:rsidR="00927E1B" w:rsidRPr="00D40021">
        <w:rPr>
          <w:rFonts w:hAnsi="標楷體" w:hint="eastAsia"/>
        </w:rPr>
        <w:t>法</w:t>
      </w:r>
      <w:proofErr w:type="gramEnd"/>
      <w:r w:rsidR="00927E1B" w:rsidRPr="00D40021">
        <w:rPr>
          <w:rFonts w:hAnsi="標楷體" w:hint="eastAsia"/>
        </w:rPr>
        <w:t>安定原則，有違法律</w:t>
      </w:r>
      <w:proofErr w:type="gramStart"/>
      <w:r w:rsidR="0005441D" w:rsidRPr="00D40021">
        <w:rPr>
          <w:rFonts w:hAnsi="標楷體" w:hint="eastAsia"/>
        </w:rPr>
        <w:t>不</w:t>
      </w:r>
      <w:proofErr w:type="gramEnd"/>
      <w:r w:rsidR="00927E1B" w:rsidRPr="00D40021">
        <w:rPr>
          <w:rFonts w:hAnsi="標楷體" w:hint="eastAsia"/>
        </w:rPr>
        <w:t>溯既往原則，侵害軍人財產權之虞。</w:t>
      </w:r>
    </w:p>
    <w:p w:rsidR="004027AD" w:rsidRPr="00D40021" w:rsidRDefault="004027AD" w:rsidP="004027AD">
      <w:pPr>
        <w:rPr>
          <w:rFonts w:hAnsi="標楷體"/>
        </w:rPr>
      </w:pPr>
    </w:p>
    <w:p w:rsidR="003A21D3" w:rsidRPr="00D40021" w:rsidRDefault="003A21D3" w:rsidP="00CD5075">
      <w:pPr>
        <w:pStyle w:val="2"/>
        <w:kinsoku w:val="0"/>
        <w:overflowPunct/>
        <w:spacing w:line="460" w:lineRule="exact"/>
        <w:rPr>
          <w:rFonts w:hAnsi="標楷體"/>
        </w:rPr>
      </w:pPr>
      <w:r w:rsidRPr="00D40021">
        <w:rPr>
          <w:rFonts w:hAnsi="標楷體"/>
          <w:b/>
        </w:rPr>
        <w:t>新修正</w:t>
      </w:r>
      <w:r w:rsidR="007650BC" w:rsidRPr="00D40021">
        <w:rPr>
          <w:rFonts w:hAnsi="標楷體" w:hint="eastAsia"/>
          <w:b/>
        </w:rPr>
        <w:t>施行</w:t>
      </w:r>
      <w:r w:rsidRPr="00D40021">
        <w:rPr>
          <w:rFonts w:hAnsi="標楷體" w:hint="eastAsia"/>
          <w:b/>
        </w:rPr>
        <w:t>服役條例雖</w:t>
      </w:r>
      <w:r w:rsidRPr="00D40021">
        <w:rPr>
          <w:rFonts w:hAnsi="標楷體"/>
          <w:b/>
        </w:rPr>
        <w:t>訂</w:t>
      </w:r>
      <w:r w:rsidRPr="00D40021">
        <w:rPr>
          <w:rFonts w:hAnsi="標楷體" w:hint="eastAsia"/>
          <w:b/>
        </w:rPr>
        <w:t>有</w:t>
      </w:r>
      <w:r w:rsidRPr="00D40021">
        <w:rPr>
          <w:rFonts w:hAnsi="標楷體"/>
          <w:b/>
        </w:rPr>
        <w:t>退休所得下限規定，惟</w:t>
      </w:r>
      <w:r w:rsidRPr="00D40021">
        <w:rPr>
          <w:rFonts w:hAnsi="標楷體" w:hint="eastAsia"/>
          <w:b/>
        </w:rPr>
        <w:t>發生</w:t>
      </w:r>
      <w:proofErr w:type="gramStart"/>
      <w:r w:rsidR="00961AC3" w:rsidRPr="00D40021">
        <w:rPr>
          <w:rFonts w:hAnsi="標楷體" w:hint="eastAsia"/>
          <w:b/>
        </w:rPr>
        <w:t>在役時繳付</w:t>
      </w:r>
      <w:proofErr w:type="gramEnd"/>
      <w:r w:rsidR="00961AC3" w:rsidRPr="00D40021">
        <w:rPr>
          <w:rFonts w:hAnsi="標楷體"/>
          <w:b/>
        </w:rPr>
        <w:t>較高退撫費用</w:t>
      </w:r>
      <w:r w:rsidR="00961AC3" w:rsidRPr="00D40021">
        <w:rPr>
          <w:rFonts w:hAnsi="標楷體" w:hint="eastAsia"/>
          <w:b/>
        </w:rPr>
        <w:t>之</w:t>
      </w:r>
      <w:r w:rsidR="00E733C6" w:rsidRPr="00D40021">
        <w:rPr>
          <w:rFonts w:hAnsi="標楷體" w:hint="eastAsia"/>
          <w:b/>
        </w:rPr>
        <w:t>已退伍除役人員</w:t>
      </w:r>
      <w:r w:rsidRPr="00D40021">
        <w:rPr>
          <w:rFonts w:hAnsi="標楷體" w:hint="eastAsia"/>
          <w:b/>
        </w:rPr>
        <w:t>，與繳付較低退撫費用</w:t>
      </w:r>
      <w:r w:rsidR="00B23849" w:rsidRPr="00D40021">
        <w:rPr>
          <w:rFonts w:hAnsi="標楷體" w:hint="eastAsia"/>
          <w:b/>
        </w:rPr>
        <w:t>者</w:t>
      </w:r>
      <w:r w:rsidRPr="00D40021">
        <w:rPr>
          <w:rFonts w:hAnsi="標楷體" w:hint="eastAsia"/>
          <w:b/>
        </w:rPr>
        <w:t>，卻均領取相同</w:t>
      </w:r>
      <w:r w:rsidR="00841821" w:rsidRPr="00D40021">
        <w:rPr>
          <w:rFonts w:hAnsi="標楷體" w:hint="eastAsia"/>
          <w:b/>
        </w:rPr>
        <w:t>月</w:t>
      </w:r>
      <w:r w:rsidRPr="00D40021">
        <w:rPr>
          <w:rFonts w:hAnsi="標楷體" w:hint="eastAsia"/>
          <w:b/>
        </w:rPr>
        <w:t>退休所得</w:t>
      </w:r>
      <w:r w:rsidRPr="00D40021">
        <w:rPr>
          <w:rFonts w:hAnsi="標楷體"/>
          <w:b/>
        </w:rPr>
        <w:t>，顯失</w:t>
      </w:r>
      <w:r w:rsidRPr="00D40021">
        <w:rPr>
          <w:rFonts w:hAnsi="標楷體" w:hint="eastAsia"/>
          <w:b/>
        </w:rPr>
        <w:t>給付與</w:t>
      </w:r>
      <w:r w:rsidRPr="00D40021">
        <w:rPr>
          <w:rFonts w:hAnsi="標楷體"/>
          <w:b/>
        </w:rPr>
        <w:t>繳費之權利義務對等原則，</w:t>
      </w:r>
      <w:r w:rsidRPr="00D40021">
        <w:rPr>
          <w:rFonts w:hAnsi="標楷體" w:hint="eastAsia"/>
          <w:b/>
        </w:rPr>
        <w:t>自</w:t>
      </w:r>
      <w:r w:rsidRPr="00D40021">
        <w:rPr>
          <w:rFonts w:hAnsi="標楷體"/>
          <w:b/>
        </w:rPr>
        <w:t>難稱公允。</w:t>
      </w:r>
    </w:p>
    <w:p w:rsidR="003A21D3" w:rsidRPr="00D40021" w:rsidRDefault="007650BC" w:rsidP="00CD5075">
      <w:pPr>
        <w:pStyle w:val="3"/>
        <w:kinsoku w:val="0"/>
        <w:overflowPunct/>
        <w:spacing w:line="460" w:lineRule="exact"/>
        <w:rPr>
          <w:rFonts w:hAnsi="標楷體"/>
          <w:bCs w:val="0"/>
          <w:szCs w:val="20"/>
        </w:rPr>
      </w:pPr>
      <w:r w:rsidRPr="00D40021">
        <w:rPr>
          <w:rFonts w:hAnsi="標楷體"/>
        </w:rPr>
        <w:t>新修正</w:t>
      </w:r>
      <w:r w:rsidRPr="00D40021">
        <w:rPr>
          <w:rFonts w:hAnsi="標楷體" w:hint="eastAsia"/>
        </w:rPr>
        <w:t>施行</w:t>
      </w:r>
      <w:r w:rsidR="003A21D3" w:rsidRPr="00D40021">
        <w:rPr>
          <w:rFonts w:hAnsi="標楷體" w:hint="eastAsia"/>
        </w:rPr>
        <w:t>服役條例</w:t>
      </w:r>
      <w:r w:rsidR="003A21D3" w:rsidRPr="00D40021">
        <w:rPr>
          <w:rFonts w:hAnsi="標楷體"/>
        </w:rPr>
        <w:t>第</w:t>
      </w:r>
      <w:r w:rsidR="003A21D3" w:rsidRPr="00D40021">
        <w:rPr>
          <w:rFonts w:hAnsi="標楷體" w:hint="eastAsia"/>
        </w:rPr>
        <w:t>29</w:t>
      </w:r>
      <w:r w:rsidR="003A21D3" w:rsidRPr="00D40021">
        <w:rPr>
          <w:rFonts w:hAnsi="標楷體"/>
        </w:rPr>
        <w:t>條</w:t>
      </w:r>
      <w:r w:rsidR="003A21D3" w:rsidRPr="00D40021">
        <w:rPr>
          <w:rFonts w:hAnsi="標楷體" w:hint="eastAsia"/>
        </w:rPr>
        <w:t>第2項</w:t>
      </w:r>
      <w:r w:rsidR="003A21D3" w:rsidRPr="00D40021">
        <w:rPr>
          <w:rFonts w:hAnsi="標楷體"/>
        </w:rPr>
        <w:t>規定，</w:t>
      </w:r>
      <w:r w:rsidR="00175E3A" w:rsidRPr="00D40021">
        <w:rPr>
          <w:rFonts w:hAnsi="標楷體" w:hint="eastAsia"/>
          <w:noProof/>
        </w:rPr>
        <w:t>軍人</w:t>
      </w:r>
      <w:r w:rsidR="00175E3A" w:rsidRPr="00D40021">
        <w:rPr>
          <w:rFonts w:hAnsi="標楷體"/>
          <w:noProof/>
        </w:rPr>
        <w:t>退休撫卹基金</w:t>
      </w:r>
      <w:r w:rsidR="00175E3A" w:rsidRPr="00D40021">
        <w:rPr>
          <w:rFonts w:hAnsi="標楷體" w:hint="eastAsia"/>
          <w:noProof/>
        </w:rPr>
        <w:t>（下稱軍人</w:t>
      </w:r>
      <w:r w:rsidR="003A21D3" w:rsidRPr="00D40021">
        <w:rPr>
          <w:rFonts w:hAnsi="標楷體"/>
        </w:rPr>
        <w:t>退撫基金</w:t>
      </w:r>
      <w:r w:rsidR="00175E3A" w:rsidRPr="00D40021">
        <w:rPr>
          <w:rFonts w:hAnsi="標楷體" w:hint="eastAsia"/>
        </w:rPr>
        <w:t>）</w:t>
      </w:r>
      <w:r w:rsidR="003A21D3" w:rsidRPr="00D40021">
        <w:rPr>
          <w:rFonts w:hAnsi="標楷體"/>
        </w:rPr>
        <w:t>資金</w:t>
      </w:r>
      <w:proofErr w:type="gramStart"/>
      <w:r w:rsidR="003A21D3" w:rsidRPr="00D40021">
        <w:rPr>
          <w:rFonts w:hAnsi="標楷體"/>
        </w:rPr>
        <w:t>提撥</w:t>
      </w:r>
      <w:proofErr w:type="gramEnd"/>
      <w:r w:rsidR="003A21D3" w:rsidRPr="00D40021">
        <w:rPr>
          <w:rFonts w:hAnsi="標楷體"/>
        </w:rPr>
        <w:t>來源，係以</w:t>
      </w:r>
      <w:r w:rsidR="003A21D3" w:rsidRPr="00D40021">
        <w:rPr>
          <w:rFonts w:hAnsi="標楷體" w:hint="eastAsia"/>
        </w:rPr>
        <w:t>現役</w:t>
      </w:r>
      <w:r w:rsidR="003A21D3" w:rsidRPr="00D40021">
        <w:rPr>
          <w:rFonts w:hAnsi="標楷體"/>
        </w:rPr>
        <w:t>人員在職時之本</w:t>
      </w:r>
      <w:proofErr w:type="gramStart"/>
      <w:r w:rsidR="003A21D3" w:rsidRPr="00D40021">
        <w:rPr>
          <w:rFonts w:hAnsi="標楷體"/>
        </w:rPr>
        <w:t>俸</w:t>
      </w:r>
      <w:proofErr w:type="gramEnd"/>
      <w:r w:rsidR="003A21D3" w:rsidRPr="00D40021">
        <w:rPr>
          <w:rFonts w:hAnsi="標楷體"/>
        </w:rPr>
        <w:t>額加1倍為基數，依</w:t>
      </w:r>
      <w:r w:rsidR="003A21D3" w:rsidRPr="00D40021">
        <w:rPr>
          <w:rFonts w:hAnsi="標楷體" w:hint="eastAsia"/>
        </w:rPr>
        <w:t>12</w:t>
      </w:r>
      <w:r w:rsidR="003A21D3" w:rsidRPr="00D40021">
        <w:rPr>
          <w:rFonts w:hAnsi="標楷體"/>
        </w:rPr>
        <w:t>%至</w:t>
      </w:r>
      <w:r w:rsidR="003A21D3" w:rsidRPr="00D40021">
        <w:rPr>
          <w:rFonts w:hAnsi="標楷體" w:hint="eastAsia"/>
        </w:rPr>
        <w:t>18</w:t>
      </w:r>
      <w:r w:rsidR="003A21D3" w:rsidRPr="00D40021">
        <w:rPr>
          <w:rFonts w:hAnsi="標楷體"/>
        </w:rPr>
        <w:t>%之</w:t>
      </w:r>
      <w:proofErr w:type="gramStart"/>
      <w:r w:rsidR="003A21D3" w:rsidRPr="00D40021">
        <w:rPr>
          <w:rFonts w:hAnsi="標楷體"/>
          <w:bCs w:val="0"/>
          <w:szCs w:val="20"/>
        </w:rPr>
        <w:t>提撥</w:t>
      </w:r>
      <w:proofErr w:type="gramEnd"/>
      <w:r w:rsidR="003A21D3" w:rsidRPr="00D40021">
        <w:rPr>
          <w:rFonts w:hAnsi="標楷體"/>
        </w:rPr>
        <w:t>費率</w:t>
      </w:r>
      <w:r w:rsidR="00A71E9C" w:rsidRPr="00D40021">
        <w:rPr>
          <w:rStyle w:val="aff3"/>
          <w:rFonts w:hAnsi="標楷體"/>
        </w:rPr>
        <w:footnoteReference w:id="6"/>
      </w:r>
      <w:r w:rsidR="003A21D3" w:rsidRPr="00D40021">
        <w:rPr>
          <w:rFonts w:hAnsi="標楷體"/>
        </w:rPr>
        <w:t>，按月由政府撥</w:t>
      </w:r>
      <w:r w:rsidR="003A21D3" w:rsidRPr="00D40021">
        <w:rPr>
          <w:rFonts w:hAnsi="標楷體" w:hint="eastAsia"/>
        </w:rPr>
        <w:t>付</w:t>
      </w:r>
      <w:r w:rsidR="003A21D3" w:rsidRPr="00D40021">
        <w:rPr>
          <w:rFonts w:hAnsi="標楷體"/>
        </w:rPr>
        <w:t>65%</w:t>
      </w:r>
      <w:r w:rsidR="00E733C6" w:rsidRPr="00D40021">
        <w:rPr>
          <w:rFonts w:hAnsi="標楷體" w:hint="eastAsia"/>
        </w:rPr>
        <w:t>，</w:t>
      </w:r>
      <w:r w:rsidR="003A21D3" w:rsidRPr="00D40021">
        <w:rPr>
          <w:rFonts w:hAnsi="標楷體" w:hint="eastAsia"/>
        </w:rPr>
        <w:t>現役</w:t>
      </w:r>
      <w:r w:rsidR="003A21D3" w:rsidRPr="00D40021">
        <w:rPr>
          <w:rFonts w:hAnsi="標楷體"/>
        </w:rPr>
        <w:t>人員自行繳付35%，前揭</w:t>
      </w:r>
      <w:r w:rsidR="003A21D3" w:rsidRPr="00D40021">
        <w:rPr>
          <w:rFonts w:hAnsi="標楷體" w:hint="eastAsia"/>
        </w:rPr>
        <w:t>現役</w:t>
      </w:r>
      <w:r w:rsidR="003A21D3" w:rsidRPr="00D40021">
        <w:rPr>
          <w:rFonts w:hAnsi="標楷體"/>
        </w:rPr>
        <w:t>人員</w:t>
      </w:r>
      <w:r w:rsidR="003A21D3" w:rsidRPr="00D40021">
        <w:rPr>
          <w:rFonts w:hAnsi="標楷體" w:hint="eastAsia"/>
        </w:rPr>
        <w:t>所</w:t>
      </w:r>
      <w:r w:rsidR="003A21D3" w:rsidRPr="00D40021">
        <w:rPr>
          <w:rFonts w:hAnsi="標楷體"/>
        </w:rPr>
        <w:t>負</w:t>
      </w:r>
      <w:r w:rsidR="00E733C6" w:rsidRPr="00D40021">
        <w:rPr>
          <w:rFonts w:hAnsi="標楷體" w:hint="eastAsia"/>
        </w:rPr>
        <w:t>擔</w:t>
      </w:r>
      <w:r w:rsidR="003A21D3" w:rsidRPr="00D40021">
        <w:rPr>
          <w:rFonts w:hAnsi="標楷體"/>
        </w:rPr>
        <w:t>退撫費用</w:t>
      </w:r>
      <w:r w:rsidR="003A21D3" w:rsidRPr="00D40021">
        <w:rPr>
          <w:rFonts w:hAnsi="標楷體" w:hint="eastAsia"/>
        </w:rPr>
        <w:t>金額，係以其</w:t>
      </w:r>
      <w:proofErr w:type="gramStart"/>
      <w:r w:rsidR="003A21D3" w:rsidRPr="00D40021">
        <w:rPr>
          <w:rFonts w:hAnsi="標楷體" w:hint="eastAsia"/>
        </w:rPr>
        <w:t>在役時之</w:t>
      </w:r>
      <w:proofErr w:type="gramEnd"/>
      <w:r w:rsidR="003A21D3" w:rsidRPr="00D40021">
        <w:rPr>
          <w:rFonts w:hAnsi="標楷體" w:hint="eastAsia"/>
        </w:rPr>
        <w:t>本</w:t>
      </w:r>
      <w:proofErr w:type="gramStart"/>
      <w:r w:rsidR="003A21D3" w:rsidRPr="00D40021">
        <w:rPr>
          <w:rFonts w:hAnsi="標楷體" w:hint="eastAsia"/>
        </w:rPr>
        <w:t>俸</w:t>
      </w:r>
      <w:proofErr w:type="gramEnd"/>
      <w:r w:rsidR="003A21D3" w:rsidRPr="00D40021">
        <w:rPr>
          <w:rFonts w:hAnsi="標楷體" w:hint="eastAsia"/>
        </w:rPr>
        <w:t>金額為計算基礎</w:t>
      </w:r>
      <w:r w:rsidR="003A21D3" w:rsidRPr="00D40021">
        <w:rPr>
          <w:rFonts w:hAnsi="標楷體"/>
        </w:rPr>
        <w:t>，</w:t>
      </w:r>
      <w:r w:rsidR="003A21D3" w:rsidRPr="00D40021">
        <w:rPr>
          <w:rFonts w:hAnsi="標楷體" w:hint="eastAsia"/>
        </w:rPr>
        <w:t>本</w:t>
      </w:r>
      <w:proofErr w:type="gramStart"/>
      <w:r w:rsidR="003A21D3" w:rsidRPr="00D40021">
        <w:rPr>
          <w:rFonts w:hAnsi="標楷體" w:hint="eastAsia"/>
        </w:rPr>
        <w:t>俸</w:t>
      </w:r>
      <w:proofErr w:type="gramEnd"/>
      <w:r w:rsidR="003A21D3" w:rsidRPr="00D40021">
        <w:rPr>
          <w:rFonts w:hAnsi="標楷體" w:hint="eastAsia"/>
        </w:rPr>
        <w:t>金額高者，以前</w:t>
      </w:r>
      <w:proofErr w:type="gramStart"/>
      <w:r w:rsidR="003A21D3" w:rsidRPr="00D40021">
        <w:rPr>
          <w:rFonts w:hAnsi="標楷體" w:hint="eastAsia"/>
        </w:rPr>
        <w:t>揭</w:t>
      </w:r>
      <w:proofErr w:type="gramEnd"/>
      <w:r w:rsidR="003A21D3" w:rsidRPr="00D40021">
        <w:rPr>
          <w:rFonts w:hAnsi="標楷體" w:hint="eastAsia"/>
        </w:rPr>
        <w:t>規定計算，其自負之繳費義務高於本</w:t>
      </w:r>
      <w:proofErr w:type="gramStart"/>
      <w:r w:rsidR="003A21D3" w:rsidRPr="00D40021">
        <w:rPr>
          <w:rFonts w:hAnsi="標楷體" w:hint="eastAsia"/>
        </w:rPr>
        <w:t>俸</w:t>
      </w:r>
      <w:proofErr w:type="gramEnd"/>
      <w:r w:rsidR="003A21D3" w:rsidRPr="00D40021">
        <w:rPr>
          <w:rFonts w:hAnsi="標楷體" w:hint="eastAsia"/>
        </w:rPr>
        <w:t>金額低者</w:t>
      </w:r>
      <w:r w:rsidR="003A21D3" w:rsidRPr="00D40021">
        <w:rPr>
          <w:rFonts w:hAnsi="標楷體"/>
          <w:bCs w:val="0"/>
          <w:szCs w:val="20"/>
        </w:rPr>
        <w:t>，</w:t>
      </w:r>
      <w:proofErr w:type="gramStart"/>
      <w:r w:rsidR="003A21D3" w:rsidRPr="00D40021">
        <w:rPr>
          <w:rFonts w:hAnsi="標楷體"/>
          <w:bCs w:val="0"/>
          <w:szCs w:val="20"/>
        </w:rPr>
        <w:t>合先敘</w:t>
      </w:r>
      <w:proofErr w:type="gramEnd"/>
      <w:r w:rsidR="003A21D3" w:rsidRPr="00D40021">
        <w:rPr>
          <w:rFonts w:hAnsi="標楷體"/>
          <w:bCs w:val="0"/>
          <w:szCs w:val="20"/>
        </w:rPr>
        <w:t>明。</w:t>
      </w:r>
    </w:p>
    <w:p w:rsidR="003A21D3" w:rsidRPr="00D40021" w:rsidRDefault="003A21D3" w:rsidP="00CD5075">
      <w:pPr>
        <w:pStyle w:val="3"/>
        <w:kinsoku w:val="0"/>
        <w:overflowPunct/>
        <w:spacing w:line="460" w:lineRule="exact"/>
        <w:rPr>
          <w:rFonts w:hAnsi="標楷體"/>
          <w:bCs w:val="0"/>
          <w:szCs w:val="20"/>
        </w:rPr>
      </w:pPr>
      <w:r w:rsidRPr="00D40021">
        <w:rPr>
          <w:rFonts w:hAnsi="標楷體" w:hint="eastAsia"/>
        </w:rPr>
        <w:t>年</w:t>
      </w:r>
      <w:r w:rsidR="00E733C6" w:rsidRPr="00D40021">
        <w:rPr>
          <w:rFonts w:hAnsi="標楷體" w:hint="eastAsia"/>
        </w:rPr>
        <w:t>金</w:t>
      </w:r>
      <w:r w:rsidRPr="00D40021">
        <w:rPr>
          <w:rFonts w:hAnsi="標楷體" w:hint="eastAsia"/>
        </w:rPr>
        <w:t>改</w:t>
      </w:r>
      <w:r w:rsidR="00E733C6" w:rsidRPr="00D40021">
        <w:rPr>
          <w:rFonts w:hAnsi="標楷體" w:hint="eastAsia"/>
        </w:rPr>
        <w:t>革</w:t>
      </w:r>
      <w:r w:rsidRPr="00D40021">
        <w:rPr>
          <w:rFonts w:hAnsi="標楷體" w:hint="eastAsia"/>
        </w:rPr>
        <w:t>前已</w:t>
      </w:r>
      <w:r w:rsidR="00E733C6" w:rsidRPr="00D40021">
        <w:rPr>
          <w:rFonts w:hAnsi="標楷體" w:hint="eastAsia"/>
        </w:rPr>
        <w:t>退伍除役</w:t>
      </w:r>
      <w:r w:rsidRPr="00D40021">
        <w:rPr>
          <w:rFonts w:hAnsi="標楷體" w:hint="eastAsia"/>
        </w:rPr>
        <w:t>者係依</w:t>
      </w:r>
      <w:r w:rsidRPr="00D40021">
        <w:rPr>
          <w:rFonts w:hAnsi="標楷體"/>
          <w:szCs w:val="32"/>
        </w:rPr>
        <w:t>修正施行後規定</w:t>
      </w:r>
      <w:r w:rsidRPr="00D40021">
        <w:rPr>
          <w:rFonts w:hAnsi="標楷體" w:hint="eastAsia"/>
          <w:szCs w:val="32"/>
        </w:rPr>
        <w:t>，重行</w:t>
      </w:r>
      <w:r w:rsidRPr="00D40021">
        <w:rPr>
          <w:rFonts w:hAnsi="標楷體"/>
          <w:szCs w:val="32"/>
        </w:rPr>
        <w:t>計算</w:t>
      </w:r>
      <w:r w:rsidRPr="00D40021">
        <w:rPr>
          <w:rFonts w:hAnsi="標楷體" w:hint="eastAsia"/>
          <w:szCs w:val="32"/>
        </w:rPr>
        <w:t>之退休</w:t>
      </w:r>
      <w:proofErr w:type="gramStart"/>
      <w:r w:rsidRPr="00D40021">
        <w:rPr>
          <w:rFonts w:hAnsi="標楷體" w:hint="eastAsia"/>
          <w:szCs w:val="32"/>
        </w:rPr>
        <w:t>俸</w:t>
      </w:r>
      <w:proofErr w:type="gramEnd"/>
      <w:r w:rsidRPr="00D40021">
        <w:rPr>
          <w:rFonts w:hAnsi="標楷體" w:hint="eastAsia"/>
          <w:szCs w:val="32"/>
        </w:rPr>
        <w:t>為基礎，</w:t>
      </w:r>
      <w:proofErr w:type="gramStart"/>
      <w:r w:rsidRPr="00D40021">
        <w:rPr>
          <w:rFonts w:hAnsi="標楷體" w:hint="eastAsia"/>
          <w:szCs w:val="32"/>
        </w:rPr>
        <w:t>倘原領</w:t>
      </w:r>
      <w:proofErr w:type="gramEnd"/>
      <w:r w:rsidRPr="00D40021">
        <w:rPr>
          <w:rFonts w:hAnsi="標楷體" w:hint="eastAsia"/>
          <w:szCs w:val="32"/>
        </w:rPr>
        <w:t>退休所得總額未高於前揭金額，</w:t>
      </w:r>
      <w:proofErr w:type="gramStart"/>
      <w:r w:rsidRPr="00D40021">
        <w:rPr>
          <w:rFonts w:hAnsi="標楷體" w:hint="eastAsia"/>
          <w:szCs w:val="32"/>
        </w:rPr>
        <w:t>即無扣減</w:t>
      </w:r>
      <w:proofErr w:type="gramEnd"/>
      <w:r w:rsidRPr="00D40021">
        <w:rPr>
          <w:rFonts w:hAnsi="標楷體" w:hint="eastAsia"/>
          <w:szCs w:val="32"/>
        </w:rPr>
        <w:t>退休所得金額問題</w:t>
      </w:r>
    </w:p>
    <w:p w:rsidR="003A21D3" w:rsidRPr="00D40021" w:rsidRDefault="003A21D3" w:rsidP="003A21D3">
      <w:pPr>
        <w:pStyle w:val="32"/>
        <w:kinsoku w:val="0"/>
        <w:overflowPunct/>
        <w:spacing w:line="460" w:lineRule="exact"/>
        <w:ind w:left="1361" w:firstLine="680"/>
        <w:rPr>
          <w:rFonts w:hAnsi="標楷體"/>
        </w:rPr>
      </w:pPr>
      <w:r w:rsidRPr="00D40021">
        <w:rPr>
          <w:rFonts w:hAnsi="標楷體"/>
        </w:rPr>
        <w:t>依</w:t>
      </w:r>
      <w:r w:rsidR="007650BC" w:rsidRPr="00D40021">
        <w:rPr>
          <w:rFonts w:hAnsi="標楷體"/>
        </w:rPr>
        <w:t>新修正</w:t>
      </w:r>
      <w:r w:rsidR="007650BC" w:rsidRPr="00D40021">
        <w:rPr>
          <w:rFonts w:hAnsi="標楷體" w:hint="eastAsia"/>
        </w:rPr>
        <w:t>施行</w:t>
      </w:r>
      <w:r w:rsidRPr="00D40021">
        <w:rPr>
          <w:rFonts w:hAnsi="標楷體"/>
          <w:szCs w:val="32"/>
        </w:rPr>
        <w:t>服役條例第26條第3項、第4項規定，</w:t>
      </w:r>
      <w:r w:rsidR="00E733C6" w:rsidRPr="00D40021">
        <w:rPr>
          <w:rFonts w:hAnsi="標楷體"/>
          <w:szCs w:val="32"/>
        </w:rPr>
        <w:t>該條例</w:t>
      </w:r>
      <w:r w:rsidRPr="00D40021">
        <w:rPr>
          <w:rFonts w:hAnsi="標楷體"/>
          <w:szCs w:val="32"/>
        </w:rPr>
        <w:t>修正施行前給與基準計算之每月支領退休</w:t>
      </w:r>
      <w:proofErr w:type="gramStart"/>
      <w:r w:rsidRPr="00D40021">
        <w:rPr>
          <w:rFonts w:hAnsi="標楷體"/>
          <w:szCs w:val="32"/>
        </w:rPr>
        <w:t>俸</w:t>
      </w:r>
      <w:proofErr w:type="gramEnd"/>
      <w:r w:rsidRPr="00D40021">
        <w:rPr>
          <w:rFonts w:hAnsi="標楷體"/>
          <w:szCs w:val="32"/>
        </w:rPr>
        <w:t>、優存利息及月補償金合計數額，未超過依</w:t>
      </w:r>
      <w:r w:rsidR="00E733C6" w:rsidRPr="00D40021">
        <w:rPr>
          <w:rFonts w:hAnsi="標楷體"/>
          <w:szCs w:val="32"/>
        </w:rPr>
        <w:t>該條例</w:t>
      </w:r>
      <w:r w:rsidRPr="00D40021">
        <w:rPr>
          <w:rFonts w:hAnsi="標楷體"/>
          <w:szCs w:val="32"/>
        </w:rPr>
        <w:t>修正施行後給與基準計算之退休</w:t>
      </w:r>
      <w:proofErr w:type="gramStart"/>
      <w:r w:rsidRPr="00D40021">
        <w:rPr>
          <w:rFonts w:hAnsi="標楷體"/>
          <w:szCs w:val="32"/>
        </w:rPr>
        <w:t>俸</w:t>
      </w:r>
      <w:proofErr w:type="gramEnd"/>
      <w:r w:rsidRPr="00D40021">
        <w:rPr>
          <w:rFonts w:hAnsi="標楷體"/>
          <w:szCs w:val="32"/>
        </w:rPr>
        <w:t>者，按原核</w:t>
      </w:r>
      <w:r w:rsidRPr="00D40021">
        <w:rPr>
          <w:rFonts w:hAnsi="標楷體"/>
          <w:szCs w:val="32"/>
        </w:rPr>
        <w:lastRenderedPageBreak/>
        <w:t>計數額發給。超過者，其二者間之差額自施行日起10年內，分年平均調降至無差額止</w:t>
      </w:r>
      <w:r w:rsidR="00E733C6" w:rsidRPr="00D40021">
        <w:rPr>
          <w:rFonts w:hAnsi="標楷體" w:hint="eastAsia"/>
          <w:szCs w:val="32"/>
        </w:rPr>
        <w:t>。</w:t>
      </w:r>
      <w:r w:rsidR="00A71E9C" w:rsidRPr="00D40021">
        <w:rPr>
          <w:rFonts w:hAnsi="標楷體" w:hint="eastAsia"/>
        </w:rPr>
        <w:t>服役條例修正施行前已退伍者</w:t>
      </w:r>
      <w:r w:rsidRPr="00D40021">
        <w:rPr>
          <w:rFonts w:hAnsi="標楷體"/>
          <w:szCs w:val="32"/>
        </w:rPr>
        <w:t>調降差額時，不得低於少尉</w:t>
      </w:r>
      <w:r w:rsidR="006214EC" w:rsidRPr="00D40021">
        <w:rPr>
          <w:rFonts w:hAnsi="標楷體"/>
          <w:szCs w:val="32"/>
        </w:rPr>
        <w:t>1級</w:t>
      </w:r>
      <w:r w:rsidRPr="00D40021">
        <w:rPr>
          <w:rFonts w:hAnsi="標楷體"/>
          <w:szCs w:val="32"/>
        </w:rPr>
        <w:t>本</w:t>
      </w:r>
      <w:proofErr w:type="gramStart"/>
      <w:r w:rsidRPr="00D40021">
        <w:rPr>
          <w:rFonts w:hAnsi="標楷體"/>
          <w:szCs w:val="32"/>
        </w:rPr>
        <w:t>俸</w:t>
      </w:r>
      <w:proofErr w:type="gramEnd"/>
      <w:r w:rsidRPr="00D40021">
        <w:rPr>
          <w:rFonts w:hAnsi="標楷體"/>
          <w:szCs w:val="32"/>
        </w:rPr>
        <w:t>及專業加給合計數額</w:t>
      </w:r>
      <w:r w:rsidR="00144B17" w:rsidRPr="00D40021">
        <w:rPr>
          <w:rFonts w:hAnsi="標楷體"/>
          <w:szCs w:val="32"/>
        </w:rPr>
        <w:t>（</w:t>
      </w:r>
      <w:r w:rsidR="00961AC3" w:rsidRPr="00D40021">
        <w:rPr>
          <w:rFonts w:hAnsi="標楷體" w:hint="eastAsia"/>
        </w:rPr>
        <w:t>107</w:t>
      </w:r>
      <w:r w:rsidR="00961AC3" w:rsidRPr="00D40021">
        <w:rPr>
          <w:rFonts w:hAnsi="標楷體"/>
        </w:rPr>
        <w:t>年為</w:t>
      </w:r>
      <w:r w:rsidRPr="00D40021">
        <w:rPr>
          <w:rFonts w:hAnsi="標楷體"/>
          <w:szCs w:val="32"/>
        </w:rPr>
        <w:t>38,990元</w:t>
      </w:r>
      <w:r w:rsidR="00144B17" w:rsidRPr="00D40021">
        <w:rPr>
          <w:rFonts w:hAnsi="標楷體"/>
          <w:szCs w:val="32"/>
        </w:rPr>
        <w:t>）</w:t>
      </w:r>
      <w:r w:rsidRPr="00D40021">
        <w:rPr>
          <w:rFonts w:hAnsi="標楷體"/>
          <w:szCs w:val="32"/>
        </w:rPr>
        <w:t>。原支領金額低於少尉</w:t>
      </w:r>
      <w:r w:rsidR="006214EC" w:rsidRPr="00D40021">
        <w:rPr>
          <w:rFonts w:hAnsi="標楷體"/>
          <w:szCs w:val="32"/>
        </w:rPr>
        <w:t>1級</w:t>
      </w:r>
      <w:r w:rsidRPr="00D40021">
        <w:rPr>
          <w:rFonts w:hAnsi="標楷體"/>
          <w:szCs w:val="32"/>
        </w:rPr>
        <w:t>本</w:t>
      </w:r>
      <w:proofErr w:type="gramStart"/>
      <w:r w:rsidRPr="00D40021">
        <w:rPr>
          <w:rFonts w:hAnsi="標楷體"/>
          <w:szCs w:val="32"/>
        </w:rPr>
        <w:t>俸</w:t>
      </w:r>
      <w:proofErr w:type="gramEnd"/>
      <w:r w:rsidRPr="00D40021">
        <w:rPr>
          <w:rFonts w:hAnsi="標楷體"/>
          <w:szCs w:val="32"/>
        </w:rPr>
        <w:t>及專業加給合計數額者，按原支領金額支給。</w:t>
      </w:r>
    </w:p>
    <w:p w:rsidR="003A21D3" w:rsidRPr="00D40021" w:rsidRDefault="003A21D3" w:rsidP="00CD5075">
      <w:pPr>
        <w:pStyle w:val="3"/>
        <w:kinsoku w:val="0"/>
        <w:overflowPunct/>
        <w:spacing w:line="460" w:lineRule="exact"/>
        <w:rPr>
          <w:rFonts w:hAnsi="標楷體"/>
          <w:szCs w:val="32"/>
        </w:rPr>
      </w:pPr>
      <w:r w:rsidRPr="00D40021">
        <w:rPr>
          <w:rFonts w:hAnsi="標楷體"/>
          <w:szCs w:val="32"/>
        </w:rPr>
        <w:t>月退休所得</w:t>
      </w:r>
      <w:r w:rsidRPr="00D40021">
        <w:rPr>
          <w:rFonts w:hAnsi="標楷體" w:hint="eastAsia"/>
          <w:szCs w:val="32"/>
        </w:rPr>
        <w:t>雖訂有</w:t>
      </w:r>
      <w:r w:rsidRPr="00D40021">
        <w:rPr>
          <w:rFonts w:hAnsi="標楷體"/>
          <w:szCs w:val="32"/>
        </w:rPr>
        <w:t>最低保障金額設計，</w:t>
      </w:r>
      <w:r w:rsidRPr="00D40021">
        <w:rPr>
          <w:rFonts w:hAnsi="標楷體" w:hint="eastAsia"/>
          <w:szCs w:val="32"/>
        </w:rPr>
        <w:t>惟</w:t>
      </w:r>
      <w:r w:rsidRPr="00D40021">
        <w:rPr>
          <w:rFonts w:hAnsi="標楷體"/>
          <w:szCs w:val="32"/>
        </w:rPr>
        <w:t>發生</w:t>
      </w:r>
      <w:r w:rsidRPr="00D40021">
        <w:rPr>
          <w:rFonts w:hAnsi="標楷體" w:hint="eastAsia"/>
          <w:szCs w:val="32"/>
        </w:rPr>
        <w:t>已</w:t>
      </w:r>
      <w:r w:rsidR="00A11345" w:rsidRPr="00D40021">
        <w:rPr>
          <w:rFonts w:hAnsi="標楷體" w:hint="eastAsia"/>
        </w:rPr>
        <w:t>退伍除役人員</w:t>
      </w:r>
      <w:proofErr w:type="gramStart"/>
      <w:r w:rsidR="00A11345" w:rsidRPr="00D40021">
        <w:rPr>
          <w:rFonts w:hAnsi="標楷體" w:hint="eastAsia"/>
        </w:rPr>
        <w:t>在役時繳付</w:t>
      </w:r>
      <w:proofErr w:type="gramEnd"/>
      <w:r w:rsidRPr="00D40021">
        <w:rPr>
          <w:rFonts w:hAnsi="標楷體"/>
          <w:szCs w:val="32"/>
        </w:rPr>
        <w:t>退撫基金費用較高者</w:t>
      </w:r>
      <w:r w:rsidRPr="00D40021">
        <w:rPr>
          <w:rFonts w:hAnsi="標楷體" w:hint="eastAsia"/>
          <w:szCs w:val="32"/>
        </w:rPr>
        <w:t>，</w:t>
      </w:r>
      <w:r w:rsidRPr="00D40021">
        <w:rPr>
          <w:rFonts w:hAnsi="標楷體"/>
          <w:szCs w:val="32"/>
        </w:rPr>
        <w:t>與繳付</w:t>
      </w:r>
      <w:r w:rsidR="00A11345" w:rsidRPr="00D40021">
        <w:rPr>
          <w:rFonts w:hAnsi="標楷體"/>
        </w:rPr>
        <w:t>費用</w:t>
      </w:r>
      <w:r w:rsidRPr="00D40021">
        <w:rPr>
          <w:rFonts w:hAnsi="標楷體"/>
          <w:szCs w:val="32"/>
        </w:rPr>
        <w:t>較低者，其後所領得之月退</w:t>
      </w:r>
      <w:r w:rsidR="00961AC3" w:rsidRPr="00D40021">
        <w:rPr>
          <w:rFonts w:hAnsi="標楷體" w:hint="eastAsia"/>
          <w:szCs w:val="32"/>
        </w:rPr>
        <w:t>休</w:t>
      </w:r>
      <w:r w:rsidRPr="00D40021">
        <w:rPr>
          <w:rFonts w:hAnsi="標楷體"/>
          <w:szCs w:val="32"/>
        </w:rPr>
        <w:t>金額相同情形</w:t>
      </w:r>
    </w:p>
    <w:p w:rsidR="003A21D3" w:rsidRPr="00D40021" w:rsidRDefault="003A21D3" w:rsidP="00E733C6">
      <w:pPr>
        <w:pStyle w:val="42"/>
        <w:ind w:leftChars="400" w:left="1361" w:firstLine="680"/>
        <w:rPr>
          <w:rFonts w:hAnsi="標楷體"/>
          <w:szCs w:val="32"/>
        </w:rPr>
      </w:pPr>
      <w:r w:rsidRPr="00D40021">
        <w:rPr>
          <w:rFonts w:hAnsi="標楷體"/>
        </w:rPr>
        <w:t>依</w:t>
      </w:r>
      <w:r w:rsidRPr="00D40021">
        <w:rPr>
          <w:rFonts w:hAnsi="標楷體" w:hint="eastAsia"/>
        </w:rPr>
        <w:t>服役條例</w:t>
      </w:r>
      <w:r w:rsidRPr="00D40021">
        <w:rPr>
          <w:rFonts w:hAnsi="標楷體"/>
        </w:rPr>
        <w:t>第</w:t>
      </w:r>
      <w:r w:rsidRPr="00D40021">
        <w:rPr>
          <w:rFonts w:hAnsi="標楷體" w:hint="eastAsia"/>
        </w:rPr>
        <w:t>26</w:t>
      </w:r>
      <w:r w:rsidRPr="00D40021">
        <w:rPr>
          <w:rFonts w:hAnsi="標楷體"/>
        </w:rPr>
        <w:t>條</w:t>
      </w:r>
      <w:r w:rsidRPr="00D40021">
        <w:rPr>
          <w:rFonts w:hAnsi="標楷體" w:hint="eastAsia"/>
        </w:rPr>
        <w:t>第4項</w:t>
      </w:r>
      <w:r w:rsidRPr="00D40021">
        <w:rPr>
          <w:rFonts w:hAnsi="標楷體"/>
        </w:rPr>
        <w:t>定有</w:t>
      </w:r>
      <w:r w:rsidRPr="00D40021">
        <w:rPr>
          <w:rFonts w:hAnsi="標楷體" w:hint="eastAsia"/>
        </w:rPr>
        <w:t>退役軍人</w:t>
      </w:r>
      <w:r w:rsidR="00C57E4F" w:rsidRPr="00D40021">
        <w:rPr>
          <w:rFonts w:hAnsi="標楷體"/>
        </w:rPr>
        <w:t>月退休所得</w:t>
      </w:r>
      <w:r w:rsidRPr="00D40021">
        <w:rPr>
          <w:rFonts w:hAnsi="標楷體"/>
        </w:rPr>
        <w:t>最低保障金額。</w:t>
      </w:r>
      <w:r w:rsidRPr="00D40021">
        <w:rPr>
          <w:rFonts w:hAnsi="標楷體" w:hint="eastAsia"/>
        </w:rPr>
        <w:t>其立法理由，係明定</w:t>
      </w:r>
      <w:r w:rsidR="00E733C6" w:rsidRPr="00D40021">
        <w:rPr>
          <w:rFonts w:hAnsi="標楷體" w:hint="eastAsia"/>
        </w:rPr>
        <w:t>該條例</w:t>
      </w:r>
      <w:r w:rsidRPr="00D40021">
        <w:rPr>
          <w:rFonts w:hAnsi="標楷體" w:hint="eastAsia"/>
        </w:rPr>
        <w:t>修正施行前已退伍者之退休</w:t>
      </w:r>
      <w:proofErr w:type="gramStart"/>
      <w:r w:rsidRPr="00D40021">
        <w:rPr>
          <w:rFonts w:hAnsi="標楷體" w:hint="eastAsia"/>
        </w:rPr>
        <w:t>俸</w:t>
      </w:r>
      <w:proofErr w:type="gramEnd"/>
      <w:r w:rsidRPr="00D40021">
        <w:rPr>
          <w:rFonts w:hAnsi="標楷體" w:hint="eastAsia"/>
        </w:rPr>
        <w:t>，以現役同官階</w:t>
      </w:r>
      <w:proofErr w:type="gramStart"/>
      <w:r w:rsidRPr="00D40021">
        <w:rPr>
          <w:rFonts w:hAnsi="標楷體" w:hint="eastAsia"/>
        </w:rPr>
        <w:t>俸</w:t>
      </w:r>
      <w:proofErr w:type="gramEnd"/>
      <w:r w:rsidRPr="00D40021">
        <w:rPr>
          <w:rFonts w:hAnsi="標楷體" w:hint="eastAsia"/>
        </w:rPr>
        <w:t>級人員之本</w:t>
      </w:r>
      <w:proofErr w:type="gramStart"/>
      <w:r w:rsidRPr="00D40021">
        <w:rPr>
          <w:rFonts w:hAnsi="標楷體" w:hint="eastAsia"/>
        </w:rPr>
        <w:t>俸</w:t>
      </w:r>
      <w:proofErr w:type="gramEnd"/>
      <w:r w:rsidRPr="00D40021">
        <w:rPr>
          <w:rFonts w:hAnsi="標楷體" w:hint="eastAsia"/>
        </w:rPr>
        <w:t>加</w:t>
      </w:r>
      <w:r w:rsidR="00A11345" w:rsidRPr="00D40021">
        <w:rPr>
          <w:rFonts w:hAnsi="標楷體" w:hint="eastAsia"/>
        </w:rPr>
        <w:t>1</w:t>
      </w:r>
      <w:r w:rsidRPr="00D40021">
        <w:rPr>
          <w:rFonts w:hAnsi="標楷體" w:hint="eastAsia"/>
        </w:rPr>
        <w:t>倍為基數內涵，並規範調降限制條件，以保障本次年</w:t>
      </w:r>
      <w:r w:rsidR="00A11345" w:rsidRPr="00D40021">
        <w:rPr>
          <w:rFonts w:hAnsi="標楷體" w:hint="eastAsia"/>
        </w:rPr>
        <w:t>金</w:t>
      </w:r>
      <w:r w:rsidRPr="00D40021">
        <w:rPr>
          <w:rFonts w:hAnsi="標楷體" w:hint="eastAsia"/>
        </w:rPr>
        <w:t>改</w:t>
      </w:r>
      <w:r w:rsidR="00A11345" w:rsidRPr="00D40021">
        <w:rPr>
          <w:rFonts w:hAnsi="標楷體" w:hint="eastAsia"/>
        </w:rPr>
        <w:t>革</w:t>
      </w:r>
      <w:r w:rsidRPr="00D40021">
        <w:rPr>
          <w:rFonts w:hAnsi="標楷體" w:hint="eastAsia"/>
        </w:rPr>
        <w:t>前已</w:t>
      </w:r>
      <w:r w:rsidR="00A11345" w:rsidRPr="00D40021">
        <w:rPr>
          <w:rFonts w:hAnsi="標楷體" w:hint="eastAsia"/>
        </w:rPr>
        <w:t>退伍除役</w:t>
      </w:r>
      <w:r w:rsidRPr="00D40021">
        <w:rPr>
          <w:rFonts w:hAnsi="標楷體" w:hint="eastAsia"/>
        </w:rPr>
        <w:t>者退休後之生活。</w:t>
      </w:r>
      <w:r w:rsidR="00A11345" w:rsidRPr="00D40021">
        <w:rPr>
          <w:rFonts w:hAnsi="標楷體"/>
          <w:szCs w:val="32"/>
        </w:rPr>
        <w:t>故不論在</w:t>
      </w:r>
      <w:r w:rsidR="00A11345" w:rsidRPr="00D40021">
        <w:rPr>
          <w:rFonts w:hAnsi="標楷體" w:hint="eastAsia"/>
          <w:szCs w:val="32"/>
        </w:rPr>
        <w:t>役</w:t>
      </w:r>
      <w:r w:rsidRPr="00D40021">
        <w:rPr>
          <w:rFonts w:hAnsi="標楷體"/>
          <w:szCs w:val="32"/>
        </w:rPr>
        <w:t>繳付退撫基金</w:t>
      </w:r>
      <w:r w:rsidR="00A11345" w:rsidRPr="00D40021">
        <w:rPr>
          <w:rFonts w:hAnsi="標楷體" w:hint="eastAsia"/>
          <w:szCs w:val="32"/>
        </w:rPr>
        <w:t>費用</w:t>
      </w:r>
      <w:r w:rsidRPr="00D40021">
        <w:rPr>
          <w:rFonts w:hAnsi="標楷體"/>
          <w:szCs w:val="32"/>
        </w:rPr>
        <w:t>之高低，均一體適用，固然立意良善。</w:t>
      </w:r>
      <w:proofErr w:type="gramStart"/>
      <w:r w:rsidRPr="00D40021">
        <w:rPr>
          <w:rFonts w:hAnsi="標楷體"/>
          <w:szCs w:val="32"/>
        </w:rPr>
        <w:t>惟查</w:t>
      </w:r>
      <w:r w:rsidRPr="00D40021">
        <w:rPr>
          <w:rFonts w:hAnsi="標楷體" w:hint="eastAsia"/>
          <w:szCs w:val="32"/>
        </w:rPr>
        <w:t>卻</w:t>
      </w:r>
      <w:proofErr w:type="gramEnd"/>
      <w:r w:rsidRPr="00D40021">
        <w:rPr>
          <w:rFonts w:hAnsi="標楷體"/>
          <w:szCs w:val="32"/>
        </w:rPr>
        <w:t>有發生在</w:t>
      </w:r>
      <w:r w:rsidR="00A11345" w:rsidRPr="00D40021">
        <w:rPr>
          <w:rFonts w:hAnsi="標楷體" w:hint="eastAsia"/>
          <w:szCs w:val="32"/>
        </w:rPr>
        <w:t>役</w:t>
      </w:r>
      <w:r w:rsidRPr="00D40021">
        <w:rPr>
          <w:rFonts w:hAnsi="標楷體"/>
          <w:szCs w:val="32"/>
        </w:rPr>
        <w:t>繳付</w:t>
      </w:r>
      <w:r w:rsidR="00A11345" w:rsidRPr="00D40021">
        <w:rPr>
          <w:rFonts w:hAnsi="標楷體" w:hint="eastAsia"/>
          <w:szCs w:val="32"/>
        </w:rPr>
        <w:t>基金</w:t>
      </w:r>
      <w:proofErr w:type="gramStart"/>
      <w:r w:rsidRPr="00D40021">
        <w:rPr>
          <w:rFonts w:hAnsi="標楷體"/>
          <w:szCs w:val="32"/>
        </w:rPr>
        <w:t>提撥</w:t>
      </w:r>
      <w:proofErr w:type="gramEnd"/>
      <w:r w:rsidRPr="00D40021">
        <w:rPr>
          <w:rFonts w:hAnsi="標楷體"/>
          <w:szCs w:val="32"/>
        </w:rPr>
        <w:t>費用金額較高者與繳付金額較低者，其後所領得之</w:t>
      </w:r>
      <w:r w:rsidR="00961AC3" w:rsidRPr="00D40021">
        <w:rPr>
          <w:rFonts w:hAnsi="標楷體"/>
          <w:szCs w:val="32"/>
        </w:rPr>
        <w:t>月退</w:t>
      </w:r>
      <w:r w:rsidR="00961AC3" w:rsidRPr="00D40021">
        <w:rPr>
          <w:rFonts w:hAnsi="標楷體" w:hint="eastAsia"/>
          <w:szCs w:val="32"/>
        </w:rPr>
        <w:t>休</w:t>
      </w:r>
      <w:r w:rsidR="00961AC3" w:rsidRPr="00D40021">
        <w:rPr>
          <w:rFonts w:hAnsi="標楷體"/>
          <w:szCs w:val="32"/>
        </w:rPr>
        <w:t>金額</w:t>
      </w:r>
      <w:r w:rsidRPr="00D40021">
        <w:rPr>
          <w:rFonts w:hAnsi="標楷體"/>
          <w:szCs w:val="32"/>
        </w:rPr>
        <w:t>相同情形，</w:t>
      </w:r>
      <w:r w:rsidRPr="00D40021">
        <w:rPr>
          <w:rFonts w:hAnsi="標楷體" w:hint="eastAsia"/>
          <w:szCs w:val="32"/>
        </w:rPr>
        <w:t>例如：</w:t>
      </w:r>
      <w:r w:rsidRPr="00D40021">
        <w:rPr>
          <w:rFonts w:hAnsi="標楷體" w:hint="eastAsia"/>
        </w:rPr>
        <w:t>新舊制年資合計20年之</w:t>
      </w:r>
      <w:proofErr w:type="gramStart"/>
      <w:r w:rsidRPr="00D40021">
        <w:rPr>
          <w:rFonts w:hAnsi="標楷體" w:cs="新細明體" w:hint="eastAsia"/>
          <w:spacing w:val="-20"/>
        </w:rPr>
        <w:t>一</w:t>
      </w:r>
      <w:proofErr w:type="gramEnd"/>
      <w:r w:rsidRPr="00D40021">
        <w:rPr>
          <w:rFonts w:hAnsi="標楷體" w:cs="新細明體" w:hint="eastAsia"/>
          <w:spacing w:val="-20"/>
        </w:rPr>
        <w:t>等</w:t>
      </w:r>
      <w:r w:rsidRPr="00D40021">
        <w:rPr>
          <w:rFonts w:hAnsi="標楷體" w:hint="eastAsia"/>
        </w:rPr>
        <w:t>長12級、上尉8級及少校6級</w:t>
      </w:r>
      <w:r w:rsidR="00137667" w:rsidRPr="00D40021">
        <w:rPr>
          <w:rFonts w:hAnsi="標楷體" w:cs="新細明體" w:hint="eastAsia"/>
        </w:rPr>
        <w:t>，其本</w:t>
      </w:r>
      <w:proofErr w:type="gramStart"/>
      <w:r w:rsidR="00137667" w:rsidRPr="00D40021">
        <w:rPr>
          <w:rFonts w:hAnsi="標楷體" w:cs="新細明體" w:hint="eastAsia"/>
        </w:rPr>
        <w:t>俸</w:t>
      </w:r>
      <w:proofErr w:type="gramEnd"/>
      <w:r w:rsidR="00A71E9C" w:rsidRPr="00D40021">
        <w:rPr>
          <w:rFonts w:hAnsi="標楷體" w:cs="新細明體" w:hint="eastAsia"/>
        </w:rPr>
        <w:t>並不相同（107年1</w:t>
      </w:r>
      <w:r w:rsidR="00201EDD" w:rsidRPr="00D40021">
        <w:rPr>
          <w:rFonts w:hAnsi="標楷體" w:cs="新細明體" w:hint="eastAsia"/>
        </w:rPr>
        <w:t>月</w:t>
      </w:r>
      <w:r w:rsidR="009A751D" w:rsidRPr="00D40021">
        <w:rPr>
          <w:rFonts w:hAnsi="標楷體" w:cs="新細明體" w:hint="eastAsia"/>
        </w:rPr>
        <w:t>分別</w:t>
      </w:r>
      <w:r w:rsidR="00137667" w:rsidRPr="00D40021">
        <w:rPr>
          <w:rFonts w:hAnsi="標楷體" w:cs="新細明體" w:hint="eastAsia"/>
        </w:rPr>
        <w:t>為</w:t>
      </w:r>
      <w:r w:rsidR="00040F93" w:rsidRPr="00D40021">
        <w:rPr>
          <w:rFonts w:hAnsi="標楷體" w:cs="新細明體" w:hint="eastAsia"/>
        </w:rPr>
        <w:t>33,410</w:t>
      </w:r>
      <w:r w:rsidR="00137667" w:rsidRPr="00D40021">
        <w:rPr>
          <w:rFonts w:hAnsi="標楷體" w:cs="新細明體" w:hint="eastAsia"/>
        </w:rPr>
        <w:t>元、</w:t>
      </w:r>
      <w:r w:rsidR="00040F93" w:rsidRPr="00D40021">
        <w:rPr>
          <w:rFonts w:hAnsi="標楷體" w:cs="新細明體" w:hint="eastAsia"/>
        </w:rPr>
        <w:t>33,070</w:t>
      </w:r>
      <w:r w:rsidR="00137667" w:rsidRPr="00D40021">
        <w:rPr>
          <w:rFonts w:hAnsi="標楷體" w:cs="新細明體" w:hint="eastAsia"/>
        </w:rPr>
        <w:t>元及</w:t>
      </w:r>
      <w:r w:rsidR="00040F93" w:rsidRPr="00D40021">
        <w:rPr>
          <w:rFonts w:hAnsi="標楷體" w:cs="新細明體" w:hint="eastAsia"/>
        </w:rPr>
        <w:t>34,440</w:t>
      </w:r>
      <w:r w:rsidR="00137667" w:rsidRPr="00D40021">
        <w:rPr>
          <w:rFonts w:hAnsi="標楷體" w:cs="新細明體" w:hint="eastAsia"/>
        </w:rPr>
        <w:t>元</w:t>
      </w:r>
      <w:r w:rsidR="00A71E9C" w:rsidRPr="00D40021">
        <w:rPr>
          <w:rFonts w:hAnsi="標楷體" w:cs="新細明體" w:hint="eastAsia"/>
        </w:rPr>
        <w:t>）</w:t>
      </w:r>
      <w:r w:rsidRPr="00D40021">
        <w:rPr>
          <w:rFonts w:hAnsi="標楷體" w:cs="新細明體"/>
        </w:rPr>
        <w:t>，</w:t>
      </w:r>
      <w:r w:rsidRPr="00D40021">
        <w:rPr>
          <w:rFonts w:hAnsi="標楷體"/>
          <w:szCs w:val="32"/>
        </w:rPr>
        <w:t>於</w:t>
      </w:r>
      <w:r w:rsidRPr="00D40021">
        <w:rPr>
          <w:rFonts w:hAnsi="標楷體" w:hint="eastAsia"/>
          <w:szCs w:val="32"/>
        </w:rPr>
        <w:t>年</w:t>
      </w:r>
      <w:r w:rsidR="00A11345" w:rsidRPr="00D40021">
        <w:rPr>
          <w:rFonts w:hAnsi="標楷體" w:hint="eastAsia"/>
          <w:szCs w:val="32"/>
        </w:rPr>
        <w:t>金</w:t>
      </w:r>
      <w:r w:rsidRPr="00D40021">
        <w:rPr>
          <w:rFonts w:hAnsi="標楷體" w:hint="eastAsia"/>
          <w:szCs w:val="32"/>
        </w:rPr>
        <w:t>改</w:t>
      </w:r>
      <w:r w:rsidR="00A11345" w:rsidRPr="00D40021">
        <w:rPr>
          <w:rFonts w:hAnsi="標楷體" w:hint="eastAsia"/>
          <w:szCs w:val="32"/>
        </w:rPr>
        <w:t>革</w:t>
      </w:r>
      <w:r w:rsidRPr="00D40021">
        <w:rPr>
          <w:rFonts w:hAnsi="標楷體" w:hint="eastAsia"/>
          <w:szCs w:val="32"/>
        </w:rPr>
        <w:t>前所領月退休所得分別為</w:t>
      </w:r>
      <w:r w:rsidRPr="00D40021">
        <w:rPr>
          <w:rFonts w:hAnsi="標楷體" w:cs="新細明體" w:hint="eastAsia"/>
        </w:rPr>
        <w:t>42,833元、45,192元及48,274元，惟經10年逐年下調退休所得後，於</w:t>
      </w:r>
      <w:r w:rsidRPr="00D40021">
        <w:rPr>
          <w:rFonts w:hAnsi="標楷體"/>
          <w:szCs w:val="32"/>
        </w:rPr>
        <w:t>11</w:t>
      </w:r>
      <w:r w:rsidRPr="00D40021">
        <w:rPr>
          <w:rFonts w:hAnsi="標楷體" w:hint="eastAsia"/>
          <w:szCs w:val="32"/>
        </w:rPr>
        <w:t>7</w:t>
      </w:r>
      <w:r w:rsidRPr="00D40021">
        <w:rPr>
          <w:rFonts w:hAnsi="標楷體"/>
          <w:szCs w:val="32"/>
        </w:rPr>
        <w:t>年</w:t>
      </w:r>
      <w:r w:rsidRPr="00D40021">
        <w:rPr>
          <w:rFonts w:hAnsi="標楷體" w:hint="eastAsia"/>
          <w:szCs w:val="32"/>
        </w:rPr>
        <w:t>7月1日</w:t>
      </w:r>
      <w:r w:rsidRPr="00D40021">
        <w:rPr>
          <w:rFonts w:hAnsi="標楷體"/>
          <w:szCs w:val="32"/>
        </w:rPr>
        <w:t>以後之月退休</w:t>
      </w:r>
      <w:proofErr w:type="gramStart"/>
      <w:r w:rsidRPr="00D40021">
        <w:rPr>
          <w:rFonts w:hAnsi="標楷體"/>
          <w:szCs w:val="32"/>
        </w:rPr>
        <w:t>所得均為最低</w:t>
      </w:r>
      <w:proofErr w:type="gramEnd"/>
      <w:r w:rsidRPr="00D40021">
        <w:rPr>
          <w:rFonts w:hAnsi="標楷體"/>
          <w:szCs w:val="32"/>
        </w:rPr>
        <w:t>保障金額</w:t>
      </w:r>
      <w:r w:rsidR="00144B17" w:rsidRPr="00D40021">
        <w:rPr>
          <w:rFonts w:hAnsi="標楷體"/>
          <w:szCs w:val="32"/>
        </w:rPr>
        <w:t>（</w:t>
      </w:r>
      <w:r w:rsidRPr="00D40021">
        <w:rPr>
          <w:rFonts w:hAnsi="標楷體"/>
          <w:szCs w:val="32"/>
        </w:rPr>
        <w:t>3</w:t>
      </w:r>
      <w:r w:rsidRPr="00D40021">
        <w:rPr>
          <w:rFonts w:hAnsi="標楷體" w:hint="eastAsia"/>
          <w:szCs w:val="32"/>
        </w:rPr>
        <w:t>8</w:t>
      </w:r>
      <w:r w:rsidRPr="00D40021">
        <w:rPr>
          <w:rFonts w:hAnsi="標楷體"/>
          <w:szCs w:val="32"/>
        </w:rPr>
        <w:t>,</w:t>
      </w:r>
      <w:r w:rsidRPr="00D40021">
        <w:rPr>
          <w:rFonts w:hAnsi="標楷體" w:hint="eastAsia"/>
          <w:szCs w:val="32"/>
        </w:rPr>
        <w:t>990</w:t>
      </w:r>
      <w:r w:rsidRPr="00D40021">
        <w:rPr>
          <w:rFonts w:hAnsi="標楷體"/>
          <w:szCs w:val="32"/>
        </w:rPr>
        <w:t>元）</w:t>
      </w:r>
      <w:r w:rsidR="00841821" w:rsidRPr="00D40021">
        <w:rPr>
          <w:rFonts w:hAnsi="標楷體" w:hint="eastAsia"/>
          <w:szCs w:val="32"/>
        </w:rPr>
        <w:t>，相關扣減情形如</w:t>
      </w:r>
      <w:r w:rsidRPr="00D40021">
        <w:rPr>
          <w:rFonts w:hAnsi="標楷體" w:hint="eastAsia"/>
          <w:szCs w:val="32"/>
        </w:rPr>
        <w:t>表</w:t>
      </w:r>
      <w:r w:rsidR="00020000" w:rsidRPr="00D40021">
        <w:rPr>
          <w:rFonts w:hAnsi="標楷體" w:hint="eastAsia"/>
          <w:szCs w:val="32"/>
        </w:rPr>
        <w:t>8</w:t>
      </w:r>
      <w:r w:rsidRPr="00D40021">
        <w:rPr>
          <w:rFonts w:hAnsi="標楷體"/>
          <w:szCs w:val="32"/>
        </w:rPr>
        <w:t>。</w:t>
      </w:r>
    </w:p>
    <w:p w:rsidR="008D0AF0" w:rsidRPr="00D40021" w:rsidRDefault="008D0AF0" w:rsidP="00E733C6">
      <w:pPr>
        <w:pStyle w:val="42"/>
        <w:ind w:leftChars="400" w:left="1361" w:firstLine="680"/>
        <w:rPr>
          <w:rFonts w:hAnsi="標楷體"/>
          <w:szCs w:val="32"/>
        </w:rPr>
      </w:pPr>
    </w:p>
    <w:p w:rsidR="008D0AF0" w:rsidRPr="00D40021" w:rsidRDefault="008D0AF0" w:rsidP="00E733C6">
      <w:pPr>
        <w:pStyle w:val="42"/>
        <w:ind w:leftChars="400" w:left="1361" w:firstLine="680"/>
        <w:rPr>
          <w:rFonts w:hAnsi="標楷體"/>
          <w:szCs w:val="32"/>
        </w:rPr>
      </w:pPr>
    </w:p>
    <w:p w:rsidR="003A21D3" w:rsidRPr="00D40021" w:rsidRDefault="003A21D3" w:rsidP="00010E77">
      <w:pPr>
        <w:pStyle w:val="a3"/>
        <w:ind w:left="697" w:hanging="697"/>
        <w:jc w:val="left"/>
        <w:rPr>
          <w:rFonts w:hAnsi="標楷體"/>
        </w:rPr>
      </w:pPr>
      <w:r w:rsidRPr="00D40021">
        <w:rPr>
          <w:rFonts w:hAnsi="標楷體" w:hint="eastAsia"/>
        </w:rPr>
        <w:t>軍職人員年金</w:t>
      </w:r>
      <w:proofErr w:type="gramStart"/>
      <w:r w:rsidRPr="00D40021">
        <w:rPr>
          <w:rFonts w:hAnsi="標楷體" w:hint="eastAsia"/>
        </w:rPr>
        <w:t>改革後</w:t>
      </w:r>
      <w:r w:rsidR="00961AC3" w:rsidRPr="00D40021">
        <w:rPr>
          <w:rFonts w:hAnsi="標楷體" w:hint="eastAsia"/>
        </w:rPr>
        <w:t>具</w:t>
      </w:r>
      <w:r w:rsidRPr="00D40021">
        <w:rPr>
          <w:rFonts w:hAnsi="標楷體" w:hint="eastAsia"/>
        </w:rPr>
        <w:t>新</w:t>
      </w:r>
      <w:proofErr w:type="gramEnd"/>
      <w:r w:rsidRPr="00D40021">
        <w:rPr>
          <w:rFonts w:hAnsi="標楷體" w:hint="eastAsia"/>
        </w:rPr>
        <w:t>舊制年資者</w:t>
      </w:r>
      <w:r w:rsidR="00961AC3" w:rsidRPr="00D40021">
        <w:rPr>
          <w:rFonts w:hAnsi="標楷體" w:hint="eastAsia"/>
        </w:rPr>
        <w:t>繳付不同</w:t>
      </w:r>
      <w:r w:rsidRPr="00D40021">
        <w:rPr>
          <w:rFonts w:hAnsi="標楷體" w:hint="eastAsia"/>
        </w:rPr>
        <w:t>退撫</w:t>
      </w:r>
      <w:proofErr w:type="gramStart"/>
      <w:r w:rsidRPr="00D40021">
        <w:rPr>
          <w:rFonts w:hAnsi="標楷體"/>
        </w:rPr>
        <w:t>費用</w:t>
      </w:r>
      <w:r w:rsidRPr="00D40021">
        <w:rPr>
          <w:rFonts w:hAnsi="標楷體" w:hint="eastAsia"/>
        </w:rPr>
        <w:t>均領</w:t>
      </w:r>
      <w:r w:rsidRPr="00D40021">
        <w:rPr>
          <w:rFonts w:hAnsi="標楷體"/>
        </w:rPr>
        <w:t>最低</w:t>
      </w:r>
      <w:proofErr w:type="gramEnd"/>
      <w:r w:rsidRPr="00D40021">
        <w:rPr>
          <w:rFonts w:hAnsi="標楷體"/>
        </w:rPr>
        <w:t>保障金額</w:t>
      </w:r>
      <w:r w:rsidR="002B12F7" w:rsidRPr="00D40021">
        <w:rPr>
          <w:rFonts w:hAnsi="標楷體" w:hint="eastAsia"/>
        </w:rPr>
        <w:t>情形</w:t>
      </w:r>
    </w:p>
    <w:p w:rsidR="003A21D3" w:rsidRPr="00D40021" w:rsidRDefault="003A21D3" w:rsidP="00010E77">
      <w:pPr>
        <w:pStyle w:val="2"/>
        <w:numPr>
          <w:ilvl w:val="0"/>
          <w:numId w:val="0"/>
        </w:numPr>
        <w:adjustRightInd w:val="0"/>
        <w:snapToGrid w:val="0"/>
        <w:ind w:left="340" w:right="130"/>
        <w:jc w:val="right"/>
        <w:rPr>
          <w:rFonts w:hAnsi="標楷體"/>
          <w:sz w:val="24"/>
          <w:szCs w:val="24"/>
        </w:rPr>
      </w:pPr>
      <w:r w:rsidRPr="00D40021">
        <w:rPr>
          <w:rFonts w:hAnsi="標楷體" w:hint="eastAsia"/>
          <w:sz w:val="24"/>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942"/>
        <w:gridCol w:w="1263"/>
        <w:gridCol w:w="1624"/>
        <w:gridCol w:w="883"/>
        <w:gridCol w:w="859"/>
        <w:gridCol w:w="749"/>
        <w:gridCol w:w="883"/>
        <w:gridCol w:w="749"/>
        <w:gridCol w:w="882"/>
      </w:tblGrid>
      <w:tr w:rsidR="00D40021" w:rsidRPr="00D40021" w:rsidTr="0084281E">
        <w:trPr>
          <w:trHeight w:val="20"/>
          <w:tblHeader/>
        </w:trPr>
        <w:tc>
          <w:tcPr>
            <w:tcW w:w="533" w:type="pct"/>
            <w:vMerge w:val="restart"/>
            <w:shd w:val="clear" w:color="auto" w:fill="EEECE1" w:themeFill="background2"/>
            <w:vAlign w:val="center"/>
          </w:tcPr>
          <w:p w:rsidR="0084281E" w:rsidRPr="00D40021" w:rsidRDefault="0084281E" w:rsidP="008B1080">
            <w:pPr>
              <w:pStyle w:val="121"/>
              <w:jc w:val="center"/>
              <w:rPr>
                <w:rFonts w:hAnsi="標楷體" w:cs="新細明體"/>
              </w:rPr>
            </w:pPr>
            <w:r w:rsidRPr="00D40021">
              <w:rPr>
                <w:rFonts w:hAnsi="標楷體" w:hint="eastAsia"/>
              </w:rPr>
              <w:lastRenderedPageBreak/>
              <w:t>退伍</w:t>
            </w:r>
            <w:r w:rsidRPr="00D40021">
              <w:rPr>
                <w:rFonts w:hAnsi="標楷體" w:hint="eastAsia"/>
              </w:rPr>
              <w:br/>
              <w:t>階級</w:t>
            </w:r>
          </w:p>
        </w:tc>
        <w:tc>
          <w:tcPr>
            <w:tcW w:w="715" w:type="pct"/>
            <w:vMerge w:val="restart"/>
            <w:shd w:val="clear" w:color="auto" w:fill="EEECE1" w:themeFill="background2"/>
            <w:vAlign w:val="center"/>
          </w:tcPr>
          <w:p w:rsidR="0084281E" w:rsidRPr="00D40021" w:rsidRDefault="0084281E" w:rsidP="00137667">
            <w:pPr>
              <w:pStyle w:val="121"/>
              <w:jc w:val="center"/>
              <w:rPr>
                <w:rFonts w:hAnsi="標楷體"/>
              </w:rPr>
            </w:pPr>
            <w:r w:rsidRPr="00D40021">
              <w:rPr>
                <w:rFonts w:hAnsi="標楷體" w:hint="eastAsia"/>
              </w:rPr>
              <w:t>本</w:t>
            </w:r>
            <w:proofErr w:type="gramStart"/>
            <w:r w:rsidRPr="00D40021">
              <w:rPr>
                <w:rFonts w:hAnsi="標楷體" w:hint="eastAsia"/>
              </w:rPr>
              <w:t>俸</w:t>
            </w:r>
            <w:proofErr w:type="gramEnd"/>
          </w:p>
        </w:tc>
        <w:tc>
          <w:tcPr>
            <w:tcW w:w="919" w:type="pct"/>
            <w:vMerge w:val="restart"/>
            <w:shd w:val="clear" w:color="auto" w:fill="EEECE1" w:themeFill="background2"/>
            <w:vAlign w:val="center"/>
          </w:tcPr>
          <w:p w:rsidR="0084281E" w:rsidRPr="00D40021" w:rsidRDefault="0084281E" w:rsidP="008B1080">
            <w:pPr>
              <w:pStyle w:val="121"/>
              <w:jc w:val="center"/>
              <w:rPr>
                <w:rFonts w:hAnsi="標楷體" w:cs="新細明體"/>
              </w:rPr>
            </w:pPr>
            <w:r w:rsidRPr="00D40021">
              <w:rPr>
                <w:rFonts w:hAnsi="標楷體" w:hint="eastAsia"/>
              </w:rPr>
              <w:t>改革前月退休所得（月退</w:t>
            </w:r>
            <w:proofErr w:type="gramStart"/>
            <w:r w:rsidRPr="00D40021">
              <w:rPr>
                <w:rFonts w:hAnsi="標楷體" w:hint="eastAsia"/>
              </w:rPr>
              <w:t>俸</w:t>
            </w:r>
            <w:proofErr w:type="gramEnd"/>
            <w:r w:rsidRPr="00D40021">
              <w:rPr>
                <w:rFonts w:hAnsi="標楷體" w:hint="eastAsia"/>
              </w:rPr>
              <w:t>+18%）</w:t>
            </w:r>
          </w:p>
        </w:tc>
        <w:tc>
          <w:tcPr>
            <w:tcW w:w="1409" w:type="pct"/>
            <w:gridSpan w:val="3"/>
            <w:shd w:val="clear" w:color="auto" w:fill="EEECE1" w:themeFill="background2"/>
            <w:vAlign w:val="center"/>
          </w:tcPr>
          <w:p w:rsidR="0084281E" w:rsidRPr="00D40021" w:rsidRDefault="0084281E" w:rsidP="008B1080">
            <w:pPr>
              <w:pStyle w:val="121"/>
              <w:jc w:val="center"/>
              <w:rPr>
                <w:rFonts w:hAnsi="標楷體" w:cs="新細明體"/>
              </w:rPr>
            </w:pPr>
            <w:r w:rsidRPr="00D40021">
              <w:rPr>
                <w:rFonts w:hAnsi="標楷體" w:hint="eastAsia"/>
              </w:rPr>
              <w:t>107.7.1~108.6.30</w:t>
            </w:r>
          </w:p>
        </w:tc>
        <w:tc>
          <w:tcPr>
            <w:tcW w:w="1424" w:type="pct"/>
            <w:gridSpan w:val="3"/>
            <w:shd w:val="clear" w:color="auto" w:fill="EEECE1" w:themeFill="background2"/>
            <w:vAlign w:val="center"/>
          </w:tcPr>
          <w:p w:rsidR="0084281E" w:rsidRPr="00D40021" w:rsidRDefault="0084281E" w:rsidP="008B1080">
            <w:pPr>
              <w:pStyle w:val="121"/>
              <w:jc w:val="center"/>
              <w:rPr>
                <w:rFonts w:hAnsi="標楷體" w:cs="新細明體"/>
              </w:rPr>
            </w:pPr>
            <w:r w:rsidRPr="00D40021">
              <w:rPr>
                <w:rFonts w:hAnsi="標楷體" w:hint="eastAsia"/>
              </w:rPr>
              <w:t>117.7.1以後</w:t>
            </w:r>
          </w:p>
        </w:tc>
      </w:tr>
      <w:tr w:rsidR="00D40021" w:rsidRPr="00D40021" w:rsidTr="0084281E">
        <w:trPr>
          <w:trHeight w:val="20"/>
          <w:tblHeader/>
        </w:trPr>
        <w:tc>
          <w:tcPr>
            <w:tcW w:w="533" w:type="pct"/>
            <w:vMerge/>
            <w:shd w:val="clear" w:color="auto" w:fill="EEECE1" w:themeFill="background2"/>
            <w:vAlign w:val="center"/>
          </w:tcPr>
          <w:p w:rsidR="0084281E" w:rsidRPr="00D40021" w:rsidRDefault="0084281E" w:rsidP="008B1080">
            <w:pPr>
              <w:pStyle w:val="121"/>
              <w:jc w:val="center"/>
              <w:rPr>
                <w:rFonts w:hAnsi="標楷體"/>
              </w:rPr>
            </w:pPr>
          </w:p>
        </w:tc>
        <w:tc>
          <w:tcPr>
            <w:tcW w:w="715" w:type="pct"/>
            <w:vMerge/>
            <w:shd w:val="clear" w:color="auto" w:fill="EEECE1" w:themeFill="background2"/>
            <w:vAlign w:val="center"/>
          </w:tcPr>
          <w:p w:rsidR="0084281E" w:rsidRPr="00D40021" w:rsidRDefault="0084281E" w:rsidP="008B1080">
            <w:pPr>
              <w:pStyle w:val="121"/>
              <w:jc w:val="center"/>
              <w:rPr>
                <w:rFonts w:hAnsi="標楷體"/>
              </w:rPr>
            </w:pPr>
          </w:p>
        </w:tc>
        <w:tc>
          <w:tcPr>
            <w:tcW w:w="919" w:type="pct"/>
            <w:vMerge/>
            <w:shd w:val="clear" w:color="auto" w:fill="EEECE1" w:themeFill="background2"/>
            <w:vAlign w:val="center"/>
          </w:tcPr>
          <w:p w:rsidR="0084281E" w:rsidRPr="00D40021" w:rsidRDefault="0084281E" w:rsidP="008B1080">
            <w:pPr>
              <w:pStyle w:val="121"/>
              <w:jc w:val="center"/>
              <w:rPr>
                <w:rFonts w:hAnsi="標楷體"/>
              </w:rPr>
            </w:pPr>
          </w:p>
        </w:tc>
        <w:tc>
          <w:tcPr>
            <w:tcW w:w="500" w:type="pct"/>
            <w:shd w:val="clear" w:color="auto" w:fill="EEECE1" w:themeFill="background2"/>
            <w:vAlign w:val="center"/>
          </w:tcPr>
          <w:p w:rsidR="0084281E" w:rsidRPr="00D40021" w:rsidRDefault="0084281E" w:rsidP="008B1080">
            <w:pPr>
              <w:pStyle w:val="121"/>
              <w:jc w:val="center"/>
              <w:rPr>
                <w:rFonts w:hAnsi="標楷體"/>
              </w:rPr>
            </w:pPr>
            <w:r w:rsidRPr="00D40021">
              <w:rPr>
                <w:rFonts w:hAnsi="標楷體" w:hint="eastAsia"/>
              </w:rPr>
              <w:t>扣減後</w:t>
            </w:r>
          </w:p>
          <w:p w:rsidR="0084281E" w:rsidRPr="00D40021" w:rsidRDefault="0084281E" w:rsidP="008B1080">
            <w:pPr>
              <w:pStyle w:val="121"/>
              <w:jc w:val="center"/>
              <w:rPr>
                <w:rFonts w:hAnsi="標楷體" w:cs="新細明體"/>
              </w:rPr>
            </w:pPr>
            <w:r w:rsidRPr="00D40021">
              <w:rPr>
                <w:rFonts w:hAnsi="標楷體" w:hint="eastAsia"/>
              </w:rPr>
              <w:t>所得</w:t>
            </w:r>
          </w:p>
        </w:tc>
        <w:tc>
          <w:tcPr>
            <w:tcW w:w="486" w:type="pct"/>
            <w:shd w:val="clear" w:color="auto" w:fill="EEECE1" w:themeFill="background2"/>
            <w:vAlign w:val="center"/>
          </w:tcPr>
          <w:p w:rsidR="0084281E" w:rsidRPr="00D40021" w:rsidRDefault="0084281E" w:rsidP="008B1080">
            <w:pPr>
              <w:pStyle w:val="121"/>
              <w:jc w:val="center"/>
              <w:rPr>
                <w:rFonts w:hAnsi="標楷體" w:cs="新細明體"/>
              </w:rPr>
            </w:pPr>
            <w:r w:rsidRPr="00D40021">
              <w:rPr>
                <w:rFonts w:hAnsi="標楷體" w:hint="eastAsia"/>
              </w:rPr>
              <w:t>扣減金額</w:t>
            </w:r>
          </w:p>
        </w:tc>
        <w:tc>
          <w:tcPr>
            <w:tcW w:w="424" w:type="pct"/>
            <w:shd w:val="clear" w:color="auto" w:fill="EEECE1" w:themeFill="background2"/>
            <w:vAlign w:val="center"/>
          </w:tcPr>
          <w:p w:rsidR="0084281E" w:rsidRPr="00D40021" w:rsidRDefault="0084281E" w:rsidP="008B1080">
            <w:pPr>
              <w:pStyle w:val="121"/>
              <w:jc w:val="center"/>
              <w:rPr>
                <w:rFonts w:hAnsi="標楷體"/>
              </w:rPr>
            </w:pPr>
            <w:r w:rsidRPr="00D40021">
              <w:rPr>
                <w:rFonts w:hAnsi="標楷體" w:hint="eastAsia"/>
              </w:rPr>
              <w:t>扣減</w:t>
            </w:r>
          </w:p>
          <w:p w:rsidR="0084281E" w:rsidRPr="00D40021" w:rsidRDefault="0084281E" w:rsidP="008B1080">
            <w:pPr>
              <w:pStyle w:val="121"/>
              <w:jc w:val="center"/>
              <w:rPr>
                <w:rFonts w:hAnsi="標楷體" w:cs="新細明體"/>
              </w:rPr>
            </w:pPr>
            <w:r w:rsidRPr="00D40021">
              <w:rPr>
                <w:rFonts w:hAnsi="標楷體" w:hint="eastAsia"/>
              </w:rPr>
              <w:t>比例</w:t>
            </w:r>
          </w:p>
        </w:tc>
        <w:tc>
          <w:tcPr>
            <w:tcW w:w="500" w:type="pct"/>
            <w:shd w:val="clear" w:color="auto" w:fill="EEECE1" w:themeFill="background2"/>
            <w:vAlign w:val="center"/>
          </w:tcPr>
          <w:p w:rsidR="0084281E" w:rsidRPr="00D40021" w:rsidRDefault="0084281E" w:rsidP="008B1080">
            <w:pPr>
              <w:pStyle w:val="121"/>
              <w:jc w:val="center"/>
              <w:rPr>
                <w:rFonts w:hAnsi="標楷體"/>
              </w:rPr>
            </w:pPr>
            <w:r w:rsidRPr="00D40021">
              <w:rPr>
                <w:rFonts w:hAnsi="標楷體" w:hint="eastAsia"/>
              </w:rPr>
              <w:t>扣減後</w:t>
            </w:r>
          </w:p>
          <w:p w:rsidR="0084281E" w:rsidRPr="00D40021" w:rsidRDefault="0084281E" w:rsidP="008B1080">
            <w:pPr>
              <w:pStyle w:val="121"/>
              <w:jc w:val="center"/>
              <w:rPr>
                <w:rFonts w:hAnsi="標楷體" w:cs="新細明體"/>
              </w:rPr>
            </w:pPr>
            <w:r w:rsidRPr="00D40021">
              <w:rPr>
                <w:rFonts w:hAnsi="標楷體" w:hint="eastAsia"/>
              </w:rPr>
              <w:t>所得</w:t>
            </w:r>
          </w:p>
        </w:tc>
        <w:tc>
          <w:tcPr>
            <w:tcW w:w="424" w:type="pct"/>
            <w:shd w:val="clear" w:color="auto" w:fill="EEECE1" w:themeFill="background2"/>
            <w:vAlign w:val="center"/>
          </w:tcPr>
          <w:p w:rsidR="0084281E" w:rsidRPr="00D40021" w:rsidRDefault="0084281E" w:rsidP="008B1080">
            <w:pPr>
              <w:pStyle w:val="121"/>
              <w:jc w:val="center"/>
              <w:rPr>
                <w:rFonts w:hAnsi="標楷體"/>
              </w:rPr>
            </w:pPr>
            <w:r w:rsidRPr="00D40021">
              <w:rPr>
                <w:rFonts w:hAnsi="標楷體" w:hint="eastAsia"/>
              </w:rPr>
              <w:t>扣減</w:t>
            </w:r>
          </w:p>
          <w:p w:rsidR="0084281E" w:rsidRPr="00D40021" w:rsidRDefault="0084281E" w:rsidP="008B1080">
            <w:pPr>
              <w:pStyle w:val="121"/>
              <w:jc w:val="center"/>
              <w:rPr>
                <w:rFonts w:hAnsi="標楷體" w:cs="新細明體"/>
              </w:rPr>
            </w:pPr>
            <w:r w:rsidRPr="00D40021">
              <w:rPr>
                <w:rFonts w:hAnsi="標楷體" w:hint="eastAsia"/>
              </w:rPr>
              <w:t>金額</w:t>
            </w:r>
          </w:p>
        </w:tc>
        <w:tc>
          <w:tcPr>
            <w:tcW w:w="500" w:type="pct"/>
            <w:shd w:val="clear" w:color="auto" w:fill="EEECE1" w:themeFill="background2"/>
            <w:vAlign w:val="center"/>
          </w:tcPr>
          <w:p w:rsidR="0084281E" w:rsidRPr="00D40021" w:rsidRDefault="0084281E" w:rsidP="008B1080">
            <w:pPr>
              <w:pStyle w:val="121"/>
              <w:jc w:val="center"/>
              <w:rPr>
                <w:rFonts w:hAnsi="標楷體"/>
              </w:rPr>
            </w:pPr>
            <w:r w:rsidRPr="00D40021">
              <w:rPr>
                <w:rFonts w:hAnsi="標楷體" w:hint="eastAsia"/>
              </w:rPr>
              <w:t>扣減</w:t>
            </w:r>
          </w:p>
          <w:p w:rsidR="0084281E" w:rsidRPr="00D40021" w:rsidRDefault="0084281E" w:rsidP="008B1080">
            <w:pPr>
              <w:pStyle w:val="121"/>
              <w:jc w:val="center"/>
              <w:rPr>
                <w:rFonts w:hAnsi="標楷體" w:cs="新細明體"/>
              </w:rPr>
            </w:pPr>
            <w:r w:rsidRPr="00D40021">
              <w:rPr>
                <w:rFonts w:hAnsi="標楷體" w:hint="eastAsia"/>
              </w:rPr>
              <w:t>比例</w:t>
            </w:r>
          </w:p>
        </w:tc>
      </w:tr>
      <w:tr w:rsidR="00D40021" w:rsidRPr="00D40021" w:rsidTr="0084281E">
        <w:trPr>
          <w:trHeight w:val="20"/>
          <w:tblHeader/>
        </w:trPr>
        <w:tc>
          <w:tcPr>
            <w:tcW w:w="533" w:type="pct"/>
            <w:shd w:val="clear" w:color="auto" w:fill="EEECE1" w:themeFill="background2"/>
            <w:vAlign w:val="center"/>
          </w:tcPr>
          <w:p w:rsidR="0084281E" w:rsidRPr="00D40021" w:rsidRDefault="0084281E" w:rsidP="008B1080">
            <w:pPr>
              <w:pStyle w:val="121"/>
              <w:jc w:val="center"/>
              <w:rPr>
                <w:rFonts w:hAnsi="標楷體" w:cs="新細明體"/>
                <w:spacing w:val="-20"/>
              </w:rPr>
            </w:pPr>
            <w:proofErr w:type="gramStart"/>
            <w:r w:rsidRPr="00D40021">
              <w:rPr>
                <w:rFonts w:hAnsi="標楷體" w:cs="新細明體" w:hint="eastAsia"/>
                <w:spacing w:val="-20"/>
              </w:rPr>
              <w:t>一</w:t>
            </w:r>
            <w:proofErr w:type="gramEnd"/>
            <w:r w:rsidRPr="00D40021">
              <w:rPr>
                <w:rFonts w:hAnsi="標楷體" w:cs="新細明體" w:hint="eastAsia"/>
                <w:spacing w:val="-20"/>
              </w:rPr>
              <w:t>等長</w:t>
            </w:r>
          </w:p>
          <w:p w:rsidR="0084281E" w:rsidRPr="00D40021" w:rsidRDefault="0084281E" w:rsidP="008B1080">
            <w:pPr>
              <w:pStyle w:val="121"/>
              <w:jc w:val="center"/>
              <w:rPr>
                <w:rFonts w:hAnsi="標楷體"/>
              </w:rPr>
            </w:pPr>
            <w:r w:rsidRPr="00D40021">
              <w:rPr>
                <w:rFonts w:hAnsi="標楷體" w:cs="新細明體" w:hint="eastAsia"/>
              </w:rPr>
              <w:t>12級</w:t>
            </w:r>
          </w:p>
        </w:tc>
        <w:tc>
          <w:tcPr>
            <w:tcW w:w="715" w:type="pct"/>
            <w:shd w:val="clear" w:color="auto" w:fill="FFFF00"/>
            <w:vAlign w:val="center"/>
          </w:tcPr>
          <w:p w:rsidR="0084281E" w:rsidRPr="00D40021" w:rsidRDefault="0084281E" w:rsidP="00137667">
            <w:pPr>
              <w:pStyle w:val="121"/>
              <w:jc w:val="center"/>
              <w:rPr>
                <w:rFonts w:hAnsi="標楷體"/>
              </w:rPr>
            </w:pPr>
            <w:r w:rsidRPr="00D40021">
              <w:rPr>
                <w:rFonts w:hAnsi="標楷體" w:hint="eastAsia"/>
              </w:rPr>
              <w:t>33,410</w:t>
            </w:r>
          </w:p>
        </w:tc>
        <w:tc>
          <w:tcPr>
            <w:tcW w:w="919" w:type="pct"/>
            <w:shd w:val="clear" w:color="auto" w:fill="FFFF00"/>
            <w:vAlign w:val="center"/>
          </w:tcPr>
          <w:p w:rsidR="0084281E" w:rsidRPr="00D40021" w:rsidRDefault="0084281E" w:rsidP="008B1080">
            <w:pPr>
              <w:pStyle w:val="121"/>
              <w:jc w:val="center"/>
              <w:rPr>
                <w:rFonts w:hAnsi="標楷體" w:cs="新細明體"/>
              </w:rPr>
            </w:pPr>
            <w:r w:rsidRPr="00D40021">
              <w:rPr>
                <w:rFonts w:hAnsi="標楷體" w:cs="新細明體" w:hint="eastAsia"/>
              </w:rPr>
              <w:t>42,833</w:t>
            </w:r>
          </w:p>
        </w:tc>
        <w:tc>
          <w:tcPr>
            <w:tcW w:w="500"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42,449</w:t>
            </w:r>
          </w:p>
        </w:tc>
        <w:tc>
          <w:tcPr>
            <w:tcW w:w="486"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384</w:t>
            </w:r>
          </w:p>
        </w:tc>
        <w:tc>
          <w:tcPr>
            <w:tcW w:w="424"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0.90%</w:t>
            </w:r>
          </w:p>
        </w:tc>
        <w:tc>
          <w:tcPr>
            <w:tcW w:w="500" w:type="pct"/>
            <w:shd w:val="clear" w:color="auto" w:fill="FFFF00"/>
            <w:vAlign w:val="center"/>
          </w:tcPr>
          <w:p w:rsidR="0084281E" w:rsidRPr="00D40021" w:rsidRDefault="0084281E" w:rsidP="008B1080">
            <w:pPr>
              <w:pStyle w:val="121"/>
              <w:jc w:val="center"/>
              <w:rPr>
                <w:rFonts w:hAnsi="標楷體" w:cs="新細明體"/>
              </w:rPr>
            </w:pPr>
            <w:r w:rsidRPr="00D40021">
              <w:rPr>
                <w:rFonts w:hAnsi="標楷體" w:cs="新細明體" w:hint="eastAsia"/>
              </w:rPr>
              <w:t>38,990</w:t>
            </w:r>
          </w:p>
        </w:tc>
        <w:tc>
          <w:tcPr>
            <w:tcW w:w="424"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3,843</w:t>
            </w:r>
          </w:p>
        </w:tc>
        <w:tc>
          <w:tcPr>
            <w:tcW w:w="500"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8.97%</w:t>
            </w:r>
          </w:p>
        </w:tc>
      </w:tr>
      <w:tr w:rsidR="00D40021" w:rsidRPr="00D40021" w:rsidTr="0084281E">
        <w:trPr>
          <w:trHeight w:val="20"/>
          <w:tblHeader/>
        </w:trPr>
        <w:tc>
          <w:tcPr>
            <w:tcW w:w="533" w:type="pct"/>
            <w:shd w:val="clear" w:color="auto" w:fill="EEECE1" w:themeFill="background2"/>
            <w:vAlign w:val="center"/>
          </w:tcPr>
          <w:p w:rsidR="0084281E" w:rsidRPr="00D40021" w:rsidRDefault="0084281E" w:rsidP="008B1080">
            <w:pPr>
              <w:pStyle w:val="121"/>
              <w:jc w:val="center"/>
              <w:rPr>
                <w:rFonts w:hAnsi="標楷體" w:cs="新細明體"/>
              </w:rPr>
            </w:pPr>
            <w:r w:rsidRPr="00D40021">
              <w:rPr>
                <w:rFonts w:hAnsi="標楷體" w:cs="新細明體" w:hint="eastAsia"/>
              </w:rPr>
              <w:t>上尉</w:t>
            </w:r>
          </w:p>
          <w:p w:rsidR="0084281E" w:rsidRPr="00D40021" w:rsidRDefault="0084281E" w:rsidP="008B1080">
            <w:pPr>
              <w:pStyle w:val="121"/>
              <w:jc w:val="center"/>
              <w:rPr>
                <w:rFonts w:hAnsi="標楷體" w:cs="新細明體"/>
              </w:rPr>
            </w:pPr>
            <w:r w:rsidRPr="00D40021">
              <w:rPr>
                <w:rFonts w:hAnsi="標楷體" w:cs="新細明體" w:hint="eastAsia"/>
              </w:rPr>
              <w:t>8級</w:t>
            </w:r>
          </w:p>
        </w:tc>
        <w:tc>
          <w:tcPr>
            <w:tcW w:w="715" w:type="pct"/>
            <w:shd w:val="clear" w:color="auto" w:fill="FFFF00"/>
            <w:vAlign w:val="center"/>
          </w:tcPr>
          <w:p w:rsidR="0084281E" w:rsidRPr="00D40021" w:rsidRDefault="0084281E" w:rsidP="00137667">
            <w:pPr>
              <w:pStyle w:val="121"/>
              <w:jc w:val="center"/>
              <w:rPr>
                <w:rFonts w:hAnsi="標楷體"/>
              </w:rPr>
            </w:pPr>
            <w:r w:rsidRPr="00D40021">
              <w:rPr>
                <w:rFonts w:hAnsi="標楷體" w:hint="eastAsia"/>
              </w:rPr>
              <w:t>33,070</w:t>
            </w:r>
          </w:p>
        </w:tc>
        <w:tc>
          <w:tcPr>
            <w:tcW w:w="919" w:type="pct"/>
            <w:shd w:val="clear" w:color="auto" w:fill="FFFF00"/>
            <w:vAlign w:val="center"/>
          </w:tcPr>
          <w:p w:rsidR="0084281E" w:rsidRPr="00D40021" w:rsidRDefault="0084281E" w:rsidP="008B1080">
            <w:pPr>
              <w:pStyle w:val="121"/>
              <w:jc w:val="center"/>
              <w:rPr>
                <w:rFonts w:hAnsi="標楷體" w:cs="新細明體"/>
              </w:rPr>
            </w:pPr>
            <w:r w:rsidRPr="00D40021">
              <w:rPr>
                <w:rFonts w:hAnsi="標楷體" w:cs="新細明體" w:hint="eastAsia"/>
              </w:rPr>
              <w:t>45,192</w:t>
            </w:r>
          </w:p>
        </w:tc>
        <w:tc>
          <w:tcPr>
            <w:tcW w:w="500"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44,572</w:t>
            </w:r>
          </w:p>
        </w:tc>
        <w:tc>
          <w:tcPr>
            <w:tcW w:w="486"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620</w:t>
            </w:r>
          </w:p>
        </w:tc>
        <w:tc>
          <w:tcPr>
            <w:tcW w:w="424"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1.37%</w:t>
            </w:r>
          </w:p>
        </w:tc>
        <w:tc>
          <w:tcPr>
            <w:tcW w:w="500" w:type="pct"/>
            <w:shd w:val="clear" w:color="auto" w:fill="FFFF00"/>
            <w:vAlign w:val="center"/>
          </w:tcPr>
          <w:p w:rsidR="0084281E" w:rsidRPr="00D40021" w:rsidRDefault="0084281E" w:rsidP="008B1080">
            <w:pPr>
              <w:pStyle w:val="121"/>
              <w:jc w:val="center"/>
              <w:rPr>
                <w:rFonts w:hAnsi="標楷體" w:cs="新細明體"/>
              </w:rPr>
            </w:pPr>
            <w:r w:rsidRPr="00D40021">
              <w:rPr>
                <w:rFonts w:hAnsi="標楷體" w:cs="新細明體" w:hint="eastAsia"/>
              </w:rPr>
              <w:t>38,990</w:t>
            </w:r>
          </w:p>
        </w:tc>
        <w:tc>
          <w:tcPr>
            <w:tcW w:w="424"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6,202</w:t>
            </w:r>
          </w:p>
        </w:tc>
        <w:tc>
          <w:tcPr>
            <w:tcW w:w="500"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13.72%</w:t>
            </w:r>
          </w:p>
        </w:tc>
      </w:tr>
      <w:tr w:rsidR="00D40021" w:rsidRPr="00D40021" w:rsidTr="0084281E">
        <w:trPr>
          <w:trHeight w:val="20"/>
          <w:tblHeader/>
        </w:trPr>
        <w:tc>
          <w:tcPr>
            <w:tcW w:w="533" w:type="pct"/>
            <w:shd w:val="clear" w:color="auto" w:fill="EEECE1" w:themeFill="background2"/>
            <w:vAlign w:val="center"/>
          </w:tcPr>
          <w:p w:rsidR="0084281E" w:rsidRPr="00D40021" w:rsidRDefault="0084281E" w:rsidP="008B1080">
            <w:pPr>
              <w:pStyle w:val="121"/>
              <w:jc w:val="center"/>
              <w:rPr>
                <w:rFonts w:hAnsi="標楷體" w:cs="新細明體"/>
              </w:rPr>
            </w:pPr>
            <w:r w:rsidRPr="00D40021">
              <w:rPr>
                <w:rFonts w:hAnsi="標楷體" w:cs="新細明體" w:hint="eastAsia"/>
              </w:rPr>
              <w:t>少校</w:t>
            </w:r>
          </w:p>
          <w:p w:rsidR="0084281E" w:rsidRPr="00D40021" w:rsidRDefault="0084281E" w:rsidP="008B1080">
            <w:pPr>
              <w:pStyle w:val="121"/>
              <w:jc w:val="center"/>
              <w:rPr>
                <w:rFonts w:hAnsi="標楷體" w:cs="新細明體"/>
              </w:rPr>
            </w:pPr>
            <w:r w:rsidRPr="00D40021">
              <w:rPr>
                <w:rFonts w:hAnsi="標楷體" w:cs="新細明體" w:hint="eastAsia"/>
              </w:rPr>
              <w:t>6級</w:t>
            </w:r>
          </w:p>
        </w:tc>
        <w:tc>
          <w:tcPr>
            <w:tcW w:w="715" w:type="pct"/>
            <w:shd w:val="clear" w:color="auto" w:fill="FFFF00"/>
            <w:vAlign w:val="center"/>
          </w:tcPr>
          <w:p w:rsidR="0084281E" w:rsidRPr="00D40021" w:rsidRDefault="0084281E" w:rsidP="00137667">
            <w:pPr>
              <w:pStyle w:val="121"/>
              <w:jc w:val="center"/>
              <w:rPr>
                <w:rFonts w:hAnsi="標楷體"/>
              </w:rPr>
            </w:pPr>
            <w:r w:rsidRPr="00D40021">
              <w:rPr>
                <w:rFonts w:hAnsi="標楷體" w:hint="eastAsia"/>
              </w:rPr>
              <w:t>34,440</w:t>
            </w:r>
          </w:p>
        </w:tc>
        <w:tc>
          <w:tcPr>
            <w:tcW w:w="919" w:type="pct"/>
            <w:shd w:val="clear" w:color="auto" w:fill="FFFF00"/>
            <w:vAlign w:val="center"/>
          </w:tcPr>
          <w:p w:rsidR="0084281E" w:rsidRPr="00D40021" w:rsidRDefault="0084281E" w:rsidP="008B1080">
            <w:pPr>
              <w:pStyle w:val="121"/>
              <w:jc w:val="center"/>
              <w:rPr>
                <w:rFonts w:hAnsi="標楷體" w:cs="新細明體"/>
              </w:rPr>
            </w:pPr>
            <w:r w:rsidRPr="00D40021">
              <w:rPr>
                <w:rFonts w:hAnsi="標楷體" w:cs="新細明體" w:hint="eastAsia"/>
              </w:rPr>
              <w:t>48,274</w:t>
            </w:r>
          </w:p>
        </w:tc>
        <w:tc>
          <w:tcPr>
            <w:tcW w:w="500"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47,346</w:t>
            </w:r>
          </w:p>
        </w:tc>
        <w:tc>
          <w:tcPr>
            <w:tcW w:w="486"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928</w:t>
            </w:r>
          </w:p>
        </w:tc>
        <w:tc>
          <w:tcPr>
            <w:tcW w:w="424"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1.92%</w:t>
            </w:r>
          </w:p>
        </w:tc>
        <w:tc>
          <w:tcPr>
            <w:tcW w:w="500" w:type="pct"/>
            <w:shd w:val="clear" w:color="auto" w:fill="FFFF00"/>
            <w:vAlign w:val="center"/>
          </w:tcPr>
          <w:p w:rsidR="0084281E" w:rsidRPr="00D40021" w:rsidRDefault="0084281E" w:rsidP="008B1080">
            <w:pPr>
              <w:pStyle w:val="121"/>
              <w:jc w:val="center"/>
              <w:rPr>
                <w:rFonts w:hAnsi="標楷體" w:cs="新細明體"/>
              </w:rPr>
            </w:pPr>
            <w:r w:rsidRPr="00D40021">
              <w:rPr>
                <w:rFonts w:hAnsi="標楷體" w:cs="新細明體" w:hint="eastAsia"/>
              </w:rPr>
              <w:t>38,990</w:t>
            </w:r>
          </w:p>
        </w:tc>
        <w:tc>
          <w:tcPr>
            <w:tcW w:w="424"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9,284</w:t>
            </w:r>
          </w:p>
        </w:tc>
        <w:tc>
          <w:tcPr>
            <w:tcW w:w="500" w:type="pct"/>
            <w:shd w:val="clear" w:color="auto" w:fill="FFFFFF" w:themeFill="background1"/>
            <w:vAlign w:val="center"/>
          </w:tcPr>
          <w:p w:rsidR="0084281E" w:rsidRPr="00D40021" w:rsidRDefault="0084281E" w:rsidP="008B1080">
            <w:pPr>
              <w:pStyle w:val="121"/>
              <w:jc w:val="center"/>
              <w:rPr>
                <w:rFonts w:hAnsi="標楷體" w:cs="新細明體"/>
              </w:rPr>
            </w:pPr>
            <w:r w:rsidRPr="00D40021">
              <w:rPr>
                <w:rFonts w:hAnsi="標楷體" w:cs="新細明體" w:hint="eastAsia"/>
              </w:rPr>
              <w:t>19.23%</w:t>
            </w:r>
          </w:p>
        </w:tc>
      </w:tr>
    </w:tbl>
    <w:p w:rsidR="003A21D3" w:rsidRPr="00D40021" w:rsidRDefault="003A21D3" w:rsidP="00010E77">
      <w:pPr>
        <w:pStyle w:val="42"/>
        <w:ind w:leftChars="0" w:left="2024" w:hangingChars="778" w:hanging="2024"/>
        <w:rPr>
          <w:rFonts w:hAnsi="標楷體"/>
          <w:sz w:val="24"/>
          <w:szCs w:val="24"/>
        </w:rPr>
      </w:pPr>
      <w:r w:rsidRPr="00D40021">
        <w:rPr>
          <w:rFonts w:hAnsi="標楷體" w:hint="eastAsia"/>
          <w:sz w:val="24"/>
          <w:szCs w:val="24"/>
        </w:rPr>
        <w:t>資料來源：輔導會。</w:t>
      </w:r>
    </w:p>
    <w:p w:rsidR="003A21D3" w:rsidRPr="00D40021" w:rsidRDefault="003A21D3" w:rsidP="003A21D3">
      <w:pPr>
        <w:pStyle w:val="4"/>
        <w:numPr>
          <w:ilvl w:val="0"/>
          <w:numId w:val="0"/>
        </w:numPr>
        <w:kinsoku w:val="0"/>
        <w:overflowPunct/>
        <w:spacing w:line="460" w:lineRule="exact"/>
        <w:ind w:left="1191"/>
        <w:rPr>
          <w:rFonts w:hAnsi="標楷體"/>
          <w:szCs w:val="32"/>
        </w:rPr>
      </w:pPr>
    </w:p>
    <w:p w:rsidR="003A21D3" w:rsidRPr="00D40021" w:rsidRDefault="003A21D3" w:rsidP="003A21D3">
      <w:pPr>
        <w:pStyle w:val="3"/>
        <w:rPr>
          <w:rFonts w:hAnsi="標楷體"/>
        </w:rPr>
      </w:pPr>
      <w:r w:rsidRPr="00D40021">
        <w:rPr>
          <w:rFonts w:hAnsi="標楷體"/>
        </w:rPr>
        <w:t>綜上，新修正</w:t>
      </w:r>
      <w:r w:rsidR="00961AC3" w:rsidRPr="00D40021">
        <w:rPr>
          <w:rFonts w:hAnsi="標楷體" w:hint="eastAsia"/>
        </w:rPr>
        <w:t>施行</w:t>
      </w:r>
      <w:r w:rsidRPr="00D40021">
        <w:rPr>
          <w:rFonts w:hAnsi="標楷體"/>
        </w:rPr>
        <w:t>之</w:t>
      </w:r>
      <w:r w:rsidRPr="00D40021">
        <w:rPr>
          <w:rFonts w:hAnsi="標楷體" w:hint="eastAsia"/>
        </w:rPr>
        <w:t>服役條例雖</w:t>
      </w:r>
      <w:r w:rsidRPr="00D40021">
        <w:rPr>
          <w:rFonts w:hAnsi="標楷體"/>
        </w:rPr>
        <w:t>訂</w:t>
      </w:r>
      <w:r w:rsidRPr="00D40021">
        <w:rPr>
          <w:rFonts w:hAnsi="標楷體" w:hint="eastAsia"/>
        </w:rPr>
        <w:t>有</w:t>
      </w:r>
      <w:r w:rsidRPr="00D40021">
        <w:rPr>
          <w:rFonts w:hAnsi="標楷體"/>
        </w:rPr>
        <w:t>退休所得下限規定，惟</w:t>
      </w:r>
      <w:r w:rsidRPr="00D40021">
        <w:rPr>
          <w:rFonts w:hAnsi="標楷體" w:hint="eastAsia"/>
        </w:rPr>
        <w:t>發生</w:t>
      </w:r>
      <w:proofErr w:type="gramStart"/>
      <w:r w:rsidR="00961AC3" w:rsidRPr="00D40021">
        <w:rPr>
          <w:rFonts w:hAnsi="標楷體" w:hint="eastAsia"/>
        </w:rPr>
        <w:t>在役時繳付</w:t>
      </w:r>
      <w:proofErr w:type="gramEnd"/>
      <w:r w:rsidR="00961AC3" w:rsidRPr="00D40021">
        <w:rPr>
          <w:rFonts w:hAnsi="標楷體" w:hint="eastAsia"/>
        </w:rPr>
        <w:t>較高退撫費用之</w:t>
      </w:r>
      <w:r w:rsidRPr="00D40021">
        <w:rPr>
          <w:rFonts w:hAnsi="標楷體" w:hint="eastAsia"/>
        </w:rPr>
        <w:t>已</w:t>
      </w:r>
      <w:r w:rsidR="00961AC3" w:rsidRPr="00D40021">
        <w:rPr>
          <w:rFonts w:hAnsi="標楷體" w:hint="eastAsia"/>
        </w:rPr>
        <w:t>退伍除役人員</w:t>
      </w:r>
      <w:r w:rsidRPr="00D40021">
        <w:rPr>
          <w:rFonts w:hAnsi="標楷體" w:hint="eastAsia"/>
        </w:rPr>
        <w:t>，與繳付較低退撫費用者，卻均領取相同</w:t>
      </w:r>
      <w:r w:rsidR="00841821" w:rsidRPr="00D40021">
        <w:rPr>
          <w:rFonts w:hAnsi="標楷體" w:hint="eastAsia"/>
        </w:rPr>
        <w:t>月</w:t>
      </w:r>
      <w:r w:rsidRPr="00D40021">
        <w:rPr>
          <w:rFonts w:hAnsi="標楷體" w:hint="eastAsia"/>
        </w:rPr>
        <w:t>退休所得</w:t>
      </w:r>
      <w:r w:rsidRPr="00D40021">
        <w:rPr>
          <w:rFonts w:hAnsi="標楷體"/>
        </w:rPr>
        <w:t>，顯失</w:t>
      </w:r>
      <w:r w:rsidRPr="00D40021">
        <w:rPr>
          <w:rFonts w:hAnsi="標楷體" w:hint="eastAsia"/>
        </w:rPr>
        <w:t>給付與</w:t>
      </w:r>
      <w:r w:rsidRPr="00D40021">
        <w:rPr>
          <w:rFonts w:hAnsi="標楷體"/>
        </w:rPr>
        <w:t>繳費之權利義務對等原則，</w:t>
      </w:r>
      <w:r w:rsidRPr="00D40021">
        <w:rPr>
          <w:rFonts w:hAnsi="標楷體" w:hint="eastAsia"/>
        </w:rPr>
        <w:t>自</w:t>
      </w:r>
      <w:r w:rsidRPr="00D40021">
        <w:rPr>
          <w:rFonts w:hAnsi="標楷體"/>
        </w:rPr>
        <w:t>難稱公允。</w:t>
      </w:r>
    </w:p>
    <w:p w:rsidR="0084281E" w:rsidRPr="00D40021" w:rsidRDefault="0084281E" w:rsidP="0084281E"/>
    <w:p w:rsidR="00DB7EFA" w:rsidRPr="00D40021" w:rsidRDefault="00FE6C7A" w:rsidP="00DB7EFA">
      <w:pPr>
        <w:pStyle w:val="2"/>
        <w:rPr>
          <w:rFonts w:hAnsi="標楷體"/>
        </w:rPr>
      </w:pPr>
      <w:r w:rsidRPr="00D40021">
        <w:rPr>
          <w:rFonts w:hAnsi="標楷體" w:hint="eastAsia"/>
          <w:b/>
        </w:rPr>
        <w:t>新修正施行服役條例有關軍職人員之「退休所得計算基準之平均</w:t>
      </w:r>
      <w:proofErr w:type="gramStart"/>
      <w:r w:rsidRPr="00D40021">
        <w:rPr>
          <w:rFonts w:hAnsi="標楷體" w:hint="eastAsia"/>
          <w:b/>
        </w:rPr>
        <w:t>俸</w:t>
      </w:r>
      <w:proofErr w:type="gramEnd"/>
      <w:r w:rsidRPr="00D40021">
        <w:rPr>
          <w:rFonts w:hAnsi="標楷體" w:hint="eastAsia"/>
          <w:b/>
        </w:rPr>
        <w:t>額核計年數」、「退休所得替代率上限」、「已退役者</w:t>
      </w:r>
      <w:r w:rsidRPr="00D40021">
        <w:rPr>
          <w:rFonts w:hAnsi="標楷體"/>
          <w:b/>
        </w:rPr>
        <w:t>最低</w:t>
      </w:r>
      <w:r w:rsidRPr="00D40021">
        <w:rPr>
          <w:rFonts w:hAnsi="標楷體" w:hint="eastAsia"/>
          <w:b/>
        </w:rPr>
        <w:t>退休</w:t>
      </w:r>
      <w:proofErr w:type="gramStart"/>
      <w:r w:rsidRPr="00D40021">
        <w:rPr>
          <w:rFonts w:hAnsi="標楷體" w:hint="eastAsia"/>
          <w:b/>
        </w:rPr>
        <w:t>俸</w:t>
      </w:r>
      <w:proofErr w:type="gramEnd"/>
      <w:r w:rsidRPr="00D40021">
        <w:rPr>
          <w:rFonts w:hAnsi="標楷體"/>
          <w:b/>
        </w:rPr>
        <w:t>保障金額</w:t>
      </w:r>
      <w:r w:rsidRPr="00D40021">
        <w:rPr>
          <w:rFonts w:hAnsi="標楷體" w:hint="eastAsia"/>
          <w:b/>
        </w:rPr>
        <w:t>」、「未具舊制年資之</w:t>
      </w:r>
      <w:r w:rsidRPr="00D40021">
        <w:rPr>
          <w:rFonts w:hAnsi="標楷體"/>
          <w:b/>
        </w:rPr>
        <w:t>現役人員</w:t>
      </w:r>
      <w:r w:rsidRPr="00D40021">
        <w:rPr>
          <w:rFonts w:hAnsi="標楷體" w:hint="eastAsia"/>
          <w:b/>
        </w:rPr>
        <w:t>未來退休所得」、「</w:t>
      </w:r>
      <w:r w:rsidRPr="00D40021">
        <w:rPr>
          <w:rFonts w:hAnsi="標楷體"/>
          <w:b/>
        </w:rPr>
        <w:t>年資補償金</w:t>
      </w:r>
      <w:r w:rsidRPr="00D40021">
        <w:rPr>
          <w:rFonts w:hAnsi="標楷體" w:hint="eastAsia"/>
          <w:b/>
        </w:rPr>
        <w:t>」、「退休再</w:t>
      </w:r>
      <w:proofErr w:type="gramStart"/>
      <w:r w:rsidRPr="00D40021">
        <w:rPr>
          <w:rFonts w:hAnsi="標楷體" w:hint="eastAsia"/>
          <w:b/>
        </w:rPr>
        <w:t>任停支退休俸</w:t>
      </w:r>
      <w:proofErr w:type="gramEnd"/>
      <w:r w:rsidRPr="00D40021">
        <w:rPr>
          <w:rFonts w:hAnsi="標楷體" w:hint="eastAsia"/>
          <w:b/>
        </w:rPr>
        <w:t>」、「退休</w:t>
      </w:r>
      <w:proofErr w:type="gramStart"/>
      <w:r w:rsidRPr="00D40021">
        <w:rPr>
          <w:rFonts w:hAnsi="標楷體" w:hint="eastAsia"/>
          <w:b/>
        </w:rPr>
        <w:t>俸</w:t>
      </w:r>
      <w:proofErr w:type="gramEnd"/>
      <w:r w:rsidRPr="00D40021">
        <w:rPr>
          <w:rFonts w:hAnsi="標楷體" w:hint="eastAsia"/>
          <w:b/>
        </w:rPr>
        <w:t>及退伍金給付之財源」與「軍人退撫基金之</w:t>
      </w:r>
      <w:proofErr w:type="gramStart"/>
      <w:r w:rsidRPr="00D40021">
        <w:rPr>
          <w:rFonts w:hAnsi="標楷體" w:hint="eastAsia"/>
          <w:b/>
        </w:rPr>
        <w:t>挹</w:t>
      </w:r>
      <w:proofErr w:type="gramEnd"/>
      <w:r w:rsidRPr="00D40021">
        <w:rPr>
          <w:rFonts w:hAnsi="標楷體" w:hint="eastAsia"/>
          <w:b/>
        </w:rPr>
        <w:t>注財源」等規定，與公教人員年金改革相關規定</w:t>
      </w:r>
      <w:r w:rsidR="00CF01DD" w:rsidRPr="00D40021">
        <w:rPr>
          <w:rFonts w:hAnsi="標楷體" w:hint="eastAsia"/>
          <w:b/>
        </w:rPr>
        <w:t>標準</w:t>
      </w:r>
      <w:r w:rsidRPr="00D40021">
        <w:rPr>
          <w:rFonts w:hAnsi="標楷體" w:hint="eastAsia"/>
          <w:b/>
        </w:rPr>
        <w:t>顯不一致</w:t>
      </w:r>
      <w:r w:rsidR="00DB7EFA" w:rsidRPr="00D40021">
        <w:rPr>
          <w:rFonts w:hAnsi="標楷體" w:hint="eastAsia"/>
          <w:b/>
        </w:rPr>
        <w:t>。</w:t>
      </w:r>
    </w:p>
    <w:p w:rsidR="00920CBB" w:rsidRPr="00D40021" w:rsidRDefault="00092EBA" w:rsidP="006E7F36">
      <w:pPr>
        <w:pStyle w:val="3"/>
      </w:pPr>
      <w:r w:rsidRPr="00D40021">
        <w:rPr>
          <w:rFonts w:hAnsi="標楷體" w:hint="eastAsia"/>
        </w:rPr>
        <w:t>軍公教退休所得計算基準中，</w:t>
      </w:r>
      <w:r w:rsidR="00234FC4" w:rsidRPr="00D40021">
        <w:rPr>
          <w:rFonts w:hAnsi="標楷體" w:hint="eastAsia"/>
          <w:szCs w:val="48"/>
        </w:rPr>
        <w:t>公教人員平均</w:t>
      </w:r>
      <w:proofErr w:type="gramStart"/>
      <w:r w:rsidR="00234FC4" w:rsidRPr="00D40021">
        <w:rPr>
          <w:rFonts w:hAnsi="標楷體" w:hint="eastAsia"/>
          <w:szCs w:val="48"/>
        </w:rPr>
        <w:t>俸</w:t>
      </w:r>
      <w:proofErr w:type="gramEnd"/>
      <w:r w:rsidR="00234FC4" w:rsidRPr="00D40021">
        <w:rPr>
          <w:rFonts w:hAnsi="標楷體" w:hint="eastAsia"/>
          <w:szCs w:val="48"/>
        </w:rPr>
        <w:t>額之核計</w:t>
      </w:r>
      <w:proofErr w:type="gramStart"/>
      <w:r w:rsidR="00234FC4" w:rsidRPr="00D40021">
        <w:rPr>
          <w:rFonts w:hAnsi="標楷體" w:hint="eastAsia"/>
          <w:szCs w:val="48"/>
        </w:rPr>
        <w:t>年數係逐步</w:t>
      </w:r>
      <w:proofErr w:type="gramEnd"/>
      <w:r w:rsidR="00234FC4" w:rsidRPr="00D40021">
        <w:rPr>
          <w:rFonts w:hAnsi="標楷體" w:hint="eastAsia"/>
          <w:szCs w:val="48"/>
        </w:rPr>
        <w:t>調整為退休前</w:t>
      </w:r>
      <w:r w:rsidR="00234FC4" w:rsidRPr="00D40021">
        <w:rPr>
          <w:rFonts w:hAnsi="標楷體"/>
          <w:szCs w:val="48"/>
        </w:rPr>
        <w:t>15</w:t>
      </w:r>
      <w:r w:rsidR="00234FC4" w:rsidRPr="00D40021">
        <w:rPr>
          <w:rFonts w:hAnsi="標楷體" w:hint="eastAsia"/>
          <w:szCs w:val="48"/>
        </w:rPr>
        <w:t>年，軍職人員係最後在職五分之一年資，</w:t>
      </w:r>
      <w:r w:rsidR="00FB6F04" w:rsidRPr="00D40021">
        <w:rPr>
          <w:rFonts w:hint="eastAsia"/>
        </w:rPr>
        <w:t>相對於軍職人員，公教人員有關月退休</w:t>
      </w:r>
      <w:proofErr w:type="gramStart"/>
      <w:r w:rsidR="00FB6F04" w:rsidRPr="00D40021">
        <w:rPr>
          <w:rFonts w:hint="eastAsia"/>
        </w:rPr>
        <w:t>俸</w:t>
      </w:r>
      <w:proofErr w:type="gramEnd"/>
      <w:r w:rsidR="00FB6F04" w:rsidRPr="00D40021">
        <w:rPr>
          <w:rFonts w:hint="eastAsia"/>
        </w:rPr>
        <w:t>計算所受之負面</w:t>
      </w:r>
      <w:proofErr w:type="gramStart"/>
      <w:r w:rsidR="00FB6F04" w:rsidRPr="00D40021">
        <w:rPr>
          <w:rFonts w:hint="eastAsia"/>
        </w:rPr>
        <w:t>影響更劇</w:t>
      </w:r>
      <w:proofErr w:type="gramEnd"/>
      <w:r w:rsidR="00FB6F04" w:rsidRPr="00D40021">
        <w:rPr>
          <w:rFonts w:hint="eastAsia"/>
        </w:rPr>
        <w:t>。</w:t>
      </w:r>
    </w:p>
    <w:p w:rsidR="00125AB0" w:rsidRPr="00D40021" w:rsidRDefault="004B1828" w:rsidP="006E7F36">
      <w:pPr>
        <w:pStyle w:val="4"/>
      </w:pPr>
      <w:r w:rsidRPr="00D40021">
        <w:rPr>
          <w:rFonts w:hint="eastAsia"/>
        </w:rPr>
        <w:t>依新公布施行之</w:t>
      </w:r>
      <w:r w:rsidR="00966306" w:rsidRPr="00D40021">
        <w:rPr>
          <w:rFonts w:hint="eastAsia"/>
        </w:rPr>
        <w:t>公務人員退休資遣撫</w:t>
      </w:r>
      <w:proofErr w:type="gramStart"/>
      <w:r w:rsidR="00966306" w:rsidRPr="00D40021">
        <w:rPr>
          <w:rFonts w:hint="eastAsia"/>
        </w:rPr>
        <w:t>卹</w:t>
      </w:r>
      <w:proofErr w:type="gramEnd"/>
      <w:r w:rsidR="00966306" w:rsidRPr="00D40021">
        <w:rPr>
          <w:rFonts w:hint="eastAsia"/>
        </w:rPr>
        <w:t>法</w:t>
      </w:r>
      <w:r w:rsidR="001D4ED1" w:rsidRPr="00D40021">
        <w:t>（下稱公務人員退撫法）</w:t>
      </w:r>
      <w:r w:rsidR="00966306" w:rsidRPr="00D40021">
        <w:rPr>
          <w:rFonts w:hint="eastAsia"/>
        </w:rPr>
        <w:t>第27條第2項及</w:t>
      </w:r>
      <w:r w:rsidR="00770693" w:rsidRPr="00D40021">
        <w:rPr>
          <w:rFonts w:hint="eastAsia"/>
        </w:rPr>
        <w:t>公立學校教職員退休資遣撫</w:t>
      </w:r>
      <w:proofErr w:type="gramStart"/>
      <w:r w:rsidR="00770693" w:rsidRPr="00D40021">
        <w:rPr>
          <w:rFonts w:hint="eastAsia"/>
        </w:rPr>
        <w:t>卹</w:t>
      </w:r>
      <w:proofErr w:type="gramEnd"/>
      <w:r w:rsidR="00770693" w:rsidRPr="00D40021">
        <w:rPr>
          <w:rFonts w:hint="eastAsia"/>
        </w:rPr>
        <w:t>條例</w:t>
      </w:r>
      <w:r w:rsidR="001D4ED1" w:rsidRPr="00D40021">
        <w:t>（下稱公立學校教職員退撫條例）</w:t>
      </w:r>
      <w:r w:rsidR="00770693" w:rsidRPr="00D40021">
        <w:rPr>
          <w:rFonts w:hint="eastAsia"/>
        </w:rPr>
        <w:t>第28條第2項</w:t>
      </w:r>
      <w:r w:rsidRPr="00D40021">
        <w:rPr>
          <w:rFonts w:hint="eastAsia"/>
        </w:rPr>
        <w:t>規定，</w:t>
      </w:r>
      <w:r w:rsidR="00125AB0" w:rsidRPr="00D40021">
        <w:t>公教人員不論</w:t>
      </w:r>
      <w:r w:rsidR="001D4ED1" w:rsidRPr="00D40021">
        <w:rPr>
          <w:rFonts w:hint="eastAsia"/>
        </w:rPr>
        <w:t>領取</w:t>
      </w:r>
      <w:r w:rsidR="00125AB0" w:rsidRPr="00D40021">
        <w:t>一次退</w:t>
      </w:r>
      <w:r w:rsidR="00966306" w:rsidRPr="00D40021">
        <w:rPr>
          <w:rFonts w:hint="eastAsia"/>
        </w:rPr>
        <w:t>休金</w:t>
      </w:r>
      <w:r w:rsidR="00125AB0" w:rsidRPr="00D40021">
        <w:t>或月退</w:t>
      </w:r>
      <w:r w:rsidR="00966306" w:rsidRPr="00D40021">
        <w:rPr>
          <w:rFonts w:hint="eastAsia"/>
        </w:rPr>
        <w:t>休金</w:t>
      </w:r>
      <w:r w:rsidR="00125AB0" w:rsidRPr="00D40021">
        <w:t>，其計算基準係逐步調整為退</w:t>
      </w:r>
      <w:r w:rsidR="00125AB0" w:rsidRPr="00D40021">
        <w:lastRenderedPageBreak/>
        <w:t>休前15年平均</w:t>
      </w:r>
      <w:proofErr w:type="gramStart"/>
      <w:r w:rsidR="00125AB0" w:rsidRPr="00D40021">
        <w:t>俸</w:t>
      </w:r>
      <w:proofErr w:type="gramEnd"/>
      <w:r w:rsidR="00770693" w:rsidRPr="00D40021">
        <w:rPr>
          <w:rFonts w:hint="eastAsia"/>
        </w:rPr>
        <w:t>（薪）</w:t>
      </w:r>
      <w:r w:rsidR="00125AB0" w:rsidRPr="00D40021">
        <w:t>額。</w:t>
      </w:r>
    </w:p>
    <w:p w:rsidR="00125AB0" w:rsidRPr="00D40021" w:rsidRDefault="001A25D6" w:rsidP="00125AB0">
      <w:pPr>
        <w:pStyle w:val="4"/>
        <w:rPr>
          <w:rFonts w:hAnsi="標楷體"/>
          <w:bCs/>
        </w:rPr>
      </w:pPr>
      <w:r w:rsidRPr="00D40021">
        <w:rPr>
          <w:rFonts w:hAnsi="標楷體" w:hint="eastAsia"/>
        </w:rPr>
        <w:t>惟依新修正施行之服役條例第26條第2項第1款及第2款規定，</w:t>
      </w:r>
      <w:r w:rsidRPr="00D40021">
        <w:rPr>
          <w:rFonts w:hAnsi="標楷體"/>
        </w:rPr>
        <w:t>軍職人員月退休</w:t>
      </w:r>
      <w:proofErr w:type="gramStart"/>
      <w:r w:rsidRPr="00D40021">
        <w:rPr>
          <w:rFonts w:hAnsi="標楷體"/>
        </w:rPr>
        <w:t>俸</w:t>
      </w:r>
      <w:proofErr w:type="gramEnd"/>
      <w:r w:rsidRPr="00D40021">
        <w:rPr>
          <w:rFonts w:hAnsi="標楷體"/>
        </w:rPr>
        <w:t>計算基準改為最後在職</w:t>
      </w:r>
      <w:r w:rsidR="00C31E1C" w:rsidRPr="00D40021">
        <w:rPr>
          <w:rFonts w:hAnsi="標楷體"/>
        </w:rPr>
        <w:t>五分之一</w:t>
      </w:r>
      <w:r w:rsidR="00AB54C5" w:rsidRPr="00D40021">
        <w:rPr>
          <w:rFonts w:hAnsi="標楷體"/>
        </w:rPr>
        <w:t>年</w:t>
      </w:r>
      <w:r w:rsidR="007063EE" w:rsidRPr="00D40021">
        <w:rPr>
          <w:rFonts w:hAnsi="標楷體"/>
        </w:rPr>
        <w:t>資</w:t>
      </w:r>
      <w:r w:rsidR="007063EE" w:rsidRPr="00D40021">
        <w:rPr>
          <w:rFonts w:hAnsi="標楷體" w:hint="eastAsia"/>
        </w:rPr>
        <w:t>（如在職年數20年，其均</w:t>
      </w:r>
      <w:proofErr w:type="gramStart"/>
      <w:r w:rsidR="007063EE" w:rsidRPr="00D40021">
        <w:rPr>
          <w:rFonts w:hAnsi="標楷體" w:hint="eastAsia"/>
        </w:rPr>
        <w:t>俸</w:t>
      </w:r>
      <w:proofErr w:type="gramEnd"/>
      <w:r w:rsidR="007063EE" w:rsidRPr="00D40021">
        <w:rPr>
          <w:rFonts w:hAnsi="標楷體" w:hint="eastAsia"/>
        </w:rPr>
        <w:t>核計年數為4年）</w:t>
      </w:r>
      <w:r w:rsidR="00AB54C5" w:rsidRPr="00D40021">
        <w:rPr>
          <w:rFonts w:hAnsi="標楷體"/>
        </w:rPr>
        <w:t>本</w:t>
      </w:r>
      <w:proofErr w:type="gramStart"/>
      <w:r w:rsidR="00AB54C5" w:rsidRPr="00D40021">
        <w:rPr>
          <w:rFonts w:hAnsi="標楷體"/>
        </w:rPr>
        <w:t>俸</w:t>
      </w:r>
      <w:proofErr w:type="gramEnd"/>
      <w:r w:rsidR="00AB54C5" w:rsidRPr="00D40021">
        <w:rPr>
          <w:rFonts w:hAnsi="標楷體"/>
        </w:rPr>
        <w:t>平均數</w:t>
      </w:r>
      <w:r w:rsidR="00AB54C5" w:rsidRPr="00D40021">
        <w:rPr>
          <w:rFonts w:hAnsi="標楷體" w:hint="eastAsia"/>
        </w:rPr>
        <w:t>；</w:t>
      </w:r>
      <w:r w:rsidRPr="00D40021">
        <w:rPr>
          <w:rFonts w:hAnsi="標楷體"/>
        </w:rPr>
        <w:t>一次退伍金</w:t>
      </w:r>
      <w:r w:rsidR="00841821" w:rsidRPr="00D40021">
        <w:rPr>
          <w:rFonts w:hAnsi="標楷體" w:hint="eastAsia"/>
        </w:rPr>
        <w:t>則</w:t>
      </w:r>
      <w:proofErr w:type="gramStart"/>
      <w:r w:rsidR="00841821" w:rsidRPr="00D40021">
        <w:rPr>
          <w:rFonts w:hAnsi="標楷體" w:hint="eastAsia"/>
        </w:rPr>
        <w:t>採</w:t>
      </w:r>
      <w:proofErr w:type="gramEnd"/>
      <w:r w:rsidR="00841821" w:rsidRPr="00D40021">
        <w:rPr>
          <w:rFonts w:hAnsi="標楷體" w:hint="eastAsia"/>
        </w:rPr>
        <w:t>現役同官階</w:t>
      </w:r>
      <w:proofErr w:type="gramStart"/>
      <w:r w:rsidR="00841821" w:rsidRPr="00D40021">
        <w:rPr>
          <w:rFonts w:hAnsi="標楷體" w:hint="eastAsia"/>
        </w:rPr>
        <w:t>俸</w:t>
      </w:r>
      <w:proofErr w:type="gramEnd"/>
      <w:r w:rsidR="00841821" w:rsidRPr="00D40021">
        <w:rPr>
          <w:rFonts w:hAnsi="標楷體" w:hint="eastAsia"/>
        </w:rPr>
        <w:t>級人員之本</w:t>
      </w:r>
      <w:proofErr w:type="gramStart"/>
      <w:r w:rsidR="00841821" w:rsidRPr="00D40021">
        <w:rPr>
          <w:rFonts w:hAnsi="標楷體" w:hint="eastAsia"/>
        </w:rPr>
        <w:t>俸</w:t>
      </w:r>
      <w:proofErr w:type="gramEnd"/>
      <w:r w:rsidR="009971EE" w:rsidRPr="00D40021">
        <w:rPr>
          <w:rFonts w:hAnsi="標楷體" w:hint="eastAsia"/>
        </w:rPr>
        <w:t>（</w:t>
      </w:r>
      <w:r w:rsidR="007063EE" w:rsidRPr="00D40021">
        <w:rPr>
          <w:rFonts w:hAnsi="標楷體" w:hint="eastAsia"/>
        </w:rPr>
        <w:t>並</w:t>
      </w:r>
      <w:r w:rsidR="009971EE" w:rsidRPr="00D40021">
        <w:rPr>
          <w:rFonts w:hAnsi="標楷體" w:hint="eastAsia"/>
        </w:rPr>
        <w:t>不適用</w:t>
      </w:r>
      <w:r w:rsidR="00E33FB8" w:rsidRPr="00D40021">
        <w:rPr>
          <w:rFonts w:hAnsi="標楷體" w:hint="eastAsia"/>
        </w:rPr>
        <w:t>平均</w:t>
      </w:r>
      <w:proofErr w:type="gramStart"/>
      <w:r w:rsidR="009971EE" w:rsidRPr="00D40021">
        <w:rPr>
          <w:rFonts w:hAnsi="標楷體" w:hint="eastAsia"/>
        </w:rPr>
        <w:t>俸</w:t>
      </w:r>
      <w:proofErr w:type="gramEnd"/>
      <w:r w:rsidR="00E33FB8" w:rsidRPr="00D40021">
        <w:rPr>
          <w:rFonts w:hAnsi="標楷體" w:hint="eastAsia"/>
          <w:bCs/>
        </w:rPr>
        <w:t>額</w:t>
      </w:r>
      <w:r w:rsidR="009971EE" w:rsidRPr="00D40021">
        <w:rPr>
          <w:rFonts w:hAnsi="標楷體" w:hint="eastAsia"/>
          <w:bCs/>
        </w:rPr>
        <w:t>）</w:t>
      </w:r>
      <w:r w:rsidRPr="00D40021">
        <w:rPr>
          <w:rFonts w:hAnsi="標楷體"/>
          <w:bCs/>
        </w:rPr>
        <w:t>為計算基準。</w:t>
      </w:r>
    </w:p>
    <w:p w:rsidR="00DB7EFA" w:rsidRPr="00D40021" w:rsidRDefault="00B13F0F" w:rsidP="00DB7EFA">
      <w:pPr>
        <w:pStyle w:val="3"/>
        <w:rPr>
          <w:rFonts w:hAnsi="標楷體"/>
        </w:rPr>
      </w:pPr>
      <w:r w:rsidRPr="00D40021">
        <w:rPr>
          <w:rFonts w:hAnsi="標楷體" w:hint="eastAsia"/>
        </w:rPr>
        <w:t>軍職人員</w:t>
      </w:r>
      <w:r w:rsidR="006778F1" w:rsidRPr="00D40021">
        <w:rPr>
          <w:rFonts w:hAnsi="標楷體" w:hint="eastAsia"/>
        </w:rPr>
        <w:t>退休所得替代率</w:t>
      </w:r>
      <w:r w:rsidRPr="00D40021">
        <w:rPr>
          <w:rFonts w:hAnsi="標楷體" w:hint="eastAsia"/>
        </w:rPr>
        <w:t>上限</w:t>
      </w:r>
      <w:r w:rsidR="0083373C" w:rsidRPr="00D40021">
        <w:rPr>
          <w:rFonts w:hAnsi="標楷體" w:hint="eastAsia"/>
        </w:rPr>
        <w:t>達</w:t>
      </w:r>
      <w:r w:rsidR="00125AB0" w:rsidRPr="00D40021">
        <w:rPr>
          <w:rFonts w:hAnsi="標楷體" w:hint="eastAsia"/>
        </w:rPr>
        <w:t>55</w:t>
      </w:r>
      <w:r w:rsidR="00213265" w:rsidRPr="00D40021">
        <w:rPr>
          <w:rFonts w:hAnsi="標楷體" w:hint="eastAsia"/>
        </w:rPr>
        <w:t>%</w:t>
      </w:r>
      <w:r w:rsidR="00125AB0" w:rsidRPr="00D40021">
        <w:rPr>
          <w:rFonts w:hAnsi="標楷體" w:hint="eastAsia"/>
        </w:rPr>
        <w:t>至95</w:t>
      </w:r>
      <w:r w:rsidR="00213265" w:rsidRPr="00D40021">
        <w:rPr>
          <w:rFonts w:hAnsi="標楷體" w:hint="eastAsia"/>
        </w:rPr>
        <w:t>%</w:t>
      </w:r>
      <w:r w:rsidR="00326EA7" w:rsidRPr="00D40021">
        <w:rPr>
          <w:rFonts w:hAnsi="標楷體" w:hint="eastAsia"/>
        </w:rPr>
        <w:t>，</w:t>
      </w:r>
      <w:r w:rsidRPr="00D40021">
        <w:rPr>
          <w:rFonts w:hAnsi="標楷體" w:hint="eastAsia"/>
        </w:rPr>
        <w:t>遠高於公教人員之</w:t>
      </w:r>
      <w:r w:rsidR="007063EE" w:rsidRPr="00D40021">
        <w:rPr>
          <w:rFonts w:hAnsi="標楷體" w:hint="eastAsia"/>
        </w:rPr>
        <w:t>37.5</w:t>
      </w:r>
      <w:proofErr w:type="gramStart"/>
      <w:r w:rsidR="007063EE" w:rsidRPr="00D40021">
        <w:rPr>
          <w:rFonts w:hAnsi="標楷體" w:hint="eastAsia"/>
        </w:rPr>
        <w:t>﹪</w:t>
      </w:r>
      <w:proofErr w:type="gramEnd"/>
      <w:r w:rsidR="007063EE" w:rsidRPr="00D40021">
        <w:rPr>
          <w:rFonts w:hAnsi="標楷體" w:hint="eastAsia"/>
        </w:rPr>
        <w:t>至60</w:t>
      </w:r>
      <w:proofErr w:type="gramStart"/>
      <w:r w:rsidR="007063EE" w:rsidRPr="00D40021">
        <w:rPr>
          <w:rFonts w:hAnsi="標楷體" w:hint="eastAsia"/>
        </w:rPr>
        <w:t>﹪</w:t>
      </w:r>
      <w:proofErr w:type="gramEnd"/>
      <w:r w:rsidR="00B73B17" w:rsidRPr="00D40021">
        <w:rPr>
          <w:rFonts w:hAnsi="標楷體" w:hint="eastAsia"/>
        </w:rPr>
        <w:t>。</w:t>
      </w:r>
    </w:p>
    <w:p w:rsidR="00125AB0" w:rsidRPr="00D40021" w:rsidRDefault="001D3269" w:rsidP="00125AB0">
      <w:pPr>
        <w:pStyle w:val="4"/>
        <w:rPr>
          <w:rFonts w:hAnsi="標楷體"/>
        </w:rPr>
      </w:pPr>
      <w:r w:rsidRPr="00D40021">
        <w:rPr>
          <w:rFonts w:hAnsi="標楷體" w:hint="eastAsia"/>
        </w:rPr>
        <w:t>依新公布</w:t>
      </w:r>
      <w:r w:rsidRPr="00D40021">
        <w:rPr>
          <w:rFonts w:hAnsi="標楷體"/>
        </w:rPr>
        <w:t>公務人員退撫法</w:t>
      </w:r>
      <w:r w:rsidR="00E33FB8" w:rsidRPr="00D40021">
        <w:rPr>
          <w:rFonts w:hAnsi="標楷體" w:hint="eastAsia"/>
        </w:rPr>
        <w:t>及</w:t>
      </w:r>
      <w:r w:rsidR="00E33FB8" w:rsidRPr="00D40021">
        <w:rPr>
          <w:rFonts w:hAnsi="標楷體"/>
        </w:rPr>
        <w:t>公立學校教職員退撫條例</w:t>
      </w:r>
      <w:r w:rsidRPr="00D40021">
        <w:rPr>
          <w:rFonts w:hAnsi="標楷體" w:hint="eastAsia"/>
        </w:rPr>
        <w:t>第</w:t>
      </w:r>
      <w:r w:rsidR="009971EE" w:rsidRPr="00D40021">
        <w:rPr>
          <w:rFonts w:hAnsi="標楷體" w:hint="eastAsia"/>
        </w:rPr>
        <w:t>3</w:t>
      </w:r>
      <w:r w:rsidR="00942A0D" w:rsidRPr="00D40021">
        <w:rPr>
          <w:rFonts w:hAnsi="標楷體" w:hint="eastAsia"/>
        </w:rPr>
        <w:t>6</w:t>
      </w:r>
      <w:r w:rsidRPr="00D40021">
        <w:rPr>
          <w:rFonts w:hAnsi="標楷體" w:hint="eastAsia"/>
        </w:rPr>
        <w:t>條</w:t>
      </w:r>
      <w:r w:rsidR="00942A0D" w:rsidRPr="00D40021">
        <w:rPr>
          <w:rFonts w:hAnsi="標楷體" w:hint="eastAsia"/>
        </w:rPr>
        <w:t>至第3</w:t>
      </w:r>
      <w:r w:rsidR="00DB28F9" w:rsidRPr="00D40021">
        <w:rPr>
          <w:rFonts w:hAnsi="標楷體" w:hint="eastAsia"/>
        </w:rPr>
        <w:t>9</w:t>
      </w:r>
      <w:r w:rsidR="00942A0D" w:rsidRPr="00D40021">
        <w:rPr>
          <w:rFonts w:hAnsi="標楷體" w:hint="eastAsia"/>
        </w:rPr>
        <w:t>條</w:t>
      </w:r>
      <w:r w:rsidRPr="00D40021">
        <w:rPr>
          <w:rFonts w:hAnsi="標楷體" w:hint="eastAsia"/>
        </w:rPr>
        <w:t>規定，</w:t>
      </w:r>
      <w:r w:rsidR="00125AB0" w:rsidRPr="00D40021">
        <w:rPr>
          <w:rFonts w:hAnsi="標楷體"/>
        </w:rPr>
        <w:t>公教人員退休所得替代率上限，分10</w:t>
      </w:r>
      <w:r w:rsidR="00164666" w:rsidRPr="00D40021">
        <w:rPr>
          <w:rFonts w:hAnsi="標楷體" w:hint="eastAsia"/>
        </w:rPr>
        <w:t>.5</w:t>
      </w:r>
      <w:r w:rsidR="00125AB0" w:rsidRPr="00D40021">
        <w:rPr>
          <w:rFonts w:hAnsi="標楷體"/>
        </w:rPr>
        <w:t>年時間逐年調降。以35年、30年、25年</w:t>
      </w:r>
      <w:r w:rsidR="009971EE" w:rsidRPr="00D40021">
        <w:rPr>
          <w:rFonts w:hAnsi="標楷體" w:hint="eastAsia"/>
        </w:rPr>
        <w:t>、20年</w:t>
      </w:r>
      <w:r w:rsidR="00125AB0" w:rsidRPr="00D40021">
        <w:rPr>
          <w:rFonts w:hAnsi="標楷體"/>
        </w:rPr>
        <w:t>年資為例，第1</w:t>
      </w:r>
      <w:r w:rsidR="00164666" w:rsidRPr="00D40021">
        <w:rPr>
          <w:rFonts w:hAnsi="標楷體" w:hint="eastAsia"/>
        </w:rPr>
        <w:t>.5</w:t>
      </w:r>
      <w:r w:rsidR="00125AB0" w:rsidRPr="00D40021">
        <w:rPr>
          <w:rFonts w:hAnsi="標楷體"/>
        </w:rPr>
        <w:t>年分別降至本</w:t>
      </w:r>
      <w:proofErr w:type="gramStart"/>
      <w:r w:rsidR="00125AB0" w:rsidRPr="00D40021">
        <w:rPr>
          <w:rFonts w:hAnsi="標楷體"/>
        </w:rPr>
        <w:t>俸</w:t>
      </w:r>
      <w:proofErr w:type="gramEnd"/>
      <w:r w:rsidR="00125AB0" w:rsidRPr="00D40021">
        <w:rPr>
          <w:rFonts w:hAnsi="標楷體"/>
        </w:rPr>
        <w:t>2倍</w:t>
      </w:r>
      <w:r w:rsidR="00164666" w:rsidRPr="00D40021">
        <w:rPr>
          <w:rFonts w:hAnsi="標楷體" w:hint="eastAsia"/>
        </w:rPr>
        <w:t>之</w:t>
      </w:r>
      <w:r w:rsidR="00125AB0" w:rsidRPr="00D40021">
        <w:rPr>
          <w:rFonts w:hAnsi="標楷體"/>
        </w:rPr>
        <w:t>75%、67.5%、60%</w:t>
      </w:r>
      <w:r w:rsidR="009971EE" w:rsidRPr="00D40021">
        <w:rPr>
          <w:rFonts w:hAnsi="標楷體" w:hint="eastAsia"/>
        </w:rPr>
        <w:t>、52.5</w:t>
      </w:r>
      <w:r w:rsidR="009971EE" w:rsidRPr="00D40021">
        <w:rPr>
          <w:rFonts w:hAnsi="標楷體"/>
        </w:rPr>
        <w:t>%</w:t>
      </w:r>
      <w:r w:rsidR="00125AB0" w:rsidRPr="00D40021">
        <w:rPr>
          <w:rFonts w:hAnsi="標楷體"/>
        </w:rPr>
        <w:t>，</w:t>
      </w:r>
      <w:proofErr w:type="gramStart"/>
      <w:r w:rsidR="00841821" w:rsidRPr="00D40021">
        <w:rPr>
          <w:rFonts w:hAnsi="標楷體" w:hint="eastAsia"/>
        </w:rPr>
        <w:t>嗣</w:t>
      </w:r>
      <w:proofErr w:type="gramEnd"/>
      <w:r w:rsidR="00125AB0" w:rsidRPr="00D40021">
        <w:rPr>
          <w:rFonts w:hAnsi="標楷體"/>
        </w:rPr>
        <w:t>每年遞減1.5%</w:t>
      </w:r>
      <w:r w:rsidR="00841821" w:rsidRPr="00D40021">
        <w:rPr>
          <w:rFonts w:hAnsi="標楷體"/>
        </w:rPr>
        <w:t>，在</w:t>
      </w:r>
      <w:r w:rsidR="00125AB0" w:rsidRPr="00D40021">
        <w:rPr>
          <w:rFonts w:hAnsi="標楷體"/>
        </w:rPr>
        <w:t>11</w:t>
      </w:r>
      <w:r w:rsidR="00841821" w:rsidRPr="00D40021">
        <w:rPr>
          <w:rFonts w:hAnsi="標楷體" w:hint="eastAsia"/>
        </w:rPr>
        <w:t>8</w:t>
      </w:r>
      <w:r w:rsidR="00125AB0" w:rsidRPr="00D40021">
        <w:rPr>
          <w:rFonts w:hAnsi="標楷體"/>
        </w:rPr>
        <w:t>年以後則分別降至60%、52.5%、45%</w:t>
      </w:r>
      <w:r w:rsidR="009971EE" w:rsidRPr="00D40021">
        <w:rPr>
          <w:rFonts w:hAnsi="標楷體" w:hint="eastAsia"/>
        </w:rPr>
        <w:t>、37.5</w:t>
      </w:r>
      <w:r w:rsidR="009971EE" w:rsidRPr="00D40021">
        <w:rPr>
          <w:rFonts w:hAnsi="標楷體"/>
        </w:rPr>
        <w:t>%</w:t>
      </w:r>
      <w:r w:rsidR="00125AB0" w:rsidRPr="00D40021">
        <w:rPr>
          <w:rFonts w:hAnsi="標楷體"/>
        </w:rPr>
        <w:t>。</w:t>
      </w:r>
    </w:p>
    <w:p w:rsidR="0099493B" w:rsidRPr="00D40021" w:rsidRDefault="0099493B" w:rsidP="0099493B">
      <w:pPr>
        <w:pStyle w:val="4"/>
        <w:numPr>
          <w:ilvl w:val="3"/>
          <w:numId w:val="1"/>
        </w:numPr>
        <w:rPr>
          <w:rFonts w:hAnsi="標楷體"/>
        </w:rPr>
      </w:pPr>
      <w:r w:rsidRPr="00D40021">
        <w:rPr>
          <w:rFonts w:hAnsi="標楷體" w:hint="eastAsia"/>
        </w:rPr>
        <w:t>惟依新修正服役條例第26條第2項第2款規定，</w:t>
      </w:r>
      <w:r w:rsidRPr="00D40021">
        <w:rPr>
          <w:rFonts w:hAnsi="標楷體" w:hint="eastAsia"/>
          <w:szCs w:val="32"/>
        </w:rPr>
        <w:t>服役滿20年者，核給</w:t>
      </w:r>
      <w:proofErr w:type="gramStart"/>
      <w:r w:rsidRPr="00D40021">
        <w:rPr>
          <w:rFonts w:hAnsi="標楷體" w:hint="eastAsia"/>
          <w:szCs w:val="32"/>
        </w:rPr>
        <w:t>俸</w:t>
      </w:r>
      <w:proofErr w:type="gramEnd"/>
      <w:r w:rsidRPr="00D40021">
        <w:rPr>
          <w:rFonts w:hAnsi="標楷體" w:hint="eastAsia"/>
          <w:szCs w:val="32"/>
        </w:rPr>
        <w:t>率55%，其後每增加1年增給2%，但軍官核給</w:t>
      </w:r>
      <w:proofErr w:type="gramStart"/>
      <w:r w:rsidRPr="00D40021">
        <w:rPr>
          <w:rFonts w:hAnsi="標楷體" w:hint="eastAsia"/>
          <w:szCs w:val="32"/>
        </w:rPr>
        <w:t>俸</w:t>
      </w:r>
      <w:proofErr w:type="gramEnd"/>
      <w:r w:rsidRPr="00D40021">
        <w:rPr>
          <w:rFonts w:hAnsi="標楷體" w:hint="eastAsia"/>
          <w:szCs w:val="32"/>
        </w:rPr>
        <w:t>率以不超過90%為限，士官核給</w:t>
      </w:r>
      <w:proofErr w:type="gramStart"/>
      <w:r w:rsidRPr="00D40021">
        <w:rPr>
          <w:rFonts w:hAnsi="標楷體" w:hint="eastAsia"/>
          <w:szCs w:val="32"/>
        </w:rPr>
        <w:t>俸</w:t>
      </w:r>
      <w:proofErr w:type="gramEnd"/>
      <w:r w:rsidRPr="00D40021">
        <w:rPr>
          <w:rFonts w:hAnsi="標楷體" w:hint="eastAsia"/>
          <w:szCs w:val="32"/>
        </w:rPr>
        <w:t>率以不超過95%為限。</w:t>
      </w:r>
    </w:p>
    <w:p w:rsidR="00DB7EFA" w:rsidRPr="00D40021" w:rsidRDefault="002755FD" w:rsidP="00DB7EFA">
      <w:pPr>
        <w:pStyle w:val="3"/>
        <w:rPr>
          <w:rFonts w:hAnsi="標楷體"/>
        </w:rPr>
      </w:pPr>
      <w:r w:rsidRPr="00D40021">
        <w:rPr>
          <w:rFonts w:hAnsi="標楷體" w:hint="eastAsia"/>
        </w:rPr>
        <w:t>已退</w:t>
      </w:r>
      <w:r w:rsidR="00424DD3" w:rsidRPr="00D40021">
        <w:rPr>
          <w:rFonts w:hAnsi="標楷體" w:hint="eastAsia"/>
        </w:rPr>
        <w:t>伍</w:t>
      </w:r>
      <w:r w:rsidR="00EC254A" w:rsidRPr="00D40021">
        <w:rPr>
          <w:rFonts w:hAnsi="標楷體" w:hint="eastAsia"/>
        </w:rPr>
        <w:t>軍人</w:t>
      </w:r>
      <w:r w:rsidRPr="00D40021">
        <w:rPr>
          <w:rFonts w:hAnsi="標楷體" w:hint="eastAsia"/>
        </w:rPr>
        <w:t>之</w:t>
      </w:r>
      <w:r w:rsidR="00DB7EFA" w:rsidRPr="00D40021">
        <w:rPr>
          <w:rFonts w:hAnsi="標楷體"/>
        </w:rPr>
        <w:t>最低</w:t>
      </w:r>
      <w:r w:rsidR="00067ADB" w:rsidRPr="00D40021">
        <w:rPr>
          <w:rFonts w:hAnsi="標楷體" w:hint="eastAsia"/>
        </w:rPr>
        <w:t>退休所得</w:t>
      </w:r>
      <w:r w:rsidR="00DB7EFA" w:rsidRPr="00D40021">
        <w:rPr>
          <w:rFonts w:hAnsi="標楷體"/>
        </w:rPr>
        <w:t>保障金額</w:t>
      </w:r>
      <w:r w:rsidR="00DB7EFA" w:rsidRPr="00D40021">
        <w:rPr>
          <w:rFonts w:hAnsi="標楷體" w:hint="eastAsia"/>
        </w:rPr>
        <w:t>達</w:t>
      </w:r>
      <w:r w:rsidR="00DB7EFA" w:rsidRPr="00D40021">
        <w:rPr>
          <w:rFonts w:hAnsi="標楷體"/>
        </w:rPr>
        <w:t>38,990元</w:t>
      </w:r>
      <w:r w:rsidR="007063EE" w:rsidRPr="00D40021">
        <w:rPr>
          <w:rFonts w:hAnsi="標楷體" w:hint="eastAsia"/>
        </w:rPr>
        <w:t>，明顯高於公教人員之</w:t>
      </w:r>
      <w:r w:rsidR="007063EE" w:rsidRPr="00D40021">
        <w:rPr>
          <w:rFonts w:hAnsi="標楷體"/>
        </w:rPr>
        <w:t>33,140元</w:t>
      </w:r>
      <w:r w:rsidR="00FA218B" w:rsidRPr="00D40021">
        <w:rPr>
          <w:rFonts w:hAnsi="標楷體" w:hint="eastAsia"/>
        </w:rPr>
        <w:t>。</w:t>
      </w:r>
    </w:p>
    <w:p w:rsidR="001A25D6" w:rsidRPr="00D40021" w:rsidRDefault="001D3269" w:rsidP="001A25D6">
      <w:pPr>
        <w:pStyle w:val="4"/>
        <w:rPr>
          <w:rFonts w:hAnsi="標楷體"/>
        </w:rPr>
      </w:pPr>
      <w:r w:rsidRPr="00D40021">
        <w:rPr>
          <w:rFonts w:hAnsi="標楷體" w:hint="eastAsia"/>
        </w:rPr>
        <w:t>新公布</w:t>
      </w:r>
      <w:r w:rsidRPr="00D40021">
        <w:rPr>
          <w:rFonts w:hAnsi="標楷體"/>
        </w:rPr>
        <w:t>公務人員退撫法</w:t>
      </w:r>
      <w:r w:rsidRPr="00D40021">
        <w:rPr>
          <w:rFonts w:hAnsi="標楷體" w:hint="eastAsia"/>
        </w:rPr>
        <w:t>及</w:t>
      </w:r>
      <w:r w:rsidRPr="00D40021">
        <w:rPr>
          <w:rFonts w:hAnsi="標楷體"/>
        </w:rPr>
        <w:t>公立學校教職員退撫條例</w:t>
      </w:r>
      <w:r w:rsidR="000161DC" w:rsidRPr="00D40021">
        <w:rPr>
          <w:rFonts w:hAnsi="標楷體" w:hint="eastAsia"/>
        </w:rPr>
        <w:t>第4條第6款有關已退公教人員最低月退休所得之規定</w:t>
      </w:r>
      <w:r w:rsidR="001A25D6" w:rsidRPr="00D40021">
        <w:rPr>
          <w:rFonts w:hAnsi="標楷體" w:hint="eastAsia"/>
        </w:rPr>
        <w:t>，</w:t>
      </w:r>
      <w:r w:rsidR="001A25D6" w:rsidRPr="00D40021">
        <w:rPr>
          <w:rFonts w:hAnsi="標楷體"/>
        </w:rPr>
        <w:t>係參照司法院釋字第280號解釋</w:t>
      </w:r>
      <w:r w:rsidR="00144B17" w:rsidRPr="00D40021">
        <w:rPr>
          <w:rFonts w:hAnsi="標楷體"/>
        </w:rPr>
        <w:t>（</w:t>
      </w:r>
      <w:r w:rsidR="001A25D6" w:rsidRPr="00D40021">
        <w:rPr>
          <w:rFonts w:hAnsi="標楷體"/>
        </w:rPr>
        <w:t>認定退休所得如低於「委任第</w:t>
      </w:r>
      <w:r w:rsidR="001A25D6" w:rsidRPr="00D40021">
        <w:rPr>
          <w:rFonts w:hAnsi="標楷體" w:hint="eastAsia"/>
        </w:rPr>
        <w:t>1</w:t>
      </w:r>
      <w:r w:rsidR="001A25D6" w:rsidRPr="00D40021">
        <w:rPr>
          <w:rFonts w:hAnsi="標楷體"/>
        </w:rPr>
        <w:t>職等本</w:t>
      </w:r>
      <w:proofErr w:type="gramStart"/>
      <w:r w:rsidR="001A25D6" w:rsidRPr="00D40021">
        <w:rPr>
          <w:rFonts w:hAnsi="標楷體"/>
        </w:rPr>
        <w:t>俸</w:t>
      </w:r>
      <w:proofErr w:type="gramEnd"/>
      <w:r w:rsidR="001A25D6" w:rsidRPr="00D40021">
        <w:rPr>
          <w:rFonts w:hAnsi="標楷體"/>
        </w:rPr>
        <w:t>最高級之本</w:t>
      </w:r>
      <w:proofErr w:type="gramStart"/>
      <w:r w:rsidR="001A25D6" w:rsidRPr="00D40021">
        <w:rPr>
          <w:rFonts w:hAnsi="標楷體"/>
        </w:rPr>
        <w:t>俸</w:t>
      </w:r>
      <w:proofErr w:type="gramEnd"/>
      <w:r w:rsidR="001A25D6" w:rsidRPr="00D40021">
        <w:rPr>
          <w:rFonts w:hAnsi="標楷體"/>
        </w:rPr>
        <w:t>額及專業加給合計數額」即難以維持退休人員基本生活）訂定</w:t>
      </w:r>
      <w:r w:rsidR="00EA0141" w:rsidRPr="00D40021">
        <w:rPr>
          <w:rFonts w:hAnsi="標楷體" w:hint="eastAsia"/>
        </w:rPr>
        <w:t>，</w:t>
      </w:r>
      <w:r w:rsidR="001A25D6" w:rsidRPr="00D40021">
        <w:rPr>
          <w:rFonts w:hAnsi="標楷體"/>
        </w:rPr>
        <w:t>該金額以</w:t>
      </w:r>
      <w:proofErr w:type="gramStart"/>
      <w:r w:rsidR="001A25D6" w:rsidRPr="00D40021">
        <w:rPr>
          <w:rFonts w:hAnsi="標楷體"/>
        </w:rPr>
        <w:t>10</w:t>
      </w:r>
      <w:r w:rsidR="00EA0141" w:rsidRPr="00D40021">
        <w:rPr>
          <w:rFonts w:hAnsi="標楷體" w:hint="eastAsia"/>
        </w:rPr>
        <w:t>7</w:t>
      </w:r>
      <w:proofErr w:type="gramEnd"/>
      <w:r w:rsidR="001A25D6" w:rsidRPr="00D40021">
        <w:rPr>
          <w:rFonts w:hAnsi="標楷體"/>
        </w:rPr>
        <w:t>年度待遇標準計算</w:t>
      </w:r>
      <w:r w:rsidR="001A25D6" w:rsidRPr="00D40021">
        <w:rPr>
          <w:rFonts w:hAnsi="標楷體" w:hint="eastAsia"/>
        </w:rPr>
        <w:t>為</w:t>
      </w:r>
      <w:r w:rsidR="001A25D6" w:rsidRPr="00D40021">
        <w:rPr>
          <w:rFonts w:hAnsi="標楷體"/>
        </w:rPr>
        <w:t>33,140元</w:t>
      </w:r>
      <w:r w:rsidR="001A25D6" w:rsidRPr="00D40021">
        <w:rPr>
          <w:rFonts w:hAnsi="標楷體" w:hint="eastAsia"/>
        </w:rPr>
        <w:t>。</w:t>
      </w:r>
    </w:p>
    <w:p w:rsidR="003F408C" w:rsidRPr="00D40021" w:rsidRDefault="001A25D6" w:rsidP="002755FD">
      <w:pPr>
        <w:pStyle w:val="4"/>
        <w:rPr>
          <w:rFonts w:hAnsi="標楷體"/>
        </w:rPr>
      </w:pPr>
      <w:r w:rsidRPr="00D40021">
        <w:rPr>
          <w:rFonts w:hAnsi="標楷體" w:hint="eastAsia"/>
        </w:rPr>
        <w:t>惟依新修正服役條例第26條第</w:t>
      </w:r>
      <w:r w:rsidR="002755FD" w:rsidRPr="00D40021">
        <w:rPr>
          <w:rFonts w:hAnsi="標楷體" w:hint="eastAsia"/>
        </w:rPr>
        <w:t>4</w:t>
      </w:r>
      <w:r w:rsidRPr="00D40021">
        <w:rPr>
          <w:rFonts w:hAnsi="標楷體" w:hint="eastAsia"/>
        </w:rPr>
        <w:t>項規定，</w:t>
      </w:r>
      <w:r w:rsidR="00E733C6" w:rsidRPr="00D40021">
        <w:rPr>
          <w:rFonts w:hAnsi="標楷體" w:hint="eastAsia"/>
        </w:rPr>
        <w:t>該條例</w:t>
      </w:r>
      <w:r w:rsidR="002755FD" w:rsidRPr="00D40021">
        <w:rPr>
          <w:rFonts w:hAnsi="標楷體" w:hint="eastAsia"/>
        </w:rPr>
        <w:lastRenderedPageBreak/>
        <w:t>修正施行前已退伍者，其退休</w:t>
      </w:r>
      <w:proofErr w:type="gramStart"/>
      <w:r w:rsidR="002755FD" w:rsidRPr="00D40021">
        <w:rPr>
          <w:rFonts w:hAnsi="標楷體" w:hint="eastAsia"/>
        </w:rPr>
        <w:t>俸</w:t>
      </w:r>
      <w:proofErr w:type="gramEnd"/>
      <w:r w:rsidR="002755FD" w:rsidRPr="00D40021">
        <w:rPr>
          <w:rFonts w:hAnsi="標楷體" w:hint="eastAsia"/>
        </w:rPr>
        <w:t>之給與，以現役同官階</w:t>
      </w:r>
      <w:proofErr w:type="gramStart"/>
      <w:r w:rsidR="002755FD" w:rsidRPr="00D40021">
        <w:rPr>
          <w:rFonts w:hAnsi="標楷體" w:hint="eastAsia"/>
        </w:rPr>
        <w:t>俸</w:t>
      </w:r>
      <w:proofErr w:type="gramEnd"/>
      <w:r w:rsidR="002755FD" w:rsidRPr="00D40021">
        <w:rPr>
          <w:rFonts w:hAnsi="標楷體" w:hint="eastAsia"/>
        </w:rPr>
        <w:t>級人員之本</w:t>
      </w:r>
      <w:proofErr w:type="gramStart"/>
      <w:r w:rsidR="002755FD" w:rsidRPr="00D40021">
        <w:rPr>
          <w:rFonts w:hAnsi="標楷體" w:hint="eastAsia"/>
        </w:rPr>
        <w:t>俸</w:t>
      </w:r>
      <w:proofErr w:type="gramEnd"/>
      <w:r w:rsidR="002755FD" w:rsidRPr="00D40021">
        <w:rPr>
          <w:rFonts w:hAnsi="標楷體" w:hint="eastAsia"/>
        </w:rPr>
        <w:t>加</w:t>
      </w:r>
      <w:r w:rsidR="000161DC" w:rsidRPr="00D40021">
        <w:rPr>
          <w:rFonts w:hAnsi="標楷體" w:hint="eastAsia"/>
        </w:rPr>
        <w:t>1</w:t>
      </w:r>
      <w:r w:rsidR="002755FD" w:rsidRPr="00D40021">
        <w:rPr>
          <w:rFonts w:hAnsi="標楷體" w:hint="eastAsia"/>
        </w:rPr>
        <w:t>倍為基數內涵</w:t>
      </w:r>
      <w:r w:rsidR="00145DB2" w:rsidRPr="00D40021">
        <w:rPr>
          <w:rFonts w:hAnsi="標楷體" w:hint="eastAsia"/>
        </w:rPr>
        <w:t>。</w:t>
      </w:r>
      <w:r w:rsidR="00D31BBB" w:rsidRPr="00D40021">
        <w:rPr>
          <w:rFonts w:hAnsi="標楷體" w:hint="eastAsia"/>
        </w:rPr>
        <w:t>但依該條例</w:t>
      </w:r>
      <w:r w:rsidR="00AB54C5" w:rsidRPr="00D40021">
        <w:rPr>
          <w:rFonts w:hAnsi="標楷體" w:hint="eastAsia"/>
        </w:rPr>
        <w:t>第26條第3項規定調降差額時，不得低於少尉</w:t>
      </w:r>
      <w:r w:rsidR="006214EC" w:rsidRPr="00D40021">
        <w:rPr>
          <w:rFonts w:hAnsi="標楷體" w:hint="eastAsia"/>
        </w:rPr>
        <w:t>1級</w:t>
      </w:r>
      <w:r w:rsidR="00AB54C5" w:rsidRPr="00D40021">
        <w:rPr>
          <w:rFonts w:hAnsi="標楷體" w:hint="eastAsia"/>
        </w:rPr>
        <w:t>本</w:t>
      </w:r>
      <w:proofErr w:type="gramStart"/>
      <w:r w:rsidR="00AB54C5" w:rsidRPr="00D40021">
        <w:rPr>
          <w:rFonts w:hAnsi="標楷體" w:hint="eastAsia"/>
        </w:rPr>
        <w:t>俸</w:t>
      </w:r>
      <w:proofErr w:type="gramEnd"/>
      <w:r w:rsidR="00AB54C5" w:rsidRPr="00D40021">
        <w:rPr>
          <w:rFonts w:hAnsi="標楷體" w:hint="eastAsia"/>
        </w:rPr>
        <w:t>及專業加給合計數額</w:t>
      </w:r>
      <w:r w:rsidR="00144B17" w:rsidRPr="00D40021">
        <w:rPr>
          <w:rFonts w:hAnsi="標楷體" w:hint="eastAsia"/>
        </w:rPr>
        <w:t>（</w:t>
      </w:r>
      <w:r w:rsidR="003F408C" w:rsidRPr="00D40021">
        <w:rPr>
          <w:rFonts w:hAnsi="標楷體"/>
        </w:rPr>
        <w:t>以107年待遇標準計算為38,990元</w:t>
      </w:r>
      <w:r w:rsidR="00AB54C5" w:rsidRPr="00D40021">
        <w:rPr>
          <w:rFonts w:hAnsi="標楷體" w:hint="eastAsia"/>
        </w:rPr>
        <w:t>）</w:t>
      </w:r>
      <w:r w:rsidR="003F408C" w:rsidRPr="00D40021">
        <w:rPr>
          <w:rFonts w:hAnsi="標楷體"/>
        </w:rPr>
        <w:t>。</w:t>
      </w:r>
    </w:p>
    <w:p w:rsidR="00E86257" w:rsidRPr="00D40021" w:rsidRDefault="007720C8" w:rsidP="0055173E">
      <w:pPr>
        <w:pStyle w:val="3"/>
        <w:numPr>
          <w:ilvl w:val="2"/>
          <w:numId w:val="3"/>
        </w:numPr>
        <w:rPr>
          <w:rFonts w:hAnsi="標楷體"/>
        </w:rPr>
      </w:pPr>
      <w:r w:rsidRPr="00D40021">
        <w:rPr>
          <w:rFonts w:hAnsi="標楷體" w:hint="eastAsia"/>
        </w:rPr>
        <w:t>服役條例修正施行後</w:t>
      </w:r>
      <w:r w:rsidR="00D93D8F" w:rsidRPr="00D40021">
        <w:rPr>
          <w:rFonts w:hAnsi="標楷體" w:hint="eastAsia"/>
        </w:rPr>
        <w:t>未具舊制年資之</w:t>
      </w:r>
      <w:r w:rsidRPr="00D40021">
        <w:rPr>
          <w:rFonts w:hAnsi="標楷體"/>
        </w:rPr>
        <w:t>現役人員</w:t>
      </w:r>
      <w:r w:rsidRPr="00D40021">
        <w:rPr>
          <w:rFonts w:hAnsi="標楷體" w:hint="eastAsia"/>
        </w:rPr>
        <w:t>未來退休所得，高於其等依修正前規定計算所得金額</w:t>
      </w:r>
      <w:proofErr w:type="gramStart"/>
      <w:r w:rsidRPr="00D40021">
        <w:rPr>
          <w:rFonts w:hAnsi="標楷體" w:hint="eastAsia"/>
        </w:rPr>
        <w:t>（</w:t>
      </w:r>
      <w:proofErr w:type="gramEnd"/>
      <w:r w:rsidRPr="00D40021">
        <w:rPr>
          <w:rFonts w:hAnsi="標楷體" w:hint="eastAsia"/>
        </w:rPr>
        <w:t>例如：</w:t>
      </w:r>
      <w:r w:rsidR="009A6FA6" w:rsidRPr="00D40021">
        <w:rPr>
          <w:rFonts w:hAnsi="標楷體" w:hint="eastAsia"/>
        </w:rPr>
        <w:t>退休年資28年之上校12級</w:t>
      </w:r>
      <w:r w:rsidR="00875D95" w:rsidRPr="00D40021">
        <w:rPr>
          <w:rFonts w:hAnsi="標楷體" w:hint="eastAsia"/>
        </w:rPr>
        <w:t>所領</w:t>
      </w:r>
      <w:r w:rsidRPr="00D40021">
        <w:rPr>
          <w:rFonts w:hAnsi="標楷體" w:hint="eastAsia"/>
        </w:rPr>
        <w:t>月退休所得為</w:t>
      </w:r>
      <w:r w:rsidR="009A6FA6" w:rsidRPr="00D40021">
        <w:rPr>
          <w:rFonts w:hAnsi="標楷體" w:hint="eastAsia"/>
        </w:rPr>
        <w:t>74,721元，較修正前規定增加15,786元</w:t>
      </w:r>
      <w:proofErr w:type="gramStart"/>
      <w:r w:rsidRPr="00D40021">
        <w:rPr>
          <w:rFonts w:hAnsi="標楷體" w:hint="eastAsia"/>
        </w:rPr>
        <w:t>）</w:t>
      </w:r>
      <w:proofErr w:type="gramEnd"/>
      <w:r w:rsidR="00FA218B" w:rsidRPr="00D40021">
        <w:rPr>
          <w:rFonts w:hAnsi="標楷體" w:hint="eastAsia"/>
        </w:rPr>
        <w:t>，惟未具舊制年資之現職公教人員於新法修正後，其等之退休所得均減少</w:t>
      </w:r>
      <w:r w:rsidR="00B73B17" w:rsidRPr="00D40021">
        <w:rPr>
          <w:rFonts w:hAnsi="標楷體" w:hint="eastAsia"/>
        </w:rPr>
        <w:t>。</w:t>
      </w:r>
    </w:p>
    <w:p w:rsidR="00326EA7" w:rsidRPr="00D40021" w:rsidRDefault="00D93D8F" w:rsidP="007720C8">
      <w:pPr>
        <w:pStyle w:val="4"/>
      </w:pPr>
      <w:r w:rsidRPr="00D40021">
        <w:rPr>
          <w:rFonts w:hAnsi="標楷體" w:hint="eastAsia"/>
        </w:rPr>
        <w:t>未具舊制年資之</w:t>
      </w:r>
      <w:r w:rsidR="007720C8" w:rsidRPr="00D40021">
        <w:rPr>
          <w:rFonts w:hAnsi="標楷體" w:hint="eastAsia"/>
        </w:rPr>
        <w:t>現職公教</w:t>
      </w:r>
      <w:r w:rsidR="007720C8" w:rsidRPr="00D40021">
        <w:rPr>
          <w:rFonts w:hAnsi="標楷體"/>
        </w:rPr>
        <w:t>人員</w:t>
      </w:r>
      <w:r w:rsidRPr="00D40021">
        <w:rPr>
          <w:rFonts w:hAnsi="標楷體" w:hint="eastAsia"/>
        </w:rPr>
        <w:t>未來退休所得</w:t>
      </w:r>
      <w:r w:rsidR="007063EE" w:rsidRPr="00D40021">
        <w:rPr>
          <w:rFonts w:hAnsi="標楷體" w:hint="eastAsia"/>
        </w:rPr>
        <w:t>，</w:t>
      </w:r>
      <w:proofErr w:type="gramStart"/>
      <w:r w:rsidR="007063EE" w:rsidRPr="00D40021">
        <w:rPr>
          <w:rFonts w:hAnsi="標楷體" w:hint="eastAsia"/>
        </w:rPr>
        <w:t>均</w:t>
      </w:r>
      <w:r w:rsidRPr="00D40021">
        <w:rPr>
          <w:rFonts w:hAnsi="標楷體"/>
        </w:rPr>
        <w:t>較改革</w:t>
      </w:r>
      <w:proofErr w:type="gramEnd"/>
      <w:r w:rsidRPr="00D40021">
        <w:rPr>
          <w:rFonts w:hAnsi="標楷體"/>
        </w:rPr>
        <w:t>前</w:t>
      </w:r>
      <w:r w:rsidRPr="00D40021">
        <w:rPr>
          <w:rFonts w:hAnsi="標楷體" w:hint="eastAsia"/>
        </w:rPr>
        <w:t>減少</w:t>
      </w:r>
    </w:p>
    <w:p w:rsidR="00E86257" w:rsidRPr="00D40021" w:rsidRDefault="00E86257" w:rsidP="00D93D8F">
      <w:pPr>
        <w:pStyle w:val="5"/>
        <w:rPr>
          <w:rFonts w:hAnsi="標楷體"/>
        </w:rPr>
      </w:pPr>
      <w:r w:rsidRPr="00D40021">
        <w:rPr>
          <w:rFonts w:hAnsi="標楷體" w:hint="eastAsia"/>
        </w:rPr>
        <w:t>純新制</w:t>
      </w:r>
      <w:r w:rsidR="00D93D8F" w:rsidRPr="00D40021">
        <w:rPr>
          <w:rFonts w:hint="eastAsia"/>
        </w:rPr>
        <w:t>公務人員</w:t>
      </w:r>
      <w:r w:rsidR="00D93D8F" w:rsidRPr="00D40021">
        <w:rPr>
          <w:rFonts w:hAnsi="標楷體" w:hint="eastAsia"/>
        </w:rPr>
        <w:t>部分(</w:t>
      </w:r>
      <w:r w:rsidR="00645633" w:rsidRPr="00D40021">
        <w:rPr>
          <w:rFonts w:hint="eastAsia"/>
        </w:rPr>
        <w:t>年資35年，</w:t>
      </w:r>
      <w:r w:rsidR="00D93D8F" w:rsidRPr="00D40021">
        <w:rPr>
          <w:rFonts w:hAnsi="標楷體" w:hint="eastAsia"/>
        </w:rPr>
        <w:t>119年7月</w:t>
      </w:r>
      <w:r w:rsidRPr="00D40021">
        <w:rPr>
          <w:rFonts w:hAnsi="標楷體" w:hint="eastAsia"/>
        </w:rPr>
        <w:t>1</w:t>
      </w:r>
      <w:r w:rsidR="00D93D8F" w:rsidRPr="00D40021">
        <w:rPr>
          <w:rFonts w:hAnsi="標楷體" w:hint="eastAsia"/>
        </w:rPr>
        <w:t>日</w:t>
      </w:r>
      <w:r w:rsidRPr="00D40021">
        <w:rPr>
          <w:rFonts w:hAnsi="標楷體" w:hint="eastAsia"/>
        </w:rPr>
        <w:t>退休</w:t>
      </w:r>
      <w:r w:rsidR="00552100" w:rsidRPr="00D40021">
        <w:rPr>
          <w:rStyle w:val="aff3"/>
          <w:rFonts w:hAnsi="標楷體"/>
        </w:rPr>
        <w:footnoteReference w:id="7"/>
      </w:r>
      <w:r w:rsidR="00D93D8F" w:rsidRPr="00D40021">
        <w:rPr>
          <w:rFonts w:hAnsi="標楷體" w:hint="eastAsia"/>
        </w:rPr>
        <w:t>，如表</w:t>
      </w:r>
      <w:r w:rsidR="00020000" w:rsidRPr="00D40021">
        <w:rPr>
          <w:rFonts w:hAnsi="標楷體" w:hint="eastAsia"/>
        </w:rPr>
        <w:t>9</w:t>
      </w:r>
      <w:r w:rsidRPr="00D40021">
        <w:rPr>
          <w:rFonts w:hAnsi="標楷體" w:hint="eastAsia"/>
        </w:rPr>
        <w:t>)</w:t>
      </w:r>
    </w:p>
    <w:p w:rsidR="00E86257" w:rsidRPr="00D40021" w:rsidRDefault="00E86257" w:rsidP="00D93D8F">
      <w:pPr>
        <w:pStyle w:val="6"/>
        <w:rPr>
          <w:bCs/>
        </w:rPr>
      </w:pPr>
      <w:r w:rsidRPr="00D40021">
        <w:rPr>
          <w:rFonts w:hint="eastAsia"/>
          <w:bCs/>
        </w:rPr>
        <w:t>委任5職等年功10級520</w:t>
      </w:r>
      <w:proofErr w:type="gramStart"/>
      <w:r w:rsidRPr="00D40021">
        <w:rPr>
          <w:rFonts w:hint="eastAsia"/>
          <w:bCs/>
        </w:rPr>
        <w:t>俸</w:t>
      </w:r>
      <w:proofErr w:type="gramEnd"/>
      <w:r w:rsidRPr="00D40021">
        <w:rPr>
          <w:rFonts w:hint="eastAsia"/>
          <w:bCs/>
        </w:rPr>
        <w:t>點年資35年之退休人員於改革前</w:t>
      </w:r>
      <w:proofErr w:type="gramStart"/>
      <w:r w:rsidRPr="00D40021">
        <w:rPr>
          <w:rFonts w:hint="eastAsia"/>
          <w:bCs/>
        </w:rPr>
        <w:t>原得領</w:t>
      </w:r>
      <w:proofErr w:type="gramEnd"/>
      <w:r w:rsidRPr="00D40021">
        <w:rPr>
          <w:rFonts w:hint="eastAsia"/>
          <w:bCs/>
        </w:rPr>
        <w:t>月退</w:t>
      </w:r>
      <w:proofErr w:type="gramStart"/>
      <w:r w:rsidRPr="00D40021">
        <w:rPr>
          <w:rFonts w:hint="eastAsia"/>
          <w:bCs/>
        </w:rPr>
        <w:t>所得均為</w:t>
      </w:r>
      <w:proofErr w:type="gramEnd"/>
      <w:r w:rsidRPr="00D40021">
        <w:rPr>
          <w:rFonts w:hint="eastAsia"/>
          <w:bCs/>
        </w:rPr>
        <w:t>48,202元。惟至118年1月1日較改革前扣減6,886元，月退休金額調降為41,316元。</w:t>
      </w:r>
    </w:p>
    <w:p w:rsidR="00E86257" w:rsidRPr="00D40021" w:rsidRDefault="00E86257" w:rsidP="00D93D8F">
      <w:pPr>
        <w:pStyle w:val="6"/>
        <w:rPr>
          <w:bCs/>
        </w:rPr>
      </w:pPr>
      <w:r w:rsidRPr="00D40021">
        <w:rPr>
          <w:rFonts w:hint="eastAsia"/>
          <w:bCs/>
        </w:rPr>
        <w:t>薦任9職等年功7級710</w:t>
      </w:r>
      <w:proofErr w:type="gramStart"/>
      <w:r w:rsidRPr="00D40021">
        <w:rPr>
          <w:rFonts w:hint="eastAsia"/>
          <w:bCs/>
        </w:rPr>
        <w:t>俸</w:t>
      </w:r>
      <w:proofErr w:type="gramEnd"/>
      <w:r w:rsidRPr="00D40021">
        <w:rPr>
          <w:rFonts w:hint="eastAsia"/>
          <w:bCs/>
        </w:rPr>
        <w:t>點年資35年之退休人員於改革前</w:t>
      </w:r>
      <w:proofErr w:type="gramStart"/>
      <w:r w:rsidRPr="00D40021">
        <w:rPr>
          <w:rFonts w:hint="eastAsia"/>
          <w:bCs/>
        </w:rPr>
        <w:t>原得領</w:t>
      </w:r>
      <w:proofErr w:type="gramEnd"/>
      <w:r w:rsidRPr="00D40021">
        <w:rPr>
          <w:rFonts w:hint="eastAsia"/>
          <w:bCs/>
        </w:rPr>
        <w:t>月退</w:t>
      </w:r>
      <w:proofErr w:type="gramStart"/>
      <w:r w:rsidRPr="00D40021">
        <w:rPr>
          <w:rFonts w:hint="eastAsia"/>
          <w:bCs/>
        </w:rPr>
        <w:t>所得均為</w:t>
      </w:r>
      <w:proofErr w:type="gramEnd"/>
      <w:r w:rsidRPr="00D40021">
        <w:rPr>
          <w:rFonts w:hint="eastAsia"/>
          <w:bCs/>
        </w:rPr>
        <w:t>65,912元，惟至118年1月1日較改革前扣減9,416元，月退休金額調降為56,496元。</w:t>
      </w:r>
    </w:p>
    <w:p w:rsidR="00E86257" w:rsidRPr="00D40021" w:rsidRDefault="00E86257" w:rsidP="00D93D8F">
      <w:pPr>
        <w:pStyle w:val="6"/>
        <w:rPr>
          <w:rFonts w:hAnsi="標楷體"/>
        </w:rPr>
      </w:pPr>
      <w:r w:rsidRPr="00D40021">
        <w:rPr>
          <w:rFonts w:hint="eastAsia"/>
          <w:bCs/>
        </w:rPr>
        <w:t>簡任12職等年功4級800</w:t>
      </w:r>
      <w:proofErr w:type="gramStart"/>
      <w:r w:rsidRPr="00D40021">
        <w:rPr>
          <w:rFonts w:hint="eastAsia"/>
          <w:bCs/>
        </w:rPr>
        <w:t>俸</w:t>
      </w:r>
      <w:proofErr w:type="gramEnd"/>
      <w:r w:rsidRPr="00D40021">
        <w:rPr>
          <w:rFonts w:hint="eastAsia"/>
          <w:bCs/>
        </w:rPr>
        <w:t>點年資35年之退休人員於改革前</w:t>
      </w:r>
      <w:proofErr w:type="gramStart"/>
      <w:r w:rsidRPr="00D40021">
        <w:rPr>
          <w:rFonts w:hint="eastAsia"/>
          <w:bCs/>
        </w:rPr>
        <w:t>原得領</w:t>
      </w:r>
      <w:proofErr w:type="gramEnd"/>
      <w:r w:rsidRPr="00D40021">
        <w:rPr>
          <w:rFonts w:hint="eastAsia"/>
          <w:bCs/>
        </w:rPr>
        <w:t>月退</w:t>
      </w:r>
      <w:proofErr w:type="gramStart"/>
      <w:r w:rsidRPr="00D40021">
        <w:rPr>
          <w:rFonts w:hint="eastAsia"/>
          <w:bCs/>
        </w:rPr>
        <w:t>所得均為</w:t>
      </w:r>
      <w:proofErr w:type="gramEnd"/>
      <w:r w:rsidRPr="00D40021">
        <w:rPr>
          <w:rFonts w:hint="eastAsia"/>
          <w:bCs/>
        </w:rPr>
        <w:t>74,305元，惟至118年1月1日較改革前扣減10,615元，月退休金額調降為63,690元。</w:t>
      </w:r>
    </w:p>
    <w:p w:rsidR="00E86257" w:rsidRPr="00D40021" w:rsidRDefault="00D93D8F" w:rsidP="00D93D8F">
      <w:pPr>
        <w:pStyle w:val="a3"/>
        <w:numPr>
          <w:ilvl w:val="0"/>
          <w:numId w:val="2"/>
        </w:numPr>
        <w:ind w:left="697" w:hanging="697"/>
        <w:jc w:val="left"/>
        <w:rPr>
          <w:rFonts w:hAnsi="標楷體"/>
        </w:rPr>
      </w:pPr>
      <w:r w:rsidRPr="00D40021">
        <w:rPr>
          <w:rFonts w:hAnsi="標楷體" w:hint="eastAsia"/>
        </w:rPr>
        <w:t>任職35年純新制</w:t>
      </w:r>
      <w:r w:rsidR="00E86257" w:rsidRPr="00D40021">
        <w:rPr>
          <w:rFonts w:hAnsi="標楷體" w:hint="eastAsia"/>
        </w:rPr>
        <w:t>公務人員：</w:t>
      </w:r>
      <w:r w:rsidRPr="00D40021">
        <w:rPr>
          <w:rFonts w:hAnsi="標楷體" w:hint="eastAsia"/>
        </w:rPr>
        <w:t>所得替代率上限自</w:t>
      </w:r>
      <w:r w:rsidR="00E86257" w:rsidRPr="00D40021">
        <w:rPr>
          <w:rFonts w:hAnsi="標楷體" w:hint="eastAsia"/>
        </w:rPr>
        <w:t>75%調降</w:t>
      </w:r>
      <w:r w:rsidRPr="00D40021">
        <w:rPr>
          <w:rFonts w:hAnsi="標楷體" w:hint="eastAsia"/>
        </w:rPr>
        <w:t>為</w:t>
      </w:r>
      <w:r w:rsidR="00E86257" w:rsidRPr="00D40021">
        <w:rPr>
          <w:rFonts w:hAnsi="標楷體" w:hint="eastAsia"/>
        </w:rPr>
        <w:t>60%（119</w:t>
      </w:r>
      <w:r w:rsidR="00E86257" w:rsidRPr="00D40021">
        <w:rPr>
          <w:rFonts w:hAnsi="標楷體" w:hint="eastAsia"/>
        </w:rPr>
        <w:lastRenderedPageBreak/>
        <w:t>年7月1日退休）</w:t>
      </w:r>
    </w:p>
    <w:p w:rsidR="00E86257" w:rsidRPr="00D40021" w:rsidRDefault="00E86257" w:rsidP="00E86257">
      <w:pPr>
        <w:kinsoku w:val="0"/>
        <w:overflowPunct/>
        <w:snapToGrid w:val="0"/>
        <w:jc w:val="right"/>
        <w:rPr>
          <w:rFonts w:hAnsi="標楷體"/>
          <w:kern w:val="0"/>
          <w:sz w:val="22"/>
          <w:szCs w:val="24"/>
        </w:rPr>
      </w:pPr>
      <w:r w:rsidRPr="00D40021">
        <w:rPr>
          <w:rFonts w:hAnsi="標楷體" w:hint="eastAsia"/>
          <w:kern w:val="0"/>
          <w:sz w:val="22"/>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474"/>
        <w:gridCol w:w="2207"/>
        <w:gridCol w:w="2207"/>
        <w:gridCol w:w="1719"/>
      </w:tblGrid>
      <w:tr w:rsidR="00D40021" w:rsidRPr="00D40021" w:rsidTr="00E86257">
        <w:trPr>
          <w:trHeight w:val="360"/>
          <w:tblHeader/>
        </w:trPr>
        <w:tc>
          <w:tcPr>
            <w:tcW w:w="695"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退休等級</w:t>
            </w:r>
          </w:p>
          <w:p w:rsidR="00E86257" w:rsidRPr="00D40021" w:rsidRDefault="00E86257" w:rsidP="00ED236F">
            <w:pPr>
              <w:pStyle w:val="121"/>
              <w:jc w:val="center"/>
            </w:pPr>
            <w:r w:rsidRPr="00D40021">
              <w:rPr>
                <w:rFonts w:hint="eastAsia"/>
              </w:rPr>
              <w:t>職務別</w:t>
            </w:r>
          </w:p>
        </w:tc>
        <w:tc>
          <w:tcPr>
            <w:tcW w:w="834"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退休年資</w:t>
            </w:r>
          </w:p>
        </w:tc>
        <w:tc>
          <w:tcPr>
            <w:tcW w:w="1249"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改革前月退休所得</w:t>
            </w:r>
          </w:p>
          <w:p w:rsidR="00ED236F" w:rsidRPr="00D40021" w:rsidRDefault="00ED236F" w:rsidP="00ED236F">
            <w:pPr>
              <w:pStyle w:val="121"/>
              <w:jc w:val="center"/>
            </w:pPr>
            <w:r w:rsidRPr="00D40021">
              <w:rPr>
                <w:rFonts w:hint="eastAsia"/>
              </w:rPr>
              <w:t>（75%）</w:t>
            </w:r>
          </w:p>
        </w:tc>
        <w:tc>
          <w:tcPr>
            <w:tcW w:w="1249"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改革後月退休所得</w:t>
            </w:r>
          </w:p>
          <w:p w:rsidR="00ED236F" w:rsidRPr="00D40021" w:rsidRDefault="00ED236F" w:rsidP="00ED236F">
            <w:pPr>
              <w:pStyle w:val="121"/>
              <w:jc w:val="center"/>
            </w:pPr>
            <w:r w:rsidRPr="00D40021">
              <w:rPr>
                <w:rFonts w:hint="eastAsia"/>
              </w:rPr>
              <w:t>（60%）</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改革前後差額</w:t>
            </w:r>
          </w:p>
        </w:tc>
      </w:tr>
      <w:tr w:rsidR="00D40021" w:rsidRPr="00D40021" w:rsidTr="00F43439">
        <w:trPr>
          <w:trHeight w:val="360"/>
          <w:tblHeader/>
        </w:trPr>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p>
        </w:tc>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6257" w:rsidRPr="00D40021" w:rsidRDefault="00E86257" w:rsidP="00ED236F">
            <w:pPr>
              <w:pStyle w:val="121"/>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6257" w:rsidRPr="00D40021" w:rsidRDefault="00E86257" w:rsidP="00ED236F">
            <w:pPr>
              <w:pStyle w:val="121"/>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6257" w:rsidRPr="00D40021" w:rsidRDefault="00E86257" w:rsidP="00ED236F">
            <w:pPr>
              <w:pStyle w:val="121"/>
              <w:jc w:val="center"/>
            </w:pPr>
          </w:p>
        </w:tc>
      </w:tr>
      <w:tr w:rsidR="00D40021" w:rsidRPr="00D40021" w:rsidTr="00F43439">
        <w:trPr>
          <w:trHeight w:val="20"/>
        </w:trPr>
        <w:tc>
          <w:tcPr>
            <w:tcW w:w="6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委任5等</w:t>
            </w:r>
          </w:p>
          <w:p w:rsidR="00E86257" w:rsidRPr="00D40021" w:rsidRDefault="00E86257" w:rsidP="00ED236F">
            <w:pPr>
              <w:pStyle w:val="121"/>
              <w:jc w:val="center"/>
            </w:pPr>
            <w:r w:rsidRPr="00D40021">
              <w:rPr>
                <w:rFonts w:hint="eastAsia"/>
              </w:rPr>
              <w:t>年功10級</w:t>
            </w:r>
          </w:p>
          <w:p w:rsidR="00E86257" w:rsidRPr="00D40021" w:rsidRDefault="00E86257" w:rsidP="00ED236F">
            <w:pPr>
              <w:pStyle w:val="121"/>
              <w:jc w:val="center"/>
            </w:pPr>
            <w:r w:rsidRPr="00D40021">
              <w:rPr>
                <w:rFonts w:hint="eastAsia"/>
              </w:rPr>
              <w:t>520</w:t>
            </w:r>
            <w:proofErr w:type="gramStart"/>
            <w:r w:rsidRPr="00D40021">
              <w:rPr>
                <w:rFonts w:hint="eastAsia"/>
              </w:rPr>
              <w:t>俸</w:t>
            </w:r>
            <w:proofErr w:type="gramEnd"/>
            <w:r w:rsidRPr="00D40021">
              <w:rPr>
                <w:rFonts w:hint="eastAsia"/>
              </w:rPr>
              <w:t>點</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35年</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48,202</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41,316</w:t>
            </w:r>
          </w:p>
        </w:tc>
        <w:tc>
          <w:tcPr>
            <w:tcW w:w="973"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E86257" w:rsidRPr="00D40021" w:rsidRDefault="00E86257" w:rsidP="00ED236F">
            <w:pPr>
              <w:pStyle w:val="121"/>
              <w:jc w:val="center"/>
            </w:pPr>
            <w:r w:rsidRPr="00D40021">
              <w:rPr>
                <w:rFonts w:hint="eastAsia"/>
              </w:rPr>
              <w:t>-6,886</w:t>
            </w:r>
          </w:p>
        </w:tc>
      </w:tr>
      <w:tr w:rsidR="00D40021" w:rsidRPr="00D40021" w:rsidTr="00F43439">
        <w:trPr>
          <w:trHeight w:val="20"/>
        </w:trPr>
        <w:tc>
          <w:tcPr>
            <w:tcW w:w="6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薦任6等</w:t>
            </w:r>
          </w:p>
          <w:p w:rsidR="00E86257" w:rsidRPr="00D40021" w:rsidRDefault="00E86257" w:rsidP="00ED236F">
            <w:pPr>
              <w:pStyle w:val="121"/>
              <w:jc w:val="center"/>
            </w:pPr>
            <w:r w:rsidRPr="00D40021">
              <w:rPr>
                <w:rFonts w:hint="eastAsia"/>
              </w:rPr>
              <w:t>年功6級</w:t>
            </w:r>
          </w:p>
          <w:p w:rsidR="00E86257" w:rsidRPr="00D40021" w:rsidRDefault="00E86257" w:rsidP="00ED236F">
            <w:pPr>
              <w:pStyle w:val="121"/>
              <w:jc w:val="center"/>
            </w:pPr>
            <w:r w:rsidRPr="00D40021">
              <w:rPr>
                <w:rFonts w:hint="eastAsia"/>
              </w:rPr>
              <w:t>535</w:t>
            </w:r>
            <w:proofErr w:type="gramStart"/>
            <w:r w:rsidRPr="00D40021">
              <w:rPr>
                <w:rFonts w:hint="eastAsia"/>
              </w:rPr>
              <w:t>俸</w:t>
            </w:r>
            <w:proofErr w:type="gramEnd"/>
            <w:r w:rsidRPr="00D40021">
              <w:rPr>
                <w:rFonts w:hint="eastAsia"/>
              </w:rPr>
              <w:t>點</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35年</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49,595</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42,510</w:t>
            </w:r>
          </w:p>
        </w:tc>
        <w:tc>
          <w:tcPr>
            <w:tcW w:w="973"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E86257" w:rsidRPr="00D40021" w:rsidRDefault="00E86257" w:rsidP="00ED236F">
            <w:pPr>
              <w:pStyle w:val="121"/>
              <w:jc w:val="center"/>
            </w:pPr>
            <w:r w:rsidRPr="00D40021">
              <w:rPr>
                <w:rFonts w:hint="eastAsia"/>
              </w:rPr>
              <w:t>-7,085</w:t>
            </w:r>
          </w:p>
        </w:tc>
      </w:tr>
      <w:tr w:rsidR="00D40021" w:rsidRPr="00D40021" w:rsidTr="00F43439">
        <w:trPr>
          <w:trHeight w:val="20"/>
        </w:trPr>
        <w:tc>
          <w:tcPr>
            <w:tcW w:w="6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薦任7等</w:t>
            </w:r>
          </w:p>
          <w:p w:rsidR="00E86257" w:rsidRPr="00D40021" w:rsidRDefault="00E86257" w:rsidP="00ED236F">
            <w:pPr>
              <w:pStyle w:val="121"/>
              <w:jc w:val="center"/>
            </w:pPr>
            <w:r w:rsidRPr="00D40021">
              <w:rPr>
                <w:rFonts w:hint="eastAsia"/>
              </w:rPr>
              <w:t>年功6級</w:t>
            </w:r>
          </w:p>
          <w:p w:rsidR="00E86257" w:rsidRPr="00D40021" w:rsidRDefault="00E86257" w:rsidP="00ED236F">
            <w:pPr>
              <w:pStyle w:val="121"/>
              <w:jc w:val="center"/>
            </w:pPr>
            <w:r w:rsidRPr="00D40021">
              <w:rPr>
                <w:rFonts w:hint="eastAsia"/>
              </w:rPr>
              <w:t>590</w:t>
            </w:r>
            <w:proofErr w:type="gramStart"/>
            <w:r w:rsidRPr="00D40021">
              <w:rPr>
                <w:rFonts w:hint="eastAsia"/>
              </w:rPr>
              <w:t>俸</w:t>
            </w:r>
            <w:proofErr w:type="gramEnd"/>
            <w:r w:rsidRPr="00D40021">
              <w:rPr>
                <w:rFonts w:hint="eastAsia"/>
              </w:rPr>
              <w:t>點</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35年</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54,726</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46,908</w:t>
            </w:r>
          </w:p>
        </w:tc>
        <w:tc>
          <w:tcPr>
            <w:tcW w:w="973"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E86257" w:rsidRPr="00D40021" w:rsidRDefault="00E86257" w:rsidP="00ED236F">
            <w:pPr>
              <w:pStyle w:val="121"/>
              <w:jc w:val="center"/>
            </w:pPr>
            <w:r w:rsidRPr="00D40021">
              <w:rPr>
                <w:rFonts w:hint="eastAsia"/>
              </w:rPr>
              <w:t>-7,818</w:t>
            </w:r>
          </w:p>
        </w:tc>
      </w:tr>
      <w:tr w:rsidR="00D40021" w:rsidRPr="00D40021" w:rsidTr="00F43439">
        <w:trPr>
          <w:trHeight w:val="20"/>
        </w:trPr>
        <w:tc>
          <w:tcPr>
            <w:tcW w:w="6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薦任8等</w:t>
            </w:r>
          </w:p>
          <w:p w:rsidR="00E86257" w:rsidRPr="00D40021" w:rsidRDefault="00E86257" w:rsidP="00ED236F">
            <w:pPr>
              <w:pStyle w:val="121"/>
              <w:jc w:val="center"/>
            </w:pPr>
            <w:r w:rsidRPr="00D40021">
              <w:rPr>
                <w:rFonts w:hint="eastAsia"/>
              </w:rPr>
              <w:t>年功6級</w:t>
            </w:r>
          </w:p>
          <w:p w:rsidR="00E86257" w:rsidRPr="00D40021" w:rsidRDefault="00E86257" w:rsidP="00ED236F">
            <w:pPr>
              <w:pStyle w:val="121"/>
              <w:jc w:val="center"/>
            </w:pPr>
            <w:r w:rsidRPr="00D40021">
              <w:rPr>
                <w:rFonts w:hint="eastAsia"/>
              </w:rPr>
              <w:t>630</w:t>
            </w:r>
            <w:proofErr w:type="gramStart"/>
            <w:r w:rsidRPr="00D40021">
              <w:rPr>
                <w:rFonts w:hint="eastAsia"/>
              </w:rPr>
              <w:t>俸</w:t>
            </w:r>
            <w:proofErr w:type="gramEnd"/>
            <w:r w:rsidRPr="00D40021">
              <w:rPr>
                <w:rFonts w:hint="eastAsia"/>
              </w:rPr>
              <w:t>點</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35年</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58,457</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50,106</w:t>
            </w:r>
          </w:p>
        </w:tc>
        <w:tc>
          <w:tcPr>
            <w:tcW w:w="973"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E86257" w:rsidRPr="00D40021" w:rsidRDefault="00E86257" w:rsidP="00ED236F">
            <w:pPr>
              <w:pStyle w:val="121"/>
              <w:jc w:val="center"/>
            </w:pPr>
            <w:r w:rsidRPr="00D40021">
              <w:rPr>
                <w:rFonts w:hint="eastAsia"/>
              </w:rPr>
              <w:t>-8,351</w:t>
            </w:r>
          </w:p>
        </w:tc>
      </w:tr>
      <w:tr w:rsidR="00D40021" w:rsidRPr="00D40021" w:rsidTr="00F43439">
        <w:trPr>
          <w:trHeight w:val="20"/>
        </w:trPr>
        <w:tc>
          <w:tcPr>
            <w:tcW w:w="6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薦任9等</w:t>
            </w:r>
          </w:p>
          <w:p w:rsidR="00E86257" w:rsidRPr="00D40021" w:rsidRDefault="00E86257" w:rsidP="00ED236F">
            <w:pPr>
              <w:pStyle w:val="121"/>
              <w:jc w:val="center"/>
            </w:pPr>
            <w:r w:rsidRPr="00D40021">
              <w:rPr>
                <w:rFonts w:hint="eastAsia"/>
              </w:rPr>
              <w:t>年功7級</w:t>
            </w:r>
          </w:p>
          <w:p w:rsidR="00E86257" w:rsidRPr="00D40021" w:rsidRDefault="00E86257" w:rsidP="00ED236F">
            <w:pPr>
              <w:pStyle w:val="121"/>
              <w:jc w:val="center"/>
            </w:pPr>
            <w:r w:rsidRPr="00D40021">
              <w:rPr>
                <w:rFonts w:hint="eastAsia"/>
              </w:rPr>
              <w:t>710</w:t>
            </w:r>
            <w:proofErr w:type="gramStart"/>
            <w:r w:rsidRPr="00D40021">
              <w:rPr>
                <w:rFonts w:hint="eastAsia"/>
              </w:rPr>
              <w:t>俸</w:t>
            </w:r>
            <w:proofErr w:type="gramEnd"/>
            <w:r w:rsidRPr="00D40021">
              <w:rPr>
                <w:rFonts w:hint="eastAsia"/>
              </w:rPr>
              <w:t>點</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35年</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65,912</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56,496</w:t>
            </w:r>
          </w:p>
        </w:tc>
        <w:tc>
          <w:tcPr>
            <w:tcW w:w="973"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E86257" w:rsidRPr="00D40021" w:rsidRDefault="00E86257" w:rsidP="00ED236F">
            <w:pPr>
              <w:pStyle w:val="121"/>
              <w:jc w:val="center"/>
            </w:pPr>
            <w:r w:rsidRPr="00D40021">
              <w:rPr>
                <w:rFonts w:hint="eastAsia"/>
              </w:rPr>
              <w:t>-9,416</w:t>
            </w:r>
          </w:p>
        </w:tc>
      </w:tr>
      <w:tr w:rsidR="00D40021" w:rsidRPr="00D40021" w:rsidTr="00F43439">
        <w:trPr>
          <w:trHeight w:val="20"/>
        </w:trPr>
        <w:tc>
          <w:tcPr>
            <w:tcW w:w="6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簡任12等</w:t>
            </w:r>
          </w:p>
          <w:p w:rsidR="00E86257" w:rsidRPr="00D40021" w:rsidRDefault="00E86257" w:rsidP="00ED236F">
            <w:pPr>
              <w:pStyle w:val="121"/>
              <w:jc w:val="center"/>
            </w:pPr>
            <w:r w:rsidRPr="00D40021">
              <w:rPr>
                <w:rFonts w:hint="eastAsia"/>
              </w:rPr>
              <w:t>年功4級</w:t>
            </w:r>
          </w:p>
          <w:p w:rsidR="00E86257" w:rsidRPr="00D40021" w:rsidRDefault="00E86257" w:rsidP="00ED236F">
            <w:pPr>
              <w:pStyle w:val="121"/>
              <w:jc w:val="center"/>
            </w:pPr>
            <w:r w:rsidRPr="00D40021">
              <w:rPr>
                <w:rFonts w:hint="eastAsia"/>
              </w:rPr>
              <w:t>800</w:t>
            </w:r>
            <w:proofErr w:type="gramStart"/>
            <w:r w:rsidRPr="00D40021">
              <w:rPr>
                <w:rFonts w:hint="eastAsia"/>
              </w:rPr>
              <w:t>俸</w:t>
            </w:r>
            <w:proofErr w:type="gramEnd"/>
            <w:r w:rsidRPr="00D40021">
              <w:rPr>
                <w:rFonts w:hint="eastAsia"/>
              </w:rPr>
              <w:t>點</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D236F">
            <w:pPr>
              <w:pStyle w:val="121"/>
              <w:jc w:val="center"/>
            </w:pPr>
            <w:r w:rsidRPr="00D40021">
              <w:rPr>
                <w:rFonts w:hint="eastAsia"/>
              </w:rPr>
              <w:t>35年</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74,305</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ED236F">
            <w:pPr>
              <w:pStyle w:val="121"/>
              <w:jc w:val="center"/>
            </w:pPr>
            <w:r w:rsidRPr="00D40021">
              <w:rPr>
                <w:rFonts w:hint="eastAsia"/>
              </w:rPr>
              <w:t>63,690</w:t>
            </w:r>
          </w:p>
        </w:tc>
        <w:tc>
          <w:tcPr>
            <w:tcW w:w="973"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E86257" w:rsidRPr="00D40021" w:rsidRDefault="00E86257" w:rsidP="00ED236F">
            <w:pPr>
              <w:pStyle w:val="121"/>
              <w:jc w:val="center"/>
            </w:pPr>
            <w:r w:rsidRPr="00D40021">
              <w:rPr>
                <w:rFonts w:hint="eastAsia"/>
              </w:rPr>
              <w:t>-10,615</w:t>
            </w:r>
          </w:p>
        </w:tc>
      </w:tr>
    </w:tbl>
    <w:p w:rsidR="00E86257" w:rsidRPr="00D40021" w:rsidRDefault="00E86257" w:rsidP="00D93D8F">
      <w:pPr>
        <w:kinsoku w:val="0"/>
        <w:overflowPunct/>
        <w:adjustRightInd w:val="0"/>
        <w:snapToGrid w:val="0"/>
        <w:spacing w:before="40" w:line="280" w:lineRule="exact"/>
        <w:ind w:left="1069" w:hangingChars="445" w:hanging="1069"/>
        <w:rPr>
          <w:rFonts w:hAnsi="標楷體"/>
          <w:spacing w:val="-10"/>
          <w:kern w:val="0"/>
          <w:sz w:val="24"/>
          <w:szCs w:val="24"/>
        </w:rPr>
      </w:pPr>
      <w:r w:rsidRPr="00D40021">
        <w:rPr>
          <w:rFonts w:hAnsi="標楷體" w:hint="eastAsia"/>
          <w:spacing w:val="-10"/>
          <w:kern w:val="0"/>
          <w:sz w:val="24"/>
          <w:szCs w:val="24"/>
        </w:rPr>
        <w:t>說明：1、退休金計算基準，以</w:t>
      </w:r>
      <w:proofErr w:type="gramStart"/>
      <w:r w:rsidRPr="00D40021">
        <w:rPr>
          <w:rFonts w:hAnsi="標楷體" w:hint="eastAsia"/>
          <w:spacing w:val="-10"/>
          <w:kern w:val="0"/>
          <w:sz w:val="24"/>
          <w:szCs w:val="24"/>
        </w:rPr>
        <w:t>119</w:t>
      </w:r>
      <w:proofErr w:type="gramEnd"/>
      <w:r w:rsidRPr="00D40021">
        <w:rPr>
          <w:rFonts w:hAnsi="標楷體" w:hint="eastAsia"/>
          <w:spacing w:val="-10"/>
          <w:kern w:val="0"/>
          <w:sz w:val="24"/>
          <w:szCs w:val="24"/>
        </w:rPr>
        <w:t>年度實施之均</w:t>
      </w:r>
      <w:proofErr w:type="gramStart"/>
      <w:r w:rsidRPr="00D40021">
        <w:rPr>
          <w:rFonts w:hAnsi="標楷體" w:hint="eastAsia"/>
          <w:spacing w:val="-10"/>
          <w:kern w:val="0"/>
          <w:sz w:val="24"/>
          <w:szCs w:val="24"/>
        </w:rPr>
        <w:t>俸</w:t>
      </w:r>
      <w:proofErr w:type="gramEnd"/>
      <w:r w:rsidRPr="00D40021">
        <w:rPr>
          <w:rFonts w:hAnsi="標楷體" w:hint="eastAsia"/>
          <w:spacing w:val="-10"/>
          <w:kern w:val="0"/>
          <w:sz w:val="24"/>
          <w:szCs w:val="24"/>
        </w:rPr>
        <w:t>年數15年計算，之後不再調整均</w:t>
      </w:r>
      <w:proofErr w:type="gramStart"/>
      <w:r w:rsidRPr="00D40021">
        <w:rPr>
          <w:rFonts w:hAnsi="標楷體" w:hint="eastAsia"/>
          <w:spacing w:val="-10"/>
          <w:kern w:val="0"/>
          <w:sz w:val="24"/>
          <w:szCs w:val="24"/>
        </w:rPr>
        <w:t>俸</w:t>
      </w:r>
      <w:proofErr w:type="gramEnd"/>
      <w:r w:rsidRPr="00D40021">
        <w:rPr>
          <w:rFonts w:hAnsi="標楷體" w:hint="eastAsia"/>
          <w:spacing w:val="-10"/>
          <w:kern w:val="0"/>
          <w:sz w:val="24"/>
          <w:szCs w:val="24"/>
        </w:rPr>
        <w:t>年數。但均</w:t>
      </w:r>
      <w:proofErr w:type="gramStart"/>
      <w:r w:rsidRPr="00D40021">
        <w:rPr>
          <w:rFonts w:hAnsi="標楷體" w:hint="eastAsia"/>
          <w:spacing w:val="-10"/>
          <w:kern w:val="0"/>
          <w:sz w:val="24"/>
          <w:szCs w:val="24"/>
        </w:rPr>
        <w:t>俸</w:t>
      </w:r>
      <w:proofErr w:type="gramEnd"/>
      <w:r w:rsidRPr="00D40021">
        <w:rPr>
          <w:rFonts w:hAnsi="標楷體" w:hint="eastAsia"/>
          <w:spacing w:val="-10"/>
          <w:kern w:val="0"/>
          <w:sz w:val="24"/>
          <w:szCs w:val="24"/>
        </w:rPr>
        <w:t>影響仍應視個人經歷為據。</w:t>
      </w:r>
    </w:p>
    <w:p w:rsidR="00E86257" w:rsidRPr="00D40021" w:rsidRDefault="00E86257" w:rsidP="00D93D8F">
      <w:pPr>
        <w:kinsoku w:val="0"/>
        <w:overflowPunct/>
        <w:adjustRightInd w:val="0"/>
        <w:snapToGrid w:val="0"/>
        <w:spacing w:before="40" w:line="280" w:lineRule="exact"/>
        <w:ind w:leftChars="210" w:left="1074" w:hangingChars="150" w:hanging="360"/>
        <w:rPr>
          <w:rFonts w:hAnsi="標楷體"/>
          <w:spacing w:val="-10"/>
          <w:kern w:val="0"/>
          <w:sz w:val="24"/>
          <w:szCs w:val="24"/>
        </w:rPr>
      </w:pPr>
      <w:r w:rsidRPr="00D40021">
        <w:rPr>
          <w:rFonts w:hAnsi="標楷體" w:hint="eastAsia"/>
          <w:spacing w:val="-10"/>
          <w:kern w:val="0"/>
          <w:sz w:val="24"/>
          <w:szCs w:val="24"/>
        </w:rPr>
        <w:t>2、假設純新制人員之公</w:t>
      </w:r>
      <w:proofErr w:type="gramStart"/>
      <w:r w:rsidRPr="00D40021">
        <w:rPr>
          <w:rFonts w:hAnsi="標楷體" w:hint="eastAsia"/>
          <w:spacing w:val="-10"/>
          <w:kern w:val="0"/>
          <w:sz w:val="24"/>
          <w:szCs w:val="24"/>
        </w:rPr>
        <w:t>保均擇領</w:t>
      </w:r>
      <w:proofErr w:type="gramEnd"/>
      <w:r w:rsidRPr="00D40021">
        <w:rPr>
          <w:rFonts w:hAnsi="標楷體" w:hint="eastAsia"/>
          <w:spacing w:val="-10"/>
          <w:kern w:val="0"/>
          <w:sz w:val="24"/>
          <w:szCs w:val="24"/>
        </w:rPr>
        <w:t>一次給付，故</w:t>
      </w:r>
      <w:proofErr w:type="gramStart"/>
      <w:r w:rsidRPr="00D40021">
        <w:rPr>
          <w:rFonts w:hAnsi="標楷體" w:hint="eastAsia"/>
          <w:spacing w:val="-10"/>
          <w:kern w:val="0"/>
          <w:sz w:val="24"/>
          <w:szCs w:val="24"/>
        </w:rPr>
        <w:t>所列月退休</w:t>
      </w:r>
      <w:proofErr w:type="gramEnd"/>
      <w:r w:rsidRPr="00D40021">
        <w:rPr>
          <w:rFonts w:hAnsi="標楷體" w:hint="eastAsia"/>
          <w:spacing w:val="-10"/>
          <w:kern w:val="0"/>
          <w:sz w:val="24"/>
          <w:szCs w:val="24"/>
        </w:rPr>
        <w:t>所得</w:t>
      </w:r>
      <w:proofErr w:type="gramStart"/>
      <w:r w:rsidRPr="00D40021">
        <w:rPr>
          <w:rFonts w:hAnsi="標楷體" w:hint="eastAsia"/>
          <w:spacing w:val="-10"/>
          <w:kern w:val="0"/>
          <w:sz w:val="24"/>
          <w:szCs w:val="24"/>
        </w:rPr>
        <w:t>金額均不含</w:t>
      </w:r>
      <w:proofErr w:type="gramEnd"/>
      <w:r w:rsidRPr="00D40021">
        <w:rPr>
          <w:rFonts w:hAnsi="標楷體" w:hint="eastAsia"/>
          <w:spacing w:val="-10"/>
          <w:kern w:val="0"/>
          <w:sz w:val="24"/>
          <w:szCs w:val="24"/>
        </w:rPr>
        <w:t>公保年金。</w:t>
      </w:r>
    </w:p>
    <w:p w:rsidR="007063EE" w:rsidRPr="00D40021" w:rsidRDefault="007063EE" w:rsidP="007063EE">
      <w:pPr>
        <w:kinsoku w:val="0"/>
        <w:overflowPunct/>
        <w:adjustRightInd w:val="0"/>
        <w:snapToGrid w:val="0"/>
        <w:spacing w:before="40" w:line="280" w:lineRule="exact"/>
        <w:ind w:leftChars="210" w:left="1044" w:hangingChars="150" w:hanging="330"/>
        <w:rPr>
          <w:rFonts w:hAnsi="標楷體"/>
          <w:spacing w:val="-20"/>
          <w:sz w:val="24"/>
          <w:szCs w:val="28"/>
        </w:rPr>
      </w:pPr>
      <w:r w:rsidRPr="00D40021">
        <w:rPr>
          <w:rFonts w:hAnsi="標楷體" w:hint="eastAsia"/>
          <w:spacing w:val="-20"/>
          <w:sz w:val="24"/>
          <w:szCs w:val="28"/>
        </w:rPr>
        <w:t>3、相關數據係以107年1月1日調薪前之本</w:t>
      </w:r>
      <w:proofErr w:type="gramStart"/>
      <w:r w:rsidRPr="00D40021">
        <w:rPr>
          <w:rFonts w:hAnsi="標楷體" w:hint="eastAsia"/>
          <w:spacing w:val="-20"/>
          <w:sz w:val="24"/>
          <w:szCs w:val="28"/>
        </w:rPr>
        <w:t>俸</w:t>
      </w:r>
      <w:proofErr w:type="gramEnd"/>
      <w:r w:rsidRPr="00D40021">
        <w:rPr>
          <w:rFonts w:hAnsi="標楷體" w:hint="eastAsia"/>
          <w:spacing w:val="-20"/>
          <w:sz w:val="24"/>
          <w:szCs w:val="28"/>
        </w:rPr>
        <w:t>核計。</w:t>
      </w:r>
    </w:p>
    <w:p w:rsidR="00E86257" w:rsidRPr="00D40021" w:rsidRDefault="00E86257" w:rsidP="00D93D8F">
      <w:pPr>
        <w:pStyle w:val="afa"/>
        <w:overflowPunct/>
        <w:spacing w:before="0"/>
        <w:ind w:left="680" w:right="680" w:hanging="680"/>
        <w:rPr>
          <w:rFonts w:hAnsi="標楷體"/>
          <w:noProof/>
          <w:sz w:val="24"/>
          <w:szCs w:val="24"/>
        </w:rPr>
      </w:pPr>
      <w:r w:rsidRPr="00D40021">
        <w:rPr>
          <w:rFonts w:hAnsi="標楷體" w:hint="eastAsia"/>
          <w:noProof/>
          <w:sz w:val="24"/>
          <w:szCs w:val="24"/>
        </w:rPr>
        <w:t>資料來源：銓敘部。</w:t>
      </w:r>
    </w:p>
    <w:p w:rsidR="00E86257" w:rsidRPr="00D40021" w:rsidRDefault="00D93D8F" w:rsidP="00D93D8F">
      <w:pPr>
        <w:pStyle w:val="5"/>
      </w:pPr>
      <w:r w:rsidRPr="00D40021">
        <w:rPr>
          <w:rFonts w:hint="eastAsia"/>
        </w:rPr>
        <w:t>純新制</w:t>
      </w:r>
      <w:r w:rsidR="005015F5" w:rsidRPr="00D40021">
        <w:rPr>
          <w:rFonts w:hint="eastAsia"/>
        </w:rPr>
        <w:t>教職</w:t>
      </w:r>
      <w:r w:rsidRPr="00D40021">
        <w:rPr>
          <w:rFonts w:hint="eastAsia"/>
        </w:rPr>
        <w:t>人員部分(</w:t>
      </w:r>
      <w:r w:rsidR="00645633" w:rsidRPr="00D40021">
        <w:rPr>
          <w:rFonts w:hint="eastAsia"/>
        </w:rPr>
        <w:t>年資35年，</w:t>
      </w:r>
      <w:r w:rsidRPr="00D40021">
        <w:rPr>
          <w:rFonts w:hint="eastAsia"/>
        </w:rPr>
        <w:t>120年2月1日</w:t>
      </w:r>
      <w:r w:rsidR="001A042D" w:rsidRPr="00D40021">
        <w:rPr>
          <w:rFonts w:hAnsi="標楷體" w:hint="eastAsia"/>
        </w:rPr>
        <w:t>退休</w:t>
      </w:r>
      <w:r w:rsidR="00552100" w:rsidRPr="00D40021">
        <w:rPr>
          <w:rStyle w:val="aff3"/>
          <w:rFonts w:hAnsi="標楷體"/>
        </w:rPr>
        <w:footnoteReference w:id="8"/>
      </w:r>
      <w:r w:rsidRPr="00D40021">
        <w:rPr>
          <w:rFonts w:hint="eastAsia"/>
        </w:rPr>
        <w:t>，如表</w:t>
      </w:r>
      <w:r w:rsidR="00EF4079" w:rsidRPr="00D40021">
        <w:rPr>
          <w:rFonts w:hint="eastAsia"/>
        </w:rPr>
        <w:t>10</w:t>
      </w:r>
      <w:r w:rsidRPr="00D40021">
        <w:rPr>
          <w:rFonts w:hint="eastAsia"/>
        </w:rPr>
        <w:t>)</w:t>
      </w:r>
    </w:p>
    <w:p w:rsidR="00E86257" w:rsidRPr="00D40021" w:rsidRDefault="00E86257" w:rsidP="00D93D8F">
      <w:pPr>
        <w:pStyle w:val="6"/>
      </w:pPr>
      <w:r w:rsidRPr="00D40021">
        <w:rPr>
          <w:rFonts w:hint="eastAsia"/>
        </w:rPr>
        <w:t>625薪點年資35年之退休中小學教師於改革前</w:t>
      </w:r>
      <w:proofErr w:type="gramStart"/>
      <w:r w:rsidRPr="00D40021">
        <w:rPr>
          <w:rFonts w:hint="eastAsia"/>
        </w:rPr>
        <w:t>原得領</w:t>
      </w:r>
      <w:proofErr w:type="gramEnd"/>
      <w:r w:rsidRPr="00D40021">
        <w:rPr>
          <w:rFonts w:hint="eastAsia"/>
        </w:rPr>
        <w:t>月退</w:t>
      </w:r>
      <w:proofErr w:type="gramStart"/>
      <w:r w:rsidRPr="00D40021">
        <w:rPr>
          <w:rFonts w:hint="eastAsia"/>
        </w:rPr>
        <w:t>所得均為</w:t>
      </w:r>
      <w:proofErr w:type="gramEnd"/>
      <w:r w:rsidRPr="00D40021">
        <w:rPr>
          <w:rFonts w:hint="eastAsia"/>
        </w:rPr>
        <w:t>65,912元，惟至118年1月1日較改革前扣減9,416元，月退休金額調降為56,496元。</w:t>
      </w:r>
    </w:p>
    <w:p w:rsidR="00E86257" w:rsidRPr="00D40021" w:rsidRDefault="00E86257" w:rsidP="00D93D8F">
      <w:pPr>
        <w:pStyle w:val="6"/>
        <w:rPr>
          <w:rFonts w:hAnsi="標楷體"/>
        </w:rPr>
      </w:pPr>
      <w:r w:rsidRPr="00D40021">
        <w:rPr>
          <w:rFonts w:hint="eastAsia"/>
          <w:bCs/>
        </w:rPr>
        <w:t>770薪點年資35年之退休教授於改革前</w:t>
      </w:r>
      <w:proofErr w:type="gramStart"/>
      <w:r w:rsidRPr="00D40021">
        <w:rPr>
          <w:rFonts w:hint="eastAsia"/>
          <w:bCs/>
        </w:rPr>
        <w:t>原得領</w:t>
      </w:r>
      <w:proofErr w:type="gramEnd"/>
      <w:r w:rsidRPr="00D40021">
        <w:rPr>
          <w:rFonts w:hint="eastAsia"/>
          <w:bCs/>
        </w:rPr>
        <w:t>月退</w:t>
      </w:r>
      <w:proofErr w:type="gramStart"/>
      <w:r w:rsidRPr="00D40021">
        <w:rPr>
          <w:rFonts w:hint="eastAsia"/>
          <w:bCs/>
        </w:rPr>
        <w:t>所得均為</w:t>
      </w:r>
      <w:proofErr w:type="gramEnd"/>
      <w:r w:rsidRPr="00D40021">
        <w:rPr>
          <w:rFonts w:hint="eastAsia"/>
          <w:bCs/>
        </w:rPr>
        <w:t>74,305元，惟至118年1月1日</w:t>
      </w:r>
      <w:r w:rsidRPr="00D40021">
        <w:rPr>
          <w:rFonts w:hint="eastAsia"/>
          <w:bCs/>
        </w:rPr>
        <w:lastRenderedPageBreak/>
        <w:t>較改革前扣減10,615元，月退休金額調降為63,690元。</w:t>
      </w:r>
    </w:p>
    <w:p w:rsidR="00E86257" w:rsidRPr="00D40021" w:rsidRDefault="00D93D8F" w:rsidP="00EF4079">
      <w:pPr>
        <w:pStyle w:val="a3"/>
        <w:numPr>
          <w:ilvl w:val="0"/>
          <w:numId w:val="2"/>
        </w:numPr>
        <w:ind w:left="851" w:hanging="851"/>
        <w:jc w:val="left"/>
        <w:rPr>
          <w:rFonts w:hAnsi="標楷體"/>
        </w:rPr>
      </w:pPr>
      <w:r w:rsidRPr="00D40021">
        <w:rPr>
          <w:rFonts w:hAnsi="標楷體" w:hint="eastAsia"/>
        </w:rPr>
        <w:t>任職35年純新制教育人員：所得替代率上限自75%調降為60%</w:t>
      </w:r>
      <w:r w:rsidR="00E86257" w:rsidRPr="00D40021">
        <w:rPr>
          <w:rFonts w:hAnsi="標楷體" w:hint="eastAsia"/>
        </w:rPr>
        <w:t>（120年2月1日退休）</w:t>
      </w:r>
    </w:p>
    <w:p w:rsidR="00E86257" w:rsidRPr="00D40021" w:rsidRDefault="00E86257" w:rsidP="00E86257">
      <w:pPr>
        <w:kinsoku w:val="0"/>
        <w:overflowPunct/>
        <w:snapToGrid w:val="0"/>
        <w:jc w:val="right"/>
        <w:rPr>
          <w:rFonts w:hAnsi="標楷體"/>
          <w:kern w:val="0"/>
          <w:sz w:val="22"/>
          <w:szCs w:val="24"/>
        </w:rPr>
      </w:pPr>
      <w:r w:rsidRPr="00D40021">
        <w:rPr>
          <w:rFonts w:hAnsi="標楷體" w:hint="eastAsia"/>
          <w:kern w:val="0"/>
          <w:sz w:val="22"/>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474"/>
        <w:gridCol w:w="2207"/>
        <w:gridCol w:w="2207"/>
        <w:gridCol w:w="1719"/>
      </w:tblGrid>
      <w:tr w:rsidR="00D40021" w:rsidRPr="00D40021" w:rsidTr="000F4C4D">
        <w:trPr>
          <w:trHeight w:val="964"/>
          <w:tblHeader/>
        </w:trPr>
        <w:tc>
          <w:tcPr>
            <w:tcW w:w="695"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0F4C4D">
            <w:pPr>
              <w:pStyle w:val="121"/>
              <w:jc w:val="center"/>
            </w:pPr>
            <w:r w:rsidRPr="00D40021">
              <w:rPr>
                <w:rFonts w:hint="eastAsia"/>
              </w:rPr>
              <w:t>退休等級</w:t>
            </w:r>
          </w:p>
          <w:p w:rsidR="00E86257" w:rsidRPr="00D40021" w:rsidRDefault="00E86257" w:rsidP="000F4C4D">
            <w:pPr>
              <w:pStyle w:val="121"/>
              <w:jc w:val="center"/>
            </w:pPr>
            <w:r w:rsidRPr="00D40021">
              <w:rPr>
                <w:rFonts w:hint="eastAsia"/>
              </w:rPr>
              <w:t>職務別</w:t>
            </w:r>
          </w:p>
        </w:tc>
        <w:tc>
          <w:tcPr>
            <w:tcW w:w="834"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0F4C4D">
            <w:pPr>
              <w:pStyle w:val="121"/>
              <w:jc w:val="center"/>
            </w:pPr>
            <w:r w:rsidRPr="00D40021">
              <w:rPr>
                <w:rFonts w:hint="eastAsia"/>
              </w:rPr>
              <w:t>退休年資</w:t>
            </w:r>
          </w:p>
        </w:tc>
        <w:tc>
          <w:tcPr>
            <w:tcW w:w="1249"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0F4C4D">
            <w:pPr>
              <w:pStyle w:val="121"/>
              <w:jc w:val="center"/>
            </w:pPr>
            <w:r w:rsidRPr="00D40021">
              <w:rPr>
                <w:rFonts w:hint="eastAsia"/>
              </w:rPr>
              <w:t>改革前月退休所得</w:t>
            </w:r>
          </w:p>
          <w:p w:rsidR="00E86257" w:rsidRPr="00D40021" w:rsidRDefault="00E86257" w:rsidP="000F4C4D">
            <w:pPr>
              <w:pStyle w:val="121"/>
              <w:jc w:val="center"/>
            </w:pPr>
            <w:r w:rsidRPr="00D40021">
              <w:rPr>
                <w:rFonts w:hint="eastAsia"/>
              </w:rPr>
              <w:t>（75%）</w:t>
            </w:r>
          </w:p>
        </w:tc>
        <w:tc>
          <w:tcPr>
            <w:tcW w:w="1249"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B3469E">
            <w:pPr>
              <w:pStyle w:val="121"/>
              <w:jc w:val="center"/>
            </w:pPr>
            <w:r w:rsidRPr="00D40021">
              <w:rPr>
                <w:rFonts w:hint="eastAsia"/>
              </w:rPr>
              <w:t>改革後月退休所得</w:t>
            </w:r>
          </w:p>
          <w:p w:rsidR="00E86257" w:rsidRPr="00D40021" w:rsidRDefault="00E86257" w:rsidP="00B3469E">
            <w:pPr>
              <w:pStyle w:val="121"/>
              <w:jc w:val="center"/>
            </w:pPr>
            <w:r w:rsidRPr="00D40021">
              <w:rPr>
                <w:rFonts w:hint="eastAsia"/>
              </w:rPr>
              <w:t>（60%）</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E86257">
            <w:pPr>
              <w:pStyle w:val="121"/>
            </w:pPr>
            <w:r w:rsidRPr="00D40021">
              <w:rPr>
                <w:rFonts w:hint="eastAsia"/>
              </w:rPr>
              <w:t>改革前後差額</w:t>
            </w:r>
          </w:p>
        </w:tc>
      </w:tr>
      <w:tr w:rsidR="00D40021" w:rsidRPr="00D40021" w:rsidTr="000F4C4D">
        <w:trPr>
          <w:trHeight w:val="96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6257" w:rsidRPr="00D40021" w:rsidRDefault="00E86257" w:rsidP="000F4C4D">
            <w:pPr>
              <w:pStyle w:val="121"/>
              <w:jc w:val="center"/>
            </w:pPr>
          </w:p>
        </w:tc>
        <w:tc>
          <w:tcPr>
            <w:tcW w:w="0" w:type="auto"/>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0F4C4D">
            <w:pPr>
              <w:pStyle w:val="121"/>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6257" w:rsidRPr="00D40021" w:rsidRDefault="00E86257" w:rsidP="000F4C4D">
            <w:pPr>
              <w:pStyle w:val="121"/>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6257" w:rsidRPr="00D40021" w:rsidRDefault="00E86257" w:rsidP="00B3469E">
            <w:pPr>
              <w:pStyle w:val="121"/>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6257" w:rsidRPr="00D40021" w:rsidRDefault="00E86257" w:rsidP="00E86257">
            <w:pPr>
              <w:pStyle w:val="121"/>
            </w:pPr>
          </w:p>
        </w:tc>
      </w:tr>
      <w:tr w:rsidR="00D40021" w:rsidRPr="00D40021" w:rsidTr="000F4C4D">
        <w:trPr>
          <w:trHeight w:val="964"/>
        </w:trPr>
        <w:tc>
          <w:tcPr>
            <w:tcW w:w="6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0F4C4D">
            <w:pPr>
              <w:pStyle w:val="121"/>
              <w:jc w:val="center"/>
            </w:pPr>
            <w:r w:rsidRPr="00D40021">
              <w:rPr>
                <w:rFonts w:hint="eastAsia"/>
              </w:rPr>
              <w:t>中小學</w:t>
            </w:r>
          </w:p>
          <w:p w:rsidR="00E86257" w:rsidRPr="00D40021" w:rsidRDefault="00E86257" w:rsidP="000F4C4D">
            <w:pPr>
              <w:pStyle w:val="121"/>
              <w:jc w:val="center"/>
            </w:pPr>
            <w:r w:rsidRPr="00D40021">
              <w:rPr>
                <w:rFonts w:hint="eastAsia"/>
              </w:rPr>
              <w:t>教師</w:t>
            </w:r>
          </w:p>
          <w:p w:rsidR="00E86257" w:rsidRPr="00D40021" w:rsidRDefault="00E86257" w:rsidP="000F4C4D">
            <w:pPr>
              <w:pStyle w:val="121"/>
              <w:jc w:val="center"/>
            </w:pPr>
            <w:r w:rsidRPr="00D40021">
              <w:rPr>
                <w:rFonts w:hint="eastAsia"/>
              </w:rPr>
              <w:t>625薪點</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0F4C4D">
            <w:pPr>
              <w:pStyle w:val="121"/>
              <w:jc w:val="center"/>
            </w:pPr>
            <w:r w:rsidRPr="00D40021">
              <w:rPr>
                <w:rFonts w:hint="eastAsia"/>
              </w:rPr>
              <w:t>35年</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0F4C4D">
            <w:pPr>
              <w:pStyle w:val="121"/>
              <w:jc w:val="center"/>
            </w:pPr>
            <w:r w:rsidRPr="00D40021">
              <w:rPr>
                <w:rFonts w:hint="eastAsia"/>
              </w:rPr>
              <w:t>65,912</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B3469E">
            <w:pPr>
              <w:pStyle w:val="121"/>
              <w:jc w:val="center"/>
            </w:pPr>
            <w:r w:rsidRPr="00D40021">
              <w:rPr>
                <w:rFonts w:hint="eastAsia"/>
              </w:rPr>
              <w:t>56,496</w:t>
            </w:r>
          </w:p>
        </w:tc>
        <w:tc>
          <w:tcPr>
            <w:tcW w:w="973"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E86257" w:rsidRPr="00D40021" w:rsidRDefault="00E86257" w:rsidP="00B3469E">
            <w:pPr>
              <w:pStyle w:val="121"/>
              <w:jc w:val="center"/>
            </w:pPr>
            <w:r w:rsidRPr="00D40021">
              <w:rPr>
                <w:rFonts w:hint="eastAsia"/>
              </w:rPr>
              <w:t>-9,416</w:t>
            </w:r>
          </w:p>
        </w:tc>
      </w:tr>
      <w:tr w:rsidR="00D40021" w:rsidRPr="00D40021" w:rsidTr="000F4C4D">
        <w:trPr>
          <w:trHeight w:val="964"/>
        </w:trPr>
        <w:tc>
          <w:tcPr>
            <w:tcW w:w="69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0F4C4D">
            <w:pPr>
              <w:pStyle w:val="121"/>
              <w:jc w:val="center"/>
            </w:pPr>
            <w:r w:rsidRPr="00D40021">
              <w:rPr>
                <w:rFonts w:hint="eastAsia"/>
              </w:rPr>
              <w:t>教授</w:t>
            </w:r>
          </w:p>
          <w:p w:rsidR="00E86257" w:rsidRPr="00D40021" w:rsidRDefault="00E86257" w:rsidP="000F4C4D">
            <w:pPr>
              <w:pStyle w:val="121"/>
              <w:jc w:val="center"/>
            </w:pPr>
            <w:r w:rsidRPr="00D40021">
              <w:rPr>
                <w:rFonts w:hint="eastAsia"/>
              </w:rPr>
              <w:t>770薪點</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86257" w:rsidRPr="00D40021" w:rsidRDefault="00E86257" w:rsidP="000F4C4D">
            <w:pPr>
              <w:pStyle w:val="121"/>
              <w:jc w:val="center"/>
            </w:pPr>
            <w:r w:rsidRPr="00D40021">
              <w:rPr>
                <w:rFonts w:hint="eastAsia"/>
              </w:rPr>
              <w:t>35年</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0F4C4D">
            <w:pPr>
              <w:pStyle w:val="121"/>
              <w:jc w:val="center"/>
            </w:pPr>
            <w:r w:rsidRPr="00D40021">
              <w:rPr>
                <w:rFonts w:hint="eastAsia"/>
              </w:rPr>
              <w:t>74,305</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6257" w:rsidRPr="00D40021" w:rsidRDefault="00E86257" w:rsidP="00B3469E">
            <w:pPr>
              <w:pStyle w:val="121"/>
              <w:jc w:val="center"/>
            </w:pPr>
            <w:r w:rsidRPr="00D40021">
              <w:rPr>
                <w:rFonts w:hint="eastAsia"/>
              </w:rPr>
              <w:t>63,690</w:t>
            </w:r>
          </w:p>
        </w:tc>
        <w:tc>
          <w:tcPr>
            <w:tcW w:w="973"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E86257" w:rsidRPr="00D40021" w:rsidRDefault="00E86257" w:rsidP="00B3469E">
            <w:pPr>
              <w:pStyle w:val="121"/>
              <w:jc w:val="center"/>
            </w:pPr>
            <w:r w:rsidRPr="00D40021">
              <w:rPr>
                <w:rFonts w:hint="eastAsia"/>
              </w:rPr>
              <w:t>-10,615</w:t>
            </w:r>
          </w:p>
        </w:tc>
      </w:tr>
    </w:tbl>
    <w:p w:rsidR="00E86257" w:rsidRPr="00D40021" w:rsidRDefault="00E86257" w:rsidP="00D20336">
      <w:pPr>
        <w:kinsoku w:val="0"/>
        <w:overflowPunct/>
        <w:adjustRightInd w:val="0"/>
        <w:snapToGrid w:val="0"/>
        <w:spacing w:before="40" w:line="280" w:lineRule="exact"/>
        <w:ind w:left="1069" w:hangingChars="445" w:hanging="1069"/>
        <w:rPr>
          <w:rFonts w:hAnsi="標楷體"/>
          <w:sz w:val="24"/>
          <w:szCs w:val="24"/>
        </w:rPr>
      </w:pPr>
      <w:r w:rsidRPr="00D40021">
        <w:rPr>
          <w:rFonts w:hAnsi="標楷體" w:hint="eastAsia"/>
          <w:spacing w:val="-10"/>
          <w:kern w:val="0"/>
          <w:sz w:val="24"/>
          <w:szCs w:val="24"/>
        </w:rPr>
        <w:t>說明：1、退休金計算基準，以</w:t>
      </w:r>
      <w:proofErr w:type="gramStart"/>
      <w:r w:rsidRPr="00D40021">
        <w:rPr>
          <w:rFonts w:hAnsi="標楷體" w:hint="eastAsia"/>
          <w:spacing w:val="-10"/>
          <w:kern w:val="0"/>
          <w:sz w:val="24"/>
          <w:szCs w:val="24"/>
        </w:rPr>
        <w:t>120</w:t>
      </w:r>
      <w:proofErr w:type="gramEnd"/>
      <w:r w:rsidRPr="00D40021">
        <w:rPr>
          <w:rFonts w:hAnsi="標楷體" w:hint="eastAsia"/>
          <w:spacing w:val="-10"/>
          <w:kern w:val="0"/>
          <w:sz w:val="24"/>
          <w:szCs w:val="24"/>
        </w:rPr>
        <w:t>年度實施之</w:t>
      </w:r>
      <w:proofErr w:type="gramStart"/>
      <w:r w:rsidRPr="00D40021">
        <w:rPr>
          <w:rFonts w:hAnsi="標楷體" w:hint="eastAsia"/>
          <w:spacing w:val="-10"/>
          <w:kern w:val="0"/>
          <w:sz w:val="24"/>
          <w:szCs w:val="24"/>
        </w:rPr>
        <w:t>均薪年</w:t>
      </w:r>
      <w:proofErr w:type="gramEnd"/>
      <w:r w:rsidRPr="00D40021">
        <w:rPr>
          <w:rFonts w:hAnsi="標楷體" w:hint="eastAsia"/>
          <w:spacing w:val="-10"/>
          <w:kern w:val="0"/>
          <w:sz w:val="24"/>
          <w:szCs w:val="24"/>
        </w:rPr>
        <w:t>數15年計算，之後不再調整</w:t>
      </w:r>
      <w:proofErr w:type="gramStart"/>
      <w:r w:rsidRPr="00D40021">
        <w:rPr>
          <w:rFonts w:hAnsi="標楷體" w:hint="eastAsia"/>
          <w:spacing w:val="-10"/>
          <w:kern w:val="0"/>
          <w:sz w:val="24"/>
          <w:szCs w:val="24"/>
        </w:rPr>
        <w:t>均薪年</w:t>
      </w:r>
      <w:proofErr w:type="gramEnd"/>
      <w:r w:rsidRPr="00D40021">
        <w:rPr>
          <w:rFonts w:hAnsi="標楷體" w:hint="eastAsia"/>
          <w:spacing w:val="-10"/>
          <w:kern w:val="0"/>
          <w:sz w:val="24"/>
          <w:szCs w:val="24"/>
        </w:rPr>
        <w:t>數。</w:t>
      </w:r>
      <w:proofErr w:type="gramStart"/>
      <w:r w:rsidRPr="00D40021">
        <w:rPr>
          <w:rFonts w:hAnsi="標楷體" w:hint="eastAsia"/>
          <w:spacing w:val="-10"/>
          <w:kern w:val="0"/>
          <w:sz w:val="24"/>
          <w:szCs w:val="24"/>
        </w:rPr>
        <w:t>但均薪影響</w:t>
      </w:r>
      <w:proofErr w:type="gramEnd"/>
      <w:r w:rsidRPr="00D40021">
        <w:rPr>
          <w:rFonts w:hAnsi="標楷體" w:hint="eastAsia"/>
          <w:spacing w:val="-10"/>
          <w:kern w:val="0"/>
          <w:sz w:val="24"/>
          <w:szCs w:val="24"/>
        </w:rPr>
        <w:t>仍應視個人經歷為據。</w:t>
      </w:r>
    </w:p>
    <w:p w:rsidR="00E86257" w:rsidRPr="00D40021" w:rsidRDefault="00E86257" w:rsidP="00D20336">
      <w:pPr>
        <w:kinsoku w:val="0"/>
        <w:overflowPunct/>
        <w:adjustRightInd w:val="0"/>
        <w:snapToGrid w:val="0"/>
        <w:spacing w:before="40" w:line="280" w:lineRule="exact"/>
        <w:ind w:leftChars="210" w:left="1074" w:hangingChars="150" w:hanging="360"/>
        <w:rPr>
          <w:rFonts w:hAnsi="標楷體"/>
          <w:spacing w:val="-10"/>
          <w:kern w:val="0"/>
          <w:sz w:val="24"/>
          <w:szCs w:val="24"/>
        </w:rPr>
      </w:pPr>
      <w:r w:rsidRPr="00D40021">
        <w:rPr>
          <w:rFonts w:hAnsi="標楷體" w:hint="eastAsia"/>
          <w:spacing w:val="-10"/>
          <w:kern w:val="0"/>
          <w:sz w:val="24"/>
          <w:szCs w:val="24"/>
        </w:rPr>
        <w:t>2、假設純新制人員之公</w:t>
      </w:r>
      <w:proofErr w:type="gramStart"/>
      <w:r w:rsidRPr="00D40021">
        <w:rPr>
          <w:rFonts w:hAnsi="標楷體" w:hint="eastAsia"/>
          <w:spacing w:val="-10"/>
          <w:kern w:val="0"/>
          <w:sz w:val="24"/>
          <w:szCs w:val="24"/>
        </w:rPr>
        <w:t>保均擇領</w:t>
      </w:r>
      <w:proofErr w:type="gramEnd"/>
      <w:r w:rsidRPr="00D40021">
        <w:rPr>
          <w:rFonts w:hAnsi="標楷體" w:hint="eastAsia"/>
          <w:spacing w:val="-10"/>
          <w:kern w:val="0"/>
          <w:sz w:val="24"/>
          <w:szCs w:val="24"/>
        </w:rPr>
        <w:t>一次給付，故</w:t>
      </w:r>
      <w:proofErr w:type="gramStart"/>
      <w:r w:rsidRPr="00D40021">
        <w:rPr>
          <w:rFonts w:hAnsi="標楷體" w:hint="eastAsia"/>
          <w:spacing w:val="-10"/>
          <w:kern w:val="0"/>
          <w:sz w:val="24"/>
          <w:szCs w:val="24"/>
        </w:rPr>
        <w:t>所列月退休</w:t>
      </w:r>
      <w:proofErr w:type="gramEnd"/>
      <w:r w:rsidRPr="00D40021">
        <w:rPr>
          <w:rFonts w:hAnsi="標楷體" w:hint="eastAsia"/>
          <w:spacing w:val="-10"/>
          <w:kern w:val="0"/>
          <w:sz w:val="24"/>
          <w:szCs w:val="24"/>
        </w:rPr>
        <w:t>所得</w:t>
      </w:r>
      <w:proofErr w:type="gramStart"/>
      <w:r w:rsidRPr="00D40021">
        <w:rPr>
          <w:rFonts w:hAnsi="標楷體" w:hint="eastAsia"/>
          <w:spacing w:val="-10"/>
          <w:kern w:val="0"/>
          <w:sz w:val="24"/>
          <w:szCs w:val="24"/>
        </w:rPr>
        <w:t>金額均不含</w:t>
      </w:r>
      <w:proofErr w:type="gramEnd"/>
      <w:r w:rsidRPr="00D40021">
        <w:rPr>
          <w:rFonts w:hAnsi="標楷體" w:hint="eastAsia"/>
          <w:spacing w:val="-10"/>
          <w:kern w:val="0"/>
          <w:sz w:val="24"/>
          <w:szCs w:val="24"/>
        </w:rPr>
        <w:t>公保年金。</w:t>
      </w:r>
    </w:p>
    <w:p w:rsidR="00EA2AF9" w:rsidRPr="00D40021" w:rsidRDefault="00EA2AF9" w:rsidP="00D20336">
      <w:pPr>
        <w:kinsoku w:val="0"/>
        <w:overflowPunct/>
        <w:adjustRightInd w:val="0"/>
        <w:snapToGrid w:val="0"/>
        <w:spacing w:before="40" w:line="280" w:lineRule="exact"/>
        <w:ind w:leftChars="210" w:left="1104" w:hangingChars="150" w:hanging="390"/>
        <w:rPr>
          <w:rFonts w:hAnsi="標楷體"/>
          <w:sz w:val="24"/>
          <w:szCs w:val="24"/>
        </w:rPr>
      </w:pPr>
      <w:r w:rsidRPr="00D40021">
        <w:rPr>
          <w:rFonts w:hAnsi="標楷體" w:hint="eastAsia"/>
          <w:sz w:val="24"/>
          <w:szCs w:val="24"/>
        </w:rPr>
        <w:t>3、</w:t>
      </w:r>
      <w:r w:rsidRPr="00D40021">
        <w:rPr>
          <w:rFonts w:hAnsi="標楷體" w:hint="eastAsia"/>
          <w:spacing w:val="-20"/>
          <w:sz w:val="24"/>
          <w:szCs w:val="28"/>
        </w:rPr>
        <w:t>相關數據係以107年1月1日調薪前之本</w:t>
      </w:r>
      <w:proofErr w:type="gramStart"/>
      <w:r w:rsidRPr="00D40021">
        <w:rPr>
          <w:rFonts w:hAnsi="標楷體" w:hint="eastAsia"/>
          <w:spacing w:val="-20"/>
          <w:sz w:val="24"/>
          <w:szCs w:val="28"/>
        </w:rPr>
        <w:t>俸</w:t>
      </w:r>
      <w:proofErr w:type="gramEnd"/>
      <w:r w:rsidRPr="00D40021">
        <w:rPr>
          <w:rFonts w:hAnsi="標楷體" w:hint="eastAsia"/>
          <w:spacing w:val="-20"/>
          <w:sz w:val="24"/>
          <w:szCs w:val="28"/>
        </w:rPr>
        <w:t>核計。</w:t>
      </w:r>
    </w:p>
    <w:p w:rsidR="00E86257" w:rsidRPr="00D40021" w:rsidRDefault="00E86257" w:rsidP="00D93D8F">
      <w:pPr>
        <w:pStyle w:val="afa"/>
        <w:overflowPunct/>
        <w:spacing w:before="0"/>
        <w:ind w:left="680" w:right="680" w:hanging="680"/>
        <w:rPr>
          <w:rFonts w:hAnsi="標楷體"/>
          <w:noProof/>
        </w:rPr>
      </w:pPr>
      <w:r w:rsidRPr="00D40021">
        <w:rPr>
          <w:rFonts w:hAnsi="標楷體" w:hint="eastAsia"/>
          <w:noProof/>
          <w:sz w:val="24"/>
          <w:szCs w:val="24"/>
        </w:rPr>
        <w:t>資料來源：教育部。</w:t>
      </w:r>
    </w:p>
    <w:p w:rsidR="00E86257" w:rsidRPr="00D40021" w:rsidRDefault="006015BE" w:rsidP="0055173E">
      <w:pPr>
        <w:pStyle w:val="4"/>
        <w:rPr>
          <w:rFonts w:hAnsi="標楷體"/>
          <w:szCs w:val="32"/>
        </w:rPr>
      </w:pPr>
      <w:r w:rsidRPr="00D40021">
        <w:rPr>
          <w:rFonts w:hAnsi="標楷體" w:hint="eastAsia"/>
        </w:rPr>
        <w:t>未具舊制年資之</w:t>
      </w:r>
      <w:r w:rsidR="005015F5" w:rsidRPr="00D40021">
        <w:rPr>
          <w:rFonts w:hAnsi="標楷體"/>
        </w:rPr>
        <w:t>現役</w:t>
      </w:r>
      <w:r w:rsidR="00EA2AF9" w:rsidRPr="00D40021">
        <w:rPr>
          <w:rFonts w:hAnsi="標楷體" w:hint="eastAsia"/>
        </w:rPr>
        <w:t>軍職</w:t>
      </w:r>
      <w:r w:rsidR="005015F5" w:rsidRPr="00D40021">
        <w:rPr>
          <w:rFonts w:hAnsi="標楷體"/>
        </w:rPr>
        <w:t>人員</w:t>
      </w:r>
      <w:r w:rsidR="005015F5" w:rsidRPr="00D40021">
        <w:rPr>
          <w:rFonts w:hAnsi="標楷體" w:hint="eastAsia"/>
        </w:rPr>
        <w:t>未來退休所得，高於其等依修正前規定計算所得金額</w:t>
      </w:r>
      <w:r w:rsidRPr="00D40021">
        <w:rPr>
          <w:rFonts w:hAnsi="標楷體" w:hint="eastAsia"/>
        </w:rPr>
        <w:t>（如表</w:t>
      </w:r>
      <w:r w:rsidR="00090BE9" w:rsidRPr="00D40021">
        <w:rPr>
          <w:rFonts w:hAnsi="標楷體" w:hint="eastAsia"/>
        </w:rPr>
        <w:t>11</w:t>
      </w:r>
      <w:r w:rsidRPr="00D40021">
        <w:rPr>
          <w:rFonts w:hAnsi="標楷體" w:hint="eastAsia"/>
        </w:rPr>
        <w:t>）</w:t>
      </w:r>
    </w:p>
    <w:p w:rsidR="007720C8" w:rsidRPr="00D40021" w:rsidRDefault="007720C8" w:rsidP="006015BE">
      <w:pPr>
        <w:pStyle w:val="5"/>
        <w:rPr>
          <w:rFonts w:hAnsi="標楷體"/>
        </w:rPr>
      </w:pPr>
      <w:r w:rsidRPr="00D40021">
        <w:rPr>
          <w:rFonts w:hAnsi="標楷體" w:hint="eastAsia"/>
        </w:rPr>
        <w:t>依國防部查復本院資料，本次服役條例修正施行後，現職未退人員其月退休所得，依階級（年資）高低，每月分別增加所得9,201元（</w:t>
      </w:r>
      <w:proofErr w:type="gramStart"/>
      <w:r w:rsidRPr="00D40021">
        <w:rPr>
          <w:rFonts w:hAnsi="標楷體" w:hint="eastAsia"/>
        </w:rPr>
        <w:t>一</w:t>
      </w:r>
      <w:proofErr w:type="gramEnd"/>
      <w:r w:rsidRPr="00D40021">
        <w:rPr>
          <w:rFonts w:hAnsi="標楷體" w:hint="eastAsia"/>
        </w:rPr>
        <w:t>等長，年資20年）至17,079元（中將，年資35</w:t>
      </w:r>
      <w:r w:rsidR="006015BE" w:rsidRPr="00D40021">
        <w:rPr>
          <w:rFonts w:hAnsi="標楷體" w:hint="eastAsia"/>
        </w:rPr>
        <w:t>年），</w:t>
      </w:r>
      <w:proofErr w:type="gramStart"/>
      <w:r w:rsidR="006015BE" w:rsidRPr="00D40021">
        <w:rPr>
          <w:rFonts w:hAnsi="標楷體" w:hint="eastAsia"/>
        </w:rPr>
        <w:t>餘同表</w:t>
      </w:r>
      <w:proofErr w:type="gramEnd"/>
      <w:r w:rsidR="002B12F7" w:rsidRPr="00D40021">
        <w:rPr>
          <w:rFonts w:hAnsi="標楷體" w:hint="eastAsia"/>
        </w:rPr>
        <w:t>11</w:t>
      </w:r>
      <w:r w:rsidRPr="00D40021">
        <w:rPr>
          <w:rFonts w:hAnsi="標楷體" w:hint="eastAsia"/>
        </w:rPr>
        <w:t>。</w:t>
      </w:r>
    </w:p>
    <w:p w:rsidR="007720C8" w:rsidRPr="00D40021" w:rsidRDefault="007720C8" w:rsidP="006015BE">
      <w:pPr>
        <w:pStyle w:val="a3"/>
        <w:numPr>
          <w:ilvl w:val="0"/>
          <w:numId w:val="2"/>
        </w:numPr>
        <w:ind w:left="697" w:hanging="697"/>
        <w:jc w:val="left"/>
        <w:rPr>
          <w:rFonts w:hAnsi="標楷體"/>
          <w:kern w:val="2"/>
          <w:sz w:val="24"/>
          <w:szCs w:val="24"/>
        </w:rPr>
      </w:pPr>
      <w:r w:rsidRPr="00D40021">
        <w:rPr>
          <w:rFonts w:hAnsi="標楷體" w:hint="eastAsia"/>
        </w:rPr>
        <w:t>軍職人員年金改革後，</w:t>
      </w:r>
      <w:r w:rsidR="00F571E5" w:rsidRPr="00D40021">
        <w:rPr>
          <w:rFonts w:hAnsi="標楷體" w:hint="eastAsia"/>
        </w:rPr>
        <w:t>純新制</w:t>
      </w:r>
      <w:r w:rsidRPr="00D40021">
        <w:rPr>
          <w:rFonts w:hAnsi="標楷體" w:hint="eastAsia"/>
        </w:rPr>
        <w:t>現役人員月退休所得預估</w:t>
      </w:r>
    </w:p>
    <w:p w:rsidR="007720C8" w:rsidRPr="00D40021" w:rsidRDefault="007720C8" w:rsidP="007720C8">
      <w:pPr>
        <w:pStyle w:val="2"/>
        <w:numPr>
          <w:ilvl w:val="0"/>
          <w:numId w:val="0"/>
        </w:numPr>
        <w:adjustRightInd w:val="0"/>
        <w:snapToGrid w:val="0"/>
        <w:ind w:left="340" w:right="130"/>
        <w:jc w:val="right"/>
        <w:rPr>
          <w:rFonts w:hAnsi="標楷體"/>
          <w:sz w:val="24"/>
          <w:szCs w:val="24"/>
        </w:rPr>
      </w:pPr>
      <w:r w:rsidRPr="00D40021">
        <w:rPr>
          <w:rFonts w:hAnsi="標楷體" w:hint="eastAsia"/>
          <w:sz w:val="24"/>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27"/>
        <w:gridCol w:w="1474"/>
        <w:gridCol w:w="2207"/>
        <w:gridCol w:w="2207"/>
        <w:gridCol w:w="1719"/>
      </w:tblGrid>
      <w:tr w:rsidR="00D40021" w:rsidRPr="00D40021" w:rsidTr="007063EE">
        <w:trPr>
          <w:trHeight w:val="360"/>
          <w:tblHeader/>
        </w:trPr>
        <w:tc>
          <w:tcPr>
            <w:tcW w:w="695" w:type="pct"/>
            <w:vMerge w:val="restart"/>
            <w:shd w:val="clear" w:color="auto" w:fill="EEECE1" w:themeFill="background2"/>
            <w:vAlign w:val="center"/>
          </w:tcPr>
          <w:p w:rsidR="007720C8" w:rsidRPr="00D40021" w:rsidRDefault="007720C8" w:rsidP="00ED236F">
            <w:pPr>
              <w:pStyle w:val="121"/>
              <w:jc w:val="center"/>
            </w:pPr>
            <w:r w:rsidRPr="00D40021">
              <w:rPr>
                <w:rFonts w:hint="eastAsia"/>
              </w:rPr>
              <w:t>退休等級</w:t>
            </w:r>
          </w:p>
        </w:tc>
        <w:tc>
          <w:tcPr>
            <w:tcW w:w="834" w:type="pct"/>
            <w:vMerge w:val="restart"/>
            <w:shd w:val="clear" w:color="auto" w:fill="EEECE1" w:themeFill="background2"/>
            <w:vAlign w:val="center"/>
          </w:tcPr>
          <w:p w:rsidR="007720C8" w:rsidRPr="00D40021" w:rsidRDefault="007720C8" w:rsidP="00ED236F">
            <w:pPr>
              <w:pStyle w:val="121"/>
              <w:jc w:val="center"/>
            </w:pPr>
            <w:r w:rsidRPr="00D40021">
              <w:rPr>
                <w:rFonts w:hint="eastAsia"/>
              </w:rPr>
              <w:t>退休年資</w:t>
            </w:r>
          </w:p>
        </w:tc>
        <w:tc>
          <w:tcPr>
            <w:tcW w:w="1249" w:type="pct"/>
            <w:vMerge w:val="restart"/>
            <w:shd w:val="clear" w:color="auto" w:fill="EEECE1" w:themeFill="background2"/>
            <w:vAlign w:val="center"/>
          </w:tcPr>
          <w:p w:rsidR="007720C8" w:rsidRPr="00D40021" w:rsidRDefault="007720C8" w:rsidP="00ED236F">
            <w:pPr>
              <w:pStyle w:val="121"/>
              <w:jc w:val="center"/>
            </w:pPr>
            <w:r w:rsidRPr="00D40021">
              <w:t>改革前月退休所得</w:t>
            </w:r>
          </w:p>
          <w:p w:rsidR="007720C8" w:rsidRPr="00D40021" w:rsidRDefault="007720C8" w:rsidP="00ED236F">
            <w:pPr>
              <w:pStyle w:val="121"/>
              <w:jc w:val="center"/>
            </w:pPr>
            <w:r w:rsidRPr="00D40021">
              <w:rPr>
                <w:rFonts w:hint="eastAsia"/>
              </w:rPr>
              <w:t>（40%+2%）</w:t>
            </w:r>
          </w:p>
        </w:tc>
        <w:tc>
          <w:tcPr>
            <w:tcW w:w="1249" w:type="pct"/>
            <w:vMerge w:val="restart"/>
            <w:shd w:val="clear" w:color="auto" w:fill="EEECE1" w:themeFill="background2"/>
            <w:vAlign w:val="center"/>
          </w:tcPr>
          <w:p w:rsidR="007720C8" w:rsidRPr="00D40021" w:rsidRDefault="007720C8" w:rsidP="00ED236F">
            <w:pPr>
              <w:pStyle w:val="121"/>
              <w:jc w:val="center"/>
            </w:pPr>
            <w:r w:rsidRPr="00D40021">
              <w:rPr>
                <w:rFonts w:hint="eastAsia"/>
              </w:rPr>
              <w:t>改革後月退休所得</w:t>
            </w:r>
          </w:p>
          <w:p w:rsidR="007720C8" w:rsidRPr="00D40021" w:rsidRDefault="007720C8" w:rsidP="00ED236F">
            <w:pPr>
              <w:pStyle w:val="121"/>
              <w:jc w:val="center"/>
            </w:pPr>
            <w:r w:rsidRPr="00D40021">
              <w:rPr>
                <w:rFonts w:hint="eastAsia"/>
              </w:rPr>
              <w:t>（55%+2%）</w:t>
            </w:r>
          </w:p>
        </w:tc>
        <w:tc>
          <w:tcPr>
            <w:tcW w:w="972" w:type="pct"/>
            <w:vMerge w:val="restart"/>
            <w:shd w:val="clear" w:color="auto" w:fill="EEECE1" w:themeFill="background2"/>
            <w:vAlign w:val="center"/>
          </w:tcPr>
          <w:p w:rsidR="007720C8" w:rsidRPr="00D40021" w:rsidRDefault="007720C8" w:rsidP="00ED236F">
            <w:pPr>
              <w:pStyle w:val="121"/>
              <w:jc w:val="center"/>
            </w:pPr>
            <w:r w:rsidRPr="00D40021">
              <w:rPr>
                <w:rFonts w:hint="eastAsia"/>
              </w:rPr>
              <w:t>改革前後差額</w:t>
            </w:r>
          </w:p>
        </w:tc>
      </w:tr>
      <w:tr w:rsidR="00D40021" w:rsidRPr="00D40021" w:rsidTr="007063EE">
        <w:trPr>
          <w:trHeight w:val="360"/>
          <w:tblHeader/>
        </w:trPr>
        <w:tc>
          <w:tcPr>
            <w:tcW w:w="695" w:type="pct"/>
            <w:vMerge/>
            <w:shd w:val="clear" w:color="auto" w:fill="EEECE1" w:themeFill="background2"/>
            <w:vAlign w:val="center"/>
          </w:tcPr>
          <w:p w:rsidR="007720C8" w:rsidRPr="00D40021" w:rsidRDefault="007720C8" w:rsidP="007720C8">
            <w:pPr>
              <w:pStyle w:val="121"/>
            </w:pPr>
          </w:p>
        </w:tc>
        <w:tc>
          <w:tcPr>
            <w:tcW w:w="834" w:type="pct"/>
            <w:vMerge/>
            <w:shd w:val="clear" w:color="auto" w:fill="EEECE1" w:themeFill="background2"/>
            <w:vAlign w:val="center"/>
          </w:tcPr>
          <w:p w:rsidR="007720C8" w:rsidRPr="00D40021" w:rsidRDefault="007720C8" w:rsidP="007720C8">
            <w:pPr>
              <w:pStyle w:val="121"/>
            </w:pPr>
          </w:p>
        </w:tc>
        <w:tc>
          <w:tcPr>
            <w:tcW w:w="1249" w:type="pct"/>
            <w:vMerge/>
            <w:shd w:val="clear" w:color="auto" w:fill="EEECE1" w:themeFill="background2"/>
            <w:vAlign w:val="center"/>
          </w:tcPr>
          <w:p w:rsidR="007720C8" w:rsidRPr="00D40021" w:rsidRDefault="007720C8" w:rsidP="007720C8">
            <w:pPr>
              <w:pStyle w:val="121"/>
            </w:pPr>
          </w:p>
        </w:tc>
        <w:tc>
          <w:tcPr>
            <w:tcW w:w="1249" w:type="pct"/>
            <w:vMerge/>
            <w:shd w:val="clear" w:color="auto" w:fill="EEECE1" w:themeFill="background2"/>
            <w:vAlign w:val="center"/>
          </w:tcPr>
          <w:p w:rsidR="007720C8" w:rsidRPr="00D40021" w:rsidRDefault="007720C8" w:rsidP="007720C8">
            <w:pPr>
              <w:pStyle w:val="121"/>
            </w:pPr>
          </w:p>
        </w:tc>
        <w:tc>
          <w:tcPr>
            <w:tcW w:w="972" w:type="pct"/>
            <w:vMerge/>
            <w:shd w:val="clear" w:color="auto" w:fill="EEECE1" w:themeFill="background2"/>
            <w:vAlign w:val="center"/>
          </w:tcPr>
          <w:p w:rsidR="007720C8" w:rsidRPr="00D40021" w:rsidRDefault="007720C8" w:rsidP="007720C8">
            <w:pPr>
              <w:pStyle w:val="121"/>
            </w:pPr>
          </w:p>
        </w:tc>
      </w:tr>
      <w:tr w:rsidR="00D40021" w:rsidRPr="00D40021" w:rsidTr="00BE63A9">
        <w:trPr>
          <w:trHeight w:val="20"/>
        </w:trPr>
        <w:tc>
          <w:tcPr>
            <w:tcW w:w="695" w:type="pct"/>
            <w:vMerge w:val="restart"/>
            <w:shd w:val="clear" w:color="auto" w:fill="EEECE1" w:themeFill="background2"/>
            <w:vAlign w:val="center"/>
          </w:tcPr>
          <w:p w:rsidR="007720C8" w:rsidRPr="00D40021" w:rsidRDefault="007720C8" w:rsidP="007720C8">
            <w:pPr>
              <w:pStyle w:val="121"/>
            </w:pPr>
            <w:proofErr w:type="gramStart"/>
            <w:r w:rsidRPr="00D40021">
              <w:rPr>
                <w:rFonts w:hint="eastAsia"/>
              </w:rPr>
              <w:t>一</w:t>
            </w:r>
            <w:proofErr w:type="gramEnd"/>
            <w:r w:rsidRPr="00D40021">
              <w:rPr>
                <w:rFonts w:hint="eastAsia"/>
              </w:rPr>
              <w:t>等長</w:t>
            </w:r>
          </w:p>
        </w:tc>
        <w:tc>
          <w:tcPr>
            <w:tcW w:w="834" w:type="pct"/>
            <w:shd w:val="clear" w:color="auto" w:fill="EEECE1" w:themeFill="background2"/>
            <w:vAlign w:val="center"/>
          </w:tcPr>
          <w:p w:rsidR="007720C8" w:rsidRPr="00D40021" w:rsidRDefault="007720C8" w:rsidP="007720C8">
            <w:pPr>
              <w:pStyle w:val="121"/>
            </w:pPr>
            <w:r w:rsidRPr="00D40021">
              <w:rPr>
                <w:rFonts w:hint="eastAsia"/>
              </w:rPr>
              <w:t>20（8級）</w:t>
            </w:r>
          </w:p>
        </w:tc>
        <w:tc>
          <w:tcPr>
            <w:tcW w:w="1249" w:type="pct"/>
            <w:shd w:val="clear" w:color="auto" w:fill="EAF1DD" w:themeFill="accent3" w:themeFillTint="33"/>
            <w:vAlign w:val="center"/>
          </w:tcPr>
          <w:p w:rsidR="007720C8" w:rsidRPr="00D40021" w:rsidRDefault="007720C8" w:rsidP="007720C8">
            <w:pPr>
              <w:pStyle w:val="121"/>
              <w:rPr>
                <w:rFonts w:cs="新細明體"/>
              </w:rPr>
            </w:pPr>
            <w:r w:rsidRPr="00D40021">
              <w:rPr>
                <w:rFonts w:cs="新細明體" w:hint="eastAsia"/>
              </w:rPr>
              <w:t>24,536</w:t>
            </w:r>
          </w:p>
        </w:tc>
        <w:tc>
          <w:tcPr>
            <w:tcW w:w="1249" w:type="pct"/>
            <w:shd w:val="clear" w:color="auto" w:fill="EAF1DD" w:themeFill="accent3" w:themeFillTint="33"/>
            <w:vAlign w:val="center"/>
          </w:tcPr>
          <w:p w:rsidR="007720C8" w:rsidRPr="00D40021" w:rsidRDefault="007720C8" w:rsidP="007720C8">
            <w:pPr>
              <w:pStyle w:val="121"/>
              <w:rPr>
                <w:rFonts w:cs="新細明體"/>
              </w:rPr>
            </w:pPr>
            <w:r w:rsidRPr="00D40021">
              <w:rPr>
                <w:rFonts w:cs="新細明體" w:hint="eastAsia"/>
              </w:rPr>
              <w:t>33,737</w:t>
            </w:r>
          </w:p>
        </w:tc>
        <w:tc>
          <w:tcPr>
            <w:tcW w:w="972" w:type="pct"/>
            <w:shd w:val="clear" w:color="auto" w:fill="EAF1DD" w:themeFill="accent3" w:themeFillTint="33"/>
            <w:vAlign w:val="center"/>
          </w:tcPr>
          <w:p w:rsidR="007720C8" w:rsidRPr="00D40021" w:rsidRDefault="007720C8" w:rsidP="007720C8">
            <w:pPr>
              <w:pStyle w:val="121"/>
              <w:rPr>
                <w:rFonts w:cs="新細明體"/>
              </w:rPr>
            </w:pPr>
            <w:r w:rsidRPr="00D40021">
              <w:rPr>
                <w:rFonts w:cs="新細明體" w:hint="eastAsia"/>
              </w:rPr>
              <w:t>+9,201</w:t>
            </w:r>
          </w:p>
        </w:tc>
      </w:tr>
      <w:tr w:rsidR="00D40021" w:rsidRPr="00D40021" w:rsidTr="007063EE">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24（12級）</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32,074</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42,097</w:t>
            </w:r>
          </w:p>
        </w:tc>
        <w:tc>
          <w:tcPr>
            <w:tcW w:w="972"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+10,023</w:t>
            </w:r>
          </w:p>
        </w:tc>
      </w:tr>
      <w:tr w:rsidR="00D40021" w:rsidRPr="00D40021" w:rsidTr="007063EE">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28（16級）</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40,494</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51,341</w:t>
            </w:r>
          </w:p>
        </w:tc>
        <w:tc>
          <w:tcPr>
            <w:tcW w:w="972"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+10,847</w:t>
            </w:r>
          </w:p>
        </w:tc>
      </w:tr>
      <w:tr w:rsidR="00D40021" w:rsidRPr="00D40021" w:rsidTr="006D5A91">
        <w:trPr>
          <w:trHeight w:val="20"/>
        </w:trPr>
        <w:tc>
          <w:tcPr>
            <w:tcW w:w="695" w:type="pct"/>
            <w:vMerge/>
            <w:tcBorders>
              <w:bottom w:val="single" w:sz="4" w:space="0" w:color="auto"/>
            </w:tcBorders>
            <w:shd w:val="clear" w:color="auto" w:fill="EEECE1" w:themeFill="background2"/>
            <w:vAlign w:val="center"/>
          </w:tcPr>
          <w:p w:rsidR="007720C8" w:rsidRPr="00D40021" w:rsidRDefault="007720C8" w:rsidP="007720C8">
            <w:pPr>
              <w:pStyle w:val="121"/>
            </w:pPr>
          </w:p>
        </w:tc>
        <w:tc>
          <w:tcPr>
            <w:tcW w:w="834" w:type="pct"/>
            <w:tcBorders>
              <w:bottom w:val="single" w:sz="4" w:space="0" w:color="auto"/>
            </w:tcBorders>
            <w:shd w:val="clear" w:color="auto" w:fill="EEECE1" w:themeFill="background2"/>
            <w:vAlign w:val="center"/>
          </w:tcPr>
          <w:p w:rsidR="007720C8" w:rsidRPr="00D40021" w:rsidRDefault="007720C8" w:rsidP="007720C8">
            <w:pPr>
              <w:pStyle w:val="121"/>
            </w:pPr>
            <w:r w:rsidRPr="00D40021">
              <w:rPr>
                <w:rFonts w:hint="eastAsia"/>
              </w:rPr>
              <w:t>35（20級）</w:t>
            </w:r>
          </w:p>
        </w:tc>
        <w:tc>
          <w:tcPr>
            <w:tcW w:w="1249" w:type="pct"/>
            <w:tcBorders>
              <w:bottom w:val="single" w:sz="4" w:space="0" w:color="auto"/>
            </w:tcBorders>
            <w:shd w:val="clear" w:color="auto" w:fill="FFFF00"/>
            <w:vAlign w:val="center"/>
          </w:tcPr>
          <w:p w:rsidR="007720C8" w:rsidRPr="00D40021" w:rsidRDefault="007720C8" w:rsidP="007720C8">
            <w:pPr>
              <w:pStyle w:val="121"/>
              <w:rPr>
                <w:rFonts w:cs="新細明體"/>
              </w:rPr>
            </w:pPr>
            <w:r w:rsidRPr="00D40021">
              <w:rPr>
                <w:rFonts w:cs="新細明體" w:hint="eastAsia"/>
              </w:rPr>
              <w:t>54,460</w:t>
            </w:r>
          </w:p>
        </w:tc>
        <w:tc>
          <w:tcPr>
            <w:tcW w:w="1249" w:type="pct"/>
            <w:tcBorders>
              <w:bottom w:val="single" w:sz="4" w:space="0" w:color="auto"/>
            </w:tcBorders>
            <w:shd w:val="clear" w:color="auto" w:fill="FFFF00"/>
            <w:vAlign w:val="center"/>
          </w:tcPr>
          <w:p w:rsidR="007720C8" w:rsidRPr="00D40021" w:rsidRDefault="007720C8" w:rsidP="007720C8">
            <w:pPr>
              <w:pStyle w:val="121"/>
              <w:rPr>
                <w:rFonts w:cs="新細明體"/>
              </w:rPr>
            </w:pPr>
            <w:r w:rsidRPr="00D40021">
              <w:rPr>
                <w:rFonts w:cs="新細明體" w:hint="eastAsia"/>
              </w:rPr>
              <w:t>66,130</w:t>
            </w:r>
          </w:p>
        </w:tc>
        <w:tc>
          <w:tcPr>
            <w:tcW w:w="972" w:type="pct"/>
            <w:tcBorders>
              <w:bottom w:val="single" w:sz="4" w:space="0" w:color="auto"/>
            </w:tcBorders>
            <w:shd w:val="clear" w:color="auto" w:fill="FFFF00"/>
            <w:vAlign w:val="center"/>
          </w:tcPr>
          <w:p w:rsidR="007720C8" w:rsidRPr="00D40021" w:rsidRDefault="007720C8" w:rsidP="007720C8">
            <w:pPr>
              <w:pStyle w:val="121"/>
              <w:rPr>
                <w:rFonts w:cs="新細明體"/>
              </w:rPr>
            </w:pPr>
            <w:r w:rsidRPr="00D40021">
              <w:rPr>
                <w:rFonts w:cs="新細明體" w:hint="eastAsia"/>
              </w:rPr>
              <w:t>+11,670</w:t>
            </w:r>
          </w:p>
        </w:tc>
      </w:tr>
      <w:tr w:rsidR="00D40021" w:rsidRPr="00D40021" w:rsidTr="006D5A91">
        <w:trPr>
          <w:trHeight w:val="20"/>
        </w:trPr>
        <w:tc>
          <w:tcPr>
            <w:tcW w:w="695" w:type="pct"/>
            <w:tcBorders>
              <w:bottom w:val="single" w:sz="4" w:space="0" w:color="auto"/>
            </w:tcBorders>
            <w:shd w:val="clear" w:color="auto" w:fill="EEECE1" w:themeFill="background2"/>
            <w:vAlign w:val="center"/>
          </w:tcPr>
          <w:p w:rsidR="007720C8" w:rsidRPr="00D40021" w:rsidRDefault="007720C8" w:rsidP="007720C8">
            <w:pPr>
              <w:pStyle w:val="121"/>
            </w:pPr>
            <w:r w:rsidRPr="00D40021">
              <w:rPr>
                <w:rFonts w:hint="eastAsia"/>
              </w:rPr>
              <w:t>少校</w:t>
            </w:r>
          </w:p>
        </w:tc>
        <w:tc>
          <w:tcPr>
            <w:tcW w:w="834" w:type="pct"/>
            <w:tcBorders>
              <w:bottom w:val="single" w:sz="4" w:space="0" w:color="auto"/>
            </w:tcBorders>
            <w:shd w:val="clear" w:color="auto" w:fill="EEECE1" w:themeFill="background2"/>
            <w:vAlign w:val="center"/>
          </w:tcPr>
          <w:p w:rsidR="007720C8" w:rsidRPr="00D40021" w:rsidRDefault="007720C8" w:rsidP="007720C8">
            <w:pPr>
              <w:pStyle w:val="121"/>
            </w:pPr>
            <w:r w:rsidRPr="00D40021">
              <w:rPr>
                <w:rFonts w:hint="eastAsia"/>
              </w:rPr>
              <w:t>20（12級）</w:t>
            </w:r>
          </w:p>
        </w:tc>
        <w:tc>
          <w:tcPr>
            <w:tcW w:w="1249" w:type="pct"/>
            <w:tcBorders>
              <w:bottom w:val="single" w:sz="4" w:space="0" w:color="auto"/>
            </w:tcBorders>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32,492</w:t>
            </w:r>
          </w:p>
        </w:tc>
        <w:tc>
          <w:tcPr>
            <w:tcW w:w="1249" w:type="pct"/>
            <w:tcBorders>
              <w:bottom w:val="single" w:sz="4" w:space="0" w:color="auto"/>
            </w:tcBorders>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44,677</w:t>
            </w:r>
          </w:p>
        </w:tc>
        <w:tc>
          <w:tcPr>
            <w:tcW w:w="972" w:type="pct"/>
            <w:tcBorders>
              <w:bottom w:val="single" w:sz="4" w:space="0" w:color="auto"/>
            </w:tcBorders>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+12,185</w:t>
            </w:r>
          </w:p>
        </w:tc>
      </w:tr>
      <w:tr w:rsidR="00D40021" w:rsidRPr="00D40021" w:rsidTr="006D5A91">
        <w:trPr>
          <w:trHeight w:val="20"/>
        </w:trPr>
        <w:tc>
          <w:tcPr>
            <w:tcW w:w="695" w:type="pct"/>
            <w:vMerge w:val="restart"/>
            <w:tcBorders>
              <w:top w:val="single" w:sz="4" w:space="0" w:color="auto"/>
            </w:tcBorders>
            <w:shd w:val="clear" w:color="auto" w:fill="EEECE1" w:themeFill="background2"/>
            <w:vAlign w:val="center"/>
          </w:tcPr>
          <w:p w:rsidR="007720C8" w:rsidRPr="00D40021" w:rsidRDefault="007720C8" w:rsidP="007720C8">
            <w:pPr>
              <w:pStyle w:val="121"/>
            </w:pPr>
            <w:r w:rsidRPr="00D40021">
              <w:rPr>
                <w:rFonts w:hint="eastAsia"/>
              </w:rPr>
              <w:t>中校</w:t>
            </w:r>
          </w:p>
        </w:tc>
        <w:tc>
          <w:tcPr>
            <w:tcW w:w="834" w:type="pct"/>
            <w:tcBorders>
              <w:top w:val="single" w:sz="4" w:space="0" w:color="auto"/>
            </w:tcBorders>
            <w:shd w:val="clear" w:color="auto" w:fill="EEECE1" w:themeFill="background2"/>
            <w:vAlign w:val="center"/>
          </w:tcPr>
          <w:p w:rsidR="007720C8" w:rsidRPr="00D40021" w:rsidRDefault="007720C8" w:rsidP="007720C8">
            <w:pPr>
              <w:pStyle w:val="121"/>
            </w:pPr>
            <w:r w:rsidRPr="00D40021">
              <w:rPr>
                <w:rFonts w:hint="eastAsia"/>
              </w:rPr>
              <w:t>20（10級）</w:t>
            </w:r>
          </w:p>
        </w:tc>
        <w:tc>
          <w:tcPr>
            <w:tcW w:w="1249" w:type="pct"/>
            <w:tcBorders>
              <w:top w:val="single" w:sz="4" w:space="0" w:color="auto"/>
            </w:tcBorders>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34,140</w:t>
            </w:r>
          </w:p>
        </w:tc>
        <w:tc>
          <w:tcPr>
            <w:tcW w:w="1249" w:type="pct"/>
            <w:tcBorders>
              <w:top w:val="single" w:sz="4" w:space="0" w:color="auto"/>
            </w:tcBorders>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46,943</w:t>
            </w:r>
          </w:p>
        </w:tc>
        <w:tc>
          <w:tcPr>
            <w:tcW w:w="972" w:type="pct"/>
            <w:tcBorders>
              <w:top w:val="single" w:sz="4" w:space="0" w:color="auto"/>
            </w:tcBorders>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+12,803</w:t>
            </w:r>
          </w:p>
        </w:tc>
      </w:tr>
      <w:tr w:rsidR="00D40021" w:rsidRPr="00D40021" w:rsidTr="007063EE">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24（12級）</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42,941</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56,360</w:t>
            </w:r>
          </w:p>
        </w:tc>
        <w:tc>
          <w:tcPr>
            <w:tcW w:w="972"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+13,419</w:t>
            </w:r>
          </w:p>
        </w:tc>
      </w:tr>
      <w:tr w:rsidR="00D40021" w:rsidRPr="00D40021" w:rsidTr="007063EE">
        <w:trPr>
          <w:trHeight w:val="20"/>
        </w:trPr>
        <w:tc>
          <w:tcPr>
            <w:tcW w:w="695" w:type="pct"/>
            <w:vMerge w:val="restart"/>
            <w:shd w:val="clear" w:color="auto" w:fill="EEECE1" w:themeFill="background2"/>
            <w:vAlign w:val="center"/>
          </w:tcPr>
          <w:p w:rsidR="007720C8" w:rsidRPr="00D40021" w:rsidRDefault="007720C8" w:rsidP="007720C8">
            <w:pPr>
              <w:pStyle w:val="121"/>
            </w:pPr>
            <w:r w:rsidRPr="00D40021">
              <w:rPr>
                <w:rFonts w:hint="eastAsia"/>
              </w:rPr>
              <w:t>上校</w:t>
            </w:r>
          </w:p>
        </w:tc>
        <w:tc>
          <w:tcPr>
            <w:tcW w:w="834" w:type="pct"/>
            <w:shd w:val="clear" w:color="auto" w:fill="EEECE1" w:themeFill="background2"/>
            <w:vAlign w:val="center"/>
          </w:tcPr>
          <w:p w:rsidR="007720C8" w:rsidRPr="00D40021" w:rsidRDefault="007720C8" w:rsidP="007720C8">
            <w:pPr>
              <w:pStyle w:val="121"/>
            </w:pPr>
            <w:r w:rsidRPr="00D40021">
              <w:rPr>
                <w:rFonts w:hint="eastAsia"/>
              </w:rPr>
              <w:t>20（7級）</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36,608</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50,336</w:t>
            </w:r>
          </w:p>
        </w:tc>
        <w:tc>
          <w:tcPr>
            <w:tcW w:w="972"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+13,728</w:t>
            </w:r>
          </w:p>
        </w:tc>
      </w:tr>
      <w:tr w:rsidR="00D40021" w:rsidRPr="00D40021" w:rsidTr="00BE63A9">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24（11級）</w:t>
            </w:r>
          </w:p>
        </w:tc>
        <w:tc>
          <w:tcPr>
            <w:tcW w:w="1249" w:type="pct"/>
            <w:shd w:val="clear" w:color="auto" w:fill="auto"/>
            <w:vAlign w:val="center"/>
          </w:tcPr>
          <w:p w:rsidR="007720C8" w:rsidRPr="00D40021" w:rsidRDefault="007720C8" w:rsidP="007720C8">
            <w:pPr>
              <w:pStyle w:val="121"/>
              <w:rPr>
                <w:rFonts w:cs="新細明體"/>
              </w:rPr>
            </w:pPr>
            <w:r w:rsidRPr="00D40021">
              <w:rPr>
                <w:rFonts w:cs="新細明體" w:hint="eastAsia"/>
              </w:rPr>
              <w:t>49,200</w:t>
            </w:r>
          </w:p>
        </w:tc>
        <w:tc>
          <w:tcPr>
            <w:tcW w:w="1249" w:type="pct"/>
            <w:shd w:val="clear" w:color="auto" w:fill="auto"/>
            <w:vAlign w:val="center"/>
          </w:tcPr>
          <w:p w:rsidR="007720C8" w:rsidRPr="00D40021" w:rsidRDefault="007720C8" w:rsidP="007720C8">
            <w:pPr>
              <w:pStyle w:val="121"/>
              <w:rPr>
                <w:rFonts w:cs="新細明體"/>
              </w:rPr>
            </w:pPr>
            <w:r w:rsidRPr="00D40021">
              <w:rPr>
                <w:rFonts w:cs="新細明體" w:hint="eastAsia"/>
              </w:rPr>
              <w:t>64,575</w:t>
            </w:r>
          </w:p>
        </w:tc>
        <w:tc>
          <w:tcPr>
            <w:tcW w:w="972" w:type="pct"/>
            <w:shd w:val="clear" w:color="auto" w:fill="auto"/>
            <w:vAlign w:val="center"/>
          </w:tcPr>
          <w:p w:rsidR="007720C8" w:rsidRPr="00D40021" w:rsidRDefault="007720C8" w:rsidP="007720C8">
            <w:pPr>
              <w:pStyle w:val="121"/>
              <w:rPr>
                <w:rFonts w:cs="新細明體"/>
              </w:rPr>
            </w:pPr>
            <w:r w:rsidRPr="00D40021">
              <w:rPr>
                <w:rFonts w:cs="新細明體" w:hint="eastAsia"/>
              </w:rPr>
              <w:t>+15,375</w:t>
            </w:r>
          </w:p>
        </w:tc>
      </w:tr>
      <w:tr w:rsidR="00D40021" w:rsidRPr="00D40021" w:rsidTr="00BE63A9">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28（12級）</w:t>
            </w:r>
          </w:p>
        </w:tc>
        <w:tc>
          <w:tcPr>
            <w:tcW w:w="1249" w:type="pct"/>
            <w:shd w:val="clear" w:color="auto" w:fill="FFFF00"/>
            <w:vAlign w:val="center"/>
          </w:tcPr>
          <w:p w:rsidR="007720C8" w:rsidRPr="00D40021" w:rsidRDefault="007720C8" w:rsidP="007720C8">
            <w:pPr>
              <w:pStyle w:val="121"/>
              <w:rPr>
                <w:rFonts w:cs="新細明體"/>
              </w:rPr>
            </w:pPr>
            <w:r w:rsidRPr="00D40021">
              <w:rPr>
                <w:rFonts w:cs="新細明體" w:hint="eastAsia"/>
              </w:rPr>
              <w:t>58,935</w:t>
            </w:r>
          </w:p>
        </w:tc>
        <w:tc>
          <w:tcPr>
            <w:tcW w:w="1249" w:type="pct"/>
            <w:shd w:val="clear" w:color="auto" w:fill="FFFF00"/>
            <w:vAlign w:val="center"/>
          </w:tcPr>
          <w:p w:rsidR="007720C8" w:rsidRPr="00D40021" w:rsidRDefault="007720C8" w:rsidP="007720C8">
            <w:pPr>
              <w:pStyle w:val="121"/>
              <w:rPr>
                <w:rFonts w:cs="新細明體"/>
              </w:rPr>
            </w:pPr>
            <w:r w:rsidRPr="00D40021">
              <w:rPr>
                <w:rFonts w:cs="新細明體" w:hint="eastAsia"/>
              </w:rPr>
              <w:t>74,721</w:t>
            </w:r>
          </w:p>
        </w:tc>
        <w:tc>
          <w:tcPr>
            <w:tcW w:w="972" w:type="pct"/>
            <w:shd w:val="clear" w:color="auto" w:fill="FFFF00"/>
            <w:vAlign w:val="center"/>
          </w:tcPr>
          <w:p w:rsidR="007720C8" w:rsidRPr="00D40021" w:rsidRDefault="007720C8" w:rsidP="007720C8">
            <w:pPr>
              <w:pStyle w:val="121"/>
              <w:rPr>
                <w:rFonts w:cs="新細明體"/>
              </w:rPr>
            </w:pPr>
            <w:r w:rsidRPr="00D40021">
              <w:rPr>
                <w:rFonts w:cs="新細明體" w:hint="eastAsia"/>
              </w:rPr>
              <w:t>+15,786</w:t>
            </w:r>
          </w:p>
        </w:tc>
      </w:tr>
      <w:tr w:rsidR="00D40021" w:rsidRPr="00D40021" w:rsidTr="007063EE">
        <w:trPr>
          <w:trHeight w:val="20"/>
        </w:trPr>
        <w:tc>
          <w:tcPr>
            <w:tcW w:w="695" w:type="pct"/>
            <w:vMerge w:val="restart"/>
            <w:shd w:val="clear" w:color="auto" w:fill="EEECE1" w:themeFill="background2"/>
            <w:vAlign w:val="center"/>
          </w:tcPr>
          <w:p w:rsidR="007720C8" w:rsidRPr="00D40021" w:rsidRDefault="007720C8" w:rsidP="007720C8">
            <w:pPr>
              <w:pStyle w:val="121"/>
            </w:pPr>
            <w:r w:rsidRPr="00D40021">
              <w:rPr>
                <w:rFonts w:hint="eastAsia"/>
              </w:rPr>
              <w:t>少將</w:t>
            </w:r>
          </w:p>
        </w:tc>
        <w:tc>
          <w:tcPr>
            <w:tcW w:w="834" w:type="pct"/>
            <w:shd w:val="clear" w:color="auto" w:fill="EEECE1" w:themeFill="background2"/>
            <w:vAlign w:val="center"/>
          </w:tcPr>
          <w:p w:rsidR="007720C8" w:rsidRPr="00D40021" w:rsidRDefault="007720C8" w:rsidP="007720C8">
            <w:pPr>
              <w:pStyle w:val="121"/>
            </w:pPr>
            <w:r w:rsidRPr="00D40021">
              <w:rPr>
                <w:rFonts w:hint="eastAsia"/>
              </w:rPr>
              <w:t>20</w:t>
            </w:r>
          </w:p>
        </w:tc>
        <w:tc>
          <w:tcPr>
            <w:tcW w:w="3471" w:type="pct"/>
            <w:gridSpan w:val="3"/>
            <w:vMerge w:val="restar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此年資無晉升少將人員</w:t>
            </w:r>
          </w:p>
        </w:tc>
      </w:tr>
      <w:tr w:rsidR="00D40021" w:rsidRPr="00D40021" w:rsidTr="007063EE">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24</w:t>
            </w:r>
          </w:p>
        </w:tc>
        <w:tc>
          <w:tcPr>
            <w:tcW w:w="3471" w:type="pct"/>
            <w:gridSpan w:val="3"/>
            <w:vMerge/>
            <w:shd w:val="clear" w:color="auto" w:fill="FFFFFF" w:themeFill="background1"/>
            <w:vAlign w:val="center"/>
          </w:tcPr>
          <w:p w:rsidR="007720C8" w:rsidRPr="00D40021" w:rsidRDefault="007720C8" w:rsidP="007720C8">
            <w:pPr>
              <w:pStyle w:val="121"/>
              <w:rPr>
                <w:rFonts w:cs="新細明體"/>
              </w:rPr>
            </w:pPr>
          </w:p>
        </w:tc>
      </w:tr>
      <w:tr w:rsidR="00D40021" w:rsidRPr="00D40021" w:rsidTr="007063EE">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28（10級）</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60,469</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76,666</w:t>
            </w:r>
          </w:p>
        </w:tc>
        <w:tc>
          <w:tcPr>
            <w:tcW w:w="972"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+16,197</w:t>
            </w:r>
          </w:p>
        </w:tc>
      </w:tr>
      <w:tr w:rsidR="00D40021" w:rsidRPr="00D40021" w:rsidTr="007063EE">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35（10級）</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75,586</w:t>
            </w:r>
          </w:p>
        </w:tc>
        <w:tc>
          <w:tcPr>
            <w:tcW w:w="1249"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91,783</w:t>
            </w:r>
          </w:p>
        </w:tc>
        <w:tc>
          <w:tcPr>
            <w:tcW w:w="972" w:type="pc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+16,197</w:t>
            </w:r>
          </w:p>
        </w:tc>
      </w:tr>
      <w:tr w:rsidR="00D40021" w:rsidRPr="00D40021" w:rsidTr="007063EE">
        <w:trPr>
          <w:trHeight w:val="20"/>
        </w:trPr>
        <w:tc>
          <w:tcPr>
            <w:tcW w:w="695" w:type="pct"/>
            <w:vMerge w:val="restart"/>
            <w:shd w:val="clear" w:color="auto" w:fill="EEECE1" w:themeFill="background2"/>
            <w:vAlign w:val="center"/>
          </w:tcPr>
          <w:p w:rsidR="007720C8" w:rsidRPr="00D40021" w:rsidRDefault="007720C8" w:rsidP="007720C8">
            <w:pPr>
              <w:pStyle w:val="121"/>
            </w:pPr>
            <w:r w:rsidRPr="00D40021">
              <w:rPr>
                <w:rFonts w:hint="eastAsia"/>
              </w:rPr>
              <w:t>中將</w:t>
            </w:r>
          </w:p>
        </w:tc>
        <w:tc>
          <w:tcPr>
            <w:tcW w:w="834" w:type="pct"/>
            <w:shd w:val="clear" w:color="auto" w:fill="EEECE1" w:themeFill="background2"/>
            <w:vAlign w:val="center"/>
          </w:tcPr>
          <w:p w:rsidR="007720C8" w:rsidRPr="00D40021" w:rsidRDefault="007720C8" w:rsidP="007720C8">
            <w:pPr>
              <w:pStyle w:val="121"/>
            </w:pPr>
            <w:r w:rsidRPr="00D40021">
              <w:rPr>
                <w:rFonts w:hint="eastAsia"/>
              </w:rPr>
              <w:t>20</w:t>
            </w:r>
          </w:p>
        </w:tc>
        <w:tc>
          <w:tcPr>
            <w:tcW w:w="3471" w:type="pct"/>
            <w:gridSpan w:val="3"/>
            <w:vMerge w:val="restart"/>
            <w:shd w:val="clear" w:color="auto" w:fill="FFFFFF" w:themeFill="background1"/>
            <w:vAlign w:val="center"/>
          </w:tcPr>
          <w:p w:rsidR="007720C8" w:rsidRPr="00D40021" w:rsidRDefault="007720C8" w:rsidP="007720C8">
            <w:pPr>
              <w:pStyle w:val="121"/>
              <w:rPr>
                <w:rFonts w:cs="新細明體"/>
              </w:rPr>
            </w:pPr>
            <w:r w:rsidRPr="00D40021">
              <w:rPr>
                <w:rFonts w:cs="新細明體" w:hint="eastAsia"/>
              </w:rPr>
              <w:t>此年資無晉升中將人員</w:t>
            </w:r>
          </w:p>
        </w:tc>
      </w:tr>
      <w:tr w:rsidR="00D40021" w:rsidRPr="00D40021" w:rsidTr="007063EE">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24</w:t>
            </w:r>
          </w:p>
        </w:tc>
        <w:tc>
          <w:tcPr>
            <w:tcW w:w="3471" w:type="pct"/>
            <w:gridSpan w:val="3"/>
            <w:vMerge/>
            <w:shd w:val="clear" w:color="auto" w:fill="FFFFFF" w:themeFill="background1"/>
            <w:vAlign w:val="center"/>
          </w:tcPr>
          <w:p w:rsidR="007720C8" w:rsidRPr="00D40021" w:rsidRDefault="007720C8" w:rsidP="007720C8">
            <w:pPr>
              <w:pStyle w:val="121"/>
              <w:rPr>
                <w:rFonts w:cs="新細明體"/>
              </w:rPr>
            </w:pPr>
          </w:p>
        </w:tc>
      </w:tr>
      <w:tr w:rsidR="00D40021" w:rsidRPr="00D40021" w:rsidTr="007063EE">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28</w:t>
            </w:r>
          </w:p>
        </w:tc>
        <w:tc>
          <w:tcPr>
            <w:tcW w:w="3471" w:type="pct"/>
            <w:gridSpan w:val="3"/>
            <w:vMerge/>
            <w:shd w:val="clear" w:color="auto" w:fill="FFFFFF" w:themeFill="background1"/>
            <w:vAlign w:val="center"/>
          </w:tcPr>
          <w:p w:rsidR="007720C8" w:rsidRPr="00D40021" w:rsidRDefault="007720C8" w:rsidP="007720C8">
            <w:pPr>
              <w:pStyle w:val="121"/>
              <w:rPr>
                <w:rFonts w:cs="新細明體"/>
              </w:rPr>
            </w:pPr>
          </w:p>
        </w:tc>
      </w:tr>
      <w:tr w:rsidR="00D40021" w:rsidRPr="00D40021" w:rsidTr="00BE63A9">
        <w:trPr>
          <w:trHeight w:val="20"/>
        </w:trPr>
        <w:tc>
          <w:tcPr>
            <w:tcW w:w="695" w:type="pct"/>
            <w:vMerge/>
            <w:shd w:val="clear" w:color="auto" w:fill="EEECE1" w:themeFill="background2"/>
            <w:vAlign w:val="center"/>
          </w:tcPr>
          <w:p w:rsidR="007720C8" w:rsidRPr="00D40021" w:rsidRDefault="007720C8" w:rsidP="007720C8">
            <w:pPr>
              <w:pStyle w:val="121"/>
            </w:pPr>
          </w:p>
        </w:tc>
        <w:tc>
          <w:tcPr>
            <w:tcW w:w="834" w:type="pct"/>
            <w:shd w:val="clear" w:color="auto" w:fill="EEECE1" w:themeFill="background2"/>
            <w:vAlign w:val="center"/>
          </w:tcPr>
          <w:p w:rsidR="007720C8" w:rsidRPr="00D40021" w:rsidRDefault="007720C8" w:rsidP="007720C8">
            <w:pPr>
              <w:pStyle w:val="121"/>
            </w:pPr>
            <w:r w:rsidRPr="00D40021">
              <w:rPr>
                <w:rFonts w:hint="eastAsia"/>
              </w:rPr>
              <w:t>35（6級）</w:t>
            </w:r>
          </w:p>
        </w:tc>
        <w:tc>
          <w:tcPr>
            <w:tcW w:w="1249" w:type="pct"/>
            <w:shd w:val="clear" w:color="auto" w:fill="EAF1DD" w:themeFill="accent3" w:themeFillTint="33"/>
            <w:vAlign w:val="center"/>
          </w:tcPr>
          <w:p w:rsidR="007720C8" w:rsidRPr="00D40021" w:rsidRDefault="007720C8" w:rsidP="007720C8">
            <w:pPr>
              <w:pStyle w:val="121"/>
              <w:rPr>
                <w:rFonts w:cs="新細明體"/>
              </w:rPr>
            </w:pPr>
            <w:r w:rsidRPr="00D40021">
              <w:rPr>
                <w:rFonts w:cs="新細明體" w:hint="eastAsia"/>
              </w:rPr>
              <w:t>79,702</w:t>
            </w:r>
          </w:p>
        </w:tc>
        <w:tc>
          <w:tcPr>
            <w:tcW w:w="1249" w:type="pct"/>
            <w:shd w:val="clear" w:color="auto" w:fill="EAF1DD" w:themeFill="accent3" w:themeFillTint="33"/>
            <w:vAlign w:val="center"/>
          </w:tcPr>
          <w:p w:rsidR="007720C8" w:rsidRPr="00D40021" w:rsidRDefault="007720C8" w:rsidP="007720C8">
            <w:pPr>
              <w:pStyle w:val="121"/>
              <w:rPr>
                <w:rFonts w:cs="新細明體"/>
              </w:rPr>
            </w:pPr>
            <w:r w:rsidRPr="00D40021">
              <w:rPr>
                <w:rFonts w:cs="新細明體" w:hint="eastAsia"/>
              </w:rPr>
              <w:t>96,781</w:t>
            </w:r>
          </w:p>
        </w:tc>
        <w:tc>
          <w:tcPr>
            <w:tcW w:w="972" w:type="pct"/>
            <w:shd w:val="clear" w:color="auto" w:fill="EAF1DD" w:themeFill="accent3" w:themeFillTint="33"/>
            <w:vAlign w:val="center"/>
          </w:tcPr>
          <w:p w:rsidR="007720C8" w:rsidRPr="00D40021" w:rsidRDefault="007720C8" w:rsidP="007720C8">
            <w:pPr>
              <w:pStyle w:val="121"/>
              <w:rPr>
                <w:rFonts w:cs="新細明體"/>
              </w:rPr>
            </w:pPr>
            <w:r w:rsidRPr="00D40021">
              <w:rPr>
                <w:rFonts w:cs="新細明體" w:hint="eastAsia"/>
              </w:rPr>
              <w:t>+17,079</w:t>
            </w:r>
          </w:p>
        </w:tc>
      </w:tr>
    </w:tbl>
    <w:p w:rsidR="00EA2AF9" w:rsidRPr="00D40021" w:rsidRDefault="00EA2AF9" w:rsidP="00D20336">
      <w:pPr>
        <w:pStyle w:val="3"/>
        <w:numPr>
          <w:ilvl w:val="0"/>
          <w:numId w:val="0"/>
        </w:numPr>
        <w:spacing w:line="280" w:lineRule="exact"/>
        <w:ind w:leftChars="-33" w:left="2" w:hangingChars="44" w:hanging="114"/>
        <w:rPr>
          <w:rFonts w:hAnsi="標楷體"/>
          <w:sz w:val="24"/>
          <w:szCs w:val="24"/>
        </w:rPr>
      </w:pPr>
      <w:proofErr w:type="gramStart"/>
      <w:r w:rsidRPr="00D40021">
        <w:rPr>
          <w:rFonts w:hAnsi="標楷體" w:hint="eastAsia"/>
          <w:sz w:val="24"/>
          <w:szCs w:val="24"/>
        </w:rPr>
        <w:t>註</w:t>
      </w:r>
      <w:proofErr w:type="gramEnd"/>
      <w:r w:rsidRPr="00D40021">
        <w:rPr>
          <w:rFonts w:hAnsi="標楷體" w:hint="eastAsia"/>
          <w:sz w:val="24"/>
          <w:szCs w:val="24"/>
        </w:rPr>
        <w:t>：</w:t>
      </w:r>
      <w:r w:rsidRPr="00D40021">
        <w:rPr>
          <w:rFonts w:hAnsi="標楷體" w:hint="eastAsia"/>
          <w:spacing w:val="-20"/>
          <w:sz w:val="24"/>
          <w:szCs w:val="28"/>
        </w:rPr>
        <w:t>相關數據係以107年1月1日調薪後之本</w:t>
      </w:r>
      <w:proofErr w:type="gramStart"/>
      <w:r w:rsidRPr="00D40021">
        <w:rPr>
          <w:rFonts w:hAnsi="標楷體" w:hint="eastAsia"/>
          <w:spacing w:val="-20"/>
          <w:sz w:val="24"/>
          <w:szCs w:val="28"/>
        </w:rPr>
        <w:t>俸</w:t>
      </w:r>
      <w:proofErr w:type="gramEnd"/>
      <w:r w:rsidRPr="00D40021">
        <w:rPr>
          <w:rFonts w:hAnsi="標楷體" w:hint="eastAsia"/>
          <w:spacing w:val="-20"/>
          <w:sz w:val="24"/>
          <w:szCs w:val="28"/>
        </w:rPr>
        <w:t>核計。</w:t>
      </w:r>
    </w:p>
    <w:p w:rsidR="007720C8" w:rsidRPr="00D40021" w:rsidRDefault="007720C8" w:rsidP="007720C8">
      <w:pPr>
        <w:pStyle w:val="3"/>
        <w:numPr>
          <w:ilvl w:val="0"/>
          <w:numId w:val="0"/>
        </w:numPr>
        <w:ind w:leftChars="-33" w:left="2" w:hangingChars="44" w:hanging="114"/>
        <w:rPr>
          <w:rFonts w:hAnsi="標楷體"/>
          <w:sz w:val="24"/>
          <w:szCs w:val="24"/>
        </w:rPr>
      </w:pPr>
      <w:r w:rsidRPr="00D40021">
        <w:rPr>
          <w:rFonts w:hAnsi="標楷體" w:hint="eastAsia"/>
          <w:sz w:val="24"/>
          <w:szCs w:val="24"/>
        </w:rPr>
        <w:t>資料來源：國防部。</w:t>
      </w:r>
    </w:p>
    <w:p w:rsidR="007720C8" w:rsidRPr="00D40021" w:rsidRDefault="007720C8" w:rsidP="007720C8">
      <w:pPr>
        <w:pStyle w:val="3"/>
        <w:numPr>
          <w:ilvl w:val="0"/>
          <w:numId w:val="0"/>
        </w:numPr>
        <w:ind w:leftChars="-33" w:left="38" w:hangingChars="44" w:hanging="150"/>
        <w:rPr>
          <w:rFonts w:hAnsi="標楷體"/>
        </w:rPr>
      </w:pPr>
    </w:p>
    <w:p w:rsidR="007720C8" w:rsidRPr="00D40021" w:rsidRDefault="006015BE" w:rsidP="006015BE">
      <w:pPr>
        <w:pStyle w:val="5"/>
        <w:rPr>
          <w:rFonts w:hAnsi="標楷體"/>
          <w:szCs w:val="32"/>
        </w:rPr>
      </w:pPr>
      <w:r w:rsidRPr="00D40021">
        <w:rPr>
          <w:rFonts w:hAnsi="標楷體" w:hint="eastAsia"/>
        </w:rPr>
        <w:t>例如：退休年資35年</w:t>
      </w:r>
      <w:r w:rsidR="00BE63A9" w:rsidRPr="00D40021">
        <w:rPr>
          <w:rFonts w:hAnsi="標楷體" w:hint="eastAsia"/>
        </w:rPr>
        <w:t>之</w:t>
      </w:r>
      <w:proofErr w:type="gramStart"/>
      <w:r w:rsidR="00BE63A9" w:rsidRPr="00D40021">
        <w:rPr>
          <w:rFonts w:hAnsi="標楷體" w:hint="eastAsia"/>
        </w:rPr>
        <w:t>一</w:t>
      </w:r>
      <w:proofErr w:type="gramEnd"/>
      <w:r w:rsidR="00BE63A9" w:rsidRPr="00D40021">
        <w:rPr>
          <w:rFonts w:hAnsi="標楷體" w:hint="eastAsia"/>
        </w:rPr>
        <w:t>等長20級</w:t>
      </w:r>
      <w:r w:rsidRPr="00D40021">
        <w:rPr>
          <w:rFonts w:hAnsi="標楷體" w:hint="eastAsia"/>
        </w:rPr>
        <w:t>，</w:t>
      </w:r>
      <w:r w:rsidRPr="00D40021">
        <w:rPr>
          <w:rFonts w:hAnsi="標楷體"/>
        </w:rPr>
        <w:t>於</w:t>
      </w:r>
      <w:r w:rsidRPr="00D40021">
        <w:rPr>
          <w:rFonts w:hAnsi="標楷體" w:hint="eastAsia"/>
        </w:rPr>
        <w:t>年金改革前所領月退休所得為54,460元，</w:t>
      </w:r>
      <w:r w:rsidR="00BE63A9" w:rsidRPr="00D40021">
        <w:rPr>
          <w:rFonts w:hAnsi="標楷體" w:hint="eastAsia"/>
        </w:rPr>
        <w:t>於改革後所領</w:t>
      </w:r>
      <w:r w:rsidRPr="00D40021">
        <w:rPr>
          <w:rFonts w:hAnsi="標楷體" w:hint="eastAsia"/>
        </w:rPr>
        <w:t>月退休所得為66,130元，</w:t>
      </w:r>
      <w:r w:rsidR="00BE63A9" w:rsidRPr="00D40021">
        <w:rPr>
          <w:rFonts w:hAnsi="標楷體" w:hint="eastAsia"/>
        </w:rPr>
        <w:t>較</w:t>
      </w:r>
      <w:r w:rsidRPr="00D40021">
        <w:rPr>
          <w:rFonts w:hAnsi="標楷體" w:hint="eastAsia"/>
        </w:rPr>
        <w:t>修正前規定增加11,670元；至於，</w:t>
      </w:r>
      <w:r w:rsidR="00BE63A9" w:rsidRPr="00D40021">
        <w:rPr>
          <w:rFonts w:hAnsi="標楷體" w:hint="eastAsia"/>
        </w:rPr>
        <w:t>退休年資28年之上校12級，</w:t>
      </w:r>
      <w:r w:rsidR="00BE63A9" w:rsidRPr="00D40021">
        <w:rPr>
          <w:rFonts w:hAnsi="標楷體"/>
        </w:rPr>
        <w:t>於</w:t>
      </w:r>
      <w:r w:rsidR="00BE63A9" w:rsidRPr="00D40021">
        <w:rPr>
          <w:rFonts w:hAnsi="標楷體" w:hint="eastAsia"/>
        </w:rPr>
        <w:t>年金改革前所領月退休所得為58,935元，於改革後所領月退休所得為74,721元，較修正前規定增加15,786元，同表</w:t>
      </w:r>
      <w:r w:rsidR="00090BE9" w:rsidRPr="00D40021">
        <w:rPr>
          <w:rFonts w:hAnsi="標楷體" w:hint="eastAsia"/>
        </w:rPr>
        <w:t>11</w:t>
      </w:r>
      <w:r w:rsidR="00BE63A9" w:rsidRPr="00D40021">
        <w:rPr>
          <w:rFonts w:hAnsi="標楷體" w:hint="eastAsia"/>
        </w:rPr>
        <w:t>。</w:t>
      </w:r>
    </w:p>
    <w:p w:rsidR="00BE63A9" w:rsidRPr="00D40021" w:rsidRDefault="005B1BC4" w:rsidP="00BE63A9">
      <w:pPr>
        <w:pStyle w:val="3"/>
      </w:pPr>
      <w:r w:rsidRPr="00D40021">
        <w:rPr>
          <w:rFonts w:hAnsi="標楷體" w:hint="eastAsia"/>
          <w:bCs w:val="0"/>
        </w:rPr>
        <w:t>政府未就</w:t>
      </w:r>
      <w:r w:rsidR="00BE63A9" w:rsidRPr="00D40021">
        <w:rPr>
          <w:rFonts w:hAnsi="標楷體" w:hint="eastAsia"/>
          <w:bCs w:val="0"/>
        </w:rPr>
        <w:t>高等教育機構之教育人員為適度考量</w:t>
      </w:r>
      <w:r w:rsidRPr="00D40021">
        <w:rPr>
          <w:rFonts w:hAnsi="標楷體" w:hint="eastAsia"/>
          <w:bCs w:val="0"/>
        </w:rPr>
        <w:t>，致其等退休所得不僅低於國中小教師</w:t>
      </w:r>
      <w:r w:rsidR="008A424A" w:rsidRPr="00D40021">
        <w:rPr>
          <w:rStyle w:val="aff3"/>
          <w:rFonts w:hAnsi="標楷體"/>
          <w:bCs w:val="0"/>
        </w:rPr>
        <w:footnoteReference w:id="9"/>
      </w:r>
      <w:r w:rsidRPr="00D40021">
        <w:rPr>
          <w:rFonts w:hAnsi="標楷體" w:hint="eastAsia"/>
          <w:bCs w:val="0"/>
        </w:rPr>
        <w:t>，且相</w:t>
      </w:r>
      <w:proofErr w:type="gramStart"/>
      <w:r w:rsidRPr="00D40021">
        <w:rPr>
          <w:rFonts w:hAnsi="標楷體" w:hint="eastAsia"/>
          <w:bCs w:val="0"/>
        </w:rPr>
        <w:t>較</w:t>
      </w:r>
      <w:r w:rsidR="00AF4A09" w:rsidRPr="00D40021">
        <w:rPr>
          <w:rFonts w:hAnsi="標楷體" w:hint="eastAsia"/>
          <w:bCs w:val="0"/>
        </w:rPr>
        <w:t>於</w:t>
      </w:r>
      <w:r w:rsidRPr="00D40021">
        <w:rPr>
          <w:rFonts w:hAnsi="標楷體" w:hint="eastAsia"/>
          <w:bCs w:val="0"/>
        </w:rPr>
        <w:t>表9所</w:t>
      </w:r>
      <w:proofErr w:type="gramEnd"/>
      <w:r w:rsidRPr="00D40021">
        <w:rPr>
          <w:rFonts w:hAnsi="標楷體" w:hint="eastAsia"/>
          <w:bCs w:val="0"/>
        </w:rPr>
        <w:t>揭示</w:t>
      </w:r>
      <w:r w:rsidR="00AF0B24" w:rsidRPr="00D40021">
        <w:rPr>
          <w:rFonts w:hAnsi="標楷體" w:hint="eastAsia"/>
          <w:bCs w:val="0"/>
        </w:rPr>
        <w:t>退伍年資</w:t>
      </w:r>
      <w:r w:rsidR="00AF0B24" w:rsidRPr="00D40021">
        <w:rPr>
          <w:rFonts w:hAnsi="標楷體"/>
          <w:bCs w:val="0"/>
        </w:rPr>
        <w:t>28</w:t>
      </w:r>
      <w:r w:rsidR="00AF0B24" w:rsidRPr="00D40021">
        <w:rPr>
          <w:rFonts w:hAnsi="標楷體" w:hint="eastAsia"/>
          <w:bCs w:val="0"/>
        </w:rPr>
        <w:t>年</w:t>
      </w:r>
      <w:r w:rsidRPr="00D40021">
        <w:rPr>
          <w:rFonts w:hAnsi="標楷體" w:hint="eastAsia"/>
          <w:bCs w:val="0"/>
        </w:rPr>
        <w:t>少將10級以上人員之退休所得更顯偏低</w:t>
      </w:r>
      <w:r w:rsidR="00B73B17" w:rsidRPr="00D40021">
        <w:rPr>
          <w:rFonts w:hAnsi="標楷體" w:hint="eastAsia"/>
          <w:bCs w:val="0"/>
        </w:rPr>
        <w:t>。</w:t>
      </w:r>
    </w:p>
    <w:p w:rsidR="00E86257" w:rsidRPr="00D40021" w:rsidRDefault="00E86257" w:rsidP="00780E40">
      <w:pPr>
        <w:pStyle w:val="4"/>
      </w:pPr>
      <w:r w:rsidRPr="00D40021">
        <w:rPr>
          <w:rFonts w:hint="eastAsia"/>
          <w:szCs w:val="24"/>
        </w:rPr>
        <w:lastRenderedPageBreak/>
        <w:t>國立</w:t>
      </w:r>
      <w:r w:rsidRPr="00D40021">
        <w:rPr>
          <w:rFonts w:hint="eastAsia"/>
        </w:rPr>
        <w:t>臺灣大學（下稱臺大）</w:t>
      </w:r>
      <w:r w:rsidR="006907BF" w:rsidRPr="00D40021">
        <w:rPr>
          <w:rFonts w:hint="eastAsia"/>
        </w:rPr>
        <w:t>郭大維</w:t>
      </w:r>
      <w:r w:rsidR="00645633" w:rsidRPr="00D40021">
        <w:rPr>
          <w:rFonts w:hint="eastAsia"/>
        </w:rPr>
        <w:t>前</w:t>
      </w:r>
      <w:r w:rsidRPr="00D40021">
        <w:rPr>
          <w:rFonts w:hint="eastAsia"/>
        </w:rPr>
        <w:t>代理校長106年12月初對媒體</w:t>
      </w:r>
      <w:r w:rsidRPr="00D40021">
        <w:rPr>
          <w:rStyle w:val="aff3"/>
          <w:rFonts w:hAnsi="標楷體"/>
        </w:rPr>
        <w:footnoteReference w:id="10"/>
      </w:r>
      <w:r w:rsidRPr="00D40021">
        <w:rPr>
          <w:rFonts w:hint="eastAsia"/>
        </w:rPr>
        <w:t>表示，臺灣的頂大已面臨崩解邊緣，在可見的未來將對</w:t>
      </w:r>
      <w:r w:rsidRPr="00D40021">
        <w:rPr>
          <w:rFonts w:hint="eastAsia"/>
          <w:bCs/>
        </w:rPr>
        <w:t>國家</w:t>
      </w:r>
      <w:r w:rsidRPr="00D40021">
        <w:rPr>
          <w:rFonts w:hint="eastAsia"/>
        </w:rPr>
        <w:t>造成全面性衝擊。造成此現象的原因主要是教授薪資過低，求才和留才都有困難，部分頂大的高教經費也嚴重不足，並強調目前外國同級大學教授的薪資是國內的數倍。</w:t>
      </w:r>
      <w:proofErr w:type="gramStart"/>
      <w:r w:rsidRPr="00D40021">
        <w:rPr>
          <w:rFonts w:hint="eastAsia"/>
        </w:rPr>
        <w:t>郭</w:t>
      </w:r>
      <w:proofErr w:type="gramEnd"/>
      <w:r w:rsidRPr="00D40021">
        <w:rPr>
          <w:rFonts w:hint="eastAsia"/>
        </w:rPr>
        <w:t>代理校長並指出，受退休新制影響，以該校教授平均年齡39歲任職，於65歲退休情況下，所領到月退</w:t>
      </w:r>
      <w:proofErr w:type="gramStart"/>
      <w:r w:rsidRPr="00D40021">
        <w:rPr>
          <w:rFonts w:hint="eastAsia"/>
        </w:rPr>
        <w:t>俸</w:t>
      </w:r>
      <w:proofErr w:type="gramEnd"/>
      <w:r w:rsidRPr="00D40021">
        <w:rPr>
          <w:rFonts w:hint="eastAsia"/>
        </w:rPr>
        <w:t>還略低於25歲任職，而於55歲退休的小學老師，教授在博士後的投資等於付諸流水等語。</w:t>
      </w:r>
    </w:p>
    <w:p w:rsidR="00E86257" w:rsidRPr="00D40021" w:rsidRDefault="00E86257" w:rsidP="00780E40">
      <w:pPr>
        <w:pStyle w:val="4"/>
        <w:rPr>
          <w:rFonts w:hAnsi="標楷體"/>
        </w:rPr>
      </w:pPr>
      <w:r w:rsidRPr="00D40021">
        <w:rPr>
          <w:rFonts w:hAnsi="標楷體" w:hint="eastAsia"/>
        </w:rPr>
        <w:t>經</w:t>
      </w:r>
      <w:proofErr w:type="gramStart"/>
      <w:r w:rsidRPr="00D40021">
        <w:rPr>
          <w:rFonts w:hAnsi="標楷體" w:hint="eastAsia"/>
        </w:rPr>
        <w:t>教育部交據</w:t>
      </w:r>
      <w:r w:rsidR="00780E40" w:rsidRPr="00D40021">
        <w:rPr>
          <w:rFonts w:hAnsi="標楷體" w:hint="eastAsia"/>
        </w:rPr>
        <w:t>臺大</w:t>
      </w:r>
      <w:proofErr w:type="gramEnd"/>
      <w:r w:rsidRPr="00D40021">
        <w:rPr>
          <w:rFonts w:hAnsi="標楷體" w:hint="eastAsia"/>
        </w:rPr>
        <w:t>查復，</w:t>
      </w:r>
      <w:r w:rsidR="00780E40" w:rsidRPr="00D40021">
        <w:rPr>
          <w:rFonts w:hAnsi="標楷體" w:hint="eastAsia"/>
          <w:szCs w:val="32"/>
        </w:rPr>
        <w:t>101至105學年</w:t>
      </w:r>
      <w:r w:rsidRPr="00D40021">
        <w:rPr>
          <w:rFonts w:hAnsi="標楷體" w:hint="eastAsia"/>
        </w:rPr>
        <w:t>新進編制內助理教授共計進用266人，各學年新進助理教授平均年齡約在36.83至41.67歲間，前揭5學年整體新進助理教授之平均年齡約為39.06</w:t>
      </w:r>
      <w:r w:rsidR="00780E40" w:rsidRPr="00D40021">
        <w:rPr>
          <w:rFonts w:hAnsi="標楷體" w:hint="eastAsia"/>
        </w:rPr>
        <w:t>歲，相關資料，如</w:t>
      </w:r>
      <w:r w:rsidRPr="00D40021">
        <w:rPr>
          <w:rFonts w:hAnsi="標楷體" w:hint="eastAsia"/>
        </w:rPr>
        <w:t>表</w:t>
      </w:r>
      <w:r w:rsidR="00EA2AF9" w:rsidRPr="00D40021">
        <w:rPr>
          <w:rFonts w:hAnsi="標楷體" w:hint="eastAsia"/>
        </w:rPr>
        <w:t>1</w:t>
      </w:r>
      <w:r w:rsidR="00090BE9" w:rsidRPr="00D40021">
        <w:rPr>
          <w:rFonts w:hAnsi="標楷體" w:hint="eastAsia"/>
        </w:rPr>
        <w:t>2</w:t>
      </w:r>
      <w:r w:rsidRPr="00D40021">
        <w:rPr>
          <w:rFonts w:hAnsi="標楷體" w:hint="eastAsia"/>
        </w:rPr>
        <w:t>。再依修正公布之公立學校教職員退撫條例（新法）有關教育人員退休給付內容，並未對</w:t>
      </w:r>
      <w:r w:rsidRPr="00D40021">
        <w:rPr>
          <w:rFonts w:hAnsi="標楷體" w:hint="eastAsia"/>
          <w:szCs w:val="24"/>
        </w:rPr>
        <w:t>助理教授以上教育人員為特別考量。依教育部於106年9月提供本院之評估數據，以</w:t>
      </w:r>
      <w:proofErr w:type="gramStart"/>
      <w:r w:rsidRPr="00D40021">
        <w:rPr>
          <w:rFonts w:hAnsi="標楷體" w:hint="eastAsia"/>
          <w:szCs w:val="24"/>
        </w:rPr>
        <w:t>僅具純新制</w:t>
      </w:r>
      <w:proofErr w:type="gramEnd"/>
      <w:r w:rsidRPr="00D40021">
        <w:rPr>
          <w:rFonts w:hAnsi="標楷體" w:hint="eastAsia"/>
          <w:szCs w:val="24"/>
        </w:rPr>
        <w:t>年資者為例，任職30年退休之625薪點中小學教師於118年1月1日以後，支領之月退金額為49,434元；</w:t>
      </w:r>
      <w:proofErr w:type="gramStart"/>
      <w:r w:rsidRPr="00D40021">
        <w:rPr>
          <w:rFonts w:hAnsi="標楷體" w:hint="eastAsia"/>
          <w:szCs w:val="24"/>
        </w:rPr>
        <w:t>另</w:t>
      </w:r>
      <w:proofErr w:type="gramEnd"/>
      <w:r w:rsidRPr="00D40021">
        <w:rPr>
          <w:rFonts w:hAnsi="標楷體" w:hint="eastAsia"/>
          <w:szCs w:val="24"/>
        </w:rPr>
        <w:t>，任職25年退休之770薪點教授於118年1月1日以後，支領之月退金額為47,767元，確有</w:t>
      </w:r>
      <w:r w:rsidRPr="00D40021">
        <w:rPr>
          <w:rFonts w:hAnsi="標楷體" w:hint="eastAsia"/>
        </w:rPr>
        <w:t>臺大</w:t>
      </w:r>
      <w:r w:rsidR="00936CE8" w:rsidRPr="00D40021">
        <w:rPr>
          <w:rFonts w:hAnsi="標楷體" w:hint="eastAsia"/>
        </w:rPr>
        <w:t>前</w:t>
      </w:r>
      <w:r w:rsidRPr="00D40021">
        <w:rPr>
          <w:rFonts w:hAnsi="標楷體" w:hint="eastAsia"/>
        </w:rPr>
        <w:t>代理校長郭大維所稱，年齡39歲任職之</w:t>
      </w:r>
      <w:r w:rsidR="006907BF" w:rsidRPr="00D40021">
        <w:rPr>
          <w:rFonts w:hAnsi="標楷體" w:hint="eastAsia"/>
        </w:rPr>
        <w:t>助理</w:t>
      </w:r>
      <w:r w:rsidRPr="00D40021">
        <w:rPr>
          <w:rFonts w:hAnsi="標楷體" w:hint="eastAsia"/>
        </w:rPr>
        <w:t>教授，於65歲退休所領之月退</w:t>
      </w:r>
      <w:proofErr w:type="gramStart"/>
      <w:r w:rsidRPr="00D40021">
        <w:rPr>
          <w:rFonts w:hAnsi="標楷體" w:hint="eastAsia"/>
        </w:rPr>
        <w:t>俸</w:t>
      </w:r>
      <w:proofErr w:type="gramEnd"/>
      <w:r w:rsidRPr="00D40021">
        <w:rPr>
          <w:rFonts w:hAnsi="標楷體" w:hint="eastAsia"/>
        </w:rPr>
        <w:t>，略低於25歲任職，而於55歲退休之小學老師所領月退</w:t>
      </w:r>
      <w:proofErr w:type="gramStart"/>
      <w:r w:rsidRPr="00D40021">
        <w:rPr>
          <w:rFonts w:hAnsi="標楷體" w:hint="eastAsia"/>
        </w:rPr>
        <w:t>俸</w:t>
      </w:r>
      <w:proofErr w:type="gramEnd"/>
      <w:r w:rsidRPr="00D40021">
        <w:rPr>
          <w:rFonts w:hAnsi="標楷體" w:hint="eastAsia"/>
        </w:rPr>
        <w:t>之疑慮情事。</w:t>
      </w:r>
    </w:p>
    <w:p w:rsidR="00E86257" w:rsidRPr="00D40021" w:rsidRDefault="00E86257" w:rsidP="00EA2AF9">
      <w:pPr>
        <w:pStyle w:val="a3"/>
        <w:numPr>
          <w:ilvl w:val="0"/>
          <w:numId w:val="2"/>
        </w:numPr>
        <w:ind w:left="697" w:hanging="697"/>
        <w:jc w:val="left"/>
        <w:rPr>
          <w:rFonts w:hAnsi="標楷體"/>
        </w:rPr>
      </w:pPr>
      <w:r w:rsidRPr="00D40021">
        <w:rPr>
          <w:rFonts w:hint="eastAsia"/>
        </w:rPr>
        <w:lastRenderedPageBreak/>
        <w:t>臺大近5年（分學年度）新進編制內助理教授平均年齡及人數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2"/>
        <w:gridCol w:w="1262"/>
        <w:gridCol w:w="1264"/>
        <w:gridCol w:w="1261"/>
        <w:gridCol w:w="1263"/>
        <w:gridCol w:w="1261"/>
        <w:gridCol w:w="1261"/>
      </w:tblGrid>
      <w:tr w:rsidR="00D40021" w:rsidRPr="00D40021" w:rsidTr="00E86257">
        <w:trPr>
          <w:trHeight w:val="324"/>
        </w:trPr>
        <w:tc>
          <w:tcPr>
            <w:tcW w:w="714"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86257" w:rsidRPr="00D40021" w:rsidRDefault="00E86257" w:rsidP="00E86257">
            <w:pPr>
              <w:pStyle w:val="121"/>
            </w:pPr>
            <w:r w:rsidRPr="00D40021">
              <w:rPr>
                <w:rFonts w:hint="eastAsia"/>
              </w:rPr>
              <w:t>學年度</w:t>
            </w:r>
          </w:p>
        </w:tc>
        <w:tc>
          <w:tcPr>
            <w:tcW w:w="714"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86257" w:rsidRPr="00D40021" w:rsidRDefault="00E86257" w:rsidP="00E86257">
            <w:pPr>
              <w:pStyle w:val="121"/>
            </w:pPr>
            <w:r w:rsidRPr="00D40021">
              <w:rPr>
                <w:rFonts w:hint="eastAsia"/>
              </w:rPr>
              <w:t>101學年</w:t>
            </w:r>
          </w:p>
        </w:tc>
        <w:tc>
          <w:tcPr>
            <w:tcW w:w="715"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86257" w:rsidRPr="00D40021" w:rsidRDefault="00E86257" w:rsidP="00E86257">
            <w:pPr>
              <w:pStyle w:val="121"/>
            </w:pPr>
            <w:r w:rsidRPr="00D40021">
              <w:rPr>
                <w:rFonts w:hint="eastAsia"/>
              </w:rPr>
              <w:t>102學年</w:t>
            </w:r>
          </w:p>
        </w:tc>
        <w:tc>
          <w:tcPr>
            <w:tcW w:w="714"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86257" w:rsidRPr="00D40021" w:rsidRDefault="00E86257" w:rsidP="00E86257">
            <w:pPr>
              <w:pStyle w:val="121"/>
            </w:pPr>
            <w:r w:rsidRPr="00D40021">
              <w:rPr>
                <w:rFonts w:hint="eastAsia"/>
              </w:rPr>
              <w:t>103學年</w:t>
            </w:r>
          </w:p>
        </w:tc>
        <w:tc>
          <w:tcPr>
            <w:tcW w:w="715"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86257" w:rsidRPr="00D40021" w:rsidRDefault="00E86257" w:rsidP="00E86257">
            <w:pPr>
              <w:pStyle w:val="121"/>
            </w:pPr>
            <w:r w:rsidRPr="00D40021">
              <w:rPr>
                <w:rFonts w:hint="eastAsia"/>
              </w:rPr>
              <w:t>104學年</w:t>
            </w:r>
          </w:p>
        </w:tc>
        <w:tc>
          <w:tcPr>
            <w:tcW w:w="714"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86257" w:rsidRPr="00D40021" w:rsidRDefault="00E86257" w:rsidP="00E86257">
            <w:pPr>
              <w:pStyle w:val="121"/>
            </w:pPr>
            <w:r w:rsidRPr="00D40021">
              <w:rPr>
                <w:rFonts w:hint="eastAsia"/>
              </w:rPr>
              <w:t>105學年</w:t>
            </w:r>
          </w:p>
        </w:tc>
        <w:tc>
          <w:tcPr>
            <w:tcW w:w="715"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E86257" w:rsidRPr="00D40021" w:rsidRDefault="00E86257" w:rsidP="00E86257">
            <w:pPr>
              <w:pStyle w:val="121"/>
            </w:pPr>
            <w:r w:rsidRPr="00D40021">
              <w:rPr>
                <w:rFonts w:hint="eastAsia"/>
              </w:rPr>
              <w:t>總計</w:t>
            </w:r>
          </w:p>
        </w:tc>
      </w:tr>
      <w:tr w:rsidR="00D40021" w:rsidRPr="00D40021" w:rsidTr="00E86257">
        <w:trPr>
          <w:trHeight w:val="324"/>
        </w:trPr>
        <w:tc>
          <w:tcPr>
            <w:tcW w:w="714"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平均年齡</w:t>
            </w:r>
          </w:p>
        </w:tc>
        <w:tc>
          <w:tcPr>
            <w:tcW w:w="714"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41.67</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40.24</w:t>
            </w:r>
          </w:p>
        </w:tc>
        <w:tc>
          <w:tcPr>
            <w:tcW w:w="714"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38.87</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37.60</w:t>
            </w:r>
          </w:p>
        </w:tc>
        <w:tc>
          <w:tcPr>
            <w:tcW w:w="714"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36.83</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39.06</w:t>
            </w:r>
          </w:p>
        </w:tc>
      </w:tr>
      <w:tr w:rsidR="00D40021" w:rsidRPr="00D40021" w:rsidTr="00E86257">
        <w:trPr>
          <w:trHeight w:val="324"/>
        </w:trPr>
        <w:tc>
          <w:tcPr>
            <w:tcW w:w="714"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人數</w:t>
            </w:r>
          </w:p>
        </w:tc>
        <w:tc>
          <w:tcPr>
            <w:tcW w:w="714"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57</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49</w:t>
            </w:r>
          </w:p>
        </w:tc>
        <w:tc>
          <w:tcPr>
            <w:tcW w:w="714"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54</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53</w:t>
            </w:r>
          </w:p>
        </w:tc>
        <w:tc>
          <w:tcPr>
            <w:tcW w:w="714"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53</w:t>
            </w:r>
          </w:p>
        </w:tc>
        <w:tc>
          <w:tcPr>
            <w:tcW w:w="715" w:type="pct"/>
            <w:tcBorders>
              <w:top w:val="single" w:sz="4" w:space="0" w:color="auto"/>
              <w:left w:val="single" w:sz="4" w:space="0" w:color="auto"/>
              <w:bottom w:val="single" w:sz="4" w:space="0" w:color="auto"/>
              <w:right w:val="single" w:sz="4" w:space="0" w:color="auto"/>
            </w:tcBorders>
            <w:noWrap/>
            <w:vAlign w:val="center"/>
            <w:hideMark/>
          </w:tcPr>
          <w:p w:rsidR="00E86257" w:rsidRPr="00D40021" w:rsidRDefault="00E86257" w:rsidP="00E86257">
            <w:pPr>
              <w:pStyle w:val="121"/>
            </w:pPr>
            <w:r w:rsidRPr="00D40021">
              <w:rPr>
                <w:rFonts w:hint="eastAsia"/>
              </w:rPr>
              <w:t>266</w:t>
            </w:r>
          </w:p>
        </w:tc>
      </w:tr>
    </w:tbl>
    <w:p w:rsidR="00E86257" w:rsidRPr="00D40021" w:rsidRDefault="00E86257" w:rsidP="00E86257">
      <w:pPr>
        <w:pStyle w:val="3"/>
        <w:numPr>
          <w:ilvl w:val="0"/>
          <w:numId w:val="0"/>
        </w:numPr>
        <w:kinsoku w:val="0"/>
        <w:overflowPunct/>
        <w:spacing w:line="460" w:lineRule="exact"/>
        <w:rPr>
          <w:rFonts w:hAnsi="標楷體" w:cs="新細明體"/>
          <w:sz w:val="24"/>
          <w:szCs w:val="24"/>
        </w:rPr>
      </w:pPr>
      <w:r w:rsidRPr="00D40021">
        <w:rPr>
          <w:rFonts w:hAnsi="標楷體" w:hint="eastAsia"/>
          <w:sz w:val="24"/>
          <w:szCs w:val="24"/>
        </w:rPr>
        <w:t>資料來源：教育部、臺大。</w:t>
      </w:r>
    </w:p>
    <w:p w:rsidR="00E86257" w:rsidRPr="00D40021" w:rsidRDefault="00E86257" w:rsidP="00E86257">
      <w:pPr>
        <w:pStyle w:val="3"/>
        <w:numPr>
          <w:ilvl w:val="0"/>
          <w:numId w:val="0"/>
        </w:numPr>
        <w:ind w:left="1361"/>
        <w:rPr>
          <w:rFonts w:hAnsi="標楷體"/>
        </w:rPr>
      </w:pPr>
    </w:p>
    <w:p w:rsidR="00BE5B70" w:rsidRPr="00D40021" w:rsidRDefault="00AF4A09" w:rsidP="00BE5B70">
      <w:pPr>
        <w:pStyle w:val="3"/>
        <w:numPr>
          <w:ilvl w:val="2"/>
          <w:numId w:val="1"/>
        </w:numPr>
        <w:rPr>
          <w:rFonts w:hAnsi="標楷體"/>
        </w:rPr>
      </w:pPr>
      <w:r w:rsidRPr="00D40021">
        <w:rPr>
          <w:rFonts w:hAnsi="標楷體" w:hint="eastAsia"/>
        </w:rPr>
        <w:t>有關年資補償金，公教人員已取消，</w:t>
      </w:r>
      <w:r w:rsidR="00BE5B70" w:rsidRPr="00D40021">
        <w:rPr>
          <w:rFonts w:hAnsi="標楷體" w:hint="eastAsia"/>
        </w:rPr>
        <w:t>軍職人員仍保留</w:t>
      </w:r>
      <w:r w:rsidR="00FB1317" w:rsidRPr="00D40021">
        <w:rPr>
          <w:rFonts w:hAnsi="標楷體" w:hint="eastAsia"/>
        </w:rPr>
        <w:t>「一次補償金」。</w:t>
      </w:r>
    </w:p>
    <w:p w:rsidR="00BE5B70" w:rsidRPr="00D40021" w:rsidRDefault="00BE5B70" w:rsidP="00BE5B70">
      <w:pPr>
        <w:pStyle w:val="4"/>
        <w:numPr>
          <w:ilvl w:val="3"/>
          <w:numId w:val="1"/>
        </w:numPr>
        <w:rPr>
          <w:rFonts w:hAnsi="標楷體"/>
        </w:rPr>
      </w:pPr>
      <w:r w:rsidRPr="00D40021">
        <w:rPr>
          <w:rFonts w:hAnsi="標楷體" w:hint="eastAsia"/>
        </w:rPr>
        <w:t>依新公布</w:t>
      </w:r>
      <w:r w:rsidRPr="00D40021">
        <w:rPr>
          <w:rFonts w:hAnsi="標楷體"/>
        </w:rPr>
        <w:t>公務人員退撫法</w:t>
      </w:r>
      <w:r w:rsidRPr="00D40021">
        <w:rPr>
          <w:rFonts w:hAnsi="標楷體" w:hint="eastAsia"/>
        </w:rPr>
        <w:t>及</w:t>
      </w:r>
      <w:r w:rsidRPr="00D40021">
        <w:rPr>
          <w:rFonts w:hAnsi="標楷體"/>
        </w:rPr>
        <w:t>公立學校教職員退撫條例</w:t>
      </w:r>
      <w:r w:rsidRPr="00D40021">
        <w:rPr>
          <w:rFonts w:hAnsi="標楷體" w:hint="eastAsia"/>
        </w:rPr>
        <w:t>第34條規定，</w:t>
      </w:r>
      <w:r w:rsidRPr="00D40021">
        <w:rPr>
          <w:rFonts w:hAnsi="標楷體"/>
        </w:rPr>
        <w:t>公教人員</w:t>
      </w:r>
      <w:r w:rsidRPr="00D40021">
        <w:rPr>
          <w:rFonts w:hAnsi="標楷體" w:hint="eastAsia"/>
        </w:rPr>
        <w:t>於</w:t>
      </w:r>
      <w:r w:rsidRPr="00D40021">
        <w:rPr>
          <w:rFonts w:hAnsi="標楷體"/>
        </w:rPr>
        <w:t>108年7月1日以後退休者</w:t>
      </w:r>
      <w:r w:rsidRPr="00D40021">
        <w:rPr>
          <w:rFonts w:hAnsi="標楷體" w:hint="eastAsia"/>
        </w:rPr>
        <w:t>，</w:t>
      </w:r>
      <w:r w:rsidRPr="00D40021">
        <w:rPr>
          <w:rFonts w:hAnsi="標楷體"/>
        </w:rPr>
        <w:t>不再發給年資補償金。</w:t>
      </w:r>
    </w:p>
    <w:p w:rsidR="00E86257" w:rsidRPr="00D40021" w:rsidRDefault="00BE5B70" w:rsidP="00BE5B70">
      <w:pPr>
        <w:pStyle w:val="4"/>
        <w:numPr>
          <w:ilvl w:val="3"/>
          <w:numId w:val="1"/>
        </w:numPr>
        <w:rPr>
          <w:rFonts w:hAnsi="標楷體"/>
        </w:rPr>
      </w:pPr>
      <w:r w:rsidRPr="00D40021">
        <w:rPr>
          <w:rFonts w:hAnsi="標楷體" w:hint="eastAsia"/>
        </w:rPr>
        <w:t>惟依新修正服役條例第47條規定，具退撫舊制年資者仍保留「一次補償金」之給付。</w:t>
      </w:r>
    </w:p>
    <w:p w:rsidR="003A21D3" w:rsidRPr="00D40021" w:rsidRDefault="003A21D3" w:rsidP="00EA0141">
      <w:pPr>
        <w:pStyle w:val="3"/>
        <w:rPr>
          <w:rFonts w:hAnsi="標楷體"/>
        </w:rPr>
      </w:pPr>
      <w:r w:rsidRPr="00D40021">
        <w:rPr>
          <w:rFonts w:hAnsi="標楷體" w:hint="eastAsia"/>
        </w:rPr>
        <w:t>退休</w:t>
      </w:r>
      <w:r w:rsidR="00382677" w:rsidRPr="00D40021">
        <w:rPr>
          <w:rFonts w:hAnsi="標楷體" w:hint="eastAsia"/>
        </w:rPr>
        <w:t>再</w:t>
      </w:r>
      <w:proofErr w:type="gramStart"/>
      <w:r w:rsidR="00382677" w:rsidRPr="00D40021">
        <w:rPr>
          <w:rFonts w:hAnsi="標楷體" w:hint="eastAsia"/>
        </w:rPr>
        <w:t>任</w:t>
      </w:r>
      <w:r w:rsidR="006653FC" w:rsidRPr="00D40021">
        <w:rPr>
          <w:rFonts w:hAnsi="標楷體" w:hint="eastAsia"/>
        </w:rPr>
        <w:t>停支退休俸</w:t>
      </w:r>
      <w:proofErr w:type="gramEnd"/>
      <w:r w:rsidR="006653FC" w:rsidRPr="00D40021">
        <w:rPr>
          <w:rFonts w:hAnsi="標楷體" w:hint="eastAsia"/>
        </w:rPr>
        <w:t>規定，公教人員較軍職人員嚴苛</w:t>
      </w:r>
      <w:r w:rsidR="00B73B17" w:rsidRPr="00D40021">
        <w:rPr>
          <w:rFonts w:hAnsi="標楷體" w:hint="eastAsia"/>
        </w:rPr>
        <w:t>。</w:t>
      </w:r>
    </w:p>
    <w:p w:rsidR="00C473A8" w:rsidRPr="00D40021" w:rsidRDefault="00424DD3" w:rsidP="003A21D3">
      <w:pPr>
        <w:pStyle w:val="4"/>
        <w:rPr>
          <w:rFonts w:hAnsi="標楷體"/>
        </w:rPr>
      </w:pPr>
      <w:r w:rsidRPr="00D40021">
        <w:rPr>
          <w:rFonts w:hAnsi="標楷體" w:hint="eastAsia"/>
        </w:rPr>
        <w:t>退役</w:t>
      </w:r>
      <w:r w:rsidR="00145DB2" w:rsidRPr="00D40021">
        <w:rPr>
          <w:rFonts w:hAnsi="標楷體" w:hint="eastAsia"/>
        </w:rPr>
        <w:t>軍人</w:t>
      </w:r>
      <w:proofErr w:type="gramStart"/>
      <w:r w:rsidR="00382677" w:rsidRPr="00D40021">
        <w:rPr>
          <w:rFonts w:hAnsi="標楷體" w:hint="eastAsia"/>
        </w:rPr>
        <w:t>再任</w:t>
      </w:r>
      <w:r w:rsidR="00792200" w:rsidRPr="00D40021">
        <w:rPr>
          <w:rFonts w:hAnsi="標楷體"/>
        </w:rPr>
        <w:t>停發</w:t>
      </w:r>
      <w:proofErr w:type="gramEnd"/>
      <w:r w:rsidR="00792200" w:rsidRPr="00D40021">
        <w:rPr>
          <w:rFonts w:hAnsi="標楷體"/>
        </w:rPr>
        <w:t>退休</w:t>
      </w:r>
      <w:proofErr w:type="gramStart"/>
      <w:r w:rsidR="00792200" w:rsidRPr="00D40021">
        <w:rPr>
          <w:rFonts w:hAnsi="標楷體"/>
        </w:rPr>
        <w:t>俸</w:t>
      </w:r>
      <w:proofErr w:type="gramEnd"/>
      <w:r w:rsidR="00792200" w:rsidRPr="00D40021">
        <w:rPr>
          <w:rFonts w:hAnsi="標楷體" w:hint="eastAsia"/>
        </w:rPr>
        <w:t>係以</w:t>
      </w:r>
      <w:r w:rsidR="006653FC" w:rsidRPr="00D40021">
        <w:rPr>
          <w:rFonts w:hAnsi="標楷體"/>
        </w:rPr>
        <w:t>33,140元</w:t>
      </w:r>
      <w:r w:rsidR="00792200" w:rsidRPr="00D40021">
        <w:rPr>
          <w:rFonts w:hAnsi="標楷體" w:hint="eastAsia"/>
        </w:rPr>
        <w:t>為認定標準</w:t>
      </w:r>
      <w:r w:rsidR="006653FC" w:rsidRPr="00D40021">
        <w:rPr>
          <w:rFonts w:hAnsi="標楷體" w:hint="eastAsia"/>
        </w:rPr>
        <w:t>，遠高於公教人員之23,100元</w:t>
      </w:r>
      <w:r w:rsidR="00B73B17" w:rsidRPr="00D40021">
        <w:rPr>
          <w:rFonts w:hAnsi="標楷體" w:hint="eastAsia"/>
        </w:rPr>
        <w:t>。</w:t>
      </w:r>
    </w:p>
    <w:p w:rsidR="00792200" w:rsidRPr="00D40021" w:rsidRDefault="001D3269" w:rsidP="003A21D3">
      <w:pPr>
        <w:pStyle w:val="5"/>
        <w:rPr>
          <w:rFonts w:hAnsi="標楷體"/>
        </w:rPr>
      </w:pPr>
      <w:r w:rsidRPr="00D40021">
        <w:rPr>
          <w:rFonts w:hAnsi="標楷體" w:hint="eastAsia"/>
        </w:rPr>
        <w:t>依新公布</w:t>
      </w:r>
      <w:r w:rsidRPr="00D40021">
        <w:rPr>
          <w:rFonts w:hAnsi="標楷體"/>
        </w:rPr>
        <w:t>公務人員退撫法</w:t>
      </w:r>
      <w:r w:rsidRPr="00D40021">
        <w:rPr>
          <w:rFonts w:hAnsi="標楷體" w:hint="eastAsia"/>
        </w:rPr>
        <w:t>及</w:t>
      </w:r>
      <w:r w:rsidRPr="00D40021">
        <w:rPr>
          <w:rFonts w:hAnsi="標楷體"/>
        </w:rPr>
        <w:t>公立學校教職員退撫條例</w:t>
      </w:r>
      <w:r w:rsidRPr="00D40021">
        <w:rPr>
          <w:rFonts w:hAnsi="標楷體" w:hint="eastAsia"/>
        </w:rPr>
        <w:t>第</w:t>
      </w:r>
      <w:r w:rsidR="00706C7B" w:rsidRPr="00D40021">
        <w:rPr>
          <w:rFonts w:hAnsi="標楷體" w:hint="eastAsia"/>
        </w:rPr>
        <w:t>77</w:t>
      </w:r>
      <w:r w:rsidRPr="00D40021">
        <w:rPr>
          <w:rFonts w:hAnsi="標楷體" w:hint="eastAsia"/>
        </w:rPr>
        <w:t>條規定，</w:t>
      </w:r>
      <w:r w:rsidR="00C473A8" w:rsidRPr="00D40021">
        <w:rPr>
          <w:rFonts w:hAnsi="標楷體"/>
        </w:rPr>
        <w:t>退休公教人員</w:t>
      </w:r>
      <w:r w:rsidR="00382677" w:rsidRPr="00D40021">
        <w:rPr>
          <w:rFonts w:hAnsi="標楷體" w:hint="eastAsia"/>
        </w:rPr>
        <w:t>再任</w:t>
      </w:r>
      <w:r w:rsidR="00455E34" w:rsidRPr="00D40021">
        <w:rPr>
          <w:rFonts w:hAnsi="標楷體" w:hint="eastAsia"/>
        </w:rPr>
        <w:t>由政府編列預算支給</w:t>
      </w:r>
      <w:proofErr w:type="gramStart"/>
      <w:r w:rsidR="00455E34" w:rsidRPr="00D40021">
        <w:rPr>
          <w:rFonts w:hAnsi="標楷體" w:hint="eastAsia"/>
        </w:rPr>
        <w:t>俸</w:t>
      </w:r>
      <w:proofErr w:type="gramEnd"/>
      <w:r w:rsidR="00144B17" w:rsidRPr="00D40021">
        <w:rPr>
          <w:rFonts w:hAnsi="標楷體" w:hint="eastAsia"/>
        </w:rPr>
        <w:t>（</w:t>
      </w:r>
      <w:r w:rsidR="00455E34" w:rsidRPr="00D40021">
        <w:rPr>
          <w:rFonts w:hAnsi="標楷體" w:hint="eastAsia"/>
        </w:rPr>
        <w:t>薪）給、待遇或公費</w:t>
      </w:r>
      <w:r w:rsidR="00144B17" w:rsidRPr="00D40021">
        <w:rPr>
          <w:rFonts w:hAnsi="標楷體" w:hint="eastAsia"/>
        </w:rPr>
        <w:t>（</w:t>
      </w:r>
      <w:r w:rsidR="00455E34" w:rsidRPr="00D40021">
        <w:rPr>
          <w:rFonts w:hAnsi="標楷體" w:hint="eastAsia"/>
        </w:rPr>
        <w:t>下稱薪酬）之機關</w:t>
      </w:r>
      <w:r w:rsidR="00144B17" w:rsidRPr="00D40021">
        <w:rPr>
          <w:rFonts w:hAnsi="標楷體" w:hint="eastAsia"/>
        </w:rPr>
        <w:t>（</w:t>
      </w:r>
      <w:r w:rsidR="00455E34" w:rsidRPr="00D40021">
        <w:rPr>
          <w:rFonts w:hAnsi="標楷體" w:hint="eastAsia"/>
        </w:rPr>
        <w:t>構）、學校或團體之職務，與</w:t>
      </w:r>
      <w:r w:rsidR="00E26894" w:rsidRPr="00D40021">
        <w:rPr>
          <w:rFonts w:hAnsi="標楷體" w:hint="eastAsia"/>
        </w:rPr>
        <w:t>行政法人</w:t>
      </w:r>
      <w:r w:rsidR="00144B17" w:rsidRPr="00D40021">
        <w:rPr>
          <w:rFonts w:hAnsi="標楷體" w:hint="eastAsia"/>
        </w:rPr>
        <w:t>（</w:t>
      </w:r>
      <w:r w:rsidR="00E26894" w:rsidRPr="00D40021">
        <w:rPr>
          <w:rFonts w:hAnsi="標楷體" w:hint="eastAsia"/>
        </w:rPr>
        <w:t>或公法人</w:t>
      </w:r>
      <w:r w:rsidR="008B1080" w:rsidRPr="00D40021">
        <w:rPr>
          <w:rFonts w:hAnsi="標楷體" w:hint="eastAsia"/>
        </w:rPr>
        <w:t>）</w:t>
      </w:r>
      <w:r w:rsidR="00E26894" w:rsidRPr="00D40021">
        <w:rPr>
          <w:rFonts w:hAnsi="標楷體" w:hint="eastAsia"/>
        </w:rPr>
        <w:t>等團體或機構之職務</w:t>
      </w:r>
      <w:r w:rsidR="00C473A8" w:rsidRPr="00D40021">
        <w:rPr>
          <w:rFonts w:hAnsi="標楷體"/>
        </w:rPr>
        <w:t>者，以「</w:t>
      </w:r>
      <w:r w:rsidR="00382677" w:rsidRPr="00D40021">
        <w:rPr>
          <w:rFonts w:hAnsi="標楷體"/>
        </w:rPr>
        <w:t>再任</w:t>
      </w:r>
      <w:r w:rsidR="00C473A8" w:rsidRPr="00D40021">
        <w:rPr>
          <w:rFonts w:hAnsi="標楷體"/>
        </w:rPr>
        <w:t>期間每月支領薪酬總額超過法定基本工資」</w:t>
      </w:r>
      <w:r w:rsidR="00144B17" w:rsidRPr="00D40021">
        <w:rPr>
          <w:rFonts w:hAnsi="標楷體"/>
        </w:rPr>
        <w:t>（</w:t>
      </w:r>
      <w:r w:rsidR="00706C7B" w:rsidRPr="00D40021">
        <w:rPr>
          <w:rFonts w:hAnsi="標楷體"/>
        </w:rPr>
        <w:t>自108年1月1日起</w:t>
      </w:r>
      <w:r w:rsidR="00C473A8" w:rsidRPr="00D40021">
        <w:rPr>
          <w:rFonts w:hAnsi="標楷體"/>
        </w:rPr>
        <w:t>為2</w:t>
      </w:r>
      <w:r w:rsidR="00CB79C9" w:rsidRPr="00D40021">
        <w:rPr>
          <w:rFonts w:hAnsi="標楷體" w:hint="eastAsia"/>
        </w:rPr>
        <w:t>3</w:t>
      </w:r>
      <w:r w:rsidR="00CB79C9" w:rsidRPr="00D40021">
        <w:rPr>
          <w:rFonts w:hAnsi="標楷體"/>
        </w:rPr>
        <w:t>,</w:t>
      </w:r>
      <w:r w:rsidR="00CB79C9" w:rsidRPr="00D40021">
        <w:rPr>
          <w:rFonts w:hAnsi="標楷體" w:hint="eastAsia"/>
        </w:rPr>
        <w:t>1</w:t>
      </w:r>
      <w:r w:rsidR="00C473A8" w:rsidRPr="00D40021">
        <w:rPr>
          <w:rFonts w:hAnsi="標楷體"/>
        </w:rPr>
        <w:t>00元）作為應否停發</w:t>
      </w:r>
      <w:r w:rsidR="00D3688E" w:rsidRPr="00D40021">
        <w:rPr>
          <w:rFonts w:hAnsi="標楷體"/>
        </w:rPr>
        <w:t>月退休</w:t>
      </w:r>
      <w:proofErr w:type="gramStart"/>
      <w:r w:rsidR="00D3688E" w:rsidRPr="00D40021">
        <w:rPr>
          <w:rFonts w:hAnsi="標楷體"/>
        </w:rPr>
        <w:t>俸</w:t>
      </w:r>
      <w:proofErr w:type="gramEnd"/>
      <w:r w:rsidR="00C473A8" w:rsidRPr="00D40021">
        <w:rPr>
          <w:rFonts w:hAnsi="標楷體"/>
        </w:rPr>
        <w:t>之標準</w:t>
      </w:r>
      <w:r w:rsidR="00792200" w:rsidRPr="00D40021">
        <w:rPr>
          <w:rFonts w:hAnsi="標楷體" w:hint="eastAsia"/>
        </w:rPr>
        <w:t>。</w:t>
      </w:r>
    </w:p>
    <w:p w:rsidR="00C473A8" w:rsidRPr="00D40021" w:rsidRDefault="00792200" w:rsidP="003A21D3">
      <w:pPr>
        <w:pStyle w:val="5"/>
        <w:rPr>
          <w:rFonts w:hAnsi="標楷體"/>
        </w:rPr>
      </w:pPr>
      <w:r w:rsidRPr="00D40021">
        <w:rPr>
          <w:rFonts w:hAnsi="標楷體" w:hint="eastAsia"/>
        </w:rPr>
        <w:t>惟依新修正服役條例第34條規定</w:t>
      </w:r>
      <w:r w:rsidR="003A21D3" w:rsidRPr="00D40021">
        <w:rPr>
          <w:rFonts w:hAnsi="標楷體" w:hint="eastAsia"/>
        </w:rPr>
        <w:t>，</w:t>
      </w:r>
      <w:r w:rsidR="00C473A8" w:rsidRPr="00D40021">
        <w:rPr>
          <w:rFonts w:hAnsi="標楷體"/>
        </w:rPr>
        <w:t>退役軍人</w:t>
      </w:r>
      <w:r w:rsidR="00382677" w:rsidRPr="00D40021">
        <w:rPr>
          <w:rFonts w:hAnsi="標楷體" w:hint="eastAsia"/>
        </w:rPr>
        <w:t>再任</w:t>
      </w:r>
      <w:r w:rsidR="00E26894" w:rsidRPr="00D40021">
        <w:rPr>
          <w:rFonts w:hAnsi="標楷體" w:hint="eastAsia"/>
        </w:rPr>
        <w:t>由政府編列預算支給薪酬之機關</w:t>
      </w:r>
      <w:r w:rsidR="00144B17" w:rsidRPr="00D40021">
        <w:rPr>
          <w:rFonts w:hAnsi="標楷體" w:hint="eastAsia"/>
        </w:rPr>
        <w:t>（</w:t>
      </w:r>
      <w:r w:rsidR="00E26894" w:rsidRPr="00D40021">
        <w:rPr>
          <w:rFonts w:hAnsi="標楷體" w:hint="eastAsia"/>
        </w:rPr>
        <w:t>構）、學校或團體之職務，與行政法人</w:t>
      </w:r>
      <w:r w:rsidR="00144B17" w:rsidRPr="00D40021">
        <w:rPr>
          <w:rFonts w:hAnsi="標楷體" w:hint="eastAsia"/>
        </w:rPr>
        <w:t>（</w:t>
      </w:r>
      <w:r w:rsidR="00E26894" w:rsidRPr="00D40021">
        <w:rPr>
          <w:rFonts w:hAnsi="標楷體" w:hint="eastAsia"/>
        </w:rPr>
        <w:t>或公法人</w:t>
      </w:r>
      <w:r w:rsidR="008B1080" w:rsidRPr="00D40021">
        <w:rPr>
          <w:rFonts w:hAnsi="標楷體" w:hint="eastAsia"/>
        </w:rPr>
        <w:t>）</w:t>
      </w:r>
      <w:r w:rsidR="00E26894" w:rsidRPr="00D40021">
        <w:rPr>
          <w:rFonts w:hAnsi="標楷體" w:hint="eastAsia"/>
        </w:rPr>
        <w:t>等團體或機構之職務</w:t>
      </w:r>
      <w:r w:rsidR="00E26894" w:rsidRPr="00D40021">
        <w:rPr>
          <w:rFonts w:hAnsi="標楷體"/>
        </w:rPr>
        <w:t>者，</w:t>
      </w:r>
      <w:r w:rsidR="00C473A8" w:rsidRPr="00D40021">
        <w:rPr>
          <w:rFonts w:hAnsi="標楷體"/>
        </w:rPr>
        <w:t>以</w:t>
      </w:r>
      <w:r w:rsidR="00382677" w:rsidRPr="00D40021">
        <w:rPr>
          <w:rFonts w:hAnsi="標楷體"/>
        </w:rPr>
        <w:t>再任</w:t>
      </w:r>
      <w:r w:rsidR="00C473A8" w:rsidRPr="00D40021">
        <w:rPr>
          <w:rFonts w:hAnsi="標楷體"/>
        </w:rPr>
        <w:t>期間每月支領薪酬總</w:t>
      </w:r>
      <w:r w:rsidR="008043C2" w:rsidRPr="00D40021">
        <w:rPr>
          <w:rFonts w:hAnsi="標楷體"/>
        </w:rPr>
        <w:t>額超過「公務人員委任第</w:t>
      </w:r>
      <w:r w:rsidR="00961AC3" w:rsidRPr="00D40021">
        <w:rPr>
          <w:rFonts w:hAnsi="標楷體" w:hint="eastAsia"/>
        </w:rPr>
        <w:t>1</w:t>
      </w:r>
      <w:r w:rsidR="008043C2" w:rsidRPr="00D40021">
        <w:rPr>
          <w:rFonts w:hAnsi="標楷體"/>
        </w:rPr>
        <w:t>職等本</w:t>
      </w:r>
      <w:proofErr w:type="gramStart"/>
      <w:r w:rsidR="008043C2" w:rsidRPr="00D40021">
        <w:rPr>
          <w:rFonts w:hAnsi="標楷體"/>
        </w:rPr>
        <w:t>俸</w:t>
      </w:r>
      <w:proofErr w:type="gramEnd"/>
      <w:r w:rsidR="008043C2" w:rsidRPr="00D40021">
        <w:rPr>
          <w:rFonts w:hAnsi="標楷體"/>
        </w:rPr>
        <w:t>最高</w:t>
      </w:r>
      <w:proofErr w:type="gramStart"/>
      <w:r w:rsidR="008043C2" w:rsidRPr="00D40021">
        <w:rPr>
          <w:rFonts w:hAnsi="標楷體"/>
        </w:rPr>
        <w:t>俸</w:t>
      </w:r>
      <w:proofErr w:type="gramEnd"/>
      <w:r w:rsidR="008043C2" w:rsidRPr="00D40021">
        <w:rPr>
          <w:rFonts w:hAnsi="標楷體"/>
        </w:rPr>
        <w:t>額</w:t>
      </w:r>
      <w:r w:rsidR="008043C2" w:rsidRPr="00D40021">
        <w:rPr>
          <w:rFonts w:hAnsi="標楷體"/>
        </w:rPr>
        <w:lastRenderedPageBreak/>
        <w:t>及專業加給合計數額」</w:t>
      </w:r>
      <w:r w:rsidR="00144B17" w:rsidRPr="00D40021">
        <w:rPr>
          <w:rFonts w:hAnsi="標楷體"/>
        </w:rPr>
        <w:t>（</w:t>
      </w:r>
      <w:r w:rsidR="008043C2" w:rsidRPr="00D40021">
        <w:rPr>
          <w:rFonts w:hAnsi="標楷體" w:hint="eastAsia"/>
        </w:rPr>
        <w:t>107</w:t>
      </w:r>
      <w:r w:rsidR="00C473A8" w:rsidRPr="00D40021">
        <w:rPr>
          <w:rFonts w:hAnsi="標楷體"/>
        </w:rPr>
        <w:t>年為33,140元）作為應否停發退休</w:t>
      </w:r>
      <w:proofErr w:type="gramStart"/>
      <w:r w:rsidR="00C473A8" w:rsidRPr="00D40021">
        <w:rPr>
          <w:rFonts w:hAnsi="標楷體"/>
        </w:rPr>
        <w:t>俸</w:t>
      </w:r>
      <w:proofErr w:type="gramEnd"/>
      <w:r w:rsidR="00C473A8" w:rsidRPr="00D40021">
        <w:rPr>
          <w:rFonts w:hAnsi="標楷體"/>
        </w:rPr>
        <w:t>之標準。</w:t>
      </w:r>
    </w:p>
    <w:p w:rsidR="00792200" w:rsidRPr="00D40021" w:rsidRDefault="00B16170" w:rsidP="003A21D3">
      <w:pPr>
        <w:pStyle w:val="4"/>
        <w:rPr>
          <w:rFonts w:hAnsi="標楷體"/>
        </w:rPr>
      </w:pPr>
      <w:r w:rsidRPr="00D40021">
        <w:rPr>
          <w:rFonts w:hAnsi="標楷體" w:hint="eastAsia"/>
        </w:rPr>
        <w:t>退役軍人</w:t>
      </w:r>
      <w:r w:rsidR="00382677" w:rsidRPr="00D40021">
        <w:rPr>
          <w:rFonts w:hAnsi="標楷體" w:hint="eastAsia"/>
        </w:rPr>
        <w:t>再任</w:t>
      </w:r>
      <w:r w:rsidR="00792200" w:rsidRPr="00D40021">
        <w:rPr>
          <w:rFonts w:hAnsi="標楷體" w:hint="eastAsia"/>
        </w:rPr>
        <w:t>私立學校</w:t>
      </w:r>
      <w:r w:rsidR="00792200" w:rsidRPr="00D40021">
        <w:rPr>
          <w:rFonts w:hAnsi="標楷體"/>
        </w:rPr>
        <w:t>停發退休</w:t>
      </w:r>
      <w:proofErr w:type="gramStart"/>
      <w:r w:rsidR="00792200" w:rsidRPr="00D40021">
        <w:rPr>
          <w:rFonts w:hAnsi="標楷體"/>
        </w:rPr>
        <w:t>俸</w:t>
      </w:r>
      <w:proofErr w:type="gramEnd"/>
      <w:r w:rsidR="003A21D3" w:rsidRPr="00D40021">
        <w:rPr>
          <w:rFonts w:hAnsi="標楷體" w:hint="eastAsia"/>
        </w:rPr>
        <w:t>，</w:t>
      </w:r>
      <w:r w:rsidR="00792200" w:rsidRPr="00D40021">
        <w:rPr>
          <w:rFonts w:hAnsi="標楷體" w:hint="eastAsia"/>
        </w:rPr>
        <w:t>係以</w:t>
      </w:r>
      <w:r w:rsidR="00382677" w:rsidRPr="00D40021">
        <w:rPr>
          <w:rFonts w:hAnsi="標楷體" w:hint="eastAsia"/>
        </w:rPr>
        <w:t>再任</w:t>
      </w:r>
      <w:r w:rsidR="003A21D3" w:rsidRPr="00D40021">
        <w:rPr>
          <w:rFonts w:hAnsi="標楷體" w:hint="eastAsia"/>
        </w:rPr>
        <w:t>私立大學之專任教師為限</w:t>
      </w:r>
      <w:r w:rsidR="00244865" w:rsidRPr="00D40021">
        <w:rPr>
          <w:rFonts w:hAnsi="標楷體" w:hint="eastAsia"/>
        </w:rPr>
        <w:t>，惟公教人員</w:t>
      </w:r>
      <w:proofErr w:type="gramStart"/>
      <w:r w:rsidR="00244865" w:rsidRPr="00D40021">
        <w:rPr>
          <w:rFonts w:hAnsi="標楷體" w:hint="eastAsia"/>
        </w:rPr>
        <w:t>凡再任私</w:t>
      </w:r>
      <w:proofErr w:type="gramEnd"/>
      <w:r w:rsidR="00244865" w:rsidRPr="00D40021">
        <w:rPr>
          <w:rFonts w:hAnsi="標楷體" w:hint="eastAsia"/>
        </w:rPr>
        <w:t>校職務皆應受限</w:t>
      </w:r>
      <w:r w:rsidR="00B73B17" w:rsidRPr="00D40021">
        <w:rPr>
          <w:rFonts w:hAnsi="標楷體" w:hint="eastAsia"/>
        </w:rPr>
        <w:t>。</w:t>
      </w:r>
    </w:p>
    <w:p w:rsidR="003A21D3" w:rsidRPr="00D40021" w:rsidRDefault="00CF1061" w:rsidP="003A21D3">
      <w:pPr>
        <w:pStyle w:val="5"/>
        <w:rPr>
          <w:rFonts w:hAnsi="標楷體"/>
        </w:rPr>
      </w:pPr>
      <w:r w:rsidRPr="00D40021">
        <w:rPr>
          <w:rFonts w:hAnsi="標楷體" w:hint="eastAsia"/>
        </w:rPr>
        <w:t>依新公布</w:t>
      </w:r>
      <w:r w:rsidRPr="00D40021">
        <w:rPr>
          <w:rFonts w:hAnsi="標楷體"/>
        </w:rPr>
        <w:t>公務人員退撫法</w:t>
      </w:r>
      <w:r w:rsidRPr="00D40021">
        <w:rPr>
          <w:rFonts w:hAnsi="標楷體" w:hint="eastAsia"/>
        </w:rPr>
        <w:t>及</w:t>
      </w:r>
      <w:r w:rsidRPr="00D40021">
        <w:rPr>
          <w:rFonts w:hAnsi="標楷體"/>
        </w:rPr>
        <w:t>公立學校教職員退撫條例</w:t>
      </w:r>
      <w:r w:rsidRPr="00D40021">
        <w:rPr>
          <w:rFonts w:hAnsi="標楷體" w:hint="eastAsia"/>
        </w:rPr>
        <w:t>第77條</w:t>
      </w:r>
      <w:r w:rsidR="00371F39" w:rsidRPr="00D40021">
        <w:rPr>
          <w:rFonts w:hAnsi="標楷體" w:hint="eastAsia"/>
        </w:rPr>
        <w:t>第1項第3款</w:t>
      </w:r>
      <w:r w:rsidRPr="00D40021">
        <w:rPr>
          <w:rFonts w:hAnsi="標楷體" w:hint="eastAsia"/>
        </w:rPr>
        <w:t>規定</w:t>
      </w:r>
      <w:r w:rsidR="001D3269" w:rsidRPr="00D40021">
        <w:rPr>
          <w:rFonts w:hAnsi="標楷體" w:hint="eastAsia"/>
        </w:rPr>
        <w:t>，</w:t>
      </w:r>
      <w:r w:rsidR="00C473A8" w:rsidRPr="00D40021">
        <w:rPr>
          <w:rFonts w:hAnsi="標楷體"/>
        </w:rPr>
        <w:t>退休公教人員</w:t>
      </w:r>
      <w:proofErr w:type="gramStart"/>
      <w:r w:rsidR="00382677" w:rsidRPr="00D40021">
        <w:rPr>
          <w:rFonts w:hAnsi="標楷體"/>
        </w:rPr>
        <w:t>再任</w:t>
      </w:r>
      <w:r w:rsidR="00C473A8" w:rsidRPr="00D40021">
        <w:rPr>
          <w:rFonts w:hAnsi="標楷體"/>
        </w:rPr>
        <w:t>私校</w:t>
      </w:r>
      <w:proofErr w:type="gramEnd"/>
      <w:r w:rsidR="00C473A8" w:rsidRPr="00D40021">
        <w:rPr>
          <w:rFonts w:hAnsi="標楷體"/>
        </w:rPr>
        <w:t>職務且每月支領薪酬總額超</w:t>
      </w:r>
      <w:r w:rsidR="00E26894" w:rsidRPr="00D40021">
        <w:rPr>
          <w:rFonts w:hAnsi="標楷體" w:hint="eastAsia"/>
        </w:rPr>
        <w:t>法定基本工資</w:t>
      </w:r>
      <w:r w:rsidR="00C473A8" w:rsidRPr="00D40021">
        <w:rPr>
          <w:rFonts w:hAnsi="標楷體"/>
        </w:rPr>
        <w:t>者，</w:t>
      </w:r>
      <w:r w:rsidR="003A21D3" w:rsidRPr="00D40021">
        <w:rPr>
          <w:rFonts w:hAnsi="標楷體" w:hint="eastAsia"/>
        </w:rPr>
        <w:t>即</w:t>
      </w:r>
      <w:r w:rsidR="00C473A8" w:rsidRPr="00D40021">
        <w:rPr>
          <w:rFonts w:hAnsi="標楷體"/>
        </w:rPr>
        <w:t>停發</w:t>
      </w:r>
      <w:r w:rsidR="00D3688E" w:rsidRPr="00D40021">
        <w:rPr>
          <w:rFonts w:hAnsi="標楷體"/>
        </w:rPr>
        <w:t>月退休</w:t>
      </w:r>
      <w:proofErr w:type="gramStart"/>
      <w:r w:rsidR="00D3688E" w:rsidRPr="00D40021">
        <w:rPr>
          <w:rFonts w:hAnsi="標楷體"/>
        </w:rPr>
        <w:t>俸</w:t>
      </w:r>
      <w:proofErr w:type="gramEnd"/>
      <w:r w:rsidR="003A21D3" w:rsidRPr="00D40021">
        <w:rPr>
          <w:rFonts w:hAnsi="標楷體" w:hint="eastAsia"/>
        </w:rPr>
        <w:t>。</w:t>
      </w:r>
    </w:p>
    <w:p w:rsidR="00C473A8" w:rsidRPr="00D40021" w:rsidRDefault="003A21D3" w:rsidP="00E26894">
      <w:pPr>
        <w:pStyle w:val="5"/>
        <w:rPr>
          <w:rFonts w:hAnsi="標楷體"/>
        </w:rPr>
      </w:pPr>
      <w:r w:rsidRPr="00D40021">
        <w:rPr>
          <w:rFonts w:hAnsi="標楷體" w:hint="eastAsia"/>
        </w:rPr>
        <w:t>惟依新修正</w:t>
      </w:r>
      <w:r w:rsidR="00153904" w:rsidRPr="00D40021">
        <w:rPr>
          <w:rFonts w:hAnsi="標楷體" w:hint="eastAsia"/>
        </w:rPr>
        <w:t>施行</w:t>
      </w:r>
      <w:r w:rsidRPr="00D40021">
        <w:rPr>
          <w:rFonts w:hAnsi="標楷體" w:hint="eastAsia"/>
        </w:rPr>
        <w:t>服役條例第34條第1項第3款規定，</w:t>
      </w:r>
      <w:r w:rsidR="00C473A8" w:rsidRPr="00D40021">
        <w:rPr>
          <w:rFonts w:hAnsi="標楷體"/>
        </w:rPr>
        <w:t>退役軍人僅限於</w:t>
      </w:r>
      <w:r w:rsidR="00382677" w:rsidRPr="00D40021">
        <w:rPr>
          <w:rFonts w:hAnsi="標楷體" w:hint="eastAsia"/>
        </w:rPr>
        <w:t>再任</w:t>
      </w:r>
      <w:r w:rsidR="00C473A8" w:rsidRPr="00D40021">
        <w:rPr>
          <w:rFonts w:hAnsi="標楷體"/>
        </w:rPr>
        <w:t>私立大學之專任教師</w:t>
      </w:r>
      <w:r w:rsidR="00E26894" w:rsidRPr="00D40021">
        <w:rPr>
          <w:rFonts w:hAnsi="標楷體" w:hint="eastAsia"/>
        </w:rPr>
        <w:t>，且每月支領薪酬總額超過公務人員委任第</w:t>
      </w:r>
      <w:r w:rsidR="00706C7B" w:rsidRPr="00D40021">
        <w:rPr>
          <w:rFonts w:hAnsi="標楷體" w:hint="eastAsia"/>
        </w:rPr>
        <w:t>1</w:t>
      </w:r>
      <w:r w:rsidR="00E26894" w:rsidRPr="00D40021">
        <w:rPr>
          <w:rFonts w:hAnsi="標楷體" w:hint="eastAsia"/>
        </w:rPr>
        <w:t>職等本</w:t>
      </w:r>
      <w:proofErr w:type="gramStart"/>
      <w:r w:rsidR="00E26894" w:rsidRPr="00D40021">
        <w:rPr>
          <w:rFonts w:hAnsi="標楷體" w:hint="eastAsia"/>
        </w:rPr>
        <w:t>俸</w:t>
      </w:r>
      <w:proofErr w:type="gramEnd"/>
      <w:r w:rsidR="00E26894" w:rsidRPr="00D40021">
        <w:rPr>
          <w:rFonts w:hAnsi="標楷體" w:hint="eastAsia"/>
        </w:rPr>
        <w:t>最高</w:t>
      </w:r>
      <w:proofErr w:type="gramStart"/>
      <w:r w:rsidR="00E26894" w:rsidRPr="00D40021">
        <w:rPr>
          <w:rFonts w:hAnsi="標楷體" w:hint="eastAsia"/>
        </w:rPr>
        <w:t>俸</w:t>
      </w:r>
      <w:proofErr w:type="gramEnd"/>
      <w:r w:rsidR="00E26894" w:rsidRPr="00D40021">
        <w:rPr>
          <w:rFonts w:hAnsi="標楷體" w:hint="eastAsia"/>
        </w:rPr>
        <w:t>額及專業加給合計數額者</w:t>
      </w:r>
      <w:r w:rsidR="00B16170" w:rsidRPr="00D40021">
        <w:rPr>
          <w:rFonts w:hAnsi="標楷體" w:hint="eastAsia"/>
        </w:rPr>
        <w:t>，才</w:t>
      </w:r>
      <w:r w:rsidR="00B16170" w:rsidRPr="00D40021">
        <w:rPr>
          <w:rFonts w:hAnsi="標楷體"/>
        </w:rPr>
        <w:t>應受限</w:t>
      </w:r>
      <w:r w:rsidR="00C473A8" w:rsidRPr="00D40021">
        <w:rPr>
          <w:rFonts w:hAnsi="標楷體"/>
        </w:rPr>
        <w:t>。</w:t>
      </w:r>
    </w:p>
    <w:p w:rsidR="000E36A3" w:rsidRPr="00D40021" w:rsidRDefault="00164666" w:rsidP="000C16F6">
      <w:pPr>
        <w:pStyle w:val="3"/>
        <w:rPr>
          <w:rFonts w:hAnsi="標楷體"/>
        </w:rPr>
      </w:pPr>
      <w:r w:rsidRPr="00D40021">
        <w:rPr>
          <w:rFonts w:hAnsi="標楷體" w:hint="eastAsia"/>
        </w:rPr>
        <w:t>軍職人員</w:t>
      </w:r>
      <w:r w:rsidR="00244865" w:rsidRPr="00D40021">
        <w:rPr>
          <w:rFonts w:hAnsi="標楷體" w:hint="eastAsia"/>
        </w:rPr>
        <w:t>退休</w:t>
      </w:r>
      <w:proofErr w:type="gramStart"/>
      <w:r w:rsidR="00244865" w:rsidRPr="00D40021">
        <w:rPr>
          <w:rFonts w:hAnsi="標楷體" w:hint="eastAsia"/>
        </w:rPr>
        <w:t>俸</w:t>
      </w:r>
      <w:proofErr w:type="gramEnd"/>
      <w:r w:rsidR="00244865" w:rsidRPr="00D40021">
        <w:rPr>
          <w:rFonts w:hAnsi="標楷體" w:hint="eastAsia"/>
        </w:rPr>
        <w:t>僅</w:t>
      </w:r>
      <w:proofErr w:type="gramStart"/>
      <w:r w:rsidR="00244865" w:rsidRPr="00D40021">
        <w:rPr>
          <w:rFonts w:hAnsi="標楷體" w:hint="eastAsia"/>
        </w:rPr>
        <w:t>3成</w:t>
      </w:r>
      <w:proofErr w:type="gramEnd"/>
      <w:r w:rsidR="00244865" w:rsidRPr="00D40021">
        <w:rPr>
          <w:rFonts w:hAnsi="標楷體" w:hint="eastAsia"/>
        </w:rPr>
        <w:t>由退撫基金支給，另</w:t>
      </w:r>
      <w:proofErr w:type="gramStart"/>
      <w:r w:rsidR="00153904" w:rsidRPr="00D40021">
        <w:rPr>
          <w:rFonts w:hAnsi="標楷體" w:hint="eastAsia"/>
        </w:rPr>
        <w:t>7成</w:t>
      </w:r>
      <w:proofErr w:type="gramEnd"/>
      <w:r w:rsidR="00153904" w:rsidRPr="00D40021">
        <w:rPr>
          <w:rFonts w:hAnsi="標楷體" w:hint="eastAsia"/>
        </w:rPr>
        <w:t>金額</w:t>
      </w:r>
      <w:r w:rsidR="008F63E3" w:rsidRPr="00D40021">
        <w:rPr>
          <w:rFonts w:hAnsi="標楷體" w:hint="eastAsia"/>
        </w:rPr>
        <w:t>及</w:t>
      </w:r>
      <w:r w:rsidR="00E26894" w:rsidRPr="00D40021">
        <w:rPr>
          <w:rFonts w:hAnsi="標楷體" w:hint="eastAsia"/>
        </w:rPr>
        <w:t>退伍金</w:t>
      </w:r>
      <w:r w:rsidR="007A796B" w:rsidRPr="00D40021">
        <w:rPr>
          <w:rFonts w:hAnsi="標楷體" w:hint="eastAsia"/>
        </w:rPr>
        <w:t>給付改</w:t>
      </w:r>
      <w:r w:rsidR="00E26894" w:rsidRPr="00D40021">
        <w:rPr>
          <w:rFonts w:hAnsi="標楷體" w:hint="eastAsia"/>
        </w:rPr>
        <w:t>由政府編列</w:t>
      </w:r>
      <w:r w:rsidR="00244865" w:rsidRPr="00D40021">
        <w:rPr>
          <w:rFonts w:hAnsi="標楷體" w:hint="eastAsia"/>
        </w:rPr>
        <w:t>公務</w:t>
      </w:r>
      <w:r w:rsidR="00E26894" w:rsidRPr="00D40021">
        <w:rPr>
          <w:rFonts w:hAnsi="標楷體" w:hint="eastAsia"/>
        </w:rPr>
        <w:t>預算支付</w:t>
      </w:r>
      <w:r w:rsidR="000D2937" w:rsidRPr="00D40021">
        <w:rPr>
          <w:rFonts w:hAnsi="標楷體" w:hint="eastAsia"/>
        </w:rPr>
        <w:t>，惟公教人員</w:t>
      </w:r>
      <w:r w:rsidR="00B22E71" w:rsidRPr="00D40021">
        <w:rPr>
          <w:rFonts w:hAnsi="標楷體" w:hint="eastAsia"/>
        </w:rPr>
        <w:t>退休給付</w:t>
      </w:r>
      <w:r w:rsidR="000D2937" w:rsidRPr="00D40021">
        <w:rPr>
          <w:rFonts w:hAnsi="標楷體" w:hint="eastAsia"/>
        </w:rPr>
        <w:t>仍</w:t>
      </w:r>
      <w:r w:rsidR="00244865" w:rsidRPr="00D40021">
        <w:rPr>
          <w:rFonts w:hAnsi="標楷體" w:hint="eastAsia"/>
        </w:rPr>
        <w:t>維持</w:t>
      </w:r>
      <w:r w:rsidR="00B22E71" w:rsidRPr="00D40021">
        <w:rPr>
          <w:rFonts w:hAnsi="標楷體" w:hint="eastAsia"/>
        </w:rPr>
        <w:t>全</w:t>
      </w:r>
      <w:r w:rsidR="00244865" w:rsidRPr="00D40021">
        <w:rPr>
          <w:rFonts w:hAnsi="標楷體" w:hint="eastAsia"/>
        </w:rPr>
        <w:t>由退撫基金支給</w:t>
      </w:r>
      <w:r w:rsidR="00B73B17" w:rsidRPr="00D40021">
        <w:rPr>
          <w:rFonts w:hAnsi="標楷體" w:hint="eastAsia"/>
        </w:rPr>
        <w:t>。</w:t>
      </w:r>
    </w:p>
    <w:p w:rsidR="008F63E3" w:rsidRPr="00D40021" w:rsidRDefault="00067ADB" w:rsidP="003F408C">
      <w:pPr>
        <w:pStyle w:val="4"/>
        <w:rPr>
          <w:rFonts w:hAnsi="標楷體"/>
        </w:rPr>
      </w:pPr>
      <w:r w:rsidRPr="00D40021">
        <w:rPr>
          <w:rFonts w:hAnsi="標楷體" w:hint="eastAsia"/>
        </w:rPr>
        <w:t>月</w:t>
      </w:r>
      <w:r w:rsidR="008F63E3" w:rsidRPr="00D40021">
        <w:rPr>
          <w:rFonts w:hAnsi="標楷體" w:hint="eastAsia"/>
        </w:rPr>
        <w:t>退休</w:t>
      </w:r>
      <w:proofErr w:type="gramStart"/>
      <w:r w:rsidR="008F63E3" w:rsidRPr="00D40021">
        <w:rPr>
          <w:rFonts w:hAnsi="標楷體" w:hint="eastAsia"/>
        </w:rPr>
        <w:t>俸</w:t>
      </w:r>
      <w:proofErr w:type="gramEnd"/>
      <w:r w:rsidR="008F63E3" w:rsidRPr="00D40021">
        <w:rPr>
          <w:rFonts w:hAnsi="標楷體" w:hint="eastAsia"/>
        </w:rPr>
        <w:t>部分</w:t>
      </w:r>
    </w:p>
    <w:p w:rsidR="008F63E3" w:rsidRPr="00D40021" w:rsidRDefault="001D3269" w:rsidP="008F63E3">
      <w:pPr>
        <w:pStyle w:val="5"/>
        <w:rPr>
          <w:rFonts w:hAnsi="標楷體"/>
        </w:rPr>
      </w:pPr>
      <w:r w:rsidRPr="00D40021">
        <w:rPr>
          <w:rFonts w:hAnsi="標楷體" w:hint="eastAsia"/>
        </w:rPr>
        <w:t>依新公布</w:t>
      </w:r>
      <w:r w:rsidRPr="00D40021">
        <w:rPr>
          <w:rFonts w:hAnsi="標楷體"/>
        </w:rPr>
        <w:t>公務人員退撫法</w:t>
      </w:r>
      <w:r w:rsidRPr="00D40021">
        <w:rPr>
          <w:rFonts w:hAnsi="標楷體" w:hint="eastAsia"/>
        </w:rPr>
        <w:t>及</w:t>
      </w:r>
      <w:r w:rsidRPr="00D40021">
        <w:rPr>
          <w:rFonts w:hAnsi="標楷體"/>
        </w:rPr>
        <w:t>公立學校教職員退撫條例</w:t>
      </w:r>
      <w:r w:rsidR="009F4AB5" w:rsidRPr="00D40021">
        <w:rPr>
          <w:rFonts w:hAnsi="標楷體" w:hint="eastAsia"/>
        </w:rPr>
        <w:t>第5條、</w:t>
      </w:r>
      <w:r w:rsidRPr="00D40021">
        <w:rPr>
          <w:rFonts w:hAnsi="標楷體" w:hint="eastAsia"/>
        </w:rPr>
        <w:t>第</w:t>
      </w:r>
      <w:r w:rsidR="00252755" w:rsidRPr="00D40021">
        <w:rPr>
          <w:rFonts w:hAnsi="標楷體" w:hint="eastAsia"/>
        </w:rPr>
        <w:t>6</w:t>
      </w:r>
      <w:r w:rsidRPr="00D40021">
        <w:rPr>
          <w:rFonts w:hAnsi="標楷體" w:hint="eastAsia"/>
        </w:rPr>
        <w:t>條</w:t>
      </w:r>
      <w:r w:rsidR="009F4AB5" w:rsidRPr="00D40021">
        <w:rPr>
          <w:rFonts w:hAnsi="標楷體" w:hint="eastAsia"/>
        </w:rPr>
        <w:t>及第68條</w:t>
      </w:r>
      <w:r w:rsidRPr="00D40021">
        <w:rPr>
          <w:rFonts w:hAnsi="標楷體" w:hint="eastAsia"/>
        </w:rPr>
        <w:t>規定，</w:t>
      </w:r>
      <w:r w:rsidR="008F63E3" w:rsidRPr="00D40021">
        <w:rPr>
          <w:rFonts w:hAnsi="標楷體" w:hint="eastAsia"/>
        </w:rPr>
        <w:t>公教人員</w:t>
      </w:r>
      <w:r w:rsidR="00967C94" w:rsidRPr="00D40021">
        <w:rPr>
          <w:rFonts w:hAnsi="標楷體" w:hint="eastAsia"/>
        </w:rPr>
        <w:t>月</w:t>
      </w:r>
      <w:r w:rsidR="00B11428" w:rsidRPr="00D40021">
        <w:rPr>
          <w:rFonts w:hAnsi="標楷體" w:hint="eastAsia"/>
        </w:rPr>
        <w:t>退休金</w:t>
      </w:r>
      <w:r w:rsidR="008F63E3" w:rsidRPr="00D40021">
        <w:rPr>
          <w:rFonts w:hAnsi="標楷體" w:hint="eastAsia"/>
        </w:rPr>
        <w:t>屬</w:t>
      </w:r>
      <w:r w:rsidR="00B11428" w:rsidRPr="00D40021">
        <w:rPr>
          <w:rFonts w:hAnsi="標楷體" w:hint="eastAsia"/>
        </w:rPr>
        <w:t>於退撫新制實施後年資計得者，</w:t>
      </w:r>
      <w:r w:rsidR="008F63E3" w:rsidRPr="00D40021">
        <w:rPr>
          <w:rFonts w:hAnsi="標楷體" w:hint="eastAsia"/>
        </w:rPr>
        <w:t>由退撫基金支給。</w:t>
      </w:r>
    </w:p>
    <w:p w:rsidR="008F63E3" w:rsidRPr="00D40021" w:rsidRDefault="008F63E3" w:rsidP="008F63E3">
      <w:pPr>
        <w:pStyle w:val="5"/>
        <w:rPr>
          <w:rFonts w:hAnsi="標楷體"/>
        </w:rPr>
      </w:pPr>
      <w:r w:rsidRPr="00D40021">
        <w:rPr>
          <w:rFonts w:hAnsi="標楷體" w:hint="eastAsia"/>
        </w:rPr>
        <w:t>惟</w:t>
      </w:r>
      <w:r w:rsidR="00153904" w:rsidRPr="00D40021">
        <w:rPr>
          <w:rFonts w:hAnsi="標楷體" w:hint="eastAsia"/>
        </w:rPr>
        <w:t>新修正施行</w:t>
      </w:r>
      <w:r w:rsidRPr="00D40021">
        <w:rPr>
          <w:rFonts w:hAnsi="標楷體"/>
          <w:szCs w:val="32"/>
        </w:rPr>
        <w:t>服役條例第54條第6項及</w:t>
      </w:r>
      <w:r w:rsidRPr="00D40021">
        <w:rPr>
          <w:rFonts w:hAnsi="標楷體" w:hint="eastAsia"/>
          <w:szCs w:val="32"/>
        </w:rPr>
        <w:t>同</w:t>
      </w:r>
      <w:r w:rsidR="00D8240B" w:rsidRPr="00D40021">
        <w:rPr>
          <w:rFonts w:hAnsi="標楷體" w:hint="eastAsia"/>
          <w:szCs w:val="32"/>
        </w:rPr>
        <w:t>條例</w:t>
      </w:r>
      <w:r w:rsidRPr="00D40021">
        <w:rPr>
          <w:rFonts w:hAnsi="標楷體"/>
          <w:szCs w:val="32"/>
        </w:rPr>
        <w:t>施行細則第59條第3項</w:t>
      </w:r>
      <w:r w:rsidR="007A796B" w:rsidRPr="00D40021">
        <w:rPr>
          <w:rFonts w:hAnsi="標楷體" w:hint="eastAsia"/>
          <w:szCs w:val="32"/>
        </w:rPr>
        <w:t>規定，</w:t>
      </w:r>
      <w:r w:rsidRPr="00D40021">
        <w:rPr>
          <w:rFonts w:hAnsi="標楷體"/>
          <w:szCs w:val="32"/>
        </w:rPr>
        <w:t>依</w:t>
      </w:r>
      <w:r w:rsidR="007A796B" w:rsidRPr="00D40021">
        <w:rPr>
          <w:rFonts w:hAnsi="標楷體" w:hint="eastAsia"/>
          <w:szCs w:val="32"/>
        </w:rPr>
        <w:t>同</w:t>
      </w:r>
      <w:r w:rsidR="00D8240B" w:rsidRPr="00D40021">
        <w:rPr>
          <w:rFonts w:hAnsi="標楷體" w:hint="eastAsia"/>
          <w:szCs w:val="32"/>
        </w:rPr>
        <w:t>條例</w:t>
      </w:r>
      <w:r w:rsidRPr="00D40021">
        <w:rPr>
          <w:rFonts w:hAnsi="標楷體"/>
          <w:szCs w:val="32"/>
        </w:rPr>
        <w:t>第26條第2項第2款</w:t>
      </w:r>
      <w:r w:rsidR="00350197" w:rsidRPr="00D40021">
        <w:rPr>
          <w:rFonts w:hAnsi="標楷體" w:hint="eastAsia"/>
          <w:szCs w:val="32"/>
        </w:rPr>
        <w:t>規定</w:t>
      </w:r>
      <w:r w:rsidR="00350197" w:rsidRPr="00D40021">
        <w:rPr>
          <w:rFonts w:hAnsi="標楷體" w:hint="eastAsia"/>
        </w:rPr>
        <w:t>審定之退休</w:t>
      </w:r>
      <w:proofErr w:type="gramStart"/>
      <w:r w:rsidR="00350197" w:rsidRPr="00D40021">
        <w:rPr>
          <w:rFonts w:hAnsi="標楷體" w:hint="eastAsia"/>
        </w:rPr>
        <w:t>俸</w:t>
      </w:r>
      <w:proofErr w:type="gramEnd"/>
      <w:r w:rsidRPr="00D40021">
        <w:rPr>
          <w:rFonts w:hAnsi="標楷體"/>
          <w:szCs w:val="32"/>
        </w:rPr>
        <w:t>，由</w:t>
      </w:r>
      <w:r w:rsidR="00350197" w:rsidRPr="00D40021">
        <w:rPr>
          <w:rFonts w:hAnsi="標楷體" w:hint="eastAsia"/>
          <w:szCs w:val="32"/>
        </w:rPr>
        <w:t>退撫基金</w:t>
      </w:r>
      <w:r w:rsidRPr="00D40021">
        <w:rPr>
          <w:rFonts w:hAnsi="標楷體"/>
          <w:szCs w:val="32"/>
        </w:rPr>
        <w:t>按30%及輔導會70%</w:t>
      </w:r>
      <w:r w:rsidR="00144B17" w:rsidRPr="00D40021">
        <w:rPr>
          <w:rFonts w:hAnsi="標楷體" w:hint="eastAsia"/>
          <w:szCs w:val="32"/>
        </w:rPr>
        <w:t>（</w:t>
      </w:r>
      <w:r w:rsidRPr="00D40021">
        <w:rPr>
          <w:rFonts w:hAnsi="標楷體" w:hint="eastAsia"/>
          <w:szCs w:val="32"/>
        </w:rPr>
        <w:t>編列預算）</w:t>
      </w:r>
      <w:r w:rsidRPr="00D40021">
        <w:rPr>
          <w:rFonts w:hAnsi="標楷體"/>
          <w:szCs w:val="32"/>
        </w:rPr>
        <w:t>之比率支付。</w:t>
      </w:r>
    </w:p>
    <w:p w:rsidR="008F63E3" w:rsidRPr="00D40021" w:rsidRDefault="008F63E3" w:rsidP="003F408C">
      <w:pPr>
        <w:pStyle w:val="4"/>
        <w:rPr>
          <w:rFonts w:hAnsi="標楷體"/>
        </w:rPr>
      </w:pPr>
      <w:r w:rsidRPr="00D40021">
        <w:rPr>
          <w:rFonts w:hAnsi="標楷體" w:hint="eastAsia"/>
        </w:rPr>
        <w:t>一次退休給付部分</w:t>
      </w:r>
    </w:p>
    <w:p w:rsidR="009F3760" w:rsidRPr="00D40021" w:rsidRDefault="004512A4" w:rsidP="008F63E3">
      <w:pPr>
        <w:pStyle w:val="5"/>
        <w:rPr>
          <w:rFonts w:hAnsi="標楷體"/>
        </w:rPr>
      </w:pPr>
      <w:r w:rsidRPr="00D40021">
        <w:rPr>
          <w:rFonts w:hAnsi="標楷體" w:hint="eastAsia"/>
        </w:rPr>
        <w:t>依新公布</w:t>
      </w:r>
      <w:r w:rsidRPr="00D40021">
        <w:rPr>
          <w:rFonts w:hAnsi="標楷體"/>
        </w:rPr>
        <w:t>公務人員退撫法</w:t>
      </w:r>
      <w:r w:rsidRPr="00D40021">
        <w:rPr>
          <w:rFonts w:hAnsi="標楷體" w:hint="eastAsia"/>
        </w:rPr>
        <w:t>及</w:t>
      </w:r>
      <w:r w:rsidRPr="00D40021">
        <w:rPr>
          <w:rFonts w:hAnsi="標楷體"/>
        </w:rPr>
        <w:t>公立學校教職員退撫條例</w:t>
      </w:r>
      <w:r w:rsidR="009F4AB5" w:rsidRPr="00D40021">
        <w:rPr>
          <w:rFonts w:hAnsi="標楷體" w:hint="eastAsia"/>
        </w:rPr>
        <w:t>第5條、第6條及第68條</w:t>
      </w:r>
      <w:r w:rsidRPr="00D40021">
        <w:rPr>
          <w:rFonts w:hAnsi="標楷體" w:hint="eastAsia"/>
        </w:rPr>
        <w:t>規定，公教人員</w:t>
      </w:r>
      <w:r w:rsidR="00967C94" w:rsidRPr="00D40021">
        <w:rPr>
          <w:rFonts w:hAnsi="標楷體" w:hint="eastAsia"/>
        </w:rPr>
        <w:t>一次</w:t>
      </w:r>
      <w:r w:rsidRPr="00D40021">
        <w:rPr>
          <w:rFonts w:hAnsi="標楷體" w:hint="eastAsia"/>
        </w:rPr>
        <w:t>退休金屬於退撫新制實施後年資計得</w:t>
      </w:r>
      <w:r w:rsidRPr="00D40021">
        <w:rPr>
          <w:rFonts w:hAnsi="標楷體" w:hint="eastAsia"/>
        </w:rPr>
        <w:lastRenderedPageBreak/>
        <w:t>者，由退撫基金支給。</w:t>
      </w:r>
    </w:p>
    <w:p w:rsidR="003F408C" w:rsidRPr="00D40021" w:rsidRDefault="00035C82" w:rsidP="008F63E3">
      <w:pPr>
        <w:pStyle w:val="5"/>
        <w:rPr>
          <w:rFonts w:hAnsi="標楷體"/>
        </w:rPr>
      </w:pPr>
      <w:r w:rsidRPr="00D40021">
        <w:rPr>
          <w:rFonts w:hAnsi="標楷體" w:hint="eastAsia"/>
        </w:rPr>
        <w:t>惟依</w:t>
      </w:r>
      <w:r w:rsidR="00153904" w:rsidRPr="00D40021">
        <w:rPr>
          <w:rFonts w:hAnsi="標楷體" w:hint="eastAsia"/>
        </w:rPr>
        <w:t>新修正施行</w:t>
      </w:r>
      <w:r w:rsidRPr="00D40021">
        <w:rPr>
          <w:rFonts w:hAnsi="標楷體"/>
        </w:rPr>
        <w:t>服役條例第54條第1項</w:t>
      </w:r>
      <w:r w:rsidR="00B11428" w:rsidRPr="00D40021">
        <w:rPr>
          <w:rFonts w:hAnsi="標楷體" w:hint="eastAsia"/>
        </w:rPr>
        <w:t>規定，同</w:t>
      </w:r>
      <w:r w:rsidR="00D073C1" w:rsidRPr="00D40021">
        <w:rPr>
          <w:rFonts w:hAnsi="標楷體" w:hint="eastAsia"/>
          <w:szCs w:val="32"/>
        </w:rPr>
        <w:t>條例</w:t>
      </w:r>
      <w:r w:rsidRPr="00D40021">
        <w:rPr>
          <w:rFonts w:hAnsi="標楷體"/>
        </w:rPr>
        <w:t>第26條第2項第1款之退伍金，服役條例修正</w:t>
      </w:r>
      <w:r w:rsidR="00B11428" w:rsidRPr="00D40021">
        <w:rPr>
          <w:rFonts w:hAnsi="標楷體" w:hint="eastAsia"/>
        </w:rPr>
        <w:t>施行</w:t>
      </w:r>
      <w:r w:rsidRPr="00D40021">
        <w:rPr>
          <w:rFonts w:hAnsi="標楷體"/>
        </w:rPr>
        <w:t>前為退撫基金支出，修正後改由輔導會編列預算支應。</w:t>
      </w:r>
      <w:r w:rsidR="007A796B" w:rsidRPr="00D40021">
        <w:rPr>
          <w:rFonts w:hAnsi="標楷體" w:hint="eastAsia"/>
        </w:rPr>
        <w:t xml:space="preserve"> </w:t>
      </w:r>
    </w:p>
    <w:p w:rsidR="007A796B" w:rsidRPr="00D40021" w:rsidRDefault="00BE5B70" w:rsidP="007A796B">
      <w:pPr>
        <w:pStyle w:val="3"/>
        <w:rPr>
          <w:rFonts w:hAnsi="標楷體"/>
        </w:rPr>
      </w:pPr>
      <w:r w:rsidRPr="00D40021">
        <w:rPr>
          <w:rFonts w:hAnsi="標楷體" w:hint="eastAsia"/>
        </w:rPr>
        <w:t>政府編列預算</w:t>
      </w:r>
      <w:proofErr w:type="gramStart"/>
      <w:r w:rsidRPr="00D40021">
        <w:rPr>
          <w:rFonts w:hAnsi="標楷體" w:hint="eastAsia"/>
        </w:rPr>
        <w:t>挹</w:t>
      </w:r>
      <w:proofErr w:type="gramEnd"/>
      <w:r w:rsidRPr="00D40021">
        <w:rPr>
          <w:rFonts w:hAnsi="標楷體" w:hint="eastAsia"/>
        </w:rPr>
        <w:t>注</w:t>
      </w:r>
      <w:r w:rsidR="00967C94" w:rsidRPr="00D40021">
        <w:rPr>
          <w:rFonts w:hAnsi="標楷體" w:hint="eastAsia"/>
        </w:rPr>
        <w:t>軍</w:t>
      </w:r>
      <w:r w:rsidRPr="00D40021">
        <w:rPr>
          <w:rFonts w:hAnsi="標楷體" w:hint="eastAsia"/>
        </w:rPr>
        <w:t>人退撫基金財務缺口</w:t>
      </w:r>
      <w:r w:rsidR="005E4596" w:rsidRPr="00D40021">
        <w:rPr>
          <w:rFonts w:hAnsi="標楷體" w:hint="eastAsia"/>
        </w:rPr>
        <w:t>，惟政府並未編列預算</w:t>
      </w:r>
      <w:proofErr w:type="gramStart"/>
      <w:r w:rsidR="005E4596" w:rsidRPr="00D40021">
        <w:rPr>
          <w:rFonts w:hAnsi="標楷體" w:hint="eastAsia"/>
        </w:rPr>
        <w:t>挹</w:t>
      </w:r>
      <w:proofErr w:type="gramEnd"/>
      <w:r w:rsidR="005E4596" w:rsidRPr="00D40021">
        <w:rPr>
          <w:rFonts w:hAnsi="標楷體" w:hint="eastAsia"/>
        </w:rPr>
        <w:t>注公教人員退撫基金</w:t>
      </w:r>
      <w:r w:rsidR="00654E27" w:rsidRPr="00D40021">
        <w:rPr>
          <w:rFonts w:hAnsi="標楷體" w:hint="eastAsia"/>
        </w:rPr>
        <w:t>，且未為明確之論述</w:t>
      </w:r>
      <w:r w:rsidR="00B73B17" w:rsidRPr="00D40021">
        <w:rPr>
          <w:rFonts w:hAnsi="標楷體" w:hint="eastAsia"/>
        </w:rPr>
        <w:t>。</w:t>
      </w:r>
    </w:p>
    <w:p w:rsidR="007A796B" w:rsidRPr="00D40021" w:rsidRDefault="001D3269" w:rsidP="007A796B">
      <w:pPr>
        <w:pStyle w:val="4"/>
        <w:rPr>
          <w:rFonts w:hAnsi="標楷體"/>
        </w:rPr>
      </w:pPr>
      <w:r w:rsidRPr="00D40021">
        <w:rPr>
          <w:rFonts w:hAnsi="標楷體" w:hint="eastAsia"/>
        </w:rPr>
        <w:t>依新公布</w:t>
      </w:r>
      <w:r w:rsidRPr="00D40021">
        <w:rPr>
          <w:rFonts w:hAnsi="標楷體"/>
        </w:rPr>
        <w:t>公務人員退撫法</w:t>
      </w:r>
      <w:r w:rsidRPr="00D40021">
        <w:rPr>
          <w:rFonts w:hAnsi="標楷體" w:hint="eastAsia"/>
        </w:rPr>
        <w:t>及</w:t>
      </w:r>
      <w:r w:rsidRPr="00D40021">
        <w:rPr>
          <w:rFonts w:hAnsi="標楷體"/>
        </w:rPr>
        <w:t>公立學校教職員退撫條例</w:t>
      </w:r>
      <w:r w:rsidRPr="00D40021">
        <w:rPr>
          <w:rFonts w:hAnsi="標楷體" w:hint="eastAsia"/>
        </w:rPr>
        <w:t>第</w:t>
      </w:r>
      <w:r w:rsidR="009F4AB5" w:rsidRPr="00D40021">
        <w:rPr>
          <w:rFonts w:hAnsi="標楷體" w:hint="eastAsia"/>
        </w:rPr>
        <w:t>40</w:t>
      </w:r>
      <w:r w:rsidRPr="00D40021">
        <w:rPr>
          <w:rFonts w:hAnsi="標楷體" w:hint="eastAsia"/>
        </w:rPr>
        <w:t>條第</w:t>
      </w:r>
      <w:r w:rsidR="009F4AB5" w:rsidRPr="00D40021">
        <w:rPr>
          <w:rFonts w:hAnsi="標楷體" w:hint="eastAsia"/>
        </w:rPr>
        <w:t>1</w:t>
      </w:r>
      <w:r w:rsidRPr="00D40021">
        <w:rPr>
          <w:rFonts w:hAnsi="標楷體" w:hint="eastAsia"/>
        </w:rPr>
        <w:t>項規定，</w:t>
      </w:r>
      <w:r w:rsidR="009F4AB5" w:rsidRPr="00D40021">
        <w:rPr>
          <w:rFonts w:hAnsi="標楷體" w:hint="eastAsia"/>
        </w:rPr>
        <w:t>政府</w:t>
      </w:r>
      <w:r w:rsidR="007A796B" w:rsidRPr="00D40021">
        <w:rPr>
          <w:rFonts w:hAnsi="標楷體" w:hint="eastAsia"/>
        </w:rPr>
        <w:t>係將</w:t>
      </w:r>
      <w:r w:rsidR="007A796B" w:rsidRPr="00D40021">
        <w:rPr>
          <w:rFonts w:hAnsi="標楷體"/>
        </w:rPr>
        <w:t>調降</w:t>
      </w:r>
      <w:r w:rsidR="009F4AB5" w:rsidRPr="00D40021">
        <w:rPr>
          <w:rFonts w:hAnsi="標楷體" w:hint="eastAsia"/>
        </w:rPr>
        <w:t>公教人員</w:t>
      </w:r>
      <w:r w:rsidR="007A796B" w:rsidRPr="00D40021">
        <w:rPr>
          <w:rFonts w:hAnsi="標楷體"/>
        </w:rPr>
        <w:t>退休所得</w:t>
      </w:r>
      <w:r w:rsidR="003642B6" w:rsidRPr="00D40021">
        <w:rPr>
          <w:rFonts w:hAnsi="標楷體" w:hint="eastAsia"/>
        </w:rPr>
        <w:t>（含</w:t>
      </w:r>
      <w:r w:rsidR="007A796B" w:rsidRPr="00D40021">
        <w:rPr>
          <w:rFonts w:hAnsi="標楷體"/>
        </w:rPr>
        <w:t>優惠存款利</w:t>
      </w:r>
      <w:r w:rsidR="003642B6" w:rsidRPr="00D40021">
        <w:rPr>
          <w:rFonts w:hAnsi="標楷體" w:hint="eastAsia"/>
        </w:rPr>
        <w:t>息）</w:t>
      </w:r>
      <w:r w:rsidR="007A796B" w:rsidRPr="00D40021">
        <w:rPr>
          <w:rFonts w:hAnsi="標楷體"/>
        </w:rPr>
        <w:t>所節省經費</w:t>
      </w:r>
      <w:r w:rsidR="007A796B" w:rsidRPr="00D40021">
        <w:rPr>
          <w:rFonts w:hAnsi="標楷體" w:hint="eastAsia"/>
        </w:rPr>
        <w:t>，用以</w:t>
      </w:r>
      <w:proofErr w:type="gramStart"/>
      <w:r w:rsidR="007A796B" w:rsidRPr="00D40021">
        <w:rPr>
          <w:rFonts w:hAnsi="標楷體" w:hint="eastAsia"/>
        </w:rPr>
        <w:t>挹</w:t>
      </w:r>
      <w:proofErr w:type="gramEnd"/>
      <w:r w:rsidR="007A796B" w:rsidRPr="00D40021">
        <w:rPr>
          <w:rFonts w:hAnsi="標楷體" w:hint="eastAsia"/>
        </w:rPr>
        <w:t>注公教人員退撫基金，以減緩退撫基金財務壓力外，惟未見政府以公務預算撥補。</w:t>
      </w:r>
    </w:p>
    <w:p w:rsidR="007A796B" w:rsidRPr="00D40021" w:rsidRDefault="007A796B" w:rsidP="007A796B">
      <w:pPr>
        <w:pStyle w:val="4"/>
        <w:rPr>
          <w:rFonts w:hAnsi="標楷體"/>
        </w:rPr>
      </w:pPr>
      <w:r w:rsidRPr="00D40021">
        <w:rPr>
          <w:rFonts w:hAnsi="標楷體" w:hint="eastAsia"/>
        </w:rPr>
        <w:t>惟依</w:t>
      </w:r>
      <w:r w:rsidR="00153904" w:rsidRPr="00D40021">
        <w:rPr>
          <w:rFonts w:hAnsi="標楷體" w:hint="eastAsia"/>
        </w:rPr>
        <w:t>新修正施行</w:t>
      </w:r>
      <w:r w:rsidRPr="00D40021">
        <w:rPr>
          <w:rFonts w:hAnsi="標楷體" w:hint="eastAsia"/>
        </w:rPr>
        <w:t>服役條例</w:t>
      </w:r>
      <w:r w:rsidR="00153904" w:rsidRPr="00D40021">
        <w:rPr>
          <w:rFonts w:hAnsi="標楷體" w:hint="eastAsia"/>
        </w:rPr>
        <w:t>54條第2項規定，</w:t>
      </w:r>
      <w:r w:rsidR="006E49AA" w:rsidRPr="00D40021">
        <w:rPr>
          <w:rFonts w:hAnsi="標楷體" w:hint="eastAsia"/>
        </w:rPr>
        <w:t>除將調降退役軍人退休所得之金額</w:t>
      </w:r>
      <w:proofErr w:type="gramStart"/>
      <w:r w:rsidR="006E49AA" w:rsidRPr="00D40021">
        <w:rPr>
          <w:rFonts w:hAnsi="標楷體" w:hint="eastAsia"/>
        </w:rPr>
        <w:t>挹</w:t>
      </w:r>
      <w:proofErr w:type="gramEnd"/>
      <w:r w:rsidR="006E49AA" w:rsidRPr="00D40021">
        <w:rPr>
          <w:rFonts w:hAnsi="標楷體" w:hint="eastAsia"/>
        </w:rPr>
        <w:t>注軍人退撫基金</w:t>
      </w:r>
      <w:r w:rsidRPr="00D40021">
        <w:rPr>
          <w:rFonts w:hAnsi="標楷體" w:hint="eastAsia"/>
        </w:rPr>
        <w:t>外，</w:t>
      </w:r>
      <w:r w:rsidR="003A3D78" w:rsidRPr="00D40021">
        <w:rPr>
          <w:rFonts w:hAnsi="標楷體" w:hint="eastAsia"/>
        </w:rPr>
        <w:t>政府（輔導會）</w:t>
      </w:r>
      <w:r w:rsidRPr="00D40021">
        <w:rPr>
          <w:rFonts w:hAnsi="標楷體" w:hint="eastAsia"/>
        </w:rPr>
        <w:t>主要係</w:t>
      </w:r>
      <w:r w:rsidR="00393411" w:rsidRPr="00D40021">
        <w:rPr>
          <w:rFonts w:hAnsi="標楷體" w:hint="eastAsia"/>
        </w:rPr>
        <w:t>依同</w:t>
      </w:r>
      <w:r w:rsidR="009F4AB5" w:rsidRPr="00D40021">
        <w:rPr>
          <w:rFonts w:hAnsi="標楷體" w:hint="eastAsia"/>
        </w:rPr>
        <w:t>條</w:t>
      </w:r>
      <w:r w:rsidR="00393411" w:rsidRPr="00D40021">
        <w:rPr>
          <w:rFonts w:hAnsi="標楷體" w:hint="eastAsia"/>
        </w:rPr>
        <w:t>第</w:t>
      </w:r>
      <w:r w:rsidR="00DB28F9" w:rsidRPr="00D40021">
        <w:rPr>
          <w:rFonts w:hAnsi="標楷體" w:hint="eastAsia"/>
        </w:rPr>
        <w:t>5</w:t>
      </w:r>
      <w:r w:rsidR="00393411" w:rsidRPr="00D40021">
        <w:rPr>
          <w:rFonts w:hAnsi="標楷體" w:hint="eastAsia"/>
        </w:rPr>
        <w:t>項規定，</w:t>
      </w:r>
      <w:r w:rsidRPr="00D40021">
        <w:rPr>
          <w:rFonts w:hAnsi="標楷體" w:hint="eastAsia"/>
        </w:rPr>
        <w:t>分10年編列預算，每2年編列200億元，總額1,000億元</w:t>
      </w:r>
      <w:proofErr w:type="gramStart"/>
      <w:r w:rsidRPr="00D40021">
        <w:rPr>
          <w:rFonts w:hAnsi="標楷體" w:hint="eastAsia"/>
        </w:rPr>
        <w:t>挹</w:t>
      </w:r>
      <w:proofErr w:type="gramEnd"/>
      <w:r w:rsidRPr="00D40021">
        <w:rPr>
          <w:rFonts w:hAnsi="標楷體" w:hint="eastAsia"/>
        </w:rPr>
        <w:t>注軍人退撫基金財務缺口。</w:t>
      </w:r>
    </w:p>
    <w:p w:rsidR="007A796B" w:rsidRPr="00D40021" w:rsidRDefault="007A796B" w:rsidP="007A796B">
      <w:pPr>
        <w:pStyle w:val="3"/>
        <w:rPr>
          <w:rFonts w:hAnsi="標楷體"/>
        </w:rPr>
      </w:pPr>
      <w:r w:rsidRPr="00D40021">
        <w:rPr>
          <w:rFonts w:hAnsi="標楷體" w:hint="eastAsia"/>
        </w:rPr>
        <w:t>綜上，</w:t>
      </w:r>
      <w:r w:rsidR="00B73B17" w:rsidRPr="00D40021">
        <w:rPr>
          <w:rFonts w:hAnsi="標楷體" w:hint="eastAsia"/>
        </w:rPr>
        <w:t>新修正施行服役條例有關軍職人員之「</w:t>
      </w:r>
      <w:r w:rsidR="00C558B6" w:rsidRPr="00D40021">
        <w:rPr>
          <w:rFonts w:hAnsi="標楷體" w:hint="eastAsia"/>
        </w:rPr>
        <w:t>退休所得計算基準之</w:t>
      </w:r>
      <w:r w:rsidR="00B73B17" w:rsidRPr="00D40021">
        <w:rPr>
          <w:rFonts w:hAnsi="標楷體" w:hint="eastAsia"/>
        </w:rPr>
        <w:t>平均</w:t>
      </w:r>
      <w:proofErr w:type="gramStart"/>
      <w:r w:rsidR="00B73B17" w:rsidRPr="00D40021">
        <w:rPr>
          <w:rFonts w:hAnsi="標楷體" w:hint="eastAsia"/>
        </w:rPr>
        <w:t>俸</w:t>
      </w:r>
      <w:proofErr w:type="gramEnd"/>
      <w:r w:rsidR="00B73B17" w:rsidRPr="00D40021">
        <w:rPr>
          <w:rFonts w:hAnsi="標楷體" w:hint="eastAsia"/>
        </w:rPr>
        <w:t>額</w:t>
      </w:r>
      <w:r w:rsidR="00C558B6" w:rsidRPr="00D40021">
        <w:rPr>
          <w:rFonts w:hAnsi="標楷體" w:hint="eastAsia"/>
        </w:rPr>
        <w:t>核計年數</w:t>
      </w:r>
      <w:r w:rsidR="00B73B17" w:rsidRPr="00D40021">
        <w:rPr>
          <w:rFonts w:hAnsi="標楷體" w:hint="eastAsia"/>
        </w:rPr>
        <w:t>」、「</w:t>
      </w:r>
      <w:r w:rsidR="00C558B6" w:rsidRPr="00D40021">
        <w:rPr>
          <w:rFonts w:hAnsi="標楷體" w:hint="eastAsia"/>
        </w:rPr>
        <w:t>退休所得替代率上限</w:t>
      </w:r>
      <w:r w:rsidR="00B73B17" w:rsidRPr="00D40021">
        <w:rPr>
          <w:rFonts w:hAnsi="標楷體" w:hint="eastAsia"/>
        </w:rPr>
        <w:t>」</w:t>
      </w:r>
      <w:r w:rsidR="00C558B6" w:rsidRPr="00D40021">
        <w:rPr>
          <w:rFonts w:hAnsi="標楷體" w:hint="eastAsia"/>
        </w:rPr>
        <w:t>、</w:t>
      </w:r>
      <w:r w:rsidR="00B73B17" w:rsidRPr="00D40021">
        <w:rPr>
          <w:rFonts w:hAnsi="標楷體" w:hint="eastAsia"/>
        </w:rPr>
        <w:t>「</w:t>
      </w:r>
      <w:r w:rsidR="00C558B6" w:rsidRPr="00D40021">
        <w:rPr>
          <w:rFonts w:hAnsi="標楷體" w:hint="eastAsia"/>
        </w:rPr>
        <w:t>已退役者</w:t>
      </w:r>
      <w:r w:rsidR="00C558B6" w:rsidRPr="00D40021">
        <w:rPr>
          <w:rFonts w:hAnsi="標楷體"/>
        </w:rPr>
        <w:t>最低</w:t>
      </w:r>
      <w:r w:rsidR="00C558B6" w:rsidRPr="00D40021">
        <w:rPr>
          <w:rFonts w:hAnsi="標楷體" w:hint="eastAsia"/>
        </w:rPr>
        <w:t>退休</w:t>
      </w:r>
      <w:proofErr w:type="gramStart"/>
      <w:r w:rsidR="00C558B6" w:rsidRPr="00D40021">
        <w:rPr>
          <w:rFonts w:hAnsi="標楷體" w:hint="eastAsia"/>
        </w:rPr>
        <w:t>俸</w:t>
      </w:r>
      <w:proofErr w:type="gramEnd"/>
      <w:r w:rsidR="00C558B6" w:rsidRPr="00D40021">
        <w:rPr>
          <w:rFonts w:hAnsi="標楷體"/>
        </w:rPr>
        <w:t>保障金額</w:t>
      </w:r>
      <w:r w:rsidR="00B73B17" w:rsidRPr="00D40021">
        <w:rPr>
          <w:rFonts w:hAnsi="標楷體" w:hint="eastAsia"/>
        </w:rPr>
        <w:t>」、</w:t>
      </w:r>
      <w:r w:rsidR="00C558B6" w:rsidRPr="00D40021">
        <w:rPr>
          <w:rFonts w:hAnsi="標楷體" w:hint="eastAsia"/>
        </w:rPr>
        <w:t>「未具舊制年資之</w:t>
      </w:r>
      <w:r w:rsidR="00C558B6" w:rsidRPr="00D40021">
        <w:rPr>
          <w:rFonts w:hAnsi="標楷體"/>
        </w:rPr>
        <w:t>現役人員</w:t>
      </w:r>
      <w:r w:rsidR="00C558B6" w:rsidRPr="00D40021">
        <w:rPr>
          <w:rFonts w:hAnsi="標楷體" w:hint="eastAsia"/>
        </w:rPr>
        <w:t>未來退休所得」、</w:t>
      </w:r>
      <w:r w:rsidR="00B73B17" w:rsidRPr="00D40021">
        <w:rPr>
          <w:rFonts w:hAnsi="標楷體" w:hint="eastAsia"/>
        </w:rPr>
        <w:t>「</w:t>
      </w:r>
      <w:r w:rsidR="00B73B17" w:rsidRPr="00D40021">
        <w:rPr>
          <w:rFonts w:hAnsi="標楷體"/>
        </w:rPr>
        <w:t>年資補償金</w:t>
      </w:r>
      <w:r w:rsidR="00B73B17" w:rsidRPr="00D40021">
        <w:rPr>
          <w:rFonts w:hAnsi="標楷體" w:hint="eastAsia"/>
        </w:rPr>
        <w:t>」、「退休再</w:t>
      </w:r>
      <w:proofErr w:type="gramStart"/>
      <w:r w:rsidR="00B73B17" w:rsidRPr="00D40021">
        <w:rPr>
          <w:rFonts w:hAnsi="標楷體" w:hint="eastAsia"/>
        </w:rPr>
        <w:t>任停支退休俸</w:t>
      </w:r>
      <w:proofErr w:type="gramEnd"/>
      <w:r w:rsidR="00B73B17" w:rsidRPr="00D40021">
        <w:rPr>
          <w:rFonts w:hAnsi="標楷體" w:hint="eastAsia"/>
        </w:rPr>
        <w:t>」、「退休</w:t>
      </w:r>
      <w:proofErr w:type="gramStart"/>
      <w:r w:rsidR="00B73B17" w:rsidRPr="00D40021">
        <w:rPr>
          <w:rFonts w:hAnsi="標楷體" w:hint="eastAsia"/>
        </w:rPr>
        <w:t>俸</w:t>
      </w:r>
      <w:proofErr w:type="gramEnd"/>
      <w:r w:rsidR="00B73B17" w:rsidRPr="00D40021">
        <w:rPr>
          <w:rFonts w:hAnsi="標楷體" w:hint="eastAsia"/>
        </w:rPr>
        <w:t>及退伍金給付</w:t>
      </w:r>
      <w:r w:rsidR="00FE6C7A" w:rsidRPr="00D40021">
        <w:rPr>
          <w:rFonts w:hAnsi="標楷體" w:hint="eastAsia"/>
        </w:rPr>
        <w:t>之財源</w:t>
      </w:r>
      <w:r w:rsidR="00B73B17" w:rsidRPr="00D40021">
        <w:rPr>
          <w:rFonts w:hAnsi="標楷體" w:hint="eastAsia"/>
        </w:rPr>
        <w:t>」與「軍人退撫基金之</w:t>
      </w:r>
      <w:proofErr w:type="gramStart"/>
      <w:r w:rsidR="00FE6C7A" w:rsidRPr="00D40021">
        <w:rPr>
          <w:rFonts w:hAnsi="標楷體" w:hint="eastAsia"/>
        </w:rPr>
        <w:t>挹</w:t>
      </w:r>
      <w:proofErr w:type="gramEnd"/>
      <w:r w:rsidR="00FE6C7A" w:rsidRPr="00D40021">
        <w:rPr>
          <w:rFonts w:hAnsi="標楷體" w:hint="eastAsia"/>
        </w:rPr>
        <w:t>注</w:t>
      </w:r>
      <w:r w:rsidR="00B73B17" w:rsidRPr="00D40021">
        <w:rPr>
          <w:rFonts w:hAnsi="標楷體" w:hint="eastAsia"/>
        </w:rPr>
        <w:t>財源」等規定，與公教人員年金改革相關規定</w:t>
      </w:r>
      <w:r w:rsidR="00CF01DD" w:rsidRPr="00D40021">
        <w:rPr>
          <w:rFonts w:hAnsi="標楷體" w:hint="eastAsia"/>
        </w:rPr>
        <w:t>標準顯不一致</w:t>
      </w:r>
      <w:r w:rsidRPr="00D40021">
        <w:rPr>
          <w:rFonts w:hAnsi="標楷體" w:hint="eastAsia"/>
        </w:rPr>
        <w:t>。</w:t>
      </w:r>
    </w:p>
    <w:p w:rsidR="00E606B3" w:rsidRPr="00D40021" w:rsidRDefault="00E606B3" w:rsidP="00E606B3">
      <w:pPr>
        <w:pStyle w:val="3"/>
        <w:numPr>
          <w:ilvl w:val="0"/>
          <w:numId w:val="0"/>
        </w:numPr>
        <w:ind w:left="1361"/>
        <w:rPr>
          <w:rFonts w:hAnsi="標楷體"/>
        </w:rPr>
      </w:pPr>
    </w:p>
    <w:p w:rsidR="00F161D4" w:rsidRPr="00D40021" w:rsidRDefault="006C0DE1" w:rsidP="00ED0CC1">
      <w:pPr>
        <w:pStyle w:val="2"/>
        <w:rPr>
          <w:rFonts w:hAnsi="標楷體"/>
          <w:b/>
        </w:rPr>
      </w:pPr>
      <w:r w:rsidRPr="00D40021">
        <w:rPr>
          <w:rFonts w:hAnsi="標楷體" w:hint="eastAsia"/>
          <w:b/>
          <w:szCs w:val="20"/>
        </w:rPr>
        <w:t>國防部於107年4月委託國防大學編製之「軍職人員年金改革財務影響評估報告」，明顯高估年金改革之財務效益</w:t>
      </w:r>
      <w:r w:rsidR="005028A6" w:rsidRPr="00D40021">
        <w:rPr>
          <w:rFonts w:hAnsi="標楷體" w:hint="eastAsia"/>
          <w:b/>
          <w:szCs w:val="20"/>
        </w:rPr>
        <w:t>，</w:t>
      </w:r>
      <w:proofErr w:type="gramStart"/>
      <w:r w:rsidR="005028A6" w:rsidRPr="00D40021">
        <w:rPr>
          <w:rFonts w:hAnsi="標楷體" w:hint="eastAsia"/>
          <w:b/>
          <w:szCs w:val="20"/>
        </w:rPr>
        <w:t>該部</w:t>
      </w:r>
      <w:r w:rsidR="005028A6" w:rsidRPr="00D40021">
        <w:rPr>
          <w:rFonts w:hAnsi="標楷體" w:hint="eastAsia"/>
          <w:b/>
        </w:rPr>
        <w:t>未再次</w:t>
      </w:r>
      <w:proofErr w:type="gramEnd"/>
      <w:r w:rsidR="005028A6" w:rsidRPr="00D40021">
        <w:rPr>
          <w:rFonts w:hAnsi="標楷體" w:hint="eastAsia"/>
          <w:b/>
        </w:rPr>
        <w:t>確認其正確性</w:t>
      </w:r>
      <w:r w:rsidR="00F34690" w:rsidRPr="00D40021">
        <w:rPr>
          <w:rFonts w:hAnsi="標楷體" w:hint="eastAsia"/>
          <w:b/>
          <w:szCs w:val="20"/>
        </w:rPr>
        <w:t>，</w:t>
      </w:r>
      <w:r w:rsidRPr="00D40021">
        <w:rPr>
          <w:rFonts w:hAnsi="標楷體" w:hint="eastAsia"/>
          <w:b/>
          <w:szCs w:val="20"/>
        </w:rPr>
        <w:t>確</w:t>
      </w:r>
      <w:r w:rsidRPr="00D40021">
        <w:rPr>
          <w:rFonts w:hAnsi="標楷體"/>
          <w:b/>
          <w:szCs w:val="20"/>
        </w:rPr>
        <w:t>有</w:t>
      </w:r>
      <w:proofErr w:type="gramStart"/>
      <w:r w:rsidRPr="00D40021">
        <w:rPr>
          <w:rFonts w:hAnsi="標楷體" w:hint="eastAsia"/>
          <w:b/>
          <w:szCs w:val="20"/>
        </w:rPr>
        <w:t>怠</w:t>
      </w:r>
      <w:proofErr w:type="gramEnd"/>
      <w:r w:rsidRPr="00D40021">
        <w:rPr>
          <w:rFonts w:hAnsi="標楷體"/>
          <w:b/>
          <w:szCs w:val="20"/>
        </w:rPr>
        <w:t>失</w:t>
      </w:r>
      <w:r w:rsidR="00F161D4" w:rsidRPr="00D40021">
        <w:rPr>
          <w:rFonts w:hAnsi="標楷體"/>
          <w:b/>
        </w:rPr>
        <w:t>；</w:t>
      </w:r>
      <w:proofErr w:type="gramStart"/>
      <w:r w:rsidR="00F161D4" w:rsidRPr="00D40021">
        <w:rPr>
          <w:rFonts w:hAnsi="標楷體"/>
          <w:b/>
        </w:rPr>
        <w:t>此外，</w:t>
      </w:r>
      <w:proofErr w:type="gramEnd"/>
      <w:r w:rsidR="00F37D06" w:rsidRPr="00D40021">
        <w:rPr>
          <w:rFonts w:hAnsi="標楷體"/>
          <w:b/>
        </w:rPr>
        <w:t>上開報告</w:t>
      </w:r>
      <w:r w:rsidR="00F37D06" w:rsidRPr="00D40021">
        <w:rPr>
          <w:rFonts w:hAnsi="標楷體" w:hint="eastAsia"/>
          <w:b/>
        </w:rPr>
        <w:t>有關財務分析假設之估算，如中央應負擔優</w:t>
      </w:r>
      <w:r w:rsidR="00F37D06" w:rsidRPr="00D40021">
        <w:rPr>
          <w:rFonts w:hAnsi="標楷體" w:hint="eastAsia"/>
          <w:b/>
        </w:rPr>
        <w:lastRenderedPageBreak/>
        <w:t>惠</w:t>
      </w:r>
      <w:proofErr w:type="gramStart"/>
      <w:r w:rsidR="00F37D06" w:rsidRPr="00D40021">
        <w:rPr>
          <w:rFonts w:hAnsi="標楷體" w:hint="eastAsia"/>
          <w:b/>
        </w:rPr>
        <w:t>存款差息補助</w:t>
      </w:r>
      <w:proofErr w:type="gramEnd"/>
      <w:r w:rsidR="00F37D06" w:rsidRPr="00D40021">
        <w:rPr>
          <w:rFonts w:hAnsi="標楷體" w:hint="eastAsia"/>
          <w:b/>
        </w:rPr>
        <w:t>之利率、在職且具新制現役軍職人員之退伍時點及相關經費等，</w:t>
      </w:r>
      <w:r w:rsidR="00F37D06" w:rsidRPr="00D40021">
        <w:rPr>
          <w:rFonts w:hAnsi="標楷體"/>
          <w:b/>
        </w:rPr>
        <w:t>係以精算基準日</w:t>
      </w:r>
      <w:r w:rsidR="00F37D06" w:rsidRPr="00D40021">
        <w:rPr>
          <w:rFonts w:hAnsi="標楷體" w:hint="eastAsia"/>
          <w:b/>
        </w:rPr>
        <w:t>進行推估</w:t>
      </w:r>
      <w:r w:rsidR="00F37D06" w:rsidRPr="00D40021">
        <w:rPr>
          <w:rFonts w:hAnsi="標楷體"/>
          <w:b/>
        </w:rPr>
        <w:t>，</w:t>
      </w:r>
      <w:r w:rsidR="00F37D06" w:rsidRPr="00D40021">
        <w:rPr>
          <w:rFonts w:hAnsi="標楷體" w:hint="eastAsia"/>
          <w:b/>
        </w:rPr>
        <w:t>然而，折現率卻未以</w:t>
      </w:r>
      <w:r w:rsidR="00CF6A9D" w:rsidRPr="00D40021">
        <w:rPr>
          <w:rFonts w:hAnsi="標楷體"/>
          <w:b/>
        </w:rPr>
        <w:t>精算基準日</w:t>
      </w:r>
      <w:r w:rsidR="00F37D06" w:rsidRPr="00D40021">
        <w:rPr>
          <w:rFonts w:hAnsi="標楷體" w:hint="eastAsia"/>
          <w:b/>
        </w:rPr>
        <w:t>為評價日</w:t>
      </w:r>
      <w:r w:rsidR="00F37D06" w:rsidRPr="00D40021">
        <w:rPr>
          <w:rFonts w:hAnsi="標楷體"/>
          <w:b/>
        </w:rPr>
        <w:t>，</w:t>
      </w:r>
      <w:r w:rsidR="00F37D06" w:rsidRPr="00D40021">
        <w:rPr>
          <w:rFonts w:hAnsi="標楷體" w:hint="eastAsia"/>
          <w:b/>
        </w:rPr>
        <w:t>國防部</w:t>
      </w:r>
      <w:r w:rsidR="00F37D06" w:rsidRPr="00D40021">
        <w:rPr>
          <w:rFonts w:hAnsi="標楷體"/>
          <w:b/>
        </w:rPr>
        <w:t>審查</w:t>
      </w:r>
      <w:r w:rsidR="00F37D06" w:rsidRPr="00D40021">
        <w:rPr>
          <w:rFonts w:hAnsi="標楷體" w:hint="eastAsia"/>
          <w:b/>
        </w:rPr>
        <w:t>前開</w:t>
      </w:r>
      <w:r w:rsidR="00F37D06" w:rsidRPr="00D40021">
        <w:rPr>
          <w:rFonts w:hAnsi="標楷體"/>
          <w:b/>
        </w:rPr>
        <w:t>報告之</w:t>
      </w:r>
      <w:proofErr w:type="gramStart"/>
      <w:r w:rsidR="00F37D06" w:rsidRPr="00D40021">
        <w:rPr>
          <w:rFonts w:hAnsi="標楷體"/>
          <w:b/>
        </w:rPr>
        <w:t>過程</w:t>
      </w:r>
      <w:r w:rsidR="00ED0669" w:rsidRPr="00D40021">
        <w:rPr>
          <w:rFonts w:hAnsi="標楷體" w:hint="eastAsia"/>
          <w:b/>
        </w:rPr>
        <w:t>顯</w:t>
      </w:r>
      <w:r w:rsidR="00F37D06" w:rsidRPr="00D40021">
        <w:rPr>
          <w:rFonts w:hAnsi="標楷體"/>
          <w:b/>
        </w:rPr>
        <w:t>欠周詳</w:t>
      </w:r>
      <w:proofErr w:type="gramEnd"/>
      <w:r w:rsidR="00F37D06" w:rsidRPr="00D40021">
        <w:rPr>
          <w:rFonts w:hAnsi="標楷體"/>
          <w:b/>
        </w:rPr>
        <w:t>，確屬未妥</w:t>
      </w:r>
      <w:r w:rsidR="00F161D4" w:rsidRPr="00D40021">
        <w:rPr>
          <w:rFonts w:hAnsi="標楷體"/>
          <w:b/>
        </w:rPr>
        <w:t>。</w:t>
      </w:r>
    </w:p>
    <w:p w:rsidR="003F07BB" w:rsidRPr="00D40021" w:rsidRDefault="00050D28" w:rsidP="0037336F">
      <w:pPr>
        <w:pStyle w:val="3"/>
        <w:rPr>
          <w:rFonts w:hAnsi="標楷體"/>
          <w:shd w:val="pct15" w:color="auto" w:fill="FFFFFF"/>
        </w:rPr>
      </w:pPr>
      <w:r w:rsidRPr="00D40021">
        <w:rPr>
          <w:rFonts w:hAnsi="標楷體" w:hint="eastAsia"/>
        </w:rPr>
        <w:t>經</w:t>
      </w:r>
      <w:r w:rsidR="00A101AA" w:rsidRPr="00D40021">
        <w:rPr>
          <w:rFonts w:hAnsi="標楷體" w:hint="eastAsia"/>
        </w:rPr>
        <w:t>查，國防部為配合</w:t>
      </w:r>
      <w:r w:rsidR="00761AE6" w:rsidRPr="00D40021">
        <w:rPr>
          <w:rFonts w:hAnsi="標楷體" w:hint="eastAsia"/>
        </w:rPr>
        <w:t>政府</w:t>
      </w:r>
      <w:r w:rsidR="00A101AA" w:rsidRPr="00D40021">
        <w:rPr>
          <w:rFonts w:hAnsi="標楷體" w:hint="eastAsia"/>
        </w:rPr>
        <w:t>推動年金改革，</w:t>
      </w:r>
      <w:r w:rsidR="00761AE6" w:rsidRPr="00D40021">
        <w:rPr>
          <w:rFonts w:hAnsi="標楷體" w:hint="eastAsia"/>
        </w:rPr>
        <w:t>於107年</w:t>
      </w:r>
      <w:r w:rsidR="00501EF7" w:rsidRPr="00D40021">
        <w:rPr>
          <w:rFonts w:hAnsi="標楷體" w:hint="eastAsia"/>
        </w:rPr>
        <w:t>4</w:t>
      </w:r>
      <w:r w:rsidR="00761AE6" w:rsidRPr="00D40021">
        <w:rPr>
          <w:rFonts w:hAnsi="標楷體" w:hint="eastAsia"/>
        </w:rPr>
        <w:t>月</w:t>
      </w:r>
      <w:r w:rsidR="004C7CCD" w:rsidRPr="00D40021">
        <w:rPr>
          <w:rFonts w:hAnsi="標楷體" w:hint="eastAsia"/>
        </w:rPr>
        <w:t>委託國防大學編製</w:t>
      </w:r>
      <w:r w:rsidR="00761AE6" w:rsidRPr="00D40021">
        <w:rPr>
          <w:rFonts w:hAnsi="標楷體" w:hint="eastAsia"/>
        </w:rPr>
        <w:t>「軍職人員年金改革財務影響評估報告」</w:t>
      </w:r>
      <w:proofErr w:type="gramStart"/>
      <w:r w:rsidR="00144B17" w:rsidRPr="00D40021">
        <w:rPr>
          <w:rFonts w:hAnsi="標楷體" w:hint="eastAsia"/>
        </w:rPr>
        <w:t>（</w:t>
      </w:r>
      <w:proofErr w:type="gramEnd"/>
      <w:r w:rsidR="00761AE6" w:rsidRPr="00D40021">
        <w:rPr>
          <w:rFonts w:hAnsi="標楷體" w:hint="eastAsia"/>
        </w:rPr>
        <w:t>計算基準日：105年12月31日</w:t>
      </w:r>
      <w:proofErr w:type="gramStart"/>
      <w:r w:rsidR="00761AE6" w:rsidRPr="00D40021">
        <w:rPr>
          <w:rFonts w:hAnsi="標楷體" w:hint="eastAsia"/>
        </w:rPr>
        <w:t>）</w:t>
      </w:r>
      <w:proofErr w:type="gramEnd"/>
      <w:r w:rsidR="00761AE6" w:rsidRPr="00D40021">
        <w:rPr>
          <w:rFonts w:hAnsi="標楷體" w:hint="eastAsia"/>
        </w:rPr>
        <w:t>，係建立軍職人員退休經費及退撫基金財務</w:t>
      </w:r>
      <w:r w:rsidR="00F85A7E" w:rsidRPr="00D40021">
        <w:rPr>
          <w:rFonts w:hAnsi="標楷體" w:hint="eastAsia"/>
        </w:rPr>
        <w:t>分析</w:t>
      </w:r>
      <w:r w:rsidR="00761AE6" w:rsidRPr="00D40021">
        <w:rPr>
          <w:rFonts w:hAnsi="標楷體" w:hint="eastAsia"/>
        </w:rPr>
        <w:t>模型，估算未來30年</w:t>
      </w:r>
      <w:r w:rsidR="00144B17" w:rsidRPr="00D40021">
        <w:rPr>
          <w:rFonts w:hAnsi="標楷體" w:hint="eastAsia"/>
        </w:rPr>
        <w:t>（</w:t>
      </w:r>
      <w:r w:rsidR="00761AE6" w:rsidRPr="00D40021">
        <w:rPr>
          <w:rFonts w:hAnsi="標楷體" w:hint="eastAsia"/>
        </w:rPr>
        <w:t>107年至136年</w:t>
      </w:r>
      <w:r w:rsidR="00A73F00" w:rsidRPr="00D40021">
        <w:rPr>
          <w:rFonts w:hAnsi="標楷體" w:hint="eastAsia"/>
        </w:rPr>
        <w:t>，下同</w:t>
      </w:r>
      <w:r w:rsidR="00144B17" w:rsidRPr="00D40021">
        <w:rPr>
          <w:rFonts w:hAnsi="標楷體" w:hint="eastAsia"/>
        </w:rPr>
        <w:t>）</w:t>
      </w:r>
      <w:r w:rsidR="00761AE6" w:rsidRPr="00D40021">
        <w:rPr>
          <w:rFonts w:hAnsi="標楷體" w:hint="eastAsia"/>
        </w:rPr>
        <w:t>軍職人員退休經費總支出</w:t>
      </w:r>
      <w:r w:rsidR="00144B17" w:rsidRPr="00D40021">
        <w:rPr>
          <w:rFonts w:hAnsi="標楷體" w:hint="eastAsia"/>
        </w:rPr>
        <w:t>（</w:t>
      </w:r>
      <w:r w:rsidR="00761AE6" w:rsidRPr="00D40021">
        <w:rPr>
          <w:rFonts w:hAnsi="標楷體" w:hint="eastAsia"/>
        </w:rPr>
        <w:t>支付觀點</w:t>
      </w:r>
      <w:r w:rsidR="00144B17" w:rsidRPr="00D40021">
        <w:rPr>
          <w:rFonts w:hAnsi="標楷體" w:hint="eastAsia"/>
        </w:rPr>
        <w:t>）</w:t>
      </w:r>
      <w:r w:rsidR="00F85A7E" w:rsidRPr="00D40021">
        <w:rPr>
          <w:rFonts w:hAnsi="標楷體" w:hint="eastAsia"/>
        </w:rPr>
        <w:t>、</w:t>
      </w:r>
      <w:r w:rsidR="00F85A7E" w:rsidRPr="00D40021">
        <w:rPr>
          <w:rFonts w:hAnsi="標楷體" w:cs="標楷體" w:hint="eastAsia"/>
        </w:rPr>
        <w:t>政府財務總負擔</w:t>
      </w:r>
      <w:r w:rsidR="00144B17" w:rsidRPr="00D40021">
        <w:rPr>
          <w:rFonts w:hAnsi="標楷體" w:cs="標楷體" w:hint="eastAsia"/>
        </w:rPr>
        <w:t>（</w:t>
      </w:r>
      <w:r w:rsidR="00F85A7E" w:rsidRPr="00D40021">
        <w:rPr>
          <w:rFonts w:hAnsi="標楷體" w:cs="標楷體" w:hint="eastAsia"/>
        </w:rPr>
        <w:t>財政觀點）及退撫基金損益平衡</w:t>
      </w:r>
      <w:r w:rsidR="00144B17" w:rsidRPr="00D40021">
        <w:rPr>
          <w:rFonts w:hAnsi="標楷體" w:cs="標楷體" w:hint="eastAsia"/>
        </w:rPr>
        <w:t>（</w:t>
      </w:r>
      <w:r w:rsidR="00F85A7E" w:rsidRPr="00D40021">
        <w:rPr>
          <w:rFonts w:hAnsi="標楷體" w:cs="標楷體" w:hint="eastAsia"/>
        </w:rPr>
        <w:t>基金觀點），並將</w:t>
      </w:r>
      <w:r w:rsidR="004C7CCD" w:rsidRPr="00D40021">
        <w:rPr>
          <w:rFonts w:hAnsi="標楷體" w:hint="eastAsia"/>
        </w:rPr>
        <w:t>行政院版</w:t>
      </w:r>
      <w:r w:rsidR="004F1966" w:rsidRPr="00D40021">
        <w:rPr>
          <w:rFonts w:hAnsi="標楷體" w:hint="eastAsia"/>
        </w:rPr>
        <w:t>服役條例修正草案</w:t>
      </w:r>
      <w:r w:rsidR="00144B17" w:rsidRPr="00D40021">
        <w:rPr>
          <w:rFonts w:hAnsi="標楷體" w:hint="eastAsia"/>
        </w:rPr>
        <w:t>（</w:t>
      </w:r>
      <w:r w:rsidR="00F85A7E" w:rsidRPr="00D40021">
        <w:rPr>
          <w:rFonts w:hAnsi="標楷體" w:cs="標楷體" w:hint="eastAsia"/>
        </w:rPr>
        <w:t>軍人年金改革方案</w:t>
      </w:r>
      <w:r w:rsidR="004C7CCD" w:rsidRPr="00D40021">
        <w:rPr>
          <w:rFonts w:hAnsi="標楷體" w:cs="標楷體" w:hint="eastAsia"/>
        </w:rPr>
        <w:t>）</w:t>
      </w:r>
      <w:r w:rsidR="00F85A7E" w:rsidRPr="00D40021">
        <w:rPr>
          <w:rFonts w:hAnsi="標楷體" w:cs="標楷體" w:hint="eastAsia"/>
        </w:rPr>
        <w:t>相關規劃參數導入財務分析模型，以因應立法院審議及政策決定之參考依據。</w:t>
      </w:r>
      <w:proofErr w:type="gramStart"/>
      <w:r w:rsidR="0002486F" w:rsidRPr="00D40021">
        <w:rPr>
          <w:rFonts w:hAnsi="標楷體" w:hint="eastAsia"/>
        </w:rPr>
        <w:t>嗣</w:t>
      </w:r>
      <w:proofErr w:type="gramEnd"/>
      <w:r w:rsidR="004C7CCD" w:rsidRPr="00D40021">
        <w:rPr>
          <w:rFonts w:hAnsi="標楷體" w:hint="eastAsia"/>
        </w:rPr>
        <w:t>國防部根據上開財務評估報告，於107年4月30日立法院第9屆第5</w:t>
      </w:r>
      <w:r w:rsidR="004C7CCD" w:rsidRPr="00D40021">
        <w:rPr>
          <w:rFonts w:hAnsi="標楷體" w:cs="標楷體" w:hint="eastAsia"/>
        </w:rPr>
        <w:t>會期</w:t>
      </w:r>
      <w:r w:rsidR="004C7CCD" w:rsidRPr="00D40021">
        <w:rPr>
          <w:rFonts w:hAnsi="標楷體" w:hint="eastAsia"/>
        </w:rPr>
        <w:t>外交及國防委員會第14次會議</w:t>
      </w:r>
      <w:r w:rsidR="0002486F" w:rsidRPr="00D40021">
        <w:rPr>
          <w:rFonts w:hAnsi="標楷體" w:hint="eastAsia"/>
        </w:rPr>
        <w:t>中，針對</w:t>
      </w:r>
      <w:r w:rsidR="004C7CCD" w:rsidRPr="00D40021">
        <w:rPr>
          <w:rFonts w:hAnsi="標楷體" w:hint="eastAsia"/>
        </w:rPr>
        <w:t>「</w:t>
      </w:r>
      <w:r w:rsidR="004C7CCD" w:rsidRPr="00D40021">
        <w:rPr>
          <w:rFonts w:hAnsi="標楷體" w:cs="標楷體" w:hint="eastAsia"/>
        </w:rPr>
        <w:t>行政</w:t>
      </w:r>
      <w:r w:rsidR="004C7CCD" w:rsidRPr="00D40021">
        <w:rPr>
          <w:rFonts w:hAnsi="標楷體" w:hint="eastAsia"/>
        </w:rPr>
        <w:t>院版服役條例草案對未來我國軍人退撫制度之評估與衝擊」</w:t>
      </w:r>
      <w:r w:rsidR="0002486F" w:rsidRPr="00D40021">
        <w:rPr>
          <w:rFonts w:hAnsi="標楷體" w:hint="eastAsia"/>
        </w:rPr>
        <w:t>進行</w:t>
      </w:r>
      <w:r w:rsidR="004C7CCD" w:rsidRPr="00D40021">
        <w:rPr>
          <w:rFonts w:hAnsi="標楷體" w:hint="eastAsia"/>
        </w:rPr>
        <w:t>專案報告表示，</w:t>
      </w:r>
      <w:r w:rsidR="00006CB5" w:rsidRPr="00D40021">
        <w:rPr>
          <w:rFonts w:hAnsi="標楷體" w:hint="eastAsia"/>
        </w:rPr>
        <w:t>就軍人退撫基金觀點，</w:t>
      </w:r>
      <w:r w:rsidR="004C7CCD" w:rsidRPr="00D40021">
        <w:rPr>
          <w:rFonts w:hAnsi="標楷體" w:hint="eastAsia"/>
        </w:rPr>
        <w:t>改革前</w:t>
      </w:r>
      <w:r w:rsidR="00A73F00" w:rsidRPr="00D40021">
        <w:rPr>
          <w:rFonts w:hAnsi="標楷體" w:hint="eastAsia"/>
        </w:rPr>
        <w:t>，</w:t>
      </w:r>
      <w:r w:rsidR="004C7CCD" w:rsidRPr="00D40021">
        <w:rPr>
          <w:rFonts w:hAnsi="標楷體" w:hint="eastAsia"/>
        </w:rPr>
        <w:t>軍人退撫基金未來30年財務缺口1兆2,067億元</w:t>
      </w:r>
      <w:r w:rsidR="00A73F00" w:rsidRPr="00D40021">
        <w:rPr>
          <w:rFonts w:hAnsi="標楷體" w:hint="eastAsia"/>
        </w:rPr>
        <w:t>；改革後，依行政院所提改革版本</w:t>
      </w:r>
      <w:r w:rsidR="00375948" w:rsidRPr="00D40021">
        <w:rPr>
          <w:rFonts w:hAnsi="標楷體" w:hint="eastAsia"/>
        </w:rPr>
        <w:t>，</w:t>
      </w:r>
      <w:r w:rsidR="004C7CCD" w:rsidRPr="00D40021">
        <w:rPr>
          <w:rFonts w:hAnsi="標楷體" w:hint="eastAsia"/>
        </w:rPr>
        <w:t>可確保軍人退撫基金維持30年運作無虞，本金累計賸餘1,268億元</w:t>
      </w:r>
      <w:r w:rsidR="00144B17" w:rsidRPr="00D40021">
        <w:rPr>
          <w:rFonts w:hAnsi="標楷體" w:hint="eastAsia"/>
        </w:rPr>
        <w:t>（</w:t>
      </w:r>
      <w:r w:rsidR="003140B9" w:rsidRPr="00D40021">
        <w:rPr>
          <w:rFonts w:hAnsi="標楷體" w:hint="eastAsia"/>
        </w:rPr>
        <w:t>詳如表</w:t>
      </w:r>
      <w:r w:rsidR="00090BE9" w:rsidRPr="00D40021">
        <w:rPr>
          <w:rFonts w:hAnsi="標楷體" w:hint="eastAsia"/>
        </w:rPr>
        <w:t>13</w:t>
      </w:r>
      <w:r w:rsidR="003140B9" w:rsidRPr="00D40021">
        <w:rPr>
          <w:rFonts w:hAnsi="標楷體" w:hint="eastAsia"/>
        </w:rPr>
        <w:t>）</w:t>
      </w:r>
      <w:r w:rsidR="004C7CCD" w:rsidRPr="00D40021">
        <w:rPr>
          <w:rFonts w:hAnsi="標楷體" w:hint="eastAsia"/>
        </w:rPr>
        <w:t>。</w:t>
      </w:r>
      <w:proofErr w:type="gramStart"/>
      <w:r w:rsidR="004C7CCD" w:rsidRPr="00D40021">
        <w:rPr>
          <w:rFonts w:hAnsi="標楷體" w:hint="eastAsia"/>
        </w:rPr>
        <w:t>惟查</w:t>
      </w:r>
      <w:proofErr w:type="gramEnd"/>
      <w:r w:rsidR="004C7CCD" w:rsidRPr="00D40021">
        <w:rPr>
          <w:rFonts w:hAnsi="標楷體" w:hint="eastAsia"/>
        </w:rPr>
        <w:t>，</w:t>
      </w:r>
      <w:r w:rsidR="00375948" w:rsidRPr="00D40021">
        <w:rPr>
          <w:rFonts w:hAnsi="標楷體" w:hint="eastAsia"/>
        </w:rPr>
        <w:t>依照國防部107年5月委託精算師</w:t>
      </w:r>
      <w:r w:rsidR="00A73F00" w:rsidRPr="00D40021">
        <w:rPr>
          <w:rFonts w:hAnsi="標楷體" w:hint="eastAsia"/>
        </w:rPr>
        <w:t>進行</w:t>
      </w:r>
      <w:r w:rsidR="00375948" w:rsidRPr="00D40021">
        <w:rPr>
          <w:rFonts w:hAnsi="標楷體" w:hint="eastAsia"/>
        </w:rPr>
        <w:t>「軍職人員年金改革財務影響評估報告」精算查核結果，</w:t>
      </w:r>
      <w:r w:rsidR="00A73F00" w:rsidRPr="00D40021">
        <w:rPr>
          <w:rFonts w:hAnsi="標楷體" w:hint="eastAsia"/>
        </w:rPr>
        <w:t>改革前</w:t>
      </w:r>
      <w:r w:rsidR="00B468B7" w:rsidRPr="00D40021">
        <w:rPr>
          <w:rFonts w:hAnsi="標楷體" w:hint="eastAsia"/>
        </w:rPr>
        <w:t>，</w:t>
      </w:r>
      <w:r w:rsidR="00A73F00" w:rsidRPr="00D40021">
        <w:rPr>
          <w:rFonts w:hAnsi="標楷體" w:hint="eastAsia"/>
        </w:rPr>
        <w:t>未來30年</w:t>
      </w:r>
      <w:r w:rsidR="00B468B7" w:rsidRPr="00D40021">
        <w:rPr>
          <w:rFonts w:hAnsi="標楷體" w:hint="eastAsia"/>
        </w:rPr>
        <w:t>累計退撫基金財政缺口</w:t>
      </w:r>
      <w:r w:rsidR="00A73F00" w:rsidRPr="00D40021">
        <w:rPr>
          <w:rFonts w:hAnsi="標楷體" w:hint="eastAsia"/>
        </w:rPr>
        <w:t>1兆2,113億元</w:t>
      </w:r>
      <w:r w:rsidR="00B468B7" w:rsidRPr="00D40021">
        <w:rPr>
          <w:rFonts w:hAnsi="標楷體" w:hint="eastAsia"/>
        </w:rPr>
        <w:t>；改革後</w:t>
      </w:r>
      <w:r w:rsidR="00A73F00" w:rsidRPr="00D40021">
        <w:rPr>
          <w:rFonts w:hAnsi="標楷體" w:hint="eastAsia"/>
        </w:rPr>
        <w:t>，倘若依行政院改革規劃方案，</w:t>
      </w:r>
      <w:r w:rsidR="00B468B7" w:rsidRPr="00D40021">
        <w:rPr>
          <w:rFonts w:hAnsi="標楷體" w:hint="eastAsia"/>
        </w:rPr>
        <w:t>軍人</w:t>
      </w:r>
      <w:r w:rsidR="00A73F00" w:rsidRPr="00D40021">
        <w:rPr>
          <w:rFonts w:hAnsi="標楷體" w:hint="eastAsia"/>
        </w:rPr>
        <w:t>退撫基金</w:t>
      </w:r>
      <w:r w:rsidR="00B468B7" w:rsidRPr="00D40021">
        <w:rPr>
          <w:rFonts w:hAnsi="標楷體" w:hint="eastAsia"/>
        </w:rPr>
        <w:t>至136年</w:t>
      </w:r>
      <w:r w:rsidR="00006CB5" w:rsidRPr="00D40021">
        <w:rPr>
          <w:rFonts w:hAnsi="標楷體" w:hint="eastAsia"/>
        </w:rPr>
        <w:t>則</w:t>
      </w:r>
      <w:r w:rsidR="00A73F00" w:rsidRPr="00D40021">
        <w:rPr>
          <w:rFonts w:hAnsi="標楷體" w:hint="eastAsia"/>
        </w:rPr>
        <w:t>有1,233億元累計本金賸餘</w:t>
      </w:r>
      <w:r w:rsidR="00B468B7" w:rsidRPr="00D40021">
        <w:rPr>
          <w:rFonts w:hAnsi="標楷體" w:hint="eastAsia"/>
        </w:rPr>
        <w:t>，</w:t>
      </w:r>
      <w:r w:rsidR="0037336F" w:rsidRPr="00D40021">
        <w:rPr>
          <w:rFonts w:hAnsi="標楷體" w:hint="eastAsia"/>
        </w:rPr>
        <w:t>明顯高估年金改革</w:t>
      </w:r>
      <w:r w:rsidR="000F0714" w:rsidRPr="00D40021">
        <w:rPr>
          <w:rFonts w:hAnsi="標楷體" w:hint="eastAsia"/>
        </w:rPr>
        <w:t>之</w:t>
      </w:r>
      <w:r w:rsidR="0037336F" w:rsidRPr="00D40021">
        <w:rPr>
          <w:rFonts w:hAnsi="標楷體" w:hint="eastAsia"/>
        </w:rPr>
        <w:t>財務效益</w:t>
      </w:r>
      <w:proofErr w:type="gramStart"/>
      <w:r w:rsidR="00144B17" w:rsidRPr="00D40021">
        <w:rPr>
          <w:rFonts w:hAnsi="標楷體" w:hint="eastAsia"/>
        </w:rPr>
        <w:t>（</w:t>
      </w:r>
      <w:proofErr w:type="gramEnd"/>
      <w:r w:rsidR="0037336F" w:rsidRPr="00D40021">
        <w:rPr>
          <w:rFonts w:hAnsi="標楷體" w:hint="eastAsia"/>
        </w:rPr>
        <w:t>就未來30年退撫基金本金賸餘觀點，寬估35億元；</w:t>
      </w:r>
      <w:r w:rsidR="00C355F1" w:rsidRPr="00D40021">
        <w:rPr>
          <w:rFonts w:hAnsi="標楷體" w:hint="eastAsia"/>
        </w:rPr>
        <w:t>另</w:t>
      </w:r>
      <w:r w:rsidR="003140B9" w:rsidRPr="00D40021">
        <w:rPr>
          <w:rFonts w:hAnsi="標楷體" w:hint="eastAsia"/>
        </w:rPr>
        <w:t>就</w:t>
      </w:r>
      <w:r w:rsidR="00C355F1" w:rsidRPr="00D40021">
        <w:rPr>
          <w:rFonts w:hAnsi="標楷體" w:hint="eastAsia"/>
        </w:rPr>
        <w:t>降低退休經費支出</w:t>
      </w:r>
      <w:r w:rsidR="003140B9" w:rsidRPr="00D40021">
        <w:rPr>
          <w:rFonts w:hAnsi="標楷體" w:hint="eastAsia"/>
        </w:rPr>
        <w:t>觀點，</w:t>
      </w:r>
      <w:proofErr w:type="gramStart"/>
      <w:r w:rsidR="004765F5" w:rsidRPr="00D40021">
        <w:rPr>
          <w:rFonts w:hAnsi="標楷體" w:hint="eastAsia"/>
        </w:rPr>
        <w:t>寬</w:t>
      </w:r>
      <w:r w:rsidR="003140B9" w:rsidRPr="00D40021">
        <w:rPr>
          <w:rFonts w:hAnsi="標楷體" w:hint="eastAsia"/>
        </w:rPr>
        <w:t>估</w:t>
      </w:r>
      <w:proofErr w:type="gramEnd"/>
      <w:r w:rsidR="003140B9" w:rsidRPr="00D40021">
        <w:rPr>
          <w:rFonts w:hAnsi="標楷體" w:hint="eastAsia"/>
        </w:rPr>
        <w:t>1,059億元</w:t>
      </w:r>
      <w:r w:rsidR="00C355F1" w:rsidRPr="00D40021">
        <w:rPr>
          <w:rFonts w:hAnsi="標楷體" w:hint="eastAsia"/>
        </w:rPr>
        <w:t>；</w:t>
      </w:r>
      <w:r w:rsidR="003140B9" w:rsidRPr="00D40021">
        <w:rPr>
          <w:rFonts w:hAnsi="標楷體" w:hint="eastAsia"/>
        </w:rPr>
        <w:t>就</w:t>
      </w:r>
      <w:r w:rsidR="0037336F" w:rsidRPr="00D40021">
        <w:rPr>
          <w:rFonts w:hAnsi="標楷體" w:hint="eastAsia"/>
        </w:rPr>
        <w:t>減省</w:t>
      </w:r>
      <w:r w:rsidR="00C355F1" w:rsidRPr="00D40021">
        <w:rPr>
          <w:rFonts w:hAnsi="標楷體" w:hint="eastAsia"/>
        </w:rPr>
        <w:t>政府負擔</w:t>
      </w:r>
      <w:r w:rsidR="003140B9" w:rsidRPr="00D40021">
        <w:rPr>
          <w:rFonts w:hAnsi="標楷體" w:hint="eastAsia"/>
        </w:rPr>
        <w:t>觀點，</w:t>
      </w:r>
      <w:proofErr w:type="gramStart"/>
      <w:r w:rsidR="004765F5" w:rsidRPr="00D40021">
        <w:rPr>
          <w:rFonts w:hAnsi="標楷體" w:hint="eastAsia"/>
        </w:rPr>
        <w:t>寬</w:t>
      </w:r>
      <w:r w:rsidR="003140B9" w:rsidRPr="00D40021">
        <w:rPr>
          <w:rFonts w:hAnsi="標楷體" w:hint="eastAsia"/>
        </w:rPr>
        <w:t>估173億元</w:t>
      </w:r>
      <w:r w:rsidR="00C355F1" w:rsidRPr="00D40021">
        <w:rPr>
          <w:rFonts w:hAnsi="標楷體" w:hint="eastAsia"/>
        </w:rPr>
        <w:t>）</w:t>
      </w:r>
      <w:proofErr w:type="gramEnd"/>
      <w:r w:rsidR="006C0DE1" w:rsidRPr="00D40021">
        <w:rPr>
          <w:rFonts w:hAnsi="標楷體" w:hint="eastAsia"/>
        </w:rPr>
        <w:t>，國防部</w:t>
      </w:r>
      <w:r w:rsidR="0002486F" w:rsidRPr="00D40021">
        <w:rPr>
          <w:rFonts w:hAnsi="標楷體" w:hint="eastAsia"/>
        </w:rPr>
        <w:t>顯未再次確認相關</w:t>
      </w:r>
      <w:r w:rsidR="00CF6A9D" w:rsidRPr="00D40021">
        <w:rPr>
          <w:rFonts w:hAnsi="標楷體" w:hint="eastAsia"/>
          <w:szCs w:val="32"/>
        </w:rPr>
        <w:t>分析</w:t>
      </w:r>
      <w:r w:rsidR="007E076A" w:rsidRPr="00D40021">
        <w:rPr>
          <w:rFonts w:hAnsi="標楷體" w:hint="eastAsia"/>
          <w:szCs w:val="32"/>
        </w:rPr>
        <w:lastRenderedPageBreak/>
        <w:t>假設、</w:t>
      </w:r>
      <w:r w:rsidR="00CF6A9D" w:rsidRPr="00D40021">
        <w:rPr>
          <w:rFonts w:hAnsi="標楷體" w:hint="eastAsia"/>
          <w:szCs w:val="32"/>
        </w:rPr>
        <w:t>模型</w:t>
      </w:r>
      <w:r w:rsidR="00CF6A9D" w:rsidRPr="00D40021">
        <w:rPr>
          <w:rFonts w:hAnsi="標楷體" w:hint="eastAsia"/>
        </w:rPr>
        <w:t>、公式及</w:t>
      </w:r>
      <w:r w:rsidR="0002486F" w:rsidRPr="00D40021">
        <w:rPr>
          <w:rFonts w:hAnsi="標楷體" w:hint="eastAsia"/>
        </w:rPr>
        <w:t>數據</w:t>
      </w:r>
      <w:r w:rsidR="00CF6A9D" w:rsidRPr="00D40021">
        <w:rPr>
          <w:rFonts w:hAnsi="標楷體" w:hint="eastAsia"/>
        </w:rPr>
        <w:t>之正確性</w:t>
      </w:r>
      <w:r w:rsidR="0002486F" w:rsidRPr="00D40021">
        <w:rPr>
          <w:rFonts w:hAnsi="標楷體" w:hint="eastAsia"/>
        </w:rPr>
        <w:t>，</w:t>
      </w:r>
      <w:proofErr w:type="gramStart"/>
      <w:r w:rsidR="0002486F" w:rsidRPr="00D40021">
        <w:rPr>
          <w:rFonts w:hAnsi="標楷體" w:hint="eastAsia"/>
          <w:szCs w:val="20"/>
        </w:rPr>
        <w:t>核</w:t>
      </w:r>
      <w:r w:rsidR="006C0DE1" w:rsidRPr="00D40021">
        <w:rPr>
          <w:rFonts w:hAnsi="標楷體" w:hint="eastAsia"/>
          <w:szCs w:val="20"/>
        </w:rPr>
        <w:t>確</w:t>
      </w:r>
      <w:r w:rsidR="006C0DE1" w:rsidRPr="00D40021">
        <w:rPr>
          <w:rFonts w:hAnsi="標楷體"/>
          <w:szCs w:val="20"/>
        </w:rPr>
        <w:t>有</w:t>
      </w:r>
      <w:r w:rsidR="006C0DE1" w:rsidRPr="00D40021">
        <w:rPr>
          <w:rFonts w:hAnsi="標楷體" w:hint="eastAsia"/>
          <w:szCs w:val="20"/>
        </w:rPr>
        <w:t>怠</w:t>
      </w:r>
      <w:proofErr w:type="gramEnd"/>
      <w:r w:rsidR="006C0DE1" w:rsidRPr="00D40021">
        <w:rPr>
          <w:rFonts w:hAnsi="標楷體"/>
          <w:szCs w:val="20"/>
        </w:rPr>
        <w:t>失</w:t>
      </w:r>
      <w:r w:rsidR="006C0DE1" w:rsidRPr="00D40021">
        <w:rPr>
          <w:rFonts w:hAnsi="標楷體" w:hint="eastAsia"/>
          <w:szCs w:val="20"/>
        </w:rPr>
        <w:t>。</w:t>
      </w:r>
    </w:p>
    <w:p w:rsidR="0037336F" w:rsidRPr="00D40021" w:rsidRDefault="003F07BB" w:rsidP="0071460B">
      <w:pPr>
        <w:pStyle w:val="a3"/>
        <w:ind w:left="697" w:hanging="697"/>
        <w:jc w:val="left"/>
        <w:rPr>
          <w:rFonts w:hAnsi="標楷體"/>
        </w:rPr>
      </w:pPr>
      <w:r w:rsidRPr="00D40021">
        <w:rPr>
          <w:rFonts w:hAnsi="標楷體" w:hint="eastAsia"/>
        </w:rPr>
        <w:t>軍職人員年金改革財務影響評估報告精算查核之差異影響數</w:t>
      </w:r>
    </w:p>
    <w:tbl>
      <w:tblPr>
        <w:tblStyle w:val="afb"/>
        <w:tblW w:w="9532" w:type="dxa"/>
        <w:jc w:val="center"/>
        <w:tblCellMar>
          <w:left w:w="28" w:type="dxa"/>
          <w:right w:w="28" w:type="dxa"/>
        </w:tblCellMar>
        <w:tblLook w:val="04A0" w:firstRow="1" w:lastRow="0" w:firstColumn="1" w:lastColumn="0" w:noHBand="0" w:noVBand="1"/>
      </w:tblPr>
      <w:tblGrid>
        <w:gridCol w:w="1420"/>
        <w:gridCol w:w="944"/>
        <w:gridCol w:w="932"/>
        <w:gridCol w:w="804"/>
        <w:gridCol w:w="922"/>
        <w:gridCol w:w="979"/>
        <w:gridCol w:w="779"/>
        <w:gridCol w:w="1224"/>
        <w:gridCol w:w="1528"/>
      </w:tblGrid>
      <w:tr w:rsidR="00D40021" w:rsidRPr="00D40021" w:rsidTr="00F37D06">
        <w:trPr>
          <w:tblHeader/>
          <w:jc w:val="center"/>
        </w:trPr>
        <w:tc>
          <w:tcPr>
            <w:tcW w:w="1420" w:type="dxa"/>
            <w:vMerge w:val="restart"/>
            <w:tcBorders>
              <w:top w:val="single" w:sz="4" w:space="0" w:color="auto"/>
              <w:left w:val="single" w:sz="4" w:space="0" w:color="auto"/>
              <w:right w:val="single" w:sz="4" w:space="0" w:color="auto"/>
            </w:tcBorders>
            <w:shd w:val="clear" w:color="auto" w:fill="EEECE1" w:themeFill="background2"/>
            <w:vAlign w:val="center"/>
          </w:tcPr>
          <w:p w:rsidR="00EC7935" w:rsidRPr="00D40021" w:rsidRDefault="00EC7935" w:rsidP="00050D28">
            <w:pPr>
              <w:pStyle w:val="121"/>
              <w:jc w:val="center"/>
              <w:rPr>
                <w:rFonts w:hAnsi="標楷體"/>
                <w:b/>
              </w:rPr>
            </w:pPr>
            <w:r w:rsidRPr="00D40021">
              <w:rPr>
                <w:rFonts w:hAnsi="標楷體" w:hint="eastAsia"/>
                <w:b/>
              </w:rPr>
              <w:t>軍職人員年金改革財務影響評估報告</w:t>
            </w:r>
          </w:p>
        </w:tc>
        <w:tc>
          <w:tcPr>
            <w:tcW w:w="268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EC7935" w:rsidRPr="00D40021" w:rsidRDefault="00EC7935" w:rsidP="00050D28">
            <w:pPr>
              <w:pStyle w:val="121"/>
              <w:jc w:val="center"/>
              <w:rPr>
                <w:rFonts w:hAnsi="標楷體"/>
                <w:b/>
              </w:rPr>
            </w:pPr>
            <w:r w:rsidRPr="00D40021">
              <w:rPr>
                <w:rFonts w:hAnsi="標楷體" w:hint="eastAsia"/>
                <w:b/>
              </w:rPr>
              <w:t>支付觀點</w:t>
            </w:r>
          </w:p>
        </w:tc>
        <w:tc>
          <w:tcPr>
            <w:tcW w:w="268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EC7935" w:rsidRPr="00D40021" w:rsidRDefault="00EC7935" w:rsidP="00050D28">
            <w:pPr>
              <w:pStyle w:val="121"/>
              <w:jc w:val="center"/>
              <w:rPr>
                <w:rFonts w:hAnsi="標楷體"/>
                <w:b/>
              </w:rPr>
            </w:pPr>
            <w:r w:rsidRPr="00D40021">
              <w:rPr>
                <w:rFonts w:hAnsi="標楷體" w:hint="eastAsia"/>
                <w:b/>
              </w:rPr>
              <w:t>財政觀點</w:t>
            </w:r>
          </w:p>
        </w:tc>
        <w:tc>
          <w:tcPr>
            <w:tcW w:w="0" w:type="auto"/>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EC7935" w:rsidRPr="00D40021" w:rsidRDefault="00EC7935" w:rsidP="00050D28">
            <w:pPr>
              <w:pStyle w:val="121"/>
              <w:jc w:val="center"/>
              <w:rPr>
                <w:rFonts w:hAnsi="標楷體"/>
                <w:b/>
              </w:rPr>
            </w:pPr>
            <w:r w:rsidRPr="00D40021">
              <w:rPr>
                <w:rFonts w:hAnsi="標楷體" w:hint="eastAsia"/>
                <w:b/>
              </w:rPr>
              <w:t>基金觀點</w:t>
            </w:r>
          </w:p>
        </w:tc>
      </w:tr>
      <w:tr w:rsidR="00D40021" w:rsidRPr="00D40021" w:rsidTr="00F37D06">
        <w:trPr>
          <w:tblHeader/>
          <w:jc w:val="center"/>
        </w:trPr>
        <w:tc>
          <w:tcPr>
            <w:tcW w:w="1420" w:type="dxa"/>
            <w:vMerge/>
            <w:tcBorders>
              <w:left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p>
        </w:tc>
        <w:tc>
          <w:tcPr>
            <w:tcW w:w="268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退休制度財務支出分析</w:t>
            </w:r>
          </w:p>
          <w:p w:rsidR="00EC7935" w:rsidRPr="00D40021" w:rsidRDefault="00144B17" w:rsidP="00050D28">
            <w:pPr>
              <w:pStyle w:val="121"/>
              <w:jc w:val="center"/>
              <w:rPr>
                <w:rFonts w:hAnsi="標楷體"/>
                <w:b/>
              </w:rPr>
            </w:pPr>
            <w:r w:rsidRPr="00D40021">
              <w:rPr>
                <w:rFonts w:hAnsi="標楷體" w:hint="eastAsia"/>
                <w:b/>
              </w:rPr>
              <w:t>（</w:t>
            </w:r>
            <w:r w:rsidR="00EC7935" w:rsidRPr="00D40021">
              <w:rPr>
                <w:rFonts w:hAnsi="標楷體" w:hint="eastAsia"/>
                <w:b/>
              </w:rPr>
              <w:t>未來30年退休經費總支出</w:t>
            </w:r>
            <w:r w:rsidRPr="00D40021">
              <w:rPr>
                <w:rFonts w:hAnsi="標楷體" w:hint="eastAsia"/>
                <w:b/>
              </w:rPr>
              <w:t>）</w:t>
            </w:r>
          </w:p>
        </w:tc>
        <w:tc>
          <w:tcPr>
            <w:tcW w:w="268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政府負擔支出流量分析</w:t>
            </w:r>
          </w:p>
          <w:p w:rsidR="00EC7935" w:rsidRPr="00D40021" w:rsidRDefault="00144B17" w:rsidP="00050D28">
            <w:pPr>
              <w:pStyle w:val="121"/>
              <w:jc w:val="center"/>
              <w:rPr>
                <w:rFonts w:hAnsi="標楷體"/>
                <w:b/>
              </w:rPr>
            </w:pPr>
            <w:r w:rsidRPr="00D40021">
              <w:rPr>
                <w:rFonts w:hAnsi="標楷體" w:hint="eastAsia"/>
                <w:b/>
              </w:rPr>
              <w:t>（</w:t>
            </w:r>
            <w:r w:rsidR="00EC7935" w:rsidRPr="00D40021">
              <w:rPr>
                <w:rFonts w:hAnsi="標楷體" w:hint="eastAsia"/>
                <w:b/>
              </w:rPr>
              <w:t>未來30年政府總負擔</w:t>
            </w:r>
            <w:r w:rsidRPr="00D40021">
              <w:rPr>
                <w:rFonts w:hAnsi="標楷體" w:hint="eastAsia"/>
                <w:b/>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退撫基金改革規劃</w:t>
            </w:r>
          </w:p>
          <w:p w:rsidR="00EC7935" w:rsidRPr="00D40021" w:rsidRDefault="00EC7935" w:rsidP="00050D28">
            <w:pPr>
              <w:pStyle w:val="121"/>
              <w:jc w:val="center"/>
              <w:rPr>
                <w:rFonts w:hAnsi="標楷體"/>
                <w:b/>
              </w:rPr>
            </w:pPr>
            <w:r w:rsidRPr="00D40021">
              <w:rPr>
                <w:rFonts w:hAnsi="標楷體" w:hint="eastAsia"/>
                <w:b/>
              </w:rPr>
              <w:t>損益平衡分析</w:t>
            </w:r>
          </w:p>
        </w:tc>
      </w:tr>
      <w:tr w:rsidR="00D40021" w:rsidRPr="00D40021" w:rsidTr="00F37D06">
        <w:trPr>
          <w:tblHeader/>
          <w:jc w:val="center"/>
        </w:trPr>
        <w:tc>
          <w:tcPr>
            <w:tcW w:w="1420" w:type="dxa"/>
            <w:vMerge/>
            <w:tcBorders>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widowControl/>
              <w:overflowPunct/>
              <w:autoSpaceDE/>
              <w:autoSpaceDN/>
              <w:adjustRightInd w:val="0"/>
              <w:jc w:val="center"/>
              <w:rPr>
                <w:rFonts w:hAnsi="標楷體"/>
                <w:b/>
                <w:spacing w:val="-14"/>
                <w:kern w:val="0"/>
                <w:sz w:val="24"/>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改革前</w:t>
            </w:r>
          </w:p>
        </w:tc>
        <w:tc>
          <w:tcPr>
            <w:tcW w:w="93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改革後</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降低</w:t>
            </w:r>
          </w:p>
          <w:p w:rsidR="00EC7935" w:rsidRPr="00D40021" w:rsidRDefault="00EC7935" w:rsidP="00050D28">
            <w:pPr>
              <w:pStyle w:val="121"/>
              <w:jc w:val="center"/>
              <w:rPr>
                <w:rFonts w:hAnsi="標楷體"/>
                <w:b/>
              </w:rPr>
            </w:pPr>
            <w:r w:rsidRPr="00D40021">
              <w:rPr>
                <w:rFonts w:hAnsi="標楷體" w:hint="eastAsia"/>
                <w:b/>
              </w:rPr>
              <w:t>支出</w:t>
            </w:r>
          </w:p>
        </w:tc>
        <w:tc>
          <w:tcPr>
            <w:tcW w:w="92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改革前</w:t>
            </w:r>
          </w:p>
        </w:tc>
        <w:tc>
          <w:tcPr>
            <w:tcW w:w="97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改革後</w:t>
            </w:r>
          </w:p>
        </w:tc>
        <w:tc>
          <w:tcPr>
            <w:tcW w:w="77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財政</w:t>
            </w:r>
          </w:p>
          <w:p w:rsidR="00EC7935" w:rsidRPr="00D40021" w:rsidRDefault="00EC7935" w:rsidP="00050D28">
            <w:pPr>
              <w:pStyle w:val="121"/>
              <w:jc w:val="center"/>
              <w:rPr>
                <w:rFonts w:hAnsi="標楷體"/>
                <w:b/>
              </w:rPr>
            </w:pPr>
            <w:r w:rsidRPr="00D40021">
              <w:rPr>
                <w:rFonts w:hAnsi="標楷體" w:hint="eastAsia"/>
                <w:b/>
              </w:rPr>
              <w:t>負擔</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改革前</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7935" w:rsidRPr="00D40021" w:rsidRDefault="00EC7935" w:rsidP="00050D28">
            <w:pPr>
              <w:pStyle w:val="121"/>
              <w:jc w:val="center"/>
              <w:rPr>
                <w:rFonts w:hAnsi="標楷體"/>
                <w:b/>
              </w:rPr>
            </w:pPr>
            <w:r w:rsidRPr="00D40021">
              <w:rPr>
                <w:rFonts w:hAnsi="標楷體" w:hint="eastAsia"/>
                <w:b/>
              </w:rPr>
              <w:t>改革後</w:t>
            </w:r>
          </w:p>
          <w:p w:rsidR="00EC7935" w:rsidRPr="00D40021" w:rsidRDefault="00EC7935" w:rsidP="00050D28">
            <w:pPr>
              <w:pStyle w:val="121"/>
              <w:jc w:val="center"/>
              <w:rPr>
                <w:rFonts w:hAnsi="標楷體"/>
                <w:b/>
              </w:rPr>
            </w:pPr>
            <w:r w:rsidRPr="00D40021">
              <w:rPr>
                <w:rFonts w:hAnsi="標楷體" w:hint="eastAsia"/>
                <w:b/>
              </w:rPr>
              <w:t>財務賸餘</w:t>
            </w:r>
          </w:p>
        </w:tc>
      </w:tr>
      <w:tr w:rsidR="00D40021" w:rsidRPr="00D40021" w:rsidTr="004765F5">
        <w:trPr>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rPr>
                <w:rFonts w:hAnsi="標楷體"/>
              </w:rPr>
            </w:pPr>
            <w:r w:rsidRPr="00D40021">
              <w:rPr>
                <w:rFonts w:hAnsi="標楷體" w:hint="eastAsia"/>
              </w:rPr>
              <w:t>107年4月</w:t>
            </w:r>
          </w:p>
          <w:p w:rsidR="00050D28" w:rsidRPr="00D40021" w:rsidRDefault="00050D28" w:rsidP="00050D28">
            <w:pPr>
              <w:pStyle w:val="121"/>
              <w:rPr>
                <w:rFonts w:hAnsi="標楷體"/>
              </w:rPr>
            </w:pPr>
            <w:r w:rsidRPr="00D40021">
              <w:rPr>
                <w:rFonts w:hAnsi="標楷體" w:hint="eastAsia"/>
              </w:rPr>
              <w:t>送立法院版本</w:t>
            </w:r>
          </w:p>
          <w:p w:rsidR="00050D28" w:rsidRPr="00D40021" w:rsidRDefault="00050D28" w:rsidP="00050D28">
            <w:pPr>
              <w:pStyle w:val="121"/>
              <w:rPr>
                <w:rFonts w:hAnsi="標楷體"/>
              </w:rPr>
            </w:pPr>
            <w:r w:rsidRPr="00D40021">
              <w:rPr>
                <w:rFonts w:hAnsi="標楷體" w:hint="eastAsia"/>
              </w:rPr>
              <w:t>【A】</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3兆4,883億元</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3兆1,643億元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-3,240</w:t>
            </w:r>
          </w:p>
          <w:p w:rsidR="00050D28" w:rsidRPr="00D40021" w:rsidRDefault="00050D28" w:rsidP="00050D28">
            <w:pPr>
              <w:pStyle w:val="121"/>
              <w:jc w:val="right"/>
              <w:rPr>
                <w:rFonts w:hAnsi="標楷體"/>
              </w:rPr>
            </w:pPr>
            <w:r w:rsidRPr="00D40021">
              <w:rPr>
                <w:rFonts w:hAnsi="標楷體" w:hint="eastAsia"/>
              </w:rPr>
              <w:t>億元</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3兆3,892億元</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3兆114</w:t>
            </w:r>
          </w:p>
          <w:p w:rsidR="00050D28" w:rsidRPr="00D40021" w:rsidRDefault="00050D28" w:rsidP="00050D28">
            <w:pPr>
              <w:pStyle w:val="121"/>
              <w:jc w:val="right"/>
              <w:rPr>
                <w:rFonts w:hAnsi="標楷體"/>
              </w:rPr>
            </w:pPr>
            <w:r w:rsidRPr="00D40021">
              <w:rPr>
                <w:rFonts w:hAnsi="標楷體" w:hint="eastAsia"/>
              </w:rPr>
              <w:t>億元</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-3,778億元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left"/>
              <w:rPr>
                <w:rFonts w:hAnsi="標楷體"/>
              </w:rPr>
            </w:pPr>
            <w:r w:rsidRPr="00D40021">
              <w:rPr>
                <w:rFonts w:hAnsi="標楷體" w:hint="eastAsia"/>
              </w:rPr>
              <w:t>未來30年財務缺口1兆2,067億元</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50D28" w:rsidRPr="00D40021" w:rsidRDefault="00050D28" w:rsidP="00050D28">
            <w:pPr>
              <w:pStyle w:val="121"/>
              <w:jc w:val="left"/>
              <w:rPr>
                <w:rFonts w:hAnsi="標楷體"/>
              </w:rPr>
            </w:pPr>
            <w:r w:rsidRPr="00D40021">
              <w:rPr>
                <w:rFonts w:hAnsi="標楷體" w:hint="eastAsia"/>
              </w:rPr>
              <w:t>維持30年運作無虞，本金累計賸餘1,268億元</w:t>
            </w:r>
          </w:p>
        </w:tc>
      </w:tr>
      <w:tr w:rsidR="00D40021" w:rsidRPr="00D40021" w:rsidTr="004765F5">
        <w:trPr>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rPr>
                <w:rFonts w:hAnsi="標楷體"/>
              </w:rPr>
            </w:pPr>
            <w:r w:rsidRPr="00D40021">
              <w:rPr>
                <w:rFonts w:hAnsi="標楷體" w:hint="eastAsia"/>
              </w:rPr>
              <w:t>107年5月</w:t>
            </w:r>
          </w:p>
          <w:p w:rsidR="00050D28" w:rsidRPr="00D40021" w:rsidRDefault="00050D28" w:rsidP="00050D28">
            <w:pPr>
              <w:pStyle w:val="121"/>
              <w:rPr>
                <w:rFonts w:hAnsi="標楷體"/>
              </w:rPr>
            </w:pPr>
            <w:r w:rsidRPr="00D40021">
              <w:rPr>
                <w:rFonts w:hAnsi="標楷體" w:hint="eastAsia"/>
              </w:rPr>
              <w:t>精算查核結果</w:t>
            </w:r>
          </w:p>
          <w:p w:rsidR="00050D28" w:rsidRPr="00D40021" w:rsidRDefault="00050D28" w:rsidP="00050D28">
            <w:pPr>
              <w:pStyle w:val="121"/>
              <w:rPr>
                <w:rFonts w:hAnsi="標楷體"/>
              </w:rPr>
            </w:pPr>
            <w:r w:rsidRPr="00D40021">
              <w:rPr>
                <w:rFonts w:hAnsi="標楷體" w:hint="eastAsia"/>
              </w:rPr>
              <w:t>【B】</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3兆4,962億元</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3兆2,781億元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-2,181</w:t>
            </w:r>
          </w:p>
          <w:p w:rsidR="00050D28" w:rsidRPr="00D40021" w:rsidRDefault="00050D28" w:rsidP="00050D28">
            <w:pPr>
              <w:pStyle w:val="121"/>
              <w:jc w:val="right"/>
              <w:rPr>
                <w:rFonts w:hAnsi="標楷體"/>
              </w:rPr>
            </w:pPr>
            <w:r w:rsidRPr="00D40021">
              <w:rPr>
                <w:rFonts w:hAnsi="標楷體" w:hint="eastAsia"/>
              </w:rPr>
              <w:t>億元</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3兆3,929億元</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3兆324</w:t>
            </w:r>
          </w:p>
          <w:p w:rsidR="00050D28" w:rsidRPr="00D40021" w:rsidRDefault="00050D28" w:rsidP="00050D28">
            <w:pPr>
              <w:pStyle w:val="121"/>
              <w:jc w:val="right"/>
              <w:rPr>
                <w:rFonts w:hAnsi="標楷體"/>
              </w:rPr>
            </w:pPr>
            <w:r w:rsidRPr="00D40021">
              <w:rPr>
                <w:rFonts w:hAnsi="標楷體" w:hint="eastAsia"/>
              </w:rPr>
              <w:t>億元</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-3,605億元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left"/>
              <w:rPr>
                <w:rFonts w:hAnsi="標楷體"/>
              </w:rPr>
            </w:pPr>
            <w:r w:rsidRPr="00D40021">
              <w:rPr>
                <w:rFonts w:hAnsi="標楷體" w:hint="eastAsia"/>
              </w:rPr>
              <w:t>未來30年財政缺口1兆2,113億元</w:t>
            </w:r>
          </w:p>
        </w:tc>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50D28" w:rsidRPr="00D40021" w:rsidRDefault="00050D28" w:rsidP="00050D28">
            <w:pPr>
              <w:pStyle w:val="121"/>
              <w:jc w:val="left"/>
              <w:rPr>
                <w:rFonts w:hAnsi="標楷體"/>
              </w:rPr>
            </w:pPr>
            <w:r w:rsidRPr="00D40021">
              <w:rPr>
                <w:rFonts w:hAnsi="標楷體" w:hint="eastAsia"/>
              </w:rPr>
              <w:t>至136年本金累計賸餘1,233億元</w:t>
            </w:r>
          </w:p>
        </w:tc>
      </w:tr>
      <w:tr w:rsidR="00D40021" w:rsidRPr="00D40021" w:rsidTr="00F37D06">
        <w:trPr>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rPr>
                <w:rFonts w:hAnsi="標楷體"/>
              </w:rPr>
            </w:pPr>
            <w:r w:rsidRPr="00D40021">
              <w:rPr>
                <w:rFonts w:hAnsi="標楷體" w:hint="eastAsia"/>
              </w:rPr>
              <w:t>差異數</w:t>
            </w:r>
          </w:p>
          <w:p w:rsidR="00050D28" w:rsidRPr="00D40021" w:rsidRDefault="00050D28" w:rsidP="00050D28">
            <w:pPr>
              <w:pStyle w:val="121"/>
              <w:rPr>
                <w:rFonts w:hAnsi="標楷體"/>
              </w:rPr>
            </w:pPr>
            <w:r w:rsidRPr="00D40021">
              <w:rPr>
                <w:rFonts w:hAnsi="標楷體" w:hint="eastAsia"/>
              </w:rPr>
              <w:t>【C=B-A】</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79億元</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1,138</w:t>
            </w:r>
          </w:p>
          <w:p w:rsidR="00050D28" w:rsidRPr="00D40021" w:rsidRDefault="00050D28" w:rsidP="00050D28">
            <w:pPr>
              <w:pStyle w:val="121"/>
              <w:jc w:val="right"/>
              <w:rPr>
                <w:rFonts w:hAnsi="標楷體"/>
              </w:rPr>
            </w:pPr>
            <w:r w:rsidRPr="00D40021">
              <w:rPr>
                <w:rFonts w:hAnsi="標楷體" w:hint="eastAsia"/>
              </w:rPr>
              <w:t>億元</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050D28" w:rsidRPr="00D40021" w:rsidRDefault="00050D28" w:rsidP="00050D28">
            <w:pPr>
              <w:pStyle w:val="121"/>
              <w:jc w:val="right"/>
              <w:rPr>
                <w:rFonts w:hAnsi="標楷體"/>
              </w:rPr>
            </w:pPr>
            <w:r w:rsidRPr="00D40021">
              <w:rPr>
                <w:rFonts w:hAnsi="標楷體" w:hint="eastAsia"/>
              </w:rPr>
              <w:t>1,059</w:t>
            </w:r>
          </w:p>
          <w:p w:rsidR="00050D28" w:rsidRPr="00D40021" w:rsidRDefault="00050D28" w:rsidP="00050D28">
            <w:pPr>
              <w:pStyle w:val="121"/>
              <w:jc w:val="right"/>
              <w:rPr>
                <w:rFonts w:hAnsi="標楷體"/>
              </w:rPr>
            </w:pPr>
            <w:r w:rsidRPr="00D40021">
              <w:rPr>
                <w:rFonts w:hAnsi="標楷體" w:hint="eastAsia"/>
              </w:rPr>
              <w:t>億元</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37億元</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210億元</w:t>
            </w:r>
          </w:p>
        </w:tc>
        <w:tc>
          <w:tcPr>
            <w:tcW w:w="77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050D28" w:rsidRPr="00D40021" w:rsidRDefault="00050D28" w:rsidP="00050D28">
            <w:pPr>
              <w:pStyle w:val="121"/>
              <w:jc w:val="right"/>
              <w:rPr>
                <w:rFonts w:hAnsi="標楷體"/>
              </w:rPr>
            </w:pPr>
            <w:r w:rsidRPr="00D40021">
              <w:rPr>
                <w:rFonts w:hAnsi="標楷體" w:hint="eastAsia"/>
              </w:rPr>
              <w:t>173</w:t>
            </w:r>
          </w:p>
          <w:p w:rsidR="00050D28" w:rsidRPr="00D40021" w:rsidRDefault="00050D28" w:rsidP="00050D28">
            <w:pPr>
              <w:pStyle w:val="121"/>
              <w:jc w:val="right"/>
              <w:rPr>
                <w:rFonts w:hAnsi="標楷體"/>
              </w:rPr>
            </w:pPr>
            <w:r w:rsidRPr="00D40021">
              <w:rPr>
                <w:rFonts w:hAnsi="標楷體" w:hint="eastAsia"/>
              </w:rPr>
              <w:t>億元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50D28" w:rsidRPr="00D40021" w:rsidRDefault="00050D28" w:rsidP="00050D28">
            <w:pPr>
              <w:pStyle w:val="121"/>
              <w:jc w:val="right"/>
              <w:rPr>
                <w:rFonts w:hAnsi="標楷體"/>
              </w:rPr>
            </w:pPr>
            <w:r w:rsidRPr="00D40021">
              <w:rPr>
                <w:rFonts w:hAnsi="標楷體" w:hint="eastAsia"/>
              </w:rPr>
              <w:t>46億元</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050D28" w:rsidRPr="00D40021" w:rsidRDefault="00050D28" w:rsidP="00050D28">
            <w:pPr>
              <w:pStyle w:val="121"/>
              <w:jc w:val="right"/>
              <w:rPr>
                <w:rFonts w:hAnsi="標楷體"/>
              </w:rPr>
            </w:pPr>
            <w:r w:rsidRPr="00D40021">
              <w:rPr>
                <w:rFonts w:hAnsi="標楷體" w:hint="eastAsia"/>
              </w:rPr>
              <w:t>-35億元</w:t>
            </w:r>
          </w:p>
        </w:tc>
      </w:tr>
    </w:tbl>
    <w:p w:rsidR="00050D28" w:rsidRPr="00D40021" w:rsidRDefault="00050D28" w:rsidP="00050D28">
      <w:pPr>
        <w:pStyle w:val="121"/>
        <w:ind w:leftChars="-100" w:left="-340"/>
        <w:rPr>
          <w:rFonts w:hAnsi="標楷體"/>
        </w:rPr>
      </w:pPr>
      <w:proofErr w:type="gramStart"/>
      <w:r w:rsidRPr="00D40021">
        <w:rPr>
          <w:rFonts w:hAnsi="標楷體" w:hint="eastAsia"/>
        </w:rPr>
        <w:t>註</w:t>
      </w:r>
      <w:proofErr w:type="gramEnd"/>
      <w:r w:rsidRPr="00D40021">
        <w:rPr>
          <w:rFonts w:hAnsi="標楷體" w:hint="eastAsia"/>
        </w:rPr>
        <w:t>：以最低保障金額38,990元及現退役均</w:t>
      </w:r>
      <w:proofErr w:type="gramStart"/>
      <w:r w:rsidRPr="00D40021">
        <w:rPr>
          <w:rFonts w:hAnsi="標楷體" w:hint="eastAsia"/>
        </w:rPr>
        <w:t>採</w:t>
      </w:r>
      <w:proofErr w:type="gramEnd"/>
      <w:r w:rsidRPr="00D40021">
        <w:rPr>
          <w:rFonts w:hAnsi="標楷體" w:hint="eastAsia"/>
        </w:rPr>
        <w:t>55%+2%</w:t>
      </w:r>
      <w:r w:rsidR="00144B17" w:rsidRPr="00D40021">
        <w:rPr>
          <w:rFonts w:hAnsi="標楷體" w:hint="eastAsia"/>
        </w:rPr>
        <w:t>（</w:t>
      </w:r>
      <w:r w:rsidRPr="00D40021">
        <w:rPr>
          <w:rFonts w:hAnsi="標楷體" w:hint="eastAsia"/>
        </w:rPr>
        <w:t>軍官最高90%、士官95%</w:t>
      </w:r>
      <w:r w:rsidR="00144B17" w:rsidRPr="00D40021">
        <w:rPr>
          <w:rFonts w:hAnsi="標楷體" w:hint="eastAsia"/>
        </w:rPr>
        <w:t>）</w:t>
      </w:r>
      <w:r w:rsidRPr="00D40021">
        <w:rPr>
          <w:rFonts w:hAnsi="標楷體" w:hint="eastAsia"/>
        </w:rPr>
        <w:t>為情境設定。</w:t>
      </w:r>
    </w:p>
    <w:p w:rsidR="00050D28" w:rsidRPr="00D40021" w:rsidRDefault="00050D28" w:rsidP="0071460B">
      <w:pPr>
        <w:pStyle w:val="121"/>
        <w:ind w:leftChars="-100" w:left="728" w:hangingChars="460" w:hanging="1068"/>
        <w:rPr>
          <w:rFonts w:hAnsi="標楷體" w:cs="標楷體"/>
          <w:szCs w:val="32"/>
        </w:rPr>
      </w:pPr>
      <w:r w:rsidRPr="00D40021">
        <w:rPr>
          <w:rFonts w:hAnsi="標楷體" w:hint="eastAsia"/>
        </w:rPr>
        <w:t>資料來源：</w:t>
      </w:r>
      <w:r w:rsidR="0071460B" w:rsidRPr="00D40021">
        <w:rPr>
          <w:rFonts w:hAnsi="標楷體" w:hint="eastAsia"/>
        </w:rPr>
        <w:t>本院整理自</w:t>
      </w:r>
      <w:r w:rsidRPr="00D40021">
        <w:rPr>
          <w:rFonts w:hAnsi="標楷體" w:hint="eastAsia"/>
        </w:rPr>
        <w:t>「軍職人員年金改革財務影響評估報告」、「軍職人員年金改革財務影響認證案」。</w:t>
      </w:r>
    </w:p>
    <w:p w:rsidR="00050D28" w:rsidRPr="00D40021" w:rsidRDefault="00050D28" w:rsidP="00050D28">
      <w:pPr>
        <w:pStyle w:val="3"/>
        <w:numPr>
          <w:ilvl w:val="0"/>
          <w:numId w:val="0"/>
        </w:numPr>
        <w:spacing w:line="460" w:lineRule="exact"/>
        <w:ind w:left="1361" w:hanging="681"/>
        <w:rPr>
          <w:rFonts w:hAnsi="標楷體" w:cs="標楷體"/>
          <w:szCs w:val="32"/>
        </w:rPr>
      </w:pPr>
    </w:p>
    <w:p w:rsidR="003140B9" w:rsidRPr="00D40021" w:rsidRDefault="00050D28" w:rsidP="00CD5075">
      <w:pPr>
        <w:pStyle w:val="3"/>
        <w:spacing w:line="460" w:lineRule="exact"/>
        <w:rPr>
          <w:rFonts w:hAnsi="標楷體"/>
        </w:rPr>
      </w:pPr>
      <w:r w:rsidRPr="00D40021">
        <w:rPr>
          <w:rFonts w:hAnsi="標楷體" w:hint="eastAsia"/>
        </w:rPr>
        <w:t>另查</w:t>
      </w:r>
      <w:r w:rsidR="005E1E8A" w:rsidRPr="00D40021">
        <w:rPr>
          <w:rFonts w:hAnsi="標楷體" w:cs="標楷體" w:hint="eastAsia"/>
          <w:szCs w:val="32"/>
        </w:rPr>
        <w:t>，</w:t>
      </w:r>
      <w:r w:rsidR="004F5DAB" w:rsidRPr="00D40021">
        <w:rPr>
          <w:rFonts w:hAnsi="標楷體"/>
        </w:rPr>
        <w:t>按北美精算師協會</w:t>
      </w:r>
      <w:r w:rsidR="00144B17" w:rsidRPr="00D40021">
        <w:rPr>
          <w:rFonts w:hAnsi="標楷體"/>
        </w:rPr>
        <w:t>（</w:t>
      </w:r>
      <w:r w:rsidR="004F5DAB" w:rsidRPr="00D40021">
        <w:rPr>
          <w:rFonts w:hAnsi="標楷體"/>
        </w:rPr>
        <w:t>Society of Actuaries, SOA）所頒行「精算實務準則」</w:t>
      </w:r>
      <w:r w:rsidR="00144B17" w:rsidRPr="00D40021">
        <w:rPr>
          <w:rFonts w:hAnsi="標楷體"/>
        </w:rPr>
        <w:t>（</w:t>
      </w:r>
      <w:r w:rsidR="004F5DAB" w:rsidRPr="00D40021">
        <w:rPr>
          <w:rFonts w:hAnsi="標楷體"/>
        </w:rPr>
        <w:t>Actuarial Standard of Practice, ASOP）第4號之規範，精算假設之推估，必須根據過去可信賴之實際經驗值，同時考量可預期之未來長期趨勢</w:t>
      </w:r>
      <w:r w:rsidR="004F5DAB" w:rsidRPr="00D40021">
        <w:rPr>
          <w:rStyle w:val="aff3"/>
          <w:rFonts w:hAnsi="標楷體"/>
        </w:rPr>
        <w:footnoteReference w:id="11"/>
      </w:r>
      <w:r w:rsidR="004F5DAB" w:rsidRPr="00D40021">
        <w:rPr>
          <w:rFonts w:hAnsi="標楷體"/>
        </w:rPr>
        <w:t>。</w:t>
      </w:r>
      <w:r w:rsidR="004F5DAB" w:rsidRPr="00D40021">
        <w:rPr>
          <w:rFonts w:hAnsi="標楷體" w:hint="eastAsia"/>
        </w:rPr>
        <w:t>再</w:t>
      </w:r>
      <w:r w:rsidR="004F5DAB" w:rsidRPr="00D40021">
        <w:rPr>
          <w:rFonts w:hAnsi="標楷體"/>
        </w:rPr>
        <w:t>據國際會計準則理事會</w:t>
      </w:r>
      <w:r w:rsidR="00144B17" w:rsidRPr="00D40021">
        <w:rPr>
          <w:rFonts w:hAnsi="標楷體"/>
        </w:rPr>
        <w:t>（</w:t>
      </w:r>
      <w:r w:rsidR="004F5DAB" w:rsidRPr="00D40021">
        <w:rPr>
          <w:rFonts w:hAnsi="標楷體"/>
        </w:rPr>
        <w:t>International Accounting Standards Board, IASB）所發布「國際會計準則公報」</w:t>
      </w:r>
      <w:r w:rsidR="00144B17" w:rsidRPr="00D40021">
        <w:rPr>
          <w:rFonts w:hAnsi="標楷體"/>
        </w:rPr>
        <w:t>（</w:t>
      </w:r>
      <w:r w:rsidR="004F5DAB" w:rsidRPr="00D40021">
        <w:rPr>
          <w:rFonts w:hAnsi="標楷體"/>
        </w:rPr>
        <w:t>International Accounting Standards, IASs）第19號之規範，精算假設係企業用以決定提供退職後福利最終成本之各種變數之最佳估計；精算假設包括人口統計變</w:t>
      </w:r>
      <w:r w:rsidR="004F5DAB" w:rsidRPr="00D40021">
        <w:rPr>
          <w:rFonts w:hAnsi="標楷體"/>
        </w:rPr>
        <w:lastRenderedPageBreak/>
        <w:t>數</w:t>
      </w:r>
      <w:r w:rsidR="00144B17" w:rsidRPr="00D40021">
        <w:rPr>
          <w:rFonts w:hAnsi="標楷體"/>
        </w:rPr>
        <w:t>（</w:t>
      </w:r>
      <w:r w:rsidR="004F5DAB" w:rsidRPr="00D40021">
        <w:rPr>
          <w:rFonts w:hAnsi="標楷體"/>
        </w:rPr>
        <w:t>如死亡率、員工離職、傷殘及提前退休之比率等）及財務變數</w:t>
      </w:r>
      <w:r w:rsidR="00144B17" w:rsidRPr="00D40021">
        <w:rPr>
          <w:rFonts w:hAnsi="標楷體"/>
        </w:rPr>
        <w:t>（</w:t>
      </w:r>
      <w:r w:rsidR="004F5DAB" w:rsidRPr="00D40021">
        <w:rPr>
          <w:rFonts w:hAnsi="標楷體"/>
        </w:rPr>
        <w:t>如折現率、未來薪資之增加及政府福利之特定變動等），財務假設應依據報導期間結束日市場對清償義務期間之各項預期；企業應參考計畫成員於聘僱期間及聘僱期後之死亡率最佳估計以決定其死亡率假設；截至報導期間結束日如有任何重大交易或環境之其他重大變化</w:t>
      </w:r>
      <w:r w:rsidR="00144B17" w:rsidRPr="00D40021">
        <w:rPr>
          <w:rFonts w:hAnsi="標楷體"/>
        </w:rPr>
        <w:t>（</w:t>
      </w:r>
      <w:r w:rsidR="004F5DAB" w:rsidRPr="00D40021">
        <w:rPr>
          <w:rFonts w:hAnsi="標楷體"/>
        </w:rPr>
        <w:t>包括市場價格與利率之變化），該評價結果應予更新；於決定前期服務成本或清償損益前，企業應使用計畫資產之現時公允價值及現時精算假設</w:t>
      </w:r>
      <w:r w:rsidR="00144B17" w:rsidRPr="00D40021">
        <w:rPr>
          <w:rFonts w:hAnsi="標楷體"/>
        </w:rPr>
        <w:t>（</w:t>
      </w:r>
      <w:r w:rsidR="004F5DAB" w:rsidRPr="00D40021">
        <w:rPr>
          <w:rFonts w:hAnsi="標楷體"/>
        </w:rPr>
        <w:t>包括現時市場利率及其他現時市場價格）再衡量淨確定福利負債</w:t>
      </w:r>
      <w:r w:rsidR="00144B17" w:rsidRPr="00D40021">
        <w:rPr>
          <w:rFonts w:hAnsi="標楷體"/>
        </w:rPr>
        <w:t>（</w:t>
      </w:r>
      <w:r w:rsidR="004F5DAB" w:rsidRPr="00D40021">
        <w:rPr>
          <w:rFonts w:hAnsi="標楷體"/>
        </w:rPr>
        <w:t>資產），以反映於計畫修正、縮減或清償前計畫所提供之福利</w:t>
      </w:r>
      <w:r w:rsidR="004F5DAB" w:rsidRPr="00D40021">
        <w:rPr>
          <w:rStyle w:val="aff3"/>
          <w:rFonts w:hAnsi="標楷體"/>
        </w:rPr>
        <w:footnoteReference w:id="12"/>
      </w:r>
      <w:r w:rsidR="004F5DAB" w:rsidRPr="00D40021">
        <w:rPr>
          <w:rFonts w:hAnsi="標楷體"/>
        </w:rPr>
        <w:t>。</w:t>
      </w:r>
      <w:proofErr w:type="gramStart"/>
      <w:r w:rsidR="004F5DAB" w:rsidRPr="00D40021">
        <w:rPr>
          <w:rFonts w:hAnsi="標楷體"/>
        </w:rPr>
        <w:t>復按中華民國</w:t>
      </w:r>
      <w:proofErr w:type="gramEnd"/>
      <w:r w:rsidR="004F5DAB" w:rsidRPr="00D40021">
        <w:rPr>
          <w:rFonts w:hAnsi="標楷體"/>
        </w:rPr>
        <w:t>精算學會商品精算實務處理準則研究委員會所訂定「保險金分期給付、保險金年金給付精算實務處理準則」之規範，精算假設之設定宜有相關之精算理論或實際經驗資料為依據，各項精算假設之設定應避免缺乏理論基礎或缺乏實際經驗為依據，引用之經驗資料，應採用最近3至5年之經驗統計資料</w:t>
      </w:r>
      <w:r w:rsidR="004F5DAB" w:rsidRPr="00D40021">
        <w:rPr>
          <w:rStyle w:val="aff3"/>
          <w:rFonts w:hAnsi="標楷體"/>
        </w:rPr>
        <w:footnoteReference w:id="13"/>
      </w:r>
      <w:r w:rsidR="004F5DAB" w:rsidRPr="00D40021">
        <w:rPr>
          <w:rFonts w:hAnsi="標楷體"/>
        </w:rPr>
        <w:t>。據此，為使人口統計變數</w:t>
      </w:r>
      <w:r w:rsidR="00144B17" w:rsidRPr="00D40021">
        <w:rPr>
          <w:rFonts w:hAnsi="標楷體"/>
        </w:rPr>
        <w:t>（</w:t>
      </w:r>
      <w:r w:rsidR="004F5DAB" w:rsidRPr="00D40021">
        <w:rPr>
          <w:rFonts w:hAnsi="標楷體"/>
        </w:rPr>
        <w:t>如死亡率、退休率、離職率、資遣率等）及財務變數</w:t>
      </w:r>
      <w:r w:rsidR="00144B17" w:rsidRPr="00D40021">
        <w:rPr>
          <w:rFonts w:hAnsi="標楷體"/>
        </w:rPr>
        <w:t>（</w:t>
      </w:r>
      <w:r w:rsidR="004F5DAB" w:rsidRPr="00D40021">
        <w:rPr>
          <w:rFonts w:hAnsi="標楷體"/>
        </w:rPr>
        <w:t>如折現率等）之精算假設能夠適切允當表達精算結果，必須納入過去可信賴之實際經驗資料</w:t>
      </w:r>
      <w:r w:rsidR="004F5DAB" w:rsidRPr="00D40021">
        <w:rPr>
          <w:rFonts w:hAnsi="標楷體"/>
          <w:szCs w:val="20"/>
        </w:rPr>
        <w:t>。</w:t>
      </w:r>
      <w:proofErr w:type="gramStart"/>
      <w:r w:rsidR="004F5DAB" w:rsidRPr="00D40021">
        <w:rPr>
          <w:rFonts w:hAnsi="標楷體" w:hint="eastAsia"/>
          <w:szCs w:val="20"/>
        </w:rPr>
        <w:t>惟查</w:t>
      </w:r>
      <w:proofErr w:type="gramEnd"/>
      <w:r w:rsidR="004F5DAB" w:rsidRPr="00D40021">
        <w:rPr>
          <w:rFonts w:hAnsi="標楷體" w:hint="eastAsia"/>
          <w:szCs w:val="20"/>
        </w:rPr>
        <w:t>，</w:t>
      </w:r>
      <w:r w:rsidR="0037336F" w:rsidRPr="00D40021">
        <w:rPr>
          <w:rFonts w:hAnsi="標楷體" w:cs="標楷體" w:hint="eastAsia"/>
          <w:szCs w:val="32"/>
        </w:rPr>
        <w:t>前開</w:t>
      </w:r>
      <w:r w:rsidR="00CE4687" w:rsidRPr="00D40021">
        <w:rPr>
          <w:rFonts w:hAnsi="標楷體" w:hint="eastAsia"/>
        </w:rPr>
        <w:t>「軍職人員年金改革財務影響評估報告」</w:t>
      </w:r>
      <w:r w:rsidR="00357011" w:rsidRPr="00D40021">
        <w:rPr>
          <w:rFonts w:hAnsi="標楷體" w:hint="eastAsia"/>
        </w:rPr>
        <w:t>有關</w:t>
      </w:r>
      <w:r w:rsidR="0037336F" w:rsidRPr="00D40021">
        <w:rPr>
          <w:rFonts w:hAnsi="標楷體" w:hint="eastAsia"/>
        </w:rPr>
        <w:t>財務分析假設之估算，</w:t>
      </w:r>
      <w:r w:rsidR="00F37D06" w:rsidRPr="00D40021">
        <w:rPr>
          <w:rFonts w:hAnsi="標楷體" w:hint="eastAsia"/>
        </w:rPr>
        <w:t>如</w:t>
      </w:r>
      <w:r w:rsidR="002A1B4A" w:rsidRPr="00D40021">
        <w:rPr>
          <w:rFonts w:hAnsi="標楷體" w:hint="eastAsia"/>
        </w:rPr>
        <w:t>中</w:t>
      </w:r>
      <w:r w:rsidR="00357011" w:rsidRPr="00D40021">
        <w:rPr>
          <w:rFonts w:hAnsi="標楷體" w:hint="eastAsia"/>
        </w:rPr>
        <w:t>央應負擔優惠</w:t>
      </w:r>
      <w:proofErr w:type="gramStart"/>
      <w:r w:rsidR="00357011" w:rsidRPr="00D40021">
        <w:rPr>
          <w:rFonts w:hAnsi="標楷體" w:hint="eastAsia"/>
        </w:rPr>
        <w:t>存款差息補助</w:t>
      </w:r>
      <w:proofErr w:type="gramEnd"/>
      <w:r w:rsidR="00357011" w:rsidRPr="00D40021">
        <w:rPr>
          <w:rFonts w:hAnsi="標楷體" w:hint="eastAsia"/>
        </w:rPr>
        <w:t>之利率、在職且具新制現役軍職人員之退伍時點及相關經費等，</w:t>
      </w:r>
      <w:r w:rsidR="00CE4687" w:rsidRPr="00D40021">
        <w:rPr>
          <w:rFonts w:hAnsi="標楷體"/>
        </w:rPr>
        <w:t>係</w:t>
      </w:r>
      <w:r w:rsidR="00357011" w:rsidRPr="00D40021">
        <w:rPr>
          <w:rFonts w:hAnsi="標楷體"/>
        </w:rPr>
        <w:t>以精算基準日10</w:t>
      </w:r>
      <w:r w:rsidR="00357011" w:rsidRPr="00D40021">
        <w:rPr>
          <w:rFonts w:hAnsi="標楷體" w:hint="eastAsia"/>
        </w:rPr>
        <w:t>5</w:t>
      </w:r>
      <w:r w:rsidR="00357011" w:rsidRPr="00D40021">
        <w:rPr>
          <w:rFonts w:hAnsi="標楷體"/>
        </w:rPr>
        <w:lastRenderedPageBreak/>
        <w:t>年12月31日</w:t>
      </w:r>
      <w:r w:rsidR="00357011" w:rsidRPr="00D40021">
        <w:rPr>
          <w:rFonts w:hAnsi="標楷體" w:hint="eastAsia"/>
        </w:rPr>
        <w:t>進行推估</w:t>
      </w:r>
      <w:r w:rsidR="002A1B4A" w:rsidRPr="00D40021">
        <w:rPr>
          <w:rFonts w:hAnsi="標楷體" w:hint="eastAsia"/>
        </w:rPr>
        <w:t>；</w:t>
      </w:r>
      <w:r w:rsidR="00357011" w:rsidRPr="00D40021">
        <w:rPr>
          <w:rFonts w:hAnsi="標楷體" w:hint="eastAsia"/>
        </w:rPr>
        <w:t>然而，</w:t>
      </w:r>
      <w:r w:rsidR="00357011" w:rsidRPr="00D40021">
        <w:rPr>
          <w:rFonts w:hAnsi="標楷體" w:hint="eastAsia"/>
          <w:szCs w:val="32"/>
        </w:rPr>
        <w:t>折現率</w:t>
      </w:r>
      <w:r w:rsidR="0037336F" w:rsidRPr="00D40021">
        <w:rPr>
          <w:rStyle w:val="aff3"/>
          <w:rFonts w:hAnsi="標楷體"/>
        </w:rPr>
        <w:footnoteReference w:id="14"/>
      </w:r>
      <w:r w:rsidR="00357011" w:rsidRPr="00D40021">
        <w:rPr>
          <w:rFonts w:hAnsi="標楷體" w:hint="eastAsia"/>
          <w:szCs w:val="32"/>
        </w:rPr>
        <w:t>卻以104年12月31日為評價日，將</w:t>
      </w:r>
      <w:proofErr w:type="gramStart"/>
      <w:r w:rsidR="00357011" w:rsidRPr="00D40021">
        <w:rPr>
          <w:rFonts w:hAnsi="標楷體" w:hint="eastAsia"/>
          <w:szCs w:val="32"/>
        </w:rPr>
        <w:t>104</w:t>
      </w:r>
      <w:proofErr w:type="gramEnd"/>
      <w:r w:rsidR="00357011" w:rsidRPr="00D40021">
        <w:rPr>
          <w:rFonts w:hAnsi="標楷體" w:hint="eastAsia"/>
          <w:szCs w:val="32"/>
        </w:rPr>
        <w:t>年度20年期以上平均政府公債</w:t>
      </w:r>
      <w:proofErr w:type="gramStart"/>
      <w:r w:rsidR="00357011" w:rsidRPr="00D40021">
        <w:rPr>
          <w:rFonts w:hAnsi="標楷體" w:hint="eastAsia"/>
          <w:szCs w:val="32"/>
        </w:rPr>
        <w:t>殖</w:t>
      </w:r>
      <w:proofErr w:type="gramEnd"/>
      <w:r w:rsidR="00357011" w:rsidRPr="00D40021">
        <w:rPr>
          <w:rFonts w:hAnsi="標楷體" w:hint="eastAsia"/>
          <w:szCs w:val="32"/>
        </w:rPr>
        <w:t>利率1.64％作為折現率基礎參數</w:t>
      </w:r>
      <w:r w:rsidR="00357011" w:rsidRPr="00D40021">
        <w:rPr>
          <w:rStyle w:val="aff3"/>
          <w:rFonts w:hAnsi="標楷體"/>
          <w:szCs w:val="32"/>
        </w:rPr>
        <w:footnoteReference w:id="15"/>
      </w:r>
      <w:r w:rsidR="002A1B4A" w:rsidRPr="00D40021">
        <w:rPr>
          <w:rFonts w:hAnsi="標楷體" w:hint="eastAsia"/>
          <w:szCs w:val="32"/>
        </w:rPr>
        <w:t>，</w:t>
      </w:r>
      <w:r w:rsidR="00374F34" w:rsidRPr="00D40021">
        <w:rPr>
          <w:rFonts w:hAnsi="標楷體" w:hint="eastAsia"/>
          <w:szCs w:val="32"/>
        </w:rPr>
        <w:t>並非以</w:t>
      </w:r>
      <w:r w:rsidR="00CF6A9D" w:rsidRPr="00D40021">
        <w:rPr>
          <w:rFonts w:hAnsi="標楷體"/>
        </w:rPr>
        <w:t>精算基準日</w:t>
      </w:r>
      <w:r w:rsidR="00374F34" w:rsidRPr="00D40021">
        <w:rPr>
          <w:rFonts w:hAnsi="標楷體" w:hint="eastAsia"/>
          <w:szCs w:val="32"/>
        </w:rPr>
        <w:t>105年12月31日為</w:t>
      </w:r>
      <w:r w:rsidR="00F37D06" w:rsidRPr="00D40021">
        <w:rPr>
          <w:rFonts w:hAnsi="標楷體" w:hint="eastAsia"/>
          <w:szCs w:val="32"/>
        </w:rPr>
        <w:t>衡量</w:t>
      </w:r>
      <w:r w:rsidR="00374F34" w:rsidRPr="00D40021">
        <w:rPr>
          <w:rFonts w:hAnsi="標楷體" w:hint="eastAsia"/>
          <w:szCs w:val="32"/>
        </w:rPr>
        <w:t>日</w:t>
      </w:r>
      <w:r w:rsidR="004F5DAB" w:rsidRPr="00D40021">
        <w:rPr>
          <w:rFonts w:hAnsi="標楷體"/>
        </w:rPr>
        <w:t>，</w:t>
      </w:r>
      <w:r w:rsidR="004F5DAB" w:rsidRPr="00D40021">
        <w:rPr>
          <w:rFonts w:hAnsi="標楷體" w:hint="eastAsia"/>
        </w:rPr>
        <w:t>國防部</w:t>
      </w:r>
      <w:r w:rsidR="004F5DAB" w:rsidRPr="00D40021">
        <w:rPr>
          <w:rFonts w:hAnsi="標楷體"/>
        </w:rPr>
        <w:t>審查</w:t>
      </w:r>
      <w:r w:rsidR="004F5DAB" w:rsidRPr="00D40021">
        <w:rPr>
          <w:rFonts w:hAnsi="標楷體" w:hint="eastAsia"/>
        </w:rPr>
        <w:t>前開</w:t>
      </w:r>
      <w:r w:rsidR="004F5DAB" w:rsidRPr="00D40021">
        <w:rPr>
          <w:rFonts w:hAnsi="標楷體"/>
        </w:rPr>
        <w:t>報告之</w:t>
      </w:r>
      <w:proofErr w:type="gramStart"/>
      <w:r w:rsidR="004F5DAB" w:rsidRPr="00D40021">
        <w:rPr>
          <w:rFonts w:hAnsi="標楷體"/>
        </w:rPr>
        <w:t>過程</w:t>
      </w:r>
      <w:r w:rsidR="00ED0669" w:rsidRPr="00D40021">
        <w:rPr>
          <w:rFonts w:hAnsi="標楷體" w:hint="eastAsia"/>
          <w:szCs w:val="20"/>
        </w:rPr>
        <w:t>顯</w:t>
      </w:r>
      <w:r w:rsidR="004F5DAB" w:rsidRPr="00D40021">
        <w:rPr>
          <w:rFonts w:hAnsi="標楷體"/>
          <w:szCs w:val="20"/>
        </w:rPr>
        <w:t>欠</w:t>
      </w:r>
      <w:r w:rsidR="004F5DAB" w:rsidRPr="00D40021">
        <w:rPr>
          <w:rFonts w:hAnsi="標楷體"/>
        </w:rPr>
        <w:t>周詳</w:t>
      </w:r>
      <w:proofErr w:type="gramEnd"/>
      <w:r w:rsidR="000F0714" w:rsidRPr="00D40021">
        <w:rPr>
          <w:rFonts w:hAnsi="標楷體"/>
        </w:rPr>
        <w:t>，確屬未</w:t>
      </w:r>
      <w:r w:rsidR="000F0714" w:rsidRPr="00D40021">
        <w:rPr>
          <w:rFonts w:hAnsi="標楷體"/>
          <w:szCs w:val="32"/>
        </w:rPr>
        <w:t>妥</w:t>
      </w:r>
      <w:r w:rsidR="00357011" w:rsidRPr="00D40021">
        <w:rPr>
          <w:rFonts w:hAnsi="標楷體" w:hint="eastAsia"/>
          <w:szCs w:val="32"/>
        </w:rPr>
        <w:t>。</w:t>
      </w:r>
    </w:p>
    <w:p w:rsidR="006C0DE1" w:rsidRPr="00D40021" w:rsidRDefault="00F161D4" w:rsidP="00CD5075">
      <w:pPr>
        <w:pStyle w:val="3"/>
        <w:spacing w:line="460" w:lineRule="exact"/>
        <w:rPr>
          <w:rFonts w:hAnsi="標楷體"/>
        </w:rPr>
      </w:pPr>
      <w:r w:rsidRPr="00D40021">
        <w:rPr>
          <w:rFonts w:hAnsi="標楷體"/>
          <w:szCs w:val="20"/>
        </w:rPr>
        <w:t>綜上，</w:t>
      </w:r>
      <w:r w:rsidR="00ED0669" w:rsidRPr="00D40021">
        <w:rPr>
          <w:rFonts w:hAnsi="標楷體" w:hint="eastAsia"/>
          <w:szCs w:val="20"/>
        </w:rPr>
        <w:t>國防部於107年4月委託國防大學編製之「軍職人員年金改革財務影響評估報告」，明顯高估年金改革之財務效益，</w:t>
      </w:r>
      <w:proofErr w:type="gramStart"/>
      <w:r w:rsidR="005028A6" w:rsidRPr="00D40021">
        <w:rPr>
          <w:rFonts w:hAnsi="標楷體" w:hint="eastAsia"/>
          <w:szCs w:val="20"/>
        </w:rPr>
        <w:t>該部未再次</w:t>
      </w:r>
      <w:proofErr w:type="gramEnd"/>
      <w:r w:rsidR="005028A6" w:rsidRPr="00D40021">
        <w:rPr>
          <w:rFonts w:hAnsi="標楷體" w:hint="eastAsia"/>
          <w:szCs w:val="20"/>
        </w:rPr>
        <w:t>確認其正確性，</w:t>
      </w:r>
      <w:r w:rsidR="00ED0669" w:rsidRPr="00D40021">
        <w:rPr>
          <w:rFonts w:hAnsi="標楷體" w:hint="eastAsia"/>
          <w:szCs w:val="20"/>
        </w:rPr>
        <w:t>確</w:t>
      </w:r>
      <w:r w:rsidR="00ED0669" w:rsidRPr="00D40021">
        <w:rPr>
          <w:rFonts w:hAnsi="標楷體"/>
          <w:szCs w:val="20"/>
        </w:rPr>
        <w:t>有</w:t>
      </w:r>
      <w:proofErr w:type="gramStart"/>
      <w:r w:rsidR="00ED0669" w:rsidRPr="00D40021">
        <w:rPr>
          <w:rFonts w:hAnsi="標楷體" w:hint="eastAsia"/>
          <w:szCs w:val="20"/>
        </w:rPr>
        <w:t>怠</w:t>
      </w:r>
      <w:proofErr w:type="gramEnd"/>
      <w:r w:rsidR="00ED0669" w:rsidRPr="00D40021">
        <w:rPr>
          <w:rFonts w:hAnsi="標楷體"/>
          <w:szCs w:val="20"/>
        </w:rPr>
        <w:t>失；</w:t>
      </w:r>
      <w:proofErr w:type="gramStart"/>
      <w:r w:rsidR="00ED0669" w:rsidRPr="00D40021">
        <w:rPr>
          <w:rFonts w:hAnsi="標楷體"/>
          <w:szCs w:val="20"/>
        </w:rPr>
        <w:t>此外，</w:t>
      </w:r>
      <w:proofErr w:type="gramEnd"/>
      <w:r w:rsidR="00ED0669" w:rsidRPr="00D40021">
        <w:rPr>
          <w:rFonts w:hAnsi="標楷體"/>
          <w:szCs w:val="20"/>
        </w:rPr>
        <w:t>上開報告</w:t>
      </w:r>
      <w:r w:rsidR="00ED0669" w:rsidRPr="00D40021">
        <w:rPr>
          <w:rFonts w:hAnsi="標楷體" w:hint="eastAsia"/>
          <w:szCs w:val="20"/>
        </w:rPr>
        <w:t>有</w:t>
      </w:r>
      <w:r w:rsidR="00ED0669" w:rsidRPr="00D40021">
        <w:rPr>
          <w:rFonts w:hAnsi="標楷體" w:hint="eastAsia"/>
        </w:rPr>
        <w:t>關財務分析假設之估算，如中央應負擔優惠</w:t>
      </w:r>
      <w:proofErr w:type="gramStart"/>
      <w:r w:rsidR="00ED0669" w:rsidRPr="00D40021">
        <w:rPr>
          <w:rFonts w:hAnsi="標楷體" w:hint="eastAsia"/>
        </w:rPr>
        <w:t>存款差息補助</w:t>
      </w:r>
      <w:proofErr w:type="gramEnd"/>
      <w:r w:rsidR="00ED0669" w:rsidRPr="00D40021">
        <w:rPr>
          <w:rFonts w:hAnsi="標楷體" w:hint="eastAsia"/>
        </w:rPr>
        <w:t>之利率、在職且具新制現役軍職人員之退伍時點及相關經費等，</w:t>
      </w:r>
      <w:r w:rsidR="00CF6A9D" w:rsidRPr="00D40021">
        <w:rPr>
          <w:rFonts w:hAnsi="標楷體"/>
        </w:rPr>
        <w:t>係以精算基準日</w:t>
      </w:r>
      <w:r w:rsidR="00CF6A9D" w:rsidRPr="00D40021">
        <w:rPr>
          <w:rFonts w:hAnsi="標楷體" w:hint="eastAsia"/>
        </w:rPr>
        <w:t>進行推估</w:t>
      </w:r>
      <w:r w:rsidR="00CF6A9D" w:rsidRPr="00D40021">
        <w:rPr>
          <w:rFonts w:hAnsi="標楷體"/>
        </w:rPr>
        <w:t>，</w:t>
      </w:r>
      <w:r w:rsidR="00CF6A9D" w:rsidRPr="00D40021">
        <w:rPr>
          <w:rFonts w:hAnsi="標楷體" w:hint="eastAsia"/>
        </w:rPr>
        <w:t>然而，折現率卻未以</w:t>
      </w:r>
      <w:r w:rsidR="00CF6A9D" w:rsidRPr="00D40021">
        <w:rPr>
          <w:rFonts w:hAnsi="標楷體"/>
        </w:rPr>
        <w:t>精算基準日</w:t>
      </w:r>
      <w:r w:rsidR="00CF6A9D" w:rsidRPr="00D40021">
        <w:rPr>
          <w:rFonts w:hAnsi="標楷體" w:hint="eastAsia"/>
        </w:rPr>
        <w:t>為評價日</w:t>
      </w:r>
      <w:r w:rsidR="00ED0669" w:rsidRPr="00D40021">
        <w:rPr>
          <w:rFonts w:hAnsi="標楷體"/>
        </w:rPr>
        <w:t>，</w:t>
      </w:r>
      <w:r w:rsidR="00ED0669" w:rsidRPr="00D40021">
        <w:rPr>
          <w:rFonts w:hAnsi="標楷體" w:hint="eastAsia"/>
        </w:rPr>
        <w:t>國防部</w:t>
      </w:r>
      <w:r w:rsidR="00ED0669" w:rsidRPr="00D40021">
        <w:rPr>
          <w:rFonts w:hAnsi="標楷體"/>
        </w:rPr>
        <w:t>審查</w:t>
      </w:r>
      <w:r w:rsidR="00ED0669" w:rsidRPr="00D40021">
        <w:rPr>
          <w:rFonts w:hAnsi="標楷體" w:hint="eastAsia"/>
        </w:rPr>
        <w:t>前開</w:t>
      </w:r>
      <w:r w:rsidR="00ED0669" w:rsidRPr="00D40021">
        <w:rPr>
          <w:rFonts w:hAnsi="標楷體"/>
        </w:rPr>
        <w:t>報告之</w:t>
      </w:r>
      <w:proofErr w:type="gramStart"/>
      <w:r w:rsidR="00ED0669" w:rsidRPr="00D40021">
        <w:rPr>
          <w:rFonts w:hAnsi="標楷體"/>
        </w:rPr>
        <w:t>過程</w:t>
      </w:r>
      <w:r w:rsidR="00ED0669" w:rsidRPr="00D40021">
        <w:rPr>
          <w:rFonts w:hAnsi="標楷體" w:hint="eastAsia"/>
        </w:rPr>
        <w:t>顯</w:t>
      </w:r>
      <w:r w:rsidR="00ED0669" w:rsidRPr="00D40021">
        <w:rPr>
          <w:rFonts w:hAnsi="標楷體"/>
        </w:rPr>
        <w:t>欠周詳</w:t>
      </w:r>
      <w:proofErr w:type="gramEnd"/>
      <w:r w:rsidR="00ED0669" w:rsidRPr="00D40021">
        <w:rPr>
          <w:rFonts w:hAnsi="標楷體"/>
        </w:rPr>
        <w:t>，確屬未妥</w:t>
      </w:r>
      <w:r w:rsidR="006C0DE1" w:rsidRPr="00D40021">
        <w:rPr>
          <w:rFonts w:hAnsi="標楷體"/>
          <w:szCs w:val="20"/>
        </w:rPr>
        <w:t>。</w:t>
      </w:r>
    </w:p>
    <w:p w:rsidR="00E606B3" w:rsidRPr="00D40021" w:rsidRDefault="00E606B3" w:rsidP="00E606B3">
      <w:pPr>
        <w:pStyle w:val="3"/>
        <w:numPr>
          <w:ilvl w:val="0"/>
          <w:numId w:val="0"/>
        </w:numPr>
        <w:spacing w:line="460" w:lineRule="exact"/>
        <w:ind w:left="1361"/>
        <w:rPr>
          <w:rFonts w:hAnsi="標楷體"/>
        </w:rPr>
      </w:pPr>
    </w:p>
    <w:p w:rsidR="00F161D4" w:rsidRPr="00D40021" w:rsidRDefault="00355795" w:rsidP="008F2314">
      <w:pPr>
        <w:pStyle w:val="2"/>
        <w:rPr>
          <w:rFonts w:hAnsi="標楷體"/>
          <w:b/>
        </w:rPr>
      </w:pPr>
      <w:r w:rsidRPr="00D40021">
        <w:rPr>
          <w:rFonts w:hAnsi="標楷體" w:hint="eastAsia"/>
          <w:b/>
          <w:szCs w:val="32"/>
        </w:rPr>
        <w:t>服役條例</w:t>
      </w:r>
      <w:r w:rsidR="00F161D4" w:rsidRPr="00D40021">
        <w:rPr>
          <w:rFonts w:hAnsi="標楷體"/>
          <w:b/>
        </w:rPr>
        <w:t>主要利害關係人</w:t>
      </w:r>
      <w:r w:rsidR="00F161D4" w:rsidRPr="00D40021">
        <w:rPr>
          <w:rFonts w:hAnsi="標楷體"/>
          <w:b/>
          <w:lang w:eastAsia="zh-HK"/>
        </w:rPr>
        <w:t>未</w:t>
      </w:r>
      <w:r w:rsidR="00F161D4" w:rsidRPr="00D40021">
        <w:rPr>
          <w:rFonts w:hAnsi="標楷體" w:hint="eastAsia"/>
          <w:b/>
        </w:rPr>
        <w:t>能</w:t>
      </w:r>
      <w:r w:rsidR="00F161D4" w:rsidRPr="00D40021">
        <w:rPr>
          <w:rFonts w:hAnsi="標楷體"/>
          <w:b/>
          <w:lang w:eastAsia="zh-HK"/>
        </w:rPr>
        <w:t>明瞭本次年金改革對其具體之影響情形</w:t>
      </w:r>
      <w:r w:rsidR="00F161D4" w:rsidRPr="00D40021">
        <w:rPr>
          <w:rFonts w:hAnsi="標楷體"/>
          <w:b/>
        </w:rPr>
        <w:t>，法制作業</w:t>
      </w:r>
      <w:r w:rsidR="00F161D4" w:rsidRPr="00D40021">
        <w:rPr>
          <w:rFonts w:hAnsi="標楷體"/>
          <w:b/>
          <w:lang w:eastAsia="zh-HK"/>
        </w:rPr>
        <w:t>程序</w:t>
      </w:r>
      <w:r w:rsidR="00F161D4" w:rsidRPr="00D40021">
        <w:rPr>
          <w:rFonts w:hAnsi="標楷體"/>
          <w:b/>
        </w:rPr>
        <w:t>未盡</w:t>
      </w:r>
      <w:r w:rsidR="00F161D4" w:rsidRPr="00D40021">
        <w:rPr>
          <w:rFonts w:hAnsi="標楷體"/>
          <w:b/>
          <w:lang w:eastAsia="zh-HK"/>
        </w:rPr>
        <w:t>完備</w:t>
      </w:r>
      <w:r w:rsidR="00F161D4" w:rsidRPr="00D40021">
        <w:rPr>
          <w:rFonts w:hAnsi="標楷體"/>
          <w:b/>
        </w:rPr>
        <w:t>，徒具公眾參與諮詢之形</w:t>
      </w:r>
      <w:r w:rsidR="00F161D4" w:rsidRPr="00D40021">
        <w:rPr>
          <w:rFonts w:hAnsi="標楷體"/>
          <w:b/>
          <w:lang w:eastAsia="zh-HK"/>
        </w:rPr>
        <w:t>式，</w:t>
      </w:r>
      <w:proofErr w:type="gramStart"/>
      <w:r w:rsidR="00F161D4" w:rsidRPr="00D40021">
        <w:rPr>
          <w:rFonts w:hAnsi="標楷體"/>
          <w:b/>
          <w:lang w:eastAsia="zh-HK"/>
        </w:rPr>
        <w:t>然未落實</w:t>
      </w:r>
      <w:proofErr w:type="gramEnd"/>
      <w:r w:rsidR="00F161D4" w:rsidRPr="00D40021">
        <w:rPr>
          <w:rFonts w:hAnsi="標楷體"/>
          <w:b/>
          <w:lang w:eastAsia="zh-HK"/>
        </w:rPr>
        <w:t>專業合理之</w:t>
      </w:r>
      <w:proofErr w:type="gramStart"/>
      <w:r w:rsidR="00F161D4" w:rsidRPr="00D40021">
        <w:rPr>
          <w:rFonts w:hAnsi="標楷體"/>
          <w:b/>
          <w:lang w:eastAsia="zh-HK"/>
        </w:rPr>
        <w:t>思辯</w:t>
      </w:r>
      <w:proofErr w:type="gramEnd"/>
      <w:r w:rsidR="00F161D4" w:rsidRPr="00D40021">
        <w:rPr>
          <w:rFonts w:hAnsi="標楷體"/>
          <w:b/>
          <w:lang w:eastAsia="zh-HK"/>
        </w:rPr>
        <w:t>論證、利弊分析及溝通調整的諮商程序</w:t>
      </w:r>
      <w:r w:rsidR="00F161D4" w:rsidRPr="00D40021">
        <w:rPr>
          <w:rFonts w:hAnsi="標楷體"/>
          <w:b/>
        </w:rPr>
        <w:t>，</w:t>
      </w:r>
      <w:r w:rsidRPr="00D40021">
        <w:rPr>
          <w:rFonts w:hAnsi="標楷體" w:hint="eastAsia"/>
          <w:b/>
        </w:rPr>
        <w:t>國防</w:t>
      </w:r>
      <w:r w:rsidR="00F161D4" w:rsidRPr="00D40021">
        <w:rPr>
          <w:rFonts w:hAnsi="標楷體"/>
          <w:b/>
          <w:lang w:eastAsia="zh-HK"/>
        </w:rPr>
        <w:t>部難辭其咎</w:t>
      </w:r>
      <w:r w:rsidR="00F161D4" w:rsidRPr="00D40021">
        <w:rPr>
          <w:rFonts w:hAnsi="標楷體"/>
          <w:b/>
        </w:rPr>
        <w:t>。</w:t>
      </w:r>
    </w:p>
    <w:p w:rsidR="00F161D4" w:rsidRPr="00D40021" w:rsidRDefault="00F161D4" w:rsidP="00CD5075">
      <w:pPr>
        <w:pStyle w:val="3"/>
        <w:spacing w:line="460" w:lineRule="exact"/>
        <w:rPr>
          <w:rFonts w:hAnsi="標楷體"/>
        </w:rPr>
      </w:pPr>
      <w:r w:rsidRPr="00D40021">
        <w:rPr>
          <w:rFonts w:hAnsi="標楷體"/>
        </w:rPr>
        <w:t>查法規政策影響評估</w:t>
      </w:r>
      <w:r w:rsidR="00144B17" w:rsidRPr="00D40021">
        <w:rPr>
          <w:rFonts w:hAnsi="標楷體"/>
        </w:rPr>
        <w:t>（</w:t>
      </w:r>
      <w:r w:rsidRPr="00D40021">
        <w:rPr>
          <w:rFonts w:hAnsi="標楷體"/>
        </w:rPr>
        <w:t>Regulatory Impact Analysis，下稱RIA）係政府機關為達成特定政策或計畫之預計目標，選擇有效因應對策作法</w:t>
      </w:r>
      <w:r w:rsidR="00144B17" w:rsidRPr="00D40021">
        <w:rPr>
          <w:rFonts w:hAnsi="標楷體"/>
        </w:rPr>
        <w:t>（</w:t>
      </w:r>
      <w:r w:rsidRPr="00D40021">
        <w:rPr>
          <w:rFonts w:hAnsi="標楷體"/>
        </w:rPr>
        <w:t>政策工具）之事前預評估方法，其作法乃對於各種對策方案，均經由系統性之證據發現與分析過程，提供可</w:t>
      </w:r>
      <w:r w:rsidRPr="00D40021">
        <w:rPr>
          <w:rFonts w:hAnsi="標楷體"/>
        </w:rPr>
        <w:lastRenderedPageBreak/>
        <w:t>能產生之效益</w:t>
      </w:r>
      <w:r w:rsidR="00144B17" w:rsidRPr="00D40021">
        <w:rPr>
          <w:rFonts w:hAnsi="標楷體"/>
        </w:rPr>
        <w:t>（</w:t>
      </w:r>
      <w:r w:rsidRPr="00D40021">
        <w:rPr>
          <w:rFonts w:hAnsi="標楷體"/>
        </w:rPr>
        <w:t>能）、具體效果與成本等影響證據資訊，並與受影響主要利害關係者就預評估資訊進行有意義之諮商程序後，做成選定最後方案之決定</w:t>
      </w:r>
      <w:r w:rsidRPr="00D40021">
        <w:rPr>
          <w:rStyle w:val="aff3"/>
          <w:rFonts w:hAnsi="標楷體"/>
        </w:rPr>
        <w:footnoteReference w:id="16"/>
      </w:r>
      <w:r w:rsidRPr="00D40021">
        <w:rPr>
          <w:rFonts w:hAnsi="標楷體"/>
        </w:rPr>
        <w:t>。要言之，RIA係透過「決策過程的透明與參與、多元方案之擬定，以及方案間之比較分析」等步驟，使行政機關確保法規制定品質，並提高民眾的遵循意願，使政府決策符合社會期待。而我國為增進法規政策制定與決策過程之透明度，以及強化法規之合理性與正當性</w:t>
      </w:r>
      <w:r w:rsidRPr="00D40021">
        <w:rPr>
          <w:rFonts w:hAnsi="標楷體"/>
          <w:vertAlign w:val="superscript"/>
        </w:rPr>
        <w:footnoteReference w:id="17"/>
      </w:r>
      <w:r w:rsidRPr="00D40021">
        <w:rPr>
          <w:rFonts w:hAnsi="標楷體"/>
        </w:rPr>
        <w:t>，</w:t>
      </w:r>
      <w:r w:rsidRPr="00D40021">
        <w:rPr>
          <w:rFonts w:hAnsi="標楷體" w:hint="eastAsia"/>
        </w:rPr>
        <w:t>已</w:t>
      </w:r>
      <w:r w:rsidRPr="00D40021">
        <w:rPr>
          <w:rFonts w:hAnsi="標楷體"/>
        </w:rPr>
        <w:t>於93年將RIA制度導入行政機關制</w:t>
      </w:r>
      <w:r w:rsidR="00144B17" w:rsidRPr="00D40021">
        <w:rPr>
          <w:rFonts w:hAnsi="標楷體"/>
        </w:rPr>
        <w:t>（</w:t>
      </w:r>
      <w:r w:rsidRPr="00D40021">
        <w:rPr>
          <w:rFonts w:hAnsi="標楷體"/>
        </w:rPr>
        <w:t>訂）定、修正法律與法規命令之法制作業程序中，行政院並於103年1月15日政務會談決議，請國家發展委員會</w:t>
      </w:r>
      <w:r w:rsidR="00144B17" w:rsidRPr="00D40021">
        <w:rPr>
          <w:rFonts w:hAnsi="標楷體"/>
        </w:rPr>
        <w:t>（</w:t>
      </w:r>
      <w:r w:rsidRPr="00D40021">
        <w:rPr>
          <w:rFonts w:hAnsi="標楷體"/>
        </w:rPr>
        <w:t>下稱國發會）協助各部會強化辦理RIA作業，</w:t>
      </w:r>
      <w:proofErr w:type="gramStart"/>
      <w:r w:rsidRPr="00D40021">
        <w:rPr>
          <w:rFonts w:hAnsi="標楷體"/>
        </w:rPr>
        <w:t>合先敘</w:t>
      </w:r>
      <w:proofErr w:type="gramEnd"/>
      <w:r w:rsidRPr="00D40021">
        <w:rPr>
          <w:rFonts w:hAnsi="標楷體"/>
        </w:rPr>
        <w:t>明。</w:t>
      </w:r>
    </w:p>
    <w:p w:rsidR="00F161D4" w:rsidRPr="00D40021" w:rsidRDefault="00F161D4" w:rsidP="00CD5075">
      <w:pPr>
        <w:pStyle w:val="3"/>
        <w:spacing w:line="460" w:lineRule="exact"/>
        <w:rPr>
          <w:rFonts w:hAnsi="標楷體"/>
        </w:rPr>
      </w:pPr>
      <w:r w:rsidRPr="00D40021">
        <w:rPr>
          <w:rFonts w:hAnsi="標楷體"/>
        </w:rPr>
        <w:t>按國發會</w:t>
      </w:r>
      <w:r w:rsidRPr="00D40021">
        <w:rPr>
          <w:rFonts w:hAnsi="標楷體"/>
          <w:kern w:val="2"/>
          <w:szCs w:val="20"/>
        </w:rPr>
        <w:t>105年3月提出「</w:t>
      </w:r>
      <w:r w:rsidRPr="00D40021">
        <w:rPr>
          <w:rFonts w:hAnsi="標楷體"/>
          <w:bCs w:val="0"/>
        </w:rPr>
        <w:t>法規政策影響評估作業手冊操作步驟之</w:t>
      </w:r>
      <w:proofErr w:type="gramStart"/>
      <w:r w:rsidRPr="00D40021">
        <w:rPr>
          <w:rFonts w:hAnsi="標楷體"/>
          <w:bCs w:val="0"/>
        </w:rPr>
        <w:t>研</w:t>
      </w:r>
      <w:proofErr w:type="gramEnd"/>
      <w:r w:rsidRPr="00D40021">
        <w:rPr>
          <w:rFonts w:hAnsi="標楷體"/>
          <w:bCs w:val="0"/>
        </w:rPr>
        <w:t>析</w:t>
      </w:r>
      <w:r w:rsidRPr="00D40021">
        <w:rPr>
          <w:rFonts w:hAnsi="標楷體"/>
          <w:kern w:val="2"/>
          <w:szCs w:val="20"/>
        </w:rPr>
        <w:t>」所示，當政府採取法制規範時，應</w:t>
      </w:r>
      <w:proofErr w:type="gramStart"/>
      <w:r w:rsidRPr="00D40021">
        <w:rPr>
          <w:rFonts w:hAnsi="標楷體"/>
          <w:kern w:val="2"/>
          <w:szCs w:val="20"/>
        </w:rPr>
        <w:t>踐行</w:t>
      </w:r>
      <w:proofErr w:type="gramEnd"/>
      <w:r w:rsidRPr="00D40021">
        <w:rPr>
          <w:rFonts w:hAnsi="標楷體"/>
          <w:kern w:val="2"/>
          <w:szCs w:val="20"/>
          <w:lang w:eastAsia="zh-HK"/>
        </w:rPr>
        <w:t>下列</w:t>
      </w:r>
      <w:r w:rsidRPr="00D40021">
        <w:rPr>
          <w:rFonts w:hAnsi="標楷體"/>
          <w:kern w:val="2"/>
          <w:szCs w:val="20"/>
        </w:rPr>
        <w:t>RIA作業步驟</w:t>
      </w:r>
      <w:r w:rsidRPr="00D40021">
        <w:rPr>
          <w:rStyle w:val="aff3"/>
          <w:rFonts w:hAnsi="標楷體"/>
        </w:rPr>
        <w:footnoteReference w:id="18"/>
      </w:r>
      <w:r w:rsidRPr="00D40021">
        <w:rPr>
          <w:rFonts w:hAnsi="標楷體"/>
          <w:kern w:val="2"/>
          <w:szCs w:val="20"/>
        </w:rPr>
        <w:t>：</w:t>
      </w:r>
    </w:p>
    <w:p w:rsidR="00F161D4" w:rsidRPr="00D40021" w:rsidRDefault="00F161D4" w:rsidP="00CD5075">
      <w:pPr>
        <w:pStyle w:val="4"/>
        <w:spacing w:line="460" w:lineRule="exact"/>
        <w:rPr>
          <w:rFonts w:hAnsi="標楷體"/>
        </w:rPr>
      </w:pPr>
      <w:r w:rsidRPr="00D40021">
        <w:rPr>
          <w:rFonts w:hAnsi="標楷體"/>
        </w:rPr>
        <w:lastRenderedPageBreak/>
        <w:t>預評估對策方案</w:t>
      </w:r>
    </w:p>
    <w:p w:rsidR="00F161D4" w:rsidRPr="00D40021" w:rsidRDefault="00F161D4" w:rsidP="00CD5075">
      <w:pPr>
        <w:pStyle w:val="5"/>
        <w:spacing w:line="460" w:lineRule="exact"/>
        <w:rPr>
          <w:rFonts w:hAnsi="標楷體"/>
        </w:rPr>
      </w:pPr>
      <w:r w:rsidRPr="00D40021">
        <w:rPr>
          <w:rFonts w:hAnsi="標楷體"/>
        </w:rPr>
        <w:t>每</w:t>
      </w:r>
      <w:proofErr w:type="gramStart"/>
      <w:r w:rsidRPr="00D40021">
        <w:rPr>
          <w:rFonts w:hAnsi="標楷體"/>
        </w:rPr>
        <w:t>個</w:t>
      </w:r>
      <w:proofErr w:type="gramEnd"/>
      <w:r w:rsidRPr="00D40021">
        <w:rPr>
          <w:rFonts w:hAnsi="標楷體"/>
        </w:rPr>
        <w:t>預擬的對策方案都要進行可能產生影響程度的預評估，重點包括3個次項目：</w:t>
      </w:r>
    </w:p>
    <w:p w:rsidR="00F161D4" w:rsidRPr="00D40021" w:rsidRDefault="00F161D4" w:rsidP="00CD5075">
      <w:pPr>
        <w:pStyle w:val="6"/>
        <w:spacing w:line="460" w:lineRule="exact"/>
        <w:rPr>
          <w:rFonts w:hAnsi="標楷體"/>
          <w:kern w:val="0"/>
          <w:sz w:val="28"/>
          <w:szCs w:val="28"/>
        </w:rPr>
      </w:pPr>
      <w:r w:rsidRPr="00D40021">
        <w:rPr>
          <w:rFonts w:hAnsi="標楷體"/>
        </w:rPr>
        <w:t>具體說明方案的各項影響：</w:t>
      </w:r>
      <w:r w:rsidRPr="00D40021">
        <w:rPr>
          <w:rFonts w:hAnsi="標楷體"/>
          <w:lang w:eastAsia="zh-HK"/>
        </w:rPr>
        <w:t>諸如</w:t>
      </w:r>
      <w:r w:rsidRPr="00D40021">
        <w:rPr>
          <w:rFonts w:hAnsi="標楷體"/>
        </w:rPr>
        <w:t>經濟、社會和環境</w:t>
      </w:r>
      <w:r w:rsidR="00144B17" w:rsidRPr="00D40021">
        <w:rPr>
          <w:rFonts w:hAnsi="標楷體"/>
        </w:rPr>
        <w:t>（</w:t>
      </w:r>
      <w:r w:rsidRPr="00D40021">
        <w:rPr>
          <w:rFonts w:hAnsi="標楷體"/>
        </w:rPr>
        <w:t>文化），對其他政府和執法機關本身</w:t>
      </w:r>
      <w:r w:rsidRPr="00D40021">
        <w:rPr>
          <w:rFonts w:hAnsi="標楷體"/>
          <w:lang w:eastAsia="zh-HK"/>
        </w:rPr>
        <w:t>之</w:t>
      </w:r>
      <w:r w:rsidRPr="00D40021">
        <w:rPr>
          <w:rFonts w:hAnsi="標楷體"/>
        </w:rPr>
        <w:t>影響</w:t>
      </w:r>
      <w:r w:rsidRPr="00D40021">
        <w:rPr>
          <w:rFonts w:hAnsi="標楷體"/>
          <w:lang w:eastAsia="zh-HK"/>
        </w:rPr>
        <w:t>等</w:t>
      </w:r>
      <w:r w:rsidRPr="00D40021">
        <w:rPr>
          <w:rFonts w:hAnsi="標楷體"/>
        </w:rPr>
        <w:t>面向。各類的影響面向應有更細</w:t>
      </w:r>
      <w:r w:rsidRPr="00D40021">
        <w:rPr>
          <w:rFonts w:hAnsi="標楷體"/>
          <w:lang w:eastAsia="zh-HK"/>
        </w:rPr>
        <w:t>緻之</w:t>
      </w:r>
      <w:r w:rsidRPr="00D40021">
        <w:rPr>
          <w:rFonts w:hAnsi="標楷體"/>
        </w:rPr>
        <w:t>項目重點，並列出立即性或未來可見的重大顯著影響項目，包括正面</w:t>
      </w:r>
      <w:r w:rsidR="00144B17" w:rsidRPr="00D40021">
        <w:rPr>
          <w:rFonts w:hAnsi="標楷體"/>
        </w:rPr>
        <w:t>（</w:t>
      </w:r>
      <w:r w:rsidRPr="00D40021">
        <w:rPr>
          <w:rFonts w:hAnsi="標楷體"/>
        </w:rPr>
        <w:t>效益）和負面</w:t>
      </w:r>
      <w:r w:rsidR="00144B17" w:rsidRPr="00D40021">
        <w:rPr>
          <w:rFonts w:hAnsi="標楷體"/>
        </w:rPr>
        <w:t>（</w:t>
      </w:r>
      <w:r w:rsidRPr="00D40021">
        <w:rPr>
          <w:rFonts w:hAnsi="標楷體"/>
        </w:rPr>
        <w:t>成本負擔等）等項目。</w:t>
      </w:r>
    </w:p>
    <w:p w:rsidR="00F161D4" w:rsidRPr="00D40021" w:rsidRDefault="00F161D4" w:rsidP="00CD5075">
      <w:pPr>
        <w:pStyle w:val="6"/>
        <w:spacing w:line="460" w:lineRule="exact"/>
        <w:rPr>
          <w:rFonts w:hAnsi="標楷體"/>
          <w:kern w:val="0"/>
          <w:sz w:val="28"/>
          <w:szCs w:val="28"/>
        </w:rPr>
      </w:pPr>
      <w:r w:rsidRPr="00D40021">
        <w:rPr>
          <w:rFonts w:hAnsi="標楷體"/>
        </w:rPr>
        <w:t>具體指陳主要利害關係者的影響狀況：每</w:t>
      </w:r>
      <w:proofErr w:type="gramStart"/>
      <w:r w:rsidRPr="00D40021">
        <w:rPr>
          <w:rFonts w:hAnsi="標楷體"/>
        </w:rPr>
        <w:t>個</w:t>
      </w:r>
      <w:proofErr w:type="gramEnd"/>
      <w:r w:rsidRPr="00D40021">
        <w:rPr>
          <w:rFonts w:hAnsi="標楷體"/>
        </w:rPr>
        <w:t>個案的主要利害關係者，不外是個人、企業組織、其他政府或其他機關等。</w:t>
      </w:r>
    </w:p>
    <w:p w:rsidR="00F161D4" w:rsidRPr="00D40021" w:rsidRDefault="00F161D4" w:rsidP="00CD5075">
      <w:pPr>
        <w:pStyle w:val="6"/>
        <w:spacing w:line="460" w:lineRule="exact"/>
        <w:rPr>
          <w:rFonts w:hAnsi="標楷體"/>
        </w:rPr>
      </w:pPr>
      <w:r w:rsidRPr="00D40021">
        <w:rPr>
          <w:rFonts w:hAnsi="標楷體"/>
        </w:rPr>
        <w:t>各對策方案的重大影響分析：根據上述2點分析資料，針對重大影響事項，透過成本效益或成本效能方法，比較該方案的淨影響程度。</w:t>
      </w:r>
    </w:p>
    <w:p w:rsidR="00F161D4" w:rsidRPr="00D40021" w:rsidRDefault="00F161D4" w:rsidP="00CD5075">
      <w:pPr>
        <w:pStyle w:val="5"/>
        <w:spacing w:line="460" w:lineRule="exact"/>
        <w:rPr>
          <w:rFonts w:hAnsi="標楷體"/>
        </w:rPr>
      </w:pPr>
      <w:r w:rsidRPr="00D40021">
        <w:rPr>
          <w:rFonts w:hAnsi="標楷體"/>
        </w:rPr>
        <w:t>為達特定政策目的而有特別犧牲者時，亦應預為規劃補償配套。</w:t>
      </w:r>
    </w:p>
    <w:p w:rsidR="00F161D4" w:rsidRPr="00D40021" w:rsidRDefault="00F161D4" w:rsidP="00CD5075">
      <w:pPr>
        <w:pStyle w:val="4"/>
        <w:spacing w:line="460" w:lineRule="exact"/>
        <w:rPr>
          <w:rFonts w:hAnsi="標楷體"/>
        </w:rPr>
      </w:pPr>
      <w:r w:rsidRPr="00D40021">
        <w:rPr>
          <w:rFonts w:hAnsi="標楷體"/>
        </w:rPr>
        <w:t>諮商利害關係者</w:t>
      </w:r>
    </w:p>
    <w:p w:rsidR="00F161D4" w:rsidRPr="00D40021" w:rsidRDefault="00F161D4" w:rsidP="00CD5075">
      <w:pPr>
        <w:pStyle w:val="5"/>
        <w:spacing w:line="460" w:lineRule="exact"/>
        <w:rPr>
          <w:rFonts w:hAnsi="標楷體"/>
          <w:bCs w:val="0"/>
        </w:rPr>
      </w:pPr>
      <w:r w:rsidRPr="00D40021">
        <w:rPr>
          <w:rFonts w:hAnsi="標楷體"/>
          <w:bCs w:val="0"/>
        </w:rPr>
        <w:t>RIA制度非常重視公眾諮商，因此機關完成政策分析作業及對策方案之影響預評估以後，必須將其各項分析製作成諮商文件，對外公開揭露並諮詢公眾意見，</w:t>
      </w:r>
      <w:proofErr w:type="gramStart"/>
      <w:r w:rsidRPr="00D40021">
        <w:rPr>
          <w:rFonts w:hAnsi="標楷體"/>
          <w:bCs w:val="0"/>
        </w:rPr>
        <w:t>俾</w:t>
      </w:r>
      <w:proofErr w:type="gramEnd"/>
      <w:r w:rsidRPr="00D40021">
        <w:rPr>
          <w:rFonts w:hAnsi="標楷體"/>
          <w:bCs w:val="0"/>
        </w:rPr>
        <w:t>便決定擬執行之政策方案。</w:t>
      </w:r>
    </w:p>
    <w:p w:rsidR="00F161D4" w:rsidRPr="00D40021" w:rsidRDefault="00F161D4" w:rsidP="00CD5075">
      <w:pPr>
        <w:pStyle w:val="5"/>
        <w:spacing w:line="460" w:lineRule="exact"/>
        <w:rPr>
          <w:rFonts w:hAnsi="標楷體"/>
          <w:bCs w:val="0"/>
        </w:rPr>
      </w:pPr>
      <w:r w:rsidRPr="00D40021">
        <w:rPr>
          <w:rFonts w:hAnsi="標楷體"/>
          <w:bCs w:val="0"/>
        </w:rPr>
        <w:t>所有參與諮商對象，均應該在事前的充分時間內獲得諮詢文件，有利於諮商過程的聚焦進行。</w:t>
      </w:r>
    </w:p>
    <w:p w:rsidR="00F161D4" w:rsidRPr="00D40021" w:rsidRDefault="00F161D4" w:rsidP="00CD5075">
      <w:pPr>
        <w:pStyle w:val="5"/>
        <w:spacing w:line="460" w:lineRule="exact"/>
        <w:rPr>
          <w:rFonts w:hAnsi="標楷體"/>
        </w:rPr>
      </w:pPr>
      <w:r w:rsidRPr="00D40021">
        <w:rPr>
          <w:rFonts w:hAnsi="標楷體"/>
          <w:bCs w:val="0"/>
        </w:rPr>
        <w:t>為確保諮商能獲得有意義的意見資訊，並取得公眾的信任，公眾諮商程序最少應該進行1個月以上。</w:t>
      </w:r>
    </w:p>
    <w:p w:rsidR="00D518DD" w:rsidRPr="00D40021" w:rsidRDefault="00D367AE" w:rsidP="00EF2F92">
      <w:pPr>
        <w:pStyle w:val="3"/>
        <w:rPr>
          <w:rFonts w:hAnsi="標楷體"/>
          <w:shd w:val="pct15" w:color="auto" w:fill="FFFFFF"/>
        </w:rPr>
      </w:pPr>
      <w:r w:rsidRPr="00D40021">
        <w:rPr>
          <w:rFonts w:hAnsi="標楷體" w:hint="eastAsia"/>
        </w:rPr>
        <w:lastRenderedPageBreak/>
        <w:t>查國防部於105年5月27日配合政府進行「軍人退撫制度改革規劃」，</w:t>
      </w:r>
      <w:r w:rsidR="00761AE6" w:rsidRPr="00D40021">
        <w:rPr>
          <w:rFonts w:hAnsi="標楷體" w:hint="eastAsia"/>
        </w:rPr>
        <w:t>並</w:t>
      </w:r>
      <w:r w:rsidRPr="00D40021">
        <w:rPr>
          <w:rFonts w:hAnsi="標楷體" w:hint="eastAsia"/>
        </w:rPr>
        <w:t>經總統府</w:t>
      </w:r>
      <w:r w:rsidRPr="00D40021">
        <w:rPr>
          <w:rFonts w:hAnsi="標楷體"/>
        </w:rPr>
        <w:t>國家年金改革委員會</w:t>
      </w:r>
      <w:r w:rsidR="00144B17" w:rsidRPr="00D40021">
        <w:rPr>
          <w:rFonts w:hAnsi="標楷體" w:hint="eastAsia"/>
        </w:rPr>
        <w:t>（</w:t>
      </w:r>
      <w:r w:rsidR="00852A95" w:rsidRPr="00D40021">
        <w:rPr>
          <w:rFonts w:hAnsi="標楷體" w:hint="eastAsia"/>
        </w:rPr>
        <w:t>下稱年改會）</w:t>
      </w:r>
      <w:r w:rsidR="00BA7E4C" w:rsidRPr="00D40021">
        <w:rPr>
          <w:rFonts w:hAnsi="標楷體" w:hint="eastAsia"/>
        </w:rPr>
        <w:t>委員</w:t>
      </w:r>
      <w:r w:rsidR="00FC05EF" w:rsidRPr="00D40021">
        <w:rPr>
          <w:rFonts w:hAnsi="標楷體" w:hint="eastAsia"/>
        </w:rPr>
        <w:t>於</w:t>
      </w:r>
      <w:r w:rsidR="001574B2" w:rsidRPr="00D40021">
        <w:rPr>
          <w:rFonts w:hAnsi="標楷體" w:hint="eastAsia"/>
        </w:rPr>
        <w:t>同年</w:t>
      </w:r>
      <w:r w:rsidR="001574B2" w:rsidRPr="00D40021">
        <w:rPr>
          <w:rFonts w:hAnsi="標楷體"/>
        </w:rPr>
        <w:t>7</w:t>
      </w:r>
      <w:r w:rsidR="001574B2" w:rsidRPr="00D40021">
        <w:rPr>
          <w:rFonts w:hAnsi="標楷體" w:hint="eastAsia"/>
        </w:rPr>
        <w:t>月</w:t>
      </w:r>
      <w:r w:rsidR="001574B2" w:rsidRPr="00D40021">
        <w:rPr>
          <w:rFonts w:hAnsi="標楷體"/>
        </w:rPr>
        <w:t>28</w:t>
      </w:r>
      <w:r w:rsidR="001574B2" w:rsidRPr="00D40021">
        <w:rPr>
          <w:rFonts w:hAnsi="標楷體" w:hint="eastAsia"/>
        </w:rPr>
        <w:t>日</w:t>
      </w:r>
      <w:r w:rsidRPr="00D40021">
        <w:rPr>
          <w:rFonts w:hAnsi="標楷體" w:hint="eastAsia"/>
        </w:rPr>
        <w:t>第6次</w:t>
      </w:r>
      <w:r w:rsidR="00BA7E4C" w:rsidRPr="00D40021">
        <w:rPr>
          <w:rFonts w:hAnsi="標楷體" w:hint="eastAsia"/>
        </w:rPr>
        <w:t>會議中，達成「軍人年金改革應</w:t>
      </w:r>
      <w:proofErr w:type="gramStart"/>
      <w:r w:rsidR="00BA7E4C" w:rsidRPr="00D40021">
        <w:rPr>
          <w:rFonts w:hAnsi="標楷體" w:hint="eastAsia"/>
        </w:rPr>
        <w:t>採</w:t>
      </w:r>
      <w:proofErr w:type="gramEnd"/>
      <w:r w:rsidR="00BA7E4C" w:rsidRPr="00D40021">
        <w:rPr>
          <w:rFonts w:hAnsi="標楷體" w:hint="eastAsia"/>
        </w:rPr>
        <w:t>單獨專案處理」之共識。</w:t>
      </w:r>
      <w:proofErr w:type="gramStart"/>
      <w:r w:rsidR="00ED0669" w:rsidRPr="00D40021">
        <w:rPr>
          <w:rFonts w:hAnsi="標楷體" w:hint="eastAsia"/>
        </w:rPr>
        <w:t>嗣</w:t>
      </w:r>
      <w:proofErr w:type="gramEnd"/>
      <w:r w:rsidR="001574B2" w:rsidRPr="00D40021">
        <w:rPr>
          <w:rFonts w:hAnsi="標楷體" w:hint="eastAsia"/>
        </w:rPr>
        <w:t>「</w:t>
      </w:r>
      <w:r w:rsidR="001574B2" w:rsidRPr="00D40021">
        <w:rPr>
          <w:rFonts w:hAnsi="標楷體"/>
        </w:rPr>
        <w:t>公務人員退休資遣撫</w:t>
      </w:r>
      <w:proofErr w:type="gramStart"/>
      <w:r w:rsidR="001574B2" w:rsidRPr="00D40021">
        <w:rPr>
          <w:rFonts w:hAnsi="標楷體"/>
        </w:rPr>
        <w:t>卹</w:t>
      </w:r>
      <w:proofErr w:type="gramEnd"/>
      <w:r w:rsidR="001574B2" w:rsidRPr="00D40021">
        <w:rPr>
          <w:rFonts w:hAnsi="標楷體"/>
        </w:rPr>
        <w:t>法</w:t>
      </w:r>
      <w:r w:rsidR="001574B2" w:rsidRPr="00D40021">
        <w:rPr>
          <w:rFonts w:hAnsi="標楷體" w:hint="eastAsia"/>
        </w:rPr>
        <w:t>」及「</w:t>
      </w:r>
      <w:r w:rsidR="001574B2" w:rsidRPr="00D40021">
        <w:rPr>
          <w:rFonts w:hAnsi="標楷體"/>
        </w:rPr>
        <w:t>公立學校教職員退休資遣撫</w:t>
      </w:r>
      <w:proofErr w:type="gramStart"/>
      <w:r w:rsidR="001574B2" w:rsidRPr="00D40021">
        <w:rPr>
          <w:rFonts w:hAnsi="標楷體"/>
        </w:rPr>
        <w:t>卹</w:t>
      </w:r>
      <w:proofErr w:type="gramEnd"/>
      <w:r w:rsidR="001574B2" w:rsidRPr="00D40021">
        <w:rPr>
          <w:rFonts w:hAnsi="標楷體"/>
        </w:rPr>
        <w:t>條例</w:t>
      </w:r>
      <w:r w:rsidR="001574B2" w:rsidRPr="00D40021">
        <w:rPr>
          <w:rFonts w:hAnsi="標楷體" w:hint="eastAsia"/>
        </w:rPr>
        <w:t>」於</w:t>
      </w:r>
      <w:r w:rsidR="00FC05EF" w:rsidRPr="00D40021">
        <w:rPr>
          <w:rFonts w:hAnsi="標楷體"/>
        </w:rPr>
        <w:t>106年8月9日</w:t>
      </w:r>
      <w:r w:rsidR="00BA7E4C" w:rsidRPr="00D40021">
        <w:rPr>
          <w:rFonts w:hAnsi="標楷體"/>
        </w:rPr>
        <w:t>制定</w:t>
      </w:r>
      <w:r w:rsidR="00BA7E4C" w:rsidRPr="00D40021">
        <w:rPr>
          <w:rFonts w:hAnsi="標楷體"/>
          <w:szCs w:val="32"/>
        </w:rPr>
        <w:t>公布</w:t>
      </w:r>
      <w:r w:rsidR="00BA7E4C" w:rsidRPr="00D40021">
        <w:rPr>
          <w:rFonts w:hAnsi="標楷體" w:hint="eastAsia"/>
        </w:rPr>
        <w:t>後，國防部於同年11月14日公布「</w:t>
      </w:r>
      <w:r w:rsidR="00FC05EF" w:rsidRPr="00D40021">
        <w:rPr>
          <w:rFonts w:hAnsi="標楷體" w:hint="eastAsia"/>
        </w:rPr>
        <w:t>『</w:t>
      </w:r>
      <w:r w:rsidR="00BA7E4C" w:rsidRPr="00D40021">
        <w:rPr>
          <w:rFonts w:hAnsi="標楷體" w:hint="eastAsia"/>
        </w:rPr>
        <w:t>現役軍人退撫新制</w:t>
      </w:r>
      <w:r w:rsidR="00FC05EF" w:rsidRPr="00D40021">
        <w:rPr>
          <w:rFonts w:hAnsi="標楷體" w:hint="eastAsia"/>
        </w:rPr>
        <w:t>』</w:t>
      </w:r>
      <w:proofErr w:type="gramStart"/>
      <w:r w:rsidR="00BA7E4C" w:rsidRPr="00D40021">
        <w:rPr>
          <w:rFonts w:hAnsi="標楷體" w:hint="eastAsia"/>
        </w:rPr>
        <w:t>俸</w:t>
      </w:r>
      <w:proofErr w:type="gramEnd"/>
      <w:r w:rsidR="00BA7E4C" w:rsidRPr="00D40021">
        <w:rPr>
          <w:rFonts w:hAnsi="標楷體" w:hint="eastAsia"/>
        </w:rPr>
        <w:t>率為50%+2.5%</w:t>
      </w:r>
      <w:r w:rsidR="00FC05EF" w:rsidRPr="00D40021">
        <w:rPr>
          <w:rFonts w:hAnsi="標楷體" w:hint="eastAsia"/>
        </w:rPr>
        <w:t>」</w:t>
      </w:r>
      <w:r w:rsidR="00BA7E4C" w:rsidRPr="00D40021">
        <w:rPr>
          <w:rFonts w:hAnsi="標楷體" w:hint="eastAsia"/>
        </w:rPr>
        <w:t>之規劃草案</w:t>
      </w:r>
      <w:r w:rsidR="00FC05EF" w:rsidRPr="00D40021">
        <w:rPr>
          <w:rFonts w:hAnsi="標楷體" w:hint="eastAsia"/>
        </w:rPr>
        <w:t>，</w:t>
      </w:r>
      <w:r w:rsidR="00BA7E4C" w:rsidRPr="00D40021">
        <w:rPr>
          <w:rFonts w:hAnsi="標楷體" w:hint="eastAsia"/>
        </w:rPr>
        <w:t>同時辦理全軍「巡迴座談」、建置「網路專區」及實施「問卷調查」等作為，據以</w:t>
      </w:r>
      <w:proofErr w:type="gramStart"/>
      <w:r w:rsidR="00BA7E4C" w:rsidRPr="00D40021">
        <w:rPr>
          <w:rFonts w:hAnsi="標楷體" w:hint="eastAsia"/>
        </w:rPr>
        <w:t>研</w:t>
      </w:r>
      <w:proofErr w:type="gramEnd"/>
      <w:r w:rsidR="00BA7E4C" w:rsidRPr="00D40021">
        <w:rPr>
          <w:rFonts w:hAnsi="標楷體" w:hint="eastAsia"/>
        </w:rPr>
        <w:t>修服役條例修正草案，於107年1月26</w:t>
      </w:r>
      <w:r w:rsidR="00795750" w:rsidRPr="00D40021">
        <w:rPr>
          <w:rFonts w:hAnsi="標楷體" w:hint="eastAsia"/>
        </w:rPr>
        <w:t>日陳報行政院</w:t>
      </w:r>
      <w:r w:rsidR="000131DA" w:rsidRPr="00D40021">
        <w:rPr>
          <w:rFonts w:hAnsi="標楷體" w:hint="eastAsia"/>
        </w:rPr>
        <w:t>；</w:t>
      </w:r>
      <w:r w:rsidR="00ED0669" w:rsidRPr="00D40021">
        <w:rPr>
          <w:rFonts w:hAnsi="標楷體" w:hint="eastAsia"/>
        </w:rPr>
        <w:t>同</w:t>
      </w:r>
      <w:r w:rsidR="00BA7E4C" w:rsidRPr="00D40021">
        <w:rPr>
          <w:rFonts w:hAnsi="標楷體" w:hint="eastAsia"/>
        </w:rPr>
        <w:t>年4月12日</w:t>
      </w:r>
      <w:r w:rsidR="00ED0669" w:rsidRPr="00D40021">
        <w:rPr>
          <w:rFonts w:hAnsi="標楷體" w:hint="eastAsia"/>
        </w:rPr>
        <w:t>行政院</w:t>
      </w:r>
      <w:r w:rsidR="00BA7E4C" w:rsidRPr="00D40021">
        <w:rPr>
          <w:rFonts w:hAnsi="標楷體" w:hint="eastAsia"/>
        </w:rPr>
        <w:t>通過服役條例草案，並於同</w:t>
      </w:r>
      <w:r w:rsidR="001574B2" w:rsidRPr="00D40021">
        <w:rPr>
          <w:rFonts w:hAnsi="標楷體" w:hint="eastAsia"/>
        </w:rPr>
        <w:t>年</w:t>
      </w:r>
      <w:r w:rsidR="00BA7E4C" w:rsidRPr="00D40021">
        <w:rPr>
          <w:rFonts w:hAnsi="標楷體" w:hint="eastAsia"/>
        </w:rPr>
        <w:t>月13日送立法院審議</w:t>
      </w:r>
      <w:r w:rsidR="000131DA" w:rsidRPr="00D40021">
        <w:rPr>
          <w:rFonts w:hAnsi="標楷體" w:hint="eastAsia"/>
        </w:rPr>
        <w:t>。</w:t>
      </w:r>
      <w:proofErr w:type="gramStart"/>
      <w:r w:rsidR="000131DA" w:rsidRPr="00D40021">
        <w:rPr>
          <w:rFonts w:hAnsi="標楷體" w:hint="eastAsia"/>
        </w:rPr>
        <w:t>惟查，</w:t>
      </w:r>
      <w:r w:rsidR="00795750" w:rsidRPr="00D40021">
        <w:rPr>
          <w:rFonts w:hAnsi="標楷體" w:hint="eastAsia"/>
        </w:rPr>
        <w:t>囿</w:t>
      </w:r>
      <w:proofErr w:type="gramEnd"/>
      <w:r w:rsidR="00795750" w:rsidRPr="00D40021">
        <w:rPr>
          <w:rFonts w:hAnsi="標楷體" w:hint="eastAsia"/>
        </w:rPr>
        <w:t>於</w:t>
      </w:r>
      <w:r w:rsidR="00333B23" w:rsidRPr="00D40021">
        <w:rPr>
          <w:rFonts w:hAnsi="標楷體" w:hint="eastAsia"/>
        </w:rPr>
        <w:t>國防部</w:t>
      </w:r>
      <w:r w:rsidR="00852A95" w:rsidRPr="00D40021">
        <w:rPr>
          <w:rFonts w:hAnsi="標楷體" w:hint="eastAsia"/>
        </w:rPr>
        <w:t>未能讓</w:t>
      </w:r>
      <w:r w:rsidR="00D518DD" w:rsidRPr="00D40021">
        <w:rPr>
          <w:rFonts w:hAnsi="標楷體" w:hint="eastAsia"/>
        </w:rPr>
        <w:t>各界</w:t>
      </w:r>
      <w:r w:rsidR="00144B17" w:rsidRPr="00D40021">
        <w:rPr>
          <w:rFonts w:hAnsi="標楷體"/>
        </w:rPr>
        <w:t>（</w:t>
      </w:r>
      <w:r w:rsidR="00D518DD" w:rsidRPr="00D40021">
        <w:rPr>
          <w:rFonts w:hAnsi="標楷體" w:hint="eastAsia"/>
        </w:rPr>
        <w:t>含退伍軍人</w:t>
      </w:r>
      <w:r w:rsidR="000131DA" w:rsidRPr="00D40021">
        <w:rPr>
          <w:rFonts w:hAnsi="標楷體"/>
        </w:rPr>
        <w:t>等</w:t>
      </w:r>
      <w:r w:rsidR="00D518DD" w:rsidRPr="00D40021">
        <w:rPr>
          <w:rFonts w:hAnsi="標楷體"/>
        </w:rPr>
        <w:t>主要利害關係人</w:t>
      </w:r>
      <w:r w:rsidR="000131DA" w:rsidRPr="00D40021">
        <w:rPr>
          <w:rFonts w:hAnsi="標楷體"/>
        </w:rPr>
        <w:t>）</w:t>
      </w:r>
      <w:r w:rsidR="00852A95" w:rsidRPr="00D40021">
        <w:rPr>
          <w:rFonts w:hAnsi="標楷體" w:hint="eastAsia"/>
        </w:rPr>
        <w:t>了解軍人年金法案修法內容</w:t>
      </w:r>
      <w:r w:rsidR="00795750" w:rsidRPr="00D40021">
        <w:rPr>
          <w:rFonts w:hAnsi="標楷體" w:hint="eastAsia"/>
        </w:rPr>
        <w:t>，致使立法院</w:t>
      </w:r>
      <w:r w:rsidR="00333B23" w:rsidRPr="00D40021">
        <w:rPr>
          <w:rFonts w:hAnsi="標楷體" w:hint="eastAsia"/>
        </w:rPr>
        <w:t>分別於</w:t>
      </w:r>
      <w:r w:rsidR="00795750" w:rsidRPr="00D40021">
        <w:rPr>
          <w:rFonts w:hAnsi="標楷體" w:hint="eastAsia"/>
        </w:rPr>
        <w:t>107年4月25日、5月2日、5月3日及5月7日召開</w:t>
      </w:r>
      <w:r w:rsidR="00852A95" w:rsidRPr="00D40021">
        <w:rPr>
          <w:rFonts w:hAnsi="標楷體" w:hint="eastAsia"/>
        </w:rPr>
        <w:t>4場</w:t>
      </w:r>
      <w:r w:rsidR="00795750" w:rsidRPr="00D40021">
        <w:rPr>
          <w:rFonts w:hAnsi="標楷體" w:hint="eastAsia"/>
        </w:rPr>
        <w:t>公聽會</w:t>
      </w:r>
      <w:r w:rsidR="00ED0669" w:rsidRPr="00D40021">
        <w:rPr>
          <w:rFonts w:hAnsi="標楷體" w:hint="eastAsia"/>
        </w:rPr>
        <w:t>時</w:t>
      </w:r>
      <w:r w:rsidR="00795750" w:rsidRPr="00D40021">
        <w:rPr>
          <w:rFonts w:hAnsi="標楷體" w:hint="eastAsia"/>
        </w:rPr>
        <w:t>，</w:t>
      </w:r>
      <w:r w:rsidR="00ED0669" w:rsidRPr="00D40021">
        <w:rPr>
          <w:rFonts w:hAnsi="標楷體" w:hint="eastAsia"/>
        </w:rPr>
        <w:t>始由該院</w:t>
      </w:r>
      <w:r w:rsidR="00D518DD" w:rsidRPr="00D40021">
        <w:rPr>
          <w:rFonts w:hAnsi="標楷體" w:hint="eastAsia"/>
        </w:rPr>
        <w:t>邀集</w:t>
      </w:r>
      <w:r w:rsidR="00BF4BB8" w:rsidRPr="00D40021">
        <w:rPr>
          <w:rFonts w:hAnsi="標楷體"/>
        </w:rPr>
        <w:t>「八百壯士」</w:t>
      </w:r>
      <w:r w:rsidR="003F07BB" w:rsidRPr="00D40021">
        <w:rPr>
          <w:rFonts w:hAnsi="標楷體" w:hint="eastAsia"/>
        </w:rPr>
        <w:t>團體</w:t>
      </w:r>
      <w:r w:rsidR="00BF4BB8" w:rsidRPr="00D40021">
        <w:rPr>
          <w:rFonts w:hAnsi="標楷體"/>
        </w:rPr>
        <w:t>成員代表</w:t>
      </w:r>
      <w:r w:rsidR="005B02B9" w:rsidRPr="00D40021">
        <w:rPr>
          <w:rFonts w:hAnsi="標楷體" w:hint="eastAsia"/>
        </w:rPr>
        <w:t>、</w:t>
      </w:r>
      <w:r w:rsidR="00BF4BB8" w:rsidRPr="00D40021">
        <w:rPr>
          <w:rFonts w:hAnsi="標楷體"/>
        </w:rPr>
        <w:t>陸海空軍常備士官班相互關懷協會</w:t>
      </w:r>
      <w:r w:rsidR="00BF4BB8" w:rsidRPr="00D40021">
        <w:rPr>
          <w:rFonts w:hAnsi="標楷體" w:hint="eastAsia"/>
        </w:rPr>
        <w:t>、</w:t>
      </w:r>
      <w:r w:rsidR="005B02B9" w:rsidRPr="00D40021">
        <w:rPr>
          <w:rFonts w:hAnsi="標楷體" w:hint="eastAsia"/>
        </w:rPr>
        <w:t>中華民國中央軍校校友總會、</w:t>
      </w:r>
      <w:r w:rsidR="00BF4BB8" w:rsidRPr="00D40021">
        <w:rPr>
          <w:rFonts w:hAnsi="標楷體"/>
        </w:rPr>
        <w:t>陸軍專科學校校友總會</w:t>
      </w:r>
      <w:r w:rsidR="00BF4BB8" w:rsidRPr="00D40021">
        <w:rPr>
          <w:rFonts w:hAnsi="標楷體" w:hint="eastAsia"/>
        </w:rPr>
        <w:t>、</w:t>
      </w:r>
      <w:proofErr w:type="gramStart"/>
      <w:r w:rsidR="005B02B9" w:rsidRPr="00D40021">
        <w:rPr>
          <w:rFonts w:hAnsi="標楷體" w:hint="eastAsia"/>
        </w:rPr>
        <w:t>磐</w:t>
      </w:r>
      <w:proofErr w:type="gramEnd"/>
      <w:r w:rsidR="005B02B9" w:rsidRPr="00D40021">
        <w:rPr>
          <w:rFonts w:hAnsi="標楷體" w:hint="eastAsia"/>
        </w:rPr>
        <w:t>安同心會、國防管理學院校友會</w:t>
      </w:r>
      <w:r w:rsidR="00EF2F92" w:rsidRPr="00D40021">
        <w:rPr>
          <w:rFonts w:hAnsi="標楷體" w:hint="eastAsia"/>
        </w:rPr>
        <w:t>、</w:t>
      </w:r>
      <w:r w:rsidR="00EF2F92" w:rsidRPr="00D40021">
        <w:rPr>
          <w:rFonts w:hAnsi="標楷體"/>
        </w:rPr>
        <w:t>軍眷代表</w:t>
      </w:r>
      <w:r w:rsidR="00EF2F92" w:rsidRPr="00D40021">
        <w:rPr>
          <w:rFonts w:hAnsi="標楷體" w:hint="eastAsia"/>
        </w:rPr>
        <w:t>、</w:t>
      </w:r>
      <w:r w:rsidR="00EF2F92" w:rsidRPr="00D40021">
        <w:rPr>
          <w:rFonts w:hAnsi="標楷體"/>
        </w:rPr>
        <w:t>海軍官校校友會</w:t>
      </w:r>
      <w:r w:rsidR="00D518DD" w:rsidRPr="00D40021">
        <w:rPr>
          <w:rFonts w:hAnsi="標楷體" w:hint="eastAsia"/>
        </w:rPr>
        <w:t>等團體代表</w:t>
      </w:r>
      <w:r w:rsidR="005B02B9" w:rsidRPr="00D40021">
        <w:rPr>
          <w:rFonts w:hAnsi="標楷體" w:hint="eastAsia"/>
        </w:rPr>
        <w:t>、</w:t>
      </w:r>
      <w:r w:rsidR="00D518DD" w:rsidRPr="00D40021">
        <w:rPr>
          <w:rFonts w:hAnsi="標楷體" w:hint="eastAsia"/>
        </w:rPr>
        <w:t>專家學者、立法委員</w:t>
      </w:r>
      <w:r w:rsidR="005B02B9" w:rsidRPr="00D40021">
        <w:rPr>
          <w:rFonts w:hAnsi="標楷體" w:hint="eastAsia"/>
        </w:rPr>
        <w:t>及</w:t>
      </w:r>
      <w:r w:rsidR="00D518DD" w:rsidRPr="00D40021">
        <w:rPr>
          <w:rFonts w:hAnsi="標楷體" w:hint="eastAsia"/>
        </w:rPr>
        <w:t>行政機關參與，</w:t>
      </w:r>
      <w:r w:rsidR="00ED0669" w:rsidRPr="00D40021">
        <w:rPr>
          <w:rFonts w:hAnsi="標楷體" w:hint="eastAsia"/>
        </w:rPr>
        <w:t>以</w:t>
      </w:r>
      <w:r w:rsidR="00795750" w:rsidRPr="00D40021">
        <w:rPr>
          <w:rFonts w:hAnsi="標楷體" w:hint="eastAsia"/>
        </w:rPr>
        <w:t>廣</w:t>
      </w:r>
      <w:proofErr w:type="gramStart"/>
      <w:r w:rsidR="00795750" w:rsidRPr="00D40021">
        <w:rPr>
          <w:rFonts w:hAnsi="標楷體" w:hint="eastAsia"/>
        </w:rPr>
        <w:t>蒐</w:t>
      </w:r>
      <w:proofErr w:type="gramEnd"/>
      <w:r w:rsidR="00795750" w:rsidRPr="00D40021">
        <w:rPr>
          <w:rFonts w:hAnsi="標楷體" w:hint="eastAsia"/>
        </w:rPr>
        <w:t>各界意見</w:t>
      </w:r>
      <w:r w:rsidR="00ED0669" w:rsidRPr="00D40021">
        <w:rPr>
          <w:rFonts w:hAnsi="標楷體" w:hint="eastAsia"/>
        </w:rPr>
        <w:t>。</w:t>
      </w:r>
      <w:proofErr w:type="gramStart"/>
      <w:r w:rsidR="00ED0669" w:rsidRPr="00D40021">
        <w:rPr>
          <w:rFonts w:hAnsi="標楷體" w:hint="eastAsia"/>
        </w:rPr>
        <w:t>經查</w:t>
      </w:r>
      <w:r w:rsidR="00ED0CC1" w:rsidRPr="00D40021">
        <w:rPr>
          <w:rFonts w:hAnsi="標楷體" w:hint="eastAsia"/>
        </w:rPr>
        <w:t>上開</w:t>
      </w:r>
      <w:proofErr w:type="gramEnd"/>
      <w:r w:rsidR="00852A95" w:rsidRPr="00D40021">
        <w:rPr>
          <w:rFonts w:hAnsi="標楷體" w:hint="eastAsia"/>
        </w:rPr>
        <w:t>公聽會</w:t>
      </w:r>
      <w:r w:rsidR="00795750" w:rsidRPr="00D40021">
        <w:rPr>
          <w:rFonts w:hAnsi="標楷體" w:hint="eastAsia"/>
        </w:rPr>
        <w:t>討論</w:t>
      </w:r>
      <w:proofErr w:type="gramStart"/>
      <w:r w:rsidR="00795750" w:rsidRPr="00D40021">
        <w:rPr>
          <w:rFonts w:hAnsi="標楷體" w:hint="eastAsia"/>
        </w:rPr>
        <w:t>題綱</w:t>
      </w:r>
      <w:proofErr w:type="gramEnd"/>
      <w:r w:rsidR="00795750" w:rsidRPr="00D40021">
        <w:rPr>
          <w:rFonts w:hAnsi="標楷體" w:hint="eastAsia"/>
        </w:rPr>
        <w:t>包括：我國現行法制對軍人權益保障之優劣、</w:t>
      </w:r>
      <w:r w:rsidR="009D4D0E" w:rsidRPr="00D40021">
        <w:rPr>
          <w:rFonts w:hAnsi="標楷體" w:hint="eastAsia"/>
        </w:rPr>
        <w:t>行政院版服役條例修正草案</w:t>
      </w:r>
      <w:r w:rsidR="00852A95" w:rsidRPr="00D40021">
        <w:rPr>
          <w:rFonts w:hAnsi="標楷體" w:hint="eastAsia"/>
        </w:rPr>
        <w:t>修正重點、與現行制度有何差異、</w:t>
      </w:r>
      <w:r w:rsidR="009D4D0E" w:rsidRPr="00D40021">
        <w:rPr>
          <w:rFonts w:hAnsi="標楷體" w:hint="eastAsia"/>
        </w:rPr>
        <w:t>對軍人退撫制度之影響</w:t>
      </w:r>
      <w:r w:rsidR="00852A95" w:rsidRPr="00D40021">
        <w:rPr>
          <w:rFonts w:hAnsi="標楷體" w:hint="eastAsia"/>
        </w:rPr>
        <w:t>、我國與各國軍人退撫制度比較之優劣，與未來我國軍人退撫制度應調整方向等</w:t>
      </w:r>
      <w:r w:rsidR="003F07BB" w:rsidRPr="00D40021">
        <w:rPr>
          <w:rFonts w:hAnsi="標楷體" w:hint="eastAsia"/>
        </w:rPr>
        <w:t>重要爭點。</w:t>
      </w:r>
      <w:r w:rsidR="00D518DD" w:rsidRPr="00D40021">
        <w:rPr>
          <w:rFonts w:hAnsi="標楷體" w:hint="eastAsia"/>
        </w:rPr>
        <w:t>足證國防部</w:t>
      </w:r>
      <w:r w:rsidR="00355795" w:rsidRPr="00D40021">
        <w:rPr>
          <w:rFonts w:hAnsi="標楷體" w:hint="eastAsia"/>
        </w:rPr>
        <w:t>辦理軍人年金改革法案相關</w:t>
      </w:r>
      <w:r w:rsidR="00D518DD" w:rsidRPr="00D40021">
        <w:rPr>
          <w:rFonts w:hAnsi="標楷體"/>
        </w:rPr>
        <w:t>法制作業程序未盡完備，徒具公眾參與諮詢之形式，</w:t>
      </w:r>
      <w:proofErr w:type="gramStart"/>
      <w:r w:rsidR="00D518DD" w:rsidRPr="00D40021">
        <w:rPr>
          <w:rFonts w:hAnsi="標楷體"/>
        </w:rPr>
        <w:t>然未落實</w:t>
      </w:r>
      <w:proofErr w:type="gramEnd"/>
      <w:r w:rsidR="00D518DD" w:rsidRPr="00D40021">
        <w:rPr>
          <w:rFonts w:hAnsi="標楷體"/>
        </w:rPr>
        <w:t>專業合理之</w:t>
      </w:r>
      <w:proofErr w:type="gramStart"/>
      <w:r w:rsidR="00D518DD" w:rsidRPr="00D40021">
        <w:rPr>
          <w:rFonts w:hAnsi="標楷體"/>
        </w:rPr>
        <w:t>思辯</w:t>
      </w:r>
      <w:proofErr w:type="gramEnd"/>
      <w:r w:rsidR="00D518DD" w:rsidRPr="00D40021">
        <w:rPr>
          <w:rFonts w:hAnsi="標楷體"/>
        </w:rPr>
        <w:t>論證、利弊分析及溝通調整的諮商程序，</w:t>
      </w:r>
      <w:proofErr w:type="gramStart"/>
      <w:r w:rsidR="003F07BB" w:rsidRPr="00D40021">
        <w:rPr>
          <w:rFonts w:hAnsi="標楷體" w:hint="eastAsia"/>
        </w:rPr>
        <w:t>肇致修法</w:t>
      </w:r>
      <w:proofErr w:type="gramEnd"/>
      <w:r w:rsidR="003F07BB" w:rsidRPr="00D40021">
        <w:rPr>
          <w:rFonts w:hAnsi="標楷體" w:hint="eastAsia"/>
        </w:rPr>
        <w:t>期間紛爭不絕，是</w:t>
      </w:r>
      <w:r w:rsidR="009B5544" w:rsidRPr="00D40021">
        <w:rPr>
          <w:rFonts w:hAnsi="標楷體" w:hint="eastAsia"/>
        </w:rPr>
        <w:t>國防</w:t>
      </w:r>
      <w:r w:rsidR="00D518DD" w:rsidRPr="00D40021">
        <w:rPr>
          <w:rFonts w:hAnsi="標楷體"/>
        </w:rPr>
        <w:t>部難辭其咎。</w:t>
      </w:r>
      <w:r w:rsidR="00D518DD" w:rsidRPr="00D40021">
        <w:rPr>
          <w:rFonts w:hAnsi="標楷體" w:hint="eastAsia"/>
        </w:rPr>
        <w:t>又，</w:t>
      </w:r>
      <w:r w:rsidR="00D518DD" w:rsidRPr="00D40021">
        <w:rPr>
          <w:rFonts w:hAnsi="標楷體"/>
        </w:rPr>
        <w:t>行政院年金改革辦</w:t>
      </w:r>
      <w:r w:rsidR="00D518DD" w:rsidRPr="00D40021">
        <w:rPr>
          <w:rFonts w:hAnsi="標楷體"/>
        </w:rPr>
        <w:lastRenderedPageBreak/>
        <w:t>公室</w:t>
      </w:r>
      <w:r w:rsidR="00D518DD" w:rsidRPr="00D40021">
        <w:rPr>
          <w:rFonts w:hAnsi="標楷體" w:hint="eastAsia"/>
        </w:rPr>
        <w:t>將OECD</w:t>
      </w:r>
      <w:r w:rsidR="00D518DD" w:rsidRPr="00D40021">
        <w:rPr>
          <w:rFonts w:hAnsi="標楷體"/>
        </w:rPr>
        <w:t>國家年金</w:t>
      </w:r>
      <w:r w:rsidR="00D518DD" w:rsidRPr="00D40021">
        <w:rPr>
          <w:rFonts w:hAnsi="標楷體" w:hint="eastAsia"/>
        </w:rPr>
        <w:t>所得替代率概況，提供給年改會及退撫法制主管機關</w:t>
      </w:r>
      <w:r w:rsidR="00D518DD" w:rsidRPr="00D40021">
        <w:rPr>
          <w:rStyle w:val="aff3"/>
          <w:rFonts w:hAnsi="標楷體"/>
        </w:rPr>
        <w:footnoteReference w:id="19"/>
      </w:r>
      <w:r w:rsidR="00D518DD" w:rsidRPr="00D40021">
        <w:rPr>
          <w:rFonts w:hAnsi="標楷體" w:hint="eastAsia"/>
        </w:rPr>
        <w:t>作為</w:t>
      </w:r>
      <w:proofErr w:type="gramStart"/>
      <w:r w:rsidR="00D518DD" w:rsidRPr="00D40021">
        <w:rPr>
          <w:rFonts w:hAnsi="標楷體" w:hint="eastAsia"/>
        </w:rPr>
        <w:t>研</w:t>
      </w:r>
      <w:proofErr w:type="gramEnd"/>
      <w:r w:rsidR="00D518DD" w:rsidRPr="00D40021">
        <w:rPr>
          <w:rFonts w:hAnsi="標楷體" w:hint="eastAsia"/>
        </w:rPr>
        <w:t>提年金改革方案之參考，卻忽略我國與OECD國家有關公務人員進用方式、公職保障、在職待遇制度</w:t>
      </w:r>
      <w:r w:rsidR="00144B17" w:rsidRPr="00D40021">
        <w:rPr>
          <w:rFonts w:hAnsi="標楷體" w:hint="eastAsia"/>
        </w:rPr>
        <w:t>（</w:t>
      </w:r>
      <w:r w:rsidR="00D518DD" w:rsidRPr="00D40021">
        <w:rPr>
          <w:rFonts w:hAnsi="標楷體" w:hint="eastAsia"/>
        </w:rPr>
        <w:t>含薪資、津貼、福利）及法定義務</w:t>
      </w:r>
      <w:r w:rsidR="00144B17" w:rsidRPr="00D40021">
        <w:rPr>
          <w:rFonts w:hAnsi="標楷體" w:hint="eastAsia"/>
        </w:rPr>
        <w:t>（</w:t>
      </w:r>
      <w:r w:rsidR="00D518DD" w:rsidRPr="00D40021">
        <w:rPr>
          <w:rFonts w:hAnsi="標楷體" w:hint="eastAsia"/>
        </w:rPr>
        <w:t>如無定量服務、兼職禁止、服從、保密、忠誠、保持品位、迴避、旋轉門條款、善良管理人、罷工禁止、告發等）之結構性差異，</w:t>
      </w:r>
      <w:r w:rsidR="003F07BB" w:rsidRPr="00D40021">
        <w:rPr>
          <w:rFonts w:hAnsi="標楷體" w:hint="eastAsia"/>
        </w:rPr>
        <w:t>亦</w:t>
      </w:r>
      <w:r w:rsidR="00D518DD" w:rsidRPr="00D40021">
        <w:rPr>
          <w:rFonts w:hAnsi="標楷體" w:hint="eastAsia"/>
        </w:rPr>
        <w:t>不無草率</w:t>
      </w:r>
      <w:r w:rsidR="003F07BB" w:rsidRPr="00D40021">
        <w:rPr>
          <w:rFonts w:hAnsi="標楷體" w:hint="eastAsia"/>
        </w:rPr>
        <w:t>便宜行事之嫌</w:t>
      </w:r>
      <w:r w:rsidR="00D518DD" w:rsidRPr="00D40021">
        <w:rPr>
          <w:rFonts w:hAnsi="標楷體" w:hint="eastAsia"/>
        </w:rPr>
        <w:t>。</w:t>
      </w:r>
    </w:p>
    <w:p w:rsidR="000C26C4" w:rsidRDefault="00F161D4" w:rsidP="00CD5075">
      <w:pPr>
        <w:pStyle w:val="3"/>
        <w:spacing w:line="460" w:lineRule="exact"/>
        <w:rPr>
          <w:rFonts w:hAnsi="標楷體"/>
        </w:rPr>
      </w:pPr>
      <w:r w:rsidRPr="00D40021">
        <w:rPr>
          <w:rFonts w:hAnsi="標楷體"/>
        </w:rPr>
        <w:t>綜</w:t>
      </w:r>
      <w:r w:rsidRPr="00D40021">
        <w:rPr>
          <w:rFonts w:hAnsi="標楷體"/>
          <w:lang w:eastAsia="zh-HK"/>
        </w:rPr>
        <w:t>上，</w:t>
      </w:r>
      <w:r w:rsidR="000C26C4" w:rsidRPr="00D40021">
        <w:rPr>
          <w:rFonts w:hAnsi="標楷體"/>
          <w:lang w:eastAsia="zh-HK"/>
        </w:rPr>
        <w:t>RIA</w:t>
      </w:r>
      <w:r w:rsidR="000C26C4" w:rsidRPr="00D40021">
        <w:rPr>
          <w:rFonts w:hAnsi="標楷體" w:hint="eastAsia"/>
          <w:lang w:eastAsia="zh-HK"/>
        </w:rPr>
        <w:t>為</w:t>
      </w:r>
      <w:r w:rsidR="000C26C4" w:rsidRPr="00D40021">
        <w:rPr>
          <w:rFonts w:hAnsi="標楷體"/>
          <w:lang w:eastAsia="zh-HK"/>
        </w:rPr>
        <w:t>法制作業</w:t>
      </w:r>
      <w:r w:rsidR="000C26C4" w:rsidRPr="00D40021">
        <w:rPr>
          <w:rFonts w:hAnsi="標楷體" w:hint="eastAsia"/>
          <w:lang w:eastAsia="zh-HK"/>
        </w:rPr>
        <w:t>之</w:t>
      </w:r>
      <w:r w:rsidR="000C26C4" w:rsidRPr="00D40021">
        <w:rPr>
          <w:rFonts w:hAnsi="標楷體"/>
          <w:lang w:eastAsia="zh-HK"/>
        </w:rPr>
        <w:t>前置評估作業，</w:t>
      </w:r>
      <w:r w:rsidR="000C26C4" w:rsidRPr="00D40021">
        <w:rPr>
          <w:rFonts w:hAnsi="標楷體" w:hint="eastAsia"/>
          <w:lang w:eastAsia="zh-HK"/>
        </w:rPr>
        <w:t>其</w:t>
      </w:r>
      <w:r w:rsidR="000C26C4" w:rsidRPr="00D40021">
        <w:rPr>
          <w:rFonts w:hAnsi="標楷體"/>
          <w:lang w:eastAsia="zh-HK"/>
        </w:rPr>
        <w:t>精神</w:t>
      </w:r>
      <w:r w:rsidR="000C26C4" w:rsidRPr="00D40021">
        <w:rPr>
          <w:rFonts w:hAnsi="標楷體" w:hint="eastAsia"/>
          <w:lang w:eastAsia="zh-HK"/>
        </w:rPr>
        <w:t>係</w:t>
      </w:r>
      <w:r w:rsidR="000C26C4" w:rsidRPr="00D40021">
        <w:rPr>
          <w:rFonts w:hAnsi="標楷體"/>
          <w:lang w:eastAsia="zh-HK"/>
        </w:rPr>
        <w:t>藉由法規政策制定前</w:t>
      </w:r>
      <w:r w:rsidR="000C26C4" w:rsidRPr="00D40021">
        <w:rPr>
          <w:rFonts w:hAnsi="標楷體" w:hint="eastAsia"/>
          <w:lang w:eastAsia="zh-HK"/>
        </w:rPr>
        <w:t>之</w:t>
      </w:r>
      <w:r w:rsidR="000C26C4" w:rsidRPr="00D40021">
        <w:rPr>
          <w:rFonts w:hAnsi="標楷體"/>
          <w:lang w:eastAsia="zh-HK"/>
        </w:rPr>
        <w:t>規劃階段落實相關評估程序，包括預擬對策方案，進行方案間</w:t>
      </w:r>
      <w:r w:rsidR="000C26C4" w:rsidRPr="00D40021">
        <w:rPr>
          <w:rFonts w:hAnsi="標楷體" w:hint="eastAsia"/>
          <w:lang w:eastAsia="zh-HK"/>
        </w:rPr>
        <w:t>之</w:t>
      </w:r>
      <w:r w:rsidR="000C26C4" w:rsidRPr="00D40021">
        <w:rPr>
          <w:rFonts w:hAnsi="標楷體"/>
          <w:lang w:eastAsia="zh-HK"/>
        </w:rPr>
        <w:t>比較</w:t>
      </w:r>
      <w:r w:rsidR="000C26C4" w:rsidRPr="00D40021">
        <w:rPr>
          <w:rFonts w:hAnsi="標楷體"/>
          <w:bCs w:val="0"/>
        </w:rPr>
        <w:t>分析</w:t>
      </w:r>
      <w:r w:rsidR="000C26C4" w:rsidRPr="00D40021">
        <w:rPr>
          <w:rFonts w:hAnsi="標楷體"/>
          <w:lang w:eastAsia="zh-HK"/>
        </w:rPr>
        <w:t>，與相關公眾諮詢程序，</w:t>
      </w:r>
      <w:proofErr w:type="gramStart"/>
      <w:r w:rsidR="000C26C4" w:rsidRPr="00D40021">
        <w:rPr>
          <w:rFonts w:hAnsi="標楷體"/>
          <w:lang w:eastAsia="zh-HK"/>
        </w:rPr>
        <w:t>綜整評估</w:t>
      </w:r>
      <w:proofErr w:type="gramEnd"/>
      <w:r w:rsidR="000C26C4" w:rsidRPr="00D40021">
        <w:rPr>
          <w:rFonts w:hAnsi="標楷體"/>
          <w:lang w:eastAsia="zh-HK"/>
        </w:rPr>
        <w:t>選擇最適當</w:t>
      </w:r>
      <w:r w:rsidR="000C26C4" w:rsidRPr="00D40021">
        <w:rPr>
          <w:rFonts w:hAnsi="標楷體" w:hint="eastAsia"/>
          <w:lang w:eastAsia="zh-HK"/>
        </w:rPr>
        <w:t>之</w:t>
      </w:r>
      <w:r w:rsidR="000C26C4" w:rsidRPr="00D40021">
        <w:rPr>
          <w:rFonts w:hAnsi="標楷體"/>
          <w:lang w:eastAsia="zh-HK"/>
        </w:rPr>
        <w:t>施行措施等，以提升法規制定品質。</w:t>
      </w:r>
      <w:proofErr w:type="gramStart"/>
      <w:r w:rsidR="000C26C4" w:rsidRPr="00D40021">
        <w:rPr>
          <w:rFonts w:hAnsi="標楷體"/>
          <w:lang w:eastAsia="zh-HK"/>
        </w:rPr>
        <w:t>惟查</w:t>
      </w:r>
      <w:proofErr w:type="gramEnd"/>
      <w:r w:rsidR="000C26C4" w:rsidRPr="00D40021">
        <w:rPr>
          <w:rFonts w:hAnsi="標楷體"/>
          <w:lang w:eastAsia="zh-HK"/>
        </w:rPr>
        <w:t>，</w:t>
      </w:r>
      <w:r w:rsidR="000C26C4" w:rsidRPr="00D40021">
        <w:rPr>
          <w:rFonts w:hAnsi="標楷體" w:hint="eastAsia"/>
          <w:lang w:eastAsia="zh-HK"/>
        </w:rPr>
        <w:t>服役條例</w:t>
      </w:r>
      <w:r w:rsidR="000C26C4" w:rsidRPr="00D40021">
        <w:rPr>
          <w:rFonts w:hAnsi="標楷體"/>
          <w:lang w:eastAsia="zh-HK"/>
        </w:rPr>
        <w:t>主要利害關係人未</w:t>
      </w:r>
      <w:r w:rsidR="000C26C4" w:rsidRPr="00D40021">
        <w:rPr>
          <w:rFonts w:hAnsi="標楷體" w:hint="eastAsia"/>
          <w:lang w:eastAsia="zh-HK"/>
        </w:rPr>
        <w:t>能</w:t>
      </w:r>
      <w:r w:rsidR="000C26C4" w:rsidRPr="00D40021">
        <w:rPr>
          <w:rFonts w:hAnsi="標楷體"/>
          <w:lang w:eastAsia="zh-HK"/>
        </w:rPr>
        <w:t>明瞭本次年金改革對其具體之影響情形，法制作業程序未盡完備，徒具公眾參與諮詢之形式，</w:t>
      </w:r>
      <w:proofErr w:type="gramStart"/>
      <w:r w:rsidR="000C26C4" w:rsidRPr="00D40021">
        <w:rPr>
          <w:rFonts w:hAnsi="標楷體"/>
          <w:lang w:eastAsia="zh-HK"/>
        </w:rPr>
        <w:t>然未落實</w:t>
      </w:r>
      <w:proofErr w:type="gramEnd"/>
      <w:r w:rsidR="000C26C4" w:rsidRPr="00D40021">
        <w:rPr>
          <w:rFonts w:hAnsi="標楷體"/>
          <w:lang w:eastAsia="zh-HK"/>
        </w:rPr>
        <w:t>專業合理之</w:t>
      </w:r>
      <w:proofErr w:type="gramStart"/>
      <w:r w:rsidR="000C26C4" w:rsidRPr="00D40021">
        <w:rPr>
          <w:rFonts w:hAnsi="標楷體"/>
          <w:lang w:eastAsia="zh-HK"/>
        </w:rPr>
        <w:t>思辯</w:t>
      </w:r>
      <w:proofErr w:type="gramEnd"/>
      <w:r w:rsidR="000C26C4" w:rsidRPr="00D40021">
        <w:rPr>
          <w:rFonts w:hAnsi="標楷體"/>
          <w:lang w:eastAsia="zh-HK"/>
        </w:rPr>
        <w:t>論證、利弊分析及溝通調整的諮商程序，</w:t>
      </w:r>
      <w:r w:rsidR="000C26C4" w:rsidRPr="00D40021">
        <w:rPr>
          <w:rFonts w:hAnsi="標楷體" w:hint="eastAsia"/>
          <w:lang w:eastAsia="zh-HK"/>
        </w:rPr>
        <w:t>國防</w:t>
      </w:r>
      <w:r w:rsidR="000C26C4" w:rsidRPr="00D40021">
        <w:rPr>
          <w:rFonts w:hAnsi="標楷體"/>
          <w:lang w:eastAsia="zh-HK"/>
        </w:rPr>
        <w:t>部難辭其咎。</w:t>
      </w:r>
    </w:p>
    <w:p w:rsidR="002444B7" w:rsidRDefault="002444B7" w:rsidP="002444B7">
      <w:pPr>
        <w:pStyle w:val="3"/>
        <w:numPr>
          <w:ilvl w:val="0"/>
          <w:numId w:val="0"/>
        </w:numPr>
        <w:spacing w:line="460" w:lineRule="exact"/>
        <w:ind w:left="680"/>
        <w:rPr>
          <w:rFonts w:hAnsi="標楷體"/>
          <w:lang w:eastAsia="zh-HK"/>
        </w:rPr>
      </w:pPr>
    </w:p>
    <w:p w:rsidR="002444B7" w:rsidRDefault="002444B7" w:rsidP="002444B7">
      <w:pPr>
        <w:pStyle w:val="3"/>
        <w:numPr>
          <w:ilvl w:val="0"/>
          <w:numId w:val="0"/>
        </w:numPr>
        <w:spacing w:line="460" w:lineRule="exact"/>
        <w:ind w:left="680"/>
        <w:rPr>
          <w:rFonts w:hAnsi="標楷體"/>
          <w:lang w:eastAsia="zh-HK"/>
        </w:rPr>
      </w:pPr>
    </w:p>
    <w:p w:rsidR="002444B7" w:rsidRDefault="002444B7" w:rsidP="002444B7">
      <w:pPr>
        <w:pStyle w:val="3"/>
        <w:numPr>
          <w:ilvl w:val="0"/>
          <w:numId w:val="0"/>
        </w:numPr>
        <w:spacing w:line="460" w:lineRule="exact"/>
        <w:ind w:left="680"/>
        <w:rPr>
          <w:rFonts w:hAnsi="標楷體" w:hint="eastAsia"/>
          <w:lang w:eastAsia="zh-HK"/>
        </w:rPr>
      </w:pPr>
    </w:p>
    <w:p w:rsidR="002444B7" w:rsidRDefault="002444B7" w:rsidP="002444B7">
      <w:pPr>
        <w:pStyle w:val="3"/>
        <w:numPr>
          <w:ilvl w:val="0"/>
          <w:numId w:val="0"/>
        </w:numPr>
        <w:spacing w:line="460" w:lineRule="exact"/>
        <w:ind w:left="680"/>
        <w:rPr>
          <w:rFonts w:hAnsi="標楷體"/>
          <w:lang w:eastAsia="zh-HK"/>
        </w:rPr>
      </w:pPr>
      <w:bookmarkStart w:id="42" w:name="_GoBack"/>
      <w:bookmarkEnd w:id="42"/>
    </w:p>
    <w:p w:rsidR="002444B7" w:rsidRDefault="002444B7" w:rsidP="002444B7">
      <w:pPr>
        <w:pStyle w:val="3"/>
        <w:numPr>
          <w:ilvl w:val="0"/>
          <w:numId w:val="0"/>
        </w:numPr>
        <w:ind w:leftChars="1200" w:left="4082"/>
        <w:rPr>
          <w:rFonts w:hAnsi="標楷體"/>
          <w:spacing w:val="12"/>
          <w:kern w:val="0"/>
          <w:sz w:val="40"/>
        </w:rPr>
      </w:pPr>
      <w:r w:rsidRPr="00D40021">
        <w:rPr>
          <w:rFonts w:hAnsi="標楷體"/>
          <w:spacing w:val="12"/>
          <w:kern w:val="0"/>
          <w:sz w:val="40"/>
        </w:rPr>
        <w:t>調查委員：</w:t>
      </w:r>
      <w:r>
        <w:rPr>
          <w:rFonts w:hAnsi="標楷體" w:hint="eastAsia"/>
          <w:spacing w:val="12"/>
          <w:kern w:val="0"/>
          <w:sz w:val="40"/>
        </w:rPr>
        <w:t>仉桂美</w:t>
      </w:r>
    </w:p>
    <w:p w:rsidR="002444B7" w:rsidRDefault="002444B7" w:rsidP="002444B7">
      <w:pPr>
        <w:pStyle w:val="3"/>
        <w:numPr>
          <w:ilvl w:val="0"/>
          <w:numId w:val="0"/>
        </w:numPr>
        <w:ind w:leftChars="1850" w:left="6293"/>
        <w:rPr>
          <w:rFonts w:hAnsi="標楷體"/>
          <w:spacing w:val="12"/>
          <w:kern w:val="0"/>
          <w:sz w:val="40"/>
        </w:rPr>
      </w:pPr>
      <w:r>
        <w:rPr>
          <w:rFonts w:hAnsi="標楷體" w:hint="eastAsia"/>
          <w:spacing w:val="12"/>
          <w:kern w:val="0"/>
          <w:sz w:val="40"/>
        </w:rPr>
        <w:t>劉德勳</w:t>
      </w:r>
    </w:p>
    <w:p w:rsidR="002444B7" w:rsidRPr="00D40021" w:rsidRDefault="002444B7" w:rsidP="002444B7">
      <w:pPr>
        <w:pStyle w:val="3"/>
        <w:numPr>
          <w:ilvl w:val="0"/>
          <w:numId w:val="0"/>
        </w:numPr>
        <w:ind w:leftChars="1850" w:left="6293"/>
        <w:rPr>
          <w:rFonts w:hAnsi="標楷體" w:hint="eastAsia"/>
        </w:rPr>
      </w:pPr>
      <w:r>
        <w:rPr>
          <w:rFonts w:hAnsi="標楷體" w:hint="eastAsia"/>
          <w:spacing w:val="12"/>
          <w:kern w:val="0"/>
          <w:sz w:val="40"/>
        </w:rPr>
        <w:t>包宗</w:t>
      </w:r>
      <w:proofErr w:type="gramStart"/>
      <w:r>
        <w:rPr>
          <w:rFonts w:hAnsi="標楷體" w:hint="eastAsia"/>
          <w:spacing w:val="12"/>
          <w:kern w:val="0"/>
          <w:sz w:val="40"/>
        </w:rPr>
        <w:t>和</w:t>
      </w:r>
      <w:proofErr w:type="gramEnd"/>
    </w:p>
    <w:sectPr w:rsidR="002444B7" w:rsidRPr="00D40021" w:rsidSect="000C440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781" w:rsidRDefault="003A6781">
      <w:r>
        <w:separator/>
      </w:r>
    </w:p>
  </w:endnote>
  <w:endnote w:type="continuationSeparator" w:id="0">
    <w:p w:rsidR="003A6781" w:rsidRDefault="003A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BF" w:rsidRDefault="006907B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444B7">
      <w:rPr>
        <w:rStyle w:val="ae"/>
        <w:noProof/>
        <w:sz w:val="24"/>
      </w:rPr>
      <w:t>40</w:t>
    </w:r>
    <w:r>
      <w:rPr>
        <w:rStyle w:val="ae"/>
        <w:sz w:val="24"/>
      </w:rPr>
      <w:fldChar w:fldCharType="end"/>
    </w:r>
  </w:p>
  <w:p w:rsidR="006907BF" w:rsidRDefault="006907B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781" w:rsidRDefault="003A6781">
      <w:r>
        <w:separator/>
      </w:r>
    </w:p>
  </w:footnote>
  <w:footnote w:type="continuationSeparator" w:id="0">
    <w:p w:rsidR="003A6781" w:rsidRDefault="003A6781">
      <w:r>
        <w:continuationSeparator/>
      </w:r>
    </w:p>
  </w:footnote>
  <w:footnote w:id="1">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w:t>
      </w:r>
      <w:r w:rsidRPr="00D40021">
        <w:rPr>
          <w:rFonts w:ascii="標楷體" w:eastAsia="標楷體" w:hAnsi="標楷體" w:hint="eastAsia"/>
        </w:rPr>
        <w:t>108年1月4日修正公布名稱為「憲法訴訟法」及全文95條，自公布後3年施行。</w:t>
      </w:r>
    </w:p>
  </w:footnote>
  <w:footnote w:id="2">
    <w:p w:rsidR="006907BF" w:rsidRPr="00D40021" w:rsidRDefault="006907BF" w:rsidP="000D50FF">
      <w:pPr>
        <w:pStyle w:val="aff2"/>
        <w:wordWrap w:val="0"/>
        <w:topLinePunct/>
        <w:adjustRightInd w:val="0"/>
        <w:ind w:left="165" w:hangingChars="75" w:hanging="165"/>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w:t>
      </w:r>
      <w:r w:rsidRPr="00D40021">
        <w:rPr>
          <w:rFonts w:ascii="標楷體" w:eastAsia="標楷體" w:hAnsi="標楷體" w:hint="eastAsia"/>
        </w:rPr>
        <w:t>公務員任用之本質，依據現行行政法學學說分別有：1.私法契約說：與一般勞動</w:t>
      </w:r>
      <w:proofErr w:type="gramStart"/>
      <w:r w:rsidRPr="00D40021">
        <w:rPr>
          <w:rFonts w:ascii="標楷體" w:eastAsia="標楷體" w:hAnsi="標楷體" w:hint="eastAsia"/>
        </w:rPr>
        <w:t>僱傭</w:t>
      </w:r>
      <w:proofErr w:type="gramEnd"/>
      <w:r w:rsidRPr="00D40021">
        <w:rPr>
          <w:rFonts w:ascii="標楷體" w:eastAsia="標楷體" w:hAnsi="標楷體" w:hint="eastAsia"/>
        </w:rPr>
        <w:t>契約相同。2.公法契約說：國家與人民在法律上地位平等。國家欲使人民成為公務員，須獲得人民同意。故公務員的任用，乃基於國家與人民意思</w:t>
      </w:r>
      <w:proofErr w:type="gramStart"/>
      <w:r w:rsidRPr="00D40021">
        <w:rPr>
          <w:rFonts w:ascii="標楷體" w:eastAsia="標楷體" w:hAnsi="標楷體" w:hint="eastAsia"/>
        </w:rPr>
        <w:t>表示合致</w:t>
      </w:r>
      <w:proofErr w:type="gramEnd"/>
      <w:r w:rsidRPr="00D40021">
        <w:rPr>
          <w:rFonts w:ascii="標楷體" w:eastAsia="標楷體" w:hAnsi="標楷體" w:hint="eastAsia"/>
        </w:rPr>
        <w:t>，形成公法上的契約關係。3.須相對人同意的行政處分：公務員的任用，乃出於國家單方面的意思表示決定。但國家此種任用行為，必須以該受任人的同意為有效要件。</w:t>
      </w:r>
    </w:p>
  </w:footnote>
  <w:footnote w:id="3">
    <w:p w:rsidR="006907BF" w:rsidRPr="00D40021" w:rsidRDefault="006907BF" w:rsidP="000D50FF">
      <w:pPr>
        <w:pStyle w:val="aff2"/>
        <w:wordWrap w:val="0"/>
        <w:topLinePunct/>
        <w:adjustRightInd w:val="0"/>
        <w:ind w:left="165" w:hangingChars="75" w:hanging="165"/>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陳敏，行政法總論第</w:t>
      </w:r>
      <w:r w:rsidRPr="00D40021">
        <w:rPr>
          <w:rFonts w:ascii="標楷體" w:eastAsia="標楷體" w:hAnsi="標楷體" w:hint="eastAsia"/>
        </w:rPr>
        <w:t>3</w:t>
      </w:r>
      <w:r w:rsidRPr="00D40021">
        <w:rPr>
          <w:rFonts w:ascii="標楷體" w:eastAsia="標楷體" w:hAnsi="標楷體"/>
        </w:rPr>
        <w:t>版，頁304，92年1月。</w:t>
      </w:r>
    </w:p>
  </w:footnote>
  <w:footnote w:id="4">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hint="eastAsia"/>
        </w:rPr>
        <w:t xml:space="preserve"> 早期見解軍人與公務員相同均</w:t>
      </w:r>
      <w:proofErr w:type="gramStart"/>
      <w:r w:rsidRPr="00D40021">
        <w:rPr>
          <w:rFonts w:ascii="標楷體" w:eastAsia="標楷體" w:hAnsi="標楷體" w:hint="eastAsia"/>
        </w:rPr>
        <w:t>採</w:t>
      </w:r>
      <w:proofErr w:type="gramEnd"/>
      <w:r w:rsidRPr="00D40021">
        <w:rPr>
          <w:rFonts w:ascii="標楷體" w:eastAsia="標楷體" w:hAnsi="標楷體" w:hint="eastAsia"/>
        </w:rPr>
        <w:t>「特別權力關係」係行政主體與特定人民基於特別之法律上原因（無論係法律之強制規定，或係經相對人民之任意同意等），為達成公法上之特定任務，而於必要</w:t>
      </w:r>
      <w:proofErr w:type="gramStart"/>
      <w:r w:rsidRPr="00D40021">
        <w:rPr>
          <w:rFonts w:ascii="標楷體" w:eastAsia="標楷體" w:hAnsi="標楷體" w:hint="eastAsia"/>
        </w:rPr>
        <w:t>規</w:t>
      </w:r>
      <w:proofErr w:type="gramEnd"/>
      <w:r w:rsidRPr="00D40021">
        <w:rPr>
          <w:rFonts w:ascii="標楷體" w:eastAsia="標楷體" w:hAnsi="標楷體" w:hint="eastAsia"/>
        </w:rPr>
        <w:t>制之範圍內，由行政主體取得支配相對人民之權能，並令相對人民負有服從之法律關係，惟此見解早已改變為「特別法律關係」，如翁岳生於「行政法與現代法治國家」一書中指出，凡行政主體對「公務員個人法律地位」之行為，如任命、轉任、升等、免職等處置，係以直接發生公務員與行政主體間之法律關係為其目的，已屬於二者之間之「法律行為」，並具有「行政處分」性質，本質上既係「外部行為」，自應視為與一般權力關係（一般法律關係、一般統治關係）所為相同之行為，仍宜有一般公法上原理原則之適用，如得提起訴願、行政訴訟以資救濟。</w:t>
      </w:r>
    </w:p>
  </w:footnote>
  <w:footnote w:id="5">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hint="eastAsia"/>
        </w:rPr>
        <w:t xml:space="preserve"> 修正施行前服役條例第25條第1項第2款規定。</w:t>
      </w:r>
    </w:p>
  </w:footnote>
  <w:footnote w:id="6">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006D5A91" w:rsidRPr="00D40021">
        <w:rPr>
          <w:rFonts w:ascii="標楷體" w:eastAsia="標楷體" w:hAnsi="標楷體" w:hint="eastAsia"/>
        </w:rPr>
        <w:t xml:space="preserve"> </w:t>
      </w:r>
      <w:r w:rsidRPr="00D40021">
        <w:rPr>
          <w:rFonts w:ascii="標楷體" w:eastAsia="標楷體" w:hAnsi="標楷體" w:hint="eastAsia"/>
        </w:rPr>
        <w:t>修正施行前服役條例第27條第2項規定</w:t>
      </w:r>
      <w:proofErr w:type="gramStart"/>
      <w:r w:rsidRPr="00D40021">
        <w:rPr>
          <w:rFonts w:ascii="標楷體" w:eastAsia="標楷體" w:hAnsi="標楷體" w:hint="eastAsia"/>
        </w:rPr>
        <w:t>提撥</w:t>
      </w:r>
      <w:proofErr w:type="gramEnd"/>
      <w:r w:rsidRPr="00D40021">
        <w:rPr>
          <w:rFonts w:ascii="標楷體" w:eastAsia="標楷體" w:hAnsi="標楷體" w:hint="eastAsia"/>
        </w:rPr>
        <w:t>費率為8</w:t>
      </w:r>
      <w:r w:rsidRPr="00D40021">
        <w:rPr>
          <w:rFonts w:ascii="標楷體" w:eastAsia="標楷體" w:hAnsi="標楷體"/>
        </w:rPr>
        <w:t>%至</w:t>
      </w:r>
      <w:r w:rsidRPr="00D40021">
        <w:rPr>
          <w:rFonts w:ascii="標楷體" w:eastAsia="標楷體" w:hAnsi="標楷體" w:hint="eastAsia"/>
        </w:rPr>
        <w:t>12</w:t>
      </w:r>
      <w:r w:rsidRPr="00D40021">
        <w:rPr>
          <w:rFonts w:ascii="標楷體" w:eastAsia="標楷體" w:hAnsi="標楷體"/>
        </w:rPr>
        <w:t>%</w:t>
      </w:r>
      <w:r w:rsidRPr="00D40021">
        <w:rPr>
          <w:rFonts w:ascii="標楷體" w:eastAsia="標楷體" w:hAnsi="標楷體" w:hint="eastAsia"/>
        </w:rPr>
        <w:t>。</w:t>
      </w:r>
    </w:p>
  </w:footnote>
  <w:footnote w:id="7">
    <w:p w:rsidR="00552100" w:rsidRPr="00D40021" w:rsidRDefault="00552100" w:rsidP="000D50FF">
      <w:pPr>
        <w:pStyle w:val="aff2"/>
        <w:wordWrap w:val="0"/>
        <w:topLinePunct/>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w:t>
      </w:r>
      <w:r w:rsidRPr="00D40021">
        <w:rPr>
          <w:rFonts w:ascii="標楷體" w:eastAsia="標楷體" w:hAnsi="標楷體" w:hint="eastAsia"/>
          <w:szCs w:val="32"/>
        </w:rPr>
        <w:t>公務</w:t>
      </w:r>
      <w:r w:rsidRPr="00D40021">
        <w:rPr>
          <w:rFonts w:ascii="標楷體" w:eastAsia="標楷體" w:hAnsi="標楷體"/>
          <w:szCs w:val="32"/>
        </w:rPr>
        <w:t>人員於8</w:t>
      </w:r>
      <w:r w:rsidRPr="00D40021">
        <w:rPr>
          <w:rFonts w:ascii="標楷體" w:eastAsia="標楷體" w:hAnsi="標楷體" w:hint="eastAsia"/>
          <w:szCs w:val="32"/>
        </w:rPr>
        <w:t>4</w:t>
      </w:r>
      <w:r w:rsidRPr="00D40021">
        <w:rPr>
          <w:rFonts w:ascii="標楷體" w:eastAsia="標楷體" w:hAnsi="標楷體"/>
          <w:szCs w:val="32"/>
        </w:rPr>
        <w:t>年</w:t>
      </w:r>
      <w:r w:rsidRPr="00D40021">
        <w:rPr>
          <w:rFonts w:ascii="標楷體" w:eastAsia="標楷體" w:hAnsi="標楷體" w:hint="eastAsia"/>
          <w:szCs w:val="32"/>
        </w:rPr>
        <w:t>7</w:t>
      </w:r>
      <w:r w:rsidRPr="00D40021">
        <w:rPr>
          <w:rFonts w:ascii="標楷體" w:eastAsia="標楷體" w:hAnsi="標楷體"/>
          <w:szCs w:val="32"/>
        </w:rPr>
        <w:t>月1日實施退撫新制</w:t>
      </w:r>
      <w:r w:rsidRPr="00D40021">
        <w:rPr>
          <w:rFonts w:ascii="標楷體" w:eastAsia="標楷體" w:hAnsi="標楷體" w:hint="eastAsia"/>
          <w:szCs w:val="32"/>
        </w:rPr>
        <w:t>。</w:t>
      </w:r>
    </w:p>
  </w:footnote>
  <w:footnote w:id="8">
    <w:p w:rsidR="00552100" w:rsidRPr="00D40021" w:rsidRDefault="00552100" w:rsidP="000D50FF">
      <w:pPr>
        <w:pStyle w:val="aff2"/>
        <w:wordWrap w:val="0"/>
        <w:topLinePunct/>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w:t>
      </w:r>
      <w:r w:rsidRPr="00D40021">
        <w:rPr>
          <w:rFonts w:ascii="標楷體" w:eastAsia="標楷體" w:hAnsi="標楷體"/>
          <w:szCs w:val="32"/>
        </w:rPr>
        <w:t>教育人員於85年2月1日實施退撫新制</w:t>
      </w:r>
      <w:r w:rsidRPr="00D40021">
        <w:rPr>
          <w:rFonts w:ascii="標楷體" w:eastAsia="標楷體" w:hAnsi="標楷體" w:hint="eastAsia"/>
          <w:szCs w:val="32"/>
        </w:rPr>
        <w:t>。</w:t>
      </w:r>
    </w:p>
  </w:footnote>
  <w:footnote w:id="9">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w:t>
      </w:r>
      <w:proofErr w:type="gramStart"/>
      <w:r w:rsidRPr="00D40021">
        <w:rPr>
          <w:rFonts w:ascii="標楷體" w:eastAsia="標楷體" w:hAnsi="標楷體" w:hint="eastAsia"/>
        </w:rPr>
        <w:t>同本院</w:t>
      </w:r>
      <w:proofErr w:type="gramEnd"/>
      <w:r w:rsidRPr="00D40021">
        <w:rPr>
          <w:rFonts w:ascii="標楷體" w:eastAsia="標楷體" w:hAnsi="標楷體" w:hint="eastAsia"/>
        </w:rPr>
        <w:t>「</w:t>
      </w:r>
      <w:proofErr w:type="gramStart"/>
      <w:r w:rsidRPr="00D40021">
        <w:rPr>
          <w:rFonts w:ascii="標楷體" w:eastAsia="標楷體" w:hAnsi="標楷體"/>
        </w:rPr>
        <w:t>據訴</w:t>
      </w:r>
      <w:proofErr w:type="gramEnd"/>
      <w:r w:rsidRPr="00D40021">
        <w:rPr>
          <w:rFonts w:ascii="標楷體" w:eastAsia="標楷體" w:hAnsi="標楷體"/>
        </w:rPr>
        <w:t>，公教人員年金改革相關法案是否有違法律</w:t>
      </w:r>
      <w:proofErr w:type="gramStart"/>
      <w:r w:rsidRPr="00D40021">
        <w:rPr>
          <w:rFonts w:ascii="標楷體" w:eastAsia="標楷體" w:hAnsi="標楷體"/>
        </w:rPr>
        <w:t>不</w:t>
      </w:r>
      <w:proofErr w:type="gramEnd"/>
      <w:r w:rsidRPr="00D40021">
        <w:rPr>
          <w:rFonts w:ascii="標楷體" w:eastAsia="標楷體" w:hAnsi="標楷體"/>
        </w:rPr>
        <w:t>溯及既往、信賴保護等相關原則？是否有違憲之疑義？相關公教人員之權益有無被公平合理之對待等，</w:t>
      </w:r>
      <w:proofErr w:type="gramStart"/>
      <w:r w:rsidRPr="00D40021">
        <w:rPr>
          <w:rFonts w:ascii="標楷體" w:eastAsia="標楷體" w:hAnsi="標楷體"/>
        </w:rPr>
        <w:t>均有詳加釐</w:t>
      </w:r>
      <w:proofErr w:type="gramEnd"/>
      <w:r w:rsidRPr="00D40021">
        <w:rPr>
          <w:rFonts w:ascii="標楷體" w:eastAsia="標楷體" w:hAnsi="標楷體"/>
        </w:rPr>
        <w:t>清並深入調查之必要案</w:t>
      </w:r>
      <w:r w:rsidRPr="00D40021">
        <w:rPr>
          <w:rFonts w:ascii="標楷體" w:eastAsia="標楷體" w:hAnsi="標楷體" w:hint="eastAsia"/>
        </w:rPr>
        <w:t>」調查報告(</w:t>
      </w:r>
      <w:r w:rsidRPr="00D40021">
        <w:rPr>
          <w:rFonts w:ascii="標楷體" w:eastAsia="標楷體" w:hAnsi="標楷體"/>
        </w:rPr>
        <w:t>107</w:t>
      </w:r>
      <w:proofErr w:type="gramStart"/>
      <w:r w:rsidRPr="00D40021">
        <w:rPr>
          <w:rFonts w:ascii="標楷體" w:eastAsia="標楷體" w:hAnsi="標楷體"/>
        </w:rPr>
        <w:t>教調</w:t>
      </w:r>
      <w:proofErr w:type="gramEnd"/>
      <w:r w:rsidRPr="00D40021">
        <w:rPr>
          <w:rFonts w:ascii="標楷體" w:eastAsia="標楷體" w:hAnsi="標楷體"/>
        </w:rPr>
        <w:t>25</w:t>
      </w:r>
      <w:r w:rsidRPr="00D40021">
        <w:rPr>
          <w:rFonts w:ascii="標楷體" w:eastAsia="標楷體" w:hAnsi="標楷體" w:hint="eastAsia"/>
        </w:rPr>
        <w:t>)。</w:t>
      </w:r>
    </w:p>
  </w:footnote>
  <w:footnote w:id="10">
    <w:p w:rsidR="006907BF" w:rsidRPr="00D40021" w:rsidRDefault="006907BF" w:rsidP="000D50FF">
      <w:pPr>
        <w:pStyle w:val="aff2"/>
        <w:wordWrap w:val="0"/>
        <w:topLinePunct/>
        <w:adjustRightInd w:val="0"/>
        <w:ind w:left="220" w:right="68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hint="eastAsia"/>
        </w:rPr>
        <w:t xml:space="preserve"> 自由時報網站資料</w:t>
      </w:r>
      <w:proofErr w:type="gramStart"/>
      <w:r w:rsidRPr="00D40021">
        <w:rPr>
          <w:rFonts w:ascii="標楷體" w:eastAsia="標楷體" w:hAnsi="標楷體" w:hint="eastAsia"/>
        </w:rPr>
        <w:t>（</w:t>
      </w:r>
      <w:proofErr w:type="gramEnd"/>
      <w:r w:rsidRPr="00D40021">
        <w:rPr>
          <w:rFonts w:ascii="標楷體" w:eastAsia="標楷體" w:hAnsi="標楷體" w:hint="eastAsia"/>
        </w:rPr>
        <w:t>http：//news.ltn.com.tw/news/politics/breakingnews/2272703</w:t>
      </w:r>
      <w:proofErr w:type="gramStart"/>
      <w:r w:rsidRPr="00D40021">
        <w:rPr>
          <w:rFonts w:ascii="標楷體" w:eastAsia="標楷體" w:hAnsi="標楷體" w:hint="eastAsia"/>
        </w:rPr>
        <w:t>）</w:t>
      </w:r>
      <w:proofErr w:type="gramEnd"/>
      <w:r w:rsidRPr="00D40021">
        <w:rPr>
          <w:rFonts w:ascii="標楷體" w:eastAsia="標楷體" w:hAnsi="標楷體" w:hint="eastAsia"/>
        </w:rPr>
        <w:t>。</w:t>
      </w:r>
    </w:p>
  </w:footnote>
  <w:footnote w:id="11">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資料來源：Actuarial Standard of Practice No.4 （Revised Edition）：Measuring Pension Obligations and Determining Pension Plan Costs or Contributions, Developed by the Pension Committee ofthe Actuarial StandardsBoard, Adopted by Actuarial Standards Board, 12/2013</w:t>
      </w:r>
      <w:proofErr w:type="gramStart"/>
      <w:r w:rsidRPr="00D40021">
        <w:rPr>
          <w:rFonts w:ascii="標楷體" w:eastAsia="標楷體" w:hAnsi="標楷體"/>
        </w:rPr>
        <w:t>（</w:t>
      </w:r>
      <w:proofErr w:type="gramEnd"/>
      <w:r w:rsidRPr="00D40021">
        <w:rPr>
          <w:rFonts w:ascii="標楷體" w:eastAsia="標楷體" w:hAnsi="標楷體"/>
        </w:rPr>
        <w:t>網址：</w:t>
      </w:r>
      <w:hyperlink r:id="rId1" w:history="1">
        <w:r w:rsidRPr="00D40021">
          <w:rPr>
            <w:rStyle w:val="af1"/>
            <w:rFonts w:ascii="標楷體" w:eastAsia="標楷體" w:hAnsi="標楷體"/>
            <w:color w:val="auto"/>
          </w:rPr>
          <w:t>http://www.actuarialstandardsboard.org/wp-content/uploads/2013/12/asop004_173-3.pdf</w:t>
        </w:r>
      </w:hyperlink>
      <w:proofErr w:type="gramStart"/>
      <w:r w:rsidRPr="00D40021">
        <w:rPr>
          <w:rFonts w:ascii="標楷體" w:eastAsia="標楷體" w:hAnsi="標楷體"/>
        </w:rPr>
        <w:t>）</w:t>
      </w:r>
      <w:proofErr w:type="gramEnd"/>
      <w:r w:rsidRPr="00D40021">
        <w:rPr>
          <w:rFonts w:ascii="標楷體" w:eastAsia="標楷體" w:hAnsi="標楷體"/>
        </w:rPr>
        <w:t>。</w:t>
      </w:r>
    </w:p>
  </w:footnote>
  <w:footnote w:id="12">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資料來源：財團法人中華民國會計研究發展基金會臺灣財務報導準則委員會，國際會計準則第19號「員工福利」正體中文版（2013年版）A部分</w:t>
      </w:r>
      <w:proofErr w:type="gramStart"/>
      <w:r w:rsidRPr="00D40021">
        <w:rPr>
          <w:rFonts w:ascii="標楷體" w:eastAsia="標楷體" w:hAnsi="標楷體"/>
        </w:rPr>
        <w:t>（</w:t>
      </w:r>
      <w:proofErr w:type="gramEnd"/>
      <w:r w:rsidRPr="00D40021">
        <w:rPr>
          <w:rFonts w:ascii="標楷體" w:eastAsia="標楷體" w:hAnsi="標楷體"/>
        </w:rPr>
        <w:t>網址：</w:t>
      </w:r>
      <w:hyperlink r:id="rId2" w:history="1">
        <w:r w:rsidRPr="00D40021">
          <w:rPr>
            <w:rStyle w:val="af1"/>
            <w:rFonts w:ascii="標楷體" w:eastAsia="標楷體" w:hAnsi="標楷體"/>
            <w:color w:val="auto"/>
          </w:rPr>
          <w:t>http://163.29.17.154/ifrs/ifrs_2013_approved/IAS19_2013.pdf?1524017</w:t>
        </w:r>
      </w:hyperlink>
      <w:r w:rsidRPr="00D40021">
        <w:rPr>
          <w:rFonts w:ascii="標楷體" w:eastAsia="標楷體" w:hAnsi="標楷體"/>
        </w:rPr>
        <w:t>）。</w:t>
      </w:r>
    </w:p>
  </w:footnote>
  <w:footnote w:id="13">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資料來源：「保險金分期給付、保險金年金給付精算實務處理準則」（2015年版）</w:t>
      </w:r>
      <w:proofErr w:type="gramStart"/>
      <w:r w:rsidRPr="00D40021">
        <w:rPr>
          <w:rFonts w:ascii="標楷體" w:eastAsia="標楷體" w:hAnsi="標楷體"/>
        </w:rPr>
        <w:t>（</w:t>
      </w:r>
      <w:proofErr w:type="gramEnd"/>
      <w:r w:rsidRPr="00D40021">
        <w:rPr>
          <w:rFonts w:ascii="標楷體" w:eastAsia="標楷體" w:hAnsi="標楷體"/>
        </w:rPr>
        <w:t>網址：</w:t>
      </w:r>
      <w:hyperlink r:id="rId3" w:history="1">
        <w:r w:rsidRPr="00D40021">
          <w:rPr>
            <w:rStyle w:val="af1"/>
            <w:rFonts w:ascii="標楷體" w:eastAsia="標楷體" w:hAnsi="標楷體"/>
            <w:color w:val="auto"/>
          </w:rPr>
          <w:t>http://saylove.fetnet.net/re/pdf/16012616153.pdf</w:t>
        </w:r>
      </w:hyperlink>
      <w:proofErr w:type="gramStart"/>
      <w:r w:rsidRPr="00D40021">
        <w:rPr>
          <w:rFonts w:ascii="標楷體" w:eastAsia="標楷體" w:hAnsi="標楷體"/>
        </w:rPr>
        <w:t>）</w:t>
      </w:r>
      <w:proofErr w:type="gramEnd"/>
      <w:r w:rsidRPr="00D40021">
        <w:rPr>
          <w:rFonts w:ascii="標楷體" w:eastAsia="標楷體" w:hAnsi="標楷體"/>
        </w:rPr>
        <w:t>。</w:t>
      </w:r>
    </w:p>
  </w:footnote>
  <w:footnote w:id="14">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折</w:t>
      </w:r>
      <w:proofErr w:type="gramStart"/>
      <w:r w:rsidRPr="00D40021">
        <w:rPr>
          <w:rFonts w:ascii="標楷體" w:eastAsia="標楷體" w:hAnsi="標楷體"/>
        </w:rPr>
        <w:t>現率係為</w:t>
      </w:r>
      <w:proofErr w:type="gramEnd"/>
      <w:r w:rsidRPr="00D40021">
        <w:rPr>
          <w:rFonts w:ascii="標楷體" w:eastAsia="標楷體" w:hAnsi="標楷體"/>
        </w:rPr>
        <w:t>折算一系列的未來退休金給付，以表達退休基金的時間價值之利率。折現率之假設用以計算未來退休給付的現值，由於現職成員的退休時時點往往是在20、30年以後甚至更久，因此折現率對於退休給付現值的估算具有相當大的影響，其折現率愈高，則給付現值估算愈低，</w:t>
      </w:r>
      <w:proofErr w:type="gramStart"/>
      <w:r w:rsidRPr="00D40021">
        <w:rPr>
          <w:rFonts w:ascii="標楷體" w:eastAsia="標楷體" w:hAnsi="標楷體"/>
        </w:rPr>
        <w:t>反之，</w:t>
      </w:r>
      <w:proofErr w:type="gramEnd"/>
      <w:r w:rsidRPr="00D40021">
        <w:rPr>
          <w:rFonts w:ascii="標楷體" w:eastAsia="標楷體" w:hAnsi="標楷體"/>
        </w:rPr>
        <w:t>給付現值則愈高。</w:t>
      </w:r>
    </w:p>
  </w:footnote>
  <w:footnote w:id="15">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w:t>
      </w:r>
      <w:r w:rsidRPr="00D40021">
        <w:rPr>
          <w:rFonts w:ascii="標楷體" w:eastAsia="標楷體" w:hAnsi="標楷體" w:hint="eastAsia"/>
        </w:rPr>
        <w:t>另依「軍職人員年金改革財務影響評估報告」所示，該報告係呈現軍人年金改革之財務影響評估，故應呈現未來30年內軍職人員退休經費之現行制度與改革後總支出之差異、政府財政壓力減輕幅度，故報告內相關財務分析之現金流量，均</w:t>
      </w:r>
      <w:proofErr w:type="gramStart"/>
      <w:r w:rsidRPr="00D40021">
        <w:rPr>
          <w:rFonts w:ascii="標楷體" w:eastAsia="標楷體" w:hAnsi="標楷體" w:hint="eastAsia"/>
        </w:rPr>
        <w:t>採</w:t>
      </w:r>
      <w:proofErr w:type="gramEnd"/>
      <w:r w:rsidRPr="00D40021">
        <w:rPr>
          <w:rFonts w:ascii="標楷體" w:eastAsia="標楷體" w:hAnsi="標楷體" w:hint="eastAsia"/>
        </w:rPr>
        <w:t>未折現方式呈現，以如實反映其改革效果。</w:t>
      </w:r>
    </w:p>
  </w:footnote>
  <w:footnote w:id="16">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資料來源：國發會「法規政策影響評估作業手冊」</w:t>
      </w:r>
      <w:proofErr w:type="gramStart"/>
      <w:r w:rsidRPr="00D40021">
        <w:rPr>
          <w:rFonts w:ascii="標楷體" w:eastAsia="標楷體" w:hAnsi="標楷體"/>
        </w:rPr>
        <w:t>（</w:t>
      </w:r>
      <w:proofErr w:type="gramEnd"/>
      <w:r w:rsidRPr="00D40021">
        <w:rPr>
          <w:rFonts w:ascii="標楷體" w:eastAsia="標楷體" w:hAnsi="標楷體"/>
          <w:lang w:eastAsia="zh-HK"/>
        </w:rPr>
        <w:t>網址</w:t>
      </w:r>
      <w:r w:rsidRPr="00D40021">
        <w:rPr>
          <w:rFonts w:ascii="標楷體" w:eastAsia="標楷體" w:hAnsi="標楷體"/>
        </w:rPr>
        <w:t>：</w:t>
      </w:r>
      <w:hyperlink r:id="rId4" w:history="1">
        <w:r w:rsidRPr="00D40021">
          <w:rPr>
            <w:rStyle w:val="af1"/>
            <w:rFonts w:ascii="標楷體" w:eastAsia="標楷體" w:hAnsi="標楷體"/>
            <w:color w:val="auto"/>
          </w:rPr>
          <w:t>https://www.google.com.tw/url?sa=t&amp;rct=j&amp;q=&amp;esrc=s&amp;source=web&amp;cd=1&amp;ved=0ahUKEwjKybfZ6MPaAhVLebwKHUmfDCMQFgglMAA&amp;url=https%3A%2F%2Fjoin.gov.tw%2Fattachments%2F773c2bf3-3caa-4dd0-8eaa-bc5616cba65e%2Fdownload%2F%25E6%25B3%2595%25E8%25A6%258F%25E6%2594%25BF%25E7%25AD%2596%25E5%25BD%25B1%25E9%259F%25BF%25E8%25A9%2595%25E4%25BC%25B0%25E4%25BD%259C%25E6%25A5%25AD%25E6%2589%258B%25E5%2586%258A.pdf&amp;usg=AOvVaw0WOVwc1fF-rbnrUTlK0Wp9</w:t>
        </w:r>
      </w:hyperlink>
      <w:r w:rsidRPr="00D40021">
        <w:rPr>
          <w:rFonts w:ascii="標楷體" w:eastAsia="標楷體" w:hAnsi="標楷體"/>
        </w:rPr>
        <w:t>）。</w:t>
      </w:r>
    </w:p>
  </w:footnote>
  <w:footnote w:id="17">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我國推動RIA之目的：1、強化政府法規之合理性與正當性：協助各行政機關運用此項工具，深層檢視所欲擬定法規的必要性和法規內容的合理性，同時深思政府管理經濟和社會活動所持理由的正當性，以及國內和國際的接受性，減少政府過度干預市場經濟和公民社會自主。2、增進法規政策制定與決策過程之透明度：將法規政策納入RIA的程序，提供受影響的重要利害關係者有機會事先瞭解政府政策作法，並且表達意見，再經由行政機關與其合理對話，及進行必要之調整，對國內公眾和全球成員，都是增進政策過程透明度的民主作法，並可減少政策執行階段的阻力。</w:t>
      </w:r>
      <w:r w:rsidRPr="00D40021">
        <w:rPr>
          <w:rFonts w:ascii="標楷體" w:eastAsia="標楷體" w:hAnsi="標楷體"/>
        </w:rPr>
        <w:br/>
        <w:t>建立RIA的法制作業，已為全球民主自由經濟體制國家之共通作法，經濟合作暨發展組織（Organization for Economic Cooperation and Development，下稱OECD）許多成員國執行RIA制度已歷經數十年發展背景。</w:t>
      </w:r>
      <w:r w:rsidRPr="00D40021">
        <w:rPr>
          <w:rFonts w:ascii="標楷體" w:eastAsia="標楷體" w:hAnsi="標楷體"/>
        </w:rPr>
        <w:br/>
        <w:t>資料來源：國發會</w:t>
      </w:r>
      <w:proofErr w:type="gramStart"/>
      <w:r w:rsidRPr="00D40021">
        <w:rPr>
          <w:rFonts w:ascii="標楷體" w:eastAsia="標楷體" w:hAnsi="標楷體"/>
        </w:rPr>
        <w:t>（</w:t>
      </w:r>
      <w:proofErr w:type="gramEnd"/>
      <w:r w:rsidRPr="00D40021">
        <w:rPr>
          <w:rFonts w:ascii="標楷體" w:eastAsia="標楷體" w:hAnsi="標楷體"/>
        </w:rPr>
        <w:t>網址：</w:t>
      </w:r>
      <w:hyperlink r:id="rId5" w:history="1">
        <w:r w:rsidRPr="00D40021">
          <w:rPr>
            <w:rFonts w:ascii="標楷體" w:eastAsia="標楷體" w:hAnsi="標楷體"/>
          </w:rPr>
          <w:t>https://www.ndc.gov.tw/Content_List.aspx?n=0CF7EEAD9B7962E3</w:t>
        </w:r>
      </w:hyperlink>
      <w:r w:rsidRPr="00D40021">
        <w:rPr>
          <w:rFonts w:ascii="標楷體" w:eastAsia="標楷體" w:hAnsi="標楷體"/>
        </w:rPr>
        <w:t>）。</w:t>
      </w:r>
    </w:p>
  </w:footnote>
  <w:footnote w:id="18">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資料來源：國發會「</w:t>
      </w:r>
      <w:hyperlink r:id="rId6" w:tgtFrame="_blank" w:tooltip="[開新分頁下載]法規政策影響評估作業手冊操作步驟之研析.pdf" w:history="1">
        <w:r w:rsidRPr="00D40021">
          <w:rPr>
            <w:rFonts w:ascii="標楷體" w:eastAsia="標楷體" w:hAnsi="標楷體"/>
          </w:rPr>
          <w:t>法規政策影響評估作業手冊操作步驟之研析</w:t>
        </w:r>
      </w:hyperlink>
      <w:r w:rsidRPr="00D40021">
        <w:rPr>
          <w:rFonts w:ascii="標楷體" w:eastAsia="標楷體" w:hAnsi="標楷體"/>
        </w:rPr>
        <w:t>」（施能傑，民105），</w:t>
      </w:r>
      <w:proofErr w:type="gramStart"/>
      <w:r w:rsidRPr="00D40021">
        <w:rPr>
          <w:rFonts w:ascii="標楷體" w:eastAsia="標楷體" w:hAnsi="標楷體"/>
        </w:rPr>
        <w:t>（</w:t>
      </w:r>
      <w:proofErr w:type="gramEnd"/>
      <w:r w:rsidRPr="00D40021">
        <w:rPr>
          <w:rFonts w:ascii="標楷體" w:eastAsia="標楷體" w:hAnsi="標楷體"/>
        </w:rPr>
        <w:t>網址：</w:t>
      </w:r>
      <w:hyperlink r:id="rId7" w:history="1">
        <w:r w:rsidRPr="00D40021">
          <w:rPr>
            <w:rStyle w:val="af1"/>
            <w:rFonts w:ascii="標楷體" w:eastAsia="標楷體" w:hAnsi="標楷體"/>
            <w:color w:val="auto"/>
          </w:rPr>
          <w:t>https://www.ndc.gov.tw/News_Content.aspx?n=B7C121049B631A78&amp;sms=FB990C08B596EA8A&amp;s=761997AB2BD3A882&amp;upn=0E442370ED3F73C5</w:t>
        </w:r>
      </w:hyperlink>
      <w:r w:rsidRPr="00D40021">
        <w:rPr>
          <w:rFonts w:ascii="標楷體" w:eastAsia="標楷體" w:hAnsi="標楷體"/>
        </w:rPr>
        <w:t>）。</w:t>
      </w:r>
    </w:p>
  </w:footnote>
  <w:footnote w:id="19">
    <w:p w:rsidR="006907BF" w:rsidRPr="00D40021" w:rsidRDefault="006907BF" w:rsidP="000D50FF">
      <w:pPr>
        <w:pStyle w:val="aff2"/>
        <w:wordWrap w:val="0"/>
        <w:topLinePunct/>
        <w:adjustRightInd w:val="0"/>
        <w:ind w:left="220" w:hangingChars="100" w:hanging="220"/>
        <w:jc w:val="both"/>
        <w:rPr>
          <w:rFonts w:ascii="標楷體" w:eastAsia="標楷體" w:hAnsi="標楷體"/>
        </w:rPr>
      </w:pPr>
      <w:r w:rsidRPr="00D40021">
        <w:rPr>
          <w:rStyle w:val="aff3"/>
          <w:rFonts w:ascii="標楷體" w:eastAsia="標楷體" w:hAnsi="標楷體"/>
        </w:rPr>
        <w:footnoteRef/>
      </w:r>
      <w:r w:rsidRPr="00D40021">
        <w:rPr>
          <w:rFonts w:ascii="標楷體" w:eastAsia="標楷體" w:hAnsi="標楷體"/>
        </w:rPr>
        <w:t xml:space="preserve"> 軍職人員、公務人員及教育人員之退撫法制主管機關分別為國防部、</w:t>
      </w:r>
      <w:proofErr w:type="gramStart"/>
      <w:r w:rsidRPr="00D40021">
        <w:rPr>
          <w:rFonts w:ascii="標楷體" w:eastAsia="標楷體" w:hAnsi="標楷體"/>
        </w:rPr>
        <w:t>銓敘部及教育部</w:t>
      </w:r>
      <w:proofErr w:type="gramEnd"/>
      <w:r w:rsidRPr="00D40021">
        <w:rPr>
          <w:rFonts w:ascii="標楷體" w:eastAsia="標楷體" w:hAnsi="標楷體"/>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5224F3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BF7EF592"/>
    <w:lvl w:ilvl="0" w:tplc="68168812">
      <w:start w:val="1"/>
      <w:numFmt w:val="decimal"/>
      <w:pStyle w:val="a3"/>
      <w:lvlText w:val="表%1　"/>
      <w:lvlJc w:val="left"/>
      <w:pPr>
        <w:ind w:left="480"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1"/>
  </w:num>
  <w:num w:numId="4">
    <w:abstractNumId w:val="5"/>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2"/>
  </w:num>
  <w:num w:numId="9">
    <w:abstractNumId w:val="0"/>
  </w:num>
  <w:num w:numId="10">
    <w:abstractNumId w:val="6"/>
  </w:num>
  <w:num w:numId="11">
    <w:abstractNumId w:val="7"/>
  </w:num>
  <w:num w:numId="12">
    <w:abstractNumId w:val="3"/>
  </w:num>
  <w:num w:numId="13">
    <w:abstractNumId w:val="1"/>
  </w:num>
  <w:num w:numId="14">
    <w:abstractNumId w:val="5"/>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5"/>
  </w:num>
  <w:num w:numId="35">
    <w:abstractNumId w:val="1"/>
  </w:num>
  <w:num w:numId="36">
    <w:abstractNumId w:val="1"/>
  </w:num>
  <w:num w:numId="37">
    <w:abstractNumId w:val="5"/>
  </w:num>
  <w:num w:numId="38">
    <w:abstractNumId w:val="5"/>
  </w:num>
  <w:num w:numId="39">
    <w:abstractNumId w:val="1"/>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 w:numId="45">
    <w:abstractNumId w:val="1"/>
  </w:num>
  <w:num w:numId="46">
    <w:abstractNumId w:val="1"/>
  </w:num>
  <w:num w:numId="4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6CB5"/>
    <w:rsid w:val="00010E77"/>
    <w:rsid w:val="000112BF"/>
    <w:rsid w:val="00011459"/>
    <w:rsid w:val="00012233"/>
    <w:rsid w:val="000131DA"/>
    <w:rsid w:val="000161DC"/>
    <w:rsid w:val="00016DB0"/>
    <w:rsid w:val="00017318"/>
    <w:rsid w:val="00017FF0"/>
    <w:rsid w:val="00020000"/>
    <w:rsid w:val="00020BCA"/>
    <w:rsid w:val="00021953"/>
    <w:rsid w:val="000246F7"/>
    <w:rsid w:val="0002486F"/>
    <w:rsid w:val="00025D52"/>
    <w:rsid w:val="000310F5"/>
    <w:rsid w:val="0003114D"/>
    <w:rsid w:val="00032897"/>
    <w:rsid w:val="00035C82"/>
    <w:rsid w:val="000365E8"/>
    <w:rsid w:val="00036D76"/>
    <w:rsid w:val="00037A45"/>
    <w:rsid w:val="00040F93"/>
    <w:rsid w:val="00045A63"/>
    <w:rsid w:val="00050D28"/>
    <w:rsid w:val="00053094"/>
    <w:rsid w:val="00053DD5"/>
    <w:rsid w:val="0005441D"/>
    <w:rsid w:val="00054F88"/>
    <w:rsid w:val="00056F9C"/>
    <w:rsid w:val="00057E35"/>
    <w:rsid w:val="00057F32"/>
    <w:rsid w:val="00062A25"/>
    <w:rsid w:val="000641B8"/>
    <w:rsid w:val="0006520F"/>
    <w:rsid w:val="00066E4B"/>
    <w:rsid w:val="00067ADB"/>
    <w:rsid w:val="00073CB5"/>
    <w:rsid w:val="00074149"/>
    <w:rsid w:val="0007425C"/>
    <w:rsid w:val="00077553"/>
    <w:rsid w:val="000851A2"/>
    <w:rsid w:val="00085A49"/>
    <w:rsid w:val="00090BE9"/>
    <w:rsid w:val="00092EBA"/>
    <w:rsid w:val="0009352E"/>
    <w:rsid w:val="00093C65"/>
    <w:rsid w:val="000942DE"/>
    <w:rsid w:val="00094B3F"/>
    <w:rsid w:val="00094DFB"/>
    <w:rsid w:val="0009655C"/>
    <w:rsid w:val="00096B96"/>
    <w:rsid w:val="000970B7"/>
    <w:rsid w:val="000A02BB"/>
    <w:rsid w:val="000A2F3F"/>
    <w:rsid w:val="000A7D32"/>
    <w:rsid w:val="000B0B4A"/>
    <w:rsid w:val="000B279A"/>
    <w:rsid w:val="000B61D2"/>
    <w:rsid w:val="000B70A7"/>
    <w:rsid w:val="000B73DD"/>
    <w:rsid w:val="000B7991"/>
    <w:rsid w:val="000C12B5"/>
    <w:rsid w:val="000C16F6"/>
    <w:rsid w:val="000C2681"/>
    <w:rsid w:val="000C26C4"/>
    <w:rsid w:val="000C2D8C"/>
    <w:rsid w:val="000C4406"/>
    <w:rsid w:val="000C495F"/>
    <w:rsid w:val="000C5B52"/>
    <w:rsid w:val="000D19F7"/>
    <w:rsid w:val="000D2937"/>
    <w:rsid w:val="000D50FF"/>
    <w:rsid w:val="000D66D9"/>
    <w:rsid w:val="000E1BB3"/>
    <w:rsid w:val="000E1CC4"/>
    <w:rsid w:val="000E28C0"/>
    <w:rsid w:val="000E36A3"/>
    <w:rsid w:val="000E6431"/>
    <w:rsid w:val="000E6AF2"/>
    <w:rsid w:val="000E7A22"/>
    <w:rsid w:val="000F0714"/>
    <w:rsid w:val="000F21A5"/>
    <w:rsid w:val="000F4C4D"/>
    <w:rsid w:val="000F69E0"/>
    <w:rsid w:val="000F6F9F"/>
    <w:rsid w:val="0010120B"/>
    <w:rsid w:val="00102B9F"/>
    <w:rsid w:val="00106B47"/>
    <w:rsid w:val="00112637"/>
    <w:rsid w:val="00112ABC"/>
    <w:rsid w:val="00114829"/>
    <w:rsid w:val="00115CCD"/>
    <w:rsid w:val="0011679A"/>
    <w:rsid w:val="001178AC"/>
    <w:rsid w:val="0012001E"/>
    <w:rsid w:val="00124D58"/>
    <w:rsid w:val="00125AB0"/>
    <w:rsid w:val="00126A55"/>
    <w:rsid w:val="00126B0A"/>
    <w:rsid w:val="00126FD3"/>
    <w:rsid w:val="00133F08"/>
    <w:rsid w:val="001345E6"/>
    <w:rsid w:val="0013478C"/>
    <w:rsid w:val="00137667"/>
    <w:rsid w:val="001378B0"/>
    <w:rsid w:val="00142E00"/>
    <w:rsid w:val="00144B17"/>
    <w:rsid w:val="00145DB2"/>
    <w:rsid w:val="00145F79"/>
    <w:rsid w:val="001475BB"/>
    <w:rsid w:val="00147D2D"/>
    <w:rsid w:val="0015029B"/>
    <w:rsid w:val="00152793"/>
    <w:rsid w:val="00152F4C"/>
    <w:rsid w:val="00153904"/>
    <w:rsid w:val="00153B7E"/>
    <w:rsid w:val="001545A9"/>
    <w:rsid w:val="001574B2"/>
    <w:rsid w:val="001637C7"/>
    <w:rsid w:val="00164666"/>
    <w:rsid w:val="0016480E"/>
    <w:rsid w:val="0016676A"/>
    <w:rsid w:val="00172DCE"/>
    <w:rsid w:val="00174297"/>
    <w:rsid w:val="00175E3A"/>
    <w:rsid w:val="00177570"/>
    <w:rsid w:val="001805BC"/>
    <w:rsid w:val="00180E06"/>
    <w:rsid w:val="00181523"/>
    <w:rsid w:val="001817B3"/>
    <w:rsid w:val="00182CEC"/>
    <w:rsid w:val="00183014"/>
    <w:rsid w:val="00183F3E"/>
    <w:rsid w:val="00185A21"/>
    <w:rsid w:val="00191663"/>
    <w:rsid w:val="00194C32"/>
    <w:rsid w:val="00195176"/>
    <w:rsid w:val="001959C2"/>
    <w:rsid w:val="001A042D"/>
    <w:rsid w:val="001A22E9"/>
    <w:rsid w:val="001A25D6"/>
    <w:rsid w:val="001A4A0F"/>
    <w:rsid w:val="001A51E3"/>
    <w:rsid w:val="001A541D"/>
    <w:rsid w:val="001A6F4C"/>
    <w:rsid w:val="001A7968"/>
    <w:rsid w:val="001B2E98"/>
    <w:rsid w:val="001B3483"/>
    <w:rsid w:val="001B3A08"/>
    <w:rsid w:val="001B3C1E"/>
    <w:rsid w:val="001B4494"/>
    <w:rsid w:val="001B785E"/>
    <w:rsid w:val="001C0D8B"/>
    <w:rsid w:val="001C0DA8"/>
    <w:rsid w:val="001C30B8"/>
    <w:rsid w:val="001D3269"/>
    <w:rsid w:val="001D4AD7"/>
    <w:rsid w:val="001D4ED1"/>
    <w:rsid w:val="001E0D8A"/>
    <w:rsid w:val="001E0EBA"/>
    <w:rsid w:val="001E67BA"/>
    <w:rsid w:val="001E74C2"/>
    <w:rsid w:val="001E7688"/>
    <w:rsid w:val="001E7EF9"/>
    <w:rsid w:val="001F05F4"/>
    <w:rsid w:val="001F448F"/>
    <w:rsid w:val="001F4F82"/>
    <w:rsid w:val="001F5A48"/>
    <w:rsid w:val="001F6260"/>
    <w:rsid w:val="00200007"/>
    <w:rsid w:val="00201EDD"/>
    <w:rsid w:val="002030A5"/>
    <w:rsid w:val="00203131"/>
    <w:rsid w:val="00204E0C"/>
    <w:rsid w:val="00205412"/>
    <w:rsid w:val="00206F7E"/>
    <w:rsid w:val="00207A13"/>
    <w:rsid w:val="00211480"/>
    <w:rsid w:val="00211A43"/>
    <w:rsid w:val="00212E88"/>
    <w:rsid w:val="0021318B"/>
    <w:rsid w:val="00213265"/>
    <w:rsid w:val="00213C9C"/>
    <w:rsid w:val="0022009E"/>
    <w:rsid w:val="00223241"/>
    <w:rsid w:val="0022425C"/>
    <w:rsid w:val="002246DE"/>
    <w:rsid w:val="00225CE5"/>
    <w:rsid w:val="00234FC4"/>
    <w:rsid w:val="00236485"/>
    <w:rsid w:val="00242F9C"/>
    <w:rsid w:val="002444B7"/>
    <w:rsid w:val="00244865"/>
    <w:rsid w:val="00244CFE"/>
    <w:rsid w:val="00246032"/>
    <w:rsid w:val="00246404"/>
    <w:rsid w:val="00246CAC"/>
    <w:rsid w:val="00247385"/>
    <w:rsid w:val="002476DB"/>
    <w:rsid w:val="002479FE"/>
    <w:rsid w:val="00247A99"/>
    <w:rsid w:val="00250A2A"/>
    <w:rsid w:val="00252755"/>
    <w:rsid w:val="00252BC4"/>
    <w:rsid w:val="00254014"/>
    <w:rsid w:val="00254B39"/>
    <w:rsid w:val="00255300"/>
    <w:rsid w:val="00257310"/>
    <w:rsid w:val="00262AC5"/>
    <w:rsid w:val="00264325"/>
    <w:rsid w:val="0026504D"/>
    <w:rsid w:val="00265184"/>
    <w:rsid w:val="00267314"/>
    <w:rsid w:val="00270965"/>
    <w:rsid w:val="00272329"/>
    <w:rsid w:val="00273349"/>
    <w:rsid w:val="00273A2F"/>
    <w:rsid w:val="002755FD"/>
    <w:rsid w:val="0028018A"/>
    <w:rsid w:val="00280986"/>
    <w:rsid w:val="00280DFD"/>
    <w:rsid w:val="00281DB9"/>
    <w:rsid w:val="00281ECE"/>
    <w:rsid w:val="002831C7"/>
    <w:rsid w:val="002840C6"/>
    <w:rsid w:val="00284BE8"/>
    <w:rsid w:val="002852D4"/>
    <w:rsid w:val="002864FE"/>
    <w:rsid w:val="00293733"/>
    <w:rsid w:val="00295174"/>
    <w:rsid w:val="00296172"/>
    <w:rsid w:val="00296B92"/>
    <w:rsid w:val="002A1143"/>
    <w:rsid w:val="002A1B4A"/>
    <w:rsid w:val="002A2C22"/>
    <w:rsid w:val="002A4E1B"/>
    <w:rsid w:val="002A5052"/>
    <w:rsid w:val="002B02EB"/>
    <w:rsid w:val="002B12F7"/>
    <w:rsid w:val="002B65ED"/>
    <w:rsid w:val="002B746F"/>
    <w:rsid w:val="002C0602"/>
    <w:rsid w:val="002D5C16"/>
    <w:rsid w:val="002D6B80"/>
    <w:rsid w:val="002E5F57"/>
    <w:rsid w:val="002F1DE9"/>
    <w:rsid w:val="002F2476"/>
    <w:rsid w:val="002F39AC"/>
    <w:rsid w:val="002F3DFF"/>
    <w:rsid w:val="002F5E05"/>
    <w:rsid w:val="00301602"/>
    <w:rsid w:val="00306187"/>
    <w:rsid w:val="00307A76"/>
    <w:rsid w:val="00307D02"/>
    <w:rsid w:val="00313C75"/>
    <w:rsid w:val="003140B9"/>
    <w:rsid w:val="00315A16"/>
    <w:rsid w:val="00317053"/>
    <w:rsid w:val="0032109C"/>
    <w:rsid w:val="00322B45"/>
    <w:rsid w:val="00323809"/>
    <w:rsid w:val="00323D41"/>
    <w:rsid w:val="00325414"/>
    <w:rsid w:val="00326254"/>
    <w:rsid w:val="00326EA7"/>
    <w:rsid w:val="003302F1"/>
    <w:rsid w:val="00330924"/>
    <w:rsid w:val="00331366"/>
    <w:rsid w:val="0033177D"/>
    <w:rsid w:val="00333B23"/>
    <w:rsid w:val="003361F9"/>
    <w:rsid w:val="00337591"/>
    <w:rsid w:val="00342041"/>
    <w:rsid w:val="00342101"/>
    <w:rsid w:val="0034470E"/>
    <w:rsid w:val="00344BAC"/>
    <w:rsid w:val="00350197"/>
    <w:rsid w:val="00350874"/>
    <w:rsid w:val="00350CD7"/>
    <w:rsid w:val="00352DB0"/>
    <w:rsid w:val="00355795"/>
    <w:rsid w:val="00357011"/>
    <w:rsid w:val="003575B7"/>
    <w:rsid w:val="00361063"/>
    <w:rsid w:val="00361390"/>
    <w:rsid w:val="00363C63"/>
    <w:rsid w:val="003642B6"/>
    <w:rsid w:val="0036758B"/>
    <w:rsid w:val="0037094A"/>
    <w:rsid w:val="00371ED3"/>
    <w:rsid w:val="00371F39"/>
    <w:rsid w:val="00372FFC"/>
    <w:rsid w:val="0037336F"/>
    <w:rsid w:val="00374F34"/>
    <w:rsid w:val="00375948"/>
    <w:rsid w:val="003761C1"/>
    <w:rsid w:val="0037728A"/>
    <w:rsid w:val="003805B9"/>
    <w:rsid w:val="00380B7D"/>
    <w:rsid w:val="00381A99"/>
    <w:rsid w:val="00381E80"/>
    <w:rsid w:val="00382677"/>
    <w:rsid w:val="003829C2"/>
    <w:rsid w:val="003830B2"/>
    <w:rsid w:val="00384724"/>
    <w:rsid w:val="003852A4"/>
    <w:rsid w:val="003879CD"/>
    <w:rsid w:val="003903BB"/>
    <w:rsid w:val="00391202"/>
    <w:rsid w:val="003919B7"/>
    <w:rsid w:val="00391D57"/>
    <w:rsid w:val="00392292"/>
    <w:rsid w:val="00393411"/>
    <w:rsid w:val="00394F45"/>
    <w:rsid w:val="00396384"/>
    <w:rsid w:val="0039704B"/>
    <w:rsid w:val="003A0B13"/>
    <w:rsid w:val="003A21D3"/>
    <w:rsid w:val="003A3D78"/>
    <w:rsid w:val="003A505C"/>
    <w:rsid w:val="003A5927"/>
    <w:rsid w:val="003A6781"/>
    <w:rsid w:val="003B1017"/>
    <w:rsid w:val="003B343E"/>
    <w:rsid w:val="003B3C07"/>
    <w:rsid w:val="003B605F"/>
    <w:rsid w:val="003B6081"/>
    <w:rsid w:val="003B6775"/>
    <w:rsid w:val="003C1EA0"/>
    <w:rsid w:val="003C1F65"/>
    <w:rsid w:val="003C362E"/>
    <w:rsid w:val="003C5FE2"/>
    <w:rsid w:val="003D05FB"/>
    <w:rsid w:val="003D1B16"/>
    <w:rsid w:val="003D45BF"/>
    <w:rsid w:val="003D508A"/>
    <w:rsid w:val="003D5111"/>
    <w:rsid w:val="003D52C1"/>
    <w:rsid w:val="003D537F"/>
    <w:rsid w:val="003D5C82"/>
    <w:rsid w:val="003D65DF"/>
    <w:rsid w:val="003D6607"/>
    <w:rsid w:val="003D7B75"/>
    <w:rsid w:val="003E0208"/>
    <w:rsid w:val="003E1BDA"/>
    <w:rsid w:val="003E2736"/>
    <w:rsid w:val="003E4B57"/>
    <w:rsid w:val="003F07BB"/>
    <w:rsid w:val="003F27E1"/>
    <w:rsid w:val="003F396B"/>
    <w:rsid w:val="003F408C"/>
    <w:rsid w:val="003F437A"/>
    <w:rsid w:val="003F5C2B"/>
    <w:rsid w:val="003F6C77"/>
    <w:rsid w:val="00402240"/>
    <w:rsid w:val="004023E9"/>
    <w:rsid w:val="004027AD"/>
    <w:rsid w:val="00404468"/>
    <w:rsid w:val="0040454A"/>
    <w:rsid w:val="00405958"/>
    <w:rsid w:val="00411803"/>
    <w:rsid w:val="004119E1"/>
    <w:rsid w:val="00412281"/>
    <w:rsid w:val="00413F83"/>
    <w:rsid w:val="0041490C"/>
    <w:rsid w:val="0041598A"/>
    <w:rsid w:val="00415B59"/>
    <w:rsid w:val="00416191"/>
    <w:rsid w:val="00416721"/>
    <w:rsid w:val="00421EF0"/>
    <w:rsid w:val="004224FA"/>
    <w:rsid w:val="00423208"/>
    <w:rsid w:val="00423D07"/>
    <w:rsid w:val="00424DD3"/>
    <w:rsid w:val="00427936"/>
    <w:rsid w:val="004305FB"/>
    <w:rsid w:val="00430CDE"/>
    <w:rsid w:val="0043207A"/>
    <w:rsid w:val="00433A14"/>
    <w:rsid w:val="004349F9"/>
    <w:rsid w:val="004402DB"/>
    <w:rsid w:val="00440B17"/>
    <w:rsid w:val="00440C27"/>
    <w:rsid w:val="0044346F"/>
    <w:rsid w:val="004510EA"/>
    <w:rsid w:val="004512A4"/>
    <w:rsid w:val="00453FF6"/>
    <w:rsid w:val="00455E34"/>
    <w:rsid w:val="00462FAF"/>
    <w:rsid w:val="0046520A"/>
    <w:rsid w:val="004672AB"/>
    <w:rsid w:val="004714FE"/>
    <w:rsid w:val="004765F5"/>
    <w:rsid w:val="00477BAA"/>
    <w:rsid w:val="00483253"/>
    <w:rsid w:val="00486A5B"/>
    <w:rsid w:val="0049162A"/>
    <w:rsid w:val="004929B0"/>
    <w:rsid w:val="00492B5A"/>
    <w:rsid w:val="00492F5B"/>
    <w:rsid w:val="00493404"/>
    <w:rsid w:val="004947CB"/>
    <w:rsid w:val="00495053"/>
    <w:rsid w:val="00496A31"/>
    <w:rsid w:val="00496D09"/>
    <w:rsid w:val="004A01B1"/>
    <w:rsid w:val="004A0BAB"/>
    <w:rsid w:val="004A1F59"/>
    <w:rsid w:val="004A29BE"/>
    <w:rsid w:val="004A2E97"/>
    <w:rsid w:val="004A3225"/>
    <w:rsid w:val="004A33EE"/>
    <w:rsid w:val="004A3AA8"/>
    <w:rsid w:val="004A5C2F"/>
    <w:rsid w:val="004A6893"/>
    <w:rsid w:val="004B13C7"/>
    <w:rsid w:val="004B1828"/>
    <w:rsid w:val="004B778F"/>
    <w:rsid w:val="004C0609"/>
    <w:rsid w:val="004C7CCD"/>
    <w:rsid w:val="004D141F"/>
    <w:rsid w:val="004D1426"/>
    <w:rsid w:val="004D2742"/>
    <w:rsid w:val="004D6310"/>
    <w:rsid w:val="004D7D8E"/>
    <w:rsid w:val="004E0062"/>
    <w:rsid w:val="004E05A1"/>
    <w:rsid w:val="004E53C5"/>
    <w:rsid w:val="004E63D4"/>
    <w:rsid w:val="004E7EBE"/>
    <w:rsid w:val="004F1966"/>
    <w:rsid w:val="004F472A"/>
    <w:rsid w:val="004F4F48"/>
    <w:rsid w:val="004F5DAB"/>
    <w:rsid w:val="004F5E57"/>
    <w:rsid w:val="004F6710"/>
    <w:rsid w:val="0050005A"/>
    <w:rsid w:val="005001A7"/>
    <w:rsid w:val="00500AE2"/>
    <w:rsid w:val="00500C3E"/>
    <w:rsid w:val="005015F5"/>
    <w:rsid w:val="00501EF7"/>
    <w:rsid w:val="005023DD"/>
    <w:rsid w:val="00502849"/>
    <w:rsid w:val="005028A6"/>
    <w:rsid w:val="00503426"/>
    <w:rsid w:val="00504334"/>
    <w:rsid w:val="0050498D"/>
    <w:rsid w:val="00506A72"/>
    <w:rsid w:val="005104D7"/>
    <w:rsid w:val="00510B9E"/>
    <w:rsid w:val="00512D27"/>
    <w:rsid w:val="00514721"/>
    <w:rsid w:val="00515A61"/>
    <w:rsid w:val="0052032B"/>
    <w:rsid w:val="00520ACD"/>
    <w:rsid w:val="00534329"/>
    <w:rsid w:val="00536BC2"/>
    <w:rsid w:val="005425CD"/>
    <w:rsid w:val="005425E1"/>
    <w:rsid w:val="005427C5"/>
    <w:rsid w:val="00542CF6"/>
    <w:rsid w:val="00546514"/>
    <w:rsid w:val="00550868"/>
    <w:rsid w:val="0055173E"/>
    <w:rsid w:val="00552100"/>
    <w:rsid w:val="00553C03"/>
    <w:rsid w:val="00553E72"/>
    <w:rsid w:val="00554577"/>
    <w:rsid w:val="005606C9"/>
    <w:rsid w:val="0056314F"/>
    <w:rsid w:val="00563692"/>
    <w:rsid w:val="00564E4A"/>
    <w:rsid w:val="005663E8"/>
    <w:rsid w:val="0056715D"/>
    <w:rsid w:val="00571679"/>
    <w:rsid w:val="00572DE3"/>
    <w:rsid w:val="00573D06"/>
    <w:rsid w:val="00574DF3"/>
    <w:rsid w:val="00575357"/>
    <w:rsid w:val="005844E7"/>
    <w:rsid w:val="00586298"/>
    <w:rsid w:val="005877E8"/>
    <w:rsid w:val="00587852"/>
    <w:rsid w:val="005908B8"/>
    <w:rsid w:val="00594E7C"/>
    <w:rsid w:val="0059512E"/>
    <w:rsid w:val="00596FEA"/>
    <w:rsid w:val="005A06B8"/>
    <w:rsid w:val="005A2ADC"/>
    <w:rsid w:val="005A6DD2"/>
    <w:rsid w:val="005A7B6F"/>
    <w:rsid w:val="005B02B9"/>
    <w:rsid w:val="005B0CE4"/>
    <w:rsid w:val="005B1BC4"/>
    <w:rsid w:val="005B1E88"/>
    <w:rsid w:val="005B2AB1"/>
    <w:rsid w:val="005C01F8"/>
    <w:rsid w:val="005C385D"/>
    <w:rsid w:val="005C43C2"/>
    <w:rsid w:val="005C4C73"/>
    <w:rsid w:val="005C7E61"/>
    <w:rsid w:val="005D38A6"/>
    <w:rsid w:val="005D3B20"/>
    <w:rsid w:val="005D3FB8"/>
    <w:rsid w:val="005D422C"/>
    <w:rsid w:val="005D74EC"/>
    <w:rsid w:val="005E0CFE"/>
    <w:rsid w:val="005E1E8A"/>
    <w:rsid w:val="005E3D8C"/>
    <w:rsid w:val="005E4596"/>
    <w:rsid w:val="005E4759"/>
    <w:rsid w:val="005E5C68"/>
    <w:rsid w:val="005E65C0"/>
    <w:rsid w:val="005F0390"/>
    <w:rsid w:val="005F0426"/>
    <w:rsid w:val="005F3A28"/>
    <w:rsid w:val="005F3D91"/>
    <w:rsid w:val="005F41B1"/>
    <w:rsid w:val="00600628"/>
    <w:rsid w:val="006015BE"/>
    <w:rsid w:val="006072CD"/>
    <w:rsid w:val="006077B6"/>
    <w:rsid w:val="00607ED8"/>
    <w:rsid w:val="00612023"/>
    <w:rsid w:val="00614190"/>
    <w:rsid w:val="006214EC"/>
    <w:rsid w:val="00622A99"/>
    <w:rsid w:val="00622E67"/>
    <w:rsid w:val="006233B3"/>
    <w:rsid w:val="00624C89"/>
    <w:rsid w:val="00625431"/>
    <w:rsid w:val="00626B57"/>
    <w:rsid w:val="00626EDC"/>
    <w:rsid w:val="00631F1A"/>
    <w:rsid w:val="00635ED9"/>
    <w:rsid w:val="00641CAA"/>
    <w:rsid w:val="00645633"/>
    <w:rsid w:val="006456A2"/>
    <w:rsid w:val="006470EC"/>
    <w:rsid w:val="00647780"/>
    <w:rsid w:val="00647DBD"/>
    <w:rsid w:val="00650681"/>
    <w:rsid w:val="00652166"/>
    <w:rsid w:val="006542D6"/>
    <w:rsid w:val="00654E27"/>
    <w:rsid w:val="00655743"/>
    <w:rsid w:val="0065598E"/>
    <w:rsid w:val="00655AF2"/>
    <w:rsid w:val="00655BC5"/>
    <w:rsid w:val="006568BE"/>
    <w:rsid w:val="00657BB9"/>
    <w:rsid w:val="00657DC4"/>
    <w:rsid w:val="0066025D"/>
    <w:rsid w:val="0066091A"/>
    <w:rsid w:val="00661331"/>
    <w:rsid w:val="00664334"/>
    <w:rsid w:val="006653FC"/>
    <w:rsid w:val="00671A37"/>
    <w:rsid w:val="006773EC"/>
    <w:rsid w:val="006778F1"/>
    <w:rsid w:val="00680504"/>
    <w:rsid w:val="006809F5"/>
    <w:rsid w:val="00680CE4"/>
    <w:rsid w:val="00681850"/>
    <w:rsid w:val="00681CD9"/>
    <w:rsid w:val="00682D90"/>
    <w:rsid w:val="00683E30"/>
    <w:rsid w:val="00685480"/>
    <w:rsid w:val="006868F2"/>
    <w:rsid w:val="00687024"/>
    <w:rsid w:val="006907BF"/>
    <w:rsid w:val="00695E22"/>
    <w:rsid w:val="006A3383"/>
    <w:rsid w:val="006B7093"/>
    <w:rsid w:val="006B7417"/>
    <w:rsid w:val="006C0DE1"/>
    <w:rsid w:val="006C414E"/>
    <w:rsid w:val="006C5548"/>
    <w:rsid w:val="006C667A"/>
    <w:rsid w:val="006D06DE"/>
    <w:rsid w:val="006D2306"/>
    <w:rsid w:val="006D2784"/>
    <w:rsid w:val="006D3691"/>
    <w:rsid w:val="006D5A91"/>
    <w:rsid w:val="006D5EAA"/>
    <w:rsid w:val="006E49AA"/>
    <w:rsid w:val="006E5EF0"/>
    <w:rsid w:val="006E7F36"/>
    <w:rsid w:val="006F021A"/>
    <w:rsid w:val="006F2A19"/>
    <w:rsid w:val="006F31A3"/>
    <w:rsid w:val="006F3563"/>
    <w:rsid w:val="006F3824"/>
    <w:rsid w:val="006F3CDC"/>
    <w:rsid w:val="006F42B9"/>
    <w:rsid w:val="006F4F59"/>
    <w:rsid w:val="006F6103"/>
    <w:rsid w:val="006F6190"/>
    <w:rsid w:val="006F6BCF"/>
    <w:rsid w:val="00703B2F"/>
    <w:rsid w:val="00704E00"/>
    <w:rsid w:val="0070578D"/>
    <w:rsid w:val="00705CBF"/>
    <w:rsid w:val="0070633C"/>
    <w:rsid w:val="007063EE"/>
    <w:rsid w:val="00706C7B"/>
    <w:rsid w:val="007123DE"/>
    <w:rsid w:val="0071460B"/>
    <w:rsid w:val="0071602C"/>
    <w:rsid w:val="0072078A"/>
    <w:rsid w:val="007209E7"/>
    <w:rsid w:val="007210A6"/>
    <w:rsid w:val="00723EDF"/>
    <w:rsid w:val="00726182"/>
    <w:rsid w:val="00727635"/>
    <w:rsid w:val="007310E2"/>
    <w:rsid w:val="00732329"/>
    <w:rsid w:val="007337CA"/>
    <w:rsid w:val="00734CE4"/>
    <w:rsid w:val="00735123"/>
    <w:rsid w:val="00741837"/>
    <w:rsid w:val="00742235"/>
    <w:rsid w:val="00744569"/>
    <w:rsid w:val="007453E6"/>
    <w:rsid w:val="00761AE6"/>
    <w:rsid w:val="00763B19"/>
    <w:rsid w:val="00764992"/>
    <w:rsid w:val="007650BC"/>
    <w:rsid w:val="00770693"/>
    <w:rsid w:val="00771D4E"/>
    <w:rsid w:val="007720C8"/>
    <w:rsid w:val="0077309D"/>
    <w:rsid w:val="00773A9D"/>
    <w:rsid w:val="00775F47"/>
    <w:rsid w:val="007774EE"/>
    <w:rsid w:val="00780E40"/>
    <w:rsid w:val="00781822"/>
    <w:rsid w:val="00782645"/>
    <w:rsid w:val="00783F21"/>
    <w:rsid w:val="00784BE2"/>
    <w:rsid w:val="00787159"/>
    <w:rsid w:val="0079043A"/>
    <w:rsid w:val="00791668"/>
    <w:rsid w:val="00791AA1"/>
    <w:rsid w:val="00792200"/>
    <w:rsid w:val="00795750"/>
    <w:rsid w:val="007A2A1C"/>
    <w:rsid w:val="007A2D2F"/>
    <w:rsid w:val="007A3793"/>
    <w:rsid w:val="007A687F"/>
    <w:rsid w:val="007A73E1"/>
    <w:rsid w:val="007A796B"/>
    <w:rsid w:val="007B42E8"/>
    <w:rsid w:val="007B6EA2"/>
    <w:rsid w:val="007C06C2"/>
    <w:rsid w:val="007C1BA2"/>
    <w:rsid w:val="007C2B48"/>
    <w:rsid w:val="007C4222"/>
    <w:rsid w:val="007D01CD"/>
    <w:rsid w:val="007D0CF5"/>
    <w:rsid w:val="007D20E9"/>
    <w:rsid w:val="007D3177"/>
    <w:rsid w:val="007D3B7E"/>
    <w:rsid w:val="007D7881"/>
    <w:rsid w:val="007D7CF6"/>
    <w:rsid w:val="007D7E3A"/>
    <w:rsid w:val="007E04C0"/>
    <w:rsid w:val="007E076A"/>
    <w:rsid w:val="007E0E10"/>
    <w:rsid w:val="007E31AB"/>
    <w:rsid w:val="007E4768"/>
    <w:rsid w:val="007E68C2"/>
    <w:rsid w:val="007E777B"/>
    <w:rsid w:val="007F1F5F"/>
    <w:rsid w:val="007F2070"/>
    <w:rsid w:val="007F49F5"/>
    <w:rsid w:val="007F5A53"/>
    <w:rsid w:val="007F60EE"/>
    <w:rsid w:val="007F63C1"/>
    <w:rsid w:val="008043C2"/>
    <w:rsid w:val="008053F5"/>
    <w:rsid w:val="00805824"/>
    <w:rsid w:val="00807AF7"/>
    <w:rsid w:val="00810198"/>
    <w:rsid w:val="00815DA8"/>
    <w:rsid w:val="00816D26"/>
    <w:rsid w:val="0082194D"/>
    <w:rsid w:val="008221F9"/>
    <w:rsid w:val="00826EF5"/>
    <w:rsid w:val="00831693"/>
    <w:rsid w:val="0083373C"/>
    <w:rsid w:val="00840104"/>
    <w:rsid w:val="0084010A"/>
    <w:rsid w:val="00840C1F"/>
    <w:rsid w:val="008411C9"/>
    <w:rsid w:val="00841821"/>
    <w:rsid w:val="00841FC5"/>
    <w:rsid w:val="0084281E"/>
    <w:rsid w:val="00845709"/>
    <w:rsid w:val="00850248"/>
    <w:rsid w:val="00852A95"/>
    <w:rsid w:val="008538AC"/>
    <w:rsid w:val="00855579"/>
    <w:rsid w:val="008576BD"/>
    <w:rsid w:val="00860463"/>
    <w:rsid w:val="00863144"/>
    <w:rsid w:val="00863DFB"/>
    <w:rsid w:val="008711B1"/>
    <w:rsid w:val="008733DA"/>
    <w:rsid w:val="00875D95"/>
    <w:rsid w:val="008850E4"/>
    <w:rsid w:val="0089119C"/>
    <w:rsid w:val="00891C48"/>
    <w:rsid w:val="00891D4E"/>
    <w:rsid w:val="0089336B"/>
    <w:rsid w:val="008939AB"/>
    <w:rsid w:val="008977CB"/>
    <w:rsid w:val="008A03CF"/>
    <w:rsid w:val="008A12F5"/>
    <w:rsid w:val="008A1BC4"/>
    <w:rsid w:val="008A424A"/>
    <w:rsid w:val="008A6BD6"/>
    <w:rsid w:val="008B1080"/>
    <w:rsid w:val="008B1587"/>
    <w:rsid w:val="008B160E"/>
    <w:rsid w:val="008B1B01"/>
    <w:rsid w:val="008B3BCD"/>
    <w:rsid w:val="008B6DF8"/>
    <w:rsid w:val="008C0877"/>
    <w:rsid w:val="008C106C"/>
    <w:rsid w:val="008C10F1"/>
    <w:rsid w:val="008C1926"/>
    <w:rsid w:val="008C1E99"/>
    <w:rsid w:val="008D0AF0"/>
    <w:rsid w:val="008E0085"/>
    <w:rsid w:val="008E2AA6"/>
    <w:rsid w:val="008E311B"/>
    <w:rsid w:val="008E4ED4"/>
    <w:rsid w:val="008E63AF"/>
    <w:rsid w:val="008E747B"/>
    <w:rsid w:val="008F1DC7"/>
    <w:rsid w:val="008F21C9"/>
    <w:rsid w:val="008F2314"/>
    <w:rsid w:val="008F46E7"/>
    <w:rsid w:val="008F63E3"/>
    <w:rsid w:val="008F69DA"/>
    <w:rsid w:val="008F6F0B"/>
    <w:rsid w:val="00900773"/>
    <w:rsid w:val="009010AE"/>
    <w:rsid w:val="00904FD1"/>
    <w:rsid w:val="00907BA7"/>
    <w:rsid w:val="0091064E"/>
    <w:rsid w:val="00911FC5"/>
    <w:rsid w:val="00916F0E"/>
    <w:rsid w:val="00920CBB"/>
    <w:rsid w:val="0092189B"/>
    <w:rsid w:val="0092575C"/>
    <w:rsid w:val="00926FA6"/>
    <w:rsid w:val="00927E1B"/>
    <w:rsid w:val="0093109B"/>
    <w:rsid w:val="00931A10"/>
    <w:rsid w:val="00936CE8"/>
    <w:rsid w:val="00942A0D"/>
    <w:rsid w:val="00944BCC"/>
    <w:rsid w:val="0094601D"/>
    <w:rsid w:val="00946EDD"/>
    <w:rsid w:val="00947967"/>
    <w:rsid w:val="00955201"/>
    <w:rsid w:val="0095614B"/>
    <w:rsid w:val="00957DCC"/>
    <w:rsid w:val="00961AC3"/>
    <w:rsid w:val="00962C32"/>
    <w:rsid w:val="00965200"/>
    <w:rsid w:val="009654BB"/>
    <w:rsid w:val="009658B8"/>
    <w:rsid w:val="00966306"/>
    <w:rsid w:val="009668B3"/>
    <w:rsid w:val="009673B8"/>
    <w:rsid w:val="00967C94"/>
    <w:rsid w:val="00971471"/>
    <w:rsid w:val="00972778"/>
    <w:rsid w:val="00973330"/>
    <w:rsid w:val="00976150"/>
    <w:rsid w:val="00981B2A"/>
    <w:rsid w:val="00983866"/>
    <w:rsid w:val="009849C2"/>
    <w:rsid w:val="00984D24"/>
    <w:rsid w:val="009858EB"/>
    <w:rsid w:val="00987135"/>
    <w:rsid w:val="00993F33"/>
    <w:rsid w:val="0099493B"/>
    <w:rsid w:val="009971EE"/>
    <w:rsid w:val="009A3F47"/>
    <w:rsid w:val="009A6FA6"/>
    <w:rsid w:val="009A751D"/>
    <w:rsid w:val="009B0046"/>
    <w:rsid w:val="009B15CD"/>
    <w:rsid w:val="009B5544"/>
    <w:rsid w:val="009B561A"/>
    <w:rsid w:val="009B5A39"/>
    <w:rsid w:val="009B6712"/>
    <w:rsid w:val="009B7597"/>
    <w:rsid w:val="009C0BE1"/>
    <w:rsid w:val="009C1440"/>
    <w:rsid w:val="009C2107"/>
    <w:rsid w:val="009C5D9E"/>
    <w:rsid w:val="009D0AC0"/>
    <w:rsid w:val="009D1400"/>
    <w:rsid w:val="009D2C3E"/>
    <w:rsid w:val="009D2F1B"/>
    <w:rsid w:val="009D4D0E"/>
    <w:rsid w:val="009E0625"/>
    <w:rsid w:val="009E3034"/>
    <w:rsid w:val="009E4AB0"/>
    <w:rsid w:val="009E549F"/>
    <w:rsid w:val="009F28A8"/>
    <w:rsid w:val="009F3760"/>
    <w:rsid w:val="009F39AA"/>
    <w:rsid w:val="009F473E"/>
    <w:rsid w:val="009F4AB5"/>
    <w:rsid w:val="009F4C63"/>
    <w:rsid w:val="009F5A61"/>
    <w:rsid w:val="009F682A"/>
    <w:rsid w:val="00A015AF"/>
    <w:rsid w:val="00A01BC3"/>
    <w:rsid w:val="00A022BE"/>
    <w:rsid w:val="00A04733"/>
    <w:rsid w:val="00A07A11"/>
    <w:rsid w:val="00A07B4B"/>
    <w:rsid w:val="00A101AA"/>
    <w:rsid w:val="00A10E73"/>
    <w:rsid w:val="00A11345"/>
    <w:rsid w:val="00A11BE9"/>
    <w:rsid w:val="00A2451B"/>
    <w:rsid w:val="00A248AB"/>
    <w:rsid w:val="00A24C95"/>
    <w:rsid w:val="00A2599A"/>
    <w:rsid w:val="00A26094"/>
    <w:rsid w:val="00A2684F"/>
    <w:rsid w:val="00A27AAB"/>
    <w:rsid w:val="00A301BF"/>
    <w:rsid w:val="00A302B2"/>
    <w:rsid w:val="00A31951"/>
    <w:rsid w:val="00A31B9D"/>
    <w:rsid w:val="00A32BCE"/>
    <w:rsid w:val="00A331B4"/>
    <w:rsid w:val="00A3344C"/>
    <w:rsid w:val="00A3484E"/>
    <w:rsid w:val="00A34DC9"/>
    <w:rsid w:val="00A356D3"/>
    <w:rsid w:val="00A357A0"/>
    <w:rsid w:val="00A363F8"/>
    <w:rsid w:val="00A36ADA"/>
    <w:rsid w:val="00A438D8"/>
    <w:rsid w:val="00A44578"/>
    <w:rsid w:val="00A45CB3"/>
    <w:rsid w:val="00A46E38"/>
    <w:rsid w:val="00A473F5"/>
    <w:rsid w:val="00A50267"/>
    <w:rsid w:val="00A51F9D"/>
    <w:rsid w:val="00A5416A"/>
    <w:rsid w:val="00A54E99"/>
    <w:rsid w:val="00A61261"/>
    <w:rsid w:val="00A639F4"/>
    <w:rsid w:val="00A7091F"/>
    <w:rsid w:val="00A71E9C"/>
    <w:rsid w:val="00A73F00"/>
    <w:rsid w:val="00A77828"/>
    <w:rsid w:val="00A81A32"/>
    <w:rsid w:val="00A835BD"/>
    <w:rsid w:val="00A8531F"/>
    <w:rsid w:val="00A859DD"/>
    <w:rsid w:val="00A87498"/>
    <w:rsid w:val="00A93A68"/>
    <w:rsid w:val="00A943BB"/>
    <w:rsid w:val="00A94746"/>
    <w:rsid w:val="00A97B15"/>
    <w:rsid w:val="00AA0FE7"/>
    <w:rsid w:val="00AA2CC2"/>
    <w:rsid w:val="00AA42D5"/>
    <w:rsid w:val="00AA798D"/>
    <w:rsid w:val="00AB1429"/>
    <w:rsid w:val="00AB2FAB"/>
    <w:rsid w:val="00AB4757"/>
    <w:rsid w:val="00AB54C5"/>
    <w:rsid w:val="00AB57FE"/>
    <w:rsid w:val="00AB5C14"/>
    <w:rsid w:val="00AB68D5"/>
    <w:rsid w:val="00AC1EE7"/>
    <w:rsid w:val="00AC2E32"/>
    <w:rsid w:val="00AC333F"/>
    <w:rsid w:val="00AC585C"/>
    <w:rsid w:val="00AD1925"/>
    <w:rsid w:val="00AD3F06"/>
    <w:rsid w:val="00AD63FA"/>
    <w:rsid w:val="00AD6576"/>
    <w:rsid w:val="00AD77EB"/>
    <w:rsid w:val="00AE067D"/>
    <w:rsid w:val="00AE5B2E"/>
    <w:rsid w:val="00AE78B2"/>
    <w:rsid w:val="00AE7A70"/>
    <w:rsid w:val="00AF0511"/>
    <w:rsid w:val="00AF0B24"/>
    <w:rsid w:val="00AF1181"/>
    <w:rsid w:val="00AF2F79"/>
    <w:rsid w:val="00AF3198"/>
    <w:rsid w:val="00AF4653"/>
    <w:rsid w:val="00AF4737"/>
    <w:rsid w:val="00AF4A09"/>
    <w:rsid w:val="00AF5AF6"/>
    <w:rsid w:val="00AF7AAF"/>
    <w:rsid w:val="00AF7DB7"/>
    <w:rsid w:val="00B04A2B"/>
    <w:rsid w:val="00B05E6E"/>
    <w:rsid w:val="00B06F92"/>
    <w:rsid w:val="00B10D02"/>
    <w:rsid w:val="00B11428"/>
    <w:rsid w:val="00B13F0F"/>
    <w:rsid w:val="00B16170"/>
    <w:rsid w:val="00B201E2"/>
    <w:rsid w:val="00B220C1"/>
    <w:rsid w:val="00B22E71"/>
    <w:rsid w:val="00B23849"/>
    <w:rsid w:val="00B3052C"/>
    <w:rsid w:val="00B325CE"/>
    <w:rsid w:val="00B3469E"/>
    <w:rsid w:val="00B37947"/>
    <w:rsid w:val="00B443E4"/>
    <w:rsid w:val="00B4573F"/>
    <w:rsid w:val="00B468B7"/>
    <w:rsid w:val="00B46C15"/>
    <w:rsid w:val="00B5484D"/>
    <w:rsid w:val="00B563EA"/>
    <w:rsid w:val="00B56CDF"/>
    <w:rsid w:val="00B57721"/>
    <w:rsid w:val="00B60E51"/>
    <w:rsid w:val="00B63A54"/>
    <w:rsid w:val="00B652D3"/>
    <w:rsid w:val="00B6636C"/>
    <w:rsid w:val="00B73B17"/>
    <w:rsid w:val="00B74F2D"/>
    <w:rsid w:val="00B76693"/>
    <w:rsid w:val="00B77D18"/>
    <w:rsid w:val="00B8313A"/>
    <w:rsid w:val="00B90B62"/>
    <w:rsid w:val="00B93503"/>
    <w:rsid w:val="00B96F55"/>
    <w:rsid w:val="00BA15BD"/>
    <w:rsid w:val="00BA2A7E"/>
    <w:rsid w:val="00BA31E8"/>
    <w:rsid w:val="00BA55E0"/>
    <w:rsid w:val="00BA6BD4"/>
    <w:rsid w:val="00BA6C7A"/>
    <w:rsid w:val="00BA7E4C"/>
    <w:rsid w:val="00BB0762"/>
    <w:rsid w:val="00BB17D1"/>
    <w:rsid w:val="00BB1CF9"/>
    <w:rsid w:val="00BB3752"/>
    <w:rsid w:val="00BB5CF9"/>
    <w:rsid w:val="00BB6688"/>
    <w:rsid w:val="00BC26D4"/>
    <w:rsid w:val="00BC380D"/>
    <w:rsid w:val="00BC428A"/>
    <w:rsid w:val="00BC5B0B"/>
    <w:rsid w:val="00BC710E"/>
    <w:rsid w:val="00BD039A"/>
    <w:rsid w:val="00BD34AA"/>
    <w:rsid w:val="00BD732E"/>
    <w:rsid w:val="00BE04DB"/>
    <w:rsid w:val="00BE06D1"/>
    <w:rsid w:val="00BE0C80"/>
    <w:rsid w:val="00BE36A6"/>
    <w:rsid w:val="00BE5B70"/>
    <w:rsid w:val="00BE6258"/>
    <w:rsid w:val="00BE63A9"/>
    <w:rsid w:val="00BE78C7"/>
    <w:rsid w:val="00BF05AE"/>
    <w:rsid w:val="00BF2A42"/>
    <w:rsid w:val="00BF3F60"/>
    <w:rsid w:val="00BF4BB8"/>
    <w:rsid w:val="00C01F25"/>
    <w:rsid w:val="00C03D8C"/>
    <w:rsid w:val="00C055EC"/>
    <w:rsid w:val="00C10DC9"/>
    <w:rsid w:val="00C12FB3"/>
    <w:rsid w:val="00C17341"/>
    <w:rsid w:val="00C24EEF"/>
    <w:rsid w:val="00C25CF6"/>
    <w:rsid w:val="00C26C36"/>
    <w:rsid w:val="00C31E1C"/>
    <w:rsid w:val="00C32768"/>
    <w:rsid w:val="00C355F1"/>
    <w:rsid w:val="00C419CD"/>
    <w:rsid w:val="00C42D45"/>
    <w:rsid w:val="00C431DF"/>
    <w:rsid w:val="00C4440B"/>
    <w:rsid w:val="00C456BD"/>
    <w:rsid w:val="00C473A8"/>
    <w:rsid w:val="00C530DC"/>
    <w:rsid w:val="00C5350D"/>
    <w:rsid w:val="00C558B6"/>
    <w:rsid w:val="00C57E4F"/>
    <w:rsid w:val="00C6123C"/>
    <w:rsid w:val="00C6311A"/>
    <w:rsid w:val="00C63499"/>
    <w:rsid w:val="00C647D6"/>
    <w:rsid w:val="00C67102"/>
    <w:rsid w:val="00C67D50"/>
    <w:rsid w:val="00C70398"/>
    <w:rsid w:val="00C7084D"/>
    <w:rsid w:val="00C71248"/>
    <w:rsid w:val="00C71B7C"/>
    <w:rsid w:val="00C72AC4"/>
    <w:rsid w:val="00C7315E"/>
    <w:rsid w:val="00C75895"/>
    <w:rsid w:val="00C76913"/>
    <w:rsid w:val="00C83C9F"/>
    <w:rsid w:val="00C857A3"/>
    <w:rsid w:val="00C871DE"/>
    <w:rsid w:val="00C9366B"/>
    <w:rsid w:val="00C94840"/>
    <w:rsid w:val="00C94ECE"/>
    <w:rsid w:val="00C95363"/>
    <w:rsid w:val="00C97EEF"/>
    <w:rsid w:val="00CA0144"/>
    <w:rsid w:val="00CA4EE3"/>
    <w:rsid w:val="00CA6B19"/>
    <w:rsid w:val="00CB027F"/>
    <w:rsid w:val="00CB714B"/>
    <w:rsid w:val="00CB79C9"/>
    <w:rsid w:val="00CB7D42"/>
    <w:rsid w:val="00CC0EBB"/>
    <w:rsid w:val="00CC2679"/>
    <w:rsid w:val="00CC6297"/>
    <w:rsid w:val="00CC7690"/>
    <w:rsid w:val="00CD1986"/>
    <w:rsid w:val="00CD33E4"/>
    <w:rsid w:val="00CD3B7B"/>
    <w:rsid w:val="00CD4CBF"/>
    <w:rsid w:val="00CD5075"/>
    <w:rsid w:val="00CD54BF"/>
    <w:rsid w:val="00CD6C8A"/>
    <w:rsid w:val="00CD79D6"/>
    <w:rsid w:val="00CE25FB"/>
    <w:rsid w:val="00CE4687"/>
    <w:rsid w:val="00CE4D5C"/>
    <w:rsid w:val="00CF01DD"/>
    <w:rsid w:val="00CF05DA"/>
    <w:rsid w:val="00CF1061"/>
    <w:rsid w:val="00CF2349"/>
    <w:rsid w:val="00CF58EB"/>
    <w:rsid w:val="00CF6A9D"/>
    <w:rsid w:val="00CF6FEC"/>
    <w:rsid w:val="00CF754D"/>
    <w:rsid w:val="00D0106E"/>
    <w:rsid w:val="00D02E21"/>
    <w:rsid w:val="00D03915"/>
    <w:rsid w:val="00D057B9"/>
    <w:rsid w:val="00D06383"/>
    <w:rsid w:val="00D06535"/>
    <w:rsid w:val="00D073C1"/>
    <w:rsid w:val="00D075AD"/>
    <w:rsid w:val="00D10CA5"/>
    <w:rsid w:val="00D11F85"/>
    <w:rsid w:val="00D20336"/>
    <w:rsid w:val="00D20E85"/>
    <w:rsid w:val="00D20FB0"/>
    <w:rsid w:val="00D225F6"/>
    <w:rsid w:val="00D24615"/>
    <w:rsid w:val="00D31BBB"/>
    <w:rsid w:val="00D330AB"/>
    <w:rsid w:val="00D367AE"/>
    <w:rsid w:val="00D3688E"/>
    <w:rsid w:val="00D37842"/>
    <w:rsid w:val="00D40021"/>
    <w:rsid w:val="00D40C5D"/>
    <w:rsid w:val="00D415CA"/>
    <w:rsid w:val="00D42DC2"/>
    <w:rsid w:val="00D4302B"/>
    <w:rsid w:val="00D5003C"/>
    <w:rsid w:val="00D518DD"/>
    <w:rsid w:val="00D537E1"/>
    <w:rsid w:val="00D55B75"/>
    <w:rsid w:val="00D55BB2"/>
    <w:rsid w:val="00D5654B"/>
    <w:rsid w:val="00D57822"/>
    <w:rsid w:val="00D6091A"/>
    <w:rsid w:val="00D64AD6"/>
    <w:rsid w:val="00D64FDD"/>
    <w:rsid w:val="00D6605A"/>
    <w:rsid w:val="00D6654F"/>
    <w:rsid w:val="00D6695F"/>
    <w:rsid w:val="00D67FA0"/>
    <w:rsid w:val="00D70113"/>
    <w:rsid w:val="00D75644"/>
    <w:rsid w:val="00D767C5"/>
    <w:rsid w:val="00D81656"/>
    <w:rsid w:val="00D8240B"/>
    <w:rsid w:val="00D83040"/>
    <w:rsid w:val="00D83D87"/>
    <w:rsid w:val="00D84A6D"/>
    <w:rsid w:val="00D86A30"/>
    <w:rsid w:val="00D93D8F"/>
    <w:rsid w:val="00D9486A"/>
    <w:rsid w:val="00D949B9"/>
    <w:rsid w:val="00D94AFE"/>
    <w:rsid w:val="00D95B1E"/>
    <w:rsid w:val="00D97243"/>
    <w:rsid w:val="00D97CB4"/>
    <w:rsid w:val="00D97DD4"/>
    <w:rsid w:val="00DA4D7E"/>
    <w:rsid w:val="00DA5A8A"/>
    <w:rsid w:val="00DA7AA6"/>
    <w:rsid w:val="00DB1170"/>
    <w:rsid w:val="00DB1C55"/>
    <w:rsid w:val="00DB26CD"/>
    <w:rsid w:val="00DB28F9"/>
    <w:rsid w:val="00DB441C"/>
    <w:rsid w:val="00DB44AF"/>
    <w:rsid w:val="00DB51A9"/>
    <w:rsid w:val="00DB7E3D"/>
    <w:rsid w:val="00DB7EFA"/>
    <w:rsid w:val="00DC1F58"/>
    <w:rsid w:val="00DC339B"/>
    <w:rsid w:val="00DC5287"/>
    <w:rsid w:val="00DC5D40"/>
    <w:rsid w:val="00DC681C"/>
    <w:rsid w:val="00DC69A7"/>
    <w:rsid w:val="00DD11F5"/>
    <w:rsid w:val="00DD30E9"/>
    <w:rsid w:val="00DD4F47"/>
    <w:rsid w:val="00DD5CBC"/>
    <w:rsid w:val="00DD7305"/>
    <w:rsid w:val="00DD7669"/>
    <w:rsid w:val="00DD7FBB"/>
    <w:rsid w:val="00DE053E"/>
    <w:rsid w:val="00DE0B9F"/>
    <w:rsid w:val="00DE2A9E"/>
    <w:rsid w:val="00DE39FA"/>
    <w:rsid w:val="00DE3F8B"/>
    <w:rsid w:val="00DE4238"/>
    <w:rsid w:val="00DE657F"/>
    <w:rsid w:val="00DF0774"/>
    <w:rsid w:val="00DF1218"/>
    <w:rsid w:val="00DF1CD5"/>
    <w:rsid w:val="00DF6462"/>
    <w:rsid w:val="00DF6957"/>
    <w:rsid w:val="00E02FA0"/>
    <w:rsid w:val="00E030D6"/>
    <w:rsid w:val="00E036DC"/>
    <w:rsid w:val="00E10454"/>
    <w:rsid w:val="00E10C8B"/>
    <w:rsid w:val="00E112E5"/>
    <w:rsid w:val="00E122D8"/>
    <w:rsid w:val="00E12CC8"/>
    <w:rsid w:val="00E15352"/>
    <w:rsid w:val="00E21B2B"/>
    <w:rsid w:val="00E21CC7"/>
    <w:rsid w:val="00E22FA2"/>
    <w:rsid w:val="00E248EA"/>
    <w:rsid w:val="00E24D9E"/>
    <w:rsid w:val="00E25021"/>
    <w:rsid w:val="00E25241"/>
    <w:rsid w:val="00E25849"/>
    <w:rsid w:val="00E26894"/>
    <w:rsid w:val="00E27F0A"/>
    <w:rsid w:val="00E3197E"/>
    <w:rsid w:val="00E31A45"/>
    <w:rsid w:val="00E33CA6"/>
    <w:rsid w:val="00E33FB8"/>
    <w:rsid w:val="00E342F8"/>
    <w:rsid w:val="00E34413"/>
    <w:rsid w:val="00E351ED"/>
    <w:rsid w:val="00E407EC"/>
    <w:rsid w:val="00E41130"/>
    <w:rsid w:val="00E42A8A"/>
    <w:rsid w:val="00E455B6"/>
    <w:rsid w:val="00E459DD"/>
    <w:rsid w:val="00E51ED6"/>
    <w:rsid w:val="00E53115"/>
    <w:rsid w:val="00E55AD2"/>
    <w:rsid w:val="00E5728E"/>
    <w:rsid w:val="00E6034B"/>
    <w:rsid w:val="00E606B3"/>
    <w:rsid w:val="00E61372"/>
    <w:rsid w:val="00E627C0"/>
    <w:rsid w:val="00E632A6"/>
    <w:rsid w:val="00E642A4"/>
    <w:rsid w:val="00E6549E"/>
    <w:rsid w:val="00E65EDE"/>
    <w:rsid w:val="00E670AB"/>
    <w:rsid w:val="00E70F81"/>
    <w:rsid w:val="00E7103F"/>
    <w:rsid w:val="00E7126D"/>
    <w:rsid w:val="00E72902"/>
    <w:rsid w:val="00E73027"/>
    <w:rsid w:val="00E733C6"/>
    <w:rsid w:val="00E76F2F"/>
    <w:rsid w:val="00E77055"/>
    <w:rsid w:val="00E77393"/>
    <w:rsid w:val="00E77460"/>
    <w:rsid w:val="00E81D7D"/>
    <w:rsid w:val="00E82B64"/>
    <w:rsid w:val="00E83ABC"/>
    <w:rsid w:val="00E840E1"/>
    <w:rsid w:val="00E844F2"/>
    <w:rsid w:val="00E86257"/>
    <w:rsid w:val="00E874FE"/>
    <w:rsid w:val="00E90AD0"/>
    <w:rsid w:val="00E92FCB"/>
    <w:rsid w:val="00E94FE5"/>
    <w:rsid w:val="00E966D4"/>
    <w:rsid w:val="00E97E81"/>
    <w:rsid w:val="00EA0141"/>
    <w:rsid w:val="00EA08EB"/>
    <w:rsid w:val="00EA147F"/>
    <w:rsid w:val="00EA1C3F"/>
    <w:rsid w:val="00EA2AF9"/>
    <w:rsid w:val="00EA4A27"/>
    <w:rsid w:val="00EA4FA6"/>
    <w:rsid w:val="00EA5854"/>
    <w:rsid w:val="00EA6658"/>
    <w:rsid w:val="00EB13DE"/>
    <w:rsid w:val="00EB1A25"/>
    <w:rsid w:val="00EB611B"/>
    <w:rsid w:val="00EC2005"/>
    <w:rsid w:val="00EC254A"/>
    <w:rsid w:val="00EC3B7E"/>
    <w:rsid w:val="00EC452A"/>
    <w:rsid w:val="00EC6B1C"/>
    <w:rsid w:val="00EC7363"/>
    <w:rsid w:val="00EC7935"/>
    <w:rsid w:val="00ED03AB"/>
    <w:rsid w:val="00ED0669"/>
    <w:rsid w:val="00ED0CC1"/>
    <w:rsid w:val="00ED1789"/>
    <w:rsid w:val="00ED1963"/>
    <w:rsid w:val="00ED19CB"/>
    <w:rsid w:val="00ED1CD4"/>
    <w:rsid w:val="00ED1D2B"/>
    <w:rsid w:val="00ED236F"/>
    <w:rsid w:val="00ED25F9"/>
    <w:rsid w:val="00ED5BF2"/>
    <w:rsid w:val="00ED64B5"/>
    <w:rsid w:val="00ED7419"/>
    <w:rsid w:val="00ED7CAD"/>
    <w:rsid w:val="00EE33B3"/>
    <w:rsid w:val="00EE5D92"/>
    <w:rsid w:val="00EE7CCA"/>
    <w:rsid w:val="00EF2F92"/>
    <w:rsid w:val="00EF4079"/>
    <w:rsid w:val="00EF4F28"/>
    <w:rsid w:val="00F0206E"/>
    <w:rsid w:val="00F0333B"/>
    <w:rsid w:val="00F051F7"/>
    <w:rsid w:val="00F120DB"/>
    <w:rsid w:val="00F12990"/>
    <w:rsid w:val="00F14336"/>
    <w:rsid w:val="00F161D4"/>
    <w:rsid w:val="00F16A14"/>
    <w:rsid w:val="00F213BD"/>
    <w:rsid w:val="00F2335A"/>
    <w:rsid w:val="00F33BAC"/>
    <w:rsid w:val="00F33F7C"/>
    <w:rsid w:val="00F34690"/>
    <w:rsid w:val="00F362D7"/>
    <w:rsid w:val="00F37D06"/>
    <w:rsid w:val="00F37D7B"/>
    <w:rsid w:val="00F43439"/>
    <w:rsid w:val="00F440A2"/>
    <w:rsid w:val="00F514F4"/>
    <w:rsid w:val="00F51A6B"/>
    <w:rsid w:val="00F53069"/>
    <w:rsid w:val="00F5314C"/>
    <w:rsid w:val="00F5688C"/>
    <w:rsid w:val="00F571E5"/>
    <w:rsid w:val="00F60048"/>
    <w:rsid w:val="00F61CB3"/>
    <w:rsid w:val="00F6305E"/>
    <w:rsid w:val="00F635DD"/>
    <w:rsid w:val="00F65A0F"/>
    <w:rsid w:val="00F65C9F"/>
    <w:rsid w:val="00F6627B"/>
    <w:rsid w:val="00F70140"/>
    <w:rsid w:val="00F721AB"/>
    <w:rsid w:val="00F728C7"/>
    <w:rsid w:val="00F7336E"/>
    <w:rsid w:val="00F734F2"/>
    <w:rsid w:val="00F745DE"/>
    <w:rsid w:val="00F74600"/>
    <w:rsid w:val="00F75052"/>
    <w:rsid w:val="00F76223"/>
    <w:rsid w:val="00F76DA3"/>
    <w:rsid w:val="00F804D3"/>
    <w:rsid w:val="00F816CB"/>
    <w:rsid w:val="00F81A18"/>
    <w:rsid w:val="00F81CD2"/>
    <w:rsid w:val="00F82470"/>
    <w:rsid w:val="00F82641"/>
    <w:rsid w:val="00F8395B"/>
    <w:rsid w:val="00F83C1A"/>
    <w:rsid w:val="00F83EC2"/>
    <w:rsid w:val="00F85139"/>
    <w:rsid w:val="00F85A7E"/>
    <w:rsid w:val="00F85ED1"/>
    <w:rsid w:val="00F872F0"/>
    <w:rsid w:val="00F90DE9"/>
    <w:rsid w:val="00F90F18"/>
    <w:rsid w:val="00F937E4"/>
    <w:rsid w:val="00F93A45"/>
    <w:rsid w:val="00F93EE8"/>
    <w:rsid w:val="00F94AC9"/>
    <w:rsid w:val="00F95EE7"/>
    <w:rsid w:val="00F965BC"/>
    <w:rsid w:val="00F97313"/>
    <w:rsid w:val="00FA162B"/>
    <w:rsid w:val="00FA218B"/>
    <w:rsid w:val="00FA2279"/>
    <w:rsid w:val="00FA33B9"/>
    <w:rsid w:val="00FA39E6"/>
    <w:rsid w:val="00FA7BC9"/>
    <w:rsid w:val="00FB0E8A"/>
    <w:rsid w:val="00FB1317"/>
    <w:rsid w:val="00FB20C6"/>
    <w:rsid w:val="00FB378E"/>
    <w:rsid w:val="00FB37F1"/>
    <w:rsid w:val="00FB47C0"/>
    <w:rsid w:val="00FB501B"/>
    <w:rsid w:val="00FB5041"/>
    <w:rsid w:val="00FB6F04"/>
    <w:rsid w:val="00FB74DA"/>
    <w:rsid w:val="00FB7770"/>
    <w:rsid w:val="00FC05EF"/>
    <w:rsid w:val="00FC0775"/>
    <w:rsid w:val="00FC1C31"/>
    <w:rsid w:val="00FC6B8F"/>
    <w:rsid w:val="00FC7B48"/>
    <w:rsid w:val="00FD3B91"/>
    <w:rsid w:val="00FD576B"/>
    <w:rsid w:val="00FD579E"/>
    <w:rsid w:val="00FD5EDE"/>
    <w:rsid w:val="00FD6845"/>
    <w:rsid w:val="00FD68B8"/>
    <w:rsid w:val="00FE3E0A"/>
    <w:rsid w:val="00FE4516"/>
    <w:rsid w:val="00FE64C8"/>
    <w:rsid w:val="00FE6B3D"/>
    <w:rsid w:val="00FE6C7A"/>
    <w:rsid w:val="00FF169B"/>
    <w:rsid w:val="00FF264C"/>
    <w:rsid w:val="00FF3EBA"/>
    <w:rsid w:val="00FF41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015F5"/>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5015F5"/>
    <w:pPr>
      <w:numPr>
        <w:numId w:val="13"/>
      </w:numPr>
      <w:outlineLvl w:val="0"/>
    </w:pPr>
    <w:rPr>
      <w:rFonts w:hAnsi="Arial"/>
      <w:bCs/>
      <w:kern w:val="32"/>
      <w:szCs w:val="52"/>
    </w:rPr>
  </w:style>
  <w:style w:type="paragraph" w:styleId="2">
    <w:name w:val="heading 2"/>
    <w:basedOn w:val="a6"/>
    <w:link w:val="20"/>
    <w:qFormat/>
    <w:rsid w:val="005015F5"/>
    <w:pPr>
      <w:numPr>
        <w:ilvl w:val="1"/>
        <w:numId w:val="13"/>
      </w:numPr>
      <w:outlineLvl w:val="1"/>
    </w:pPr>
    <w:rPr>
      <w:rFonts w:hAnsi="Arial"/>
      <w:bCs/>
      <w:kern w:val="32"/>
      <w:szCs w:val="48"/>
    </w:rPr>
  </w:style>
  <w:style w:type="paragraph" w:styleId="3">
    <w:name w:val="heading 3"/>
    <w:basedOn w:val="a6"/>
    <w:link w:val="30"/>
    <w:qFormat/>
    <w:rsid w:val="005015F5"/>
    <w:pPr>
      <w:numPr>
        <w:ilvl w:val="2"/>
        <w:numId w:val="13"/>
      </w:numPr>
      <w:outlineLvl w:val="2"/>
    </w:pPr>
    <w:rPr>
      <w:rFonts w:hAnsi="Arial"/>
      <w:bCs/>
      <w:kern w:val="32"/>
      <w:szCs w:val="36"/>
    </w:rPr>
  </w:style>
  <w:style w:type="paragraph" w:styleId="4">
    <w:name w:val="heading 4"/>
    <w:basedOn w:val="a6"/>
    <w:link w:val="40"/>
    <w:qFormat/>
    <w:rsid w:val="005015F5"/>
    <w:pPr>
      <w:numPr>
        <w:ilvl w:val="3"/>
        <w:numId w:val="13"/>
      </w:numPr>
      <w:outlineLvl w:val="3"/>
    </w:pPr>
    <w:rPr>
      <w:rFonts w:hAnsi="Arial"/>
      <w:kern w:val="32"/>
      <w:szCs w:val="36"/>
    </w:rPr>
  </w:style>
  <w:style w:type="paragraph" w:styleId="5">
    <w:name w:val="heading 5"/>
    <w:basedOn w:val="a6"/>
    <w:link w:val="50"/>
    <w:qFormat/>
    <w:rsid w:val="005015F5"/>
    <w:pPr>
      <w:numPr>
        <w:ilvl w:val="4"/>
        <w:numId w:val="13"/>
      </w:numPr>
      <w:outlineLvl w:val="4"/>
    </w:pPr>
    <w:rPr>
      <w:rFonts w:hAnsi="Arial"/>
      <w:bCs/>
      <w:kern w:val="32"/>
      <w:szCs w:val="36"/>
    </w:rPr>
  </w:style>
  <w:style w:type="paragraph" w:styleId="6">
    <w:name w:val="heading 6"/>
    <w:basedOn w:val="a6"/>
    <w:link w:val="60"/>
    <w:qFormat/>
    <w:rsid w:val="005015F5"/>
    <w:pPr>
      <w:numPr>
        <w:ilvl w:val="5"/>
        <w:numId w:val="13"/>
      </w:numPr>
      <w:tabs>
        <w:tab w:val="left" w:pos="2094"/>
      </w:tabs>
      <w:outlineLvl w:val="5"/>
    </w:pPr>
    <w:rPr>
      <w:rFonts w:hAnsi="Arial"/>
      <w:kern w:val="32"/>
      <w:szCs w:val="36"/>
    </w:rPr>
  </w:style>
  <w:style w:type="paragraph" w:styleId="7">
    <w:name w:val="heading 7"/>
    <w:basedOn w:val="a6"/>
    <w:link w:val="70"/>
    <w:qFormat/>
    <w:rsid w:val="005015F5"/>
    <w:pPr>
      <w:numPr>
        <w:ilvl w:val="6"/>
        <w:numId w:val="13"/>
      </w:numPr>
      <w:outlineLvl w:val="6"/>
    </w:pPr>
    <w:rPr>
      <w:rFonts w:hAnsi="Arial"/>
      <w:bCs/>
      <w:kern w:val="32"/>
      <w:szCs w:val="36"/>
    </w:rPr>
  </w:style>
  <w:style w:type="paragraph" w:styleId="8">
    <w:name w:val="heading 8"/>
    <w:basedOn w:val="a6"/>
    <w:link w:val="80"/>
    <w:qFormat/>
    <w:rsid w:val="005015F5"/>
    <w:pPr>
      <w:numPr>
        <w:ilvl w:val="7"/>
        <w:numId w:val="13"/>
      </w:numPr>
      <w:outlineLvl w:val="7"/>
    </w:pPr>
    <w:rPr>
      <w:rFonts w:hAnsi="Arial"/>
      <w:kern w:val="32"/>
      <w:szCs w:val="36"/>
    </w:rPr>
  </w:style>
  <w:style w:type="paragraph" w:styleId="9">
    <w:name w:val="heading 9"/>
    <w:basedOn w:val="a6"/>
    <w:link w:val="90"/>
    <w:uiPriority w:val="9"/>
    <w:unhideWhenUsed/>
    <w:qFormat/>
    <w:rsid w:val="005015F5"/>
    <w:pPr>
      <w:numPr>
        <w:ilvl w:val="8"/>
        <w:numId w:val="1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5015F5"/>
    <w:pPr>
      <w:spacing w:before="720" w:after="720"/>
      <w:ind w:left="7371"/>
    </w:pPr>
    <w:rPr>
      <w:b/>
      <w:snapToGrid w:val="0"/>
      <w:spacing w:val="10"/>
      <w:sz w:val="36"/>
    </w:rPr>
  </w:style>
  <w:style w:type="paragraph" w:styleId="ac">
    <w:name w:val="endnote text"/>
    <w:basedOn w:val="a6"/>
    <w:link w:val="ad"/>
    <w:semiHidden/>
    <w:rsid w:val="005015F5"/>
    <w:pPr>
      <w:kinsoku w:val="0"/>
      <w:autoSpaceDE/>
      <w:spacing w:before="240"/>
      <w:ind w:left="1021" w:hanging="1021"/>
    </w:pPr>
    <w:rPr>
      <w:snapToGrid w:val="0"/>
      <w:spacing w:val="10"/>
    </w:rPr>
  </w:style>
  <w:style w:type="paragraph" w:styleId="51">
    <w:name w:val="toc 5"/>
    <w:basedOn w:val="a6"/>
    <w:next w:val="a6"/>
    <w:autoRedefine/>
    <w:semiHidden/>
    <w:rsid w:val="005015F5"/>
    <w:pPr>
      <w:ind w:leftChars="400" w:left="600" w:rightChars="200" w:right="200" w:hangingChars="200" w:hanging="200"/>
    </w:pPr>
  </w:style>
  <w:style w:type="character" w:styleId="ae">
    <w:name w:val="page number"/>
    <w:basedOn w:val="a7"/>
    <w:semiHidden/>
    <w:rsid w:val="005015F5"/>
    <w:rPr>
      <w:rFonts w:ascii="標楷體" w:eastAsia="標楷體"/>
      <w:sz w:val="20"/>
    </w:rPr>
  </w:style>
  <w:style w:type="paragraph" w:styleId="61">
    <w:name w:val="toc 6"/>
    <w:basedOn w:val="a6"/>
    <w:next w:val="a6"/>
    <w:autoRedefine/>
    <w:semiHidden/>
    <w:rsid w:val="005015F5"/>
    <w:pPr>
      <w:ind w:leftChars="500" w:left="500"/>
    </w:pPr>
  </w:style>
  <w:style w:type="paragraph" w:customStyle="1" w:styleId="11">
    <w:name w:val="段落樣式1"/>
    <w:basedOn w:val="a6"/>
    <w:qFormat/>
    <w:rsid w:val="005015F5"/>
    <w:pPr>
      <w:tabs>
        <w:tab w:val="left" w:pos="567"/>
      </w:tabs>
      <w:ind w:leftChars="200" w:left="200" w:firstLineChars="200" w:firstLine="200"/>
    </w:pPr>
    <w:rPr>
      <w:kern w:val="32"/>
    </w:rPr>
  </w:style>
  <w:style w:type="paragraph" w:customStyle="1" w:styleId="21">
    <w:name w:val="段落樣式2"/>
    <w:basedOn w:val="a6"/>
    <w:qFormat/>
    <w:rsid w:val="005015F5"/>
    <w:pPr>
      <w:tabs>
        <w:tab w:val="left" w:pos="567"/>
      </w:tabs>
      <w:ind w:leftChars="300" w:left="300" w:firstLineChars="200" w:firstLine="200"/>
    </w:pPr>
    <w:rPr>
      <w:kern w:val="32"/>
    </w:rPr>
  </w:style>
  <w:style w:type="paragraph" w:styleId="12">
    <w:name w:val="toc 1"/>
    <w:basedOn w:val="a6"/>
    <w:next w:val="a6"/>
    <w:autoRedefine/>
    <w:uiPriority w:val="39"/>
    <w:rsid w:val="005015F5"/>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5015F5"/>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5015F5"/>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5015F5"/>
    <w:pPr>
      <w:kinsoku w:val="0"/>
      <w:ind w:leftChars="300" w:left="500" w:rightChars="200" w:right="200" w:hangingChars="200" w:hanging="200"/>
    </w:pPr>
  </w:style>
  <w:style w:type="paragraph" w:styleId="71">
    <w:name w:val="toc 7"/>
    <w:basedOn w:val="a6"/>
    <w:next w:val="a6"/>
    <w:autoRedefine/>
    <w:semiHidden/>
    <w:rsid w:val="005015F5"/>
    <w:pPr>
      <w:ind w:leftChars="600" w:left="800" w:hangingChars="200" w:hanging="200"/>
    </w:pPr>
  </w:style>
  <w:style w:type="paragraph" w:styleId="81">
    <w:name w:val="toc 8"/>
    <w:basedOn w:val="a6"/>
    <w:next w:val="a6"/>
    <w:autoRedefine/>
    <w:semiHidden/>
    <w:rsid w:val="005015F5"/>
    <w:pPr>
      <w:ind w:leftChars="700" w:left="900" w:hangingChars="200" w:hanging="200"/>
    </w:pPr>
  </w:style>
  <w:style w:type="paragraph" w:styleId="91">
    <w:name w:val="toc 9"/>
    <w:basedOn w:val="a6"/>
    <w:next w:val="a6"/>
    <w:autoRedefine/>
    <w:semiHidden/>
    <w:rsid w:val="005015F5"/>
    <w:pPr>
      <w:ind w:leftChars="1600" w:left="3840"/>
    </w:pPr>
  </w:style>
  <w:style w:type="paragraph" w:styleId="af">
    <w:name w:val="header"/>
    <w:basedOn w:val="a6"/>
    <w:link w:val="af0"/>
    <w:semiHidden/>
    <w:rsid w:val="005015F5"/>
    <w:pPr>
      <w:tabs>
        <w:tab w:val="center" w:pos="4153"/>
        <w:tab w:val="right" w:pos="8306"/>
      </w:tabs>
      <w:snapToGrid w:val="0"/>
    </w:pPr>
    <w:rPr>
      <w:sz w:val="20"/>
    </w:rPr>
  </w:style>
  <w:style w:type="paragraph" w:customStyle="1" w:styleId="32">
    <w:name w:val="段落樣式3"/>
    <w:basedOn w:val="21"/>
    <w:qFormat/>
    <w:rsid w:val="005015F5"/>
    <w:pPr>
      <w:ind w:leftChars="400" w:left="400"/>
    </w:pPr>
  </w:style>
  <w:style w:type="character" w:styleId="af1">
    <w:name w:val="Hyperlink"/>
    <w:basedOn w:val="a7"/>
    <w:uiPriority w:val="99"/>
    <w:rsid w:val="005015F5"/>
    <w:rPr>
      <w:color w:val="0000FF"/>
      <w:u w:val="single"/>
    </w:rPr>
  </w:style>
  <w:style w:type="paragraph" w:customStyle="1" w:styleId="af2">
    <w:name w:val="簽名日期"/>
    <w:basedOn w:val="a6"/>
    <w:rsid w:val="005015F5"/>
    <w:pPr>
      <w:kinsoku w:val="0"/>
      <w:jc w:val="distribute"/>
    </w:pPr>
    <w:rPr>
      <w:kern w:val="0"/>
    </w:rPr>
  </w:style>
  <w:style w:type="paragraph" w:customStyle="1" w:styleId="0">
    <w:name w:val="段落樣式0"/>
    <w:basedOn w:val="21"/>
    <w:qFormat/>
    <w:rsid w:val="005015F5"/>
    <w:pPr>
      <w:ind w:leftChars="200" w:left="200" w:firstLineChars="0" w:firstLine="0"/>
    </w:pPr>
  </w:style>
  <w:style w:type="paragraph" w:customStyle="1" w:styleId="af3">
    <w:name w:val="附件"/>
    <w:basedOn w:val="ac"/>
    <w:rsid w:val="005015F5"/>
    <w:pPr>
      <w:spacing w:before="0"/>
      <w:ind w:left="1047" w:hangingChars="300" w:hanging="1047"/>
    </w:pPr>
    <w:rPr>
      <w:snapToGrid/>
      <w:spacing w:val="0"/>
      <w:kern w:val="0"/>
    </w:rPr>
  </w:style>
  <w:style w:type="paragraph" w:customStyle="1" w:styleId="42">
    <w:name w:val="段落樣式4"/>
    <w:basedOn w:val="32"/>
    <w:qFormat/>
    <w:rsid w:val="005015F5"/>
    <w:pPr>
      <w:ind w:leftChars="500" w:left="500"/>
    </w:pPr>
  </w:style>
  <w:style w:type="paragraph" w:customStyle="1" w:styleId="52">
    <w:name w:val="段落樣式5"/>
    <w:basedOn w:val="42"/>
    <w:qFormat/>
    <w:rsid w:val="005015F5"/>
    <w:pPr>
      <w:ind w:leftChars="600" w:left="600"/>
    </w:pPr>
  </w:style>
  <w:style w:type="paragraph" w:customStyle="1" w:styleId="62">
    <w:name w:val="段落樣式6"/>
    <w:basedOn w:val="52"/>
    <w:qFormat/>
    <w:rsid w:val="005015F5"/>
    <w:pPr>
      <w:ind w:leftChars="700" w:left="700"/>
    </w:pPr>
  </w:style>
  <w:style w:type="paragraph" w:customStyle="1" w:styleId="72">
    <w:name w:val="段落樣式7"/>
    <w:basedOn w:val="62"/>
    <w:qFormat/>
    <w:rsid w:val="005015F5"/>
    <w:pPr>
      <w:ind w:leftChars="800" w:left="800"/>
    </w:pPr>
  </w:style>
  <w:style w:type="paragraph" w:customStyle="1" w:styleId="82">
    <w:name w:val="段落樣式8"/>
    <w:basedOn w:val="72"/>
    <w:qFormat/>
    <w:rsid w:val="005015F5"/>
    <w:pPr>
      <w:ind w:leftChars="900" w:left="900"/>
    </w:pPr>
  </w:style>
  <w:style w:type="paragraph" w:customStyle="1" w:styleId="a0">
    <w:name w:val="附表樣式"/>
    <w:basedOn w:val="a6"/>
    <w:qFormat/>
    <w:rsid w:val="005015F5"/>
    <w:pPr>
      <w:keepNext/>
      <w:numPr>
        <w:numId w:val="8"/>
      </w:numPr>
      <w:outlineLvl w:val="0"/>
    </w:pPr>
    <w:rPr>
      <w:kern w:val="32"/>
    </w:rPr>
  </w:style>
  <w:style w:type="paragraph" w:styleId="af4">
    <w:name w:val="Body Text Indent"/>
    <w:basedOn w:val="a6"/>
    <w:link w:val="af5"/>
    <w:semiHidden/>
    <w:rsid w:val="005015F5"/>
    <w:pPr>
      <w:ind w:left="698" w:hangingChars="200" w:hanging="698"/>
    </w:pPr>
  </w:style>
  <w:style w:type="paragraph" w:customStyle="1" w:styleId="af6">
    <w:name w:val="調查報告"/>
    <w:basedOn w:val="ac"/>
    <w:rsid w:val="005015F5"/>
    <w:pPr>
      <w:adjustRightInd w:val="0"/>
      <w:spacing w:before="0"/>
      <w:ind w:left="0" w:firstLine="0"/>
      <w:jc w:val="center"/>
    </w:pPr>
    <w:rPr>
      <w:b/>
      <w:snapToGrid/>
      <w:spacing w:val="200"/>
      <w:kern w:val="0"/>
      <w:sz w:val="40"/>
    </w:rPr>
  </w:style>
  <w:style w:type="paragraph" w:customStyle="1" w:styleId="14">
    <w:name w:val="表格14"/>
    <w:basedOn w:val="a6"/>
    <w:rsid w:val="005015F5"/>
    <w:pPr>
      <w:adjustRightInd w:val="0"/>
      <w:snapToGrid w:val="0"/>
      <w:spacing w:line="360" w:lineRule="exact"/>
    </w:pPr>
    <w:rPr>
      <w:snapToGrid w:val="0"/>
      <w:spacing w:val="-14"/>
      <w:kern w:val="0"/>
      <w:sz w:val="28"/>
    </w:rPr>
  </w:style>
  <w:style w:type="paragraph" w:customStyle="1" w:styleId="a">
    <w:name w:val="附圖樣式"/>
    <w:basedOn w:val="a6"/>
    <w:qFormat/>
    <w:rsid w:val="005015F5"/>
    <w:pPr>
      <w:keepNext/>
      <w:numPr>
        <w:numId w:val="9"/>
      </w:numPr>
      <w:outlineLvl w:val="0"/>
    </w:pPr>
    <w:rPr>
      <w:kern w:val="32"/>
    </w:rPr>
  </w:style>
  <w:style w:type="paragraph" w:styleId="af7">
    <w:name w:val="footer"/>
    <w:basedOn w:val="a6"/>
    <w:link w:val="af8"/>
    <w:rsid w:val="005015F5"/>
    <w:pPr>
      <w:tabs>
        <w:tab w:val="center" w:pos="4153"/>
        <w:tab w:val="right" w:pos="8306"/>
      </w:tabs>
      <w:snapToGrid w:val="0"/>
    </w:pPr>
    <w:rPr>
      <w:sz w:val="20"/>
    </w:rPr>
  </w:style>
  <w:style w:type="paragraph" w:styleId="af9">
    <w:name w:val="table of figures"/>
    <w:basedOn w:val="a6"/>
    <w:next w:val="a6"/>
    <w:semiHidden/>
    <w:rsid w:val="005015F5"/>
    <w:pPr>
      <w:ind w:left="400" w:hangingChars="400" w:hanging="400"/>
    </w:pPr>
  </w:style>
  <w:style w:type="paragraph" w:customStyle="1" w:styleId="140">
    <w:name w:val="表格標題14"/>
    <w:basedOn w:val="a6"/>
    <w:rsid w:val="005015F5"/>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015F5"/>
    <w:pPr>
      <w:keepNext/>
      <w:widowControl w:val="0"/>
      <w:numPr>
        <w:numId w:val="6"/>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5015F5"/>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5015F5"/>
    <w:pPr>
      <w:numPr>
        <w:numId w:val="12"/>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501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5015F5"/>
    <w:pPr>
      <w:spacing w:line="240" w:lineRule="exact"/>
    </w:pPr>
    <w:rPr>
      <w:sz w:val="24"/>
      <w:szCs w:val="24"/>
    </w:rPr>
  </w:style>
  <w:style w:type="paragraph" w:customStyle="1" w:styleId="121">
    <w:name w:val="表格12"/>
    <w:basedOn w:val="14"/>
    <w:rsid w:val="005015F5"/>
    <w:pPr>
      <w:spacing w:line="300" w:lineRule="exact"/>
    </w:pPr>
    <w:rPr>
      <w:sz w:val="24"/>
      <w:szCs w:val="24"/>
    </w:rPr>
  </w:style>
  <w:style w:type="paragraph" w:customStyle="1" w:styleId="a4">
    <w:name w:val="附錄"/>
    <w:basedOn w:val="a6"/>
    <w:qFormat/>
    <w:rsid w:val="005015F5"/>
    <w:pPr>
      <w:keepNext/>
      <w:numPr>
        <w:numId w:val="10"/>
      </w:numPr>
      <w:outlineLvl w:val="0"/>
    </w:pPr>
    <w:rPr>
      <w:kern w:val="32"/>
    </w:rPr>
  </w:style>
  <w:style w:type="paragraph" w:styleId="afc">
    <w:name w:val="List Paragraph"/>
    <w:basedOn w:val="a6"/>
    <w:uiPriority w:val="34"/>
    <w:qFormat/>
    <w:rsid w:val="005015F5"/>
    <w:pPr>
      <w:ind w:leftChars="200" w:left="480"/>
    </w:pPr>
  </w:style>
  <w:style w:type="paragraph" w:styleId="afd">
    <w:name w:val="Balloon Text"/>
    <w:basedOn w:val="a6"/>
    <w:link w:val="afe"/>
    <w:uiPriority w:val="99"/>
    <w:semiHidden/>
    <w:unhideWhenUsed/>
    <w:rsid w:val="005015F5"/>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5015F5"/>
    <w:rPr>
      <w:rFonts w:asciiTheme="majorHAnsi" w:eastAsiaTheme="majorEastAsia" w:hAnsiTheme="majorHAnsi" w:cstheme="majorBidi"/>
      <w:kern w:val="2"/>
      <w:sz w:val="18"/>
      <w:szCs w:val="18"/>
    </w:rPr>
  </w:style>
  <w:style w:type="paragraph" w:customStyle="1" w:styleId="a5">
    <w:name w:val="照片標題"/>
    <w:qFormat/>
    <w:rsid w:val="005015F5"/>
    <w:pPr>
      <w:numPr>
        <w:numId w:val="11"/>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5015F5"/>
    <w:pPr>
      <w:keepNext/>
      <w:numPr>
        <w:numId w:val="7"/>
      </w:numPr>
      <w:outlineLvl w:val="0"/>
    </w:pPr>
    <w:rPr>
      <w:kern w:val="32"/>
    </w:rPr>
  </w:style>
  <w:style w:type="character" w:customStyle="1" w:styleId="90">
    <w:name w:val="標題 9 字元"/>
    <w:basedOn w:val="a7"/>
    <w:link w:val="9"/>
    <w:uiPriority w:val="9"/>
    <w:rsid w:val="005015F5"/>
    <w:rPr>
      <w:rFonts w:ascii="標楷體" w:eastAsia="標楷體" w:hAnsiTheme="majorHAnsi" w:cstheme="majorBidi"/>
      <w:kern w:val="32"/>
      <w:sz w:val="32"/>
      <w:szCs w:val="36"/>
    </w:rPr>
  </w:style>
  <w:style w:type="paragraph" w:customStyle="1" w:styleId="92">
    <w:name w:val="段落樣式9"/>
    <w:basedOn w:val="82"/>
    <w:qFormat/>
    <w:rsid w:val="005015F5"/>
    <w:pPr>
      <w:ind w:leftChars="1000" w:left="1000"/>
    </w:pPr>
  </w:style>
  <w:style w:type="paragraph" w:styleId="aff">
    <w:name w:val="Plain Text"/>
    <w:basedOn w:val="a6"/>
    <w:link w:val="aff0"/>
    <w:uiPriority w:val="99"/>
    <w:semiHidden/>
    <w:unhideWhenUsed/>
    <w:rsid w:val="005015F5"/>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5015F5"/>
    <w:rPr>
      <w:rFonts w:ascii="Calibri" w:eastAsia="標楷體" w:hAnsi="Courier New" w:cs="Courier New"/>
      <w:color w:val="244061" w:themeColor="accent1" w:themeShade="80"/>
      <w:sz w:val="28"/>
      <w:szCs w:val="24"/>
    </w:rPr>
  </w:style>
  <w:style w:type="character" w:customStyle="1" w:styleId="af8">
    <w:name w:val="頁尾 字元"/>
    <w:basedOn w:val="a7"/>
    <w:link w:val="af7"/>
    <w:rsid w:val="005015F5"/>
    <w:rPr>
      <w:rFonts w:ascii="標楷體" w:eastAsia="標楷體"/>
      <w:kern w:val="2"/>
    </w:rPr>
  </w:style>
  <w:style w:type="character" w:customStyle="1" w:styleId="aff1">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link w:val="aff2"/>
    <w:uiPriority w:val="99"/>
    <w:rsid w:val="00993F33"/>
    <w:rPr>
      <w:rFonts w:ascii="Calibri" w:hAnsi="Calibri"/>
    </w:rPr>
  </w:style>
  <w:style w:type="paragraph" w:styleId="aff2">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字元"/>
    <w:basedOn w:val="a6"/>
    <w:link w:val="aff1"/>
    <w:uiPriority w:val="99"/>
    <w:unhideWhenUsed/>
    <w:rsid w:val="00993F33"/>
    <w:pPr>
      <w:overflowPunct/>
      <w:autoSpaceDE/>
      <w:autoSpaceDN/>
      <w:snapToGrid w:val="0"/>
      <w:jc w:val="left"/>
    </w:pPr>
    <w:rPr>
      <w:rFonts w:ascii="Calibri" w:eastAsia="新細明體" w:hAnsi="Calibri"/>
      <w:kern w:val="0"/>
      <w:sz w:val="20"/>
    </w:rPr>
  </w:style>
  <w:style w:type="character" w:customStyle="1" w:styleId="13">
    <w:name w:val="註腳文字 字元1"/>
    <w:basedOn w:val="a7"/>
    <w:uiPriority w:val="99"/>
    <w:semiHidden/>
    <w:rsid w:val="00993F33"/>
    <w:rPr>
      <w:rFonts w:ascii="標楷體" w:eastAsia="標楷體"/>
      <w:kern w:val="2"/>
    </w:rPr>
  </w:style>
  <w:style w:type="character" w:styleId="aff3">
    <w:name w:val="footnote reference"/>
    <w:aliases w:val="FR,Ref,de nota al pie"/>
    <w:uiPriority w:val="99"/>
    <w:unhideWhenUsed/>
    <w:rsid w:val="00993F33"/>
    <w:rPr>
      <w:vertAlign w:val="superscript"/>
    </w:rPr>
  </w:style>
  <w:style w:type="character" w:customStyle="1" w:styleId="af5">
    <w:name w:val="本文縮排 字元"/>
    <w:basedOn w:val="a7"/>
    <w:link w:val="af4"/>
    <w:semiHidden/>
    <w:rsid w:val="005015F5"/>
    <w:rPr>
      <w:rFonts w:ascii="標楷體" w:eastAsia="標楷體"/>
      <w:kern w:val="2"/>
      <w:sz w:val="32"/>
    </w:rPr>
  </w:style>
  <w:style w:type="character" w:customStyle="1" w:styleId="ab">
    <w:name w:val="簽名 字元"/>
    <w:basedOn w:val="a7"/>
    <w:link w:val="aa"/>
    <w:rsid w:val="005015F5"/>
    <w:rPr>
      <w:rFonts w:ascii="標楷體" w:eastAsia="標楷體"/>
      <w:b/>
      <w:snapToGrid w:val="0"/>
      <w:spacing w:val="10"/>
      <w:kern w:val="2"/>
      <w:sz w:val="36"/>
    </w:rPr>
  </w:style>
  <w:style w:type="paragraph" w:customStyle="1" w:styleId="aff4">
    <w:name w:val="協查人員"/>
    <w:basedOn w:val="aa"/>
    <w:qFormat/>
    <w:rsid w:val="005015F5"/>
    <w:pPr>
      <w:spacing w:beforeLines="50" w:before="228" w:after="0"/>
      <w:ind w:leftChars="1100" w:left="3742"/>
      <w:jc w:val="left"/>
    </w:pPr>
    <w:rPr>
      <w:bCs/>
      <w:snapToGrid/>
      <w:kern w:val="0"/>
      <w:szCs w:val="36"/>
    </w:rPr>
  </w:style>
  <w:style w:type="character" w:customStyle="1" w:styleId="ad">
    <w:name w:val="章節附註文字 字元"/>
    <w:basedOn w:val="a7"/>
    <w:link w:val="ac"/>
    <w:semiHidden/>
    <w:rsid w:val="005015F5"/>
    <w:rPr>
      <w:rFonts w:ascii="標楷體" w:eastAsia="標楷體"/>
      <w:snapToGrid w:val="0"/>
      <w:spacing w:val="10"/>
      <w:kern w:val="2"/>
      <w:sz w:val="32"/>
    </w:rPr>
  </w:style>
  <w:style w:type="character" w:customStyle="1" w:styleId="af0">
    <w:name w:val="頁首 字元"/>
    <w:basedOn w:val="a7"/>
    <w:link w:val="af"/>
    <w:semiHidden/>
    <w:rsid w:val="005015F5"/>
    <w:rPr>
      <w:rFonts w:ascii="標楷體" w:eastAsia="標楷體"/>
      <w:kern w:val="2"/>
    </w:rPr>
  </w:style>
  <w:style w:type="character" w:customStyle="1" w:styleId="10">
    <w:name w:val="標題 1 字元"/>
    <w:basedOn w:val="a7"/>
    <w:link w:val="1"/>
    <w:rsid w:val="005015F5"/>
    <w:rPr>
      <w:rFonts w:ascii="標楷體" w:eastAsia="標楷體" w:hAnsi="Arial"/>
      <w:bCs/>
      <w:kern w:val="32"/>
      <w:sz w:val="32"/>
      <w:szCs w:val="52"/>
    </w:rPr>
  </w:style>
  <w:style w:type="character" w:customStyle="1" w:styleId="20">
    <w:name w:val="標題 2 字元"/>
    <w:basedOn w:val="a7"/>
    <w:link w:val="2"/>
    <w:rsid w:val="005015F5"/>
    <w:rPr>
      <w:rFonts w:ascii="標楷體" w:eastAsia="標楷體" w:hAnsi="Arial"/>
      <w:bCs/>
      <w:kern w:val="32"/>
      <w:sz w:val="32"/>
      <w:szCs w:val="48"/>
    </w:rPr>
  </w:style>
  <w:style w:type="character" w:customStyle="1" w:styleId="30">
    <w:name w:val="標題 3 字元"/>
    <w:basedOn w:val="a7"/>
    <w:link w:val="3"/>
    <w:rsid w:val="005015F5"/>
    <w:rPr>
      <w:rFonts w:ascii="標楷體" w:eastAsia="標楷體" w:hAnsi="Arial"/>
      <w:bCs/>
      <w:kern w:val="32"/>
      <w:sz w:val="32"/>
      <w:szCs w:val="36"/>
    </w:rPr>
  </w:style>
  <w:style w:type="character" w:customStyle="1" w:styleId="40">
    <w:name w:val="標題 4 字元"/>
    <w:basedOn w:val="a7"/>
    <w:link w:val="4"/>
    <w:rsid w:val="005015F5"/>
    <w:rPr>
      <w:rFonts w:ascii="標楷體" w:eastAsia="標楷體" w:hAnsi="Arial"/>
      <w:kern w:val="32"/>
      <w:sz w:val="32"/>
      <w:szCs w:val="36"/>
    </w:rPr>
  </w:style>
  <w:style w:type="character" w:customStyle="1" w:styleId="50">
    <w:name w:val="標題 5 字元"/>
    <w:basedOn w:val="a7"/>
    <w:link w:val="5"/>
    <w:rsid w:val="005015F5"/>
    <w:rPr>
      <w:rFonts w:ascii="標楷體" w:eastAsia="標楷體" w:hAnsi="Arial"/>
      <w:bCs/>
      <w:kern w:val="32"/>
      <w:sz w:val="32"/>
      <w:szCs w:val="36"/>
    </w:rPr>
  </w:style>
  <w:style w:type="character" w:customStyle="1" w:styleId="60">
    <w:name w:val="標題 6 字元"/>
    <w:basedOn w:val="a7"/>
    <w:link w:val="6"/>
    <w:rsid w:val="005015F5"/>
    <w:rPr>
      <w:rFonts w:ascii="標楷體" w:eastAsia="標楷體" w:hAnsi="Arial"/>
      <w:kern w:val="32"/>
      <w:sz w:val="32"/>
      <w:szCs w:val="36"/>
    </w:rPr>
  </w:style>
  <w:style w:type="character" w:customStyle="1" w:styleId="70">
    <w:name w:val="標題 7 字元"/>
    <w:basedOn w:val="a7"/>
    <w:link w:val="7"/>
    <w:rsid w:val="005015F5"/>
    <w:rPr>
      <w:rFonts w:ascii="標楷體" w:eastAsia="標楷體" w:hAnsi="Arial"/>
      <w:bCs/>
      <w:kern w:val="32"/>
      <w:sz w:val="32"/>
      <w:szCs w:val="36"/>
    </w:rPr>
  </w:style>
  <w:style w:type="character" w:customStyle="1" w:styleId="80">
    <w:name w:val="標題 8 字元"/>
    <w:basedOn w:val="a7"/>
    <w:link w:val="8"/>
    <w:rsid w:val="005015F5"/>
    <w:rPr>
      <w:rFonts w:ascii="標楷體" w:eastAsia="標楷體" w:hAnsi="Arial"/>
      <w:kern w:val="32"/>
      <w:sz w:val="32"/>
      <w:szCs w:val="36"/>
    </w:rPr>
  </w:style>
  <w:style w:type="paragraph" w:customStyle="1" w:styleId="aff5">
    <w:name w:val="調查委員"/>
    <w:basedOn w:val="aa"/>
    <w:qFormat/>
    <w:rsid w:val="005015F5"/>
    <w:pPr>
      <w:spacing w:before="0" w:after="0"/>
      <w:ind w:left="0"/>
      <w:jc w:val="left"/>
    </w:pPr>
    <w:rPr>
      <w:b w:val="0"/>
      <w:bCs/>
      <w:szCs w:val="28"/>
    </w:rPr>
  </w:style>
  <w:style w:type="character" w:styleId="aff6">
    <w:name w:val="Emphasis"/>
    <w:basedOn w:val="a7"/>
    <w:uiPriority w:val="20"/>
    <w:qFormat/>
    <w:rsid w:val="003F396B"/>
    <w:rPr>
      <w:b w:val="0"/>
      <w:bCs w:val="0"/>
      <w:i w:val="0"/>
      <w:iCs w:val="0"/>
      <w:color w:val="DD4B39"/>
    </w:rPr>
  </w:style>
  <w:style w:type="character" w:customStyle="1" w:styleId="st1">
    <w:name w:val="st1"/>
    <w:basedOn w:val="a7"/>
    <w:rsid w:val="003F396B"/>
  </w:style>
  <w:style w:type="character" w:styleId="aff7">
    <w:name w:val="Strong"/>
    <w:basedOn w:val="a7"/>
    <w:uiPriority w:val="22"/>
    <w:qFormat/>
    <w:rsid w:val="00D367AE"/>
    <w:rPr>
      <w:b/>
      <w:bCs/>
    </w:rPr>
  </w:style>
  <w:style w:type="paragraph" w:styleId="Web">
    <w:name w:val="Normal (Web)"/>
    <w:basedOn w:val="a6"/>
    <w:uiPriority w:val="99"/>
    <w:unhideWhenUsed/>
    <w:rsid w:val="00C473A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085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85A4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0343">
      <w:bodyDiv w:val="1"/>
      <w:marLeft w:val="0"/>
      <w:marRight w:val="0"/>
      <w:marTop w:val="0"/>
      <w:marBottom w:val="0"/>
      <w:divBdr>
        <w:top w:val="none" w:sz="0" w:space="0" w:color="auto"/>
        <w:left w:val="none" w:sz="0" w:space="0" w:color="auto"/>
        <w:bottom w:val="none" w:sz="0" w:space="0" w:color="auto"/>
        <w:right w:val="none" w:sz="0" w:space="0" w:color="auto"/>
      </w:divBdr>
      <w:divsChild>
        <w:div w:id="121772287">
          <w:marLeft w:val="0"/>
          <w:marRight w:val="0"/>
          <w:marTop w:val="0"/>
          <w:marBottom w:val="0"/>
          <w:divBdr>
            <w:top w:val="none" w:sz="0" w:space="0" w:color="auto"/>
            <w:left w:val="none" w:sz="0" w:space="0" w:color="auto"/>
            <w:bottom w:val="none" w:sz="0" w:space="0" w:color="auto"/>
            <w:right w:val="none" w:sz="0" w:space="0" w:color="auto"/>
          </w:divBdr>
          <w:divsChild>
            <w:div w:id="280303131">
              <w:marLeft w:val="0"/>
              <w:marRight w:val="0"/>
              <w:marTop w:val="0"/>
              <w:marBottom w:val="0"/>
              <w:divBdr>
                <w:top w:val="none" w:sz="0" w:space="0" w:color="auto"/>
                <w:left w:val="none" w:sz="0" w:space="0" w:color="auto"/>
                <w:bottom w:val="none" w:sz="0" w:space="0" w:color="auto"/>
                <w:right w:val="none" w:sz="0" w:space="0" w:color="auto"/>
              </w:divBdr>
              <w:divsChild>
                <w:div w:id="7918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4795">
      <w:bodyDiv w:val="1"/>
      <w:marLeft w:val="0"/>
      <w:marRight w:val="0"/>
      <w:marTop w:val="0"/>
      <w:marBottom w:val="0"/>
      <w:divBdr>
        <w:top w:val="none" w:sz="0" w:space="0" w:color="auto"/>
        <w:left w:val="none" w:sz="0" w:space="0" w:color="auto"/>
        <w:bottom w:val="none" w:sz="0" w:space="0" w:color="auto"/>
        <w:right w:val="none" w:sz="0" w:space="0" w:color="auto"/>
      </w:divBdr>
    </w:div>
    <w:div w:id="251088316">
      <w:bodyDiv w:val="1"/>
      <w:marLeft w:val="0"/>
      <w:marRight w:val="0"/>
      <w:marTop w:val="0"/>
      <w:marBottom w:val="0"/>
      <w:divBdr>
        <w:top w:val="none" w:sz="0" w:space="0" w:color="auto"/>
        <w:left w:val="none" w:sz="0" w:space="0" w:color="auto"/>
        <w:bottom w:val="none" w:sz="0" w:space="0" w:color="auto"/>
        <w:right w:val="none" w:sz="0" w:space="0" w:color="auto"/>
      </w:divBdr>
    </w:div>
    <w:div w:id="291983835">
      <w:bodyDiv w:val="1"/>
      <w:marLeft w:val="0"/>
      <w:marRight w:val="0"/>
      <w:marTop w:val="0"/>
      <w:marBottom w:val="0"/>
      <w:divBdr>
        <w:top w:val="none" w:sz="0" w:space="0" w:color="auto"/>
        <w:left w:val="none" w:sz="0" w:space="0" w:color="auto"/>
        <w:bottom w:val="none" w:sz="0" w:space="0" w:color="auto"/>
        <w:right w:val="none" w:sz="0" w:space="0" w:color="auto"/>
      </w:divBdr>
    </w:div>
    <w:div w:id="361252466">
      <w:bodyDiv w:val="1"/>
      <w:marLeft w:val="0"/>
      <w:marRight w:val="0"/>
      <w:marTop w:val="0"/>
      <w:marBottom w:val="0"/>
      <w:divBdr>
        <w:top w:val="none" w:sz="0" w:space="0" w:color="auto"/>
        <w:left w:val="none" w:sz="0" w:space="0" w:color="auto"/>
        <w:bottom w:val="none" w:sz="0" w:space="0" w:color="auto"/>
        <w:right w:val="none" w:sz="0" w:space="0" w:color="auto"/>
      </w:divBdr>
      <w:divsChild>
        <w:div w:id="854924791">
          <w:marLeft w:val="0"/>
          <w:marRight w:val="0"/>
          <w:marTop w:val="0"/>
          <w:marBottom w:val="0"/>
          <w:divBdr>
            <w:top w:val="none" w:sz="0" w:space="0" w:color="auto"/>
            <w:left w:val="none" w:sz="0" w:space="0" w:color="auto"/>
            <w:bottom w:val="none" w:sz="0" w:space="0" w:color="auto"/>
            <w:right w:val="none" w:sz="0" w:space="0" w:color="auto"/>
          </w:divBdr>
          <w:divsChild>
            <w:div w:id="654336919">
              <w:marLeft w:val="0"/>
              <w:marRight w:val="0"/>
              <w:marTop w:val="100"/>
              <w:marBottom w:val="100"/>
              <w:divBdr>
                <w:top w:val="none" w:sz="0" w:space="0" w:color="auto"/>
                <w:left w:val="none" w:sz="0" w:space="0" w:color="auto"/>
                <w:bottom w:val="none" w:sz="0" w:space="0" w:color="auto"/>
                <w:right w:val="none" w:sz="0" w:space="0" w:color="auto"/>
              </w:divBdr>
              <w:divsChild>
                <w:div w:id="331564361">
                  <w:marLeft w:val="0"/>
                  <w:marRight w:val="0"/>
                  <w:marTop w:val="45"/>
                  <w:marBottom w:val="120"/>
                  <w:divBdr>
                    <w:top w:val="none" w:sz="0" w:space="0" w:color="auto"/>
                    <w:left w:val="none" w:sz="0" w:space="0" w:color="auto"/>
                    <w:bottom w:val="none" w:sz="0" w:space="0" w:color="auto"/>
                    <w:right w:val="none" w:sz="0" w:space="0" w:color="auto"/>
                  </w:divBdr>
                  <w:divsChild>
                    <w:div w:id="254939901">
                      <w:marLeft w:val="0"/>
                      <w:marRight w:val="0"/>
                      <w:marTop w:val="0"/>
                      <w:marBottom w:val="0"/>
                      <w:divBdr>
                        <w:top w:val="none" w:sz="0" w:space="0" w:color="auto"/>
                        <w:left w:val="none" w:sz="0" w:space="0" w:color="auto"/>
                        <w:bottom w:val="none" w:sz="0" w:space="0" w:color="auto"/>
                        <w:right w:val="none" w:sz="0" w:space="0" w:color="auto"/>
                      </w:divBdr>
                      <w:divsChild>
                        <w:div w:id="1744252498">
                          <w:marLeft w:val="0"/>
                          <w:marRight w:val="0"/>
                          <w:marTop w:val="180"/>
                          <w:marBottom w:val="180"/>
                          <w:divBdr>
                            <w:top w:val="single" w:sz="6" w:space="0" w:color="4EA3E9"/>
                            <w:left w:val="single" w:sz="6" w:space="0" w:color="4EA3E9"/>
                            <w:bottom w:val="single" w:sz="6" w:space="12" w:color="4EA3E9"/>
                            <w:right w:val="single" w:sz="6" w:space="0" w:color="4EA3E9"/>
                          </w:divBdr>
                          <w:divsChild>
                            <w:div w:id="254175472">
                              <w:marLeft w:val="0"/>
                              <w:marRight w:val="0"/>
                              <w:marTop w:val="0"/>
                              <w:marBottom w:val="720"/>
                              <w:divBdr>
                                <w:top w:val="single" w:sz="6" w:space="10" w:color="FF9933"/>
                                <w:left w:val="single" w:sz="6" w:space="10" w:color="FF9933"/>
                                <w:bottom w:val="single" w:sz="6" w:space="10" w:color="FF9933"/>
                                <w:right w:val="single" w:sz="6" w:space="10" w:color="FF9933"/>
                              </w:divBdr>
                              <w:divsChild>
                                <w:div w:id="529227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31439">
      <w:bodyDiv w:val="1"/>
      <w:marLeft w:val="0"/>
      <w:marRight w:val="0"/>
      <w:marTop w:val="0"/>
      <w:marBottom w:val="0"/>
      <w:divBdr>
        <w:top w:val="none" w:sz="0" w:space="0" w:color="auto"/>
        <w:left w:val="none" w:sz="0" w:space="0" w:color="auto"/>
        <w:bottom w:val="none" w:sz="0" w:space="0" w:color="auto"/>
        <w:right w:val="none" w:sz="0" w:space="0" w:color="auto"/>
      </w:divBdr>
      <w:divsChild>
        <w:div w:id="1084228839">
          <w:marLeft w:val="0"/>
          <w:marRight w:val="0"/>
          <w:marTop w:val="0"/>
          <w:marBottom w:val="0"/>
          <w:divBdr>
            <w:top w:val="none" w:sz="0" w:space="0" w:color="auto"/>
            <w:left w:val="none" w:sz="0" w:space="0" w:color="auto"/>
            <w:bottom w:val="none" w:sz="0" w:space="0" w:color="auto"/>
            <w:right w:val="none" w:sz="0" w:space="0" w:color="auto"/>
          </w:divBdr>
          <w:divsChild>
            <w:div w:id="245306771">
              <w:marLeft w:val="0"/>
              <w:marRight w:val="0"/>
              <w:marTop w:val="100"/>
              <w:marBottom w:val="100"/>
              <w:divBdr>
                <w:top w:val="none" w:sz="0" w:space="0" w:color="auto"/>
                <w:left w:val="none" w:sz="0" w:space="0" w:color="auto"/>
                <w:bottom w:val="none" w:sz="0" w:space="0" w:color="auto"/>
                <w:right w:val="none" w:sz="0" w:space="0" w:color="auto"/>
              </w:divBdr>
              <w:divsChild>
                <w:div w:id="1719086460">
                  <w:marLeft w:val="0"/>
                  <w:marRight w:val="0"/>
                  <w:marTop w:val="45"/>
                  <w:marBottom w:val="120"/>
                  <w:divBdr>
                    <w:top w:val="none" w:sz="0" w:space="0" w:color="auto"/>
                    <w:left w:val="none" w:sz="0" w:space="0" w:color="auto"/>
                    <w:bottom w:val="none" w:sz="0" w:space="0" w:color="auto"/>
                    <w:right w:val="none" w:sz="0" w:space="0" w:color="auto"/>
                  </w:divBdr>
                  <w:divsChild>
                    <w:div w:id="2080864187">
                      <w:marLeft w:val="0"/>
                      <w:marRight w:val="0"/>
                      <w:marTop w:val="0"/>
                      <w:marBottom w:val="0"/>
                      <w:divBdr>
                        <w:top w:val="none" w:sz="0" w:space="0" w:color="auto"/>
                        <w:left w:val="none" w:sz="0" w:space="0" w:color="auto"/>
                        <w:bottom w:val="none" w:sz="0" w:space="0" w:color="auto"/>
                        <w:right w:val="none" w:sz="0" w:space="0" w:color="auto"/>
                      </w:divBdr>
                      <w:divsChild>
                        <w:div w:id="1813521964">
                          <w:marLeft w:val="0"/>
                          <w:marRight w:val="0"/>
                          <w:marTop w:val="0"/>
                          <w:marBottom w:val="0"/>
                          <w:divBdr>
                            <w:top w:val="none" w:sz="0" w:space="0" w:color="auto"/>
                            <w:left w:val="none" w:sz="0" w:space="0" w:color="auto"/>
                            <w:bottom w:val="none" w:sz="0" w:space="0" w:color="auto"/>
                            <w:right w:val="none" w:sz="0" w:space="0" w:color="auto"/>
                          </w:divBdr>
                          <w:divsChild>
                            <w:div w:id="1965840543">
                              <w:marLeft w:val="0"/>
                              <w:marRight w:val="0"/>
                              <w:marTop w:val="0"/>
                              <w:marBottom w:val="120"/>
                              <w:divBdr>
                                <w:top w:val="single" w:sz="12" w:space="0" w:color="4EA3E9"/>
                                <w:left w:val="none" w:sz="0" w:space="0" w:color="auto"/>
                                <w:bottom w:val="single" w:sz="12" w:space="0" w:color="4EA3E9"/>
                                <w:right w:val="none" w:sz="0" w:space="0" w:color="auto"/>
                              </w:divBdr>
                              <w:divsChild>
                                <w:div w:id="112754757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21336">
      <w:bodyDiv w:val="1"/>
      <w:marLeft w:val="0"/>
      <w:marRight w:val="0"/>
      <w:marTop w:val="0"/>
      <w:marBottom w:val="0"/>
      <w:divBdr>
        <w:top w:val="none" w:sz="0" w:space="0" w:color="auto"/>
        <w:left w:val="none" w:sz="0" w:space="0" w:color="auto"/>
        <w:bottom w:val="none" w:sz="0" w:space="0" w:color="auto"/>
        <w:right w:val="none" w:sz="0" w:space="0" w:color="auto"/>
      </w:divBdr>
    </w:div>
    <w:div w:id="740059054">
      <w:bodyDiv w:val="1"/>
      <w:marLeft w:val="0"/>
      <w:marRight w:val="0"/>
      <w:marTop w:val="0"/>
      <w:marBottom w:val="0"/>
      <w:divBdr>
        <w:top w:val="none" w:sz="0" w:space="0" w:color="auto"/>
        <w:left w:val="none" w:sz="0" w:space="0" w:color="auto"/>
        <w:bottom w:val="none" w:sz="0" w:space="0" w:color="auto"/>
        <w:right w:val="none" w:sz="0" w:space="0" w:color="auto"/>
      </w:divBdr>
    </w:div>
    <w:div w:id="77085943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2161474">
      <w:bodyDiv w:val="1"/>
      <w:marLeft w:val="0"/>
      <w:marRight w:val="0"/>
      <w:marTop w:val="0"/>
      <w:marBottom w:val="0"/>
      <w:divBdr>
        <w:top w:val="none" w:sz="0" w:space="0" w:color="auto"/>
        <w:left w:val="none" w:sz="0" w:space="0" w:color="auto"/>
        <w:bottom w:val="none" w:sz="0" w:space="0" w:color="auto"/>
        <w:right w:val="none" w:sz="0" w:space="0" w:color="auto"/>
      </w:divBdr>
    </w:div>
    <w:div w:id="897085280">
      <w:bodyDiv w:val="1"/>
      <w:marLeft w:val="0"/>
      <w:marRight w:val="0"/>
      <w:marTop w:val="0"/>
      <w:marBottom w:val="0"/>
      <w:divBdr>
        <w:top w:val="none" w:sz="0" w:space="0" w:color="auto"/>
        <w:left w:val="none" w:sz="0" w:space="0" w:color="auto"/>
        <w:bottom w:val="none" w:sz="0" w:space="0" w:color="auto"/>
        <w:right w:val="none" w:sz="0" w:space="0" w:color="auto"/>
      </w:divBdr>
    </w:div>
    <w:div w:id="1036126488">
      <w:bodyDiv w:val="1"/>
      <w:marLeft w:val="0"/>
      <w:marRight w:val="0"/>
      <w:marTop w:val="0"/>
      <w:marBottom w:val="0"/>
      <w:divBdr>
        <w:top w:val="none" w:sz="0" w:space="0" w:color="auto"/>
        <w:left w:val="none" w:sz="0" w:space="0" w:color="auto"/>
        <w:bottom w:val="none" w:sz="0" w:space="0" w:color="auto"/>
        <w:right w:val="none" w:sz="0" w:space="0" w:color="auto"/>
      </w:divBdr>
      <w:divsChild>
        <w:div w:id="584074960">
          <w:marLeft w:val="0"/>
          <w:marRight w:val="0"/>
          <w:marTop w:val="0"/>
          <w:marBottom w:val="0"/>
          <w:divBdr>
            <w:top w:val="none" w:sz="0" w:space="0" w:color="auto"/>
            <w:left w:val="none" w:sz="0" w:space="0" w:color="auto"/>
            <w:bottom w:val="none" w:sz="0" w:space="0" w:color="auto"/>
            <w:right w:val="none" w:sz="0" w:space="0" w:color="auto"/>
          </w:divBdr>
          <w:divsChild>
            <w:div w:id="399793660">
              <w:marLeft w:val="0"/>
              <w:marRight w:val="0"/>
              <w:marTop w:val="100"/>
              <w:marBottom w:val="100"/>
              <w:divBdr>
                <w:top w:val="none" w:sz="0" w:space="0" w:color="auto"/>
                <w:left w:val="none" w:sz="0" w:space="0" w:color="auto"/>
                <w:bottom w:val="none" w:sz="0" w:space="0" w:color="auto"/>
                <w:right w:val="none" w:sz="0" w:space="0" w:color="auto"/>
              </w:divBdr>
              <w:divsChild>
                <w:div w:id="794952218">
                  <w:marLeft w:val="0"/>
                  <w:marRight w:val="0"/>
                  <w:marTop w:val="45"/>
                  <w:marBottom w:val="120"/>
                  <w:divBdr>
                    <w:top w:val="none" w:sz="0" w:space="0" w:color="auto"/>
                    <w:left w:val="none" w:sz="0" w:space="0" w:color="auto"/>
                    <w:bottom w:val="none" w:sz="0" w:space="0" w:color="auto"/>
                    <w:right w:val="none" w:sz="0" w:space="0" w:color="auto"/>
                  </w:divBdr>
                  <w:divsChild>
                    <w:div w:id="2100788230">
                      <w:marLeft w:val="0"/>
                      <w:marRight w:val="0"/>
                      <w:marTop w:val="0"/>
                      <w:marBottom w:val="0"/>
                      <w:divBdr>
                        <w:top w:val="none" w:sz="0" w:space="0" w:color="auto"/>
                        <w:left w:val="none" w:sz="0" w:space="0" w:color="auto"/>
                        <w:bottom w:val="none" w:sz="0" w:space="0" w:color="auto"/>
                        <w:right w:val="none" w:sz="0" w:space="0" w:color="auto"/>
                      </w:divBdr>
                      <w:divsChild>
                        <w:div w:id="2051763761">
                          <w:marLeft w:val="0"/>
                          <w:marRight w:val="0"/>
                          <w:marTop w:val="0"/>
                          <w:marBottom w:val="0"/>
                          <w:divBdr>
                            <w:top w:val="none" w:sz="0" w:space="0" w:color="auto"/>
                            <w:left w:val="none" w:sz="0" w:space="0" w:color="auto"/>
                            <w:bottom w:val="none" w:sz="0" w:space="0" w:color="auto"/>
                            <w:right w:val="none" w:sz="0" w:space="0" w:color="auto"/>
                          </w:divBdr>
                          <w:divsChild>
                            <w:div w:id="1626735085">
                              <w:marLeft w:val="0"/>
                              <w:marRight w:val="0"/>
                              <w:marTop w:val="0"/>
                              <w:marBottom w:val="120"/>
                              <w:divBdr>
                                <w:top w:val="single" w:sz="12" w:space="0" w:color="4EA3E9"/>
                                <w:left w:val="none" w:sz="0" w:space="0" w:color="auto"/>
                                <w:bottom w:val="single" w:sz="12" w:space="0" w:color="4EA3E9"/>
                                <w:right w:val="none" w:sz="0" w:space="0" w:color="auto"/>
                              </w:divBdr>
                              <w:divsChild>
                                <w:div w:id="44311818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142490">
      <w:bodyDiv w:val="1"/>
      <w:marLeft w:val="0"/>
      <w:marRight w:val="0"/>
      <w:marTop w:val="0"/>
      <w:marBottom w:val="0"/>
      <w:divBdr>
        <w:top w:val="none" w:sz="0" w:space="0" w:color="auto"/>
        <w:left w:val="none" w:sz="0" w:space="0" w:color="auto"/>
        <w:bottom w:val="none" w:sz="0" w:space="0" w:color="auto"/>
        <w:right w:val="none" w:sz="0" w:space="0" w:color="auto"/>
      </w:divBdr>
    </w:div>
    <w:div w:id="1156992230">
      <w:bodyDiv w:val="1"/>
      <w:marLeft w:val="0"/>
      <w:marRight w:val="0"/>
      <w:marTop w:val="0"/>
      <w:marBottom w:val="0"/>
      <w:divBdr>
        <w:top w:val="none" w:sz="0" w:space="0" w:color="auto"/>
        <w:left w:val="none" w:sz="0" w:space="0" w:color="auto"/>
        <w:bottom w:val="none" w:sz="0" w:space="0" w:color="auto"/>
        <w:right w:val="none" w:sz="0" w:space="0" w:color="auto"/>
      </w:divBdr>
    </w:div>
    <w:div w:id="1257714088">
      <w:bodyDiv w:val="1"/>
      <w:marLeft w:val="0"/>
      <w:marRight w:val="0"/>
      <w:marTop w:val="0"/>
      <w:marBottom w:val="0"/>
      <w:divBdr>
        <w:top w:val="none" w:sz="0" w:space="0" w:color="auto"/>
        <w:left w:val="none" w:sz="0" w:space="0" w:color="auto"/>
        <w:bottom w:val="none" w:sz="0" w:space="0" w:color="auto"/>
        <w:right w:val="none" w:sz="0" w:space="0" w:color="auto"/>
      </w:divBdr>
    </w:div>
    <w:div w:id="1513762690">
      <w:bodyDiv w:val="1"/>
      <w:marLeft w:val="0"/>
      <w:marRight w:val="0"/>
      <w:marTop w:val="0"/>
      <w:marBottom w:val="0"/>
      <w:divBdr>
        <w:top w:val="none" w:sz="0" w:space="0" w:color="auto"/>
        <w:left w:val="none" w:sz="0" w:space="0" w:color="auto"/>
        <w:bottom w:val="none" w:sz="0" w:space="0" w:color="auto"/>
        <w:right w:val="none" w:sz="0" w:space="0" w:color="auto"/>
      </w:divBdr>
    </w:div>
    <w:div w:id="1640111570">
      <w:bodyDiv w:val="1"/>
      <w:marLeft w:val="0"/>
      <w:marRight w:val="0"/>
      <w:marTop w:val="0"/>
      <w:marBottom w:val="0"/>
      <w:divBdr>
        <w:top w:val="none" w:sz="0" w:space="0" w:color="auto"/>
        <w:left w:val="none" w:sz="0" w:space="0" w:color="auto"/>
        <w:bottom w:val="none" w:sz="0" w:space="0" w:color="auto"/>
        <w:right w:val="none" w:sz="0" w:space="0" w:color="auto"/>
      </w:divBdr>
    </w:div>
    <w:div w:id="1904632557">
      <w:bodyDiv w:val="1"/>
      <w:marLeft w:val="0"/>
      <w:marRight w:val="0"/>
      <w:marTop w:val="0"/>
      <w:marBottom w:val="0"/>
      <w:divBdr>
        <w:top w:val="none" w:sz="0" w:space="0" w:color="auto"/>
        <w:left w:val="none" w:sz="0" w:space="0" w:color="auto"/>
        <w:bottom w:val="none" w:sz="0" w:space="0" w:color="auto"/>
        <w:right w:val="none" w:sz="0" w:space="0" w:color="auto"/>
      </w:divBdr>
    </w:div>
    <w:div w:id="1966932836">
      <w:bodyDiv w:val="1"/>
      <w:marLeft w:val="0"/>
      <w:marRight w:val="0"/>
      <w:marTop w:val="0"/>
      <w:marBottom w:val="0"/>
      <w:divBdr>
        <w:top w:val="none" w:sz="0" w:space="0" w:color="auto"/>
        <w:left w:val="none" w:sz="0" w:space="0" w:color="auto"/>
        <w:bottom w:val="none" w:sz="0" w:space="0" w:color="auto"/>
        <w:right w:val="none" w:sz="0" w:space="0" w:color="auto"/>
      </w:divBdr>
    </w:div>
    <w:div w:id="2017689560">
      <w:bodyDiv w:val="1"/>
      <w:marLeft w:val="0"/>
      <w:marRight w:val="0"/>
      <w:marTop w:val="0"/>
      <w:marBottom w:val="0"/>
      <w:divBdr>
        <w:top w:val="none" w:sz="0" w:space="0" w:color="auto"/>
        <w:left w:val="none" w:sz="0" w:space="0" w:color="auto"/>
        <w:bottom w:val="none" w:sz="0" w:space="0" w:color="auto"/>
        <w:right w:val="none" w:sz="0" w:space="0" w:color="auto"/>
      </w:divBdr>
    </w:div>
    <w:div w:id="2062362476">
      <w:bodyDiv w:val="1"/>
      <w:marLeft w:val="0"/>
      <w:marRight w:val="0"/>
      <w:marTop w:val="0"/>
      <w:marBottom w:val="0"/>
      <w:divBdr>
        <w:top w:val="none" w:sz="0" w:space="0" w:color="auto"/>
        <w:left w:val="none" w:sz="0" w:space="0" w:color="auto"/>
        <w:bottom w:val="none" w:sz="0" w:space="0" w:color="auto"/>
        <w:right w:val="none" w:sz="0" w:space="0" w:color="auto"/>
      </w:divBdr>
    </w:div>
    <w:div w:id="209697429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198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ylove.fetnet.net/re/pdf/16012616153.pdf" TargetMode="External"/><Relationship Id="rId7" Type="http://schemas.openxmlformats.org/officeDocument/2006/relationships/hyperlink" Target="https://www.ndc.gov.tw/News_Content.aspx?n=B7C121049B631A78&amp;sms=FB990C08B596EA8A&amp;s=761997AB2BD3A882&amp;upn=0E442370ED3F73C5" TargetMode="External"/><Relationship Id="rId2" Type="http://schemas.openxmlformats.org/officeDocument/2006/relationships/hyperlink" Target="http://163.29.17.154/ifrs/ifrs_2013_approved/IAS19_2013.pdf?1524017" TargetMode="External"/><Relationship Id="rId1" Type="http://schemas.openxmlformats.org/officeDocument/2006/relationships/hyperlink" Target="http://www.actuarialstandardsboard.org/wp-content/uploads/2013/12/asop004_173-3.pdf" TargetMode="External"/><Relationship Id="rId6" Type="http://schemas.openxmlformats.org/officeDocument/2006/relationships/hyperlink" Target="https://ws.ndc.gov.tw/Download.ashx?u=LzAwMS9hZG1pbmlzdHJhdG9yLzEwL3JlbGZpbGUvNTc0NC8yNjY2OS8wMDQ5ZjQyNy02NWQyLTRiODQtOTkwYy1jYmQ1ODI4ODEzNjUucGRm&amp;n=5rOV6KaP5pS%2f562W5b2x6Z%2b%2f6KmV5Lyw5L2c5qWt5omL5YaK5pON5L2c5q2l6amf5LmL56CU5p6QLnBkZg%3d%3d&amp;icon=..pdf" TargetMode="External"/><Relationship Id="rId5" Type="http://schemas.openxmlformats.org/officeDocument/2006/relationships/hyperlink" Target="https://www.ndc.gov.tw/Content_List.aspx?n=0CF7EEAD9B7962E3" TargetMode="External"/><Relationship Id="rId4" Type="http://schemas.openxmlformats.org/officeDocument/2006/relationships/hyperlink" Target="https://www.google.com.tw/url?sa=t&amp;rct=j&amp;q=&amp;esrc=s&amp;source=web&amp;cd=1&amp;ved=0ahUKEwjKybfZ6MPaAhVLebwKHUmfDCMQFgglMAA&amp;url=https%3A%2F%2Fjoin.gov.tw%2Fattachments%2F773c2bf3-3caa-4dd0-8eaa-bc5616cba65e%2Fdownload%2F%25E6%25B3%2595%25E8%25A6%258F%25E6%2594%25BF%25E7%25AD%2596%25E5%25BD%25B1%25E9%259F%25BF%25E8%25A9%2595%25E4%25BC%25B0%25E4%25BD%259C%25E6%25A5%25AD%25E6%2589%258B%25E5%2586%258A.pdf&amp;usg=AOvVaw0WOVwc1fF-rbnrUTlK0Wp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B4AC-59FD-4649-B0DB-ABDF947F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3817</Words>
  <Characters>21759</Characters>
  <Application>Microsoft Office Word</Application>
  <DocSecurity>0</DocSecurity>
  <Lines>181</Lines>
  <Paragraphs>51</Paragraphs>
  <ScaleCrop>false</ScaleCrop>
  <LinksUpToDate>false</LinksUpToDate>
  <CharactersWithSpaces>25525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2019-05-24T07:45:00Z</dcterms:created>
  <dcterms:modified xsi:type="dcterms:W3CDTF">2019-05-24T08:30:00Z</dcterms:modified>
</cp:coreProperties>
</file>