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10299" w:rsidRDefault="00D75644" w:rsidP="00F37D7B">
      <w:pPr>
        <w:pStyle w:val="af2"/>
      </w:pPr>
      <w:r w:rsidRPr="00910299">
        <w:rPr>
          <w:rFonts w:hint="eastAsia"/>
        </w:rPr>
        <w:t>調查報告</w:t>
      </w:r>
    </w:p>
    <w:p w:rsidR="00E25849" w:rsidRPr="0091029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1029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43526" w:rsidRPr="00910299">
        <w:t>據悉，國立陽明大學醫學院院長陳</w:t>
      </w:r>
      <w:r w:rsidR="00B43526" w:rsidRPr="00910299">
        <w:rPr>
          <w:rFonts w:hint="eastAsia"/>
        </w:rPr>
        <w:t>○熊</w:t>
      </w:r>
      <w:r w:rsidR="00B43526" w:rsidRPr="00910299">
        <w:t>教授</w:t>
      </w:r>
      <w:r w:rsidR="00B43526" w:rsidRPr="00910299">
        <w:rPr>
          <w:rFonts w:hint="eastAsia"/>
        </w:rPr>
        <w:t>(下稱陳員)</w:t>
      </w:r>
      <w:r w:rsidR="00B43526" w:rsidRPr="00910299">
        <w:t>，未經該校許可，即兼任醫療財團法人辜公亮基金會董事職務，與公務員服務法第14條之3規定未合等情。究其實情為何？有無涉及違反公務員服務法等相關規定？該校以事後同意陳</w:t>
      </w:r>
      <w:r w:rsidR="00B43526" w:rsidRPr="00910299">
        <w:rPr>
          <w:rFonts w:hint="eastAsia"/>
        </w:rPr>
        <w:t>員</w:t>
      </w:r>
      <w:r w:rsidR="00B43526" w:rsidRPr="00910299">
        <w:t>兼職之處理方式，是否亦涉有行政違失等？過去該校與其他國立大專院校是否多類似情事？教育部是否依法督導？均有調查釐清之必要案</w:t>
      </w:r>
      <w:r w:rsidR="00F83741" w:rsidRPr="00910299">
        <w:rPr>
          <w:rFonts w:hint="eastAsia"/>
        </w:rPr>
        <w:t>。</w:t>
      </w:r>
    </w:p>
    <w:p w:rsidR="00E25849" w:rsidRPr="0091029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1029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87479" w:rsidRPr="00910299" w:rsidRDefault="00887479" w:rsidP="00887479">
      <w:pPr>
        <w:pStyle w:val="2"/>
        <w:rPr>
          <w:b/>
          <w:spacing w:val="-10"/>
          <w:szCs w:val="32"/>
        </w:rPr>
      </w:pPr>
      <w:bookmarkStart w:id="49" w:name="_Toc524902730"/>
      <w:bookmarkStart w:id="50" w:name="_GoBack"/>
      <w:bookmarkEnd w:id="50"/>
      <w:r w:rsidRPr="00910299">
        <w:rPr>
          <w:rFonts w:hint="eastAsia"/>
          <w:b/>
          <w:spacing w:val="-10"/>
          <w:szCs w:val="32"/>
        </w:rPr>
        <w:t>陽明大學陳姓教授(下稱陳員)擔任該校醫學院院長期間，其校外兼職有公務員服務法之適用，且兼職許可程序依法應於事前報經學校核准。惟渠於上開期間之尹書田醫療財團法人董事、醫療財團法人辜公亮基金會董事、財團法人醫院評鑑暨醫療品質策進會董事等</w:t>
      </w:r>
      <w:r w:rsidRPr="00910299">
        <w:rPr>
          <w:b/>
          <w:spacing w:val="-10"/>
          <w:szCs w:val="32"/>
        </w:rPr>
        <w:t>3</w:t>
      </w:r>
      <w:r w:rsidRPr="00910299">
        <w:rPr>
          <w:rFonts w:hint="eastAsia"/>
          <w:b/>
          <w:spacing w:val="-10"/>
          <w:szCs w:val="32"/>
        </w:rPr>
        <w:t>項兼職，皆未經事前報經校方同意，與服務法與相關法令規範未合；其中，尹書田醫療財團法人董事、財團法人醫院評鑑暨醫療品質策進會董事之兼職分別始於103年1月10日與106年1月1</w:t>
      </w:r>
      <w:r w:rsidR="00841EEA" w:rsidRPr="00910299">
        <w:rPr>
          <w:rFonts w:hint="eastAsia"/>
          <w:b/>
          <w:spacing w:val="-10"/>
          <w:szCs w:val="32"/>
        </w:rPr>
        <w:t>日，陽明大學係</w:t>
      </w:r>
      <w:r w:rsidRPr="00910299">
        <w:rPr>
          <w:rFonts w:hint="eastAsia"/>
          <w:b/>
          <w:spacing w:val="-10"/>
          <w:szCs w:val="32"/>
        </w:rPr>
        <w:t>遲於106年6月7日查知，並於同年11月16</w:t>
      </w:r>
      <w:r w:rsidR="00841EEA" w:rsidRPr="00910299">
        <w:rPr>
          <w:rFonts w:hint="eastAsia"/>
          <w:b/>
          <w:spacing w:val="-10"/>
          <w:szCs w:val="32"/>
        </w:rPr>
        <w:t>日以該兼職屬「非以營利為目的之事業或團體之職務且無給職」予以</w:t>
      </w:r>
      <w:r w:rsidRPr="00910299">
        <w:rPr>
          <w:rFonts w:hint="eastAsia"/>
          <w:b/>
          <w:spacing w:val="-10"/>
          <w:szCs w:val="32"/>
        </w:rPr>
        <w:t>事後追溯同意；又，陳員</w:t>
      </w:r>
      <w:r w:rsidRPr="00910299">
        <w:rPr>
          <w:b/>
          <w:spacing w:val="-10"/>
          <w:szCs w:val="32"/>
        </w:rPr>
        <w:t>106年1</w:t>
      </w:r>
      <w:r w:rsidRPr="00910299">
        <w:rPr>
          <w:rFonts w:hint="eastAsia"/>
          <w:b/>
          <w:spacing w:val="-10"/>
          <w:szCs w:val="32"/>
        </w:rPr>
        <w:t>1</w:t>
      </w:r>
      <w:r w:rsidRPr="00910299">
        <w:rPr>
          <w:b/>
          <w:spacing w:val="-10"/>
          <w:szCs w:val="32"/>
        </w:rPr>
        <w:t>月1</w:t>
      </w:r>
      <w:r w:rsidRPr="00910299">
        <w:rPr>
          <w:rFonts w:hint="eastAsia"/>
          <w:b/>
          <w:spacing w:val="-10"/>
          <w:szCs w:val="32"/>
        </w:rPr>
        <w:t>9</w:t>
      </w:r>
      <w:r w:rsidRPr="00910299">
        <w:rPr>
          <w:b/>
          <w:spacing w:val="-10"/>
          <w:szCs w:val="32"/>
        </w:rPr>
        <w:t>日</w:t>
      </w:r>
      <w:r w:rsidR="00841EEA" w:rsidRPr="00910299">
        <w:rPr>
          <w:rFonts w:hint="eastAsia"/>
          <w:b/>
          <w:spacing w:val="-10"/>
          <w:szCs w:val="32"/>
        </w:rPr>
        <w:t>復未經校方同意即赴醫療財團法人辜公亮基金會兼職董事職務，</w:t>
      </w:r>
      <w:r w:rsidR="00690290" w:rsidRPr="00910299">
        <w:rPr>
          <w:rFonts w:hint="eastAsia"/>
          <w:b/>
          <w:spacing w:val="-10"/>
          <w:szCs w:val="32"/>
        </w:rPr>
        <w:t>事後亦經</w:t>
      </w:r>
      <w:r w:rsidRPr="00910299">
        <w:rPr>
          <w:rFonts w:hint="eastAsia"/>
          <w:b/>
          <w:spacing w:val="-10"/>
          <w:szCs w:val="32"/>
        </w:rPr>
        <w:t>陽明大學</w:t>
      </w:r>
      <w:r w:rsidR="00690290" w:rsidRPr="00910299">
        <w:rPr>
          <w:rFonts w:hint="eastAsia"/>
          <w:b/>
          <w:spacing w:val="-10"/>
          <w:szCs w:val="32"/>
        </w:rPr>
        <w:t>追溯同意。此種現象顯示陽明大學應</w:t>
      </w:r>
      <w:r w:rsidR="00841EEA" w:rsidRPr="00910299">
        <w:rPr>
          <w:rFonts w:hint="eastAsia"/>
          <w:b/>
          <w:spacing w:val="-10"/>
          <w:szCs w:val="32"/>
        </w:rPr>
        <w:t>妥謀</w:t>
      </w:r>
      <w:r w:rsidRPr="00910299">
        <w:rPr>
          <w:rFonts w:hint="eastAsia"/>
          <w:b/>
          <w:spacing w:val="-10"/>
          <w:szCs w:val="32"/>
        </w:rPr>
        <w:t>改進</w:t>
      </w:r>
      <w:r w:rsidR="00841EEA" w:rsidRPr="00910299">
        <w:rPr>
          <w:rFonts w:hint="eastAsia"/>
          <w:b/>
          <w:spacing w:val="-10"/>
          <w:szCs w:val="32"/>
        </w:rPr>
        <w:t>措施，避免類似情事再度發生</w:t>
      </w:r>
      <w:r w:rsidRPr="00910299">
        <w:rPr>
          <w:rFonts w:hint="eastAsia"/>
          <w:b/>
          <w:spacing w:val="-10"/>
          <w:szCs w:val="32"/>
        </w:rPr>
        <w:t>。</w:t>
      </w: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公立學校兼任行政職務專任教師，依司法院釋字第308號解釋，就其兼任職務有公務員服務法(以下簡稱服務法)之適用，未兼任行政職務之專任教師，則依</w:t>
      </w:r>
      <w:r w:rsidRPr="00910299">
        <w:rPr>
          <w:rFonts w:hAnsi="標楷體" w:hint="eastAsia"/>
          <w:spacing w:val="-6"/>
          <w:szCs w:val="32"/>
        </w:rPr>
        <w:lastRenderedPageBreak/>
        <w:t>教育部訂定之「公立各級學校專任教師兼職處理原則」辦理。公立大專校院專任教師兼職並依「教育人員任用條例」及「公立各級學校專任教師兼職處理原則」辦理。其中，公立大專校院兼任行政職務之專任教師兼職，依公務員服務法(下稱服務法)、「公務員兼任非營利事業或團體受有報酬職務許可辦法」及行政院訂定之「公務人員兼任政府投資或轉投資民營事業機構、財團法人及社團法人董、監事職務規定」等，違反服務法第13條第1項經營商業或投機事業，及同條第2項未依法兼任公司董事或監察人規定，依服務法第13條第4項，應先予撤職。次依服務法第22條規定：「公務員有違反本法者，應按情節輕重分別予以懲處；其觸犯刑事法令者，並依各該法令處罰。」先予敘明。</w:t>
      </w: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查據陽明大學</w:t>
      </w:r>
      <w:r w:rsidR="00C139EC" w:rsidRPr="00910299">
        <w:rPr>
          <w:rFonts w:hAnsi="標楷體" w:hint="eastAsia"/>
          <w:spacing w:val="-6"/>
          <w:szCs w:val="32"/>
        </w:rPr>
        <w:t>函復</w:t>
      </w:r>
      <w:r w:rsidRPr="00910299">
        <w:rPr>
          <w:rFonts w:hAnsi="標楷體" w:hint="eastAsia"/>
          <w:spacing w:val="-6"/>
          <w:szCs w:val="32"/>
        </w:rPr>
        <w:t>，該校教師校外兼職(課)者，除須符合兼職相關規定外，不得影響本職工作，且須符合校內基本授課時數及工作要求。另依「國立陽明大學專任教師兼職(課)審核原則」，該校教師兼職依校內審核程序辦理，於奉准後同意其兼職，如其未依程序經該校同意，依該校專任教師聘約第</w:t>
      </w:r>
      <w:r w:rsidRPr="00910299">
        <w:rPr>
          <w:rFonts w:hAnsi="標楷體"/>
          <w:spacing w:val="-6"/>
          <w:szCs w:val="32"/>
        </w:rPr>
        <w:t>14</w:t>
      </w:r>
      <w:r w:rsidRPr="00910299">
        <w:rPr>
          <w:rFonts w:hAnsi="標楷體" w:hint="eastAsia"/>
          <w:spacing w:val="-6"/>
          <w:szCs w:val="32"/>
        </w:rPr>
        <w:t>點規定辦理，該點規定：「教師行為違反聘約或相關法令規定，或違反學術倫理之行為，情節重大者，該校應依教師法</w:t>
      </w:r>
      <w:r w:rsidRPr="00910299">
        <w:rPr>
          <w:rFonts w:hAnsi="標楷體"/>
          <w:spacing w:val="-6"/>
          <w:szCs w:val="32"/>
        </w:rPr>
        <w:t>第14條之規定，提各級教評會辦理解聘、停聘、不續聘；情節未達教師法第14條第1項</w:t>
      </w:r>
      <w:r w:rsidRPr="00910299">
        <w:rPr>
          <w:rFonts w:hAnsi="標楷體" w:hint="eastAsia"/>
          <w:spacing w:val="-6"/>
          <w:szCs w:val="32"/>
        </w:rPr>
        <w:t>解聘、停聘或不續聘者，得提經該校教師評審委員會審議，依情節輕重，作出以下處置：(1)書面告誡。(2)不得申請教授休假研究，不得在外兼職、兼課、借調，不得申請帶職帶薪出國講學、研究、進修。(3)不得被推薦延長服務或擔任校內各級教評會委員及學術或行政主管。(4)不予晉薪。(5)停止受理升等申請或各項研究</w:t>
      </w:r>
      <w:r w:rsidRPr="00910299">
        <w:rPr>
          <w:rFonts w:hAnsi="標楷體" w:hint="eastAsia"/>
          <w:spacing w:val="-6"/>
          <w:szCs w:val="32"/>
        </w:rPr>
        <w:lastRenderedPageBreak/>
        <w:t>補助申請</w:t>
      </w:r>
      <w:r w:rsidRPr="00910299">
        <w:rPr>
          <w:rFonts w:hAnsi="標楷體"/>
          <w:spacing w:val="-6"/>
          <w:szCs w:val="32"/>
        </w:rPr>
        <w:t>1至5</w:t>
      </w:r>
      <w:r w:rsidRPr="00910299">
        <w:rPr>
          <w:rFonts w:hAnsi="標楷體" w:hint="eastAsia"/>
          <w:spacing w:val="-6"/>
          <w:szCs w:val="32"/>
        </w:rPr>
        <w:t>年。如涉及教師資格審查，應依專科以上學校教師資格審定辦法及其相關規定辦理。(6)已核定之補助，應予撤銷或終止補助，並得追回已撥付經費之全部或部分。(7)停止發放彈性薪資獎勵金，並得追回該聘期已支領之彈性薪資。」</w:t>
      </w:r>
    </w:p>
    <w:p w:rsidR="00BA7A1B" w:rsidRPr="00910299" w:rsidRDefault="00BA7A1B" w:rsidP="00BA7A1B">
      <w:pPr>
        <w:pStyle w:val="3"/>
        <w:numPr>
          <w:ilvl w:val="0"/>
          <w:numId w:val="0"/>
        </w:numPr>
        <w:spacing w:line="240" w:lineRule="exact"/>
        <w:ind w:left="1814" w:hanging="680"/>
        <w:rPr>
          <w:rFonts w:hAnsi="標楷體"/>
          <w:spacing w:val="-6"/>
          <w:szCs w:val="32"/>
        </w:rPr>
      </w:pPr>
    </w:p>
    <w:p w:rsidR="00887479" w:rsidRPr="00910299" w:rsidRDefault="00887479" w:rsidP="004010D0">
      <w:pPr>
        <w:pStyle w:val="3"/>
      </w:pPr>
      <w:r w:rsidRPr="00910299">
        <w:rPr>
          <w:rFonts w:hAnsi="標楷體" w:hint="eastAsia"/>
          <w:spacing w:val="-6"/>
          <w:szCs w:val="32"/>
        </w:rPr>
        <w:t>陳員擔任該校醫學院院長期間，依據「公務人員兼任政府投資或轉投資民營事業機構、財團法人及社團法人董、監事職務規定」第3條兼任職務一覽：</w:t>
      </w:r>
    </w:p>
    <w:tbl>
      <w:tblPr>
        <w:tblStyle w:val="af6"/>
        <w:tblW w:w="8221" w:type="dxa"/>
        <w:tblInd w:w="959" w:type="dxa"/>
        <w:tblLayout w:type="fixed"/>
        <w:tblLook w:val="04A0" w:firstRow="1" w:lastRow="0" w:firstColumn="1" w:lastColumn="0" w:noHBand="0" w:noVBand="1"/>
      </w:tblPr>
      <w:tblGrid>
        <w:gridCol w:w="2410"/>
        <w:gridCol w:w="1417"/>
        <w:gridCol w:w="1418"/>
        <w:gridCol w:w="1842"/>
        <w:gridCol w:w="1134"/>
      </w:tblGrid>
      <w:tr w:rsidR="00910299" w:rsidRPr="00910299" w:rsidTr="00B23FFF">
        <w:trPr>
          <w:tblHeader/>
        </w:trPr>
        <w:tc>
          <w:tcPr>
            <w:tcW w:w="2410" w:type="dxa"/>
          </w:tcPr>
          <w:p w:rsidR="00BA7A1B" w:rsidRPr="00910299" w:rsidRDefault="00BA7A1B" w:rsidP="00B23FFF">
            <w:pPr>
              <w:pStyle w:val="3"/>
              <w:numPr>
                <w:ilvl w:val="0"/>
                <w:numId w:val="0"/>
              </w:numPr>
              <w:spacing w:line="320" w:lineRule="exact"/>
              <w:rPr>
                <w:rFonts w:hAnsi="標楷體"/>
                <w:b/>
                <w:spacing w:val="-6"/>
                <w:sz w:val="28"/>
                <w:szCs w:val="28"/>
              </w:rPr>
            </w:pPr>
            <w:r w:rsidRPr="00910299">
              <w:rPr>
                <w:rFonts w:hAnsi="標楷體" w:hint="eastAsia"/>
                <w:b/>
                <w:spacing w:val="-6"/>
                <w:sz w:val="28"/>
                <w:szCs w:val="28"/>
              </w:rPr>
              <w:t>兼職機構</w:t>
            </w:r>
          </w:p>
        </w:tc>
        <w:tc>
          <w:tcPr>
            <w:tcW w:w="1417" w:type="dxa"/>
          </w:tcPr>
          <w:p w:rsidR="00BA7A1B" w:rsidRPr="00910299" w:rsidRDefault="00BA7A1B" w:rsidP="00B23FFF">
            <w:pPr>
              <w:pStyle w:val="3"/>
              <w:numPr>
                <w:ilvl w:val="0"/>
                <w:numId w:val="0"/>
              </w:numPr>
              <w:spacing w:line="320" w:lineRule="exact"/>
              <w:rPr>
                <w:rFonts w:hAnsi="標楷體"/>
                <w:b/>
                <w:spacing w:val="-6"/>
                <w:sz w:val="28"/>
                <w:szCs w:val="28"/>
              </w:rPr>
            </w:pPr>
            <w:r w:rsidRPr="00910299">
              <w:rPr>
                <w:rFonts w:hAnsi="標楷體" w:hint="eastAsia"/>
                <w:b/>
                <w:spacing w:val="-6"/>
                <w:sz w:val="28"/>
                <w:szCs w:val="28"/>
              </w:rPr>
              <w:t>兼職職稱</w:t>
            </w:r>
          </w:p>
        </w:tc>
        <w:tc>
          <w:tcPr>
            <w:tcW w:w="1418" w:type="dxa"/>
          </w:tcPr>
          <w:p w:rsidR="00BA7A1B" w:rsidRPr="00910299" w:rsidRDefault="00BA7A1B" w:rsidP="00B23FFF">
            <w:pPr>
              <w:pStyle w:val="3"/>
              <w:numPr>
                <w:ilvl w:val="0"/>
                <w:numId w:val="0"/>
              </w:numPr>
              <w:spacing w:line="320" w:lineRule="exact"/>
              <w:rPr>
                <w:rFonts w:hAnsi="標楷體"/>
                <w:b/>
                <w:spacing w:val="-6"/>
                <w:sz w:val="28"/>
                <w:szCs w:val="28"/>
              </w:rPr>
            </w:pPr>
            <w:r w:rsidRPr="00910299">
              <w:rPr>
                <w:rFonts w:hAnsi="標楷體" w:hint="eastAsia"/>
                <w:b/>
                <w:spacing w:val="-6"/>
                <w:sz w:val="28"/>
                <w:szCs w:val="28"/>
              </w:rPr>
              <w:t>聘期</w:t>
            </w:r>
          </w:p>
        </w:tc>
        <w:tc>
          <w:tcPr>
            <w:tcW w:w="1842" w:type="dxa"/>
          </w:tcPr>
          <w:p w:rsidR="00BA7A1B" w:rsidRPr="00910299" w:rsidRDefault="00BA7A1B" w:rsidP="00B23FFF">
            <w:pPr>
              <w:pStyle w:val="3"/>
              <w:numPr>
                <w:ilvl w:val="0"/>
                <w:numId w:val="0"/>
              </w:numPr>
              <w:spacing w:line="280" w:lineRule="exact"/>
              <w:rPr>
                <w:rFonts w:hAnsi="標楷體"/>
                <w:b/>
                <w:spacing w:val="-6"/>
                <w:sz w:val="27"/>
                <w:szCs w:val="27"/>
              </w:rPr>
            </w:pPr>
            <w:r w:rsidRPr="00910299">
              <w:rPr>
                <w:rFonts w:hAnsi="標楷體" w:hint="eastAsia"/>
                <w:b/>
                <w:spacing w:val="-6"/>
                <w:sz w:val="27"/>
                <w:szCs w:val="27"/>
              </w:rPr>
              <w:t>兼職機構是否接受政府捐/補助</w:t>
            </w:r>
          </w:p>
        </w:tc>
        <w:tc>
          <w:tcPr>
            <w:tcW w:w="1134" w:type="dxa"/>
          </w:tcPr>
          <w:p w:rsidR="00BA7A1B" w:rsidRPr="00910299" w:rsidRDefault="00BA7A1B" w:rsidP="00B23FFF">
            <w:pPr>
              <w:pStyle w:val="3"/>
              <w:numPr>
                <w:ilvl w:val="0"/>
                <w:numId w:val="0"/>
              </w:numPr>
              <w:spacing w:line="320" w:lineRule="exact"/>
              <w:rPr>
                <w:rFonts w:hAnsi="標楷體"/>
                <w:b/>
                <w:spacing w:val="-6"/>
                <w:sz w:val="28"/>
                <w:szCs w:val="28"/>
              </w:rPr>
            </w:pPr>
            <w:r w:rsidRPr="00910299">
              <w:rPr>
                <w:rFonts w:hAnsi="標楷體" w:hint="eastAsia"/>
                <w:b/>
                <w:spacing w:val="-6"/>
                <w:sz w:val="28"/>
                <w:szCs w:val="28"/>
              </w:rPr>
              <w:t>待遇</w:t>
            </w:r>
          </w:p>
        </w:tc>
      </w:tr>
      <w:tr w:rsidR="00910299" w:rsidRPr="00910299" w:rsidTr="00B23FFF">
        <w:tc>
          <w:tcPr>
            <w:tcW w:w="2410"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尹書田醫療財團法人</w:t>
            </w:r>
          </w:p>
        </w:tc>
        <w:tc>
          <w:tcPr>
            <w:tcW w:w="1417"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第7屆</w:t>
            </w:r>
          </w:p>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董事</w:t>
            </w:r>
          </w:p>
        </w:tc>
        <w:tc>
          <w:tcPr>
            <w:tcW w:w="1418"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1030110-1070709</w:t>
            </w:r>
          </w:p>
        </w:tc>
        <w:tc>
          <w:tcPr>
            <w:tcW w:w="1842"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否</w:t>
            </w:r>
          </w:p>
        </w:tc>
        <w:tc>
          <w:tcPr>
            <w:tcW w:w="1134"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無給職</w:t>
            </w:r>
          </w:p>
        </w:tc>
      </w:tr>
      <w:tr w:rsidR="00910299" w:rsidRPr="00910299" w:rsidTr="00B23FFF">
        <w:tc>
          <w:tcPr>
            <w:tcW w:w="2410"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財團法人醫院評鑑暨醫療品質策進會</w:t>
            </w:r>
          </w:p>
        </w:tc>
        <w:tc>
          <w:tcPr>
            <w:tcW w:w="1417" w:type="dxa"/>
          </w:tcPr>
          <w:p w:rsidR="00BA7A1B" w:rsidRPr="00910299" w:rsidRDefault="00BA7A1B" w:rsidP="00B23FFF">
            <w:pPr>
              <w:spacing w:line="320" w:lineRule="exact"/>
              <w:rPr>
                <w:sz w:val="28"/>
                <w:szCs w:val="28"/>
              </w:rPr>
            </w:pPr>
            <w:r w:rsidRPr="00910299">
              <w:rPr>
                <w:rFonts w:hAnsi="標楷體" w:hint="eastAsia"/>
                <w:spacing w:val="-6"/>
                <w:sz w:val="28"/>
                <w:szCs w:val="28"/>
              </w:rPr>
              <w:t>董事</w:t>
            </w:r>
          </w:p>
        </w:tc>
        <w:tc>
          <w:tcPr>
            <w:tcW w:w="1418"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1060101-1081231</w:t>
            </w:r>
          </w:p>
        </w:tc>
        <w:tc>
          <w:tcPr>
            <w:tcW w:w="1842"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是</w:t>
            </w:r>
          </w:p>
        </w:tc>
        <w:tc>
          <w:tcPr>
            <w:tcW w:w="1134"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無給職</w:t>
            </w:r>
          </w:p>
        </w:tc>
      </w:tr>
      <w:tr w:rsidR="00910299" w:rsidRPr="00910299" w:rsidTr="00B23FFF">
        <w:tc>
          <w:tcPr>
            <w:tcW w:w="2410"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醫療財團法人辜公亮基金會</w:t>
            </w:r>
          </w:p>
        </w:tc>
        <w:tc>
          <w:tcPr>
            <w:tcW w:w="1417" w:type="dxa"/>
          </w:tcPr>
          <w:p w:rsidR="00BA7A1B" w:rsidRPr="00910299" w:rsidRDefault="00BA7A1B" w:rsidP="00B23FFF">
            <w:pPr>
              <w:spacing w:line="320" w:lineRule="exact"/>
              <w:rPr>
                <w:rFonts w:hAnsi="標楷體"/>
                <w:spacing w:val="-6"/>
                <w:sz w:val="28"/>
                <w:szCs w:val="28"/>
              </w:rPr>
            </w:pPr>
            <w:r w:rsidRPr="00910299">
              <w:rPr>
                <w:rFonts w:hAnsi="標楷體" w:hint="eastAsia"/>
                <w:spacing w:val="-6"/>
                <w:sz w:val="28"/>
                <w:szCs w:val="28"/>
              </w:rPr>
              <w:t>第10屆</w:t>
            </w:r>
          </w:p>
          <w:p w:rsidR="00BA7A1B" w:rsidRPr="00910299" w:rsidRDefault="00BA7A1B" w:rsidP="00B23FFF">
            <w:pPr>
              <w:spacing w:line="320" w:lineRule="exact"/>
              <w:rPr>
                <w:sz w:val="28"/>
                <w:szCs w:val="28"/>
              </w:rPr>
            </w:pPr>
            <w:r w:rsidRPr="00910299">
              <w:rPr>
                <w:rFonts w:hAnsi="標楷體" w:hint="eastAsia"/>
                <w:spacing w:val="-6"/>
                <w:sz w:val="28"/>
                <w:szCs w:val="28"/>
              </w:rPr>
              <w:t>董事</w:t>
            </w:r>
          </w:p>
        </w:tc>
        <w:tc>
          <w:tcPr>
            <w:tcW w:w="1418"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1061119-1070129</w:t>
            </w:r>
          </w:p>
        </w:tc>
        <w:tc>
          <w:tcPr>
            <w:tcW w:w="1842"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是</w:t>
            </w:r>
          </w:p>
        </w:tc>
        <w:tc>
          <w:tcPr>
            <w:tcW w:w="1134" w:type="dxa"/>
          </w:tcPr>
          <w:p w:rsidR="00BA7A1B" w:rsidRPr="00910299" w:rsidRDefault="00BA7A1B" w:rsidP="00B23FFF">
            <w:pPr>
              <w:pStyle w:val="3"/>
              <w:numPr>
                <w:ilvl w:val="0"/>
                <w:numId w:val="0"/>
              </w:numPr>
              <w:spacing w:line="320" w:lineRule="exact"/>
              <w:rPr>
                <w:rFonts w:hAnsi="標楷體"/>
                <w:spacing w:val="-6"/>
                <w:sz w:val="28"/>
                <w:szCs w:val="28"/>
              </w:rPr>
            </w:pPr>
            <w:r w:rsidRPr="00910299">
              <w:rPr>
                <w:rFonts w:hAnsi="標楷體" w:hint="eastAsia"/>
                <w:spacing w:val="-6"/>
                <w:sz w:val="28"/>
                <w:szCs w:val="28"/>
              </w:rPr>
              <w:t>無給職</w:t>
            </w:r>
          </w:p>
        </w:tc>
      </w:tr>
    </w:tbl>
    <w:p w:rsidR="00BA7A1B" w:rsidRPr="00910299" w:rsidRDefault="00BA7A1B" w:rsidP="00BA7A1B">
      <w:pPr>
        <w:pStyle w:val="4"/>
        <w:numPr>
          <w:ilvl w:val="0"/>
          <w:numId w:val="0"/>
        </w:numPr>
        <w:rPr>
          <w:rFonts w:hAnsi="標楷體"/>
          <w:spacing w:val="-6"/>
          <w:sz w:val="24"/>
          <w:szCs w:val="24"/>
        </w:rPr>
      </w:pPr>
      <w:r w:rsidRPr="00910299">
        <w:rPr>
          <w:rFonts w:hAnsi="標楷體" w:hint="eastAsia"/>
          <w:spacing w:val="-6"/>
          <w:sz w:val="24"/>
          <w:szCs w:val="24"/>
        </w:rPr>
        <w:t xml:space="preserve">       資料來源：教育部到院詢問前提供。</w:t>
      </w:r>
    </w:p>
    <w:p w:rsidR="00BA7A1B" w:rsidRPr="00910299" w:rsidRDefault="00BA7A1B" w:rsidP="00BA7A1B">
      <w:pPr>
        <w:pStyle w:val="4"/>
        <w:numPr>
          <w:ilvl w:val="0"/>
          <w:numId w:val="0"/>
        </w:numPr>
      </w:pP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另陽明大學指出，該校近</w:t>
      </w:r>
      <w:r w:rsidRPr="00910299">
        <w:rPr>
          <w:rFonts w:hAnsi="標楷體"/>
          <w:spacing w:val="-6"/>
          <w:szCs w:val="32"/>
        </w:rPr>
        <w:t>5</w:t>
      </w:r>
      <w:r w:rsidRPr="00910299">
        <w:rPr>
          <w:rFonts w:hAnsi="標楷體" w:hint="eastAsia"/>
          <w:spacing w:val="-6"/>
          <w:szCs w:val="32"/>
        </w:rPr>
        <w:t>年就教師兼職相關法令之宣導方式次數達</w:t>
      </w:r>
      <w:r w:rsidRPr="00910299">
        <w:rPr>
          <w:rFonts w:hAnsi="標楷體"/>
          <w:spacing w:val="-6"/>
          <w:szCs w:val="32"/>
        </w:rPr>
        <w:t>20</w:t>
      </w:r>
      <w:r w:rsidRPr="00910299">
        <w:rPr>
          <w:rFonts w:hAnsi="標楷體" w:hint="eastAsia"/>
          <w:spacing w:val="-6"/>
          <w:szCs w:val="32"/>
        </w:rPr>
        <w:t>次以上，所採取之方式包括：</w:t>
      </w:r>
      <w:r w:rsidRPr="00910299">
        <w:rPr>
          <w:rFonts w:ascii="Times New Roman" w:hAnsi="Times New Roman"/>
        </w:rPr>
        <w:t>定期調查教師校外兼職情形</w:t>
      </w:r>
      <w:r w:rsidRPr="00910299">
        <w:rPr>
          <w:rFonts w:ascii="Times New Roman" w:hAnsi="Times New Roman" w:hint="eastAsia"/>
        </w:rPr>
        <w:t>、辦理</w:t>
      </w:r>
      <w:r w:rsidRPr="00910299">
        <w:rPr>
          <w:rFonts w:hAnsi="標楷體" w:hint="eastAsia"/>
        </w:rPr>
        <w:t>新進教師座談會宣導兼職規定、不定期於擴大行政會議宣導，以及配合法令修正或主管機關令釋公文轉知各單位等。惟針對陳員擔任該校醫學院院長(含代理院長)期間之尹書田醫療財團法人董事、</w:t>
      </w:r>
      <w:r w:rsidR="00626850" w:rsidRPr="00910299">
        <w:rPr>
          <w:rFonts w:hAnsi="標楷體" w:hint="eastAsia"/>
        </w:rPr>
        <w:t>財團法人醫院評鑑暨醫療品質策進會</w:t>
      </w:r>
      <w:r w:rsidRPr="00910299">
        <w:rPr>
          <w:rFonts w:hAnsi="標楷體" w:hint="eastAsia"/>
        </w:rPr>
        <w:t>董事等2項校外兼職，雖分別始自103年1月10日與106年1月1日，該校卻係於106年5月辦理校內清查教師校外兼職情形時，經陳員同年6月7日填具之調查表始查知該兼職情事，賡續於同年11月16日依校內行政程序以「所屬教師</w:t>
      </w:r>
      <w:r w:rsidRPr="00910299">
        <w:rPr>
          <w:rFonts w:hAnsi="標楷體" w:hint="eastAsia"/>
          <w:spacing w:val="-6"/>
          <w:szCs w:val="32"/>
        </w:rPr>
        <w:t>兼任政府機關</w:t>
      </w:r>
      <w:r w:rsidRPr="00910299">
        <w:rPr>
          <w:rFonts w:hAnsi="標楷體" w:hint="eastAsia"/>
          <w:spacing w:val="-6"/>
          <w:szCs w:val="32"/>
        </w:rPr>
        <w:lastRenderedPageBreak/>
        <w:t>及非以營利為目的之事業或團體之職務，且均為無給職</w:t>
      </w:r>
      <w:r w:rsidRPr="00910299">
        <w:rPr>
          <w:rFonts w:hAnsi="標楷體" w:hint="eastAsia"/>
        </w:rPr>
        <w:t>」為由，簽准通案同意辦結。至陳員</w:t>
      </w:r>
      <w:r w:rsidRPr="00910299">
        <w:rPr>
          <w:rFonts w:hAnsi="標楷體"/>
          <w:spacing w:val="-6"/>
          <w:szCs w:val="32"/>
        </w:rPr>
        <w:t>自106年11月19日起至109年11月18日</w:t>
      </w:r>
      <w:r w:rsidRPr="00910299">
        <w:rPr>
          <w:rFonts w:hAnsi="標楷體" w:hint="eastAsia"/>
        </w:rPr>
        <w:t>兼任</w:t>
      </w:r>
      <w:r w:rsidRPr="00910299">
        <w:rPr>
          <w:rFonts w:hAnsi="標楷體" w:hint="eastAsia"/>
          <w:spacing w:val="-6"/>
          <w:szCs w:val="32"/>
        </w:rPr>
        <w:t>醫療財團法人辜公亮基金會(下稱辜公亮基金會)董事一職，乃由辜公亮基金會事後於</w:t>
      </w:r>
      <w:r w:rsidRPr="00910299">
        <w:rPr>
          <w:rFonts w:hAnsi="標楷體"/>
          <w:spacing w:val="-6"/>
          <w:szCs w:val="32"/>
        </w:rPr>
        <w:t>107年1月30日</w:t>
      </w:r>
      <w:r w:rsidRPr="00910299">
        <w:rPr>
          <w:rFonts w:hAnsi="標楷體" w:hint="eastAsia"/>
          <w:spacing w:val="-6"/>
          <w:szCs w:val="32"/>
        </w:rPr>
        <w:t>以(</w:t>
      </w:r>
      <w:r w:rsidRPr="00910299">
        <w:rPr>
          <w:rFonts w:hAnsi="標楷體"/>
          <w:spacing w:val="-6"/>
          <w:szCs w:val="32"/>
        </w:rPr>
        <w:t>107</w:t>
      </w:r>
      <w:r w:rsidRPr="00910299">
        <w:rPr>
          <w:rFonts w:hAnsi="標楷體" w:hint="eastAsia"/>
          <w:spacing w:val="-6"/>
          <w:szCs w:val="32"/>
        </w:rPr>
        <w:t>)和院院策字第</w:t>
      </w:r>
      <w:r w:rsidRPr="00910299">
        <w:rPr>
          <w:rFonts w:hAnsi="標楷體"/>
          <w:spacing w:val="-6"/>
          <w:szCs w:val="32"/>
        </w:rPr>
        <w:t>069</w:t>
      </w:r>
      <w:r w:rsidRPr="00910299">
        <w:rPr>
          <w:rFonts w:hAnsi="標楷體" w:hint="eastAsia"/>
          <w:spacing w:val="-6"/>
          <w:szCs w:val="32"/>
        </w:rPr>
        <w:t>號函，函請陽明大學同意，陽明大學於</w:t>
      </w:r>
      <w:r w:rsidRPr="00910299">
        <w:rPr>
          <w:rFonts w:hAnsi="標楷體"/>
          <w:spacing w:val="-6"/>
          <w:szCs w:val="32"/>
        </w:rPr>
        <w:t>107年2月23日</w:t>
      </w:r>
      <w:r w:rsidRPr="00910299">
        <w:rPr>
          <w:rFonts w:hAnsi="標楷體" w:hint="eastAsia"/>
          <w:spacing w:val="-6"/>
          <w:szCs w:val="32"/>
        </w:rPr>
        <w:t>以</w:t>
      </w:r>
      <w:r w:rsidRPr="00910299">
        <w:rPr>
          <w:rFonts w:hAnsi="標楷體"/>
          <w:spacing w:val="-6"/>
          <w:szCs w:val="32"/>
        </w:rPr>
        <w:t>陽人字第1070003995號函</w:t>
      </w:r>
      <w:r w:rsidRPr="00910299">
        <w:rPr>
          <w:rFonts w:hAnsi="標楷體" w:hint="eastAsia"/>
          <w:spacing w:val="-6"/>
          <w:szCs w:val="32"/>
        </w:rPr>
        <w:t>復該基金會同意。在陽明大學函復同意陳員此件兼職前，陳員已於106年12月12日參與該基金會第10屆第1次董事會(該董事會會議紀錄與簽到表在卷可稽)，情節亦屬兼職程序未符前開法規，況且如前所述，106年11月16日陽明大學甫以通案方式處理辦結校內教師未經學校同意之兼職案，陳員</w:t>
      </w:r>
      <w:r w:rsidRPr="00910299">
        <w:rPr>
          <w:rFonts w:hAnsi="標楷體"/>
          <w:spacing w:val="-6"/>
          <w:szCs w:val="32"/>
        </w:rPr>
        <w:t>106年11月19日起</w:t>
      </w:r>
      <w:r w:rsidRPr="00910299">
        <w:rPr>
          <w:rFonts w:hAnsi="標楷體" w:hint="eastAsia"/>
          <w:spacing w:val="-6"/>
          <w:szCs w:val="32"/>
        </w:rPr>
        <w:t>於辜公亮基金會(下稱辜公亮基金會)之董事職務兼職，卻仍未經事前報准，</w:t>
      </w:r>
      <w:r w:rsidRPr="00910299">
        <w:rPr>
          <w:rFonts w:hAnsi="標楷體" w:hint="eastAsia"/>
        </w:rPr>
        <w:t>顯見該校之兼職規範宣導，未能發揮應有功能，且兼職管理機制確有檢討改進</w:t>
      </w:r>
      <w:r w:rsidR="00311F9D" w:rsidRPr="00910299">
        <w:rPr>
          <w:rFonts w:hAnsi="標楷體" w:hint="eastAsia"/>
        </w:rPr>
        <w:t>空間</w:t>
      </w:r>
      <w:r w:rsidRPr="00910299">
        <w:rPr>
          <w:rFonts w:hAnsi="標楷體" w:hint="eastAsia"/>
        </w:rPr>
        <w:t>。</w:t>
      </w:r>
    </w:p>
    <w:p w:rsidR="00887479" w:rsidRPr="00910299" w:rsidRDefault="00887479" w:rsidP="00887479">
      <w:pPr>
        <w:pStyle w:val="3"/>
        <w:numPr>
          <w:ilvl w:val="2"/>
          <w:numId w:val="1"/>
        </w:numPr>
        <w:rPr>
          <w:rFonts w:hAnsi="標楷體"/>
          <w:spacing w:val="-6"/>
          <w:szCs w:val="32"/>
        </w:rPr>
      </w:pPr>
      <w:r w:rsidRPr="00910299">
        <w:rPr>
          <w:rFonts w:hAnsi="標楷體" w:hint="eastAsia"/>
        </w:rPr>
        <w:t>此外，</w:t>
      </w:r>
      <w:r w:rsidRPr="00910299">
        <w:rPr>
          <w:rFonts w:hAnsi="標楷體" w:hint="eastAsia"/>
          <w:spacing w:val="-6"/>
          <w:szCs w:val="32"/>
        </w:rPr>
        <w:t>陳員於107年1月30日向辜公亮基金會以書面方式請辭董事職務；陳員請辭文件載明：「本人蒙貴會推薦擔任貴會第十屆董事一職，深感榮幸之至。惟因礙於本校兼職需符合『公務人員兼任政府投資或轉投資民營事業機構、財團法人及社團法人董、監事職務』之規定，不克擔任董事一職，故擬自即日起辭去貴會董事一職務」等。辜公亮基金會來函本院並指出，「陳員於該會邀請擔任董事之時，未查其本人加計此一董事已是第3個兼職，故在發現後就提請辭去該職」等語。然而，依據「公務人員兼任政府投資或轉投資民營事業機構、財團法人及社團法人董、監事職務規定」之「三、關於兼職數目限制部分」，兼職數目以不超過2個為限之規範，並不包含「兼任未受政府捐(補)助且以公共服務、學術研究為目的之財團法人董監、</w:t>
      </w:r>
      <w:r w:rsidRPr="00910299">
        <w:rPr>
          <w:rFonts w:hAnsi="標楷體" w:hint="eastAsia"/>
          <w:spacing w:val="-6"/>
          <w:szCs w:val="32"/>
        </w:rPr>
        <w:lastRenderedPageBreak/>
        <w:t>事職務」；此併有教育部據陽明大學函復向本院說明：「其中除財團法人醫院評鑑暨醫療品質策進會由衛生福利部及醫學相關團體捐助設立外，餘非屬受政府捐(補)助之財團法人。爰陳員兼任財團法人職務個數，符合上開規定。」等語可證。顯見，陳員對於兼職數目之規範實有誤解，亦應由陽明大學於宣導及協助內部人員認識法規方面，研謀改善。</w:t>
      </w:r>
    </w:p>
    <w:p w:rsidR="00887479" w:rsidRPr="00910299" w:rsidRDefault="00887479" w:rsidP="00887479">
      <w:pPr>
        <w:pStyle w:val="3"/>
      </w:pPr>
      <w:r w:rsidRPr="00910299">
        <w:rPr>
          <w:rFonts w:hAnsi="標楷體" w:hint="eastAsia"/>
          <w:spacing w:val="-6"/>
          <w:szCs w:val="32"/>
        </w:rPr>
        <w:t>綜上，陽明大學雖稱近</w:t>
      </w:r>
      <w:r w:rsidRPr="00910299">
        <w:rPr>
          <w:rFonts w:hAnsi="標楷體"/>
          <w:spacing w:val="-6"/>
          <w:szCs w:val="32"/>
        </w:rPr>
        <w:t>5</w:t>
      </w:r>
      <w:r w:rsidRPr="00910299">
        <w:rPr>
          <w:rFonts w:hAnsi="標楷體" w:hint="eastAsia"/>
          <w:spacing w:val="-6"/>
          <w:szCs w:val="32"/>
        </w:rPr>
        <w:t>年就教師兼職相關法令之宣導方式次數達</w:t>
      </w:r>
      <w:r w:rsidRPr="00910299">
        <w:rPr>
          <w:rFonts w:hAnsi="標楷體"/>
          <w:spacing w:val="-6"/>
          <w:szCs w:val="32"/>
        </w:rPr>
        <w:t>20</w:t>
      </w:r>
      <w:r w:rsidRPr="00910299">
        <w:rPr>
          <w:rFonts w:hAnsi="標楷體" w:hint="eastAsia"/>
          <w:spacing w:val="-6"/>
          <w:szCs w:val="32"/>
        </w:rPr>
        <w:t>次以上，所採取之方式包括：</w:t>
      </w:r>
      <w:r w:rsidRPr="00910299">
        <w:rPr>
          <w:rFonts w:ascii="Times New Roman" w:hAnsi="Times New Roman"/>
        </w:rPr>
        <w:t>定期調查教師校外兼職情形</w:t>
      </w:r>
      <w:r w:rsidRPr="00910299">
        <w:rPr>
          <w:rFonts w:ascii="Times New Roman" w:hAnsi="Times New Roman" w:hint="eastAsia"/>
        </w:rPr>
        <w:t>、辦理</w:t>
      </w:r>
      <w:r w:rsidRPr="00910299">
        <w:rPr>
          <w:rFonts w:hAnsi="標楷體" w:hint="eastAsia"/>
        </w:rPr>
        <w:t>新進教師座談會宣導兼職規定、不定期於擴大行政會議宣導，以及配合法令修正或主管機關令釋公文轉知各單位等，然而，以陳員</w:t>
      </w:r>
      <w:r w:rsidRPr="00910299">
        <w:rPr>
          <w:rFonts w:hAnsi="標楷體" w:hint="eastAsia"/>
          <w:spacing w:val="-6"/>
          <w:szCs w:val="32"/>
        </w:rPr>
        <w:t>擔任該校醫學院院長期間之校外兼職情形觀之，</w:t>
      </w:r>
      <w:r w:rsidRPr="00910299">
        <w:rPr>
          <w:rFonts w:hAnsi="標楷體" w:hint="eastAsia"/>
        </w:rPr>
        <w:t>顯見該校之兼職規範宣導，未能發揮應有功能，應予檢討改進。</w:t>
      </w:r>
    </w:p>
    <w:p w:rsidR="004972A7" w:rsidRPr="00910299" w:rsidRDefault="004972A7" w:rsidP="004972A7">
      <w:pPr>
        <w:pStyle w:val="3"/>
        <w:numPr>
          <w:ilvl w:val="0"/>
          <w:numId w:val="0"/>
        </w:numPr>
        <w:ind w:left="1361"/>
      </w:pPr>
    </w:p>
    <w:p w:rsidR="00887479" w:rsidRPr="00910299" w:rsidRDefault="00887479" w:rsidP="00887479">
      <w:pPr>
        <w:pStyle w:val="2"/>
      </w:pPr>
      <w:r w:rsidRPr="00910299">
        <w:rPr>
          <w:rFonts w:hint="eastAsia"/>
          <w:b/>
          <w:spacing w:val="-10"/>
          <w:szCs w:val="32"/>
        </w:rPr>
        <w:t>公立各級學校教師兼職之相關法令實已行之多年，明文該兼職許可程序採事先報經學校核准模式，惟實務上</w:t>
      </w:r>
      <w:r w:rsidR="00E81961" w:rsidRPr="00910299">
        <w:rPr>
          <w:rFonts w:hint="eastAsia"/>
          <w:b/>
          <w:spacing w:val="-10"/>
          <w:szCs w:val="32"/>
        </w:rPr>
        <w:t>確有礙難完成事先許可之情形</w:t>
      </w:r>
      <w:r w:rsidRPr="00910299">
        <w:rPr>
          <w:rFonts w:hint="eastAsia"/>
          <w:b/>
          <w:spacing w:val="-10"/>
          <w:szCs w:val="32"/>
        </w:rPr>
        <w:t>，致生教師違法兼職疑慮；</w:t>
      </w:r>
      <w:r w:rsidR="00E81961" w:rsidRPr="00910299">
        <w:rPr>
          <w:rFonts w:hint="eastAsia"/>
          <w:b/>
          <w:spacing w:val="-10"/>
          <w:szCs w:val="32"/>
        </w:rPr>
        <w:t>此情允應由</w:t>
      </w:r>
      <w:r w:rsidRPr="00910299">
        <w:rPr>
          <w:rFonts w:hint="eastAsia"/>
          <w:b/>
          <w:spacing w:val="-10"/>
          <w:szCs w:val="32"/>
        </w:rPr>
        <w:t>教育部提出積極策略</w:t>
      </w:r>
      <w:r w:rsidR="00E81961" w:rsidRPr="00910299">
        <w:rPr>
          <w:rFonts w:hint="eastAsia"/>
          <w:b/>
          <w:spacing w:val="-10"/>
          <w:szCs w:val="32"/>
        </w:rPr>
        <w:t>處理，</w:t>
      </w:r>
      <w:r w:rsidRPr="00910299">
        <w:rPr>
          <w:rFonts w:hint="eastAsia"/>
          <w:b/>
          <w:spacing w:val="-10"/>
          <w:szCs w:val="32"/>
        </w:rPr>
        <w:t>以協助教師、維護教育界聲譽。</w:t>
      </w: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服務法第14條之3</w:t>
      </w:r>
      <w:r w:rsidR="000C5104" w:rsidRPr="00910299">
        <w:rPr>
          <w:rFonts w:hAnsi="標楷體" w:hint="eastAsia"/>
          <w:spacing w:val="-6"/>
          <w:szCs w:val="32"/>
        </w:rPr>
        <w:t>規定</w:t>
      </w:r>
      <w:r w:rsidRPr="00910299">
        <w:rPr>
          <w:rFonts w:hAnsi="標楷體" w:hint="eastAsia"/>
          <w:spacing w:val="-6"/>
          <w:szCs w:val="32"/>
        </w:rPr>
        <w:t>：「公務員兼任教學或研究工作或非以營利為目的之事業或團體之職務，應經服務機關許可。機關首長應經上級主管機關許可。」復依教育部104年6月1日臺教人(二)字第1040069402B號令釋略以，「學校審核教師兼職之申請，宜建立校內審核管理機制(例如組成審核小組)進行實質審核；至違反規定之案件，則應提送教師評審委員會或其他相關會議進行審議」；陽明大學專任教師聘約第</w:t>
      </w:r>
      <w:r w:rsidRPr="00910299">
        <w:rPr>
          <w:rFonts w:hAnsi="標楷體"/>
          <w:spacing w:val="-6"/>
          <w:szCs w:val="32"/>
        </w:rPr>
        <w:t>14</w:t>
      </w:r>
      <w:r w:rsidRPr="00910299">
        <w:rPr>
          <w:rFonts w:hAnsi="標楷體" w:hint="eastAsia"/>
          <w:spacing w:val="-6"/>
          <w:szCs w:val="32"/>
        </w:rPr>
        <w:t>點亦規定略以，「教師行為違反聘約或相關法令規定，或違</w:t>
      </w:r>
      <w:r w:rsidRPr="00910299">
        <w:rPr>
          <w:rFonts w:hAnsi="標楷體" w:hint="eastAsia"/>
          <w:spacing w:val="-6"/>
          <w:szCs w:val="32"/>
        </w:rPr>
        <w:lastRenderedPageBreak/>
        <w:t>反學術倫理之行為，情節重大者，該校應依教師法</w:t>
      </w:r>
      <w:r w:rsidRPr="00910299">
        <w:rPr>
          <w:rFonts w:hAnsi="標楷體"/>
          <w:spacing w:val="-6"/>
          <w:szCs w:val="32"/>
        </w:rPr>
        <w:t>第14條之規定，提各級教評會辦理解聘、停聘、不續聘；情節未達教師法第14條第1項</w:t>
      </w:r>
      <w:r w:rsidRPr="00910299">
        <w:rPr>
          <w:rFonts w:hAnsi="標楷體" w:hint="eastAsia"/>
          <w:spacing w:val="-6"/>
          <w:szCs w:val="32"/>
        </w:rPr>
        <w:t>解聘、停聘或不續聘者，得提經該校教師評審委員會審議，依情節輕重另行處置」等。</w:t>
      </w: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針對陳員</w:t>
      </w:r>
      <w:r w:rsidRPr="00910299">
        <w:rPr>
          <w:rFonts w:hAnsi="標楷體" w:hint="eastAsia"/>
        </w:rPr>
        <w:t>於</w:t>
      </w:r>
      <w:r w:rsidRPr="00910299">
        <w:rPr>
          <w:rFonts w:hAnsi="標楷體" w:hint="eastAsia"/>
          <w:spacing w:val="-6"/>
          <w:szCs w:val="32"/>
        </w:rPr>
        <w:t>辜公亮基金會董事兼職情事，教育部於107年10月5日以臺教人(二)字第1070146679號函復認定「國立陽明大學醫學院陳員兼職許可程序與公務員服務法第14條之3未合」等語，是以，陳員兼職未符合前揭法令規定之情形，允應提送相關會議審議處置，惟本院調查發現，陽明大學稱「</w:t>
      </w:r>
      <w:r w:rsidRPr="00910299">
        <w:rPr>
          <w:rFonts w:hAnsi="標楷體" w:hint="eastAsia"/>
        </w:rPr>
        <w:t>案經校內審查程序同意在案，符合學校教師兼職處理流程」等語，對於陳員相關兼職未符規定等案，並未提送相關會議審議</w:t>
      </w:r>
      <w:r w:rsidRPr="00910299">
        <w:rPr>
          <w:rFonts w:hAnsi="標楷體" w:hint="eastAsia"/>
          <w:spacing w:val="-6"/>
          <w:szCs w:val="32"/>
        </w:rPr>
        <w:t>。</w:t>
      </w:r>
      <w:r w:rsidRPr="00910299">
        <w:rPr>
          <w:rFonts w:hAnsi="標楷體" w:hint="eastAsia"/>
        </w:rPr>
        <w:t>另一方面，教育部對於本案之處理，查復本院表示「</w:t>
      </w:r>
      <w:r w:rsidRPr="00910299">
        <w:rPr>
          <w:rFonts w:hAnsi="標楷體" w:hint="eastAsia"/>
          <w:spacing w:val="-6"/>
          <w:szCs w:val="32"/>
        </w:rPr>
        <w:t>另請該校檢討妥處</w:t>
      </w:r>
      <w:r w:rsidRPr="00910299">
        <w:rPr>
          <w:rFonts w:hAnsi="標楷體" w:hint="eastAsia"/>
        </w:rPr>
        <w:t>」</w:t>
      </w:r>
      <w:r w:rsidRPr="00910299">
        <w:rPr>
          <w:rFonts w:hAnsi="標楷體" w:hint="eastAsia"/>
          <w:spacing w:val="-6"/>
          <w:szCs w:val="32"/>
        </w:rPr>
        <w:t>等語，且教育部對於陽明大學後續檢討回應</w:t>
      </w:r>
      <w:r w:rsidRPr="00910299">
        <w:rPr>
          <w:rFonts w:hint="eastAsia"/>
        </w:rPr>
        <w:t>「業修正兼職許可程序為均需事先以書面報經學校核准後方得前往兼職，自108年8月1日起實施，業周知全校教師、學術單位及置於學校人事室網頁宣導，另將提行政會議報告宣導」等語，並未指出任何不妥之處。</w:t>
      </w: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然而，前揭兼職許可規範實已行之有年，陽明大學亦稱近5年來積極宣導，在陳員兼職事件後，學校方面仍檢討表示該校將自108年8月1日起實施書面事先核准云云，實與公立各級學校專任教師兼職處理原則第8點相同，該校檢討並無實質策進；詎教育部對於學校之檢討內容，未認有任何不妥，顯示學校</w:t>
      </w:r>
      <w:r w:rsidR="00117AFA" w:rsidRPr="00910299">
        <w:rPr>
          <w:rFonts w:hAnsi="標楷體" w:hint="eastAsia"/>
          <w:spacing w:val="-6"/>
          <w:szCs w:val="32"/>
        </w:rPr>
        <w:t>之實務作法，即使長期與教育部與學校相關規範有所落差，教育部對此尚</w:t>
      </w:r>
      <w:r w:rsidRPr="00910299">
        <w:rPr>
          <w:rFonts w:hAnsi="標楷體" w:hint="eastAsia"/>
          <w:spacing w:val="-6"/>
          <w:szCs w:val="32"/>
        </w:rPr>
        <w:t>未尋思釐清問題癥結，難謂積極。</w:t>
      </w:r>
    </w:p>
    <w:p w:rsidR="00887479" w:rsidRPr="00910299" w:rsidRDefault="00887479" w:rsidP="00887479">
      <w:pPr>
        <w:pStyle w:val="3"/>
      </w:pPr>
      <w:r w:rsidRPr="00910299">
        <w:rPr>
          <w:rFonts w:hAnsi="標楷體" w:hint="eastAsia"/>
          <w:spacing w:val="-6"/>
          <w:szCs w:val="32"/>
        </w:rPr>
        <w:t>再觀諸前開陽明大學106年年中清查該校教師校外兼職案之情形，該校調查其兼任行政職務教師之未經學</w:t>
      </w:r>
      <w:r w:rsidRPr="00910299">
        <w:rPr>
          <w:rFonts w:hAnsi="標楷體" w:hint="eastAsia"/>
          <w:spacing w:val="-6"/>
          <w:szCs w:val="32"/>
        </w:rPr>
        <w:lastRenderedPageBreak/>
        <w:t>校同意校外兼職者為59人、兼課者3人。另，該校統計104學年度迄今，教師兼職(課)案件數量</w:t>
      </w:r>
      <w:r w:rsidRPr="00910299">
        <w:rPr>
          <w:bCs w:val="0"/>
        </w:rPr>
        <w:t>共8</w:t>
      </w:r>
      <w:r w:rsidRPr="00910299">
        <w:rPr>
          <w:rFonts w:hint="eastAsia"/>
          <w:bCs w:val="0"/>
        </w:rPr>
        <w:t>75件，</w:t>
      </w:r>
      <w:r w:rsidRPr="00910299">
        <w:rPr>
          <w:rFonts w:hint="eastAsia"/>
        </w:rPr>
        <w:t>依校內程序奉准同意兼職</w:t>
      </w:r>
      <w:r w:rsidRPr="00910299">
        <w:t>7</w:t>
      </w:r>
      <w:r w:rsidRPr="00910299">
        <w:rPr>
          <w:rFonts w:hint="eastAsia"/>
        </w:rPr>
        <w:t>47</w:t>
      </w:r>
      <w:r w:rsidRPr="00910299">
        <w:t>件</w:t>
      </w:r>
      <w:r w:rsidRPr="00910299">
        <w:rPr>
          <w:rFonts w:hint="eastAsia"/>
        </w:rPr>
        <w:t>（包含由政府機關(構)或公立學校函聘者416件、非政府機關(構)或公立學校函聘者331件</w:t>
      </w:r>
      <w:r w:rsidRPr="00910299">
        <w:rPr>
          <w:rStyle w:val="afe"/>
        </w:rPr>
        <w:footnoteReference w:id="1"/>
      </w:r>
      <w:r w:rsidRPr="00910299">
        <w:rPr>
          <w:rFonts w:hint="eastAsia"/>
        </w:rPr>
        <w:t>）、</w:t>
      </w:r>
      <w:r w:rsidRPr="00910299">
        <w:t>兼課1</w:t>
      </w:r>
      <w:r w:rsidRPr="00910299">
        <w:rPr>
          <w:rFonts w:hint="eastAsia"/>
        </w:rPr>
        <w:t>22件；詳情如下，均證事後簽准者仍多：</w:t>
      </w:r>
    </w:p>
    <w:p w:rsidR="00887479" w:rsidRPr="00910299" w:rsidRDefault="00887479" w:rsidP="00887479">
      <w:pPr>
        <w:pStyle w:val="4"/>
      </w:pPr>
      <w:r w:rsidRPr="00910299">
        <w:rPr>
          <w:rFonts w:hint="eastAsia"/>
        </w:rPr>
        <w:t>前開331件非政府機關(構)、公立學校</w:t>
      </w:r>
      <w:r w:rsidRPr="00910299">
        <w:t>兼職案件</w:t>
      </w:r>
      <w:r w:rsidRPr="00910299">
        <w:rPr>
          <w:rFonts w:hint="eastAsia"/>
        </w:rPr>
        <w:t>之核准情形及占比如下表：</w:t>
      </w:r>
    </w:p>
    <w:tbl>
      <w:tblPr>
        <w:tblStyle w:val="af6"/>
        <w:tblW w:w="8649" w:type="dxa"/>
        <w:tblInd w:w="12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2"/>
        <w:gridCol w:w="1134"/>
        <w:gridCol w:w="1275"/>
        <w:gridCol w:w="1035"/>
        <w:gridCol w:w="1375"/>
        <w:gridCol w:w="1134"/>
        <w:gridCol w:w="1134"/>
      </w:tblGrid>
      <w:tr w:rsidR="00910299" w:rsidRPr="00910299" w:rsidTr="00AD0A3A">
        <w:trPr>
          <w:trHeight w:val="807"/>
          <w:tblHeader/>
        </w:trPr>
        <w:tc>
          <w:tcPr>
            <w:tcW w:w="1562" w:type="dxa"/>
            <w:vMerge w:val="restart"/>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sz w:val="28"/>
              </w:rPr>
              <w:br w:type="page"/>
            </w:r>
            <w:r w:rsidRPr="00910299">
              <w:rPr>
                <w:rFonts w:hAnsi="標楷體" w:hint="eastAsia"/>
                <w:sz w:val="28"/>
              </w:rPr>
              <w:t>非政府機關(構)、公立學校</w:t>
            </w:r>
            <w:r w:rsidRPr="00910299">
              <w:rPr>
                <w:rFonts w:hAnsi="標楷體"/>
                <w:sz w:val="28"/>
              </w:rPr>
              <w:t>兼職案</w:t>
            </w:r>
          </w:p>
        </w:tc>
        <w:tc>
          <w:tcPr>
            <w:tcW w:w="2409" w:type="dxa"/>
            <w:gridSpan w:val="2"/>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事後專案簽准</w:t>
            </w:r>
          </w:p>
        </w:tc>
        <w:tc>
          <w:tcPr>
            <w:tcW w:w="2410" w:type="dxa"/>
            <w:gridSpan w:val="2"/>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事先核准</w:t>
            </w:r>
          </w:p>
        </w:tc>
        <w:tc>
          <w:tcPr>
            <w:tcW w:w="2268" w:type="dxa"/>
            <w:gridSpan w:val="2"/>
            <w:shd w:val="clear" w:color="auto" w:fill="D9D9D9" w:themeFill="background1" w:themeFillShade="D9"/>
            <w:vAlign w:val="center"/>
          </w:tcPr>
          <w:p w:rsidR="00BA7A1B" w:rsidRPr="00910299" w:rsidRDefault="00BA7A1B" w:rsidP="00AD0A3A">
            <w:pPr>
              <w:spacing w:line="360" w:lineRule="exact"/>
              <w:jc w:val="left"/>
              <w:rPr>
                <w:rFonts w:hAnsi="標楷體"/>
                <w:sz w:val="28"/>
              </w:rPr>
            </w:pPr>
            <w:r w:rsidRPr="00910299">
              <w:rPr>
                <w:rFonts w:hAnsi="標楷體" w:hint="eastAsia"/>
                <w:sz w:val="28"/>
              </w:rPr>
              <w:t>符合教育部</w:t>
            </w:r>
            <w:r w:rsidR="00AD0A3A" w:rsidRPr="00910299">
              <w:rPr>
                <w:rFonts w:hAnsi="標楷體" w:hint="eastAsia"/>
                <w:sz w:val="28"/>
              </w:rPr>
              <w:t>1</w:t>
            </w:r>
            <w:r w:rsidRPr="00910299">
              <w:rPr>
                <w:rFonts w:ascii="Times New Roman"/>
                <w:sz w:val="28"/>
              </w:rPr>
              <w:t>04</w:t>
            </w:r>
            <w:r w:rsidR="00AD0A3A" w:rsidRPr="00910299">
              <w:rPr>
                <w:rFonts w:ascii="Times New Roman" w:hint="eastAsia"/>
                <w:sz w:val="28"/>
              </w:rPr>
              <w:t>年</w:t>
            </w:r>
            <w:r w:rsidRPr="00910299">
              <w:rPr>
                <w:rFonts w:ascii="Times New Roman"/>
                <w:sz w:val="28"/>
              </w:rPr>
              <w:t>6</w:t>
            </w:r>
            <w:r w:rsidR="00AD0A3A" w:rsidRPr="00910299">
              <w:rPr>
                <w:rFonts w:ascii="Times New Roman" w:hint="eastAsia"/>
                <w:sz w:val="28"/>
              </w:rPr>
              <w:t>月</w:t>
            </w:r>
            <w:r w:rsidRPr="00910299">
              <w:rPr>
                <w:rFonts w:ascii="Times New Roman"/>
                <w:sz w:val="28"/>
              </w:rPr>
              <w:t>1</w:t>
            </w:r>
            <w:r w:rsidR="00AD0A3A" w:rsidRPr="00910299">
              <w:rPr>
                <w:rFonts w:ascii="Times New Roman" w:hint="eastAsia"/>
                <w:sz w:val="28"/>
              </w:rPr>
              <w:t>日</w:t>
            </w:r>
            <w:r w:rsidRPr="00910299">
              <w:rPr>
                <w:rFonts w:hAnsi="標楷體" w:hint="eastAsia"/>
                <w:sz w:val="28"/>
              </w:rPr>
              <w:t>解釋令免報經學校同意</w:t>
            </w:r>
          </w:p>
        </w:tc>
      </w:tr>
      <w:tr w:rsidR="00910299" w:rsidRPr="00910299" w:rsidTr="00AD0A3A">
        <w:trPr>
          <w:trHeight w:val="571"/>
          <w:tblHeader/>
        </w:trPr>
        <w:tc>
          <w:tcPr>
            <w:tcW w:w="1562" w:type="dxa"/>
            <w:vMerge/>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p>
        </w:tc>
        <w:tc>
          <w:tcPr>
            <w:tcW w:w="1134" w:type="dxa"/>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件數</w:t>
            </w:r>
          </w:p>
        </w:tc>
        <w:tc>
          <w:tcPr>
            <w:tcW w:w="1275" w:type="dxa"/>
            <w:shd w:val="clear" w:color="auto" w:fill="D9D9D9" w:themeFill="background1" w:themeFillShade="D9"/>
            <w:vAlign w:val="center"/>
          </w:tcPr>
          <w:p w:rsidR="00BA7A1B" w:rsidRPr="00910299" w:rsidRDefault="00B23FFF" w:rsidP="00B23FFF">
            <w:pPr>
              <w:spacing w:line="360" w:lineRule="exact"/>
              <w:jc w:val="center"/>
              <w:rPr>
                <w:rFonts w:hAnsi="標楷體"/>
                <w:sz w:val="28"/>
              </w:rPr>
            </w:pPr>
            <w:r w:rsidRPr="00910299">
              <w:rPr>
                <w:rFonts w:hAnsi="標楷體" w:hint="eastAsia"/>
                <w:sz w:val="28"/>
              </w:rPr>
              <w:t>占比</w:t>
            </w:r>
          </w:p>
        </w:tc>
        <w:tc>
          <w:tcPr>
            <w:tcW w:w="1035" w:type="dxa"/>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件數</w:t>
            </w:r>
          </w:p>
        </w:tc>
        <w:tc>
          <w:tcPr>
            <w:tcW w:w="1375" w:type="dxa"/>
            <w:shd w:val="clear" w:color="auto" w:fill="D9D9D9" w:themeFill="background1" w:themeFillShade="D9"/>
            <w:vAlign w:val="center"/>
          </w:tcPr>
          <w:p w:rsidR="00BA7A1B" w:rsidRPr="00910299" w:rsidRDefault="00B23FFF" w:rsidP="00B23FFF">
            <w:pPr>
              <w:spacing w:line="360" w:lineRule="exact"/>
              <w:jc w:val="center"/>
              <w:rPr>
                <w:rFonts w:hAnsi="標楷體"/>
                <w:sz w:val="28"/>
              </w:rPr>
            </w:pPr>
            <w:r w:rsidRPr="00910299">
              <w:rPr>
                <w:rFonts w:hAnsi="標楷體" w:hint="eastAsia"/>
                <w:sz w:val="28"/>
              </w:rPr>
              <w:t>占比</w:t>
            </w:r>
          </w:p>
        </w:tc>
        <w:tc>
          <w:tcPr>
            <w:tcW w:w="1134" w:type="dxa"/>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件數</w:t>
            </w:r>
          </w:p>
        </w:tc>
        <w:tc>
          <w:tcPr>
            <w:tcW w:w="1134" w:type="dxa"/>
            <w:shd w:val="clear" w:color="auto" w:fill="D9D9D9" w:themeFill="background1" w:themeFillShade="D9"/>
            <w:vAlign w:val="center"/>
          </w:tcPr>
          <w:p w:rsidR="00BA7A1B" w:rsidRPr="00910299" w:rsidRDefault="00B23FFF" w:rsidP="00B23FFF">
            <w:pPr>
              <w:spacing w:line="360" w:lineRule="exact"/>
              <w:jc w:val="center"/>
              <w:rPr>
                <w:rFonts w:hAnsi="標楷體"/>
                <w:sz w:val="28"/>
              </w:rPr>
            </w:pPr>
            <w:r w:rsidRPr="00910299">
              <w:rPr>
                <w:rFonts w:hAnsi="標楷體" w:hint="eastAsia"/>
                <w:sz w:val="28"/>
              </w:rPr>
              <w:t>占比</w:t>
            </w:r>
          </w:p>
        </w:tc>
      </w:tr>
      <w:tr w:rsidR="00910299" w:rsidRPr="00910299" w:rsidTr="00AD0A3A">
        <w:trPr>
          <w:trHeight w:val="940"/>
        </w:trPr>
        <w:tc>
          <w:tcPr>
            <w:tcW w:w="1562" w:type="dxa"/>
            <w:vAlign w:val="center"/>
          </w:tcPr>
          <w:p w:rsidR="00BA7A1B" w:rsidRPr="00910299" w:rsidRDefault="00BA7A1B" w:rsidP="00B23FFF">
            <w:pPr>
              <w:spacing w:line="360" w:lineRule="exact"/>
              <w:jc w:val="center"/>
              <w:rPr>
                <w:rFonts w:hAnsi="標楷體"/>
                <w:sz w:val="28"/>
              </w:rPr>
            </w:pPr>
            <w:r w:rsidRPr="00910299">
              <w:rPr>
                <w:rFonts w:ascii="Times New Roman"/>
                <w:sz w:val="28"/>
              </w:rPr>
              <w:t>33</w:t>
            </w:r>
            <w:r w:rsidRPr="00910299">
              <w:rPr>
                <w:rFonts w:ascii="Times New Roman" w:hint="eastAsia"/>
                <w:sz w:val="28"/>
              </w:rPr>
              <w:t>1</w:t>
            </w:r>
            <w:r w:rsidRPr="00910299">
              <w:rPr>
                <w:rFonts w:ascii="Times New Roman" w:hint="eastAsia"/>
                <w:sz w:val="28"/>
              </w:rPr>
              <w:t>件</w:t>
            </w:r>
          </w:p>
        </w:tc>
        <w:tc>
          <w:tcPr>
            <w:tcW w:w="1134" w:type="dxa"/>
            <w:vAlign w:val="center"/>
          </w:tcPr>
          <w:p w:rsidR="00BA7A1B" w:rsidRPr="00910299" w:rsidRDefault="00BA7A1B" w:rsidP="00B23FFF">
            <w:pPr>
              <w:spacing w:line="360" w:lineRule="exact"/>
              <w:jc w:val="center"/>
              <w:rPr>
                <w:rFonts w:ascii="Times New Roman"/>
                <w:sz w:val="28"/>
              </w:rPr>
            </w:pPr>
            <w:r w:rsidRPr="00910299">
              <w:rPr>
                <w:rFonts w:ascii="Times New Roman"/>
                <w:sz w:val="28"/>
              </w:rPr>
              <w:t>21</w:t>
            </w:r>
            <w:r w:rsidRPr="00910299">
              <w:rPr>
                <w:rFonts w:ascii="Times New Roman" w:hint="eastAsia"/>
                <w:sz w:val="28"/>
              </w:rPr>
              <w:t>2</w:t>
            </w:r>
          </w:p>
        </w:tc>
        <w:tc>
          <w:tcPr>
            <w:tcW w:w="1275"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64.05%</w:t>
            </w:r>
          </w:p>
        </w:tc>
        <w:tc>
          <w:tcPr>
            <w:tcW w:w="1035"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53</w:t>
            </w:r>
          </w:p>
        </w:tc>
        <w:tc>
          <w:tcPr>
            <w:tcW w:w="1375"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16.01%</w:t>
            </w:r>
          </w:p>
        </w:tc>
        <w:tc>
          <w:tcPr>
            <w:tcW w:w="1134"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66</w:t>
            </w:r>
          </w:p>
        </w:tc>
        <w:tc>
          <w:tcPr>
            <w:tcW w:w="1134"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19.94%</w:t>
            </w:r>
          </w:p>
        </w:tc>
      </w:tr>
    </w:tbl>
    <w:p w:rsidR="00BA7A1B" w:rsidRPr="00910299" w:rsidRDefault="00BA7A1B" w:rsidP="00BA7A1B">
      <w:pPr>
        <w:pStyle w:val="4"/>
        <w:numPr>
          <w:ilvl w:val="0"/>
          <w:numId w:val="0"/>
        </w:numPr>
        <w:spacing w:line="240" w:lineRule="exact"/>
        <w:rPr>
          <w:sz w:val="24"/>
          <w:szCs w:val="24"/>
        </w:rPr>
      </w:pPr>
      <w:r w:rsidRPr="00910299">
        <w:rPr>
          <w:rFonts w:hint="eastAsia"/>
          <w:sz w:val="24"/>
          <w:szCs w:val="24"/>
        </w:rPr>
        <w:t xml:space="preserve">        資料來源：陽明大學。</w:t>
      </w:r>
    </w:p>
    <w:p w:rsidR="00BA7A1B" w:rsidRPr="00910299" w:rsidRDefault="00BA7A1B" w:rsidP="00BA7A1B">
      <w:pPr>
        <w:pStyle w:val="4"/>
        <w:numPr>
          <w:ilvl w:val="0"/>
          <w:numId w:val="0"/>
        </w:numPr>
        <w:spacing w:line="240" w:lineRule="exact"/>
        <w:rPr>
          <w:sz w:val="24"/>
          <w:szCs w:val="24"/>
        </w:rPr>
      </w:pPr>
    </w:p>
    <w:p w:rsidR="00BA7A1B" w:rsidRPr="00910299" w:rsidRDefault="00BA7A1B" w:rsidP="00BA7A1B">
      <w:pPr>
        <w:pStyle w:val="4"/>
        <w:numPr>
          <w:ilvl w:val="0"/>
          <w:numId w:val="0"/>
        </w:numPr>
        <w:ind w:left="1701"/>
      </w:pPr>
    </w:p>
    <w:p w:rsidR="00887479" w:rsidRPr="00910299" w:rsidRDefault="00887479" w:rsidP="00887479">
      <w:pPr>
        <w:pStyle w:val="4"/>
      </w:pPr>
      <w:r w:rsidRPr="00910299">
        <w:rPr>
          <w:rFonts w:hint="eastAsia"/>
        </w:rPr>
        <w:t>前開122件教師奉准兼課案件，核准情形及</w:t>
      </w:r>
      <w:r w:rsidR="00B23FFF" w:rsidRPr="00910299">
        <w:rPr>
          <w:rFonts w:hint="eastAsia"/>
        </w:rPr>
        <w:t>占比</w:t>
      </w:r>
      <w:r w:rsidRPr="00910299">
        <w:rPr>
          <w:rFonts w:hint="eastAsia"/>
        </w:rPr>
        <w:t>說明如下表：</w:t>
      </w:r>
    </w:p>
    <w:tbl>
      <w:tblPr>
        <w:tblStyle w:val="af6"/>
        <w:tblW w:w="7851" w:type="dxa"/>
        <w:tblInd w:w="12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15"/>
        <w:gridCol w:w="1559"/>
        <w:gridCol w:w="1559"/>
        <w:gridCol w:w="1559"/>
        <w:gridCol w:w="1559"/>
      </w:tblGrid>
      <w:tr w:rsidR="00910299" w:rsidRPr="00910299" w:rsidTr="00B23FFF">
        <w:trPr>
          <w:trHeight w:hRule="exact" w:val="567"/>
          <w:tblHeader/>
        </w:trPr>
        <w:tc>
          <w:tcPr>
            <w:tcW w:w="1615" w:type="dxa"/>
            <w:vMerge w:val="restart"/>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兼課案</w:t>
            </w:r>
          </w:p>
        </w:tc>
        <w:tc>
          <w:tcPr>
            <w:tcW w:w="3118" w:type="dxa"/>
            <w:gridSpan w:val="2"/>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事後專案簽准</w:t>
            </w:r>
          </w:p>
        </w:tc>
        <w:tc>
          <w:tcPr>
            <w:tcW w:w="3118" w:type="dxa"/>
            <w:gridSpan w:val="2"/>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事先核准</w:t>
            </w:r>
          </w:p>
        </w:tc>
      </w:tr>
      <w:tr w:rsidR="00910299" w:rsidRPr="00910299" w:rsidTr="00B23FFF">
        <w:trPr>
          <w:trHeight w:hRule="exact" w:val="567"/>
          <w:tblHeader/>
        </w:trPr>
        <w:tc>
          <w:tcPr>
            <w:tcW w:w="1615" w:type="dxa"/>
            <w:vMerge/>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p>
        </w:tc>
        <w:tc>
          <w:tcPr>
            <w:tcW w:w="1559" w:type="dxa"/>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件數</w:t>
            </w:r>
          </w:p>
        </w:tc>
        <w:tc>
          <w:tcPr>
            <w:tcW w:w="1559" w:type="dxa"/>
            <w:shd w:val="clear" w:color="auto" w:fill="D9D9D9" w:themeFill="background1" w:themeFillShade="D9"/>
            <w:vAlign w:val="center"/>
          </w:tcPr>
          <w:p w:rsidR="00BA7A1B" w:rsidRPr="00910299" w:rsidRDefault="00B23FFF" w:rsidP="00B23FFF">
            <w:pPr>
              <w:spacing w:line="360" w:lineRule="exact"/>
              <w:jc w:val="center"/>
              <w:rPr>
                <w:rFonts w:hAnsi="標楷體"/>
                <w:sz w:val="28"/>
              </w:rPr>
            </w:pPr>
            <w:r w:rsidRPr="00910299">
              <w:rPr>
                <w:rFonts w:hAnsi="標楷體" w:hint="eastAsia"/>
                <w:sz w:val="28"/>
              </w:rPr>
              <w:t>占比</w:t>
            </w:r>
          </w:p>
        </w:tc>
        <w:tc>
          <w:tcPr>
            <w:tcW w:w="1559" w:type="dxa"/>
            <w:shd w:val="clear" w:color="auto" w:fill="D9D9D9" w:themeFill="background1" w:themeFillShade="D9"/>
            <w:vAlign w:val="center"/>
          </w:tcPr>
          <w:p w:rsidR="00BA7A1B" w:rsidRPr="00910299" w:rsidRDefault="00BA7A1B" w:rsidP="00B23FFF">
            <w:pPr>
              <w:spacing w:line="360" w:lineRule="exact"/>
              <w:jc w:val="center"/>
              <w:rPr>
                <w:rFonts w:hAnsi="標楷體"/>
                <w:sz w:val="28"/>
              </w:rPr>
            </w:pPr>
            <w:r w:rsidRPr="00910299">
              <w:rPr>
                <w:rFonts w:hAnsi="標楷體" w:hint="eastAsia"/>
                <w:sz w:val="28"/>
              </w:rPr>
              <w:t>件數</w:t>
            </w:r>
          </w:p>
        </w:tc>
        <w:tc>
          <w:tcPr>
            <w:tcW w:w="1559" w:type="dxa"/>
            <w:shd w:val="clear" w:color="auto" w:fill="D9D9D9" w:themeFill="background1" w:themeFillShade="D9"/>
            <w:vAlign w:val="center"/>
          </w:tcPr>
          <w:p w:rsidR="00BA7A1B" w:rsidRPr="00910299" w:rsidRDefault="00B23FFF" w:rsidP="00B23FFF">
            <w:pPr>
              <w:spacing w:line="360" w:lineRule="exact"/>
              <w:jc w:val="center"/>
              <w:rPr>
                <w:rFonts w:hAnsi="標楷體"/>
                <w:sz w:val="28"/>
              </w:rPr>
            </w:pPr>
            <w:r w:rsidRPr="00910299">
              <w:rPr>
                <w:rFonts w:hAnsi="標楷體" w:hint="eastAsia"/>
                <w:sz w:val="28"/>
              </w:rPr>
              <w:t>占比</w:t>
            </w:r>
          </w:p>
        </w:tc>
      </w:tr>
      <w:tr w:rsidR="00910299" w:rsidRPr="00910299" w:rsidTr="00AD0A3A">
        <w:trPr>
          <w:trHeight w:hRule="exact" w:val="966"/>
        </w:trPr>
        <w:tc>
          <w:tcPr>
            <w:tcW w:w="1615"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122</w:t>
            </w:r>
            <w:r w:rsidRPr="00910299">
              <w:rPr>
                <w:rFonts w:ascii="Times New Roman" w:hint="eastAsia"/>
                <w:sz w:val="28"/>
              </w:rPr>
              <w:t>件</w:t>
            </w:r>
          </w:p>
        </w:tc>
        <w:tc>
          <w:tcPr>
            <w:tcW w:w="1559"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95</w:t>
            </w:r>
          </w:p>
        </w:tc>
        <w:tc>
          <w:tcPr>
            <w:tcW w:w="1559"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77.87</w:t>
            </w:r>
            <w:r w:rsidRPr="00910299">
              <w:rPr>
                <w:rFonts w:ascii="Times New Roman"/>
                <w:sz w:val="28"/>
              </w:rPr>
              <w:t>%</w:t>
            </w:r>
          </w:p>
        </w:tc>
        <w:tc>
          <w:tcPr>
            <w:tcW w:w="1559"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27</w:t>
            </w:r>
          </w:p>
        </w:tc>
        <w:tc>
          <w:tcPr>
            <w:tcW w:w="1559" w:type="dxa"/>
            <w:vAlign w:val="center"/>
          </w:tcPr>
          <w:p w:rsidR="00BA7A1B" w:rsidRPr="00910299" w:rsidRDefault="00BA7A1B" w:rsidP="00B23FFF">
            <w:pPr>
              <w:spacing w:line="360" w:lineRule="exact"/>
              <w:jc w:val="center"/>
              <w:rPr>
                <w:rFonts w:ascii="Times New Roman"/>
                <w:sz w:val="28"/>
              </w:rPr>
            </w:pPr>
            <w:r w:rsidRPr="00910299">
              <w:rPr>
                <w:rFonts w:ascii="Times New Roman" w:hint="eastAsia"/>
                <w:sz w:val="28"/>
              </w:rPr>
              <w:t>22.13</w:t>
            </w:r>
            <w:r w:rsidRPr="00910299">
              <w:rPr>
                <w:rFonts w:ascii="Times New Roman"/>
                <w:sz w:val="28"/>
              </w:rPr>
              <w:t>%</w:t>
            </w:r>
          </w:p>
        </w:tc>
      </w:tr>
    </w:tbl>
    <w:p w:rsidR="00BA7A1B" w:rsidRPr="00910299" w:rsidRDefault="00BA7A1B" w:rsidP="00BA7A1B">
      <w:pPr>
        <w:pStyle w:val="3"/>
        <w:numPr>
          <w:ilvl w:val="0"/>
          <w:numId w:val="0"/>
        </w:numPr>
        <w:spacing w:line="240" w:lineRule="exact"/>
        <w:rPr>
          <w:sz w:val="24"/>
          <w:szCs w:val="24"/>
        </w:rPr>
      </w:pPr>
      <w:r w:rsidRPr="00910299">
        <w:rPr>
          <w:rFonts w:hint="eastAsia"/>
          <w:sz w:val="24"/>
          <w:szCs w:val="24"/>
        </w:rPr>
        <w:t xml:space="preserve">        資料來源：陽明大學。</w:t>
      </w:r>
    </w:p>
    <w:p w:rsidR="00BA7A1B" w:rsidRPr="00910299" w:rsidRDefault="00BA7A1B" w:rsidP="00BA7A1B">
      <w:pPr>
        <w:pStyle w:val="3"/>
        <w:numPr>
          <w:ilvl w:val="0"/>
          <w:numId w:val="0"/>
        </w:numPr>
        <w:spacing w:line="240" w:lineRule="exact"/>
        <w:ind w:left="1361"/>
      </w:pP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對此，</w:t>
      </w:r>
      <w:r w:rsidRPr="00910299">
        <w:rPr>
          <w:rFonts w:hint="eastAsia"/>
        </w:rPr>
        <w:t>陽明大學表示，上開兼職兼課之事後簽准理由，主要是因實務上作業不及，又所稱「實務上作業不及」係指部分兼職機關(構)未及於聘期前來文或及時於聘期前來文，但因該校教師兼職(課)，需</w:t>
      </w:r>
      <w:r w:rsidRPr="00910299">
        <w:rPr>
          <w:rFonts w:hint="eastAsia"/>
        </w:rPr>
        <w:lastRenderedPageBreak/>
        <w:t>簽會其教務處審核是否符合校內基本授課時數、教師就兼職與教學研究領域表示是否相關、任教之系及院審核是否不影響本職工作與符合校內工作要求，如係兼任營利事業機關(構)或團體，尚需請研究發展處檢視是否簽訂產學合作契約及收取回饋金等嚴謹審核程序，至簽准時已逾聘期起日等語。針對</w:t>
      </w:r>
      <w:r w:rsidRPr="00910299">
        <w:rPr>
          <w:rFonts w:hAnsi="標楷體" w:hint="eastAsia"/>
          <w:spacing w:val="-6"/>
          <w:szCs w:val="32"/>
        </w:rPr>
        <w:t>陽明大學上開說法，詢據教育部則表示「未兼行政職務專任教師部分：查公立各級學校專任教師兼職處理原則第8點業已明定教師兼職須事先以書面報經學校核准，該部復以107年</w:t>
      </w:r>
      <w:r w:rsidRPr="00910299">
        <w:rPr>
          <w:rFonts w:hAnsi="標楷體"/>
          <w:spacing w:val="-6"/>
          <w:szCs w:val="32"/>
        </w:rPr>
        <w:t>10</w:t>
      </w:r>
      <w:r w:rsidRPr="00910299">
        <w:rPr>
          <w:rFonts w:hAnsi="標楷體" w:hint="eastAsia"/>
          <w:spacing w:val="-6"/>
          <w:szCs w:val="32"/>
        </w:rPr>
        <w:t>月</w:t>
      </w:r>
      <w:r w:rsidRPr="00910299">
        <w:rPr>
          <w:rFonts w:hAnsi="標楷體"/>
          <w:spacing w:val="-6"/>
          <w:szCs w:val="32"/>
        </w:rPr>
        <w:t>8</w:t>
      </w:r>
      <w:r w:rsidRPr="00910299">
        <w:rPr>
          <w:rFonts w:hAnsi="標楷體" w:hint="eastAsia"/>
          <w:spacing w:val="-6"/>
          <w:szCs w:val="32"/>
        </w:rPr>
        <w:t>日臺教人(二)字第1070154654A號書函周知所屬國立大專校院，重申前開規範。兼行政職務專任教師的校外兼職部分：因渠等人員適用服務法規定，依銓敘部106年11月10日部法一字第1064278778號書函規定略以，服務法第14條之3</w:t>
      </w:r>
      <w:r w:rsidR="000C5104" w:rsidRPr="00910299">
        <w:rPr>
          <w:rFonts w:hAnsi="標楷體" w:hint="eastAsia"/>
          <w:spacing w:val="-6"/>
          <w:szCs w:val="32"/>
        </w:rPr>
        <w:t>所稱「許可」</w:t>
      </w:r>
      <w:r w:rsidRPr="00910299">
        <w:rPr>
          <w:rFonts w:hAnsi="標楷體" w:hint="eastAsia"/>
          <w:spacing w:val="-6"/>
          <w:szCs w:val="32"/>
        </w:rPr>
        <w:t>係指禁止一般人為之之特定行為，對於特定人或關於特定事件，解除其禁止，使其得以適法為之之行為；公務員如未經服務機關許可，即兼任教學或研究工作或非以營利為目的之事業或團體之職務，與服務法第14條之3規定未合，尚不生得否於事後補陳許可程序得認屬適法之疑義。」等。</w:t>
      </w:r>
    </w:p>
    <w:p w:rsidR="00887479" w:rsidRPr="00910299" w:rsidRDefault="00887479" w:rsidP="00887479">
      <w:pPr>
        <w:pStyle w:val="3"/>
        <w:numPr>
          <w:ilvl w:val="2"/>
          <w:numId w:val="1"/>
        </w:numPr>
      </w:pPr>
      <w:r w:rsidRPr="00910299">
        <w:rPr>
          <w:rFonts w:hAnsi="標楷體" w:hint="eastAsia"/>
          <w:szCs w:val="52"/>
        </w:rPr>
        <w:t>教育部既稱「兼職許可尚無因『實務上作業不及』得追溯生效之解釋空間」，對於本案調查陽明大</w:t>
      </w:r>
      <w:r w:rsidR="00117AFA" w:rsidRPr="00910299">
        <w:rPr>
          <w:rFonts w:hAnsi="標楷體" w:hint="eastAsia"/>
          <w:szCs w:val="52"/>
        </w:rPr>
        <w:t>學發現實務上確有作業不及之困難，容應由該部通盤瞭解協助解決。此外</w:t>
      </w:r>
      <w:r w:rsidRPr="00910299">
        <w:rPr>
          <w:rFonts w:hAnsi="標楷體" w:hint="eastAsia"/>
          <w:szCs w:val="52"/>
        </w:rPr>
        <w:t>，</w:t>
      </w:r>
      <w:r w:rsidRPr="00910299">
        <w:rPr>
          <w:rFonts w:hint="eastAsia"/>
        </w:rPr>
        <w:t>本案108年3月18日詢問前，教育部查復表示「此類兼職規範與實務作業之殊異，致使相關兼職可能有違法兼職之疑慮，服務法主管機關銓敘部似宜斟酌兼職態樣之差異，就此類兼職許可之程序</w:t>
      </w:r>
      <w:r w:rsidR="00921363" w:rsidRPr="00910299">
        <w:rPr>
          <w:rFonts w:hint="eastAsia"/>
        </w:rPr>
        <w:t>為</w:t>
      </w:r>
      <w:r w:rsidRPr="00910299">
        <w:rPr>
          <w:rFonts w:hint="eastAsia"/>
        </w:rPr>
        <w:t>合理規範」等語，詢問</w:t>
      </w:r>
      <w:r w:rsidR="000C5104" w:rsidRPr="00910299">
        <w:rPr>
          <w:rFonts w:hint="eastAsia"/>
        </w:rPr>
        <w:t>時</w:t>
      </w:r>
      <w:r w:rsidRPr="00910299">
        <w:rPr>
          <w:rFonts w:hint="eastAsia"/>
        </w:rPr>
        <w:t>該部主管人員更指出「</w:t>
      </w:r>
      <w:r w:rsidRPr="00910299">
        <w:rPr>
          <w:rFonts w:hint="eastAsia"/>
          <w:szCs w:val="32"/>
        </w:rPr>
        <w:t>有種可能：當事人同意兼職單位，但沒有拿到正式文書，不敢向學校申請。有部分兼</w:t>
      </w:r>
      <w:r w:rsidRPr="00910299">
        <w:rPr>
          <w:rFonts w:hint="eastAsia"/>
          <w:szCs w:val="32"/>
        </w:rPr>
        <w:lastRenderedPageBreak/>
        <w:t>職尚難依銓敘部規定完成事先許可程序，致此等兼職有違法爭議，而建議服務法主管機關銓敘部宜斟酌兼職態樣之差異，對此類兼職許可程序為合理規範。據了解，銓敘部修法中，許可將改同意。</w:t>
      </w:r>
      <w:r w:rsidRPr="00910299">
        <w:rPr>
          <w:rFonts w:hint="eastAsia"/>
        </w:rPr>
        <w:t>」等語，</w:t>
      </w:r>
      <w:r w:rsidR="00117AFA" w:rsidRPr="00910299">
        <w:rPr>
          <w:rFonts w:hint="eastAsia"/>
        </w:rPr>
        <w:t>顯示，教育部對於自身所轄學校適用服務法之教師因故產生違法爭議情事的問題，並非不知，亦瞭解學校實務作業上</w:t>
      </w:r>
      <w:r w:rsidRPr="00910299">
        <w:rPr>
          <w:rFonts w:hint="eastAsia"/>
        </w:rPr>
        <w:t>，</w:t>
      </w:r>
      <w:r w:rsidR="00117AFA" w:rsidRPr="00910299">
        <w:rPr>
          <w:rFonts w:hint="eastAsia"/>
        </w:rPr>
        <w:t>確有礙難完成事先許可之情形</w:t>
      </w:r>
      <w:r w:rsidRPr="00910299">
        <w:rPr>
          <w:rFonts w:hint="eastAsia"/>
        </w:rPr>
        <w:t>。</w:t>
      </w:r>
    </w:p>
    <w:p w:rsidR="00887479" w:rsidRPr="00910299" w:rsidRDefault="00887479" w:rsidP="00887479">
      <w:pPr>
        <w:pStyle w:val="3"/>
        <w:numPr>
          <w:ilvl w:val="2"/>
          <w:numId w:val="1"/>
        </w:numPr>
        <w:rPr>
          <w:rFonts w:hAnsi="標楷體"/>
          <w:spacing w:val="-6"/>
          <w:szCs w:val="32"/>
        </w:rPr>
      </w:pPr>
      <w:r w:rsidRPr="00910299">
        <w:rPr>
          <w:rFonts w:hint="eastAsia"/>
        </w:rPr>
        <w:t>另一方面，教育部查復表示，其於107年5月以部分教師至營利事業機構兼任獨立董事所發生之重大爭議，主動協調金管會等相關機關學校，針對教師兼職營利事業機構獨立董事部分，刻正研議修正</w:t>
      </w:r>
      <w:r w:rsidRPr="00910299">
        <w:rPr>
          <w:rFonts w:hAnsi="標楷體" w:hint="eastAsia"/>
          <w:spacing w:val="-6"/>
          <w:szCs w:val="32"/>
        </w:rPr>
        <w:t>「公立各級學校專任教師兼職處理原則」等語。教育部鑑於「</w:t>
      </w:r>
      <w:r w:rsidRPr="00910299">
        <w:rPr>
          <w:rFonts w:hint="eastAsia"/>
        </w:rPr>
        <w:t>教師至營利事業機構兼任獨立董事」情事</w:t>
      </w:r>
      <w:r w:rsidRPr="00910299">
        <w:rPr>
          <w:rFonts w:hAnsi="標楷體" w:hint="eastAsia"/>
          <w:spacing w:val="-6"/>
          <w:szCs w:val="32"/>
        </w:rPr>
        <w:t>在107年間引發輿論軒然大波，主動協調其他主管機關以為因應，自屬可採策略之ㄧ，因此對於本案涉及之兼職爭議，如有協洽主管機關銓敘部研商解決之必要，則亦應可採行一致處理標準。</w:t>
      </w:r>
    </w:p>
    <w:p w:rsidR="00887479" w:rsidRPr="00910299" w:rsidRDefault="00887479" w:rsidP="00887479">
      <w:pPr>
        <w:pStyle w:val="3"/>
      </w:pPr>
      <w:r w:rsidRPr="00910299">
        <w:rPr>
          <w:rFonts w:hint="eastAsia"/>
          <w:bCs w:val="0"/>
        </w:rPr>
        <w:t>綜上，以陳員兼職之個別事件觀之，教育部對於陽明大學檢討未來該校教師兼職許可程序將自108年8月1日起</w:t>
      </w:r>
      <w:r w:rsidRPr="00910299">
        <w:rPr>
          <w:rFonts w:hAnsi="標楷體" w:hint="eastAsia"/>
          <w:spacing w:val="-6"/>
          <w:szCs w:val="32"/>
        </w:rPr>
        <w:t>實施書面事先核准云云</w:t>
      </w:r>
      <w:r w:rsidRPr="00910299">
        <w:rPr>
          <w:rFonts w:hint="eastAsia"/>
          <w:bCs w:val="0"/>
        </w:rPr>
        <w:t>，無視此檢討作為實與行之多年的法規無異，並無實益，</w:t>
      </w:r>
      <w:r w:rsidRPr="00910299">
        <w:rPr>
          <w:rFonts w:hAnsi="標楷體" w:hint="eastAsia"/>
          <w:spacing w:val="-6"/>
          <w:szCs w:val="32"/>
        </w:rPr>
        <w:t>顯示教育部並未尋思釐清問題癥結，難謂積極。復以陳員兼職個案外，陽明大學指出，現行法規下，學校實務經常作業不及，教育部僅表示「</w:t>
      </w:r>
      <w:r w:rsidRPr="00910299">
        <w:rPr>
          <w:rFonts w:hAnsi="標楷體" w:hint="eastAsia"/>
          <w:szCs w:val="52"/>
        </w:rPr>
        <w:t>兼職許可尚無因實務上作業不及，得追溯生效之解釋空間」等，並一再強調</w:t>
      </w:r>
      <w:r w:rsidRPr="00910299">
        <w:rPr>
          <w:rFonts w:hint="eastAsia"/>
        </w:rPr>
        <w:t>公務員服務法之主管機關為銓敘部，</w:t>
      </w:r>
      <w:r w:rsidR="00117AFA" w:rsidRPr="00910299">
        <w:rPr>
          <w:rFonts w:hint="eastAsia"/>
        </w:rPr>
        <w:t>惟針對</w:t>
      </w:r>
      <w:r w:rsidRPr="00910299">
        <w:rPr>
          <w:rFonts w:hint="eastAsia"/>
        </w:rPr>
        <w:t>學校適用服務法之教師因故有違法爭議的現象，</w:t>
      </w:r>
      <w:r w:rsidR="0040565B" w:rsidRPr="00910299">
        <w:rPr>
          <w:rFonts w:hint="eastAsia"/>
          <w:spacing w:val="-10"/>
          <w:szCs w:val="32"/>
        </w:rPr>
        <w:t>應由教育部提出積極策略處理，以協助教師、維護教育界聲譽</w:t>
      </w:r>
      <w:r w:rsidR="0040565B" w:rsidRPr="00910299">
        <w:rPr>
          <w:rFonts w:hAnsi="標楷體" w:hint="eastAsia"/>
          <w:spacing w:val="-6"/>
          <w:szCs w:val="32"/>
        </w:rPr>
        <w:t>，如有協洽主管機關銓敘部研商解決之必要，更</w:t>
      </w:r>
      <w:r w:rsidRPr="00910299">
        <w:rPr>
          <w:rFonts w:hAnsi="標楷體" w:hint="eastAsia"/>
          <w:spacing w:val="-6"/>
          <w:szCs w:val="32"/>
        </w:rPr>
        <w:t>應採行</w:t>
      </w:r>
      <w:r w:rsidRPr="00910299">
        <w:rPr>
          <w:rFonts w:hAnsi="標楷體" w:hint="eastAsia"/>
          <w:spacing w:val="-6"/>
          <w:szCs w:val="32"/>
        </w:rPr>
        <w:lastRenderedPageBreak/>
        <w:t>一致處理標準為宜。</w:t>
      </w:r>
    </w:p>
    <w:p w:rsidR="004972A7" w:rsidRPr="00910299" w:rsidRDefault="004972A7" w:rsidP="004972A7">
      <w:pPr>
        <w:pStyle w:val="3"/>
        <w:numPr>
          <w:ilvl w:val="0"/>
          <w:numId w:val="0"/>
        </w:numPr>
        <w:ind w:left="1361"/>
      </w:pPr>
    </w:p>
    <w:p w:rsidR="00887479" w:rsidRPr="00910299" w:rsidRDefault="00887479" w:rsidP="00887479">
      <w:pPr>
        <w:pStyle w:val="2"/>
      </w:pPr>
      <w:r w:rsidRPr="00910299">
        <w:rPr>
          <w:rFonts w:hint="eastAsia"/>
          <w:b/>
          <w:spacing w:val="-10"/>
          <w:szCs w:val="32"/>
        </w:rPr>
        <w:t>陽明大學陳員兼任辜公亮基金會董事職務外，亦兼任醫策會董事，因醫策會負有醫療機構評鑑任務，對辜公亮基金會所設和信醫院進行評鑑，容易導致外界負面聯想。依本案調查之現有證據，尚難支持陳員兼任職務間有不當交互影響之情事，惟兼任職務之間倘有從屬或業務往來關係，一旦因缺乏管制或迴避機制而發生弊案，往往傷及高等教育及產學合作形象；為兼顧防弊與興利，允應由教育部與衛福部、醫策會會同相關機關學校研商強化兼職審核之相關機制。</w:t>
      </w: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大學以研究學術，培育人才，服務社會並促進國家發展為宗旨(大學法第1條參照)。</w:t>
      </w:r>
      <w:r w:rsidRPr="00910299">
        <w:rPr>
          <w:rFonts w:hint="eastAsia"/>
        </w:rPr>
        <w:t>為鼓勵教師之學術研究及知識成果導入社會應用，教育部簡化該類兼職之報核程序，降低行政管制，而於104年6月1日臺教人(二)字第1040069402B號令釋闡明，「教師非常態性應邀演講或授課，且分享或發表內容未具營利目的或商業宣傳行為」、「教師兼任政府機關(構)、學校、行政法法人之任務編組職務或諮詢性</w:t>
      </w:r>
      <w:r w:rsidR="00B23FFF" w:rsidRPr="00910299">
        <w:rPr>
          <w:rFonts w:hint="eastAsia"/>
        </w:rPr>
        <w:t>職務</w:t>
      </w:r>
      <w:r w:rsidRPr="00910299">
        <w:rPr>
          <w:rFonts w:hint="eastAsia"/>
        </w:rPr>
        <w:t>，或擔任政府機關(構)、學校、行政法人會議之專家代表」……等5種兼職態樣，得免依「公立各級學校專任教師兼職處理原則」報經學校核准；顯見，</w:t>
      </w:r>
      <w:r w:rsidRPr="00910299">
        <w:rPr>
          <w:rFonts w:hAnsi="標楷體" w:hint="eastAsia"/>
          <w:spacing w:val="-6"/>
          <w:szCs w:val="32"/>
        </w:rPr>
        <w:t>大專校院教師貢獻專業知能，應予鼓勵，況以產學合作已屬全球高等教育發展趨勢，政府建制完善法制與策略，更屬必需</w:t>
      </w:r>
      <w:r w:rsidRPr="00910299">
        <w:rPr>
          <w:rFonts w:hint="eastAsia"/>
        </w:rPr>
        <w:t>。</w:t>
      </w:r>
    </w:p>
    <w:p w:rsidR="00887479" w:rsidRPr="00910299" w:rsidRDefault="00887479" w:rsidP="00887479">
      <w:pPr>
        <w:pStyle w:val="3"/>
        <w:numPr>
          <w:ilvl w:val="2"/>
          <w:numId w:val="1"/>
        </w:numPr>
        <w:rPr>
          <w:rFonts w:hAnsi="標楷體"/>
          <w:spacing w:val="-6"/>
          <w:szCs w:val="32"/>
        </w:rPr>
      </w:pPr>
      <w:r w:rsidRPr="00910299">
        <w:rPr>
          <w:rFonts w:hAnsi="標楷體" w:hint="eastAsia"/>
          <w:spacing w:val="-6"/>
          <w:szCs w:val="32"/>
        </w:rPr>
        <w:t>本案陽明大學陳員擔任醫學院院長期間之3項兼職，於報准程序上與服務法暨相關規定未合情形，前已述及。復審酌陳員上開兼職單位間之業務互動情形，</w:t>
      </w:r>
      <w:r w:rsidRPr="00910299">
        <w:rPr>
          <w:rFonts w:hint="eastAsia"/>
        </w:rPr>
        <w:t>醫策會受衛福部委託協辦醫院評鑑事務，其具體工作內容包括：草擬評鑑基準、辦理評鑑委員訓練與評</w:t>
      </w:r>
      <w:r w:rsidRPr="00910299">
        <w:rPr>
          <w:rFonts w:hint="eastAsia"/>
        </w:rPr>
        <w:lastRenderedPageBreak/>
        <w:t>核作業、執行實地評鑑、彙整評鑑成績與意見等，該會之運作，在醫院評鑑工作方面，不可謂不生重大影響。是以，陳員於醫策會之兼職，究否會對於渠之另外2項醫療財團法人兼職職務產生交互影響？同時兼任醫策會職務以及接受醫院評鑑之醫療財團法人職務，是否令該名兼職人員居於「球員兼裁判」之地位？難免引發外界臆測。</w:t>
      </w:r>
    </w:p>
    <w:p w:rsidR="00887479" w:rsidRPr="00910299" w:rsidRDefault="00887479" w:rsidP="00887479">
      <w:pPr>
        <w:pStyle w:val="3"/>
        <w:numPr>
          <w:ilvl w:val="2"/>
          <w:numId w:val="1"/>
        </w:numPr>
        <w:rPr>
          <w:rFonts w:hAnsi="標楷體"/>
          <w:spacing w:val="-6"/>
          <w:szCs w:val="32"/>
        </w:rPr>
      </w:pPr>
      <w:r w:rsidRPr="00910299">
        <w:rPr>
          <w:rFonts w:hint="eastAsia"/>
        </w:rPr>
        <w:t>對此，經本案調取醫策會近年執行和信醫院評鑑之相關資料(含評鑑委員名單)，依現有之調查證據，尚難支持陳員以醫策會兼職影響和信醫院評鑑結果之情事；至</w:t>
      </w:r>
      <w:r w:rsidRPr="00910299">
        <w:rPr>
          <w:rFonts w:hAnsi="標楷體" w:hint="eastAsia"/>
          <w:spacing w:val="-6"/>
          <w:szCs w:val="32"/>
        </w:rPr>
        <w:t>尹書田醫療財團法人方面，衛福部主管人員到院說明「</w:t>
      </w:r>
      <w:r w:rsidRPr="00910299">
        <w:rPr>
          <w:rFonts w:hint="eastAsia"/>
          <w:szCs w:val="32"/>
        </w:rPr>
        <w:t>尹書田是診所，不在評鑑之列」等語，有詢問筆錄在卷可稽，亦可排除前開疑慮。惟衛福部主管人員到院時亦表示「本部與醫策會有密切合作關係，在捐助章程第4條即明定董事會職掌；涉及醫院評鑑都設有迴避機制，亦納入捐助章程條文。評鑑委員會已排除醫院院長跟醫療法人董事長，現在修法，將來醫策會董事、監察人也排除。」等語，顯見，醫策會董事尚未排除於醫院評鑑委員會之外，卻已受衛福部評估應予排除，刻正由該部研擬修法處理。為維護醫院評鑑品質，衛福部允應儘速完成相關法令修正。</w:t>
      </w:r>
    </w:p>
    <w:p w:rsidR="00887479" w:rsidRPr="00910299" w:rsidRDefault="00887479" w:rsidP="00887479">
      <w:pPr>
        <w:pStyle w:val="3"/>
        <w:numPr>
          <w:ilvl w:val="2"/>
          <w:numId w:val="1"/>
        </w:numPr>
        <w:rPr>
          <w:rFonts w:hAnsi="標楷體"/>
          <w:spacing w:val="-6"/>
          <w:szCs w:val="32"/>
        </w:rPr>
      </w:pPr>
      <w:r w:rsidRPr="00910299">
        <w:rPr>
          <w:rFonts w:hint="eastAsia"/>
          <w:szCs w:val="32"/>
        </w:rPr>
        <w:t>又，學校審核教師兼職案件時，目前憑參之法令規定，係聚焦於「不得影響教學研究本職工作」、「符合校內基本授課時數與工作要求」、「</w:t>
      </w:r>
      <w:r w:rsidRPr="00910299">
        <w:rPr>
          <w:rFonts w:hint="eastAsia"/>
          <w:bCs w:val="0"/>
        </w:rPr>
        <w:t>確認兼職單位是否與學校簽訂產學合作契約及學術回饋金收取約定</w:t>
      </w:r>
      <w:r w:rsidRPr="00910299">
        <w:rPr>
          <w:rFonts w:hint="eastAsia"/>
          <w:szCs w:val="32"/>
        </w:rPr>
        <w:t>」等面向，對於兼職職務間交互作用之審酌，尚未有明確規範與對策；此有陽明大學表示</w:t>
      </w:r>
      <w:r w:rsidRPr="00910299">
        <w:rPr>
          <w:rFonts w:hint="eastAsia"/>
          <w:bCs w:val="0"/>
        </w:rPr>
        <w:t>該校校內處理兼職(課)實務作業程序乃「人事室審核兼職(課)符合相關規定後，依序會教務處審核是否符合</w:t>
      </w:r>
      <w:r w:rsidRPr="00910299">
        <w:rPr>
          <w:rFonts w:hint="eastAsia"/>
          <w:bCs w:val="0"/>
        </w:rPr>
        <w:lastRenderedPageBreak/>
        <w:t>校內基本授課時數，教師就兼職(課)與教學研究領域表示是否相關，科、系(所)及學院審核是否影響本職工作，如營利事業機構或團體，需再加會研究發展處確認是否與該校簽訂產學合作契約及學術回饋金收取約定，並於奉准後方得兼職」等同證</w:t>
      </w:r>
      <w:r w:rsidRPr="00910299">
        <w:rPr>
          <w:rFonts w:hint="eastAsia"/>
          <w:szCs w:val="32"/>
        </w:rPr>
        <w:t>。因此，除兼職職務與教師本職之關係、職務數量、產學合作關聯性之外，未來如何加強釐清教師兼職間之交互關係，容有待教育部會同相關機關學校研商因應，以為綢繆。</w:t>
      </w:r>
    </w:p>
    <w:p w:rsidR="00887479" w:rsidRPr="00910299" w:rsidRDefault="00887479" w:rsidP="00887479">
      <w:pPr>
        <w:pStyle w:val="3"/>
      </w:pPr>
      <w:r w:rsidRPr="00910299">
        <w:rPr>
          <w:rFonts w:hAnsi="標楷體" w:hint="eastAsia"/>
          <w:spacing w:val="-6"/>
          <w:szCs w:val="32"/>
        </w:rPr>
        <w:t>綜上，為促進國家發展，大學負有研究、教學、培育人才與社會服務之任務，大專校院教師貢獻專業知能，促使產學合作更屬全球趨勢，政府應予鼓勵與保護。以本案調查陽明大學陳員之兼職，依調查取得之現有證據，尚難支持渠兼任職務間有不當交互影響之情事，惟兼任職務之間倘有從屬或業務往來關係，實難杜絕外界不當臆測，復以國內時有學者兼職不法之新聞發生，屢屢傷及高等教育及產學合作形象，令人遺憾，因此，將來在學校審核教師兼職之機制上，</w:t>
      </w:r>
      <w:r w:rsidRPr="00910299">
        <w:rPr>
          <w:rFonts w:hint="eastAsia"/>
          <w:szCs w:val="32"/>
        </w:rPr>
        <w:t>除考量兼職職務與教師本職之關係、職務數量、產學合作關聯性之外，</w:t>
      </w:r>
      <w:r w:rsidRPr="00910299">
        <w:rPr>
          <w:rFonts w:hAnsi="標楷體" w:hint="eastAsia"/>
          <w:spacing w:val="-6"/>
          <w:szCs w:val="32"/>
        </w:rPr>
        <w:t>如何</w:t>
      </w:r>
      <w:r w:rsidRPr="00910299">
        <w:rPr>
          <w:rFonts w:hint="eastAsia"/>
          <w:szCs w:val="32"/>
        </w:rPr>
        <w:t>加強釐清教師兼職間之交互關係，容有待教育部與衛福部、醫策會會同相關機關學校研商因應，以為綢繆。</w:t>
      </w:r>
    </w:p>
    <w:p w:rsidR="00E25849" w:rsidRPr="0091029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910299">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910299">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CE737F" w:rsidRPr="00910299">
        <w:t xml:space="preserve"> </w:t>
      </w:r>
    </w:p>
    <w:p w:rsidR="00FB7770" w:rsidRPr="00910299" w:rsidRDefault="00FB7770" w:rsidP="00770453">
      <w:pPr>
        <w:pStyle w:val="2"/>
        <w:spacing w:beforeLines="25" w:before="114"/>
        <w:ind w:left="1020" w:hanging="680"/>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910299">
        <w:rPr>
          <w:rFonts w:hint="eastAsia"/>
        </w:rPr>
        <w:t>調查意見</w:t>
      </w:r>
      <w:r w:rsidR="00CE737F" w:rsidRPr="00910299">
        <w:rPr>
          <w:rFonts w:hint="eastAsia"/>
        </w:rPr>
        <w:t>一</w:t>
      </w:r>
      <w:r w:rsidRPr="00910299">
        <w:rPr>
          <w:rFonts w:hint="eastAsia"/>
        </w:rPr>
        <w:t>，</w:t>
      </w:r>
      <w:r w:rsidR="00CE737F" w:rsidRPr="00910299">
        <w:rPr>
          <w:rFonts w:hint="eastAsia"/>
        </w:rPr>
        <w:t>函請國立陽明大學檢討改進見復</w:t>
      </w:r>
      <w:r w:rsidRPr="00910299">
        <w:rPr>
          <w:rFonts w:hAnsi="標楷體" w:hint="eastAsia"/>
        </w:rPr>
        <w:t>。</w:t>
      </w:r>
      <w:bookmarkEnd w:id="78"/>
      <w:bookmarkEnd w:id="79"/>
      <w:bookmarkEnd w:id="80"/>
      <w:bookmarkEnd w:id="81"/>
      <w:bookmarkEnd w:id="82"/>
      <w:bookmarkEnd w:id="83"/>
      <w:bookmarkEnd w:id="84"/>
    </w:p>
    <w:p w:rsidR="00E25849" w:rsidRPr="00910299" w:rsidRDefault="00CE737F">
      <w:pPr>
        <w:pStyle w:val="2"/>
      </w:pPr>
      <w:bookmarkStart w:id="104" w:name="_Toc421794877"/>
      <w:bookmarkStart w:id="105" w:name="_Toc421795443"/>
      <w:bookmarkStart w:id="106" w:name="_Toc421796024"/>
      <w:bookmarkStart w:id="107" w:name="_Toc422728959"/>
      <w:bookmarkStart w:id="108" w:name="_Toc422834162"/>
      <w:r w:rsidRPr="00910299">
        <w:rPr>
          <w:rFonts w:hint="eastAsia"/>
        </w:rPr>
        <w:t>調查意見二至三</w:t>
      </w:r>
      <w:r w:rsidR="00E25849" w:rsidRPr="00910299">
        <w:rPr>
          <w:rFonts w:hint="eastAsia"/>
        </w:rPr>
        <w:t>，函請</w:t>
      </w:r>
      <w:r w:rsidRPr="00910299">
        <w:rPr>
          <w:rFonts w:hint="eastAsia"/>
        </w:rPr>
        <w:t>教育部參處</w:t>
      </w:r>
      <w:r w:rsidR="00E25849" w:rsidRPr="00910299">
        <w:rPr>
          <w:rFonts w:hint="eastAsia"/>
        </w:rPr>
        <w:t>見復。</w:t>
      </w:r>
      <w:bookmarkEnd w:id="85"/>
      <w:bookmarkEnd w:id="86"/>
      <w:bookmarkEnd w:id="87"/>
      <w:bookmarkEnd w:id="88"/>
      <w:bookmarkEnd w:id="89"/>
      <w:bookmarkEnd w:id="90"/>
      <w:bookmarkEnd w:id="91"/>
      <w:bookmarkEnd w:id="92"/>
      <w:bookmarkEnd w:id="104"/>
      <w:bookmarkEnd w:id="105"/>
      <w:bookmarkEnd w:id="106"/>
      <w:bookmarkEnd w:id="107"/>
      <w:bookmarkEnd w:id="108"/>
    </w:p>
    <w:p w:rsidR="00560DDA" w:rsidRPr="00910299" w:rsidRDefault="00CE737F" w:rsidP="00560DDA">
      <w:pPr>
        <w:pStyle w:val="2"/>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910299">
        <w:rPr>
          <w:rFonts w:hint="eastAsia"/>
        </w:rPr>
        <w:t>調查意見三</w:t>
      </w:r>
      <w:r w:rsidR="00560DDA" w:rsidRPr="00910299">
        <w:rPr>
          <w:rFonts w:hint="eastAsia"/>
        </w:rPr>
        <w:t>，函</w:t>
      </w:r>
      <w:r w:rsidRPr="00910299">
        <w:rPr>
          <w:rFonts w:hint="eastAsia"/>
        </w:rPr>
        <w:t>請衛生福利部參考</w:t>
      </w:r>
      <w:r w:rsidR="00560DDA" w:rsidRPr="00910299">
        <w:rPr>
          <w:rFonts w:hint="eastAsia"/>
        </w:rPr>
        <w:t>。</w:t>
      </w:r>
      <w:bookmarkEnd w:id="109"/>
      <w:bookmarkEnd w:id="110"/>
      <w:bookmarkEnd w:id="111"/>
      <w:bookmarkEnd w:id="112"/>
      <w:bookmarkEnd w:id="113"/>
      <w:bookmarkEnd w:id="114"/>
      <w:bookmarkEnd w:id="115"/>
    </w:p>
    <w:bookmarkEnd w:id="93"/>
    <w:bookmarkEnd w:id="94"/>
    <w:bookmarkEnd w:id="95"/>
    <w:bookmarkEnd w:id="96"/>
    <w:bookmarkEnd w:id="97"/>
    <w:bookmarkEnd w:id="98"/>
    <w:bookmarkEnd w:id="99"/>
    <w:bookmarkEnd w:id="100"/>
    <w:bookmarkEnd w:id="101"/>
    <w:bookmarkEnd w:id="102"/>
    <w:bookmarkEnd w:id="103"/>
    <w:bookmarkEnd w:id="116"/>
    <w:bookmarkEnd w:id="117"/>
    <w:p w:rsidR="00770453" w:rsidRPr="00910299"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910299">
        <w:rPr>
          <w:rFonts w:hint="eastAsia"/>
          <w:b w:val="0"/>
          <w:bCs/>
          <w:snapToGrid/>
          <w:spacing w:val="12"/>
          <w:kern w:val="0"/>
          <w:sz w:val="40"/>
        </w:rPr>
        <w:t>調查委員：</w:t>
      </w:r>
      <w:r w:rsidR="00E57BEC">
        <w:rPr>
          <w:rFonts w:hint="eastAsia"/>
          <w:b w:val="0"/>
          <w:bCs/>
          <w:snapToGrid/>
          <w:spacing w:val="12"/>
          <w:kern w:val="0"/>
          <w:sz w:val="40"/>
        </w:rPr>
        <w:t>張武修</w:t>
      </w:r>
    </w:p>
    <w:p w:rsidR="00E57BEC" w:rsidRPr="00910299" w:rsidRDefault="00E57BEC" w:rsidP="00E57BEC">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高涌誠</w:t>
      </w:r>
    </w:p>
    <w:p w:rsidR="00C951D9" w:rsidRPr="00910299" w:rsidRDefault="00C951D9" w:rsidP="00770453">
      <w:pPr>
        <w:pStyle w:val="aa"/>
        <w:spacing w:beforeLines="50" w:before="228" w:afterLines="100" w:after="457"/>
        <w:ind w:leftChars="1100" w:left="3742"/>
        <w:rPr>
          <w:b w:val="0"/>
          <w:bCs/>
          <w:snapToGrid/>
          <w:spacing w:val="12"/>
          <w:kern w:val="0"/>
          <w:sz w:val="40"/>
        </w:rPr>
      </w:pPr>
    </w:p>
    <w:sectPr w:rsidR="00C951D9" w:rsidRPr="0091029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389" w:rsidRDefault="00FC4389">
      <w:r>
        <w:separator/>
      </w:r>
    </w:p>
  </w:endnote>
  <w:endnote w:type="continuationSeparator" w:id="0">
    <w:p w:rsidR="00FC4389" w:rsidRDefault="00FC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FF" w:rsidRDefault="00B23FF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67837">
      <w:rPr>
        <w:rStyle w:val="ac"/>
        <w:noProof/>
        <w:sz w:val="24"/>
      </w:rPr>
      <w:t>12</w:t>
    </w:r>
    <w:r>
      <w:rPr>
        <w:rStyle w:val="ac"/>
        <w:sz w:val="24"/>
      </w:rPr>
      <w:fldChar w:fldCharType="end"/>
    </w:r>
  </w:p>
  <w:p w:rsidR="00B23FFF" w:rsidRDefault="00B23FF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389" w:rsidRDefault="00FC4389">
      <w:r>
        <w:separator/>
      </w:r>
    </w:p>
  </w:footnote>
  <w:footnote w:type="continuationSeparator" w:id="0">
    <w:p w:rsidR="00FC4389" w:rsidRDefault="00FC4389">
      <w:r>
        <w:continuationSeparator/>
      </w:r>
    </w:p>
  </w:footnote>
  <w:footnote w:id="1">
    <w:p w:rsidR="00B23FFF" w:rsidRDefault="00B23FFF" w:rsidP="00887479">
      <w:pPr>
        <w:pStyle w:val="afc"/>
      </w:pPr>
      <w:r>
        <w:rPr>
          <w:rStyle w:val="afe"/>
        </w:rPr>
        <w:footnoteRef/>
      </w:r>
      <w:r>
        <w:rPr>
          <w:rFonts w:hint="eastAsia"/>
        </w:rPr>
        <w:t>陽明大學補充說明，係包含</w:t>
      </w:r>
      <w:r w:rsidRPr="00AA4E94">
        <w:rPr>
          <w:rFonts w:hint="eastAsia"/>
        </w:rPr>
        <w:t>營利事業機構、財團法人、學會</w:t>
      </w:r>
      <w:r>
        <w:rPr>
          <w:rFonts w:hint="eastAsia"/>
        </w:rPr>
        <w:t>……</w:t>
      </w:r>
      <w:r w:rsidRPr="00AA4E94">
        <w:rPr>
          <w:rFonts w:hint="eastAsia"/>
        </w:rPr>
        <w:t>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3800"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69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D71E71"/>
    <w:multiLevelType w:val="hybridMultilevel"/>
    <w:tmpl w:val="7DACD228"/>
    <w:lvl w:ilvl="0" w:tplc="C5609FAE">
      <w:start w:val="1"/>
      <w:numFmt w:val="decimal"/>
      <w:lvlText w:val="&lt;%1&gt;"/>
      <w:lvlJc w:val="left"/>
      <w:pPr>
        <w:ind w:left="2011"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2"/>
  </w:num>
  <w:num w:numId="37">
    <w:abstractNumId w:val="2"/>
    <w:lvlOverride w:ilvl="0">
      <w:startOverride w:val="1"/>
    </w:lvlOverride>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58C"/>
    <w:rsid w:val="00006961"/>
    <w:rsid w:val="000112BF"/>
    <w:rsid w:val="00012233"/>
    <w:rsid w:val="00017318"/>
    <w:rsid w:val="000229AD"/>
    <w:rsid w:val="000239EB"/>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0E15"/>
    <w:rsid w:val="000C495F"/>
    <w:rsid w:val="000C5104"/>
    <w:rsid w:val="000D66D9"/>
    <w:rsid w:val="000E6431"/>
    <w:rsid w:val="000F21A5"/>
    <w:rsid w:val="00102B9F"/>
    <w:rsid w:val="00112637"/>
    <w:rsid w:val="00112ABC"/>
    <w:rsid w:val="00117AFA"/>
    <w:rsid w:val="0012001E"/>
    <w:rsid w:val="0012644D"/>
    <w:rsid w:val="00126A55"/>
    <w:rsid w:val="00133F08"/>
    <w:rsid w:val="001341FE"/>
    <w:rsid w:val="001345E6"/>
    <w:rsid w:val="001378B0"/>
    <w:rsid w:val="00142E00"/>
    <w:rsid w:val="00152793"/>
    <w:rsid w:val="00153B7E"/>
    <w:rsid w:val="001545A9"/>
    <w:rsid w:val="001637C7"/>
    <w:rsid w:val="0016480E"/>
    <w:rsid w:val="00167837"/>
    <w:rsid w:val="00174297"/>
    <w:rsid w:val="00180E06"/>
    <w:rsid w:val="001817B3"/>
    <w:rsid w:val="00183014"/>
    <w:rsid w:val="00183376"/>
    <w:rsid w:val="00191DA7"/>
    <w:rsid w:val="001959C2"/>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B449C"/>
    <w:rsid w:val="002C0602"/>
    <w:rsid w:val="002D5C16"/>
    <w:rsid w:val="002F2476"/>
    <w:rsid w:val="002F3DFF"/>
    <w:rsid w:val="002F5E05"/>
    <w:rsid w:val="00307A76"/>
    <w:rsid w:val="00311F9D"/>
    <w:rsid w:val="0031455E"/>
    <w:rsid w:val="00315A16"/>
    <w:rsid w:val="00317053"/>
    <w:rsid w:val="0032109C"/>
    <w:rsid w:val="00322B45"/>
    <w:rsid w:val="003232C7"/>
    <w:rsid w:val="00323809"/>
    <w:rsid w:val="00323D41"/>
    <w:rsid w:val="00325414"/>
    <w:rsid w:val="003302F1"/>
    <w:rsid w:val="0034470E"/>
    <w:rsid w:val="00352DB0"/>
    <w:rsid w:val="00361063"/>
    <w:rsid w:val="0037059B"/>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2B1A"/>
    <w:rsid w:val="003D45BF"/>
    <w:rsid w:val="003D508A"/>
    <w:rsid w:val="003D537F"/>
    <w:rsid w:val="003D7B75"/>
    <w:rsid w:val="003E0208"/>
    <w:rsid w:val="003E4B57"/>
    <w:rsid w:val="003F27E1"/>
    <w:rsid w:val="003F437A"/>
    <w:rsid w:val="003F5C2B"/>
    <w:rsid w:val="003F6CE9"/>
    <w:rsid w:val="004010D0"/>
    <w:rsid w:val="00402240"/>
    <w:rsid w:val="004023E9"/>
    <w:rsid w:val="0040454A"/>
    <w:rsid w:val="0040565B"/>
    <w:rsid w:val="00413F83"/>
    <w:rsid w:val="0041490C"/>
    <w:rsid w:val="00416191"/>
    <w:rsid w:val="00416721"/>
    <w:rsid w:val="00421EF0"/>
    <w:rsid w:val="004224FA"/>
    <w:rsid w:val="00423D07"/>
    <w:rsid w:val="00427936"/>
    <w:rsid w:val="00437E0C"/>
    <w:rsid w:val="0044346F"/>
    <w:rsid w:val="00453FF6"/>
    <w:rsid w:val="00457F41"/>
    <w:rsid w:val="0046520A"/>
    <w:rsid w:val="004672AB"/>
    <w:rsid w:val="004714FE"/>
    <w:rsid w:val="00477BAA"/>
    <w:rsid w:val="00495053"/>
    <w:rsid w:val="004972A7"/>
    <w:rsid w:val="004A1F59"/>
    <w:rsid w:val="004A29BE"/>
    <w:rsid w:val="004A3225"/>
    <w:rsid w:val="004A33EE"/>
    <w:rsid w:val="004A3AA8"/>
    <w:rsid w:val="004B13C7"/>
    <w:rsid w:val="004B778F"/>
    <w:rsid w:val="004C0609"/>
    <w:rsid w:val="004C252E"/>
    <w:rsid w:val="004C639F"/>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25A9B"/>
    <w:rsid w:val="00536BC2"/>
    <w:rsid w:val="005425E1"/>
    <w:rsid w:val="005427C5"/>
    <w:rsid w:val="00542CF6"/>
    <w:rsid w:val="00553C03"/>
    <w:rsid w:val="00560DDA"/>
    <w:rsid w:val="005620CE"/>
    <w:rsid w:val="00563692"/>
    <w:rsid w:val="00571679"/>
    <w:rsid w:val="00584235"/>
    <w:rsid w:val="005844E7"/>
    <w:rsid w:val="005908B8"/>
    <w:rsid w:val="0059512E"/>
    <w:rsid w:val="005967BB"/>
    <w:rsid w:val="005A46CE"/>
    <w:rsid w:val="005A6DD2"/>
    <w:rsid w:val="005C385D"/>
    <w:rsid w:val="005D3B20"/>
    <w:rsid w:val="005D71B7"/>
    <w:rsid w:val="005E4759"/>
    <w:rsid w:val="005E5C68"/>
    <w:rsid w:val="005E65C0"/>
    <w:rsid w:val="005F0390"/>
    <w:rsid w:val="006072CD"/>
    <w:rsid w:val="00612023"/>
    <w:rsid w:val="00614190"/>
    <w:rsid w:val="00622A99"/>
    <w:rsid w:val="00622E67"/>
    <w:rsid w:val="00626850"/>
    <w:rsid w:val="00626B57"/>
    <w:rsid w:val="00626EDC"/>
    <w:rsid w:val="006417B9"/>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0290"/>
    <w:rsid w:val="00690B2A"/>
    <w:rsid w:val="00695E22"/>
    <w:rsid w:val="006B7093"/>
    <w:rsid w:val="006B7417"/>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65059"/>
    <w:rsid w:val="00770453"/>
    <w:rsid w:val="0077309D"/>
    <w:rsid w:val="007774EE"/>
    <w:rsid w:val="00781822"/>
    <w:rsid w:val="00783F21"/>
    <w:rsid w:val="00787159"/>
    <w:rsid w:val="0079043A"/>
    <w:rsid w:val="00791668"/>
    <w:rsid w:val="00791AA1"/>
    <w:rsid w:val="007A3793"/>
    <w:rsid w:val="007B2722"/>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EEA"/>
    <w:rsid w:val="00841FC5"/>
    <w:rsid w:val="00843D0F"/>
    <w:rsid w:val="00845709"/>
    <w:rsid w:val="008576BD"/>
    <w:rsid w:val="00860463"/>
    <w:rsid w:val="00862BE9"/>
    <w:rsid w:val="008733DA"/>
    <w:rsid w:val="008850E4"/>
    <w:rsid w:val="00887479"/>
    <w:rsid w:val="008939AB"/>
    <w:rsid w:val="008A12F5"/>
    <w:rsid w:val="008A7544"/>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299"/>
    <w:rsid w:val="0091064E"/>
    <w:rsid w:val="00911FC5"/>
    <w:rsid w:val="009179F3"/>
    <w:rsid w:val="00921363"/>
    <w:rsid w:val="00924760"/>
    <w:rsid w:val="00931A10"/>
    <w:rsid w:val="0094302A"/>
    <w:rsid w:val="00947967"/>
    <w:rsid w:val="00955201"/>
    <w:rsid w:val="00965200"/>
    <w:rsid w:val="009668B3"/>
    <w:rsid w:val="00971471"/>
    <w:rsid w:val="00975213"/>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B2FAB"/>
    <w:rsid w:val="00AB5C14"/>
    <w:rsid w:val="00AC1EE7"/>
    <w:rsid w:val="00AC333F"/>
    <w:rsid w:val="00AC585C"/>
    <w:rsid w:val="00AD0A3A"/>
    <w:rsid w:val="00AD1925"/>
    <w:rsid w:val="00AE067D"/>
    <w:rsid w:val="00AF1181"/>
    <w:rsid w:val="00AF2F79"/>
    <w:rsid w:val="00AF4653"/>
    <w:rsid w:val="00AF7DB7"/>
    <w:rsid w:val="00B10D02"/>
    <w:rsid w:val="00B201E2"/>
    <w:rsid w:val="00B23FFF"/>
    <w:rsid w:val="00B43526"/>
    <w:rsid w:val="00B443E4"/>
    <w:rsid w:val="00B5484D"/>
    <w:rsid w:val="00B563EA"/>
    <w:rsid w:val="00B56CDF"/>
    <w:rsid w:val="00B60E51"/>
    <w:rsid w:val="00B614B6"/>
    <w:rsid w:val="00B63A54"/>
    <w:rsid w:val="00B77D18"/>
    <w:rsid w:val="00B81F6F"/>
    <w:rsid w:val="00B8313A"/>
    <w:rsid w:val="00B83F71"/>
    <w:rsid w:val="00B93503"/>
    <w:rsid w:val="00BA31E8"/>
    <w:rsid w:val="00BA55E0"/>
    <w:rsid w:val="00BA6BD4"/>
    <w:rsid w:val="00BA6C7A"/>
    <w:rsid w:val="00BA7A1B"/>
    <w:rsid w:val="00BB17D1"/>
    <w:rsid w:val="00BB3752"/>
    <w:rsid w:val="00BB6688"/>
    <w:rsid w:val="00BC26D4"/>
    <w:rsid w:val="00BE0C80"/>
    <w:rsid w:val="00BE2DF1"/>
    <w:rsid w:val="00BF2A42"/>
    <w:rsid w:val="00C03D8C"/>
    <w:rsid w:val="00C055EC"/>
    <w:rsid w:val="00C10DC9"/>
    <w:rsid w:val="00C12FB3"/>
    <w:rsid w:val="00C139EC"/>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5895"/>
    <w:rsid w:val="00C83C9F"/>
    <w:rsid w:val="00C94840"/>
    <w:rsid w:val="00C951D9"/>
    <w:rsid w:val="00CA4EE3"/>
    <w:rsid w:val="00CB027F"/>
    <w:rsid w:val="00CC0EBB"/>
    <w:rsid w:val="00CC32A9"/>
    <w:rsid w:val="00CC6297"/>
    <w:rsid w:val="00CC7690"/>
    <w:rsid w:val="00CD1986"/>
    <w:rsid w:val="00CD54BF"/>
    <w:rsid w:val="00CE4D5C"/>
    <w:rsid w:val="00CE737F"/>
    <w:rsid w:val="00CF05DA"/>
    <w:rsid w:val="00CF58EB"/>
    <w:rsid w:val="00CF6FEC"/>
    <w:rsid w:val="00D0106E"/>
    <w:rsid w:val="00D06383"/>
    <w:rsid w:val="00D072C5"/>
    <w:rsid w:val="00D1570C"/>
    <w:rsid w:val="00D20E85"/>
    <w:rsid w:val="00D24615"/>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35F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57BEC"/>
    <w:rsid w:val="00E6034B"/>
    <w:rsid w:val="00E6549E"/>
    <w:rsid w:val="00E65EDE"/>
    <w:rsid w:val="00E70F81"/>
    <w:rsid w:val="00E77055"/>
    <w:rsid w:val="00E77460"/>
    <w:rsid w:val="00E81961"/>
    <w:rsid w:val="00E83ABC"/>
    <w:rsid w:val="00E844F2"/>
    <w:rsid w:val="00E90AD0"/>
    <w:rsid w:val="00E92FCB"/>
    <w:rsid w:val="00EA147F"/>
    <w:rsid w:val="00EA4A27"/>
    <w:rsid w:val="00EA4FA6"/>
    <w:rsid w:val="00EA5698"/>
    <w:rsid w:val="00EB1A25"/>
    <w:rsid w:val="00EC7363"/>
    <w:rsid w:val="00ED03AB"/>
    <w:rsid w:val="00ED1963"/>
    <w:rsid w:val="00ED1CD4"/>
    <w:rsid w:val="00ED1D2B"/>
    <w:rsid w:val="00ED64B5"/>
    <w:rsid w:val="00EE7CCA"/>
    <w:rsid w:val="00F06E53"/>
    <w:rsid w:val="00F16A14"/>
    <w:rsid w:val="00F362D7"/>
    <w:rsid w:val="00F37D7B"/>
    <w:rsid w:val="00F5314C"/>
    <w:rsid w:val="00F5449C"/>
    <w:rsid w:val="00F5688C"/>
    <w:rsid w:val="00F60048"/>
    <w:rsid w:val="00F635DD"/>
    <w:rsid w:val="00F6627B"/>
    <w:rsid w:val="00F7336E"/>
    <w:rsid w:val="00F734F2"/>
    <w:rsid w:val="00F75052"/>
    <w:rsid w:val="00F804D3"/>
    <w:rsid w:val="00F816CB"/>
    <w:rsid w:val="00F81CD2"/>
    <w:rsid w:val="00F82641"/>
    <w:rsid w:val="00F83741"/>
    <w:rsid w:val="00F90F18"/>
    <w:rsid w:val="00F937E4"/>
    <w:rsid w:val="00F95EE7"/>
    <w:rsid w:val="00FA39E6"/>
    <w:rsid w:val="00FA7BC9"/>
    <w:rsid w:val="00FB378E"/>
    <w:rsid w:val="00FB37F1"/>
    <w:rsid w:val="00FB47C0"/>
    <w:rsid w:val="00FB501B"/>
    <w:rsid w:val="00FB719A"/>
    <w:rsid w:val="00FB7770"/>
    <w:rsid w:val="00FC4389"/>
    <w:rsid w:val="00FD3B91"/>
    <w:rsid w:val="00FD576B"/>
    <w:rsid w:val="00FD579E"/>
    <w:rsid w:val="00FD6845"/>
    <w:rsid w:val="00FE21A3"/>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63DCAB-5E32-4BB5-AA8B-3E3C2C92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標題110/111 字元"/>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43526"/>
    <w:pPr>
      <w:snapToGrid w:val="0"/>
      <w:jc w:val="left"/>
    </w:pPr>
    <w:rPr>
      <w:sz w:val="20"/>
    </w:rPr>
  </w:style>
  <w:style w:type="character" w:customStyle="1" w:styleId="afd">
    <w:name w:val="註腳文字 字元"/>
    <w:basedOn w:val="a7"/>
    <w:link w:val="afc"/>
    <w:uiPriority w:val="99"/>
    <w:semiHidden/>
    <w:rsid w:val="00B43526"/>
    <w:rPr>
      <w:rFonts w:ascii="標楷體" w:eastAsia="標楷體"/>
      <w:kern w:val="2"/>
    </w:rPr>
  </w:style>
  <w:style w:type="character" w:styleId="afe">
    <w:name w:val="footnote reference"/>
    <w:basedOn w:val="a7"/>
    <w:uiPriority w:val="99"/>
    <w:semiHidden/>
    <w:unhideWhenUsed/>
    <w:rsid w:val="00B43526"/>
    <w:rPr>
      <w:vertAlign w:val="superscript"/>
    </w:rPr>
  </w:style>
  <w:style w:type="table" w:customStyle="1" w:styleId="13">
    <w:name w:val="表格格線1"/>
    <w:basedOn w:val="a8"/>
    <w:next w:val="af6"/>
    <w:uiPriority w:val="59"/>
    <w:rsid w:val="008A754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E661-566B-4007-9CA8-21FE5145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13</Pages>
  <Words>1143</Words>
  <Characters>6517</Characters>
  <Application>Microsoft Office Word</Application>
  <DocSecurity>0</DocSecurity>
  <Lines>54</Lines>
  <Paragraphs>15</Paragraphs>
  <ScaleCrop>false</ScaleCrop>
  <Company>cy</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2019-05-20T03:21:00Z</cp:lastPrinted>
  <dcterms:created xsi:type="dcterms:W3CDTF">2019-05-22T01:24:00Z</dcterms:created>
  <dcterms:modified xsi:type="dcterms:W3CDTF">2019-05-22T07:50:00Z</dcterms:modified>
</cp:coreProperties>
</file>