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3"/>
      </w:pPr>
      <w:r w:rsidRPr="004D141F">
        <w:rPr>
          <w:rFonts w:hint="eastAsia"/>
        </w:rPr>
        <w:t>調查</w:t>
      </w:r>
      <w:r w:rsidR="00112D11">
        <w:rPr>
          <w:rFonts w:hint="eastAsia"/>
        </w:rPr>
        <w:t>報告</w:t>
      </w:r>
    </w:p>
    <w:p w:rsidR="00E25849" w:rsidRDefault="00E25849" w:rsidP="000D2D08">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D2D08" w:rsidRPr="000D2D08">
        <w:rPr>
          <w:rFonts w:hAnsi="標楷體" w:hint="eastAsia"/>
          <w:szCs w:val="32"/>
        </w:rPr>
        <w:t>國立陽明大學前校長梁賡義於任職期間涉有不當兼職。究實情為何？有否違反公務員服務法、公務員兼任非營利事業或團體受有報酬職務許可辦法等相關規定？教育部對於大學校長兼職有何監督機制，均有調查之必要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D0638" w:rsidRPr="0037275E" w:rsidRDefault="00DD0638" w:rsidP="0064125E">
      <w:pPr>
        <w:pStyle w:val="2"/>
        <w:rPr>
          <w:b/>
          <w:color w:val="000000" w:themeColor="text1"/>
        </w:rPr>
      </w:pPr>
      <w:bookmarkStart w:id="49" w:name="_Toc524902730"/>
      <w:r w:rsidRPr="0037275E">
        <w:rPr>
          <w:rFonts w:hint="eastAsia"/>
          <w:b/>
          <w:color w:val="000000" w:themeColor="text1"/>
        </w:rPr>
        <w:t>國立陽明大學前校長梁賡義於任職期間</w:t>
      </w:r>
      <w:r w:rsidR="00E8170E" w:rsidRPr="0037275E">
        <w:rPr>
          <w:rFonts w:hint="eastAsia"/>
          <w:b/>
          <w:color w:val="000000" w:themeColor="text1"/>
        </w:rPr>
        <w:t>（</w:t>
      </w:r>
      <w:r w:rsidR="00E8170E" w:rsidRPr="0037275E">
        <w:rPr>
          <w:b/>
          <w:color w:val="000000" w:themeColor="text1"/>
        </w:rPr>
        <w:t>99</w:t>
      </w:r>
      <w:r w:rsidR="00E8170E" w:rsidRPr="0037275E">
        <w:rPr>
          <w:rFonts w:hint="eastAsia"/>
          <w:b/>
          <w:color w:val="000000" w:themeColor="text1"/>
        </w:rPr>
        <w:t>年</w:t>
      </w:r>
      <w:r w:rsidR="00E8170E" w:rsidRPr="0037275E">
        <w:rPr>
          <w:b/>
          <w:color w:val="000000" w:themeColor="text1"/>
        </w:rPr>
        <w:t>08</w:t>
      </w:r>
      <w:r w:rsidR="00E8170E" w:rsidRPr="0037275E">
        <w:rPr>
          <w:rFonts w:hint="eastAsia"/>
          <w:b/>
          <w:color w:val="000000" w:themeColor="text1"/>
        </w:rPr>
        <w:t>月</w:t>
      </w:r>
      <w:r w:rsidR="00E8170E" w:rsidRPr="0037275E">
        <w:rPr>
          <w:b/>
          <w:color w:val="000000" w:themeColor="text1"/>
        </w:rPr>
        <w:t>01</w:t>
      </w:r>
      <w:r w:rsidR="00E8170E" w:rsidRPr="0037275E">
        <w:rPr>
          <w:rFonts w:hint="eastAsia"/>
          <w:b/>
          <w:color w:val="000000" w:themeColor="text1"/>
        </w:rPr>
        <w:t>日至</w:t>
      </w:r>
      <w:r w:rsidR="00E8170E" w:rsidRPr="0037275E">
        <w:rPr>
          <w:b/>
          <w:color w:val="000000" w:themeColor="text1"/>
        </w:rPr>
        <w:t>106</w:t>
      </w:r>
      <w:r w:rsidR="00E8170E" w:rsidRPr="0037275E">
        <w:rPr>
          <w:rFonts w:hint="eastAsia"/>
          <w:b/>
          <w:color w:val="000000" w:themeColor="text1"/>
        </w:rPr>
        <w:t>年12月01日）</w:t>
      </w:r>
      <w:r w:rsidR="009578D4" w:rsidRPr="0037275E">
        <w:rPr>
          <w:rFonts w:hint="eastAsia"/>
          <w:b/>
          <w:color w:val="000000" w:themeColor="text1"/>
        </w:rPr>
        <w:t>之</w:t>
      </w:r>
      <w:r w:rsidR="00E8170E" w:rsidRPr="0037275E">
        <w:rPr>
          <w:rFonts w:hint="eastAsia"/>
          <w:b/>
          <w:color w:val="000000" w:themeColor="text1"/>
        </w:rPr>
        <w:t>各項</w:t>
      </w:r>
      <w:r w:rsidRPr="0037275E">
        <w:rPr>
          <w:rFonts w:hint="eastAsia"/>
          <w:b/>
          <w:color w:val="000000" w:themeColor="text1"/>
        </w:rPr>
        <w:t>校外兼</w:t>
      </w:r>
      <w:r w:rsidR="00DC5A5C" w:rsidRPr="0037275E">
        <w:rPr>
          <w:rFonts w:hint="eastAsia"/>
          <w:b/>
          <w:color w:val="000000" w:themeColor="text1"/>
        </w:rPr>
        <w:t>任相關</w:t>
      </w:r>
      <w:r w:rsidRPr="0037275E">
        <w:rPr>
          <w:rFonts w:hint="eastAsia"/>
          <w:b/>
          <w:color w:val="000000" w:themeColor="text1"/>
        </w:rPr>
        <w:t>職</w:t>
      </w:r>
      <w:r w:rsidR="00DC5A5C" w:rsidRPr="0037275E">
        <w:rPr>
          <w:rFonts w:hint="eastAsia"/>
          <w:b/>
          <w:color w:val="000000" w:themeColor="text1"/>
        </w:rPr>
        <w:t>務</w:t>
      </w:r>
      <w:r w:rsidRPr="0037275E">
        <w:rPr>
          <w:rFonts w:hint="eastAsia"/>
          <w:b/>
          <w:color w:val="000000" w:themeColor="text1"/>
        </w:rPr>
        <w:t>案件，其中</w:t>
      </w:r>
      <w:r w:rsidR="009578D4" w:rsidRPr="0037275E">
        <w:rPr>
          <w:rFonts w:hint="eastAsia"/>
          <w:b/>
          <w:color w:val="000000" w:themeColor="text1"/>
        </w:rPr>
        <w:t>多數案</w:t>
      </w:r>
      <w:r w:rsidRPr="0037275E">
        <w:rPr>
          <w:rFonts w:hint="eastAsia"/>
          <w:b/>
          <w:color w:val="000000" w:themeColor="text1"/>
        </w:rPr>
        <w:t>件之報准程序，係於兼任該項職務後，始報教育部許可。</w:t>
      </w:r>
      <w:r w:rsidR="009578D4" w:rsidRPr="0037275E">
        <w:rPr>
          <w:rFonts w:hint="eastAsia"/>
          <w:b/>
          <w:color w:val="000000" w:themeColor="text1"/>
        </w:rPr>
        <w:t>惟</w:t>
      </w:r>
      <w:r w:rsidR="008C3E45" w:rsidRPr="0037275E">
        <w:rPr>
          <w:rFonts w:hint="eastAsia"/>
          <w:b/>
          <w:color w:val="000000" w:themeColor="text1"/>
        </w:rPr>
        <w:t>該</w:t>
      </w:r>
      <w:r w:rsidRPr="0037275E">
        <w:rPr>
          <w:rFonts w:hint="eastAsia"/>
          <w:b/>
          <w:color w:val="000000" w:themeColor="text1"/>
        </w:rPr>
        <w:t>未事先</w:t>
      </w:r>
      <w:r w:rsidRPr="0037275E">
        <w:rPr>
          <w:b/>
          <w:color w:val="000000" w:themeColor="text1"/>
        </w:rPr>
        <w:t>函報許可</w:t>
      </w:r>
      <w:r w:rsidRPr="0037275E">
        <w:rPr>
          <w:rFonts w:hint="eastAsia"/>
          <w:b/>
          <w:color w:val="000000" w:themeColor="text1"/>
        </w:rPr>
        <w:t>之案件，係因兼職單位聘書或來函延遲，致行政作業流程所產生時間落差，而無法於事前報准，尚難認有何違失之處</w:t>
      </w:r>
      <w:r w:rsidRPr="0037275E">
        <w:rPr>
          <w:b/>
          <w:color w:val="000000" w:themeColor="text1"/>
        </w:rPr>
        <w:t>。</w:t>
      </w:r>
      <w:r w:rsidR="009578D4" w:rsidRPr="0037275E">
        <w:rPr>
          <w:rFonts w:hint="eastAsia"/>
          <w:b/>
          <w:color w:val="000000" w:themeColor="text1"/>
        </w:rPr>
        <w:t>另</w:t>
      </w:r>
      <w:r w:rsidR="008C3E45" w:rsidRPr="0037275E">
        <w:rPr>
          <w:rFonts w:hint="eastAsia"/>
          <w:b/>
          <w:color w:val="000000" w:themeColor="text1"/>
        </w:rPr>
        <w:t>本案</w:t>
      </w:r>
      <w:r w:rsidR="00DC5A5C" w:rsidRPr="0037275E">
        <w:rPr>
          <w:rFonts w:hint="eastAsia"/>
          <w:b/>
          <w:color w:val="000000" w:themeColor="text1"/>
        </w:rPr>
        <w:t>教育部</w:t>
      </w:r>
      <w:r w:rsidR="008C3E45" w:rsidRPr="0037275E">
        <w:rPr>
          <w:rFonts w:hint="eastAsia"/>
          <w:b/>
          <w:color w:val="000000" w:themeColor="text1"/>
        </w:rPr>
        <w:t>所列</w:t>
      </w:r>
      <w:r w:rsidR="00FB53E5" w:rsidRPr="0037275E">
        <w:rPr>
          <w:rFonts w:hint="eastAsia"/>
          <w:b/>
          <w:color w:val="000000" w:themeColor="text1"/>
        </w:rPr>
        <w:t>經</w:t>
      </w:r>
      <w:r w:rsidR="008C3E45" w:rsidRPr="0037275E">
        <w:rPr>
          <w:rFonts w:hint="eastAsia"/>
          <w:b/>
          <w:color w:val="000000" w:themeColor="text1"/>
        </w:rPr>
        <w:t>報部核准</w:t>
      </w:r>
      <w:r w:rsidR="00DC5A5C" w:rsidRPr="0037275E">
        <w:rPr>
          <w:rFonts w:hint="eastAsia"/>
          <w:b/>
          <w:color w:val="000000" w:themeColor="text1"/>
        </w:rPr>
        <w:t>之</w:t>
      </w:r>
      <w:r w:rsidR="00FB53E5" w:rsidRPr="0037275E">
        <w:rPr>
          <w:rFonts w:hint="eastAsia"/>
          <w:b/>
          <w:color w:val="000000" w:themeColor="text1"/>
        </w:rPr>
        <w:t>兼任職務</w:t>
      </w:r>
      <w:r w:rsidR="00DC5A5C" w:rsidRPr="0037275E">
        <w:rPr>
          <w:rFonts w:hint="eastAsia"/>
          <w:b/>
          <w:color w:val="000000" w:themeColor="text1"/>
        </w:rPr>
        <w:t>案件，其中</w:t>
      </w:r>
      <w:r w:rsidR="00FB53E5" w:rsidRPr="0037275E">
        <w:rPr>
          <w:rFonts w:hint="eastAsia"/>
          <w:b/>
          <w:color w:val="000000" w:themeColor="text1"/>
        </w:rPr>
        <w:t>包含</w:t>
      </w:r>
      <w:r w:rsidR="008C3E45" w:rsidRPr="0037275E">
        <w:rPr>
          <w:rFonts w:hint="eastAsia"/>
          <w:b/>
          <w:color w:val="000000" w:themeColor="text1"/>
        </w:rPr>
        <w:t>如擔任大學校長或院長遴選委員、</w:t>
      </w:r>
      <w:r w:rsidR="007C3344" w:rsidRPr="0037275E">
        <w:rPr>
          <w:rFonts w:hint="eastAsia"/>
          <w:b/>
          <w:color w:val="000000" w:themeColor="text1"/>
        </w:rPr>
        <w:t>行政院</w:t>
      </w:r>
      <w:r w:rsidR="008C3E45" w:rsidRPr="0037275E">
        <w:rPr>
          <w:rFonts w:hint="eastAsia"/>
          <w:b/>
          <w:color w:val="000000" w:themeColor="text1"/>
        </w:rPr>
        <w:t>科技貢獻獎審議會委員、諮詢委員、計畫主持人等職務，</w:t>
      </w:r>
      <w:r w:rsidR="007C3344" w:rsidRPr="0037275E">
        <w:rPr>
          <w:rFonts w:hint="eastAsia"/>
          <w:b/>
          <w:color w:val="000000" w:themeColor="text1"/>
        </w:rPr>
        <w:t>是否均屬</w:t>
      </w:r>
      <w:r w:rsidR="00FB53E5" w:rsidRPr="0037275E">
        <w:rPr>
          <w:rFonts w:hint="eastAsia"/>
          <w:b/>
          <w:color w:val="000000" w:themeColor="text1"/>
        </w:rPr>
        <w:t>依法應報</w:t>
      </w:r>
      <w:r w:rsidR="007C3344" w:rsidRPr="0037275E">
        <w:rPr>
          <w:rFonts w:hint="eastAsia"/>
          <w:b/>
          <w:color w:val="000000" w:themeColor="text1"/>
        </w:rPr>
        <w:t>經</w:t>
      </w:r>
      <w:r w:rsidR="00FB53E5" w:rsidRPr="0037275E">
        <w:rPr>
          <w:rFonts w:hint="eastAsia"/>
          <w:b/>
          <w:color w:val="000000" w:themeColor="text1"/>
        </w:rPr>
        <w:t>核准</w:t>
      </w:r>
      <w:r w:rsidR="007C3344" w:rsidRPr="0037275E">
        <w:rPr>
          <w:rFonts w:hint="eastAsia"/>
          <w:b/>
          <w:color w:val="000000" w:themeColor="text1"/>
        </w:rPr>
        <w:t>之兼任職務</w:t>
      </w:r>
      <w:r w:rsidR="00FB53E5" w:rsidRPr="0037275E">
        <w:rPr>
          <w:rFonts w:hint="eastAsia"/>
          <w:b/>
          <w:color w:val="000000" w:themeColor="text1"/>
        </w:rPr>
        <w:t>案件</w:t>
      </w:r>
      <w:r w:rsidR="00FB53E5" w:rsidRPr="0037275E">
        <w:rPr>
          <w:rFonts w:ascii="新細明體" w:eastAsia="新細明體" w:hAnsi="新細明體" w:hint="eastAsia"/>
          <w:b/>
          <w:color w:val="000000" w:themeColor="text1"/>
        </w:rPr>
        <w:t>，</w:t>
      </w:r>
      <w:r w:rsidR="00FB53E5" w:rsidRPr="0037275E">
        <w:rPr>
          <w:rFonts w:hint="eastAsia"/>
          <w:b/>
          <w:color w:val="000000" w:themeColor="text1"/>
        </w:rPr>
        <w:t>教育部</w:t>
      </w:r>
      <w:r w:rsidR="007C3344" w:rsidRPr="0037275E">
        <w:rPr>
          <w:rFonts w:hint="eastAsia"/>
          <w:b/>
          <w:color w:val="000000" w:themeColor="text1"/>
        </w:rPr>
        <w:t>允</w:t>
      </w:r>
      <w:r w:rsidR="00FB53E5" w:rsidRPr="0037275E">
        <w:rPr>
          <w:rFonts w:hint="eastAsia"/>
          <w:b/>
          <w:color w:val="000000" w:themeColor="text1"/>
        </w:rPr>
        <w:t>應會同銓敘部妥予釐清</w:t>
      </w:r>
      <w:r w:rsidR="00FB53E5" w:rsidRPr="0037275E">
        <w:rPr>
          <w:rFonts w:ascii="新細明體" w:eastAsia="新細明體" w:hAnsi="新細明體" w:hint="eastAsia"/>
          <w:b/>
          <w:color w:val="000000" w:themeColor="text1"/>
        </w:rPr>
        <w:t>，</w:t>
      </w:r>
      <w:r w:rsidR="00FB53E5" w:rsidRPr="0037275E">
        <w:rPr>
          <w:rFonts w:hint="eastAsia"/>
          <w:b/>
          <w:color w:val="000000" w:themeColor="text1"/>
        </w:rPr>
        <w:t>以供遵循</w:t>
      </w:r>
      <w:r w:rsidR="00FB53E5" w:rsidRPr="0037275E">
        <w:rPr>
          <w:rFonts w:ascii="新細明體" w:eastAsia="新細明體" w:hAnsi="新細明體" w:hint="eastAsia"/>
          <w:b/>
          <w:color w:val="000000" w:themeColor="text1"/>
        </w:rPr>
        <w:t>。</w:t>
      </w:r>
      <w:r w:rsidR="00DC5A5C" w:rsidRPr="0037275E">
        <w:rPr>
          <w:rFonts w:hint="eastAsia"/>
          <w:b/>
          <w:color w:val="000000" w:themeColor="text1"/>
        </w:rPr>
        <w:t>又</w:t>
      </w:r>
      <w:r w:rsidRPr="0037275E">
        <w:rPr>
          <w:rFonts w:hint="eastAsia"/>
          <w:b/>
          <w:color w:val="000000" w:themeColor="text1"/>
        </w:rPr>
        <w:t>國立大學校長負學校整體校務發展之責，為避免校外兼職數量過多，致影響國立大學校</w:t>
      </w:r>
      <w:r w:rsidR="00DC5A5C" w:rsidRPr="0037275E">
        <w:rPr>
          <w:rFonts w:hint="eastAsia"/>
          <w:b/>
          <w:color w:val="000000" w:themeColor="text1"/>
        </w:rPr>
        <w:t>務之發展，對於國立大學校長相關兼職數量之限制或許可條件有無另予規範之必要，教育部亦</w:t>
      </w:r>
      <w:r w:rsidRPr="0037275E">
        <w:rPr>
          <w:rFonts w:hint="eastAsia"/>
          <w:b/>
          <w:color w:val="000000" w:themeColor="text1"/>
        </w:rPr>
        <w:t>宜妥予</w:t>
      </w:r>
      <w:r w:rsidR="00FB53E5" w:rsidRPr="0037275E">
        <w:rPr>
          <w:rFonts w:hint="eastAsia"/>
          <w:b/>
          <w:color w:val="000000" w:themeColor="text1"/>
        </w:rPr>
        <w:t>研議</w:t>
      </w:r>
      <w:r w:rsidR="00DC5A5C" w:rsidRPr="0037275E">
        <w:rPr>
          <w:rFonts w:hint="eastAsia"/>
          <w:b/>
          <w:color w:val="000000" w:themeColor="text1"/>
        </w:rPr>
        <w:t>考量</w:t>
      </w:r>
      <w:r w:rsidRPr="0037275E">
        <w:rPr>
          <w:rFonts w:ascii="新細明體" w:eastAsia="新細明體" w:hAnsi="新細明體" w:hint="eastAsia"/>
          <w:b/>
          <w:color w:val="000000" w:themeColor="text1"/>
        </w:rPr>
        <w:t>。</w:t>
      </w:r>
    </w:p>
    <w:p w:rsidR="00D7782C" w:rsidRPr="0037275E" w:rsidRDefault="00D7782C" w:rsidP="00FD715A">
      <w:pPr>
        <w:pStyle w:val="3"/>
        <w:rPr>
          <w:color w:val="000000" w:themeColor="text1"/>
        </w:rPr>
      </w:pPr>
      <w:r w:rsidRPr="0037275E">
        <w:rPr>
          <w:color w:val="000000" w:themeColor="text1"/>
        </w:rPr>
        <w:t>按</w:t>
      </w:r>
      <w:r w:rsidRPr="0037275E">
        <w:rPr>
          <w:rFonts w:hAnsi="標楷體" w:cs="細明體" w:hint="eastAsia"/>
          <w:color w:val="000000" w:themeColor="text1"/>
          <w:szCs w:val="24"/>
        </w:rPr>
        <w:t>公務員</w:t>
      </w:r>
      <w:r w:rsidRPr="0037275E">
        <w:rPr>
          <w:rFonts w:hint="eastAsia"/>
          <w:color w:val="000000" w:themeColor="text1"/>
        </w:rPr>
        <w:t>服務</w:t>
      </w:r>
      <w:r w:rsidRPr="0037275E">
        <w:rPr>
          <w:rFonts w:hAnsi="標楷體" w:cs="細明體" w:hint="eastAsia"/>
          <w:color w:val="000000" w:themeColor="text1"/>
          <w:szCs w:val="24"/>
        </w:rPr>
        <w:t>法第14條第1項規定：「公務員除法令所規定外，不得兼任他項公職或業務。其依法令兼職者，不得兼薪及兼領公費。」</w:t>
      </w:r>
      <w:r w:rsidR="000346B1" w:rsidRPr="0037275E">
        <w:rPr>
          <w:rFonts w:hAnsi="標楷體" w:cs="細明體" w:hint="eastAsia"/>
          <w:color w:val="000000" w:themeColor="text1"/>
          <w:szCs w:val="24"/>
        </w:rPr>
        <w:t>同法</w:t>
      </w:r>
      <w:r w:rsidR="000346B1" w:rsidRPr="0037275E">
        <w:rPr>
          <w:rFonts w:hint="eastAsia"/>
          <w:color w:val="000000" w:themeColor="text1"/>
        </w:rPr>
        <w:t>第14條之2規定﹕</w:t>
      </w:r>
      <w:r w:rsidR="000346B1" w:rsidRPr="0037275E">
        <w:rPr>
          <w:rFonts w:hAnsi="標楷體" w:hint="eastAsia"/>
          <w:color w:val="000000" w:themeColor="text1"/>
        </w:rPr>
        <w:t>「（</w:t>
      </w:r>
      <w:r w:rsidR="000346B1" w:rsidRPr="0037275E">
        <w:rPr>
          <w:rFonts w:hAnsi="標楷體" w:cs="細明體" w:hint="eastAsia"/>
          <w:color w:val="000000" w:themeColor="text1"/>
          <w:szCs w:val="24"/>
        </w:rPr>
        <w:t>第1項</w:t>
      </w:r>
      <w:r w:rsidR="000346B1" w:rsidRPr="0037275E">
        <w:rPr>
          <w:rFonts w:hAnsi="標楷體" w:hint="eastAsia"/>
          <w:color w:val="000000" w:themeColor="text1"/>
        </w:rPr>
        <w:t>）</w:t>
      </w:r>
      <w:r w:rsidR="000346B1" w:rsidRPr="0037275E">
        <w:rPr>
          <w:rFonts w:hint="eastAsia"/>
          <w:color w:val="000000" w:themeColor="text1"/>
        </w:rPr>
        <w:t>公務員兼任非以營利為目的之事業或團體之職務，受有報酬者，應經服務機關許可。機關首長應經上級主管機關許可。</w:t>
      </w:r>
      <w:r w:rsidR="000346B1" w:rsidRPr="0037275E">
        <w:rPr>
          <w:rFonts w:hAnsi="標楷體" w:hint="eastAsia"/>
          <w:color w:val="000000" w:themeColor="text1"/>
        </w:rPr>
        <w:t>（</w:t>
      </w:r>
      <w:r w:rsidR="000346B1" w:rsidRPr="0037275E">
        <w:rPr>
          <w:rFonts w:hAnsi="標楷體" w:cs="細明體" w:hint="eastAsia"/>
          <w:color w:val="000000" w:themeColor="text1"/>
          <w:szCs w:val="24"/>
        </w:rPr>
        <w:t>第2項</w:t>
      </w:r>
      <w:r w:rsidR="000346B1" w:rsidRPr="0037275E">
        <w:rPr>
          <w:rFonts w:hAnsi="標楷體" w:hint="eastAsia"/>
          <w:color w:val="000000" w:themeColor="text1"/>
        </w:rPr>
        <w:t>）</w:t>
      </w:r>
      <w:r w:rsidR="000346B1" w:rsidRPr="0037275E">
        <w:rPr>
          <w:rFonts w:hint="eastAsia"/>
          <w:color w:val="000000" w:themeColor="text1"/>
        </w:rPr>
        <w:t>前項許可辦法，由考試院定之。</w:t>
      </w:r>
      <w:r w:rsidR="000346B1" w:rsidRPr="0037275E">
        <w:rPr>
          <w:rFonts w:ascii="新細明體" w:eastAsia="新細明體" w:hAnsi="新細明體" w:hint="eastAsia"/>
          <w:color w:val="000000" w:themeColor="text1"/>
        </w:rPr>
        <w:t>」</w:t>
      </w:r>
      <w:r w:rsidRPr="0037275E">
        <w:rPr>
          <w:rFonts w:hAnsi="標楷體" w:cs="細明體" w:hint="eastAsia"/>
          <w:color w:val="000000" w:themeColor="text1"/>
          <w:szCs w:val="24"/>
        </w:rPr>
        <w:t>同法</w:t>
      </w:r>
      <w:r w:rsidRPr="0037275E">
        <w:rPr>
          <w:color w:val="000000" w:themeColor="text1"/>
        </w:rPr>
        <w:t>第14條之3規定：「公務員兼任教學或研究工作或非以營利為目的之事業或團體之職務，應經服務機關許可。機關首長應經上級主管機關許可。」</w:t>
      </w:r>
      <w:r w:rsidR="00206D46" w:rsidRPr="0037275E">
        <w:rPr>
          <w:rFonts w:hint="eastAsia"/>
          <w:color w:val="000000" w:themeColor="text1"/>
        </w:rPr>
        <w:t>又</w:t>
      </w:r>
      <w:r w:rsidRPr="0037275E">
        <w:rPr>
          <w:rFonts w:hint="eastAsia"/>
          <w:color w:val="000000" w:themeColor="text1"/>
        </w:rPr>
        <w:t>依</w:t>
      </w:r>
      <w:r w:rsidRPr="0037275E">
        <w:rPr>
          <w:color w:val="000000" w:themeColor="text1"/>
        </w:rPr>
        <w:t>同法第24條規定：「本法於受有俸給之文武職公務員，及其他公營事業機關服務人員，均適用之。」公務人員任用法施行細則第2條規定：「（第1項）本法所稱公務人員，指各機關組織法規中，除政務人員及民選人員外，定有</w:t>
      </w:r>
      <w:r w:rsidRPr="0037275E">
        <w:rPr>
          <w:color w:val="000000" w:themeColor="text1"/>
        </w:rPr>
        <w:lastRenderedPageBreak/>
        <w:t>職稱及官等、職等之人員。（第2項）前項所稱各機關，指下列之機關、學校及機構：</w:t>
      </w:r>
      <w:r w:rsidRPr="0037275E">
        <w:rPr>
          <w:rFonts w:hAnsi="標楷體"/>
          <w:color w:val="000000" w:themeColor="text1"/>
        </w:rPr>
        <w:t>……</w:t>
      </w:r>
      <w:r w:rsidRPr="0037275E">
        <w:rPr>
          <w:color w:val="000000" w:themeColor="text1"/>
        </w:rPr>
        <w:t>四、各級公立學校。</w:t>
      </w:r>
      <w:r w:rsidRPr="0037275E">
        <w:rPr>
          <w:rFonts w:hAnsi="標楷體"/>
          <w:color w:val="000000" w:themeColor="text1"/>
        </w:rPr>
        <w:t>……</w:t>
      </w:r>
      <w:r w:rsidRPr="0037275E">
        <w:rPr>
          <w:color w:val="000000" w:themeColor="text1"/>
        </w:rPr>
        <w:t>」</w:t>
      </w:r>
      <w:r w:rsidR="00FD715A" w:rsidRPr="0037275E">
        <w:rPr>
          <w:rFonts w:hint="eastAsia"/>
          <w:color w:val="000000" w:themeColor="text1"/>
        </w:rPr>
        <w:t>司法院33年10月3日院字第2757號解釋：「公立中小學校長受有俸給者。為公務員服務法上之公務員。」</w:t>
      </w:r>
      <w:r w:rsidRPr="0037275E">
        <w:rPr>
          <w:color w:val="000000" w:themeColor="text1"/>
        </w:rPr>
        <w:t>司法院釋字第</w:t>
      </w:r>
      <w:r w:rsidRPr="0037275E">
        <w:rPr>
          <w:color w:val="000000" w:themeColor="text1"/>
        </w:rPr>
        <w:t> </w:t>
      </w:r>
      <w:r w:rsidRPr="0037275E">
        <w:rPr>
          <w:color w:val="000000" w:themeColor="text1"/>
        </w:rPr>
        <w:t>308</w:t>
      </w:r>
      <w:r w:rsidRPr="0037275E">
        <w:rPr>
          <w:color w:val="000000" w:themeColor="text1"/>
        </w:rPr>
        <w:t> </w:t>
      </w:r>
      <w:r w:rsidRPr="0037275E">
        <w:rPr>
          <w:color w:val="000000" w:themeColor="text1"/>
        </w:rPr>
        <w:t>號解釋明載：「兼任學校行政職務之教師，就其兼任之行政職務，則有公務員服務法之適用。」教育部107年3月15日臺教人（三）字第1070037572號函：公立大學校長係公務員服務法之適用對象。公立學校校長為公務員服務法第24條受有俸給之公務員，自適用公務員服務法之規定</w:t>
      </w:r>
      <w:r w:rsidR="00206D46" w:rsidRPr="0037275E">
        <w:rPr>
          <w:rFonts w:ascii="新細明體" w:eastAsia="新細明體" w:hAnsi="新細明體" w:hint="eastAsia"/>
          <w:color w:val="000000" w:themeColor="text1"/>
        </w:rPr>
        <w:t>。</w:t>
      </w:r>
    </w:p>
    <w:p w:rsidR="00D7782C" w:rsidRPr="0037275E" w:rsidRDefault="00B050DB" w:rsidP="00D7782C">
      <w:pPr>
        <w:pStyle w:val="3"/>
        <w:rPr>
          <w:b/>
          <w:color w:val="000000" w:themeColor="text1"/>
        </w:rPr>
      </w:pPr>
      <w:r w:rsidRPr="0037275E">
        <w:rPr>
          <w:rFonts w:hint="eastAsia"/>
          <w:color w:val="000000" w:themeColor="text1"/>
        </w:rPr>
        <w:t>依教育部說明</w:t>
      </w:r>
      <w:r w:rsidRPr="0037275E">
        <w:rPr>
          <w:rFonts w:ascii="新細明體" w:eastAsia="新細明體" w:hAnsi="新細明體" w:hint="eastAsia"/>
          <w:color w:val="000000" w:themeColor="text1"/>
        </w:rPr>
        <w:t>，</w:t>
      </w:r>
      <w:r w:rsidRPr="0037275E">
        <w:rPr>
          <w:rFonts w:hint="eastAsia"/>
          <w:color w:val="000000" w:themeColor="text1"/>
        </w:rPr>
        <w:t>有關國立陽明大學前校長梁賡義於任職期間（</w:t>
      </w:r>
      <w:r w:rsidRPr="0037275E">
        <w:rPr>
          <w:color w:val="000000" w:themeColor="text1"/>
        </w:rPr>
        <w:t>99</w:t>
      </w:r>
      <w:r w:rsidRPr="0037275E">
        <w:rPr>
          <w:rFonts w:hint="eastAsia"/>
          <w:color w:val="000000" w:themeColor="text1"/>
        </w:rPr>
        <w:t>年</w:t>
      </w:r>
      <w:r w:rsidRPr="0037275E">
        <w:rPr>
          <w:color w:val="000000" w:themeColor="text1"/>
        </w:rPr>
        <w:t>08</w:t>
      </w:r>
      <w:r w:rsidRPr="0037275E">
        <w:rPr>
          <w:rFonts w:hint="eastAsia"/>
          <w:color w:val="000000" w:themeColor="text1"/>
        </w:rPr>
        <w:t>月</w:t>
      </w:r>
      <w:r w:rsidRPr="0037275E">
        <w:rPr>
          <w:color w:val="000000" w:themeColor="text1"/>
        </w:rPr>
        <w:t>01</w:t>
      </w:r>
      <w:r w:rsidRPr="0037275E">
        <w:rPr>
          <w:rFonts w:hint="eastAsia"/>
          <w:color w:val="000000" w:themeColor="text1"/>
        </w:rPr>
        <w:t>日至</w:t>
      </w:r>
      <w:r w:rsidRPr="0037275E">
        <w:rPr>
          <w:color w:val="000000" w:themeColor="text1"/>
        </w:rPr>
        <w:t>106</w:t>
      </w:r>
      <w:r w:rsidRPr="0037275E">
        <w:rPr>
          <w:rFonts w:hint="eastAsia"/>
          <w:color w:val="000000" w:themeColor="text1"/>
        </w:rPr>
        <w:t>年12月01日）校外兼職情形</w:t>
      </w:r>
      <w:r w:rsidRPr="0037275E">
        <w:rPr>
          <w:rFonts w:ascii="新細明體" w:eastAsia="新細明體" w:hAnsi="新細明體" w:hint="eastAsia"/>
          <w:color w:val="000000" w:themeColor="text1"/>
        </w:rPr>
        <w:t>，</w:t>
      </w:r>
      <w:r w:rsidRPr="0037275E">
        <w:rPr>
          <w:rFonts w:hint="eastAsia"/>
          <w:color w:val="000000" w:themeColor="text1"/>
        </w:rPr>
        <w:t>該校校長之兼職案件，均於接獲兼職機關之聘書(函)後，隨即報請該部核准，惟部分因兼職單位聘書或來函作業不及，致無法於事前報准。</w:t>
      </w:r>
      <w:r w:rsidR="00B03530" w:rsidRPr="0037275E">
        <w:rPr>
          <w:rFonts w:hint="eastAsia"/>
          <w:color w:val="000000" w:themeColor="text1"/>
        </w:rPr>
        <w:t>依</w:t>
      </w:r>
      <w:r w:rsidRPr="0037275E">
        <w:rPr>
          <w:rFonts w:hint="eastAsia"/>
          <w:color w:val="000000" w:themeColor="text1"/>
        </w:rPr>
        <w:t>銓敘部106年11月10日部法一字第1064278778號書函略以，</w:t>
      </w:r>
      <w:r w:rsidR="00B03530" w:rsidRPr="0037275E">
        <w:rPr>
          <w:color w:val="000000" w:themeColor="text1"/>
        </w:rPr>
        <w:t>公務員</w:t>
      </w:r>
      <w:r w:rsidRPr="0037275E">
        <w:rPr>
          <w:rFonts w:hint="eastAsia"/>
          <w:color w:val="000000" w:themeColor="text1"/>
        </w:rPr>
        <w:t>服務法第14條之3所稱「許可」係指禁止一般人為之之特定行為，對於特定人或關於特定事件，解除其禁止，使其得以適法為之之行為；公務員如未經服務機關許可，即兼任教學或研究工作或非以營利為目的之事業或團體之職務，與</w:t>
      </w:r>
      <w:r w:rsidR="00B03530" w:rsidRPr="0037275E">
        <w:rPr>
          <w:color w:val="000000" w:themeColor="text1"/>
        </w:rPr>
        <w:t>公務員</w:t>
      </w:r>
      <w:r w:rsidRPr="0037275E">
        <w:rPr>
          <w:rFonts w:hint="eastAsia"/>
          <w:color w:val="000000" w:themeColor="text1"/>
        </w:rPr>
        <w:t>服務法第14條之3規定未合，尚不生得否於事後補陳許可程序得認屬適法之疑義。經查梁前校長部分兼職之報准程序，係於兼任該項職務後，始報該部許可，與銓敘部上開函釋未盡相符。有關國立陽明大學前校長梁賡義任職期間兼</w:t>
      </w:r>
      <w:r w:rsidR="000057F9" w:rsidRPr="0037275E">
        <w:rPr>
          <w:rFonts w:hint="eastAsia"/>
          <w:color w:val="000000" w:themeColor="text1"/>
        </w:rPr>
        <w:t>任校外相關</w:t>
      </w:r>
      <w:r w:rsidRPr="0037275E">
        <w:rPr>
          <w:rFonts w:hint="eastAsia"/>
          <w:color w:val="000000" w:themeColor="text1"/>
        </w:rPr>
        <w:t>職</w:t>
      </w:r>
      <w:r w:rsidR="000057F9" w:rsidRPr="0037275E">
        <w:rPr>
          <w:rFonts w:hint="eastAsia"/>
          <w:color w:val="000000" w:themeColor="text1"/>
        </w:rPr>
        <w:t>務</w:t>
      </w:r>
      <w:r w:rsidR="005D157F" w:rsidRPr="0037275E">
        <w:rPr>
          <w:rFonts w:hint="eastAsia"/>
          <w:color w:val="000000" w:themeColor="text1"/>
        </w:rPr>
        <w:t>報准</w:t>
      </w:r>
      <w:r w:rsidRPr="0037275E">
        <w:rPr>
          <w:rFonts w:hint="eastAsia"/>
          <w:color w:val="000000" w:themeColor="text1"/>
        </w:rPr>
        <w:t>情形彙整如下</w:t>
      </w:r>
      <w:r w:rsidRPr="0037275E">
        <w:rPr>
          <w:rFonts w:hAnsi="標楷體" w:hint="eastAsia"/>
          <w:color w:val="000000" w:themeColor="text1"/>
        </w:rPr>
        <w:t>﹕</w:t>
      </w:r>
    </w:p>
    <w:p w:rsidR="00FB43DE" w:rsidRPr="0037275E" w:rsidRDefault="00FB43DE" w:rsidP="00FB43DE">
      <w:pPr>
        <w:pStyle w:val="4"/>
        <w:rPr>
          <w:color w:val="000000" w:themeColor="text1"/>
        </w:rPr>
      </w:pPr>
      <w:r w:rsidRPr="0037275E">
        <w:rPr>
          <w:rFonts w:hint="eastAsia"/>
          <w:color w:val="000000" w:themeColor="text1"/>
        </w:rPr>
        <w:t>政府機關學校相關職務</w:t>
      </w:r>
      <w:r w:rsidRPr="0037275E">
        <w:rPr>
          <w:rFonts w:hAnsi="標楷體" w:hint="eastAsia"/>
          <w:color w:val="000000" w:themeColor="text1"/>
        </w:rPr>
        <w:t>﹕</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850"/>
        <w:gridCol w:w="966"/>
        <w:gridCol w:w="1035"/>
        <w:gridCol w:w="1276"/>
        <w:gridCol w:w="1658"/>
        <w:gridCol w:w="425"/>
        <w:gridCol w:w="2410"/>
      </w:tblGrid>
      <w:tr w:rsidR="0037275E" w:rsidRPr="0037275E" w:rsidTr="00FB43DE">
        <w:trPr>
          <w:jc w:val="center"/>
        </w:trPr>
        <w:tc>
          <w:tcPr>
            <w:tcW w:w="879"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機關</w:t>
            </w:r>
            <w:r w:rsidRPr="0037275E">
              <w:rPr>
                <w:rFonts w:hAnsi="標楷體" w:cs="新細明體" w:hint="eastAsia"/>
                <w:color w:val="000000" w:themeColor="text1"/>
                <w:kern w:val="0"/>
                <w:sz w:val="24"/>
                <w:szCs w:val="24"/>
              </w:rPr>
              <w:lastRenderedPageBreak/>
              <w:t>（構）名稱</w:t>
            </w:r>
          </w:p>
        </w:tc>
        <w:tc>
          <w:tcPr>
            <w:tcW w:w="850"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兼職職</w:t>
            </w:r>
            <w:r w:rsidRPr="0037275E">
              <w:rPr>
                <w:rFonts w:hAnsi="標楷體" w:cs="新細明體" w:hint="eastAsia"/>
                <w:color w:val="000000" w:themeColor="text1"/>
                <w:kern w:val="0"/>
                <w:sz w:val="24"/>
                <w:szCs w:val="24"/>
              </w:rPr>
              <w:lastRenderedPageBreak/>
              <w:t>稱</w:t>
            </w:r>
          </w:p>
        </w:tc>
        <w:tc>
          <w:tcPr>
            <w:tcW w:w="966"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兼職費</w:t>
            </w:r>
          </w:p>
        </w:tc>
        <w:tc>
          <w:tcPr>
            <w:tcW w:w="1035"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任期</w:t>
            </w:r>
            <w:r w:rsidRPr="0037275E">
              <w:rPr>
                <w:rFonts w:hAnsi="標楷體" w:cs="新細明體" w:hint="eastAsia"/>
                <w:color w:val="000000" w:themeColor="text1"/>
                <w:kern w:val="0"/>
                <w:sz w:val="24"/>
                <w:szCs w:val="24"/>
              </w:rPr>
              <w:br/>
            </w:r>
            <w:r w:rsidRPr="0037275E">
              <w:rPr>
                <w:rFonts w:hAnsi="標楷體" w:cs="新細明體" w:hint="eastAsia"/>
                <w:color w:val="000000" w:themeColor="text1"/>
                <w:kern w:val="0"/>
                <w:sz w:val="24"/>
                <w:szCs w:val="24"/>
              </w:rPr>
              <w:lastRenderedPageBreak/>
              <w:t>（聘期）</w:t>
            </w:r>
          </w:p>
        </w:tc>
        <w:tc>
          <w:tcPr>
            <w:tcW w:w="1276"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核派</w:t>
            </w:r>
            <w:r w:rsidRPr="0037275E">
              <w:rPr>
                <w:rFonts w:hAnsi="標楷體" w:cs="新細明體" w:hint="eastAsia"/>
                <w:color w:val="000000" w:themeColor="text1"/>
                <w:kern w:val="0"/>
                <w:sz w:val="24"/>
                <w:szCs w:val="24"/>
              </w:rPr>
              <w:br/>
            </w:r>
            <w:r w:rsidRPr="0037275E">
              <w:rPr>
                <w:rFonts w:hAnsi="標楷體" w:cs="新細明體" w:hint="eastAsia"/>
                <w:color w:val="000000" w:themeColor="text1"/>
                <w:kern w:val="0"/>
                <w:sz w:val="24"/>
                <w:szCs w:val="24"/>
              </w:rPr>
              <w:lastRenderedPageBreak/>
              <w:t>文號</w:t>
            </w:r>
          </w:p>
        </w:tc>
        <w:tc>
          <w:tcPr>
            <w:tcW w:w="1658"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法令</w:t>
            </w:r>
            <w:r w:rsidRPr="0037275E">
              <w:rPr>
                <w:rFonts w:hAnsi="標楷體" w:cs="新細明體" w:hint="eastAsia"/>
                <w:color w:val="000000" w:themeColor="text1"/>
                <w:kern w:val="0"/>
                <w:sz w:val="24"/>
                <w:szCs w:val="24"/>
              </w:rPr>
              <w:br/>
            </w:r>
            <w:r w:rsidRPr="0037275E">
              <w:rPr>
                <w:rFonts w:hAnsi="標楷體" w:cs="新細明體" w:hint="eastAsia"/>
                <w:color w:val="000000" w:themeColor="text1"/>
                <w:kern w:val="0"/>
                <w:sz w:val="24"/>
                <w:szCs w:val="24"/>
              </w:rPr>
              <w:lastRenderedPageBreak/>
              <w:t>依據</w:t>
            </w:r>
          </w:p>
        </w:tc>
        <w:tc>
          <w:tcPr>
            <w:tcW w:w="425"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備</w:t>
            </w:r>
            <w:r w:rsidRPr="0037275E">
              <w:rPr>
                <w:rFonts w:hAnsi="標楷體" w:cs="新細明體" w:hint="eastAsia"/>
                <w:color w:val="000000" w:themeColor="text1"/>
                <w:kern w:val="0"/>
                <w:sz w:val="24"/>
                <w:szCs w:val="24"/>
              </w:rPr>
              <w:lastRenderedPageBreak/>
              <w:t>註</w:t>
            </w:r>
          </w:p>
        </w:tc>
        <w:tc>
          <w:tcPr>
            <w:tcW w:w="2410"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未於事前報准之原因</w:t>
            </w:r>
            <w:r w:rsidRPr="0037275E">
              <w:rPr>
                <w:rFonts w:hAnsi="標楷體" w:cs="新細明體" w:hint="eastAsia"/>
                <w:color w:val="000000" w:themeColor="text1"/>
                <w:kern w:val="0"/>
                <w:sz w:val="24"/>
                <w:szCs w:val="24"/>
              </w:rPr>
              <w:lastRenderedPageBreak/>
              <w:t>及處理過程</w:t>
            </w: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國立臺灣大學公共衛生學院第7任院長遴選委員會</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委員</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99年11月1日起至100年7月31日止</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教育部99年11月23日臺人(一)字第0990200246號函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國立臺灣大學公共衛生學院院長推舉辦法</w:t>
            </w: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兼職機關(構)於99年11月5日發文，該校於同年月9日接獲聘書(函)，並於同年月16日函報教育部。因兼職機關(構)來文已逾起聘日，致無法於事前報准。</w:t>
            </w: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行政院2012年傑出科技貢獻獎審議會</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委員</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101年</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教育部101年5月14日臺人(一)字第1010085116號函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行政院傑出科技貢獻獎審議會設置要點</w:t>
            </w: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兼職機關(構)於101年4月18日發文，該校於同年月30日接獲聘書(函)，並於同年5月4日函報教育部。因兼職機關(構)來文已逾起聘日，致無法於事前報准。</w:t>
            </w: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行政院2013年傑出科技貢獻獎審議會</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委員</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102年</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教育部102年4月26日臺教人(二)字第1020062110號函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行政院傑出科技貢獻獎審議會設置要點</w:t>
            </w: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兼職機關(構)於102年4月9日發文，該校於同年月17日接獲聘書(函)，並於同年月22日函報教育部。因兼職機關(構)來文已逾起聘日，致無法於事前報准。</w:t>
            </w: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102年尖端科技人才培育獎學金甄試召集人暨諮詢委員</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無給職，但得支領出席費</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102年</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教育部102年5月13日臺教文(三)字第1020072286A號函</w:t>
            </w:r>
          </w:p>
        </w:tc>
        <w:tc>
          <w:tcPr>
            <w:tcW w:w="1658" w:type="dxa"/>
            <w:shd w:val="clear" w:color="000000" w:fill="FFFFFF"/>
            <w:noWrap/>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425" w:type="dxa"/>
            <w:shd w:val="clear" w:color="000000" w:fill="FFFFFF"/>
            <w:noWrap/>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兼職機關(構)於102年5月13日發文。本兼職由教育部聘任，無須報部。</w:t>
            </w: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行政院國家科學委員會</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「103年度政府科技發展計畫審議作業生命科技群組」審查委</w:t>
            </w:r>
            <w:r w:rsidRPr="0037275E">
              <w:rPr>
                <w:rFonts w:hAnsi="標楷體" w:cs="新細明體" w:hint="eastAsia"/>
                <w:color w:val="000000" w:themeColor="text1"/>
                <w:kern w:val="0"/>
                <w:sz w:val="24"/>
                <w:szCs w:val="24"/>
              </w:rPr>
              <w:lastRenderedPageBreak/>
              <w:t>員</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無給職，但得支領審查費、出席費</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102年1月1日起至102年12月31日止</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教育部102年7月1日臺教人(二)字第1020097386號函</w:t>
            </w:r>
          </w:p>
        </w:tc>
        <w:tc>
          <w:tcPr>
            <w:tcW w:w="1658" w:type="dxa"/>
            <w:shd w:val="clear" w:color="000000" w:fill="FFFFFF"/>
            <w:noWrap/>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425" w:type="dxa"/>
            <w:shd w:val="clear" w:color="000000" w:fill="FFFFFF"/>
            <w:noWrap/>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兼職機關(構)於102年6月11日發文，該校於同年月19日接獲聘書(函)，並於同年月24日函報教育部。因兼職機關(構)來文已逾起聘日，致無法於事前報准。</w:t>
            </w: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衛生福利部</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第二期癌症研究指導小組委員</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無給職，但得支領出席費。</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103年4月10日起至106年12月31日止</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教育部103年5月23日臺教人(二)字第1030073901號函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衛生福利部第二期癌症研究指導小組設置要點</w:t>
            </w: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兼職機關(構)於103年5月6日發文，該校於同年月15日函報教育部。因兼職機關(構)來文已逾起聘日，致無法於事前報准。</w:t>
            </w:r>
          </w:p>
        </w:tc>
      </w:tr>
      <w:tr w:rsidR="0037275E" w:rsidRPr="0037275E" w:rsidTr="00FB43DE">
        <w:trPr>
          <w:jc w:val="center"/>
        </w:trPr>
        <w:tc>
          <w:tcPr>
            <w:tcW w:w="879"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w:t>
            </w:r>
          </w:p>
        </w:tc>
        <w:tc>
          <w:tcPr>
            <w:tcW w:w="850"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學術審議會第2屆委員</w:t>
            </w:r>
          </w:p>
        </w:tc>
        <w:tc>
          <w:tcPr>
            <w:tcW w:w="966"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104年1月1日起至105年12月31日止</w:t>
            </w:r>
          </w:p>
        </w:tc>
        <w:tc>
          <w:tcPr>
            <w:tcW w:w="1276"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教育部103年12月26日臺教高(五)字第1031892211L號函</w:t>
            </w:r>
          </w:p>
        </w:tc>
        <w:tc>
          <w:tcPr>
            <w:tcW w:w="1658"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425"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tcPr>
          <w:p w:rsidR="00FB43DE" w:rsidRPr="0037275E" w:rsidRDefault="00FB43DE" w:rsidP="00FB43DE">
            <w:pPr>
              <w:widowControl/>
              <w:overflowPunct/>
              <w:autoSpaceDE/>
              <w:autoSpaceDN/>
              <w:rPr>
                <w:rFonts w:hAnsi="標楷體" w:cs="新細明體"/>
                <w:color w:val="000000" w:themeColor="text1"/>
                <w:kern w:val="0"/>
                <w:sz w:val="24"/>
                <w:szCs w:val="24"/>
              </w:rPr>
            </w:pP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國立東華大學</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第七任校長遴選委員會委員</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104年3月18日起至國立東華大學新任校長就任止</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教育部104年4月14日臺教人(二)字第1040046734號函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兼職機關(構)於104年3月31日發文，該校於同年4月1日接獲聘書(函)，並於同年4月14日函報教育部。因兼職機關(構)來文已逾起聘日，致無法於事前報准。</w:t>
            </w: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中央研究院統計科學研究所</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中華統計學誌理事</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104年8月1日起至105年7月31日止</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教育部104年9月15日臺教人(二)字第1040125408號函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中華統計學誌第五期合作辦法</w:t>
            </w: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兼職機關(構)於104年9月1日發文，該校於同年月3日接獲聘書(函)，並於同年月9日函報教育部。因兼職機關(構)來文已逾起聘日，致無法於事前報准。</w:t>
            </w: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臺北市政府衛生局</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「臺北市政府衛生局公共衛生專家諮詢委員會」召集人</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無給職，但得支領出席費。</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任期隨臺北市政府衛生局局長進退(103年12月25日起)</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教育部104年9月18日臺教人(二)字第1040126958號函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兼職機關(構)於104年2月2日發文，正本受文者為該校梁前校長，並未副知該校。人事室於同年9月10日收到正本公文，隨即於同年月11日函報教育部。因兼職機關(構)來文已逾起聘日，致無法於事前報准。</w:t>
            </w: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衛生福利部</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癌症防治政策</w:t>
            </w:r>
            <w:r w:rsidRPr="0037275E">
              <w:rPr>
                <w:rFonts w:hAnsi="標楷體" w:cs="新細明體" w:hint="eastAsia"/>
                <w:color w:val="000000" w:themeColor="text1"/>
                <w:kern w:val="0"/>
                <w:sz w:val="24"/>
                <w:szCs w:val="24"/>
              </w:rPr>
              <w:lastRenderedPageBreak/>
              <w:t>委員會委員</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無給職</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105年1月1日起</w:t>
            </w:r>
            <w:r w:rsidRPr="0037275E">
              <w:rPr>
                <w:rFonts w:hAnsi="標楷體" w:cs="新細明體" w:hint="eastAsia"/>
                <w:color w:val="000000" w:themeColor="text1"/>
                <w:kern w:val="0"/>
                <w:sz w:val="24"/>
                <w:szCs w:val="24"/>
              </w:rPr>
              <w:lastRenderedPageBreak/>
              <w:t>至106年12月31日止</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教育部105年4月18</w:t>
            </w:r>
            <w:r w:rsidRPr="0037275E">
              <w:rPr>
                <w:rFonts w:hAnsi="標楷體" w:cs="新細明體" w:hint="eastAsia"/>
                <w:color w:val="000000" w:themeColor="text1"/>
                <w:kern w:val="0"/>
                <w:sz w:val="24"/>
                <w:szCs w:val="24"/>
              </w:rPr>
              <w:lastRenderedPageBreak/>
              <w:t>日臺教人(二)字第1050051400號函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癌症防治法</w:t>
            </w: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兼職機關(構)於105年3月31日發文，該</w:t>
            </w:r>
            <w:r w:rsidRPr="0037275E">
              <w:rPr>
                <w:rFonts w:hAnsi="標楷體" w:cs="新細明體" w:hint="eastAsia"/>
                <w:color w:val="000000" w:themeColor="text1"/>
                <w:kern w:val="0"/>
                <w:sz w:val="24"/>
                <w:szCs w:val="24"/>
              </w:rPr>
              <w:lastRenderedPageBreak/>
              <w:t>校於同年4月7日接獲聘書(函)，並於同年4月12日函報教育部。因兼職機關(構)來文已逾起聘日，致無法於事前報准。</w:t>
            </w: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中央研究院統計科學研究所</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中華統計學誌理事</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105年8月1日起至106年7月31日止</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教育部105.8.11</w:t>
            </w:r>
            <w:r w:rsidRPr="0037275E">
              <w:rPr>
                <w:rFonts w:hAnsi="標楷體" w:cs="新細明體" w:hint="eastAsia"/>
                <w:color w:val="000000" w:themeColor="text1"/>
                <w:kern w:val="0"/>
                <w:sz w:val="24"/>
                <w:szCs w:val="24"/>
              </w:rPr>
              <w:br/>
              <w:t>臺教人(二)字第1050110903號函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中華統計學誌第五期合作辦法</w:t>
            </w: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兼職機關(構)於105年7月27日發文，該校於同年8月4日函報教育部。因公文承辦時間，致無法於事前報准。</w:t>
            </w:r>
          </w:p>
        </w:tc>
      </w:tr>
      <w:tr w:rsidR="0037275E" w:rsidRPr="0037275E" w:rsidTr="00FB43DE">
        <w:trPr>
          <w:jc w:val="center"/>
        </w:trPr>
        <w:tc>
          <w:tcPr>
            <w:tcW w:w="879"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科技部</w:t>
            </w:r>
          </w:p>
        </w:tc>
        <w:tc>
          <w:tcPr>
            <w:tcW w:w="850"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共同主持人</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105年11月1日起至106年10月31日止</w:t>
            </w:r>
          </w:p>
        </w:tc>
        <w:tc>
          <w:tcPr>
            <w:tcW w:w="1276"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106.5.26臺教人(二)字第1060074623號函</w:t>
            </w:r>
          </w:p>
        </w:tc>
        <w:tc>
          <w:tcPr>
            <w:tcW w:w="1658"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自由型卓越學研試辦計畫-建立「生物老化新觀念」進而發展「成功老化新策略」3/3(MOST105-B-2633-400-001)</w:t>
            </w:r>
          </w:p>
        </w:tc>
        <w:tc>
          <w:tcPr>
            <w:tcW w:w="425"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教育部於106年5月12日發文提醒，研究計畫主持人為應報部之兼職。該校於106年5月23日函報教育部。</w:t>
            </w:r>
          </w:p>
        </w:tc>
      </w:tr>
      <w:tr w:rsidR="0037275E" w:rsidRPr="0037275E" w:rsidTr="00FB43DE">
        <w:trPr>
          <w:jc w:val="center"/>
        </w:trPr>
        <w:tc>
          <w:tcPr>
            <w:tcW w:w="879"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科技部</w:t>
            </w:r>
          </w:p>
        </w:tc>
        <w:tc>
          <w:tcPr>
            <w:tcW w:w="850"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計畫主持人</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105年11月1日起至107年1月31日止</w:t>
            </w:r>
          </w:p>
        </w:tc>
        <w:tc>
          <w:tcPr>
            <w:tcW w:w="1276"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106.5.26臺教人(二)字第1060074623號函</w:t>
            </w:r>
          </w:p>
        </w:tc>
        <w:tc>
          <w:tcPr>
            <w:tcW w:w="1658"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105年度「新世代跨領域人才培育計畫(4/4)」(MOST105-2633-H-010-001)</w:t>
            </w:r>
          </w:p>
        </w:tc>
        <w:tc>
          <w:tcPr>
            <w:tcW w:w="425"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教育部於106年5月12日發文提醒，研究計畫主持人為應報部之兼職。該校於106年5月23日函報教育部。</w:t>
            </w:r>
          </w:p>
        </w:tc>
      </w:tr>
      <w:tr w:rsidR="0037275E" w:rsidRPr="0037275E" w:rsidTr="00FB43DE">
        <w:trPr>
          <w:jc w:val="center"/>
        </w:trPr>
        <w:tc>
          <w:tcPr>
            <w:tcW w:w="879"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科技部</w:t>
            </w:r>
          </w:p>
        </w:tc>
        <w:tc>
          <w:tcPr>
            <w:tcW w:w="850"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計畫主持人</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106年1月1日起至106年12月31日止</w:t>
            </w:r>
          </w:p>
        </w:tc>
        <w:tc>
          <w:tcPr>
            <w:tcW w:w="1276"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106.5.26臺教人(二)字第1060074623號函</w:t>
            </w:r>
          </w:p>
        </w:tc>
        <w:tc>
          <w:tcPr>
            <w:tcW w:w="1658"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雄才大略計畫2.0版-促進健康老化(Healthy Aging)及產業升級：新藥及保健食品之研發3/4(MOST106-301-B-010-001)</w:t>
            </w:r>
          </w:p>
        </w:tc>
        <w:tc>
          <w:tcPr>
            <w:tcW w:w="425"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教育部於106年5月12日發文提醒，研究計畫主持人為應報部之兼職。該校於106年5月23日函報教育部。</w:t>
            </w:r>
          </w:p>
        </w:tc>
      </w:tr>
      <w:tr w:rsidR="0037275E" w:rsidRPr="0037275E" w:rsidTr="00FB43DE">
        <w:trPr>
          <w:jc w:val="center"/>
        </w:trPr>
        <w:tc>
          <w:tcPr>
            <w:tcW w:w="879"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國家衛生研究院</w:t>
            </w:r>
          </w:p>
        </w:tc>
        <w:tc>
          <w:tcPr>
            <w:tcW w:w="850"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計畫主持人</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106年1月1日起至106年12月31日止</w:t>
            </w:r>
          </w:p>
        </w:tc>
        <w:tc>
          <w:tcPr>
            <w:tcW w:w="1276"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106.5.26臺教人(二)字第1060074623號函</w:t>
            </w:r>
          </w:p>
        </w:tc>
        <w:tc>
          <w:tcPr>
            <w:tcW w:w="1658"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吸煙與戒菸之遺傳學研究(NHRI-EX106-10304PI)</w:t>
            </w:r>
          </w:p>
        </w:tc>
        <w:tc>
          <w:tcPr>
            <w:tcW w:w="425" w:type="dxa"/>
            <w:shd w:val="clear" w:color="auto" w:fill="auto"/>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教育部於106年5月12日發文提醒，研究計畫主持人為應報部之兼職。該校於106年5月23日函報教育</w:t>
            </w:r>
            <w:r w:rsidRPr="0037275E">
              <w:rPr>
                <w:rFonts w:hAnsi="標楷體" w:cs="新細明體" w:hint="eastAsia"/>
                <w:color w:val="000000" w:themeColor="text1"/>
                <w:kern w:val="0"/>
                <w:sz w:val="24"/>
                <w:szCs w:val="24"/>
              </w:rPr>
              <w:lastRenderedPageBreak/>
              <w:t>部。</w:t>
            </w:r>
          </w:p>
        </w:tc>
      </w:tr>
    </w:tbl>
    <w:p w:rsidR="00FB43DE" w:rsidRPr="0037275E" w:rsidRDefault="00FB43DE" w:rsidP="00FB43DE">
      <w:pPr>
        <w:pStyle w:val="4"/>
        <w:numPr>
          <w:ilvl w:val="0"/>
          <w:numId w:val="0"/>
        </w:numPr>
        <w:ind w:left="1701"/>
        <w:rPr>
          <w:color w:val="000000" w:themeColor="text1"/>
        </w:rPr>
      </w:pPr>
    </w:p>
    <w:p w:rsidR="00FB43DE" w:rsidRPr="0037275E" w:rsidRDefault="00FB43DE" w:rsidP="00FB43DE">
      <w:pPr>
        <w:pStyle w:val="4"/>
        <w:rPr>
          <w:color w:val="000000" w:themeColor="text1"/>
        </w:rPr>
      </w:pPr>
      <w:r w:rsidRPr="0037275E">
        <w:rPr>
          <w:rFonts w:hint="eastAsia"/>
          <w:color w:val="000000" w:themeColor="text1"/>
        </w:rPr>
        <w:t>非營利事業團體</w:t>
      </w:r>
      <w:r w:rsidR="00273A6B" w:rsidRPr="0037275E">
        <w:rPr>
          <w:rFonts w:hint="eastAsia"/>
          <w:color w:val="000000" w:themeColor="text1"/>
        </w:rPr>
        <w:t>董事</w:t>
      </w:r>
      <w:r w:rsidRPr="0037275E">
        <w:rPr>
          <w:rFonts w:hint="eastAsia"/>
          <w:color w:val="000000" w:themeColor="text1"/>
        </w:rPr>
        <w:t>相關職務</w:t>
      </w:r>
      <w:r w:rsidRPr="0037275E">
        <w:rPr>
          <w:rFonts w:hAnsi="標楷體" w:hint="eastAsia"/>
          <w:color w:val="000000" w:themeColor="text1"/>
        </w:rPr>
        <w:t>﹕</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850"/>
        <w:gridCol w:w="966"/>
        <w:gridCol w:w="1035"/>
        <w:gridCol w:w="1276"/>
        <w:gridCol w:w="1658"/>
        <w:gridCol w:w="425"/>
        <w:gridCol w:w="2410"/>
      </w:tblGrid>
      <w:tr w:rsidR="0037275E" w:rsidRPr="0037275E" w:rsidTr="002B1C3C">
        <w:trPr>
          <w:jc w:val="center"/>
        </w:trPr>
        <w:tc>
          <w:tcPr>
            <w:tcW w:w="879"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機關（構）名稱</w:t>
            </w:r>
          </w:p>
        </w:tc>
        <w:tc>
          <w:tcPr>
            <w:tcW w:w="850"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兼職職稱</w:t>
            </w:r>
          </w:p>
        </w:tc>
        <w:tc>
          <w:tcPr>
            <w:tcW w:w="966"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兼職費</w:t>
            </w:r>
          </w:p>
        </w:tc>
        <w:tc>
          <w:tcPr>
            <w:tcW w:w="1035"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任期</w:t>
            </w:r>
            <w:r w:rsidRPr="0037275E">
              <w:rPr>
                <w:rFonts w:hAnsi="標楷體" w:cs="新細明體" w:hint="eastAsia"/>
                <w:color w:val="000000" w:themeColor="text1"/>
                <w:kern w:val="0"/>
                <w:sz w:val="24"/>
                <w:szCs w:val="24"/>
              </w:rPr>
              <w:br/>
              <w:t>（聘期）</w:t>
            </w:r>
          </w:p>
        </w:tc>
        <w:tc>
          <w:tcPr>
            <w:tcW w:w="1276"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核派</w:t>
            </w:r>
            <w:r w:rsidRPr="0037275E">
              <w:rPr>
                <w:rFonts w:hAnsi="標楷體" w:cs="新細明體" w:hint="eastAsia"/>
                <w:color w:val="000000" w:themeColor="text1"/>
                <w:kern w:val="0"/>
                <w:sz w:val="24"/>
                <w:szCs w:val="24"/>
              </w:rPr>
              <w:br/>
              <w:t>文號</w:t>
            </w:r>
          </w:p>
        </w:tc>
        <w:tc>
          <w:tcPr>
            <w:tcW w:w="1658"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法令</w:t>
            </w:r>
            <w:r w:rsidRPr="0037275E">
              <w:rPr>
                <w:rFonts w:hAnsi="標楷體" w:cs="新細明體" w:hint="eastAsia"/>
                <w:color w:val="000000" w:themeColor="text1"/>
                <w:kern w:val="0"/>
                <w:sz w:val="24"/>
                <w:szCs w:val="24"/>
              </w:rPr>
              <w:br/>
              <w:t>依據</w:t>
            </w:r>
          </w:p>
        </w:tc>
        <w:tc>
          <w:tcPr>
            <w:tcW w:w="425"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備註</w:t>
            </w:r>
          </w:p>
        </w:tc>
        <w:tc>
          <w:tcPr>
            <w:tcW w:w="2410"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未於事前報准之原因及處理過程</w:t>
            </w:r>
          </w:p>
        </w:tc>
      </w:tr>
      <w:tr w:rsidR="0037275E" w:rsidRPr="0037275E" w:rsidTr="002B1C3C">
        <w:trPr>
          <w:jc w:val="center"/>
        </w:trPr>
        <w:tc>
          <w:tcPr>
            <w:tcW w:w="879"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財團法人嚴慶齡醫學基金會</w:t>
            </w:r>
          </w:p>
        </w:tc>
        <w:tc>
          <w:tcPr>
            <w:tcW w:w="850"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第12屆董事</w:t>
            </w:r>
          </w:p>
        </w:tc>
        <w:tc>
          <w:tcPr>
            <w:tcW w:w="96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99年12月29日起至102年12月28日止</w:t>
            </w:r>
          </w:p>
        </w:tc>
        <w:tc>
          <w:tcPr>
            <w:tcW w:w="127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教育部100年2月21日臺人(一)字第1000025308號函</w:t>
            </w:r>
          </w:p>
        </w:tc>
        <w:tc>
          <w:tcPr>
            <w:tcW w:w="1658"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財團法人嚴慶齡醫學基金會捐助及組織章程</w:t>
            </w:r>
          </w:p>
        </w:tc>
        <w:tc>
          <w:tcPr>
            <w:tcW w:w="42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101年11月27日辭兼</w:t>
            </w:r>
          </w:p>
        </w:tc>
        <w:tc>
          <w:tcPr>
            <w:tcW w:w="2410" w:type="dxa"/>
            <w:shd w:val="clear" w:color="000000" w:fill="FFFFFF"/>
            <w:vAlign w:val="center"/>
            <w:hideMark/>
          </w:tcPr>
          <w:p w:rsidR="00273A6B" w:rsidRPr="0037275E" w:rsidRDefault="00273A6B" w:rsidP="002B1C3C">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兼職機關(構)於100年2月10日發文，該校於同日接獲聘書(函)，並於100年2月14日函報教育部。因兼職機關(構)來文已逾起聘日，致無法於事前報准。</w:t>
            </w:r>
          </w:p>
        </w:tc>
      </w:tr>
      <w:tr w:rsidR="0037275E" w:rsidRPr="0037275E" w:rsidTr="002B1C3C">
        <w:trPr>
          <w:jc w:val="center"/>
        </w:trPr>
        <w:tc>
          <w:tcPr>
            <w:tcW w:w="879"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財團法人大學入學考試中心基金會</w:t>
            </w:r>
          </w:p>
        </w:tc>
        <w:tc>
          <w:tcPr>
            <w:tcW w:w="850"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第7屆董事</w:t>
            </w:r>
          </w:p>
        </w:tc>
        <w:tc>
          <w:tcPr>
            <w:tcW w:w="96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100年2月22日起至103年2月21日止</w:t>
            </w:r>
          </w:p>
        </w:tc>
        <w:tc>
          <w:tcPr>
            <w:tcW w:w="127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教育部100年3月7日臺人(一)字第1000035911號函</w:t>
            </w:r>
          </w:p>
        </w:tc>
        <w:tc>
          <w:tcPr>
            <w:tcW w:w="1658"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財團法人大學入學考試中心基金會捐助章程</w:t>
            </w:r>
          </w:p>
        </w:tc>
        <w:tc>
          <w:tcPr>
            <w:tcW w:w="42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當然兼職</w:t>
            </w:r>
          </w:p>
        </w:tc>
        <w:tc>
          <w:tcPr>
            <w:tcW w:w="2410" w:type="dxa"/>
            <w:shd w:val="clear" w:color="000000" w:fill="FFFFFF"/>
            <w:vAlign w:val="center"/>
            <w:hideMark/>
          </w:tcPr>
          <w:p w:rsidR="00273A6B" w:rsidRPr="0037275E" w:rsidRDefault="00273A6B" w:rsidP="002B1C3C">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兼職機關(構)於100年2月23日發文，該校於同年月24日接獲聘書(函)，並於同年3月2日函報教育部。因兼職機關(構)來文已逾起聘日，致無法於事前報准。</w:t>
            </w:r>
          </w:p>
        </w:tc>
      </w:tr>
      <w:tr w:rsidR="0037275E" w:rsidRPr="0037275E" w:rsidTr="002B1C3C">
        <w:trPr>
          <w:jc w:val="center"/>
        </w:trPr>
        <w:tc>
          <w:tcPr>
            <w:tcW w:w="879"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醫療財團法人辜公亮基金會</w:t>
            </w:r>
          </w:p>
        </w:tc>
        <w:tc>
          <w:tcPr>
            <w:tcW w:w="850"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第8屆董事</w:t>
            </w:r>
          </w:p>
        </w:tc>
        <w:tc>
          <w:tcPr>
            <w:tcW w:w="96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100年11月19日起至103年11月18日止</w:t>
            </w:r>
          </w:p>
        </w:tc>
        <w:tc>
          <w:tcPr>
            <w:tcW w:w="127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教育部101年4月3日臺人(一)字第1010057357號函</w:t>
            </w:r>
          </w:p>
        </w:tc>
        <w:tc>
          <w:tcPr>
            <w:tcW w:w="1658"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醫療財團法人辜公亮基金會捐助章程</w:t>
            </w:r>
          </w:p>
        </w:tc>
        <w:tc>
          <w:tcPr>
            <w:tcW w:w="42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273A6B" w:rsidRPr="0037275E" w:rsidRDefault="00273A6B" w:rsidP="002B1C3C">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兼職機關(構)於101年3月16日發文，該校於同年月23日接獲聘書(函)，並於同年月27日函報教育部。因兼職機關(構)來文已逾起聘日，致無法於事前報准。</w:t>
            </w:r>
          </w:p>
        </w:tc>
      </w:tr>
      <w:tr w:rsidR="0037275E" w:rsidRPr="0037275E" w:rsidTr="002B1C3C">
        <w:trPr>
          <w:jc w:val="center"/>
        </w:trPr>
        <w:tc>
          <w:tcPr>
            <w:tcW w:w="879"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社團法人國家生技醫療產業策進會</w:t>
            </w:r>
          </w:p>
        </w:tc>
        <w:tc>
          <w:tcPr>
            <w:tcW w:w="850"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第4屆常務理事</w:t>
            </w:r>
          </w:p>
        </w:tc>
        <w:tc>
          <w:tcPr>
            <w:tcW w:w="96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101年7月11日起至104年7月10日止</w:t>
            </w:r>
          </w:p>
        </w:tc>
        <w:tc>
          <w:tcPr>
            <w:tcW w:w="127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內政部台內社字第1010265008號函、</w:t>
            </w:r>
            <w:r w:rsidRPr="0037275E">
              <w:rPr>
                <w:rFonts w:hAnsi="標楷體" w:cs="新細明體" w:hint="eastAsia"/>
                <w:color w:val="000000" w:themeColor="text1"/>
                <w:kern w:val="0"/>
                <w:sz w:val="24"/>
                <w:szCs w:val="24"/>
              </w:rPr>
              <w:br/>
              <w:t>教育部101年8月27日臺人(一)字第1010158413號函</w:t>
            </w:r>
          </w:p>
        </w:tc>
        <w:tc>
          <w:tcPr>
            <w:tcW w:w="1658"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社團法人國家生技醫療產業策進會章程</w:t>
            </w:r>
          </w:p>
        </w:tc>
        <w:tc>
          <w:tcPr>
            <w:tcW w:w="42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273A6B" w:rsidRPr="0037275E" w:rsidRDefault="00273A6B" w:rsidP="002B1C3C">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兼職機關(構)於101年7月30日發文，該校於同年8月16日接獲聘書(函)，並於同年8月21日函報教育部。因兼職機關(構)來文已逾起聘日，致無法於事前報准。</w:t>
            </w:r>
          </w:p>
        </w:tc>
      </w:tr>
      <w:tr w:rsidR="0037275E" w:rsidRPr="0037275E" w:rsidTr="002B1C3C">
        <w:trPr>
          <w:jc w:val="center"/>
        </w:trPr>
        <w:tc>
          <w:tcPr>
            <w:tcW w:w="879"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財團法</w:t>
            </w:r>
            <w:r w:rsidRPr="0037275E">
              <w:rPr>
                <w:rFonts w:hAnsi="標楷體" w:cs="新細明體" w:hint="eastAsia"/>
                <w:color w:val="000000" w:themeColor="text1"/>
                <w:kern w:val="0"/>
                <w:sz w:val="24"/>
                <w:szCs w:val="24"/>
              </w:rPr>
              <w:lastRenderedPageBreak/>
              <w:t>人生技醫療科技政策研究中心</w:t>
            </w:r>
          </w:p>
        </w:tc>
        <w:tc>
          <w:tcPr>
            <w:tcW w:w="850"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第2屆</w:t>
            </w:r>
            <w:r w:rsidRPr="0037275E">
              <w:rPr>
                <w:rFonts w:hAnsi="標楷體" w:cs="新細明體" w:hint="eastAsia"/>
                <w:color w:val="000000" w:themeColor="text1"/>
                <w:kern w:val="0"/>
                <w:sz w:val="24"/>
                <w:szCs w:val="24"/>
              </w:rPr>
              <w:lastRenderedPageBreak/>
              <w:t>董事會董事</w:t>
            </w:r>
          </w:p>
        </w:tc>
        <w:tc>
          <w:tcPr>
            <w:tcW w:w="96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無給</w:t>
            </w:r>
            <w:r w:rsidRPr="0037275E">
              <w:rPr>
                <w:rFonts w:hAnsi="標楷體" w:cs="新細明體" w:hint="eastAsia"/>
                <w:color w:val="000000" w:themeColor="text1"/>
                <w:kern w:val="0"/>
                <w:sz w:val="24"/>
                <w:szCs w:val="24"/>
              </w:rPr>
              <w:lastRenderedPageBreak/>
              <w:t>職，但得支領出席費及交通費。</w:t>
            </w:r>
          </w:p>
        </w:tc>
        <w:tc>
          <w:tcPr>
            <w:tcW w:w="103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101年11</w:t>
            </w:r>
            <w:r w:rsidRPr="0037275E">
              <w:rPr>
                <w:rFonts w:hAnsi="標楷體" w:cs="新細明體" w:hint="eastAsia"/>
                <w:color w:val="000000" w:themeColor="text1"/>
                <w:kern w:val="0"/>
                <w:sz w:val="24"/>
                <w:szCs w:val="24"/>
              </w:rPr>
              <w:lastRenderedPageBreak/>
              <w:t>月27日起至104年11月27日止</w:t>
            </w:r>
          </w:p>
        </w:tc>
        <w:tc>
          <w:tcPr>
            <w:tcW w:w="127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教育部101</w:t>
            </w:r>
            <w:r w:rsidRPr="0037275E">
              <w:rPr>
                <w:rFonts w:hAnsi="標楷體" w:cs="新細明體" w:hint="eastAsia"/>
                <w:color w:val="000000" w:themeColor="text1"/>
                <w:kern w:val="0"/>
                <w:sz w:val="24"/>
                <w:szCs w:val="24"/>
              </w:rPr>
              <w:lastRenderedPageBreak/>
              <w:t>年12月25日臺人(一)字第1010244229號函</w:t>
            </w:r>
          </w:p>
        </w:tc>
        <w:tc>
          <w:tcPr>
            <w:tcW w:w="1658"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財團法人生技</w:t>
            </w:r>
            <w:r w:rsidRPr="0037275E">
              <w:rPr>
                <w:rFonts w:hAnsi="標楷體" w:cs="新細明體" w:hint="eastAsia"/>
                <w:color w:val="000000" w:themeColor="text1"/>
                <w:kern w:val="0"/>
                <w:sz w:val="24"/>
                <w:szCs w:val="24"/>
              </w:rPr>
              <w:lastRenderedPageBreak/>
              <w:t>醫療科技政策研究中心捐助章程</w:t>
            </w:r>
          </w:p>
        </w:tc>
        <w:tc>
          <w:tcPr>
            <w:tcW w:w="42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273A6B" w:rsidRPr="0037275E" w:rsidRDefault="00273A6B" w:rsidP="002B1C3C">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兼職機關(構)於101</w:t>
            </w:r>
            <w:r w:rsidRPr="0037275E">
              <w:rPr>
                <w:rFonts w:hAnsi="標楷體" w:cs="新細明體" w:hint="eastAsia"/>
                <w:color w:val="000000" w:themeColor="text1"/>
                <w:kern w:val="0"/>
                <w:sz w:val="24"/>
                <w:szCs w:val="24"/>
              </w:rPr>
              <w:lastRenderedPageBreak/>
              <w:t>年12月10日發文，該校於同年月12日接獲聘書(函)，並於同年月17日函報教育部。因兼職機關(構)來文已逾起聘日，致無法於事前報准。</w:t>
            </w:r>
          </w:p>
        </w:tc>
      </w:tr>
      <w:tr w:rsidR="0037275E" w:rsidRPr="0037275E" w:rsidTr="002B1C3C">
        <w:trPr>
          <w:jc w:val="center"/>
        </w:trPr>
        <w:tc>
          <w:tcPr>
            <w:tcW w:w="879"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財團法人大學入學考試中心基金會</w:t>
            </w:r>
          </w:p>
        </w:tc>
        <w:tc>
          <w:tcPr>
            <w:tcW w:w="850"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第8屆董事暨常務董事</w:t>
            </w:r>
          </w:p>
        </w:tc>
        <w:tc>
          <w:tcPr>
            <w:tcW w:w="96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103年2月22日起至106年2月21日止</w:t>
            </w:r>
          </w:p>
        </w:tc>
        <w:tc>
          <w:tcPr>
            <w:tcW w:w="127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教育部103年4月8日臺教人(二)字第1030048540號函</w:t>
            </w:r>
          </w:p>
        </w:tc>
        <w:tc>
          <w:tcPr>
            <w:tcW w:w="1658"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財團法人大學入學考試中心基金會捐助章程</w:t>
            </w:r>
          </w:p>
        </w:tc>
        <w:tc>
          <w:tcPr>
            <w:tcW w:w="42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當然兼職</w:t>
            </w:r>
          </w:p>
        </w:tc>
        <w:tc>
          <w:tcPr>
            <w:tcW w:w="2410" w:type="dxa"/>
            <w:shd w:val="clear" w:color="000000" w:fill="FFFFFF"/>
            <w:vAlign w:val="center"/>
            <w:hideMark/>
          </w:tcPr>
          <w:p w:rsidR="00273A6B" w:rsidRPr="0037275E" w:rsidRDefault="00273A6B" w:rsidP="002B1C3C">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兼職機關(構)於103年3月25日發文，該校於同年月26日接獲聘書(函)，並於同年月31日函報教育部。因兼職機關(構)來文已逾起聘日，致無法於事前報准。</w:t>
            </w:r>
          </w:p>
        </w:tc>
      </w:tr>
      <w:tr w:rsidR="0037275E" w:rsidRPr="0037275E" w:rsidTr="002B1C3C">
        <w:trPr>
          <w:jc w:val="center"/>
        </w:trPr>
        <w:tc>
          <w:tcPr>
            <w:tcW w:w="879"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醫療財團法人辜公亮基金會</w:t>
            </w:r>
          </w:p>
        </w:tc>
        <w:tc>
          <w:tcPr>
            <w:tcW w:w="850"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第9屆董事</w:t>
            </w:r>
          </w:p>
        </w:tc>
        <w:tc>
          <w:tcPr>
            <w:tcW w:w="966"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103年11月19日起至106年11月18日止</w:t>
            </w:r>
          </w:p>
        </w:tc>
        <w:tc>
          <w:tcPr>
            <w:tcW w:w="1276"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教育部103年11月14日臺教人(二)字第1030165075號函</w:t>
            </w:r>
          </w:p>
        </w:tc>
        <w:tc>
          <w:tcPr>
            <w:tcW w:w="1658"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醫療財團法人辜公亮基金會捐助章程P.1-3</w:t>
            </w:r>
          </w:p>
        </w:tc>
        <w:tc>
          <w:tcPr>
            <w:tcW w:w="425" w:type="dxa"/>
            <w:shd w:val="clear" w:color="000000" w:fill="FFFFFF"/>
            <w:vAlign w:val="center"/>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tcPr>
          <w:p w:rsidR="00273A6B" w:rsidRPr="0037275E" w:rsidRDefault="00273A6B" w:rsidP="002B1C3C">
            <w:pPr>
              <w:widowControl/>
              <w:overflowPunct/>
              <w:autoSpaceDE/>
              <w:autoSpaceDN/>
              <w:rPr>
                <w:rFonts w:hAnsi="標楷體" w:cs="新細明體"/>
                <w:color w:val="000000" w:themeColor="text1"/>
                <w:kern w:val="0"/>
                <w:sz w:val="24"/>
                <w:szCs w:val="24"/>
              </w:rPr>
            </w:pPr>
          </w:p>
        </w:tc>
      </w:tr>
      <w:tr w:rsidR="0037275E" w:rsidRPr="0037275E" w:rsidTr="002B1C3C">
        <w:trPr>
          <w:jc w:val="center"/>
        </w:trPr>
        <w:tc>
          <w:tcPr>
            <w:tcW w:w="879"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財團法人大學入學考試中心基金會</w:t>
            </w:r>
          </w:p>
        </w:tc>
        <w:tc>
          <w:tcPr>
            <w:tcW w:w="850"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第9屆董事</w:t>
            </w:r>
          </w:p>
        </w:tc>
        <w:tc>
          <w:tcPr>
            <w:tcW w:w="96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106年2月22日起至109年2月21日止</w:t>
            </w:r>
          </w:p>
        </w:tc>
        <w:tc>
          <w:tcPr>
            <w:tcW w:w="1276"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教育部106年4月7日臺教人(二)字第1060046762號函</w:t>
            </w:r>
          </w:p>
        </w:tc>
        <w:tc>
          <w:tcPr>
            <w:tcW w:w="1658"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財團法人大學入學考試中心基金會捐助章程</w:t>
            </w:r>
          </w:p>
        </w:tc>
        <w:tc>
          <w:tcPr>
            <w:tcW w:w="425" w:type="dxa"/>
            <w:shd w:val="clear" w:color="000000" w:fill="FFFFFF"/>
            <w:vAlign w:val="center"/>
            <w:hideMark/>
          </w:tcPr>
          <w:p w:rsidR="00273A6B" w:rsidRPr="0037275E" w:rsidRDefault="00273A6B" w:rsidP="002B1C3C">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當然兼職</w:t>
            </w:r>
          </w:p>
        </w:tc>
        <w:tc>
          <w:tcPr>
            <w:tcW w:w="2410" w:type="dxa"/>
            <w:shd w:val="clear" w:color="000000" w:fill="FFFFFF"/>
            <w:vAlign w:val="center"/>
            <w:hideMark/>
          </w:tcPr>
          <w:p w:rsidR="00273A6B" w:rsidRPr="0037275E" w:rsidRDefault="00273A6B" w:rsidP="002B1C3C">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兼職機關(構)於106年3月27日發文，該校於同年月28日接獲聘書(函)，並於同年月30日函報教育部。因兼職機關(構)來文已逾起聘日，致無法於事前報准。</w:t>
            </w:r>
          </w:p>
        </w:tc>
      </w:tr>
    </w:tbl>
    <w:p w:rsidR="00273A6B" w:rsidRPr="0037275E" w:rsidRDefault="00273A6B" w:rsidP="00273A6B">
      <w:pPr>
        <w:pStyle w:val="4"/>
        <w:numPr>
          <w:ilvl w:val="0"/>
          <w:numId w:val="0"/>
        </w:numPr>
        <w:ind w:left="1701"/>
        <w:rPr>
          <w:color w:val="000000" w:themeColor="text1"/>
        </w:rPr>
      </w:pPr>
    </w:p>
    <w:p w:rsidR="00273A6B" w:rsidRPr="0037275E" w:rsidRDefault="00273A6B" w:rsidP="00FB43DE">
      <w:pPr>
        <w:pStyle w:val="4"/>
        <w:rPr>
          <w:color w:val="000000" w:themeColor="text1"/>
        </w:rPr>
      </w:pPr>
      <w:r w:rsidRPr="0037275E">
        <w:rPr>
          <w:rFonts w:hint="eastAsia"/>
          <w:color w:val="000000" w:themeColor="text1"/>
        </w:rPr>
        <w:t>非營利事業團體其他相關職務</w:t>
      </w:r>
      <w:r w:rsidRPr="0037275E">
        <w:rPr>
          <w:rFonts w:hAnsi="標楷體" w:hint="eastAsia"/>
          <w:color w:val="000000" w:themeColor="text1"/>
        </w:rPr>
        <w:t>﹕</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850"/>
        <w:gridCol w:w="966"/>
        <w:gridCol w:w="1035"/>
        <w:gridCol w:w="1276"/>
        <w:gridCol w:w="1658"/>
        <w:gridCol w:w="425"/>
        <w:gridCol w:w="2410"/>
      </w:tblGrid>
      <w:tr w:rsidR="0037275E" w:rsidRPr="0037275E" w:rsidTr="00FB43DE">
        <w:trPr>
          <w:jc w:val="center"/>
        </w:trPr>
        <w:tc>
          <w:tcPr>
            <w:tcW w:w="879"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機關（構）名稱</w:t>
            </w:r>
          </w:p>
        </w:tc>
        <w:tc>
          <w:tcPr>
            <w:tcW w:w="850"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兼職職稱</w:t>
            </w:r>
          </w:p>
        </w:tc>
        <w:tc>
          <w:tcPr>
            <w:tcW w:w="966"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兼職費</w:t>
            </w:r>
          </w:p>
        </w:tc>
        <w:tc>
          <w:tcPr>
            <w:tcW w:w="1035"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任期</w:t>
            </w:r>
            <w:r w:rsidRPr="0037275E">
              <w:rPr>
                <w:rFonts w:hAnsi="標楷體" w:cs="新細明體" w:hint="eastAsia"/>
                <w:color w:val="000000" w:themeColor="text1"/>
                <w:kern w:val="0"/>
                <w:sz w:val="24"/>
                <w:szCs w:val="24"/>
              </w:rPr>
              <w:br/>
              <w:t>（聘期）</w:t>
            </w:r>
          </w:p>
        </w:tc>
        <w:tc>
          <w:tcPr>
            <w:tcW w:w="1276"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核派</w:t>
            </w:r>
            <w:r w:rsidRPr="0037275E">
              <w:rPr>
                <w:rFonts w:hAnsi="標楷體" w:cs="新細明體" w:hint="eastAsia"/>
                <w:color w:val="000000" w:themeColor="text1"/>
                <w:kern w:val="0"/>
                <w:sz w:val="24"/>
                <w:szCs w:val="24"/>
              </w:rPr>
              <w:br/>
              <w:t>文號</w:t>
            </w:r>
          </w:p>
        </w:tc>
        <w:tc>
          <w:tcPr>
            <w:tcW w:w="1658"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法令</w:t>
            </w:r>
            <w:r w:rsidRPr="0037275E">
              <w:rPr>
                <w:rFonts w:hAnsi="標楷體" w:cs="新細明體" w:hint="eastAsia"/>
                <w:color w:val="000000" w:themeColor="text1"/>
                <w:kern w:val="0"/>
                <w:sz w:val="24"/>
                <w:szCs w:val="24"/>
              </w:rPr>
              <w:br/>
              <w:t>依據</w:t>
            </w:r>
          </w:p>
        </w:tc>
        <w:tc>
          <w:tcPr>
            <w:tcW w:w="425"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備註</w:t>
            </w:r>
          </w:p>
        </w:tc>
        <w:tc>
          <w:tcPr>
            <w:tcW w:w="2410"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未於事前報准之原因及處理過程</w:t>
            </w: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財團法人國家衛生研究院</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第6屆諮詢委員</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101年10月1日起至104年9月30日止</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教育部102年5月23日臺教人(二)字第1020075650號函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財團法人國家衛生研究院設置條例</w:t>
            </w: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兼職機關(構)於102年5月3日發文，該校於同年月10日接獲聘書(函)，並於同年月15日函報教育部。因兼職機關(構)來文已逾起聘日，致</w:t>
            </w:r>
            <w:r w:rsidRPr="0037275E">
              <w:rPr>
                <w:rFonts w:hAnsi="標楷體" w:cs="新細明體" w:hint="eastAsia"/>
                <w:color w:val="000000" w:themeColor="text1"/>
                <w:kern w:val="0"/>
                <w:sz w:val="24"/>
                <w:szCs w:val="24"/>
              </w:rPr>
              <w:lastRenderedPageBreak/>
              <w:t>無法於事前報准。</w:t>
            </w:r>
          </w:p>
        </w:tc>
      </w:tr>
      <w:tr w:rsidR="0037275E" w:rsidRPr="0037275E" w:rsidTr="00FB43DE">
        <w:trPr>
          <w:jc w:val="center"/>
        </w:trPr>
        <w:tc>
          <w:tcPr>
            <w:tcW w:w="879"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lastRenderedPageBreak/>
              <w:t>馬偕醫學院</w:t>
            </w:r>
          </w:p>
        </w:tc>
        <w:tc>
          <w:tcPr>
            <w:tcW w:w="850"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「102學年度校務發展諮詢委員會」委員</w:t>
            </w:r>
          </w:p>
        </w:tc>
        <w:tc>
          <w:tcPr>
            <w:tcW w:w="966"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無給職，惟校外委員得酌支出席費及交通費。</w:t>
            </w:r>
          </w:p>
        </w:tc>
        <w:tc>
          <w:tcPr>
            <w:tcW w:w="1035"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102學年度</w:t>
            </w:r>
          </w:p>
        </w:tc>
        <w:tc>
          <w:tcPr>
            <w:tcW w:w="1276"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教育部102年6月11日臺教人(二)字第1020086433號函</w:t>
            </w:r>
          </w:p>
        </w:tc>
        <w:tc>
          <w:tcPr>
            <w:tcW w:w="1658" w:type="dxa"/>
            <w:shd w:val="clear" w:color="000000" w:fill="FFFFFF"/>
            <w:noWrap/>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馬偕醫學院校務發展諮詢委員會設置辦法</w:t>
            </w:r>
          </w:p>
        </w:tc>
        <w:tc>
          <w:tcPr>
            <w:tcW w:w="425" w:type="dxa"/>
            <w:shd w:val="clear" w:color="000000" w:fill="FFFFFF"/>
            <w:noWrap/>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tcPr>
          <w:p w:rsidR="00FB43DE" w:rsidRPr="0037275E" w:rsidRDefault="00FB43DE" w:rsidP="00FB43DE">
            <w:pPr>
              <w:widowControl/>
              <w:overflowPunct/>
              <w:autoSpaceDE/>
              <w:autoSpaceDN/>
              <w:rPr>
                <w:rFonts w:hAnsi="標楷體" w:cs="新細明體"/>
                <w:color w:val="000000" w:themeColor="text1"/>
                <w:kern w:val="0"/>
                <w:sz w:val="24"/>
                <w:szCs w:val="24"/>
              </w:rPr>
            </w:pP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馬偕醫學院</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103學年度校務發展諮詢委員</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無給職，惟校外委員得酌支出席費及交通費。</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103年8月1日起至104年7月31日止</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教育部103年8月15日臺教人(二)字第1030120695號函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馬偕醫學院校務發展諮詢委員會設置辦法</w:t>
            </w: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兼職機關(構)於103年7月30日發文，該校於同日接獲聘書(函)，並於同年8月11日函報教育部。因公文承辦時間，致無法於事前報准。</w:t>
            </w:r>
          </w:p>
        </w:tc>
      </w:tr>
      <w:tr w:rsidR="0037275E" w:rsidRPr="0037275E" w:rsidTr="00FB43DE">
        <w:trPr>
          <w:jc w:val="center"/>
        </w:trPr>
        <w:tc>
          <w:tcPr>
            <w:tcW w:w="879"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馬偕學校財團法人馬偕醫學院</w:t>
            </w:r>
          </w:p>
        </w:tc>
        <w:tc>
          <w:tcPr>
            <w:tcW w:w="850"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104學年度校務發展諮詢委員</w:t>
            </w:r>
          </w:p>
        </w:tc>
        <w:tc>
          <w:tcPr>
            <w:tcW w:w="966"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無給職，惟校外委員得酌支出席費及交通費。</w:t>
            </w:r>
          </w:p>
        </w:tc>
        <w:tc>
          <w:tcPr>
            <w:tcW w:w="1035"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104年8月1日起至105年7月31日止</w:t>
            </w:r>
          </w:p>
        </w:tc>
        <w:tc>
          <w:tcPr>
            <w:tcW w:w="1276"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教育部104年7月31日臺教人(二)字第1040103210號函</w:t>
            </w:r>
          </w:p>
        </w:tc>
        <w:tc>
          <w:tcPr>
            <w:tcW w:w="1658"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馬偕醫學院校務發展諮詢委員會設置辦法</w:t>
            </w:r>
          </w:p>
        </w:tc>
        <w:tc>
          <w:tcPr>
            <w:tcW w:w="425" w:type="dxa"/>
            <w:shd w:val="clear" w:color="000000" w:fill="FFFFFF"/>
            <w:vAlign w:val="center"/>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tcPr>
          <w:p w:rsidR="00FB43DE" w:rsidRPr="0037275E" w:rsidRDefault="00FB43DE" w:rsidP="00FB43DE">
            <w:pPr>
              <w:widowControl/>
              <w:overflowPunct/>
              <w:autoSpaceDE/>
              <w:autoSpaceDN/>
              <w:rPr>
                <w:rFonts w:hAnsi="標楷體" w:cs="新細明體"/>
                <w:color w:val="000000" w:themeColor="text1"/>
                <w:kern w:val="0"/>
                <w:sz w:val="24"/>
                <w:szCs w:val="24"/>
              </w:rPr>
            </w:pPr>
          </w:p>
        </w:tc>
      </w:tr>
      <w:tr w:rsidR="0037275E" w:rsidRPr="0037275E" w:rsidTr="00FB43DE">
        <w:trPr>
          <w:jc w:val="center"/>
        </w:trPr>
        <w:tc>
          <w:tcPr>
            <w:tcW w:w="879"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財團法人國家衛生研究院董事會</w:t>
            </w:r>
          </w:p>
        </w:tc>
        <w:tc>
          <w:tcPr>
            <w:tcW w:w="850"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國家衛生研究院院長遴選委員會委員</w:t>
            </w:r>
          </w:p>
        </w:tc>
        <w:tc>
          <w:tcPr>
            <w:tcW w:w="96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無給職，但院外人士得酌支出席及交通等費用。</w:t>
            </w:r>
          </w:p>
        </w:tc>
        <w:tc>
          <w:tcPr>
            <w:tcW w:w="103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104年12月25日起至遴選國家衛生研究院院長任務結束止</w:t>
            </w:r>
          </w:p>
        </w:tc>
        <w:tc>
          <w:tcPr>
            <w:tcW w:w="1276"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教育部105年1月12日臺教人(二)字第1050003641號函</w:t>
            </w:r>
          </w:p>
        </w:tc>
        <w:tc>
          <w:tcPr>
            <w:tcW w:w="1658"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國家衛生研究院院長遴選辦法</w:t>
            </w:r>
          </w:p>
        </w:tc>
        <w:tc>
          <w:tcPr>
            <w:tcW w:w="425" w:type="dxa"/>
            <w:shd w:val="clear" w:color="000000" w:fill="FFFFFF"/>
            <w:vAlign w:val="center"/>
            <w:hideMark/>
          </w:tcPr>
          <w:p w:rsidR="00FB43DE" w:rsidRPr="0037275E" w:rsidRDefault="00FB43DE" w:rsidP="00FB43DE">
            <w:pPr>
              <w:widowControl/>
              <w:overflowPunct/>
              <w:autoSpaceDE/>
              <w:autoSpaceDN/>
              <w:jc w:val="center"/>
              <w:rPr>
                <w:rFonts w:hAnsi="標楷體" w:cs="新細明體"/>
                <w:color w:val="000000" w:themeColor="text1"/>
                <w:kern w:val="0"/>
                <w:sz w:val="24"/>
                <w:szCs w:val="24"/>
              </w:rPr>
            </w:pPr>
          </w:p>
        </w:tc>
        <w:tc>
          <w:tcPr>
            <w:tcW w:w="2410" w:type="dxa"/>
            <w:shd w:val="clear" w:color="000000" w:fill="FFFFFF"/>
            <w:vAlign w:val="center"/>
            <w:hideMark/>
          </w:tcPr>
          <w:p w:rsidR="00FB43DE" w:rsidRPr="0037275E" w:rsidRDefault="00FB43DE" w:rsidP="00FB43DE">
            <w:pPr>
              <w:widowControl/>
              <w:overflowPunct/>
              <w:autoSpaceDE/>
              <w:autoSpaceDN/>
              <w:rPr>
                <w:rFonts w:hAnsi="標楷體" w:cs="新細明體"/>
                <w:color w:val="000000" w:themeColor="text1"/>
                <w:kern w:val="0"/>
                <w:sz w:val="24"/>
                <w:szCs w:val="24"/>
              </w:rPr>
            </w:pPr>
            <w:r w:rsidRPr="0037275E">
              <w:rPr>
                <w:rFonts w:hAnsi="標楷體" w:cs="新細明體" w:hint="eastAsia"/>
                <w:color w:val="000000" w:themeColor="text1"/>
                <w:kern w:val="0"/>
                <w:sz w:val="24"/>
                <w:szCs w:val="24"/>
              </w:rPr>
              <w:t>兼職機關(構)於104年12月25日發文，該校於同日接獲聘書(函)，並於105年1月6日函報教育部。因公文承辦時間，致無法於事前報准。</w:t>
            </w:r>
          </w:p>
        </w:tc>
      </w:tr>
    </w:tbl>
    <w:p w:rsidR="005D157F" w:rsidRPr="0037275E" w:rsidRDefault="005D157F" w:rsidP="00B050DB">
      <w:pPr>
        <w:pStyle w:val="3"/>
        <w:numPr>
          <w:ilvl w:val="0"/>
          <w:numId w:val="0"/>
        </w:numPr>
        <w:ind w:left="1361"/>
        <w:rPr>
          <w:b/>
          <w:color w:val="000000" w:themeColor="text1"/>
        </w:rPr>
      </w:pPr>
    </w:p>
    <w:p w:rsidR="00D7782C" w:rsidRPr="0037275E" w:rsidRDefault="0015304B" w:rsidP="00D7782C">
      <w:pPr>
        <w:pStyle w:val="3"/>
        <w:rPr>
          <w:color w:val="000000" w:themeColor="text1"/>
        </w:rPr>
      </w:pPr>
      <w:r w:rsidRPr="0037275E">
        <w:rPr>
          <w:rFonts w:hint="eastAsia"/>
          <w:color w:val="000000" w:themeColor="text1"/>
        </w:rPr>
        <w:t>有關國立陽明大學前校長梁賡義於任職期間校外兼</w:t>
      </w:r>
      <w:r w:rsidR="000057F9" w:rsidRPr="0037275E">
        <w:rPr>
          <w:rFonts w:hint="eastAsia"/>
          <w:color w:val="000000" w:themeColor="text1"/>
        </w:rPr>
        <w:t>任相關</w:t>
      </w:r>
      <w:r w:rsidRPr="0037275E">
        <w:rPr>
          <w:rFonts w:hint="eastAsia"/>
          <w:color w:val="000000" w:themeColor="text1"/>
        </w:rPr>
        <w:t>職</w:t>
      </w:r>
      <w:r w:rsidR="000057F9" w:rsidRPr="0037275E">
        <w:rPr>
          <w:rFonts w:hint="eastAsia"/>
          <w:color w:val="000000" w:themeColor="text1"/>
        </w:rPr>
        <w:t>務</w:t>
      </w:r>
      <w:r w:rsidRPr="0037275E">
        <w:rPr>
          <w:rFonts w:hint="eastAsia"/>
          <w:color w:val="000000" w:themeColor="text1"/>
        </w:rPr>
        <w:t>案件，於接獲兼職機關之聘書(函)後，均報請教育部核准，惟其中</w:t>
      </w:r>
      <w:r w:rsidR="009578D4" w:rsidRPr="0037275E">
        <w:rPr>
          <w:rFonts w:hint="eastAsia"/>
          <w:color w:val="000000" w:themeColor="text1"/>
        </w:rPr>
        <w:t>多數案件</w:t>
      </w:r>
      <w:r w:rsidRPr="0037275E">
        <w:rPr>
          <w:rFonts w:hint="eastAsia"/>
          <w:color w:val="000000" w:themeColor="text1"/>
        </w:rPr>
        <w:t>之報准程序，係於兼任該項職務後，始報該部許可，與銓敘部106年11月10日部法一字第1064278778號函釋未盡相符。</w:t>
      </w:r>
      <w:r w:rsidR="00B31B36" w:rsidRPr="0037275E">
        <w:rPr>
          <w:rFonts w:hint="eastAsia"/>
          <w:color w:val="000000" w:themeColor="text1"/>
        </w:rPr>
        <w:t>惟依</w:t>
      </w:r>
      <w:r w:rsidR="00B31B36" w:rsidRPr="0037275E">
        <w:rPr>
          <w:rFonts w:ascii="Times New Roman"/>
          <w:color w:val="000000" w:themeColor="text1"/>
        </w:rPr>
        <w:t>銓敘部法規司</w:t>
      </w:r>
      <w:r w:rsidR="00B31B36" w:rsidRPr="0037275E">
        <w:rPr>
          <w:rFonts w:ascii="Times New Roman" w:hint="eastAsia"/>
          <w:color w:val="000000" w:themeColor="text1"/>
        </w:rPr>
        <w:t>副</w:t>
      </w:r>
      <w:r w:rsidR="00B31B36" w:rsidRPr="0037275E">
        <w:rPr>
          <w:rFonts w:ascii="Times New Roman"/>
          <w:color w:val="000000" w:themeColor="text1"/>
        </w:rPr>
        <w:t>司長</w:t>
      </w:r>
      <w:r w:rsidR="00B31B36" w:rsidRPr="0037275E">
        <w:rPr>
          <w:rFonts w:ascii="Times New Roman" w:hint="eastAsia"/>
          <w:color w:val="000000" w:themeColor="text1"/>
        </w:rPr>
        <w:t>洪美妙於本院</w:t>
      </w:r>
      <w:r w:rsidR="00B31B36" w:rsidRPr="0037275E">
        <w:rPr>
          <w:rFonts w:ascii="Times New Roman"/>
          <w:color w:val="000000" w:themeColor="text1"/>
        </w:rPr>
        <w:t>詢問</w:t>
      </w:r>
      <w:r w:rsidR="00B31B36" w:rsidRPr="0037275E">
        <w:rPr>
          <w:rFonts w:ascii="Times New Roman" w:hint="eastAsia"/>
          <w:color w:val="000000" w:themeColor="text1"/>
        </w:rPr>
        <w:t>時說明，該部對</w:t>
      </w:r>
      <w:r w:rsidR="00B31B36" w:rsidRPr="0037275E">
        <w:rPr>
          <w:rFonts w:hint="eastAsia"/>
          <w:color w:val="000000" w:themeColor="text1"/>
        </w:rPr>
        <w:t>於公務員服務法第14條之2及第14條之3所定「許可」定義之解釋，係採取文義解釋，</w:t>
      </w:r>
      <w:r w:rsidR="00B31B36" w:rsidRPr="0037275E">
        <w:rPr>
          <w:rFonts w:hint="eastAsia"/>
          <w:color w:val="000000" w:themeColor="text1"/>
        </w:rPr>
        <w:lastRenderedPageBreak/>
        <w:t>即公務員兼任非以營利為目的之事業或團體之職務時，應經機關許可始得為之，然而公務員兼職態樣眾多，如確有事實上之不可能經權責機關事前許可，例如：行政作業流程所產生時間落差，或政務人員接奉任命令並即就任，致其到任前未能於到任時即經權責機關許可，倘逕以認定違反公務員服務法第14條之2及第14條之3規定，恐造成實務運作窒礙難行，課予公務員責任亦未合理，惟個案情形是否確有事實上之不能，因涉及具體事實之認定，歷均尊重權責機關個案情事審認後之決定。經查，國立陽明大學前校長梁賡義校外兼職案件</w:t>
      </w:r>
      <w:r w:rsidR="000C2FF5" w:rsidRPr="0037275E">
        <w:rPr>
          <w:rFonts w:ascii="新細明體" w:eastAsia="新細明體" w:hAnsi="新細明體" w:hint="eastAsia"/>
          <w:color w:val="000000" w:themeColor="text1"/>
        </w:rPr>
        <w:t>，</w:t>
      </w:r>
      <w:r w:rsidR="000C2FF5" w:rsidRPr="0037275E">
        <w:rPr>
          <w:rFonts w:hint="eastAsia"/>
          <w:color w:val="000000" w:themeColor="text1"/>
        </w:rPr>
        <w:t>未事先</w:t>
      </w:r>
      <w:r w:rsidR="000C2FF5" w:rsidRPr="0037275E">
        <w:rPr>
          <w:rFonts w:ascii="Times New Roman" w:hAnsi="Times New Roman"/>
          <w:color w:val="000000" w:themeColor="text1"/>
          <w:szCs w:val="32"/>
        </w:rPr>
        <w:t>函報教育部許可</w:t>
      </w:r>
      <w:r w:rsidR="000C2FF5" w:rsidRPr="0037275E">
        <w:rPr>
          <w:rFonts w:ascii="Times New Roman" w:hAnsi="Times New Roman" w:hint="eastAsia"/>
          <w:color w:val="000000" w:themeColor="text1"/>
          <w:szCs w:val="32"/>
        </w:rPr>
        <w:t>者</w:t>
      </w:r>
      <w:r w:rsidR="000C2FF5" w:rsidRPr="0037275E">
        <w:rPr>
          <w:rFonts w:hint="eastAsia"/>
          <w:color w:val="000000" w:themeColor="text1"/>
        </w:rPr>
        <w:t>計有25件</w:t>
      </w:r>
      <w:r w:rsidR="00B31B36" w:rsidRPr="0037275E">
        <w:rPr>
          <w:rFonts w:hint="eastAsia"/>
          <w:color w:val="000000" w:themeColor="text1"/>
        </w:rPr>
        <w:t>，</w:t>
      </w:r>
      <w:r w:rsidR="000C2FF5" w:rsidRPr="0037275E">
        <w:rPr>
          <w:rFonts w:hint="eastAsia"/>
          <w:color w:val="000000" w:themeColor="text1"/>
        </w:rPr>
        <w:t>其中4件係擔任研究計畫主持人，經教育部發文提醒研究計畫主持人為應報部之兼職，該校隨即函報教育部許可。其</w:t>
      </w:r>
      <w:r w:rsidR="00C81BFF" w:rsidRPr="0037275E">
        <w:rPr>
          <w:rFonts w:hint="eastAsia"/>
          <w:color w:val="000000" w:themeColor="text1"/>
        </w:rPr>
        <w:t>餘</w:t>
      </w:r>
      <w:r w:rsidR="000C2FF5" w:rsidRPr="0037275E">
        <w:rPr>
          <w:rFonts w:hint="eastAsia"/>
          <w:color w:val="000000" w:themeColor="text1"/>
        </w:rPr>
        <w:t>未事先</w:t>
      </w:r>
      <w:r w:rsidR="000C2FF5" w:rsidRPr="0037275E">
        <w:rPr>
          <w:rFonts w:ascii="Times New Roman" w:hAnsi="Times New Roman"/>
          <w:color w:val="000000" w:themeColor="text1"/>
          <w:szCs w:val="32"/>
        </w:rPr>
        <w:t>函報許可</w:t>
      </w:r>
      <w:r w:rsidR="00C81BFF" w:rsidRPr="0037275E">
        <w:rPr>
          <w:rFonts w:ascii="Times New Roman" w:hAnsi="Times New Roman" w:hint="eastAsia"/>
          <w:color w:val="000000" w:themeColor="text1"/>
          <w:szCs w:val="32"/>
        </w:rPr>
        <w:t>之</w:t>
      </w:r>
      <w:r w:rsidR="000C2FF5" w:rsidRPr="0037275E">
        <w:rPr>
          <w:rFonts w:hint="eastAsia"/>
          <w:color w:val="000000" w:themeColor="text1"/>
        </w:rPr>
        <w:t>案件</w:t>
      </w:r>
      <w:r w:rsidR="000C2FF5" w:rsidRPr="0037275E">
        <w:rPr>
          <w:rFonts w:ascii="新細明體" w:eastAsia="新細明體" w:hAnsi="新細明體" w:hint="eastAsia"/>
          <w:color w:val="000000" w:themeColor="text1"/>
        </w:rPr>
        <w:t>，</w:t>
      </w:r>
      <w:r w:rsidR="000C2FF5" w:rsidRPr="0037275E">
        <w:rPr>
          <w:rFonts w:hint="eastAsia"/>
          <w:color w:val="000000" w:themeColor="text1"/>
        </w:rPr>
        <w:t>均係因兼職單位聘書或來函</w:t>
      </w:r>
      <w:r w:rsidR="00C81BFF" w:rsidRPr="0037275E">
        <w:rPr>
          <w:rFonts w:hint="eastAsia"/>
          <w:color w:val="000000" w:themeColor="text1"/>
        </w:rPr>
        <w:t>延遲，致行政作業流程所產生時間落差，而無法於事前報准，尚難認有何違失之處。</w:t>
      </w:r>
    </w:p>
    <w:p w:rsidR="00C81BFF" w:rsidRPr="0037275E" w:rsidRDefault="003C7D27" w:rsidP="00C81BFF">
      <w:pPr>
        <w:pStyle w:val="3"/>
        <w:rPr>
          <w:color w:val="000000" w:themeColor="text1"/>
        </w:rPr>
      </w:pPr>
      <w:r w:rsidRPr="0037275E">
        <w:rPr>
          <w:rFonts w:hint="eastAsia"/>
          <w:color w:val="000000" w:themeColor="text1"/>
        </w:rPr>
        <w:t>又</w:t>
      </w:r>
      <w:r w:rsidR="00C81BFF" w:rsidRPr="0037275E">
        <w:rPr>
          <w:rFonts w:hint="eastAsia"/>
          <w:color w:val="000000" w:themeColor="text1"/>
        </w:rPr>
        <w:tab/>
      </w:r>
      <w:r w:rsidR="004939BA" w:rsidRPr="0037275E">
        <w:rPr>
          <w:rFonts w:hint="eastAsia"/>
          <w:color w:val="000000" w:themeColor="text1"/>
        </w:rPr>
        <w:t>依大學法第8條規定，大學置校長一人，綜理校務，負校務發展之責。</w:t>
      </w:r>
      <w:r w:rsidR="00C81BFF" w:rsidRPr="0037275E">
        <w:rPr>
          <w:rFonts w:hint="eastAsia"/>
          <w:color w:val="000000" w:themeColor="text1"/>
        </w:rPr>
        <w:t>有關國立大學校長任職期間校外之兼職</w:t>
      </w:r>
      <w:r w:rsidRPr="0037275E">
        <w:rPr>
          <w:rFonts w:hint="eastAsia"/>
          <w:color w:val="000000" w:themeColor="text1"/>
        </w:rPr>
        <w:t>數量</w:t>
      </w:r>
      <w:r w:rsidR="00C81BFF" w:rsidRPr="0037275E">
        <w:rPr>
          <w:rFonts w:hint="eastAsia"/>
          <w:color w:val="000000" w:themeColor="text1"/>
        </w:rPr>
        <w:t>，除</w:t>
      </w:r>
      <w:r w:rsidRPr="0037275E">
        <w:rPr>
          <w:rFonts w:hint="eastAsia"/>
          <w:color w:val="000000" w:themeColor="text1"/>
        </w:rPr>
        <w:t>行政院訂定之</w:t>
      </w:r>
      <w:r w:rsidR="00C81BFF" w:rsidRPr="0037275E">
        <w:rPr>
          <w:rFonts w:hint="eastAsia"/>
          <w:color w:val="000000" w:themeColor="text1"/>
        </w:rPr>
        <w:t>「公務人員兼任政府投資或轉投資民營事業機構、財團法人及社團法人董、監事職務規定」</w:t>
      </w:r>
      <w:r w:rsidRPr="0037275E">
        <w:rPr>
          <w:rFonts w:hint="eastAsia"/>
          <w:color w:val="000000" w:themeColor="text1"/>
        </w:rPr>
        <w:t>第3點規定﹕「兼任公、民營事業機構董、監事之職務，兼任財團法人董、監事或其他實際執行業務之重要職務（如副執行長、副秘書長層級以上職務），合計以不超過2個為限。」之限制外，其他並無兼職數量之限制。惟</w:t>
      </w:r>
      <w:r w:rsidR="004939BA" w:rsidRPr="0037275E">
        <w:rPr>
          <w:rFonts w:hint="eastAsia"/>
          <w:color w:val="000000" w:themeColor="text1"/>
        </w:rPr>
        <w:t>國立大學校長負學校整體校務發展之責，</w:t>
      </w:r>
      <w:r w:rsidR="00C81BFF" w:rsidRPr="0037275E">
        <w:rPr>
          <w:rFonts w:hint="eastAsia"/>
          <w:color w:val="000000" w:themeColor="text1"/>
        </w:rPr>
        <w:t>為避免</w:t>
      </w:r>
      <w:r w:rsidR="004939BA" w:rsidRPr="0037275E">
        <w:rPr>
          <w:rFonts w:hint="eastAsia"/>
          <w:color w:val="000000" w:themeColor="text1"/>
        </w:rPr>
        <w:t>校外兼職數量過多，致</w:t>
      </w:r>
      <w:r w:rsidR="00C81BFF" w:rsidRPr="0037275E">
        <w:rPr>
          <w:rFonts w:hint="eastAsia"/>
          <w:color w:val="000000" w:themeColor="text1"/>
        </w:rPr>
        <w:t>影響國立大學校務</w:t>
      </w:r>
      <w:r w:rsidR="004939BA" w:rsidRPr="0037275E">
        <w:rPr>
          <w:rFonts w:hint="eastAsia"/>
          <w:color w:val="000000" w:themeColor="text1"/>
        </w:rPr>
        <w:t>之</w:t>
      </w:r>
      <w:r w:rsidR="00C81BFF" w:rsidRPr="0037275E">
        <w:rPr>
          <w:rFonts w:hint="eastAsia"/>
          <w:color w:val="000000" w:themeColor="text1"/>
        </w:rPr>
        <w:t>發展，</w:t>
      </w:r>
      <w:r w:rsidR="004939BA" w:rsidRPr="0037275E">
        <w:rPr>
          <w:rFonts w:hint="eastAsia"/>
          <w:color w:val="000000" w:themeColor="text1"/>
        </w:rPr>
        <w:t>對於國立大學校長相關兼職數量之限制或許可條件，教育部允宜妥予研議規範。</w:t>
      </w:r>
    </w:p>
    <w:p w:rsidR="000057F9" w:rsidRPr="0037275E" w:rsidRDefault="009578D4" w:rsidP="00D7782C">
      <w:pPr>
        <w:pStyle w:val="3"/>
        <w:rPr>
          <w:color w:val="000000" w:themeColor="text1"/>
        </w:rPr>
      </w:pPr>
      <w:r w:rsidRPr="0037275E">
        <w:rPr>
          <w:color w:val="000000" w:themeColor="text1"/>
        </w:rPr>
        <w:lastRenderedPageBreak/>
        <w:t>綜上，</w:t>
      </w:r>
      <w:r w:rsidR="000057F9" w:rsidRPr="0037275E">
        <w:rPr>
          <w:rFonts w:hint="eastAsia"/>
          <w:color w:val="000000" w:themeColor="text1"/>
        </w:rPr>
        <w:t>國立陽明大學前校長梁賡義於任職期間（</w:t>
      </w:r>
      <w:r w:rsidR="000057F9" w:rsidRPr="0037275E">
        <w:rPr>
          <w:color w:val="000000" w:themeColor="text1"/>
        </w:rPr>
        <w:t>99</w:t>
      </w:r>
      <w:r w:rsidR="000057F9" w:rsidRPr="0037275E">
        <w:rPr>
          <w:rFonts w:hint="eastAsia"/>
          <w:color w:val="000000" w:themeColor="text1"/>
        </w:rPr>
        <w:t>年</w:t>
      </w:r>
      <w:r w:rsidR="000057F9" w:rsidRPr="0037275E">
        <w:rPr>
          <w:color w:val="000000" w:themeColor="text1"/>
        </w:rPr>
        <w:t>08</w:t>
      </w:r>
      <w:r w:rsidR="000057F9" w:rsidRPr="0037275E">
        <w:rPr>
          <w:rFonts w:hint="eastAsia"/>
          <w:color w:val="000000" w:themeColor="text1"/>
        </w:rPr>
        <w:t>月</w:t>
      </w:r>
      <w:r w:rsidR="000057F9" w:rsidRPr="0037275E">
        <w:rPr>
          <w:color w:val="000000" w:themeColor="text1"/>
        </w:rPr>
        <w:t>01</w:t>
      </w:r>
      <w:r w:rsidR="000057F9" w:rsidRPr="0037275E">
        <w:rPr>
          <w:rFonts w:hint="eastAsia"/>
          <w:color w:val="000000" w:themeColor="text1"/>
        </w:rPr>
        <w:t>日至</w:t>
      </w:r>
      <w:r w:rsidR="000057F9" w:rsidRPr="0037275E">
        <w:rPr>
          <w:color w:val="000000" w:themeColor="text1"/>
        </w:rPr>
        <w:t>106</w:t>
      </w:r>
      <w:r w:rsidR="000057F9" w:rsidRPr="0037275E">
        <w:rPr>
          <w:rFonts w:hint="eastAsia"/>
          <w:color w:val="000000" w:themeColor="text1"/>
        </w:rPr>
        <w:t>年12月01日）之各項校外兼任相關職務案件，其中多數案件之報准程序，係於兼任該項職務後，始報教育部許可。惟該未事先</w:t>
      </w:r>
      <w:r w:rsidR="000057F9" w:rsidRPr="0037275E">
        <w:rPr>
          <w:color w:val="000000" w:themeColor="text1"/>
        </w:rPr>
        <w:t>函報許可</w:t>
      </w:r>
      <w:r w:rsidR="000057F9" w:rsidRPr="0037275E">
        <w:rPr>
          <w:rFonts w:hint="eastAsia"/>
          <w:color w:val="000000" w:themeColor="text1"/>
        </w:rPr>
        <w:t>之案件，係因兼職單位聘書或來函延遲，致行政作業流程所產生時間落差，而無法於事前報准，尚難認有何違失之處</w:t>
      </w:r>
      <w:r w:rsidR="000057F9" w:rsidRPr="0037275E">
        <w:rPr>
          <w:color w:val="000000" w:themeColor="text1"/>
        </w:rPr>
        <w:t>。</w:t>
      </w:r>
      <w:r w:rsidR="000057F9" w:rsidRPr="0037275E">
        <w:rPr>
          <w:rFonts w:hint="eastAsia"/>
          <w:color w:val="000000" w:themeColor="text1"/>
        </w:rPr>
        <w:t>另本案教育部所列經報部核准之兼任職務案件，其中包含如擔任大學校長或院長遴選委員、行政院科技貢獻獎審議會委員、諮詢委員、計畫主持人等職務，是否均屬依法應報經核准之兼任職務案件，教育部允應會同銓敘部妥予釐清，以供遵循。又國立大學校長負學校整體校務發展之責，為避免校外兼職數量過多，致影響國立大學校務之發展，對於國立大學校長相關兼職數量之限制或許可條件有無另予規範之必要，教育部亦宜妥予研議考量</w:t>
      </w:r>
      <w:r w:rsidR="000057F9" w:rsidRPr="0037275E">
        <w:rPr>
          <w:rFonts w:ascii="新細明體" w:eastAsia="新細明體" w:hAnsi="新細明體" w:hint="eastAsia"/>
          <w:color w:val="000000" w:themeColor="text1"/>
        </w:rPr>
        <w:t>。</w:t>
      </w:r>
    </w:p>
    <w:p w:rsidR="00E55A43" w:rsidRPr="0037275E" w:rsidRDefault="00E55A43" w:rsidP="00E55A43">
      <w:pPr>
        <w:pStyle w:val="3"/>
        <w:numPr>
          <w:ilvl w:val="0"/>
          <w:numId w:val="0"/>
        </w:numPr>
        <w:ind w:left="1361"/>
        <w:rPr>
          <w:b/>
          <w:color w:val="000000" w:themeColor="text1"/>
        </w:rPr>
      </w:pPr>
    </w:p>
    <w:p w:rsidR="00DB7021" w:rsidRPr="0037275E" w:rsidRDefault="001070DF" w:rsidP="006F0C9C">
      <w:pPr>
        <w:pStyle w:val="2"/>
        <w:rPr>
          <w:b/>
          <w:color w:val="000000" w:themeColor="text1"/>
        </w:rPr>
      </w:pPr>
      <w:r w:rsidRPr="0037275E">
        <w:rPr>
          <w:rFonts w:hint="eastAsia"/>
          <w:b/>
          <w:color w:val="000000" w:themeColor="text1"/>
        </w:rPr>
        <w:t>教育部對於</w:t>
      </w:r>
      <w:r w:rsidR="00A34BFB" w:rsidRPr="0037275E">
        <w:rPr>
          <w:rFonts w:hint="eastAsia"/>
          <w:b/>
          <w:color w:val="000000" w:themeColor="text1"/>
        </w:rPr>
        <w:t>有關</w:t>
      </w:r>
      <w:r w:rsidR="00A34BFB" w:rsidRPr="0037275E">
        <w:rPr>
          <w:b/>
          <w:color w:val="000000" w:themeColor="text1"/>
        </w:rPr>
        <w:t>國立大學</w:t>
      </w:r>
      <w:r w:rsidR="00A34BFB" w:rsidRPr="0037275E">
        <w:rPr>
          <w:rFonts w:hint="eastAsia"/>
          <w:b/>
          <w:color w:val="000000" w:themeColor="text1"/>
        </w:rPr>
        <w:t>校長</w:t>
      </w:r>
      <w:r w:rsidR="00A34BFB" w:rsidRPr="0037275E">
        <w:rPr>
          <w:b/>
          <w:color w:val="000000" w:themeColor="text1"/>
        </w:rPr>
        <w:t>參加</w:t>
      </w:r>
      <w:r w:rsidR="00A34BFB" w:rsidRPr="0037275E">
        <w:rPr>
          <w:rFonts w:hint="eastAsia"/>
          <w:b/>
          <w:color w:val="000000" w:themeColor="text1"/>
        </w:rPr>
        <w:t>校外兼職</w:t>
      </w:r>
      <w:r w:rsidR="00352048" w:rsidRPr="0037275E">
        <w:rPr>
          <w:rFonts w:hint="eastAsia"/>
          <w:b/>
          <w:color w:val="000000" w:themeColor="text1"/>
        </w:rPr>
        <w:t>或職務相關機</w:t>
      </w:r>
      <w:r w:rsidR="00D178A3" w:rsidRPr="0037275E">
        <w:rPr>
          <w:rFonts w:hint="eastAsia"/>
          <w:b/>
          <w:color w:val="000000" w:themeColor="text1"/>
        </w:rPr>
        <w:t>關</w:t>
      </w:r>
      <w:r w:rsidR="00352048" w:rsidRPr="0037275E">
        <w:rPr>
          <w:rFonts w:hint="eastAsia"/>
          <w:b/>
          <w:color w:val="000000" w:themeColor="text1"/>
        </w:rPr>
        <w:t>構</w:t>
      </w:r>
      <w:r w:rsidR="00A34BFB" w:rsidRPr="0037275E">
        <w:rPr>
          <w:b/>
          <w:color w:val="000000" w:themeColor="text1"/>
        </w:rPr>
        <w:t>團體會議</w:t>
      </w:r>
      <w:r w:rsidR="00352048" w:rsidRPr="0037275E">
        <w:rPr>
          <w:rFonts w:hint="eastAsia"/>
          <w:b/>
          <w:color w:val="000000" w:themeColor="text1"/>
        </w:rPr>
        <w:t>該</w:t>
      </w:r>
      <w:r w:rsidR="00A62D69" w:rsidRPr="0037275E">
        <w:rPr>
          <w:rFonts w:hint="eastAsia"/>
          <w:b/>
          <w:color w:val="000000" w:themeColor="text1"/>
        </w:rPr>
        <w:t>如何</w:t>
      </w:r>
      <w:r w:rsidR="00376A5E" w:rsidRPr="0037275E">
        <w:rPr>
          <w:rFonts w:hint="eastAsia"/>
          <w:b/>
          <w:color w:val="000000" w:themeColor="text1"/>
        </w:rPr>
        <w:t>請</w:t>
      </w:r>
      <w:r w:rsidR="00352048" w:rsidRPr="0037275E">
        <w:rPr>
          <w:rFonts w:hint="eastAsia"/>
          <w:b/>
          <w:color w:val="000000" w:themeColor="text1"/>
        </w:rPr>
        <w:t>假</w:t>
      </w:r>
      <w:r w:rsidR="00376A5E" w:rsidRPr="0037275E">
        <w:rPr>
          <w:rFonts w:hint="eastAsia"/>
          <w:b/>
          <w:color w:val="000000" w:themeColor="text1"/>
        </w:rPr>
        <w:t>，</w:t>
      </w:r>
      <w:r w:rsidR="00352048" w:rsidRPr="0037275E">
        <w:rPr>
          <w:rFonts w:hint="eastAsia"/>
          <w:b/>
          <w:color w:val="000000" w:themeColor="text1"/>
        </w:rPr>
        <w:t>其相關規範</w:t>
      </w:r>
      <w:r w:rsidR="00A34BFB" w:rsidRPr="0037275E">
        <w:rPr>
          <w:rFonts w:hint="eastAsia"/>
          <w:b/>
          <w:color w:val="000000" w:themeColor="text1"/>
        </w:rPr>
        <w:t>允宜妥予</w:t>
      </w:r>
      <w:r w:rsidR="00352048" w:rsidRPr="0037275E">
        <w:rPr>
          <w:rFonts w:hint="eastAsia"/>
          <w:b/>
          <w:color w:val="000000" w:themeColor="text1"/>
        </w:rPr>
        <w:t>考量</w:t>
      </w:r>
      <w:r w:rsidR="00A34BFB" w:rsidRPr="0037275E">
        <w:rPr>
          <w:rFonts w:hint="eastAsia"/>
          <w:b/>
          <w:color w:val="000000" w:themeColor="text1"/>
        </w:rPr>
        <w:t>研議</w:t>
      </w:r>
      <w:r w:rsidR="003B48B5" w:rsidRPr="0037275E">
        <w:rPr>
          <w:rFonts w:hint="eastAsia"/>
          <w:b/>
          <w:color w:val="000000" w:themeColor="text1"/>
        </w:rPr>
        <w:t>。</w:t>
      </w:r>
    </w:p>
    <w:p w:rsidR="00A51F39" w:rsidRPr="0037275E" w:rsidRDefault="00A51F39" w:rsidP="00F41B74">
      <w:pPr>
        <w:pStyle w:val="3"/>
        <w:rPr>
          <w:color w:val="000000" w:themeColor="text1"/>
        </w:rPr>
      </w:pPr>
      <w:r w:rsidRPr="0037275E">
        <w:rPr>
          <w:rFonts w:ascii="Times New Roman" w:hAnsi="Times New Roman"/>
          <w:color w:val="000000" w:themeColor="text1"/>
          <w:kern w:val="0"/>
          <w:szCs w:val="24"/>
        </w:rPr>
        <w:t>按</w:t>
      </w:r>
      <w:r w:rsidR="00820424" w:rsidRPr="0037275E">
        <w:rPr>
          <w:rFonts w:hint="eastAsia"/>
          <w:color w:val="000000" w:themeColor="text1"/>
        </w:rPr>
        <w:t>教師法第18條之1規定</w:t>
      </w:r>
      <w:r w:rsidR="00820424" w:rsidRPr="0037275E">
        <w:rPr>
          <w:rFonts w:hAnsi="標楷體" w:hint="eastAsia"/>
          <w:color w:val="000000" w:themeColor="text1"/>
        </w:rPr>
        <w:t>﹕「</w:t>
      </w:r>
      <w:r w:rsidR="00820424" w:rsidRPr="0037275E">
        <w:rPr>
          <w:color w:val="000000" w:themeColor="text1"/>
        </w:rPr>
        <w:t>（第1項）</w:t>
      </w:r>
      <w:r w:rsidR="00820424" w:rsidRPr="0037275E">
        <w:rPr>
          <w:rFonts w:hint="eastAsia"/>
          <w:color w:val="000000" w:themeColor="text1"/>
        </w:rPr>
        <w:t>教師因婚、喪、疾病、分娩或其他正當事由，得依教師請假規則請假；其基於法定義務出席作證性侵害、性騷擾及霸凌事件，應給予公假。</w:t>
      </w:r>
      <w:r w:rsidR="00820424" w:rsidRPr="0037275E">
        <w:rPr>
          <w:color w:val="000000" w:themeColor="text1"/>
        </w:rPr>
        <w:t>（第</w:t>
      </w:r>
      <w:r w:rsidR="00820424" w:rsidRPr="0037275E">
        <w:rPr>
          <w:rFonts w:hint="eastAsia"/>
          <w:color w:val="000000" w:themeColor="text1"/>
        </w:rPr>
        <w:t>2</w:t>
      </w:r>
      <w:r w:rsidR="00820424" w:rsidRPr="0037275E">
        <w:rPr>
          <w:color w:val="000000" w:themeColor="text1"/>
        </w:rPr>
        <w:t>項）</w:t>
      </w:r>
      <w:r w:rsidR="00820424" w:rsidRPr="0037275E">
        <w:rPr>
          <w:rFonts w:hint="eastAsia"/>
          <w:color w:val="000000" w:themeColor="text1"/>
        </w:rPr>
        <w:t>前項教師請假規則，應包括教師請假假別、日數、請假程序、核定權責與違反之處理及其他相關事項，並由教育部定之。</w:t>
      </w:r>
      <w:r w:rsidR="00820424" w:rsidRPr="0037275E">
        <w:rPr>
          <w:rFonts w:ascii="新細明體" w:eastAsia="新細明體" w:hAnsi="新細明體" w:hint="eastAsia"/>
          <w:color w:val="000000" w:themeColor="text1"/>
        </w:rPr>
        <w:t>」</w:t>
      </w:r>
      <w:r w:rsidRPr="0037275E">
        <w:rPr>
          <w:rFonts w:ascii="Times New Roman" w:hAnsi="Times New Roman" w:hint="eastAsia"/>
          <w:color w:val="000000" w:themeColor="text1"/>
          <w:kern w:val="0"/>
          <w:szCs w:val="24"/>
        </w:rPr>
        <w:t>教育部依</w:t>
      </w:r>
      <w:r w:rsidRPr="0037275E">
        <w:rPr>
          <w:rFonts w:hint="eastAsia"/>
          <w:color w:val="000000" w:themeColor="text1"/>
        </w:rPr>
        <w:t>教師法第18條之1規定</w:t>
      </w:r>
      <w:r w:rsidR="0060020C" w:rsidRPr="0037275E">
        <w:rPr>
          <w:rFonts w:hint="eastAsia"/>
          <w:color w:val="000000" w:themeColor="text1"/>
        </w:rPr>
        <w:t>定</w:t>
      </w:r>
      <w:r w:rsidRPr="0037275E">
        <w:rPr>
          <w:rFonts w:hint="eastAsia"/>
          <w:color w:val="000000" w:themeColor="text1"/>
        </w:rPr>
        <w:t>有</w:t>
      </w:r>
      <w:r w:rsidRPr="0037275E">
        <w:rPr>
          <w:rFonts w:hAnsi="標楷體" w:hint="eastAsia"/>
          <w:color w:val="000000" w:themeColor="text1"/>
        </w:rPr>
        <w:t>「</w:t>
      </w:r>
      <w:r w:rsidRPr="0037275E">
        <w:rPr>
          <w:rFonts w:ascii="Times New Roman" w:hAnsi="Times New Roman"/>
          <w:color w:val="000000" w:themeColor="text1"/>
          <w:kern w:val="0"/>
          <w:szCs w:val="24"/>
        </w:rPr>
        <w:t>教師請假規則</w:t>
      </w:r>
      <w:r w:rsidRPr="0037275E">
        <w:rPr>
          <w:rFonts w:ascii="新細明體" w:eastAsia="新細明體" w:hAnsi="新細明體" w:hint="eastAsia"/>
          <w:color w:val="000000" w:themeColor="text1"/>
        </w:rPr>
        <w:t>」，</w:t>
      </w:r>
      <w:r w:rsidRPr="0037275E">
        <w:rPr>
          <w:rFonts w:ascii="Times New Roman" w:hAnsi="Times New Roman" w:hint="eastAsia"/>
          <w:color w:val="000000" w:themeColor="text1"/>
          <w:kern w:val="0"/>
          <w:szCs w:val="24"/>
        </w:rPr>
        <w:t>有關教師之請假應依</w:t>
      </w:r>
      <w:r w:rsidRPr="0037275E">
        <w:rPr>
          <w:rFonts w:ascii="Times New Roman" w:hAnsi="Times New Roman"/>
          <w:color w:val="000000" w:themeColor="text1"/>
          <w:kern w:val="0"/>
          <w:szCs w:val="24"/>
        </w:rPr>
        <w:t>教師請假規則</w:t>
      </w:r>
      <w:r w:rsidRPr="0037275E">
        <w:rPr>
          <w:rFonts w:ascii="Times New Roman" w:hAnsi="Times New Roman" w:hint="eastAsia"/>
          <w:color w:val="000000" w:themeColor="text1"/>
          <w:kern w:val="0"/>
          <w:szCs w:val="24"/>
        </w:rPr>
        <w:t>辦理，又</w:t>
      </w:r>
      <w:r w:rsidR="00820424" w:rsidRPr="0037275E">
        <w:rPr>
          <w:rFonts w:ascii="Times New Roman" w:hAnsi="Times New Roman" w:hint="eastAsia"/>
          <w:color w:val="000000" w:themeColor="text1"/>
          <w:kern w:val="0"/>
          <w:szCs w:val="24"/>
        </w:rPr>
        <w:t>依</w:t>
      </w:r>
      <w:r w:rsidR="00820424" w:rsidRPr="0037275E">
        <w:rPr>
          <w:rFonts w:ascii="Times New Roman" w:hAnsi="Times New Roman"/>
          <w:color w:val="000000" w:themeColor="text1"/>
          <w:kern w:val="0"/>
          <w:szCs w:val="24"/>
        </w:rPr>
        <w:t>教師請假</w:t>
      </w:r>
      <w:r w:rsidRPr="0037275E">
        <w:rPr>
          <w:rFonts w:ascii="Times New Roman" w:hAnsi="Times New Roman"/>
          <w:color w:val="000000" w:themeColor="text1"/>
          <w:kern w:val="0"/>
          <w:szCs w:val="24"/>
        </w:rPr>
        <w:t>規則第</w:t>
      </w:r>
      <w:r w:rsidRPr="0037275E">
        <w:rPr>
          <w:rFonts w:ascii="Times New Roman" w:hAnsi="Times New Roman"/>
          <w:color w:val="000000" w:themeColor="text1"/>
          <w:kern w:val="0"/>
          <w:szCs w:val="24"/>
        </w:rPr>
        <w:t>17</w:t>
      </w:r>
      <w:r w:rsidRPr="0037275E">
        <w:rPr>
          <w:rFonts w:ascii="Times New Roman" w:hAnsi="Times New Roman"/>
          <w:color w:val="000000" w:themeColor="text1"/>
          <w:kern w:val="0"/>
          <w:szCs w:val="24"/>
        </w:rPr>
        <w:t>條第</w:t>
      </w:r>
      <w:r w:rsidRPr="0037275E">
        <w:rPr>
          <w:rFonts w:ascii="Times New Roman" w:hAnsi="Times New Roman"/>
          <w:color w:val="000000" w:themeColor="text1"/>
          <w:kern w:val="0"/>
          <w:szCs w:val="24"/>
        </w:rPr>
        <w:t>1</w:t>
      </w:r>
      <w:r w:rsidRPr="0037275E">
        <w:rPr>
          <w:rFonts w:ascii="Times New Roman" w:hAnsi="Times New Roman"/>
          <w:color w:val="000000" w:themeColor="text1"/>
          <w:kern w:val="0"/>
          <w:szCs w:val="24"/>
        </w:rPr>
        <w:t>項第</w:t>
      </w:r>
      <w:r w:rsidRPr="0037275E">
        <w:rPr>
          <w:rFonts w:ascii="Times New Roman" w:hAnsi="Times New Roman"/>
          <w:color w:val="000000" w:themeColor="text1"/>
          <w:kern w:val="0"/>
          <w:szCs w:val="24"/>
        </w:rPr>
        <w:t>1</w:t>
      </w:r>
      <w:r w:rsidRPr="0037275E">
        <w:rPr>
          <w:rFonts w:ascii="Times New Roman" w:hAnsi="Times New Roman"/>
          <w:color w:val="000000" w:themeColor="text1"/>
          <w:kern w:val="0"/>
          <w:szCs w:val="24"/>
        </w:rPr>
        <w:t>款及第</w:t>
      </w:r>
      <w:r w:rsidRPr="0037275E">
        <w:rPr>
          <w:rFonts w:ascii="Times New Roman" w:hAnsi="Times New Roman"/>
          <w:color w:val="000000" w:themeColor="text1"/>
          <w:kern w:val="0"/>
          <w:szCs w:val="24"/>
        </w:rPr>
        <w:t>2</w:t>
      </w:r>
      <w:r w:rsidRPr="0037275E">
        <w:rPr>
          <w:rFonts w:ascii="Times New Roman" w:hAnsi="Times New Roman"/>
          <w:color w:val="000000" w:themeColor="text1"/>
          <w:kern w:val="0"/>
          <w:szCs w:val="24"/>
        </w:rPr>
        <w:t>項規定</w:t>
      </w:r>
      <w:r w:rsidRPr="0037275E">
        <w:rPr>
          <w:rFonts w:ascii="Times New Roman" w:hAnsi="Times New Roman"/>
          <w:color w:val="000000" w:themeColor="text1"/>
          <w:szCs w:val="32"/>
        </w:rPr>
        <w:t>，各級公立學校校長準用此</w:t>
      </w:r>
      <w:r w:rsidRPr="0037275E">
        <w:rPr>
          <w:rFonts w:ascii="Times New Roman" w:hAnsi="Times New Roman"/>
          <w:color w:val="000000" w:themeColor="text1"/>
          <w:kern w:val="0"/>
          <w:szCs w:val="32"/>
        </w:rPr>
        <w:t>規則</w:t>
      </w:r>
      <w:r w:rsidRPr="0037275E">
        <w:rPr>
          <w:rFonts w:ascii="Times New Roman" w:hAnsi="Times New Roman"/>
          <w:color w:val="000000" w:themeColor="text1"/>
          <w:szCs w:val="32"/>
        </w:rPr>
        <w:t>。</w:t>
      </w:r>
    </w:p>
    <w:p w:rsidR="00F41B74" w:rsidRPr="0037275E" w:rsidRDefault="00F47FBF" w:rsidP="00F41B74">
      <w:pPr>
        <w:pStyle w:val="3"/>
        <w:rPr>
          <w:color w:val="000000" w:themeColor="text1"/>
        </w:rPr>
      </w:pPr>
      <w:r w:rsidRPr="0037275E">
        <w:rPr>
          <w:rFonts w:hint="eastAsia"/>
          <w:color w:val="000000" w:themeColor="text1"/>
        </w:rPr>
        <w:lastRenderedPageBreak/>
        <w:t>查依教育部說明</w:t>
      </w:r>
      <w:r w:rsidRPr="0037275E">
        <w:rPr>
          <w:rFonts w:ascii="新細明體" w:eastAsia="新細明體" w:hAnsi="新細明體" w:hint="eastAsia"/>
          <w:color w:val="000000" w:themeColor="text1"/>
        </w:rPr>
        <w:t>，</w:t>
      </w:r>
      <w:r w:rsidRPr="0037275E">
        <w:rPr>
          <w:rFonts w:hint="eastAsia"/>
          <w:color w:val="000000" w:themeColor="text1"/>
        </w:rPr>
        <w:t>國立陽明大學前校長梁賡義於任職期間校外兼職案件計29件，另依國立陽明大學查復說明</w:t>
      </w:r>
      <w:r w:rsidRPr="0037275E">
        <w:rPr>
          <w:rFonts w:ascii="新細明體" w:eastAsia="新細明體" w:hAnsi="新細明體" w:hint="eastAsia"/>
          <w:color w:val="000000" w:themeColor="text1"/>
        </w:rPr>
        <w:t>，</w:t>
      </w:r>
      <w:r w:rsidRPr="0037275E">
        <w:rPr>
          <w:rFonts w:hint="eastAsia"/>
          <w:color w:val="000000" w:themeColor="text1"/>
        </w:rPr>
        <w:t>梁前校長擔任臺大校長遴選委員會委員，兼職名冊未列原因</w:t>
      </w:r>
      <w:r w:rsidRPr="0037275E">
        <w:rPr>
          <w:rFonts w:hAnsi="標楷體" w:hint="eastAsia"/>
          <w:color w:val="000000" w:themeColor="text1"/>
        </w:rPr>
        <w:t>﹕</w:t>
      </w:r>
      <w:r w:rsidRPr="0037275E">
        <w:rPr>
          <w:rFonts w:hint="eastAsia"/>
          <w:color w:val="000000" w:themeColor="text1"/>
        </w:rPr>
        <w:t>經查國立臺灣大學係於106年6月26日發文，聘請梁前校長擔任該校校長遴選委員會委員。正本受文者為梁前校長，並未副知該校。</w:t>
      </w:r>
    </w:p>
    <w:p w:rsidR="00186211" w:rsidRPr="0037275E" w:rsidRDefault="00F47FBF" w:rsidP="001A522C">
      <w:pPr>
        <w:pStyle w:val="3"/>
        <w:rPr>
          <w:color w:val="000000" w:themeColor="text1"/>
        </w:rPr>
      </w:pPr>
      <w:r w:rsidRPr="0037275E">
        <w:rPr>
          <w:rFonts w:hint="eastAsia"/>
          <w:color w:val="000000" w:themeColor="text1"/>
        </w:rPr>
        <w:t>次查</w:t>
      </w:r>
      <w:r w:rsidRPr="0037275E">
        <w:rPr>
          <w:rFonts w:ascii="新細明體" w:eastAsia="新細明體" w:hAnsi="新細明體" w:hint="eastAsia"/>
          <w:color w:val="000000" w:themeColor="text1"/>
        </w:rPr>
        <w:t>，</w:t>
      </w:r>
      <w:r w:rsidRPr="0037275E">
        <w:rPr>
          <w:rFonts w:hint="eastAsia"/>
          <w:color w:val="000000" w:themeColor="text1"/>
        </w:rPr>
        <w:t>有關梁賡義前校長於任職期間校外兼職案件開會情形</w:t>
      </w:r>
      <w:r w:rsidRPr="0037275E">
        <w:rPr>
          <w:rFonts w:ascii="新細明體" w:eastAsia="新細明體" w:hAnsi="新細明體" w:hint="eastAsia"/>
          <w:color w:val="000000" w:themeColor="text1"/>
        </w:rPr>
        <w:t>，</w:t>
      </w:r>
      <w:r w:rsidRPr="0037275E">
        <w:rPr>
          <w:rFonts w:hint="eastAsia"/>
          <w:color w:val="000000" w:themeColor="text1"/>
        </w:rPr>
        <w:t>依教育部說明</w:t>
      </w:r>
      <w:r w:rsidRPr="0037275E">
        <w:rPr>
          <w:rFonts w:ascii="新細明體" w:eastAsia="新細明體" w:hAnsi="新細明體" w:hint="eastAsia"/>
          <w:color w:val="000000" w:themeColor="text1"/>
        </w:rPr>
        <w:t>，</w:t>
      </w:r>
      <w:r w:rsidRPr="0037275E">
        <w:rPr>
          <w:rFonts w:hint="eastAsia"/>
          <w:color w:val="000000" w:themeColor="text1"/>
        </w:rPr>
        <w:t>梁前校長擔任臺大公共衛生學院院長遴選委員會委員，於100年3月4日</w:t>
      </w:r>
      <w:r w:rsidR="007461DD" w:rsidRPr="0037275E">
        <w:rPr>
          <w:rFonts w:hAnsi="標楷體" w:hint="eastAsia"/>
          <w:color w:val="000000" w:themeColor="text1"/>
        </w:rPr>
        <w:t>（星期五）</w:t>
      </w:r>
      <w:r w:rsidRPr="0037275E">
        <w:rPr>
          <w:rFonts w:hint="eastAsia"/>
          <w:color w:val="000000" w:themeColor="text1"/>
        </w:rPr>
        <w:t>及100年5月13日</w:t>
      </w:r>
      <w:r w:rsidR="007461DD" w:rsidRPr="0037275E">
        <w:rPr>
          <w:rFonts w:hAnsi="標楷體" w:hint="eastAsia"/>
          <w:color w:val="000000" w:themeColor="text1"/>
        </w:rPr>
        <w:t>（星期五）</w:t>
      </w:r>
      <w:r w:rsidRPr="0037275E">
        <w:rPr>
          <w:rFonts w:hint="eastAsia"/>
          <w:color w:val="000000" w:themeColor="text1"/>
        </w:rPr>
        <w:t>共出席2次會議</w:t>
      </w:r>
      <w:r w:rsidRPr="0037275E">
        <w:rPr>
          <w:rFonts w:ascii="新細明體" w:eastAsia="新細明體" w:hAnsi="新細明體" w:hint="eastAsia"/>
          <w:color w:val="000000" w:themeColor="text1"/>
        </w:rPr>
        <w:t>；</w:t>
      </w:r>
      <w:r w:rsidRPr="0037275E">
        <w:rPr>
          <w:rFonts w:hint="eastAsia"/>
          <w:color w:val="000000" w:themeColor="text1"/>
        </w:rPr>
        <w:t>擔任臺大校長遴選委員會委員，於 106年7月10日</w:t>
      </w:r>
      <w:r w:rsidR="007461DD" w:rsidRPr="0037275E">
        <w:rPr>
          <w:rFonts w:hAnsi="標楷體" w:hint="eastAsia"/>
          <w:color w:val="000000" w:themeColor="text1"/>
        </w:rPr>
        <w:t>（星期一）</w:t>
      </w:r>
      <w:r w:rsidRPr="0037275E">
        <w:rPr>
          <w:rFonts w:ascii="新細明體" w:eastAsia="新細明體" w:hAnsi="新細明體" w:hint="eastAsia"/>
          <w:color w:val="000000" w:themeColor="text1"/>
        </w:rPr>
        <w:t>、</w:t>
      </w:r>
      <w:r w:rsidRPr="0037275E">
        <w:rPr>
          <w:rFonts w:hint="eastAsia"/>
          <w:color w:val="000000" w:themeColor="text1"/>
        </w:rPr>
        <w:t>106年10月13日</w:t>
      </w:r>
      <w:r w:rsidR="007461DD" w:rsidRPr="0037275E">
        <w:rPr>
          <w:rFonts w:hAnsi="標楷體" w:hint="eastAsia"/>
          <w:color w:val="000000" w:themeColor="text1"/>
        </w:rPr>
        <w:t>（星期五）</w:t>
      </w:r>
      <w:r w:rsidRPr="0037275E">
        <w:rPr>
          <w:rFonts w:ascii="新細明體" w:eastAsia="新細明體" w:hAnsi="新細明體" w:hint="eastAsia"/>
          <w:color w:val="000000" w:themeColor="text1"/>
        </w:rPr>
        <w:t>、</w:t>
      </w:r>
      <w:r w:rsidRPr="0037275E">
        <w:rPr>
          <w:rFonts w:hint="eastAsia"/>
          <w:color w:val="000000" w:themeColor="text1"/>
        </w:rPr>
        <w:t>106年10月20日</w:t>
      </w:r>
      <w:r w:rsidR="007461DD" w:rsidRPr="0037275E">
        <w:rPr>
          <w:rFonts w:hAnsi="標楷體" w:hint="eastAsia"/>
          <w:color w:val="000000" w:themeColor="text1"/>
        </w:rPr>
        <w:t>（星期五）</w:t>
      </w:r>
      <w:r w:rsidRPr="0037275E">
        <w:rPr>
          <w:rFonts w:ascii="新細明體" w:eastAsia="新細明體" w:hAnsi="新細明體" w:hint="eastAsia"/>
          <w:color w:val="000000" w:themeColor="text1"/>
        </w:rPr>
        <w:t>、</w:t>
      </w:r>
      <w:r w:rsidRPr="0037275E">
        <w:rPr>
          <w:rFonts w:hint="eastAsia"/>
          <w:color w:val="000000" w:themeColor="text1"/>
        </w:rPr>
        <w:t>107年1月5日</w:t>
      </w:r>
      <w:r w:rsidR="007461DD" w:rsidRPr="0037275E">
        <w:rPr>
          <w:rFonts w:hAnsi="標楷體" w:hint="eastAsia"/>
          <w:color w:val="000000" w:themeColor="text1"/>
        </w:rPr>
        <w:t>（已卸任）</w:t>
      </w:r>
      <w:r w:rsidRPr="0037275E">
        <w:rPr>
          <w:rFonts w:hint="eastAsia"/>
          <w:color w:val="000000" w:themeColor="text1"/>
        </w:rPr>
        <w:t>及107年1月31日</w:t>
      </w:r>
      <w:r w:rsidR="007461DD" w:rsidRPr="0037275E">
        <w:rPr>
          <w:rFonts w:hAnsi="標楷體" w:hint="eastAsia"/>
          <w:color w:val="000000" w:themeColor="text1"/>
        </w:rPr>
        <w:t>（已卸任）</w:t>
      </w:r>
      <w:r w:rsidRPr="0037275E">
        <w:rPr>
          <w:rFonts w:hint="eastAsia"/>
          <w:color w:val="000000" w:themeColor="text1"/>
        </w:rPr>
        <w:t>共出席5次會議</w:t>
      </w:r>
      <w:r w:rsidRPr="0037275E">
        <w:rPr>
          <w:rFonts w:ascii="新細明體" w:eastAsia="新細明體" w:hAnsi="新細明體" w:hint="eastAsia"/>
          <w:color w:val="000000" w:themeColor="text1"/>
        </w:rPr>
        <w:t>。</w:t>
      </w:r>
      <w:r w:rsidRPr="0037275E">
        <w:rPr>
          <w:rFonts w:hint="eastAsia"/>
          <w:color w:val="000000" w:themeColor="text1"/>
        </w:rPr>
        <w:t>另依國立陽明大學查復說明</w:t>
      </w:r>
      <w:r w:rsidRPr="0037275E">
        <w:rPr>
          <w:rFonts w:ascii="新細明體" w:eastAsia="新細明體" w:hAnsi="新細明體" w:hint="eastAsia"/>
          <w:color w:val="000000" w:themeColor="text1"/>
        </w:rPr>
        <w:t>，</w:t>
      </w:r>
      <w:r w:rsidR="00186211" w:rsidRPr="0037275E">
        <w:rPr>
          <w:rFonts w:hint="eastAsia"/>
          <w:color w:val="000000" w:themeColor="text1"/>
        </w:rPr>
        <w:t>梁前校長擔任嚴慶齡醫學基金會董事、辜公亮基金會董事及馬偕醫學院校務諮詢委員，於教育部核准前，是否有去參加會議</w:t>
      </w:r>
      <w:r w:rsidR="00186211" w:rsidRPr="0037275E">
        <w:rPr>
          <w:rFonts w:hAnsi="標楷體" w:hint="eastAsia"/>
          <w:color w:val="000000" w:themeColor="text1"/>
        </w:rPr>
        <w:t>﹕</w:t>
      </w:r>
      <w:r w:rsidR="00186211" w:rsidRPr="0037275E">
        <w:rPr>
          <w:rFonts w:hint="eastAsia"/>
          <w:color w:val="000000" w:themeColor="text1"/>
        </w:rPr>
        <w:t>梁前校長於嚴慶齡醫學基金會、馬偕醫學院兼職第一次參加會議皆於教育部核准後。惟梁前校長在教育部核准 (101年4月3日) 前，曾於100年12月13日</w:t>
      </w:r>
      <w:r w:rsidR="007461DD" w:rsidRPr="0037275E">
        <w:rPr>
          <w:rFonts w:hAnsi="標楷體" w:hint="eastAsia"/>
          <w:color w:val="000000" w:themeColor="text1"/>
        </w:rPr>
        <w:t>（星期二）</w:t>
      </w:r>
      <w:r w:rsidR="00186211" w:rsidRPr="0037275E">
        <w:rPr>
          <w:rFonts w:hint="eastAsia"/>
          <w:color w:val="000000" w:themeColor="text1"/>
        </w:rPr>
        <w:t>參加辜公亮基金會第八屆第一次董事會議</w:t>
      </w:r>
      <w:r w:rsidRPr="0037275E">
        <w:rPr>
          <w:rFonts w:ascii="新細明體" w:eastAsia="新細明體" w:hAnsi="新細明體" w:hint="eastAsia"/>
          <w:color w:val="000000" w:themeColor="text1"/>
        </w:rPr>
        <w:t>。</w:t>
      </w:r>
    </w:p>
    <w:p w:rsidR="00F47FBF" w:rsidRPr="0037275E" w:rsidRDefault="00F47FBF" w:rsidP="001070DF">
      <w:pPr>
        <w:pStyle w:val="3"/>
        <w:rPr>
          <w:color w:val="000000" w:themeColor="text1"/>
        </w:rPr>
      </w:pPr>
      <w:r w:rsidRPr="0037275E">
        <w:rPr>
          <w:rFonts w:hint="eastAsia"/>
          <w:color w:val="000000" w:themeColor="text1"/>
        </w:rPr>
        <w:t>惟查</w:t>
      </w:r>
      <w:r w:rsidRPr="0037275E">
        <w:rPr>
          <w:rFonts w:ascii="新細明體" w:eastAsia="新細明體" w:hAnsi="新細明體" w:hint="eastAsia"/>
          <w:color w:val="000000" w:themeColor="text1"/>
        </w:rPr>
        <w:t>，</w:t>
      </w:r>
      <w:r w:rsidRPr="0037275E">
        <w:rPr>
          <w:rFonts w:hint="eastAsia"/>
          <w:color w:val="000000" w:themeColor="text1"/>
        </w:rPr>
        <w:t>依</w:t>
      </w:r>
      <w:r w:rsidRPr="0037275E">
        <w:rPr>
          <w:color w:val="000000" w:themeColor="text1"/>
        </w:rPr>
        <w:t>國立陽明大學</w:t>
      </w:r>
      <w:r w:rsidRPr="0037275E">
        <w:rPr>
          <w:rFonts w:hint="eastAsia"/>
          <w:color w:val="000000" w:themeColor="text1"/>
        </w:rPr>
        <w:t>查復之</w:t>
      </w:r>
      <w:r w:rsidRPr="0037275E">
        <w:rPr>
          <w:color w:val="000000" w:themeColor="text1"/>
        </w:rPr>
        <w:t>梁</w:t>
      </w:r>
      <w:r w:rsidRPr="0037275E">
        <w:rPr>
          <w:rFonts w:hint="eastAsia"/>
          <w:color w:val="000000" w:themeColor="text1"/>
        </w:rPr>
        <w:t>前校長任職期間</w:t>
      </w:r>
      <w:r w:rsidRPr="0037275E">
        <w:rPr>
          <w:color w:val="000000" w:themeColor="text1"/>
        </w:rPr>
        <w:t>差假</w:t>
      </w:r>
      <w:r w:rsidRPr="0037275E">
        <w:rPr>
          <w:rFonts w:hint="eastAsia"/>
          <w:color w:val="000000" w:themeColor="text1"/>
        </w:rPr>
        <w:t>情形彙整表（詳如附表）所示，並無參與上開</w:t>
      </w:r>
      <w:r w:rsidR="00A62D69" w:rsidRPr="0037275E">
        <w:rPr>
          <w:rFonts w:hint="eastAsia"/>
          <w:color w:val="000000" w:themeColor="text1"/>
        </w:rPr>
        <w:t>校外</w:t>
      </w:r>
      <w:r w:rsidRPr="0037275E">
        <w:rPr>
          <w:rFonts w:hint="eastAsia"/>
          <w:color w:val="000000" w:themeColor="text1"/>
        </w:rPr>
        <w:t>兼</w:t>
      </w:r>
      <w:r w:rsidR="00A62D69" w:rsidRPr="0037275E">
        <w:rPr>
          <w:rFonts w:hint="eastAsia"/>
          <w:color w:val="000000" w:themeColor="text1"/>
        </w:rPr>
        <w:t>任職務</w:t>
      </w:r>
      <w:r w:rsidRPr="0037275E">
        <w:rPr>
          <w:rFonts w:hint="eastAsia"/>
          <w:color w:val="000000" w:themeColor="text1"/>
        </w:rPr>
        <w:t>案件會議之</w:t>
      </w:r>
      <w:r w:rsidR="00A62D69" w:rsidRPr="0037275E">
        <w:rPr>
          <w:rFonts w:hint="eastAsia"/>
          <w:color w:val="000000" w:themeColor="text1"/>
        </w:rPr>
        <w:t>資料</w:t>
      </w:r>
      <w:r w:rsidRPr="0037275E">
        <w:rPr>
          <w:rFonts w:hint="eastAsia"/>
          <w:color w:val="000000" w:themeColor="text1"/>
        </w:rPr>
        <w:t>，</w:t>
      </w:r>
      <w:r w:rsidR="00352048" w:rsidRPr="0037275E">
        <w:rPr>
          <w:rFonts w:hint="eastAsia"/>
          <w:color w:val="000000" w:themeColor="text1"/>
        </w:rPr>
        <w:t>教育部對於有關</w:t>
      </w:r>
      <w:r w:rsidR="00352048" w:rsidRPr="0037275E">
        <w:rPr>
          <w:color w:val="000000" w:themeColor="text1"/>
        </w:rPr>
        <w:t>國立大學</w:t>
      </w:r>
      <w:r w:rsidR="00352048" w:rsidRPr="0037275E">
        <w:rPr>
          <w:rFonts w:hint="eastAsia"/>
          <w:color w:val="000000" w:themeColor="text1"/>
        </w:rPr>
        <w:t>校長</w:t>
      </w:r>
      <w:r w:rsidR="00352048" w:rsidRPr="0037275E">
        <w:rPr>
          <w:color w:val="000000" w:themeColor="text1"/>
        </w:rPr>
        <w:t>參加</w:t>
      </w:r>
      <w:r w:rsidR="00352048" w:rsidRPr="0037275E">
        <w:rPr>
          <w:rFonts w:hint="eastAsia"/>
          <w:color w:val="000000" w:themeColor="text1"/>
        </w:rPr>
        <w:t>校外兼職或職務相關機</w:t>
      </w:r>
      <w:r w:rsidR="00D178A3" w:rsidRPr="0037275E">
        <w:rPr>
          <w:rFonts w:hint="eastAsia"/>
          <w:color w:val="000000" w:themeColor="text1"/>
        </w:rPr>
        <w:t>關</w:t>
      </w:r>
      <w:r w:rsidR="00352048" w:rsidRPr="0037275E">
        <w:rPr>
          <w:rFonts w:hint="eastAsia"/>
          <w:color w:val="000000" w:themeColor="text1"/>
        </w:rPr>
        <w:t>構</w:t>
      </w:r>
      <w:r w:rsidR="00352048" w:rsidRPr="0037275E">
        <w:rPr>
          <w:color w:val="000000" w:themeColor="text1"/>
        </w:rPr>
        <w:t>團體</w:t>
      </w:r>
      <w:r w:rsidR="00352048" w:rsidRPr="0037275E">
        <w:rPr>
          <w:rFonts w:hint="eastAsia"/>
          <w:color w:val="000000" w:themeColor="text1"/>
        </w:rPr>
        <w:t>（</w:t>
      </w:r>
      <w:r w:rsidR="004E06CD" w:rsidRPr="0037275E">
        <w:rPr>
          <w:rFonts w:hint="eastAsia"/>
          <w:color w:val="000000" w:themeColor="text1"/>
        </w:rPr>
        <w:t>尤其</w:t>
      </w:r>
      <w:r w:rsidR="00352048" w:rsidRPr="0037275E">
        <w:rPr>
          <w:rFonts w:hint="eastAsia"/>
          <w:color w:val="000000" w:themeColor="text1"/>
        </w:rPr>
        <w:t>如</w:t>
      </w:r>
      <w:r w:rsidR="004E06CD" w:rsidRPr="0037275E">
        <w:rPr>
          <w:rFonts w:hint="eastAsia"/>
          <w:color w:val="000000" w:themeColor="text1"/>
        </w:rPr>
        <w:t>距離相近之</w:t>
      </w:r>
      <w:r w:rsidR="00352048" w:rsidRPr="0037275E">
        <w:rPr>
          <w:rFonts w:hint="eastAsia"/>
          <w:color w:val="000000" w:themeColor="text1"/>
        </w:rPr>
        <w:t>教育部、衛生福利部</w:t>
      </w:r>
      <w:r w:rsidR="00AB309B" w:rsidRPr="0037275E">
        <w:rPr>
          <w:rFonts w:hint="eastAsia"/>
          <w:color w:val="000000" w:themeColor="text1"/>
        </w:rPr>
        <w:t>、科技部</w:t>
      </w:r>
      <w:r w:rsidR="00352048" w:rsidRPr="0037275E">
        <w:rPr>
          <w:rFonts w:hint="eastAsia"/>
          <w:color w:val="000000" w:themeColor="text1"/>
        </w:rPr>
        <w:t>等）</w:t>
      </w:r>
      <w:r w:rsidR="00352048" w:rsidRPr="0037275E">
        <w:rPr>
          <w:color w:val="000000" w:themeColor="text1"/>
        </w:rPr>
        <w:t>會議</w:t>
      </w:r>
      <w:r w:rsidR="00352048" w:rsidRPr="0037275E">
        <w:rPr>
          <w:rFonts w:hint="eastAsia"/>
          <w:color w:val="000000" w:themeColor="text1"/>
        </w:rPr>
        <w:t>該如何請假，其相關規範允宜妥予考量研議</w:t>
      </w:r>
      <w:r w:rsidR="00A62D69" w:rsidRPr="0037275E">
        <w:rPr>
          <w:rFonts w:hint="eastAsia"/>
          <w:color w:val="000000" w:themeColor="text1"/>
        </w:rPr>
        <w:t>。</w:t>
      </w:r>
    </w:p>
    <w:p w:rsidR="003A5927" w:rsidRDefault="003A5927" w:rsidP="00DE4238">
      <w:pPr>
        <w:pStyle w:val="32"/>
        <w:ind w:left="1361" w:firstLine="680"/>
      </w:pPr>
    </w:p>
    <w:p w:rsidR="003A5927" w:rsidRDefault="003A5927" w:rsidP="00DE4238">
      <w:pPr>
        <w:pStyle w:val="32"/>
        <w:ind w:left="1361" w:firstLine="680"/>
      </w:pP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A13943">
        <w:t xml:space="preserve"> </w:t>
      </w:r>
    </w:p>
    <w:p w:rsidR="00FB7770" w:rsidRDefault="00FB7770" w:rsidP="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rPr>
        <w:t>調查意見</w:t>
      </w:r>
      <w:r w:rsidR="0080715F">
        <w:rPr>
          <w:rFonts w:hint="eastAsia"/>
        </w:rPr>
        <w:t>一</w:t>
      </w:r>
      <w:r>
        <w:rPr>
          <w:rFonts w:hint="eastAsia"/>
        </w:rPr>
        <w:t>，</w:t>
      </w:r>
      <w:r w:rsidR="00D07154">
        <w:rPr>
          <w:rFonts w:hint="eastAsia"/>
        </w:rPr>
        <w:t>函請教育部檢討改進見復</w:t>
      </w:r>
      <w:r>
        <w:rPr>
          <w:rFonts w:hAnsi="標楷體" w:hint="eastAsia"/>
        </w:rPr>
        <w:t>。</w:t>
      </w:r>
      <w:bookmarkEnd w:id="77"/>
      <w:bookmarkEnd w:id="78"/>
      <w:bookmarkEnd w:id="79"/>
      <w:bookmarkEnd w:id="80"/>
      <w:bookmarkEnd w:id="81"/>
      <w:bookmarkEnd w:id="82"/>
      <w:bookmarkEnd w:id="83"/>
    </w:p>
    <w:p w:rsidR="00FB7770" w:rsidRDefault="00E25849" w:rsidP="00F804D3">
      <w:pPr>
        <w:pStyle w:val="2"/>
      </w:pPr>
      <w:bookmarkStart w:id="103" w:name="_Toc421794877"/>
      <w:bookmarkStart w:id="104" w:name="_Toc421795443"/>
      <w:bookmarkStart w:id="105" w:name="_Toc421796024"/>
      <w:bookmarkStart w:id="106" w:name="_Toc422728959"/>
      <w:bookmarkStart w:id="107" w:name="_Toc422834162"/>
      <w:r>
        <w:rPr>
          <w:rFonts w:hint="eastAsia"/>
        </w:rPr>
        <w:t>調查意見</w:t>
      </w:r>
      <w:r w:rsidR="0080715F">
        <w:rPr>
          <w:rFonts w:hint="eastAsia"/>
        </w:rPr>
        <w:t>二</w:t>
      </w:r>
      <w:r>
        <w:rPr>
          <w:rFonts w:hint="eastAsia"/>
        </w:rPr>
        <w:t>，</w:t>
      </w: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Start w:id="117" w:name="_Toc69556899"/>
      <w:bookmarkStart w:id="118" w:name="_Toc69556948"/>
      <w:bookmarkStart w:id="119" w:name="_Toc69609822"/>
      <w:bookmarkEnd w:id="84"/>
      <w:bookmarkEnd w:id="85"/>
      <w:bookmarkEnd w:id="86"/>
      <w:bookmarkEnd w:id="87"/>
      <w:bookmarkEnd w:id="88"/>
      <w:bookmarkEnd w:id="89"/>
      <w:bookmarkEnd w:id="90"/>
      <w:bookmarkEnd w:id="91"/>
      <w:bookmarkEnd w:id="103"/>
      <w:bookmarkEnd w:id="104"/>
      <w:bookmarkEnd w:id="105"/>
      <w:bookmarkEnd w:id="106"/>
      <w:bookmarkEnd w:id="107"/>
      <w:r w:rsidR="00FB7770">
        <w:rPr>
          <w:rFonts w:hint="eastAsia"/>
        </w:rPr>
        <w:t>函</w:t>
      </w:r>
      <w:r w:rsidR="0080715F">
        <w:rPr>
          <w:rFonts w:hint="eastAsia"/>
        </w:rPr>
        <w:t>請教育部</w:t>
      </w:r>
      <w:r w:rsidR="001070DF">
        <w:rPr>
          <w:rFonts w:hint="eastAsia"/>
        </w:rPr>
        <w:t>並</w:t>
      </w:r>
      <w:r w:rsidR="00D07154">
        <w:rPr>
          <w:rFonts w:hint="eastAsia"/>
        </w:rPr>
        <w:t>督促</w:t>
      </w:r>
      <w:r w:rsidR="00D07154" w:rsidRPr="005A333F">
        <w:t>國立陽明大學</w:t>
      </w:r>
      <w:r w:rsidR="0080715F">
        <w:rPr>
          <w:rFonts w:hint="eastAsia"/>
        </w:rPr>
        <w:t>確實檢討改進見復</w:t>
      </w:r>
      <w:r w:rsidR="00FB7770">
        <w:rPr>
          <w:rFonts w:hint="eastAsia"/>
        </w:rPr>
        <w:t>。</w:t>
      </w:r>
      <w:bookmarkEnd w:id="108"/>
      <w:bookmarkEnd w:id="109"/>
      <w:bookmarkEnd w:id="110"/>
      <w:bookmarkEnd w:id="111"/>
      <w:bookmarkEnd w:id="112"/>
      <w:bookmarkEnd w:id="113"/>
      <w:bookmarkEnd w:id="114"/>
    </w:p>
    <w:bookmarkEnd w:id="92"/>
    <w:bookmarkEnd w:id="93"/>
    <w:bookmarkEnd w:id="94"/>
    <w:bookmarkEnd w:id="95"/>
    <w:bookmarkEnd w:id="96"/>
    <w:bookmarkEnd w:id="97"/>
    <w:bookmarkEnd w:id="98"/>
    <w:bookmarkEnd w:id="99"/>
    <w:bookmarkEnd w:id="100"/>
    <w:bookmarkEnd w:id="101"/>
    <w:bookmarkEnd w:id="102"/>
    <w:bookmarkEnd w:id="115"/>
    <w:bookmarkEnd w:id="116"/>
    <w:bookmarkEnd w:id="117"/>
    <w:bookmarkEnd w:id="118"/>
    <w:bookmarkEnd w:id="119"/>
    <w:p w:rsidR="00A700EB" w:rsidRDefault="00A700EB" w:rsidP="007B221C">
      <w:pPr>
        <w:pStyle w:val="2"/>
        <w:numPr>
          <w:ilvl w:val="0"/>
          <w:numId w:val="0"/>
        </w:numPr>
        <w:ind w:left="1021"/>
        <w:rPr>
          <w:rFonts w:hint="eastAsia"/>
        </w:rPr>
      </w:pPr>
    </w:p>
    <w:p w:rsidR="00E25849" w:rsidRDefault="00E25849" w:rsidP="00ED1963">
      <w:pPr>
        <w:pStyle w:val="aa"/>
        <w:spacing w:beforeLines="150" w:before="685" w:after="0"/>
        <w:ind w:leftChars="1100" w:left="3742"/>
        <w:rPr>
          <w:b w:val="0"/>
          <w:bCs/>
          <w:snapToGrid/>
          <w:spacing w:val="12"/>
          <w:kern w:val="0"/>
          <w:sz w:val="40"/>
        </w:rPr>
      </w:pPr>
      <w:r>
        <w:rPr>
          <w:rFonts w:hint="eastAsia"/>
          <w:b w:val="0"/>
          <w:bCs/>
          <w:snapToGrid/>
          <w:spacing w:val="12"/>
          <w:kern w:val="0"/>
          <w:sz w:val="40"/>
        </w:rPr>
        <w:t>調查委員：</w:t>
      </w:r>
      <w:r w:rsidR="007B221C">
        <w:rPr>
          <w:rFonts w:hint="eastAsia"/>
          <w:b w:val="0"/>
          <w:bCs/>
          <w:snapToGrid/>
          <w:spacing w:val="12"/>
          <w:kern w:val="0"/>
          <w:sz w:val="40"/>
        </w:rPr>
        <w:t>張武修</w:t>
      </w:r>
    </w:p>
    <w:p w:rsidR="007B221C" w:rsidRDefault="007B221C" w:rsidP="007B221C">
      <w:pPr>
        <w:pStyle w:val="aa"/>
        <w:spacing w:beforeLines="150" w:before="685" w:after="0"/>
        <w:ind w:leftChars="1751" w:left="5956"/>
        <w:rPr>
          <w:rFonts w:hint="eastAsia"/>
          <w:b w:val="0"/>
          <w:bCs/>
          <w:snapToGrid/>
          <w:spacing w:val="12"/>
          <w:kern w:val="0"/>
          <w:sz w:val="40"/>
        </w:rPr>
      </w:pPr>
      <w:r>
        <w:rPr>
          <w:rFonts w:hint="eastAsia"/>
          <w:b w:val="0"/>
          <w:bCs/>
          <w:snapToGrid/>
          <w:spacing w:val="12"/>
          <w:kern w:val="0"/>
          <w:sz w:val="40"/>
        </w:rPr>
        <w:t>高涌誠</w:t>
      </w:r>
    </w:p>
    <w:p w:rsidR="00D07154" w:rsidRDefault="00D07154" w:rsidP="00ED1963">
      <w:pPr>
        <w:pStyle w:val="aa"/>
        <w:spacing w:beforeLines="150" w:before="685" w:after="0"/>
        <w:ind w:leftChars="1100" w:left="3742"/>
        <w:rPr>
          <w:rFonts w:ascii="Times New Roman"/>
          <w:b w:val="0"/>
          <w:bCs/>
          <w:snapToGrid/>
          <w:spacing w:val="0"/>
          <w:kern w:val="0"/>
          <w:sz w:val="40"/>
        </w:rPr>
      </w:pPr>
    </w:p>
    <w:p w:rsidR="00416721" w:rsidRDefault="00416721" w:rsidP="00A07B4B">
      <w:pPr>
        <w:pStyle w:val="af1"/>
        <w:kinsoku/>
        <w:autoSpaceDE w:val="0"/>
        <w:spacing w:beforeLines="50" w:before="228"/>
        <w:ind w:left="1020" w:hanging="1020"/>
        <w:rPr>
          <w:bCs/>
        </w:rPr>
      </w:pPr>
    </w:p>
    <w:p w:rsidR="00416721" w:rsidRDefault="00416721">
      <w:pPr>
        <w:widowControl/>
        <w:overflowPunct/>
        <w:autoSpaceDE/>
        <w:autoSpaceDN/>
        <w:jc w:val="left"/>
        <w:rPr>
          <w:bCs/>
          <w:kern w:val="0"/>
        </w:rPr>
      </w:pPr>
    </w:p>
    <w:p w:rsidR="00FB3B81" w:rsidRDefault="00FB3B81">
      <w:pPr>
        <w:widowControl/>
        <w:overflowPunct/>
        <w:autoSpaceDE/>
        <w:autoSpaceDN/>
        <w:jc w:val="left"/>
        <w:rPr>
          <w:bCs/>
          <w:kern w:val="0"/>
        </w:rPr>
      </w:pPr>
    </w:p>
    <w:p w:rsidR="00FB3B81" w:rsidRDefault="00FB3B81">
      <w:pPr>
        <w:widowControl/>
        <w:overflowPunct/>
        <w:autoSpaceDE/>
        <w:autoSpaceDN/>
        <w:jc w:val="left"/>
        <w:rPr>
          <w:bCs/>
          <w:kern w:val="0"/>
        </w:rPr>
      </w:pPr>
    </w:p>
    <w:p w:rsidR="003D45F7" w:rsidRDefault="003D45F7">
      <w:pPr>
        <w:widowControl/>
        <w:overflowPunct/>
        <w:autoSpaceDE/>
        <w:autoSpaceDN/>
        <w:jc w:val="left"/>
        <w:rPr>
          <w:bCs/>
          <w:kern w:val="0"/>
        </w:rPr>
      </w:pPr>
    </w:p>
    <w:p w:rsidR="003D45F7" w:rsidRPr="003D45F7" w:rsidRDefault="003D45F7">
      <w:pPr>
        <w:widowControl/>
        <w:overflowPunct/>
        <w:autoSpaceDE/>
        <w:autoSpaceDN/>
        <w:jc w:val="left"/>
        <w:rPr>
          <w:bCs/>
          <w:kern w:val="0"/>
        </w:rPr>
      </w:pPr>
    </w:p>
    <w:p w:rsidR="00FB3B81" w:rsidRDefault="00FB3B81">
      <w:pPr>
        <w:widowControl/>
        <w:overflowPunct/>
        <w:autoSpaceDE/>
        <w:autoSpaceDN/>
        <w:jc w:val="left"/>
        <w:rPr>
          <w:bCs/>
          <w:kern w:val="0"/>
        </w:rPr>
      </w:pPr>
    </w:p>
    <w:p w:rsidR="00FB3B81" w:rsidRDefault="00FB3B81">
      <w:pPr>
        <w:widowControl/>
        <w:overflowPunct/>
        <w:autoSpaceDE/>
        <w:autoSpaceDN/>
        <w:jc w:val="left"/>
        <w:rPr>
          <w:bCs/>
          <w:kern w:val="0"/>
        </w:rPr>
      </w:pPr>
    </w:p>
    <w:p w:rsidR="00FB3B81" w:rsidRDefault="00FB3B81">
      <w:pPr>
        <w:widowControl/>
        <w:overflowPunct/>
        <w:autoSpaceDE/>
        <w:autoSpaceDN/>
        <w:jc w:val="left"/>
        <w:rPr>
          <w:bCs/>
          <w:kern w:val="0"/>
        </w:rPr>
      </w:pPr>
    </w:p>
    <w:p w:rsidR="00FB3B81" w:rsidRDefault="00FB3B81">
      <w:pPr>
        <w:widowControl/>
        <w:overflowPunct/>
        <w:autoSpaceDE/>
        <w:autoSpaceDN/>
        <w:jc w:val="left"/>
        <w:rPr>
          <w:bCs/>
          <w:kern w:val="0"/>
        </w:rPr>
      </w:pPr>
    </w:p>
    <w:p w:rsidR="00FB3B81" w:rsidRDefault="00FB3B81">
      <w:pPr>
        <w:widowControl/>
        <w:overflowPunct/>
        <w:autoSpaceDE/>
        <w:autoSpaceDN/>
        <w:jc w:val="left"/>
        <w:rPr>
          <w:bCs/>
          <w:kern w:val="0"/>
        </w:rPr>
      </w:pPr>
    </w:p>
    <w:p w:rsidR="00FB3B81" w:rsidRDefault="00FB3B81">
      <w:pPr>
        <w:widowControl/>
        <w:overflowPunct/>
        <w:autoSpaceDE/>
        <w:autoSpaceDN/>
        <w:jc w:val="left"/>
        <w:rPr>
          <w:bCs/>
          <w:kern w:val="0"/>
        </w:rPr>
      </w:pPr>
    </w:p>
    <w:p w:rsidR="00FB3B81" w:rsidRPr="00FB3B81" w:rsidRDefault="00FB3B81">
      <w:pPr>
        <w:widowControl/>
        <w:overflowPunct/>
        <w:autoSpaceDE/>
        <w:autoSpaceDN/>
        <w:jc w:val="left"/>
        <w:rPr>
          <w:bCs/>
          <w:kern w:val="0"/>
        </w:rPr>
      </w:pPr>
    </w:p>
    <w:p w:rsidR="00FB3B81" w:rsidRDefault="00FB3B81">
      <w:pPr>
        <w:widowControl/>
        <w:overflowPunct/>
        <w:autoSpaceDE/>
        <w:autoSpaceDN/>
        <w:jc w:val="left"/>
        <w:rPr>
          <w:bCs/>
          <w:kern w:val="0"/>
        </w:rPr>
      </w:pPr>
      <w:bookmarkStart w:id="120" w:name="_GoBack"/>
      <w:bookmarkEnd w:id="120"/>
    </w:p>
    <w:sectPr w:rsidR="00FB3B8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816" w:rsidRDefault="00AD6816">
      <w:r>
        <w:separator/>
      </w:r>
    </w:p>
  </w:endnote>
  <w:endnote w:type="continuationSeparator" w:id="0">
    <w:p w:rsidR="00AD6816" w:rsidRDefault="00AD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C3C" w:rsidRDefault="002B1C3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B221C">
      <w:rPr>
        <w:rStyle w:val="ad"/>
        <w:noProof/>
        <w:sz w:val="24"/>
      </w:rPr>
      <w:t>2</w:t>
    </w:r>
    <w:r>
      <w:rPr>
        <w:rStyle w:val="ad"/>
        <w:sz w:val="24"/>
      </w:rPr>
      <w:fldChar w:fldCharType="end"/>
    </w:r>
  </w:p>
  <w:p w:rsidR="002B1C3C" w:rsidRDefault="002B1C3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816" w:rsidRDefault="00AD6816">
      <w:r>
        <w:separator/>
      </w:r>
    </w:p>
  </w:footnote>
  <w:footnote w:type="continuationSeparator" w:id="0">
    <w:p w:rsidR="00AD6816" w:rsidRDefault="00AD6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59471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26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680"/>
    <w:rsid w:val="000057F9"/>
    <w:rsid w:val="0000587E"/>
    <w:rsid w:val="00006961"/>
    <w:rsid w:val="00006D89"/>
    <w:rsid w:val="00007679"/>
    <w:rsid w:val="000112BF"/>
    <w:rsid w:val="00012233"/>
    <w:rsid w:val="00014EC9"/>
    <w:rsid w:val="0001703F"/>
    <w:rsid w:val="00017318"/>
    <w:rsid w:val="000179AF"/>
    <w:rsid w:val="00022FE6"/>
    <w:rsid w:val="000246F7"/>
    <w:rsid w:val="00025CCA"/>
    <w:rsid w:val="00027287"/>
    <w:rsid w:val="0003114D"/>
    <w:rsid w:val="000346B1"/>
    <w:rsid w:val="0003670D"/>
    <w:rsid w:val="00036D76"/>
    <w:rsid w:val="00042C02"/>
    <w:rsid w:val="00044E49"/>
    <w:rsid w:val="00045944"/>
    <w:rsid w:val="000550EC"/>
    <w:rsid w:val="00057F32"/>
    <w:rsid w:val="0006121B"/>
    <w:rsid w:val="000621F5"/>
    <w:rsid w:val="00062A25"/>
    <w:rsid w:val="0006680F"/>
    <w:rsid w:val="00072D68"/>
    <w:rsid w:val="00073CB5"/>
    <w:rsid w:val="0007425C"/>
    <w:rsid w:val="00077553"/>
    <w:rsid w:val="000851A2"/>
    <w:rsid w:val="000851E4"/>
    <w:rsid w:val="00085D18"/>
    <w:rsid w:val="00087BA5"/>
    <w:rsid w:val="0009352E"/>
    <w:rsid w:val="00096B96"/>
    <w:rsid w:val="000A2D9C"/>
    <w:rsid w:val="000A2F3F"/>
    <w:rsid w:val="000A33D2"/>
    <w:rsid w:val="000B0B4A"/>
    <w:rsid w:val="000B18D5"/>
    <w:rsid w:val="000B1A72"/>
    <w:rsid w:val="000B2012"/>
    <w:rsid w:val="000B279A"/>
    <w:rsid w:val="000B61D2"/>
    <w:rsid w:val="000B70A7"/>
    <w:rsid w:val="000B73DD"/>
    <w:rsid w:val="000C20EB"/>
    <w:rsid w:val="000C27D4"/>
    <w:rsid w:val="000C2FF5"/>
    <w:rsid w:val="000C495F"/>
    <w:rsid w:val="000D2D08"/>
    <w:rsid w:val="000D2E3E"/>
    <w:rsid w:val="000D5C7B"/>
    <w:rsid w:val="000D7012"/>
    <w:rsid w:val="000E3CF4"/>
    <w:rsid w:val="000E3E2B"/>
    <w:rsid w:val="000E6431"/>
    <w:rsid w:val="000E65DE"/>
    <w:rsid w:val="000F0AF5"/>
    <w:rsid w:val="000F1CE9"/>
    <w:rsid w:val="000F21A5"/>
    <w:rsid w:val="000F337D"/>
    <w:rsid w:val="000F72C7"/>
    <w:rsid w:val="00102B9F"/>
    <w:rsid w:val="001070DF"/>
    <w:rsid w:val="00107758"/>
    <w:rsid w:val="00112637"/>
    <w:rsid w:val="00112766"/>
    <w:rsid w:val="00112ABC"/>
    <w:rsid w:val="00112D11"/>
    <w:rsid w:val="0011692E"/>
    <w:rsid w:val="0012001E"/>
    <w:rsid w:val="00122FB4"/>
    <w:rsid w:val="00125741"/>
    <w:rsid w:val="00126A55"/>
    <w:rsid w:val="00132FDB"/>
    <w:rsid w:val="00133F08"/>
    <w:rsid w:val="001345E6"/>
    <w:rsid w:val="001349B2"/>
    <w:rsid w:val="001378B0"/>
    <w:rsid w:val="00142385"/>
    <w:rsid w:val="00142E00"/>
    <w:rsid w:val="001464AD"/>
    <w:rsid w:val="00152793"/>
    <w:rsid w:val="0015304B"/>
    <w:rsid w:val="00153B7E"/>
    <w:rsid w:val="001545A9"/>
    <w:rsid w:val="00156273"/>
    <w:rsid w:val="001637C7"/>
    <w:rsid w:val="0016480E"/>
    <w:rsid w:val="00165E60"/>
    <w:rsid w:val="00170038"/>
    <w:rsid w:val="00170ED1"/>
    <w:rsid w:val="001735B3"/>
    <w:rsid w:val="00174297"/>
    <w:rsid w:val="001802AB"/>
    <w:rsid w:val="00180E06"/>
    <w:rsid w:val="001817B3"/>
    <w:rsid w:val="00183014"/>
    <w:rsid w:val="00183320"/>
    <w:rsid w:val="00184796"/>
    <w:rsid w:val="00185199"/>
    <w:rsid w:val="00186211"/>
    <w:rsid w:val="00194641"/>
    <w:rsid w:val="001959C2"/>
    <w:rsid w:val="00196116"/>
    <w:rsid w:val="00196747"/>
    <w:rsid w:val="001A014B"/>
    <w:rsid w:val="001A2715"/>
    <w:rsid w:val="001A51E3"/>
    <w:rsid w:val="001A522C"/>
    <w:rsid w:val="001A72A8"/>
    <w:rsid w:val="001A7968"/>
    <w:rsid w:val="001B2E98"/>
    <w:rsid w:val="001B3483"/>
    <w:rsid w:val="001B3C1E"/>
    <w:rsid w:val="001B4494"/>
    <w:rsid w:val="001C0D8B"/>
    <w:rsid w:val="001C0DA8"/>
    <w:rsid w:val="001D124D"/>
    <w:rsid w:val="001D4AD7"/>
    <w:rsid w:val="001E0D8A"/>
    <w:rsid w:val="001E244C"/>
    <w:rsid w:val="001E4AAF"/>
    <w:rsid w:val="001E5B63"/>
    <w:rsid w:val="001E6575"/>
    <w:rsid w:val="001E67BA"/>
    <w:rsid w:val="001E736E"/>
    <w:rsid w:val="001E74C2"/>
    <w:rsid w:val="001E7DDC"/>
    <w:rsid w:val="001F4F82"/>
    <w:rsid w:val="001F56CE"/>
    <w:rsid w:val="001F5A48"/>
    <w:rsid w:val="001F6260"/>
    <w:rsid w:val="001F6432"/>
    <w:rsid w:val="00200007"/>
    <w:rsid w:val="002030A5"/>
    <w:rsid w:val="00203131"/>
    <w:rsid w:val="002035CA"/>
    <w:rsid w:val="00206D46"/>
    <w:rsid w:val="00207185"/>
    <w:rsid w:val="002076CF"/>
    <w:rsid w:val="00212E88"/>
    <w:rsid w:val="00213C9C"/>
    <w:rsid w:val="00215230"/>
    <w:rsid w:val="00215FB2"/>
    <w:rsid w:val="00216A95"/>
    <w:rsid w:val="0022009E"/>
    <w:rsid w:val="00223241"/>
    <w:rsid w:val="0022425C"/>
    <w:rsid w:val="002246DE"/>
    <w:rsid w:val="002270E4"/>
    <w:rsid w:val="00230E90"/>
    <w:rsid w:val="002315C3"/>
    <w:rsid w:val="0023619F"/>
    <w:rsid w:val="00243B4E"/>
    <w:rsid w:val="00243FF0"/>
    <w:rsid w:val="0024737E"/>
    <w:rsid w:val="00252BC4"/>
    <w:rsid w:val="00252C48"/>
    <w:rsid w:val="00252EEC"/>
    <w:rsid w:val="00254014"/>
    <w:rsid w:val="00254B39"/>
    <w:rsid w:val="0026504D"/>
    <w:rsid w:val="0027100E"/>
    <w:rsid w:val="002712F7"/>
    <w:rsid w:val="00273839"/>
    <w:rsid w:val="00273A2F"/>
    <w:rsid w:val="00273A6B"/>
    <w:rsid w:val="00274F33"/>
    <w:rsid w:val="00280986"/>
    <w:rsid w:val="00281ECE"/>
    <w:rsid w:val="00282EA7"/>
    <w:rsid w:val="002831C7"/>
    <w:rsid w:val="002840C6"/>
    <w:rsid w:val="00286918"/>
    <w:rsid w:val="00295174"/>
    <w:rsid w:val="0029521C"/>
    <w:rsid w:val="00296172"/>
    <w:rsid w:val="002963FF"/>
    <w:rsid w:val="00296B92"/>
    <w:rsid w:val="002A2C22"/>
    <w:rsid w:val="002A6A56"/>
    <w:rsid w:val="002B02EB"/>
    <w:rsid w:val="002B1C3C"/>
    <w:rsid w:val="002B2E44"/>
    <w:rsid w:val="002B3EB1"/>
    <w:rsid w:val="002B4A9B"/>
    <w:rsid w:val="002C0602"/>
    <w:rsid w:val="002C0AAB"/>
    <w:rsid w:val="002C2D23"/>
    <w:rsid w:val="002C3D53"/>
    <w:rsid w:val="002C4A65"/>
    <w:rsid w:val="002C5208"/>
    <w:rsid w:val="002C7B3F"/>
    <w:rsid w:val="002D3001"/>
    <w:rsid w:val="002D5C16"/>
    <w:rsid w:val="002D5DD8"/>
    <w:rsid w:val="002E03B4"/>
    <w:rsid w:val="002E16D3"/>
    <w:rsid w:val="002E17F2"/>
    <w:rsid w:val="002E6AB2"/>
    <w:rsid w:val="002F001A"/>
    <w:rsid w:val="002F2476"/>
    <w:rsid w:val="002F3DFF"/>
    <w:rsid w:val="002F51E4"/>
    <w:rsid w:val="002F5E05"/>
    <w:rsid w:val="002F6718"/>
    <w:rsid w:val="0030187A"/>
    <w:rsid w:val="00306443"/>
    <w:rsid w:val="0030703B"/>
    <w:rsid w:val="00307A76"/>
    <w:rsid w:val="00312F39"/>
    <w:rsid w:val="0031543F"/>
    <w:rsid w:val="00315A16"/>
    <w:rsid w:val="00317053"/>
    <w:rsid w:val="0032109C"/>
    <w:rsid w:val="00322B45"/>
    <w:rsid w:val="00322C0D"/>
    <w:rsid w:val="00323809"/>
    <w:rsid w:val="00323D41"/>
    <w:rsid w:val="00325414"/>
    <w:rsid w:val="00327690"/>
    <w:rsid w:val="003302F1"/>
    <w:rsid w:val="0033032A"/>
    <w:rsid w:val="00330D30"/>
    <w:rsid w:val="003333FC"/>
    <w:rsid w:val="00342E1C"/>
    <w:rsid w:val="00344048"/>
    <w:rsid w:val="0034470E"/>
    <w:rsid w:val="003449FA"/>
    <w:rsid w:val="0035013A"/>
    <w:rsid w:val="00351269"/>
    <w:rsid w:val="00352048"/>
    <w:rsid w:val="00352DB0"/>
    <w:rsid w:val="00355194"/>
    <w:rsid w:val="00361063"/>
    <w:rsid w:val="0037094A"/>
    <w:rsid w:val="00371E58"/>
    <w:rsid w:val="00371ED3"/>
    <w:rsid w:val="0037275E"/>
    <w:rsid w:val="00372FFC"/>
    <w:rsid w:val="00373789"/>
    <w:rsid w:val="00373C07"/>
    <w:rsid w:val="00376A5E"/>
    <w:rsid w:val="0037728A"/>
    <w:rsid w:val="00380B7D"/>
    <w:rsid w:val="0038170C"/>
    <w:rsid w:val="00381A99"/>
    <w:rsid w:val="00381D06"/>
    <w:rsid w:val="003829C2"/>
    <w:rsid w:val="003830B2"/>
    <w:rsid w:val="00384724"/>
    <w:rsid w:val="003919B7"/>
    <w:rsid w:val="00391D57"/>
    <w:rsid w:val="00392292"/>
    <w:rsid w:val="003924EB"/>
    <w:rsid w:val="00392508"/>
    <w:rsid w:val="00394F45"/>
    <w:rsid w:val="00395EDE"/>
    <w:rsid w:val="003A252A"/>
    <w:rsid w:val="003A3C70"/>
    <w:rsid w:val="003A568B"/>
    <w:rsid w:val="003A5927"/>
    <w:rsid w:val="003A6AFB"/>
    <w:rsid w:val="003B1017"/>
    <w:rsid w:val="003B3C07"/>
    <w:rsid w:val="003B48B5"/>
    <w:rsid w:val="003B4C4F"/>
    <w:rsid w:val="003B6081"/>
    <w:rsid w:val="003B6775"/>
    <w:rsid w:val="003C0C50"/>
    <w:rsid w:val="003C19E8"/>
    <w:rsid w:val="003C1AB9"/>
    <w:rsid w:val="003C2258"/>
    <w:rsid w:val="003C441D"/>
    <w:rsid w:val="003C482F"/>
    <w:rsid w:val="003C5FE2"/>
    <w:rsid w:val="003C7D27"/>
    <w:rsid w:val="003D05FB"/>
    <w:rsid w:val="003D1B16"/>
    <w:rsid w:val="003D37DE"/>
    <w:rsid w:val="003D3ACF"/>
    <w:rsid w:val="003D3B68"/>
    <w:rsid w:val="003D45BF"/>
    <w:rsid w:val="003D45F7"/>
    <w:rsid w:val="003D508A"/>
    <w:rsid w:val="003D537F"/>
    <w:rsid w:val="003D7B75"/>
    <w:rsid w:val="003E0208"/>
    <w:rsid w:val="003E1B2E"/>
    <w:rsid w:val="003E4B57"/>
    <w:rsid w:val="003E58A8"/>
    <w:rsid w:val="003F0F2E"/>
    <w:rsid w:val="003F2270"/>
    <w:rsid w:val="003F27E1"/>
    <w:rsid w:val="003F437A"/>
    <w:rsid w:val="003F5C2B"/>
    <w:rsid w:val="003F7078"/>
    <w:rsid w:val="003F71C8"/>
    <w:rsid w:val="003F7EEB"/>
    <w:rsid w:val="00402240"/>
    <w:rsid w:val="004023E9"/>
    <w:rsid w:val="004031B3"/>
    <w:rsid w:val="004032A9"/>
    <w:rsid w:val="0040454A"/>
    <w:rsid w:val="00410285"/>
    <w:rsid w:val="0041224D"/>
    <w:rsid w:val="00413444"/>
    <w:rsid w:val="00413F83"/>
    <w:rsid w:val="0041490C"/>
    <w:rsid w:val="00416191"/>
    <w:rsid w:val="00416721"/>
    <w:rsid w:val="00420E35"/>
    <w:rsid w:val="00421EF0"/>
    <w:rsid w:val="004224FA"/>
    <w:rsid w:val="00423D07"/>
    <w:rsid w:val="004275D0"/>
    <w:rsid w:val="00427936"/>
    <w:rsid w:val="0043106D"/>
    <w:rsid w:val="0043350E"/>
    <w:rsid w:val="0044346F"/>
    <w:rsid w:val="00446534"/>
    <w:rsid w:val="004469EC"/>
    <w:rsid w:val="00447BAD"/>
    <w:rsid w:val="00453FF6"/>
    <w:rsid w:val="004546A6"/>
    <w:rsid w:val="00454FF6"/>
    <w:rsid w:val="00455F18"/>
    <w:rsid w:val="00460258"/>
    <w:rsid w:val="0046026E"/>
    <w:rsid w:val="00460FBA"/>
    <w:rsid w:val="004618E4"/>
    <w:rsid w:val="0046520A"/>
    <w:rsid w:val="00465429"/>
    <w:rsid w:val="004672AB"/>
    <w:rsid w:val="004712E7"/>
    <w:rsid w:val="0047137D"/>
    <w:rsid w:val="004714FE"/>
    <w:rsid w:val="004719F6"/>
    <w:rsid w:val="004730A7"/>
    <w:rsid w:val="00477BAA"/>
    <w:rsid w:val="00484978"/>
    <w:rsid w:val="0048662A"/>
    <w:rsid w:val="004939BA"/>
    <w:rsid w:val="00495053"/>
    <w:rsid w:val="004A1613"/>
    <w:rsid w:val="004A1F59"/>
    <w:rsid w:val="004A24BD"/>
    <w:rsid w:val="004A29BE"/>
    <w:rsid w:val="004A3225"/>
    <w:rsid w:val="004A3233"/>
    <w:rsid w:val="004A33EE"/>
    <w:rsid w:val="004A3AA8"/>
    <w:rsid w:val="004A3B92"/>
    <w:rsid w:val="004A6922"/>
    <w:rsid w:val="004A6D52"/>
    <w:rsid w:val="004A76E2"/>
    <w:rsid w:val="004B13C7"/>
    <w:rsid w:val="004B554F"/>
    <w:rsid w:val="004B778F"/>
    <w:rsid w:val="004C0609"/>
    <w:rsid w:val="004D0802"/>
    <w:rsid w:val="004D141F"/>
    <w:rsid w:val="004D2742"/>
    <w:rsid w:val="004D5048"/>
    <w:rsid w:val="004D6310"/>
    <w:rsid w:val="004D6DA6"/>
    <w:rsid w:val="004E0062"/>
    <w:rsid w:val="004E05A1"/>
    <w:rsid w:val="004E06CD"/>
    <w:rsid w:val="004E486E"/>
    <w:rsid w:val="004F10B9"/>
    <w:rsid w:val="004F1591"/>
    <w:rsid w:val="004F472A"/>
    <w:rsid w:val="004F5E57"/>
    <w:rsid w:val="004F6710"/>
    <w:rsid w:val="00500473"/>
    <w:rsid w:val="00500C3E"/>
    <w:rsid w:val="00502849"/>
    <w:rsid w:val="00502B52"/>
    <w:rsid w:val="00504334"/>
    <w:rsid w:val="005046FF"/>
    <w:rsid w:val="0050498D"/>
    <w:rsid w:val="005104D7"/>
    <w:rsid w:val="00510692"/>
    <w:rsid w:val="00510B9E"/>
    <w:rsid w:val="005119E3"/>
    <w:rsid w:val="00512ECA"/>
    <w:rsid w:val="005141AA"/>
    <w:rsid w:val="005153CF"/>
    <w:rsid w:val="0051611C"/>
    <w:rsid w:val="00517644"/>
    <w:rsid w:val="00517E90"/>
    <w:rsid w:val="00520482"/>
    <w:rsid w:val="00521BF8"/>
    <w:rsid w:val="00530329"/>
    <w:rsid w:val="005330C1"/>
    <w:rsid w:val="00536BC2"/>
    <w:rsid w:val="00541B20"/>
    <w:rsid w:val="005425E1"/>
    <w:rsid w:val="005427C5"/>
    <w:rsid w:val="00542CF6"/>
    <w:rsid w:val="00546197"/>
    <w:rsid w:val="00553C03"/>
    <w:rsid w:val="00562CA7"/>
    <w:rsid w:val="00563692"/>
    <w:rsid w:val="00563730"/>
    <w:rsid w:val="00564D5E"/>
    <w:rsid w:val="0056576D"/>
    <w:rsid w:val="00571679"/>
    <w:rsid w:val="00577E86"/>
    <w:rsid w:val="0058051B"/>
    <w:rsid w:val="005844E7"/>
    <w:rsid w:val="00585D3E"/>
    <w:rsid w:val="005908B8"/>
    <w:rsid w:val="0059512E"/>
    <w:rsid w:val="005A0CE4"/>
    <w:rsid w:val="005A333F"/>
    <w:rsid w:val="005A4E99"/>
    <w:rsid w:val="005A650E"/>
    <w:rsid w:val="005A6DD2"/>
    <w:rsid w:val="005A7F76"/>
    <w:rsid w:val="005C385D"/>
    <w:rsid w:val="005D157F"/>
    <w:rsid w:val="005D1AE3"/>
    <w:rsid w:val="005D3143"/>
    <w:rsid w:val="005D3B20"/>
    <w:rsid w:val="005E03B9"/>
    <w:rsid w:val="005E0823"/>
    <w:rsid w:val="005E4759"/>
    <w:rsid w:val="005E5C68"/>
    <w:rsid w:val="005E65C0"/>
    <w:rsid w:val="005E718D"/>
    <w:rsid w:val="005F0390"/>
    <w:rsid w:val="005F2B9E"/>
    <w:rsid w:val="005F7B55"/>
    <w:rsid w:val="0060020C"/>
    <w:rsid w:val="00605168"/>
    <w:rsid w:val="006072CD"/>
    <w:rsid w:val="00610812"/>
    <w:rsid w:val="00612023"/>
    <w:rsid w:val="006126F0"/>
    <w:rsid w:val="00612B84"/>
    <w:rsid w:val="00614190"/>
    <w:rsid w:val="00621B1F"/>
    <w:rsid w:val="00622A99"/>
    <w:rsid w:val="00622E67"/>
    <w:rsid w:val="00626B57"/>
    <w:rsid w:val="00626EDC"/>
    <w:rsid w:val="00634D23"/>
    <w:rsid w:val="00640224"/>
    <w:rsid w:val="0064125E"/>
    <w:rsid w:val="00644AA0"/>
    <w:rsid w:val="0064533C"/>
    <w:rsid w:val="006470EC"/>
    <w:rsid w:val="006540DC"/>
    <w:rsid w:val="006542D6"/>
    <w:rsid w:val="00655478"/>
    <w:rsid w:val="0065598E"/>
    <w:rsid w:val="00655AF2"/>
    <w:rsid w:val="00655BC5"/>
    <w:rsid w:val="00655DF2"/>
    <w:rsid w:val="006568BE"/>
    <w:rsid w:val="00657007"/>
    <w:rsid w:val="0066025D"/>
    <w:rsid w:val="0066091A"/>
    <w:rsid w:val="0066287A"/>
    <w:rsid w:val="006628BD"/>
    <w:rsid w:val="006635F7"/>
    <w:rsid w:val="006700F2"/>
    <w:rsid w:val="006773EC"/>
    <w:rsid w:val="00680495"/>
    <w:rsid w:val="00680504"/>
    <w:rsid w:val="006818E8"/>
    <w:rsid w:val="00681CD9"/>
    <w:rsid w:val="00683E30"/>
    <w:rsid w:val="0068541A"/>
    <w:rsid w:val="006855D7"/>
    <w:rsid w:val="00686A8A"/>
    <w:rsid w:val="00686AA5"/>
    <w:rsid w:val="00687024"/>
    <w:rsid w:val="00690211"/>
    <w:rsid w:val="00691989"/>
    <w:rsid w:val="00692DE6"/>
    <w:rsid w:val="00693341"/>
    <w:rsid w:val="00695AE7"/>
    <w:rsid w:val="00695E22"/>
    <w:rsid w:val="00696AC7"/>
    <w:rsid w:val="006A3FB2"/>
    <w:rsid w:val="006A58F6"/>
    <w:rsid w:val="006B7093"/>
    <w:rsid w:val="006B7417"/>
    <w:rsid w:val="006B75F6"/>
    <w:rsid w:val="006C7C74"/>
    <w:rsid w:val="006D3691"/>
    <w:rsid w:val="006E25A4"/>
    <w:rsid w:val="006E28C5"/>
    <w:rsid w:val="006E3FAB"/>
    <w:rsid w:val="006E5EF0"/>
    <w:rsid w:val="006F00C8"/>
    <w:rsid w:val="006F0C9C"/>
    <w:rsid w:val="006F3563"/>
    <w:rsid w:val="006F37BE"/>
    <w:rsid w:val="006F42B9"/>
    <w:rsid w:val="006F6103"/>
    <w:rsid w:val="00704E00"/>
    <w:rsid w:val="00712A71"/>
    <w:rsid w:val="007154CE"/>
    <w:rsid w:val="007160B9"/>
    <w:rsid w:val="007209E7"/>
    <w:rsid w:val="0072137F"/>
    <w:rsid w:val="00726182"/>
    <w:rsid w:val="00726C61"/>
    <w:rsid w:val="00727635"/>
    <w:rsid w:val="00732329"/>
    <w:rsid w:val="007325C6"/>
    <w:rsid w:val="007337CA"/>
    <w:rsid w:val="00734CE4"/>
    <w:rsid w:val="00735123"/>
    <w:rsid w:val="00741837"/>
    <w:rsid w:val="00742C23"/>
    <w:rsid w:val="00744E00"/>
    <w:rsid w:val="007453E6"/>
    <w:rsid w:val="00745AD1"/>
    <w:rsid w:val="007461DD"/>
    <w:rsid w:val="00752AF0"/>
    <w:rsid w:val="0075325D"/>
    <w:rsid w:val="00754A83"/>
    <w:rsid w:val="00756489"/>
    <w:rsid w:val="007609E6"/>
    <w:rsid w:val="007723B4"/>
    <w:rsid w:val="0077309D"/>
    <w:rsid w:val="00775379"/>
    <w:rsid w:val="007774EE"/>
    <w:rsid w:val="00781822"/>
    <w:rsid w:val="00783F21"/>
    <w:rsid w:val="00785CAB"/>
    <w:rsid w:val="00787159"/>
    <w:rsid w:val="00787164"/>
    <w:rsid w:val="0079043A"/>
    <w:rsid w:val="00791668"/>
    <w:rsid w:val="00791AA1"/>
    <w:rsid w:val="007A0EE3"/>
    <w:rsid w:val="007A3793"/>
    <w:rsid w:val="007A7752"/>
    <w:rsid w:val="007B221C"/>
    <w:rsid w:val="007B248D"/>
    <w:rsid w:val="007B349C"/>
    <w:rsid w:val="007B5EA7"/>
    <w:rsid w:val="007B7DAC"/>
    <w:rsid w:val="007C1BA2"/>
    <w:rsid w:val="007C2B48"/>
    <w:rsid w:val="007C3344"/>
    <w:rsid w:val="007C677D"/>
    <w:rsid w:val="007D1E23"/>
    <w:rsid w:val="007D20E9"/>
    <w:rsid w:val="007D6E78"/>
    <w:rsid w:val="007D7881"/>
    <w:rsid w:val="007D7E3A"/>
    <w:rsid w:val="007E0E10"/>
    <w:rsid w:val="007E3C12"/>
    <w:rsid w:val="007E4768"/>
    <w:rsid w:val="007E777B"/>
    <w:rsid w:val="007F2070"/>
    <w:rsid w:val="007F3FC1"/>
    <w:rsid w:val="007F5893"/>
    <w:rsid w:val="007F63C1"/>
    <w:rsid w:val="007F65C7"/>
    <w:rsid w:val="007F68D1"/>
    <w:rsid w:val="007F7DD8"/>
    <w:rsid w:val="0080131D"/>
    <w:rsid w:val="008019B5"/>
    <w:rsid w:val="008053F5"/>
    <w:rsid w:val="0080715F"/>
    <w:rsid w:val="00807AF7"/>
    <w:rsid w:val="00810179"/>
    <w:rsid w:val="00810198"/>
    <w:rsid w:val="008134FD"/>
    <w:rsid w:val="00815DA8"/>
    <w:rsid w:val="00820424"/>
    <w:rsid w:val="00821576"/>
    <w:rsid w:val="0082194D"/>
    <w:rsid w:val="008221F9"/>
    <w:rsid w:val="00824E96"/>
    <w:rsid w:val="00826EF5"/>
    <w:rsid w:val="00831693"/>
    <w:rsid w:val="00831FB3"/>
    <w:rsid w:val="00833877"/>
    <w:rsid w:val="008362AC"/>
    <w:rsid w:val="00840104"/>
    <w:rsid w:val="00840C1F"/>
    <w:rsid w:val="008411C9"/>
    <w:rsid w:val="00841FC5"/>
    <w:rsid w:val="008421D1"/>
    <w:rsid w:val="00845709"/>
    <w:rsid w:val="00847108"/>
    <w:rsid w:val="00853EDE"/>
    <w:rsid w:val="008576BD"/>
    <w:rsid w:val="00860463"/>
    <w:rsid w:val="00860A5C"/>
    <w:rsid w:val="008733DA"/>
    <w:rsid w:val="008779F0"/>
    <w:rsid w:val="008850E4"/>
    <w:rsid w:val="008939AB"/>
    <w:rsid w:val="008955BE"/>
    <w:rsid w:val="00897F60"/>
    <w:rsid w:val="008A12F5"/>
    <w:rsid w:val="008A647A"/>
    <w:rsid w:val="008A6FFA"/>
    <w:rsid w:val="008B1587"/>
    <w:rsid w:val="008B1B01"/>
    <w:rsid w:val="008B3BCD"/>
    <w:rsid w:val="008B6DF8"/>
    <w:rsid w:val="008B7613"/>
    <w:rsid w:val="008B7EF8"/>
    <w:rsid w:val="008C106C"/>
    <w:rsid w:val="008C10F1"/>
    <w:rsid w:val="008C1926"/>
    <w:rsid w:val="008C1E99"/>
    <w:rsid w:val="008C3E45"/>
    <w:rsid w:val="008C69C7"/>
    <w:rsid w:val="008D50E5"/>
    <w:rsid w:val="008E0085"/>
    <w:rsid w:val="008E0ED3"/>
    <w:rsid w:val="008E2AA6"/>
    <w:rsid w:val="008E311B"/>
    <w:rsid w:val="008E4B2C"/>
    <w:rsid w:val="008F18F1"/>
    <w:rsid w:val="008F1C7F"/>
    <w:rsid w:val="008F1EB5"/>
    <w:rsid w:val="008F46E7"/>
    <w:rsid w:val="008F524B"/>
    <w:rsid w:val="008F684B"/>
    <w:rsid w:val="008F6CC2"/>
    <w:rsid w:val="008F6F0B"/>
    <w:rsid w:val="009068A2"/>
    <w:rsid w:val="00906A19"/>
    <w:rsid w:val="00906E30"/>
    <w:rsid w:val="00907BA7"/>
    <w:rsid w:val="0091064E"/>
    <w:rsid w:val="00911EEB"/>
    <w:rsid w:val="00911FC5"/>
    <w:rsid w:val="0091433E"/>
    <w:rsid w:val="00923358"/>
    <w:rsid w:val="00927BF0"/>
    <w:rsid w:val="009314FC"/>
    <w:rsid w:val="0093160C"/>
    <w:rsid w:val="00931A10"/>
    <w:rsid w:val="00932B6B"/>
    <w:rsid w:val="00934262"/>
    <w:rsid w:val="009436AD"/>
    <w:rsid w:val="00947967"/>
    <w:rsid w:val="00955201"/>
    <w:rsid w:val="00956323"/>
    <w:rsid w:val="009578D4"/>
    <w:rsid w:val="009619B6"/>
    <w:rsid w:val="00962B16"/>
    <w:rsid w:val="00963A09"/>
    <w:rsid w:val="00963E15"/>
    <w:rsid w:val="00965200"/>
    <w:rsid w:val="00965327"/>
    <w:rsid w:val="009668B3"/>
    <w:rsid w:val="00971471"/>
    <w:rsid w:val="009806B5"/>
    <w:rsid w:val="009849C2"/>
    <w:rsid w:val="00984D24"/>
    <w:rsid w:val="009858EB"/>
    <w:rsid w:val="00990D53"/>
    <w:rsid w:val="0099176F"/>
    <w:rsid w:val="00994BE9"/>
    <w:rsid w:val="009A024F"/>
    <w:rsid w:val="009A35C8"/>
    <w:rsid w:val="009A3F47"/>
    <w:rsid w:val="009B0046"/>
    <w:rsid w:val="009B0317"/>
    <w:rsid w:val="009B0F2E"/>
    <w:rsid w:val="009C1440"/>
    <w:rsid w:val="009C1FA6"/>
    <w:rsid w:val="009C2107"/>
    <w:rsid w:val="009C5D9E"/>
    <w:rsid w:val="009D19AB"/>
    <w:rsid w:val="009D2386"/>
    <w:rsid w:val="009D2C3E"/>
    <w:rsid w:val="009D4B3B"/>
    <w:rsid w:val="009D5F07"/>
    <w:rsid w:val="009D7426"/>
    <w:rsid w:val="009E0625"/>
    <w:rsid w:val="009E0A12"/>
    <w:rsid w:val="009E3034"/>
    <w:rsid w:val="009E549F"/>
    <w:rsid w:val="009E7D1B"/>
    <w:rsid w:val="009F28A8"/>
    <w:rsid w:val="009F473E"/>
    <w:rsid w:val="009F600D"/>
    <w:rsid w:val="009F682A"/>
    <w:rsid w:val="00A00A77"/>
    <w:rsid w:val="00A022BE"/>
    <w:rsid w:val="00A03391"/>
    <w:rsid w:val="00A05832"/>
    <w:rsid w:val="00A07B4B"/>
    <w:rsid w:val="00A105DE"/>
    <w:rsid w:val="00A13943"/>
    <w:rsid w:val="00A1685A"/>
    <w:rsid w:val="00A16920"/>
    <w:rsid w:val="00A22BF5"/>
    <w:rsid w:val="00A24C95"/>
    <w:rsid w:val="00A25655"/>
    <w:rsid w:val="00A2599A"/>
    <w:rsid w:val="00A26094"/>
    <w:rsid w:val="00A273D4"/>
    <w:rsid w:val="00A301BF"/>
    <w:rsid w:val="00A302B2"/>
    <w:rsid w:val="00A31050"/>
    <w:rsid w:val="00A331B4"/>
    <w:rsid w:val="00A3484E"/>
    <w:rsid w:val="00A34BFB"/>
    <w:rsid w:val="00A356D3"/>
    <w:rsid w:val="00A36ADA"/>
    <w:rsid w:val="00A438D8"/>
    <w:rsid w:val="00A4405D"/>
    <w:rsid w:val="00A473F5"/>
    <w:rsid w:val="00A51F39"/>
    <w:rsid w:val="00A51F9D"/>
    <w:rsid w:val="00A5416A"/>
    <w:rsid w:val="00A56CF6"/>
    <w:rsid w:val="00A62D69"/>
    <w:rsid w:val="00A639F4"/>
    <w:rsid w:val="00A64A81"/>
    <w:rsid w:val="00A64F21"/>
    <w:rsid w:val="00A700EB"/>
    <w:rsid w:val="00A72A64"/>
    <w:rsid w:val="00A72EB4"/>
    <w:rsid w:val="00A739CC"/>
    <w:rsid w:val="00A81A32"/>
    <w:rsid w:val="00A835BD"/>
    <w:rsid w:val="00A877C0"/>
    <w:rsid w:val="00A94D0E"/>
    <w:rsid w:val="00A95993"/>
    <w:rsid w:val="00A97B15"/>
    <w:rsid w:val="00AA1B59"/>
    <w:rsid w:val="00AA42D5"/>
    <w:rsid w:val="00AA60D1"/>
    <w:rsid w:val="00AB2FAB"/>
    <w:rsid w:val="00AB309B"/>
    <w:rsid w:val="00AB5C14"/>
    <w:rsid w:val="00AB79E5"/>
    <w:rsid w:val="00AC1EE7"/>
    <w:rsid w:val="00AC333F"/>
    <w:rsid w:val="00AC36A8"/>
    <w:rsid w:val="00AC585C"/>
    <w:rsid w:val="00AC6C23"/>
    <w:rsid w:val="00AC7913"/>
    <w:rsid w:val="00AD1925"/>
    <w:rsid w:val="00AD6816"/>
    <w:rsid w:val="00AD6F46"/>
    <w:rsid w:val="00AE067D"/>
    <w:rsid w:val="00AE34B6"/>
    <w:rsid w:val="00AE4BCB"/>
    <w:rsid w:val="00AE57CC"/>
    <w:rsid w:val="00AE65CF"/>
    <w:rsid w:val="00AF1181"/>
    <w:rsid w:val="00AF2F79"/>
    <w:rsid w:val="00AF4576"/>
    <w:rsid w:val="00AF4653"/>
    <w:rsid w:val="00AF4D5A"/>
    <w:rsid w:val="00AF6EEB"/>
    <w:rsid w:val="00AF75FD"/>
    <w:rsid w:val="00AF7AAA"/>
    <w:rsid w:val="00AF7DB7"/>
    <w:rsid w:val="00B03530"/>
    <w:rsid w:val="00B03C46"/>
    <w:rsid w:val="00B03E29"/>
    <w:rsid w:val="00B050DB"/>
    <w:rsid w:val="00B0727B"/>
    <w:rsid w:val="00B07369"/>
    <w:rsid w:val="00B10100"/>
    <w:rsid w:val="00B10D02"/>
    <w:rsid w:val="00B1110B"/>
    <w:rsid w:val="00B11C42"/>
    <w:rsid w:val="00B1289B"/>
    <w:rsid w:val="00B16FCE"/>
    <w:rsid w:val="00B17301"/>
    <w:rsid w:val="00B17F6A"/>
    <w:rsid w:val="00B201E2"/>
    <w:rsid w:val="00B3114D"/>
    <w:rsid w:val="00B31B36"/>
    <w:rsid w:val="00B32430"/>
    <w:rsid w:val="00B32770"/>
    <w:rsid w:val="00B443E4"/>
    <w:rsid w:val="00B47942"/>
    <w:rsid w:val="00B5484D"/>
    <w:rsid w:val="00B55A2C"/>
    <w:rsid w:val="00B563EA"/>
    <w:rsid w:val="00B56CDF"/>
    <w:rsid w:val="00B603E0"/>
    <w:rsid w:val="00B60E51"/>
    <w:rsid w:val="00B6121E"/>
    <w:rsid w:val="00B61230"/>
    <w:rsid w:val="00B63A54"/>
    <w:rsid w:val="00B6499C"/>
    <w:rsid w:val="00B65014"/>
    <w:rsid w:val="00B6507F"/>
    <w:rsid w:val="00B651AE"/>
    <w:rsid w:val="00B70232"/>
    <w:rsid w:val="00B76497"/>
    <w:rsid w:val="00B76996"/>
    <w:rsid w:val="00B77D18"/>
    <w:rsid w:val="00B8313A"/>
    <w:rsid w:val="00B84988"/>
    <w:rsid w:val="00B93503"/>
    <w:rsid w:val="00BA2867"/>
    <w:rsid w:val="00BA2C2A"/>
    <w:rsid w:val="00BA31E8"/>
    <w:rsid w:val="00BA55E0"/>
    <w:rsid w:val="00BA6BD4"/>
    <w:rsid w:val="00BA6C7A"/>
    <w:rsid w:val="00BB17D1"/>
    <w:rsid w:val="00BB2013"/>
    <w:rsid w:val="00BB3752"/>
    <w:rsid w:val="00BB6688"/>
    <w:rsid w:val="00BB7FCE"/>
    <w:rsid w:val="00BC26D4"/>
    <w:rsid w:val="00BC72C5"/>
    <w:rsid w:val="00BC7D73"/>
    <w:rsid w:val="00BD75C9"/>
    <w:rsid w:val="00BE0778"/>
    <w:rsid w:val="00BE0C80"/>
    <w:rsid w:val="00BE3BE0"/>
    <w:rsid w:val="00BE66B8"/>
    <w:rsid w:val="00BF2A42"/>
    <w:rsid w:val="00BF471E"/>
    <w:rsid w:val="00C004A0"/>
    <w:rsid w:val="00C01D35"/>
    <w:rsid w:val="00C037FE"/>
    <w:rsid w:val="00C03D8C"/>
    <w:rsid w:val="00C049EA"/>
    <w:rsid w:val="00C055EC"/>
    <w:rsid w:val="00C06602"/>
    <w:rsid w:val="00C10DC9"/>
    <w:rsid w:val="00C117F1"/>
    <w:rsid w:val="00C12FB3"/>
    <w:rsid w:val="00C13C13"/>
    <w:rsid w:val="00C13ECC"/>
    <w:rsid w:val="00C17341"/>
    <w:rsid w:val="00C24EEF"/>
    <w:rsid w:val="00C25CF6"/>
    <w:rsid w:val="00C26C36"/>
    <w:rsid w:val="00C27BF0"/>
    <w:rsid w:val="00C32768"/>
    <w:rsid w:val="00C32C7F"/>
    <w:rsid w:val="00C3333D"/>
    <w:rsid w:val="00C34F6E"/>
    <w:rsid w:val="00C36776"/>
    <w:rsid w:val="00C431DF"/>
    <w:rsid w:val="00C44AE5"/>
    <w:rsid w:val="00C456BD"/>
    <w:rsid w:val="00C46FB5"/>
    <w:rsid w:val="00C47A03"/>
    <w:rsid w:val="00C52592"/>
    <w:rsid w:val="00C530DC"/>
    <w:rsid w:val="00C5350D"/>
    <w:rsid w:val="00C56707"/>
    <w:rsid w:val="00C6123C"/>
    <w:rsid w:val="00C6311A"/>
    <w:rsid w:val="00C66330"/>
    <w:rsid w:val="00C66B93"/>
    <w:rsid w:val="00C7084D"/>
    <w:rsid w:val="00C719E7"/>
    <w:rsid w:val="00C7315E"/>
    <w:rsid w:val="00C74902"/>
    <w:rsid w:val="00C75895"/>
    <w:rsid w:val="00C81BFF"/>
    <w:rsid w:val="00C82172"/>
    <w:rsid w:val="00C82996"/>
    <w:rsid w:val="00C836EE"/>
    <w:rsid w:val="00C83C9F"/>
    <w:rsid w:val="00C917E1"/>
    <w:rsid w:val="00C94840"/>
    <w:rsid w:val="00C971D7"/>
    <w:rsid w:val="00CA4049"/>
    <w:rsid w:val="00CA4EE3"/>
    <w:rsid w:val="00CB027F"/>
    <w:rsid w:val="00CB5FA1"/>
    <w:rsid w:val="00CC0A31"/>
    <w:rsid w:val="00CC0D50"/>
    <w:rsid w:val="00CC0EBB"/>
    <w:rsid w:val="00CC530C"/>
    <w:rsid w:val="00CC6020"/>
    <w:rsid w:val="00CC6297"/>
    <w:rsid w:val="00CC7690"/>
    <w:rsid w:val="00CD1986"/>
    <w:rsid w:val="00CD25D3"/>
    <w:rsid w:val="00CD54BF"/>
    <w:rsid w:val="00CD59EB"/>
    <w:rsid w:val="00CD5AED"/>
    <w:rsid w:val="00CD6C32"/>
    <w:rsid w:val="00CE0C9E"/>
    <w:rsid w:val="00CE366A"/>
    <w:rsid w:val="00CE4D5C"/>
    <w:rsid w:val="00CF05DA"/>
    <w:rsid w:val="00CF0624"/>
    <w:rsid w:val="00CF2667"/>
    <w:rsid w:val="00CF58EB"/>
    <w:rsid w:val="00CF6B9A"/>
    <w:rsid w:val="00CF6FEC"/>
    <w:rsid w:val="00CF70DB"/>
    <w:rsid w:val="00D0106E"/>
    <w:rsid w:val="00D01BCE"/>
    <w:rsid w:val="00D0305C"/>
    <w:rsid w:val="00D05DF1"/>
    <w:rsid w:val="00D06383"/>
    <w:rsid w:val="00D07154"/>
    <w:rsid w:val="00D154B7"/>
    <w:rsid w:val="00D178A3"/>
    <w:rsid w:val="00D20E85"/>
    <w:rsid w:val="00D21312"/>
    <w:rsid w:val="00D214AD"/>
    <w:rsid w:val="00D2217A"/>
    <w:rsid w:val="00D24615"/>
    <w:rsid w:val="00D31680"/>
    <w:rsid w:val="00D344C7"/>
    <w:rsid w:val="00D37842"/>
    <w:rsid w:val="00D37DA6"/>
    <w:rsid w:val="00D42DC2"/>
    <w:rsid w:val="00D4302B"/>
    <w:rsid w:val="00D45DA6"/>
    <w:rsid w:val="00D46CE5"/>
    <w:rsid w:val="00D537E1"/>
    <w:rsid w:val="00D54AD2"/>
    <w:rsid w:val="00D55BB2"/>
    <w:rsid w:val="00D5635A"/>
    <w:rsid w:val="00D6091A"/>
    <w:rsid w:val="00D6605A"/>
    <w:rsid w:val="00D6695F"/>
    <w:rsid w:val="00D75644"/>
    <w:rsid w:val="00D76964"/>
    <w:rsid w:val="00D7782C"/>
    <w:rsid w:val="00D81656"/>
    <w:rsid w:val="00D83D87"/>
    <w:rsid w:val="00D84A6D"/>
    <w:rsid w:val="00D84FBE"/>
    <w:rsid w:val="00D86A30"/>
    <w:rsid w:val="00D86E3C"/>
    <w:rsid w:val="00D872D5"/>
    <w:rsid w:val="00D87A5C"/>
    <w:rsid w:val="00D93F3C"/>
    <w:rsid w:val="00D97CB4"/>
    <w:rsid w:val="00D97DD4"/>
    <w:rsid w:val="00DA5A8A"/>
    <w:rsid w:val="00DB0A36"/>
    <w:rsid w:val="00DB1170"/>
    <w:rsid w:val="00DB26CD"/>
    <w:rsid w:val="00DB2CE2"/>
    <w:rsid w:val="00DB32F2"/>
    <w:rsid w:val="00DB398E"/>
    <w:rsid w:val="00DB441C"/>
    <w:rsid w:val="00DB44AF"/>
    <w:rsid w:val="00DB6295"/>
    <w:rsid w:val="00DB7021"/>
    <w:rsid w:val="00DC1F58"/>
    <w:rsid w:val="00DC3229"/>
    <w:rsid w:val="00DC339B"/>
    <w:rsid w:val="00DC3C48"/>
    <w:rsid w:val="00DC5A5C"/>
    <w:rsid w:val="00DC5D40"/>
    <w:rsid w:val="00DC69A7"/>
    <w:rsid w:val="00DD0638"/>
    <w:rsid w:val="00DD1651"/>
    <w:rsid w:val="00DD2100"/>
    <w:rsid w:val="00DD2CF6"/>
    <w:rsid w:val="00DD30E9"/>
    <w:rsid w:val="00DD4F47"/>
    <w:rsid w:val="00DD7FBB"/>
    <w:rsid w:val="00DE0B9F"/>
    <w:rsid w:val="00DE2A9E"/>
    <w:rsid w:val="00DE3041"/>
    <w:rsid w:val="00DE34C0"/>
    <w:rsid w:val="00DE4238"/>
    <w:rsid w:val="00DE5497"/>
    <w:rsid w:val="00DE657F"/>
    <w:rsid w:val="00DF1218"/>
    <w:rsid w:val="00DF4E9B"/>
    <w:rsid w:val="00DF6462"/>
    <w:rsid w:val="00DF70F4"/>
    <w:rsid w:val="00E02FA0"/>
    <w:rsid w:val="00E036DC"/>
    <w:rsid w:val="00E07999"/>
    <w:rsid w:val="00E079D3"/>
    <w:rsid w:val="00E07CAA"/>
    <w:rsid w:val="00E10454"/>
    <w:rsid w:val="00E112E5"/>
    <w:rsid w:val="00E122D8"/>
    <w:rsid w:val="00E12CC8"/>
    <w:rsid w:val="00E13499"/>
    <w:rsid w:val="00E15352"/>
    <w:rsid w:val="00E175F2"/>
    <w:rsid w:val="00E2056D"/>
    <w:rsid w:val="00E21CC7"/>
    <w:rsid w:val="00E24D9E"/>
    <w:rsid w:val="00E25486"/>
    <w:rsid w:val="00E25849"/>
    <w:rsid w:val="00E31008"/>
    <w:rsid w:val="00E31162"/>
    <w:rsid w:val="00E3197E"/>
    <w:rsid w:val="00E31E41"/>
    <w:rsid w:val="00E33DDB"/>
    <w:rsid w:val="00E342F8"/>
    <w:rsid w:val="00E344E8"/>
    <w:rsid w:val="00E351ED"/>
    <w:rsid w:val="00E3547A"/>
    <w:rsid w:val="00E3709D"/>
    <w:rsid w:val="00E37AA8"/>
    <w:rsid w:val="00E37FD1"/>
    <w:rsid w:val="00E46699"/>
    <w:rsid w:val="00E468F3"/>
    <w:rsid w:val="00E55A43"/>
    <w:rsid w:val="00E6034B"/>
    <w:rsid w:val="00E607B5"/>
    <w:rsid w:val="00E6549E"/>
    <w:rsid w:val="00E65EDE"/>
    <w:rsid w:val="00E6686B"/>
    <w:rsid w:val="00E70F81"/>
    <w:rsid w:val="00E75329"/>
    <w:rsid w:val="00E77055"/>
    <w:rsid w:val="00E77460"/>
    <w:rsid w:val="00E8170E"/>
    <w:rsid w:val="00E826AD"/>
    <w:rsid w:val="00E83039"/>
    <w:rsid w:val="00E83ABC"/>
    <w:rsid w:val="00E844F2"/>
    <w:rsid w:val="00E90AD0"/>
    <w:rsid w:val="00E92FCB"/>
    <w:rsid w:val="00E938EA"/>
    <w:rsid w:val="00E93D44"/>
    <w:rsid w:val="00E93E2B"/>
    <w:rsid w:val="00E93E82"/>
    <w:rsid w:val="00E947B4"/>
    <w:rsid w:val="00EA0251"/>
    <w:rsid w:val="00EA147F"/>
    <w:rsid w:val="00EA1F8F"/>
    <w:rsid w:val="00EA3CFC"/>
    <w:rsid w:val="00EA4526"/>
    <w:rsid w:val="00EA4A27"/>
    <w:rsid w:val="00EA4FA6"/>
    <w:rsid w:val="00EB1A25"/>
    <w:rsid w:val="00EB1D63"/>
    <w:rsid w:val="00EC1AAF"/>
    <w:rsid w:val="00EC4C92"/>
    <w:rsid w:val="00EC7363"/>
    <w:rsid w:val="00EC7483"/>
    <w:rsid w:val="00ED03AB"/>
    <w:rsid w:val="00ED1963"/>
    <w:rsid w:val="00ED1CD4"/>
    <w:rsid w:val="00ED1D2B"/>
    <w:rsid w:val="00ED2038"/>
    <w:rsid w:val="00ED39A2"/>
    <w:rsid w:val="00ED64B5"/>
    <w:rsid w:val="00EE519E"/>
    <w:rsid w:val="00EE7CCA"/>
    <w:rsid w:val="00EF042A"/>
    <w:rsid w:val="00EF0AFA"/>
    <w:rsid w:val="00EF149A"/>
    <w:rsid w:val="00EF323C"/>
    <w:rsid w:val="00EF3B33"/>
    <w:rsid w:val="00F06D49"/>
    <w:rsid w:val="00F07173"/>
    <w:rsid w:val="00F11325"/>
    <w:rsid w:val="00F1136D"/>
    <w:rsid w:val="00F11760"/>
    <w:rsid w:val="00F16A14"/>
    <w:rsid w:val="00F20976"/>
    <w:rsid w:val="00F20DAE"/>
    <w:rsid w:val="00F20EA4"/>
    <w:rsid w:val="00F23D45"/>
    <w:rsid w:val="00F25320"/>
    <w:rsid w:val="00F31C64"/>
    <w:rsid w:val="00F362D7"/>
    <w:rsid w:val="00F3675A"/>
    <w:rsid w:val="00F37D7B"/>
    <w:rsid w:val="00F37F24"/>
    <w:rsid w:val="00F41B74"/>
    <w:rsid w:val="00F47FBF"/>
    <w:rsid w:val="00F50910"/>
    <w:rsid w:val="00F5314C"/>
    <w:rsid w:val="00F5688C"/>
    <w:rsid w:val="00F56C94"/>
    <w:rsid w:val="00F60048"/>
    <w:rsid w:val="00F62D6E"/>
    <w:rsid w:val="00F632C5"/>
    <w:rsid w:val="00F635DD"/>
    <w:rsid w:val="00F651E1"/>
    <w:rsid w:val="00F6627B"/>
    <w:rsid w:val="00F67F4B"/>
    <w:rsid w:val="00F7336E"/>
    <w:rsid w:val="00F734F2"/>
    <w:rsid w:val="00F75005"/>
    <w:rsid w:val="00F75052"/>
    <w:rsid w:val="00F77AC8"/>
    <w:rsid w:val="00F804D3"/>
    <w:rsid w:val="00F810D9"/>
    <w:rsid w:val="00F816CB"/>
    <w:rsid w:val="00F81CD2"/>
    <w:rsid w:val="00F82641"/>
    <w:rsid w:val="00F84795"/>
    <w:rsid w:val="00F87EFC"/>
    <w:rsid w:val="00F90F18"/>
    <w:rsid w:val="00F91741"/>
    <w:rsid w:val="00F937E4"/>
    <w:rsid w:val="00F95EE7"/>
    <w:rsid w:val="00F96149"/>
    <w:rsid w:val="00F963EB"/>
    <w:rsid w:val="00F968BC"/>
    <w:rsid w:val="00FA39E6"/>
    <w:rsid w:val="00FA5A76"/>
    <w:rsid w:val="00FA7BC9"/>
    <w:rsid w:val="00FB378E"/>
    <w:rsid w:val="00FB37F1"/>
    <w:rsid w:val="00FB3B81"/>
    <w:rsid w:val="00FB43DE"/>
    <w:rsid w:val="00FB46DD"/>
    <w:rsid w:val="00FB47C0"/>
    <w:rsid w:val="00FB501B"/>
    <w:rsid w:val="00FB506C"/>
    <w:rsid w:val="00FB53E5"/>
    <w:rsid w:val="00FB775A"/>
    <w:rsid w:val="00FB7770"/>
    <w:rsid w:val="00FC534E"/>
    <w:rsid w:val="00FD0536"/>
    <w:rsid w:val="00FD1740"/>
    <w:rsid w:val="00FD3B91"/>
    <w:rsid w:val="00FD576B"/>
    <w:rsid w:val="00FD579E"/>
    <w:rsid w:val="00FD6845"/>
    <w:rsid w:val="00FD715A"/>
    <w:rsid w:val="00FE0782"/>
    <w:rsid w:val="00FE0AAF"/>
    <w:rsid w:val="00FE3A24"/>
    <w:rsid w:val="00FE4516"/>
    <w:rsid w:val="00FE64C8"/>
    <w:rsid w:val="00FF2155"/>
    <w:rsid w:val="00FF3E40"/>
    <w:rsid w:val="00FF5A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21A934-66A7-4222-9FEA-E38FA9BB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一. 字元"/>
    <w:link w:val="2"/>
    <w:rsid w:val="00D7782C"/>
    <w:rPr>
      <w:rFonts w:ascii="標楷體" w:eastAsia="標楷體" w:hAnsi="Arial"/>
      <w:bCs/>
      <w:kern w:val="32"/>
      <w:sz w:val="32"/>
      <w:szCs w:val="48"/>
    </w:rPr>
  </w:style>
  <w:style w:type="character" w:customStyle="1" w:styleId="30">
    <w:name w:val="標題 3 字元"/>
    <w:link w:val="3"/>
    <w:rsid w:val="00D7782C"/>
    <w:rPr>
      <w:rFonts w:ascii="標楷體" w:eastAsia="標楷體" w:hAnsi="Arial"/>
      <w:bCs/>
      <w:kern w:val="32"/>
      <w:sz w:val="32"/>
      <w:szCs w:val="36"/>
    </w:rPr>
  </w:style>
  <w:style w:type="character" w:customStyle="1" w:styleId="40">
    <w:name w:val="標題 4 字元"/>
    <w:aliases w:val="表格 字元,一 字元,1. 字元"/>
    <w:basedOn w:val="a7"/>
    <w:link w:val="4"/>
    <w:rsid w:val="000C27D4"/>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link w:val="aa"/>
    <w:semiHidden/>
    <w:rsid w:val="007F3FC1"/>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uiPriority w:val="99"/>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E3709D"/>
    <w:pPr>
      <w:snapToGrid w:val="0"/>
      <w:jc w:val="left"/>
    </w:pPr>
    <w:rPr>
      <w:sz w:val="20"/>
    </w:rPr>
  </w:style>
  <w:style w:type="character" w:customStyle="1" w:styleId="afe">
    <w:name w:val="註腳文字 字元"/>
    <w:basedOn w:val="a7"/>
    <w:link w:val="afd"/>
    <w:uiPriority w:val="99"/>
    <w:semiHidden/>
    <w:rsid w:val="00E3709D"/>
    <w:rPr>
      <w:rFonts w:ascii="標楷體" w:eastAsia="標楷體"/>
      <w:kern w:val="2"/>
    </w:rPr>
  </w:style>
  <w:style w:type="character" w:styleId="aff">
    <w:name w:val="footnote reference"/>
    <w:basedOn w:val="a7"/>
    <w:uiPriority w:val="99"/>
    <w:semiHidden/>
    <w:unhideWhenUsed/>
    <w:rsid w:val="00E3709D"/>
    <w:rPr>
      <w:vertAlign w:val="superscript"/>
    </w:rPr>
  </w:style>
  <w:style w:type="paragraph" w:styleId="Web">
    <w:name w:val="Normal (Web)"/>
    <w:basedOn w:val="a6"/>
    <w:uiPriority w:val="99"/>
    <w:semiHidden/>
    <w:unhideWhenUsed/>
    <w:rsid w:val="00644AA0"/>
    <w:pPr>
      <w:widowControl/>
      <w:overflowPunct/>
      <w:autoSpaceDE/>
      <w:autoSpaceDN/>
      <w:spacing w:before="100" w:beforeAutospacing="1" w:after="142" w:line="288" w:lineRule="auto"/>
      <w:jc w:val="left"/>
    </w:pPr>
    <w:rPr>
      <w:rFonts w:ascii="新細明體" w:eastAsia="新細明體" w:hAnsi="新細明體" w:cs="新細明體"/>
      <w:kern w:val="0"/>
      <w:sz w:val="24"/>
      <w:szCs w:val="24"/>
    </w:rPr>
  </w:style>
  <w:style w:type="paragraph" w:customStyle="1" w:styleId="cjk">
    <w:name w:val="cjk"/>
    <w:basedOn w:val="a6"/>
    <w:rsid w:val="00B6121E"/>
    <w:pPr>
      <w:widowControl/>
      <w:overflowPunct/>
      <w:autoSpaceDE/>
      <w:autoSpaceDN/>
      <w:spacing w:before="100" w:beforeAutospacing="1"/>
    </w:pPr>
    <w:rPr>
      <w:rFonts w:ascii="新細明體" w:eastAsia="新細明體" w:hAnsi="新細明體" w:cs="新細明體"/>
      <w:kern w:val="0"/>
      <w:szCs w:val="32"/>
    </w:rPr>
  </w:style>
  <w:style w:type="paragraph" w:styleId="HTML">
    <w:name w:val="HTML Preformatted"/>
    <w:basedOn w:val="a6"/>
    <w:link w:val="HTML0"/>
    <w:uiPriority w:val="99"/>
    <w:unhideWhenUsed/>
    <w:rsid w:val="00645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4533C"/>
    <w:rPr>
      <w:rFonts w:ascii="細明體" w:eastAsia="細明體" w:hAnsi="細明體" w:cs="細明體"/>
      <w:sz w:val="24"/>
      <w:szCs w:val="24"/>
    </w:rPr>
  </w:style>
  <w:style w:type="character" w:styleId="aff0">
    <w:name w:val="Emphasis"/>
    <w:basedOn w:val="a7"/>
    <w:uiPriority w:val="20"/>
    <w:qFormat/>
    <w:rsid w:val="00692DE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3199">
      <w:bodyDiv w:val="1"/>
      <w:marLeft w:val="0"/>
      <w:marRight w:val="0"/>
      <w:marTop w:val="0"/>
      <w:marBottom w:val="0"/>
      <w:divBdr>
        <w:top w:val="none" w:sz="0" w:space="0" w:color="auto"/>
        <w:left w:val="none" w:sz="0" w:space="0" w:color="auto"/>
        <w:bottom w:val="none" w:sz="0" w:space="0" w:color="auto"/>
        <w:right w:val="none" w:sz="0" w:space="0" w:color="auto"/>
      </w:divBdr>
    </w:div>
    <w:div w:id="140922654">
      <w:bodyDiv w:val="1"/>
      <w:marLeft w:val="0"/>
      <w:marRight w:val="0"/>
      <w:marTop w:val="0"/>
      <w:marBottom w:val="0"/>
      <w:divBdr>
        <w:top w:val="none" w:sz="0" w:space="0" w:color="auto"/>
        <w:left w:val="none" w:sz="0" w:space="0" w:color="auto"/>
        <w:bottom w:val="none" w:sz="0" w:space="0" w:color="auto"/>
        <w:right w:val="none" w:sz="0" w:space="0" w:color="auto"/>
      </w:divBdr>
    </w:div>
    <w:div w:id="255747708">
      <w:bodyDiv w:val="1"/>
      <w:marLeft w:val="0"/>
      <w:marRight w:val="0"/>
      <w:marTop w:val="0"/>
      <w:marBottom w:val="0"/>
      <w:divBdr>
        <w:top w:val="none" w:sz="0" w:space="0" w:color="auto"/>
        <w:left w:val="none" w:sz="0" w:space="0" w:color="auto"/>
        <w:bottom w:val="none" w:sz="0" w:space="0" w:color="auto"/>
        <w:right w:val="none" w:sz="0" w:space="0" w:color="auto"/>
      </w:divBdr>
      <w:divsChild>
        <w:div w:id="2015759678">
          <w:marLeft w:val="0"/>
          <w:marRight w:val="0"/>
          <w:marTop w:val="0"/>
          <w:marBottom w:val="0"/>
          <w:divBdr>
            <w:top w:val="none" w:sz="0" w:space="0" w:color="auto"/>
            <w:left w:val="none" w:sz="0" w:space="0" w:color="auto"/>
            <w:bottom w:val="none" w:sz="0" w:space="0" w:color="auto"/>
            <w:right w:val="none" w:sz="0" w:space="0" w:color="auto"/>
          </w:divBdr>
          <w:divsChild>
            <w:div w:id="1932933734">
              <w:marLeft w:val="0"/>
              <w:marRight w:val="0"/>
              <w:marTop w:val="100"/>
              <w:marBottom w:val="100"/>
              <w:divBdr>
                <w:top w:val="none" w:sz="0" w:space="0" w:color="auto"/>
                <w:left w:val="none" w:sz="0" w:space="0" w:color="auto"/>
                <w:bottom w:val="none" w:sz="0" w:space="0" w:color="auto"/>
                <w:right w:val="none" w:sz="0" w:space="0" w:color="auto"/>
              </w:divBdr>
              <w:divsChild>
                <w:div w:id="1014961810">
                  <w:marLeft w:val="0"/>
                  <w:marRight w:val="0"/>
                  <w:marTop w:val="45"/>
                  <w:marBottom w:val="120"/>
                  <w:divBdr>
                    <w:top w:val="none" w:sz="0" w:space="0" w:color="auto"/>
                    <w:left w:val="none" w:sz="0" w:space="0" w:color="auto"/>
                    <w:bottom w:val="none" w:sz="0" w:space="0" w:color="auto"/>
                    <w:right w:val="none" w:sz="0" w:space="0" w:color="auto"/>
                  </w:divBdr>
                  <w:divsChild>
                    <w:div w:id="693657882">
                      <w:marLeft w:val="0"/>
                      <w:marRight w:val="0"/>
                      <w:marTop w:val="0"/>
                      <w:marBottom w:val="0"/>
                      <w:divBdr>
                        <w:top w:val="none" w:sz="0" w:space="0" w:color="auto"/>
                        <w:left w:val="none" w:sz="0" w:space="0" w:color="auto"/>
                        <w:bottom w:val="none" w:sz="0" w:space="0" w:color="auto"/>
                        <w:right w:val="none" w:sz="0" w:space="0" w:color="auto"/>
                      </w:divBdr>
                      <w:divsChild>
                        <w:div w:id="1145196053">
                          <w:marLeft w:val="0"/>
                          <w:marRight w:val="0"/>
                          <w:marTop w:val="180"/>
                          <w:marBottom w:val="180"/>
                          <w:divBdr>
                            <w:top w:val="single" w:sz="6" w:space="0" w:color="4EA3E9"/>
                            <w:left w:val="single" w:sz="6" w:space="0" w:color="4EA3E9"/>
                            <w:bottom w:val="single" w:sz="6" w:space="12" w:color="4EA3E9"/>
                            <w:right w:val="single" w:sz="6" w:space="0" w:color="4EA3E9"/>
                          </w:divBdr>
                          <w:divsChild>
                            <w:div w:id="110002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846893">
      <w:bodyDiv w:val="1"/>
      <w:marLeft w:val="0"/>
      <w:marRight w:val="0"/>
      <w:marTop w:val="0"/>
      <w:marBottom w:val="0"/>
      <w:divBdr>
        <w:top w:val="none" w:sz="0" w:space="0" w:color="auto"/>
        <w:left w:val="none" w:sz="0" w:space="0" w:color="auto"/>
        <w:bottom w:val="none" w:sz="0" w:space="0" w:color="auto"/>
        <w:right w:val="none" w:sz="0" w:space="0" w:color="auto"/>
      </w:divBdr>
    </w:div>
    <w:div w:id="33295479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3269898">
      <w:bodyDiv w:val="1"/>
      <w:marLeft w:val="0"/>
      <w:marRight w:val="0"/>
      <w:marTop w:val="0"/>
      <w:marBottom w:val="0"/>
      <w:divBdr>
        <w:top w:val="none" w:sz="0" w:space="0" w:color="auto"/>
        <w:left w:val="none" w:sz="0" w:space="0" w:color="auto"/>
        <w:bottom w:val="none" w:sz="0" w:space="0" w:color="auto"/>
        <w:right w:val="none" w:sz="0" w:space="0" w:color="auto"/>
      </w:divBdr>
    </w:div>
    <w:div w:id="1041515528">
      <w:bodyDiv w:val="1"/>
      <w:marLeft w:val="0"/>
      <w:marRight w:val="0"/>
      <w:marTop w:val="0"/>
      <w:marBottom w:val="0"/>
      <w:divBdr>
        <w:top w:val="none" w:sz="0" w:space="0" w:color="auto"/>
        <w:left w:val="none" w:sz="0" w:space="0" w:color="auto"/>
        <w:bottom w:val="none" w:sz="0" w:space="0" w:color="auto"/>
        <w:right w:val="none" w:sz="0" w:space="0" w:color="auto"/>
      </w:divBdr>
    </w:div>
    <w:div w:id="1050347809">
      <w:bodyDiv w:val="1"/>
      <w:marLeft w:val="0"/>
      <w:marRight w:val="0"/>
      <w:marTop w:val="0"/>
      <w:marBottom w:val="0"/>
      <w:divBdr>
        <w:top w:val="none" w:sz="0" w:space="0" w:color="auto"/>
        <w:left w:val="none" w:sz="0" w:space="0" w:color="auto"/>
        <w:bottom w:val="none" w:sz="0" w:space="0" w:color="auto"/>
        <w:right w:val="none" w:sz="0" w:space="0" w:color="auto"/>
      </w:divBdr>
    </w:div>
    <w:div w:id="1171988412">
      <w:bodyDiv w:val="1"/>
      <w:marLeft w:val="0"/>
      <w:marRight w:val="0"/>
      <w:marTop w:val="0"/>
      <w:marBottom w:val="0"/>
      <w:divBdr>
        <w:top w:val="none" w:sz="0" w:space="0" w:color="auto"/>
        <w:left w:val="none" w:sz="0" w:space="0" w:color="auto"/>
        <w:bottom w:val="none" w:sz="0" w:space="0" w:color="auto"/>
        <w:right w:val="none" w:sz="0" w:space="0" w:color="auto"/>
      </w:divBdr>
    </w:div>
    <w:div w:id="1362166863">
      <w:bodyDiv w:val="1"/>
      <w:marLeft w:val="0"/>
      <w:marRight w:val="0"/>
      <w:marTop w:val="0"/>
      <w:marBottom w:val="0"/>
      <w:divBdr>
        <w:top w:val="none" w:sz="0" w:space="0" w:color="auto"/>
        <w:left w:val="none" w:sz="0" w:space="0" w:color="auto"/>
        <w:bottom w:val="none" w:sz="0" w:space="0" w:color="auto"/>
        <w:right w:val="none" w:sz="0" w:space="0" w:color="auto"/>
      </w:divBdr>
    </w:div>
    <w:div w:id="1565795216">
      <w:bodyDiv w:val="1"/>
      <w:marLeft w:val="0"/>
      <w:marRight w:val="0"/>
      <w:marTop w:val="0"/>
      <w:marBottom w:val="0"/>
      <w:divBdr>
        <w:top w:val="none" w:sz="0" w:space="0" w:color="auto"/>
        <w:left w:val="none" w:sz="0" w:space="0" w:color="auto"/>
        <w:bottom w:val="none" w:sz="0" w:space="0" w:color="auto"/>
        <w:right w:val="none" w:sz="0" w:space="0" w:color="auto"/>
      </w:divBdr>
    </w:div>
    <w:div w:id="1670213585">
      <w:bodyDiv w:val="1"/>
      <w:marLeft w:val="0"/>
      <w:marRight w:val="0"/>
      <w:marTop w:val="0"/>
      <w:marBottom w:val="0"/>
      <w:divBdr>
        <w:top w:val="none" w:sz="0" w:space="0" w:color="auto"/>
        <w:left w:val="none" w:sz="0" w:space="0" w:color="auto"/>
        <w:bottom w:val="none" w:sz="0" w:space="0" w:color="auto"/>
        <w:right w:val="none" w:sz="0" w:space="0" w:color="auto"/>
      </w:divBdr>
    </w:div>
    <w:div w:id="193247004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09BBF-15A4-4A5D-9F6B-68240C62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1286</Words>
  <Characters>7335</Characters>
  <Application>Microsoft Office Word</Application>
  <DocSecurity>0</DocSecurity>
  <Lines>61</Lines>
  <Paragraphs>17</Paragraphs>
  <ScaleCrop>false</ScaleCrop>
  <Company>cy</Company>
  <LinksUpToDate>false</LinksUpToDate>
  <CharactersWithSpaces>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江明潔</cp:lastModifiedBy>
  <cp:revision>2</cp:revision>
  <cp:lastPrinted>2019-05-17T07:26:00Z</cp:lastPrinted>
  <dcterms:created xsi:type="dcterms:W3CDTF">2019-05-20T01:51:00Z</dcterms:created>
  <dcterms:modified xsi:type="dcterms:W3CDTF">2019-05-20T01:51:00Z</dcterms:modified>
</cp:coreProperties>
</file>