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49" w:rsidRPr="007847F2" w:rsidRDefault="00E25849" w:rsidP="007459F5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847F2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7459F5" w:rsidRPr="007847F2">
        <w:rPr>
          <w:rFonts w:hint="eastAsia"/>
        </w:rPr>
        <w:t>「</w:t>
      </w:r>
      <w:proofErr w:type="gramStart"/>
      <w:r w:rsidR="007459F5" w:rsidRPr="007847F2">
        <w:rPr>
          <w:rFonts w:hint="eastAsia"/>
        </w:rPr>
        <w:t>加工助劑衛生</w:t>
      </w:r>
      <w:proofErr w:type="gramEnd"/>
      <w:r w:rsidR="007459F5" w:rsidRPr="007847F2">
        <w:rPr>
          <w:rFonts w:hint="eastAsia"/>
        </w:rPr>
        <w:t>標準」雖於105年才公告發布實施，然衛生福利部食品藥物管理署現行所定之</w:t>
      </w:r>
      <w:proofErr w:type="gramStart"/>
      <w:r w:rsidR="007459F5" w:rsidRPr="007847F2">
        <w:rPr>
          <w:rFonts w:hint="eastAsia"/>
        </w:rPr>
        <w:t>加工助劑僅有</w:t>
      </w:r>
      <w:proofErr w:type="gramEnd"/>
      <w:r w:rsidR="007459F5" w:rsidRPr="007847F2">
        <w:rPr>
          <w:rFonts w:hint="eastAsia"/>
        </w:rPr>
        <w:t>7種，沒有冰醋酸</w:t>
      </w:r>
      <w:r w:rsidR="00EE1F6B" w:rsidRPr="007847F2">
        <w:rPr>
          <w:rFonts w:hint="eastAsia"/>
        </w:rPr>
        <w:t>；</w:t>
      </w:r>
      <w:r w:rsidR="007459F5" w:rsidRPr="007847F2">
        <w:rPr>
          <w:rFonts w:hint="eastAsia"/>
        </w:rPr>
        <w:t>冰醋酸為該署所公告的第11類食品添加物。據此該署何以在</w:t>
      </w:r>
      <w:proofErr w:type="gramStart"/>
      <w:r w:rsidR="007459F5" w:rsidRPr="007847F2">
        <w:rPr>
          <w:rFonts w:hint="eastAsia"/>
        </w:rPr>
        <w:t>淦</w:t>
      </w:r>
      <w:proofErr w:type="gramEnd"/>
      <w:r w:rsidR="007459F5" w:rsidRPr="007847F2">
        <w:rPr>
          <w:rFonts w:hint="eastAsia"/>
        </w:rPr>
        <w:t>成企業有限公司於103年初，涉嫌用工業用冰醋酸浸泡低價海參，再混充高價「黑玉參」牟利之訴訟案中，函復臺灣新北地方法院冰醋酸屬</w:t>
      </w:r>
      <w:proofErr w:type="gramStart"/>
      <w:r w:rsidR="007459F5" w:rsidRPr="007847F2">
        <w:rPr>
          <w:rFonts w:hint="eastAsia"/>
        </w:rPr>
        <w:t>加工助劑</w:t>
      </w:r>
      <w:proofErr w:type="gramEnd"/>
      <w:r w:rsidR="007459F5" w:rsidRPr="007847F2">
        <w:rPr>
          <w:rFonts w:hint="eastAsia"/>
        </w:rPr>
        <w:t>？工業用與食品級冰醋酸有無差別？工業用冰醋酸現可作為浸泡海參之</w:t>
      </w:r>
      <w:proofErr w:type="gramStart"/>
      <w:r w:rsidR="007459F5" w:rsidRPr="007847F2">
        <w:rPr>
          <w:rFonts w:hint="eastAsia"/>
        </w:rPr>
        <w:t>加工助劑</w:t>
      </w:r>
      <w:proofErr w:type="gramEnd"/>
      <w:r w:rsidR="007459F5" w:rsidRPr="007847F2">
        <w:rPr>
          <w:rFonts w:hint="eastAsia"/>
        </w:rPr>
        <w:t>？由於大部分冰醋酸的製造是由甲醇與一氧化碳反應而成，104年5月該署人員抽驗</w:t>
      </w:r>
      <w:proofErr w:type="gramStart"/>
      <w:r w:rsidR="007459F5" w:rsidRPr="007847F2">
        <w:rPr>
          <w:rFonts w:hint="eastAsia"/>
        </w:rPr>
        <w:t>淦</w:t>
      </w:r>
      <w:proofErr w:type="gramEnd"/>
      <w:r w:rsidR="007459F5" w:rsidRPr="007847F2">
        <w:rPr>
          <w:rFonts w:hint="eastAsia"/>
        </w:rPr>
        <w:t>成企業有限公司海參成品及半成品共60項檢體，有無檢驗甲醇(毒性物質，假酒原料)殘留量？該署在為國人食品安全把關的處理過程中有無違失？實有深入調查之必要案。</w:t>
      </w:r>
    </w:p>
    <w:p w:rsidR="00853A9A" w:rsidRPr="007847F2" w:rsidRDefault="00853A9A" w:rsidP="000A145F">
      <w:pPr>
        <w:pStyle w:val="2"/>
        <w:numPr>
          <w:ilvl w:val="0"/>
          <w:numId w:val="0"/>
        </w:numPr>
        <w:ind w:left="1021"/>
      </w:pP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</w:p>
    <w:p w:rsidR="00E25849" w:rsidRPr="007847F2" w:rsidRDefault="00E25849" w:rsidP="004E05A1">
      <w:pPr>
        <w:pStyle w:val="1"/>
        <w:ind w:left="2380" w:hanging="2380"/>
      </w:pPr>
      <w:bookmarkStart w:id="31" w:name="_Toc524895646"/>
      <w:bookmarkStart w:id="32" w:name="_Toc524896192"/>
      <w:bookmarkStart w:id="33" w:name="_Toc524896222"/>
      <w:bookmarkStart w:id="34" w:name="_Toc524902729"/>
      <w:bookmarkStart w:id="35" w:name="_Toc525066145"/>
      <w:bookmarkStart w:id="36" w:name="_Toc525070836"/>
      <w:bookmarkStart w:id="37" w:name="_Toc525938376"/>
      <w:bookmarkStart w:id="38" w:name="_Toc525939224"/>
      <w:bookmarkStart w:id="39" w:name="_Toc525939729"/>
      <w:bookmarkStart w:id="40" w:name="_Toc529218269"/>
      <w:bookmarkEnd w:id="25"/>
      <w:bookmarkEnd w:id="26"/>
      <w:bookmarkEnd w:id="27"/>
      <w:bookmarkEnd w:id="28"/>
      <w:bookmarkEnd w:id="29"/>
      <w:bookmarkEnd w:id="30"/>
      <w:r w:rsidRPr="007847F2">
        <w:br w:type="page"/>
      </w:r>
      <w:bookmarkStart w:id="41" w:name="_Toc529222686"/>
      <w:bookmarkStart w:id="42" w:name="_Toc529223108"/>
      <w:bookmarkStart w:id="43" w:name="_Toc529223859"/>
      <w:bookmarkStart w:id="44" w:name="_Toc529228262"/>
      <w:bookmarkStart w:id="45" w:name="_Toc2400392"/>
      <w:bookmarkStart w:id="46" w:name="_Toc4316186"/>
      <w:bookmarkStart w:id="47" w:name="_Toc4473327"/>
      <w:bookmarkStart w:id="48" w:name="_Toc69556894"/>
      <w:bookmarkStart w:id="49" w:name="_Toc69556943"/>
      <w:bookmarkStart w:id="50" w:name="_Toc69609817"/>
      <w:bookmarkStart w:id="51" w:name="_Toc70241813"/>
      <w:bookmarkStart w:id="52" w:name="_Toc70242202"/>
      <w:bookmarkStart w:id="53" w:name="_Toc421794872"/>
      <w:bookmarkStart w:id="54" w:name="_Toc422834157"/>
      <w:r w:rsidRPr="007847F2">
        <w:rPr>
          <w:rFonts w:hint="eastAsia"/>
        </w:rPr>
        <w:lastRenderedPageBreak/>
        <w:t>調查意見：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295665" w:rsidRPr="007847F2" w:rsidRDefault="00295665" w:rsidP="003073C9">
      <w:pPr>
        <w:pStyle w:val="11"/>
        <w:ind w:left="680" w:firstLine="680"/>
      </w:pPr>
      <w:bookmarkStart w:id="55" w:name="_Toc524902730"/>
      <w:r w:rsidRPr="007847F2">
        <w:rPr>
          <w:rFonts w:hint="eastAsia"/>
        </w:rPr>
        <w:t>有關</w:t>
      </w:r>
      <w:r w:rsidR="00C71BA6" w:rsidRPr="007847F2">
        <w:rPr>
          <w:rFonts w:hint="eastAsia"/>
        </w:rPr>
        <w:t>食品業者</w:t>
      </w:r>
      <w:r w:rsidR="00854B77" w:rsidRPr="007847F2">
        <w:rPr>
          <w:rFonts w:hint="eastAsia"/>
        </w:rPr>
        <w:t>將工業用冰醋酸作為</w:t>
      </w:r>
      <w:proofErr w:type="gramStart"/>
      <w:r w:rsidR="00854B77" w:rsidRPr="007847F2">
        <w:rPr>
          <w:rFonts w:hint="eastAsia"/>
        </w:rPr>
        <w:t>加工助劑之</w:t>
      </w:r>
      <w:proofErr w:type="gramEnd"/>
      <w:r w:rsidR="00854B77" w:rsidRPr="007847F2">
        <w:rPr>
          <w:rFonts w:hint="eastAsia"/>
        </w:rPr>
        <w:t>安全性及適法性</w:t>
      </w:r>
      <w:r w:rsidRPr="007847F2">
        <w:rPr>
          <w:rFonts w:hint="eastAsia"/>
        </w:rPr>
        <w:t>，在不涉及</w:t>
      </w:r>
      <w:r w:rsidR="00837BB2" w:rsidRPr="007847F2">
        <w:rPr>
          <w:rFonts w:hint="eastAsia"/>
        </w:rPr>
        <w:t>個案</w:t>
      </w:r>
      <w:r w:rsidR="00CC52AA" w:rsidRPr="007847F2">
        <w:rPr>
          <w:rStyle w:val="aff"/>
        </w:rPr>
        <w:footnoteReference w:id="1"/>
      </w:r>
      <w:r w:rsidR="00837BB2" w:rsidRPr="007847F2">
        <w:rPr>
          <w:rFonts w:hint="eastAsia"/>
        </w:rPr>
        <w:t>審判核心前提下</w:t>
      </w:r>
      <w:r w:rsidRPr="007847F2">
        <w:rPr>
          <w:rFonts w:hint="eastAsia"/>
        </w:rPr>
        <w:t>，經本院4次函</w:t>
      </w:r>
      <w:proofErr w:type="gramStart"/>
      <w:r w:rsidRPr="007847F2">
        <w:rPr>
          <w:rFonts w:hint="eastAsia"/>
        </w:rPr>
        <w:t>詢</w:t>
      </w:r>
      <w:proofErr w:type="gramEnd"/>
      <w:r w:rsidRPr="007847F2">
        <w:rPr>
          <w:rFonts w:hint="eastAsia"/>
        </w:rPr>
        <w:t>衛</w:t>
      </w:r>
      <w:r w:rsidR="001D49EC" w:rsidRPr="007847F2">
        <w:rPr>
          <w:rFonts w:hint="eastAsia"/>
        </w:rPr>
        <w:t>生福利</w:t>
      </w:r>
      <w:r w:rsidRPr="007847F2">
        <w:rPr>
          <w:rFonts w:hint="eastAsia"/>
        </w:rPr>
        <w:t>部</w:t>
      </w:r>
      <w:r w:rsidR="001D49EC" w:rsidRPr="007847F2">
        <w:rPr>
          <w:rFonts w:hint="eastAsia"/>
        </w:rPr>
        <w:t>（下稱衛福部）</w:t>
      </w:r>
      <w:r w:rsidRPr="007847F2">
        <w:rPr>
          <w:rFonts w:hint="eastAsia"/>
        </w:rPr>
        <w:t>暨</w:t>
      </w:r>
      <w:r w:rsidR="001D49EC" w:rsidRPr="007847F2">
        <w:rPr>
          <w:rFonts w:hint="eastAsia"/>
        </w:rPr>
        <w:t>食品藥物管理署（下稱</w:t>
      </w:r>
      <w:r w:rsidRPr="007847F2">
        <w:rPr>
          <w:rFonts w:hint="eastAsia"/>
        </w:rPr>
        <w:t>食藥署</w:t>
      </w:r>
      <w:r w:rsidR="001D49EC" w:rsidRPr="007847F2">
        <w:rPr>
          <w:rFonts w:hint="eastAsia"/>
        </w:rPr>
        <w:t>）</w:t>
      </w:r>
      <w:r w:rsidRPr="007847F2">
        <w:rPr>
          <w:rFonts w:hAnsi="標楷體" w:hint="eastAsia"/>
          <w:caps/>
          <w:szCs w:val="32"/>
        </w:rPr>
        <w:t>相關事宜</w:t>
      </w:r>
      <w:r w:rsidRPr="007847F2">
        <w:rPr>
          <w:rFonts w:hint="eastAsia"/>
        </w:rPr>
        <w:t>，另調閱臺灣新北地方檢察署、臺灣高等檢察署及</w:t>
      </w:r>
      <w:r w:rsidRPr="007847F2">
        <w:rPr>
          <w:rFonts w:hAnsi="標楷體" w:hint="eastAsia"/>
          <w:caps/>
          <w:szCs w:val="32"/>
        </w:rPr>
        <w:t>臺灣高等法院相關資料，且為</w:t>
      </w:r>
      <w:proofErr w:type="gramStart"/>
      <w:r w:rsidRPr="007847F2">
        <w:rPr>
          <w:rFonts w:hAnsi="標楷體" w:hint="eastAsia"/>
          <w:caps/>
          <w:szCs w:val="32"/>
        </w:rPr>
        <w:t>釐</w:t>
      </w:r>
      <w:proofErr w:type="gramEnd"/>
      <w:r w:rsidRPr="007847F2">
        <w:rPr>
          <w:rFonts w:hAnsi="標楷體" w:hint="eastAsia"/>
          <w:caps/>
          <w:szCs w:val="32"/>
        </w:rPr>
        <w:t>清食品安全專業問題，於</w:t>
      </w:r>
      <w:r w:rsidRPr="007847F2">
        <w:rPr>
          <w:rFonts w:hAnsi="標楷體"/>
          <w:caps/>
          <w:szCs w:val="32"/>
        </w:rPr>
        <w:t>107年7月10日辦理諮詢會議</w:t>
      </w:r>
      <w:r w:rsidRPr="007847F2">
        <w:rPr>
          <w:rFonts w:hAnsi="標楷體" w:hint="eastAsia"/>
          <w:caps/>
          <w:szCs w:val="32"/>
        </w:rPr>
        <w:t>，</w:t>
      </w:r>
      <w:proofErr w:type="gramStart"/>
      <w:r w:rsidRPr="007847F2">
        <w:rPr>
          <w:rFonts w:hAnsi="標楷體" w:hint="eastAsia"/>
          <w:caps/>
          <w:szCs w:val="32"/>
        </w:rPr>
        <w:t>嗣</w:t>
      </w:r>
      <w:proofErr w:type="gramEnd"/>
      <w:r w:rsidRPr="007847F2">
        <w:rPr>
          <w:rFonts w:hAnsi="標楷體" w:hint="eastAsia"/>
          <w:caps/>
          <w:szCs w:val="32"/>
        </w:rPr>
        <w:t>於</w:t>
      </w:r>
      <w:r w:rsidRPr="007847F2">
        <w:rPr>
          <w:rFonts w:hint="eastAsia"/>
        </w:rPr>
        <w:t>7月12日</w:t>
      </w:r>
      <w:r w:rsidRPr="007847F2">
        <w:rPr>
          <w:rFonts w:hAnsi="標楷體" w:hint="eastAsia"/>
          <w:caps/>
          <w:szCs w:val="32"/>
        </w:rPr>
        <w:t>詢問衛福部</w:t>
      </w:r>
      <w:r w:rsidRPr="007847F2">
        <w:rPr>
          <w:rFonts w:hAnsi="標楷體" w:hint="eastAsia"/>
          <w:szCs w:val="32"/>
          <w:lang w:eastAsia="zh-HK"/>
        </w:rPr>
        <w:t>何啟功</w:t>
      </w:r>
      <w:r w:rsidRPr="007847F2">
        <w:rPr>
          <w:rFonts w:hAnsi="標楷體" w:hint="eastAsia"/>
          <w:szCs w:val="32"/>
        </w:rPr>
        <w:t>政務次長及</w:t>
      </w:r>
      <w:proofErr w:type="gramStart"/>
      <w:r w:rsidRPr="007847F2">
        <w:rPr>
          <w:rFonts w:hAnsi="標楷體" w:hint="eastAsia"/>
          <w:szCs w:val="32"/>
        </w:rPr>
        <w:t>食藥署</w:t>
      </w:r>
      <w:proofErr w:type="gramEnd"/>
      <w:r w:rsidRPr="007847F2">
        <w:rPr>
          <w:rFonts w:hint="eastAsia"/>
          <w:szCs w:val="32"/>
          <w:lang w:eastAsia="zh-HK"/>
        </w:rPr>
        <w:t>吳秀梅</w:t>
      </w:r>
      <w:r w:rsidRPr="007847F2">
        <w:rPr>
          <w:rFonts w:hint="eastAsia"/>
          <w:szCs w:val="32"/>
        </w:rPr>
        <w:t>署長、林金富副署長、潘志寬組長等相關主管人員，復於8月2日</w:t>
      </w:r>
      <w:r w:rsidRPr="007847F2">
        <w:rPr>
          <w:rFonts w:hAnsi="標楷體" w:hint="eastAsia"/>
          <w:caps/>
          <w:szCs w:val="32"/>
        </w:rPr>
        <w:t>及</w:t>
      </w:r>
      <w:r w:rsidRPr="007847F2">
        <w:rPr>
          <w:rFonts w:hAnsi="標楷體"/>
          <w:caps/>
          <w:szCs w:val="32"/>
        </w:rPr>
        <w:t>9</w:t>
      </w:r>
      <w:r w:rsidRPr="007847F2">
        <w:rPr>
          <w:rFonts w:hAnsi="標楷體" w:hint="eastAsia"/>
          <w:caps/>
          <w:szCs w:val="32"/>
        </w:rPr>
        <w:t>月</w:t>
      </w:r>
      <w:r w:rsidRPr="007847F2">
        <w:rPr>
          <w:rFonts w:hAnsi="標楷體"/>
          <w:caps/>
          <w:szCs w:val="32"/>
        </w:rPr>
        <w:t>7</w:t>
      </w:r>
      <w:r w:rsidRPr="007847F2">
        <w:rPr>
          <w:rFonts w:hAnsi="標楷體" w:hint="eastAsia"/>
          <w:caps/>
          <w:szCs w:val="32"/>
        </w:rPr>
        <w:t>日再次諮詢食品安全及相關法規之專家學者，再</w:t>
      </w:r>
      <w:proofErr w:type="gramStart"/>
      <w:r w:rsidRPr="007847F2">
        <w:rPr>
          <w:rFonts w:hAnsi="標楷體" w:hint="eastAsia"/>
          <w:caps/>
          <w:szCs w:val="32"/>
        </w:rPr>
        <w:t>經食藥署</w:t>
      </w:r>
      <w:proofErr w:type="gramEnd"/>
      <w:r w:rsidRPr="007847F2">
        <w:rPr>
          <w:rFonts w:hAnsi="標楷體" w:hint="eastAsia"/>
          <w:caps/>
          <w:szCs w:val="32"/>
        </w:rPr>
        <w:t>補充說明資料到院，業</w:t>
      </w:r>
      <w:r w:rsidRPr="007847F2">
        <w:rPr>
          <w:rFonts w:hint="eastAsia"/>
        </w:rPr>
        <w:t>調查完竣，茲將調查</w:t>
      </w:r>
      <w:proofErr w:type="gramStart"/>
      <w:r w:rsidRPr="007847F2">
        <w:rPr>
          <w:rFonts w:hint="eastAsia"/>
        </w:rPr>
        <w:t>意見列述如下</w:t>
      </w:r>
      <w:proofErr w:type="gramEnd"/>
      <w:r w:rsidRPr="007847F2">
        <w:rPr>
          <w:rFonts w:hint="eastAsia"/>
        </w:rPr>
        <w:t>：</w:t>
      </w:r>
    </w:p>
    <w:p w:rsidR="00295665" w:rsidRPr="007847F2" w:rsidRDefault="00295665" w:rsidP="00A63A63">
      <w:pPr>
        <w:pStyle w:val="2"/>
        <w:rPr>
          <w:b/>
        </w:rPr>
      </w:pPr>
      <w:proofErr w:type="gramStart"/>
      <w:r w:rsidRPr="007847F2">
        <w:rPr>
          <w:rFonts w:hint="eastAsia"/>
          <w:b/>
        </w:rPr>
        <w:t>食藥署</w:t>
      </w:r>
      <w:proofErr w:type="gramEnd"/>
      <w:r w:rsidRPr="007847F2">
        <w:rPr>
          <w:rFonts w:hint="eastAsia"/>
          <w:b/>
        </w:rPr>
        <w:t>表示，依據食安法第17條規定訂定「</w:t>
      </w:r>
      <w:proofErr w:type="gramStart"/>
      <w:r w:rsidRPr="007847F2">
        <w:rPr>
          <w:rFonts w:hint="eastAsia"/>
          <w:b/>
        </w:rPr>
        <w:t>加工助劑衛生</w:t>
      </w:r>
      <w:proofErr w:type="gramEnd"/>
      <w:r w:rsidRPr="007847F2">
        <w:rPr>
          <w:rFonts w:hint="eastAsia"/>
          <w:b/>
        </w:rPr>
        <w:t>標準」，惟該條文之內容、目的與範圍</w:t>
      </w:r>
      <w:r w:rsidR="00491475" w:rsidRPr="007847F2">
        <w:rPr>
          <w:rFonts w:hint="eastAsia"/>
          <w:b/>
        </w:rPr>
        <w:t>明確</w:t>
      </w:r>
      <w:r w:rsidRPr="007847F2">
        <w:rPr>
          <w:rFonts w:hint="eastAsia"/>
          <w:b/>
        </w:rPr>
        <w:t>未授權主管機關訂定該標準</w:t>
      </w:r>
      <w:r w:rsidR="006822B0" w:rsidRPr="007847F2">
        <w:rPr>
          <w:rFonts w:hint="eastAsia"/>
          <w:b/>
        </w:rPr>
        <w:t>。</w:t>
      </w:r>
      <w:r w:rsidRPr="007847F2">
        <w:rPr>
          <w:rFonts w:hint="eastAsia"/>
          <w:b/>
        </w:rPr>
        <w:t>該署</w:t>
      </w:r>
      <w:proofErr w:type="gramStart"/>
      <w:r w:rsidRPr="007847F2">
        <w:rPr>
          <w:rFonts w:hint="eastAsia"/>
          <w:b/>
        </w:rPr>
        <w:t>自創食安</w:t>
      </w:r>
      <w:proofErr w:type="gramEnd"/>
      <w:r w:rsidRPr="007847F2">
        <w:rPr>
          <w:rFonts w:hint="eastAsia"/>
          <w:b/>
        </w:rPr>
        <w:t>法所無之「</w:t>
      </w:r>
      <w:proofErr w:type="gramStart"/>
      <w:r w:rsidRPr="007847F2">
        <w:rPr>
          <w:rFonts w:hint="eastAsia"/>
          <w:b/>
        </w:rPr>
        <w:t>加工助劑</w:t>
      </w:r>
      <w:proofErr w:type="gramEnd"/>
      <w:r w:rsidRPr="007847F2">
        <w:rPr>
          <w:rFonts w:hint="eastAsia"/>
          <w:b/>
        </w:rPr>
        <w:t>」新名詞且訂定其衛生標準，明顯違反法律保留原則；</w:t>
      </w:r>
      <w:proofErr w:type="gramStart"/>
      <w:r w:rsidRPr="007847F2">
        <w:rPr>
          <w:rFonts w:hint="eastAsia"/>
          <w:b/>
        </w:rPr>
        <w:t>復食藥署</w:t>
      </w:r>
      <w:proofErr w:type="gramEnd"/>
      <w:r w:rsidRPr="007847F2">
        <w:rPr>
          <w:rFonts w:hint="eastAsia"/>
          <w:b/>
        </w:rPr>
        <w:t>將原列屬食品添加物之「溶劑」刪除，改以「</w:t>
      </w:r>
      <w:proofErr w:type="gramStart"/>
      <w:r w:rsidRPr="007847F2">
        <w:rPr>
          <w:rFonts w:hint="eastAsia"/>
          <w:b/>
        </w:rPr>
        <w:t>加工助劑衛生</w:t>
      </w:r>
      <w:proofErr w:type="gramEnd"/>
      <w:r w:rsidRPr="007847F2">
        <w:rPr>
          <w:rFonts w:hint="eastAsia"/>
          <w:b/>
        </w:rPr>
        <w:t>標準」規範之，使「溶劑」脫離原本</w:t>
      </w:r>
      <w:proofErr w:type="gramStart"/>
      <w:r w:rsidRPr="007847F2">
        <w:rPr>
          <w:rFonts w:hint="eastAsia"/>
          <w:b/>
        </w:rPr>
        <w:t>應依食安</w:t>
      </w:r>
      <w:proofErr w:type="gramEnd"/>
      <w:r w:rsidRPr="007847F2">
        <w:rPr>
          <w:rFonts w:hint="eastAsia"/>
          <w:b/>
        </w:rPr>
        <w:t>法第21條查驗登記之管理範疇，致各家業者可自行販賣及使用，加以不再受正面表列規範之，而改由業者向衛福部申請，且此重要放寬規定竟隱藏於法規命令中「附表</w:t>
      </w:r>
      <w:proofErr w:type="gramStart"/>
      <w:r w:rsidRPr="007847F2">
        <w:rPr>
          <w:rFonts w:hint="eastAsia"/>
          <w:b/>
        </w:rPr>
        <w:t>一</w:t>
      </w:r>
      <w:proofErr w:type="gramEnd"/>
      <w:r w:rsidRPr="007847F2">
        <w:rPr>
          <w:rFonts w:hint="eastAsia"/>
          <w:b/>
        </w:rPr>
        <w:t>」之「備註」中，該部規避正常法律程序，明顯違失。</w:t>
      </w:r>
    </w:p>
    <w:p w:rsidR="00295665" w:rsidRPr="007847F2" w:rsidRDefault="00295665" w:rsidP="00D924CB">
      <w:pPr>
        <w:pStyle w:val="3"/>
      </w:pPr>
      <w:proofErr w:type="gramStart"/>
      <w:r w:rsidRPr="007847F2">
        <w:rPr>
          <w:rFonts w:hint="eastAsia"/>
        </w:rPr>
        <w:t>食藥署</w:t>
      </w:r>
      <w:proofErr w:type="gramEnd"/>
      <w:r w:rsidRPr="007847F2">
        <w:rPr>
          <w:rFonts w:hint="eastAsia"/>
        </w:rPr>
        <w:t>認為</w:t>
      </w:r>
      <w:proofErr w:type="gramStart"/>
      <w:r w:rsidRPr="007847F2">
        <w:rPr>
          <w:rFonts w:hint="eastAsia"/>
        </w:rPr>
        <w:t>本案冰醋酸</w:t>
      </w:r>
      <w:proofErr w:type="gramEnd"/>
      <w:r w:rsidRPr="007847F2">
        <w:rPr>
          <w:rFonts w:hint="eastAsia"/>
        </w:rPr>
        <w:t>係屬</w:t>
      </w:r>
      <w:proofErr w:type="gramStart"/>
      <w:r w:rsidRPr="007847F2">
        <w:rPr>
          <w:rFonts w:hint="eastAsia"/>
        </w:rPr>
        <w:t>加工助劑而</w:t>
      </w:r>
      <w:proofErr w:type="gramEnd"/>
      <w:r w:rsidRPr="007847F2">
        <w:rPr>
          <w:rFonts w:hint="eastAsia"/>
        </w:rPr>
        <w:t>非食品添加物，而何謂「</w:t>
      </w:r>
      <w:proofErr w:type="gramStart"/>
      <w:r w:rsidRPr="007847F2">
        <w:rPr>
          <w:rFonts w:hint="eastAsia"/>
        </w:rPr>
        <w:t>加工助劑</w:t>
      </w:r>
      <w:proofErr w:type="gramEnd"/>
      <w:r w:rsidRPr="007847F2">
        <w:rPr>
          <w:rFonts w:hint="eastAsia"/>
        </w:rPr>
        <w:t>」？與食品添加物「溶劑」之差別？為何衛福部會訂定「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標準」？查</w:t>
      </w:r>
      <w:proofErr w:type="gramStart"/>
      <w:r w:rsidRPr="007847F2">
        <w:rPr>
          <w:rFonts w:hint="eastAsia"/>
        </w:rPr>
        <w:t>該部於</w:t>
      </w:r>
      <w:r w:rsidRPr="007847F2">
        <w:t>1</w:t>
      </w:r>
      <w:r w:rsidRPr="007847F2">
        <w:rPr>
          <w:rFonts w:hint="eastAsia"/>
        </w:rPr>
        <w:t>05年2月17日</w:t>
      </w:r>
      <w:proofErr w:type="gramEnd"/>
      <w:r w:rsidRPr="007847F2">
        <w:rPr>
          <w:rFonts w:hint="eastAsia"/>
        </w:rPr>
        <w:t>訂定發布「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標準」，並同時修正「食品添加物使用範圍及限量暨規格標準」第2條附表一、第3條附表二，將第(十五)類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int="eastAsia"/>
        </w:rPr>
        <w:t>溶</w:t>
      </w:r>
      <w:r w:rsidRPr="007847F2">
        <w:rPr>
          <w:rFonts w:hint="eastAsia"/>
        </w:rPr>
        <w:lastRenderedPageBreak/>
        <w:t>劑</w:t>
      </w:r>
      <w:r w:rsidRPr="007847F2">
        <w:rPr>
          <w:rFonts w:hAnsi="標楷體" w:hint="eastAsia"/>
        </w:rPr>
        <w:t>」</w:t>
      </w:r>
      <w:r w:rsidRPr="007847F2">
        <w:rPr>
          <w:rFonts w:hint="eastAsia"/>
        </w:rPr>
        <w:t>之功能性名稱修正為「載體」，配</w:t>
      </w:r>
      <w:r w:rsidRPr="007847F2">
        <w:rPr>
          <w:rFonts w:hAnsi="標楷體" w:hint="eastAsia"/>
        </w:rPr>
        <w:t>合修正</w:t>
      </w:r>
      <w:proofErr w:type="gramStart"/>
      <w:r w:rsidRPr="007847F2">
        <w:rPr>
          <w:rFonts w:hAnsi="標楷體" w:hint="eastAsia"/>
        </w:rPr>
        <w:t>甘油及丙</w:t>
      </w:r>
      <w:proofErr w:type="gramEnd"/>
      <w:r w:rsidRPr="007847F2">
        <w:rPr>
          <w:rFonts w:hAnsi="標楷體" w:hint="eastAsia"/>
        </w:rPr>
        <w:t>二醇規格標準之</w:t>
      </w:r>
      <w:proofErr w:type="gramStart"/>
      <w:r w:rsidRPr="007847F2">
        <w:rPr>
          <w:rFonts w:hAnsi="標楷體" w:hint="eastAsia"/>
        </w:rPr>
        <w:t>用途為載體</w:t>
      </w:r>
      <w:proofErr w:type="gramEnd"/>
      <w:r w:rsidRPr="007847F2">
        <w:rPr>
          <w:rFonts w:hAnsi="標楷體" w:hint="eastAsia"/>
        </w:rPr>
        <w:t>，並刪除己烷、異</w:t>
      </w:r>
      <w:r w:rsidRPr="007847F2">
        <w:rPr>
          <w:rFonts w:hint="eastAsia"/>
        </w:rPr>
        <w:t>丙醇、丙酮、乙酸乙酯及三乙酸</w:t>
      </w:r>
      <w:proofErr w:type="gramStart"/>
      <w:r w:rsidRPr="007847F2">
        <w:rPr>
          <w:rFonts w:hint="eastAsia"/>
        </w:rPr>
        <w:t>甘油酯等5項</w:t>
      </w:r>
      <w:proofErr w:type="gramEnd"/>
      <w:r w:rsidRPr="007847F2">
        <w:rPr>
          <w:rFonts w:hint="eastAsia"/>
        </w:rPr>
        <w:t>成分之規格標準；簡言之，衛福部將</w:t>
      </w:r>
      <w:proofErr w:type="gramStart"/>
      <w:r w:rsidRPr="007847F2">
        <w:rPr>
          <w:rFonts w:hint="eastAsia"/>
        </w:rPr>
        <w:t>己烷等5項</w:t>
      </w:r>
      <w:proofErr w:type="gramEnd"/>
      <w:r w:rsidRPr="007847F2">
        <w:rPr>
          <w:rFonts w:hint="eastAsia"/>
        </w:rPr>
        <w:t>成分自食品添加物中之「溶劑」移至「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標準」規範，並訂定、發布之。然有關該標準之訂定依據，</w:t>
      </w:r>
      <w:proofErr w:type="gramStart"/>
      <w:r w:rsidRPr="007847F2">
        <w:rPr>
          <w:rFonts w:hint="eastAsia"/>
        </w:rPr>
        <w:t>據食藥署</w:t>
      </w:r>
      <w:proofErr w:type="gramEnd"/>
      <w:r w:rsidRPr="007847F2">
        <w:rPr>
          <w:rFonts w:hint="eastAsia"/>
        </w:rPr>
        <w:t>表示</w:t>
      </w:r>
      <w:r w:rsidRPr="007847F2">
        <w:rPr>
          <w:rStyle w:val="aff"/>
        </w:rPr>
        <w:footnoteReference w:id="2"/>
      </w:r>
      <w:r w:rsidRPr="007847F2">
        <w:rPr>
          <w:rFonts w:hint="eastAsia"/>
        </w:rPr>
        <w:t>略</w:t>
      </w:r>
      <w:proofErr w:type="gramStart"/>
      <w:r w:rsidRPr="007847F2">
        <w:rPr>
          <w:rFonts w:hint="eastAsia"/>
        </w:rPr>
        <w:t>以</w:t>
      </w:r>
      <w:proofErr w:type="gramEnd"/>
      <w:r w:rsidRPr="007847F2">
        <w:rPr>
          <w:rFonts w:hint="eastAsia"/>
        </w:rPr>
        <w:t>：係依據食安法第17條訂定，因</w:t>
      </w:r>
      <w:proofErr w:type="gramStart"/>
      <w:r w:rsidRPr="007847F2">
        <w:rPr>
          <w:rFonts w:hint="eastAsia"/>
        </w:rPr>
        <w:t>加工助劑在</w:t>
      </w:r>
      <w:proofErr w:type="gramEnd"/>
      <w:r w:rsidRPr="007847F2">
        <w:rPr>
          <w:rFonts w:hint="eastAsia"/>
        </w:rPr>
        <w:t>食品生產之應用，與「販賣之食品」品質</w:t>
      </w:r>
      <w:r w:rsidRPr="007847F2">
        <w:rPr>
          <w:rFonts w:hAnsi="標楷體" w:hint="eastAsia"/>
        </w:rPr>
        <w:t>及衛生安全息息相關，</w:t>
      </w:r>
      <w:proofErr w:type="gramStart"/>
      <w:r w:rsidRPr="007847F2">
        <w:rPr>
          <w:rFonts w:hAnsi="標楷體" w:hint="eastAsia"/>
        </w:rPr>
        <w:t>爰</w:t>
      </w:r>
      <w:proofErr w:type="gramEnd"/>
      <w:r w:rsidRPr="007847F2">
        <w:rPr>
          <w:rFonts w:hAnsi="標楷體" w:hint="eastAsia"/>
        </w:rPr>
        <w:t>依據該規定訂定發布之云云</w:t>
      </w:r>
      <w:r w:rsidRPr="007847F2">
        <w:rPr>
          <w:rFonts w:hint="eastAsia"/>
        </w:rPr>
        <w:t>。</w:t>
      </w:r>
    </w:p>
    <w:p w:rsidR="00295665" w:rsidRPr="007847F2" w:rsidRDefault="00295665" w:rsidP="00AC7335">
      <w:pPr>
        <w:pStyle w:val="3"/>
      </w:pPr>
      <w:proofErr w:type="gramStart"/>
      <w:r w:rsidRPr="007847F2">
        <w:rPr>
          <w:rFonts w:hint="eastAsia"/>
        </w:rPr>
        <w:t>惟按食安</w:t>
      </w:r>
      <w:proofErr w:type="gramEnd"/>
      <w:r w:rsidRPr="007847F2">
        <w:rPr>
          <w:rFonts w:hint="eastAsia"/>
        </w:rPr>
        <w:t>法第17條規定：「販賣之食品、食品</w:t>
      </w:r>
      <w:proofErr w:type="gramStart"/>
      <w:r w:rsidRPr="007847F2">
        <w:rPr>
          <w:rFonts w:hint="eastAsia"/>
        </w:rPr>
        <w:t>用洗潔劑</w:t>
      </w:r>
      <w:proofErr w:type="gramEnd"/>
      <w:r w:rsidRPr="007847F2">
        <w:rPr>
          <w:rFonts w:hint="eastAsia"/>
        </w:rPr>
        <w:t>及其器具、容器或包裝，應符合衛生安全及品質之標準；其標準由中央主管機關定之。」</w:t>
      </w:r>
      <w:r w:rsidRPr="007847F2">
        <w:rPr>
          <w:rFonts w:hint="eastAsia"/>
          <w:b/>
        </w:rPr>
        <w:t>此條文規範客體係「食品」、「食品</w:t>
      </w:r>
      <w:proofErr w:type="gramStart"/>
      <w:r w:rsidRPr="007847F2">
        <w:rPr>
          <w:rFonts w:hint="eastAsia"/>
          <w:b/>
        </w:rPr>
        <w:t>用洗潔劑</w:t>
      </w:r>
      <w:proofErr w:type="gramEnd"/>
      <w:r w:rsidRPr="007847F2">
        <w:rPr>
          <w:rFonts w:hint="eastAsia"/>
          <w:b/>
        </w:rPr>
        <w:t>」及其</w:t>
      </w:r>
      <w:r w:rsidRPr="007847F2">
        <w:rPr>
          <w:rFonts w:ascii="新細明體" w:eastAsia="新細明體" w:hAnsi="新細明體" w:hint="eastAsia"/>
          <w:b/>
        </w:rPr>
        <w:t>「</w:t>
      </w:r>
      <w:r w:rsidRPr="007847F2">
        <w:rPr>
          <w:rFonts w:hint="eastAsia"/>
          <w:b/>
        </w:rPr>
        <w:t>容器、包裝</w:t>
      </w:r>
      <w:r w:rsidRPr="007847F2">
        <w:rPr>
          <w:rFonts w:hAnsi="標楷體" w:hint="eastAsia"/>
          <w:b/>
        </w:rPr>
        <w:t>」</w:t>
      </w:r>
      <w:r w:rsidRPr="007847F2">
        <w:rPr>
          <w:rFonts w:hint="eastAsia"/>
          <w:b/>
        </w:rPr>
        <w:t>，顯然不包含「</w:t>
      </w:r>
      <w:proofErr w:type="gramStart"/>
      <w:r w:rsidRPr="007847F2">
        <w:rPr>
          <w:rFonts w:hint="eastAsia"/>
          <w:b/>
        </w:rPr>
        <w:t>加工助劑</w:t>
      </w:r>
      <w:proofErr w:type="gramEnd"/>
      <w:r w:rsidRPr="007847F2">
        <w:rPr>
          <w:rFonts w:hint="eastAsia"/>
          <w:b/>
        </w:rPr>
        <w:t>」</w:t>
      </w:r>
      <w:r w:rsidRPr="007847F2">
        <w:rPr>
          <w:rFonts w:hint="eastAsia"/>
        </w:rPr>
        <w:t>；且同法第3條對於「食品」、「食品</w:t>
      </w:r>
      <w:proofErr w:type="gramStart"/>
      <w:r w:rsidRPr="007847F2">
        <w:rPr>
          <w:rFonts w:hint="eastAsia"/>
        </w:rPr>
        <w:t>用洗潔劑</w:t>
      </w:r>
      <w:proofErr w:type="gramEnd"/>
      <w:r w:rsidRPr="007847F2">
        <w:rPr>
          <w:rFonts w:hint="eastAsia"/>
        </w:rPr>
        <w:t>」、「食品器具」及「食品容器或包裝」</w:t>
      </w:r>
      <w:proofErr w:type="gramStart"/>
      <w:r w:rsidRPr="007847F2">
        <w:rPr>
          <w:rFonts w:hint="eastAsia"/>
        </w:rPr>
        <w:t>等均有明確</w:t>
      </w:r>
      <w:proofErr w:type="gramEnd"/>
      <w:r w:rsidRPr="007847F2">
        <w:rPr>
          <w:rFonts w:hint="eastAsia"/>
        </w:rPr>
        <w:t>定義，審諸該等定義，</w:t>
      </w:r>
      <w:r w:rsidRPr="007847F2">
        <w:rPr>
          <w:rFonts w:hint="eastAsia"/>
          <w:b/>
        </w:rPr>
        <w:t>「</w:t>
      </w:r>
      <w:proofErr w:type="gramStart"/>
      <w:r w:rsidRPr="007847F2">
        <w:rPr>
          <w:rFonts w:hint="eastAsia"/>
          <w:b/>
        </w:rPr>
        <w:t>加工助劑</w:t>
      </w:r>
      <w:proofErr w:type="gramEnd"/>
      <w:r w:rsidRPr="007847F2">
        <w:rPr>
          <w:rFonts w:hint="eastAsia"/>
          <w:b/>
        </w:rPr>
        <w:t>」皆不屬之</w:t>
      </w:r>
      <w:r w:rsidRPr="007847F2">
        <w:rPr>
          <w:rFonts w:hint="eastAsia"/>
        </w:rPr>
        <w:t>，</w:t>
      </w:r>
      <w:proofErr w:type="gramStart"/>
      <w:r w:rsidRPr="007847F2">
        <w:rPr>
          <w:rFonts w:hint="eastAsia"/>
        </w:rPr>
        <w:t>復該條文</w:t>
      </w:r>
      <w:proofErr w:type="gramEnd"/>
      <w:r w:rsidRPr="007847F2">
        <w:rPr>
          <w:rFonts w:hint="eastAsia"/>
        </w:rPr>
        <w:t>11項用詞定義中，</w:t>
      </w:r>
      <w:r w:rsidRPr="007847F2">
        <w:rPr>
          <w:rFonts w:hint="eastAsia"/>
          <w:b/>
        </w:rPr>
        <w:t>亦未包括「</w:t>
      </w:r>
      <w:proofErr w:type="gramStart"/>
      <w:r w:rsidRPr="007847F2">
        <w:rPr>
          <w:rFonts w:hint="eastAsia"/>
          <w:b/>
        </w:rPr>
        <w:t>加工助劑</w:t>
      </w:r>
      <w:proofErr w:type="gramEnd"/>
      <w:r w:rsidRPr="007847F2">
        <w:rPr>
          <w:rFonts w:hint="eastAsia"/>
          <w:b/>
        </w:rPr>
        <w:t>」</w:t>
      </w:r>
      <w:r w:rsidRPr="007847F2">
        <w:rPr>
          <w:rFonts w:hint="eastAsia"/>
        </w:rPr>
        <w:t>。</w:t>
      </w:r>
    </w:p>
    <w:p w:rsidR="00295665" w:rsidRPr="007847F2" w:rsidRDefault="00295665" w:rsidP="007D6B28">
      <w:pPr>
        <w:pStyle w:val="3"/>
        <w:numPr>
          <w:ilvl w:val="0"/>
          <w:numId w:val="0"/>
        </w:numPr>
        <w:ind w:left="1361" w:firstLineChars="183" w:firstLine="622"/>
      </w:pPr>
      <w:proofErr w:type="gramStart"/>
      <w:r w:rsidRPr="007847F2">
        <w:rPr>
          <w:rFonts w:hint="eastAsia"/>
        </w:rPr>
        <w:t>再者，食藥署</w:t>
      </w:r>
      <w:proofErr w:type="gramEnd"/>
      <w:r w:rsidRPr="007847F2">
        <w:rPr>
          <w:rFonts w:hint="eastAsia"/>
        </w:rPr>
        <w:t>認為「</w:t>
      </w:r>
      <w:proofErr w:type="gramStart"/>
      <w:r w:rsidRPr="007847F2">
        <w:rPr>
          <w:rFonts w:hint="eastAsia"/>
        </w:rPr>
        <w:t>加工助劑</w:t>
      </w:r>
      <w:proofErr w:type="gramEnd"/>
      <w:r w:rsidRPr="007847F2">
        <w:rPr>
          <w:rFonts w:hint="eastAsia"/>
        </w:rPr>
        <w:t>」使用於食品加工製造過程中，故為確保加工</w:t>
      </w:r>
      <w:proofErr w:type="gramStart"/>
      <w:r w:rsidRPr="007847F2">
        <w:rPr>
          <w:rFonts w:hint="eastAsia"/>
        </w:rPr>
        <w:t>助劑於</w:t>
      </w:r>
      <w:proofErr w:type="gramEnd"/>
      <w:r w:rsidRPr="007847F2">
        <w:rPr>
          <w:rFonts w:hint="eastAsia"/>
        </w:rPr>
        <w:t>該等「食品」殘留之安全，</w:t>
      </w:r>
      <w:proofErr w:type="gramStart"/>
      <w:r w:rsidRPr="007847F2">
        <w:rPr>
          <w:rFonts w:hint="eastAsia"/>
        </w:rPr>
        <w:t>爰</w:t>
      </w:r>
      <w:proofErr w:type="gramEnd"/>
      <w:r w:rsidRPr="007847F2">
        <w:rPr>
          <w:rFonts w:hint="eastAsia"/>
        </w:rPr>
        <w:t>認符合該條文(指第17條)所提及「販賣之『食品』」應符合衛生安全品質標準而據以訂定「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標準」。</w:t>
      </w:r>
      <w:proofErr w:type="gramStart"/>
      <w:r w:rsidRPr="007847F2">
        <w:rPr>
          <w:rFonts w:hint="eastAsia"/>
        </w:rPr>
        <w:t>然食安</w:t>
      </w:r>
      <w:proofErr w:type="gramEnd"/>
      <w:r w:rsidRPr="007847F2">
        <w:rPr>
          <w:rFonts w:hint="eastAsia"/>
        </w:rPr>
        <w:t>法第3條第1款對於「食品」之定義為：「</w:t>
      </w:r>
      <w:proofErr w:type="gramStart"/>
      <w:r w:rsidRPr="007847F2">
        <w:rPr>
          <w:rFonts w:hint="eastAsia"/>
        </w:rPr>
        <w:t>指供人</w:t>
      </w:r>
      <w:proofErr w:type="gramEnd"/>
      <w:r w:rsidRPr="007847F2">
        <w:rPr>
          <w:rFonts w:hint="eastAsia"/>
        </w:rPr>
        <w:t>飲食或咀嚼之產品及其原料。」故</w:t>
      </w:r>
      <w:proofErr w:type="gramStart"/>
      <w:r w:rsidRPr="007847F2">
        <w:rPr>
          <w:rFonts w:hint="eastAsia"/>
          <w:b/>
        </w:rPr>
        <w:t>加工助劑明顯</w:t>
      </w:r>
      <w:proofErr w:type="gramEnd"/>
      <w:r w:rsidRPr="007847F2">
        <w:rPr>
          <w:rFonts w:hint="eastAsia"/>
          <w:b/>
        </w:rPr>
        <w:t>非為「食品」</w:t>
      </w:r>
      <w:r w:rsidRPr="007847F2">
        <w:rPr>
          <w:rFonts w:hint="eastAsia"/>
        </w:rPr>
        <w:t>。</w:t>
      </w:r>
    </w:p>
    <w:p w:rsidR="00295665" w:rsidRPr="007847F2" w:rsidRDefault="00295665" w:rsidP="007D6B28">
      <w:pPr>
        <w:pStyle w:val="3"/>
        <w:numPr>
          <w:ilvl w:val="0"/>
          <w:numId w:val="0"/>
        </w:numPr>
        <w:ind w:left="1361" w:firstLineChars="183" w:firstLine="622"/>
      </w:pPr>
      <w:r w:rsidRPr="007847F2">
        <w:rPr>
          <w:rFonts w:hint="eastAsia"/>
        </w:rPr>
        <w:t>且如</w:t>
      </w:r>
      <w:proofErr w:type="gramStart"/>
      <w:r w:rsidRPr="007847F2">
        <w:rPr>
          <w:rFonts w:hint="eastAsia"/>
        </w:rPr>
        <w:t>照食藥署</w:t>
      </w:r>
      <w:proofErr w:type="gramEnd"/>
      <w:r w:rsidRPr="007847F2">
        <w:rPr>
          <w:rFonts w:hint="eastAsia"/>
        </w:rPr>
        <w:t>之認定，為確保食品安全，避免食品中</w:t>
      </w:r>
      <w:proofErr w:type="gramStart"/>
      <w:r w:rsidRPr="007847F2">
        <w:rPr>
          <w:rFonts w:hAnsi="標楷體" w:hint="eastAsia"/>
        </w:rPr>
        <w:t>加工助劑之</w:t>
      </w:r>
      <w:proofErr w:type="gramEnd"/>
      <w:r w:rsidRPr="007847F2">
        <w:rPr>
          <w:rFonts w:hAnsi="標楷體" w:hint="eastAsia"/>
        </w:rPr>
        <w:t>不必要殘留，即可依據該條文</w:t>
      </w:r>
      <w:r w:rsidRPr="007847F2">
        <w:rPr>
          <w:rFonts w:hint="eastAsia"/>
        </w:rPr>
        <w:t>(指第17條)授權訂定「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標準」，則往後不論是</w:t>
      </w:r>
      <w:r w:rsidRPr="007847F2">
        <w:rPr>
          <w:rFonts w:hint="eastAsia"/>
        </w:rPr>
        <w:lastRenderedPageBreak/>
        <w:t>要使用任何化學物質，只要是為確保</w:t>
      </w:r>
      <w:r w:rsidRPr="007847F2">
        <w:rPr>
          <w:rFonts w:hAnsi="標楷體" w:hint="eastAsia"/>
        </w:rPr>
        <w:t>販賣「食品」安全衛生，該署均可依此自行訂定標準而開放使用，</w:t>
      </w:r>
      <w:r w:rsidRPr="007847F2">
        <w:rPr>
          <w:rFonts w:hAnsi="標楷體" w:hint="eastAsia"/>
          <w:b/>
        </w:rPr>
        <w:t>不需經立法機關同意，甚至違反母法立法目的</w:t>
      </w:r>
      <w:r w:rsidRPr="007847F2">
        <w:rPr>
          <w:rFonts w:hAnsi="標楷體" w:hint="eastAsia"/>
        </w:rPr>
        <w:t>，</w:t>
      </w:r>
      <w:proofErr w:type="gramStart"/>
      <w:r w:rsidRPr="007847F2">
        <w:rPr>
          <w:rFonts w:hAnsi="標楷體" w:hint="eastAsia"/>
          <w:b/>
        </w:rPr>
        <w:t>此顯不</w:t>
      </w:r>
      <w:proofErr w:type="gramEnd"/>
      <w:r w:rsidRPr="007847F2">
        <w:rPr>
          <w:rFonts w:hAnsi="標楷體" w:hint="eastAsia"/>
          <w:b/>
        </w:rPr>
        <w:t>符合法律授權標準</w:t>
      </w:r>
      <w:r w:rsidRPr="007847F2">
        <w:rPr>
          <w:rFonts w:hAnsi="標楷體" w:hint="eastAsia"/>
        </w:rPr>
        <w:t>。</w:t>
      </w:r>
    </w:p>
    <w:p w:rsidR="00295665" w:rsidRPr="007847F2" w:rsidRDefault="00295665" w:rsidP="00FE53FE">
      <w:pPr>
        <w:pStyle w:val="3"/>
      </w:pPr>
      <w:r w:rsidRPr="007847F2">
        <w:rPr>
          <w:rFonts w:hAnsi="標楷體" w:hint="eastAsia"/>
        </w:rPr>
        <w:t>按行政程序法第</w:t>
      </w:r>
      <w:r w:rsidRPr="007847F2">
        <w:rPr>
          <w:rFonts w:hAnsi="標楷體"/>
        </w:rPr>
        <w:t>150條規定：「（第1項）本法所稱法規命令，係指行政機關基於法律授權，對多數不特定人民就一般事項所作抽象之對外發生法律效果之規定。（第2項）法規命令之內容應明列其法律授權之依據，並不得逾越法律授權之範圍與立法精神。」第2項即「授權明確性」之要求，依司法院釋字第313、522、680</w:t>
      </w:r>
      <w:r w:rsidRPr="007847F2">
        <w:rPr>
          <w:rFonts w:hAnsi="標楷體" w:hint="eastAsia"/>
        </w:rPr>
        <w:t>號解釋之意旨，法律之授權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Ansi="標楷體" w:hint="eastAsia"/>
        </w:rPr>
        <w:t>內容」、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Ansi="標楷體" w:hint="eastAsia"/>
        </w:rPr>
        <w:t>目的」與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Ansi="標楷體" w:hint="eastAsia"/>
        </w:rPr>
        <w:t>範圍」須具體明確，茲分別就</w:t>
      </w:r>
      <w:r w:rsidRPr="007847F2">
        <w:rPr>
          <w:rFonts w:hint="eastAsia"/>
        </w:rPr>
        <w:t>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標準」之授權法律之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Ansi="標楷體" w:hint="eastAsia"/>
        </w:rPr>
        <w:t>內容」、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Ansi="標楷體" w:hint="eastAsia"/>
        </w:rPr>
        <w:t>目的」與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Ansi="標楷體" w:hint="eastAsia"/>
        </w:rPr>
        <w:t>範圍」，具體說明如下：</w:t>
      </w:r>
    </w:p>
    <w:p w:rsidR="00295665" w:rsidRPr="007847F2" w:rsidRDefault="00295665" w:rsidP="007A6B51">
      <w:pPr>
        <w:pStyle w:val="4"/>
      </w:pPr>
      <w:r w:rsidRPr="007847F2">
        <w:rPr>
          <w:rFonts w:hint="eastAsia"/>
        </w:rPr>
        <w:t>在內容方面：</w:t>
      </w:r>
    </w:p>
    <w:p w:rsidR="00295665" w:rsidRPr="007847F2" w:rsidRDefault="00295665" w:rsidP="007A6B51">
      <w:pPr>
        <w:pStyle w:val="4"/>
        <w:numPr>
          <w:ilvl w:val="0"/>
          <w:numId w:val="0"/>
        </w:numPr>
        <w:ind w:left="1701" w:firstLineChars="208" w:firstLine="708"/>
      </w:pPr>
      <w:r w:rsidRPr="007847F2">
        <w:rPr>
          <w:rFonts w:hint="eastAsia"/>
        </w:rPr>
        <w:t>授權法律必須表明，何特定問題應由行政機關以命令規範之。</w:t>
      </w:r>
    </w:p>
    <w:p w:rsidR="00295665" w:rsidRPr="007847F2" w:rsidRDefault="00295665" w:rsidP="007A6B51">
      <w:pPr>
        <w:pStyle w:val="4"/>
        <w:numPr>
          <w:ilvl w:val="0"/>
          <w:numId w:val="0"/>
        </w:numPr>
        <w:ind w:left="1701" w:firstLineChars="208" w:firstLine="708"/>
        <w:rPr>
          <w:rFonts w:hAnsi="標楷體"/>
        </w:rPr>
      </w:pPr>
      <w:r w:rsidRPr="007847F2">
        <w:rPr>
          <w:rFonts w:hint="eastAsia"/>
        </w:rPr>
        <w:t>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標準」第1條：「本</w:t>
      </w:r>
      <w:proofErr w:type="gramStart"/>
      <w:r w:rsidRPr="007847F2">
        <w:rPr>
          <w:rFonts w:hint="eastAsia"/>
        </w:rPr>
        <w:t>標準依食安</w:t>
      </w:r>
      <w:proofErr w:type="gramEnd"/>
      <w:r w:rsidRPr="007847F2">
        <w:rPr>
          <w:rFonts w:hint="eastAsia"/>
        </w:rPr>
        <w:t>法第</w:t>
      </w:r>
      <w:r w:rsidRPr="007847F2">
        <w:t>17</w:t>
      </w:r>
      <w:r w:rsidRPr="007847F2">
        <w:rPr>
          <w:rFonts w:hint="eastAsia"/>
        </w:rPr>
        <w:t>條規定訂定之。」</w:t>
      </w:r>
      <w:proofErr w:type="gramStart"/>
      <w:r w:rsidRPr="007847F2">
        <w:rPr>
          <w:rFonts w:hint="eastAsia"/>
        </w:rPr>
        <w:t>然食安</w:t>
      </w:r>
      <w:proofErr w:type="gramEnd"/>
      <w:r w:rsidRPr="007847F2">
        <w:rPr>
          <w:rFonts w:hint="eastAsia"/>
        </w:rPr>
        <w:t>法第17條規定：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int="eastAsia"/>
        </w:rPr>
        <w:t>販賣之食品、食品</w:t>
      </w:r>
      <w:proofErr w:type="gramStart"/>
      <w:r w:rsidRPr="007847F2">
        <w:rPr>
          <w:rFonts w:hint="eastAsia"/>
        </w:rPr>
        <w:t>用洗潔劑</w:t>
      </w:r>
      <w:proofErr w:type="gramEnd"/>
      <w:r w:rsidRPr="007847F2">
        <w:rPr>
          <w:rFonts w:hint="eastAsia"/>
        </w:rPr>
        <w:t>及其器具、容器或包裝，應符合衛生安全及品質之標準；其標準由中央主管機關定之。</w:t>
      </w:r>
      <w:r w:rsidRPr="007847F2">
        <w:rPr>
          <w:rFonts w:hAnsi="標楷體" w:hint="eastAsia"/>
        </w:rPr>
        <w:t>」依法律授權命令補充法律之規定者唯有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int="eastAsia"/>
        </w:rPr>
        <w:t>食品、食品</w:t>
      </w:r>
      <w:proofErr w:type="gramStart"/>
      <w:r w:rsidRPr="007847F2">
        <w:rPr>
          <w:rFonts w:hint="eastAsia"/>
        </w:rPr>
        <w:t>用洗潔劑</w:t>
      </w:r>
      <w:proofErr w:type="gramEnd"/>
      <w:r w:rsidRPr="007847F2">
        <w:rPr>
          <w:rFonts w:hint="eastAsia"/>
        </w:rPr>
        <w:t>及其器具、容器或包裝</w:t>
      </w:r>
      <w:r w:rsidRPr="007847F2">
        <w:rPr>
          <w:rFonts w:hAnsi="標楷體" w:hint="eastAsia"/>
        </w:rPr>
        <w:t>」之</w:t>
      </w:r>
      <w:r w:rsidRPr="007847F2">
        <w:rPr>
          <w:rFonts w:hint="eastAsia"/>
        </w:rPr>
        <w:t>衛生安全及品質標準，並未授權可「創造」</w:t>
      </w:r>
      <w:r w:rsidRPr="007847F2">
        <w:rPr>
          <w:rFonts w:hAnsi="標楷體" w:hint="eastAsia"/>
        </w:rPr>
        <w:t>新名詞</w:t>
      </w:r>
      <w:r w:rsidRPr="007847F2">
        <w:rPr>
          <w:rFonts w:hAnsi="標楷體"/>
        </w:rPr>
        <w:t>(</w:t>
      </w:r>
      <w:proofErr w:type="gramStart"/>
      <w:r w:rsidRPr="007847F2">
        <w:rPr>
          <w:rFonts w:hAnsi="標楷體"/>
        </w:rPr>
        <w:t>加工助劑</w:t>
      </w:r>
      <w:proofErr w:type="gramEnd"/>
      <w:r w:rsidRPr="007847F2">
        <w:rPr>
          <w:rFonts w:hAnsi="標楷體"/>
        </w:rPr>
        <w:t>)</w:t>
      </w:r>
      <w:r w:rsidRPr="007847F2">
        <w:rPr>
          <w:rFonts w:hAnsi="標楷體" w:hint="eastAsia"/>
        </w:rPr>
        <w:t>，此乃逾越母法，行政權侵害立法權，已屬違憲行為。</w:t>
      </w:r>
    </w:p>
    <w:p w:rsidR="00295665" w:rsidRPr="007847F2" w:rsidRDefault="00295665" w:rsidP="007A6B51">
      <w:pPr>
        <w:pStyle w:val="4"/>
      </w:pPr>
      <w:r w:rsidRPr="007847F2">
        <w:rPr>
          <w:rFonts w:hint="eastAsia"/>
        </w:rPr>
        <w:t>在範圍方面：</w:t>
      </w:r>
    </w:p>
    <w:p w:rsidR="00295665" w:rsidRPr="007847F2" w:rsidRDefault="00295665" w:rsidP="002F4BE6">
      <w:pPr>
        <w:pStyle w:val="4"/>
        <w:numPr>
          <w:ilvl w:val="0"/>
          <w:numId w:val="0"/>
        </w:numPr>
        <w:ind w:left="1701" w:firstLineChars="208" w:firstLine="708"/>
      </w:pPr>
      <w:r w:rsidRPr="007847F2">
        <w:rPr>
          <w:rFonts w:hint="eastAsia"/>
        </w:rPr>
        <w:t>授權法律必須表明，行政機關僅得在何種界線內自主決定命令的內容。</w:t>
      </w:r>
    </w:p>
    <w:p w:rsidR="00295665" w:rsidRPr="007847F2" w:rsidRDefault="00295665" w:rsidP="002F4BE6">
      <w:pPr>
        <w:pStyle w:val="4"/>
        <w:numPr>
          <w:ilvl w:val="0"/>
          <w:numId w:val="0"/>
        </w:numPr>
        <w:ind w:left="1701" w:firstLineChars="208" w:firstLine="708"/>
        <w:rPr>
          <w:rFonts w:hAnsi="標楷體"/>
        </w:rPr>
      </w:pPr>
      <w:r w:rsidRPr="007847F2">
        <w:rPr>
          <w:rFonts w:hint="eastAsia"/>
        </w:rPr>
        <w:t>如前所述，食安法第17條規定之授權僅限於：</w:t>
      </w:r>
      <w:r w:rsidRPr="007847F2">
        <w:rPr>
          <w:rFonts w:ascii="新細明體" w:eastAsia="新細明體" w:hAnsi="新細明體" w:hint="eastAsia"/>
        </w:rPr>
        <w:lastRenderedPageBreak/>
        <w:t>「</w:t>
      </w:r>
      <w:r w:rsidRPr="007847F2">
        <w:rPr>
          <w:rFonts w:hint="eastAsia"/>
        </w:rPr>
        <w:t>販賣之食品、食品</w:t>
      </w:r>
      <w:proofErr w:type="gramStart"/>
      <w:r w:rsidRPr="007847F2">
        <w:rPr>
          <w:rFonts w:hint="eastAsia"/>
        </w:rPr>
        <w:t>用洗潔劑</w:t>
      </w:r>
      <w:proofErr w:type="gramEnd"/>
      <w:r w:rsidRPr="007847F2">
        <w:rPr>
          <w:rFonts w:hint="eastAsia"/>
        </w:rPr>
        <w:t>及其器具、容器或包裝</w:t>
      </w:r>
      <w:r w:rsidRPr="007847F2">
        <w:rPr>
          <w:rFonts w:hAnsi="標楷體" w:hint="eastAsia"/>
        </w:rPr>
        <w:t>」，並未授權有關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</w:t>
      </w:r>
      <w:proofErr w:type="gramEnd"/>
      <w:r w:rsidRPr="007847F2">
        <w:rPr>
          <w:rFonts w:hAnsi="標楷體" w:hint="eastAsia"/>
        </w:rPr>
        <w:t>」事項，或授權以命令解釋何為「</w:t>
      </w:r>
      <w:proofErr w:type="gramStart"/>
      <w:r w:rsidRPr="007847F2">
        <w:rPr>
          <w:rFonts w:hAnsi="標楷體" w:hint="eastAsia"/>
        </w:rPr>
        <w:t>加工助劑</w:t>
      </w:r>
      <w:proofErr w:type="gramEnd"/>
      <w:r w:rsidRPr="007847F2">
        <w:rPr>
          <w:rFonts w:hAnsi="標楷體" w:hint="eastAsia"/>
        </w:rPr>
        <w:t>」，</w:t>
      </w:r>
      <w:proofErr w:type="gramStart"/>
      <w:r w:rsidRPr="007847F2">
        <w:rPr>
          <w:rFonts w:hAnsi="標楷體" w:hint="eastAsia"/>
        </w:rPr>
        <w:t>食藥署</w:t>
      </w:r>
      <w:proofErr w:type="gramEnd"/>
      <w:r w:rsidRPr="007847F2">
        <w:rPr>
          <w:rFonts w:hAnsi="標楷體" w:hint="eastAsia"/>
        </w:rPr>
        <w:t>所為顯有規避母法之監督及罰則，明確違反授權之範圍。</w:t>
      </w:r>
    </w:p>
    <w:p w:rsidR="00295665" w:rsidRPr="007847F2" w:rsidRDefault="00295665" w:rsidP="002F4BE6">
      <w:pPr>
        <w:pStyle w:val="4"/>
      </w:pPr>
      <w:r w:rsidRPr="007847F2">
        <w:rPr>
          <w:rFonts w:hAnsi="標楷體" w:hint="eastAsia"/>
        </w:rPr>
        <w:t>在目的方面：</w:t>
      </w:r>
    </w:p>
    <w:p w:rsidR="00295665" w:rsidRPr="007847F2" w:rsidRDefault="00295665" w:rsidP="002C129E">
      <w:pPr>
        <w:pStyle w:val="4"/>
        <w:numPr>
          <w:ilvl w:val="0"/>
          <w:numId w:val="0"/>
        </w:numPr>
        <w:ind w:left="1701" w:firstLineChars="208" w:firstLine="708"/>
      </w:pPr>
      <w:r w:rsidRPr="007847F2">
        <w:rPr>
          <w:rFonts w:hint="eastAsia"/>
        </w:rPr>
        <w:t>授權法律必須表明，法規命令所要追求之目的為何。而此目的為立法者所賦予行政機關之追求目的而言，並非授權法本身之目的，此乃防止行政機關藉概括授權之便，僭越立法權限以命令代替法規，導致權力分立原則名存實亡。</w:t>
      </w:r>
    </w:p>
    <w:p w:rsidR="00295665" w:rsidRPr="007847F2" w:rsidRDefault="00295665" w:rsidP="002C129E">
      <w:pPr>
        <w:pStyle w:val="4"/>
        <w:numPr>
          <w:ilvl w:val="0"/>
          <w:numId w:val="0"/>
        </w:numPr>
        <w:ind w:left="1701" w:firstLineChars="208" w:firstLine="708"/>
      </w:pPr>
      <w:r w:rsidRPr="007847F2">
        <w:rPr>
          <w:rFonts w:hint="eastAsia"/>
        </w:rPr>
        <w:t>食安法之立法目的在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int="eastAsia"/>
        </w:rPr>
        <w:t>管理食品衛生安全及品質，維護國民健康</w:t>
      </w:r>
      <w:r w:rsidRPr="007847F2">
        <w:rPr>
          <w:rFonts w:hAnsi="標楷體" w:hint="eastAsia"/>
        </w:rPr>
        <w:t>」</w:t>
      </w:r>
      <w:r w:rsidRPr="007847F2">
        <w:rPr>
          <w:rFonts w:hAnsi="標楷體"/>
        </w:rPr>
        <w:t>(第1條)，因而其</w:t>
      </w:r>
      <w:proofErr w:type="gramStart"/>
      <w:r w:rsidRPr="007847F2">
        <w:rPr>
          <w:rFonts w:hAnsi="標楷體"/>
        </w:rPr>
        <w:t>名詞均有嚴格</w:t>
      </w:r>
      <w:proofErr w:type="gramEnd"/>
      <w:r w:rsidRPr="007847F2">
        <w:rPr>
          <w:rFonts w:hAnsi="標楷體"/>
        </w:rPr>
        <w:t>之定義</w:t>
      </w:r>
      <w:r w:rsidRPr="007847F2">
        <w:rPr>
          <w:rFonts w:hAnsi="標楷體" w:hint="eastAsia"/>
        </w:rPr>
        <w:t>。</w:t>
      </w:r>
      <w:proofErr w:type="gramStart"/>
      <w:r w:rsidRPr="007847F2">
        <w:rPr>
          <w:rFonts w:hAnsi="標楷體" w:hint="eastAsia"/>
        </w:rPr>
        <w:t>食藥署</w:t>
      </w:r>
      <w:proofErr w:type="gramEnd"/>
      <w:r w:rsidRPr="007847F2">
        <w:rPr>
          <w:rFonts w:hAnsi="標楷體" w:hint="eastAsia"/>
        </w:rPr>
        <w:t>表示，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標準」之法</w:t>
      </w:r>
      <w:proofErr w:type="gramStart"/>
      <w:r w:rsidRPr="007847F2">
        <w:rPr>
          <w:rFonts w:hAnsi="標楷體" w:hint="eastAsia"/>
        </w:rPr>
        <w:t>源乃食安</w:t>
      </w:r>
      <w:proofErr w:type="gramEnd"/>
      <w:r w:rsidRPr="007847F2">
        <w:rPr>
          <w:rFonts w:hAnsi="標楷體" w:hint="eastAsia"/>
        </w:rPr>
        <w:t>法第</w:t>
      </w:r>
      <w:r w:rsidRPr="007847F2">
        <w:rPr>
          <w:rFonts w:hAnsi="標楷體"/>
        </w:rPr>
        <w:t>17條</w:t>
      </w:r>
      <w:r w:rsidRPr="007847F2">
        <w:rPr>
          <w:rFonts w:hAnsi="標楷體" w:hint="eastAsia"/>
        </w:rPr>
        <w:t>「</w:t>
      </w:r>
      <w:r w:rsidRPr="007847F2">
        <w:rPr>
          <w:rFonts w:hint="eastAsia"/>
        </w:rPr>
        <w:t>販賣之食品、食品</w:t>
      </w:r>
      <w:proofErr w:type="gramStart"/>
      <w:r w:rsidRPr="007847F2">
        <w:rPr>
          <w:rFonts w:hint="eastAsia"/>
        </w:rPr>
        <w:t>用洗潔劑</w:t>
      </w:r>
      <w:proofErr w:type="gramEnd"/>
      <w:r w:rsidRPr="007847F2">
        <w:rPr>
          <w:rFonts w:hint="eastAsia"/>
        </w:rPr>
        <w:t>及其器具、容器或包裝，應符合衛生安全及品質之標準」，上述名詞在同法</w:t>
      </w:r>
      <w:proofErr w:type="gramStart"/>
      <w:r w:rsidRPr="007847F2">
        <w:rPr>
          <w:rFonts w:hint="eastAsia"/>
        </w:rPr>
        <w:t>第3條均有嚴格</w:t>
      </w:r>
      <w:proofErr w:type="gramEnd"/>
      <w:r w:rsidRPr="007847F2">
        <w:rPr>
          <w:rFonts w:hint="eastAsia"/>
        </w:rPr>
        <w:t>之定義：「</w:t>
      </w:r>
      <w:proofErr w:type="gramStart"/>
      <w:r w:rsidRPr="007847F2">
        <w:rPr>
          <w:rFonts w:hint="eastAsia"/>
        </w:rPr>
        <w:t>本法用詞</w:t>
      </w:r>
      <w:proofErr w:type="gramEnd"/>
      <w:r w:rsidRPr="007847F2">
        <w:rPr>
          <w:rFonts w:hint="eastAsia"/>
        </w:rPr>
        <w:t>，定義如下：一、食品：</w:t>
      </w:r>
      <w:proofErr w:type="gramStart"/>
      <w:r w:rsidRPr="007847F2">
        <w:rPr>
          <w:rFonts w:hint="eastAsia"/>
        </w:rPr>
        <w:t>指供人</w:t>
      </w:r>
      <w:proofErr w:type="gramEnd"/>
      <w:r w:rsidRPr="007847F2">
        <w:rPr>
          <w:rFonts w:hint="eastAsia"/>
        </w:rPr>
        <w:t>飲食或咀嚼之產品及其原料。…</w:t>
      </w:r>
      <w:proofErr w:type="gramStart"/>
      <w:r w:rsidRPr="007847F2">
        <w:rPr>
          <w:rFonts w:hint="eastAsia"/>
        </w:rPr>
        <w:t>…</w:t>
      </w:r>
      <w:proofErr w:type="gramEnd"/>
      <w:r w:rsidRPr="007847F2">
        <w:rPr>
          <w:rFonts w:hint="eastAsia"/>
        </w:rPr>
        <w:t>四、食品器具：指與食品或食品添加物直接接觸之器械、工具或器皿。五、食品容器或包裝：指與食品或食品添加物直接接觸之容器或包裹物。六、食品</w:t>
      </w:r>
      <w:proofErr w:type="gramStart"/>
      <w:r w:rsidRPr="007847F2">
        <w:rPr>
          <w:rFonts w:hint="eastAsia"/>
        </w:rPr>
        <w:t>用洗潔劑</w:t>
      </w:r>
      <w:proofErr w:type="gramEnd"/>
      <w:r w:rsidRPr="007847F2">
        <w:rPr>
          <w:rFonts w:hint="eastAsia"/>
        </w:rPr>
        <w:t>：指用於消毒或洗滌食品、食品器具、食品容器或包裝之物質。…</w:t>
      </w:r>
      <w:proofErr w:type="gramStart"/>
      <w:r w:rsidRPr="007847F2">
        <w:rPr>
          <w:rFonts w:hint="eastAsia"/>
        </w:rPr>
        <w:t>…</w:t>
      </w:r>
      <w:proofErr w:type="gramEnd"/>
      <w:r w:rsidRPr="007847F2">
        <w:rPr>
          <w:rFonts w:hint="eastAsia"/>
        </w:rPr>
        <w:t>」</w:t>
      </w:r>
    </w:p>
    <w:p w:rsidR="00295665" w:rsidRPr="007847F2" w:rsidRDefault="00295665" w:rsidP="002C129E">
      <w:pPr>
        <w:pStyle w:val="4"/>
        <w:numPr>
          <w:ilvl w:val="0"/>
          <w:numId w:val="0"/>
        </w:numPr>
        <w:ind w:left="1701" w:firstLineChars="208" w:firstLine="708"/>
      </w:pPr>
      <w:r w:rsidRPr="007847F2">
        <w:rPr>
          <w:rFonts w:hint="eastAsia"/>
        </w:rPr>
        <w:t>食安法第17條係授權主管機關以行政命令規範「上開物品」應符合衛生安全及品質標準，但並不包括所謂「</w:t>
      </w:r>
      <w:proofErr w:type="gramStart"/>
      <w:r w:rsidRPr="007847F2">
        <w:rPr>
          <w:rFonts w:hint="eastAsia"/>
        </w:rPr>
        <w:t>加工助劑</w:t>
      </w:r>
      <w:proofErr w:type="gramEnd"/>
      <w:r w:rsidRPr="007847F2">
        <w:rPr>
          <w:rFonts w:hint="eastAsia"/>
        </w:rPr>
        <w:t>」。</w:t>
      </w:r>
    </w:p>
    <w:p w:rsidR="00295665" w:rsidRPr="007847F2" w:rsidRDefault="00295665" w:rsidP="00E727E5">
      <w:pPr>
        <w:pStyle w:val="3"/>
      </w:pPr>
      <w:r w:rsidRPr="007847F2">
        <w:rPr>
          <w:rFonts w:hint="eastAsia"/>
        </w:rPr>
        <w:t>至於行政院食品安全辦公室(下</w:t>
      </w:r>
      <w:proofErr w:type="gramStart"/>
      <w:r w:rsidRPr="007847F2">
        <w:rPr>
          <w:rFonts w:hint="eastAsia"/>
        </w:rPr>
        <w:t>稱食安辦</w:t>
      </w:r>
      <w:proofErr w:type="gramEnd"/>
      <w:r w:rsidRPr="007847F2">
        <w:rPr>
          <w:rFonts w:hint="eastAsia"/>
        </w:rPr>
        <w:t>)對於</w:t>
      </w:r>
      <w:proofErr w:type="gramStart"/>
      <w:r w:rsidRPr="007847F2">
        <w:rPr>
          <w:rFonts w:hint="eastAsia"/>
        </w:rPr>
        <w:t>衛福部以食</w:t>
      </w:r>
      <w:proofErr w:type="gramEnd"/>
      <w:r w:rsidRPr="007847F2">
        <w:rPr>
          <w:rFonts w:hint="eastAsia"/>
        </w:rPr>
        <w:t>安法第17條為依據訂定「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標準」問題之看法，許輔主任於本院約</w:t>
      </w:r>
      <w:proofErr w:type="gramStart"/>
      <w:r w:rsidRPr="007847F2">
        <w:rPr>
          <w:rFonts w:hint="eastAsia"/>
        </w:rPr>
        <w:t>詢</w:t>
      </w:r>
      <w:proofErr w:type="gramEnd"/>
      <w:r w:rsidRPr="007847F2">
        <w:rPr>
          <w:rFonts w:hint="eastAsia"/>
        </w:rPr>
        <w:t>時表示：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int="eastAsia"/>
          <w:b/>
        </w:rPr>
        <w:t>文字上不行。法源不足</w:t>
      </w:r>
      <w:r w:rsidRPr="007847F2">
        <w:rPr>
          <w:rFonts w:hint="eastAsia"/>
        </w:rPr>
        <w:t>。…</w:t>
      </w:r>
      <w:proofErr w:type="gramStart"/>
      <w:r w:rsidRPr="007847F2">
        <w:rPr>
          <w:rFonts w:hint="eastAsia"/>
        </w:rPr>
        <w:t>…</w:t>
      </w:r>
      <w:proofErr w:type="gramEnd"/>
      <w:r w:rsidRPr="007847F2">
        <w:rPr>
          <w:rFonts w:hAnsi="標楷體" w:hint="eastAsia"/>
          <w:szCs w:val="32"/>
        </w:rPr>
        <w:t>加工</w:t>
      </w:r>
      <w:proofErr w:type="gramStart"/>
      <w:r w:rsidRPr="007847F2">
        <w:rPr>
          <w:rFonts w:hAnsi="標楷體" w:hint="eastAsia"/>
          <w:szCs w:val="32"/>
        </w:rPr>
        <w:t>助劑法</w:t>
      </w:r>
      <w:proofErr w:type="gramEnd"/>
      <w:r w:rsidRPr="007847F2">
        <w:rPr>
          <w:rFonts w:hAnsi="標楷體" w:hint="eastAsia"/>
          <w:szCs w:val="32"/>
        </w:rPr>
        <w:t>源確實很弱。</w:t>
      </w:r>
      <w:r w:rsidRPr="007847F2">
        <w:rPr>
          <w:rFonts w:hAnsi="標楷體" w:hint="eastAsia"/>
        </w:rPr>
        <w:t>」顯</w:t>
      </w:r>
      <w:r w:rsidRPr="007847F2">
        <w:rPr>
          <w:rFonts w:hAnsi="標楷體" w:hint="eastAsia"/>
        </w:rPr>
        <w:lastRenderedPageBreak/>
        <w:t>見</w:t>
      </w:r>
      <w:proofErr w:type="gramStart"/>
      <w:r w:rsidRPr="007847F2">
        <w:rPr>
          <w:rFonts w:hAnsi="標楷體" w:hint="eastAsia"/>
        </w:rPr>
        <w:t>食安辦已</w:t>
      </w:r>
      <w:proofErr w:type="gramEnd"/>
      <w:r w:rsidRPr="007847F2">
        <w:rPr>
          <w:rFonts w:hAnsi="標楷體" w:hint="eastAsia"/>
        </w:rPr>
        <w:t>坦承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標準」之訂定依據不足。</w:t>
      </w:r>
    </w:p>
    <w:p w:rsidR="00295665" w:rsidRPr="007847F2" w:rsidRDefault="00295665" w:rsidP="007D6B28">
      <w:pPr>
        <w:pStyle w:val="3"/>
        <w:numPr>
          <w:ilvl w:val="0"/>
          <w:numId w:val="0"/>
        </w:numPr>
        <w:ind w:left="1361" w:firstLineChars="183" w:firstLine="622"/>
        <w:rPr>
          <w:rFonts w:hAnsi="標楷體"/>
        </w:rPr>
      </w:pPr>
      <w:r w:rsidRPr="007847F2">
        <w:rPr>
          <w:rFonts w:hint="eastAsia"/>
        </w:rPr>
        <w:t>復據本院諮詢輔仁大學法律學系邱彥琳副教授表示：食安法第17條並無法成為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標準」之訂定依據，</w:t>
      </w:r>
      <w:r w:rsidRPr="007847F2">
        <w:rPr>
          <w:rFonts w:hAnsi="標楷體" w:hint="eastAsia"/>
          <w:b/>
        </w:rPr>
        <w:t>明顯違反法律保留原則</w:t>
      </w:r>
      <w:r w:rsidRPr="007847F2">
        <w:rPr>
          <w:rFonts w:hAnsi="標楷體" w:hint="eastAsia"/>
        </w:rPr>
        <w:t>，且同法第</w:t>
      </w:r>
      <w:r w:rsidRPr="007847F2">
        <w:rPr>
          <w:rFonts w:hAnsi="標楷體"/>
        </w:rPr>
        <w:t>3條並無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</w:t>
      </w:r>
      <w:proofErr w:type="gramEnd"/>
      <w:r w:rsidRPr="007847F2">
        <w:rPr>
          <w:rFonts w:hAnsi="標楷體" w:hint="eastAsia"/>
        </w:rPr>
        <w:t>」之定義，建議應該修法，食安法第</w:t>
      </w:r>
      <w:r w:rsidRPr="007847F2">
        <w:rPr>
          <w:rFonts w:hAnsi="標楷體"/>
        </w:rPr>
        <w:t>3條應定義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</w:t>
      </w:r>
      <w:proofErr w:type="gramEnd"/>
      <w:r w:rsidRPr="007847F2">
        <w:rPr>
          <w:rFonts w:hAnsi="標楷體" w:hint="eastAsia"/>
        </w:rPr>
        <w:t>」，且將其納入第</w:t>
      </w:r>
      <w:r w:rsidRPr="007847F2">
        <w:rPr>
          <w:rFonts w:hAnsi="標楷體"/>
        </w:rPr>
        <w:t>18條</w:t>
      </w:r>
      <w:r w:rsidRPr="007847F2">
        <w:rPr>
          <w:rFonts w:hAnsi="標楷體" w:hint="eastAsia"/>
        </w:rPr>
        <w:t>予以規範之。</w:t>
      </w:r>
    </w:p>
    <w:p w:rsidR="00295665" w:rsidRPr="007847F2" w:rsidRDefault="00295665" w:rsidP="007D6B28">
      <w:pPr>
        <w:pStyle w:val="3"/>
        <w:numPr>
          <w:ilvl w:val="0"/>
          <w:numId w:val="0"/>
        </w:numPr>
        <w:ind w:left="1361" w:firstLineChars="183" w:firstLine="622"/>
        <w:rPr>
          <w:rFonts w:hAnsi="標楷體"/>
        </w:rPr>
      </w:pPr>
      <w:r w:rsidRPr="007847F2">
        <w:rPr>
          <w:rFonts w:hint="eastAsia"/>
        </w:rPr>
        <w:t>東吳大學法律學系助理教授宮文祥說明：</w:t>
      </w:r>
      <w:r w:rsidRPr="007847F2">
        <w:rPr>
          <w:rFonts w:hAnsi="標楷體" w:hint="eastAsia"/>
        </w:rPr>
        <w:t>從法律體系來看，授權命令本在於補充母法之不足，法律難以</w:t>
      </w:r>
      <w:proofErr w:type="gramStart"/>
      <w:r w:rsidRPr="007847F2">
        <w:rPr>
          <w:rFonts w:hAnsi="標楷體" w:hint="eastAsia"/>
        </w:rPr>
        <w:t>鉅</w:t>
      </w:r>
      <w:proofErr w:type="gramEnd"/>
      <w:r w:rsidRPr="007847F2">
        <w:rPr>
          <w:rFonts w:hAnsi="標楷體" w:hint="eastAsia"/>
        </w:rPr>
        <w:t>細</w:t>
      </w:r>
      <w:proofErr w:type="gramStart"/>
      <w:r w:rsidRPr="007847F2">
        <w:rPr>
          <w:rFonts w:hAnsi="標楷體" w:hint="eastAsia"/>
        </w:rPr>
        <w:t>靡</w:t>
      </w:r>
      <w:proofErr w:type="gramEnd"/>
      <w:r w:rsidRPr="007847F2">
        <w:rPr>
          <w:rFonts w:hAnsi="標楷體" w:hint="eastAsia"/>
        </w:rPr>
        <w:t>遺的方式規範專業事務，因此授權主管機關以其專業來訂定法規命令以為補充；</w:t>
      </w:r>
      <w:proofErr w:type="gramStart"/>
      <w:r w:rsidRPr="007847F2">
        <w:rPr>
          <w:rFonts w:hAnsi="標楷體" w:hint="eastAsia"/>
        </w:rPr>
        <w:t>但爭點</w:t>
      </w:r>
      <w:proofErr w:type="gramEnd"/>
      <w:r w:rsidRPr="007847F2">
        <w:rPr>
          <w:rFonts w:hAnsi="標楷體" w:hint="eastAsia"/>
        </w:rPr>
        <w:t>還是在於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標準」是否有明確授權，</w:t>
      </w:r>
      <w:proofErr w:type="gramStart"/>
      <w:r w:rsidRPr="007847F2">
        <w:rPr>
          <w:rFonts w:hAnsi="標楷體" w:hint="eastAsia"/>
        </w:rPr>
        <w:t>衛福部如認為</w:t>
      </w:r>
      <w:proofErr w:type="gramEnd"/>
      <w:r w:rsidRPr="007847F2">
        <w:rPr>
          <w:rFonts w:hAnsi="標楷體" w:hint="eastAsia"/>
        </w:rPr>
        <w:t>該標準係依據食安法第</w:t>
      </w:r>
      <w:r w:rsidRPr="007847F2">
        <w:rPr>
          <w:rFonts w:hAnsi="標楷體"/>
        </w:rPr>
        <w:t>17條，因</w:t>
      </w:r>
      <w:proofErr w:type="gramStart"/>
      <w:r w:rsidRPr="007847F2">
        <w:rPr>
          <w:rFonts w:hAnsi="標楷體"/>
        </w:rPr>
        <w:t>加工助劑涉及</w:t>
      </w:r>
      <w:proofErr w:type="gramEnd"/>
      <w:r w:rsidRPr="007847F2">
        <w:rPr>
          <w:rFonts w:hAnsi="標楷體"/>
        </w:rPr>
        <w:t>食品製造與食品中特定物質殘留標準等規範，則該部似乎強調的是「食品製造」，將第17條規範的「食品」擴充為「食品製造」，但此又與第3條「食品」之定義不符，</w:t>
      </w:r>
      <w:proofErr w:type="gramStart"/>
      <w:r w:rsidRPr="007847F2">
        <w:rPr>
          <w:rFonts w:hAnsi="標楷體"/>
        </w:rPr>
        <w:t>總此</w:t>
      </w:r>
      <w:proofErr w:type="gramEnd"/>
      <w:r w:rsidRPr="007847F2">
        <w:rPr>
          <w:rFonts w:hAnsi="標楷體"/>
        </w:rPr>
        <w:t>，</w:t>
      </w:r>
      <w:r w:rsidRPr="007847F2">
        <w:rPr>
          <w:rFonts w:hAnsi="標楷體"/>
          <w:b/>
        </w:rPr>
        <w:t>應有修法使之明確之必要</w:t>
      </w:r>
      <w:r w:rsidRPr="007847F2">
        <w:rPr>
          <w:rFonts w:hAnsi="標楷體" w:hint="eastAsia"/>
        </w:rPr>
        <w:t>。</w:t>
      </w:r>
    </w:p>
    <w:p w:rsidR="00295665" w:rsidRPr="007847F2" w:rsidRDefault="00295665" w:rsidP="007D6B28">
      <w:pPr>
        <w:pStyle w:val="3"/>
        <w:numPr>
          <w:ilvl w:val="0"/>
          <w:numId w:val="0"/>
        </w:numPr>
        <w:ind w:left="1361" w:firstLineChars="183" w:firstLine="622"/>
      </w:pPr>
      <w:r w:rsidRPr="007847F2">
        <w:rPr>
          <w:rFonts w:hAnsi="標楷體" w:hint="eastAsia"/>
        </w:rPr>
        <w:t>據上，衛福部依據食安法第</w:t>
      </w:r>
      <w:r w:rsidRPr="007847F2">
        <w:rPr>
          <w:rFonts w:hAnsi="標楷體"/>
        </w:rPr>
        <w:t>17條訂定發布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標準」，違反法律保留原則。</w:t>
      </w:r>
    </w:p>
    <w:p w:rsidR="00295665" w:rsidRPr="007847F2" w:rsidRDefault="00295665" w:rsidP="005030FB">
      <w:pPr>
        <w:pStyle w:val="3"/>
      </w:pPr>
      <w:r w:rsidRPr="007847F2">
        <w:rPr>
          <w:rFonts w:hint="eastAsia"/>
        </w:rPr>
        <w:t>再論衛福部將</w:t>
      </w:r>
      <w:r w:rsidRPr="007847F2">
        <w:rPr>
          <w:rFonts w:hAnsi="標楷體" w:hint="eastAsia"/>
        </w:rPr>
        <w:t>己烷、異</w:t>
      </w:r>
      <w:r w:rsidRPr="007847F2">
        <w:rPr>
          <w:rFonts w:hint="eastAsia"/>
        </w:rPr>
        <w:t>丙醇、丙酮、乙酸乙酯及三乙酸</w:t>
      </w:r>
      <w:proofErr w:type="gramStart"/>
      <w:r w:rsidRPr="007847F2">
        <w:rPr>
          <w:rFonts w:hint="eastAsia"/>
        </w:rPr>
        <w:t>甘油酯等5項</w:t>
      </w:r>
      <w:proofErr w:type="gramEnd"/>
      <w:r w:rsidRPr="007847F2">
        <w:rPr>
          <w:rFonts w:hint="eastAsia"/>
        </w:rPr>
        <w:t>成分之使用管理規定，自「食品添加物使用範圍及限量暨規格標準」第(十五)類「溶劑」刪除，而另訂定「</w:t>
      </w:r>
      <w:proofErr w:type="gramStart"/>
      <w:r w:rsidRPr="007847F2">
        <w:rPr>
          <w:rFonts w:hint="eastAsia"/>
        </w:rPr>
        <w:t>加工助劑衛生</w:t>
      </w:r>
      <w:proofErr w:type="gramEnd"/>
      <w:r w:rsidRPr="007847F2">
        <w:rPr>
          <w:rFonts w:hint="eastAsia"/>
        </w:rPr>
        <w:t>標準」規範之管理強度差異。</w:t>
      </w:r>
      <w:proofErr w:type="gramStart"/>
      <w:r w:rsidRPr="007847F2">
        <w:rPr>
          <w:rFonts w:hint="eastAsia"/>
        </w:rPr>
        <w:t>按食安</w:t>
      </w:r>
      <w:proofErr w:type="gramEnd"/>
      <w:r w:rsidRPr="007847F2">
        <w:rPr>
          <w:rFonts w:hint="eastAsia"/>
        </w:rPr>
        <w:t>法第21條第1項：「經中央主管機關公告之食品、食品添加物、食品器具、食品容器或包裝及食品</w:t>
      </w:r>
      <w:proofErr w:type="gramStart"/>
      <w:r w:rsidRPr="007847F2">
        <w:rPr>
          <w:rFonts w:hint="eastAsia"/>
        </w:rPr>
        <w:t>用洗潔劑</w:t>
      </w:r>
      <w:proofErr w:type="gramEnd"/>
      <w:r w:rsidRPr="007847F2">
        <w:rPr>
          <w:rFonts w:hint="eastAsia"/>
        </w:rPr>
        <w:t>，其製造、加工、調配、改裝、輸入或輸出，非經中央主管機關查驗登記並發給許可文件，不得為之；其登記事項有變更者，應事先向中央主管機關申請審查核准。</w:t>
      </w:r>
      <w:r w:rsidRPr="007847F2">
        <w:rPr>
          <w:rFonts w:hAnsi="標楷體" w:hint="eastAsia"/>
        </w:rPr>
        <w:t>」</w:t>
      </w:r>
      <w:r w:rsidRPr="007847F2">
        <w:rPr>
          <w:rFonts w:hint="eastAsia"/>
        </w:rPr>
        <w:t>次按衛福部103年4月24日</w:t>
      </w:r>
      <w:proofErr w:type="gramStart"/>
      <w:r w:rsidRPr="007847F2">
        <w:rPr>
          <w:rFonts w:hint="eastAsia"/>
        </w:rPr>
        <w:lastRenderedPageBreak/>
        <w:t>部授食字</w:t>
      </w:r>
      <w:proofErr w:type="gramEnd"/>
      <w:r w:rsidRPr="007847F2">
        <w:rPr>
          <w:rFonts w:hint="eastAsia"/>
        </w:rPr>
        <w:t>第1031300796號公告：訂定「製造、加工、調配、改裝、輸入或輸出『食品添加物使用範圍及限量暨規格標準』收載之單方食品添加物（香料除外），應辦理查驗登記」，並自公告日生效。</w:t>
      </w:r>
    </w:p>
    <w:p w:rsidR="00295665" w:rsidRPr="007847F2" w:rsidRDefault="00295665" w:rsidP="007D6B28">
      <w:pPr>
        <w:pStyle w:val="3"/>
        <w:numPr>
          <w:ilvl w:val="0"/>
          <w:numId w:val="0"/>
        </w:numPr>
        <w:ind w:left="1361" w:firstLineChars="225" w:firstLine="765"/>
      </w:pPr>
      <w:r w:rsidRPr="007847F2">
        <w:rPr>
          <w:rFonts w:hint="eastAsia"/>
        </w:rPr>
        <w:t>要言之，</w:t>
      </w:r>
      <w:r w:rsidRPr="007847F2">
        <w:rPr>
          <w:rFonts w:ascii="新細明體" w:eastAsia="新細明體" w:hAnsi="新細明體" w:hint="eastAsia"/>
        </w:rPr>
        <w:t>「</w:t>
      </w:r>
      <w:r w:rsidRPr="007847F2">
        <w:rPr>
          <w:rFonts w:hint="eastAsia"/>
        </w:rPr>
        <w:t>食品添加物使用範圍及限量暨規格標準</w:t>
      </w:r>
      <w:r w:rsidRPr="007847F2">
        <w:rPr>
          <w:rFonts w:hAnsi="標楷體" w:hint="eastAsia"/>
        </w:rPr>
        <w:t>」</w:t>
      </w:r>
      <w:r w:rsidRPr="007847F2">
        <w:rPr>
          <w:rFonts w:hint="eastAsia"/>
        </w:rPr>
        <w:t>所收載之食品添加物，必須經查驗登記並發給許可文件，始可加工製造使用，亦即上開</w:t>
      </w:r>
      <w:proofErr w:type="gramStart"/>
      <w:r w:rsidRPr="007847F2">
        <w:rPr>
          <w:rFonts w:hint="eastAsia"/>
        </w:rPr>
        <w:t>己烷等5項</w:t>
      </w:r>
      <w:proofErr w:type="gramEnd"/>
      <w:r w:rsidRPr="007847F2">
        <w:rPr>
          <w:rFonts w:hint="eastAsia"/>
        </w:rPr>
        <w:t>成分，原列屬食品添加物「溶劑」，須經衛福部查驗登記許可，業者始可販售予加工製造業者使用，現自添加物管理規範中移出至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標準」後，則脫離應查驗登記之管理範疇，各家業者可自行販賣及使用，管理強度轉為寬鬆甚</w:t>
      </w:r>
      <w:proofErr w:type="gramStart"/>
      <w:r w:rsidRPr="007847F2">
        <w:rPr>
          <w:rFonts w:hAnsi="標楷體" w:hint="eastAsia"/>
        </w:rPr>
        <w:t>鉅</w:t>
      </w:r>
      <w:proofErr w:type="gramEnd"/>
      <w:r w:rsidRPr="007847F2">
        <w:rPr>
          <w:rFonts w:hAnsi="標楷體" w:hint="eastAsia"/>
        </w:rPr>
        <w:t>。</w:t>
      </w:r>
    </w:p>
    <w:p w:rsidR="00295665" w:rsidRPr="007847F2" w:rsidRDefault="00295665" w:rsidP="003073C9">
      <w:pPr>
        <w:pStyle w:val="3"/>
        <w:numPr>
          <w:ilvl w:val="0"/>
          <w:numId w:val="0"/>
        </w:numPr>
        <w:ind w:left="1361" w:firstLineChars="183" w:firstLine="622"/>
        <w:rPr>
          <w:rFonts w:hAnsi="標楷體"/>
        </w:rPr>
      </w:pPr>
      <w:r w:rsidRPr="007847F2">
        <w:rPr>
          <w:rFonts w:hint="eastAsia"/>
        </w:rPr>
        <w:t>另按「食品添加物使用範圍及限量暨規格標準」第</w:t>
      </w:r>
      <w:r w:rsidRPr="007847F2">
        <w:t>2</w:t>
      </w:r>
      <w:r w:rsidRPr="007847F2">
        <w:rPr>
          <w:rFonts w:hint="eastAsia"/>
        </w:rPr>
        <w:t>條規定：「各類食品添加物之品名、使用範圍及限量，應符合</w:t>
      </w:r>
      <w:r w:rsidR="007417B4" w:rsidRPr="007847F2">
        <w:fldChar w:fldCharType="begin"/>
      </w:r>
      <w:r w:rsidR="007417B4" w:rsidRPr="007847F2">
        <w:instrText xml:space="preserve"> HYPERLINK "https://consumer.fda.gov.tw/Files/food/law/</w:instrText>
      </w:r>
      <w:r w:rsidR="007417B4" w:rsidRPr="007847F2">
        <w:instrText>附表一食品添加物使用範圍及限量</w:instrText>
      </w:r>
      <w:r w:rsidR="007417B4" w:rsidRPr="007847F2">
        <w:instrText xml:space="preserve">1070619.pdf" </w:instrText>
      </w:r>
      <w:r w:rsidR="007417B4" w:rsidRPr="007847F2">
        <w:fldChar w:fldCharType="separate"/>
      </w:r>
      <w:r w:rsidRPr="007847F2">
        <w:rPr>
          <w:rFonts w:hint="eastAsia"/>
        </w:rPr>
        <w:t>附表</w:t>
      </w:r>
      <w:proofErr w:type="gramStart"/>
      <w:r w:rsidRPr="007847F2">
        <w:rPr>
          <w:rFonts w:hint="eastAsia"/>
        </w:rPr>
        <w:t>一</w:t>
      </w:r>
      <w:proofErr w:type="gramEnd"/>
      <w:r w:rsidR="007417B4" w:rsidRPr="007847F2">
        <w:fldChar w:fldCharType="end"/>
      </w:r>
      <w:r w:rsidRPr="007847F2">
        <w:rPr>
          <w:rFonts w:hint="eastAsia"/>
        </w:rPr>
        <w:t>之規定，</w:t>
      </w:r>
      <w:proofErr w:type="gramStart"/>
      <w:r w:rsidRPr="007847F2">
        <w:rPr>
          <w:rFonts w:hint="eastAsia"/>
        </w:rPr>
        <w:t>非表列</w:t>
      </w:r>
      <w:proofErr w:type="gramEnd"/>
      <w:r w:rsidRPr="007847F2">
        <w:rPr>
          <w:rFonts w:hint="eastAsia"/>
        </w:rPr>
        <w:t>之食品</w:t>
      </w:r>
      <w:proofErr w:type="gramStart"/>
      <w:r w:rsidRPr="007847F2">
        <w:rPr>
          <w:rFonts w:hint="eastAsia"/>
        </w:rPr>
        <w:t>品</w:t>
      </w:r>
      <w:proofErr w:type="gramEnd"/>
      <w:r w:rsidRPr="007847F2">
        <w:rPr>
          <w:rFonts w:hint="eastAsia"/>
        </w:rPr>
        <w:t>項，不得使用各該食品添加物。」亦即食品添加物之使用</w:t>
      </w:r>
      <w:proofErr w:type="gramStart"/>
      <w:r w:rsidRPr="007847F2">
        <w:rPr>
          <w:rFonts w:hint="eastAsia"/>
        </w:rPr>
        <w:t>採</w:t>
      </w:r>
      <w:proofErr w:type="gramEnd"/>
      <w:r w:rsidRPr="007847F2">
        <w:rPr>
          <w:rFonts w:hint="eastAsia"/>
        </w:rPr>
        <w:t>正面表列管理，僅有該標準收載的食品添加物，業者始得製造加工使用，</w:t>
      </w:r>
      <w:proofErr w:type="gramStart"/>
      <w:r w:rsidRPr="007847F2">
        <w:rPr>
          <w:rFonts w:hint="eastAsia"/>
        </w:rPr>
        <w:t>非表列</w:t>
      </w:r>
      <w:proofErr w:type="gramEnd"/>
      <w:r w:rsidRPr="007847F2">
        <w:rPr>
          <w:rFonts w:hint="eastAsia"/>
        </w:rPr>
        <w:t>者，則不可以使用。反觀</w:t>
      </w:r>
      <w:proofErr w:type="gramStart"/>
      <w:r w:rsidRPr="007847F2">
        <w:rPr>
          <w:rFonts w:hint="eastAsia"/>
        </w:rPr>
        <w:t>未被食安</w:t>
      </w:r>
      <w:proofErr w:type="gramEnd"/>
      <w:r w:rsidRPr="007847F2">
        <w:rPr>
          <w:rFonts w:hint="eastAsia"/>
        </w:rPr>
        <w:t>法授權而訂之</w:t>
      </w:r>
      <w:r w:rsidRPr="007847F2">
        <w:rPr>
          <w:rFonts w:ascii="新細明體" w:eastAsia="新細明體" w:hAnsi="新細明體" w:hint="eastAsia"/>
        </w:rPr>
        <w:t>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標準」附表</w:t>
      </w:r>
      <w:proofErr w:type="gramStart"/>
      <w:r w:rsidRPr="007847F2">
        <w:rPr>
          <w:rFonts w:hAnsi="標楷體" w:hint="eastAsia"/>
        </w:rPr>
        <w:t>一</w:t>
      </w:r>
      <w:proofErr w:type="gramEnd"/>
      <w:r w:rsidRPr="007847F2">
        <w:rPr>
          <w:rFonts w:hAnsi="標楷體" w:hint="eastAsia"/>
        </w:rPr>
        <w:t>之備註：「未表列之溶劑品項，業者應備齊該溶劑使用方式、規格與國際組織及先進國家准用法規等評估資料，向衛生福利部提出申請。」溶劑之使用管理，不再採用正面表列，目前附表</w:t>
      </w:r>
      <w:proofErr w:type="gramStart"/>
      <w:r w:rsidRPr="007847F2">
        <w:rPr>
          <w:rFonts w:hAnsi="標楷體" w:hint="eastAsia"/>
        </w:rPr>
        <w:t>一</w:t>
      </w:r>
      <w:proofErr w:type="gramEnd"/>
      <w:r w:rsidRPr="007847F2">
        <w:rPr>
          <w:rFonts w:hAnsi="標楷體" w:hint="eastAsia"/>
        </w:rPr>
        <w:t>雖僅列</w:t>
      </w:r>
      <w:r w:rsidRPr="007847F2">
        <w:rPr>
          <w:rFonts w:hAnsi="標楷體"/>
        </w:rPr>
        <w:t>7項，但此7項以外的溶劑，僅要業者有使用需要，備齊相關資</w:t>
      </w:r>
      <w:r w:rsidRPr="007847F2">
        <w:rPr>
          <w:rFonts w:hAnsi="標楷體" w:hint="eastAsia"/>
        </w:rPr>
        <w:t>料向衛福部提出申請後即可使用</w:t>
      </w:r>
      <w:r w:rsidRPr="007847F2">
        <w:rPr>
          <w:rFonts w:hAnsi="標楷體"/>
        </w:rPr>
        <w:t>。</w:t>
      </w:r>
    </w:p>
    <w:p w:rsidR="00295665" w:rsidRPr="007847F2" w:rsidRDefault="00295665" w:rsidP="003073C9">
      <w:pPr>
        <w:pStyle w:val="3"/>
        <w:numPr>
          <w:ilvl w:val="0"/>
          <w:numId w:val="0"/>
        </w:numPr>
        <w:ind w:left="1361" w:firstLineChars="183" w:firstLine="622"/>
        <w:rPr>
          <w:rFonts w:hAnsi="標楷體"/>
        </w:rPr>
      </w:pPr>
      <w:r w:rsidRPr="007847F2">
        <w:rPr>
          <w:rFonts w:hAnsi="標楷體"/>
        </w:rPr>
        <w:t>是</w:t>
      </w:r>
      <w:proofErr w:type="gramStart"/>
      <w:r w:rsidRPr="007847F2">
        <w:rPr>
          <w:rFonts w:hAnsi="標楷體"/>
        </w:rPr>
        <w:t>以</w:t>
      </w:r>
      <w:proofErr w:type="gramEnd"/>
      <w:r w:rsidRPr="007847F2">
        <w:rPr>
          <w:rFonts w:hAnsi="標楷體"/>
        </w:rPr>
        <w:t>，</w:t>
      </w:r>
      <w:r w:rsidRPr="007847F2">
        <w:rPr>
          <w:rFonts w:hAnsi="標楷體"/>
          <w:b/>
        </w:rPr>
        <w:t>「溶劑」自添加物管理規定移出至「</w:t>
      </w:r>
      <w:proofErr w:type="gramStart"/>
      <w:r w:rsidRPr="007847F2">
        <w:rPr>
          <w:rFonts w:hAnsi="標楷體"/>
          <w:b/>
        </w:rPr>
        <w:t>加工助劑衛生</w:t>
      </w:r>
      <w:proofErr w:type="gramEnd"/>
      <w:r w:rsidRPr="007847F2">
        <w:rPr>
          <w:rFonts w:hAnsi="標楷體"/>
          <w:b/>
        </w:rPr>
        <w:t>標準」</w:t>
      </w:r>
      <w:r w:rsidRPr="007847F2">
        <w:rPr>
          <w:rFonts w:hAnsi="標楷體"/>
        </w:rPr>
        <w:t>，不再</w:t>
      </w:r>
      <w:r w:rsidRPr="007847F2">
        <w:rPr>
          <w:rFonts w:hAnsi="標楷體" w:hint="eastAsia"/>
        </w:rPr>
        <w:t>受正面表列之嚴謹審查管理，</w:t>
      </w:r>
      <w:r w:rsidRPr="007847F2">
        <w:rPr>
          <w:rFonts w:hAnsi="標楷體" w:hint="eastAsia"/>
          <w:b/>
        </w:rPr>
        <w:t>且此重要放寬規定改隱藏於法規命令中之</w:t>
      </w:r>
      <w:r w:rsidRPr="007847F2">
        <w:rPr>
          <w:rFonts w:ascii="新細明體" w:eastAsia="新細明體" w:hAnsi="新細明體" w:hint="eastAsia"/>
          <w:b/>
        </w:rPr>
        <w:t>「</w:t>
      </w:r>
      <w:r w:rsidRPr="007847F2">
        <w:rPr>
          <w:rFonts w:hAnsi="標楷體" w:hint="eastAsia"/>
          <w:b/>
        </w:rPr>
        <w:t>附表</w:t>
      </w:r>
      <w:proofErr w:type="gramStart"/>
      <w:r w:rsidRPr="007847F2">
        <w:rPr>
          <w:rFonts w:hAnsi="標楷體" w:hint="eastAsia"/>
          <w:b/>
        </w:rPr>
        <w:t>一</w:t>
      </w:r>
      <w:proofErr w:type="gramEnd"/>
      <w:r w:rsidRPr="007847F2">
        <w:rPr>
          <w:rFonts w:hAnsi="標楷體" w:hint="eastAsia"/>
          <w:b/>
        </w:rPr>
        <w:t>」之</w:t>
      </w:r>
      <w:r w:rsidRPr="007847F2">
        <w:rPr>
          <w:rFonts w:ascii="新細明體" w:eastAsia="新細明體" w:hAnsi="新細明體" w:hint="eastAsia"/>
          <w:b/>
        </w:rPr>
        <w:t>「</w:t>
      </w:r>
      <w:r w:rsidRPr="007847F2">
        <w:rPr>
          <w:rFonts w:hAnsi="標楷體" w:hint="eastAsia"/>
          <w:b/>
        </w:rPr>
        <w:t>備註」中</w:t>
      </w:r>
      <w:r w:rsidRPr="007847F2">
        <w:rPr>
          <w:rFonts w:hAnsi="標楷體" w:hint="eastAsia"/>
        </w:rPr>
        <w:t>，該部規避正常法律程序，實有袒護業者之疑慮。</w:t>
      </w:r>
    </w:p>
    <w:p w:rsidR="00295665" w:rsidRPr="007847F2" w:rsidRDefault="00295665" w:rsidP="00F72CC3">
      <w:pPr>
        <w:pStyle w:val="3"/>
        <w:rPr>
          <w:rFonts w:hAnsi="標楷體"/>
        </w:rPr>
      </w:pPr>
      <w:r w:rsidRPr="007847F2">
        <w:rPr>
          <w:rFonts w:hint="eastAsia"/>
        </w:rPr>
        <w:lastRenderedPageBreak/>
        <w:t>綜上，</w:t>
      </w:r>
      <w:proofErr w:type="gramStart"/>
      <w:r w:rsidRPr="007847F2">
        <w:rPr>
          <w:rFonts w:hAnsi="標楷體" w:hint="eastAsia"/>
        </w:rPr>
        <w:t>食藥署</w:t>
      </w:r>
      <w:proofErr w:type="gramEnd"/>
      <w:r w:rsidRPr="007847F2">
        <w:rPr>
          <w:rFonts w:hAnsi="標楷體" w:hint="eastAsia"/>
        </w:rPr>
        <w:t>表示，依據食安法第17條規定訂定「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標準」，惟該條文之內容、目的與範圍明確</w:t>
      </w:r>
      <w:r w:rsidR="00461F54" w:rsidRPr="007847F2">
        <w:rPr>
          <w:rFonts w:hAnsi="標楷體" w:hint="eastAsia"/>
        </w:rPr>
        <w:t>未</w:t>
      </w:r>
      <w:r w:rsidRPr="007847F2">
        <w:rPr>
          <w:rFonts w:hAnsi="標楷體" w:hint="eastAsia"/>
        </w:rPr>
        <w:t>授權主管機關訂定該標準，該署</w:t>
      </w:r>
      <w:proofErr w:type="gramStart"/>
      <w:r w:rsidRPr="007847F2">
        <w:rPr>
          <w:rFonts w:hAnsi="標楷體" w:hint="eastAsia"/>
        </w:rPr>
        <w:t>自創食安</w:t>
      </w:r>
      <w:proofErr w:type="gramEnd"/>
      <w:r w:rsidRPr="007847F2">
        <w:rPr>
          <w:rFonts w:hAnsi="標楷體" w:hint="eastAsia"/>
        </w:rPr>
        <w:t>法所無之「</w:t>
      </w:r>
      <w:proofErr w:type="gramStart"/>
      <w:r w:rsidRPr="007847F2">
        <w:rPr>
          <w:rFonts w:hAnsi="標楷體" w:hint="eastAsia"/>
        </w:rPr>
        <w:t>加工助劑</w:t>
      </w:r>
      <w:proofErr w:type="gramEnd"/>
      <w:r w:rsidRPr="007847F2">
        <w:rPr>
          <w:rFonts w:hAnsi="標楷體" w:hint="eastAsia"/>
        </w:rPr>
        <w:t>」新名詞且訂定其衛生標準，明顯違反法律保留原則；</w:t>
      </w:r>
      <w:proofErr w:type="gramStart"/>
      <w:r w:rsidRPr="007847F2">
        <w:rPr>
          <w:rFonts w:hAnsi="標楷體" w:hint="eastAsia"/>
        </w:rPr>
        <w:t>復食藥署</w:t>
      </w:r>
      <w:proofErr w:type="gramEnd"/>
      <w:r w:rsidRPr="007847F2">
        <w:rPr>
          <w:rFonts w:hAnsi="標楷體" w:hint="eastAsia"/>
        </w:rPr>
        <w:t>將原列屬食品添加物之「溶劑」刪除，改以「</w:t>
      </w:r>
      <w:proofErr w:type="gramStart"/>
      <w:r w:rsidRPr="007847F2">
        <w:rPr>
          <w:rFonts w:hAnsi="標楷體" w:hint="eastAsia"/>
        </w:rPr>
        <w:t>加工助劑衛生</w:t>
      </w:r>
      <w:proofErr w:type="gramEnd"/>
      <w:r w:rsidRPr="007847F2">
        <w:rPr>
          <w:rFonts w:hAnsi="標楷體" w:hint="eastAsia"/>
        </w:rPr>
        <w:t>標準」規範之，使「溶劑」脫離原本</w:t>
      </w:r>
      <w:proofErr w:type="gramStart"/>
      <w:r w:rsidRPr="007847F2">
        <w:rPr>
          <w:rFonts w:hAnsi="標楷體" w:hint="eastAsia"/>
        </w:rPr>
        <w:t>應依食安</w:t>
      </w:r>
      <w:proofErr w:type="gramEnd"/>
      <w:r w:rsidRPr="007847F2">
        <w:rPr>
          <w:rFonts w:hAnsi="標楷體" w:hint="eastAsia"/>
        </w:rPr>
        <w:t>法第21條查驗登記之管理範疇，致各家業者可自行販賣及使用，加以不再受正面表列規範之，而改由業者向衛福部申請，且此重要放寬規定竟隱藏於法規命令中「附表</w:t>
      </w:r>
      <w:proofErr w:type="gramStart"/>
      <w:r w:rsidRPr="007847F2">
        <w:rPr>
          <w:rFonts w:hAnsi="標楷體" w:hint="eastAsia"/>
        </w:rPr>
        <w:t>一</w:t>
      </w:r>
      <w:proofErr w:type="gramEnd"/>
      <w:r w:rsidRPr="007847F2">
        <w:rPr>
          <w:rFonts w:hAnsi="標楷體" w:hint="eastAsia"/>
        </w:rPr>
        <w:t>」之「備註」中，該部規避正常法律程序，明顯違失。</w:t>
      </w:r>
    </w:p>
    <w:p w:rsidR="00295665" w:rsidRPr="007847F2" w:rsidRDefault="00295665" w:rsidP="0004721B">
      <w:pPr>
        <w:pStyle w:val="2"/>
        <w:rPr>
          <w:b/>
        </w:rPr>
      </w:pPr>
      <w:proofErr w:type="gramStart"/>
      <w:r w:rsidRPr="007847F2">
        <w:rPr>
          <w:rFonts w:hint="eastAsia"/>
          <w:b/>
        </w:rPr>
        <w:t>食藥署</w:t>
      </w:r>
      <w:proofErr w:type="gramEnd"/>
      <w:r w:rsidRPr="007847F2">
        <w:rPr>
          <w:rFonts w:hint="eastAsia"/>
          <w:b/>
        </w:rPr>
        <w:t>明知本案業者所使用之冰醋酸屬工業用，非但未本於專業及權責，積極檢驗是否含有甲醇</w:t>
      </w:r>
      <w:proofErr w:type="gramStart"/>
      <w:r w:rsidRPr="007847F2">
        <w:rPr>
          <w:rFonts w:hint="eastAsia"/>
          <w:b/>
        </w:rPr>
        <w:t>及碘氫酸</w:t>
      </w:r>
      <w:proofErr w:type="gramEnd"/>
      <w:r w:rsidRPr="007847F2">
        <w:rPr>
          <w:rFonts w:hint="eastAsia"/>
          <w:b/>
        </w:rPr>
        <w:t>等有害人體物質以提供法院事證，甚消極向法院表示如不符合(食品級)規格標準，尚無法確認對人體健康之影響等語，</w:t>
      </w:r>
      <w:proofErr w:type="gramStart"/>
      <w:r w:rsidRPr="007847F2">
        <w:rPr>
          <w:rFonts w:hint="eastAsia"/>
          <w:b/>
        </w:rPr>
        <w:t>此顯悖</w:t>
      </w:r>
      <w:proofErr w:type="gramEnd"/>
      <w:r w:rsidRPr="007847F2">
        <w:rPr>
          <w:rFonts w:hint="eastAsia"/>
          <w:b/>
        </w:rPr>
        <w:t>於規格標準訂定之目的，有失主管機關之職責；</w:t>
      </w:r>
      <w:proofErr w:type="gramStart"/>
      <w:r w:rsidRPr="007847F2">
        <w:rPr>
          <w:rFonts w:hint="eastAsia"/>
          <w:b/>
        </w:rPr>
        <w:t>復</w:t>
      </w:r>
      <w:r w:rsidRPr="007847F2">
        <w:rPr>
          <w:rFonts w:hAnsi="標楷體" w:hint="eastAsia"/>
          <w:b/>
          <w:spacing w:val="-4"/>
        </w:rPr>
        <w:t>該署</w:t>
      </w:r>
      <w:proofErr w:type="gramEnd"/>
      <w:r w:rsidRPr="007847F2">
        <w:rPr>
          <w:rFonts w:hAnsi="標楷體" w:hint="eastAsia"/>
          <w:b/>
          <w:spacing w:val="-4"/>
        </w:rPr>
        <w:t>對於食用冰醋酸未訂有產製來源之規定，以致工業用冰醋酸只要符合</w:t>
      </w:r>
      <w:r w:rsidRPr="007847F2">
        <w:rPr>
          <w:rFonts w:ascii="新細明體" w:eastAsia="新細明體" w:hAnsi="新細明體" w:hint="eastAsia"/>
          <w:b/>
        </w:rPr>
        <w:t>「</w:t>
      </w:r>
      <w:r w:rsidRPr="007847F2">
        <w:rPr>
          <w:rFonts w:hint="eastAsia"/>
          <w:b/>
        </w:rPr>
        <w:t>食品添加物使用範圍及限量暨規格標準</w:t>
      </w:r>
      <w:r w:rsidRPr="007847F2">
        <w:rPr>
          <w:rFonts w:hAnsi="標楷體" w:hint="eastAsia"/>
          <w:b/>
        </w:rPr>
        <w:t>」之規格標準，即可作食品添加物使用，但該標準沿用迄今</w:t>
      </w:r>
      <w:r w:rsidRPr="007847F2">
        <w:rPr>
          <w:rFonts w:hAnsi="標楷體"/>
          <w:b/>
        </w:rPr>
        <w:t>25年，</w:t>
      </w:r>
      <w:proofErr w:type="gramStart"/>
      <w:r w:rsidRPr="007847F2">
        <w:rPr>
          <w:rFonts w:hAnsi="標楷體" w:hint="eastAsia"/>
          <w:b/>
        </w:rPr>
        <w:t>食藥署</w:t>
      </w:r>
      <w:proofErr w:type="gramEnd"/>
      <w:r w:rsidRPr="007847F2">
        <w:rPr>
          <w:rFonts w:hAnsi="標楷體"/>
          <w:b/>
        </w:rPr>
        <w:t>卻從未正視來自工業</w:t>
      </w:r>
      <w:r w:rsidRPr="007847F2">
        <w:rPr>
          <w:rFonts w:hAnsi="標楷體" w:hint="eastAsia"/>
          <w:b/>
        </w:rPr>
        <w:t>製造之冰醋酸可能存有</w:t>
      </w:r>
      <w:r w:rsidRPr="007847F2">
        <w:rPr>
          <w:rFonts w:ascii="新細明體" w:eastAsia="新細明體" w:hAnsi="新細明體" w:hint="eastAsia"/>
          <w:b/>
          <w:spacing w:val="-4"/>
        </w:rPr>
        <w:t>「</w:t>
      </w:r>
      <w:r w:rsidRPr="007847F2">
        <w:rPr>
          <w:rFonts w:hint="eastAsia"/>
          <w:b/>
          <w:spacing w:val="-4"/>
        </w:rPr>
        <w:t>甲醇</w:t>
      </w:r>
      <w:r w:rsidRPr="007847F2">
        <w:rPr>
          <w:rFonts w:hAnsi="標楷體" w:hint="eastAsia"/>
          <w:b/>
          <w:spacing w:val="-4"/>
        </w:rPr>
        <w:t>」</w:t>
      </w:r>
      <w:r w:rsidRPr="007847F2">
        <w:rPr>
          <w:rFonts w:hint="eastAsia"/>
          <w:b/>
          <w:spacing w:val="-4"/>
        </w:rPr>
        <w:t>及</w:t>
      </w:r>
      <w:r w:rsidRPr="007847F2">
        <w:rPr>
          <w:rFonts w:ascii="新細明體" w:eastAsia="新細明體" w:hAnsi="新細明體" w:hint="eastAsia"/>
          <w:b/>
          <w:spacing w:val="-4"/>
        </w:rPr>
        <w:t>「</w:t>
      </w:r>
      <w:proofErr w:type="gramStart"/>
      <w:r w:rsidRPr="007847F2">
        <w:rPr>
          <w:rFonts w:hint="eastAsia"/>
          <w:b/>
          <w:spacing w:val="-4"/>
        </w:rPr>
        <w:t>碘氫酸</w:t>
      </w:r>
      <w:proofErr w:type="gramEnd"/>
      <w:r w:rsidRPr="007847F2">
        <w:rPr>
          <w:rFonts w:hAnsi="標楷體" w:hint="eastAsia"/>
          <w:b/>
          <w:spacing w:val="-4"/>
        </w:rPr>
        <w:t>」</w:t>
      </w:r>
      <w:r w:rsidRPr="007847F2">
        <w:rPr>
          <w:rFonts w:hAnsi="標楷體" w:hint="eastAsia"/>
          <w:b/>
        </w:rPr>
        <w:t>危害人體健康之風險，且變相讓工業用可為食用，自應檢討，</w:t>
      </w:r>
      <w:proofErr w:type="gramStart"/>
      <w:r w:rsidRPr="007847F2">
        <w:rPr>
          <w:rFonts w:hAnsi="標楷體" w:hint="eastAsia"/>
          <w:b/>
        </w:rPr>
        <w:t>罔</w:t>
      </w:r>
      <w:proofErr w:type="gramEnd"/>
      <w:r w:rsidRPr="007847F2">
        <w:rPr>
          <w:rFonts w:hAnsi="標楷體" w:hint="eastAsia"/>
          <w:b/>
        </w:rPr>
        <w:t>顧民眾健康安全，</w:t>
      </w:r>
      <w:proofErr w:type="gramStart"/>
      <w:r w:rsidRPr="007847F2">
        <w:rPr>
          <w:rFonts w:hAnsi="標楷體" w:hint="eastAsia"/>
          <w:b/>
        </w:rPr>
        <w:t>均有欠</w:t>
      </w:r>
      <w:proofErr w:type="gramEnd"/>
      <w:r w:rsidRPr="007847F2">
        <w:rPr>
          <w:rFonts w:hAnsi="標楷體" w:hint="eastAsia"/>
          <w:b/>
        </w:rPr>
        <w:t>當。</w:t>
      </w:r>
    </w:p>
    <w:p w:rsidR="00295665" w:rsidRPr="007847F2" w:rsidRDefault="00295665" w:rsidP="00BB273F">
      <w:pPr>
        <w:pStyle w:val="3"/>
      </w:pPr>
      <w:proofErr w:type="gramStart"/>
      <w:r w:rsidRPr="007847F2">
        <w:rPr>
          <w:rFonts w:hint="eastAsia"/>
        </w:rPr>
        <w:t>按食安</w:t>
      </w:r>
      <w:proofErr w:type="gramEnd"/>
      <w:r w:rsidRPr="007847F2">
        <w:rPr>
          <w:rFonts w:hint="eastAsia"/>
        </w:rPr>
        <w:t>法第18條第1項：「食品添加物之品名、規格及其使用範圍、限量標準，由中央主管機關定之。」次按「食品添加物使用範圍及限量暨規格標準」第2條及第3條規定，各類食品添加物之品名、使用範圍及限量，應符合「食品添加物使用範圍及限量」之規定(列載於該標準附表</w:t>
      </w:r>
      <w:proofErr w:type="gramStart"/>
      <w:r w:rsidRPr="007847F2">
        <w:rPr>
          <w:rFonts w:hint="eastAsia"/>
        </w:rPr>
        <w:t>一</w:t>
      </w:r>
      <w:proofErr w:type="gramEnd"/>
      <w:r w:rsidRPr="007847F2">
        <w:rPr>
          <w:rFonts w:hint="eastAsia"/>
        </w:rPr>
        <w:t>)，</w:t>
      </w:r>
      <w:proofErr w:type="gramStart"/>
      <w:r w:rsidRPr="007847F2">
        <w:rPr>
          <w:rFonts w:hint="eastAsia"/>
        </w:rPr>
        <w:t>非表列</w:t>
      </w:r>
      <w:proofErr w:type="gramEnd"/>
      <w:r w:rsidRPr="007847F2">
        <w:rPr>
          <w:rFonts w:hint="eastAsia"/>
        </w:rPr>
        <w:t>之食品</w:t>
      </w:r>
      <w:proofErr w:type="gramStart"/>
      <w:r w:rsidRPr="007847F2">
        <w:rPr>
          <w:rFonts w:hint="eastAsia"/>
        </w:rPr>
        <w:t>品</w:t>
      </w:r>
      <w:proofErr w:type="gramEnd"/>
      <w:r w:rsidRPr="007847F2">
        <w:rPr>
          <w:rFonts w:hint="eastAsia"/>
        </w:rPr>
        <w:t>項，不得使用，且食品添加物應符合「食品添加物之規格」之規</w:t>
      </w:r>
      <w:r w:rsidRPr="007847F2">
        <w:rPr>
          <w:rFonts w:hint="eastAsia"/>
        </w:rPr>
        <w:lastRenderedPageBreak/>
        <w:t>定(列載於該標準附表二)。故屬該標準表列之食品添加物才可使用，且有一定使用範圍及限量，復食品添加物應符合一定規格標準。</w:t>
      </w:r>
    </w:p>
    <w:p w:rsidR="00295665" w:rsidRPr="007847F2" w:rsidRDefault="00295665" w:rsidP="00057785">
      <w:pPr>
        <w:pStyle w:val="3"/>
        <w:numPr>
          <w:ilvl w:val="2"/>
          <w:numId w:val="1"/>
        </w:numPr>
      </w:pPr>
      <w:r w:rsidRPr="007847F2">
        <w:rPr>
          <w:rFonts w:hint="eastAsia"/>
        </w:rPr>
        <w:t>查「冰醋酸」屬於「食品添加物使用範圍及限量暨規格標準」附表</w:t>
      </w:r>
      <w:proofErr w:type="gramStart"/>
      <w:r w:rsidRPr="007847F2">
        <w:rPr>
          <w:rFonts w:hint="eastAsia"/>
        </w:rPr>
        <w:t>一</w:t>
      </w:r>
      <w:proofErr w:type="gramEnd"/>
      <w:r w:rsidRPr="007847F2">
        <w:rPr>
          <w:rFonts w:hint="eastAsia"/>
        </w:rPr>
        <w:t>之第十一類調味劑，必須作為調味劑使用目的始可允許被使用，故本案</w:t>
      </w:r>
      <w:proofErr w:type="gramStart"/>
      <w:r w:rsidRPr="007847F2">
        <w:rPr>
          <w:rFonts w:hint="eastAsia"/>
        </w:rPr>
        <w:t>淦</w:t>
      </w:r>
      <w:proofErr w:type="gramEnd"/>
      <w:r w:rsidRPr="007847F2">
        <w:rPr>
          <w:rFonts w:hint="eastAsia"/>
        </w:rPr>
        <w:t>成公司使用工業用冰醋酸浸泡海參之作為（103年4月間至104年5月11日），</w:t>
      </w:r>
      <w:proofErr w:type="gramStart"/>
      <w:r w:rsidRPr="007847F2">
        <w:rPr>
          <w:rFonts w:hint="eastAsia"/>
        </w:rPr>
        <w:t>因冰醋酸</w:t>
      </w:r>
      <w:proofErr w:type="gramEnd"/>
      <w:r w:rsidRPr="007847F2">
        <w:rPr>
          <w:rFonts w:hint="eastAsia"/>
        </w:rPr>
        <w:t>並非作為調味劑使用，其使用範圍已違反食安法第18條第1項規定，且其所使用的冰醋酸(工業用)未領有食品添加物許可證，當為未經中央主管機關許可之添加物，是亦違反同法第15條第1項第10款規定。</w:t>
      </w:r>
    </w:p>
    <w:p w:rsidR="00295665" w:rsidRPr="007847F2" w:rsidRDefault="00295665" w:rsidP="007D6B28">
      <w:pPr>
        <w:pStyle w:val="3"/>
        <w:numPr>
          <w:ilvl w:val="0"/>
          <w:numId w:val="0"/>
        </w:numPr>
        <w:ind w:left="1361" w:firstLineChars="183" w:firstLine="622"/>
      </w:pPr>
      <w:r w:rsidRPr="007847F2">
        <w:rPr>
          <w:rFonts w:hint="eastAsia"/>
        </w:rPr>
        <w:t>此亦可由</w:t>
      </w:r>
      <w:proofErr w:type="gramStart"/>
      <w:r w:rsidRPr="007847F2">
        <w:rPr>
          <w:rFonts w:hint="eastAsia"/>
        </w:rPr>
        <w:t>食藥署</w:t>
      </w:r>
      <w:proofErr w:type="gramEnd"/>
      <w:r w:rsidRPr="007847F2">
        <w:rPr>
          <w:rFonts w:hint="eastAsia"/>
        </w:rPr>
        <w:t>105年1月26日FDA</w:t>
      </w:r>
      <w:proofErr w:type="gramStart"/>
      <w:r w:rsidRPr="007847F2">
        <w:rPr>
          <w:rFonts w:hint="eastAsia"/>
        </w:rPr>
        <w:t>食字第1040051426號</w:t>
      </w:r>
      <w:proofErr w:type="gramEnd"/>
      <w:r w:rsidRPr="007847F2">
        <w:rPr>
          <w:rFonts w:hint="eastAsia"/>
        </w:rPr>
        <w:t>函復臺灣新北地方法院：「業者應選用符合『食品添加物使用範圍及限量暨規格標準』所訂標準，</w:t>
      </w:r>
      <w:proofErr w:type="gramStart"/>
      <w:r w:rsidRPr="007847F2">
        <w:rPr>
          <w:rFonts w:hint="eastAsia"/>
        </w:rPr>
        <w:t>並依食安</w:t>
      </w:r>
      <w:proofErr w:type="gramEnd"/>
      <w:r w:rsidRPr="007847F2">
        <w:rPr>
          <w:rFonts w:hint="eastAsia"/>
        </w:rPr>
        <w:t>法規定辦理查驗登記及登錄之冰醋酸產品，倘違反</w:t>
      </w:r>
      <w:r w:rsidRPr="007847F2">
        <w:rPr>
          <w:rFonts w:hAnsi="標楷體" w:hint="eastAsia"/>
        </w:rPr>
        <w:t>『</w:t>
      </w:r>
      <w:r w:rsidRPr="007847F2">
        <w:rPr>
          <w:rFonts w:hint="eastAsia"/>
        </w:rPr>
        <w:t>食品添加物使用範圍及限量暨規格標準</w:t>
      </w:r>
      <w:r w:rsidRPr="007847F2">
        <w:rPr>
          <w:rFonts w:hAnsi="標楷體" w:hint="eastAsia"/>
        </w:rPr>
        <w:t>』，則涉及違反食安法第</w:t>
      </w:r>
      <w:r w:rsidRPr="007847F2">
        <w:rPr>
          <w:rFonts w:hAnsi="標楷體"/>
        </w:rPr>
        <w:t>18條規定</w:t>
      </w:r>
      <w:r w:rsidRPr="007847F2">
        <w:rPr>
          <w:rFonts w:hAnsi="標楷體" w:hint="eastAsia"/>
        </w:rPr>
        <w:t>。」及新北市政府衛生局</w:t>
      </w:r>
      <w:r w:rsidRPr="007847F2">
        <w:rPr>
          <w:rFonts w:hAnsi="標楷體"/>
        </w:rPr>
        <w:t>(下稱新北衛生局)107年8月30日新</w:t>
      </w:r>
      <w:proofErr w:type="gramStart"/>
      <w:r w:rsidRPr="007847F2">
        <w:rPr>
          <w:rFonts w:hAnsi="標楷體"/>
        </w:rPr>
        <w:t>北食字</w:t>
      </w:r>
      <w:proofErr w:type="gramEnd"/>
      <w:r w:rsidRPr="007847F2">
        <w:rPr>
          <w:rFonts w:hAnsi="標楷體"/>
        </w:rPr>
        <w:t>第1071628940號函：「經查『</w:t>
      </w:r>
      <w:proofErr w:type="gramStart"/>
      <w:r w:rsidRPr="007847F2">
        <w:rPr>
          <w:rFonts w:hAnsi="標楷體"/>
        </w:rPr>
        <w:t>淦</w:t>
      </w:r>
      <w:proofErr w:type="gramEnd"/>
      <w:r w:rsidRPr="007847F2">
        <w:rPr>
          <w:rFonts w:hAnsi="標楷體"/>
        </w:rPr>
        <w:t>成公司』向和</w:t>
      </w:r>
      <w:proofErr w:type="gramStart"/>
      <w:r w:rsidRPr="007847F2">
        <w:rPr>
          <w:rFonts w:hAnsi="標楷體"/>
        </w:rPr>
        <w:t>基化工</w:t>
      </w:r>
      <w:proofErr w:type="gramEnd"/>
      <w:r w:rsidRPr="007847F2">
        <w:rPr>
          <w:rFonts w:hAnsi="標楷體"/>
        </w:rPr>
        <w:t>公司購買之冰醋酸未有食品添加物許可證字號，故</w:t>
      </w:r>
      <w:proofErr w:type="gramStart"/>
      <w:r w:rsidRPr="007847F2">
        <w:rPr>
          <w:rFonts w:hAnsi="標楷體"/>
        </w:rPr>
        <w:t>繫屬案冰</w:t>
      </w:r>
      <w:proofErr w:type="gramEnd"/>
      <w:r w:rsidRPr="007847F2">
        <w:rPr>
          <w:rFonts w:hAnsi="標楷體"/>
        </w:rPr>
        <w:t>醋酸屬『未經中央主管機關許可之添加物』。」</w:t>
      </w:r>
      <w:r w:rsidRPr="007847F2">
        <w:rPr>
          <w:rFonts w:hAnsi="標楷體" w:hint="eastAsia"/>
        </w:rPr>
        <w:t>得以印證。</w:t>
      </w:r>
    </w:p>
    <w:p w:rsidR="00295665" w:rsidRPr="007847F2" w:rsidRDefault="00295665" w:rsidP="003073C9">
      <w:pPr>
        <w:pStyle w:val="3"/>
        <w:numPr>
          <w:ilvl w:val="0"/>
          <w:numId w:val="0"/>
        </w:numPr>
        <w:ind w:leftChars="417" w:left="1418" w:firstLineChars="165" w:firstLine="561"/>
      </w:pPr>
      <w:r w:rsidRPr="007847F2">
        <w:rPr>
          <w:rFonts w:hint="eastAsia"/>
        </w:rPr>
        <w:t>至於該公司所使用之工業用冰醋酸之安全性，按「食品添加物使用範圍及限量暨規格標準」之冰醋酸(第十一類調味劑)規格標準規定包括：氯化物3.6ppm以下(以Cl計)、硫酸鹽19.6ppm以下(以SO</w:t>
      </w:r>
      <w:r w:rsidRPr="007847F2">
        <w:rPr>
          <w:vertAlign w:val="subscript"/>
        </w:rPr>
        <w:t>4</w:t>
      </w:r>
      <w:r w:rsidRPr="007847F2">
        <w:rPr>
          <w:rFonts w:hint="eastAsia"/>
        </w:rPr>
        <w:t>計)、砷3ppm以下(以As</w:t>
      </w:r>
      <w:r w:rsidRPr="007847F2">
        <w:rPr>
          <w:rFonts w:hint="eastAsia"/>
          <w:vertAlign w:val="subscript"/>
        </w:rPr>
        <w:t>2</w:t>
      </w:r>
      <w:r w:rsidRPr="007847F2">
        <w:rPr>
          <w:rFonts w:hint="eastAsia"/>
        </w:rPr>
        <w:t>O</w:t>
      </w:r>
      <w:r w:rsidRPr="007847F2">
        <w:rPr>
          <w:rFonts w:hint="eastAsia"/>
          <w:vertAlign w:val="subscript"/>
        </w:rPr>
        <w:t>3</w:t>
      </w:r>
      <w:r w:rsidRPr="007847F2">
        <w:rPr>
          <w:rFonts w:hint="eastAsia"/>
        </w:rPr>
        <w:t>計)、重金屬10ppm以下(以</w:t>
      </w:r>
      <w:proofErr w:type="spellStart"/>
      <w:r w:rsidRPr="007847F2">
        <w:rPr>
          <w:rFonts w:hint="eastAsia"/>
        </w:rPr>
        <w:t>Pb</w:t>
      </w:r>
      <w:proofErr w:type="spellEnd"/>
      <w:r w:rsidRPr="007847F2">
        <w:rPr>
          <w:rFonts w:hint="eastAsia"/>
        </w:rPr>
        <w:t>計)、甲醛30ppm以下…</w:t>
      </w:r>
      <w:proofErr w:type="gramStart"/>
      <w:r w:rsidRPr="007847F2">
        <w:rPr>
          <w:rFonts w:hint="eastAsia"/>
        </w:rPr>
        <w:t>…</w:t>
      </w:r>
      <w:proofErr w:type="gramEnd"/>
      <w:r w:rsidRPr="007847F2">
        <w:rPr>
          <w:rFonts w:hint="eastAsia"/>
        </w:rPr>
        <w:t>等；本案工業用冰醋酸經檢驗發現氯化物超出上開標準。</w:t>
      </w:r>
      <w:proofErr w:type="gramStart"/>
      <w:r w:rsidRPr="007847F2">
        <w:rPr>
          <w:rFonts w:hint="eastAsia"/>
        </w:rPr>
        <w:t>然食藥署</w:t>
      </w:r>
      <w:proofErr w:type="gramEnd"/>
      <w:r w:rsidRPr="007847F2">
        <w:rPr>
          <w:rFonts w:hint="eastAsia"/>
        </w:rPr>
        <w:t>106年3月</w:t>
      </w:r>
      <w:r w:rsidRPr="007847F2">
        <w:rPr>
          <w:rFonts w:hint="eastAsia"/>
        </w:rPr>
        <w:lastRenderedPageBreak/>
        <w:t>15日FDA</w:t>
      </w:r>
      <w:proofErr w:type="gramStart"/>
      <w:r w:rsidRPr="007847F2">
        <w:rPr>
          <w:rFonts w:hint="eastAsia"/>
        </w:rPr>
        <w:t>食字第1069901097號</w:t>
      </w:r>
      <w:proofErr w:type="gramEnd"/>
      <w:r w:rsidRPr="007847F2">
        <w:rPr>
          <w:rFonts w:hint="eastAsia"/>
        </w:rPr>
        <w:t>函臺灣新北地方法院表示：「…</w:t>
      </w:r>
      <w:proofErr w:type="gramStart"/>
      <w:r w:rsidRPr="007847F2">
        <w:rPr>
          <w:rFonts w:hint="eastAsia"/>
        </w:rPr>
        <w:t>…</w:t>
      </w:r>
      <w:proofErr w:type="gramEnd"/>
      <w:r w:rsidRPr="007847F2">
        <w:rPr>
          <w:rFonts w:hint="eastAsia"/>
          <w:b/>
        </w:rPr>
        <w:t>產品如不符合規格標準，尚無法直接確認其對人體健康之影響</w:t>
      </w:r>
      <w:r w:rsidRPr="007847F2">
        <w:rPr>
          <w:rFonts w:hint="eastAsia"/>
        </w:rPr>
        <w:t>…</w:t>
      </w:r>
      <w:proofErr w:type="gramStart"/>
      <w:r w:rsidRPr="007847F2">
        <w:rPr>
          <w:rFonts w:hint="eastAsia"/>
        </w:rPr>
        <w:t>…</w:t>
      </w:r>
      <w:proofErr w:type="gramEnd"/>
      <w:r w:rsidRPr="007847F2">
        <w:rPr>
          <w:rFonts w:hint="eastAsia"/>
        </w:rPr>
        <w:t>，建議貴院亦徵詢醫學、毒理學或健康風險評估等領域之專家學者專業意見。」</w:t>
      </w:r>
    </w:p>
    <w:p w:rsidR="00295665" w:rsidRPr="007847F2" w:rsidRDefault="00295665" w:rsidP="00057785">
      <w:pPr>
        <w:pStyle w:val="3"/>
        <w:numPr>
          <w:ilvl w:val="2"/>
          <w:numId w:val="1"/>
        </w:numPr>
      </w:pPr>
      <w:proofErr w:type="gramStart"/>
      <w:r w:rsidRPr="007847F2">
        <w:rPr>
          <w:rFonts w:hAnsi="標楷體" w:hint="eastAsia"/>
        </w:rPr>
        <w:t>惟食藥署</w:t>
      </w:r>
      <w:proofErr w:type="gramEnd"/>
      <w:r w:rsidRPr="007847F2">
        <w:rPr>
          <w:rFonts w:hAnsi="標楷體" w:hint="eastAsia"/>
        </w:rPr>
        <w:t>訂定各食品添加物規格標準之目的，係為避免業者使用不合規格標準之食品添加物</w:t>
      </w:r>
      <w:r w:rsidRPr="007847F2">
        <w:rPr>
          <w:rFonts w:hAnsi="標楷體"/>
        </w:rPr>
        <w:t>(例如工</w:t>
      </w:r>
      <w:r w:rsidRPr="007847F2">
        <w:rPr>
          <w:rFonts w:hAnsi="標楷體" w:hint="eastAsia"/>
        </w:rPr>
        <w:t>業用等級</w:t>
      </w:r>
      <w:r w:rsidRPr="007847F2">
        <w:rPr>
          <w:rFonts w:hAnsi="標楷體"/>
        </w:rPr>
        <w:t>)</w:t>
      </w:r>
      <w:r w:rsidRPr="007847F2">
        <w:rPr>
          <w:rFonts w:hAnsi="標楷體" w:hint="eastAsia"/>
        </w:rPr>
        <w:t>，造成民眾健康之風險，是如添加物檢驗不符合規格標準，自當增加或造成健康危害風險，否則訂定</w:t>
      </w:r>
      <w:r w:rsidRPr="007847F2">
        <w:rPr>
          <w:rFonts w:hAnsi="標楷體" w:hint="eastAsia"/>
          <w:spacing w:val="-4"/>
        </w:rPr>
        <w:t>管制規格標準便毫無意義。</w:t>
      </w:r>
    </w:p>
    <w:p w:rsidR="00295665" w:rsidRPr="007847F2" w:rsidRDefault="00295665" w:rsidP="003F2B19">
      <w:pPr>
        <w:pStyle w:val="3"/>
        <w:numPr>
          <w:ilvl w:val="0"/>
          <w:numId w:val="0"/>
        </w:numPr>
        <w:ind w:left="1361" w:firstLineChars="187" w:firstLine="621"/>
        <w:rPr>
          <w:spacing w:val="-4"/>
        </w:rPr>
      </w:pPr>
      <w:r w:rsidRPr="007847F2">
        <w:rPr>
          <w:rFonts w:hAnsi="標楷體" w:hint="eastAsia"/>
          <w:spacing w:val="-4"/>
        </w:rPr>
        <w:t>再</w:t>
      </w:r>
      <w:proofErr w:type="gramStart"/>
      <w:r w:rsidRPr="007847F2">
        <w:rPr>
          <w:rFonts w:hAnsi="標楷體" w:hint="eastAsia"/>
          <w:spacing w:val="-4"/>
        </w:rPr>
        <w:t>且</w:t>
      </w:r>
      <w:proofErr w:type="gramEnd"/>
      <w:r w:rsidRPr="007847F2">
        <w:rPr>
          <w:rFonts w:hAnsi="標楷體" w:hint="eastAsia"/>
          <w:spacing w:val="-4"/>
        </w:rPr>
        <w:t>，</w:t>
      </w:r>
      <w:r w:rsidRPr="007847F2">
        <w:rPr>
          <w:rFonts w:hAnsi="標楷體" w:hint="eastAsia"/>
          <w:b/>
          <w:spacing w:val="-4"/>
        </w:rPr>
        <w:t>工業用冰醋酸不可能以醋酸</w:t>
      </w:r>
      <w:proofErr w:type="gramStart"/>
      <w:r w:rsidRPr="007847F2">
        <w:rPr>
          <w:rFonts w:hAnsi="標楷體" w:hint="eastAsia"/>
          <w:b/>
          <w:spacing w:val="-4"/>
        </w:rPr>
        <w:t>菌</w:t>
      </w:r>
      <w:proofErr w:type="gramEnd"/>
      <w:r w:rsidRPr="007847F2">
        <w:rPr>
          <w:rFonts w:hAnsi="標楷體" w:hint="eastAsia"/>
          <w:b/>
          <w:spacing w:val="-4"/>
        </w:rPr>
        <w:t>發酵製成，多以</w:t>
      </w:r>
      <w:r w:rsidRPr="007847F2">
        <w:rPr>
          <w:rFonts w:hint="eastAsia"/>
          <w:b/>
          <w:spacing w:val="-4"/>
        </w:rPr>
        <w:t>「甲醇」與「一氧化碳」等化工原料反應而成(即「甲醇</w:t>
      </w:r>
      <w:proofErr w:type="gramStart"/>
      <w:r w:rsidRPr="007847F2">
        <w:rPr>
          <w:rFonts w:hint="eastAsia"/>
          <w:b/>
          <w:spacing w:val="-4"/>
        </w:rPr>
        <w:t>羰基化</w:t>
      </w:r>
      <w:proofErr w:type="gramEnd"/>
      <w:r w:rsidRPr="007847F2">
        <w:rPr>
          <w:rFonts w:hint="eastAsia"/>
          <w:b/>
          <w:spacing w:val="-4"/>
        </w:rPr>
        <w:t>法」</w:t>
      </w:r>
      <w:r w:rsidRPr="007847F2">
        <w:rPr>
          <w:rFonts w:hint="eastAsia"/>
          <w:spacing w:val="-4"/>
        </w:rPr>
        <w:t>)，此過程是</w:t>
      </w:r>
      <w:proofErr w:type="gramStart"/>
      <w:r w:rsidRPr="007847F2">
        <w:rPr>
          <w:rFonts w:hint="eastAsia"/>
          <w:spacing w:val="-4"/>
        </w:rPr>
        <w:t>以碘代甲烷</w:t>
      </w:r>
      <w:proofErr w:type="gramEnd"/>
      <w:r w:rsidRPr="007847F2">
        <w:rPr>
          <w:rFonts w:hint="eastAsia"/>
          <w:spacing w:val="-4"/>
        </w:rPr>
        <w:t>為</w:t>
      </w:r>
      <w:proofErr w:type="gramStart"/>
      <w:r w:rsidRPr="007847F2">
        <w:rPr>
          <w:rFonts w:hint="eastAsia"/>
          <w:spacing w:val="-4"/>
        </w:rPr>
        <w:t>中間體</w:t>
      </w:r>
      <w:proofErr w:type="gramEnd"/>
      <w:r w:rsidRPr="007847F2">
        <w:rPr>
          <w:rFonts w:hint="eastAsia"/>
          <w:spacing w:val="-4"/>
        </w:rPr>
        <w:t>，分3步驟反應而成，最後生成</w:t>
      </w:r>
      <w:r w:rsidRPr="007847F2">
        <w:rPr>
          <w:rFonts w:ascii="新細明體" w:eastAsia="新細明體" w:hAnsi="新細明體" w:hint="eastAsia"/>
          <w:spacing w:val="-4"/>
        </w:rPr>
        <w:t>「</w:t>
      </w:r>
      <w:r w:rsidRPr="007847F2">
        <w:rPr>
          <w:rFonts w:hint="eastAsia"/>
          <w:spacing w:val="-4"/>
        </w:rPr>
        <w:t>醋酸</w:t>
      </w:r>
      <w:r w:rsidRPr="007847F2">
        <w:rPr>
          <w:rFonts w:hAnsi="標楷體" w:hint="eastAsia"/>
          <w:spacing w:val="-4"/>
        </w:rPr>
        <w:t>」</w:t>
      </w:r>
      <w:r w:rsidRPr="007847F2">
        <w:rPr>
          <w:rFonts w:hint="eastAsia"/>
          <w:spacing w:val="-4"/>
        </w:rPr>
        <w:t>及</w:t>
      </w:r>
      <w:r w:rsidRPr="007847F2">
        <w:rPr>
          <w:rFonts w:ascii="新細明體" w:eastAsia="新細明體" w:hAnsi="新細明體" w:hint="eastAsia"/>
          <w:b/>
          <w:spacing w:val="-4"/>
        </w:rPr>
        <w:t>「</w:t>
      </w:r>
      <w:proofErr w:type="gramStart"/>
      <w:r w:rsidRPr="007847F2">
        <w:rPr>
          <w:rFonts w:hint="eastAsia"/>
          <w:b/>
          <w:spacing w:val="-4"/>
        </w:rPr>
        <w:t>碘氫酸</w:t>
      </w:r>
      <w:proofErr w:type="gramEnd"/>
      <w:r w:rsidRPr="007847F2">
        <w:rPr>
          <w:rFonts w:hAnsi="標楷體" w:hint="eastAsia"/>
          <w:b/>
          <w:spacing w:val="-4"/>
        </w:rPr>
        <w:t>」</w:t>
      </w:r>
      <w:r w:rsidRPr="007847F2">
        <w:rPr>
          <w:rFonts w:hint="eastAsia"/>
          <w:spacing w:val="-4"/>
        </w:rPr>
        <w:t>，如再純化至醋酸含量達99%，即是</w:t>
      </w:r>
      <w:r w:rsidRPr="007847F2">
        <w:rPr>
          <w:rFonts w:ascii="新細明體" w:eastAsia="新細明體" w:hAnsi="新細明體" w:hint="eastAsia"/>
          <w:spacing w:val="-4"/>
        </w:rPr>
        <w:t>「</w:t>
      </w:r>
      <w:r w:rsidRPr="007847F2">
        <w:rPr>
          <w:rFonts w:hint="eastAsia"/>
          <w:spacing w:val="-4"/>
        </w:rPr>
        <w:t>冰醋酸</w:t>
      </w:r>
      <w:r w:rsidRPr="007847F2">
        <w:rPr>
          <w:rFonts w:hAnsi="標楷體" w:hint="eastAsia"/>
          <w:spacing w:val="-4"/>
        </w:rPr>
        <w:t>」</w:t>
      </w:r>
      <w:r w:rsidRPr="007847F2">
        <w:rPr>
          <w:rFonts w:hint="eastAsia"/>
          <w:spacing w:val="-4"/>
        </w:rPr>
        <w:t>，此為工業製造方式。</w:t>
      </w:r>
    </w:p>
    <w:p w:rsidR="00295665" w:rsidRPr="007847F2" w:rsidRDefault="00295665" w:rsidP="003F2B19">
      <w:pPr>
        <w:pStyle w:val="3"/>
        <w:numPr>
          <w:ilvl w:val="0"/>
          <w:numId w:val="0"/>
        </w:numPr>
        <w:ind w:left="1361" w:firstLineChars="187" w:firstLine="621"/>
      </w:pPr>
      <w:proofErr w:type="gramStart"/>
      <w:r w:rsidRPr="007847F2">
        <w:rPr>
          <w:rFonts w:hint="eastAsia"/>
          <w:spacing w:val="-4"/>
        </w:rPr>
        <w:t>續論本</w:t>
      </w:r>
      <w:proofErr w:type="gramEnd"/>
      <w:r w:rsidRPr="007847F2">
        <w:rPr>
          <w:rFonts w:hint="eastAsia"/>
          <w:spacing w:val="-4"/>
        </w:rPr>
        <w:t>案業者所使用之冰醋酸，據新北市衛生局查復，該局於104年5月11日及13日會同</w:t>
      </w:r>
      <w:proofErr w:type="gramStart"/>
      <w:r w:rsidRPr="007847F2">
        <w:rPr>
          <w:rFonts w:hint="eastAsia"/>
          <w:spacing w:val="-4"/>
        </w:rPr>
        <w:t>食藥署至淦</w:t>
      </w:r>
      <w:proofErr w:type="gramEnd"/>
      <w:r w:rsidRPr="007847F2">
        <w:rPr>
          <w:rFonts w:hint="eastAsia"/>
          <w:spacing w:val="-4"/>
        </w:rPr>
        <w:t>成公司稽查，現場發現有29桶</w:t>
      </w:r>
      <w:proofErr w:type="gramStart"/>
      <w:r w:rsidRPr="007847F2">
        <w:rPr>
          <w:rFonts w:hint="eastAsia"/>
          <w:spacing w:val="-4"/>
        </w:rPr>
        <w:t>全滿的工業</w:t>
      </w:r>
      <w:proofErr w:type="gramEnd"/>
      <w:r w:rsidRPr="007847F2">
        <w:rPr>
          <w:rFonts w:hint="eastAsia"/>
          <w:spacing w:val="-4"/>
        </w:rPr>
        <w:t>用冰醋酸，另有14桶</w:t>
      </w:r>
      <w:proofErr w:type="gramStart"/>
      <w:r w:rsidRPr="007847F2">
        <w:rPr>
          <w:rFonts w:hint="eastAsia"/>
          <w:spacing w:val="-4"/>
        </w:rPr>
        <w:t>用罄者</w:t>
      </w:r>
      <w:proofErr w:type="gramEnd"/>
      <w:r w:rsidRPr="007847F2">
        <w:rPr>
          <w:rFonts w:hint="eastAsia"/>
          <w:spacing w:val="-4"/>
        </w:rPr>
        <w:t>，現場瀰漫濃嗆醋酸味，該局抽取海參及冰醋酸檢體，</w:t>
      </w:r>
      <w:proofErr w:type="gramStart"/>
      <w:r w:rsidRPr="007847F2">
        <w:rPr>
          <w:rFonts w:hint="eastAsia"/>
          <w:spacing w:val="-4"/>
        </w:rPr>
        <w:t>請食藥署</w:t>
      </w:r>
      <w:proofErr w:type="gramEnd"/>
      <w:r w:rsidRPr="007847F2">
        <w:rPr>
          <w:rFonts w:hint="eastAsia"/>
          <w:spacing w:val="-4"/>
        </w:rPr>
        <w:t>檢驗，有關冰醋酸部分，</w:t>
      </w:r>
      <w:proofErr w:type="gramStart"/>
      <w:r w:rsidRPr="007847F2">
        <w:rPr>
          <w:rFonts w:hint="eastAsia"/>
          <w:spacing w:val="-4"/>
        </w:rPr>
        <w:t>食藥署係</w:t>
      </w:r>
      <w:proofErr w:type="gramEnd"/>
      <w:r w:rsidRPr="007847F2">
        <w:rPr>
          <w:rFonts w:hint="eastAsia"/>
          <w:spacing w:val="-4"/>
        </w:rPr>
        <w:t>檢驗是否含有</w:t>
      </w:r>
      <w:r w:rsidRPr="007847F2">
        <w:rPr>
          <w:rFonts w:ascii="新細明體" w:eastAsia="新細明體" w:hAnsi="新細明體" w:hint="eastAsia"/>
          <w:spacing w:val="-4"/>
        </w:rPr>
        <w:t>「</w:t>
      </w:r>
      <w:r w:rsidRPr="007847F2">
        <w:rPr>
          <w:rFonts w:hint="eastAsia"/>
          <w:spacing w:val="-4"/>
        </w:rPr>
        <w:t>醋酸根離子</w:t>
      </w:r>
      <w:r w:rsidRPr="007847F2">
        <w:rPr>
          <w:rFonts w:hAnsi="標楷體" w:hint="eastAsia"/>
          <w:spacing w:val="-4"/>
        </w:rPr>
        <w:t>」</w:t>
      </w:r>
      <w:r w:rsidRPr="007847F2">
        <w:rPr>
          <w:rFonts w:hint="eastAsia"/>
          <w:spacing w:val="-4"/>
        </w:rPr>
        <w:t>，即</w:t>
      </w:r>
      <w:proofErr w:type="gramStart"/>
      <w:r w:rsidRPr="007847F2">
        <w:rPr>
          <w:rFonts w:hint="eastAsia"/>
          <w:b/>
          <w:spacing w:val="-4"/>
        </w:rPr>
        <w:t>該署僅檢驗</w:t>
      </w:r>
      <w:proofErr w:type="gramEnd"/>
      <w:r w:rsidRPr="007847F2">
        <w:rPr>
          <w:rFonts w:hint="eastAsia"/>
          <w:b/>
          <w:spacing w:val="-4"/>
        </w:rPr>
        <w:t>工業用冰</w:t>
      </w:r>
      <w:proofErr w:type="gramStart"/>
      <w:r w:rsidRPr="007847F2">
        <w:rPr>
          <w:rFonts w:hint="eastAsia"/>
          <w:b/>
          <w:spacing w:val="-4"/>
        </w:rPr>
        <w:t>醋酸藍桶內</w:t>
      </w:r>
      <w:proofErr w:type="gramEnd"/>
      <w:r w:rsidRPr="007847F2">
        <w:rPr>
          <w:rFonts w:hint="eastAsia"/>
          <w:b/>
          <w:spacing w:val="-4"/>
        </w:rPr>
        <w:t>的物質是否為醋酸</w:t>
      </w:r>
      <w:r w:rsidRPr="007847F2">
        <w:rPr>
          <w:rFonts w:hint="eastAsia"/>
          <w:spacing w:val="-4"/>
        </w:rPr>
        <w:t>，結果為陽性反應，但</w:t>
      </w:r>
      <w:r w:rsidRPr="007847F2">
        <w:rPr>
          <w:rFonts w:hint="eastAsia"/>
          <w:b/>
          <w:spacing w:val="-4"/>
        </w:rPr>
        <w:t>該署竟未本於專業及權責，檢驗其醋酸濃度(是否達</w:t>
      </w:r>
      <w:r w:rsidRPr="007847F2">
        <w:rPr>
          <w:rFonts w:ascii="新細明體" w:eastAsia="新細明體" w:hAnsi="新細明體" w:hint="eastAsia"/>
          <w:b/>
          <w:spacing w:val="-4"/>
        </w:rPr>
        <w:t>「</w:t>
      </w:r>
      <w:r w:rsidRPr="007847F2">
        <w:rPr>
          <w:rFonts w:hint="eastAsia"/>
          <w:b/>
          <w:spacing w:val="-4"/>
        </w:rPr>
        <w:t>冰醋酸</w:t>
      </w:r>
      <w:r w:rsidRPr="007847F2">
        <w:rPr>
          <w:rFonts w:hAnsi="標楷體" w:hint="eastAsia"/>
          <w:b/>
          <w:spacing w:val="-4"/>
        </w:rPr>
        <w:t>」定義</w:t>
      </w:r>
      <w:r w:rsidRPr="007847F2">
        <w:rPr>
          <w:rFonts w:hAnsi="標楷體"/>
          <w:b/>
          <w:spacing w:val="-4"/>
        </w:rPr>
        <w:t>)</w:t>
      </w:r>
      <w:r w:rsidRPr="007847F2">
        <w:rPr>
          <w:rFonts w:hint="eastAsia"/>
          <w:b/>
          <w:spacing w:val="-4"/>
        </w:rPr>
        <w:t>以及是否含有甲醇</w:t>
      </w:r>
      <w:proofErr w:type="gramStart"/>
      <w:r w:rsidRPr="007847F2">
        <w:rPr>
          <w:rFonts w:hint="eastAsia"/>
          <w:b/>
          <w:spacing w:val="-4"/>
        </w:rPr>
        <w:t>及碘氫酸</w:t>
      </w:r>
      <w:proofErr w:type="gramEnd"/>
      <w:r w:rsidRPr="007847F2">
        <w:rPr>
          <w:rFonts w:hint="eastAsia"/>
          <w:spacing w:val="-4"/>
        </w:rPr>
        <w:t>，</w:t>
      </w:r>
      <w:proofErr w:type="gramStart"/>
      <w:r w:rsidRPr="007847F2">
        <w:rPr>
          <w:rFonts w:hint="eastAsia"/>
          <w:spacing w:val="-4"/>
        </w:rPr>
        <w:t>尤該署</w:t>
      </w:r>
      <w:proofErr w:type="gramEnd"/>
      <w:r w:rsidRPr="007847F2">
        <w:rPr>
          <w:rFonts w:hint="eastAsia"/>
          <w:b/>
          <w:spacing w:val="-4"/>
        </w:rPr>
        <w:t>明知其為工業用</w:t>
      </w:r>
      <w:r w:rsidRPr="007847F2">
        <w:rPr>
          <w:rFonts w:hint="eastAsia"/>
          <w:spacing w:val="-4"/>
        </w:rPr>
        <w:t>，自應瞭解其危害風險，但卻未積極行事以提供檢方事證，</w:t>
      </w:r>
      <w:r w:rsidRPr="007847F2">
        <w:rPr>
          <w:rFonts w:hint="eastAsia"/>
          <w:b/>
          <w:spacing w:val="-4"/>
        </w:rPr>
        <w:t>甚消極表示如不符合(食品級)規格標準，尚無法確認對人體健康之影響</w:t>
      </w:r>
      <w:r w:rsidRPr="007847F2">
        <w:rPr>
          <w:rFonts w:hint="eastAsia"/>
          <w:spacing w:val="-4"/>
        </w:rPr>
        <w:t>，此作為顯有失主管機關之職責，核有未當。</w:t>
      </w:r>
    </w:p>
    <w:p w:rsidR="00295665" w:rsidRPr="007847F2" w:rsidRDefault="00295665" w:rsidP="00C23EDF">
      <w:pPr>
        <w:pStyle w:val="3"/>
        <w:numPr>
          <w:ilvl w:val="2"/>
          <w:numId w:val="1"/>
        </w:numPr>
        <w:rPr>
          <w:spacing w:val="-2"/>
        </w:rPr>
      </w:pPr>
      <w:r w:rsidRPr="007847F2">
        <w:rPr>
          <w:rFonts w:hint="eastAsia"/>
        </w:rPr>
        <w:t>再查「食品添加物使用範圍及限量暨規格標準」冰醋</w:t>
      </w:r>
      <w:r w:rsidRPr="007847F2">
        <w:rPr>
          <w:rFonts w:hint="eastAsia"/>
        </w:rPr>
        <w:lastRenderedPageBreak/>
        <w:t>酸之規格標準，</w:t>
      </w:r>
      <w:proofErr w:type="gramStart"/>
      <w:r w:rsidRPr="007847F2">
        <w:rPr>
          <w:rFonts w:hint="eastAsia"/>
        </w:rPr>
        <w:t>據食藥署</w:t>
      </w:r>
      <w:proofErr w:type="gramEnd"/>
      <w:r w:rsidRPr="007847F2">
        <w:rPr>
          <w:rFonts w:hint="eastAsia"/>
        </w:rPr>
        <w:t>查復表示，82年以前即訂定，而1到10項</w:t>
      </w:r>
      <w:r w:rsidRPr="007847F2">
        <w:rPr>
          <w:rFonts w:hAnsi="標楷體" w:hint="eastAsia"/>
        </w:rPr>
        <w:t>規格</w:t>
      </w:r>
      <w:r w:rsidRPr="007847F2">
        <w:rPr>
          <w:rFonts w:hAnsi="標楷體"/>
        </w:rPr>
        <w:t>(含量、外觀、凝固溫度、氯化物…</w:t>
      </w:r>
      <w:proofErr w:type="gramStart"/>
      <w:r w:rsidRPr="007847F2">
        <w:rPr>
          <w:rFonts w:hAnsi="標楷體"/>
        </w:rPr>
        <w:t>…</w:t>
      </w:r>
      <w:proofErr w:type="gramEnd"/>
      <w:r w:rsidRPr="007847F2">
        <w:rPr>
          <w:rFonts w:hAnsi="標楷體"/>
        </w:rPr>
        <w:t>)之訂定依據，應係參考國際規格標準等語；</w:t>
      </w:r>
      <w:r w:rsidRPr="007847F2">
        <w:rPr>
          <w:rFonts w:hAnsi="標楷體" w:hint="eastAsia"/>
        </w:rPr>
        <w:t>至於冰醋酸規格標準為何未能納入</w:t>
      </w:r>
      <w:r w:rsidRPr="007847F2">
        <w:rPr>
          <w:rFonts w:ascii="新細明體" w:eastAsia="新細明體" w:hAnsi="新細明體" w:hint="eastAsia"/>
          <w:spacing w:val="-4"/>
        </w:rPr>
        <w:t>「</w:t>
      </w:r>
      <w:r w:rsidRPr="007847F2">
        <w:rPr>
          <w:rFonts w:hint="eastAsia"/>
          <w:spacing w:val="-4"/>
        </w:rPr>
        <w:t>甲醇</w:t>
      </w:r>
      <w:r w:rsidRPr="007847F2">
        <w:rPr>
          <w:rFonts w:hAnsi="標楷體" w:hint="eastAsia"/>
          <w:spacing w:val="-4"/>
        </w:rPr>
        <w:t>」</w:t>
      </w:r>
      <w:r w:rsidRPr="007847F2">
        <w:rPr>
          <w:rFonts w:hint="eastAsia"/>
          <w:spacing w:val="-4"/>
        </w:rPr>
        <w:t>及</w:t>
      </w:r>
      <w:r w:rsidRPr="007847F2">
        <w:rPr>
          <w:rFonts w:ascii="新細明體" w:eastAsia="新細明體" w:hAnsi="新細明體" w:hint="eastAsia"/>
          <w:spacing w:val="-4"/>
        </w:rPr>
        <w:t>「</w:t>
      </w:r>
      <w:proofErr w:type="gramStart"/>
      <w:r w:rsidRPr="007847F2">
        <w:rPr>
          <w:rFonts w:hint="eastAsia"/>
          <w:spacing w:val="-4"/>
        </w:rPr>
        <w:t>碘氫酸</w:t>
      </w:r>
      <w:proofErr w:type="gramEnd"/>
      <w:r w:rsidRPr="007847F2">
        <w:rPr>
          <w:rFonts w:hAnsi="標楷體" w:hint="eastAsia"/>
          <w:spacing w:val="-4"/>
        </w:rPr>
        <w:t>」，該署指出</w:t>
      </w:r>
      <w:r w:rsidRPr="007847F2">
        <w:rPr>
          <w:rFonts w:hAnsi="標楷體"/>
          <w:spacing w:val="-4"/>
        </w:rPr>
        <w:t>JECFA、歐盟及美國等，</w:t>
      </w:r>
      <w:proofErr w:type="gramStart"/>
      <w:r w:rsidRPr="007847F2">
        <w:rPr>
          <w:rFonts w:hAnsi="標楷體"/>
          <w:spacing w:val="-4"/>
        </w:rPr>
        <w:t>均未訂</w:t>
      </w:r>
      <w:proofErr w:type="gramEnd"/>
      <w:r w:rsidRPr="007847F2">
        <w:rPr>
          <w:rFonts w:hAnsi="標楷體"/>
          <w:spacing w:val="-4"/>
        </w:rPr>
        <w:t>有</w:t>
      </w:r>
      <w:r w:rsidRPr="007847F2">
        <w:rPr>
          <w:rFonts w:ascii="新細明體" w:eastAsia="新細明體" w:hAnsi="新細明體" w:hint="eastAsia"/>
          <w:spacing w:val="-4"/>
        </w:rPr>
        <w:t>「</w:t>
      </w:r>
      <w:r w:rsidRPr="007847F2">
        <w:rPr>
          <w:rFonts w:hint="eastAsia"/>
          <w:spacing w:val="-4"/>
        </w:rPr>
        <w:t>甲醇</w:t>
      </w:r>
      <w:r w:rsidRPr="007847F2">
        <w:rPr>
          <w:rFonts w:hAnsi="標楷體" w:hint="eastAsia"/>
          <w:spacing w:val="-4"/>
        </w:rPr>
        <w:t>」</w:t>
      </w:r>
      <w:r w:rsidRPr="007847F2">
        <w:rPr>
          <w:rFonts w:hint="eastAsia"/>
          <w:spacing w:val="-4"/>
        </w:rPr>
        <w:t>及</w:t>
      </w:r>
      <w:r w:rsidRPr="007847F2">
        <w:rPr>
          <w:rFonts w:ascii="新細明體" w:eastAsia="新細明體" w:hAnsi="新細明體" w:hint="eastAsia"/>
          <w:spacing w:val="-4"/>
        </w:rPr>
        <w:t>「</w:t>
      </w:r>
      <w:proofErr w:type="gramStart"/>
      <w:r w:rsidRPr="007847F2">
        <w:rPr>
          <w:rFonts w:hint="eastAsia"/>
          <w:spacing w:val="-4"/>
        </w:rPr>
        <w:t>碘氫酸</w:t>
      </w:r>
      <w:proofErr w:type="gramEnd"/>
      <w:r w:rsidRPr="007847F2">
        <w:rPr>
          <w:rFonts w:hAnsi="標楷體" w:hint="eastAsia"/>
          <w:spacing w:val="-4"/>
        </w:rPr>
        <w:t>」殘留規定。</w:t>
      </w:r>
    </w:p>
    <w:p w:rsidR="00295665" w:rsidRPr="007847F2" w:rsidRDefault="00295665" w:rsidP="003F2B19">
      <w:pPr>
        <w:pStyle w:val="3"/>
        <w:numPr>
          <w:ilvl w:val="0"/>
          <w:numId w:val="0"/>
        </w:numPr>
        <w:ind w:left="1361" w:firstLineChars="187" w:firstLine="621"/>
        <w:rPr>
          <w:rFonts w:hAnsi="標楷體"/>
          <w:spacing w:val="-2"/>
        </w:rPr>
      </w:pPr>
      <w:r w:rsidRPr="007847F2">
        <w:rPr>
          <w:rFonts w:hAnsi="標楷體" w:hint="eastAsia"/>
          <w:spacing w:val="-4"/>
        </w:rPr>
        <w:t>惟</w:t>
      </w:r>
      <w:r w:rsidRPr="007847F2">
        <w:rPr>
          <w:rFonts w:hAnsi="標楷體"/>
          <w:spacing w:val="-4"/>
        </w:rPr>
        <w:t>JECFA及歐盟等規範情形，僅為我國訂定相關規定之參考，甚至應</w:t>
      </w:r>
      <w:r w:rsidRPr="007847F2">
        <w:rPr>
          <w:rFonts w:hAnsi="標楷體"/>
          <w:spacing w:val="-2"/>
        </w:rPr>
        <w:t>視為最低標準，</w:t>
      </w:r>
      <w:proofErr w:type="gramStart"/>
      <w:r w:rsidRPr="007847F2">
        <w:rPr>
          <w:rFonts w:hAnsi="標楷體" w:hint="eastAsia"/>
          <w:b/>
          <w:spacing w:val="-2"/>
        </w:rPr>
        <w:t>且食藥署</w:t>
      </w:r>
      <w:proofErr w:type="gramEnd"/>
      <w:r w:rsidRPr="007847F2">
        <w:rPr>
          <w:rFonts w:hAnsi="標楷體" w:hint="eastAsia"/>
          <w:b/>
          <w:spacing w:val="-2"/>
        </w:rPr>
        <w:t>對於食用冰醋酸並無規範必須經傳統發酵製成，亦即未訂有產製來源之規定</w:t>
      </w:r>
      <w:r w:rsidRPr="007847F2">
        <w:rPr>
          <w:rFonts w:hAnsi="標楷體" w:hint="eastAsia"/>
          <w:spacing w:val="-2"/>
        </w:rPr>
        <w:t>，</w:t>
      </w:r>
      <w:proofErr w:type="gramStart"/>
      <w:r w:rsidRPr="007847F2">
        <w:rPr>
          <w:rFonts w:hAnsi="標楷體" w:hint="eastAsia"/>
          <w:spacing w:val="-2"/>
        </w:rPr>
        <w:t>該署甚表示</w:t>
      </w:r>
      <w:proofErr w:type="gramEnd"/>
      <w:r w:rsidRPr="007847F2">
        <w:rPr>
          <w:rFonts w:hAnsi="標楷體" w:hint="eastAsia"/>
          <w:spacing w:val="-2"/>
        </w:rPr>
        <w:t>：「產出之冰醋酸符合現行『</w:t>
      </w:r>
      <w:r w:rsidRPr="007847F2">
        <w:rPr>
          <w:rFonts w:hint="eastAsia"/>
          <w:spacing w:val="-2"/>
        </w:rPr>
        <w:t>食品添加物使用範圍及限量暨規格標準</w:t>
      </w:r>
      <w:r w:rsidRPr="007847F2">
        <w:rPr>
          <w:rFonts w:hAnsi="標楷體" w:hint="eastAsia"/>
          <w:spacing w:val="-2"/>
        </w:rPr>
        <w:t>』之冰醋酸規格標準，並符合食品添加物登錄及</w:t>
      </w:r>
      <w:r w:rsidRPr="007847F2">
        <w:rPr>
          <w:rFonts w:hAnsi="標楷體"/>
          <w:spacing w:val="-2"/>
        </w:rPr>
        <w:t>/或查驗登記、標示等相關規定者，得供為食品添加物使用。</w:t>
      </w:r>
      <w:r w:rsidRPr="007847F2">
        <w:rPr>
          <w:rFonts w:hAnsi="標楷體" w:hint="eastAsia"/>
          <w:spacing w:val="-2"/>
        </w:rPr>
        <w:t>」簡言之，</w:t>
      </w:r>
      <w:proofErr w:type="gramStart"/>
      <w:r w:rsidRPr="007847F2">
        <w:rPr>
          <w:rFonts w:hAnsi="標楷體" w:hint="eastAsia"/>
          <w:spacing w:val="-2"/>
        </w:rPr>
        <w:t>食藥署</w:t>
      </w:r>
      <w:proofErr w:type="gramEnd"/>
      <w:r w:rsidRPr="007847F2">
        <w:rPr>
          <w:rFonts w:hAnsi="標楷體" w:hint="eastAsia"/>
          <w:spacing w:val="-2"/>
        </w:rPr>
        <w:t>因未規定冰醋酸產製來源，因此只要符合冰醋酸規格標準，且經過查驗登記許可，工業用冰醋酸</w:t>
      </w:r>
      <w:proofErr w:type="gramStart"/>
      <w:r w:rsidRPr="007847F2">
        <w:rPr>
          <w:rFonts w:hAnsi="標楷體" w:hint="eastAsia"/>
          <w:spacing w:val="-2"/>
        </w:rPr>
        <w:t>即可供</w:t>
      </w:r>
      <w:proofErr w:type="gramEnd"/>
      <w:r w:rsidRPr="007847F2">
        <w:rPr>
          <w:rFonts w:hAnsi="標楷體" w:hint="eastAsia"/>
          <w:spacing w:val="-2"/>
        </w:rPr>
        <w:t>作食品添加物。</w:t>
      </w:r>
    </w:p>
    <w:p w:rsidR="00295665" w:rsidRPr="007847F2" w:rsidRDefault="00295665" w:rsidP="003F2B19">
      <w:pPr>
        <w:pStyle w:val="3"/>
        <w:numPr>
          <w:ilvl w:val="0"/>
          <w:numId w:val="0"/>
        </w:numPr>
        <w:ind w:left="1361" w:firstLineChars="187" w:firstLine="629"/>
        <w:rPr>
          <w:spacing w:val="-2"/>
        </w:rPr>
      </w:pPr>
      <w:r w:rsidRPr="007847F2">
        <w:rPr>
          <w:rFonts w:hAnsi="標楷體" w:hint="eastAsia"/>
          <w:b/>
          <w:spacing w:val="-2"/>
        </w:rPr>
        <w:t>由於未規定產製來源，當以</w:t>
      </w:r>
      <w:r w:rsidRPr="007847F2">
        <w:rPr>
          <w:rFonts w:ascii="新細明體" w:eastAsia="新細明體" w:hAnsi="新細明體" w:hint="eastAsia"/>
          <w:b/>
          <w:spacing w:val="-2"/>
        </w:rPr>
        <w:t>「</w:t>
      </w:r>
      <w:r w:rsidRPr="007847F2">
        <w:rPr>
          <w:rFonts w:hint="eastAsia"/>
          <w:b/>
          <w:spacing w:val="-2"/>
        </w:rPr>
        <w:t>甲醇</w:t>
      </w:r>
      <w:proofErr w:type="gramStart"/>
      <w:r w:rsidRPr="007847F2">
        <w:rPr>
          <w:rFonts w:hint="eastAsia"/>
          <w:b/>
          <w:spacing w:val="-2"/>
        </w:rPr>
        <w:t>羰基化</w:t>
      </w:r>
      <w:proofErr w:type="gramEnd"/>
      <w:r w:rsidRPr="007847F2">
        <w:rPr>
          <w:rFonts w:hint="eastAsia"/>
          <w:b/>
          <w:spacing w:val="-2"/>
        </w:rPr>
        <w:t>法</w:t>
      </w:r>
      <w:r w:rsidRPr="007847F2">
        <w:rPr>
          <w:rFonts w:hAnsi="標楷體" w:hint="eastAsia"/>
          <w:b/>
          <w:spacing w:val="-2"/>
        </w:rPr>
        <w:t>」工業製造時，自然難以避免存有</w:t>
      </w:r>
      <w:r w:rsidRPr="007847F2">
        <w:rPr>
          <w:rFonts w:ascii="新細明體" w:eastAsia="新細明體" w:hAnsi="新細明體" w:hint="eastAsia"/>
          <w:b/>
          <w:spacing w:val="-2"/>
        </w:rPr>
        <w:t>「</w:t>
      </w:r>
      <w:r w:rsidRPr="007847F2">
        <w:rPr>
          <w:rFonts w:hint="eastAsia"/>
          <w:b/>
          <w:spacing w:val="-2"/>
        </w:rPr>
        <w:t>甲醇</w:t>
      </w:r>
      <w:r w:rsidRPr="007847F2">
        <w:rPr>
          <w:rFonts w:hAnsi="標楷體" w:hint="eastAsia"/>
          <w:b/>
          <w:spacing w:val="-2"/>
        </w:rPr>
        <w:t>」</w:t>
      </w:r>
      <w:r w:rsidRPr="007847F2">
        <w:rPr>
          <w:rFonts w:hint="eastAsia"/>
          <w:b/>
          <w:spacing w:val="-2"/>
        </w:rPr>
        <w:t>及</w:t>
      </w:r>
      <w:r w:rsidRPr="007847F2">
        <w:rPr>
          <w:rFonts w:ascii="新細明體" w:eastAsia="新細明體" w:hAnsi="新細明體" w:hint="eastAsia"/>
          <w:b/>
          <w:spacing w:val="-2"/>
        </w:rPr>
        <w:t>「</w:t>
      </w:r>
      <w:proofErr w:type="gramStart"/>
      <w:r w:rsidRPr="007847F2">
        <w:rPr>
          <w:rFonts w:hint="eastAsia"/>
          <w:b/>
          <w:spacing w:val="-2"/>
        </w:rPr>
        <w:t>碘氫酸</w:t>
      </w:r>
      <w:proofErr w:type="gramEnd"/>
      <w:r w:rsidRPr="007847F2">
        <w:rPr>
          <w:rFonts w:hAnsi="標楷體" w:hint="eastAsia"/>
          <w:b/>
          <w:spacing w:val="-2"/>
        </w:rPr>
        <w:t>」等有毒物質殘留風險，現行冰醋酸規格標準中未訂定</w:t>
      </w:r>
      <w:r w:rsidRPr="007847F2">
        <w:rPr>
          <w:rFonts w:ascii="新細明體" w:eastAsia="新細明體" w:hAnsi="新細明體" w:hint="eastAsia"/>
          <w:b/>
          <w:spacing w:val="-2"/>
        </w:rPr>
        <w:t>「</w:t>
      </w:r>
      <w:r w:rsidRPr="007847F2">
        <w:rPr>
          <w:rFonts w:hint="eastAsia"/>
          <w:b/>
          <w:spacing w:val="-2"/>
        </w:rPr>
        <w:t>甲醇</w:t>
      </w:r>
      <w:r w:rsidRPr="007847F2">
        <w:rPr>
          <w:rFonts w:hAnsi="標楷體" w:hint="eastAsia"/>
          <w:b/>
          <w:spacing w:val="-2"/>
        </w:rPr>
        <w:t>」</w:t>
      </w:r>
      <w:r w:rsidRPr="007847F2">
        <w:rPr>
          <w:rFonts w:hint="eastAsia"/>
          <w:b/>
          <w:spacing w:val="-2"/>
        </w:rPr>
        <w:t>及</w:t>
      </w:r>
      <w:r w:rsidRPr="007847F2">
        <w:rPr>
          <w:rFonts w:ascii="新細明體" w:eastAsia="新細明體" w:hAnsi="新細明體" w:hint="eastAsia"/>
          <w:b/>
          <w:spacing w:val="-2"/>
        </w:rPr>
        <w:t>「</w:t>
      </w:r>
      <w:proofErr w:type="gramStart"/>
      <w:r w:rsidRPr="007847F2">
        <w:rPr>
          <w:rFonts w:hint="eastAsia"/>
          <w:b/>
          <w:spacing w:val="-2"/>
        </w:rPr>
        <w:t>碘氫酸</w:t>
      </w:r>
      <w:proofErr w:type="gramEnd"/>
      <w:r w:rsidRPr="007847F2">
        <w:rPr>
          <w:rFonts w:hAnsi="標楷體" w:hint="eastAsia"/>
          <w:b/>
          <w:spacing w:val="-2"/>
        </w:rPr>
        <w:t>」之殘留量，故相關查核作業毋庸檢驗該等項目，故實際上即使有殘留，也未能得知</w:t>
      </w:r>
      <w:r w:rsidRPr="007847F2">
        <w:rPr>
          <w:rFonts w:hAnsi="標楷體" w:hint="eastAsia"/>
          <w:spacing w:val="-2"/>
        </w:rPr>
        <w:t>，甚至可認定為符合食品級，此影響民眾飲食安全甚</w:t>
      </w:r>
      <w:proofErr w:type="gramStart"/>
      <w:r w:rsidRPr="007847F2">
        <w:rPr>
          <w:rFonts w:hAnsi="標楷體" w:hint="eastAsia"/>
          <w:spacing w:val="-2"/>
        </w:rPr>
        <w:t>鉅</w:t>
      </w:r>
      <w:proofErr w:type="gramEnd"/>
      <w:r w:rsidRPr="007847F2">
        <w:rPr>
          <w:rFonts w:hAnsi="標楷體" w:hint="eastAsia"/>
          <w:spacing w:val="-2"/>
        </w:rPr>
        <w:t>，亟待</w:t>
      </w:r>
      <w:proofErr w:type="gramStart"/>
      <w:r w:rsidRPr="007847F2">
        <w:rPr>
          <w:rFonts w:hAnsi="標楷體" w:hint="eastAsia"/>
          <w:spacing w:val="-2"/>
        </w:rPr>
        <w:t>食藥署</w:t>
      </w:r>
      <w:proofErr w:type="gramEnd"/>
      <w:r w:rsidRPr="007847F2">
        <w:rPr>
          <w:rFonts w:hAnsi="標楷體" w:hint="eastAsia"/>
          <w:spacing w:val="-2"/>
        </w:rPr>
        <w:t>檢討改善。</w:t>
      </w:r>
    </w:p>
    <w:p w:rsidR="00295665" w:rsidRPr="007847F2" w:rsidRDefault="00295665" w:rsidP="00556D5A">
      <w:pPr>
        <w:pStyle w:val="3"/>
        <w:numPr>
          <w:ilvl w:val="2"/>
          <w:numId w:val="1"/>
        </w:numPr>
        <w:rPr>
          <w:spacing w:val="-4"/>
        </w:rPr>
      </w:pPr>
      <w:r w:rsidRPr="007847F2">
        <w:rPr>
          <w:rFonts w:hint="eastAsia"/>
          <w:spacing w:val="-4"/>
        </w:rPr>
        <w:t>不論食品級或工業級冰醋酸，其分子式皆相同，然工業</w:t>
      </w:r>
      <w:proofErr w:type="gramStart"/>
      <w:r w:rsidRPr="007847F2">
        <w:rPr>
          <w:rFonts w:hint="eastAsia"/>
          <w:spacing w:val="-4"/>
        </w:rPr>
        <w:t>級多含</w:t>
      </w:r>
      <w:proofErr w:type="gramEnd"/>
      <w:r w:rsidRPr="007847F2">
        <w:rPr>
          <w:rFonts w:hint="eastAsia"/>
          <w:spacing w:val="-4"/>
        </w:rPr>
        <w:t>其他有礙人身健康之成分，成本亦較低，若價格相對便宜的工業級材料可用於食品，未來將造成食品界工業原料氾濫、食安崩盤。</w:t>
      </w:r>
    </w:p>
    <w:p w:rsidR="00295665" w:rsidRPr="007847F2" w:rsidRDefault="00295665" w:rsidP="003F2B19">
      <w:pPr>
        <w:pStyle w:val="3"/>
        <w:numPr>
          <w:ilvl w:val="0"/>
          <w:numId w:val="0"/>
        </w:numPr>
        <w:ind w:left="1361" w:firstLineChars="187" w:firstLine="621"/>
        <w:rPr>
          <w:spacing w:val="-4"/>
        </w:rPr>
      </w:pPr>
      <w:proofErr w:type="gramStart"/>
      <w:r w:rsidRPr="007847F2">
        <w:rPr>
          <w:rFonts w:hint="eastAsia"/>
          <w:spacing w:val="-4"/>
        </w:rPr>
        <w:t>食藥署</w:t>
      </w:r>
      <w:proofErr w:type="gramEnd"/>
      <w:r w:rsidRPr="007847F2">
        <w:rPr>
          <w:rFonts w:hint="eastAsia"/>
          <w:spacing w:val="-4"/>
        </w:rPr>
        <w:t>對於本案業者所使用工業用冰醋酸之安全性，竟僅檢驗其是否含有</w:t>
      </w:r>
      <w:r w:rsidRPr="007847F2">
        <w:rPr>
          <w:rFonts w:ascii="新細明體" w:eastAsia="新細明體" w:hAnsi="新細明體" w:hint="eastAsia"/>
          <w:spacing w:val="-4"/>
        </w:rPr>
        <w:t>「</w:t>
      </w:r>
      <w:r w:rsidRPr="007847F2">
        <w:rPr>
          <w:rFonts w:hint="eastAsia"/>
          <w:spacing w:val="-4"/>
        </w:rPr>
        <w:t>醋酸根離子</w:t>
      </w:r>
      <w:r w:rsidRPr="007847F2">
        <w:rPr>
          <w:rFonts w:hAnsi="標楷體" w:hint="eastAsia"/>
          <w:spacing w:val="-4"/>
        </w:rPr>
        <w:t>」</w:t>
      </w:r>
      <w:r w:rsidRPr="007847F2">
        <w:rPr>
          <w:rFonts w:hint="eastAsia"/>
          <w:spacing w:val="-4"/>
        </w:rPr>
        <w:t>，亦即僅查驗桶內的物質是否為醋酸，惟此係內容物之究明，明顯</w:t>
      </w:r>
      <w:r w:rsidRPr="007847F2">
        <w:rPr>
          <w:rFonts w:hint="eastAsia"/>
          <w:spacing w:val="-4"/>
        </w:rPr>
        <w:lastRenderedPageBreak/>
        <w:t>與安全性無涉，重點應在於安全性之</w:t>
      </w:r>
      <w:proofErr w:type="gramStart"/>
      <w:r w:rsidRPr="007847F2">
        <w:rPr>
          <w:rFonts w:hint="eastAsia"/>
          <w:spacing w:val="-4"/>
        </w:rPr>
        <w:t>釐</w:t>
      </w:r>
      <w:proofErr w:type="gramEnd"/>
      <w:r w:rsidRPr="007847F2">
        <w:rPr>
          <w:rFonts w:hint="eastAsia"/>
          <w:spacing w:val="-4"/>
        </w:rPr>
        <w:t>清。</w:t>
      </w:r>
    </w:p>
    <w:p w:rsidR="00295665" w:rsidRPr="007847F2" w:rsidRDefault="00295665" w:rsidP="003F2B19">
      <w:pPr>
        <w:pStyle w:val="3"/>
        <w:numPr>
          <w:ilvl w:val="0"/>
          <w:numId w:val="0"/>
        </w:numPr>
        <w:ind w:left="1361" w:firstLineChars="187" w:firstLine="621"/>
        <w:rPr>
          <w:spacing w:val="-4"/>
        </w:rPr>
      </w:pPr>
      <w:proofErr w:type="gramStart"/>
      <w:r w:rsidRPr="007847F2">
        <w:rPr>
          <w:rFonts w:hint="eastAsia"/>
          <w:spacing w:val="-4"/>
        </w:rPr>
        <w:t>該署既知悉</w:t>
      </w:r>
      <w:proofErr w:type="gramEnd"/>
      <w:r w:rsidRPr="007847F2">
        <w:rPr>
          <w:rFonts w:hint="eastAsia"/>
          <w:spacing w:val="-4"/>
        </w:rPr>
        <w:t>係屬工業用冰醋酸，卻未本於專業及權責，積極檢驗是否含有甲醇</w:t>
      </w:r>
      <w:proofErr w:type="gramStart"/>
      <w:r w:rsidRPr="007847F2">
        <w:rPr>
          <w:rFonts w:hint="eastAsia"/>
          <w:spacing w:val="-4"/>
        </w:rPr>
        <w:t>及碘氫酸</w:t>
      </w:r>
      <w:proofErr w:type="gramEnd"/>
      <w:r w:rsidRPr="007847F2">
        <w:rPr>
          <w:rFonts w:hint="eastAsia"/>
          <w:spacing w:val="-4"/>
        </w:rPr>
        <w:t>等有害人體物質以提供法院事證，甚消極向法院表示如不符合(食品級)規格標準，尚無法確認對人體健康之影響等語，</w:t>
      </w:r>
      <w:proofErr w:type="gramStart"/>
      <w:r w:rsidRPr="007847F2">
        <w:rPr>
          <w:rFonts w:hint="eastAsia"/>
          <w:spacing w:val="-4"/>
        </w:rPr>
        <w:t>此顯悖</w:t>
      </w:r>
      <w:proofErr w:type="gramEnd"/>
      <w:r w:rsidRPr="007847F2">
        <w:rPr>
          <w:rFonts w:hint="eastAsia"/>
          <w:spacing w:val="-4"/>
        </w:rPr>
        <w:t>於規格標準訂定之目的，亦有失主管機關之職責。</w:t>
      </w:r>
    </w:p>
    <w:p w:rsidR="00295665" w:rsidRPr="007847F2" w:rsidRDefault="00295665" w:rsidP="003477E6">
      <w:pPr>
        <w:pStyle w:val="3"/>
        <w:numPr>
          <w:ilvl w:val="0"/>
          <w:numId w:val="0"/>
        </w:numPr>
        <w:ind w:left="1361" w:firstLineChars="187" w:firstLine="621"/>
        <w:rPr>
          <w:rFonts w:hAnsi="標楷體"/>
          <w:spacing w:val="-4"/>
        </w:rPr>
      </w:pPr>
      <w:proofErr w:type="gramStart"/>
      <w:r w:rsidRPr="007847F2">
        <w:rPr>
          <w:rFonts w:hint="eastAsia"/>
          <w:spacing w:val="-4"/>
        </w:rPr>
        <w:t>復</w:t>
      </w:r>
      <w:r w:rsidRPr="007847F2">
        <w:rPr>
          <w:rFonts w:hAnsi="標楷體" w:hint="eastAsia"/>
          <w:spacing w:val="-4"/>
        </w:rPr>
        <w:t>食藥署</w:t>
      </w:r>
      <w:proofErr w:type="gramEnd"/>
      <w:r w:rsidRPr="007847F2">
        <w:rPr>
          <w:rFonts w:hAnsi="標楷體" w:hint="eastAsia"/>
          <w:spacing w:val="-4"/>
        </w:rPr>
        <w:t>對於食用冰醋酸未訂有產製來源之規定，以致工業用冰醋酸只要符合</w:t>
      </w:r>
      <w:r w:rsidRPr="007847F2">
        <w:rPr>
          <w:rFonts w:ascii="新細明體" w:eastAsia="新細明體" w:hAnsi="新細明體" w:hint="eastAsia"/>
          <w:spacing w:val="-4"/>
        </w:rPr>
        <w:t>「</w:t>
      </w:r>
      <w:r w:rsidRPr="007847F2">
        <w:rPr>
          <w:rFonts w:hint="eastAsia"/>
          <w:spacing w:val="-4"/>
        </w:rPr>
        <w:t>食品添加物使用範圍及限量暨規格標準</w:t>
      </w:r>
      <w:r w:rsidRPr="007847F2">
        <w:rPr>
          <w:rFonts w:hAnsi="標楷體" w:hint="eastAsia"/>
          <w:spacing w:val="-4"/>
        </w:rPr>
        <w:t>」之規格標準，即可作食品添加物使用，但該標準沿用迄今</w:t>
      </w:r>
      <w:r w:rsidRPr="007847F2">
        <w:rPr>
          <w:rFonts w:hAnsi="標楷體"/>
          <w:spacing w:val="-4"/>
        </w:rPr>
        <w:t>25年，</w:t>
      </w:r>
      <w:r w:rsidRPr="007847F2">
        <w:rPr>
          <w:rFonts w:hAnsi="標楷體" w:hint="eastAsia"/>
          <w:spacing w:val="-4"/>
        </w:rPr>
        <w:t>該署</w:t>
      </w:r>
      <w:r w:rsidRPr="007847F2">
        <w:rPr>
          <w:rFonts w:hAnsi="標楷體"/>
          <w:spacing w:val="-4"/>
        </w:rPr>
        <w:t>卻從未正視來自</w:t>
      </w:r>
      <w:r w:rsidRPr="007847F2">
        <w:rPr>
          <w:rFonts w:hAnsi="標楷體" w:hint="eastAsia"/>
          <w:spacing w:val="-4"/>
        </w:rPr>
        <w:t>工業製造之冰醋酸可能存有</w:t>
      </w:r>
      <w:r w:rsidRPr="007847F2">
        <w:rPr>
          <w:rFonts w:ascii="新細明體" w:eastAsia="新細明體" w:hAnsi="新細明體" w:hint="eastAsia"/>
          <w:spacing w:val="-4"/>
        </w:rPr>
        <w:t>「</w:t>
      </w:r>
      <w:r w:rsidRPr="007847F2">
        <w:rPr>
          <w:rFonts w:hint="eastAsia"/>
          <w:spacing w:val="-4"/>
        </w:rPr>
        <w:t>甲醇</w:t>
      </w:r>
      <w:r w:rsidRPr="007847F2">
        <w:rPr>
          <w:rFonts w:hAnsi="標楷體" w:hint="eastAsia"/>
          <w:spacing w:val="-4"/>
        </w:rPr>
        <w:t>」</w:t>
      </w:r>
      <w:r w:rsidRPr="007847F2">
        <w:rPr>
          <w:rFonts w:hint="eastAsia"/>
          <w:spacing w:val="-4"/>
        </w:rPr>
        <w:t>及</w:t>
      </w:r>
      <w:r w:rsidRPr="007847F2">
        <w:rPr>
          <w:rFonts w:ascii="新細明體" w:eastAsia="新細明體" w:hAnsi="新細明體" w:hint="eastAsia"/>
          <w:spacing w:val="-4"/>
        </w:rPr>
        <w:t>「</w:t>
      </w:r>
      <w:proofErr w:type="gramStart"/>
      <w:r w:rsidRPr="007847F2">
        <w:rPr>
          <w:rFonts w:hint="eastAsia"/>
          <w:spacing w:val="-4"/>
        </w:rPr>
        <w:t>碘氫酸</w:t>
      </w:r>
      <w:proofErr w:type="gramEnd"/>
      <w:r w:rsidRPr="007847F2">
        <w:rPr>
          <w:rFonts w:hAnsi="標楷體" w:hint="eastAsia"/>
          <w:spacing w:val="-4"/>
        </w:rPr>
        <w:t>」危害人體健康之風險而因應檢討修訂，</w:t>
      </w:r>
      <w:proofErr w:type="gramStart"/>
      <w:r w:rsidRPr="007847F2">
        <w:rPr>
          <w:rFonts w:hAnsi="標楷體" w:hint="eastAsia"/>
          <w:spacing w:val="-4"/>
        </w:rPr>
        <w:t>罔</w:t>
      </w:r>
      <w:proofErr w:type="gramEnd"/>
      <w:r w:rsidRPr="007847F2">
        <w:rPr>
          <w:rFonts w:hAnsi="標楷體" w:hint="eastAsia"/>
          <w:spacing w:val="-4"/>
        </w:rPr>
        <w:t>顧民眾健康安全，</w:t>
      </w:r>
      <w:proofErr w:type="gramStart"/>
      <w:r w:rsidRPr="007847F2">
        <w:rPr>
          <w:rFonts w:hAnsi="標楷體" w:hint="eastAsia"/>
          <w:spacing w:val="-4"/>
        </w:rPr>
        <w:t>均有欠</w:t>
      </w:r>
      <w:proofErr w:type="gramEnd"/>
      <w:r w:rsidRPr="007847F2">
        <w:rPr>
          <w:rFonts w:hAnsi="標楷體" w:hint="eastAsia"/>
          <w:spacing w:val="-4"/>
        </w:rPr>
        <w:t>當。</w:t>
      </w:r>
      <w:proofErr w:type="gramStart"/>
      <w:r w:rsidRPr="007847F2">
        <w:rPr>
          <w:rFonts w:hAnsi="標楷體" w:hint="eastAsia"/>
          <w:spacing w:val="-4"/>
        </w:rPr>
        <w:t>食藥署</w:t>
      </w:r>
      <w:proofErr w:type="gramEnd"/>
      <w:r w:rsidRPr="007847F2">
        <w:rPr>
          <w:rFonts w:hAnsi="標楷體" w:hint="eastAsia"/>
          <w:spacing w:val="-4"/>
        </w:rPr>
        <w:t>變相將工業用原料認同為食用原料，不但</w:t>
      </w:r>
      <w:proofErr w:type="gramStart"/>
      <w:r w:rsidRPr="007847F2">
        <w:rPr>
          <w:rFonts w:hAnsi="標楷體" w:hint="eastAsia"/>
          <w:spacing w:val="-4"/>
        </w:rPr>
        <w:t>未盡替消費者</w:t>
      </w:r>
      <w:proofErr w:type="gramEnd"/>
      <w:r w:rsidRPr="007847F2">
        <w:rPr>
          <w:rFonts w:hAnsi="標楷體" w:hint="eastAsia"/>
          <w:spacing w:val="-4"/>
        </w:rPr>
        <w:t>把關之責，甚至混淆法院之判斷，有替業者脫罪之嫌</w:t>
      </w:r>
      <w:r w:rsidRPr="007847F2">
        <w:rPr>
          <w:rFonts w:hAnsi="標楷體"/>
          <w:spacing w:val="-4"/>
          <w:vertAlign w:val="superscript"/>
        </w:rPr>
        <w:footnoteReference w:id="3"/>
      </w:r>
      <w:r w:rsidRPr="007847F2">
        <w:rPr>
          <w:rFonts w:hAnsi="標楷體" w:hint="eastAsia"/>
          <w:spacing w:val="-4"/>
        </w:rPr>
        <w:t>，實不足取。</w:t>
      </w:r>
    </w:p>
    <w:p w:rsidR="00295665" w:rsidRPr="007847F2" w:rsidRDefault="00295665" w:rsidP="003F2B19">
      <w:pPr>
        <w:pStyle w:val="3"/>
        <w:numPr>
          <w:ilvl w:val="0"/>
          <w:numId w:val="0"/>
        </w:numPr>
        <w:ind w:left="1361" w:firstLineChars="187" w:firstLine="621"/>
        <w:rPr>
          <w:spacing w:val="-4"/>
        </w:rPr>
      </w:pPr>
    </w:p>
    <w:p w:rsidR="00E25849" w:rsidRPr="007847F2" w:rsidRDefault="00295665" w:rsidP="003073C9">
      <w:pPr>
        <w:pStyle w:val="1"/>
      </w:pPr>
      <w:bookmarkStart w:id="56" w:name="_Toc524895648"/>
      <w:bookmarkStart w:id="57" w:name="_Toc524896194"/>
      <w:bookmarkStart w:id="58" w:name="_Toc524896224"/>
      <w:bookmarkStart w:id="59" w:name="_Toc524902734"/>
      <w:bookmarkStart w:id="60" w:name="_Toc525066148"/>
      <w:bookmarkStart w:id="61" w:name="_Toc525070839"/>
      <w:bookmarkStart w:id="62" w:name="_Toc525938379"/>
      <w:bookmarkStart w:id="63" w:name="_Toc525939227"/>
      <w:bookmarkStart w:id="64" w:name="_Toc525939732"/>
      <w:bookmarkStart w:id="65" w:name="_Toc529218272"/>
      <w:bookmarkEnd w:id="55"/>
      <w:r w:rsidRPr="007847F2">
        <w:br w:type="page"/>
      </w:r>
      <w:bookmarkStart w:id="66" w:name="_Toc529222689"/>
      <w:bookmarkStart w:id="67" w:name="_Toc529223111"/>
      <w:bookmarkStart w:id="68" w:name="_Toc529223862"/>
      <w:bookmarkStart w:id="69" w:name="_Toc529228265"/>
      <w:bookmarkStart w:id="70" w:name="_Toc2400395"/>
      <w:bookmarkStart w:id="71" w:name="_Toc4316189"/>
      <w:bookmarkStart w:id="72" w:name="_Toc4473330"/>
      <w:bookmarkStart w:id="73" w:name="_Toc69556897"/>
      <w:bookmarkStart w:id="74" w:name="_Toc69556946"/>
      <w:bookmarkStart w:id="75" w:name="_Toc69609820"/>
      <w:bookmarkStart w:id="76" w:name="_Toc70241816"/>
      <w:bookmarkStart w:id="77" w:name="_Toc70242205"/>
      <w:bookmarkStart w:id="78" w:name="_Toc421794875"/>
      <w:bookmarkStart w:id="79" w:name="_Toc422834160"/>
      <w:r w:rsidRPr="007847F2">
        <w:rPr>
          <w:rFonts w:hint="eastAsia"/>
        </w:rPr>
        <w:lastRenderedPageBreak/>
        <w:t>處理辦法：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051153" w:rsidRPr="007847F2" w:rsidRDefault="00051153" w:rsidP="00FB7770">
      <w:pPr>
        <w:pStyle w:val="2"/>
      </w:pPr>
      <w:bookmarkStart w:id="80" w:name="_Toc524895649"/>
      <w:bookmarkStart w:id="81" w:name="_Toc524896195"/>
      <w:bookmarkStart w:id="82" w:name="_Toc524896225"/>
      <w:bookmarkStart w:id="83" w:name="_Toc70241820"/>
      <w:bookmarkStart w:id="84" w:name="_Toc70242209"/>
      <w:bookmarkStart w:id="85" w:name="_Toc421794876"/>
      <w:bookmarkStart w:id="86" w:name="_Toc421795442"/>
      <w:bookmarkStart w:id="87" w:name="_Toc421796023"/>
      <w:bookmarkStart w:id="88" w:name="_Toc422728958"/>
      <w:bookmarkStart w:id="89" w:name="_Toc422834161"/>
      <w:bookmarkStart w:id="90" w:name="_Toc2400396"/>
      <w:bookmarkStart w:id="91" w:name="_Toc4316190"/>
      <w:bookmarkStart w:id="92" w:name="_Toc4473331"/>
      <w:bookmarkStart w:id="93" w:name="_Toc69556898"/>
      <w:bookmarkStart w:id="94" w:name="_Toc69556947"/>
      <w:bookmarkStart w:id="95" w:name="_Toc69609821"/>
      <w:bookmarkStart w:id="96" w:name="_Toc70241817"/>
      <w:bookmarkStart w:id="97" w:name="_Toc70242206"/>
      <w:bookmarkStart w:id="98" w:name="_Toc524902735"/>
      <w:bookmarkStart w:id="99" w:name="_Toc525066149"/>
      <w:bookmarkStart w:id="100" w:name="_Toc525070840"/>
      <w:bookmarkStart w:id="101" w:name="_Toc525938380"/>
      <w:bookmarkStart w:id="102" w:name="_Toc525939228"/>
      <w:bookmarkStart w:id="103" w:name="_Toc525939733"/>
      <w:bookmarkStart w:id="104" w:name="_Toc529218273"/>
      <w:bookmarkStart w:id="105" w:name="_Toc529222690"/>
      <w:bookmarkStart w:id="106" w:name="_Toc529223112"/>
      <w:bookmarkStart w:id="107" w:name="_Toc529223863"/>
      <w:bookmarkStart w:id="108" w:name="_Toc529228266"/>
      <w:bookmarkEnd w:id="80"/>
      <w:bookmarkEnd w:id="81"/>
      <w:bookmarkEnd w:id="82"/>
      <w:r w:rsidRPr="007847F2">
        <w:rPr>
          <w:rFonts w:hint="eastAsia"/>
        </w:rPr>
        <w:t>調查意見一，提案糾正</w:t>
      </w:r>
      <w:bookmarkEnd w:id="83"/>
      <w:bookmarkEnd w:id="84"/>
      <w:bookmarkEnd w:id="85"/>
      <w:bookmarkEnd w:id="86"/>
      <w:bookmarkEnd w:id="87"/>
      <w:bookmarkEnd w:id="88"/>
      <w:bookmarkEnd w:id="89"/>
      <w:r w:rsidRPr="007847F2">
        <w:rPr>
          <w:rFonts w:hint="eastAsia"/>
        </w:rPr>
        <w:t>衛生</w:t>
      </w:r>
      <w:proofErr w:type="gramStart"/>
      <w:r w:rsidRPr="007847F2">
        <w:rPr>
          <w:rFonts w:hint="eastAsia"/>
        </w:rPr>
        <w:t>福利部及所屬</w:t>
      </w:r>
      <w:proofErr w:type="gramEnd"/>
      <w:r w:rsidRPr="007847F2">
        <w:rPr>
          <w:rFonts w:hint="eastAsia"/>
        </w:rPr>
        <w:t>食品藥物管理署。</w:t>
      </w:r>
      <w:bookmarkStart w:id="109" w:name="_GoBack"/>
      <w:bookmarkEnd w:id="109"/>
    </w:p>
    <w:p w:rsidR="00051153" w:rsidRPr="007847F2" w:rsidRDefault="00051153" w:rsidP="00051153">
      <w:pPr>
        <w:pStyle w:val="2"/>
      </w:pPr>
      <w:r w:rsidRPr="007847F2">
        <w:rPr>
          <w:rFonts w:hint="eastAsia"/>
        </w:rPr>
        <w:t>調查意見二，函請衛生福利部督促所</w:t>
      </w:r>
      <w:bookmarkStart w:id="110" w:name="_Toc421794877"/>
      <w:bookmarkStart w:id="111" w:name="_Toc421795443"/>
      <w:bookmarkStart w:id="112" w:name="_Toc421796024"/>
      <w:bookmarkStart w:id="113" w:name="_Toc422728959"/>
      <w:bookmarkStart w:id="114" w:name="_Toc422834162"/>
      <w:r w:rsidRPr="007847F2">
        <w:rPr>
          <w:rFonts w:hint="eastAsia"/>
        </w:rPr>
        <w:t>屬檢討改進</w:t>
      </w:r>
      <w:proofErr w:type="gramStart"/>
      <w:r w:rsidRPr="007847F2">
        <w:rPr>
          <w:rFonts w:hint="eastAsia"/>
        </w:rPr>
        <w:t>見復。</w:t>
      </w:r>
      <w:proofErr w:type="gramEnd"/>
    </w:p>
    <w:p w:rsidR="001060F8" w:rsidRPr="007847F2" w:rsidRDefault="00E25849" w:rsidP="001060F8">
      <w:pPr>
        <w:pStyle w:val="2"/>
      </w:pPr>
      <w:bookmarkStart w:id="115" w:name="_Toc2400397"/>
      <w:bookmarkStart w:id="116" w:name="_Toc4316191"/>
      <w:bookmarkStart w:id="117" w:name="_Toc4473332"/>
      <w:bookmarkStart w:id="118" w:name="_Toc69556901"/>
      <w:bookmarkStart w:id="119" w:name="_Toc69556950"/>
      <w:bookmarkStart w:id="120" w:name="_Toc69609824"/>
      <w:bookmarkStart w:id="121" w:name="_Toc70241822"/>
      <w:bookmarkStart w:id="122" w:name="_Toc70242211"/>
      <w:bookmarkStart w:id="123" w:name="_Toc421794881"/>
      <w:bookmarkStart w:id="124" w:name="_Toc421795447"/>
      <w:bookmarkStart w:id="125" w:name="_Toc421796028"/>
      <w:bookmarkStart w:id="126" w:name="_Toc422728963"/>
      <w:bookmarkStart w:id="127" w:name="_Toc422834166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10"/>
      <w:bookmarkEnd w:id="111"/>
      <w:bookmarkEnd w:id="112"/>
      <w:bookmarkEnd w:id="113"/>
      <w:bookmarkEnd w:id="114"/>
      <w:r w:rsidRPr="007847F2">
        <w:rPr>
          <w:rFonts w:hint="eastAsia"/>
        </w:rPr>
        <w:t>檢</w:t>
      </w:r>
      <w:proofErr w:type="gramStart"/>
      <w:r w:rsidRPr="007847F2">
        <w:rPr>
          <w:rFonts w:hint="eastAsia"/>
        </w:rPr>
        <w:t>附派查函</w:t>
      </w:r>
      <w:proofErr w:type="gramEnd"/>
      <w:r w:rsidRPr="007847F2">
        <w:rPr>
          <w:rFonts w:hint="eastAsia"/>
        </w:rPr>
        <w:t>及相關附件，送請</w:t>
      </w:r>
      <w:r w:rsidR="005F1B56" w:rsidRPr="007847F2">
        <w:rPr>
          <w:rFonts w:hint="eastAsia"/>
        </w:rPr>
        <w:t>內政</w:t>
      </w:r>
      <w:r w:rsidRPr="007847F2">
        <w:rPr>
          <w:rFonts w:hint="eastAsia"/>
        </w:rPr>
        <w:t>及</w:t>
      </w:r>
      <w:r w:rsidR="005F1B56" w:rsidRPr="007847F2">
        <w:rPr>
          <w:rFonts w:hint="eastAsia"/>
        </w:rPr>
        <w:t>少數民族</w:t>
      </w:r>
      <w:r w:rsidRPr="007847F2">
        <w:rPr>
          <w:rFonts w:hint="eastAsia"/>
        </w:rPr>
        <w:t>委員會</w:t>
      </w:r>
      <w:r w:rsidRPr="007847F2">
        <w:rPr>
          <w:rFonts w:hAnsi="標楷體" w:hint="eastAsia"/>
        </w:rPr>
        <w:t>議</w:t>
      </w:r>
      <w:r w:rsidRPr="007847F2">
        <w:rPr>
          <w:rFonts w:hint="eastAsia"/>
        </w:rPr>
        <w:t>處理。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0F3D23" w:rsidRPr="007847F2" w:rsidRDefault="000F3D23" w:rsidP="000F3D23">
      <w:pPr>
        <w:pStyle w:val="2"/>
        <w:numPr>
          <w:ilvl w:val="0"/>
          <w:numId w:val="0"/>
        </w:numPr>
        <w:ind w:left="1021"/>
        <w:rPr>
          <w:spacing w:val="12"/>
          <w:kern w:val="0"/>
          <w:sz w:val="40"/>
        </w:rPr>
      </w:pPr>
    </w:p>
    <w:p w:rsidR="001060F8" w:rsidRPr="007847F2" w:rsidRDefault="000F3D23" w:rsidP="000F3D23">
      <w:pPr>
        <w:pStyle w:val="2"/>
        <w:numPr>
          <w:ilvl w:val="0"/>
          <w:numId w:val="0"/>
        </w:numPr>
        <w:ind w:left="1021"/>
        <w:rPr>
          <w:sz w:val="40"/>
          <w:szCs w:val="40"/>
        </w:rPr>
      </w:pPr>
      <w:r w:rsidRPr="007847F2">
        <w:rPr>
          <w:rFonts w:hint="eastAsia"/>
          <w:spacing w:val="12"/>
          <w:kern w:val="0"/>
          <w:sz w:val="40"/>
        </w:rPr>
        <w:t xml:space="preserve">          </w:t>
      </w:r>
      <w:r w:rsidR="00E25849" w:rsidRPr="007847F2">
        <w:rPr>
          <w:rFonts w:hint="eastAsia"/>
          <w:spacing w:val="12"/>
          <w:kern w:val="0"/>
          <w:sz w:val="40"/>
          <w:szCs w:val="40"/>
        </w:rPr>
        <w:t>調查委員：</w:t>
      </w:r>
      <w:r w:rsidR="001060F8" w:rsidRPr="007847F2">
        <w:rPr>
          <w:rFonts w:hint="eastAsia"/>
          <w:spacing w:val="12"/>
          <w:kern w:val="0"/>
          <w:sz w:val="40"/>
          <w:szCs w:val="40"/>
        </w:rPr>
        <w:t>田秋</w:t>
      </w:r>
      <w:proofErr w:type="gramStart"/>
      <w:r w:rsidR="001060F8" w:rsidRPr="007847F2">
        <w:rPr>
          <w:rFonts w:hint="eastAsia"/>
          <w:spacing w:val="12"/>
          <w:kern w:val="0"/>
          <w:sz w:val="40"/>
          <w:szCs w:val="40"/>
        </w:rPr>
        <w:t>堇</w:t>
      </w:r>
      <w:proofErr w:type="gramEnd"/>
      <w:r w:rsidR="001060F8" w:rsidRPr="007847F2">
        <w:rPr>
          <w:rFonts w:hint="eastAsia"/>
          <w:spacing w:val="12"/>
          <w:kern w:val="0"/>
          <w:sz w:val="40"/>
          <w:szCs w:val="40"/>
        </w:rPr>
        <w:t>、蔡崇義</w:t>
      </w:r>
    </w:p>
    <w:p w:rsidR="00E25849" w:rsidRPr="007847F2" w:rsidRDefault="00E25849" w:rsidP="003073C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7847F2" w:rsidRDefault="00E25849" w:rsidP="003073C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7847F2" w:rsidRDefault="00E25849" w:rsidP="003073C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B77D18" w:rsidRPr="007847F2" w:rsidRDefault="00B77D18" w:rsidP="004B6108">
      <w:pPr>
        <w:pStyle w:val="af0"/>
        <w:kinsoku/>
        <w:autoSpaceDE w:val="0"/>
        <w:ind w:left="1020" w:hanging="1020"/>
      </w:pPr>
      <w:bookmarkStart w:id="128" w:name="_Toc421794883"/>
      <w:bookmarkStart w:id="129" w:name="_Toc421794885"/>
      <w:bookmarkEnd w:id="128"/>
      <w:bookmarkEnd w:id="129"/>
    </w:p>
    <w:sectPr w:rsidR="00B77D18" w:rsidRPr="007847F2" w:rsidSect="00892A21">
      <w:footerReference w:type="default" r:id="rId8"/>
      <w:pgSz w:w="11907" w:h="16840" w:code="9"/>
      <w:pgMar w:top="1531" w:right="1418" w:bottom="1418" w:left="1418" w:header="851" w:footer="851" w:gutter="0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B4" w:rsidRDefault="007417B4">
      <w:r>
        <w:separator/>
      </w:r>
    </w:p>
  </w:endnote>
  <w:endnote w:type="continuationSeparator" w:id="0">
    <w:p w:rsidR="007417B4" w:rsidRDefault="0074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F54" w:rsidRDefault="00461F54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7847F2">
      <w:rPr>
        <w:rStyle w:val="ac"/>
        <w:noProof/>
        <w:sz w:val="24"/>
      </w:rPr>
      <w:t>13</w:t>
    </w:r>
    <w:r>
      <w:rPr>
        <w:rStyle w:val="ac"/>
        <w:sz w:val="24"/>
      </w:rPr>
      <w:fldChar w:fldCharType="end"/>
    </w:r>
  </w:p>
  <w:p w:rsidR="00461F54" w:rsidRDefault="00461F54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B4" w:rsidRDefault="007417B4">
      <w:r>
        <w:separator/>
      </w:r>
    </w:p>
  </w:footnote>
  <w:footnote w:type="continuationSeparator" w:id="0">
    <w:p w:rsidR="007417B4" w:rsidRDefault="007417B4">
      <w:r>
        <w:continuationSeparator/>
      </w:r>
    </w:p>
  </w:footnote>
  <w:footnote w:id="1">
    <w:p w:rsidR="00461F54" w:rsidRPr="00CC52AA" w:rsidRDefault="00461F54">
      <w:pPr>
        <w:pStyle w:val="afd"/>
        <w:rPr>
          <w:color w:val="FF0000"/>
        </w:rPr>
      </w:pPr>
      <w:r w:rsidRPr="007847F2">
        <w:rPr>
          <w:rStyle w:val="aff"/>
        </w:rPr>
        <w:footnoteRef/>
      </w:r>
      <w:r w:rsidRPr="007847F2">
        <w:t xml:space="preserve"> </w:t>
      </w:r>
      <w:r w:rsidRPr="007847F2">
        <w:rPr>
          <w:rFonts w:hint="eastAsia"/>
        </w:rPr>
        <w:t>有關引發本院調查之臺灣高等法院</w:t>
      </w:r>
      <w:proofErr w:type="gramStart"/>
      <w:r w:rsidRPr="007847F2">
        <w:rPr>
          <w:rFonts w:hint="eastAsia"/>
        </w:rPr>
        <w:t>106</w:t>
      </w:r>
      <w:proofErr w:type="gramEnd"/>
      <w:r w:rsidRPr="007847F2">
        <w:rPr>
          <w:rFonts w:hint="eastAsia"/>
        </w:rPr>
        <w:t>年度上訴字第2675號被告無罪之判決，業經最高法院</w:t>
      </w:r>
      <w:proofErr w:type="gramStart"/>
      <w:r w:rsidRPr="007847F2">
        <w:rPr>
          <w:rFonts w:hint="eastAsia"/>
        </w:rPr>
        <w:t>107</w:t>
      </w:r>
      <w:proofErr w:type="gramEnd"/>
      <w:r w:rsidRPr="007847F2">
        <w:rPr>
          <w:rFonts w:hint="eastAsia"/>
        </w:rPr>
        <w:t>年度台上字第3430號判決撤銷發回更審，目前法院審理中。</w:t>
      </w:r>
    </w:p>
  </w:footnote>
  <w:footnote w:id="2">
    <w:p w:rsidR="00461F54" w:rsidRPr="00AF1CC7" w:rsidRDefault="00461F54" w:rsidP="005A06B8">
      <w:pPr>
        <w:pStyle w:val="afd"/>
        <w:rPr>
          <w:color w:val="000000" w:themeColor="text1"/>
        </w:rPr>
      </w:pPr>
      <w:r w:rsidRPr="00AF1CC7">
        <w:rPr>
          <w:rStyle w:val="aff"/>
          <w:color w:val="000000" w:themeColor="text1"/>
        </w:rPr>
        <w:footnoteRef/>
      </w:r>
      <w:r w:rsidRPr="00AF1CC7">
        <w:rPr>
          <w:color w:val="000000" w:themeColor="text1"/>
        </w:rPr>
        <w:t xml:space="preserve"> </w:t>
      </w:r>
      <w:proofErr w:type="gramStart"/>
      <w:r w:rsidRPr="00AF1CC7">
        <w:rPr>
          <w:rFonts w:hint="eastAsia"/>
          <w:color w:val="000000" w:themeColor="text1"/>
        </w:rPr>
        <w:t>食藥署</w:t>
      </w:r>
      <w:proofErr w:type="gramEnd"/>
      <w:r w:rsidRPr="00AF1CC7">
        <w:rPr>
          <w:rFonts w:hint="eastAsia"/>
          <w:color w:val="000000" w:themeColor="text1"/>
        </w:rPr>
        <w:t>107</w:t>
      </w:r>
      <w:r w:rsidRPr="00AF1CC7">
        <w:rPr>
          <w:rFonts w:hint="eastAsia"/>
          <w:color w:val="000000" w:themeColor="text1"/>
        </w:rPr>
        <w:t>年4月30日FDA</w:t>
      </w:r>
      <w:proofErr w:type="gramStart"/>
      <w:r w:rsidRPr="00AF1CC7">
        <w:rPr>
          <w:rFonts w:hint="eastAsia"/>
          <w:color w:val="000000" w:themeColor="text1"/>
        </w:rPr>
        <w:t>食字第1079011265號</w:t>
      </w:r>
      <w:proofErr w:type="gramEnd"/>
      <w:r w:rsidRPr="00AF1CC7">
        <w:rPr>
          <w:rFonts w:hint="eastAsia"/>
          <w:color w:val="000000" w:themeColor="text1"/>
        </w:rPr>
        <w:t>函及同年</w:t>
      </w:r>
      <w:proofErr w:type="gramStart"/>
      <w:r w:rsidRPr="00AF1CC7">
        <w:rPr>
          <w:rFonts w:hint="eastAsia"/>
          <w:color w:val="000000" w:themeColor="text1"/>
        </w:rPr>
        <w:t>5月22日同字第1079015388號</w:t>
      </w:r>
      <w:proofErr w:type="gramEnd"/>
      <w:r w:rsidRPr="00AF1CC7">
        <w:rPr>
          <w:rFonts w:hint="eastAsia"/>
          <w:color w:val="000000" w:themeColor="text1"/>
        </w:rPr>
        <w:t>函。</w:t>
      </w:r>
    </w:p>
  </w:footnote>
  <w:footnote w:id="3">
    <w:p w:rsidR="00461F54" w:rsidRPr="00AF1CC7" w:rsidRDefault="00461F54" w:rsidP="003477E6">
      <w:pPr>
        <w:pStyle w:val="afd"/>
        <w:rPr>
          <w:color w:val="000000" w:themeColor="text1"/>
        </w:rPr>
      </w:pPr>
      <w:r w:rsidRPr="00AF1CC7">
        <w:rPr>
          <w:rStyle w:val="aff"/>
          <w:color w:val="000000" w:themeColor="text1"/>
        </w:rPr>
        <w:footnoteRef/>
      </w:r>
      <w:r w:rsidRPr="00AF1CC7">
        <w:rPr>
          <w:color w:val="000000" w:themeColor="text1"/>
        </w:rPr>
        <w:t xml:space="preserve"> </w:t>
      </w:r>
      <w:r w:rsidRPr="00AF1CC7">
        <w:rPr>
          <w:rFonts w:hint="eastAsia"/>
          <w:color w:val="000000" w:themeColor="text1"/>
        </w:rPr>
        <w:t>如臺灣彰化地方法院</w:t>
      </w:r>
      <w:proofErr w:type="gramStart"/>
      <w:r w:rsidRPr="00AF1CC7">
        <w:rPr>
          <w:rFonts w:hint="eastAsia"/>
          <w:color w:val="000000" w:themeColor="text1"/>
        </w:rPr>
        <w:t>104</w:t>
      </w:r>
      <w:r w:rsidRPr="00AF1CC7">
        <w:rPr>
          <w:rFonts w:hint="eastAsia"/>
          <w:color w:val="000000" w:themeColor="text1"/>
        </w:rPr>
        <w:t>年度訴字第247號</w:t>
      </w:r>
      <w:proofErr w:type="gramEnd"/>
      <w:r w:rsidRPr="00AF1CC7">
        <w:rPr>
          <w:rFonts w:hint="eastAsia"/>
          <w:color w:val="000000" w:themeColor="text1"/>
        </w:rPr>
        <w:t>、臺灣高等法院臺中分院</w:t>
      </w:r>
      <w:proofErr w:type="gramStart"/>
      <w:r w:rsidRPr="00AF1CC7">
        <w:rPr>
          <w:rFonts w:hint="eastAsia"/>
          <w:color w:val="000000" w:themeColor="text1"/>
        </w:rPr>
        <w:t>106</w:t>
      </w:r>
      <w:proofErr w:type="gramEnd"/>
      <w:r w:rsidRPr="00AF1CC7">
        <w:rPr>
          <w:rFonts w:hint="eastAsia"/>
          <w:color w:val="000000" w:themeColor="text1"/>
        </w:rPr>
        <w:t>年度上訴字第983號判決，因</w:t>
      </w:r>
      <w:proofErr w:type="gramStart"/>
      <w:r w:rsidRPr="00AF1CC7">
        <w:rPr>
          <w:rFonts w:hint="eastAsia"/>
          <w:color w:val="000000" w:themeColor="text1"/>
        </w:rPr>
        <w:t>食藥署函</w:t>
      </w:r>
      <w:proofErr w:type="gramEnd"/>
      <w:r w:rsidRPr="00AF1CC7">
        <w:rPr>
          <w:rFonts w:hint="eastAsia"/>
          <w:color w:val="000000" w:themeColor="text1"/>
        </w:rPr>
        <w:t>文法院說明食安法並無所謂工業用成分之定義、規範或區分等情，因而遭判決無罪，經最高法院</w:t>
      </w:r>
      <w:proofErr w:type="gramStart"/>
      <w:r w:rsidRPr="00AF1CC7">
        <w:rPr>
          <w:rFonts w:hint="eastAsia"/>
          <w:color w:val="000000" w:themeColor="text1"/>
        </w:rPr>
        <w:t>107</w:t>
      </w:r>
      <w:proofErr w:type="gramEnd"/>
      <w:r w:rsidRPr="00AF1CC7">
        <w:rPr>
          <w:rFonts w:hint="eastAsia"/>
          <w:color w:val="000000" w:themeColor="text1"/>
        </w:rPr>
        <w:t>年度台上字第1585號判決以罕見理由指摘，說明</w:t>
      </w:r>
      <w:proofErr w:type="gramStart"/>
      <w:r w:rsidRPr="00AF1CC7">
        <w:rPr>
          <w:rFonts w:hint="eastAsia"/>
          <w:color w:val="000000" w:themeColor="text1"/>
        </w:rPr>
        <w:t>碳酸鎂既為</w:t>
      </w:r>
      <w:proofErr w:type="gramEnd"/>
      <w:r w:rsidRPr="00AF1CC7">
        <w:rPr>
          <w:rFonts w:hint="eastAsia"/>
          <w:color w:val="000000" w:themeColor="text1"/>
        </w:rPr>
        <w:t>工業用，非可用於食品，已無列入「食品添加物使用範圍及限量暨規格標準」之資格，至</w:t>
      </w:r>
      <w:proofErr w:type="gramStart"/>
      <w:r w:rsidRPr="00AF1CC7">
        <w:rPr>
          <w:rFonts w:hint="eastAsia"/>
          <w:color w:val="000000" w:themeColor="text1"/>
        </w:rPr>
        <w:t>有無食安</w:t>
      </w:r>
      <w:proofErr w:type="gramEnd"/>
      <w:r w:rsidRPr="00AF1CC7">
        <w:rPr>
          <w:rFonts w:hint="eastAsia"/>
          <w:color w:val="000000" w:themeColor="text1"/>
        </w:rPr>
        <w:t>法第44條、48條行政罰之適用，與本</w:t>
      </w:r>
      <w:proofErr w:type="gramStart"/>
      <w:r w:rsidRPr="00AF1CC7">
        <w:rPr>
          <w:rFonts w:hint="eastAsia"/>
          <w:color w:val="000000" w:themeColor="text1"/>
        </w:rPr>
        <w:t>案成罪與否</w:t>
      </w:r>
      <w:proofErr w:type="gramEnd"/>
      <w:r w:rsidRPr="00AF1CC7">
        <w:rPr>
          <w:rFonts w:hint="eastAsia"/>
          <w:color w:val="000000" w:themeColor="text1"/>
        </w:rPr>
        <w:t>無關，嗣後經非常上訴，將判決撤銷。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25A2131C"/>
    <w:lvl w:ilvl="0">
      <w:start w:val="1"/>
      <w:numFmt w:val="ideographLegalTraditional"/>
      <w:pStyle w:val="1"/>
      <w:suff w:val="nothing"/>
      <w:lvlText w:val="%1、"/>
      <w:lvlJc w:val="left"/>
      <w:pPr>
        <w:ind w:left="11454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39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2D6AF4"/>
    <w:multiLevelType w:val="hybridMultilevel"/>
    <w:tmpl w:val="79285F56"/>
    <w:lvl w:ilvl="0" w:tplc="4D424C2A">
      <w:start w:val="1"/>
      <w:numFmt w:val="decimal"/>
      <w:suff w:val="nothing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A3745C"/>
    <w:multiLevelType w:val="hybridMultilevel"/>
    <w:tmpl w:val="A20ADA42"/>
    <w:lvl w:ilvl="0" w:tplc="6024B3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3725A5"/>
    <w:multiLevelType w:val="hybridMultilevel"/>
    <w:tmpl w:val="5840E91A"/>
    <w:lvl w:ilvl="0" w:tplc="CD62CF90">
      <w:start w:val="1"/>
      <w:numFmt w:val="decimal"/>
      <w:suff w:val="nothing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9"/>
  </w:num>
  <w:num w:numId="34">
    <w:abstractNumId w:val="3"/>
  </w:num>
  <w:num w:numId="35">
    <w:abstractNumId w:val="10"/>
  </w:num>
  <w:num w:numId="36">
    <w:abstractNumId w:val="1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</w:num>
  <w:num w:numId="54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5F1"/>
    <w:rsid w:val="0000290A"/>
    <w:rsid w:val="000041C8"/>
    <w:rsid w:val="00006961"/>
    <w:rsid w:val="000112BF"/>
    <w:rsid w:val="00012233"/>
    <w:rsid w:val="00016D27"/>
    <w:rsid w:val="00017318"/>
    <w:rsid w:val="000206BF"/>
    <w:rsid w:val="00021FB2"/>
    <w:rsid w:val="0002287F"/>
    <w:rsid w:val="0002420E"/>
    <w:rsid w:val="000246F7"/>
    <w:rsid w:val="0003114D"/>
    <w:rsid w:val="000317F6"/>
    <w:rsid w:val="00032E1E"/>
    <w:rsid w:val="00036D76"/>
    <w:rsid w:val="00046C5C"/>
    <w:rsid w:val="0004721B"/>
    <w:rsid w:val="00050EF3"/>
    <w:rsid w:val="00051153"/>
    <w:rsid w:val="0005203F"/>
    <w:rsid w:val="00054B8D"/>
    <w:rsid w:val="00056058"/>
    <w:rsid w:val="00057785"/>
    <w:rsid w:val="00057F32"/>
    <w:rsid w:val="00062A25"/>
    <w:rsid w:val="000717A0"/>
    <w:rsid w:val="00073CB5"/>
    <w:rsid w:val="00073E1E"/>
    <w:rsid w:val="0007425C"/>
    <w:rsid w:val="00077553"/>
    <w:rsid w:val="00082D73"/>
    <w:rsid w:val="000851A2"/>
    <w:rsid w:val="0009352E"/>
    <w:rsid w:val="00094896"/>
    <w:rsid w:val="00095F74"/>
    <w:rsid w:val="00096B96"/>
    <w:rsid w:val="000A145F"/>
    <w:rsid w:val="000A2F3F"/>
    <w:rsid w:val="000A3222"/>
    <w:rsid w:val="000A41F6"/>
    <w:rsid w:val="000A58FD"/>
    <w:rsid w:val="000B0B4A"/>
    <w:rsid w:val="000B22A6"/>
    <w:rsid w:val="000B279A"/>
    <w:rsid w:val="000B4E38"/>
    <w:rsid w:val="000B61D2"/>
    <w:rsid w:val="000B70A7"/>
    <w:rsid w:val="000C2986"/>
    <w:rsid w:val="000C495F"/>
    <w:rsid w:val="000C4D2D"/>
    <w:rsid w:val="000C6118"/>
    <w:rsid w:val="000D0227"/>
    <w:rsid w:val="000D1FDD"/>
    <w:rsid w:val="000D39C1"/>
    <w:rsid w:val="000E4DC3"/>
    <w:rsid w:val="000E5375"/>
    <w:rsid w:val="000E6431"/>
    <w:rsid w:val="000F21A5"/>
    <w:rsid w:val="000F3D23"/>
    <w:rsid w:val="000F5D05"/>
    <w:rsid w:val="001012C1"/>
    <w:rsid w:val="0010277F"/>
    <w:rsid w:val="00102B9F"/>
    <w:rsid w:val="001060F8"/>
    <w:rsid w:val="00112637"/>
    <w:rsid w:val="00112ABC"/>
    <w:rsid w:val="001137F2"/>
    <w:rsid w:val="0012001E"/>
    <w:rsid w:val="0012392E"/>
    <w:rsid w:val="00126A55"/>
    <w:rsid w:val="00133F08"/>
    <w:rsid w:val="001345E6"/>
    <w:rsid w:val="00135B30"/>
    <w:rsid w:val="00136F78"/>
    <w:rsid w:val="001378B0"/>
    <w:rsid w:val="00140762"/>
    <w:rsid w:val="00142E00"/>
    <w:rsid w:val="00144979"/>
    <w:rsid w:val="00151821"/>
    <w:rsid w:val="00152793"/>
    <w:rsid w:val="00153B7E"/>
    <w:rsid w:val="001545A9"/>
    <w:rsid w:val="001637C7"/>
    <w:rsid w:val="0016480E"/>
    <w:rsid w:val="00172886"/>
    <w:rsid w:val="0017389F"/>
    <w:rsid w:val="00174255"/>
    <w:rsid w:val="00174297"/>
    <w:rsid w:val="001760F7"/>
    <w:rsid w:val="00180E06"/>
    <w:rsid w:val="001817B3"/>
    <w:rsid w:val="00183014"/>
    <w:rsid w:val="001857D9"/>
    <w:rsid w:val="00193035"/>
    <w:rsid w:val="00194BC4"/>
    <w:rsid w:val="001959C2"/>
    <w:rsid w:val="001966D0"/>
    <w:rsid w:val="001A51E3"/>
    <w:rsid w:val="001A7851"/>
    <w:rsid w:val="001A7968"/>
    <w:rsid w:val="001A7DE2"/>
    <w:rsid w:val="001B2E98"/>
    <w:rsid w:val="001B3483"/>
    <w:rsid w:val="001B3C1E"/>
    <w:rsid w:val="001B4494"/>
    <w:rsid w:val="001B725E"/>
    <w:rsid w:val="001C0D8B"/>
    <w:rsid w:val="001C0DA8"/>
    <w:rsid w:val="001C155F"/>
    <w:rsid w:val="001C3E3A"/>
    <w:rsid w:val="001C7D21"/>
    <w:rsid w:val="001D0774"/>
    <w:rsid w:val="001D49EC"/>
    <w:rsid w:val="001D4AD7"/>
    <w:rsid w:val="001E0D8A"/>
    <w:rsid w:val="001E24A1"/>
    <w:rsid w:val="001E5C35"/>
    <w:rsid w:val="001E67BA"/>
    <w:rsid w:val="001E74C2"/>
    <w:rsid w:val="001F5A48"/>
    <w:rsid w:val="001F6260"/>
    <w:rsid w:val="001F6339"/>
    <w:rsid w:val="00200007"/>
    <w:rsid w:val="002030A5"/>
    <w:rsid w:val="00203131"/>
    <w:rsid w:val="00205FE4"/>
    <w:rsid w:val="0021204C"/>
    <w:rsid w:val="00212E88"/>
    <w:rsid w:val="00213C9C"/>
    <w:rsid w:val="00214C3C"/>
    <w:rsid w:val="002161F4"/>
    <w:rsid w:val="00216A03"/>
    <w:rsid w:val="0022009E"/>
    <w:rsid w:val="00223241"/>
    <w:rsid w:val="0022425C"/>
    <w:rsid w:val="0022464C"/>
    <w:rsid w:val="002246DE"/>
    <w:rsid w:val="002338DC"/>
    <w:rsid w:val="00235ABD"/>
    <w:rsid w:val="002366D1"/>
    <w:rsid w:val="00244912"/>
    <w:rsid w:val="00247174"/>
    <w:rsid w:val="00252BC4"/>
    <w:rsid w:val="00254014"/>
    <w:rsid w:val="00257277"/>
    <w:rsid w:val="00261114"/>
    <w:rsid w:val="0026504D"/>
    <w:rsid w:val="002671FF"/>
    <w:rsid w:val="002711FC"/>
    <w:rsid w:val="002723EF"/>
    <w:rsid w:val="00273A2F"/>
    <w:rsid w:val="00277B37"/>
    <w:rsid w:val="00280986"/>
    <w:rsid w:val="00281ECE"/>
    <w:rsid w:val="00282089"/>
    <w:rsid w:val="002831C7"/>
    <w:rsid w:val="002840C6"/>
    <w:rsid w:val="00295174"/>
    <w:rsid w:val="00295665"/>
    <w:rsid w:val="00296172"/>
    <w:rsid w:val="00296B92"/>
    <w:rsid w:val="002A2C22"/>
    <w:rsid w:val="002A78DB"/>
    <w:rsid w:val="002B02EB"/>
    <w:rsid w:val="002B35C7"/>
    <w:rsid w:val="002B6027"/>
    <w:rsid w:val="002B61A1"/>
    <w:rsid w:val="002B7096"/>
    <w:rsid w:val="002C0602"/>
    <w:rsid w:val="002C129E"/>
    <w:rsid w:val="002D26F0"/>
    <w:rsid w:val="002D5C16"/>
    <w:rsid w:val="002D6E34"/>
    <w:rsid w:val="002E332C"/>
    <w:rsid w:val="002E7AA4"/>
    <w:rsid w:val="002F0574"/>
    <w:rsid w:val="002F3DFF"/>
    <w:rsid w:val="002F4BE6"/>
    <w:rsid w:val="002F5E05"/>
    <w:rsid w:val="00300900"/>
    <w:rsid w:val="003021B9"/>
    <w:rsid w:val="00304578"/>
    <w:rsid w:val="00306DCE"/>
    <w:rsid w:val="003073C9"/>
    <w:rsid w:val="0031545E"/>
    <w:rsid w:val="00315A16"/>
    <w:rsid w:val="00317053"/>
    <w:rsid w:val="003203E8"/>
    <w:rsid w:val="0032109C"/>
    <w:rsid w:val="00322B45"/>
    <w:rsid w:val="00322B7E"/>
    <w:rsid w:val="00323809"/>
    <w:rsid w:val="00323C06"/>
    <w:rsid w:val="00323D41"/>
    <w:rsid w:val="00325413"/>
    <w:rsid w:val="00325414"/>
    <w:rsid w:val="003302F1"/>
    <w:rsid w:val="00342E17"/>
    <w:rsid w:val="0034470E"/>
    <w:rsid w:val="003477E6"/>
    <w:rsid w:val="00347AD2"/>
    <w:rsid w:val="00352DB0"/>
    <w:rsid w:val="003534F5"/>
    <w:rsid w:val="00361063"/>
    <w:rsid w:val="00362E2F"/>
    <w:rsid w:val="0037094A"/>
    <w:rsid w:val="00371688"/>
    <w:rsid w:val="00371ED3"/>
    <w:rsid w:val="00372FFC"/>
    <w:rsid w:val="0037470D"/>
    <w:rsid w:val="0037728A"/>
    <w:rsid w:val="00380B7D"/>
    <w:rsid w:val="00381A99"/>
    <w:rsid w:val="003829C2"/>
    <w:rsid w:val="003830B2"/>
    <w:rsid w:val="00384724"/>
    <w:rsid w:val="003866D9"/>
    <w:rsid w:val="003919B7"/>
    <w:rsid w:val="00391D57"/>
    <w:rsid w:val="00392292"/>
    <w:rsid w:val="003955CE"/>
    <w:rsid w:val="003969C1"/>
    <w:rsid w:val="003A56A8"/>
    <w:rsid w:val="003A7252"/>
    <w:rsid w:val="003B05E9"/>
    <w:rsid w:val="003B1017"/>
    <w:rsid w:val="003B3C07"/>
    <w:rsid w:val="003B45BA"/>
    <w:rsid w:val="003B4DDC"/>
    <w:rsid w:val="003B6775"/>
    <w:rsid w:val="003C3E41"/>
    <w:rsid w:val="003C5FE2"/>
    <w:rsid w:val="003D05FB"/>
    <w:rsid w:val="003D1B16"/>
    <w:rsid w:val="003D44AF"/>
    <w:rsid w:val="003D45BF"/>
    <w:rsid w:val="003D508A"/>
    <w:rsid w:val="003D537F"/>
    <w:rsid w:val="003D7B75"/>
    <w:rsid w:val="003E0208"/>
    <w:rsid w:val="003E0E91"/>
    <w:rsid w:val="003E4B57"/>
    <w:rsid w:val="003F24AB"/>
    <w:rsid w:val="003F27E1"/>
    <w:rsid w:val="003F2B19"/>
    <w:rsid w:val="003F2D3E"/>
    <w:rsid w:val="003F437A"/>
    <w:rsid w:val="003F57CA"/>
    <w:rsid w:val="003F5C2B"/>
    <w:rsid w:val="00401528"/>
    <w:rsid w:val="004023E9"/>
    <w:rsid w:val="0040454A"/>
    <w:rsid w:val="004066E2"/>
    <w:rsid w:val="00413F83"/>
    <w:rsid w:val="0041490C"/>
    <w:rsid w:val="004149EC"/>
    <w:rsid w:val="00416191"/>
    <w:rsid w:val="00416721"/>
    <w:rsid w:val="004170FC"/>
    <w:rsid w:val="00421EF0"/>
    <w:rsid w:val="004224FA"/>
    <w:rsid w:val="00423D07"/>
    <w:rsid w:val="00424544"/>
    <w:rsid w:val="004248EF"/>
    <w:rsid w:val="00427919"/>
    <w:rsid w:val="00435981"/>
    <w:rsid w:val="004370F4"/>
    <w:rsid w:val="0044346F"/>
    <w:rsid w:val="00444087"/>
    <w:rsid w:val="00460A69"/>
    <w:rsid w:val="00461F54"/>
    <w:rsid w:val="0046226E"/>
    <w:rsid w:val="00463AB9"/>
    <w:rsid w:val="0046520A"/>
    <w:rsid w:val="004663BD"/>
    <w:rsid w:val="004672AB"/>
    <w:rsid w:val="00470AAB"/>
    <w:rsid w:val="004714FE"/>
    <w:rsid w:val="00471C37"/>
    <w:rsid w:val="004753B6"/>
    <w:rsid w:val="00475E73"/>
    <w:rsid w:val="00477BAA"/>
    <w:rsid w:val="0048223A"/>
    <w:rsid w:val="00482EDA"/>
    <w:rsid w:val="00483A13"/>
    <w:rsid w:val="00485CE5"/>
    <w:rsid w:val="0048688E"/>
    <w:rsid w:val="00491475"/>
    <w:rsid w:val="0049421E"/>
    <w:rsid w:val="00495053"/>
    <w:rsid w:val="004958B4"/>
    <w:rsid w:val="004A0E7D"/>
    <w:rsid w:val="004A1F59"/>
    <w:rsid w:val="004A218B"/>
    <w:rsid w:val="004A29BE"/>
    <w:rsid w:val="004A3225"/>
    <w:rsid w:val="004A33EE"/>
    <w:rsid w:val="004A3AA8"/>
    <w:rsid w:val="004A6166"/>
    <w:rsid w:val="004A7DBD"/>
    <w:rsid w:val="004B13C7"/>
    <w:rsid w:val="004B4B99"/>
    <w:rsid w:val="004B5E3A"/>
    <w:rsid w:val="004B6108"/>
    <w:rsid w:val="004B778F"/>
    <w:rsid w:val="004D141F"/>
    <w:rsid w:val="004D2742"/>
    <w:rsid w:val="004D6310"/>
    <w:rsid w:val="004E0062"/>
    <w:rsid w:val="004E05A1"/>
    <w:rsid w:val="004F1274"/>
    <w:rsid w:val="004F237D"/>
    <w:rsid w:val="004F3152"/>
    <w:rsid w:val="004F5E57"/>
    <w:rsid w:val="004F6710"/>
    <w:rsid w:val="0050002D"/>
    <w:rsid w:val="00500C3E"/>
    <w:rsid w:val="00501A04"/>
    <w:rsid w:val="00502849"/>
    <w:rsid w:val="00502ADC"/>
    <w:rsid w:val="005030FB"/>
    <w:rsid w:val="00504334"/>
    <w:rsid w:val="0050498D"/>
    <w:rsid w:val="00504ECB"/>
    <w:rsid w:val="0050735C"/>
    <w:rsid w:val="005104D7"/>
    <w:rsid w:val="00510B9E"/>
    <w:rsid w:val="0051225B"/>
    <w:rsid w:val="0052171B"/>
    <w:rsid w:val="00525CB2"/>
    <w:rsid w:val="00525E72"/>
    <w:rsid w:val="005308F8"/>
    <w:rsid w:val="00531AAB"/>
    <w:rsid w:val="0053675D"/>
    <w:rsid w:val="00536BC2"/>
    <w:rsid w:val="005425E1"/>
    <w:rsid w:val="005427C5"/>
    <w:rsid w:val="00542CF6"/>
    <w:rsid w:val="00550BDB"/>
    <w:rsid w:val="00551762"/>
    <w:rsid w:val="00553C03"/>
    <w:rsid w:val="00555B4D"/>
    <w:rsid w:val="00556D5A"/>
    <w:rsid w:val="005607F0"/>
    <w:rsid w:val="00563692"/>
    <w:rsid w:val="00571679"/>
    <w:rsid w:val="00572BEC"/>
    <w:rsid w:val="00577111"/>
    <w:rsid w:val="0058207A"/>
    <w:rsid w:val="005844E7"/>
    <w:rsid w:val="0058546D"/>
    <w:rsid w:val="005908B8"/>
    <w:rsid w:val="0059420E"/>
    <w:rsid w:val="0059512E"/>
    <w:rsid w:val="00597A84"/>
    <w:rsid w:val="005A0455"/>
    <w:rsid w:val="005A06B8"/>
    <w:rsid w:val="005A0CC2"/>
    <w:rsid w:val="005A36EA"/>
    <w:rsid w:val="005A3FBC"/>
    <w:rsid w:val="005A4619"/>
    <w:rsid w:val="005A5A00"/>
    <w:rsid w:val="005A6DD2"/>
    <w:rsid w:val="005B048F"/>
    <w:rsid w:val="005B74F7"/>
    <w:rsid w:val="005C00BA"/>
    <w:rsid w:val="005C385D"/>
    <w:rsid w:val="005C5056"/>
    <w:rsid w:val="005C524F"/>
    <w:rsid w:val="005C70FA"/>
    <w:rsid w:val="005C781D"/>
    <w:rsid w:val="005D3B20"/>
    <w:rsid w:val="005D6D89"/>
    <w:rsid w:val="005E07AA"/>
    <w:rsid w:val="005E45DB"/>
    <w:rsid w:val="005E4759"/>
    <w:rsid w:val="005E5C68"/>
    <w:rsid w:val="005E65C0"/>
    <w:rsid w:val="005F0390"/>
    <w:rsid w:val="005F08FB"/>
    <w:rsid w:val="005F1B56"/>
    <w:rsid w:val="005F63CE"/>
    <w:rsid w:val="006007B5"/>
    <w:rsid w:val="00604DAE"/>
    <w:rsid w:val="006072CD"/>
    <w:rsid w:val="00612023"/>
    <w:rsid w:val="00612D26"/>
    <w:rsid w:val="00613074"/>
    <w:rsid w:val="00614190"/>
    <w:rsid w:val="00615909"/>
    <w:rsid w:val="0062102A"/>
    <w:rsid w:val="00622A99"/>
    <w:rsid w:val="00622E67"/>
    <w:rsid w:val="00626EDC"/>
    <w:rsid w:val="00631174"/>
    <w:rsid w:val="00632371"/>
    <w:rsid w:val="00637D8F"/>
    <w:rsid w:val="006436A9"/>
    <w:rsid w:val="0064489A"/>
    <w:rsid w:val="0064648E"/>
    <w:rsid w:val="00646DC8"/>
    <w:rsid w:val="00646F1F"/>
    <w:rsid w:val="006470EC"/>
    <w:rsid w:val="00651480"/>
    <w:rsid w:val="006542C6"/>
    <w:rsid w:val="006542D6"/>
    <w:rsid w:val="0065598E"/>
    <w:rsid w:val="00655AF2"/>
    <w:rsid w:val="00655BC5"/>
    <w:rsid w:val="006568BE"/>
    <w:rsid w:val="0066025D"/>
    <w:rsid w:val="0066091A"/>
    <w:rsid w:val="006619B6"/>
    <w:rsid w:val="00664713"/>
    <w:rsid w:val="0067529A"/>
    <w:rsid w:val="006773EC"/>
    <w:rsid w:val="00680504"/>
    <w:rsid w:val="00681CD9"/>
    <w:rsid w:val="006822B0"/>
    <w:rsid w:val="0068313F"/>
    <w:rsid w:val="00683E01"/>
    <w:rsid w:val="00683E30"/>
    <w:rsid w:val="00684E97"/>
    <w:rsid w:val="00686FDD"/>
    <w:rsid w:val="00687024"/>
    <w:rsid w:val="00692394"/>
    <w:rsid w:val="00693DD5"/>
    <w:rsid w:val="00695E22"/>
    <w:rsid w:val="006A1DB0"/>
    <w:rsid w:val="006A39FE"/>
    <w:rsid w:val="006B00B9"/>
    <w:rsid w:val="006B04D1"/>
    <w:rsid w:val="006B1B03"/>
    <w:rsid w:val="006B6DB3"/>
    <w:rsid w:val="006B6ECD"/>
    <w:rsid w:val="006B7093"/>
    <w:rsid w:val="006B7417"/>
    <w:rsid w:val="006C0E86"/>
    <w:rsid w:val="006C335F"/>
    <w:rsid w:val="006C560B"/>
    <w:rsid w:val="006D126A"/>
    <w:rsid w:val="006D2945"/>
    <w:rsid w:val="006D3691"/>
    <w:rsid w:val="006D5D6E"/>
    <w:rsid w:val="006D71EF"/>
    <w:rsid w:val="006E5EF0"/>
    <w:rsid w:val="006F3563"/>
    <w:rsid w:val="006F42B9"/>
    <w:rsid w:val="006F504E"/>
    <w:rsid w:val="006F5CEC"/>
    <w:rsid w:val="006F6103"/>
    <w:rsid w:val="0070382D"/>
    <w:rsid w:val="00704E00"/>
    <w:rsid w:val="007071BB"/>
    <w:rsid w:val="00711D5E"/>
    <w:rsid w:val="007209E7"/>
    <w:rsid w:val="00726182"/>
    <w:rsid w:val="007275B2"/>
    <w:rsid w:val="00727635"/>
    <w:rsid w:val="00732329"/>
    <w:rsid w:val="007337CA"/>
    <w:rsid w:val="00734CE4"/>
    <w:rsid w:val="00735123"/>
    <w:rsid w:val="00736BBC"/>
    <w:rsid w:val="00740074"/>
    <w:rsid w:val="007417B4"/>
    <w:rsid w:val="00741837"/>
    <w:rsid w:val="00741E56"/>
    <w:rsid w:val="007453E6"/>
    <w:rsid w:val="007457B5"/>
    <w:rsid w:val="007459F5"/>
    <w:rsid w:val="00757F99"/>
    <w:rsid w:val="00763321"/>
    <w:rsid w:val="00764840"/>
    <w:rsid w:val="00764D70"/>
    <w:rsid w:val="007651BB"/>
    <w:rsid w:val="0077309D"/>
    <w:rsid w:val="007774EE"/>
    <w:rsid w:val="00781557"/>
    <w:rsid w:val="007816C8"/>
    <w:rsid w:val="00781822"/>
    <w:rsid w:val="007822E5"/>
    <w:rsid w:val="00783F21"/>
    <w:rsid w:val="007847F2"/>
    <w:rsid w:val="00787159"/>
    <w:rsid w:val="0079043A"/>
    <w:rsid w:val="00791668"/>
    <w:rsid w:val="00791AA1"/>
    <w:rsid w:val="00794451"/>
    <w:rsid w:val="00795678"/>
    <w:rsid w:val="007A3793"/>
    <w:rsid w:val="007A62FD"/>
    <w:rsid w:val="007A6B51"/>
    <w:rsid w:val="007C1BA2"/>
    <w:rsid w:val="007C2326"/>
    <w:rsid w:val="007C2B48"/>
    <w:rsid w:val="007C5DC6"/>
    <w:rsid w:val="007D20E9"/>
    <w:rsid w:val="007D578F"/>
    <w:rsid w:val="007D6017"/>
    <w:rsid w:val="007D6B28"/>
    <w:rsid w:val="007D7785"/>
    <w:rsid w:val="007D7881"/>
    <w:rsid w:val="007D7E3A"/>
    <w:rsid w:val="007E0E10"/>
    <w:rsid w:val="007E171B"/>
    <w:rsid w:val="007E2FCA"/>
    <w:rsid w:val="007E3F24"/>
    <w:rsid w:val="007E4768"/>
    <w:rsid w:val="007E777B"/>
    <w:rsid w:val="007F0E3E"/>
    <w:rsid w:val="007F2070"/>
    <w:rsid w:val="00801084"/>
    <w:rsid w:val="00802FAA"/>
    <w:rsid w:val="00804719"/>
    <w:rsid w:val="008053F5"/>
    <w:rsid w:val="00807AF7"/>
    <w:rsid w:val="00810198"/>
    <w:rsid w:val="00815DA8"/>
    <w:rsid w:val="0082194D"/>
    <w:rsid w:val="00824C8D"/>
    <w:rsid w:val="00826EF5"/>
    <w:rsid w:val="00831693"/>
    <w:rsid w:val="00837BB2"/>
    <w:rsid w:val="00840104"/>
    <w:rsid w:val="00840C1F"/>
    <w:rsid w:val="00841FC5"/>
    <w:rsid w:val="00843D53"/>
    <w:rsid w:val="0084491F"/>
    <w:rsid w:val="0084518F"/>
    <w:rsid w:val="00845709"/>
    <w:rsid w:val="00847685"/>
    <w:rsid w:val="00853A9A"/>
    <w:rsid w:val="00854B77"/>
    <w:rsid w:val="008576BD"/>
    <w:rsid w:val="00860463"/>
    <w:rsid w:val="00861732"/>
    <w:rsid w:val="00866B1E"/>
    <w:rsid w:val="008717EE"/>
    <w:rsid w:val="008733DA"/>
    <w:rsid w:val="00875307"/>
    <w:rsid w:val="00881F3C"/>
    <w:rsid w:val="0088293D"/>
    <w:rsid w:val="008850E4"/>
    <w:rsid w:val="00892A21"/>
    <w:rsid w:val="008939AB"/>
    <w:rsid w:val="00893FD5"/>
    <w:rsid w:val="008A12F5"/>
    <w:rsid w:val="008A43D8"/>
    <w:rsid w:val="008B1587"/>
    <w:rsid w:val="008B1B01"/>
    <w:rsid w:val="008B3BCD"/>
    <w:rsid w:val="008B3ED8"/>
    <w:rsid w:val="008B6B85"/>
    <w:rsid w:val="008B6DF8"/>
    <w:rsid w:val="008B7239"/>
    <w:rsid w:val="008B7B8B"/>
    <w:rsid w:val="008C106C"/>
    <w:rsid w:val="008C10F1"/>
    <w:rsid w:val="008C1926"/>
    <w:rsid w:val="008C1E99"/>
    <w:rsid w:val="008C4427"/>
    <w:rsid w:val="008E0085"/>
    <w:rsid w:val="008E2AA6"/>
    <w:rsid w:val="008E311B"/>
    <w:rsid w:val="008E3D46"/>
    <w:rsid w:val="008E483A"/>
    <w:rsid w:val="008E5DA6"/>
    <w:rsid w:val="008F0AC7"/>
    <w:rsid w:val="008F46E7"/>
    <w:rsid w:val="008F6F0B"/>
    <w:rsid w:val="008F795C"/>
    <w:rsid w:val="009016E7"/>
    <w:rsid w:val="00903A1C"/>
    <w:rsid w:val="00907BA7"/>
    <w:rsid w:val="0091064E"/>
    <w:rsid w:val="00911FC5"/>
    <w:rsid w:val="00913AF1"/>
    <w:rsid w:val="00914882"/>
    <w:rsid w:val="00914F1C"/>
    <w:rsid w:val="0091525E"/>
    <w:rsid w:val="00916EB1"/>
    <w:rsid w:val="00917B1B"/>
    <w:rsid w:val="00921646"/>
    <w:rsid w:val="00925BCF"/>
    <w:rsid w:val="00931A10"/>
    <w:rsid w:val="00947967"/>
    <w:rsid w:val="00947B54"/>
    <w:rsid w:val="009520CD"/>
    <w:rsid w:val="00955201"/>
    <w:rsid w:val="009563BB"/>
    <w:rsid w:val="009603EC"/>
    <w:rsid w:val="00962EA1"/>
    <w:rsid w:val="00965200"/>
    <w:rsid w:val="0096530E"/>
    <w:rsid w:val="009668B3"/>
    <w:rsid w:val="00971471"/>
    <w:rsid w:val="00972459"/>
    <w:rsid w:val="009738E4"/>
    <w:rsid w:val="009751A8"/>
    <w:rsid w:val="00977759"/>
    <w:rsid w:val="009849C2"/>
    <w:rsid w:val="00984D24"/>
    <w:rsid w:val="009858EB"/>
    <w:rsid w:val="00994B89"/>
    <w:rsid w:val="009958B4"/>
    <w:rsid w:val="009A3BE3"/>
    <w:rsid w:val="009A7E9E"/>
    <w:rsid w:val="009B0046"/>
    <w:rsid w:val="009B28F9"/>
    <w:rsid w:val="009B7CF1"/>
    <w:rsid w:val="009C1440"/>
    <w:rsid w:val="009C2107"/>
    <w:rsid w:val="009C3F60"/>
    <w:rsid w:val="009C5D9E"/>
    <w:rsid w:val="009D2C3E"/>
    <w:rsid w:val="009D458B"/>
    <w:rsid w:val="009D7293"/>
    <w:rsid w:val="009E0625"/>
    <w:rsid w:val="009E2BDC"/>
    <w:rsid w:val="009E3034"/>
    <w:rsid w:val="009E3F67"/>
    <w:rsid w:val="009E549F"/>
    <w:rsid w:val="009E56A1"/>
    <w:rsid w:val="009E654F"/>
    <w:rsid w:val="009F28A8"/>
    <w:rsid w:val="009F473E"/>
    <w:rsid w:val="009F5660"/>
    <w:rsid w:val="009F682A"/>
    <w:rsid w:val="00A022BE"/>
    <w:rsid w:val="00A03CDB"/>
    <w:rsid w:val="00A050B5"/>
    <w:rsid w:val="00A05843"/>
    <w:rsid w:val="00A0668E"/>
    <w:rsid w:val="00A122D0"/>
    <w:rsid w:val="00A1629C"/>
    <w:rsid w:val="00A17F5B"/>
    <w:rsid w:val="00A2063B"/>
    <w:rsid w:val="00A20A5F"/>
    <w:rsid w:val="00A23E39"/>
    <w:rsid w:val="00A24C02"/>
    <w:rsid w:val="00A24C95"/>
    <w:rsid w:val="00A2599A"/>
    <w:rsid w:val="00A26094"/>
    <w:rsid w:val="00A26A9D"/>
    <w:rsid w:val="00A301BF"/>
    <w:rsid w:val="00A302B2"/>
    <w:rsid w:val="00A331B4"/>
    <w:rsid w:val="00A33C02"/>
    <w:rsid w:val="00A3484E"/>
    <w:rsid w:val="00A356D3"/>
    <w:rsid w:val="00A36ADA"/>
    <w:rsid w:val="00A36BC6"/>
    <w:rsid w:val="00A41C29"/>
    <w:rsid w:val="00A438D8"/>
    <w:rsid w:val="00A47072"/>
    <w:rsid w:val="00A473F5"/>
    <w:rsid w:val="00A479EC"/>
    <w:rsid w:val="00A517F6"/>
    <w:rsid w:val="00A51F9D"/>
    <w:rsid w:val="00A5416A"/>
    <w:rsid w:val="00A639F4"/>
    <w:rsid w:val="00A63A63"/>
    <w:rsid w:val="00A642AB"/>
    <w:rsid w:val="00A67F5E"/>
    <w:rsid w:val="00A81A32"/>
    <w:rsid w:val="00A824A8"/>
    <w:rsid w:val="00A83140"/>
    <w:rsid w:val="00A835BD"/>
    <w:rsid w:val="00A85FDF"/>
    <w:rsid w:val="00A96AA8"/>
    <w:rsid w:val="00A97B15"/>
    <w:rsid w:val="00AA0B12"/>
    <w:rsid w:val="00AA1717"/>
    <w:rsid w:val="00AA42D5"/>
    <w:rsid w:val="00AA4A6C"/>
    <w:rsid w:val="00AA5A2B"/>
    <w:rsid w:val="00AA72DA"/>
    <w:rsid w:val="00AB2FAB"/>
    <w:rsid w:val="00AB3D21"/>
    <w:rsid w:val="00AB41AF"/>
    <w:rsid w:val="00AB5C14"/>
    <w:rsid w:val="00AC1329"/>
    <w:rsid w:val="00AC1EE7"/>
    <w:rsid w:val="00AC333F"/>
    <w:rsid w:val="00AC585C"/>
    <w:rsid w:val="00AC7335"/>
    <w:rsid w:val="00AC7C14"/>
    <w:rsid w:val="00AD1727"/>
    <w:rsid w:val="00AD1925"/>
    <w:rsid w:val="00AD220B"/>
    <w:rsid w:val="00AD2F68"/>
    <w:rsid w:val="00AE0288"/>
    <w:rsid w:val="00AE067D"/>
    <w:rsid w:val="00AE0C55"/>
    <w:rsid w:val="00AE10D0"/>
    <w:rsid w:val="00AE2467"/>
    <w:rsid w:val="00AE262B"/>
    <w:rsid w:val="00AE5075"/>
    <w:rsid w:val="00AF1181"/>
    <w:rsid w:val="00AF1CC7"/>
    <w:rsid w:val="00AF2F79"/>
    <w:rsid w:val="00AF4653"/>
    <w:rsid w:val="00AF5C7E"/>
    <w:rsid w:val="00AF5F6B"/>
    <w:rsid w:val="00AF7444"/>
    <w:rsid w:val="00AF7DB7"/>
    <w:rsid w:val="00B04B53"/>
    <w:rsid w:val="00B11A8A"/>
    <w:rsid w:val="00B14BD3"/>
    <w:rsid w:val="00B201E2"/>
    <w:rsid w:val="00B33083"/>
    <w:rsid w:val="00B431D0"/>
    <w:rsid w:val="00B443E4"/>
    <w:rsid w:val="00B4776D"/>
    <w:rsid w:val="00B555C3"/>
    <w:rsid w:val="00B563EA"/>
    <w:rsid w:val="00B57F3B"/>
    <w:rsid w:val="00B60E51"/>
    <w:rsid w:val="00B61D6B"/>
    <w:rsid w:val="00B63A54"/>
    <w:rsid w:val="00B63BA0"/>
    <w:rsid w:val="00B63DF2"/>
    <w:rsid w:val="00B66AD2"/>
    <w:rsid w:val="00B66F8D"/>
    <w:rsid w:val="00B703E5"/>
    <w:rsid w:val="00B71284"/>
    <w:rsid w:val="00B734A7"/>
    <w:rsid w:val="00B77D18"/>
    <w:rsid w:val="00B8313A"/>
    <w:rsid w:val="00B84D48"/>
    <w:rsid w:val="00B86B47"/>
    <w:rsid w:val="00B878F5"/>
    <w:rsid w:val="00B914AA"/>
    <w:rsid w:val="00B9274F"/>
    <w:rsid w:val="00B93503"/>
    <w:rsid w:val="00B960FD"/>
    <w:rsid w:val="00B96338"/>
    <w:rsid w:val="00B96675"/>
    <w:rsid w:val="00BA0762"/>
    <w:rsid w:val="00BA25B3"/>
    <w:rsid w:val="00BA31E8"/>
    <w:rsid w:val="00BA55E0"/>
    <w:rsid w:val="00BA6BD4"/>
    <w:rsid w:val="00BA6C7A"/>
    <w:rsid w:val="00BB273F"/>
    <w:rsid w:val="00BB3752"/>
    <w:rsid w:val="00BB6688"/>
    <w:rsid w:val="00BB6C30"/>
    <w:rsid w:val="00BC26D4"/>
    <w:rsid w:val="00BC32AD"/>
    <w:rsid w:val="00BC473B"/>
    <w:rsid w:val="00BD2B28"/>
    <w:rsid w:val="00BE0AF2"/>
    <w:rsid w:val="00BE0C80"/>
    <w:rsid w:val="00BE5C22"/>
    <w:rsid w:val="00BE79C1"/>
    <w:rsid w:val="00BF2522"/>
    <w:rsid w:val="00BF2A42"/>
    <w:rsid w:val="00BF60E5"/>
    <w:rsid w:val="00C01BBE"/>
    <w:rsid w:val="00C03D8C"/>
    <w:rsid w:val="00C055EC"/>
    <w:rsid w:val="00C06707"/>
    <w:rsid w:val="00C10DC9"/>
    <w:rsid w:val="00C12FB3"/>
    <w:rsid w:val="00C1352D"/>
    <w:rsid w:val="00C1455E"/>
    <w:rsid w:val="00C172F4"/>
    <w:rsid w:val="00C17341"/>
    <w:rsid w:val="00C225A9"/>
    <w:rsid w:val="00C2300B"/>
    <w:rsid w:val="00C23EDF"/>
    <w:rsid w:val="00C24E2C"/>
    <w:rsid w:val="00C24EEF"/>
    <w:rsid w:val="00C25CF6"/>
    <w:rsid w:val="00C25D32"/>
    <w:rsid w:val="00C26C36"/>
    <w:rsid w:val="00C26F14"/>
    <w:rsid w:val="00C32768"/>
    <w:rsid w:val="00C36293"/>
    <w:rsid w:val="00C431DF"/>
    <w:rsid w:val="00C4337B"/>
    <w:rsid w:val="00C43893"/>
    <w:rsid w:val="00C456BD"/>
    <w:rsid w:val="00C45EBC"/>
    <w:rsid w:val="00C530DC"/>
    <w:rsid w:val="00C5350D"/>
    <w:rsid w:val="00C54071"/>
    <w:rsid w:val="00C561F2"/>
    <w:rsid w:val="00C57FE3"/>
    <w:rsid w:val="00C6123C"/>
    <w:rsid w:val="00C6311A"/>
    <w:rsid w:val="00C648B4"/>
    <w:rsid w:val="00C65760"/>
    <w:rsid w:val="00C702ED"/>
    <w:rsid w:val="00C7084D"/>
    <w:rsid w:val="00C71BA6"/>
    <w:rsid w:val="00C7315E"/>
    <w:rsid w:val="00C7434F"/>
    <w:rsid w:val="00C7468C"/>
    <w:rsid w:val="00C75895"/>
    <w:rsid w:val="00C812FF"/>
    <w:rsid w:val="00C81EE3"/>
    <w:rsid w:val="00C82C02"/>
    <w:rsid w:val="00C82E72"/>
    <w:rsid w:val="00C83C9F"/>
    <w:rsid w:val="00C85906"/>
    <w:rsid w:val="00C87174"/>
    <w:rsid w:val="00C94840"/>
    <w:rsid w:val="00C954F3"/>
    <w:rsid w:val="00C97A3A"/>
    <w:rsid w:val="00CA277B"/>
    <w:rsid w:val="00CA3C08"/>
    <w:rsid w:val="00CA4EE3"/>
    <w:rsid w:val="00CA5C02"/>
    <w:rsid w:val="00CA747C"/>
    <w:rsid w:val="00CB027F"/>
    <w:rsid w:val="00CB3C10"/>
    <w:rsid w:val="00CB7C98"/>
    <w:rsid w:val="00CC0EBB"/>
    <w:rsid w:val="00CC1303"/>
    <w:rsid w:val="00CC4BD6"/>
    <w:rsid w:val="00CC52AA"/>
    <w:rsid w:val="00CC6297"/>
    <w:rsid w:val="00CC7690"/>
    <w:rsid w:val="00CC7E36"/>
    <w:rsid w:val="00CD1986"/>
    <w:rsid w:val="00CD5014"/>
    <w:rsid w:val="00CD54BF"/>
    <w:rsid w:val="00CD614E"/>
    <w:rsid w:val="00CD6B7B"/>
    <w:rsid w:val="00CD74BA"/>
    <w:rsid w:val="00CE4D5C"/>
    <w:rsid w:val="00CE4E79"/>
    <w:rsid w:val="00CF05DA"/>
    <w:rsid w:val="00CF58EB"/>
    <w:rsid w:val="00CF6FEC"/>
    <w:rsid w:val="00D0106E"/>
    <w:rsid w:val="00D06383"/>
    <w:rsid w:val="00D13298"/>
    <w:rsid w:val="00D14C98"/>
    <w:rsid w:val="00D2036C"/>
    <w:rsid w:val="00D209BF"/>
    <w:rsid w:val="00D20E85"/>
    <w:rsid w:val="00D2258E"/>
    <w:rsid w:val="00D24615"/>
    <w:rsid w:val="00D3014F"/>
    <w:rsid w:val="00D33FC6"/>
    <w:rsid w:val="00D37842"/>
    <w:rsid w:val="00D41F24"/>
    <w:rsid w:val="00D42DC2"/>
    <w:rsid w:val="00D537E1"/>
    <w:rsid w:val="00D53E94"/>
    <w:rsid w:val="00D55BB2"/>
    <w:rsid w:val="00D6091A"/>
    <w:rsid w:val="00D61411"/>
    <w:rsid w:val="00D6197D"/>
    <w:rsid w:val="00D6605A"/>
    <w:rsid w:val="00D6695F"/>
    <w:rsid w:val="00D67F2D"/>
    <w:rsid w:val="00D700EC"/>
    <w:rsid w:val="00D7237D"/>
    <w:rsid w:val="00D75644"/>
    <w:rsid w:val="00D75FE8"/>
    <w:rsid w:val="00D76735"/>
    <w:rsid w:val="00D80C99"/>
    <w:rsid w:val="00D81656"/>
    <w:rsid w:val="00D8291B"/>
    <w:rsid w:val="00D83D87"/>
    <w:rsid w:val="00D83EE6"/>
    <w:rsid w:val="00D84A6D"/>
    <w:rsid w:val="00D86A2F"/>
    <w:rsid w:val="00D86A30"/>
    <w:rsid w:val="00D924CB"/>
    <w:rsid w:val="00D97CB4"/>
    <w:rsid w:val="00D97DD4"/>
    <w:rsid w:val="00DA3938"/>
    <w:rsid w:val="00DA5A8A"/>
    <w:rsid w:val="00DB26CD"/>
    <w:rsid w:val="00DB441C"/>
    <w:rsid w:val="00DB44AF"/>
    <w:rsid w:val="00DB579C"/>
    <w:rsid w:val="00DB5DA6"/>
    <w:rsid w:val="00DB6DB7"/>
    <w:rsid w:val="00DB7025"/>
    <w:rsid w:val="00DB74E4"/>
    <w:rsid w:val="00DB7C1D"/>
    <w:rsid w:val="00DC0DDC"/>
    <w:rsid w:val="00DC1F58"/>
    <w:rsid w:val="00DC339B"/>
    <w:rsid w:val="00DC57CA"/>
    <w:rsid w:val="00DC5D40"/>
    <w:rsid w:val="00DC6865"/>
    <w:rsid w:val="00DC69A7"/>
    <w:rsid w:val="00DD0BA6"/>
    <w:rsid w:val="00DD30E9"/>
    <w:rsid w:val="00DD4F47"/>
    <w:rsid w:val="00DD7FBB"/>
    <w:rsid w:val="00DE0B9F"/>
    <w:rsid w:val="00DE0DDC"/>
    <w:rsid w:val="00DE4238"/>
    <w:rsid w:val="00DE657F"/>
    <w:rsid w:val="00DE74E9"/>
    <w:rsid w:val="00DF1218"/>
    <w:rsid w:val="00DF5860"/>
    <w:rsid w:val="00DF6462"/>
    <w:rsid w:val="00E02FA0"/>
    <w:rsid w:val="00E036DC"/>
    <w:rsid w:val="00E06D79"/>
    <w:rsid w:val="00E10454"/>
    <w:rsid w:val="00E112E5"/>
    <w:rsid w:val="00E12CC8"/>
    <w:rsid w:val="00E142E9"/>
    <w:rsid w:val="00E15352"/>
    <w:rsid w:val="00E154C8"/>
    <w:rsid w:val="00E21CC7"/>
    <w:rsid w:val="00E24D9E"/>
    <w:rsid w:val="00E25849"/>
    <w:rsid w:val="00E30E96"/>
    <w:rsid w:val="00E3131C"/>
    <w:rsid w:val="00E3197E"/>
    <w:rsid w:val="00E342F8"/>
    <w:rsid w:val="00E351ED"/>
    <w:rsid w:val="00E43E62"/>
    <w:rsid w:val="00E4480A"/>
    <w:rsid w:val="00E5198C"/>
    <w:rsid w:val="00E5579F"/>
    <w:rsid w:val="00E6034B"/>
    <w:rsid w:val="00E606A7"/>
    <w:rsid w:val="00E60E1D"/>
    <w:rsid w:val="00E62DF5"/>
    <w:rsid w:val="00E6549E"/>
    <w:rsid w:val="00E65EDE"/>
    <w:rsid w:val="00E67A8A"/>
    <w:rsid w:val="00E67FE5"/>
    <w:rsid w:val="00E70F81"/>
    <w:rsid w:val="00E727E5"/>
    <w:rsid w:val="00E73BD5"/>
    <w:rsid w:val="00E74A13"/>
    <w:rsid w:val="00E756EE"/>
    <w:rsid w:val="00E75EA9"/>
    <w:rsid w:val="00E76604"/>
    <w:rsid w:val="00E77055"/>
    <w:rsid w:val="00E77460"/>
    <w:rsid w:val="00E77AEB"/>
    <w:rsid w:val="00E83ABC"/>
    <w:rsid w:val="00E844F2"/>
    <w:rsid w:val="00E86912"/>
    <w:rsid w:val="00E9026F"/>
    <w:rsid w:val="00E90AD0"/>
    <w:rsid w:val="00E92FCB"/>
    <w:rsid w:val="00E9387A"/>
    <w:rsid w:val="00E9449A"/>
    <w:rsid w:val="00EA147F"/>
    <w:rsid w:val="00EA4A27"/>
    <w:rsid w:val="00EA4FA6"/>
    <w:rsid w:val="00EA5973"/>
    <w:rsid w:val="00EB01E1"/>
    <w:rsid w:val="00EB1A25"/>
    <w:rsid w:val="00EB33E1"/>
    <w:rsid w:val="00EB4F7D"/>
    <w:rsid w:val="00EB6C7F"/>
    <w:rsid w:val="00EC1036"/>
    <w:rsid w:val="00EC6427"/>
    <w:rsid w:val="00ED03AB"/>
    <w:rsid w:val="00ED1CD4"/>
    <w:rsid w:val="00ED1D2B"/>
    <w:rsid w:val="00ED411E"/>
    <w:rsid w:val="00ED510C"/>
    <w:rsid w:val="00ED61A4"/>
    <w:rsid w:val="00ED64B5"/>
    <w:rsid w:val="00ED7E16"/>
    <w:rsid w:val="00EE122B"/>
    <w:rsid w:val="00EE1F6B"/>
    <w:rsid w:val="00EE55F5"/>
    <w:rsid w:val="00EE7CCA"/>
    <w:rsid w:val="00EF23E3"/>
    <w:rsid w:val="00EF5FCE"/>
    <w:rsid w:val="00F00602"/>
    <w:rsid w:val="00F0103A"/>
    <w:rsid w:val="00F02347"/>
    <w:rsid w:val="00F028D2"/>
    <w:rsid w:val="00F04A11"/>
    <w:rsid w:val="00F10C30"/>
    <w:rsid w:val="00F12DC7"/>
    <w:rsid w:val="00F14ABE"/>
    <w:rsid w:val="00F16A14"/>
    <w:rsid w:val="00F25FEC"/>
    <w:rsid w:val="00F276F3"/>
    <w:rsid w:val="00F30118"/>
    <w:rsid w:val="00F301C2"/>
    <w:rsid w:val="00F34550"/>
    <w:rsid w:val="00F3542F"/>
    <w:rsid w:val="00F362D7"/>
    <w:rsid w:val="00F37D7B"/>
    <w:rsid w:val="00F44080"/>
    <w:rsid w:val="00F46A56"/>
    <w:rsid w:val="00F50F72"/>
    <w:rsid w:val="00F5314C"/>
    <w:rsid w:val="00F5688C"/>
    <w:rsid w:val="00F572C2"/>
    <w:rsid w:val="00F60623"/>
    <w:rsid w:val="00F62FDF"/>
    <w:rsid w:val="00F635DD"/>
    <w:rsid w:val="00F65126"/>
    <w:rsid w:val="00F6597F"/>
    <w:rsid w:val="00F6627B"/>
    <w:rsid w:val="00F670D0"/>
    <w:rsid w:val="00F72CC3"/>
    <w:rsid w:val="00F7336E"/>
    <w:rsid w:val="00F734F2"/>
    <w:rsid w:val="00F75052"/>
    <w:rsid w:val="00F80282"/>
    <w:rsid w:val="00F804D3"/>
    <w:rsid w:val="00F805C6"/>
    <w:rsid w:val="00F81CD2"/>
    <w:rsid w:val="00F82202"/>
    <w:rsid w:val="00F82641"/>
    <w:rsid w:val="00F90F18"/>
    <w:rsid w:val="00F937E4"/>
    <w:rsid w:val="00F9462B"/>
    <w:rsid w:val="00F95EE7"/>
    <w:rsid w:val="00F97F42"/>
    <w:rsid w:val="00FA269F"/>
    <w:rsid w:val="00FA39E6"/>
    <w:rsid w:val="00FA7BC9"/>
    <w:rsid w:val="00FB378E"/>
    <w:rsid w:val="00FB37F1"/>
    <w:rsid w:val="00FB47C0"/>
    <w:rsid w:val="00FB501B"/>
    <w:rsid w:val="00FB7770"/>
    <w:rsid w:val="00FC0306"/>
    <w:rsid w:val="00FC7C0D"/>
    <w:rsid w:val="00FD04B7"/>
    <w:rsid w:val="00FD0C61"/>
    <w:rsid w:val="00FD2A91"/>
    <w:rsid w:val="00FD3B67"/>
    <w:rsid w:val="00FD3B91"/>
    <w:rsid w:val="00FD41E1"/>
    <w:rsid w:val="00FD576B"/>
    <w:rsid w:val="00FD579E"/>
    <w:rsid w:val="00FD627E"/>
    <w:rsid w:val="00FD6845"/>
    <w:rsid w:val="00FE18C0"/>
    <w:rsid w:val="00FE1FF3"/>
    <w:rsid w:val="00FE4516"/>
    <w:rsid w:val="00FE53FE"/>
    <w:rsid w:val="00FE5A44"/>
    <w:rsid w:val="00FE64C8"/>
    <w:rsid w:val="00FF114F"/>
    <w:rsid w:val="00FF23F3"/>
    <w:rsid w:val="00FF4D2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42C799-53A3-4810-84B1-D54C6C02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3203E8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25"/>
      </w:numPr>
      <w:ind w:left="2381"/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link w:val="af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b">
    <w:name w:val="表下註"/>
    <w:basedOn w:val="af5"/>
    <w:link w:val="afc"/>
    <w:qFormat/>
    <w:rsid w:val="007459F5"/>
  </w:style>
  <w:style w:type="paragraph" w:styleId="afd">
    <w:name w:val="footnote text"/>
    <w:basedOn w:val="a6"/>
    <w:link w:val="afe"/>
    <w:uiPriority w:val="99"/>
    <w:semiHidden/>
    <w:unhideWhenUsed/>
    <w:rsid w:val="006B6DB3"/>
    <w:pPr>
      <w:snapToGrid w:val="0"/>
      <w:jc w:val="left"/>
    </w:pPr>
    <w:rPr>
      <w:sz w:val="20"/>
    </w:rPr>
  </w:style>
  <w:style w:type="character" w:customStyle="1" w:styleId="af6">
    <w:name w:val="資料來源 字元"/>
    <w:basedOn w:val="a7"/>
    <w:link w:val="af5"/>
    <w:rsid w:val="007459F5"/>
    <w:rPr>
      <w:rFonts w:ascii="標楷體" w:eastAsia="標楷體"/>
      <w:spacing w:val="-10"/>
      <w:sz w:val="28"/>
      <w:szCs w:val="22"/>
    </w:rPr>
  </w:style>
  <w:style w:type="character" w:customStyle="1" w:styleId="afc">
    <w:name w:val="表下註 字元"/>
    <w:basedOn w:val="af6"/>
    <w:link w:val="afb"/>
    <w:rsid w:val="007459F5"/>
    <w:rPr>
      <w:rFonts w:ascii="標楷體" w:eastAsia="標楷體"/>
      <w:spacing w:val="-10"/>
      <w:sz w:val="28"/>
      <w:szCs w:val="22"/>
    </w:rPr>
  </w:style>
  <w:style w:type="character" w:customStyle="1" w:styleId="afe">
    <w:name w:val="註腳文字 字元"/>
    <w:basedOn w:val="a7"/>
    <w:link w:val="afd"/>
    <w:uiPriority w:val="99"/>
    <w:semiHidden/>
    <w:rsid w:val="006B6DB3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6B6DB3"/>
    <w:rPr>
      <w:vertAlign w:val="superscript"/>
    </w:rPr>
  </w:style>
  <w:style w:type="character" w:styleId="aff0">
    <w:name w:val="annotation reference"/>
    <w:basedOn w:val="a7"/>
    <w:uiPriority w:val="99"/>
    <w:semiHidden/>
    <w:unhideWhenUsed/>
    <w:rsid w:val="004A218B"/>
    <w:rPr>
      <w:sz w:val="18"/>
      <w:szCs w:val="18"/>
    </w:rPr>
  </w:style>
  <w:style w:type="paragraph" w:styleId="aff1">
    <w:name w:val="annotation text"/>
    <w:basedOn w:val="a6"/>
    <w:link w:val="aff2"/>
    <w:uiPriority w:val="99"/>
    <w:semiHidden/>
    <w:unhideWhenUsed/>
    <w:rsid w:val="004A218B"/>
    <w:pPr>
      <w:jc w:val="left"/>
    </w:pPr>
  </w:style>
  <w:style w:type="character" w:customStyle="1" w:styleId="aff2">
    <w:name w:val="註解文字 字元"/>
    <w:basedOn w:val="a7"/>
    <w:link w:val="aff1"/>
    <w:uiPriority w:val="99"/>
    <w:semiHidden/>
    <w:rsid w:val="004A218B"/>
    <w:rPr>
      <w:rFonts w:ascii="標楷體" w:eastAsia="標楷體"/>
      <w:kern w:val="2"/>
      <w:sz w:val="32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A218B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4A218B"/>
    <w:rPr>
      <w:rFonts w:ascii="標楷體" w:eastAsia="標楷體"/>
      <w:b/>
      <w:bCs/>
      <w:kern w:val="2"/>
      <w:sz w:val="32"/>
    </w:rPr>
  </w:style>
  <w:style w:type="paragraph" w:styleId="HTML">
    <w:name w:val="HTML Preformatted"/>
    <w:basedOn w:val="a6"/>
    <w:link w:val="HTML0"/>
    <w:uiPriority w:val="99"/>
    <w:unhideWhenUsed/>
    <w:rsid w:val="00194B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194BC4"/>
    <w:rPr>
      <w:rFonts w:ascii="細明體" w:eastAsia="細明體" w:hAnsi="細明體" w:cs="細明體"/>
      <w:sz w:val="24"/>
      <w:szCs w:val="24"/>
    </w:rPr>
  </w:style>
  <w:style w:type="character" w:customStyle="1" w:styleId="30">
    <w:name w:val="標題 3 字元"/>
    <w:basedOn w:val="a7"/>
    <w:link w:val="3"/>
    <w:rsid w:val="007071BB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CD74BA"/>
    <w:rPr>
      <w:rFonts w:ascii="標楷體" w:eastAsia="標楷體" w:hAnsi="Arial"/>
      <w:bCs/>
      <w:kern w:val="32"/>
      <w:sz w:val="32"/>
      <w:szCs w:val="36"/>
    </w:rPr>
  </w:style>
  <w:style w:type="character" w:customStyle="1" w:styleId="20">
    <w:name w:val="標題 2 字元"/>
    <w:basedOn w:val="a7"/>
    <w:link w:val="2"/>
    <w:rsid w:val="00FE18C0"/>
    <w:rPr>
      <w:rFonts w:ascii="標楷體" w:eastAsia="標楷體" w:hAnsi="Arial"/>
      <w:bCs/>
      <w:kern w:val="32"/>
      <w:sz w:val="32"/>
      <w:szCs w:val="48"/>
    </w:rPr>
  </w:style>
  <w:style w:type="character" w:customStyle="1" w:styleId="10">
    <w:name w:val="標題 1 字元"/>
    <w:basedOn w:val="a7"/>
    <w:link w:val="1"/>
    <w:rsid w:val="00DB7C1D"/>
    <w:rPr>
      <w:rFonts w:ascii="標楷體" w:eastAsia="標楷體" w:hAnsi="Arial"/>
      <w:bCs/>
      <w:kern w:val="32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0976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01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5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22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2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6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8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1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h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0D2E-9186-45E0-AD69-31452060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6</TotalTime>
  <Pages>13</Pages>
  <Words>1696</Words>
  <Characters>5618</Characters>
  <Application>Microsoft Office Word</Application>
  <DocSecurity>0</DocSecurity>
  <Lines>1872</Lines>
  <Paragraphs>1218</Paragraphs>
  <ScaleCrop>false</ScaleCrop>
  <Company>cy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jhh</dc:creator>
  <cp:lastModifiedBy>曾莉雯</cp:lastModifiedBy>
  <cp:revision>5</cp:revision>
  <cp:lastPrinted>2019-05-01T09:12:00Z</cp:lastPrinted>
  <dcterms:created xsi:type="dcterms:W3CDTF">2019-05-02T06:03:00Z</dcterms:created>
  <dcterms:modified xsi:type="dcterms:W3CDTF">2019-05-02T06:08:00Z</dcterms:modified>
</cp:coreProperties>
</file>