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8B" w:rsidRPr="008015BF" w:rsidRDefault="00D5308B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24"/>
          <w:szCs w:val="24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  <w:r w:rsidR="008015BF" w:rsidRPr="008015BF">
        <w:rPr>
          <w:rFonts w:hint="eastAsia"/>
          <w:spacing w:val="0"/>
          <w:sz w:val="24"/>
          <w:szCs w:val="24"/>
        </w:rPr>
        <w:t>(公布版)</w:t>
      </w:r>
    </w:p>
    <w:p w:rsidR="00D5308B" w:rsidRDefault="00D5308B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>
        <w:fldChar w:fldCharType="separate"/>
      </w:r>
      <w:r w:rsidR="00056A5E" w:rsidRPr="00DB7F21">
        <w:rPr>
          <w:rFonts w:hint="eastAsia"/>
          <w:noProof/>
        </w:rPr>
        <w:t>審計部函報：國防部105年度涉有違法失職行為之上校階（比照簡任第十職等）以上軍官，僅依陸海空軍懲罰法予以懲處，對部分涉及公務員懲戒法第2條規定應受懲戒情事，未依同法第24條規定移送</w:t>
      </w:r>
      <w:r w:rsidR="000B5879">
        <w:rPr>
          <w:rFonts w:hint="eastAsia"/>
          <w:noProof/>
        </w:rPr>
        <w:t>監察</w:t>
      </w:r>
      <w:r w:rsidR="00056A5E" w:rsidRPr="00DB7F21">
        <w:rPr>
          <w:rFonts w:hint="eastAsia"/>
          <w:noProof/>
        </w:rPr>
        <w:t>院，核與司法院函釋，機關首長認無懲戒必要不移送者，應以情節輕微且已適當懲處為限有間等情案。</w:t>
      </w:r>
      <w:r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353A51" w:rsidRPr="00353A51" w:rsidRDefault="00353A51" w:rsidP="009A16A6">
      <w:pPr>
        <w:pStyle w:val="1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353A51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353A51" w:rsidRPr="00353A51" w:rsidRDefault="00353A51" w:rsidP="00353A51">
      <w:pPr>
        <w:tabs>
          <w:tab w:val="left" w:pos="567"/>
        </w:tabs>
        <w:kinsoku w:val="0"/>
        <w:ind w:leftChars="200" w:left="680" w:firstLineChars="200" w:firstLine="680"/>
        <w:jc w:val="both"/>
        <w:rPr>
          <w:rFonts w:ascii="標楷體"/>
          <w:bCs/>
          <w:kern w:val="0"/>
        </w:rPr>
      </w:pPr>
      <w:bookmarkStart w:id="45" w:name="_Toc524902730"/>
      <w:r w:rsidRPr="00353A51">
        <w:rPr>
          <w:rFonts w:ascii="標楷體" w:hint="eastAsia"/>
          <w:bCs/>
          <w:kern w:val="0"/>
        </w:rPr>
        <w:t>本案緣審計部</w:t>
      </w:r>
      <w:r w:rsidRPr="00353A51">
        <w:rPr>
          <w:rFonts w:ascii="標楷體" w:hint="eastAsia"/>
          <w:kern w:val="0"/>
        </w:rPr>
        <w:t>查核發現，國防部對於所屬</w:t>
      </w:r>
      <w:r w:rsidRPr="00353A51">
        <w:rPr>
          <w:rFonts w:ascii="標楷體" w:hint="eastAsia"/>
          <w:bCs/>
          <w:kern w:val="0"/>
        </w:rPr>
        <w:t>上校階（比照十職等）以上</w:t>
      </w:r>
      <w:r w:rsidRPr="00353A51">
        <w:rPr>
          <w:rFonts w:ascii="標楷體" w:hint="eastAsia"/>
          <w:kern w:val="0"/>
        </w:rPr>
        <w:t>高階軍官違法失職行為，</w:t>
      </w:r>
      <w:proofErr w:type="gramStart"/>
      <w:r w:rsidRPr="00353A51">
        <w:rPr>
          <w:rFonts w:ascii="標楷體" w:hint="eastAsia"/>
          <w:bCs/>
          <w:kern w:val="0"/>
        </w:rPr>
        <w:t>均依</w:t>
      </w:r>
      <w:proofErr w:type="gramEnd"/>
      <w:r w:rsidRPr="00353A51">
        <w:rPr>
          <w:rFonts w:ascii="標楷體" w:hint="eastAsia"/>
          <w:bCs/>
          <w:kern w:val="0"/>
        </w:rPr>
        <w:t>「陸海空軍懲罰法」（下稱懲罰法）予以懲處，其中部分案件涉及公務員懲戒法（下稱公懲法）第2條規定應受懲戒之情事，未依同法第24條規定移送本院審查，涉有違</w:t>
      </w:r>
      <w:proofErr w:type="gramStart"/>
      <w:r w:rsidRPr="00353A51">
        <w:rPr>
          <w:rFonts w:ascii="標楷體" w:hint="eastAsia"/>
          <w:bCs/>
          <w:kern w:val="0"/>
        </w:rPr>
        <w:t>失等情</w:t>
      </w:r>
      <w:proofErr w:type="gramEnd"/>
      <w:r w:rsidRPr="00353A51">
        <w:rPr>
          <w:rFonts w:ascii="標楷體" w:hint="eastAsia"/>
          <w:kern w:val="0"/>
        </w:rPr>
        <w:t>。</w:t>
      </w:r>
      <w:r w:rsidRPr="00353A51">
        <w:rPr>
          <w:rFonts w:ascii="標楷體" w:hint="eastAsia"/>
          <w:bCs/>
          <w:kern w:val="0"/>
        </w:rPr>
        <w:t>經向國防部調閱相關資料，並約請國防部沈一鳴副部長、資源</w:t>
      </w:r>
      <w:proofErr w:type="gramStart"/>
      <w:r w:rsidRPr="00353A51">
        <w:rPr>
          <w:rFonts w:ascii="標楷體" w:hint="eastAsia"/>
          <w:bCs/>
          <w:kern w:val="0"/>
        </w:rPr>
        <w:t>規劃司</w:t>
      </w:r>
      <w:r w:rsidR="006B7A48">
        <w:rPr>
          <w:rFonts w:ascii="標楷體" w:hint="eastAsia"/>
          <w:bCs/>
          <w:kern w:val="0"/>
        </w:rPr>
        <w:t>白○○</w:t>
      </w:r>
      <w:proofErr w:type="gramEnd"/>
      <w:r w:rsidRPr="00353A51">
        <w:rPr>
          <w:rFonts w:ascii="標楷體" w:hint="eastAsia"/>
          <w:bCs/>
          <w:kern w:val="0"/>
        </w:rPr>
        <w:t>司長、法律</w:t>
      </w:r>
      <w:proofErr w:type="gramStart"/>
      <w:r w:rsidRPr="00353A51">
        <w:rPr>
          <w:rFonts w:ascii="標楷體" w:hint="eastAsia"/>
          <w:bCs/>
          <w:kern w:val="0"/>
        </w:rPr>
        <w:t>事務司</w:t>
      </w:r>
      <w:r w:rsidR="006B7A48">
        <w:rPr>
          <w:rFonts w:ascii="標楷體" w:hint="eastAsia"/>
          <w:bCs/>
          <w:kern w:val="0"/>
        </w:rPr>
        <w:t>金</w:t>
      </w:r>
      <w:proofErr w:type="gramEnd"/>
      <w:r w:rsidR="006B7A48">
        <w:rPr>
          <w:rFonts w:ascii="標楷體" w:hint="eastAsia"/>
          <w:bCs/>
          <w:kern w:val="0"/>
        </w:rPr>
        <w:t>○</w:t>
      </w:r>
      <w:r w:rsidRPr="00353A51">
        <w:rPr>
          <w:rFonts w:ascii="標楷體" w:hint="eastAsia"/>
          <w:bCs/>
          <w:kern w:val="0"/>
        </w:rPr>
        <w:t>處長、人事參謀次長室</w:t>
      </w:r>
      <w:r w:rsidR="006B7A48">
        <w:rPr>
          <w:rFonts w:ascii="標楷體" w:hint="eastAsia"/>
          <w:bCs/>
          <w:kern w:val="0"/>
        </w:rPr>
        <w:t>陳○○</w:t>
      </w:r>
      <w:r w:rsidRPr="00353A51">
        <w:rPr>
          <w:rFonts w:ascii="標楷體" w:hint="eastAsia"/>
          <w:bCs/>
          <w:kern w:val="0"/>
        </w:rPr>
        <w:t>處長、總督察長室</w:t>
      </w:r>
      <w:r w:rsidR="006B7A48">
        <w:rPr>
          <w:rFonts w:ascii="標楷體" w:hint="eastAsia"/>
          <w:bCs/>
          <w:kern w:val="0"/>
        </w:rPr>
        <w:t>周○○</w:t>
      </w:r>
      <w:r w:rsidRPr="00353A51">
        <w:rPr>
          <w:rFonts w:ascii="標楷體" w:hint="eastAsia"/>
          <w:bCs/>
          <w:kern w:val="0"/>
        </w:rPr>
        <w:t>副總督察長、人事室</w:t>
      </w:r>
      <w:r w:rsidR="006B7A48">
        <w:rPr>
          <w:rFonts w:ascii="標楷體" w:hint="eastAsia"/>
          <w:bCs/>
          <w:kern w:val="0"/>
        </w:rPr>
        <w:t>林○○</w:t>
      </w:r>
      <w:r w:rsidRPr="00353A51">
        <w:rPr>
          <w:rFonts w:ascii="標楷體" w:hint="eastAsia"/>
          <w:bCs/>
          <w:kern w:val="0"/>
        </w:rPr>
        <w:t>主任等主管人員到</w:t>
      </w:r>
      <w:bookmarkStart w:id="46" w:name="_GoBack"/>
      <w:bookmarkEnd w:id="46"/>
      <w:r w:rsidRPr="00353A51">
        <w:rPr>
          <w:rFonts w:ascii="標楷體" w:hint="eastAsia"/>
          <w:bCs/>
          <w:kern w:val="0"/>
        </w:rPr>
        <w:t>院說明，已調查完畢。調查意見如下：</w:t>
      </w:r>
    </w:p>
    <w:p w:rsidR="00353A51" w:rsidRPr="00353A51" w:rsidRDefault="00353A51" w:rsidP="00353A51">
      <w:pPr>
        <w:numPr>
          <w:ilvl w:val="1"/>
          <w:numId w:val="1"/>
        </w:numPr>
        <w:kinsoku w:val="0"/>
        <w:jc w:val="both"/>
        <w:outlineLvl w:val="1"/>
        <w:rPr>
          <w:rFonts w:ascii="標楷體" w:hAnsi="Arial"/>
          <w:bCs/>
          <w:kern w:val="0"/>
          <w:szCs w:val="48"/>
        </w:rPr>
      </w:pPr>
      <w:bookmarkStart w:id="47" w:name="_Toc524895648"/>
      <w:bookmarkStart w:id="48" w:name="_Toc524896194"/>
      <w:bookmarkStart w:id="49" w:name="_Toc524896224"/>
      <w:bookmarkStart w:id="50" w:name="_Toc524902734"/>
      <w:bookmarkStart w:id="51" w:name="_Toc525066148"/>
      <w:bookmarkStart w:id="52" w:name="_Toc525070839"/>
      <w:bookmarkStart w:id="53" w:name="_Toc525938379"/>
      <w:bookmarkStart w:id="54" w:name="_Toc525939227"/>
      <w:bookmarkStart w:id="55" w:name="_Toc525939732"/>
      <w:bookmarkStart w:id="56" w:name="_Toc529218272"/>
      <w:bookmarkEnd w:id="45"/>
      <w:r w:rsidRPr="00353A51">
        <w:rPr>
          <w:rFonts w:ascii="標楷體" w:hAnsi="Arial" w:hint="eastAsia"/>
          <w:b/>
          <w:bCs/>
          <w:kern w:val="0"/>
          <w:szCs w:val="48"/>
        </w:rPr>
        <w:t>我國公務員行政責任之追究，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採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行政懲處及司法懲戒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併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行之雙軌制。公懲法第2條規定，機關首長對於公務員違失行為，應審酌個案情節輕重，決定有無移送懲戒之「必要」，屬其裁量權限。目前國防部對現役軍人違失行政責任之追究，已修正長久以來「依懲罰法辦理行政懲處，輔以本院主動調查彈劾」之作法，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令頒全軍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改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採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「以懲罰為原則，輔以懲戒」之新制。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r w:rsidRPr="00353A51">
        <w:rPr>
          <w:rFonts w:ascii="標楷體" w:hAnsi="Arial" w:hint="eastAsia"/>
          <w:bCs/>
          <w:kern w:val="0"/>
          <w:szCs w:val="36"/>
        </w:rPr>
        <w:t>我國對公務員行政責任之處罰，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採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司法懲戒及行政懲處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併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行之雙軌制，前者依公懲法由司法機關依法</w:t>
      </w:r>
      <w:r w:rsidRPr="00353A51">
        <w:rPr>
          <w:rFonts w:ascii="標楷體" w:hAnsi="Arial" w:hint="eastAsia"/>
          <w:bCs/>
          <w:kern w:val="0"/>
          <w:szCs w:val="36"/>
        </w:rPr>
        <w:lastRenderedPageBreak/>
        <w:t>處罰，後者依公務人員考績法或其他法規（如警察人員人事條例等），由公務員服務之機關行之。「陸海空軍懲罰法」屬軍事行政懲罰權，其性質相當於公務人員考績法中平時考核之「行政懲處」。公懲法第2條原規定公務員應受懲戒之事由為「違法、廢弛職務或其他失職行為」，民國（下同）104年5月20日修正（105年5月2日施行）新增「必要」之要件，賦予機關首長視所屬公務員違失行為之情節，決定是否送請本院審查或逕行移付懲戒之裁量權限。</w:t>
      </w:r>
    </w:p>
    <w:p w:rsidR="00353A51" w:rsidRPr="00353A51" w:rsidRDefault="00353A51" w:rsidP="00900C30">
      <w:pPr>
        <w:pStyle w:val="3"/>
        <w:ind w:left="1360" w:hanging="680"/>
      </w:pPr>
      <w:r w:rsidRPr="00353A51">
        <w:rPr>
          <w:rFonts w:hint="eastAsia"/>
        </w:rPr>
        <w:t>經查，過去國防部就現役軍人行政責任之追究，除本院彈劾成立之案件外，</w:t>
      </w:r>
      <w:proofErr w:type="gramStart"/>
      <w:r w:rsidRPr="00353A51">
        <w:rPr>
          <w:rFonts w:hint="eastAsia"/>
        </w:rPr>
        <w:t>均依</w:t>
      </w:r>
      <w:proofErr w:type="gramEnd"/>
      <w:r w:rsidRPr="00353A51">
        <w:rPr>
          <w:rFonts w:hint="eastAsia"/>
        </w:rPr>
        <w:t>「陸海空軍懲罰法」辦理，</w:t>
      </w:r>
      <w:r w:rsidR="009102CD">
        <w:rPr>
          <w:rFonts w:hint="eastAsia"/>
        </w:rPr>
        <w:t>故</w:t>
      </w:r>
      <w:r w:rsidRPr="00353A51">
        <w:rPr>
          <w:rFonts w:hint="eastAsia"/>
        </w:rPr>
        <w:t>對於上校階以上高階軍官違失行為，迄今未有主動移送本院審查之案例。審計部認為該作法已違反公懲法第2條之規定。經</w:t>
      </w:r>
      <w:proofErr w:type="gramStart"/>
      <w:r w:rsidRPr="00353A51">
        <w:rPr>
          <w:rFonts w:hint="eastAsia"/>
        </w:rPr>
        <w:t>國防部聲復認為</w:t>
      </w:r>
      <w:proofErr w:type="gramEnd"/>
      <w:r w:rsidRPr="00353A51">
        <w:rPr>
          <w:rFonts w:hint="eastAsia"/>
        </w:rPr>
        <w:t>，</w:t>
      </w:r>
      <w:proofErr w:type="gramStart"/>
      <w:r w:rsidRPr="00353A51">
        <w:rPr>
          <w:rFonts w:hint="eastAsia"/>
        </w:rPr>
        <w:t>軍人過犯之</w:t>
      </w:r>
      <w:proofErr w:type="gramEnd"/>
      <w:r w:rsidRPr="00353A51">
        <w:rPr>
          <w:rFonts w:hint="eastAsia"/>
        </w:rPr>
        <w:t>懲罰程序明確迅速，懲戒程序嚴謹耗時，故現役軍人違法失職仍應優先適用「行政懲處」，輔以監察院主動調查彈劾制度。相關疑義，國防部函請公懲法主管機關司法院釋示，司法院106年9月18日</w:t>
      </w:r>
      <w:proofErr w:type="gramStart"/>
      <w:r w:rsidRPr="00353A51">
        <w:rPr>
          <w:rFonts w:hint="eastAsia"/>
        </w:rPr>
        <w:t>函釋略以</w:t>
      </w:r>
      <w:proofErr w:type="gramEnd"/>
      <w:r w:rsidRPr="00353A51">
        <w:rPr>
          <w:vertAlign w:val="superscript"/>
        </w:rPr>
        <w:footnoteReference w:id="1"/>
      </w:r>
      <w:r w:rsidRPr="00353A51">
        <w:rPr>
          <w:rFonts w:hint="eastAsia"/>
        </w:rPr>
        <w:t>：「公務員懲戒權係屬司法權，軍人之違法失職行為亦適用公務員懲戒程序。…</w:t>
      </w:r>
      <w:proofErr w:type="gramStart"/>
      <w:r w:rsidRPr="00353A51">
        <w:rPr>
          <w:rFonts w:hint="eastAsia"/>
        </w:rPr>
        <w:t>…</w:t>
      </w:r>
      <w:proofErr w:type="gramEnd"/>
      <w:r w:rsidRPr="00353A51">
        <w:rPr>
          <w:rFonts w:hint="eastAsia"/>
        </w:rPr>
        <w:t>懲戒法新法第2條新增『必要』之目的，在於賦予機關首長視公務員違失行為情節之輕重，決定是否送請懲戒之權限，如機關首長認所屬公務員違法失職行為之情節輕微，行使職務監督權已足以維持公務紀律，則無一律移送懲戒之必要。</w:t>
      </w:r>
      <w:proofErr w:type="gramStart"/>
      <w:r w:rsidR="00900C30" w:rsidRPr="00900C30">
        <w:rPr>
          <w:rFonts w:hint="eastAsia"/>
        </w:rPr>
        <w:t>從而，</w:t>
      </w:r>
      <w:proofErr w:type="gramEnd"/>
      <w:r w:rsidR="00900C30" w:rsidRPr="00900C30">
        <w:rPr>
          <w:rFonts w:hint="eastAsia"/>
        </w:rPr>
        <w:t>機關首長行使前述裁量權，認無懲戒之必要而不移送之案件，理應以情節輕微，且已對有違失之公務員行使</w:t>
      </w:r>
      <w:r w:rsidR="00900C30" w:rsidRPr="00900C30">
        <w:rPr>
          <w:rFonts w:hint="eastAsia"/>
        </w:rPr>
        <w:lastRenderedPageBreak/>
        <w:t>職務監督權，予以適當懲處之案例為限。</w:t>
      </w:r>
      <w:r w:rsidRPr="00353A51">
        <w:rPr>
          <w:rFonts w:hint="eastAsia"/>
        </w:rPr>
        <w:t>…</w:t>
      </w:r>
      <w:proofErr w:type="gramStart"/>
      <w:r w:rsidRPr="00353A51">
        <w:rPr>
          <w:rFonts w:hint="eastAsia"/>
        </w:rPr>
        <w:t>…</w:t>
      </w:r>
      <w:proofErr w:type="gramEnd"/>
      <w:r w:rsidRPr="00353A51">
        <w:rPr>
          <w:rFonts w:hint="eastAsia"/>
        </w:rPr>
        <w:t>」司法院函釋後，國防部於107年4月3日令發「司法院函釋違法失職現役軍人主動移請懲戒之要件」，請所屬照辦</w:t>
      </w:r>
      <w:r w:rsidRPr="00353A51">
        <w:rPr>
          <w:vertAlign w:val="superscript"/>
        </w:rPr>
        <w:footnoteReference w:id="2"/>
      </w:r>
      <w:r w:rsidRPr="00353A51">
        <w:rPr>
          <w:rFonts w:hint="eastAsia"/>
        </w:rPr>
        <w:t>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r w:rsidRPr="00353A51">
        <w:rPr>
          <w:rFonts w:ascii="標楷體" w:hAnsi="Arial" w:hint="eastAsia"/>
          <w:bCs/>
          <w:kern w:val="0"/>
          <w:szCs w:val="36"/>
        </w:rPr>
        <w:t>本院審酌認為，機關首長對於所屬公務員違法失職是否移送懲戒，固屬其裁量權之範圍。然而機關若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怠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於斟酌個案違失情節，一律適用行政懲處，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即屬裁量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怠惰，有構成裁量瑕疵之虞。本案司法院函釋明確指出國防部過去的作法不符公懲法相關規定，國防部隨即於107年4月3日將司法院函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釋令頒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全軍知悉，修正「優先依懲罰法辦理行政懲處，輔以本院主動調查彈劾」之作法，改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採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「以懲罰為原則，輔以懲戒」之新制，確已積極檢討。然該新制既涉及軍人責任追究原則之變更，國防部及所屬機關迄無實際作業經驗及相關案例，是以該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部仍宜律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定審酌標準及案例，作為行使裁量權限之參考。</w:t>
      </w:r>
    </w:p>
    <w:p w:rsidR="00353A51" w:rsidRPr="00353A51" w:rsidRDefault="00353A51" w:rsidP="00353A51">
      <w:pPr>
        <w:numPr>
          <w:ilvl w:val="1"/>
          <w:numId w:val="1"/>
        </w:numPr>
        <w:kinsoku w:val="0"/>
        <w:jc w:val="both"/>
        <w:outlineLvl w:val="1"/>
        <w:rPr>
          <w:rFonts w:ascii="標楷體" w:hAnsi="Arial"/>
          <w:b/>
          <w:bCs/>
          <w:kern w:val="0"/>
          <w:szCs w:val="48"/>
        </w:rPr>
      </w:pPr>
      <w:r w:rsidRPr="00353A51">
        <w:rPr>
          <w:rFonts w:ascii="標楷體" w:hAnsi="Arial" w:hint="eastAsia"/>
          <w:b/>
          <w:bCs/>
          <w:kern w:val="0"/>
          <w:szCs w:val="48"/>
        </w:rPr>
        <w:t>國防部對於現役軍人違失行政責任之追究，著眼於軍事指揮權與賞罰權合一及部隊管理的實際需求，有歷史之緣由，與一般文官體系容或有不同考量之處。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惟裁量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權之行使，須探究法律授權之目的。公務員懲戒除整飭官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箴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外，兼有由司法機關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踐行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客觀公正程序，發現真實，保障受處分人不受恣意或失當處罰之目的。且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鑑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於軍事機關高度封閉及講究服從的特質，本院依憲法第96條及監察法第26條賦予之調查權，可發掘及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導正軍中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制度面、運作面缺失，有助於保障軍中人權，建立法治化的領導統御。因此，國防部仍應兼顧社會對維護軍中人權及查明真相之要求，自不宜僅以能否「維持軍紀」為單一考量。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r w:rsidRPr="00353A51">
        <w:rPr>
          <w:rFonts w:ascii="標楷體" w:hAnsi="Arial" w:hint="eastAsia"/>
          <w:bCs/>
          <w:kern w:val="0"/>
          <w:szCs w:val="36"/>
        </w:rPr>
        <w:lastRenderedPageBreak/>
        <w:t>國防部雖同意改變過去的處理原則，但對於現役高階軍官涉及何種類型違失行為應移送本院審查乙節，與審計部之立場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迥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異。審計部認為，不移送監察院審查者，應以「情節輕微且己適當懲處者」為限；國防部則認為，依司法院106年9月18日函釋意旨及司法院釋字第262號解釋，軍人如有違失行為，原則上仍應依懲罰法核予適當之懲罰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僅於違失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行為「情節重大，行政懲罰尚無法維持軍紀，而有懲戒之必要」時，經權責長官裁量，始移送本院審查</w:t>
      </w:r>
      <w:r w:rsidRPr="00353A51">
        <w:rPr>
          <w:rFonts w:ascii="標楷體" w:hAnsi="Arial"/>
          <w:bCs/>
          <w:kern w:val="0"/>
          <w:szCs w:val="36"/>
          <w:vertAlign w:val="superscript"/>
        </w:rPr>
        <w:footnoteReference w:id="3"/>
      </w:r>
      <w:r w:rsidRPr="00353A51">
        <w:rPr>
          <w:rFonts w:ascii="標楷體" w:hAnsi="Arial" w:hint="eastAsia"/>
          <w:bCs/>
          <w:kern w:val="0"/>
          <w:szCs w:val="36"/>
        </w:rPr>
        <w:t>。另審計部具體指出若干個案之違失情節重大，嚴重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斲傷軍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譽；國防部則辯稱，各該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案件均已按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懲罰法核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予適懲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，並無經權責長官認有懲戒之必要而移請監察院審查之案例。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r w:rsidRPr="00353A51">
        <w:rPr>
          <w:rFonts w:ascii="標楷體" w:hAnsi="Arial" w:hint="eastAsia"/>
          <w:bCs/>
          <w:kern w:val="0"/>
          <w:szCs w:val="36"/>
        </w:rPr>
        <w:t>國防部以懲罰為追究軍人違失行為之原則，理由在於懲罰較適合部隊管理，有其立論之依據。該部表示：軍人與公務人員身分及任務屬性不同，軍人自入營後之服役、任官、任職，分別有「陸海空軍軍官士官服役條例」、「陸海空軍軍官士官任官條例」、「陸海空軍軍官士官任職條例」予以規範，陸海空軍懲罰法之「懲罰」雖屬行政懲罰，然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其態樣及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處罰方式，實施多年及經過一再修正，已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臻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於具體明確，其懲罰效果與上述法規連動，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且懲度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亦較懲戒為高，程序上講求時效，較重之處分（丙等或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1次記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2大過以上）者，即列入不適合服役會議，檢討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汰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除，由聯參管制進行相關作業。且基於軍事</w:t>
      </w:r>
      <w:r w:rsidRPr="00353A51">
        <w:rPr>
          <w:rFonts w:ascii="標楷體" w:hAnsi="Arial" w:hint="eastAsia"/>
          <w:bCs/>
          <w:kern w:val="0"/>
          <w:szCs w:val="36"/>
        </w:rPr>
        <w:lastRenderedPageBreak/>
        <w:t>指揮權與賞罰權合一之原則，該部針對軍紀要求重點，律定高度的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汰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除標準，有助於軍紀之維護。相較而言，懲戒程序耗時嚴謹，移送監察院審查及移付懲戒審理中，違失人員受管制不得申請退伍，其等無處可去，占編餘人員職缺，造成部隊管理的困擾等語。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r w:rsidRPr="00353A51">
        <w:rPr>
          <w:rFonts w:ascii="標楷體" w:hAnsi="Arial" w:hint="eastAsia"/>
          <w:bCs/>
          <w:kern w:val="0"/>
          <w:szCs w:val="36"/>
        </w:rPr>
        <w:t>本院亦認為，軍人之懲戒在79年司法院釋字第262號解釋前，係由軍事機關依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懲罰法行之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；釋字第262號解釋後，除本院彈劾之案件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循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懲戒程序行之外，其他仍由軍事機關依懲罰法予以懲罰</w:t>
      </w:r>
      <w:r w:rsidRPr="00353A51">
        <w:rPr>
          <w:rFonts w:ascii="標楷體" w:hAnsi="Arial"/>
          <w:bCs/>
          <w:kern w:val="0"/>
          <w:szCs w:val="36"/>
          <w:vertAlign w:val="superscript"/>
        </w:rPr>
        <w:footnoteReference w:id="4"/>
      </w:r>
      <w:r w:rsidRPr="00353A51">
        <w:rPr>
          <w:rFonts w:ascii="標楷體" w:hAnsi="Arial" w:hint="eastAsia"/>
          <w:bCs/>
          <w:kern w:val="0"/>
          <w:szCs w:val="36"/>
        </w:rPr>
        <w:t>，因此國防部對於軍人過犯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採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懲罰為原則，有歷史之緣由</w:t>
      </w:r>
      <w:r w:rsidRPr="00353A51">
        <w:rPr>
          <w:rFonts w:ascii="新細明體" w:eastAsia="新細明體" w:hAnsi="新細明體" w:cs="新細明體" w:hint="eastAsia"/>
          <w:bCs/>
          <w:kern w:val="0"/>
          <w:sz w:val="24"/>
          <w:szCs w:val="24"/>
        </w:rPr>
        <w:t>。</w:t>
      </w:r>
      <w:r w:rsidRPr="00353A51">
        <w:rPr>
          <w:rFonts w:ascii="標楷體" w:hAnsi="Arial" w:hint="eastAsia"/>
          <w:bCs/>
          <w:kern w:val="0"/>
          <w:szCs w:val="36"/>
        </w:rPr>
        <w:t>又，國防部為嚴肅軍紀，強化國軍戰力，針對軍人違犯酒後駕車、吸（持）毒品、賭博、違犯性騷擾、男女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分際等行為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，列為重大違法違紀案件，要求各軍事機關對於違反該等案件之現役軍人，應依懲罰程序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汰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除，全部作業（包含召開評議會、不適服現役人評會、發布人事命令、依法送達、送審、核定等）嚴格控管時效，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於違失肇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生日後45個工作日內完成。此有國防部106年4月25日國人勤務字第1060006567號令及「國軍辦理不適服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汰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除作業程序」可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稽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。而懲罰法於104年5月大幅修正，強化懲</w:t>
      </w:r>
      <w:r w:rsidRPr="00353A51">
        <w:rPr>
          <w:rFonts w:ascii="標楷體" w:hAnsi="Arial" w:hint="eastAsia"/>
          <w:bCs/>
          <w:kern w:val="0"/>
          <w:szCs w:val="36"/>
        </w:rPr>
        <w:lastRenderedPageBreak/>
        <w:t>罰及救濟之正當程序，依該法第3章（第28至32條）規定，權責長官知悉所屬現役軍人有違失行為者，應即實施調查，調查結果認為有施以撤職、降階、降級、記大過、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罰薪或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悔過懲罰之必要時，應召開評議會決議，評議會由權責長官指定適當階級及專業人員5至11人組成，其中性別比例不得少於3分</w:t>
      </w:r>
      <w:r w:rsidR="004A4EB1">
        <w:rPr>
          <w:rFonts w:ascii="標楷體" w:hAnsi="Arial" w:hint="eastAsia"/>
          <w:bCs/>
          <w:kern w:val="0"/>
          <w:szCs w:val="36"/>
        </w:rPr>
        <w:t>之</w:t>
      </w:r>
      <w:r w:rsidRPr="00353A51">
        <w:rPr>
          <w:rFonts w:ascii="標楷體" w:hAnsi="Arial" w:hint="eastAsia"/>
          <w:bCs/>
          <w:kern w:val="0"/>
          <w:szCs w:val="36"/>
        </w:rPr>
        <w:t>1；被懲罰人對懲罰處分如有不服，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均得向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上級申訴。對撤職、降階、降級、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罰薪及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悔過之處分，得提起訴願、行政訴訟。涉及人身自由受拘束者，得向法院或執行單位提出異議，由法院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準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用提審法之規定處理。亦即現行懲罰程序已能注意軍中領導統御法治化及懲處的正當程序，故國防部所持理由，尚非無據。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proofErr w:type="gramStart"/>
      <w:r w:rsidRPr="00353A51">
        <w:rPr>
          <w:rFonts w:ascii="標楷體" w:hAnsi="Arial" w:hint="eastAsia"/>
          <w:bCs/>
          <w:kern w:val="0"/>
          <w:szCs w:val="36"/>
        </w:rPr>
        <w:t>惟裁量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權之行使，須探究法律授權之目的，從正反不同觀點進行斟酌。國防部將「行政懲罰尚無法維持軍紀」，作為移送本院審查之前提要件，實有待商榷。詳言之：</w:t>
      </w:r>
    </w:p>
    <w:p w:rsidR="00353A51" w:rsidRPr="00353A51" w:rsidRDefault="00353A51" w:rsidP="00353A51">
      <w:pPr>
        <w:numPr>
          <w:ilvl w:val="3"/>
          <w:numId w:val="1"/>
        </w:numPr>
        <w:jc w:val="both"/>
        <w:outlineLvl w:val="3"/>
        <w:rPr>
          <w:rFonts w:ascii="標楷體" w:hAnsi="Arial"/>
          <w:szCs w:val="36"/>
        </w:rPr>
      </w:pPr>
      <w:r w:rsidRPr="00353A51">
        <w:rPr>
          <w:rFonts w:ascii="標楷體" w:hAnsi="Arial" w:hint="eastAsia"/>
          <w:szCs w:val="36"/>
        </w:rPr>
        <w:t>公懲會105年5月26日法律座談會決議第119案指出：「…</w:t>
      </w:r>
      <w:proofErr w:type="gramStart"/>
      <w:r w:rsidRPr="00353A51">
        <w:rPr>
          <w:rFonts w:ascii="標楷體" w:hAnsi="Arial" w:hint="eastAsia"/>
          <w:szCs w:val="36"/>
        </w:rPr>
        <w:t>…</w:t>
      </w:r>
      <w:proofErr w:type="gramEnd"/>
      <w:r w:rsidRPr="00353A51">
        <w:rPr>
          <w:rFonts w:ascii="標楷體" w:hAnsi="Arial" w:hint="eastAsia"/>
          <w:szCs w:val="36"/>
        </w:rPr>
        <w:t>公懲法第2 條是否『有懲戒之必要』及第 2 條第 2 款是否『致嚴重損害政府之信譽』，</w:t>
      </w:r>
      <w:proofErr w:type="gramStart"/>
      <w:r w:rsidRPr="00353A51">
        <w:rPr>
          <w:rFonts w:ascii="標楷體" w:hAnsi="Arial" w:hint="eastAsia"/>
          <w:szCs w:val="36"/>
        </w:rPr>
        <w:t>宜依其</w:t>
      </w:r>
      <w:proofErr w:type="gramEnd"/>
      <w:r w:rsidRPr="00353A51">
        <w:rPr>
          <w:rFonts w:ascii="標楷體" w:hAnsi="Arial" w:hint="eastAsia"/>
          <w:szCs w:val="36"/>
        </w:rPr>
        <w:t>具體個案認定。</w:t>
      </w:r>
      <w:proofErr w:type="gramStart"/>
      <w:r w:rsidRPr="00353A51">
        <w:rPr>
          <w:rFonts w:ascii="標楷體" w:hAnsi="Arial" w:hint="eastAsia"/>
          <w:szCs w:val="36"/>
        </w:rPr>
        <w:t>惟</w:t>
      </w:r>
      <w:proofErr w:type="gramEnd"/>
      <w:r w:rsidRPr="00353A51">
        <w:rPr>
          <w:rFonts w:ascii="標楷體" w:hAnsi="Arial" w:hint="eastAsia"/>
          <w:szCs w:val="36"/>
        </w:rPr>
        <w:t>不宜以『機關首長行使職務監督權已足以維持公務紀律』，為依公懲法第 2 條判斷『無懲戒之必要』之理由」。且</w:t>
      </w:r>
      <w:r w:rsidRPr="00353A51">
        <w:rPr>
          <w:rFonts w:ascii="標楷體" w:hAnsi="Arial" w:hint="eastAsia"/>
          <w:bCs/>
          <w:szCs w:val="36"/>
        </w:rPr>
        <w:t>懲罰法係對</w:t>
      </w:r>
      <w:proofErr w:type="gramStart"/>
      <w:r w:rsidRPr="00353A51">
        <w:rPr>
          <w:rFonts w:ascii="標楷體" w:hAnsi="Arial" w:hint="eastAsia"/>
          <w:bCs/>
          <w:szCs w:val="36"/>
        </w:rPr>
        <w:t>軍人過犯施加</w:t>
      </w:r>
      <w:proofErr w:type="gramEnd"/>
      <w:r w:rsidRPr="00353A51">
        <w:rPr>
          <w:rFonts w:ascii="標楷體" w:hAnsi="Arial" w:hint="eastAsia"/>
          <w:bCs/>
          <w:szCs w:val="36"/>
        </w:rPr>
        <w:t>之紀律性懲罰，屬軍事行政權之範疇；公懲法則為司法懲戒權的範疇，其</w:t>
      </w:r>
      <w:r w:rsidRPr="00353A51">
        <w:rPr>
          <w:rFonts w:ascii="標楷體" w:hAnsi="Arial" w:hint="eastAsia"/>
          <w:szCs w:val="36"/>
        </w:rPr>
        <w:t>適用對象，依公務員服務法第24條規定，及於受有俸給之文武職公務員</w:t>
      </w:r>
      <w:r w:rsidRPr="00353A51">
        <w:rPr>
          <w:rFonts w:ascii="標楷體" w:hAnsi="Arial" w:hint="eastAsia"/>
          <w:bCs/>
          <w:szCs w:val="36"/>
        </w:rPr>
        <w:t>。</w:t>
      </w:r>
      <w:r w:rsidRPr="00353A51">
        <w:rPr>
          <w:rFonts w:ascii="標楷體" w:hAnsi="Arial" w:hint="eastAsia"/>
          <w:szCs w:val="36"/>
        </w:rPr>
        <w:t>公務員懲戒制度除整飭官</w:t>
      </w:r>
      <w:proofErr w:type="gramStart"/>
      <w:r w:rsidRPr="00353A51">
        <w:rPr>
          <w:rFonts w:ascii="標楷體" w:hAnsi="Arial" w:hint="eastAsia"/>
          <w:szCs w:val="36"/>
        </w:rPr>
        <w:t>箴</w:t>
      </w:r>
      <w:proofErr w:type="gramEnd"/>
      <w:r w:rsidRPr="00353A51">
        <w:rPr>
          <w:rFonts w:ascii="標楷體" w:hAnsi="Arial" w:hint="eastAsia"/>
          <w:szCs w:val="36"/>
        </w:rPr>
        <w:t>外，兼有由司法機關</w:t>
      </w:r>
      <w:proofErr w:type="gramStart"/>
      <w:r w:rsidRPr="00353A51">
        <w:rPr>
          <w:rFonts w:ascii="標楷體" w:hAnsi="Arial" w:hint="eastAsia"/>
          <w:szCs w:val="36"/>
        </w:rPr>
        <w:t>踐行</w:t>
      </w:r>
      <w:proofErr w:type="gramEnd"/>
      <w:r w:rsidRPr="00353A51">
        <w:rPr>
          <w:rFonts w:ascii="標楷體" w:hAnsi="Arial" w:hint="eastAsia"/>
          <w:szCs w:val="36"/>
        </w:rPr>
        <w:t>客觀公正之程序，發現真實，保障受處分人不受恣意或失當處罰。況且軍中獎懲講究「</w:t>
      </w:r>
      <w:proofErr w:type="gramStart"/>
      <w:r w:rsidRPr="00353A51">
        <w:rPr>
          <w:rFonts w:ascii="標楷體" w:hAnsi="Arial" w:hint="eastAsia"/>
          <w:szCs w:val="36"/>
        </w:rPr>
        <w:t>重獎重懲</w:t>
      </w:r>
      <w:proofErr w:type="gramEnd"/>
      <w:r w:rsidRPr="00353A51">
        <w:rPr>
          <w:rFonts w:ascii="標楷體" w:hAnsi="Arial" w:hint="eastAsia"/>
          <w:szCs w:val="36"/>
        </w:rPr>
        <w:t>」、「</w:t>
      </w:r>
      <w:proofErr w:type="gramStart"/>
      <w:r w:rsidRPr="00353A51">
        <w:rPr>
          <w:rFonts w:ascii="標楷體" w:hAnsi="Arial" w:hint="eastAsia"/>
          <w:szCs w:val="36"/>
        </w:rPr>
        <w:t>即懲即</w:t>
      </w:r>
      <w:proofErr w:type="gramEnd"/>
      <w:r w:rsidRPr="00353A51">
        <w:rPr>
          <w:rFonts w:ascii="標楷體" w:hAnsi="Arial" w:hint="eastAsia"/>
          <w:szCs w:val="36"/>
        </w:rPr>
        <w:t>決」，</w:t>
      </w:r>
      <w:r w:rsidRPr="00353A51">
        <w:rPr>
          <w:rFonts w:ascii="標楷體" w:hAnsi="Arial" w:hint="eastAsia"/>
          <w:szCs w:val="36"/>
        </w:rPr>
        <w:lastRenderedPageBreak/>
        <w:t>懲罰程序注重時效，懲度一般而言較重，如以「懲罰無法維持軍紀」為移付懲戒的前提，</w:t>
      </w:r>
      <w:r w:rsidR="004A4EB1">
        <w:rPr>
          <w:rFonts w:ascii="標楷體" w:hAnsi="Arial" w:hint="eastAsia"/>
          <w:szCs w:val="36"/>
        </w:rPr>
        <w:t>則</w:t>
      </w:r>
      <w:r w:rsidRPr="00353A51">
        <w:rPr>
          <w:rFonts w:ascii="標楷體" w:hAnsi="Arial" w:hint="eastAsia"/>
          <w:szCs w:val="36"/>
        </w:rPr>
        <w:t>高階軍官之違失豈非毫無主動移送本院審查的空間？國防部前開見解，顯然忽略司法懲戒的制度目的。</w:t>
      </w:r>
    </w:p>
    <w:p w:rsidR="00353A51" w:rsidRPr="00353A51" w:rsidRDefault="00353A51" w:rsidP="00353A51">
      <w:pPr>
        <w:numPr>
          <w:ilvl w:val="3"/>
          <w:numId w:val="1"/>
        </w:numPr>
        <w:jc w:val="both"/>
        <w:outlineLvl w:val="3"/>
        <w:rPr>
          <w:rFonts w:ascii="標楷體" w:hAnsi="Arial"/>
          <w:szCs w:val="36"/>
        </w:rPr>
      </w:pPr>
      <w:proofErr w:type="gramStart"/>
      <w:r w:rsidRPr="00353A51">
        <w:rPr>
          <w:rFonts w:ascii="標楷體" w:hAnsi="Arial" w:hint="eastAsia"/>
          <w:szCs w:val="36"/>
        </w:rPr>
        <w:t>再者，</w:t>
      </w:r>
      <w:proofErr w:type="gramEnd"/>
      <w:r w:rsidRPr="00353A51">
        <w:rPr>
          <w:rFonts w:ascii="標楷體" w:hAnsi="Arial" w:hint="eastAsia"/>
          <w:szCs w:val="36"/>
        </w:rPr>
        <w:t>本院依憲法第96條賦予調查各機關違法失職之職權；監察法第26條更明定本院行使監察調查權時，</w:t>
      </w:r>
      <w:proofErr w:type="gramStart"/>
      <w:r w:rsidRPr="00353A51">
        <w:rPr>
          <w:rFonts w:ascii="標楷體" w:hAnsi="Arial" w:hint="eastAsia"/>
          <w:szCs w:val="36"/>
        </w:rPr>
        <w:t>得赴各</w:t>
      </w:r>
      <w:proofErr w:type="gramEnd"/>
      <w:r w:rsidRPr="00353A51">
        <w:rPr>
          <w:rFonts w:ascii="標楷體" w:hAnsi="Arial" w:hint="eastAsia"/>
          <w:szCs w:val="36"/>
        </w:rPr>
        <w:t>部隊進行調查，發掘及導正制度面、運作面缺失。此一職權之行使，有助於衡平軍事機關封閉、高壓及講究服從之特性，協助建立領導統御法制化。因此，國防部考量是否移送本院審查之際，應尊重監察職權，兼顧社會對維護軍中人權及查明真相之要求。</w:t>
      </w:r>
    </w:p>
    <w:p w:rsidR="00353A51" w:rsidRPr="00353A51" w:rsidRDefault="00353A51" w:rsidP="00353A51">
      <w:pPr>
        <w:numPr>
          <w:ilvl w:val="3"/>
          <w:numId w:val="1"/>
        </w:numPr>
        <w:jc w:val="both"/>
        <w:outlineLvl w:val="3"/>
        <w:rPr>
          <w:rFonts w:ascii="標楷體" w:hAnsi="Arial"/>
          <w:szCs w:val="36"/>
        </w:rPr>
      </w:pPr>
      <w:r w:rsidRPr="00353A51">
        <w:rPr>
          <w:rFonts w:ascii="標楷體" w:hAnsi="Arial" w:hint="eastAsia"/>
          <w:szCs w:val="36"/>
        </w:rPr>
        <w:t>我國由威權體制轉型至民主法治的多元社會，軍隊亦早已揚棄過去視為牢不可破的「特別權力關係」。近年來民眾對於軍</w:t>
      </w:r>
      <w:proofErr w:type="gramStart"/>
      <w:r w:rsidRPr="00353A51">
        <w:rPr>
          <w:rFonts w:ascii="標楷體" w:hAnsi="Arial" w:hint="eastAsia"/>
          <w:szCs w:val="36"/>
        </w:rPr>
        <w:t>中霸凌、</w:t>
      </w:r>
      <w:proofErr w:type="gramEnd"/>
      <w:r w:rsidRPr="00353A51">
        <w:rPr>
          <w:rFonts w:ascii="標楷體" w:hAnsi="Arial" w:hint="eastAsia"/>
          <w:szCs w:val="36"/>
        </w:rPr>
        <w:t>不當管教、違反性自主或性騷擾等事件，可謂深惡痛絕，國防部如未妥慎處理，往往引發重大民怨。本院第5屆監察委員就職以來，已主動調查</w:t>
      </w:r>
      <w:proofErr w:type="gramStart"/>
      <w:r w:rsidRPr="00353A51">
        <w:rPr>
          <w:rFonts w:ascii="標楷體" w:hAnsi="Arial" w:hint="eastAsia"/>
          <w:szCs w:val="36"/>
        </w:rPr>
        <w:t>多件軍中</w:t>
      </w:r>
      <w:proofErr w:type="gramEnd"/>
      <w:r w:rsidRPr="00353A51">
        <w:rPr>
          <w:rFonts w:ascii="標楷體" w:hAnsi="Arial" w:hint="eastAsia"/>
          <w:szCs w:val="36"/>
        </w:rPr>
        <w:t>高階長官利用職權對部屬涉犯性騷擾之案件，例如陸軍十軍團上校參謀主任仲崇嶠於104年7月涉嫌強制猥褻並誣告女性部屬案（106年</w:t>
      </w:r>
      <w:proofErr w:type="gramStart"/>
      <w:r w:rsidRPr="00353A51">
        <w:rPr>
          <w:rFonts w:ascii="標楷體" w:hAnsi="Arial" w:hint="eastAsia"/>
          <w:szCs w:val="36"/>
        </w:rPr>
        <w:t>劾</w:t>
      </w:r>
      <w:proofErr w:type="gramEnd"/>
      <w:r w:rsidRPr="00353A51">
        <w:rPr>
          <w:rFonts w:ascii="標楷體" w:hAnsi="Arial" w:hint="eastAsia"/>
          <w:szCs w:val="36"/>
        </w:rPr>
        <w:t>字第18號懲戒案件），該案軍方於處理之初草率認定性騷擾不成立，檢察官對仲上校提起公訴後，竟於3日內火速核准其退伍，造成輿論嘩然。為防杜高階軍官涉及重大</w:t>
      </w:r>
      <w:proofErr w:type="gramStart"/>
      <w:r w:rsidRPr="00353A51">
        <w:rPr>
          <w:rFonts w:ascii="標楷體" w:hAnsi="Arial" w:hint="eastAsia"/>
          <w:szCs w:val="36"/>
        </w:rPr>
        <w:t>違失後</w:t>
      </w:r>
      <w:proofErr w:type="gramEnd"/>
      <w:r w:rsidRPr="00353A51">
        <w:rPr>
          <w:rFonts w:ascii="標楷體" w:hAnsi="Arial" w:hint="eastAsia"/>
          <w:szCs w:val="36"/>
        </w:rPr>
        <w:t>，立即報退之情事再度發生，「陸海空軍軍官士官服役條例」（下稱服役條例）於107年6月21日修正第15條第4項，增訂現役軍人因案移送懲戒或送請本院審查中，即不受理申請退伍。但懲罰法並無類似之規定（僅</w:t>
      </w:r>
      <w:r w:rsidRPr="00353A51">
        <w:rPr>
          <w:rFonts w:ascii="標楷體" w:hAnsi="Arial" w:hint="eastAsia"/>
          <w:szCs w:val="36"/>
        </w:rPr>
        <w:lastRenderedPageBreak/>
        <w:t>服役條例24條將「受撤職處分」列為不發退除給與之事由），值得國防部作為處理類似案件的借鏡。</w:t>
      </w:r>
    </w:p>
    <w:p w:rsidR="00353A51" w:rsidRPr="00353A51" w:rsidRDefault="00353A51" w:rsidP="00353A51">
      <w:pPr>
        <w:numPr>
          <w:ilvl w:val="3"/>
          <w:numId w:val="1"/>
        </w:numPr>
        <w:jc w:val="both"/>
        <w:outlineLvl w:val="3"/>
        <w:rPr>
          <w:rFonts w:ascii="標楷體" w:hAnsi="Arial"/>
          <w:szCs w:val="36"/>
        </w:rPr>
      </w:pPr>
      <w:r w:rsidRPr="00353A51">
        <w:rPr>
          <w:rFonts w:ascii="標楷體" w:hAnsi="Arial" w:hint="eastAsia"/>
          <w:szCs w:val="36"/>
        </w:rPr>
        <w:t>目前國防部雖致力建立完善的內控機制，但從國際公約而言，我國正推動「禁止酷刑及其他殘忍不人道或有辱人格之待遇或處罰公約」內國法化，該公約有關「酷刑」的涵義甚廣，與其他國際人權公約不同者，在於須於國內設立獨立的國家防制機制，檢視與監測各政府機關之作為及措施是否符合</w:t>
      </w:r>
      <w:r w:rsidR="004A4EB1">
        <w:rPr>
          <w:rFonts w:ascii="標楷體" w:hAnsi="Arial" w:hint="eastAsia"/>
          <w:szCs w:val="36"/>
        </w:rPr>
        <w:t>公</w:t>
      </w:r>
      <w:r w:rsidRPr="00353A51">
        <w:rPr>
          <w:rFonts w:ascii="標楷體" w:hAnsi="Arial" w:hint="eastAsia"/>
          <w:szCs w:val="36"/>
        </w:rPr>
        <w:t>約規定。依該公約施行法草案，本院應針對軍隊等封閉且易生人權迫害的場域，進行預防性監督及違失調查</w:t>
      </w:r>
      <w:r w:rsidRPr="00353A51">
        <w:rPr>
          <w:rFonts w:ascii="標楷體" w:hAnsi="Arial"/>
          <w:szCs w:val="36"/>
          <w:vertAlign w:val="superscript"/>
        </w:rPr>
        <w:footnoteReference w:id="5"/>
      </w:r>
      <w:r w:rsidRPr="00353A51">
        <w:rPr>
          <w:rFonts w:ascii="標楷體" w:hAnsi="Arial" w:hint="eastAsia"/>
          <w:szCs w:val="36"/>
        </w:rPr>
        <w:t>。無論未來立法結論如何，經由本院之調查程序，適可作為獨立及具公信力的外控機制，促進軍隊落實法治觀念。此一人權思潮及立法趨勢，亦值得國防部重視。</w:t>
      </w:r>
    </w:p>
    <w:p w:rsidR="00353A51" w:rsidRPr="00353A51" w:rsidRDefault="007A2014" w:rsidP="00353A51">
      <w:pPr>
        <w:numPr>
          <w:ilvl w:val="3"/>
          <w:numId w:val="1"/>
        </w:numPr>
        <w:jc w:val="both"/>
        <w:outlineLvl w:val="3"/>
        <w:rPr>
          <w:rFonts w:ascii="標楷體" w:hAnsi="Arial"/>
          <w:szCs w:val="36"/>
        </w:rPr>
      </w:pPr>
      <w:r>
        <w:rPr>
          <w:rFonts w:ascii="標楷體" w:hAnsi="Arial" w:hint="eastAsia"/>
          <w:szCs w:val="36"/>
        </w:rPr>
        <w:t>按</w:t>
      </w:r>
      <w:r w:rsidR="00353A51" w:rsidRPr="00353A51">
        <w:rPr>
          <w:rFonts w:ascii="標楷體" w:hAnsi="Arial" w:hint="eastAsia"/>
          <w:szCs w:val="36"/>
        </w:rPr>
        <w:t>司法院釋字第430號解釋將軍人與國家</w:t>
      </w:r>
      <w:r w:rsidR="00F65D81">
        <w:rPr>
          <w:rFonts w:ascii="標楷體" w:hAnsi="Arial" w:hint="eastAsia"/>
          <w:szCs w:val="36"/>
        </w:rPr>
        <w:t>之</w:t>
      </w:r>
      <w:r w:rsidR="00353A51" w:rsidRPr="00353A51">
        <w:rPr>
          <w:rFonts w:ascii="標楷體" w:hAnsi="Arial" w:hint="eastAsia"/>
          <w:szCs w:val="36"/>
        </w:rPr>
        <w:t>關</w:t>
      </w:r>
      <w:r w:rsidR="00F65D81">
        <w:rPr>
          <w:rFonts w:ascii="標楷體" w:hAnsi="Arial" w:hint="eastAsia"/>
          <w:szCs w:val="36"/>
        </w:rPr>
        <w:t>係</w:t>
      </w:r>
      <w:r w:rsidR="00353A51" w:rsidRPr="00353A51">
        <w:rPr>
          <w:rFonts w:ascii="標楷體" w:hAnsi="Arial" w:hint="eastAsia"/>
          <w:szCs w:val="36"/>
        </w:rPr>
        <w:t>定位為「公法上的職務關係」</w:t>
      </w:r>
      <w:r w:rsidR="00353A51" w:rsidRPr="00353A51">
        <w:rPr>
          <w:rFonts w:ascii="標楷體" w:hAnsi="Arial"/>
          <w:szCs w:val="36"/>
          <w:vertAlign w:val="superscript"/>
        </w:rPr>
        <w:footnoteReference w:id="6"/>
      </w:r>
      <w:r w:rsidR="00353A51" w:rsidRPr="00353A51">
        <w:rPr>
          <w:rFonts w:ascii="標楷體" w:hAnsi="Arial" w:hint="eastAsia"/>
          <w:szCs w:val="36"/>
        </w:rPr>
        <w:t>，闡明軍人負有作戰任務，認為軍人在軍令服從及軍事指揮權、賞罰權之行使，應與一般公務員有不同之考量。</w:t>
      </w:r>
      <w:proofErr w:type="gramStart"/>
      <w:r w:rsidR="00353A51" w:rsidRPr="00353A51">
        <w:rPr>
          <w:rFonts w:ascii="標楷體" w:hAnsi="Arial" w:hint="eastAsia"/>
          <w:szCs w:val="36"/>
        </w:rPr>
        <w:t>此外，</w:t>
      </w:r>
      <w:proofErr w:type="gramEnd"/>
      <w:r w:rsidR="00353A51" w:rsidRPr="00353A51">
        <w:rPr>
          <w:rFonts w:ascii="標楷體" w:hAnsi="Arial" w:hint="eastAsia"/>
          <w:szCs w:val="36"/>
        </w:rPr>
        <w:t>基於憲法第140條文武分治之精神，亦不可忽略軍事紀律之嚴格要求及懲戒效率。相較於德國、日本等國之立法例（如日本</w:t>
      </w:r>
      <w:proofErr w:type="gramStart"/>
      <w:r w:rsidR="00353A51" w:rsidRPr="00353A51">
        <w:rPr>
          <w:rFonts w:ascii="標楷體" w:hAnsi="Arial" w:hint="eastAsia"/>
          <w:szCs w:val="36"/>
        </w:rPr>
        <w:t>採</w:t>
      </w:r>
      <w:proofErr w:type="gramEnd"/>
      <w:r w:rsidR="00353A51" w:rsidRPr="00353A51">
        <w:rPr>
          <w:rFonts w:ascii="標楷體" w:hAnsi="Arial" w:hint="eastAsia"/>
          <w:szCs w:val="36"/>
        </w:rPr>
        <w:t>軍、文分離的</w:t>
      </w:r>
      <w:r w:rsidR="00353A51" w:rsidRPr="00353A51">
        <w:rPr>
          <w:rFonts w:ascii="標楷體" w:hAnsi="Arial" w:hint="eastAsia"/>
          <w:szCs w:val="36"/>
        </w:rPr>
        <w:lastRenderedPageBreak/>
        <w:t>懲戒制度，軍人懲戒依自衛隊法，在文官體系外另立特別的懲戒制度），我國欠缺為軍人專設之懲戒制度，確屬法制層面有待深入研究之課題。為消弭懲戒程序可能對部隊管理或軍令服從所造成的影響，學者有主張應建立軍人懲戒制度等倡議，或可供未來法制規劃方向之參考，</w:t>
      </w:r>
      <w:proofErr w:type="gramStart"/>
      <w:r w:rsidR="00353A51" w:rsidRPr="00353A51">
        <w:rPr>
          <w:rFonts w:ascii="標楷體" w:hAnsi="Arial" w:hint="eastAsia"/>
          <w:szCs w:val="36"/>
        </w:rPr>
        <w:t>併此敘</w:t>
      </w:r>
      <w:proofErr w:type="gramEnd"/>
      <w:r w:rsidR="00353A51" w:rsidRPr="00353A51">
        <w:rPr>
          <w:rFonts w:ascii="標楷體" w:hAnsi="Arial" w:hint="eastAsia"/>
          <w:szCs w:val="36"/>
        </w:rPr>
        <w:t>明。</w:t>
      </w:r>
    </w:p>
    <w:p w:rsidR="00353A51" w:rsidRPr="00353A51" w:rsidRDefault="00353A51" w:rsidP="00353A51">
      <w:pPr>
        <w:numPr>
          <w:ilvl w:val="1"/>
          <w:numId w:val="1"/>
        </w:numPr>
        <w:kinsoku w:val="0"/>
        <w:jc w:val="both"/>
        <w:outlineLvl w:val="1"/>
        <w:rPr>
          <w:rFonts w:ascii="標楷體" w:hAnsi="Arial"/>
          <w:bCs/>
          <w:kern w:val="0"/>
          <w:szCs w:val="48"/>
        </w:rPr>
      </w:pPr>
      <w:r w:rsidRPr="00353A51">
        <w:rPr>
          <w:rFonts w:ascii="標楷體" w:hAnsi="Arial" w:hint="eastAsia"/>
          <w:b/>
          <w:bCs/>
          <w:kern w:val="0"/>
          <w:szCs w:val="48"/>
        </w:rPr>
        <w:t>本案調查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期間，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國防部</w:t>
      </w:r>
      <w:r w:rsidR="004A4EB1">
        <w:rPr>
          <w:rFonts w:ascii="標楷體" w:hAnsi="Arial" w:hint="eastAsia"/>
          <w:b/>
          <w:bCs/>
          <w:kern w:val="0"/>
          <w:szCs w:val="48"/>
        </w:rPr>
        <w:t>業已</w:t>
      </w:r>
      <w:r w:rsidRPr="00353A51">
        <w:rPr>
          <w:rFonts w:ascii="標楷體" w:hAnsi="Arial" w:hint="eastAsia"/>
          <w:b/>
          <w:bCs/>
          <w:kern w:val="0"/>
          <w:szCs w:val="48"/>
        </w:rPr>
        <w:t>核定高階軍官涉及重大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違失應移送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本院審查之政策方向，並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蒐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整相關態樣、</w:t>
      </w:r>
      <w:proofErr w:type="gramStart"/>
      <w:r w:rsidRPr="00353A51">
        <w:rPr>
          <w:rFonts w:ascii="標楷體" w:hAnsi="Arial" w:hint="eastAsia"/>
          <w:b/>
          <w:bCs/>
          <w:kern w:val="0"/>
          <w:szCs w:val="48"/>
        </w:rPr>
        <w:t>令頒及</w:t>
      </w:r>
      <w:proofErr w:type="gramEnd"/>
      <w:r w:rsidRPr="00353A51">
        <w:rPr>
          <w:rFonts w:ascii="標楷體" w:hAnsi="Arial" w:hint="eastAsia"/>
          <w:b/>
          <w:bCs/>
          <w:kern w:val="0"/>
          <w:szCs w:val="48"/>
        </w:rPr>
        <w:t>宣導各軍事機關遵行，確有積極作為，應予肯定。該部後續仍應依實施狀況隨時修正並落實執行，以達嚴肅軍紀及保障軍人權益之要求。</w:t>
      </w:r>
    </w:p>
    <w:p w:rsidR="00353A51" w:rsidRPr="00353A51" w:rsidRDefault="00353A51" w:rsidP="00353A51">
      <w:pPr>
        <w:numPr>
          <w:ilvl w:val="2"/>
          <w:numId w:val="1"/>
        </w:numPr>
        <w:kinsoku w:val="0"/>
        <w:jc w:val="both"/>
        <w:outlineLvl w:val="2"/>
        <w:rPr>
          <w:rFonts w:ascii="標楷體" w:hAnsi="Arial"/>
          <w:bCs/>
          <w:kern w:val="0"/>
          <w:szCs w:val="36"/>
        </w:rPr>
      </w:pPr>
      <w:r w:rsidRPr="00353A51">
        <w:rPr>
          <w:rFonts w:ascii="標楷體" w:hAnsi="Arial" w:hint="eastAsia"/>
          <w:bCs/>
          <w:kern w:val="0"/>
          <w:szCs w:val="36"/>
        </w:rPr>
        <w:t>依國防部函報資料，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該部對所屬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上校階以上軍官所涉違法失職行為，迄無主動移送本院審查之案例。對照105年1月1日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迄</w:t>
      </w:r>
      <w:proofErr w:type="gramEnd"/>
      <w:r w:rsidRPr="00353A51">
        <w:rPr>
          <w:rFonts w:ascii="標楷體" w:hAnsi="Arial" w:hint="eastAsia"/>
          <w:bCs/>
          <w:kern w:val="0"/>
          <w:szCs w:val="36"/>
        </w:rPr>
        <w:t>107年10月19日止，上校以上軍官受懲罰者高達636人次，其中涉法移送檢察機關偵辦者計8案，該期間內本院彈劾人員計13人，顯見</w:t>
      </w:r>
      <w:r w:rsidR="004A4EB1">
        <w:rPr>
          <w:rFonts w:ascii="標楷體" w:hAnsi="Arial" w:hint="eastAsia"/>
          <w:bCs/>
          <w:kern w:val="0"/>
          <w:szCs w:val="36"/>
        </w:rPr>
        <w:t>尚有</w:t>
      </w:r>
      <w:r w:rsidRPr="00353A51">
        <w:rPr>
          <w:rFonts w:ascii="標楷體" w:hAnsi="Arial" w:hint="eastAsia"/>
          <w:bCs/>
          <w:kern w:val="0"/>
          <w:szCs w:val="36"/>
        </w:rPr>
        <w:t>國防部未能</w:t>
      </w:r>
      <w:r w:rsidR="004A4EB1">
        <w:rPr>
          <w:rFonts w:ascii="標楷體" w:hAnsi="Arial" w:hint="eastAsia"/>
          <w:bCs/>
          <w:kern w:val="0"/>
          <w:szCs w:val="36"/>
        </w:rPr>
        <w:t>自行</w:t>
      </w:r>
      <w:proofErr w:type="gramStart"/>
      <w:r w:rsidRPr="00353A51">
        <w:rPr>
          <w:rFonts w:ascii="標楷體" w:hAnsi="Arial" w:hint="eastAsia"/>
          <w:bCs/>
          <w:kern w:val="0"/>
          <w:szCs w:val="36"/>
        </w:rPr>
        <w:t>妥適審酌</w:t>
      </w:r>
      <w:proofErr w:type="gramEnd"/>
      <w:r w:rsidR="004A4EB1">
        <w:rPr>
          <w:rFonts w:ascii="標楷體" w:hAnsi="Arial" w:hint="eastAsia"/>
          <w:bCs/>
          <w:kern w:val="0"/>
          <w:szCs w:val="36"/>
        </w:rPr>
        <w:t>之案例。國防部基於</w:t>
      </w:r>
      <w:r w:rsidRPr="00353A51">
        <w:rPr>
          <w:rFonts w:ascii="標楷體" w:hAnsi="Arial" w:hint="eastAsia"/>
          <w:bCs/>
          <w:kern w:val="0"/>
          <w:szCs w:val="36"/>
        </w:rPr>
        <w:t>軍事機關特性，</w:t>
      </w:r>
      <w:r w:rsidR="004A4EB1">
        <w:rPr>
          <w:rFonts w:ascii="標楷體" w:hAnsi="Arial" w:hint="eastAsia"/>
          <w:bCs/>
          <w:kern w:val="0"/>
          <w:szCs w:val="36"/>
        </w:rPr>
        <w:t>應更加重視</w:t>
      </w:r>
      <w:r w:rsidRPr="00353A51">
        <w:rPr>
          <w:rFonts w:ascii="標楷體" w:hAnsi="Arial" w:hint="eastAsia"/>
          <w:bCs/>
          <w:kern w:val="0"/>
          <w:szCs w:val="36"/>
        </w:rPr>
        <w:t>社會對特殊類型案件真相發掘及公正程序的要求，</w:t>
      </w:r>
      <w:r w:rsidR="004A4EB1">
        <w:rPr>
          <w:rFonts w:ascii="標楷體" w:hAnsi="Arial" w:hint="eastAsia"/>
          <w:bCs/>
          <w:kern w:val="0"/>
          <w:szCs w:val="36"/>
        </w:rPr>
        <w:t>國防部就此</w:t>
      </w:r>
      <w:r w:rsidRPr="00353A51">
        <w:rPr>
          <w:rFonts w:ascii="標楷體" w:hAnsi="Arial" w:hint="eastAsia"/>
          <w:bCs/>
          <w:kern w:val="0"/>
          <w:szCs w:val="36"/>
        </w:rPr>
        <w:t>確有</w:t>
      </w:r>
      <w:r w:rsidR="004A4EB1">
        <w:rPr>
          <w:rFonts w:ascii="標楷體" w:hAnsi="Arial" w:hint="eastAsia"/>
          <w:bCs/>
          <w:kern w:val="0"/>
          <w:szCs w:val="36"/>
        </w:rPr>
        <w:t>積極</w:t>
      </w:r>
      <w:r w:rsidRPr="00353A51">
        <w:rPr>
          <w:rFonts w:ascii="標楷體" w:hAnsi="Arial" w:hint="eastAsia"/>
          <w:bCs/>
          <w:kern w:val="0"/>
          <w:szCs w:val="36"/>
        </w:rPr>
        <w:t>檢討的空間。</w:t>
      </w:r>
    </w:p>
    <w:p w:rsidR="00353A51" w:rsidRPr="00353A51" w:rsidRDefault="00353A51" w:rsidP="00420817">
      <w:pPr>
        <w:pStyle w:val="3"/>
        <w:ind w:left="1360" w:hanging="680"/>
      </w:pPr>
      <w:r w:rsidRPr="00353A51">
        <w:rPr>
          <w:rFonts w:hint="eastAsia"/>
        </w:rPr>
        <w:t>本案於調查期間與國防部多次交換意見，</w:t>
      </w:r>
      <w:proofErr w:type="gramStart"/>
      <w:r w:rsidRPr="00353A51">
        <w:rPr>
          <w:rFonts w:hint="eastAsia"/>
        </w:rPr>
        <w:t>該部</w:t>
      </w:r>
      <w:r w:rsidR="00420817">
        <w:rPr>
          <w:rFonts w:hint="eastAsia"/>
        </w:rPr>
        <w:t>已</w:t>
      </w:r>
      <w:r w:rsidR="00420817" w:rsidRPr="00353A51">
        <w:rPr>
          <w:rFonts w:hint="eastAsia"/>
        </w:rPr>
        <w:t>核定</w:t>
      </w:r>
      <w:proofErr w:type="gramEnd"/>
      <w:r w:rsidR="00420817" w:rsidRPr="00353A51">
        <w:rPr>
          <w:rFonts w:hint="eastAsia"/>
        </w:rPr>
        <w:t>高階軍官涉及重大</w:t>
      </w:r>
      <w:proofErr w:type="gramStart"/>
      <w:r w:rsidR="00420817" w:rsidRPr="00353A51">
        <w:rPr>
          <w:rFonts w:hint="eastAsia"/>
        </w:rPr>
        <w:t>違失應移送</w:t>
      </w:r>
      <w:proofErr w:type="gramEnd"/>
      <w:r w:rsidR="00420817" w:rsidRPr="00353A51">
        <w:rPr>
          <w:rFonts w:hint="eastAsia"/>
        </w:rPr>
        <w:t>本院審查之政策方向</w:t>
      </w:r>
      <w:r w:rsidR="00420817">
        <w:rPr>
          <w:rFonts w:hint="eastAsia"/>
        </w:rPr>
        <w:t>，並於</w:t>
      </w:r>
      <w:r w:rsidR="00420817" w:rsidRPr="00420817">
        <w:rPr>
          <w:rFonts w:hint="eastAsia"/>
        </w:rPr>
        <w:t>108年3月14日</w:t>
      </w:r>
      <w:proofErr w:type="gramStart"/>
      <w:r w:rsidR="00420817" w:rsidRPr="00420817">
        <w:rPr>
          <w:rFonts w:hint="eastAsia"/>
        </w:rPr>
        <w:t>令頒「</w:t>
      </w:r>
      <w:proofErr w:type="gramEnd"/>
      <w:r w:rsidR="00420817" w:rsidRPr="00420817">
        <w:rPr>
          <w:rFonts w:hint="eastAsia"/>
        </w:rPr>
        <w:t>上校階以上軍官違法失職符合公懲法送請監察院審查」</w:t>
      </w:r>
      <w:proofErr w:type="gramStart"/>
      <w:r w:rsidR="00420817">
        <w:rPr>
          <w:rFonts w:hint="eastAsia"/>
        </w:rPr>
        <w:t>案</w:t>
      </w:r>
      <w:r w:rsidR="00420817" w:rsidRPr="00420817">
        <w:rPr>
          <w:rFonts w:hint="eastAsia"/>
        </w:rPr>
        <w:t>予國軍</w:t>
      </w:r>
      <w:proofErr w:type="gramEnd"/>
      <w:r w:rsidR="00420817" w:rsidRPr="00420817">
        <w:rPr>
          <w:rFonts w:hint="eastAsia"/>
        </w:rPr>
        <w:t>各級單位照辦</w:t>
      </w:r>
      <w:r w:rsidR="00420817">
        <w:rPr>
          <w:rStyle w:val="af3"/>
        </w:rPr>
        <w:footnoteReference w:id="7"/>
      </w:r>
      <w:r w:rsidRPr="00353A51">
        <w:rPr>
          <w:rFonts w:hint="eastAsia"/>
        </w:rPr>
        <w:t>。</w:t>
      </w:r>
      <w:r w:rsidR="00420817">
        <w:rPr>
          <w:rFonts w:hint="eastAsia"/>
        </w:rPr>
        <w:t>依</w:t>
      </w:r>
      <w:proofErr w:type="gramStart"/>
      <w:r w:rsidR="00420817">
        <w:rPr>
          <w:rFonts w:hint="eastAsia"/>
        </w:rPr>
        <w:t>該令頒</w:t>
      </w:r>
      <w:proofErr w:type="gramEnd"/>
      <w:r w:rsidR="00420817">
        <w:rPr>
          <w:rFonts w:hint="eastAsia"/>
        </w:rPr>
        <w:t>之內容，國防部</w:t>
      </w:r>
      <w:r w:rsidRPr="00353A51">
        <w:rPr>
          <w:rFonts w:hint="eastAsia"/>
        </w:rPr>
        <w:t>區分公懲法第2條第1款及第2款所列事由，參酌本院所提出之</w:t>
      </w:r>
      <w:r w:rsidRPr="00353A51">
        <w:rPr>
          <w:rFonts w:hint="eastAsia"/>
        </w:rPr>
        <w:lastRenderedPageBreak/>
        <w:t>彈劾案，歸納6項行為態樣</w:t>
      </w:r>
      <w:r w:rsidRPr="00353A51">
        <w:rPr>
          <w:vertAlign w:val="superscript"/>
        </w:rPr>
        <w:footnoteReference w:id="8"/>
      </w:r>
      <w:r w:rsidRPr="00353A51">
        <w:rPr>
          <w:rFonts w:hint="eastAsia"/>
        </w:rPr>
        <w:t>；程序方面由權責單位召開評議會確定後，層報國防部審查。</w:t>
      </w:r>
      <w:proofErr w:type="gramStart"/>
      <w:r w:rsidRPr="00353A51">
        <w:rPr>
          <w:rFonts w:hint="eastAsia"/>
        </w:rPr>
        <w:t>該部並表示</w:t>
      </w:r>
      <w:proofErr w:type="gramEnd"/>
      <w:r w:rsidRPr="00353A51">
        <w:rPr>
          <w:rFonts w:hint="eastAsia"/>
        </w:rPr>
        <w:t>，為兼顧軍紀維護之需求，具懲罰權責之各級指揮官或主官，仍可依懲罰法予以行政懲罰。而相關行為態樣之參考標準，已審慎</w:t>
      </w:r>
      <w:proofErr w:type="gramStart"/>
      <w:r w:rsidRPr="00353A51">
        <w:rPr>
          <w:rFonts w:hint="eastAsia"/>
        </w:rPr>
        <w:t>蒐</w:t>
      </w:r>
      <w:proofErr w:type="gramEnd"/>
      <w:r w:rsidRPr="00353A51">
        <w:rPr>
          <w:rFonts w:hint="eastAsia"/>
        </w:rPr>
        <w:t>整案例（含參考各部會相關規定），並將強化</w:t>
      </w:r>
      <w:proofErr w:type="gramStart"/>
      <w:r w:rsidRPr="00353A51">
        <w:rPr>
          <w:rFonts w:hint="eastAsia"/>
        </w:rPr>
        <w:t>教育及態樣</w:t>
      </w:r>
      <w:proofErr w:type="gramEnd"/>
      <w:r w:rsidRPr="00353A51">
        <w:rPr>
          <w:rFonts w:hint="eastAsia"/>
        </w:rPr>
        <w:t>宣導，實施後並將視實際運作及對部隊之影響，</w:t>
      </w:r>
      <w:proofErr w:type="gramStart"/>
      <w:r w:rsidRPr="00353A51">
        <w:rPr>
          <w:rFonts w:hint="eastAsia"/>
        </w:rPr>
        <w:t>採</w:t>
      </w:r>
      <w:proofErr w:type="gramEnd"/>
      <w:r w:rsidRPr="00353A51">
        <w:rPr>
          <w:rFonts w:hint="eastAsia"/>
        </w:rPr>
        <w:t>滾動式調修等語，顯示</w:t>
      </w:r>
      <w:proofErr w:type="gramStart"/>
      <w:r w:rsidRPr="00353A51">
        <w:rPr>
          <w:rFonts w:hint="eastAsia"/>
        </w:rPr>
        <w:t>該部確有</w:t>
      </w:r>
      <w:proofErr w:type="gramEnd"/>
      <w:r w:rsidRPr="00353A51">
        <w:rPr>
          <w:rFonts w:hint="eastAsia"/>
        </w:rPr>
        <w:t>積極作為，應予肯定。</w:t>
      </w:r>
      <w:proofErr w:type="gramStart"/>
      <w:r w:rsidRPr="00353A51">
        <w:rPr>
          <w:rFonts w:hint="eastAsia"/>
        </w:rPr>
        <w:t>惟</w:t>
      </w:r>
      <w:proofErr w:type="gramEnd"/>
      <w:r w:rsidRPr="00353A51">
        <w:rPr>
          <w:rFonts w:hint="eastAsia"/>
        </w:rPr>
        <w:t>後續仍應落實執行，以達嚴肅軍紀及保障軍人權益之要求。</w:t>
      </w:r>
    </w:p>
    <w:p w:rsidR="00353A51" w:rsidRPr="00353A51" w:rsidRDefault="00353A51" w:rsidP="00353A51">
      <w:pPr>
        <w:tabs>
          <w:tab w:val="left" w:pos="567"/>
        </w:tabs>
        <w:ind w:leftChars="300" w:left="1020" w:firstLineChars="200" w:firstLine="680"/>
        <w:jc w:val="both"/>
        <w:rPr>
          <w:rFonts w:ascii="標楷體"/>
          <w:kern w:val="0"/>
        </w:rPr>
      </w:pPr>
      <w:r w:rsidRPr="00353A51">
        <w:rPr>
          <w:rFonts w:ascii="標楷體" w:hint="eastAsia"/>
          <w:kern w:val="0"/>
        </w:rPr>
        <w:t>綜上結論，國防部對於現役軍人違失行政責任之追究，優先適用「陸海空軍懲罰法」，有歷史之緣由，且懲罰之程序較懲處程序簡易迅速，符合部隊管理及貫徹軍事領導統御需要，與一般文官體系容或有不同考量之處。然司法懲戒除整飭官</w:t>
      </w:r>
      <w:proofErr w:type="gramStart"/>
      <w:r w:rsidRPr="00353A51">
        <w:rPr>
          <w:rFonts w:ascii="標楷體" w:hint="eastAsia"/>
          <w:kern w:val="0"/>
        </w:rPr>
        <w:t>箴</w:t>
      </w:r>
      <w:proofErr w:type="gramEnd"/>
      <w:r w:rsidRPr="00353A51">
        <w:rPr>
          <w:rFonts w:ascii="標楷體" w:hint="eastAsia"/>
          <w:kern w:val="0"/>
        </w:rPr>
        <w:t>外，兼有由司法機關</w:t>
      </w:r>
      <w:proofErr w:type="gramStart"/>
      <w:r w:rsidRPr="00353A51">
        <w:rPr>
          <w:rFonts w:ascii="標楷體" w:hint="eastAsia"/>
          <w:kern w:val="0"/>
        </w:rPr>
        <w:t>踐行</w:t>
      </w:r>
      <w:proofErr w:type="gramEnd"/>
      <w:r w:rsidRPr="00353A51">
        <w:rPr>
          <w:rFonts w:ascii="標楷體" w:hint="eastAsia"/>
          <w:kern w:val="0"/>
        </w:rPr>
        <w:t>客觀公正之程序，發現真實，保障受處分人不受恣意或失當處罰之目的。且</w:t>
      </w:r>
      <w:proofErr w:type="gramStart"/>
      <w:r w:rsidRPr="00353A51">
        <w:rPr>
          <w:rFonts w:ascii="標楷體" w:hint="eastAsia"/>
          <w:kern w:val="0"/>
        </w:rPr>
        <w:t>鑑</w:t>
      </w:r>
      <w:proofErr w:type="gramEnd"/>
      <w:r w:rsidRPr="00353A51">
        <w:rPr>
          <w:rFonts w:ascii="標楷體" w:hint="eastAsia"/>
          <w:kern w:val="0"/>
        </w:rPr>
        <w:t>於軍事機關高度封閉及講究服從的特質，對於上校階以上高階軍官違法失職行為，經由本院之調查程序，可發掘制度面、運作面</w:t>
      </w:r>
      <w:r w:rsidR="004A4EB1">
        <w:rPr>
          <w:rFonts w:ascii="標楷體" w:hint="eastAsia"/>
          <w:kern w:val="0"/>
        </w:rPr>
        <w:t>之</w:t>
      </w:r>
      <w:r w:rsidRPr="00353A51">
        <w:rPr>
          <w:rFonts w:ascii="標楷體" w:hint="eastAsia"/>
          <w:kern w:val="0"/>
        </w:rPr>
        <w:t>缺失以保障軍中人權。國防部對於高階軍官涉及重大違法失職案件，迄無主動移送本院審查之案例，可能導致懲罰倚輕倚重、真相不明，衍生民怨。是故，如何善用懲戒及懲處程序，妥適追究軍人違法失職之行政責任，實屬國防部應重視的課題。本案調查</w:t>
      </w:r>
      <w:proofErr w:type="gramStart"/>
      <w:r w:rsidRPr="00353A51">
        <w:rPr>
          <w:rFonts w:ascii="標楷體" w:hint="eastAsia"/>
          <w:kern w:val="0"/>
        </w:rPr>
        <w:t>期間，</w:t>
      </w:r>
      <w:proofErr w:type="gramEnd"/>
      <w:r w:rsidRPr="00353A51">
        <w:rPr>
          <w:rFonts w:ascii="標楷體" w:hint="eastAsia"/>
          <w:kern w:val="0"/>
        </w:rPr>
        <w:t>國防部核定高階軍官涉及重大</w:t>
      </w:r>
      <w:proofErr w:type="gramStart"/>
      <w:r w:rsidRPr="00353A51">
        <w:rPr>
          <w:rFonts w:ascii="標楷體" w:hint="eastAsia"/>
          <w:kern w:val="0"/>
        </w:rPr>
        <w:t>違失應移送</w:t>
      </w:r>
      <w:proofErr w:type="gramEnd"/>
      <w:r w:rsidRPr="00353A51">
        <w:rPr>
          <w:rFonts w:ascii="標楷體" w:hint="eastAsia"/>
          <w:kern w:val="0"/>
        </w:rPr>
        <w:t>本院審查之政策方向，並</w:t>
      </w:r>
      <w:proofErr w:type="gramStart"/>
      <w:r w:rsidRPr="00353A51">
        <w:rPr>
          <w:rFonts w:ascii="標楷體" w:hint="eastAsia"/>
          <w:kern w:val="0"/>
        </w:rPr>
        <w:t>蒐</w:t>
      </w:r>
      <w:proofErr w:type="gramEnd"/>
      <w:r w:rsidRPr="00353A51">
        <w:rPr>
          <w:rFonts w:ascii="標楷體" w:hint="eastAsia"/>
          <w:kern w:val="0"/>
        </w:rPr>
        <w:t>整相關態樣、</w:t>
      </w:r>
      <w:proofErr w:type="gramStart"/>
      <w:r w:rsidRPr="00353A51">
        <w:rPr>
          <w:rFonts w:ascii="標楷體" w:hint="eastAsia"/>
          <w:kern w:val="0"/>
        </w:rPr>
        <w:t>令頒及</w:t>
      </w:r>
      <w:proofErr w:type="gramEnd"/>
      <w:r w:rsidRPr="00353A51">
        <w:rPr>
          <w:rFonts w:ascii="標楷體" w:hint="eastAsia"/>
          <w:kern w:val="0"/>
        </w:rPr>
        <w:t>宣導各軍事機關遵行，確有積極作為，應予肯定，該部後續仍應依實</w:t>
      </w:r>
      <w:r w:rsidRPr="00353A51">
        <w:rPr>
          <w:rFonts w:ascii="標楷體" w:hint="eastAsia"/>
          <w:kern w:val="0"/>
        </w:rPr>
        <w:lastRenderedPageBreak/>
        <w:t>施狀況隨時修正，以達嚴肅軍紀及維護軍中人權之要求。</w:t>
      </w:r>
    </w:p>
    <w:p w:rsidR="00353A51" w:rsidRPr="00353A51" w:rsidRDefault="00353A51" w:rsidP="00353A51">
      <w:pPr>
        <w:tabs>
          <w:tab w:val="left" w:pos="567"/>
        </w:tabs>
        <w:ind w:leftChars="300" w:left="1020" w:firstLineChars="200" w:firstLine="680"/>
        <w:jc w:val="both"/>
        <w:rPr>
          <w:rFonts w:ascii="標楷體"/>
          <w:kern w:val="0"/>
        </w:rPr>
      </w:pPr>
    </w:p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 w:rsidR="00353A51" w:rsidRPr="008015BF" w:rsidRDefault="00353A51" w:rsidP="008015BF">
      <w:pPr>
        <w:kinsoku w:val="0"/>
        <w:ind w:firstLineChars="200" w:firstLine="889"/>
        <w:jc w:val="both"/>
        <w:rPr>
          <w:b/>
          <w:bCs/>
          <w:kern w:val="0"/>
          <w:sz w:val="40"/>
        </w:rPr>
      </w:pPr>
      <w:r w:rsidRPr="008015BF">
        <w:rPr>
          <w:rFonts w:ascii="標楷體" w:hint="eastAsia"/>
          <w:b/>
          <w:bCs/>
          <w:spacing w:val="12"/>
          <w:kern w:val="0"/>
          <w:sz w:val="40"/>
        </w:rPr>
        <w:t>調查委員：</w:t>
      </w:r>
      <w:r w:rsidR="008015BF" w:rsidRPr="008015BF">
        <w:rPr>
          <w:rFonts w:ascii="標楷體" w:hint="eastAsia"/>
          <w:b/>
          <w:bCs/>
          <w:spacing w:val="12"/>
          <w:kern w:val="0"/>
          <w:sz w:val="40"/>
        </w:rPr>
        <w:t>林雅鋒</w:t>
      </w:r>
    </w:p>
    <w:p w:rsidR="00353A51" w:rsidRPr="00353A51" w:rsidRDefault="00353A51" w:rsidP="00353A51">
      <w:pPr>
        <w:kinsoku w:val="0"/>
        <w:ind w:leftChars="1100" w:left="3742" w:firstLineChars="500" w:firstLine="2021"/>
        <w:jc w:val="both"/>
        <w:rPr>
          <w:rFonts w:ascii="標楷體"/>
          <w:bCs/>
          <w:spacing w:val="12"/>
          <w:kern w:val="0"/>
          <w:sz w:val="36"/>
        </w:rPr>
      </w:pPr>
    </w:p>
    <w:p w:rsidR="00353A51" w:rsidRPr="00353A51" w:rsidRDefault="00353A51" w:rsidP="00353A51">
      <w:pPr>
        <w:kinsoku w:val="0"/>
        <w:ind w:left="1020" w:hangingChars="300" w:hanging="1020"/>
        <w:jc w:val="both"/>
        <w:rPr>
          <w:rFonts w:ascii="標楷體"/>
          <w:bCs/>
          <w:kern w:val="0"/>
        </w:rPr>
      </w:pPr>
    </w:p>
    <w:p w:rsidR="00D5308B" w:rsidRPr="00353A51" w:rsidRDefault="00D5308B" w:rsidP="00780CE8">
      <w:pPr>
        <w:pStyle w:val="3"/>
        <w:numPr>
          <w:ilvl w:val="0"/>
          <w:numId w:val="0"/>
        </w:numPr>
        <w:ind w:left="680"/>
      </w:pPr>
    </w:p>
    <w:sectPr w:rsidR="00D5308B" w:rsidRPr="00353A51" w:rsidSect="009E4179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F0" w:rsidRDefault="000B43F0">
      <w:r>
        <w:separator/>
      </w:r>
    </w:p>
  </w:endnote>
  <w:endnote w:type="continuationSeparator" w:id="0">
    <w:p w:rsidR="000B43F0" w:rsidRDefault="000B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C8" w:rsidRDefault="001B33C8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6B7A48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  <w:p w:rsidR="001B33C8" w:rsidRDefault="001B33C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F0" w:rsidRDefault="000B43F0">
      <w:r>
        <w:separator/>
      </w:r>
    </w:p>
  </w:footnote>
  <w:footnote w:type="continuationSeparator" w:id="0">
    <w:p w:rsidR="000B43F0" w:rsidRDefault="000B43F0">
      <w:r>
        <w:continuationSeparator/>
      </w:r>
    </w:p>
  </w:footnote>
  <w:footnote w:id="1">
    <w:p w:rsidR="001B33C8" w:rsidRPr="002206D7" w:rsidRDefault="001B33C8" w:rsidP="009315F4">
      <w:pPr>
        <w:pStyle w:val="af1"/>
        <w:ind w:left="220" w:hangingChars="100" w:hanging="220"/>
      </w:pPr>
      <w:r>
        <w:rPr>
          <w:rStyle w:val="af3"/>
        </w:rPr>
        <w:footnoteRef/>
      </w:r>
      <w:r>
        <w:t xml:space="preserve"> </w:t>
      </w:r>
      <w:r w:rsidRPr="00D4063E">
        <w:rPr>
          <w:rFonts w:hint="eastAsia"/>
          <w:sz w:val="24"/>
          <w:szCs w:val="24"/>
        </w:rPr>
        <w:t>司法院秘書長</w:t>
      </w:r>
      <w:r w:rsidRPr="00D4063E">
        <w:rPr>
          <w:rFonts w:hint="eastAsia"/>
          <w:sz w:val="24"/>
          <w:szCs w:val="24"/>
        </w:rPr>
        <w:t>106</w:t>
      </w:r>
      <w:r w:rsidRPr="00D4063E">
        <w:rPr>
          <w:rFonts w:hint="eastAsia"/>
          <w:sz w:val="24"/>
          <w:szCs w:val="24"/>
        </w:rPr>
        <w:t>年</w:t>
      </w:r>
      <w:r w:rsidRPr="00D4063E">
        <w:rPr>
          <w:rFonts w:hint="eastAsia"/>
          <w:sz w:val="24"/>
          <w:szCs w:val="24"/>
        </w:rPr>
        <w:t>9</w:t>
      </w:r>
      <w:r w:rsidRPr="00D4063E">
        <w:rPr>
          <w:rFonts w:hint="eastAsia"/>
          <w:sz w:val="24"/>
          <w:szCs w:val="24"/>
        </w:rPr>
        <w:t>月</w:t>
      </w:r>
      <w:r w:rsidRPr="00D4063E">
        <w:rPr>
          <w:rFonts w:hint="eastAsia"/>
          <w:sz w:val="24"/>
          <w:szCs w:val="24"/>
        </w:rPr>
        <w:t>18</w:t>
      </w:r>
      <w:r w:rsidRPr="00D4063E">
        <w:rPr>
          <w:rFonts w:hint="eastAsia"/>
          <w:sz w:val="24"/>
          <w:szCs w:val="24"/>
        </w:rPr>
        <w:t>日</w:t>
      </w:r>
      <w:proofErr w:type="gramStart"/>
      <w:r w:rsidRPr="00D4063E">
        <w:rPr>
          <w:rFonts w:hint="eastAsia"/>
          <w:sz w:val="24"/>
          <w:szCs w:val="24"/>
        </w:rPr>
        <w:t>秘台廳行</w:t>
      </w:r>
      <w:proofErr w:type="gramEnd"/>
      <w:r w:rsidRPr="00D4063E">
        <w:rPr>
          <w:rFonts w:hint="eastAsia"/>
          <w:sz w:val="24"/>
          <w:szCs w:val="24"/>
        </w:rPr>
        <w:t>二字第</w:t>
      </w:r>
      <w:r w:rsidRPr="00D4063E">
        <w:rPr>
          <w:rFonts w:hint="eastAsia"/>
          <w:sz w:val="24"/>
          <w:szCs w:val="24"/>
        </w:rPr>
        <w:t>1060024313</w:t>
      </w:r>
      <w:r w:rsidRPr="00D4063E">
        <w:rPr>
          <w:rFonts w:hint="eastAsia"/>
          <w:sz w:val="24"/>
          <w:szCs w:val="24"/>
        </w:rPr>
        <w:t>號函</w:t>
      </w:r>
      <w:r w:rsidR="009102CD">
        <w:rPr>
          <w:rFonts w:hint="eastAsia"/>
          <w:sz w:val="24"/>
          <w:szCs w:val="24"/>
        </w:rPr>
        <w:t>。</w:t>
      </w:r>
    </w:p>
  </w:footnote>
  <w:footnote w:id="2">
    <w:p w:rsidR="001B33C8" w:rsidRPr="0024583D" w:rsidRDefault="001B33C8" w:rsidP="009315F4">
      <w:pPr>
        <w:pStyle w:val="af1"/>
        <w:ind w:left="220" w:hangingChars="100" w:hanging="220"/>
      </w:pPr>
      <w:r>
        <w:rPr>
          <w:rStyle w:val="af3"/>
        </w:rPr>
        <w:footnoteRef/>
      </w:r>
      <w:r>
        <w:t xml:space="preserve"> </w:t>
      </w:r>
      <w:r w:rsidRPr="00D4063E">
        <w:rPr>
          <w:rFonts w:hint="eastAsia"/>
          <w:sz w:val="24"/>
          <w:szCs w:val="24"/>
        </w:rPr>
        <w:t>國防部</w:t>
      </w:r>
      <w:r w:rsidRPr="00D4063E">
        <w:rPr>
          <w:rFonts w:hint="eastAsia"/>
          <w:sz w:val="24"/>
          <w:szCs w:val="24"/>
        </w:rPr>
        <w:t>107</w:t>
      </w:r>
      <w:r w:rsidRPr="00D4063E">
        <w:rPr>
          <w:rFonts w:hint="eastAsia"/>
          <w:sz w:val="24"/>
          <w:szCs w:val="24"/>
        </w:rPr>
        <w:t>年</w:t>
      </w:r>
      <w:r w:rsidRPr="00D4063E">
        <w:rPr>
          <w:rFonts w:hint="eastAsia"/>
          <w:sz w:val="24"/>
          <w:szCs w:val="24"/>
        </w:rPr>
        <w:t>4</w:t>
      </w:r>
      <w:r w:rsidRPr="00D4063E">
        <w:rPr>
          <w:rFonts w:hint="eastAsia"/>
          <w:sz w:val="24"/>
          <w:szCs w:val="24"/>
        </w:rPr>
        <w:t>月</w:t>
      </w:r>
      <w:r w:rsidRPr="00D4063E">
        <w:rPr>
          <w:rFonts w:hint="eastAsia"/>
          <w:sz w:val="24"/>
          <w:szCs w:val="24"/>
        </w:rPr>
        <w:t>3</w:t>
      </w:r>
      <w:r w:rsidRPr="00D4063E">
        <w:rPr>
          <w:rFonts w:hint="eastAsia"/>
          <w:sz w:val="24"/>
          <w:szCs w:val="24"/>
        </w:rPr>
        <w:t>日國法人權字第</w:t>
      </w:r>
      <w:r w:rsidRPr="00D4063E">
        <w:rPr>
          <w:rFonts w:hint="eastAsia"/>
          <w:sz w:val="24"/>
          <w:szCs w:val="24"/>
        </w:rPr>
        <w:t>1070000664</w:t>
      </w:r>
      <w:r w:rsidRPr="00D4063E">
        <w:rPr>
          <w:rFonts w:hint="eastAsia"/>
          <w:sz w:val="24"/>
          <w:szCs w:val="24"/>
        </w:rPr>
        <w:t>號令</w:t>
      </w:r>
      <w:r w:rsidR="009102CD">
        <w:rPr>
          <w:rFonts w:hint="eastAsia"/>
          <w:sz w:val="24"/>
          <w:szCs w:val="24"/>
        </w:rPr>
        <w:t>。</w:t>
      </w:r>
      <w:r w:rsidRPr="0024583D">
        <w:rPr>
          <w:rFonts w:hint="eastAsia"/>
        </w:rPr>
        <w:t xml:space="preserve"> </w:t>
      </w:r>
    </w:p>
  </w:footnote>
  <w:footnote w:id="3">
    <w:p w:rsidR="001B33C8" w:rsidRPr="00D4063E" w:rsidRDefault="001B33C8" w:rsidP="009315F4">
      <w:pPr>
        <w:pStyle w:val="af1"/>
        <w:ind w:left="220" w:hangingChars="100" w:hanging="220"/>
        <w:rPr>
          <w:sz w:val="24"/>
          <w:szCs w:val="24"/>
        </w:rPr>
      </w:pPr>
      <w:r>
        <w:rPr>
          <w:rStyle w:val="af3"/>
        </w:rPr>
        <w:footnoteRef/>
      </w:r>
      <w:r>
        <w:rPr>
          <w:rFonts w:hint="eastAsia"/>
          <w:sz w:val="24"/>
          <w:szCs w:val="24"/>
        </w:rPr>
        <w:t xml:space="preserve"> </w:t>
      </w:r>
      <w:r w:rsidRPr="00D4063E">
        <w:rPr>
          <w:rFonts w:hint="eastAsia"/>
          <w:sz w:val="24"/>
          <w:szCs w:val="24"/>
        </w:rPr>
        <w:t>國防部</w:t>
      </w:r>
      <w:r w:rsidRPr="00D4063E">
        <w:rPr>
          <w:rFonts w:hint="eastAsia"/>
          <w:sz w:val="24"/>
          <w:szCs w:val="24"/>
        </w:rPr>
        <w:t>107</w:t>
      </w:r>
      <w:r w:rsidRPr="00D4063E">
        <w:rPr>
          <w:rFonts w:hint="eastAsia"/>
          <w:sz w:val="24"/>
          <w:szCs w:val="24"/>
        </w:rPr>
        <w:t>年</w:t>
      </w:r>
      <w:r w:rsidRPr="00D4063E">
        <w:rPr>
          <w:rFonts w:hint="eastAsia"/>
          <w:sz w:val="24"/>
          <w:szCs w:val="24"/>
        </w:rPr>
        <w:t>4</w:t>
      </w:r>
      <w:r w:rsidRPr="00D4063E">
        <w:rPr>
          <w:rFonts w:hint="eastAsia"/>
          <w:sz w:val="24"/>
          <w:szCs w:val="24"/>
        </w:rPr>
        <w:t>月</w:t>
      </w:r>
      <w:r w:rsidRPr="00D4063E">
        <w:rPr>
          <w:rFonts w:hint="eastAsia"/>
          <w:sz w:val="24"/>
          <w:szCs w:val="24"/>
        </w:rPr>
        <w:t>3</w:t>
      </w:r>
      <w:r w:rsidRPr="00D4063E">
        <w:rPr>
          <w:rFonts w:hint="eastAsia"/>
          <w:sz w:val="24"/>
          <w:szCs w:val="24"/>
        </w:rPr>
        <w:t>日國法人權字第</w:t>
      </w:r>
      <w:r w:rsidRPr="00D4063E">
        <w:rPr>
          <w:rFonts w:hint="eastAsia"/>
          <w:sz w:val="24"/>
          <w:szCs w:val="24"/>
        </w:rPr>
        <w:t>1070000664</w:t>
      </w:r>
      <w:r w:rsidRPr="00D4063E">
        <w:rPr>
          <w:rFonts w:hint="eastAsia"/>
          <w:sz w:val="24"/>
          <w:szCs w:val="24"/>
        </w:rPr>
        <w:t>號令略</w:t>
      </w:r>
      <w:proofErr w:type="gramStart"/>
      <w:r w:rsidRPr="00D4063E">
        <w:rPr>
          <w:rFonts w:hint="eastAsia"/>
          <w:sz w:val="24"/>
          <w:szCs w:val="24"/>
        </w:rPr>
        <w:t>以</w:t>
      </w:r>
      <w:proofErr w:type="gramEnd"/>
      <w:r w:rsidRPr="00D4063E">
        <w:rPr>
          <w:rFonts w:hint="eastAsia"/>
          <w:sz w:val="24"/>
          <w:szCs w:val="24"/>
        </w:rPr>
        <w:t>：各單位就所屬公務員違失行為如該當</w:t>
      </w:r>
      <w:r w:rsidR="000B5879">
        <w:rPr>
          <w:rFonts w:hint="eastAsia"/>
          <w:sz w:val="24"/>
          <w:szCs w:val="24"/>
        </w:rPr>
        <w:t>公懲法</w:t>
      </w:r>
      <w:r w:rsidRPr="00D4063E">
        <w:rPr>
          <w:rFonts w:hint="eastAsia"/>
          <w:sz w:val="24"/>
          <w:szCs w:val="24"/>
        </w:rPr>
        <w:t>第</w:t>
      </w:r>
      <w:r w:rsidRPr="00D4063E">
        <w:rPr>
          <w:rFonts w:hint="eastAsia"/>
          <w:sz w:val="24"/>
          <w:szCs w:val="24"/>
        </w:rPr>
        <w:t>2</w:t>
      </w:r>
      <w:r w:rsidRPr="00D4063E">
        <w:rPr>
          <w:rFonts w:hint="eastAsia"/>
          <w:sz w:val="24"/>
          <w:szCs w:val="24"/>
        </w:rPr>
        <w:t>條要件，且情節重大，僅予行政懲處，尚無法維持公務紀律，而有懲戒之必要時，</w:t>
      </w:r>
      <w:proofErr w:type="gramStart"/>
      <w:r w:rsidRPr="00D4063E">
        <w:rPr>
          <w:rFonts w:hint="eastAsia"/>
          <w:sz w:val="24"/>
          <w:szCs w:val="24"/>
        </w:rPr>
        <w:t>得按同法</w:t>
      </w:r>
      <w:proofErr w:type="gramEnd"/>
      <w:r w:rsidRPr="00D4063E">
        <w:rPr>
          <w:rFonts w:hint="eastAsia"/>
          <w:sz w:val="24"/>
          <w:szCs w:val="24"/>
        </w:rPr>
        <w:t>第</w:t>
      </w:r>
      <w:r w:rsidRPr="00D4063E">
        <w:rPr>
          <w:rFonts w:hint="eastAsia"/>
          <w:sz w:val="24"/>
          <w:szCs w:val="24"/>
        </w:rPr>
        <w:t>24</w:t>
      </w:r>
      <w:r w:rsidRPr="00D4063E">
        <w:rPr>
          <w:rFonts w:hint="eastAsia"/>
          <w:sz w:val="24"/>
          <w:szCs w:val="24"/>
        </w:rPr>
        <w:t>條第</w:t>
      </w:r>
      <w:r w:rsidRPr="00D4063E">
        <w:rPr>
          <w:rFonts w:hint="eastAsia"/>
          <w:sz w:val="24"/>
          <w:szCs w:val="24"/>
        </w:rPr>
        <w:t>1</w:t>
      </w:r>
      <w:r w:rsidRPr="00D4063E">
        <w:rPr>
          <w:rFonts w:hint="eastAsia"/>
          <w:sz w:val="24"/>
          <w:szCs w:val="24"/>
        </w:rPr>
        <w:t>項前段之規定，簽請權責長官核定後，敘明事由連同證據送請監察院審查或</w:t>
      </w:r>
      <w:proofErr w:type="gramStart"/>
      <w:r w:rsidRPr="00D4063E">
        <w:rPr>
          <w:rFonts w:hint="eastAsia"/>
          <w:sz w:val="24"/>
          <w:szCs w:val="24"/>
        </w:rPr>
        <w:t>逕</w:t>
      </w:r>
      <w:proofErr w:type="gramEnd"/>
      <w:r w:rsidRPr="00D4063E">
        <w:rPr>
          <w:rFonts w:hint="eastAsia"/>
          <w:sz w:val="24"/>
          <w:szCs w:val="24"/>
        </w:rPr>
        <w:t>送公務員懲戒委員會審理。</w:t>
      </w:r>
    </w:p>
  </w:footnote>
  <w:footnote w:id="4">
    <w:p w:rsidR="001B33C8" w:rsidRPr="00D4063E" w:rsidRDefault="001B33C8" w:rsidP="009315F4">
      <w:pPr>
        <w:pStyle w:val="af1"/>
        <w:ind w:left="220" w:hangingChars="100" w:hanging="220"/>
        <w:rPr>
          <w:sz w:val="24"/>
          <w:szCs w:val="24"/>
        </w:rPr>
      </w:pPr>
      <w:r>
        <w:rPr>
          <w:rStyle w:val="af3"/>
        </w:rPr>
        <w:footnoteRef/>
      </w:r>
      <w:r>
        <w:rPr>
          <w:rFonts w:hint="eastAsia"/>
          <w:sz w:val="24"/>
          <w:szCs w:val="24"/>
        </w:rPr>
        <w:t xml:space="preserve"> </w:t>
      </w:r>
      <w:r w:rsidRPr="00D4063E">
        <w:rPr>
          <w:sz w:val="24"/>
          <w:szCs w:val="24"/>
        </w:rPr>
        <w:t>39</w:t>
      </w:r>
      <w:r w:rsidRPr="00D4063E">
        <w:rPr>
          <w:rFonts w:hint="eastAsia"/>
          <w:sz w:val="24"/>
          <w:szCs w:val="24"/>
        </w:rPr>
        <w:t>年</w:t>
      </w:r>
      <w:r w:rsidRPr="00D4063E">
        <w:rPr>
          <w:sz w:val="24"/>
          <w:szCs w:val="24"/>
        </w:rPr>
        <w:t>8</w:t>
      </w:r>
      <w:r w:rsidRPr="00D4063E">
        <w:rPr>
          <w:rFonts w:hint="eastAsia"/>
          <w:sz w:val="24"/>
          <w:szCs w:val="24"/>
        </w:rPr>
        <w:t>月</w:t>
      </w:r>
      <w:r w:rsidRPr="00D4063E">
        <w:rPr>
          <w:sz w:val="24"/>
          <w:szCs w:val="24"/>
        </w:rPr>
        <w:t>15</w:t>
      </w:r>
      <w:r w:rsidRPr="00D4063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本</w:t>
      </w:r>
      <w:r w:rsidRPr="00D4063E">
        <w:rPr>
          <w:rFonts w:hint="eastAsia"/>
          <w:sz w:val="24"/>
          <w:szCs w:val="24"/>
        </w:rPr>
        <w:t>院彈劾</w:t>
      </w:r>
      <w:proofErr w:type="gramStart"/>
      <w:r w:rsidRPr="00D4063E">
        <w:rPr>
          <w:rFonts w:hint="eastAsia"/>
          <w:sz w:val="24"/>
          <w:szCs w:val="24"/>
        </w:rPr>
        <w:t>西安緩靖主任</w:t>
      </w:r>
      <w:proofErr w:type="gramEnd"/>
      <w:r w:rsidRPr="00D4063E">
        <w:rPr>
          <w:rFonts w:hint="eastAsia"/>
          <w:sz w:val="24"/>
          <w:szCs w:val="24"/>
        </w:rPr>
        <w:t>兼西南軍事副長官胡宗南違法失職，移送公務員懲戒委員會審議。當時因台灣海峽仍處於戰爭狀態，情勢緊張，加以有質疑武職公務員</w:t>
      </w:r>
      <w:proofErr w:type="gramStart"/>
      <w:r w:rsidRPr="00D4063E">
        <w:rPr>
          <w:rFonts w:hint="eastAsia"/>
          <w:sz w:val="24"/>
          <w:szCs w:val="24"/>
        </w:rPr>
        <w:t>違失事件如由</w:t>
      </w:r>
      <w:proofErr w:type="gramEnd"/>
      <w:r w:rsidRPr="00D4063E">
        <w:rPr>
          <w:rFonts w:hint="eastAsia"/>
          <w:sz w:val="24"/>
          <w:szCs w:val="24"/>
        </w:rPr>
        <w:t>公務員懲戒委員會依法定程序審議，將緩不濟急。因此，對軍人懲戒之管轄問題有不同意見。</w:t>
      </w:r>
      <w:proofErr w:type="gramStart"/>
      <w:r w:rsidRPr="00D4063E">
        <w:rPr>
          <w:rFonts w:hint="eastAsia"/>
          <w:sz w:val="24"/>
          <w:szCs w:val="24"/>
        </w:rPr>
        <w:t>嗣</w:t>
      </w:r>
      <w:proofErr w:type="gramEnd"/>
      <w:r w:rsidRPr="00D4063E">
        <w:rPr>
          <w:rFonts w:hint="eastAsia"/>
          <w:sz w:val="24"/>
          <w:szCs w:val="24"/>
        </w:rPr>
        <w:t>經司法院請示總統定奪，總統以（</w:t>
      </w:r>
      <w:r w:rsidRPr="00D4063E">
        <w:rPr>
          <w:sz w:val="24"/>
          <w:szCs w:val="24"/>
        </w:rPr>
        <w:t>40</w:t>
      </w:r>
      <w:r w:rsidRPr="00D4063E">
        <w:rPr>
          <w:rFonts w:hint="eastAsia"/>
          <w:sz w:val="24"/>
          <w:szCs w:val="24"/>
        </w:rPr>
        <w:t>）</w:t>
      </w:r>
      <w:proofErr w:type="gramStart"/>
      <w:r w:rsidRPr="00D4063E">
        <w:rPr>
          <w:rFonts w:hint="eastAsia"/>
          <w:sz w:val="24"/>
          <w:szCs w:val="24"/>
        </w:rPr>
        <w:t>台統</w:t>
      </w:r>
      <w:proofErr w:type="gramEnd"/>
      <w:r w:rsidRPr="00D4063E">
        <w:rPr>
          <w:rFonts w:hint="eastAsia"/>
          <w:sz w:val="24"/>
          <w:szCs w:val="24"/>
        </w:rPr>
        <w:t>（</w:t>
      </w:r>
      <w:r w:rsidRPr="00D4063E">
        <w:rPr>
          <w:sz w:val="24"/>
          <w:szCs w:val="24"/>
        </w:rPr>
        <w:t>1</w:t>
      </w:r>
      <w:r w:rsidRPr="00D4063E">
        <w:rPr>
          <w:rFonts w:hint="eastAsia"/>
          <w:sz w:val="24"/>
          <w:szCs w:val="24"/>
        </w:rPr>
        <w:t>）字第</w:t>
      </w:r>
      <w:r w:rsidRPr="00D4063E">
        <w:rPr>
          <w:sz w:val="24"/>
          <w:szCs w:val="24"/>
        </w:rPr>
        <w:t>693</w:t>
      </w:r>
      <w:r w:rsidRPr="00D4063E">
        <w:rPr>
          <w:rFonts w:hint="eastAsia"/>
          <w:sz w:val="24"/>
          <w:szCs w:val="24"/>
        </w:rPr>
        <w:t>號代電核定：「軍人</w:t>
      </w:r>
      <w:proofErr w:type="gramStart"/>
      <w:r w:rsidRPr="00D4063E">
        <w:rPr>
          <w:rFonts w:hint="eastAsia"/>
          <w:sz w:val="24"/>
          <w:szCs w:val="24"/>
        </w:rPr>
        <w:t>違</w:t>
      </w:r>
      <w:proofErr w:type="gramEnd"/>
      <w:r w:rsidRPr="00D4063E">
        <w:rPr>
          <w:rFonts w:hint="eastAsia"/>
          <w:sz w:val="24"/>
          <w:szCs w:val="24"/>
        </w:rPr>
        <w:t>失事件，在法無明文規定以前，暫仍由軍事機關辦理。」於是軍人之懲戒案件暫由國防部自行議處，公務員懲戒委員會不再受理軍人違失懲戒案件。</w:t>
      </w:r>
      <w:proofErr w:type="gramStart"/>
      <w:r w:rsidRPr="00D4063E">
        <w:rPr>
          <w:rFonts w:hint="eastAsia"/>
          <w:sz w:val="24"/>
          <w:szCs w:val="24"/>
        </w:rPr>
        <w:t>嗣</w:t>
      </w:r>
      <w:proofErr w:type="gramEnd"/>
      <w:r w:rsidRPr="00D4063E">
        <w:rPr>
          <w:rFonts w:hint="eastAsia"/>
          <w:sz w:val="24"/>
          <w:szCs w:val="24"/>
        </w:rPr>
        <w:t>因台海兩岸政治趨於穩定，</w:t>
      </w:r>
      <w:r>
        <w:rPr>
          <w:rFonts w:hint="eastAsia"/>
          <w:sz w:val="24"/>
          <w:szCs w:val="24"/>
        </w:rPr>
        <w:t>本</w:t>
      </w:r>
      <w:r w:rsidRPr="00D4063E">
        <w:rPr>
          <w:rFonts w:hint="eastAsia"/>
          <w:sz w:val="24"/>
          <w:szCs w:val="24"/>
        </w:rPr>
        <w:t>院於</w:t>
      </w:r>
      <w:r w:rsidRPr="00D4063E">
        <w:rPr>
          <w:sz w:val="24"/>
          <w:szCs w:val="24"/>
        </w:rPr>
        <w:t>78</w:t>
      </w:r>
      <w:r w:rsidRPr="00D4063E">
        <w:rPr>
          <w:rFonts w:hint="eastAsia"/>
          <w:sz w:val="24"/>
          <w:szCs w:val="24"/>
        </w:rPr>
        <w:t>年</w:t>
      </w:r>
      <w:r w:rsidRPr="00D4063E">
        <w:rPr>
          <w:sz w:val="24"/>
          <w:szCs w:val="24"/>
        </w:rPr>
        <w:t>7</w:t>
      </w:r>
      <w:r w:rsidRPr="00D4063E">
        <w:rPr>
          <w:rFonts w:hint="eastAsia"/>
          <w:sz w:val="24"/>
          <w:szCs w:val="24"/>
        </w:rPr>
        <w:t>月</w:t>
      </w:r>
      <w:r w:rsidRPr="00D4063E">
        <w:rPr>
          <w:sz w:val="24"/>
          <w:szCs w:val="24"/>
        </w:rPr>
        <w:t>11</w:t>
      </w:r>
      <w:r w:rsidRPr="00D4063E">
        <w:rPr>
          <w:rFonts w:hint="eastAsia"/>
          <w:sz w:val="24"/>
          <w:szCs w:val="24"/>
        </w:rPr>
        <w:t>日就彈劾軍人違失懲戒案件之審議機關提請司法院解釋，</w:t>
      </w:r>
      <w:r w:rsidRPr="00D4063E">
        <w:rPr>
          <w:sz w:val="24"/>
          <w:szCs w:val="24"/>
        </w:rPr>
        <w:t>79</w:t>
      </w:r>
      <w:r w:rsidRPr="00D4063E">
        <w:rPr>
          <w:rFonts w:hint="eastAsia"/>
          <w:sz w:val="24"/>
          <w:szCs w:val="24"/>
        </w:rPr>
        <w:t>年</w:t>
      </w:r>
      <w:r w:rsidRPr="00D4063E">
        <w:rPr>
          <w:sz w:val="24"/>
          <w:szCs w:val="24"/>
        </w:rPr>
        <w:t>7</w:t>
      </w:r>
      <w:r w:rsidRPr="00D4063E">
        <w:rPr>
          <w:rFonts w:hint="eastAsia"/>
          <w:sz w:val="24"/>
          <w:szCs w:val="24"/>
        </w:rPr>
        <w:t>月</w:t>
      </w:r>
      <w:r w:rsidRPr="00D4063E">
        <w:rPr>
          <w:sz w:val="24"/>
          <w:szCs w:val="24"/>
        </w:rPr>
        <w:t>6</w:t>
      </w:r>
      <w:r w:rsidRPr="00D4063E">
        <w:rPr>
          <w:rFonts w:hint="eastAsia"/>
          <w:sz w:val="24"/>
          <w:szCs w:val="24"/>
        </w:rPr>
        <w:t>日大法官作成釋字第</w:t>
      </w:r>
      <w:r w:rsidRPr="00D4063E">
        <w:rPr>
          <w:sz w:val="24"/>
          <w:szCs w:val="24"/>
        </w:rPr>
        <w:t>262</w:t>
      </w:r>
      <w:r w:rsidRPr="00D4063E">
        <w:rPr>
          <w:rFonts w:hint="eastAsia"/>
          <w:sz w:val="24"/>
          <w:szCs w:val="24"/>
        </w:rPr>
        <w:t>號解釋，明確指出「監察院對軍人提出彈劾案時，應移送公務員懲戒委員會審議。軍人</w:t>
      </w:r>
      <w:proofErr w:type="gramStart"/>
      <w:r w:rsidRPr="00D4063E">
        <w:rPr>
          <w:rFonts w:hint="eastAsia"/>
          <w:sz w:val="24"/>
          <w:szCs w:val="24"/>
        </w:rPr>
        <w:t>之過犯</w:t>
      </w:r>
      <w:proofErr w:type="gramEnd"/>
      <w:r w:rsidRPr="00D4063E">
        <w:rPr>
          <w:rFonts w:hint="eastAsia"/>
          <w:sz w:val="24"/>
          <w:szCs w:val="24"/>
        </w:rPr>
        <w:t>，除上述彈劾案外，其懲罰仍依陸海空軍</w:t>
      </w:r>
      <w:proofErr w:type="gramStart"/>
      <w:r w:rsidRPr="00D4063E">
        <w:rPr>
          <w:rFonts w:hint="eastAsia"/>
          <w:sz w:val="24"/>
          <w:szCs w:val="24"/>
        </w:rPr>
        <w:t>懲罰法行之</w:t>
      </w:r>
      <w:proofErr w:type="gramEnd"/>
      <w:r w:rsidRPr="00D4063E">
        <w:rPr>
          <w:rFonts w:hint="eastAsia"/>
          <w:sz w:val="24"/>
          <w:szCs w:val="24"/>
        </w:rPr>
        <w:t>」。</w:t>
      </w:r>
    </w:p>
  </w:footnote>
  <w:footnote w:id="5">
    <w:p w:rsidR="001B33C8" w:rsidRPr="00A57B5B" w:rsidRDefault="001B33C8" w:rsidP="009315F4">
      <w:pPr>
        <w:pStyle w:val="af1"/>
        <w:ind w:left="220" w:hangingChars="100" w:hanging="220"/>
      </w:pPr>
      <w:r>
        <w:rPr>
          <w:rStyle w:val="af3"/>
        </w:rPr>
        <w:footnoteRef/>
      </w:r>
      <w:r>
        <w:t xml:space="preserve"> </w:t>
      </w:r>
      <w:r w:rsidRPr="00A57B5B">
        <w:rPr>
          <w:rFonts w:hint="eastAsia"/>
          <w:sz w:val="24"/>
          <w:szCs w:val="24"/>
        </w:rPr>
        <w:t>內政部</w:t>
      </w:r>
      <w:r>
        <w:rPr>
          <w:rFonts w:hint="eastAsia"/>
          <w:sz w:val="24"/>
          <w:szCs w:val="24"/>
        </w:rPr>
        <w:t>於</w:t>
      </w:r>
      <w:r>
        <w:rPr>
          <w:rFonts w:hint="eastAsia"/>
          <w:sz w:val="24"/>
          <w:szCs w:val="24"/>
        </w:rPr>
        <w:t>107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月提出之</w:t>
      </w:r>
      <w:r w:rsidRPr="00A57B5B">
        <w:rPr>
          <w:rFonts w:hint="eastAsia"/>
          <w:sz w:val="24"/>
          <w:szCs w:val="24"/>
        </w:rPr>
        <w:t>「禁止酷刑及其他殘忍不人道或有辱人格之待遇或處罰公約施行法」草案第</w:t>
      </w:r>
      <w:r w:rsidRPr="00A57B5B">
        <w:rPr>
          <w:rFonts w:hint="eastAsia"/>
          <w:sz w:val="24"/>
          <w:szCs w:val="24"/>
        </w:rPr>
        <w:t>4</w:t>
      </w:r>
      <w:r w:rsidRPr="00A57B5B">
        <w:rPr>
          <w:rFonts w:hint="eastAsia"/>
          <w:sz w:val="24"/>
          <w:szCs w:val="24"/>
        </w:rPr>
        <w:t>條規定：「監察院設酷刑及其他殘忍、不人道或有辱人格之待遇或處罰防制相關委員會。」第</w:t>
      </w:r>
      <w:r w:rsidRPr="00A57B5B">
        <w:rPr>
          <w:rFonts w:hint="eastAsia"/>
          <w:sz w:val="24"/>
          <w:szCs w:val="24"/>
        </w:rPr>
        <w:t>5</w:t>
      </w:r>
      <w:r w:rsidRPr="00A57B5B">
        <w:rPr>
          <w:rFonts w:hint="eastAsia"/>
          <w:sz w:val="24"/>
          <w:szCs w:val="24"/>
        </w:rPr>
        <w:t>條規定：「</w:t>
      </w:r>
      <w:r w:rsidRPr="00A57B5B">
        <w:rPr>
          <w:rFonts w:hint="eastAsia"/>
          <w:sz w:val="24"/>
          <w:szCs w:val="24"/>
        </w:rPr>
        <w:tab/>
      </w:r>
      <w:r w:rsidRPr="00A57B5B">
        <w:rPr>
          <w:rFonts w:hint="eastAsia"/>
          <w:sz w:val="24"/>
          <w:szCs w:val="24"/>
        </w:rPr>
        <w:t>任何人依本公約及議定書應受保障之權利，遭受侵害或有受侵害之虞時，得向監察院提出陳情，監察院於接獲陳情後，應依職權進行調查。」</w:t>
      </w:r>
    </w:p>
  </w:footnote>
  <w:footnote w:id="6">
    <w:p w:rsidR="001B33C8" w:rsidRPr="00AE33D4" w:rsidRDefault="001B33C8" w:rsidP="009315F4">
      <w:pPr>
        <w:pStyle w:val="af1"/>
        <w:ind w:left="220" w:hangingChars="100" w:hanging="220"/>
      </w:pPr>
      <w:r>
        <w:rPr>
          <w:rStyle w:val="af3"/>
        </w:rPr>
        <w:footnoteRef/>
      </w:r>
      <w:r>
        <w:t xml:space="preserve"> </w:t>
      </w:r>
      <w:r w:rsidRPr="00884E69">
        <w:rPr>
          <w:rFonts w:hint="eastAsia"/>
          <w:sz w:val="24"/>
          <w:szCs w:val="24"/>
        </w:rPr>
        <w:t>司法院釋字第</w:t>
      </w:r>
      <w:r w:rsidRPr="00884E69">
        <w:rPr>
          <w:rFonts w:hint="eastAsia"/>
          <w:sz w:val="24"/>
          <w:szCs w:val="24"/>
        </w:rPr>
        <w:t>430</w:t>
      </w:r>
      <w:r w:rsidRPr="00884E69">
        <w:rPr>
          <w:rFonts w:hint="eastAsia"/>
          <w:sz w:val="24"/>
          <w:szCs w:val="24"/>
        </w:rPr>
        <w:t>號解釋：「軍人為廣義之公務員，與國家間具有公法上之職務關係。」解釋理由書</w:t>
      </w:r>
      <w:r>
        <w:rPr>
          <w:rFonts w:hint="eastAsia"/>
          <w:sz w:val="24"/>
          <w:szCs w:val="24"/>
        </w:rPr>
        <w:t>表示</w:t>
      </w:r>
      <w:r w:rsidRPr="00884E69">
        <w:rPr>
          <w:rFonts w:hint="eastAsia"/>
          <w:sz w:val="24"/>
          <w:szCs w:val="24"/>
        </w:rPr>
        <w:t>：「</w:t>
      </w:r>
      <w:r>
        <w:rPr>
          <w:rFonts w:hint="eastAsia"/>
          <w:sz w:val="24"/>
          <w:szCs w:val="24"/>
        </w:rPr>
        <w:t>…</w:t>
      </w:r>
      <w:proofErr w:type="gramStart"/>
      <w:r>
        <w:rPr>
          <w:rFonts w:hint="eastAsia"/>
          <w:sz w:val="24"/>
          <w:szCs w:val="24"/>
        </w:rPr>
        <w:t>…</w:t>
      </w:r>
      <w:proofErr w:type="gramEnd"/>
      <w:r w:rsidRPr="00884E69">
        <w:rPr>
          <w:rFonts w:hint="eastAsia"/>
          <w:sz w:val="24"/>
          <w:szCs w:val="24"/>
        </w:rPr>
        <w:t>軍人負有作戰任務，對軍令服從之義務，固不能與文官等同視之。</w:t>
      </w:r>
      <w:proofErr w:type="gramStart"/>
      <w:r w:rsidRPr="00884E69">
        <w:rPr>
          <w:rFonts w:hint="eastAsia"/>
          <w:sz w:val="24"/>
          <w:szCs w:val="24"/>
        </w:rPr>
        <w:t>惟</w:t>
      </w:r>
      <w:proofErr w:type="gramEnd"/>
      <w:r w:rsidRPr="00884E69">
        <w:rPr>
          <w:rFonts w:hint="eastAsia"/>
          <w:sz w:val="24"/>
          <w:szCs w:val="24"/>
        </w:rPr>
        <w:t>軍人既屬廣義之公務員，與國家之間具有公法上之職務關係，</w:t>
      </w:r>
      <w:proofErr w:type="gramStart"/>
      <w:r w:rsidRPr="00884E69">
        <w:rPr>
          <w:rFonts w:hint="eastAsia"/>
          <w:sz w:val="24"/>
          <w:szCs w:val="24"/>
        </w:rPr>
        <w:t>倘非關</w:t>
      </w:r>
      <w:proofErr w:type="gramEnd"/>
      <w:r w:rsidRPr="00884E69">
        <w:rPr>
          <w:rFonts w:hint="eastAsia"/>
          <w:sz w:val="24"/>
          <w:szCs w:val="24"/>
        </w:rPr>
        <w:t>軍事指揮權與賞罰權之正當行使，軍人依法應享有之權益，自不應與其他公務員，有所差異。</w:t>
      </w:r>
      <w:r>
        <w:rPr>
          <w:rFonts w:hint="eastAsia"/>
          <w:sz w:val="24"/>
          <w:szCs w:val="24"/>
        </w:rPr>
        <w:t>…</w:t>
      </w:r>
      <w:proofErr w:type="gramStart"/>
      <w:r>
        <w:rPr>
          <w:rFonts w:hint="eastAsia"/>
          <w:sz w:val="24"/>
          <w:szCs w:val="24"/>
        </w:rPr>
        <w:t>…</w:t>
      </w:r>
      <w:proofErr w:type="gramEnd"/>
      <w:r w:rsidRPr="00884E69">
        <w:rPr>
          <w:rFonts w:hint="eastAsia"/>
          <w:sz w:val="24"/>
          <w:szCs w:val="24"/>
        </w:rPr>
        <w:t>」</w:t>
      </w:r>
    </w:p>
  </w:footnote>
  <w:footnote w:id="7">
    <w:p w:rsidR="001B33C8" w:rsidRPr="00420817" w:rsidRDefault="001B33C8">
      <w:pPr>
        <w:pStyle w:val="af1"/>
      </w:pPr>
      <w:r>
        <w:rPr>
          <w:rStyle w:val="af3"/>
        </w:rPr>
        <w:footnoteRef/>
      </w:r>
      <w:r>
        <w:t xml:space="preserve"> </w:t>
      </w:r>
      <w:r w:rsidRPr="00420817">
        <w:rPr>
          <w:rFonts w:hint="eastAsia"/>
          <w:sz w:val="24"/>
          <w:szCs w:val="24"/>
        </w:rPr>
        <w:t>108</w:t>
      </w:r>
      <w:r w:rsidRPr="00420817">
        <w:rPr>
          <w:rFonts w:hint="eastAsia"/>
          <w:sz w:val="24"/>
          <w:szCs w:val="24"/>
        </w:rPr>
        <w:t>年</w:t>
      </w:r>
      <w:r w:rsidRPr="00420817">
        <w:rPr>
          <w:rFonts w:hint="eastAsia"/>
          <w:sz w:val="24"/>
          <w:szCs w:val="24"/>
        </w:rPr>
        <w:t>3</w:t>
      </w:r>
      <w:r w:rsidRPr="00420817">
        <w:rPr>
          <w:rFonts w:hint="eastAsia"/>
          <w:sz w:val="24"/>
          <w:szCs w:val="24"/>
        </w:rPr>
        <w:t>月</w:t>
      </w:r>
      <w:r w:rsidRPr="00420817">
        <w:rPr>
          <w:rFonts w:hint="eastAsia"/>
          <w:sz w:val="24"/>
          <w:szCs w:val="24"/>
        </w:rPr>
        <w:t>14</w:t>
      </w:r>
      <w:r w:rsidRPr="00420817">
        <w:rPr>
          <w:rFonts w:hint="eastAsia"/>
          <w:sz w:val="24"/>
          <w:szCs w:val="24"/>
        </w:rPr>
        <w:t>日國資人力字第</w:t>
      </w:r>
      <w:r w:rsidRPr="00420817">
        <w:rPr>
          <w:rFonts w:hint="eastAsia"/>
          <w:sz w:val="24"/>
          <w:szCs w:val="24"/>
        </w:rPr>
        <w:t>1080000645</w:t>
      </w:r>
      <w:r w:rsidRPr="00420817">
        <w:rPr>
          <w:rFonts w:hint="eastAsia"/>
          <w:sz w:val="24"/>
          <w:szCs w:val="24"/>
        </w:rPr>
        <w:t>號令</w:t>
      </w:r>
      <w:r w:rsidR="004A4EB1">
        <w:rPr>
          <w:rFonts w:hint="eastAsia"/>
          <w:sz w:val="24"/>
          <w:szCs w:val="24"/>
        </w:rPr>
        <w:t>。</w:t>
      </w:r>
    </w:p>
  </w:footnote>
  <w:footnote w:id="8">
    <w:p w:rsidR="001B33C8" w:rsidRPr="00D4063E" w:rsidRDefault="001B33C8" w:rsidP="009315F4">
      <w:pPr>
        <w:pStyle w:val="af1"/>
        <w:ind w:left="220" w:hangingChars="100" w:hanging="220"/>
        <w:rPr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D4063E">
        <w:rPr>
          <w:rFonts w:hint="eastAsia"/>
          <w:sz w:val="24"/>
          <w:szCs w:val="24"/>
        </w:rPr>
        <w:t>該</w:t>
      </w:r>
      <w:r w:rsidRPr="00D4063E">
        <w:rPr>
          <w:rFonts w:hint="eastAsia"/>
          <w:sz w:val="24"/>
          <w:szCs w:val="24"/>
        </w:rPr>
        <w:t>6</w:t>
      </w:r>
      <w:r w:rsidRPr="00D4063E">
        <w:rPr>
          <w:rFonts w:hint="eastAsia"/>
          <w:sz w:val="24"/>
          <w:szCs w:val="24"/>
        </w:rPr>
        <w:t>項行為態樣包括：</w:t>
      </w:r>
      <w:r w:rsidRPr="00D4063E">
        <w:rPr>
          <w:rFonts w:hint="eastAsia"/>
          <w:sz w:val="24"/>
          <w:szCs w:val="24"/>
        </w:rPr>
        <w:t>1.</w:t>
      </w:r>
      <w:r w:rsidRPr="00D4063E">
        <w:rPr>
          <w:rFonts w:hint="eastAsia"/>
          <w:sz w:val="24"/>
          <w:szCs w:val="24"/>
        </w:rPr>
        <w:t>對強制猥褻案刻意掩蓋事實、隱匿案情；</w:t>
      </w:r>
      <w:r w:rsidRPr="00D4063E">
        <w:rPr>
          <w:rFonts w:hint="eastAsia"/>
          <w:sz w:val="24"/>
          <w:szCs w:val="24"/>
        </w:rPr>
        <w:t>2.</w:t>
      </w:r>
      <w:r w:rsidRPr="00D4063E">
        <w:rPr>
          <w:rFonts w:hint="eastAsia"/>
          <w:sz w:val="24"/>
          <w:szCs w:val="24"/>
        </w:rPr>
        <w:t>違反職責操作軍事武器致造成重大傷亡；</w:t>
      </w:r>
      <w:r w:rsidRPr="00D4063E">
        <w:rPr>
          <w:rFonts w:hint="eastAsia"/>
          <w:sz w:val="24"/>
          <w:szCs w:val="24"/>
        </w:rPr>
        <w:t>3.</w:t>
      </w:r>
      <w:r w:rsidRPr="00D4063E">
        <w:rPr>
          <w:rFonts w:hint="eastAsia"/>
          <w:sz w:val="24"/>
          <w:szCs w:val="24"/>
        </w:rPr>
        <w:t>採購靶機驗收過程瑕疵並虛擲公</w:t>
      </w:r>
      <w:proofErr w:type="gramStart"/>
      <w:r w:rsidRPr="00D4063E">
        <w:rPr>
          <w:rFonts w:hint="eastAsia"/>
          <w:sz w:val="24"/>
          <w:szCs w:val="24"/>
        </w:rPr>
        <w:t>帑</w:t>
      </w:r>
      <w:proofErr w:type="gramEnd"/>
      <w:r w:rsidRPr="00D4063E">
        <w:rPr>
          <w:rFonts w:hint="eastAsia"/>
          <w:sz w:val="24"/>
          <w:szCs w:val="24"/>
        </w:rPr>
        <w:t>；</w:t>
      </w:r>
      <w:r w:rsidRPr="00D4063E">
        <w:rPr>
          <w:rFonts w:hint="eastAsia"/>
          <w:sz w:val="24"/>
          <w:szCs w:val="24"/>
        </w:rPr>
        <w:t>4.</w:t>
      </w:r>
      <w:r w:rsidRPr="00D4063E">
        <w:rPr>
          <w:rFonts w:hint="eastAsia"/>
          <w:sz w:val="24"/>
          <w:szCs w:val="24"/>
        </w:rPr>
        <w:t>違反公務員服務法第</w:t>
      </w:r>
      <w:r w:rsidRPr="00D4063E">
        <w:rPr>
          <w:rFonts w:hint="eastAsia"/>
          <w:sz w:val="24"/>
          <w:szCs w:val="24"/>
        </w:rPr>
        <w:t>1</w:t>
      </w:r>
      <w:r w:rsidRPr="00D4063E">
        <w:rPr>
          <w:rFonts w:hint="eastAsia"/>
          <w:sz w:val="24"/>
          <w:szCs w:val="24"/>
        </w:rPr>
        <w:t>條、第</w:t>
      </w:r>
      <w:r w:rsidRPr="00D4063E">
        <w:rPr>
          <w:rFonts w:hint="eastAsia"/>
          <w:sz w:val="24"/>
          <w:szCs w:val="24"/>
        </w:rPr>
        <w:t>5</w:t>
      </w:r>
      <w:r w:rsidRPr="00D4063E">
        <w:rPr>
          <w:rFonts w:hint="eastAsia"/>
          <w:sz w:val="24"/>
          <w:szCs w:val="24"/>
        </w:rPr>
        <w:t>條、第</w:t>
      </w:r>
      <w:r w:rsidRPr="00D4063E">
        <w:rPr>
          <w:rFonts w:hint="eastAsia"/>
          <w:sz w:val="24"/>
          <w:szCs w:val="24"/>
        </w:rPr>
        <w:t>6</w:t>
      </w:r>
      <w:r w:rsidRPr="00D4063E">
        <w:rPr>
          <w:rFonts w:hint="eastAsia"/>
          <w:sz w:val="24"/>
          <w:szCs w:val="24"/>
        </w:rPr>
        <w:t>條、第</w:t>
      </w:r>
      <w:r w:rsidRPr="00D4063E">
        <w:rPr>
          <w:rFonts w:hint="eastAsia"/>
          <w:sz w:val="24"/>
          <w:szCs w:val="24"/>
        </w:rPr>
        <w:t>7</w:t>
      </w:r>
      <w:r w:rsidRPr="00D4063E">
        <w:rPr>
          <w:rFonts w:hint="eastAsia"/>
          <w:sz w:val="24"/>
          <w:szCs w:val="24"/>
        </w:rPr>
        <w:t>條；</w:t>
      </w:r>
      <w:r w:rsidRPr="00D4063E">
        <w:rPr>
          <w:rFonts w:hint="eastAsia"/>
          <w:sz w:val="24"/>
          <w:szCs w:val="24"/>
        </w:rPr>
        <w:t>5.</w:t>
      </w:r>
      <w:r w:rsidRPr="00D4063E">
        <w:rPr>
          <w:rFonts w:hint="eastAsia"/>
          <w:sz w:val="24"/>
          <w:szCs w:val="24"/>
        </w:rPr>
        <w:t>利用權勢要求部屬接送上下班及購物未</w:t>
      </w:r>
      <w:proofErr w:type="gramStart"/>
      <w:r w:rsidRPr="00D4063E">
        <w:rPr>
          <w:rFonts w:hint="eastAsia"/>
          <w:sz w:val="24"/>
          <w:szCs w:val="24"/>
        </w:rPr>
        <w:t>予支</w:t>
      </w:r>
      <w:proofErr w:type="gramEnd"/>
      <w:r w:rsidRPr="00D4063E">
        <w:rPr>
          <w:rFonts w:hint="eastAsia"/>
          <w:sz w:val="24"/>
          <w:szCs w:val="24"/>
        </w:rPr>
        <w:t>付金錢；</w:t>
      </w:r>
      <w:r w:rsidRPr="00D4063E">
        <w:rPr>
          <w:rFonts w:hint="eastAsia"/>
          <w:sz w:val="24"/>
          <w:szCs w:val="24"/>
        </w:rPr>
        <w:t>6.</w:t>
      </w:r>
      <w:r w:rsidRPr="00D4063E">
        <w:rPr>
          <w:rFonts w:hint="eastAsia"/>
          <w:sz w:val="24"/>
          <w:szCs w:val="24"/>
        </w:rPr>
        <w:t>強制猥褻並誣告</w:t>
      </w:r>
      <w:r w:rsidR="004A4EB1">
        <w:rPr>
          <w:rFonts w:hint="eastAsia"/>
          <w:sz w:val="24"/>
          <w:szCs w:val="24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6121"/>
    <w:multiLevelType w:val="multilevel"/>
    <w:tmpl w:val="11C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6650A1"/>
    <w:multiLevelType w:val="multilevel"/>
    <w:tmpl w:val="E99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010C2"/>
    <w:multiLevelType w:val="multilevel"/>
    <w:tmpl w:val="41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849AC"/>
    <w:multiLevelType w:val="multilevel"/>
    <w:tmpl w:val="06F6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C63C0"/>
    <w:multiLevelType w:val="multilevel"/>
    <w:tmpl w:val="3102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7">
    <w:nsid w:val="14901247"/>
    <w:multiLevelType w:val="hybridMultilevel"/>
    <w:tmpl w:val="3B1ADF3E"/>
    <w:lvl w:ilvl="0" w:tplc="5D7EFEF8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B1659A4"/>
    <w:multiLevelType w:val="hybridMultilevel"/>
    <w:tmpl w:val="51F4616E"/>
    <w:lvl w:ilvl="0" w:tplc="834A4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023889"/>
    <w:multiLevelType w:val="multilevel"/>
    <w:tmpl w:val="38E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05471"/>
    <w:multiLevelType w:val="multilevel"/>
    <w:tmpl w:val="759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22FD4"/>
    <w:multiLevelType w:val="multilevel"/>
    <w:tmpl w:val="2D0A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933CAB"/>
    <w:multiLevelType w:val="multilevel"/>
    <w:tmpl w:val="58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45700"/>
    <w:multiLevelType w:val="multilevel"/>
    <w:tmpl w:val="EB3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2601D"/>
    <w:multiLevelType w:val="multilevel"/>
    <w:tmpl w:val="FDC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616784"/>
    <w:multiLevelType w:val="multilevel"/>
    <w:tmpl w:val="054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624D4"/>
    <w:multiLevelType w:val="multilevel"/>
    <w:tmpl w:val="325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52B05"/>
    <w:multiLevelType w:val="multilevel"/>
    <w:tmpl w:val="1454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693A13"/>
    <w:multiLevelType w:val="multilevel"/>
    <w:tmpl w:val="58E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C7BF3"/>
    <w:multiLevelType w:val="multilevel"/>
    <w:tmpl w:val="FC9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FD593D"/>
    <w:multiLevelType w:val="hybridMultilevel"/>
    <w:tmpl w:val="3294A3AE"/>
    <w:lvl w:ilvl="0" w:tplc="8F8E9D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6258B6"/>
    <w:multiLevelType w:val="hybridMultilevel"/>
    <w:tmpl w:val="DD325422"/>
    <w:lvl w:ilvl="0" w:tplc="83C227CA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DE7E7D"/>
    <w:multiLevelType w:val="multilevel"/>
    <w:tmpl w:val="AF2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07170E"/>
    <w:multiLevelType w:val="multilevel"/>
    <w:tmpl w:val="51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3B76DB"/>
    <w:multiLevelType w:val="multilevel"/>
    <w:tmpl w:val="F08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827A8"/>
    <w:multiLevelType w:val="multilevel"/>
    <w:tmpl w:val="33C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234985"/>
    <w:multiLevelType w:val="multilevel"/>
    <w:tmpl w:val="70D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A9186E"/>
    <w:multiLevelType w:val="multilevel"/>
    <w:tmpl w:val="BFF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EA4ABA"/>
    <w:multiLevelType w:val="multilevel"/>
    <w:tmpl w:val="2624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47B1A"/>
    <w:multiLevelType w:val="multilevel"/>
    <w:tmpl w:val="B87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F5F84"/>
    <w:multiLevelType w:val="hybridMultilevel"/>
    <w:tmpl w:val="AB020172"/>
    <w:lvl w:ilvl="0" w:tplc="59188A42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DA2682"/>
    <w:multiLevelType w:val="multilevel"/>
    <w:tmpl w:val="0AE2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166205"/>
    <w:multiLevelType w:val="multilevel"/>
    <w:tmpl w:val="5C3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FC5F06"/>
    <w:multiLevelType w:val="multilevel"/>
    <w:tmpl w:val="594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C0162E"/>
    <w:multiLevelType w:val="hybridMultilevel"/>
    <w:tmpl w:val="95161654"/>
    <w:lvl w:ilvl="0" w:tplc="530684EA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667B5F"/>
    <w:multiLevelType w:val="multilevel"/>
    <w:tmpl w:val="974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AA203C"/>
    <w:multiLevelType w:val="multilevel"/>
    <w:tmpl w:val="BCF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EF4953"/>
    <w:multiLevelType w:val="multilevel"/>
    <w:tmpl w:val="73CC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6"/>
  </w:num>
  <w:num w:numId="5">
    <w:abstractNumId w:val="6"/>
  </w:num>
  <w:num w:numId="6">
    <w:abstractNumId w:val="35"/>
  </w:num>
  <w:num w:numId="7">
    <w:abstractNumId w:val="7"/>
  </w:num>
  <w:num w:numId="8">
    <w:abstractNumId w:val="22"/>
  </w:num>
  <w:num w:numId="9">
    <w:abstractNumId w:val="31"/>
  </w:num>
  <w:num w:numId="10">
    <w:abstractNumId w:val="21"/>
  </w:num>
  <w:num w:numId="11">
    <w:abstractNumId w:val="8"/>
  </w:num>
  <w:num w:numId="12">
    <w:abstractNumId w:val="8"/>
  </w:num>
  <w:num w:numId="13">
    <w:abstractNumId w:val="6"/>
  </w:num>
  <w:num w:numId="14">
    <w:abstractNumId w:val="38"/>
  </w:num>
  <w:num w:numId="15">
    <w:abstractNumId w:val="37"/>
  </w:num>
  <w:num w:numId="16">
    <w:abstractNumId w:val="4"/>
  </w:num>
  <w:num w:numId="17">
    <w:abstractNumId w:val="24"/>
  </w:num>
  <w:num w:numId="18">
    <w:abstractNumId w:val="28"/>
  </w:num>
  <w:num w:numId="19">
    <w:abstractNumId w:val="26"/>
  </w:num>
  <w:num w:numId="20">
    <w:abstractNumId w:val="19"/>
  </w:num>
  <w:num w:numId="21">
    <w:abstractNumId w:val="10"/>
  </w:num>
  <w:num w:numId="22">
    <w:abstractNumId w:val="29"/>
  </w:num>
  <w:num w:numId="23">
    <w:abstractNumId w:val="13"/>
  </w:num>
  <w:num w:numId="24">
    <w:abstractNumId w:val="0"/>
  </w:num>
  <w:num w:numId="25">
    <w:abstractNumId w:val="33"/>
  </w:num>
  <w:num w:numId="26">
    <w:abstractNumId w:val="23"/>
  </w:num>
  <w:num w:numId="27">
    <w:abstractNumId w:val="18"/>
  </w:num>
  <w:num w:numId="28">
    <w:abstractNumId w:val="14"/>
  </w:num>
  <w:num w:numId="29">
    <w:abstractNumId w:val="27"/>
  </w:num>
  <w:num w:numId="30">
    <w:abstractNumId w:val="36"/>
  </w:num>
  <w:num w:numId="31">
    <w:abstractNumId w:val="32"/>
  </w:num>
  <w:num w:numId="32">
    <w:abstractNumId w:val="20"/>
  </w:num>
  <w:num w:numId="33">
    <w:abstractNumId w:val="12"/>
  </w:num>
  <w:num w:numId="34">
    <w:abstractNumId w:val="11"/>
  </w:num>
  <w:num w:numId="35">
    <w:abstractNumId w:val="5"/>
  </w:num>
  <w:num w:numId="36">
    <w:abstractNumId w:val="2"/>
  </w:num>
  <w:num w:numId="37">
    <w:abstractNumId w:val="30"/>
  </w:num>
  <w:num w:numId="38">
    <w:abstractNumId w:val="25"/>
  </w:num>
  <w:num w:numId="39">
    <w:abstractNumId w:val="15"/>
  </w:num>
  <w:num w:numId="40">
    <w:abstractNumId w:val="16"/>
  </w:num>
  <w:num w:numId="41">
    <w:abstractNumId w:val="17"/>
  </w:num>
  <w:num w:numId="42">
    <w:abstractNumId w:val="34"/>
  </w:num>
  <w:num w:numId="43">
    <w:abstractNumId w:val="3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5E"/>
    <w:rsid w:val="000154C6"/>
    <w:rsid w:val="0001690F"/>
    <w:rsid w:val="000561DE"/>
    <w:rsid w:val="00056A5E"/>
    <w:rsid w:val="000608D5"/>
    <w:rsid w:val="00074115"/>
    <w:rsid w:val="000A12F8"/>
    <w:rsid w:val="000B43F0"/>
    <w:rsid w:val="000B5879"/>
    <w:rsid w:val="000E0EF0"/>
    <w:rsid w:val="00103AFC"/>
    <w:rsid w:val="0010735E"/>
    <w:rsid w:val="00114F59"/>
    <w:rsid w:val="00145718"/>
    <w:rsid w:val="00155750"/>
    <w:rsid w:val="001609C0"/>
    <w:rsid w:val="00177FE3"/>
    <w:rsid w:val="001B33C8"/>
    <w:rsid w:val="001B41D5"/>
    <w:rsid w:val="001C4178"/>
    <w:rsid w:val="00207202"/>
    <w:rsid w:val="0023616B"/>
    <w:rsid w:val="00262B5C"/>
    <w:rsid w:val="0027246B"/>
    <w:rsid w:val="00272CCA"/>
    <w:rsid w:val="00275D75"/>
    <w:rsid w:val="00287E03"/>
    <w:rsid w:val="002C57AF"/>
    <w:rsid w:val="002D4527"/>
    <w:rsid w:val="00353A51"/>
    <w:rsid w:val="00364CA2"/>
    <w:rsid w:val="00371CF5"/>
    <w:rsid w:val="00377067"/>
    <w:rsid w:val="003A3536"/>
    <w:rsid w:val="003D74F8"/>
    <w:rsid w:val="003F18B7"/>
    <w:rsid w:val="0041706F"/>
    <w:rsid w:val="00420817"/>
    <w:rsid w:val="00470F04"/>
    <w:rsid w:val="00472661"/>
    <w:rsid w:val="00486233"/>
    <w:rsid w:val="004959F0"/>
    <w:rsid w:val="004A4551"/>
    <w:rsid w:val="004A4EB1"/>
    <w:rsid w:val="004E3EB0"/>
    <w:rsid w:val="00511610"/>
    <w:rsid w:val="005130D5"/>
    <w:rsid w:val="00537644"/>
    <w:rsid w:val="00546640"/>
    <w:rsid w:val="005E2547"/>
    <w:rsid w:val="00644606"/>
    <w:rsid w:val="006466DD"/>
    <w:rsid w:val="0068082A"/>
    <w:rsid w:val="006877E3"/>
    <w:rsid w:val="006B7A48"/>
    <w:rsid w:val="00700FB5"/>
    <w:rsid w:val="00722081"/>
    <w:rsid w:val="007304F8"/>
    <w:rsid w:val="00737497"/>
    <w:rsid w:val="00780CE8"/>
    <w:rsid w:val="007A2014"/>
    <w:rsid w:val="007A6675"/>
    <w:rsid w:val="007C5FAC"/>
    <w:rsid w:val="007D6E4D"/>
    <w:rsid w:val="008015BF"/>
    <w:rsid w:val="00804710"/>
    <w:rsid w:val="00847230"/>
    <w:rsid w:val="00852D10"/>
    <w:rsid w:val="00853439"/>
    <w:rsid w:val="00873E12"/>
    <w:rsid w:val="008A5AB7"/>
    <w:rsid w:val="008E20D0"/>
    <w:rsid w:val="00900C30"/>
    <w:rsid w:val="009102CD"/>
    <w:rsid w:val="009315F4"/>
    <w:rsid w:val="00950F90"/>
    <w:rsid w:val="00963E11"/>
    <w:rsid w:val="00985742"/>
    <w:rsid w:val="009A16A6"/>
    <w:rsid w:val="009E4179"/>
    <w:rsid w:val="00A3558E"/>
    <w:rsid w:val="00AC755A"/>
    <w:rsid w:val="00B05FE9"/>
    <w:rsid w:val="00B42CBC"/>
    <w:rsid w:val="00B576EF"/>
    <w:rsid w:val="00B6473C"/>
    <w:rsid w:val="00BC6FE1"/>
    <w:rsid w:val="00BC7175"/>
    <w:rsid w:val="00BF20D8"/>
    <w:rsid w:val="00C016D2"/>
    <w:rsid w:val="00CA2733"/>
    <w:rsid w:val="00CB037B"/>
    <w:rsid w:val="00CB4947"/>
    <w:rsid w:val="00CB5229"/>
    <w:rsid w:val="00D02C78"/>
    <w:rsid w:val="00D4616F"/>
    <w:rsid w:val="00D5308B"/>
    <w:rsid w:val="00D91920"/>
    <w:rsid w:val="00D91CF1"/>
    <w:rsid w:val="00DF1714"/>
    <w:rsid w:val="00E00135"/>
    <w:rsid w:val="00E17E29"/>
    <w:rsid w:val="00EB74F4"/>
    <w:rsid w:val="00EC135E"/>
    <w:rsid w:val="00EF636A"/>
    <w:rsid w:val="00EF6B0A"/>
    <w:rsid w:val="00F032B6"/>
    <w:rsid w:val="00F22B7B"/>
    <w:rsid w:val="00F325B8"/>
    <w:rsid w:val="00F65D81"/>
    <w:rsid w:val="00F9167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ind w:leftChars="200" w:left="400" w:hangingChars="200" w:hanging="20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uiPriority w:val="99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character" w:styleId="af0">
    <w:name w:val="FollowedHyperlink"/>
    <w:uiPriority w:val="99"/>
    <w:semiHidden/>
    <w:unhideWhenUsed/>
    <w:rsid w:val="005130D5"/>
    <w:rPr>
      <w:color w:val="800080"/>
      <w:u w:val="single"/>
    </w:rPr>
  </w:style>
  <w:style w:type="paragraph" w:styleId="af1">
    <w:name w:val="footnote text"/>
    <w:basedOn w:val="a1"/>
    <w:link w:val="af2"/>
    <w:uiPriority w:val="99"/>
    <w:unhideWhenUsed/>
    <w:rsid w:val="00CB4947"/>
    <w:pPr>
      <w:snapToGrid w:val="0"/>
    </w:pPr>
    <w:rPr>
      <w:sz w:val="20"/>
    </w:rPr>
  </w:style>
  <w:style w:type="character" w:customStyle="1" w:styleId="af2">
    <w:name w:val="註腳文字 字元"/>
    <w:link w:val="af1"/>
    <w:uiPriority w:val="99"/>
    <w:rsid w:val="00CB4947"/>
    <w:rPr>
      <w:rFonts w:eastAsia="標楷體"/>
      <w:kern w:val="2"/>
    </w:rPr>
  </w:style>
  <w:style w:type="character" w:styleId="af3">
    <w:name w:val="footnote reference"/>
    <w:uiPriority w:val="99"/>
    <w:semiHidden/>
    <w:unhideWhenUsed/>
    <w:rsid w:val="00CB4947"/>
    <w:rPr>
      <w:vertAlign w:val="superscript"/>
    </w:rPr>
  </w:style>
  <w:style w:type="table" w:styleId="af4">
    <w:name w:val="Table Grid"/>
    <w:basedOn w:val="a3"/>
    <w:uiPriority w:val="59"/>
    <w:rsid w:val="00BF20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af6"/>
    <w:uiPriority w:val="99"/>
    <w:semiHidden/>
    <w:unhideWhenUsed/>
    <w:rsid w:val="00D91CF1"/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D91CF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3"/>
    <w:next w:val="af4"/>
    <w:uiPriority w:val="59"/>
    <w:rsid w:val="00780CE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ind w:leftChars="200" w:left="400" w:hangingChars="200" w:hanging="20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uiPriority w:val="99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character" w:styleId="af0">
    <w:name w:val="FollowedHyperlink"/>
    <w:uiPriority w:val="99"/>
    <w:semiHidden/>
    <w:unhideWhenUsed/>
    <w:rsid w:val="005130D5"/>
    <w:rPr>
      <w:color w:val="800080"/>
      <w:u w:val="single"/>
    </w:rPr>
  </w:style>
  <w:style w:type="paragraph" w:styleId="af1">
    <w:name w:val="footnote text"/>
    <w:basedOn w:val="a1"/>
    <w:link w:val="af2"/>
    <w:uiPriority w:val="99"/>
    <w:unhideWhenUsed/>
    <w:rsid w:val="00CB4947"/>
    <w:pPr>
      <w:snapToGrid w:val="0"/>
    </w:pPr>
    <w:rPr>
      <w:sz w:val="20"/>
    </w:rPr>
  </w:style>
  <w:style w:type="character" w:customStyle="1" w:styleId="af2">
    <w:name w:val="註腳文字 字元"/>
    <w:link w:val="af1"/>
    <w:uiPriority w:val="99"/>
    <w:rsid w:val="00CB4947"/>
    <w:rPr>
      <w:rFonts w:eastAsia="標楷體"/>
      <w:kern w:val="2"/>
    </w:rPr>
  </w:style>
  <w:style w:type="character" w:styleId="af3">
    <w:name w:val="footnote reference"/>
    <w:uiPriority w:val="99"/>
    <w:semiHidden/>
    <w:unhideWhenUsed/>
    <w:rsid w:val="00CB4947"/>
    <w:rPr>
      <w:vertAlign w:val="superscript"/>
    </w:rPr>
  </w:style>
  <w:style w:type="table" w:styleId="af4">
    <w:name w:val="Table Grid"/>
    <w:basedOn w:val="a3"/>
    <w:uiPriority w:val="59"/>
    <w:rsid w:val="00BF20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af6"/>
    <w:uiPriority w:val="99"/>
    <w:semiHidden/>
    <w:unhideWhenUsed/>
    <w:rsid w:val="00D91CF1"/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D91CF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3"/>
    <w:next w:val="af4"/>
    <w:uiPriority w:val="59"/>
    <w:rsid w:val="00780CE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15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0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3981">
                              <w:marLeft w:val="75"/>
                              <w:marRight w:val="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31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46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6408">
                              <w:marLeft w:val="75"/>
                              <w:marRight w:val="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09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791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766">
                              <w:marLeft w:val="75"/>
                              <w:marRight w:val="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CE2B-7F8B-4680-9B62-B86EE447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11</Pages>
  <Words>2829</Words>
  <Characters>2887</Characters>
  <Application>Microsoft Office Word</Application>
  <DocSecurity>0</DocSecurity>
  <Lines>151</Lines>
  <Paragraphs>107</Paragraphs>
  <ScaleCrop>false</ScaleCrop>
  <Company>cy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邱俊能</cp:lastModifiedBy>
  <cp:revision>2</cp:revision>
  <cp:lastPrinted>2019-04-03T01:17:00Z</cp:lastPrinted>
  <dcterms:created xsi:type="dcterms:W3CDTF">2019-04-18T11:07:00Z</dcterms:created>
  <dcterms:modified xsi:type="dcterms:W3CDTF">2019-04-18T11:07:00Z</dcterms:modified>
</cp:coreProperties>
</file>