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C1621" w:rsidRDefault="00D75644" w:rsidP="00AC1621">
      <w:pPr>
        <w:ind w:leftChars="708" w:left="2408"/>
        <w:rPr>
          <w:sz w:val="40"/>
          <w:szCs w:val="40"/>
        </w:rPr>
      </w:pPr>
      <w:r w:rsidRPr="00AC1621">
        <w:rPr>
          <w:rFonts w:hint="eastAsia"/>
          <w:sz w:val="40"/>
          <w:szCs w:val="40"/>
        </w:rPr>
        <w:t>調</w:t>
      </w:r>
      <w:r w:rsidR="00AC1621">
        <w:rPr>
          <w:rFonts w:hint="eastAsia"/>
          <w:sz w:val="40"/>
          <w:szCs w:val="40"/>
        </w:rPr>
        <w:t xml:space="preserve">  </w:t>
      </w:r>
      <w:r w:rsidRPr="00AC1621">
        <w:rPr>
          <w:rFonts w:hint="eastAsia"/>
          <w:sz w:val="40"/>
          <w:szCs w:val="40"/>
        </w:rPr>
        <w:t>查</w:t>
      </w:r>
      <w:r w:rsidR="00AC1621">
        <w:rPr>
          <w:rFonts w:hint="eastAsia"/>
          <w:sz w:val="40"/>
          <w:szCs w:val="40"/>
        </w:rPr>
        <w:t xml:space="preserve">  </w:t>
      </w:r>
      <w:r w:rsidRPr="00AC1621">
        <w:rPr>
          <w:rFonts w:hint="eastAsia"/>
          <w:sz w:val="40"/>
          <w:szCs w:val="40"/>
        </w:rPr>
        <w:t>報</w:t>
      </w:r>
      <w:r w:rsidR="00AC1621">
        <w:rPr>
          <w:rFonts w:hint="eastAsia"/>
          <w:sz w:val="40"/>
          <w:szCs w:val="40"/>
        </w:rPr>
        <w:t xml:space="preserve">  </w:t>
      </w:r>
      <w:r w:rsidRPr="00AC1621">
        <w:rPr>
          <w:rFonts w:hint="eastAsia"/>
          <w:sz w:val="40"/>
          <w:szCs w:val="40"/>
        </w:rPr>
        <w:t>告</w:t>
      </w:r>
    </w:p>
    <w:p w:rsidR="00E25849" w:rsidRDefault="00B41721"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w:t>
      </w:r>
      <w:r w:rsidR="00E25849">
        <w:rPr>
          <w:rFonts w:hint="eastAsia"/>
        </w:rPr>
        <w:t xml:space="preserve">　　由：</w:t>
      </w:r>
      <w:bookmarkEnd w:id="0"/>
      <w:bookmarkEnd w:id="1"/>
      <w:bookmarkEnd w:id="2"/>
      <w:bookmarkEnd w:id="3"/>
      <w:bookmarkEnd w:id="4"/>
      <w:bookmarkEnd w:id="5"/>
      <w:bookmarkEnd w:id="6"/>
      <w:bookmarkEnd w:id="7"/>
      <w:bookmarkEnd w:id="8"/>
      <w:bookmarkEnd w:id="9"/>
      <w:r w:rsidR="008E2C7F" w:rsidRPr="008E2C7F">
        <w:rPr>
          <w:rFonts w:hAnsi="Times New Roman" w:hint="eastAsia"/>
          <w:bCs w:val="0"/>
          <w:kern w:val="2"/>
          <w:szCs w:val="32"/>
        </w:rPr>
        <w:t>民眾因接受預防接種</w:t>
      </w:r>
      <w:r w:rsidR="008E2C7F" w:rsidRPr="008E2C7F">
        <w:rPr>
          <w:rFonts w:hAnsi="Times New Roman"/>
          <w:bCs w:val="0"/>
          <w:kern w:val="2"/>
          <w:szCs w:val="32"/>
        </w:rPr>
        <w:t>(</w:t>
      </w:r>
      <w:r w:rsidR="008E2C7F" w:rsidRPr="008E2C7F">
        <w:rPr>
          <w:rFonts w:hAnsi="Times New Roman" w:hint="eastAsia"/>
          <w:bCs w:val="0"/>
          <w:kern w:val="2"/>
          <w:szCs w:val="32"/>
        </w:rPr>
        <w:t>疫苗</w:t>
      </w:r>
      <w:r w:rsidR="008E2C7F" w:rsidRPr="008E2C7F">
        <w:rPr>
          <w:rFonts w:hAnsi="Times New Roman"/>
          <w:bCs w:val="0"/>
          <w:kern w:val="2"/>
          <w:szCs w:val="32"/>
        </w:rPr>
        <w:t>)</w:t>
      </w:r>
      <w:r w:rsidR="008E2C7F" w:rsidRPr="008E2C7F">
        <w:rPr>
          <w:rFonts w:hAnsi="Times New Roman" w:hint="eastAsia"/>
          <w:bCs w:val="0"/>
          <w:kern w:val="2"/>
          <w:szCs w:val="32"/>
        </w:rPr>
        <w:t>而受害者，應依預防接種受害救濟基金徵收及審議辦法規定請求救濟，非屬藥害救濟法規定之救濟請求範圍。有關藥害救濟法第</w:t>
      </w:r>
      <w:r w:rsidR="008E2C7F" w:rsidRPr="008E2C7F">
        <w:rPr>
          <w:rFonts w:hAnsi="Times New Roman"/>
          <w:bCs w:val="0"/>
          <w:kern w:val="2"/>
          <w:szCs w:val="32"/>
        </w:rPr>
        <w:t>13</w:t>
      </w:r>
      <w:r w:rsidR="008E2C7F" w:rsidRPr="008E2C7F">
        <w:rPr>
          <w:rFonts w:hAnsi="Times New Roman" w:hint="eastAsia"/>
          <w:bCs w:val="0"/>
          <w:kern w:val="2"/>
          <w:szCs w:val="32"/>
        </w:rPr>
        <w:t>條第</w:t>
      </w:r>
      <w:r w:rsidR="008E2C7F" w:rsidRPr="008E2C7F">
        <w:rPr>
          <w:rFonts w:hAnsi="Times New Roman"/>
          <w:bCs w:val="0"/>
          <w:kern w:val="2"/>
          <w:szCs w:val="32"/>
        </w:rPr>
        <w:t>9</w:t>
      </w:r>
      <w:r w:rsidR="008E2C7F" w:rsidRPr="008E2C7F">
        <w:rPr>
          <w:rFonts w:hAnsi="Times New Roman" w:hint="eastAsia"/>
          <w:bCs w:val="0"/>
          <w:kern w:val="2"/>
          <w:szCs w:val="32"/>
        </w:rPr>
        <w:t>款「常見且可預期之藥物不良反應」規定，雖經司法院釋字第</w:t>
      </w:r>
      <w:r w:rsidR="008E2C7F" w:rsidRPr="008E2C7F">
        <w:rPr>
          <w:rFonts w:hAnsi="Times New Roman"/>
          <w:bCs w:val="0"/>
          <w:kern w:val="2"/>
          <w:szCs w:val="32"/>
        </w:rPr>
        <w:t>767</w:t>
      </w:r>
      <w:r w:rsidR="008E2C7F" w:rsidRPr="008E2C7F">
        <w:rPr>
          <w:rFonts w:hAnsi="Times New Roman" w:hint="eastAsia"/>
          <w:bCs w:val="0"/>
          <w:kern w:val="2"/>
          <w:szCs w:val="32"/>
        </w:rPr>
        <w:t>號解釋，認尚無違反法律明確性原則與比例原則，惟一般民眾是否能確實瞭解該條款之內涵？現行藥害救濟評估制度有無檢討改善之必要？衛生福利部每年編列之藥害救濟基金預算執行率為何？有無偏低情事？相關單位有無妥適宣傳及告知病患服用藥物注意事項，避免藥害救濟紛爭？等疑義，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41721" w:rsidRDefault="00E25849" w:rsidP="00B41721">
      <w:pPr>
        <w:pStyle w:val="1"/>
        <w:ind w:left="2380" w:hanging="2380"/>
        <w:jc w:val="left"/>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Pr>
          <w:rFonts w:hint="eastAsia"/>
        </w:rPr>
        <w:t>調查</w:t>
      </w:r>
      <w:r w:rsidR="00BE107B">
        <w:rPr>
          <w:rFonts w:hint="eastAsia"/>
        </w:rPr>
        <w:t>意見</w:t>
      </w:r>
      <w:bookmarkStart w:id="50" w:name="_GoBack"/>
      <w:bookmarkEnd w:id="50"/>
      <w:r>
        <w:rPr>
          <w:rFonts w:hint="eastAsia"/>
        </w:rPr>
        <w:t>：</w:t>
      </w: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EB24DF" w:rsidP="00A639F4">
      <w:pPr>
        <w:pStyle w:val="11"/>
        <w:ind w:left="680" w:firstLine="680"/>
      </w:pPr>
      <w:bookmarkStart w:id="75" w:name="_Toc52490273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B24DF">
        <w:rPr>
          <w:rFonts w:hint="eastAsia"/>
          <w:bCs/>
        </w:rPr>
        <w:t>國內有關預防接種受害救濟與藥害救濟係屬不同救濟途徑，民眾因接受預防接種</w:t>
      </w:r>
      <w:r w:rsidRPr="00EB24DF">
        <w:rPr>
          <w:bCs/>
        </w:rPr>
        <w:t>(</w:t>
      </w:r>
      <w:r w:rsidRPr="00EB24DF">
        <w:rPr>
          <w:rFonts w:hint="eastAsia"/>
          <w:bCs/>
        </w:rPr>
        <w:t>疫苗</w:t>
      </w:r>
      <w:r w:rsidRPr="00EB24DF">
        <w:rPr>
          <w:bCs/>
        </w:rPr>
        <w:t>)</w:t>
      </w:r>
      <w:r w:rsidRPr="00EB24DF">
        <w:rPr>
          <w:rFonts w:hint="eastAsia"/>
          <w:bCs/>
        </w:rPr>
        <w:t>而受害者，應依預防接種受害救濟基金徵收及審議辦法</w:t>
      </w:r>
      <w:r w:rsidR="003E7663">
        <w:rPr>
          <w:rFonts w:hint="eastAsia"/>
          <w:bCs/>
        </w:rPr>
        <w:t>（下稱審議辦法）</w:t>
      </w:r>
      <w:r w:rsidRPr="00EB24DF">
        <w:rPr>
          <w:rFonts w:hint="eastAsia"/>
          <w:bCs/>
        </w:rPr>
        <w:t>規定請求救濟，非屬藥害救濟法規定之救濟請求範圍。有關藥害救濟法第</w:t>
      </w:r>
      <w:r w:rsidRPr="00EB24DF">
        <w:rPr>
          <w:bCs/>
        </w:rPr>
        <w:t>13</w:t>
      </w:r>
      <w:r w:rsidRPr="00EB24DF">
        <w:rPr>
          <w:rFonts w:hint="eastAsia"/>
          <w:bCs/>
        </w:rPr>
        <w:t>條第</w:t>
      </w:r>
      <w:r w:rsidRPr="00EB24DF">
        <w:rPr>
          <w:bCs/>
        </w:rPr>
        <w:t>9</w:t>
      </w:r>
      <w:r w:rsidRPr="00EB24DF">
        <w:rPr>
          <w:rFonts w:hint="eastAsia"/>
          <w:bCs/>
        </w:rPr>
        <w:t>款「常見且可預期之藥物不良反應」規定，雖經司法院釋字第</w:t>
      </w:r>
      <w:r w:rsidRPr="00EB24DF">
        <w:rPr>
          <w:bCs/>
        </w:rPr>
        <w:t>767</w:t>
      </w:r>
      <w:r w:rsidRPr="00EB24DF">
        <w:rPr>
          <w:rFonts w:hint="eastAsia"/>
          <w:bCs/>
        </w:rPr>
        <w:t>號解釋，認尚無違反法律明確性原則與比例原則，惟民眾對該條款內涵之瞭解與宣導及告知服用藥物注意事項、藥害救濟評估制度之檢討、藥害救濟基金預算執行率、相關單位有無妥適宣傳及告知病患服用藥物注意事項等</w:t>
      </w:r>
      <w:r w:rsidR="00AB723E" w:rsidRPr="00EB24DF">
        <w:rPr>
          <w:rFonts w:hint="eastAsia"/>
          <w:bCs/>
        </w:rPr>
        <w:t>，</w:t>
      </w:r>
      <w:r w:rsidRPr="00EB24DF">
        <w:rPr>
          <w:rFonts w:hint="eastAsia"/>
          <w:bCs/>
        </w:rPr>
        <w:t>認有瞭解之必要，爰立案調查。</w:t>
      </w:r>
      <w:r w:rsidRPr="00EB24DF">
        <w:rPr>
          <w:rFonts w:hint="eastAsia"/>
        </w:rPr>
        <w:t>案經調閱衛生福利部食品藥物管理署</w:t>
      </w:r>
      <w:r w:rsidRPr="00EB24DF">
        <w:t>(</w:t>
      </w:r>
      <w:r w:rsidRPr="00EB24DF">
        <w:rPr>
          <w:rFonts w:hint="eastAsia"/>
        </w:rPr>
        <w:t>下稱食藥署</w:t>
      </w:r>
      <w:r w:rsidRPr="00EB24DF">
        <w:t>)</w:t>
      </w:r>
      <w:r w:rsidRPr="00EB24DF">
        <w:rPr>
          <w:rFonts w:hint="eastAsia"/>
        </w:rPr>
        <w:t>、衛生福利部疾病管制署（下稱疾管署）等機關卷證資料，並於民國(下同)108年3月12日詢問衛生福利部</w:t>
      </w:r>
      <w:r w:rsidR="00DD4730">
        <w:rPr>
          <w:rFonts w:hint="eastAsia"/>
        </w:rPr>
        <w:t>（下稱衛福部）</w:t>
      </w:r>
      <w:r w:rsidRPr="00EB24DF">
        <w:rPr>
          <w:rFonts w:hint="eastAsia"/>
        </w:rPr>
        <w:t>楊世華主任秘書暨食藥署陳惠芳副署</w:t>
      </w:r>
      <w:r w:rsidRPr="00EB24DF">
        <w:rPr>
          <w:rFonts w:hint="eastAsia"/>
        </w:rPr>
        <w:lastRenderedPageBreak/>
        <w:t>長與疾管署莊人祥副署長等業務主管人員，</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rsidR="00DD3D92" w:rsidRPr="00A4135D" w:rsidRDefault="00965B12" w:rsidP="001E1A63">
      <w:pPr>
        <w:pStyle w:val="2"/>
        <w:spacing w:beforeLines="100" w:before="457"/>
        <w:ind w:left="1020" w:hanging="680"/>
        <w:rPr>
          <w:b/>
          <w:color w:val="000000" w:themeColor="text1"/>
        </w:rPr>
      </w:pPr>
      <w:r w:rsidRPr="00975467">
        <w:rPr>
          <w:rFonts w:hint="eastAsia"/>
          <w:b/>
        </w:rPr>
        <w:t>現階段我國藥害救濟基金主要來自於業者及輸入業者繳納之徵收金，</w:t>
      </w:r>
      <w:r w:rsidR="00DD3D92" w:rsidRPr="00975467">
        <w:rPr>
          <w:rFonts w:hint="eastAsia"/>
          <w:b/>
        </w:rPr>
        <w:t>雖經食藥署評估放寬所有藥品之嚴重不良反應納入救濟，所需救濟金額難以僅就提高徵收金之方法因應</w:t>
      </w:r>
      <w:r w:rsidR="00812DBD">
        <w:rPr>
          <w:rFonts w:hint="eastAsia"/>
          <w:b/>
        </w:rPr>
        <w:t>；</w:t>
      </w:r>
      <w:r w:rsidR="00836452">
        <w:rPr>
          <w:rFonts w:hint="eastAsia"/>
          <w:b/>
        </w:rPr>
        <w:t>且</w:t>
      </w:r>
      <w:r w:rsidR="00DD3D92" w:rsidRPr="00975467">
        <w:rPr>
          <w:rFonts w:hint="eastAsia"/>
          <w:b/>
        </w:rPr>
        <w:t>該署考量藥品之臨床效益及</w:t>
      </w:r>
      <w:r w:rsidR="00DD3D92" w:rsidRPr="00975467">
        <w:rPr>
          <w:b/>
        </w:rPr>
        <w:t>調高徵收金，可能壓制藥商製造及輸入意願，造成國內病人無藥缺藥之</w:t>
      </w:r>
      <w:r w:rsidR="00DD3D92" w:rsidRPr="00975467">
        <w:rPr>
          <w:rFonts w:hint="eastAsia"/>
          <w:b/>
        </w:rPr>
        <w:t>情形。然近5年間藥害救濟給付執行率僅約介於5-6成之間</w:t>
      </w:r>
      <w:r w:rsidR="00975467" w:rsidRPr="00975467">
        <w:rPr>
          <w:rFonts w:hint="eastAsia"/>
          <w:b/>
        </w:rPr>
        <w:t>，</w:t>
      </w:r>
      <w:r w:rsidR="00DD3D92" w:rsidRPr="00975467">
        <w:rPr>
          <w:rFonts w:hint="eastAsia"/>
          <w:b/>
        </w:rPr>
        <w:t>目前基金餘額累計達4億3千多萬餘元</w:t>
      </w:r>
      <w:r w:rsidR="00975467">
        <w:rPr>
          <w:rFonts w:hint="eastAsia"/>
          <w:b/>
        </w:rPr>
        <w:t>。</w:t>
      </w:r>
      <w:r w:rsidR="00DD3D92" w:rsidRPr="00975467">
        <w:rPr>
          <w:rFonts w:hint="eastAsia"/>
          <w:b/>
        </w:rPr>
        <w:t>食藥署</w:t>
      </w:r>
      <w:r w:rsidR="00836452">
        <w:rPr>
          <w:rFonts w:hint="eastAsia"/>
          <w:b/>
        </w:rPr>
        <w:t>允宜</w:t>
      </w:r>
      <w:r w:rsidR="00DD3D92" w:rsidRPr="00975467">
        <w:rPr>
          <w:rFonts w:hint="eastAsia"/>
          <w:b/>
        </w:rPr>
        <w:t>在</w:t>
      </w:r>
      <w:r w:rsidR="00DD3D92" w:rsidRPr="00FA1E5B">
        <w:rPr>
          <w:rFonts w:hint="eastAsia"/>
          <w:b/>
          <w:color w:val="000000" w:themeColor="text1"/>
        </w:rPr>
        <w:t>衡量政策和財源等面向下，適時檢討調整給付範圍之可行性</w:t>
      </w:r>
      <w:r w:rsidR="006D16B5" w:rsidRPr="00A4135D">
        <w:rPr>
          <w:rFonts w:hint="eastAsia"/>
          <w:b/>
          <w:color w:val="000000" w:themeColor="text1"/>
        </w:rPr>
        <w:t>；又疾管署亦應體察該解釋理由之意旨，對預防接種受害救濟制度不應過度擴張預防接種不予救濟之範圍，完善社會安全救濟制度之防護網</w:t>
      </w:r>
    </w:p>
    <w:p w:rsidR="001A2ECB" w:rsidRPr="00AB723E" w:rsidRDefault="001A2ECB" w:rsidP="00D92F8B">
      <w:pPr>
        <w:pStyle w:val="3"/>
        <w:numPr>
          <w:ilvl w:val="0"/>
          <w:numId w:val="36"/>
        </w:numPr>
        <w:ind w:left="1418" w:hanging="722"/>
      </w:pPr>
      <w:r w:rsidRPr="00AB723E">
        <w:rPr>
          <w:rFonts w:hint="eastAsia"/>
        </w:rPr>
        <w:t>按藥害救濟法立法目的係為使正當使用合法藥物而受害者，獲得及時救濟。</w:t>
      </w:r>
      <w:r w:rsidR="00E56C69" w:rsidRPr="00AB723E">
        <w:rPr>
          <w:rFonts w:hint="eastAsia"/>
        </w:rPr>
        <w:t>次按藥害救濟法第13條規定：「有下列各款情事之一者，不得申請藥害救濟：一、有事實足以認定藥害之產生應由藥害受害人、藥物製造業者或輸入業者、醫師或其他之人負其責任。二、本法施行前已發見之藥害。三、因接受預防接種而受害，而得依其他法令獲得救濟。四、同一原因事實已獲賠償或補償。但不含人身保險給付在內。五、藥物不良反應未達死亡、障礙或嚴重疾病之程度。六、因急救使用超量藥物致生損害。七、因使用試驗用藥物而受害。八、未依藥物許可證所載之適應症或效能而為藥物之使用。但符合當時醫學原理及用藥適當性者，不在此限。九、常見且可預期之藥物不良反應。十、其他經主管機關公告之情形。」</w:t>
      </w:r>
      <w:r w:rsidR="00247B56" w:rsidRPr="00AB723E">
        <w:rPr>
          <w:rFonts w:hint="eastAsia"/>
        </w:rPr>
        <w:t>本條制定</w:t>
      </w:r>
      <w:r w:rsidR="00BE3842" w:rsidRPr="00AB723E">
        <w:rPr>
          <w:rFonts w:hint="eastAsia"/>
        </w:rPr>
        <w:t>除參考日本醫藥品被害救濟</w:t>
      </w:r>
      <w:r w:rsidR="00BE3842" w:rsidRPr="00AB723E">
        <w:rPr>
          <w:rFonts w:hint="eastAsia"/>
        </w:rPr>
        <w:lastRenderedPageBreak/>
        <w:t>振興法之規定訂定外，另</w:t>
      </w:r>
      <w:r w:rsidR="00E56C69" w:rsidRPr="00AB723E">
        <w:rPr>
          <w:rFonts w:hint="eastAsia"/>
        </w:rPr>
        <w:t>考量基於</w:t>
      </w:r>
      <w:r w:rsidR="00CD4B01" w:rsidRPr="00AB723E">
        <w:rPr>
          <w:rFonts w:hint="eastAsia"/>
        </w:rPr>
        <w:t>藥害救濟資源有效運用</w:t>
      </w:r>
      <w:r w:rsidR="00BE3842" w:rsidRPr="00AB723E">
        <w:rPr>
          <w:rFonts w:hint="eastAsia"/>
        </w:rPr>
        <w:t>及</w:t>
      </w:r>
      <w:r w:rsidR="00CD4B01" w:rsidRPr="00AB723E">
        <w:rPr>
          <w:rFonts w:hint="eastAsia"/>
        </w:rPr>
        <w:t>授權主管機關得本於藥害救濟制度運作之必要，對不得申請救濟之情形，予以</w:t>
      </w:r>
      <w:r w:rsidR="00A64C8C" w:rsidRPr="00AB723E">
        <w:rPr>
          <w:rFonts w:hint="eastAsia"/>
        </w:rPr>
        <w:t>明</w:t>
      </w:r>
      <w:r w:rsidR="00CD4B01" w:rsidRPr="00AB723E">
        <w:rPr>
          <w:rFonts w:hint="eastAsia"/>
        </w:rPr>
        <w:t>定</w:t>
      </w:r>
      <w:r w:rsidR="00247B56" w:rsidRPr="00AB723E">
        <w:rPr>
          <w:rFonts w:hint="eastAsia"/>
        </w:rPr>
        <w:t>藥害救濟</w:t>
      </w:r>
      <w:r w:rsidR="00E56C69" w:rsidRPr="00AB723E">
        <w:rPr>
          <w:rFonts w:hint="eastAsia"/>
        </w:rPr>
        <w:t>排除</w:t>
      </w:r>
      <w:r w:rsidR="00247B56" w:rsidRPr="00AB723E">
        <w:rPr>
          <w:rFonts w:hint="eastAsia"/>
        </w:rPr>
        <w:t>之情事</w:t>
      </w:r>
      <w:r w:rsidR="00764978" w:rsidRPr="00AB723E">
        <w:rPr>
          <w:rFonts w:hint="eastAsia"/>
        </w:rPr>
        <w:t>，限縮</w:t>
      </w:r>
      <w:r w:rsidR="00247B56" w:rsidRPr="00AB723E">
        <w:rPr>
          <w:rFonts w:hint="eastAsia"/>
        </w:rPr>
        <w:t>救濟範圍。</w:t>
      </w:r>
      <w:r w:rsidR="00DC11F1" w:rsidRPr="00AB723E">
        <w:rPr>
          <w:rFonts w:hint="eastAsia"/>
        </w:rPr>
        <w:t>另依藥害救濟法第5條規定：「為辦理藥害救濟業務，主管機關應設藥害救濟基金，基金之來源如下：一、藥物製造業者及輸入業者繳納之徵收金。二、滯納金。三、代位求償之所得。四、捐贈收入。五、本基金之孳息收入。六、其他有關收入。」</w:t>
      </w:r>
    </w:p>
    <w:p w:rsidR="000E7119" w:rsidRDefault="000A7264" w:rsidP="00AB723E">
      <w:pPr>
        <w:pStyle w:val="3"/>
      </w:pPr>
      <w:r>
        <w:rPr>
          <w:rFonts w:hint="eastAsia"/>
        </w:rPr>
        <w:t>據食藥署查復，</w:t>
      </w:r>
      <w:r w:rsidR="00215F80">
        <w:rPr>
          <w:rFonts w:hint="eastAsia"/>
        </w:rPr>
        <w:t>近10年間（</w:t>
      </w:r>
      <w:r w:rsidR="000E7119" w:rsidRPr="000E7119">
        <w:t>9</w:t>
      </w:r>
      <w:r w:rsidR="00215F80">
        <w:rPr>
          <w:rFonts w:hint="eastAsia"/>
        </w:rPr>
        <w:t>8</w:t>
      </w:r>
      <w:r w:rsidR="000E7119" w:rsidRPr="000E7119">
        <w:t>-107</w:t>
      </w:r>
      <w:r w:rsidR="000E7119" w:rsidRPr="000E7119">
        <w:rPr>
          <w:rFonts w:hint="eastAsia"/>
        </w:rPr>
        <w:t>年</w:t>
      </w:r>
      <w:r w:rsidR="00215F80">
        <w:rPr>
          <w:rFonts w:hint="eastAsia"/>
        </w:rPr>
        <w:t>）</w:t>
      </w:r>
      <w:r w:rsidR="000E7119" w:rsidRPr="000E7119">
        <w:rPr>
          <w:rFonts w:hint="eastAsia"/>
        </w:rPr>
        <w:t>藥害救濟基金歷年各收入來源金額及所占比率如下表：</w:t>
      </w:r>
    </w:p>
    <w:p w:rsidR="001E1A63" w:rsidRDefault="001E1A63" w:rsidP="001E1A63">
      <w:pPr>
        <w:pStyle w:val="3"/>
        <w:numPr>
          <w:ilvl w:val="0"/>
          <w:numId w:val="0"/>
        </w:numPr>
        <w:ind w:left="1418" w:hanging="722"/>
      </w:pPr>
    </w:p>
    <w:p w:rsidR="001E1A63" w:rsidRPr="000E7119" w:rsidRDefault="001E1A63" w:rsidP="001E1A63">
      <w:pPr>
        <w:pStyle w:val="3"/>
        <w:numPr>
          <w:ilvl w:val="0"/>
          <w:numId w:val="0"/>
        </w:numPr>
        <w:ind w:left="1418" w:hanging="722"/>
      </w:pPr>
    </w:p>
    <w:p w:rsidR="000E7119" w:rsidRDefault="00CC1F50" w:rsidP="00CC1F50">
      <w:pPr>
        <w:pStyle w:val="a3"/>
        <w:numPr>
          <w:ilvl w:val="0"/>
          <w:numId w:val="0"/>
        </w:numPr>
      </w:pPr>
      <w:r>
        <w:rPr>
          <w:rFonts w:hint="eastAsia"/>
        </w:rPr>
        <w:t xml:space="preserve">表  </w:t>
      </w:r>
      <w:r w:rsidR="000E7119">
        <w:rPr>
          <w:rFonts w:hint="eastAsia"/>
        </w:rPr>
        <w:t>藥害救濟基金歷年各收入來源金額及其所占該年基金之比率</w:t>
      </w:r>
    </w:p>
    <w:tbl>
      <w:tblPr>
        <w:tblW w:w="5000" w:type="pct"/>
        <w:tblCellMar>
          <w:left w:w="28" w:type="dxa"/>
          <w:right w:w="28" w:type="dxa"/>
        </w:tblCellMar>
        <w:tblLook w:val="04A0" w:firstRow="1" w:lastRow="0" w:firstColumn="1" w:lastColumn="0" w:noHBand="0" w:noVBand="1"/>
      </w:tblPr>
      <w:tblGrid>
        <w:gridCol w:w="1152"/>
        <w:gridCol w:w="1852"/>
        <w:gridCol w:w="996"/>
        <w:gridCol w:w="1924"/>
        <w:gridCol w:w="996"/>
        <w:gridCol w:w="1924"/>
      </w:tblGrid>
      <w:tr w:rsidR="000E7119" w:rsidRPr="005139F1" w:rsidTr="005139F1">
        <w:trPr>
          <w:trHeight w:val="570"/>
        </w:trPr>
        <w:tc>
          <w:tcPr>
            <w:tcW w:w="5000" w:type="pct"/>
            <w:gridSpan w:val="6"/>
            <w:noWrap/>
            <w:vAlign w:val="center"/>
            <w:hideMark/>
          </w:tcPr>
          <w:p w:rsidR="000E7119" w:rsidRPr="005139F1" w:rsidRDefault="000E7119" w:rsidP="00F52651">
            <w:pPr>
              <w:widowControl/>
              <w:spacing w:line="400" w:lineRule="exact"/>
              <w:jc w:val="right"/>
              <w:rPr>
                <w:rFonts w:ascii="Times New Roman"/>
                <w:color w:val="000000"/>
                <w:kern w:val="0"/>
                <w:sz w:val="24"/>
                <w:szCs w:val="24"/>
              </w:rPr>
            </w:pPr>
            <w:r w:rsidRPr="005139F1">
              <w:rPr>
                <w:rFonts w:ascii="Times New Roman"/>
                <w:color w:val="000000"/>
                <w:kern w:val="0"/>
                <w:sz w:val="24"/>
                <w:szCs w:val="24"/>
              </w:rPr>
              <w:t>單位：新</w:t>
            </w:r>
            <w:r w:rsidR="00FC3320">
              <w:rPr>
                <w:rFonts w:ascii="Times New Roman"/>
                <w:color w:val="000000"/>
                <w:kern w:val="0"/>
                <w:sz w:val="24"/>
                <w:szCs w:val="24"/>
              </w:rPr>
              <w:t>臺</w:t>
            </w:r>
            <w:r w:rsidRPr="005139F1">
              <w:rPr>
                <w:rFonts w:ascii="Times New Roman"/>
                <w:color w:val="000000"/>
                <w:kern w:val="0"/>
                <w:sz w:val="24"/>
                <w:szCs w:val="24"/>
              </w:rPr>
              <w:t>幣千元</w:t>
            </w:r>
          </w:p>
        </w:tc>
      </w:tr>
      <w:tr w:rsidR="000E7119" w:rsidRPr="005139F1" w:rsidTr="004B3CC4">
        <w:trPr>
          <w:trHeight w:val="366"/>
        </w:trPr>
        <w:tc>
          <w:tcPr>
            <w:tcW w:w="651" w:type="pct"/>
            <w:vMerge w:val="restart"/>
            <w:tcBorders>
              <w:top w:val="single" w:sz="8" w:space="0" w:color="auto"/>
              <w:left w:val="single" w:sz="8" w:space="0" w:color="auto"/>
              <w:bottom w:val="single" w:sz="4" w:space="0" w:color="auto"/>
              <w:right w:val="single" w:sz="4" w:space="0" w:color="auto"/>
            </w:tcBorders>
            <w:noWrap/>
            <w:vAlign w:val="center"/>
            <w:hideMark/>
          </w:tcPr>
          <w:p w:rsidR="000E7119" w:rsidRPr="005139F1" w:rsidRDefault="000E7119" w:rsidP="00F52651">
            <w:pPr>
              <w:widowControl/>
              <w:spacing w:line="400" w:lineRule="exact"/>
              <w:jc w:val="center"/>
              <w:rPr>
                <w:rFonts w:ascii="Times New Roman"/>
                <w:kern w:val="0"/>
                <w:sz w:val="24"/>
                <w:szCs w:val="24"/>
              </w:rPr>
            </w:pPr>
            <w:r w:rsidRPr="005139F1">
              <w:rPr>
                <w:rFonts w:ascii="Times New Roman"/>
                <w:kern w:val="0"/>
                <w:sz w:val="24"/>
                <w:szCs w:val="24"/>
              </w:rPr>
              <w:t>年度</w:t>
            </w:r>
          </w:p>
        </w:tc>
        <w:tc>
          <w:tcPr>
            <w:tcW w:w="1047" w:type="pct"/>
            <w:vMerge w:val="restart"/>
            <w:tcBorders>
              <w:top w:val="single" w:sz="8" w:space="0" w:color="auto"/>
              <w:left w:val="single" w:sz="4" w:space="0" w:color="auto"/>
              <w:bottom w:val="single" w:sz="4" w:space="0" w:color="auto"/>
              <w:right w:val="single" w:sz="4" w:space="0" w:color="auto"/>
            </w:tcBorders>
            <w:vAlign w:val="center"/>
            <w:hideMark/>
          </w:tcPr>
          <w:p w:rsidR="000E7119" w:rsidRPr="005139F1" w:rsidRDefault="000E7119" w:rsidP="00E861EC">
            <w:pPr>
              <w:widowControl/>
              <w:spacing w:line="400" w:lineRule="exact"/>
              <w:jc w:val="center"/>
              <w:rPr>
                <w:rFonts w:ascii="Times New Roman"/>
                <w:kern w:val="0"/>
                <w:sz w:val="24"/>
                <w:szCs w:val="24"/>
              </w:rPr>
            </w:pPr>
            <w:r w:rsidRPr="005139F1">
              <w:rPr>
                <w:rFonts w:ascii="Times New Roman"/>
                <w:kern w:val="0"/>
                <w:sz w:val="24"/>
                <w:szCs w:val="24"/>
              </w:rPr>
              <w:t>總收入</w:t>
            </w:r>
            <w:r w:rsidRPr="005139F1">
              <w:rPr>
                <w:rFonts w:ascii="Times New Roman"/>
                <w:kern w:val="0"/>
                <w:sz w:val="24"/>
                <w:szCs w:val="24"/>
              </w:rPr>
              <w:br/>
            </w:r>
            <w:r w:rsidRPr="005139F1">
              <w:rPr>
                <w:rFonts w:ascii="Times New Roman"/>
                <w:kern w:val="0"/>
                <w:sz w:val="24"/>
                <w:szCs w:val="24"/>
              </w:rPr>
              <w:t>決算數</w:t>
            </w:r>
          </w:p>
        </w:tc>
        <w:tc>
          <w:tcPr>
            <w:tcW w:w="1651" w:type="pct"/>
            <w:gridSpan w:val="2"/>
            <w:tcBorders>
              <w:top w:val="single" w:sz="8" w:space="0" w:color="auto"/>
              <w:left w:val="single" w:sz="4"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kern w:val="0"/>
                <w:sz w:val="24"/>
                <w:szCs w:val="24"/>
              </w:rPr>
            </w:pPr>
            <w:r w:rsidRPr="005139F1">
              <w:rPr>
                <w:rFonts w:ascii="Times New Roman"/>
                <w:kern w:val="0"/>
                <w:sz w:val="24"/>
                <w:szCs w:val="24"/>
              </w:rPr>
              <w:t>徵收收入</w:t>
            </w:r>
          </w:p>
        </w:tc>
        <w:tc>
          <w:tcPr>
            <w:tcW w:w="1651" w:type="pct"/>
            <w:gridSpan w:val="2"/>
            <w:tcBorders>
              <w:top w:val="single" w:sz="8" w:space="0" w:color="auto"/>
              <w:left w:val="nil"/>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kern w:val="0"/>
                <w:sz w:val="24"/>
                <w:szCs w:val="24"/>
              </w:rPr>
            </w:pPr>
            <w:r w:rsidRPr="005139F1">
              <w:rPr>
                <w:rFonts w:ascii="Times New Roman"/>
                <w:kern w:val="0"/>
                <w:sz w:val="24"/>
                <w:szCs w:val="24"/>
              </w:rPr>
              <w:t>利息收入</w:t>
            </w:r>
          </w:p>
        </w:tc>
      </w:tr>
      <w:tr w:rsidR="000E7119" w:rsidRPr="005139F1" w:rsidTr="004B3CC4">
        <w:trPr>
          <w:trHeight w:val="415"/>
        </w:trPr>
        <w:tc>
          <w:tcPr>
            <w:tcW w:w="651" w:type="pct"/>
            <w:vMerge/>
            <w:tcBorders>
              <w:top w:val="single" w:sz="8" w:space="0" w:color="auto"/>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rPr>
                <w:rFonts w:ascii="Times New Roman"/>
                <w:kern w:val="0"/>
                <w:sz w:val="24"/>
                <w:szCs w:val="24"/>
              </w:rPr>
            </w:pPr>
          </w:p>
        </w:tc>
        <w:tc>
          <w:tcPr>
            <w:tcW w:w="1047" w:type="pct"/>
            <w:vMerge/>
            <w:tcBorders>
              <w:top w:val="single" w:sz="8" w:space="0" w:color="auto"/>
              <w:left w:val="single" w:sz="4" w:space="0" w:color="auto"/>
              <w:bottom w:val="single" w:sz="4" w:space="0" w:color="auto"/>
              <w:right w:val="single" w:sz="4" w:space="0" w:color="auto"/>
            </w:tcBorders>
            <w:vAlign w:val="center"/>
            <w:hideMark/>
          </w:tcPr>
          <w:p w:rsidR="000E7119" w:rsidRPr="005139F1" w:rsidRDefault="000E7119" w:rsidP="00F52651">
            <w:pPr>
              <w:widowControl/>
              <w:spacing w:line="400" w:lineRule="exact"/>
              <w:rPr>
                <w:rFonts w:ascii="Times New Roman"/>
                <w:kern w:val="0"/>
                <w:sz w:val="24"/>
                <w:szCs w:val="24"/>
              </w:rPr>
            </w:pPr>
          </w:p>
        </w:tc>
        <w:tc>
          <w:tcPr>
            <w:tcW w:w="563" w:type="pct"/>
            <w:tcBorders>
              <w:top w:val="single" w:sz="4" w:space="0" w:color="auto"/>
              <w:left w:val="nil"/>
              <w:bottom w:val="single" w:sz="4" w:space="0" w:color="auto"/>
              <w:right w:val="single" w:sz="4" w:space="0" w:color="auto"/>
            </w:tcBorders>
            <w:vAlign w:val="center"/>
            <w:hideMark/>
          </w:tcPr>
          <w:p w:rsidR="000E7119" w:rsidRPr="005139F1" w:rsidRDefault="000E7119" w:rsidP="00E861EC">
            <w:pPr>
              <w:widowControl/>
              <w:spacing w:line="400" w:lineRule="exact"/>
              <w:jc w:val="center"/>
              <w:rPr>
                <w:rFonts w:ascii="Times New Roman"/>
                <w:kern w:val="0"/>
                <w:sz w:val="24"/>
                <w:szCs w:val="24"/>
              </w:rPr>
            </w:pPr>
            <w:r w:rsidRPr="005139F1">
              <w:rPr>
                <w:rFonts w:ascii="Times New Roman"/>
                <w:kern w:val="0"/>
                <w:sz w:val="24"/>
                <w:szCs w:val="24"/>
              </w:rPr>
              <w:t>決算數</w:t>
            </w:r>
          </w:p>
        </w:tc>
        <w:tc>
          <w:tcPr>
            <w:tcW w:w="1088" w:type="pct"/>
            <w:tcBorders>
              <w:top w:val="single" w:sz="4" w:space="0" w:color="auto"/>
              <w:left w:val="nil"/>
              <w:bottom w:val="single" w:sz="4" w:space="0" w:color="auto"/>
              <w:right w:val="single" w:sz="4" w:space="0" w:color="auto"/>
            </w:tcBorders>
            <w:vAlign w:val="center"/>
            <w:hideMark/>
          </w:tcPr>
          <w:p w:rsidR="000E7119" w:rsidRPr="005139F1" w:rsidRDefault="000E7119" w:rsidP="00E861EC">
            <w:pPr>
              <w:widowControl/>
              <w:spacing w:line="400" w:lineRule="exact"/>
              <w:jc w:val="center"/>
              <w:rPr>
                <w:rFonts w:ascii="Times New Roman"/>
                <w:kern w:val="0"/>
                <w:sz w:val="24"/>
                <w:szCs w:val="24"/>
              </w:rPr>
            </w:pPr>
            <w:r w:rsidRPr="005139F1">
              <w:rPr>
                <w:rFonts w:ascii="Times New Roman"/>
                <w:kern w:val="0"/>
                <w:sz w:val="24"/>
                <w:szCs w:val="24"/>
              </w:rPr>
              <w:t>占總收入比率</w:t>
            </w:r>
          </w:p>
        </w:tc>
        <w:tc>
          <w:tcPr>
            <w:tcW w:w="563" w:type="pct"/>
            <w:tcBorders>
              <w:top w:val="single" w:sz="4" w:space="0" w:color="auto"/>
              <w:left w:val="nil"/>
              <w:bottom w:val="single" w:sz="4" w:space="0" w:color="auto"/>
              <w:right w:val="single" w:sz="4" w:space="0" w:color="auto"/>
            </w:tcBorders>
            <w:vAlign w:val="center"/>
            <w:hideMark/>
          </w:tcPr>
          <w:p w:rsidR="000E7119" w:rsidRPr="005139F1" w:rsidRDefault="000E7119" w:rsidP="00E861EC">
            <w:pPr>
              <w:widowControl/>
              <w:spacing w:line="400" w:lineRule="exact"/>
              <w:jc w:val="center"/>
              <w:rPr>
                <w:rFonts w:ascii="Times New Roman"/>
                <w:kern w:val="0"/>
                <w:sz w:val="24"/>
                <w:szCs w:val="24"/>
              </w:rPr>
            </w:pPr>
            <w:r w:rsidRPr="005139F1">
              <w:rPr>
                <w:rFonts w:ascii="Times New Roman"/>
                <w:kern w:val="0"/>
                <w:sz w:val="24"/>
                <w:szCs w:val="24"/>
              </w:rPr>
              <w:t>決算數</w:t>
            </w:r>
          </w:p>
        </w:tc>
        <w:tc>
          <w:tcPr>
            <w:tcW w:w="1088" w:type="pct"/>
            <w:tcBorders>
              <w:top w:val="single" w:sz="4" w:space="0" w:color="auto"/>
              <w:left w:val="nil"/>
              <w:bottom w:val="single" w:sz="4" w:space="0" w:color="auto"/>
              <w:right w:val="single" w:sz="4" w:space="0" w:color="auto"/>
            </w:tcBorders>
            <w:vAlign w:val="center"/>
            <w:hideMark/>
          </w:tcPr>
          <w:p w:rsidR="000E7119" w:rsidRPr="005139F1" w:rsidRDefault="000E7119" w:rsidP="00E861EC">
            <w:pPr>
              <w:widowControl/>
              <w:spacing w:line="400" w:lineRule="exact"/>
              <w:jc w:val="center"/>
              <w:rPr>
                <w:rFonts w:ascii="Times New Roman"/>
                <w:kern w:val="0"/>
                <w:sz w:val="24"/>
                <w:szCs w:val="24"/>
              </w:rPr>
            </w:pPr>
            <w:r w:rsidRPr="005139F1">
              <w:rPr>
                <w:rFonts w:ascii="Times New Roman"/>
                <w:kern w:val="0"/>
                <w:sz w:val="24"/>
                <w:szCs w:val="24"/>
              </w:rPr>
              <w:t>占總收入比率</w:t>
            </w:r>
          </w:p>
        </w:tc>
      </w:tr>
      <w:tr w:rsidR="000E7119" w:rsidRPr="005139F1" w:rsidTr="004B3CC4">
        <w:trPr>
          <w:trHeight w:val="509"/>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98</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89,081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81,352</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91.32%</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2,871</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3.22%</w:t>
            </w:r>
          </w:p>
        </w:tc>
      </w:tr>
      <w:tr w:rsidR="000E7119" w:rsidRPr="005139F1" w:rsidTr="004B3CC4">
        <w:trPr>
          <w:trHeight w:val="559"/>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99</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44,041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42,938</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97.50%</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983</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2.23%</w:t>
            </w:r>
          </w:p>
        </w:tc>
      </w:tr>
      <w:tr w:rsidR="000E7119" w:rsidRPr="005139F1" w:rsidTr="004B3CC4">
        <w:trPr>
          <w:trHeight w:val="562"/>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100</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47,596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44,657</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93.83%</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2,939</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6.17%</w:t>
            </w:r>
          </w:p>
        </w:tc>
      </w:tr>
      <w:tr w:rsidR="000E7119" w:rsidRPr="005139F1" w:rsidTr="004B3CC4">
        <w:trPr>
          <w:trHeight w:val="556"/>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101</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52,347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47,514</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90.77%</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4,222</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8.07%</w:t>
            </w:r>
          </w:p>
        </w:tc>
      </w:tr>
      <w:tr w:rsidR="000E7119" w:rsidRPr="005139F1" w:rsidTr="004B3CC4">
        <w:trPr>
          <w:trHeight w:val="564"/>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102</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62,950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59,667</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94.78%</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3,283</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5.22%</w:t>
            </w:r>
          </w:p>
        </w:tc>
      </w:tr>
      <w:tr w:rsidR="000E7119" w:rsidRPr="005139F1" w:rsidTr="004B3CC4">
        <w:trPr>
          <w:trHeight w:val="558"/>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103</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67,238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63,255</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94.08%</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3,204</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4.77%</w:t>
            </w:r>
          </w:p>
        </w:tc>
      </w:tr>
      <w:tr w:rsidR="000E7119" w:rsidRPr="005139F1" w:rsidTr="004B3CC4">
        <w:trPr>
          <w:trHeight w:val="551"/>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104</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69,165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65,893</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95.27%</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3,064</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4.43%</w:t>
            </w:r>
          </w:p>
        </w:tc>
      </w:tr>
      <w:tr w:rsidR="000E7119" w:rsidRPr="005139F1" w:rsidTr="004B3CC4">
        <w:trPr>
          <w:trHeight w:val="558"/>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105</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72,212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67,955</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94.10%</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2,039</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2.82%</w:t>
            </w:r>
          </w:p>
        </w:tc>
      </w:tr>
      <w:tr w:rsidR="000E7119" w:rsidRPr="005139F1" w:rsidTr="004B3CC4">
        <w:trPr>
          <w:trHeight w:val="566"/>
        </w:trPr>
        <w:tc>
          <w:tcPr>
            <w:tcW w:w="651" w:type="pct"/>
            <w:tcBorders>
              <w:top w:val="nil"/>
              <w:left w:val="single" w:sz="8" w:space="0" w:color="auto"/>
              <w:bottom w:val="single" w:sz="4"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106</w:t>
            </w:r>
            <w:r w:rsidRPr="005139F1">
              <w:rPr>
                <w:rFonts w:ascii="Times New Roman"/>
                <w:kern w:val="0"/>
                <w:sz w:val="24"/>
                <w:szCs w:val="24"/>
              </w:rPr>
              <w:t>年度</w:t>
            </w:r>
          </w:p>
        </w:tc>
        <w:tc>
          <w:tcPr>
            <w:tcW w:w="1047" w:type="pct"/>
            <w:tcBorders>
              <w:top w:val="nil"/>
              <w:left w:val="nil"/>
              <w:bottom w:val="single" w:sz="4"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73,550 </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72,418</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98.46%</w:t>
            </w:r>
          </w:p>
        </w:tc>
        <w:tc>
          <w:tcPr>
            <w:tcW w:w="563"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1,122</w:t>
            </w:r>
          </w:p>
        </w:tc>
        <w:tc>
          <w:tcPr>
            <w:tcW w:w="1088" w:type="pct"/>
            <w:tcBorders>
              <w:top w:val="nil"/>
              <w:left w:val="nil"/>
              <w:bottom w:val="single" w:sz="4"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1.53%</w:t>
            </w:r>
          </w:p>
        </w:tc>
      </w:tr>
      <w:tr w:rsidR="000E7119" w:rsidRPr="005139F1" w:rsidTr="004B3CC4">
        <w:trPr>
          <w:trHeight w:val="562"/>
        </w:trPr>
        <w:tc>
          <w:tcPr>
            <w:tcW w:w="651" w:type="pct"/>
            <w:tcBorders>
              <w:top w:val="nil"/>
              <w:left w:val="single" w:sz="8" w:space="0" w:color="auto"/>
              <w:bottom w:val="single" w:sz="8" w:space="0" w:color="auto"/>
              <w:right w:val="single" w:sz="4" w:space="0" w:color="auto"/>
            </w:tcBorders>
            <w:vAlign w:val="center"/>
            <w:hideMark/>
          </w:tcPr>
          <w:p w:rsidR="000E7119" w:rsidRPr="005139F1" w:rsidRDefault="000E7119" w:rsidP="00F52651">
            <w:pPr>
              <w:widowControl/>
              <w:spacing w:line="400" w:lineRule="exact"/>
              <w:jc w:val="center"/>
              <w:rPr>
                <w:rFonts w:ascii="Times New Roman" w:eastAsia="新細明體"/>
                <w:kern w:val="0"/>
                <w:sz w:val="24"/>
                <w:szCs w:val="24"/>
              </w:rPr>
            </w:pPr>
            <w:r w:rsidRPr="005139F1">
              <w:rPr>
                <w:rFonts w:ascii="Times New Roman" w:eastAsia="新細明體"/>
                <w:kern w:val="0"/>
                <w:sz w:val="24"/>
                <w:szCs w:val="24"/>
              </w:rPr>
              <w:t>107</w:t>
            </w:r>
            <w:r w:rsidRPr="005139F1">
              <w:rPr>
                <w:rFonts w:ascii="Times New Roman"/>
                <w:kern w:val="0"/>
                <w:sz w:val="24"/>
                <w:szCs w:val="24"/>
              </w:rPr>
              <w:t>年度</w:t>
            </w:r>
          </w:p>
        </w:tc>
        <w:tc>
          <w:tcPr>
            <w:tcW w:w="1047" w:type="pct"/>
            <w:tcBorders>
              <w:top w:val="nil"/>
              <w:left w:val="nil"/>
              <w:bottom w:val="single" w:sz="8" w:space="0" w:color="auto"/>
              <w:right w:val="single" w:sz="4" w:space="0" w:color="auto"/>
            </w:tcBorders>
            <w:noWrap/>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 xml:space="preserve">      74,624 </w:t>
            </w:r>
          </w:p>
        </w:tc>
        <w:tc>
          <w:tcPr>
            <w:tcW w:w="563" w:type="pct"/>
            <w:tcBorders>
              <w:top w:val="nil"/>
              <w:left w:val="nil"/>
              <w:bottom w:val="single" w:sz="8"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73,724</w:t>
            </w:r>
          </w:p>
        </w:tc>
        <w:tc>
          <w:tcPr>
            <w:tcW w:w="1088" w:type="pct"/>
            <w:tcBorders>
              <w:top w:val="nil"/>
              <w:left w:val="nil"/>
              <w:bottom w:val="single" w:sz="8"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98.79%</w:t>
            </w:r>
          </w:p>
        </w:tc>
        <w:tc>
          <w:tcPr>
            <w:tcW w:w="563" w:type="pct"/>
            <w:tcBorders>
              <w:top w:val="nil"/>
              <w:left w:val="nil"/>
              <w:bottom w:val="single" w:sz="8"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890</w:t>
            </w:r>
          </w:p>
        </w:tc>
        <w:tc>
          <w:tcPr>
            <w:tcW w:w="1088" w:type="pct"/>
            <w:tcBorders>
              <w:top w:val="nil"/>
              <w:left w:val="nil"/>
              <w:bottom w:val="single" w:sz="8" w:space="0" w:color="auto"/>
              <w:right w:val="single" w:sz="4" w:space="0" w:color="auto"/>
            </w:tcBorders>
            <w:vAlign w:val="center"/>
            <w:hideMark/>
          </w:tcPr>
          <w:p w:rsidR="000E7119" w:rsidRPr="005139F1" w:rsidRDefault="000E7119" w:rsidP="00F52651">
            <w:pPr>
              <w:widowControl/>
              <w:spacing w:line="400" w:lineRule="exact"/>
              <w:jc w:val="right"/>
              <w:rPr>
                <w:rFonts w:ascii="Times New Roman" w:eastAsia="新細明體"/>
                <w:kern w:val="0"/>
                <w:sz w:val="24"/>
                <w:szCs w:val="24"/>
              </w:rPr>
            </w:pPr>
            <w:r w:rsidRPr="005139F1">
              <w:rPr>
                <w:rFonts w:ascii="Times New Roman" w:eastAsia="新細明體"/>
                <w:kern w:val="0"/>
                <w:sz w:val="24"/>
                <w:szCs w:val="24"/>
              </w:rPr>
              <w:t>1.19%</w:t>
            </w:r>
          </w:p>
        </w:tc>
      </w:tr>
      <w:tr w:rsidR="000E7119" w:rsidRPr="005139F1" w:rsidTr="005139F1">
        <w:trPr>
          <w:trHeight w:val="555"/>
        </w:trPr>
        <w:tc>
          <w:tcPr>
            <w:tcW w:w="5000" w:type="pct"/>
            <w:gridSpan w:val="6"/>
            <w:vAlign w:val="center"/>
            <w:hideMark/>
          </w:tcPr>
          <w:p w:rsidR="000E7119" w:rsidRDefault="000E7119" w:rsidP="00F52651">
            <w:pPr>
              <w:widowControl/>
              <w:spacing w:line="400" w:lineRule="exact"/>
              <w:rPr>
                <w:rFonts w:ascii="Times New Roman"/>
                <w:kern w:val="0"/>
                <w:sz w:val="24"/>
                <w:szCs w:val="24"/>
              </w:rPr>
            </w:pPr>
            <w:r w:rsidRPr="005139F1">
              <w:rPr>
                <w:rFonts w:ascii="Times New Roman"/>
                <w:kern w:val="0"/>
                <w:sz w:val="24"/>
                <w:szCs w:val="24"/>
              </w:rPr>
              <w:lastRenderedPageBreak/>
              <w:t>備註：</w:t>
            </w:r>
            <w:r w:rsidRPr="005139F1">
              <w:rPr>
                <w:rFonts w:ascii="Times New Roman"/>
                <w:kern w:val="0"/>
                <w:sz w:val="24"/>
                <w:szCs w:val="24"/>
              </w:rPr>
              <w:t>107</w:t>
            </w:r>
            <w:r w:rsidRPr="005139F1">
              <w:rPr>
                <w:rFonts w:ascii="Times New Roman"/>
                <w:kern w:val="0"/>
                <w:sz w:val="24"/>
                <w:szCs w:val="24"/>
              </w:rPr>
              <w:t>年度決算截至</w:t>
            </w:r>
            <w:r w:rsidRPr="005139F1">
              <w:rPr>
                <w:rFonts w:ascii="Times New Roman"/>
                <w:kern w:val="0"/>
                <w:sz w:val="24"/>
                <w:szCs w:val="24"/>
              </w:rPr>
              <w:t>107</w:t>
            </w:r>
            <w:r w:rsidRPr="005139F1">
              <w:rPr>
                <w:rFonts w:ascii="Times New Roman"/>
                <w:kern w:val="0"/>
                <w:sz w:val="24"/>
                <w:szCs w:val="24"/>
              </w:rPr>
              <w:t>年</w:t>
            </w:r>
            <w:r w:rsidRPr="005139F1">
              <w:rPr>
                <w:rFonts w:ascii="Times New Roman"/>
                <w:kern w:val="0"/>
                <w:sz w:val="24"/>
                <w:szCs w:val="24"/>
              </w:rPr>
              <w:t>9</w:t>
            </w:r>
            <w:r w:rsidRPr="005139F1">
              <w:rPr>
                <w:rFonts w:ascii="Times New Roman"/>
                <w:kern w:val="0"/>
                <w:sz w:val="24"/>
                <w:szCs w:val="24"/>
              </w:rPr>
              <w:t>月底。</w:t>
            </w:r>
          </w:p>
          <w:p w:rsidR="00902643" w:rsidRDefault="00902643" w:rsidP="00DC49A0">
            <w:pPr>
              <w:widowControl/>
              <w:spacing w:line="400" w:lineRule="exact"/>
              <w:rPr>
                <w:rFonts w:ascii="Times New Roman"/>
                <w:kern w:val="0"/>
                <w:sz w:val="24"/>
                <w:szCs w:val="24"/>
              </w:rPr>
            </w:pPr>
            <w:r>
              <w:rPr>
                <w:rFonts w:ascii="Times New Roman" w:hint="eastAsia"/>
                <w:kern w:val="0"/>
                <w:sz w:val="24"/>
                <w:szCs w:val="24"/>
              </w:rPr>
              <w:t>資料來源：</w:t>
            </w:r>
            <w:r w:rsidR="00DC49A0" w:rsidRPr="00DC49A0">
              <w:rPr>
                <w:rFonts w:ascii="Times New Roman" w:hint="eastAsia"/>
                <w:kern w:val="0"/>
                <w:sz w:val="24"/>
                <w:szCs w:val="24"/>
              </w:rPr>
              <w:t>食藥署</w:t>
            </w:r>
            <w:r w:rsidR="00DC49A0" w:rsidRPr="00DC49A0">
              <w:rPr>
                <w:rFonts w:ascii="Times New Roman" w:hint="eastAsia"/>
                <w:kern w:val="0"/>
                <w:sz w:val="24"/>
                <w:szCs w:val="24"/>
              </w:rPr>
              <w:t>107</w:t>
            </w:r>
            <w:r w:rsidR="00DC49A0" w:rsidRPr="00DC49A0">
              <w:rPr>
                <w:rFonts w:ascii="Times New Roman" w:hint="eastAsia"/>
                <w:kern w:val="0"/>
                <w:sz w:val="24"/>
                <w:szCs w:val="24"/>
              </w:rPr>
              <w:t>年</w:t>
            </w:r>
            <w:r w:rsidR="00DC49A0" w:rsidRPr="00DC49A0">
              <w:rPr>
                <w:rFonts w:ascii="Times New Roman" w:hint="eastAsia"/>
                <w:kern w:val="0"/>
                <w:sz w:val="24"/>
                <w:szCs w:val="24"/>
              </w:rPr>
              <w:t>10</w:t>
            </w:r>
            <w:r w:rsidR="00DC49A0" w:rsidRPr="00DC49A0">
              <w:rPr>
                <w:rFonts w:ascii="Times New Roman" w:hint="eastAsia"/>
                <w:kern w:val="0"/>
                <w:sz w:val="24"/>
                <w:szCs w:val="24"/>
              </w:rPr>
              <w:t>月</w:t>
            </w:r>
            <w:r w:rsidR="00DC49A0" w:rsidRPr="00DC49A0">
              <w:rPr>
                <w:rFonts w:ascii="Times New Roman" w:hint="eastAsia"/>
                <w:kern w:val="0"/>
                <w:sz w:val="24"/>
                <w:szCs w:val="24"/>
              </w:rPr>
              <w:t>26</w:t>
            </w:r>
            <w:r w:rsidR="00DC49A0" w:rsidRPr="00DC49A0">
              <w:rPr>
                <w:rFonts w:ascii="Times New Roman" w:hint="eastAsia"/>
                <w:kern w:val="0"/>
                <w:sz w:val="24"/>
                <w:szCs w:val="24"/>
              </w:rPr>
              <w:t>日</w:t>
            </w:r>
            <w:r w:rsidR="00DC49A0" w:rsidRPr="00DC49A0">
              <w:rPr>
                <w:rFonts w:ascii="Times New Roman" w:hint="eastAsia"/>
                <w:kern w:val="0"/>
                <w:sz w:val="24"/>
                <w:szCs w:val="24"/>
              </w:rPr>
              <w:t>FDA</w:t>
            </w:r>
            <w:r w:rsidR="00DC49A0" w:rsidRPr="00DC49A0">
              <w:rPr>
                <w:rFonts w:ascii="Times New Roman" w:hint="eastAsia"/>
                <w:kern w:val="0"/>
                <w:sz w:val="24"/>
                <w:szCs w:val="24"/>
              </w:rPr>
              <w:t>藥字第</w:t>
            </w:r>
            <w:r w:rsidR="00DC49A0" w:rsidRPr="00DC49A0">
              <w:rPr>
                <w:rFonts w:ascii="Times New Roman" w:hint="eastAsia"/>
                <w:kern w:val="0"/>
                <w:sz w:val="24"/>
                <w:szCs w:val="24"/>
              </w:rPr>
              <w:t>1079031710</w:t>
            </w:r>
            <w:r w:rsidR="00DC49A0" w:rsidRPr="00DC49A0">
              <w:rPr>
                <w:rFonts w:ascii="Times New Roman" w:hint="eastAsia"/>
                <w:kern w:val="0"/>
                <w:sz w:val="24"/>
                <w:szCs w:val="24"/>
              </w:rPr>
              <w:t>號函。</w:t>
            </w:r>
          </w:p>
          <w:p w:rsidR="00D56CF5" w:rsidRPr="005139F1" w:rsidRDefault="00D56CF5" w:rsidP="00DC49A0">
            <w:pPr>
              <w:widowControl/>
              <w:spacing w:line="400" w:lineRule="exact"/>
              <w:rPr>
                <w:rFonts w:ascii="Times New Roman" w:eastAsia="新細明體"/>
                <w:color w:val="000000"/>
                <w:kern w:val="0"/>
                <w:sz w:val="24"/>
                <w:szCs w:val="24"/>
              </w:rPr>
            </w:pPr>
          </w:p>
        </w:tc>
      </w:tr>
    </w:tbl>
    <w:p w:rsidR="000E7119" w:rsidRDefault="00D56CF5" w:rsidP="00D56CF5">
      <w:pPr>
        <w:pStyle w:val="32"/>
        <w:ind w:left="1361" w:firstLine="680"/>
      </w:pPr>
      <w:r w:rsidRPr="00A4135D">
        <w:rPr>
          <w:rFonts w:hint="eastAsia"/>
          <w:color w:val="000000" w:themeColor="text1"/>
        </w:rPr>
        <w:t>由上表</w:t>
      </w:r>
      <w:r w:rsidR="00471493">
        <w:rPr>
          <w:rFonts w:hint="eastAsia"/>
        </w:rPr>
        <w:t>可知，</w:t>
      </w:r>
      <w:r w:rsidR="00471493" w:rsidRPr="00471493">
        <w:rPr>
          <w:rFonts w:hint="eastAsia"/>
        </w:rPr>
        <w:t>藥害救濟基金</w:t>
      </w:r>
      <w:r w:rsidR="00CF74BC">
        <w:rPr>
          <w:rFonts w:hint="eastAsia"/>
        </w:rPr>
        <w:t>主要</w:t>
      </w:r>
      <w:r w:rsidR="00471493" w:rsidRPr="00471493">
        <w:rPr>
          <w:rFonts w:hint="eastAsia"/>
        </w:rPr>
        <w:t>來自於業者及輸入業者繳納之徵收金</w:t>
      </w:r>
      <w:r w:rsidR="00471493">
        <w:rPr>
          <w:rFonts w:hint="eastAsia"/>
        </w:rPr>
        <w:t>。</w:t>
      </w:r>
    </w:p>
    <w:p w:rsidR="00D266E9" w:rsidRDefault="00D266E9" w:rsidP="00AB723E">
      <w:pPr>
        <w:pStyle w:val="3"/>
      </w:pPr>
      <w:r>
        <w:rPr>
          <w:rFonts w:hint="eastAsia"/>
        </w:rPr>
        <w:t>經查101年藥害基金餘額</w:t>
      </w:r>
      <w:r w:rsidR="00E872B7">
        <w:rPr>
          <w:rFonts w:hint="eastAsia"/>
        </w:rPr>
        <w:t>新臺幣（下同）</w:t>
      </w:r>
      <w:r>
        <w:rPr>
          <w:rFonts w:hint="eastAsia"/>
        </w:rPr>
        <w:t>319,767千元，即將達法定3億元之下線，爰食藥署於</w:t>
      </w:r>
      <w:r w:rsidRPr="004B48EF">
        <w:t>102年4月30日邀集藥界八大公協會召開「102年度藥害救濟徵收金比率調整協商會議（第二次）」決議「自102年度開始，藥害救濟徵收金之徵收比率由現行0.4</w:t>
      </w:r>
      <w:r w:rsidRPr="004B48EF">
        <w:t>‰</w:t>
      </w:r>
      <w:r w:rsidRPr="004B48EF">
        <w:t>，調整為0.5</w:t>
      </w:r>
      <w:r w:rsidRPr="004B48EF">
        <w:t>‰</w:t>
      </w:r>
      <w:r w:rsidRPr="004B48EF">
        <w:t>，並以逐年檢討方式適度調整，以維</w:t>
      </w:r>
      <w:r w:rsidRPr="004B48EF">
        <w:rPr>
          <w:rFonts w:hint="eastAsia"/>
        </w:rPr>
        <w:t>持</w:t>
      </w:r>
      <w:r w:rsidRPr="004B48EF">
        <w:t>基金財務收支之穩定度。惟因基金財務收支致使基金總額低於3億元時，依法將再調高徵收比率，回復至千分之1。」</w:t>
      </w:r>
      <w:r>
        <w:rPr>
          <w:rFonts w:hint="eastAsia"/>
        </w:rPr>
        <w:t>另於</w:t>
      </w:r>
      <w:r w:rsidRPr="004B48EF">
        <w:t>103年4月30日</w:t>
      </w:r>
      <w:r>
        <w:rPr>
          <w:rFonts w:hint="eastAsia"/>
        </w:rPr>
        <w:t>再</w:t>
      </w:r>
      <w:r w:rsidRPr="004B48EF">
        <w:t>邀集藥界九大公協會召開「103年度藥害救濟徵收金比率調整廠商說明會」決議「依照目前收支情形，今年不需調整徵收比率，仍維持在0.5</w:t>
      </w:r>
      <w:r w:rsidRPr="004B48EF">
        <w:t>‰</w:t>
      </w:r>
      <w:r w:rsidRPr="004B48EF">
        <w:t>；惟藥害救濟行政管理費用一年約需3</w:t>
      </w:r>
      <w:r w:rsidR="00E872B7">
        <w:rPr>
          <w:rFonts w:hint="eastAsia"/>
        </w:rPr>
        <w:t>,</w:t>
      </w:r>
      <w:r w:rsidRPr="004B48EF">
        <w:t>000萬元，與給付金額相近，應撙節行政支出，提高行政效益。」</w:t>
      </w:r>
      <w:r>
        <w:rPr>
          <w:rFonts w:hint="eastAsia"/>
        </w:rPr>
        <w:t>嗣後每年結餘金額逐年上升。</w:t>
      </w:r>
    </w:p>
    <w:p w:rsidR="00D266E9" w:rsidRPr="00A4135D" w:rsidRDefault="00906719" w:rsidP="00AB723E">
      <w:pPr>
        <w:pStyle w:val="3"/>
        <w:rPr>
          <w:color w:val="000000" w:themeColor="text1"/>
        </w:rPr>
      </w:pPr>
      <w:r>
        <w:rPr>
          <w:rFonts w:hint="eastAsia"/>
        </w:rPr>
        <w:t>揆諸上</w:t>
      </w:r>
      <w:r w:rsidR="00D266E9">
        <w:rPr>
          <w:rFonts w:hint="eastAsia"/>
        </w:rPr>
        <w:t>述，</w:t>
      </w:r>
      <w:r w:rsidR="00D266E9" w:rsidRPr="00D611E2">
        <w:rPr>
          <w:rFonts w:hint="eastAsia"/>
        </w:rPr>
        <w:t>對於</w:t>
      </w:r>
      <w:r w:rsidR="00D266E9">
        <w:rPr>
          <w:rFonts w:hint="eastAsia"/>
        </w:rPr>
        <w:t>藉由</w:t>
      </w:r>
      <w:r w:rsidR="00D266E9" w:rsidRPr="00D611E2">
        <w:t>提高徵收金比率以擴大對受害者救助之範圍</w:t>
      </w:r>
      <w:r w:rsidR="00D266E9" w:rsidRPr="00D611E2">
        <w:rPr>
          <w:rFonts w:hint="eastAsia"/>
        </w:rPr>
        <w:t>一節，食藥署</w:t>
      </w:r>
      <w:r w:rsidR="00D266E9">
        <w:rPr>
          <w:rFonts w:hint="eastAsia"/>
        </w:rPr>
        <w:t>舉例</w:t>
      </w:r>
      <w:r w:rsidR="00D266E9" w:rsidRPr="00D611E2">
        <w:rPr>
          <w:rFonts w:hint="eastAsia"/>
        </w:rPr>
        <w:t>評估分析</w:t>
      </w:r>
      <w:r w:rsidR="00D266E9">
        <w:rPr>
          <w:rFonts w:hint="eastAsia"/>
        </w:rPr>
        <w:t>表示略以</w:t>
      </w:r>
      <w:r w:rsidR="00D266E9" w:rsidRPr="00D611E2">
        <w:rPr>
          <w:rFonts w:hint="eastAsia"/>
        </w:rPr>
        <w:t>：</w:t>
      </w:r>
      <w:r w:rsidR="00D266E9">
        <w:rPr>
          <w:rFonts w:hint="eastAsia"/>
        </w:rPr>
        <w:t>以新一</w:t>
      </w:r>
      <w:r w:rsidR="00D266E9" w:rsidRPr="00A4135D">
        <w:rPr>
          <w:rFonts w:hint="eastAsia"/>
          <w:color w:val="000000" w:themeColor="text1"/>
        </w:rPr>
        <w:t>代口服抗凝血劑Dabigatran</w:t>
      </w:r>
      <w:r w:rsidR="00D266E9" w:rsidRPr="00A4135D">
        <w:rPr>
          <w:rStyle w:val="aff6"/>
          <w:color w:val="000000" w:themeColor="text1"/>
        </w:rPr>
        <w:footnoteReference w:id="1"/>
      </w:r>
      <w:r w:rsidR="00D266E9" w:rsidRPr="00A4135D">
        <w:rPr>
          <w:rFonts w:hint="eastAsia"/>
          <w:color w:val="000000" w:themeColor="text1"/>
        </w:rPr>
        <w:t>為例，其發生率為2.92%，另依健保署之藥品使用量分析，2012年6月至2013年12月</w:t>
      </w:r>
      <w:r w:rsidR="00D56CF5" w:rsidRPr="00A4135D">
        <w:rPr>
          <w:rFonts w:hint="eastAsia"/>
          <w:color w:val="000000" w:themeColor="text1"/>
        </w:rPr>
        <w:t>臺</w:t>
      </w:r>
      <w:r w:rsidR="00D266E9" w:rsidRPr="00A4135D">
        <w:rPr>
          <w:rFonts w:hint="eastAsia"/>
          <w:color w:val="000000" w:themeColor="text1"/>
        </w:rPr>
        <w:t>灣有8,772人使用此藥預防非瓣膜性心房纖維顫動病患發生中風與全身性栓塞。若擴大救助範圍，將此重大出血事件納入救濟，經評估，救濟金額估計每年可能增加4</w:t>
      </w:r>
      <w:r w:rsidR="00E872B7">
        <w:rPr>
          <w:rFonts w:hint="eastAsia"/>
          <w:color w:val="000000" w:themeColor="text1"/>
        </w:rPr>
        <w:t>,</w:t>
      </w:r>
      <w:r w:rsidR="009E4110" w:rsidRPr="00A4135D">
        <w:rPr>
          <w:rFonts w:hint="eastAsia"/>
          <w:color w:val="000000" w:themeColor="text1"/>
        </w:rPr>
        <w:t>600</w:t>
      </w:r>
      <w:r w:rsidR="00D266E9" w:rsidRPr="00A4135D">
        <w:rPr>
          <w:rFonts w:hint="eastAsia"/>
          <w:color w:val="000000" w:themeColor="text1"/>
        </w:rPr>
        <w:t>萬</w:t>
      </w:r>
      <w:r w:rsidR="00E872B7">
        <w:rPr>
          <w:rFonts w:hint="eastAsia"/>
          <w:color w:val="000000" w:themeColor="text1"/>
        </w:rPr>
        <w:t>元</w:t>
      </w:r>
      <w:r w:rsidR="00D266E9" w:rsidRPr="00A4135D">
        <w:rPr>
          <w:rFonts w:hint="eastAsia"/>
          <w:color w:val="000000" w:themeColor="text1"/>
        </w:rPr>
        <w:t>，約</w:t>
      </w:r>
      <w:r w:rsidR="00D266E9" w:rsidRPr="00A4135D">
        <w:rPr>
          <w:rFonts w:hint="eastAsia"/>
          <w:color w:val="000000" w:themeColor="text1"/>
        </w:rPr>
        <w:lastRenderedPageBreak/>
        <w:t>為107年總救濟金額之2.36倍，且已超過藥害救濟107年度徵收金之半數收入金額（約為7</w:t>
      </w:r>
      <w:r w:rsidR="009E4110" w:rsidRPr="00A4135D">
        <w:rPr>
          <w:rFonts w:hint="eastAsia"/>
          <w:color w:val="000000" w:themeColor="text1"/>
        </w:rPr>
        <w:t>,</w:t>
      </w:r>
      <w:r w:rsidR="00D266E9" w:rsidRPr="00A4135D">
        <w:rPr>
          <w:rFonts w:hint="eastAsia"/>
          <w:color w:val="000000" w:themeColor="text1"/>
        </w:rPr>
        <w:t>718萬元）。然Dabigatran僅是抗凝血藥物的其中一種，若再進一步延伸至所有抗凝血藥物，甚至放寬至所有藥品依其藥理作用機轉得預期之嚴重不良反應均納入救濟，每年所需的救濟金額恐達</w:t>
      </w:r>
      <w:r w:rsidR="00D56CF5" w:rsidRPr="00A4135D">
        <w:rPr>
          <w:rFonts w:hint="eastAsia"/>
          <w:color w:val="000000" w:themeColor="text1"/>
        </w:rPr>
        <w:t>臺</w:t>
      </w:r>
      <w:r w:rsidR="00D266E9" w:rsidRPr="00A4135D">
        <w:rPr>
          <w:rFonts w:hint="eastAsia"/>
          <w:color w:val="000000" w:themeColor="text1"/>
        </w:rPr>
        <w:t>幣數十億元，實難以僅就提高徵收金之方法因應。</w:t>
      </w:r>
    </w:p>
    <w:p w:rsidR="00D266E9" w:rsidRPr="00AB723E" w:rsidRDefault="00D266E9" w:rsidP="00FC3320">
      <w:pPr>
        <w:pStyle w:val="3"/>
      </w:pPr>
      <w:r w:rsidRPr="00A4135D">
        <w:rPr>
          <w:rFonts w:hint="eastAsia"/>
          <w:color w:val="000000" w:themeColor="text1"/>
        </w:rPr>
        <w:t>另對於</w:t>
      </w:r>
      <w:r w:rsidR="0059726F" w:rsidRPr="00A4135D">
        <w:rPr>
          <w:rFonts w:hint="eastAsia"/>
          <w:color w:val="000000" w:themeColor="text1"/>
        </w:rPr>
        <w:t>司法院</w:t>
      </w:r>
      <w:r w:rsidRPr="00A4135D">
        <w:rPr>
          <w:color w:val="000000" w:themeColor="text1"/>
        </w:rPr>
        <w:t>釋字第767號解釋</w:t>
      </w:r>
      <w:r w:rsidR="00FC3320" w:rsidRPr="00A4135D">
        <w:rPr>
          <w:rFonts w:hint="eastAsia"/>
          <w:color w:val="000000" w:themeColor="text1"/>
        </w:rPr>
        <w:t>：「藥害救濟法第13條第9款規定：『有下列各款情事之一者，不得申請藥害救濟：……九、常見且可預期之藥物不良反應。』未違反法律明確性原則及比例原則，與憲法保障人民生存權、健康權及憲法增修條文第10條第8項國家應重視醫療保健社會福利工作之意旨，尚無牴觸。」其解釋</w:t>
      </w:r>
      <w:r w:rsidR="00D92F8B" w:rsidRPr="00A4135D">
        <w:rPr>
          <w:rFonts w:hint="eastAsia"/>
          <w:color w:val="000000" w:themeColor="text1"/>
        </w:rPr>
        <w:t>理由書謂</w:t>
      </w:r>
      <w:r w:rsidRPr="00A4135D">
        <w:rPr>
          <w:color w:val="000000" w:themeColor="text1"/>
        </w:rPr>
        <w:t>：「</w:t>
      </w:r>
      <w:r w:rsidRPr="00A4135D">
        <w:rPr>
          <w:color w:val="000000" w:themeColor="text1"/>
        </w:rPr>
        <w:t>……</w:t>
      </w:r>
      <w:r w:rsidRPr="00A4135D">
        <w:rPr>
          <w:color w:val="000000" w:themeColor="text1"/>
        </w:rPr>
        <w:t>又查系爭規定固與憲法尚無違背，惟相關機關仍</w:t>
      </w:r>
      <w:r w:rsidRPr="00AB723E">
        <w:t>應盱衡醫藥產業整體發展趨勢、藥害救濟制度之公益及永續性，與社會衡平原則及社會補償合理性等情事，適時檢討系爭規定有關藥害救濟給付之不予救濟要件，且不應過度擴張藥害不予救濟之範圍，阻絕受藥害者尋求救濟之機會。</w:t>
      </w:r>
      <w:r w:rsidRPr="00AB723E">
        <w:t>……</w:t>
      </w:r>
      <w:r w:rsidRPr="00AB723E">
        <w:t>」</w:t>
      </w:r>
      <w:r w:rsidR="00D92F8B" w:rsidRPr="00A4135D">
        <w:rPr>
          <w:rFonts w:hint="eastAsia"/>
          <w:color w:val="000000" w:themeColor="text1"/>
        </w:rPr>
        <w:t>司法院釋字第767號解釋範圍雖未含括預防接種受害救濟基金徵收及審議辦法之相關規定，惟疾管署於審議民眾因接受預防接種(疫苗)而受害者，亦應體察該解釋理由之意旨，對預防接種受害救濟制度不應過度擴張預防接種不予救濟之範圍，以強化預防接種受害之補償機制，完善社會安全救濟制度之防護網。</w:t>
      </w:r>
      <w:r w:rsidRPr="00A4135D">
        <w:rPr>
          <w:rFonts w:hint="eastAsia"/>
          <w:color w:val="000000" w:themeColor="text1"/>
        </w:rPr>
        <w:t>食藥署檢討評估如下略以：1.前</w:t>
      </w:r>
      <w:r w:rsidRPr="00A4135D">
        <w:rPr>
          <w:color w:val="000000" w:themeColor="text1"/>
        </w:rPr>
        <w:t>行政院衛生署</w:t>
      </w:r>
      <w:r w:rsidR="00BA2759" w:rsidRPr="00A4135D">
        <w:rPr>
          <w:rFonts w:hint="eastAsia"/>
          <w:color w:val="000000" w:themeColor="text1"/>
        </w:rPr>
        <w:t>（</w:t>
      </w:r>
      <w:r w:rsidR="00BA2759" w:rsidRPr="00AB723E">
        <w:rPr>
          <w:rFonts w:hint="eastAsia"/>
        </w:rPr>
        <w:t>下稱前衛生署；現為衛福部）</w:t>
      </w:r>
      <w:r w:rsidRPr="00AB723E">
        <w:t>於100年5月4日增</w:t>
      </w:r>
      <w:r w:rsidRPr="00AB723E">
        <w:rPr>
          <w:rFonts w:hint="eastAsia"/>
        </w:rPr>
        <w:t>修藥害救濟法</w:t>
      </w:r>
      <w:r w:rsidRPr="00AB723E">
        <w:t>第13條第8款但書規定</w:t>
      </w:r>
      <w:r w:rsidRPr="00AB723E">
        <w:rPr>
          <w:rFonts w:hint="eastAsia"/>
        </w:rPr>
        <w:t>，適應症外使用藥品而受害者亦得申請藥害救濟、藥害救濟案件審查已採取對申請人</w:t>
      </w:r>
      <w:r w:rsidRPr="00AB723E">
        <w:rPr>
          <w:rFonts w:hint="eastAsia"/>
        </w:rPr>
        <w:lastRenderedPageBreak/>
        <w:t>最為有利之臨床醫學文獻資料、且對藥害因果關係亦以從寬利民為原則等，故現行藥害救濟制度已為從寬給予救濟。2.</w:t>
      </w:r>
      <w:r w:rsidRPr="00AB723E">
        <w:t>藥品是以治療疾病為目的，</w:t>
      </w:r>
      <w:r w:rsidRPr="00AB723E">
        <w:rPr>
          <w:rFonts w:hint="eastAsia"/>
        </w:rPr>
        <w:t>其風險與效益係相對存在，</w:t>
      </w:r>
      <w:r w:rsidRPr="00AB723E">
        <w:t>藥品</w:t>
      </w:r>
      <w:r w:rsidRPr="00AB723E">
        <w:rPr>
          <w:rFonts w:hint="eastAsia"/>
        </w:rPr>
        <w:t>之使用</w:t>
      </w:r>
      <w:r w:rsidRPr="00AB723E">
        <w:t>須經審慎評估確保治療效益大於風險。藥品之臨床效益越大，其可接受之風險亦越大，如抗癌藥、後線抗生素</w:t>
      </w:r>
      <w:r w:rsidR="002C107A" w:rsidRPr="00AB723E">
        <w:t>…</w:t>
      </w:r>
      <w:r w:rsidRPr="00AB723E">
        <w:t>…</w:t>
      </w:r>
      <w:r w:rsidRPr="00AB723E">
        <w:t>等為存活而使用的藥品，即使預期可能發生相對嚴重不良反應，亦有其上市之必要性，倘因該類藥物造成藥害而調高</w:t>
      </w:r>
      <w:r w:rsidRPr="00AB723E">
        <w:rPr>
          <w:rFonts w:hint="eastAsia"/>
        </w:rPr>
        <w:t>其</w:t>
      </w:r>
      <w:r w:rsidRPr="00AB723E">
        <w:t>次年度徵收金，可能因此壓制藥商之製造及輸入意願，造成國內病人無藥缺藥之窘境。</w:t>
      </w:r>
      <w:r w:rsidRPr="00AB723E">
        <w:rPr>
          <w:rFonts w:hint="eastAsia"/>
        </w:rPr>
        <w:t>3.藥害救濟制度是在基礎健康照護及社會福利措施以外所附加的救濟制度，目的是針對因無法預期的藥物不良反應而受害的病人或其家屬提供及時的人道補償，屬基礎健康照護及社會福利措施的「補充地位」，非全面承擔所有用藥風險可能帶來的損害。此救濟模式參照各國立法例，亦有類似規定。然有法律專家提到，以1%的不良反應發生率作為救濟與否切分點，應是基於風險分攤的角度，廠商和用藥者皆有受益，理應共同承擔風險，至於1%的切分點是否適當，未來可衡量政策和財源等面向，適時檢討調整。</w:t>
      </w:r>
    </w:p>
    <w:p w:rsidR="00D266E9" w:rsidRPr="00F44E32" w:rsidRDefault="00D266E9" w:rsidP="00AB723E">
      <w:pPr>
        <w:pStyle w:val="3"/>
      </w:pPr>
      <w:r>
        <w:rPr>
          <w:rFonts w:hint="eastAsia"/>
        </w:rPr>
        <w:t>然查近10年間（98</w:t>
      </w:r>
      <w:r w:rsidRPr="00F44E32">
        <w:t>-107</w:t>
      </w:r>
      <w:r w:rsidRPr="00F44E32">
        <w:rPr>
          <w:rFonts w:hint="eastAsia"/>
        </w:rPr>
        <w:t>年</w:t>
      </w:r>
      <w:r>
        <w:rPr>
          <w:rFonts w:hint="eastAsia"/>
        </w:rPr>
        <w:t>）</w:t>
      </w:r>
      <w:r w:rsidRPr="00F44E32">
        <w:rPr>
          <w:rFonts w:hint="eastAsia"/>
        </w:rPr>
        <w:t>每年編列之藥害救濟給付預算數、決算數及執行率如下表：</w:t>
      </w:r>
    </w:p>
    <w:p w:rsidR="00D266E9" w:rsidRDefault="00CC1F50" w:rsidP="00CC1F50">
      <w:pPr>
        <w:pStyle w:val="a3"/>
        <w:numPr>
          <w:ilvl w:val="0"/>
          <w:numId w:val="0"/>
        </w:numPr>
        <w:ind w:left="1276"/>
      </w:pPr>
      <w:r>
        <w:rPr>
          <w:rFonts w:hint="eastAsia"/>
        </w:rPr>
        <w:t xml:space="preserve">表  </w:t>
      </w:r>
      <w:r w:rsidR="00D266E9" w:rsidRPr="00A27E32">
        <w:rPr>
          <w:rFonts w:hint="eastAsia"/>
        </w:rPr>
        <w:t>藥害救濟基金救濟執行率</w:t>
      </w:r>
    </w:p>
    <w:tbl>
      <w:tblPr>
        <w:tblW w:w="4267" w:type="pct"/>
        <w:tblInd w:w="1304" w:type="dxa"/>
        <w:tblCellMar>
          <w:left w:w="28" w:type="dxa"/>
          <w:right w:w="28" w:type="dxa"/>
        </w:tblCellMar>
        <w:tblLook w:val="04A0" w:firstRow="1" w:lastRow="0" w:firstColumn="1" w:lastColumn="0" w:noHBand="0" w:noVBand="1"/>
      </w:tblPr>
      <w:tblGrid>
        <w:gridCol w:w="1677"/>
        <w:gridCol w:w="1985"/>
        <w:gridCol w:w="1971"/>
        <w:gridCol w:w="1914"/>
      </w:tblGrid>
      <w:tr w:rsidR="00D266E9" w:rsidTr="00F47D47">
        <w:trPr>
          <w:trHeight w:val="300"/>
        </w:trPr>
        <w:tc>
          <w:tcPr>
            <w:tcW w:w="1111" w:type="pct"/>
            <w:noWrap/>
            <w:vAlign w:val="center"/>
            <w:hideMark/>
          </w:tcPr>
          <w:p w:rsidR="00D266E9" w:rsidRDefault="00D266E9" w:rsidP="00A206B8">
            <w:pPr>
              <w:widowControl/>
              <w:rPr>
                <w:rFonts w:eastAsia="新細明體"/>
                <w:kern w:val="0"/>
                <w:sz w:val="20"/>
              </w:rPr>
            </w:pPr>
          </w:p>
        </w:tc>
        <w:tc>
          <w:tcPr>
            <w:tcW w:w="3889" w:type="pct"/>
            <w:gridSpan w:val="3"/>
            <w:tcBorders>
              <w:top w:val="nil"/>
              <w:left w:val="nil"/>
              <w:bottom w:val="single" w:sz="8" w:space="0" w:color="auto"/>
              <w:right w:val="nil"/>
            </w:tcBorders>
            <w:noWrap/>
            <w:vAlign w:val="center"/>
            <w:hideMark/>
          </w:tcPr>
          <w:p w:rsidR="00D266E9" w:rsidRDefault="00D266E9" w:rsidP="00A206B8">
            <w:pPr>
              <w:widowControl/>
              <w:jc w:val="right"/>
              <w:rPr>
                <w:color w:val="000000"/>
                <w:kern w:val="0"/>
                <w:szCs w:val="28"/>
              </w:rPr>
            </w:pPr>
            <w:r>
              <w:rPr>
                <w:rFonts w:hint="eastAsia"/>
                <w:color w:val="000000"/>
                <w:kern w:val="0"/>
                <w:sz w:val="24"/>
                <w:szCs w:val="28"/>
              </w:rPr>
              <w:t>單位：新</w:t>
            </w:r>
            <w:r w:rsidR="00FC3320">
              <w:rPr>
                <w:rFonts w:hint="eastAsia"/>
                <w:color w:val="000000"/>
                <w:kern w:val="0"/>
                <w:sz w:val="24"/>
                <w:szCs w:val="28"/>
              </w:rPr>
              <w:t>臺</w:t>
            </w:r>
            <w:r>
              <w:rPr>
                <w:rFonts w:hint="eastAsia"/>
                <w:color w:val="000000"/>
                <w:kern w:val="0"/>
                <w:sz w:val="24"/>
                <w:szCs w:val="28"/>
              </w:rPr>
              <w:t>幣千元</w:t>
            </w:r>
          </w:p>
        </w:tc>
      </w:tr>
      <w:tr w:rsidR="00D266E9" w:rsidTr="00F47D47">
        <w:trPr>
          <w:trHeight w:val="321"/>
        </w:trPr>
        <w:tc>
          <w:tcPr>
            <w:tcW w:w="1111" w:type="pct"/>
            <w:vMerge w:val="restart"/>
            <w:tcBorders>
              <w:top w:val="single" w:sz="8" w:space="0" w:color="auto"/>
              <w:left w:val="single" w:sz="8" w:space="0" w:color="auto"/>
              <w:bottom w:val="single" w:sz="4" w:space="0" w:color="auto"/>
              <w:right w:val="single" w:sz="4" w:space="0" w:color="auto"/>
            </w:tcBorders>
            <w:noWrap/>
            <w:vAlign w:val="center"/>
            <w:hideMark/>
          </w:tcPr>
          <w:p w:rsidR="00D266E9" w:rsidRPr="00CC1F50" w:rsidRDefault="00D266E9" w:rsidP="00A206B8">
            <w:pPr>
              <w:widowControl/>
              <w:spacing w:line="500" w:lineRule="exact"/>
              <w:jc w:val="center"/>
              <w:rPr>
                <w:rFonts w:ascii="Times New Roman"/>
                <w:kern w:val="0"/>
                <w:sz w:val="24"/>
              </w:rPr>
            </w:pPr>
            <w:r w:rsidRPr="00CC1F50">
              <w:rPr>
                <w:rFonts w:ascii="Times New Roman"/>
                <w:kern w:val="0"/>
                <w:sz w:val="24"/>
              </w:rPr>
              <w:t>年度</w:t>
            </w:r>
          </w:p>
        </w:tc>
        <w:tc>
          <w:tcPr>
            <w:tcW w:w="3889" w:type="pct"/>
            <w:gridSpan w:val="3"/>
            <w:tcBorders>
              <w:top w:val="single" w:sz="8" w:space="0" w:color="auto"/>
              <w:left w:val="single" w:sz="4" w:space="0" w:color="auto"/>
              <w:bottom w:val="single" w:sz="4" w:space="0" w:color="auto"/>
              <w:right w:val="single" w:sz="8" w:space="0" w:color="000000"/>
            </w:tcBorders>
            <w:vAlign w:val="center"/>
            <w:hideMark/>
          </w:tcPr>
          <w:p w:rsidR="00D266E9" w:rsidRPr="00CC1F50" w:rsidRDefault="00D266E9" w:rsidP="00A206B8">
            <w:pPr>
              <w:widowControl/>
              <w:spacing w:line="500" w:lineRule="exact"/>
              <w:jc w:val="center"/>
              <w:rPr>
                <w:rFonts w:ascii="Times New Roman"/>
                <w:kern w:val="0"/>
                <w:sz w:val="24"/>
              </w:rPr>
            </w:pPr>
            <w:r w:rsidRPr="00CC1F50">
              <w:rPr>
                <w:rFonts w:ascii="Times New Roman"/>
                <w:kern w:val="0"/>
                <w:sz w:val="24"/>
              </w:rPr>
              <w:t>藥害救濟給付</w:t>
            </w:r>
          </w:p>
        </w:tc>
      </w:tr>
      <w:tr w:rsidR="00F47D47" w:rsidTr="00F47D47">
        <w:trPr>
          <w:trHeight w:val="385"/>
        </w:trPr>
        <w:tc>
          <w:tcPr>
            <w:tcW w:w="1111" w:type="pct"/>
            <w:vMerge/>
            <w:tcBorders>
              <w:top w:val="single" w:sz="8" w:space="0" w:color="auto"/>
              <w:left w:val="single" w:sz="8" w:space="0" w:color="auto"/>
              <w:bottom w:val="single" w:sz="4" w:space="0" w:color="auto"/>
              <w:right w:val="single" w:sz="4" w:space="0" w:color="auto"/>
            </w:tcBorders>
            <w:vAlign w:val="center"/>
            <w:hideMark/>
          </w:tcPr>
          <w:p w:rsidR="00D266E9" w:rsidRPr="00CC1F50" w:rsidRDefault="00D266E9" w:rsidP="00A206B8">
            <w:pPr>
              <w:widowControl/>
              <w:rPr>
                <w:rFonts w:ascii="Times New Roman"/>
                <w:kern w:val="0"/>
                <w:sz w:val="24"/>
              </w:rPr>
            </w:pPr>
          </w:p>
        </w:tc>
        <w:tc>
          <w:tcPr>
            <w:tcW w:w="1315" w:type="pct"/>
            <w:tcBorders>
              <w:top w:val="single" w:sz="4" w:space="0" w:color="auto"/>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kern w:val="0"/>
                <w:sz w:val="24"/>
              </w:rPr>
            </w:pPr>
            <w:r w:rsidRPr="00CC1F50">
              <w:rPr>
                <w:rFonts w:ascii="Times New Roman"/>
                <w:kern w:val="0"/>
                <w:sz w:val="24"/>
              </w:rPr>
              <w:t>預算數</w:t>
            </w:r>
          </w:p>
        </w:tc>
        <w:tc>
          <w:tcPr>
            <w:tcW w:w="1306" w:type="pct"/>
            <w:tcBorders>
              <w:top w:val="single" w:sz="4" w:space="0" w:color="auto"/>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kern w:val="0"/>
                <w:sz w:val="24"/>
              </w:rPr>
            </w:pPr>
            <w:r w:rsidRPr="00CC1F50">
              <w:rPr>
                <w:rFonts w:ascii="Times New Roman"/>
                <w:kern w:val="0"/>
                <w:sz w:val="24"/>
              </w:rPr>
              <w:t>決算數</w:t>
            </w:r>
          </w:p>
        </w:tc>
        <w:tc>
          <w:tcPr>
            <w:tcW w:w="1267" w:type="pct"/>
            <w:tcBorders>
              <w:top w:val="single" w:sz="4" w:space="0" w:color="auto"/>
              <w:left w:val="nil"/>
              <w:bottom w:val="single" w:sz="4" w:space="0" w:color="auto"/>
              <w:right w:val="single" w:sz="8" w:space="0" w:color="auto"/>
            </w:tcBorders>
            <w:vAlign w:val="center"/>
            <w:hideMark/>
          </w:tcPr>
          <w:p w:rsidR="00D266E9" w:rsidRPr="00CC1F50" w:rsidRDefault="00D266E9" w:rsidP="00A206B8">
            <w:pPr>
              <w:widowControl/>
              <w:spacing w:line="500" w:lineRule="exact"/>
              <w:jc w:val="center"/>
              <w:rPr>
                <w:rFonts w:ascii="Times New Roman"/>
                <w:kern w:val="0"/>
                <w:sz w:val="24"/>
              </w:rPr>
            </w:pPr>
            <w:r w:rsidRPr="00CC1F50">
              <w:rPr>
                <w:rFonts w:ascii="Times New Roman"/>
                <w:kern w:val="0"/>
                <w:sz w:val="24"/>
              </w:rPr>
              <w:t>執行率</w:t>
            </w:r>
          </w:p>
        </w:tc>
      </w:tr>
      <w:tr w:rsidR="00F47D47" w:rsidTr="00F47D47">
        <w:trPr>
          <w:trHeight w:val="431"/>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98</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33,150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28,437</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85.78%</w:t>
            </w:r>
          </w:p>
        </w:tc>
      </w:tr>
      <w:tr w:rsidR="00F47D47" w:rsidTr="00F47D47">
        <w:trPr>
          <w:trHeight w:val="354"/>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99</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35,900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34,041</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94.82%</w:t>
            </w:r>
          </w:p>
        </w:tc>
      </w:tr>
      <w:tr w:rsidR="00F47D47" w:rsidTr="00F47D47">
        <w:trPr>
          <w:trHeight w:val="404"/>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lastRenderedPageBreak/>
              <w:t>100</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35,900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28,426</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79.18%</w:t>
            </w:r>
          </w:p>
        </w:tc>
      </w:tr>
      <w:tr w:rsidR="00F47D47" w:rsidTr="00F47D47">
        <w:trPr>
          <w:trHeight w:val="325"/>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101</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45,700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64,378</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140.87%</w:t>
            </w:r>
          </w:p>
        </w:tc>
      </w:tr>
      <w:tr w:rsidR="00F47D47" w:rsidTr="00F47D47">
        <w:trPr>
          <w:trHeight w:val="375"/>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102</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40,800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39,031</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95.66%</w:t>
            </w:r>
          </w:p>
        </w:tc>
      </w:tr>
      <w:tr w:rsidR="00F47D47" w:rsidTr="00F47D47">
        <w:trPr>
          <w:trHeight w:val="297"/>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103</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50,850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31,434</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61.82%</w:t>
            </w:r>
          </w:p>
        </w:tc>
      </w:tr>
      <w:tr w:rsidR="00F47D47" w:rsidTr="00F47D47">
        <w:trPr>
          <w:trHeight w:val="347"/>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104</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50,850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27,500</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54.08%</w:t>
            </w:r>
          </w:p>
        </w:tc>
      </w:tr>
      <w:tr w:rsidR="00F47D47" w:rsidTr="00F47D47">
        <w:trPr>
          <w:trHeight w:val="420"/>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105</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32,920</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20,211</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61.39%</w:t>
            </w:r>
          </w:p>
        </w:tc>
      </w:tr>
      <w:tr w:rsidR="00F47D47" w:rsidTr="00F47D47">
        <w:trPr>
          <w:trHeight w:val="342"/>
        </w:trPr>
        <w:tc>
          <w:tcPr>
            <w:tcW w:w="1111" w:type="pct"/>
            <w:tcBorders>
              <w:top w:val="nil"/>
              <w:left w:val="single" w:sz="8" w:space="0" w:color="auto"/>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106</w:t>
            </w:r>
            <w:r w:rsidRPr="00CC1F50">
              <w:rPr>
                <w:rFonts w:ascii="Times New Roman"/>
                <w:kern w:val="0"/>
                <w:sz w:val="24"/>
              </w:rPr>
              <w:t>年度</w:t>
            </w:r>
          </w:p>
        </w:tc>
        <w:tc>
          <w:tcPr>
            <w:tcW w:w="1315"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37,825</w:t>
            </w:r>
          </w:p>
        </w:tc>
        <w:tc>
          <w:tcPr>
            <w:tcW w:w="1306" w:type="pct"/>
            <w:tcBorders>
              <w:top w:val="nil"/>
              <w:left w:val="nil"/>
              <w:bottom w:val="single" w:sz="4"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21,731</w:t>
            </w:r>
          </w:p>
        </w:tc>
        <w:tc>
          <w:tcPr>
            <w:tcW w:w="1267" w:type="pct"/>
            <w:tcBorders>
              <w:top w:val="nil"/>
              <w:left w:val="nil"/>
              <w:bottom w:val="single" w:sz="4"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57.45%</w:t>
            </w:r>
          </w:p>
        </w:tc>
      </w:tr>
      <w:tr w:rsidR="00F47D47" w:rsidTr="00F47D47">
        <w:trPr>
          <w:trHeight w:val="392"/>
        </w:trPr>
        <w:tc>
          <w:tcPr>
            <w:tcW w:w="1111" w:type="pct"/>
            <w:tcBorders>
              <w:top w:val="nil"/>
              <w:left w:val="single" w:sz="8" w:space="0" w:color="auto"/>
              <w:bottom w:val="single" w:sz="8"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107</w:t>
            </w:r>
            <w:r w:rsidRPr="00CC1F50">
              <w:rPr>
                <w:rFonts w:ascii="Times New Roman"/>
                <w:kern w:val="0"/>
                <w:sz w:val="24"/>
              </w:rPr>
              <w:t>年度</w:t>
            </w:r>
          </w:p>
        </w:tc>
        <w:tc>
          <w:tcPr>
            <w:tcW w:w="1315" w:type="pct"/>
            <w:tcBorders>
              <w:top w:val="nil"/>
              <w:left w:val="nil"/>
              <w:bottom w:val="single" w:sz="8"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20,150</w:t>
            </w:r>
          </w:p>
        </w:tc>
        <w:tc>
          <w:tcPr>
            <w:tcW w:w="1306" w:type="pct"/>
            <w:tcBorders>
              <w:top w:val="nil"/>
              <w:left w:val="nil"/>
              <w:bottom w:val="single" w:sz="8" w:space="0" w:color="auto"/>
              <w:right w:val="single" w:sz="4" w:space="0" w:color="auto"/>
            </w:tcBorders>
            <w:vAlign w:val="center"/>
            <w:hideMark/>
          </w:tcPr>
          <w:p w:rsidR="00D266E9" w:rsidRPr="00CC1F50" w:rsidRDefault="00D266E9" w:rsidP="00A206B8">
            <w:pPr>
              <w:widowControl/>
              <w:spacing w:line="500" w:lineRule="exact"/>
              <w:jc w:val="center"/>
              <w:rPr>
                <w:rFonts w:ascii="Times New Roman" w:eastAsia="新細明體"/>
                <w:kern w:val="0"/>
                <w:sz w:val="24"/>
              </w:rPr>
            </w:pPr>
            <w:r w:rsidRPr="00CC1F50">
              <w:rPr>
                <w:rFonts w:ascii="Times New Roman" w:eastAsia="新細明體"/>
                <w:kern w:val="0"/>
                <w:sz w:val="24"/>
              </w:rPr>
              <w:t>13,336</w:t>
            </w:r>
          </w:p>
        </w:tc>
        <w:tc>
          <w:tcPr>
            <w:tcW w:w="1267" w:type="pct"/>
            <w:tcBorders>
              <w:top w:val="nil"/>
              <w:left w:val="nil"/>
              <w:bottom w:val="single" w:sz="8" w:space="0" w:color="auto"/>
              <w:right w:val="single" w:sz="8" w:space="0" w:color="auto"/>
            </w:tcBorders>
            <w:vAlign w:val="center"/>
            <w:hideMark/>
          </w:tcPr>
          <w:p w:rsidR="00D266E9" w:rsidRPr="00CC1F50" w:rsidRDefault="00D266E9" w:rsidP="00A206B8">
            <w:pPr>
              <w:widowControl/>
              <w:spacing w:line="500" w:lineRule="exact"/>
              <w:jc w:val="right"/>
              <w:rPr>
                <w:rFonts w:ascii="Times New Roman" w:eastAsia="新細明體"/>
                <w:kern w:val="0"/>
                <w:sz w:val="24"/>
              </w:rPr>
            </w:pPr>
            <w:r w:rsidRPr="00CC1F50">
              <w:rPr>
                <w:rFonts w:ascii="Times New Roman" w:eastAsia="新細明體"/>
                <w:kern w:val="0"/>
                <w:sz w:val="24"/>
              </w:rPr>
              <w:t>66.18%</w:t>
            </w:r>
          </w:p>
        </w:tc>
      </w:tr>
      <w:tr w:rsidR="00D266E9" w:rsidTr="00F47D47">
        <w:trPr>
          <w:trHeight w:val="555"/>
        </w:trPr>
        <w:tc>
          <w:tcPr>
            <w:tcW w:w="5000" w:type="pct"/>
            <w:gridSpan w:val="4"/>
            <w:vAlign w:val="center"/>
            <w:hideMark/>
          </w:tcPr>
          <w:p w:rsidR="00D266E9" w:rsidRDefault="00D266E9" w:rsidP="008C3108">
            <w:pPr>
              <w:widowControl/>
              <w:spacing w:line="360" w:lineRule="exact"/>
              <w:rPr>
                <w:kern w:val="0"/>
                <w:sz w:val="24"/>
                <w:szCs w:val="32"/>
              </w:rPr>
            </w:pPr>
            <w:r>
              <w:rPr>
                <w:rFonts w:hint="eastAsia"/>
                <w:kern w:val="0"/>
                <w:sz w:val="24"/>
                <w:szCs w:val="32"/>
              </w:rPr>
              <w:t>備註：</w:t>
            </w:r>
            <w:r>
              <w:rPr>
                <w:kern w:val="0"/>
                <w:sz w:val="24"/>
                <w:szCs w:val="32"/>
              </w:rPr>
              <w:t>107</w:t>
            </w:r>
            <w:r>
              <w:rPr>
                <w:rFonts w:hint="eastAsia"/>
                <w:kern w:val="0"/>
                <w:sz w:val="24"/>
                <w:szCs w:val="32"/>
              </w:rPr>
              <w:t>年度決算截至</w:t>
            </w:r>
            <w:r>
              <w:rPr>
                <w:kern w:val="0"/>
                <w:sz w:val="24"/>
                <w:szCs w:val="32"/>
              </w:rPr>
              <w:t>107</w:t>
            </w:r>
            <w:r>
              <w:rPr>
                <w:rFonts w:hint="eastAsia"/>
                <w:kern w:val="0"/>
                <w:sz w:val="24"/>
                <w:szCs w:val="32"/>
              </w:rPr>
              <w:t>年</w:t>
            </w:r>
            <w:r>
              <w:rPr>
                <w:kern w:val="0"/>
                <w:sz w:val="24"/>
                <w:szCs w:val="32"/>
              </w:rPr>
              <w:t>9</w:t>
            </w:r>
            <w:r>
              <w:rPr>
                <w:rFonts w:hint="eastAsia"/>
                <w:kern w:val="0"/>
                <w:sz w:val="24"/>
                <w:szCs w:val="32"/>
              </w:rPr>
              <w:t>月底。</w:t>
            </w:r>
          </w:p>
          <w:p w:rsidR="008C3108" w:rsidRDefault="008C3108" w:rsidP="008C3108">
            <w:pPr>
              <w:widowControl/>
              <w:spacing w:line="360" w:lineRule="exact"/>
              <w:rPr>
                <w:kern w:val="0"/>
                <w:sz w:val="24"/>
                <w:szCs w:val="32"/>
              </w:rPr>
            </w:pPr>
            <w:r w:rsidRPr="008C3108">
              <w:rPr>
                <w:rFonts w:hint="eastAsia"/>
                <w:kern w:val="0"/>
                <w:sz w:val="24"/>
                <w:szCs w:val="32"/>
              </w:rPr>
              <w:t>資料來源：食藥署107年10月26日FDA藥字第1079031710號函。</w:t>
            </w:r>
          </w:p>
        </w:tc>
      </w:tr>
    </w:tbl>
    <w:p w:rsidR="00D266E9" w:rsidRPr="003B477F" w:rsidRDefault="00D266E9" w:rsidP="00D266E9">
      <w:pPr>
        <w:pStyle w:val="a3"/>
        <w:numPr>
          <w:ilvl w:val="0"/>
          <w:numId w:val="0"/>
        </w:numPr>
        <w:ind w:leftChars="417" w:left="1418" w:firstLineChars="177" w:firstLine="567"/>
        <w:rPr>
          <w:sz w:val="32"/>
          <w:szCs w:val="32"/>
        </w:rPr>
      </w:pPr>
      <w:r w:rsidRPr="003B477F">
        <w:rPr>
          <w:rFonts w:hint="eastAsia"/>
          <w:sz w:val="32"/>
          <w:szCs w:val="32"/>
        </w:rPr>
        <w:t>自103年起，</w:t>
      </w:r>
      <w:r w:rsidRPr="004B48EF">
        <w:rPr>
          <w:rFonts w:hint="eastAsia"/>
          <w:sz w:val="32"/>
          <w:szCs w:val="32"/>
        </w:rPr>
        <w:t>藥害救濟給付執行率</w:t>
      </w:r>
      <w:r>
        <w:rPr>
          <w:rFonts w:hint="eastAsia"/>
          <w:sz w:val="32"/>
          <w:szCs w:val="32"/>
        </w:rPr>
        <w:t>僅約</w:t>
      </w:r>
      <w:r w:rsidRPr="004B48EF">
        <w:rPr>
          <w:rFonts w:hint="eastAsia"/>
          <w:sz w:val="32"/>
          <w:szCs w:val="32"/>
        </w:rPr>
        <w:t>介於5-6成之間。</w:t>
      </w:r>
    </w:p>
    <w:p w:rsidR="006564E0" w:rsidRPr="00E31843" w:rsidRDefault="006564E0" w:rsidP="00AB723E">
      <w:pPr>
        <w:pStyle w:val="3"/>
      </w:pPr>
      <w:r>
        <w:rPr>
          <w:rFonts w:hint="eastAsia"/>
        </w:rPr>
        <w:t>再據食藥署提供</w:t>
      </w:r>
      <w:r w:rsidRPr="00E31843">
        <w:rPr>
          <w:rFonts w:hint="eastAsia"/>
        </w:rPr>
        <w:t>藥害救濟基金歷年之結餘金額及累計金額</w:t>
      </w:r>
      <w:r>
        <w:rPr>
          <w:rFonts w:hint="eastAsia"/>
        </w:rPr>
        <w:t>如下表：</w:t>
      </w:r>
    </w:p>
    <w:tbl>
      <w:tblPr>
        <w:tblW w:w="4267" w:type="pct"/>
        <w:tblInd w:w="1304" w:type="dxa"/>
        <w:tblCellMar>
          <w:left w:w="30" w:type="dxa"/>
          <w:right w:w="30" w:type="dxa"/>
        </w:tblCellMar>
        <w:tblLook w:val="04A0" w:firstRow="1" w:lastRow="0" w:firstColumn="1" w:lastColumn="0" w:noHBand="0" w:noVBand="1"/>
      </w:tblPr>
      <w:tblGrid>
        <w:gridCol w:w="1317"/>
        <w:gridCol w:w="1539"/>
        <w:gridCol w:w="1534"/>
        <w:gridCol w:w="1539"/>
        <w:gridCol w:w="1618"/>
      </w:tblGrid>
      <w:tr w:rsidR="006564E0" w:rsidRPr="005139F1" w:rsidTr="00936710">
        <w:trPr>
          <w:trHeight w:val="570"/>
        </w:trPr>
        <w:tc>
          <w:tcPr>
            <w:tcW w:w="5000" w:type="pct"/>
            <w:gridSpan w:val="5"/>
            <w:noWrap/>
            <w:tcMar>
              <w:top w:w="0" w:type="dxa"/>
              <w:left w:w="28" w:type="dxa"/>
              <w:bottom w:w="0" w:type="dxa"/>
              <w:right w:w="28" w:type="dxa"/>
            </w:tcMar>
            <w:vAlign w:val="center"/>
            <w:hideMark/>
          </w:tcPr>
          <w:p w:rsidR="006564E0" w:rsidRPr="005139F1" w:rsidRDefault="006564E0" w:rsidP="00A206B8">
            <w:pPr>
              <w:widowControl/>
              <w:spacing w:line="500" w:lineRule="exact"/>
              <w:jc w:val="right"/>
              <w:rPr>
                <w:color w:val="000000"/>
                <w:kern w:val="0"/>
                <w:sz w:val="24"/>
                <w:szCs w:val="24"/>
              </w:rPr>
            </w:pPr>
            <w:r w:rsidRPr="005139F1">
              <w:rPr>
                <w:rFonts w:hint="eastAsia"/>
                <w:color w:val="000000"/>
                <w:kern w:val="0"/>
                <w:sz w:val="24"/>
                <w:szCs w:val="24"/>
              </w:rPr>
              <w:t>單位：新</w:t>
            </w:r>
            <w:r w:rsidR="00FC3320">
              <w:rPr>
                <w:rFonts w:hint="eastAsia"/>
                <w:color w:val="000000"/>
                <w:kern w:val="0"/>
                <w:sz w:val="24"/>
                <w:szCs w:val="24"/>
              </w:rPr>
              <w:t>臺</w:t>
            </w:r>
            <w:r w:rsidRPr="005139F1">
              <w:rPr>
                <w:rFonts w:hint="eastAsia"/>
                <w:color w:val="000000"/>
                <w:kern w:val="0"/>
                <w:sz w:val="24"/>
                <w:szCs w:val="24"/>
              </w:rPr>
              <w:t>幣千元</w:t>
            </w:r>
          </w:p>
        </w:tc>
      </w:tr>
      <w:tr w:rsidR="00936710" w:rsidRPr="005139F1" w:rsidTr="00936710">
        <w:trPr>
          <w:trHeight w:val="787"/>
        </w:trPr>
        <w:tc>
          <w:tcPr>
            <w:tcW w:w="839" w:type="pct"/>
            <w:tcBorders>
              <w:top w:val="single" w:sz="8" w:space="0" w:color="auto"/>
              <w:left w:val="single" w:sz="8" w:space="0" w:color="auto"/>
              <w:bottom w:val="single" w:sz="4" w:space="0" w:color="auto"/>
              <w:right w:val="single" w:sz="4" w:space="0" w:color="auto"/>
              <w:tl2br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kern w:val="0"/>
                <w:sz w:val="26"/>
                <w:szCs w:val="26"/>
              </w:rPr>
            </w:pPr>
            <w:r w:rsidRPr="00DE2F3E">
              <w:rPr>
                <w:rFonts w:ascii="Times New Roman"/>
                <w:kern w:val="0"/>
                <w:sz w:val="26"/>
                <w:szCs w:val="26"/>
              </w:rPr>
              <w:t xml:space="preserve">     </w:t>
            </w:r>
            <w:r w:rsidRPr="00DE2F3E">
              <w:rPr>
                <w:rFonts w:ascii="Times New Roman"/>
                <w:kern w:val="0"/>
                <w:sz w:val="26"/>
                <w:szCs w:val="26"/>
              </w:rPr>
              <w:t>類型</w:t>
            </w:r>
          </w:p>
          <w:p w:rsidR="006564E0" w:rsidRPr="00DE2F3E" w:rsidRDefault="006564E0" w:rsidP="00A206B8">
            <w:pPr>
              <w:widowControl/>
              <w:spacing w:line="500" w:lineRule="exact"/>
              <w:rPr>
                <w:rFonts w:ascii="Times New Roman"/>
                <w:kern w:val="0"/>
                <w:sz w:val="26"/>
                <w:szCs w:val="26"/>
              </w:rPr>
            </w:pPr>
            <w:r w:rsidRPr="00DE2F3E">
              <w:rPr>
                <w:rFonts w:ascii="Times New Roman"/>
                <w:kern w:val="0"/>
                <w:sz w:val="26"/>
                <w:szCs w:val="26"/>
              </w:rPr>
              <w:t>年度</w:t>
            </w:r>
          </w:p>
        </w:tc>
        <w:tc>
          <w:tcPr>
            <w:tcW w:w="1028"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kern w:val="0"/>
                <w:sz w:val="26"/>
                <w:szCs w:val="26"/>
              </w:rPr>
            </w:pPr>
            <w:r w:rsidRPr="00DE2F3E">
              <w:rPr>
                <w:rFonts w:ascii="Times New Roman"/>
                <w:color w:val="000000"/>
                <w:kern w:val="0"/>
                <w:sz w:val="26"/>
                <w:szCs w:val="26"/>
              </w:rPr>
              <w:t>基金來源</w:t>
            </w:r>
          </w:p>
        </w:tc>
        <w:tc>
          <w:tcPr>
            <w:tcW w:w="1025"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spacing w:line="500" w:lineRule="exact"/>
              <w:jc w:val="center"/>
              <w:rPr>
                <w:rFonts w:ascii="Times New Roman"/>
                <w:kern w:val="0"/>
                <w:sz w:val="26"/>
                <w:szCs w:val="26"/>
              </w:rPr>
            </w:pPr>
            <w:r w:rsidRPr="00DE2F3E">
              <w:rPr>
                <w:rFonts w:ascii="Times New Roman"/>
                <w:color w:val="000000"/>
                <w:kern w:val="0"/>
                <w:sz w:val="26"/>
                <w:szCs w:val="26"/>
              </w:rPr>
              <w:t>基金用途</w:t>
            </w:r>
          </w:p>
        </w:tc>
        <w:tc>
          <w:tcPr>
            <w:tcW w:w="1028"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930FC4">
            <w:pPr>
              <w:adjustRightInd w:val="0"/>
              <w:spacing w:line="320" w:lineRule="exact"/>
              <w:jc w:val="center"/>
              <w:rPr>
                <w:rFonts w:ascii="Times New Roman"/>
                <w:color w:val="000000"/>
                <w:kern w:val="0"/>
                <w:sz w:val="26"/>
                <w:szCs w:val="26"/>
              </w:rPr>
            </w:pPr>
            <w:r w:rsidRPr="00DE2F3E">
              <w:rPr>
                <w:rFonts w:ascii="Times New Roman"/>
                <w:color w:val="000000"/>
                <w:kern w:val="0"/>
                <w:sz w:val="26"/>
                <w:szCs w:val="26"/>
              </w:rPr>
              <w:t>本期賸餘</w:t>
            </w:r>
          </w:p>
          <w:p w:rsidR="006564E0" w:rsidRPr="00DE2F3E" w:rsidRDefault="006564E0" w:rsidP="00930FC4">
            <w:pPr>
              <w:spacing w:line="320" w:lineRule="exact"/>
              <w:jc w:val="center"/>
              <w:rPr>
                <w:rFonts w:ascii="Times New Roman"/>
                <w:kern w:val="0"/>
                <w:sz w:val="26"/>
                <w:szCs w:val="26"/>
              </w:rPr>
            </w:pPr>
            <w:r w:rsidRPr="00DE2F3E">
              <w:rPr>
                <w:rFonts w:ascii="Times New Roman"/>
                <w:color w:val="000000"/>
                <w:kern w:val="0"/>
                <w:sz w:val="26"/>
                <w:szCs w:val="26"/>
              </w:rPr>
              <w:t>(</w:t>
            </w:r>
            <w:r w:rsidRPr="00DE2F3E">
              <w:rPr>
                <w:rFonts w:ascii="Times New Roman"/>
                <w:color w:val="000000"/>
                <w:kern w:val="0"/>
                <w:sz w:val="26"/>
                <w:szCs w:val="26"/>
              </w:rPr>
              <w:t>結餘金額</w:t>
            </w:r>
            <w:r w:rsidRPr="00DE2F3E">
              <w:rPr>
                <w:rFonts w:ascii="Times New Roman"/>
                <w:color w:val="000000"/>
                <w:kern w:val="0"/>
                <w:sz w:val="26"/>
                <w:szCs w:val="26"/>
              </w:rPr>
              <w:t>)</w:t>
            </w:r>
          </w:p>
        </w:tc>
        <w:tc>
          <w:tcPr>
            <w:tcW w:w="1080"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930FC4">
            <w:pPr>
              <w:adjustRightInd w:val="0"/>
              <w:spacing w:line="320" w:lineRule="exact"/>
              <w:jc w:val="center"/>
              <w:rPr>
                <w:rFonts w:ascii="Times New Roman"/>
                <w:color w:val="000000"/>
                <w:kern w:val="0"/>
                <w:sz w:val="26"/>
                <w:szCs w:val="26"/>
              </w:rPr>
            </w:pPr>
            <w:r w:rsidRPr="00DE2F3E">
              <w:rPr>
                <w:rFonts w:ascii="Times New Roman"/>
                <w:color w:val="000000"/>
                <w:kern w:val="0"/>
                <w:sz w:val="26"/>
                <w:szCs w:val="26"/>
              </w:rPr>
              <w:t>基金餘額</w:t>
            </w:r>
          </w:p>
          <w:p w:rsidR="006564E0" w:rsidRPr="00DE2F3E" w:rsidRDefault="006564E0" w:rsidP="00930FC4">
            <w:pPr>
              <w:widowControl/>
              <w:spacing w:line="320" w:lineRule="exact"/>
              <w:jc w:val="center"/>
              <w:rPr>
                <w:rFonts w:ascii="Times New Roman"/>
                <w:kern w:val="0"/>
                <w:sz w:val="26"/>
                <w:szCs w:val="26"/>
              </w:rPr>
            </w:pPr>
            <w:r w:rsidRPr="00DE2F3E">
              <w:rPr>
                <w:rFonts w:ascii="Times New Roman"/>
                <w:color w:val="000000"/>
                <w:kern w:val="0"/>
                <w:sz w:val="26"/>
                <w:szCs w:val="26"/>
              </w:rPr>
              <w:t>(</w:t>
            </w:r>
            <w:r w:rsidRPr="00DE2F3E">
              <w:rPr>
                <w:rFonts w:ascii="Times New Roman"/>
                <w:color w:val="000000"/>
                <w:kern w:val="0"/>
                <w:sz w:val="26"/>
                <w:szCs w:val="26"/>
              </w:rPr>
              <w:t>累計金額</w:t>
            </w:r>
            <w:r w:rsidRPr="00DE2F3E">
              <w:rPr>
                <w:rFonts w:ascii="Times New Roman"/>
                <w:color w:val="000000"/>
                <w:kern w:val="0"/>
                <w:sz w:val="26"/>
                <w:szCs w:val="26"/>
              </w:rPr>
              <w:t>)</w:t>
            </w:r>
          </w:p>
        </w:tc>
      </w:tr>
      <w:tr w:rsidR="00936710" w:rsidRPr="005139F1" w:rsidTr="00936710">
        <w:trPr>
          <w:trHeight w:val="485"/>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98</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89,081</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64,506</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24,575</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6564E0">
            <w:pPr>
              <w:spacing w:line="500" w:lineRule="exact"/>
              <w:ind w:rightChars="36" w:right="122"/>
              <w:jc w:val="center"/>
              <w:rPr>
                <w:rFonts w:ascii="Times New Roman" w:eastAsia="新細明體"/>
                <w:kern w:val="0"/>
                <w:sz w:val="26"/>
                <w:szCs w:val="26"/>
              </w:rPr>
            </w:pPr>
            <w:r w:rsidRPr="00DE2F3E">
              <w:rPr>
                <w:rFonts w:ascii="Times New Roman"/>
                <w:color w:val="000000"/>
                <w:kern w:val="0"/>
                <w:sz w:val="26"/>
                <w:szCs w:val="26"/>
              </w:rPr>
              <w:t>407,611</w:t>
            </w:r>
          </w:p>
        </w:tc>
      </w:tr>
      <w:tr w:rsidR="00936710" w:rsidRPr="005139F1" w:rsidTr="00936710">
        <w:trPr>
          <w:trHeight w:val="393"/>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99</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44,041</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69,770</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-25,729</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6564E0">
            <w:pPr>
              <w:spacing w:line="500" w:lineRule="exact"/>
              <w:ind w:rightChars="36" w:right="122"/>
              <w:jc w:val="center"/>
              <w:rPr>
                <w:rFonts w:ascii="Times New Roman" w:eastAsia="新細明體"/>
                <w:kern w:val="0"/>
                <w:sz w:val="26"/>
                <w:szCs w:val="26"/>
              </w:rPr>
            </w:pPr>
            <w:r w:rsidRPr="00DE2F3E">
              <w:rPr>
                <w:rFonts w:ascii="Times New Roman"/>
                <w:color w:val="000000"/>
                <w:kern w:val="0"/>
                <w:sz w:val="26"/>
                <w:szCs w:val="26"/>
              </w:rPr>
              <w:t>381,882</w:t>
            </w:r>
          </w:p>
        </w:tc>
      </w:tr>
      <w:tr w:rsidR="00936710" w:rsidRPr="005139F1" w:rsidTr="00936710">
        <w:trPr>
          <w:trHeight w:val="457"/>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100</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47,596</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69,755</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-22,159</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6564E0">
            <w:pPr>
              <w:spacing w:line="500" w:lineRule="exact"/>
              <w:ind w:rightChars="36" w:right="122"/>
              <w:jc w:val="center"/>
              <w:rPr>
                <w:rFonts w:ascii="Times New Roman" w:eastAsia="新細明體"/>
                <w:kern w:val="0"/>
                <w:sz w:val="26"/>
                <w:szCs w:val="26"/>
              </w:rPr>
            </w:pPr>
            <w:r w:rsidRPr="00DE2F3E">
              <w:rPr>
                <w:rFonts w:ascii="Times New Roman"/>
                <w:color w:val="000000"/>
                <w:kern w:val="0"/>
                <w:sz w:val="26"/>
                <w:szCs w:val="26"/>
              </w:rPr>
              <w:t>359,723</w:t>
            </w:r>
          </w:p>
        </w:tc>
      </w:tr>
      <w:tr w:rsidR="00936710" w:rsidRPr="005139F1" w:rsidTr="00936710">
        <w:trPr>
          <w:trHeight w:val="365"/>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101</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52,347</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92,302</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-39,955</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6564E0">
            <w:pPr>
              <w:spacing w:line="500" w:lineRule="exact"/>
              <w:ind w:rightChars="36" w:right="122"/>
              <w:jc w:val="center"/>
              <w:rPr>
                <w:rFonts w:ascii="Times New Roman" w:eastAsia="新細明體"/>
                <w:kern w:val="0"/>
                <w:sz w:val="26"/>
                <w:szCs w:val="26"/>
              </w:rPr>
            </w:pPr>
            <w:r w:rsidRPr="00DE2F3E">
              <w:rPr>
                <w:rFonts w:ascii="Times New Roman"/>
                <w:color w:val="000000"/>
                <w:kern w:val="0"/>
                <w:sz w:val="26"/>
                <w:szCs w:val="26"/>
              </w:rPr>
              <w:t>319,767</w:t>
            </w:r>
          </w:p>
        </w:tc>
      </w:tr>
      <w:tr w:rsidR="00936710" w:rsidRPr="005139F1" w:rsidTr="00936710">
        <w:trPr>
          <w:trHeight w:val="287"/>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102</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62,950</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65,457</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-2,507</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6564E0">
            <w:pPr>
              <w:spacing w:line="500" w:lineRule="exact"/>
              <w:ind w:rightChars="36" w:right="122"/>
              <w:jc w:val="center"/>
              <w:rPr>
                <w:rFonts w:ascii="Times New Roman" w:eastAsia="新細明體"/>
                <w:kern w:val="0"/>
                <w:sz w:val="26"/>
                <w:szCs w:val="26"/>
              </w:rPr>
            </w:pPr>
            <w:r w:rsidRPr="00DE2F3E">
              <w:rPr>
                <w:rFonts w:ascii="Times New Roman"/>
                <w:color w:val="000000"/>
                <w:kern w:val="0"/>
                <w:sz w:val="26"/>
                <w:szCs w:val="26"/>
              </w:rPr>
              <w:t>317,260</w:t>
            </w:r>
          </w:p>
        </w:tc>
      </w:tr>
      <w:tr w:rsidR="00936710" w:rsidRPr="005139F1" w:rsidTr="00936710">
        <w:trPr>
          <w:trHeight w:val="337"/>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103</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67,239</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59,085</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8,154</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adjustRightInd w:val="0"/>
              <w:spacing w:line="500" w:lineRule="exact"/>
              <w:jc w:val="center"/>
              <w:rPr>
                <w:rFonts w:ascii="Times New Roman"/>
                <w:color w:val="000000"/>
                <w:kern w:val="0"/>
                <w:sz w:val="26"/>
                <w:szCs w:val="26"/>
              </w:rPr>
            </w:pPr>
            <w:r w:rsidRPr="00DE2F3E">
              <w:rPr>
                <w:rFonts w:ascii="Times New Roman"/>
                <w:color w:val="000000"/>
                <w:kern w:val="0"/>
                <w:sz w:val="26"/>
                <w:szCs w:val="26"/>
              </w:rPr>
              <w:t>325,414</w:t>
            </w:r>
          </w:p>
        </w:tc>
      </w:tr>
      <w:tr w:rsidR="00936710" w:rsidRPr="005139F1" w:rsidTr="00936710">
        <w:trPr>
          <w:trHeight w:val="401"/>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104</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69,165</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53,711</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15,454</w:t>
            </w:r>
          </w:p>
        </w:tc>
        <w:tc>
          <w:tcPr>
            <w:tcW w:w="108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340,868</w:t>
            </w:r>
          </w:p>
        </w:tc>
      </w:tr>
      <w:tr w:rsidR="00936710" w:rsidRPr="005139F1" w:rsidTr="00936710">
        <w:trPr>
          <w:trHeight w:val="310"/>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105</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72,212</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45,374</w:t>
            </w:r>
          </w:p>
        </w:tc>
        <w:tc>
          <w:tcPr>
            <w:tcW w:w="10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26,838</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367,706</w:t>
            </w:r>
          </w:p>
        </w:tc>
      </w:tr>
      <w:tr w:rsidR="00936710" w:rsidRPr="005139F1" w:rsidTr="00936710">
        <w:trPr>
          <w:trHeight w:val="374"/>
        </w:trPr>
        <w:tc>
          <w:tcPr>
            <w:tcW w:w="839"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106</w:t>
            </w:r>
            <w:r w:rsidRPr="00DE2F3E">
              <w:rPr>
                <w:rFonts w:ascii="Times New Roman"/>
                <w:kern w:val="0"/>
                <w:sz w:val="26"/>
                <w:szCs w:val="26"/>
              </w:rPr>
              <w:t>年度</w:t>
            </w:r>
          </w:p>
        </w:tc>
        <w:tc>
          <w:tcPr>
            <w:tcW w:w="1028" w:type="pct"/>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73,550</w:t>
            </w:r>
          </w:p>
        </w:tc>
        <w:tc>
          <w:tcPr>
            <w:tcW w:w="10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47,839</w:t>
            </w:r>
          </w:p>
        </w:tc>
        <w:tc>
          <w:tcPr>
            <w:tcW w:w="102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22,577</w:t>
            </w:r>
          </w:p>
        </w:tc>
        <w:tc>
          <w:tcPr>
            <w:tcW w:w="108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394,369</w:t>
            </w:r>
          </w:p>
        </w:tc>
      </w:tr>
      <w:tr w:rsidR="00936710" w:rsidRPr="005139F1" w:rsidTr="00936710">
        <w:trPr>
          <w:trHeight w:val="423"/>
        </w:trPr>
        <w:tc>
          <w:tcPr>
            <w:tcW w:w="839" w:type="pct"/>
            <w:tcBorders>
              <w:top w:val="nil"/>
              <w:left w:val="single" w:sz="8" w:space="0" w:color="auto"/>
              <w:bottom w:val="single" w:sz="8"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eastAsia="新細明體"/>
                <w:kern w:val="0"/>
                <w:sz w:val="26"/>
                <w:szCs w:val="26"/>
              </w:rPr>
              <w:t>107</w:t>
            </w:r>
            <w:r w:rsidRPr="00DE2F3E">
              <w:rPr>
                <w:rFonts w:ascii="Times New Roman"/>
                <w:kern w:val="0"/>
                <w:sz w:val="26"/>
                <w:szCs w:val="26"/>
              </w:rPr>
              <w:t>年度</w:t>
            </w:r>
          </w:p>
        </w:tc>
        <w:tc>
          <w:tcPr>
            <w:tcW w:w="1028" w:type="pct"/>
            <w:tcBorders>
              <w:top w:val="nil"/>
              <w:left w:val="nil"/>
              <w:bottom w:val="single" w:sz="8" w:space="0" w:color="auto"/>
              <w:right w:val="single" w:sz="4" w:space="0" w:color="auto"/>
            </w:tcBorders>
            <w:noWrap/>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74,537</w:t>
            </w:r>
          </w:p>
        </w:tc>
        <w:tc>
          <w:tcPr>
            <w:tcW w:w="1025" w:type="pct"/>
            <w:tcBorders>
              <w:top w:val="nil"/>
              <w:left w:val="nil"/>
              <w:bottom w:val="single" w:sz="8"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31,987</w:t>
            </w:r>
          </w:p>
        </w:tc>
        <w:tc>
          <w:tcPr>
            <w:tcW w:w="1028" w:type="pct"/>
            <w:tcBorders>
              <w:top w:val="nil"/>
              <w:left w:val="nil"/>
              <w:bottom w:val="single" w:sz="8"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42,550</w:t>
            </w:r>
          </w:p>
        </w:tc>
        <w:tc>
          <w:tcPr>
            <w:tcW w:w="1080" w:type="pct"/>
            <w:tcBorders>
              <w:top w:val="single" w:sz="4" w:space="0" w:color="auto"/>
              <w:left w:val="nil"/>
              <w:bottom w:val="single" w:sz="8" w:space="0" w:color="auto"/>
              <w:right w:val="single" w:sz="4" w:space="0" w:color="auto"/>
            </w:tcBorders>
            <w:tcMar>
              <w:top w:w="0" w:type="dxa"/>
              <w:left w:w="28" w:type="dxa"/>
              <w:bottom w:w="0" w:type="dxa"/>
              <w:right w:w="28" w:type="dxa"/>
            </w:tcMar>
            <w:vAlign w:val="center"/>
            <w:hideMark/>
          </w:tcPr>
          <w:p w:rsidR="006564E0" w:rsidRPr="00DE2F3E" w:rsidRDefault="006564E0" w:rsidP="00A206B8">
            <w:pPr>
              <w:widowControl/>
              <w:spacing w:line="500" w:lineRule="exact"/>
              <w:jc w:val="center"/>
              <w:rPr>
                <w:rFonts w:ascii="Times New Roman" w:eastAsia="新細明體"/>
                <w:kern w:val="0"/>
                <w:sz w:val="26"/>
                <w:szCs w:val="26"/>
              </w:rPr>
            </w:pPr>
            <w:r w:rsidRPr="00DE2F3E">
              <w:rPr>
                <w:rFonts w:ascii="Times New Roman"/>
                <w:color w:val="000000"/>
                <w:kern w:val="0"/>
                <w:sz w:val="26"/>
                <w:szCs w:val="26"/>
              </w:rPr>
              <w:t>435,967</w:t>
            </w:r>
          </w:p>
        </w:tc>
      </w:tr>
      <w:tr w:rsidR="006564E0" w:rsidRPr="005139F1" w:rsidTr="00936710">
        <w:trPr>
          <w:trHeight w:val="555"/>
        </w:trPr>
        <w:tc>
          <w:tcPr>
            <w:tcW w:w="5000" w:type="pct"/>
            <w:gridSpan w:val="5"/>
            <w:tcMar>
              <w:top w:w="0" w:type="dxa"/>
              <w:left w:w="28" w:type="dxa"/>
              <w:bottom w:w="0" w:type="dxa"/>
              <w:right w:w="28" w:type="dxa"/>
            </w:tcMar>
            <w:vAlign w:val="center"/>
            <w:hideMark/>
          </w:tcPr>
          <w:p w:rsidR="006564E0" w:rsidRPr="00DE2F3E" w:rsidRDefault="006564E0" w:rsidP="00C97D4C">
            <w:pPr>
              <w:widowControl/>
              <w:spacing w:line="360" w:lineRule="exact"/>
              <w:rPr>
                <w:kern w:val="0"/>
                <w:sz w:val="26"/>
                <w:szCs w:val="26"/>
              </w:rPr>
            </w:pPr>
            <w:r w:rsidRPr="00DE2F3E">
              <w:rPr>
                <w:rFonts w:hint="eastAsia"/>
                <w:kern w:val="0"/>
                <w:sz w:val="26"/>
                <w:szCs w:val="26"/>
              </w:rPr>
              <w:lastRenderedPageBreak/>
              <w:t>備註：</w:t>
            </w:r>
            <w:r w:rsidRPr="00DE2F3E">
              <w:rPr>
                <w:kern w:val="0"/>
                <w:sz w:val="26"/>
                <w:szCs w:val="26"/>
              </w:rPr>
              <w:t>107</w:t>
            </w:r>
            <w:r w:rsidRPr="00DE2F3E">
              <w:rPr>
                <w:rFonts w:hint="eastAsia"/>
                <w:kern w:val="0"/>
                <w:sz w:val="26"/>
                <w:szCs w:val="26"/>
              </w:rPr>
              <w:t>年度決算截至</w:t>
            </w:r>
            <w:r w:rsidRPr="00DE2F3E">
              <w:rPr>
                <w:kern w:val="0"/>
                <w:sz w:val="26"/>
                <w:szCs w:val="26"/>
              </w:rPr>
              <w:t>107</w:t>
            </w:r>
            <w:r w:rsidRPr="00DE2F3E">
              <w:rPr>
                <w:rFonts w:hint="eastAsia"/>
                <w:kern w:val="0"/>
                <w:sz w:val="26"/>
                <w:szCs w:val="26"/>
              </w:rPr>
              <w:t>年</w:t>
            </w:r>
            <w:r w:rsidRPr="00DE2F3E">
              <w:rPr>
                <w:kern w:val="0"/>
                <w:sz w:val="26"/>
                <w:szCs w:val="26"/>
              </w:rPr>
              <w:t>9</w:t>
            </w:r>
            <w:r w:rsidRPr="00DE2F3E">
              <w:rPr>
                <w:rFonts w:hint="eastAsia"/>
                <w:kern w:val="0"/>
                <w:sz w:val="26"/>
                <w:szCs w:val="26"/>
              </w:rPr>
              <w:t>月底。</w:t>
            </w:r>
          </w:p>
          <w:p w:rsidR="00C97D4C" w:rsidRPr="00DE2F3E" w:rsidRDefault="00C97D4C" w:rsidP="00C97D4C">
            <w:pPr>
              <w:widowControl/>
              <w:spacing w:line="360" w:lineRule="exact"/>
              <w:rPr>
                <w:rFonts w:eastAsia="新細明體"/>
                <w:color w:val="000000"/>
                <w:kern w:val="0"/>
                <w:sz w:val="26"/>
                <w:szCs w:val="26"/>
              </w:rPr>
            </w:pPr>
            <w:r w:rsidRPr="00DE2F3E">
              <w:rPr>
                <w:rFonts w:hint="eastAsia"/>
                <w:sz w:val="26"/>
                <w:szCs w:val="26"/>
              </w:rPr>
              <w:t>資料來源：食藥署107年10月26日FDA藥字第1079031710號函。</w:t>
            </w:r>
          </w:p>
        </w:tc>
      </w:tr>
    </w:tbl>
    <w:p w:rsidR="006564E0" w:rsidRDefault="005829E6" w:rsidP="006564E0">
      <w:pPr>
        <w:pStyle w:val="2"/>
        <w:numPr>
          <w:ilvl w:val="0"/>
          <w:numId w:val="0"/>
        </w:numPr>
        <w:ind w:left="1276" w:firstLineChars="250" w:firstLine="850"/>
      </w:pPr>
      <w:r w:rsidRPr="002F4A49">
        <w:rPr>
          <w:rFonts w:hint="eastAsia"/>
          <w:color w:val="000000" w:themeColor="text1"/>
        </w:rPr>
        <w:t>由上表</w:t>
      </w:r>
      <w:r w:rsidR="006564E0" w:rsidRPr="002F4A49">
        <w:rPr>
          <w:rFonts w:hint="eastAsia"/>
          <w:color w:val="000000" w:themeColor="text1"/>
        </w:rPr>
        <w:t>可知自1</w:t>
      </w:r>
      <w:r w:rsidR="006564E0">
        <w:rPr>
          <w:rFonts w:hint="eastAsia"/>
        </w:rPr>
        <w:t>03年起，</w:t>
      </w:r>
      <w:r w:rsidR="004D2F28">
        <w:rPr>
          <w:rFonts w:hint="eastAsia"/>
        </w:rPr>
        <w:t>基金</w:t>
      </w:r>
      <w:r w:rsidR="006564E0">
        <w:rPr>
          <w:rFonts w:hint="eastAsia"/>
        </w:rPr>
        <w:t>每年出現結餘，結餘金額自103年之8</w:t>
      </w:r>
      <w:r w:rsidR="004B45E5">
        <w:rPr>
          <w:rFonts w:hint="eastAsia"/>
        </w:rPr>
        <w:t>,</w:t>
      </w:r>
      <w:r w:rsidR="006564E0">
        <w:rPr>
          <w:rFonts w:hint="eastAsia"/>
        </w:rPr>
        <w:t>154千元增至107年之42</w:t>
      </w:r>
      <w:r w:rsidR="004B45E5">
        <w:rPr>
          <w:rFonts w:hint="eastAsia"/>
        </w:rPr>
        <w:t>,</w:t>
      </w:r>
      <w:r w:rsidR="006564E0">
        <w:rPr>
          <w:rFonts w:hint="eastAsia"/>
        </w:rPr>
        <w:t>550千元（</w:t>
      </w:r>
      <w:r w:rsidR="006564E0" w:rsidRPr="00647492">
        <w:rPr>
          <w:rFonts w:hint="eastAsia"/>
        </w:rPr>
        <w:t>截至107年9月底</w:t>
      </w:r>
      <w:r w:rsidR="006564E0">
        <w:rPr>
          <w:rFonts w:hint="eastAsia"/>
        </w:rPr>
        <w:t>）。截至107年止，基金餘額累計達4億3千多萬餘元。</w:t>
      </w:r>
    </w:p>
    <w:p w:rsidR="00FE6117" w:rsidRPr="00A4135D" w:rsidRDefault="00321902" w:rsidP="00AB723E">
      <w:pPr>
        <w:pStyle w:val="3"/>
        <w:rPr>
          <w:color w:val="000000" w:themeColor="text1"/>
        </w:rPr>
      </w:pPr>
      <w:r>
        <w:rPr>
          <w:rFonts w:hint="eastAsia"/>
        </w:rPr>
        <w:t>綜上，</w:t>
      </w:r>
      <w:r w:rsidR="00FE6117">
        <w:rPr>
          <w:rFonts w:hint="eastAsia"/>
        </w:rPr>
        <w:t>現階段我國</w:t>
      </w:r>
      <w:r w:rsidR="00FE6117" w:rsidRPr="00FE6117">
        <w:rPr>
          <w:rFonts w:hint="eastAsia"/>
        </w:rPr>
        <w:t>藥害救濟基金主要來自於業者及輸入業者繳納之徵收金</w:t>
      </w:r>
      <w:r w:rsidR="00FE6117">
        <w:rPr>
          <w:rFonts w:hint="eastAsia"/>
        </w:rPr>
        <w:t>，</w:t>
      </w:r>
      <w:r w:rsidR="00FE6117" w:rsidRPr="00FE6117">
        <w:rPr>
          <w:rFonts w:hint="eastAsia"/>
        </w:rPr>
        <w:t>101年</w:t>
      </w:r>
      <w:r w:rsidR="00FE6117">
        <w:rPr>
          <w:rFonts w:hint="eastAsia"/>
        </w:rPr>
        <w:t>曾因</w:t>
      </w:r>
      <w:r w:rsidR="00FE6117" w:rsidRPr="00FE6117">
        <w:rPr>
          <w:rFonts w:hint="eastAsia"/>
        </w:rPr>
        <w:t>基金餘額將達法定下線</w:t>
      </w:r>
      <w:r w:rsidR="00FE6117">
        <w:rPr>
          <w:rFonts w:hint="eastAsia"/>
        </w:rPr>
        <w:t>而調整</w:t>
      </w:r>
      <w:r w:rsidR="00FE6117" w:rsidRPr="00FE6117">
        <w:t>藥害救濟徵收金之徵收比率</w:t>
      </w:r>
      <w:r w:rsidR="00FE6117">
        <w:rPr>
          <w:rFonts w:hint="eastAsia"/>
        </w:rPr>
        <w:t>，</w:t>
      </w:r>
      <w:r w:rsidR="00F82302" w:rsidRPr="00F82302">
        <w:rPr>
          <w:rFonts w:hint="eastAsia"/>
        </w:rPr>
        <w:t>雖經食藥署評估放寬所有藥品之嚴重不良反應納入救濟，每年所需救濟金額難以僅就提高徵收金之方法因應</w:t>
      </w:r>
      <w:r w:rsidR="00BC09AD">
        <w:t>，</w:t>
      </w:r>
      <w:r w:rsidR="00F82302" w:rsidRPr="00F82302">
        <w:rPr>
          <w:rFonts w:hint="eastAsia"/>
        </w:rPr>
        <w:t>近年亦透過修法、放寬審查原則等方式，從寬救濟。然考量藥品之臨床效益及</w:t>
      </w:r>
      <w:r w:rsidR="00F82302" w:rsidRPr="00F82302">
        <w:t>調高徵收金，可能壓制藥商製造及輸入意願，造成國內病人無藥缺藥之</w:t>
      </w:r>
      <w:r w:rsidR="00F82302" w:rsidRPr="00F82302">
        <w:rPr>
          <w:rFonts w:hint="eastAsia"/>
        </w:rPr>
        <w:t>情形，並未藉由</w:t>
      </w:r>
      <w:r w:rsidR="00F82302" w:rsidRPr="00F82302">
        <w:t>提高徵收金比率以擴大對受害者救助之範圍</w:t>
      </w:r>
      <w:r w:rsidR="00F82302" w:rsidRPr="00F82302">
        <w:rPr>
          <w:rFonts w:hint="eastAsia"/>
        </w:rPr>
        <w:t>。</w:t>
      </w:r>
      <w:r w:rsidR="00975467" w:rsidRPr="00975467">
        <w:rPr>
          <w:rFonts w:hint="eastAsia"/>
        </w:rPr>
        <w:t>然近5年間藥害救濟給付執行率僅約介於5-6成之間</w:t>
      </w:r>
      <w:r w:rsidR="00975467">
        <w:rPr>
          <w:rFonts w:hint="eastAsia"/>
        </w:rPr>
        <w:t>，且</w:t>
      </w:r>
      <w:r w:rsidR="00F82302">
        <w:rPr>
          <w:rFonts w:hint="eastAsia"/>
        </w:rPr>
        <w:t>於</w:t>
      </w:r>
      <w:r w:rsidR="00F82302" w:rsidRPr="00F82302">
        <w:rPr>
          <w:rFonts w:hint="eastAsia"/>
        </w:rPr>
        <w:t>基金調整</w:t>
      </w:r>
      <w:r w:rsidR="00EF3FC0">
        <w:rPr>
          <w:rFonts w:hint="eastAsia"/>
        </w:rPr>
        <w:t>後自</w:t>
      </w:r>
      <w:r w:rsidR="00E23056" w:rsidRPr="00E23056">
        <w:rPr>
          <w:rFonts w:hint="eastAsia"/>
        </w:rPr>
        <w:t>103年</w:t>
      </w:r>
      <w:r w:rsidR="00F82302">
        <w:rPr>
          <w:rFonts w:hint="eastAsia"/>
        </w:rPr>
        <w:t>起</w:t>
      </w:r>
      <w:r w:rsidR="00E23056" w:rsidRPr="00E23056">
        <w:rPr>
          <w:rFonts w:hint="eastAsia"/>
        </w:rPr>
        <w:t>，每年出現結餘，截至107年止，基金餘額累計達4億3千多萬餘元</w:t>
      </w:r>
      <w:r w:rsidR="00975467" w:rsidRPr="00F55D67">
        <w:rPr>
          <w:rFonts w:hint="eastAsia"/>
        </w:rPr>
        <w:t>，因此，食藥署</w:t>
      </w:r>
      <w:r w:rsidR="00E12A8B">
        <w:rPr>
          <w:rFonts w:hint="eastAsia"/>
        </w:rPr>
        <w:t>允宜</w:t>
      </w:r>
      <w:r w:rsidR="00975467" w:rsidRPr="00F55D67">
        <w:rPr>
          <w:rFonts w:hint="eastAsia"/>
        </w:rPr>
        <w:t>在衡</w:t>
      </w:r>
      <w:r w:rsidR="00975467" w:rsidRPr="00A4135D">
        <w:rPr>
          <w:rFonts w:hint="eastAsia"/>
          <w:color w:val="000000" w:themeColor="text1"/>
        </w:rPr>
        <w:t>量政策和財源等面向下，適時檢討調整給付範圍之可行性</w:t>
      </w:r>
      <w:r w:rsidR="00A42EA3" w:rsidRPr="00A4135D">
        <w:rPr>
          <w:rFonts w:hint="eastAsia"/>
          <w:color w:val="000000" w:themeColor="text1"/>
        </w:rPr>
        <w:t>。</w:t>
      </w:r>
      <w:r w:rsidR="006D16B5" w:rsidRPr="00A4135D">
        <w:rPr>
          <w:rFonts w:hint="eastAsia"/>
          <w:color w:val="000000" w:themeColor="text1"/>
        </w:rPr>
        <w:t>又疾管署亦應體察該解釋理由之意旨，對預防接種受害救濟制度不應過度擴張預防接種不予救濟之範圍，完善社會安全救濟制度之防護網。</w:t>
      </w:r>
    </w:p>
    <w:p w:rsidR="00073CB5" w:rsidRPr="00BB037A" w:rsidRDefault="007B60FB" w:rsidP="00A3518E">
      <w:pPr>
        <w:pStyle w:val="2"/>
        <w:spacing w:beforeLines="50" w:before="228"/>
        <w:ind w:left="1020" w:hanging="680"/>
        <w:rPr>
          <w:b/>
        </w:rPr>
      </w:pPr>
      <w:r w:rsidRPr="00BB037A">
        <w:rPr>
          <w:rFonts w:hint="eastAsia"/>
          <w:b/>
        </w:rPr>
        <w:t>食藥署歷年對藥害預防及申請之宣導係利用藥袋標示、分眾宣導、運用網路、各媒體工具、衛教等方式進行，並以藥害救濟申請資訊來源，評估各管道宣導成效</w:t>
      </w:r>
      <w:r w:rsidR="00254CCD" w:rsidRPr="00BB037A">
        <w:rPr>
          <w:rFonts w:hint="eastAsia"/>
          <w:b/>
        </w:rPr>
        <w:t>，過於被動；</w:t>
      </w:r>
      <w:r w:rsidR="00D20956" w:rsidRPr="00BB037A">
        <w:rPr>
          <w:rFonts w:hint="eastAsia"/>
          <w:b/>
        </w:rPr>
        <w:t>又考量</w:t>
      </w:r>
      <w:r w:rsidRPr="00BB037A">
        <w:rPr>
          <w:rFonts w:hint="eastAsia"/>
          <w:b/>
        </w:rPr>
        <w:t>偏鄉地區醫療資源及資訊相較不足，</w:t>
      </w:r>
      <w:r w:rsidR="00D20956" w:rsidRPr="00BB037A">
        <w:rPr>
          <w:rFonts w:hint="eastAsia"/>
          <w:b/>
        </w:rPr>
        <w:t>允宜研議相關更親民方式加以宣導，強化現行之不足</w:t>
      </w:r>
    </w:p>
    <w:p w:rsidR="00E13CBF" w:rsidRPr="00AB723E" w:rsidRDefault="0018315B" w:rsidP="00AB723E">
      <w:pPr>
        <w:pStyle w:val="3"/>
        <w:numPr>
          <w:ilvl w:val="0"/>
          <w:numId w:val="37"/>
        </w:numPr>
        <w:ind w:left="1418" w:hanging="722"/>
      </w:pPr>
      <w:r w:rsidRPr="00AB723E">
        <w:rPr>
          <w:rFonts w:hint="eastAsia"/>
        </w:rPr>
        <w:lastRenderedPageBreak/>
        <w:t>按藥害救濟法第1條規定：「為使正當使用合法藥物而受害者，獲得及時救濟，特制定本法。」</w:t>
      </w:r>
      <w:r w:rsidR="0013419F" w:rsidRPr="00AB723E">
        <w:rPr>
          <w:rFonts w:hint="eastAsia"/>
        </w:rPr>
        <w:t>同法</w:t>
      </w:r>
      <w:r w:rsidRPr="00AB723E">
        <w:rPr>
          <w:rFonts w:hint="eastAsia"/>
        </w:rPr>
        <w:t>第4條</w:t>
      </w:r>
      <w:r w:rsidR="00520E93" w:rsidRPr="00AB723E">
        <w:rPr>
          <w:rFonts w:hint="eastAsia"/>
        </w:rPr>
        <w:t>第1項</w:t>
      </w:r>
      <w:r w:rsidRPr="00AB723E">
        <w:rPr>
          <w:rFonts w:hint="eastAsia"/>
        </w:rPr>
        <w:t>規定：「因正當使用合法藥物所生藥害，得依本法規定請求救濟。」</w:t>
      </w:r>
      <w:r w:rsidR="00520E93" w:rsidRPr="00AB723E">
        <w:rPr>
          <w:rFonts w:hint="eastAsia"/>
        </w:rPr>
        <w:t>可知只要是正當使用合法藥物而遭受害者皆可提出</w:t>
      </w:r>
      <w:r w:rsidR="00D2565E" w:rsidRPr="00AB723E">
        <w:rPr>
          <w:rFonts w:hint="eastAsia"/>
        </w:rPr>
        <w:t>藥害</w:t>
      </w:r>
      <w:r w:rsidR="00520E93" w:rsidRPr="00AB723E">
        <w:rPr>
          <w:rFonts w:hint="eastAsia"/>
        </w:rPr>
        <w:t>救濟</w:t>
      </w:r>
      <w:r w:rsidR="00157FD1" w:rsidRPr="00AB723E">
        <w:rPr>
          <w:rFonts w:hint="eastAsia"/>
        </w:rPr>
        <w:t>。</w:t>
      </w:r>
    </w:p>
    <w:p w:rsidR="000615FD" w:rsidRDefault="009434CA" w:rsidP="00AB723E">
      <w:pPr>
        <w:pStyle w:val="3"/>
      </w:pPr>
      <w:r w:rsidRPr="000615FD">
        <w:rPr>
          <w:rFonts w:hint="eastAsia"/>
        </w:rPr>
        <w:t>查</w:t>
      </w:r>
      <w:r w:rsidR="000615FD" w:rsidRPr="000615FD">
        <w:rPr>
          <w:rFonts w:hint="eastAsia"/>
        </w:rPr>
        <w:t>為</w:t>
      </w:r>
      <w:r w:rsidR="00BC6033" w:rsidRPr="000615FD">
        <w:rPr>
          <w:rFonts w:hint="eastAsia"/>
        </w:rPr>
        <w:t>使民眾能</w:t>
      </w:r>
      <w:r w:rsidR="000615FD" w:rsidRPr="000615FD">
        <w:rPr>
          <w:rFonts w:hint="eastAsia"/>
        </w:rPr>
        <w:t>獲得</w:t>
      </w:r>
      <w:r w:rsidR="00BC6033" w:rsidRPr="000615FD">
        <w:rPr>
          <w:rFonts w:hint="eastAsia"/>
        </w:rPr>
        <w:t>申請藥害救濟之相關資訊，食藥署</w:t>
      </w:r>
      <w:r w:rsidR="000615FD" w:rsidRPr="000615FD">
        <w:rPr>
          <w:rFonts w:hint="eastAsia"/>
        </w:rPr>
        <w:t>之</w:t>
      </w:r>
      <w:r w:rsidR="00BC6033" w:rsidRPr="000615FD">
        <w:rPr>
          <w:rFonts w:hint="eastAsia"/>
        </w:rPr>
        <w:t>宣導方向是使專業醫療人員及民眾知悉我國訂有藥害救濟法、藥害救濟制度及相關可供諮詢之管道。</w:t>
      </w:r>
      <w:r w:rsidR="00D2565E">
        <w:rPr>
          <w:rFonts w:hint="eastAsia"/>
        </w:rPr>
        <w:t>故</w:t>
      </w:r>
      <w:r w:rsidR="00BC6033" w:rsidRPr="000615FD">
        <w:rPr>
          <w:rFonts w:hint="eastAsia"/>
        </w:rPr>
        <w:t>宣導方式</w:t>
      </w:r>
      <w:r w:rsidR="000615FD" w:rsidRPr="000615FD">
        <w:rPr>
          <w:rFonts w:hint="eastAsia"/>
        </w:rPr>
        <w:t>有</w:t>
      </w:r>
      <w:r w:rsidR="00BC6033" w:rsidRPr="000615FD">
        <w:rPr>
          <w:rFonts w:hint="eastAsia"/>
        </w:rPr>
        <w:t>：</w:t>
      </w:r>
      <w:r w:rsidR="000615FD" w:rsidRPr="000615FD">
        <w:rPr>
          <w:rFonts w:hint="eastAsia"/>
        </w:rPr>
        <w:t>藥袋標示、針對一般民眾、醫療專業人員、藥廠等分群分眾宣導藥害救濟與正確用藥教育、運用多媒體網站及網路社群媒體、廣播、電視、平面及網路媒體等網路及各媒體工具，並開發衛教工具，免費提供醫療院所</w:t>
      </w:r>
      <w:r w:rsidR="00D2565E">
        <w:rPr>
          <w:rFonts w:hint="eastAsia"/>
        </w:rPr>
        <w:t>運用</w:t>
      </w:r>
      <w:r w:rsidR="000615FD" w:rsidRPr="000615FD">
        <w:rPr>
          <w:rFonts w:hint="eastAsia"/>
        </w:rPr>
        <w:t>。</w:t>
      </w:r>
      <w:r w:rsidR="00D2565E">
        <w:rPr>
          <w:rFonts w:hint="eastAsia"/>
        </w:rPr>
        <w:t>而</w:t>
      </w:r>
      <w:r w:rsidR="000615FD" w:rsidRPr="000615FD">
        <w:rPr>
          <w:rFonts w:hint="eastAsia"/>
        </w:rPr>
        <w:t>前開宣導方式衛福部係以</w:t>
      </w:r>
      <w:r w:rsidR="000615FD" w:rsidRPr="000615FD">
        <w:t>藥害救濟申請資訊來源之趨勢</w:t>
      </w:r>
      <w:r w:rsidR="000615FD" w:rsidRPr="000615FD">
        <w:rPr>
          <w:rFonts w:hint="eastAsia"/>
        </w:rPr>
        <w:t>、</w:t>
      </w:r>
      <w:r w:rsidR="000615FD" w:rsidRPr="000615FD">
        <w:t>媒體露出及網路觸及率</w:t>
      </w:r>
      <w:r w:rsidR="000615FD" w:rsidRPr="000615FD">
        <w:rPr>
          <w:rFonts w:hint="eastAsia"/>
        </w:rPr>
        <w:t>等方式評估</w:t>
      </w:r>
      <w:r w:rsidR="00D2565E">
        <w:rPr>
          <w:rFonts w:hint="eastAsia"/>
        </w:rPr>
        <w:t>其</w:t>
      </w:r>
      <w:r w:rsidR="000615FD" w:rsidRPr="000615FD">
        <w:rPr>
          <w:rFonts w:hint="eastAsia"/>
        </w:rPr>
        <w:t>宣導</w:t>
      </w:r>
      <w:r w:rsidR="000615FD">
        <w:rPr>
          <w:rFonts w:hint="eastAsia"/>
        </w:rPr>
        <w:t>成效。</w:t>
      </w:r>
    </w:p>
    <w:p w:rsidR="00BC2D73" w:rsidRDefault="006E7F0F" w:rsidP="00AB723E">
      <w:pPr>
        <w:pStyle w:val="3"/>
      </w:pPr>
      <w:r>
        <w:rPr>
          <w:rFonts w:hint="eastAsia"/>
        </w:rPr>
        <w:t>次</w:t>
      </w:r>
      <w:r w:rsidR="00514429">
        <w:rPr>
          <w:rFonts w:hint="eastAsia"/>
        </w:rPr>
        <w:t>查我國</w:t>
      </w:r>
      <w:r w:rsidR="00C90C99">
        <w:rPr>
          <w:rFonts w:hint="eastAsia"/>
        </w:rPr>
        <w:t>設有</w:t>
      </w:r>
      <w:r w:rsidR="00C90C99" w:rsidRPr="00C90C99">
        <w:rPr>
          <w:rFonts w:hint="eastAsia"/>
        </w:rPr>
        <w:t>藥品不良反應通報</w:t>
      </w:r>
      <w:r w:rsidR="00C90C99">
        <w:rPr>
          <w:rFonts w:hint="eastAsia"/>
        </w:rPr>
        <w:t>，提供民眾</w:t>
      </w:r>
      <w:r w:rsidR="00343DE7" w:rsidRPr="00514429">
        <w:rPr>
          <w:rFonts w:hint="eastAsia"/>
        </w:rPr>
        <w:t>在使用藥品後</w:t>
      </w:r>
      <w:r w:rsidR="00C90C99">
        <w:rPr>
          <w:rFonts w:hint="eastAsia"/>
        </w:rPr>
        <w:t>之</w:t>
      </w:r>
      <w:r w:rsidR="00343DE7" w:rsidRPr="00514429">
        <w:rPr>
          <w:rFonts w:hint="eastAsia"/>
        </w:rPr>
        <w:t>任何時間，因懷疑或無法排除與使用藥品相關之任何事件</w:t>
      </w:r>
      <w:r w:rsidR="00F52651">
        <w:rPr>
          <w:rFonts w:hint="eastAsia"/>
        </w:rPr>
        <w:t>進行通報</w:t>
      </w:r>
      <w:r w:rsidR="00343DE7" w:rsidRPr="00514429">
        <w:rPr>
          <w:rFonts w:hint="eastAsia"/>
        </w:rPr>
        <w:t>。</w:t>
      </w:r>
      <w:r w:rsidR="00BC2D73">
        <w:rPr>
          <w:rFonts w:hint="eastAsia"/>
        </w:rPr>
        <w:t>歷年國內藥品不良反應通報數如下：</w:t>
      </w:r>
    </w:p>
    <w:p w:rsidR="00BC2D73" w:rsidRPr="00DB7608" w:rsidRDefault="002F17E4" w:rsidP="002F17E4">
      <w:pPr>
        <w:pStyle w:val="a3"/>
        <w:numPr>
          <w:ilvl w:val="0"/>
          <w:numId w:val="0"/>
        </w:numPr>
      </w:pPr>
      <w:r>
        <w:rPr>
          <w:rFonts w:hint="eastAsia"/>
        </w:rPr>
        <w:t xml:space="preserve">表  </w:t>
      </w:r>
      <w:r w:rsidR="00BC2D73" w:rsidRPr="00DB7608">
        <w:t>國內藥品不良反應通報</w:t>
      </w:r>
      <w:r w:rsidR="00BC2D73">
        <w:rPr>
          <w:rFonts w:hint="eastAsia"/>
        </w:rPr>
        <w:t>數</w:t>
      </w:r>
    </w:p>
    <w:tbl>
      <w:tblPr>
        <w:tblW w:w="9571" w:type="dxa"/>
        <w:jc w:val="center"/>
        <w:tblLayout w:type="fixed"/>
        <w:tblCellMar>
          <w:left w:w="0" w:type="dxa"/>
          <w:right w:w="0" w:type="dxa"/>
        </w:tblCellMar>
        <w:tblLook w:val="04A0" w:firstRow="1" w:lastRow="0" w:firstColumn="1" w:lastColumn="0" w:noHBand="0" w:noVBand="1"/>
      </w:tblPr>
      <w:tblGrid>
        <w:gridCol w:w="567"/>
        <w:gridCol w:w="851"/>
        <w:gridCol w:w="1144"/>
        <w:gridCol w:w="1417"/>
        <w:gridCol w:w="900"/>
        <w:gridCol w:w="1531"/>
        <w:gridCol w:w="992"/>
        <w:gridCol w:w="1162"/>
        <w:gridCol w:w="1007"/>
      </w:tblGrid>
      <w:tr w:rsidR="00BC2D73" w:rsidRPr="00DE2F3E" w:rsidTr="00B82CEA">
        <w:trPr>
          <w:trHeight w:val="937"/>
          <w:jc w:val="center"/>
        </w:trPr>
        <w:tc>
          <w:tcPr>
            <w:tcW w:w="567"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年度</w:t>
            </w:r>
          </w:p>
        </w:tc>
        <w:tc>
          <w:tcPr>
            <w:tcW w:w="851"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死亡</w:t>
            </w:r>
          </w:p>
        </w:tc>
        <w:tc>
          <w:tcPr>
            <w:tcW w:w="1144"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危及生命</w:t>
            </w:r>
          </w:p>
        </w:tc>
        <w:tc>
          <w:tcPr>
            <w:tcW w:w="1417"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導致病人住院或延長病人住院時間</w:t>
            </w:r>
          </w:p>
        </w:tc>
        <w:tc>
          <w:tcPr>
            <w:tcW w:w="90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造成永久性殘疾</w:t>
            </w:r>
          </w:p>
        </w:tc>
        <w:tc>
          <w:tcPr>
            <w:tcW w:w="1531"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其他嚴重不良反應</w:t>
            </w:r>
            <w:r w:rsidRPr="00DE2F3E">
              <w:rPr>
                <w:rFonts w:ascii="Times New Roman"/>
                <w:kern w:val="28"/>
                <w:sz w:val="26"/>
                <w:szCs w:val="26"/>
              </w:rPr>
              <w:t>(</w:t>
            </w:r>
            <w:r w:rsidRPr="00DE2F3E">
              <w:rPr>
                <w:rFonts w:ascii="Times New Roman"/>
                <w:kern w:val="28"/>
                <w:sz w:val="26"/>
                <w:szCs w:val="26"/>
              </w:rPr>
              <w:t>具重要臨床意義之事件</w:t>
            </w:r>
            <w:r w:rsidRPr="00DE2F3E">
              <w:rPr>
                <w:rFonts w:ascii="Times New Roman"/>
                <w:kern w:val="28"/>
                <w:sz w:val="26"/>
                <w:szCs w:val="26"/>
              </w:rPr>
              <w:t>)</w:t>
            </w:r>
          </w:p>
        </w:tc>
        <w:tc>
          <w:tcPr>
            <w:tcW w:w="992"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胎兒先天性畸形</w:t>
            </w:r>
          </w:p>
        </w:tc>
        <w:tc>
          <w:tcPr>
            <w:tcW w:w="1162"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kern w:val="28"/>
                <w:sz w:val="26"/>
                <w:szCs w:val="26"/>
              </w:rPr>
            </w:pPr>
            <w:r w:rsidRPr="00DE2F3E">
              <w:rPr>
                <w:rFonts w:ascii="Times New Roman"/>
                <w:kern w:val="28"/>
                <w:sz w:val="26"/>
                <w:szCs w:val="26"/>
              </w:rPr>
              <w:t>非嚴重不良反應及其他</w:t>
            </w:r>
          </w:p>
        </w:tc>
        <w:tc>
          <w:tcPr>
            <w:tcW w:w="1007"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DE2F3E">
            <w:pPr>
              <w:spacing w:line="360" w:lineRule="exact"/>
              <w:jc w:val="center"/>
              <w:rPr>
                <w:rFonts w:ascii="Times New Roman"/>
                <w:b/>
                <w:kern w:val="28"/>
                <w:sz w:val="26"/>
                <w:szCs w:val="26"/>
              </w:rPr>
            </w:pPr>
            <w:r w:rsidRPr="00DE2F3E">
              <w:rPr>
                <w:rFonts w:ascii="Times New Roman"/>
                <w:kern w:val="28"/>
                <w:sz w:val="26"/>
                <w:szCs w:val="26"/>
              </w:rPr>
              <w:t>總計</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98</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348</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188</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099</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9</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867</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5808</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w:t>
            </w:r>
            <w:r w:rsidR="00EB291B" w:rsidRPr="00DE2F3E">
              <w:rPr>
                <w:rFonts w:ascii="Times New Roman" w:hint="eastAsia"/>
                <w:kern w:val="28"/>
                <w:sz w:val="26"/>
                <w:szCs w:val="26"/>
              </w:rPr>
              <w:t>,</w:t>
            </w:r>
            <w:r w:rsidRPr="00DE2F3E">
              <w:rPr>
                <w:rFonts w:ascii="Times New Roman"/>
                <w:kern w:val="28"/>
                <w:sz w:val="26"/>
                <w:szCs w:val="26"/>
              </w:rPr>
              <w:t>187</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99</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328</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182</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667</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15</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400</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5961</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w:t>
            </w:r>
            <w:r w:rsidR="00EB291B" w:rsidRPr="00DE2F3E">
              <w:rPr>
                <w:rFonts w:ascii="Times New Roman" w:hint="eastAsia"/>
                <w:kern w:val="28"/>
                <w:sz w:val="26"/>
                <w:szCs w:val="26"/>
              </w:rPr>
              <w:t>,</w:t>
            </w:r>
            <w:r w:rsidRPr="00DE2F3E">
              <w:rPr>
                <w:rFonts w:ascii="Times New Roman"/>
                <w:kern w:val="28"/>
                <w:sz w:val="26"/>
                <w:szCs w:val="26"/>
              </w:rPr>
              <w:t>555</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100</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180</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159</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330</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14</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511</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6206</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w:t>
            </w:r>
            <w:r w:rsidR="00EB291B" w:rsidRPr="00DE2F3E">
              <w:rPr>
                <w:rFonts w:ascii="Times New Roman" w:hint="eastAsia"/>
                <w:kern w:val="28"/>
                <w:sz w:val="26"/>
                <w:szCs w:val="26"/>
              </w:rPr>
              <w:t>,</w:t>
            </w:r>
            <w:r w:rsidRPr="00DE2F3E">
              <w:rPr>
                <w:rFonts w:ascii="Times New Roman"/>
                <w:kern w:val="28"/>
                <w:sz w:val="26"/>
                <w:szCs w:val="26"/>
              </w:rPr>
              <w:t>402</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101</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227</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227</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249</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0</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726</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0</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6928</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11</w:t>
            </w:r>
            <w:r w:rsidR="00EB291B" w:rsidRPr="00DE2F3E">
              <w:rPr>
                <w:rFonts w:ascii="Times New Roman" w:hint="eastAsia"/>
                <w:kern w:val="28"/>
                <w:sz w:val="26"/>
                <w:szCs w:val="26"/>
              </w:rPr>
              <w:t>,</w:t>
            </w:r>
            <w:r w:rsidRPr="00DE2F3E">
              <w:rPr>
                <w:rFonts w:ascii="Times New Roman"/>
                <w:kern w:val="28"/>
                <w:sz w:val="26"/>
                <w:szCs w:val="26"/>
              </w:rPr>
              <w:t>357</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102</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213</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213</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493</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0</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347</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0</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6400</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w:t>
            </w:r>
            <w:r w:rsidR="00EB291B" w:rsidRPr="00DE2F3E">
              <w:rPr>
                <w:rFonts w:ascii="Times New Roman" w:hint="eastAsia"/>
                <w:kern w:val="28"/>
                <w:sz w:val="26"/>
                <w:szCs w:val="26"/>
              </w:rPr>
              <w:t>,</w:t>
            </w:r>
            <w:r w:rsidRPr="00DE2F3E">
              <w:rPr>
                <w:rFonts w:ascii="Times New Roman"/>
                <w:kern w:val="28"/>
                <w:sz w:val="26"/>
                <w:szCs w:val="26"/>
              </w:rPr>
              <w:t>667</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103</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315</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167</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836</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14</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373</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6693</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11</w:t>
            </w:r>
            <w:r w:rsidR="00EB291B" w:rsidRPr="00DE2F3E">
              <w:rPr>
                <w:rFonts w:ascii="Times New Roman" w:hint="eastAsia"/>
                <w:kern w:val="28"/>
                <w:sz w:val="26"/>
                <w:szCs w:val="26"/>
              </w:rPr>
              <w:t>,</w:t>
            </w:r>
            <w:r w:rsidRPr="00DE2F3E">
              <w:rPr>
                <w:rFonts w:ascii="Times New Roman"/>
                <w:kern w:val="28"/>
                <w:sz w:val="26"/>
                <w:szCs w:val="26"/>
              </w:rPr>
              <w:t>399</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lastRenderedPageBreak/>
              <w:t>104</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300</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195</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898</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13</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896</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7510</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12</w:t>
            </w:r>
            <w:r w:rsidR="00EB291B" w:rsidRPr="00DE2F3E">
              <w:rPr>
                <w:rFonts w:ascii="Times New Roman" w:hint="eastAsia"/>
                <w:kern w:val="28"/>
                <w:sz w:val="26"/>
                <w:szCs w:val="26"/>
              </w:rPr>
              <w:t>,</w:t>
            </w:r>
            <w:r w:rsidRPr="00DE2F3E">
              <w:rPr>
                <w:rFonts w:ascii="Times New Roman"/>
                <w:kern w:val="28"/>
                <w:sz w:val="26"/>
                <w:szCs w:val="26"/>
              </w:rPr>
              <w:t>815</w:t>
            </w:r>
          </w:p>
        </w:tc>
      </w:tr>
      <w:tr w:rsidR="00BC2D73" w:rsidRPr="00DE2F3E" w:rsidTr="00245754">
        <w:trPr>
          <w:trHeight w:val="345"/>
          <w:jc w:val="center"/>
        </w:trPr>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105</w:t>
            </w:r>
          </w:p>
        </w:tc>
        <w:tc>
          <w:tcPr>
            <w:tcW w:w="8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314</w:t>
            </w:r>
          </w:p>
        </w:tc>
        <w:tc>
          <w:tcPr>
            <w:tcW w:w="114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232</w:t>
            </w:r>
          </w:p>
        </w:tc>
        <w:tc>
          <w:tcPr>
            <w:tcW w:w="141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r w:rsidR="00EB291B" w:rsidRPr="00DE2F3E">
              <w:rPr>
                <w:rFonts w:ascii="Times New Roman" w:hint="eastAsia"/>
                <w:kern w:val="28"/>
                <w:sz w:val="26"/>
                <w:szCs w:val="26"/>
              </w:rPr>
              <w:t>,</w:t>
            </w:r>
            <w:r w:rsidRPr="00DE2F3E">
              <w:rPr>
                <w:rFonts w:ascii="Times New Roman"/>
                <w:kern w:val="28"/>
                <w:sz w:val="26"/>
                <w:szCs w:val="26"/>
              </w:rPr>
              <w:t>908</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16</w:t>
            </w:r>
          </w:p>
        </w:tc>
        <w:tc>
          <w:tcPr>
            <w:tcW w:w="15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w:t>
            </w:r>
            <w:r w:rsidR="00EB291B" w:rsidRPr="00DE2F3E">
              <w:rPr>
                <w:rFonts w:ascii="Times New Roman" w:hint="eastAsia"/>
                <w:kern w:val="28"/>
                <w:sz w:val="26"/>
                <w:szCs w:val="26"/>
              </w:rPr>
              <w:t>,</w:t>
            </w:r>
            <w:r w:rsidRPr="00DE2F3E">
              <w:rPr>
                <w:rFonts w:ascii="Times New Roman"/>
                <w:kern w:val="28"/>
                <w:sz w:val="26"/>
                <w:szCs w:val="26"/>
              </w:rPr>
              <w:t>151</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w:t>
            </w:r>
          </w:p>
        </w:tc>
        <w:tc>
          <w:tcPr>
            <w:tcW w:w="116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8478</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14</w:t>
            </w:r>
            <w:r w:rsidR="00EB291B" w:rsidRPr="00DE2F3E">
              <w:rPr>
                <w:rFonts w:ascii="Times New Roman" w:hint="eastAsia"/>
                <w:kern w:val="28"/>
                <w:sz w:val="26"/>
                <w:szCs w:val="26"/>
              </w:rPr>
              <w:t>,</w:t>
            </w:r>
            <w:r w:rsidRPr="00DE2F3E">
              <w:rPr>
                <w:rFonts w:ascii="Times New Roman"/>
                <w:kern w:val="28"/>
                <w:sz w:val="26"/>
                <w:szCs w:val="26"/>
              </w:rPr>
              <w:t>102</w:t>
            </w:r>
          </w:p>
        </w:tc>
      </w:tr>
      <w:tr w:rsidR="00BC2D73" w:rsidRPr="00DE2F3E" w:rsidTr="00245754">
        <w:trPr>
          <w:trHeight w:val="345"/>
          <w:jc w:val="center"/>
        </w:trPr>
        <w:tc>
          <w:tcPr>
            <w:tcW w:w="567" w:type="dxa"/>
            <w:tcBorders>
              <w:top w:val="nil"/>
              <w:left w:val="single" w:sz="8" w:space="0" w:color="auto"/>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106</w:t>
            </w:r>
          </w:p>
        </w:tc>
        <w:tc>
          <w:tcPr>
            <w:tcW w:w="851"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627</w:t>
            </w:r>
          </w:p>
        </w:tc>
        <w:tc>
          <w:tcPr>
            <w:tcW w:w="1144"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215</w:t>
            </w:r>
          </w:p>
        </w:tc>
        <w:tc>
          <w:tcPr>
            <w:tcW w:w="1417"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183</w:t>
            </w:r>
          </w:p>
        </w:tc>
        <w:tc>
          <w:tcPr>
            <w:tcW w:w="900"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17</w:t>
            </w:r>
          </w:p>
        </w:tc>
        <w:tc>
          <w:tcPr>
            <w:tcW w:w="1531"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w:t>
            </w:r>
            <w:r w:rsidR="00EB291B" w:rsidRPr="00DE2F3E">
              <w:rPr>
                <w:rFonts w:ascii="Times New Roman" w:hint="eastAsia"/>
                <w:kern w:val="28"/>
                <w:sz w:val="26"/>
                <w:szCs w:val="26"/>
              </w:rPr>
              <w:t>,</w:t>
            </w:r>
            <w:r w:rsidRPr="00DE2F3E">
              <w:rPr>
                <w:rFonts w:ascii="Times New Roman"/>
                <w:kern w:val="28"/>
                <w:sz w:val="26"/>
                <w:szCs w:val="26"/>
              </w:rPr>
              <w:t>781</w:t>
            </w:r>
          </w:p>
        </w:tc>
        <w:tc>
          <w:tcPr>
            <w:tcW w:w="992"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3</w:t>
            </w:r>
          </w:p>
        </w:tc>
        <w:tc>
          <w:tcPr>
            <w:tcW w:w="1162" w:type="dxa"/>
            <w:tcBorders>
              <w:top w:val="nil"/>
              <w:left w:val="nil"/>
              <w:bottom w:val="nil"/>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8596</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15</w:t>
            </w:r>
            <w:r w:rsidR="00EB291B" w:rsidRPr="00DE2F3E">
              <w:rPr>
                <w:rFonts w:ascii="Times New Roman" w:hint="eastAsia"/>
                <w:kern w:val="28"/>
                <w:sz w:val="26"/>
                <w:szCs w:val="26"/>
              </w:rPr>
              <w:t>,</w:t>
            </w:r>
            <w:r w:rsidRPr="00DE2F3E">
              <w:rPr>
                <w:rFonts w:ascii="Times New Roman"/>
                <w:kern w:val="28"/>
                <w:sz w:val="26"/>
                <w:szCs w:val="26"/>
              </w:rPr>
              <w:t>422</w:t>
            </w:r>
          </w:p>
        </w:tc>
      </w:tr>
      <w:tr w:rsidR="00BC2D73" w:rsidRPr="00DE2F3E" w:rsidTr="00245754">
        <w:trPr>
          <w:trHeight w:val="345"/>
          <w:jc w:val="center"/>
        </w:trPr>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107</w:t>
            </w:r>
          </w:p>
        </w:tc>
        <w:tc>
          <w:tcPr>
            <w:tcW w:w="85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785</w:t>
            </w:r>
          </w:p>
        </w:tc>
        <w:tc>
          <w:tcPr>
            <w:tcW w:w="114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258</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2</w:t>
            </w:r>
            <w:r w:rsidR="00EB291B" w:rsidRPr="00DE2F3E">
              <w:rPr>
                <w:rFonts w:ascii="Times New Roman" w:hint="eastAsia"/>
                <w:kern w:val="28"/>
                <w:sz w:val="26"/>
                <w:szCs w:val="26"/>
              </w:rPr>
              <w:t>,</w:t>
            </w:r>
            <w:r w:rsidRPr="00DE2F3E">
              <w:rPr>
                <w:rFonts w:ascii="Times New Roman"/>
                <w:kern w:val="28"/>
                <w:sz w:val="26"/>
                <w:szCs w:val="26"/>
              </w:rPr>
              <w:t>181</w:t>
            </w:r>
          </w:p>
        </w:tc>
        <w:tc>
          <w:tcPr>
            <w:tcW w:w="9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11</w:t>
            </w:r>
          </w:p>
        </w:tc>
        <w:tc>
          <w:tcPr>
            <w:tcW w:w="153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4</w:t>
            </w:r>
            <w:r w:rsidR="00EB291B" w:rsidRPr="00DE2F3E">
              <w:rPr>
                <w:rFonts w:ascii="Times New Roman" w:hint="eastAsia"/>
                <w:kern w:val="28"/>
                <w:sz w:val="26"/>
                <w:szCs w:val="26"/>
              </w:rPr>
              <w:t>,</w:t>
            </w:r>
            <w:r w:rsidRPr="00DE2F3E">
              <w:rPr>
                <w:rFonts w:ascii="Times New Roman"/>
                <w:kern w:val="28"/>
                <w:sz w:val="26"/>
                <w:szCs w:val="26"/>
              </w:rPr>
              <w:t>270</w:t>
            </w:r>
          </w:p>
        </w:tc>
        <w:tc>
          <w:tcPr>
            <w:tcW w:w="992"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w:t>
            </w:r>
          </w:p>
        </w:tc>
        <w:tc>
          <w:tcPr>
            <w:tcW w:w="1162"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8207</w:t>
            </w:r>
          </w:p>
        </w:tc>
        <w:tc>
          <w:tcPr>
            <w:tcW w:w="100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BC2D73" w:rsidRPr="00DE2F3E" w:rsidRDefault="00BC2D73" w:rsidP="00245754">
            <w:pPr>
              <w:jc w:val="center"/>
              <w:rPr>
                <w:rFonts w:ascii="Times New Roman"/>
                <w:kern w:val="28"/>
                <w:sz w:val="26"/>
                <w:szCs w:val="26"/>
              </w:rPr>
            </w:pPr>
            <w:r w:rsidRPr="00DE2F3E">
              <w:rPr>
                <w:rFonts w:ascii="Times New Roman"/>
                <w:kern w:val="28"/>
                <w:sz w:val="26"/>
                <w:szCs w:val="26"/>
              </w:rPr>
              <w:t>15</w:t>
            </w:r>
            <w:r w:rsidR="00EB291B" w:rsidRPr="00DE2F3E">
              <w:rPr>
                <w:rFonts w:ascii="Times New Roman" w:hint="eastAsia"/>
                <w:kern w:val="28"/>
                <w:sz w:val="26"/>
                <w:szCs w:val="26"/>
              </w:rPr>
              <w:t>,</w:t>
            </w:r>
            <w:r w:rsidRPr="00DE2F3E">
              <w:rPr>
                <w:rFonts w:ascii="Times New Roman"/>
                <w:kern w:val="28"/>
                <w:sz w:val="26"/>
                <w:szCs w:val="26"/>
              </w:rPr>
              <w:t>713</w:t>
            </w:r>
          </w:p>
        </w:tc>
      </w:tr>
    </w:tbl>
    <w:p w:rsidR="00BC2D73" w:rsidRPr="00DE2F3E" w:rsidRDefault="00BC2D73" w:rsidP="00AB723E">
      <w:pPr>
        <w:pStyle w:val="3"/>
        <w:numPr>
          <w:ilvl w:val="0"/>
          <w:numId w:val="0"/>
        </w:numPr>
        <w:ind w:left="-282"/>
        <w:rPr>
          <w:sz w:val="26"/>
          <w:szCs w:val="26"/>
        </w:rPr>
      </w:pPr>
      <w:r w:rsidRPr="00DE2F3E">
        <w:rPr>
          <w:rFonts w:hint="eastAsia"/>
          <w:sz w:val="26"/>
          <w:szCs w:val="26"/>
        </w:rPr>
        <w:t>資料來源：食藥署</w:t>
      </w:r>
      <w:r w:rsidR="0001280C" w:rsidRPr="00DE2F3E">
        <w:rPr>
          <w:rFonts w:hint="eastAsia"/>
          <w:sz w:val="26"/>
          <w:szCs w:val="26"/>
        </w:rPr>
        <w:t>108年3月12日</w:t>
      </w:r>
      <w:r w:rsidRPr="00DE2F3E">
        <w:rPr>
          <w:rFonts w:hint="eastAsia"/>
          <w:sz w:val="26"/>
          <w:szCs w:val="26"/>
        </w:rPr>
        <w:t>約詢書面資料。</w:t>
      </w:r>
    </w:p>
    <w:p w:rsidR="007123EA" w:rsidRDefault="006E7F0F" w:rsidP="00D92F8B">
      <w:pPr>
        <w:pStyle w:val="32"/>
        <w:ind w:left="1361" w:firstLine="680"/>
      </w:pPr>
      <w:r>
        <w:rPr>
          <w:rFonts w:hint="eastAsia"/>
          <w:szCs w:val="32"/>
        </w:rPr>
        <w:t>依上</w:t>
      </w:r>
      <w:r w:rsidR="00F52651">
        <w:rPr>
          <w:rFonts w:hint="eastAsia"/>
          <w:szCs w:val="32"/>
        </w:rPr>
        <w:t>表，</w:t>
      </w:r>
      <w:r w:rsidR="000A2BD8" w:rsidRPr="004006D4">
        <w:rPr>
          <w:rFonts w:hint="eastAsia"/>
          <w:szCs w:val="32"/>
        </w:rPr>
        <w:t>自</w:t>
      </w:r>
      <w:r w:rsidR="004006D4">
        <w:rPr>
          <w:rFonts w:hint="eastAsia"/>
          <w:szCs w:val="32"/>
        </w:rPr>
        <w:t>98</w:t>
      </w:r>
      <w:r w:rsidR="000A2BD8" w:rsidRPr="004006D4">
        <w:rPr>
          <w:rFonts w:hint="eastAsia"/>
          <w:szCs w:val="32"/>
        </w:rPr>
        <w:t>年迄</w:t>
      </w:r>
      <w:r w:rsidR="00F52651">
        <w:rPr>
          <w:rFonts w:hint="eastAsia"/>
          <w:szCs w:val="32"/>
        </w:rPr>
        <w:t>至107年間</w:t>
      </w:r>
      <w:r w:rsidR="000A2BD8" w:rsidRPr="004006D4">
        <w:rPr>
          <w:rFonts w:hint="eastAsia"/>
          <w:szCs w:val="32"/>
        </w:rPr>
        <w:t>，排除</w:t>
      </w:r>
      <w:r w:rsidR="004006D4">
        <w:rPr>
          <w:rFonts w:hAnsi="標楷體" w:hint="eastAsia"/>
          <w:szCs w:val="32"/>
        </w:rPr>
        <w:t>「</w:t>
      </w:r>
      <w:r w:rsidR="000A2BD8" w:rsidRPr="004006D4">
        <w:rPr>
          <w:szCs w:val="32"/>
        </w:rPr>
        <w:t>非嚴重不良反應及其他</w:t>
      </w:r>
      <w:r w:rsidR="004006D4">
        <w:rPr>
          <w:rFonts w:hAnsi="標楷體" w:hint="eastAsia"/>
          <w:szCs w:val="32"/>
        </w:rPr>
        <w:t>」</w:t>
      </w:r>
      <w:r w:rsidR="00F52651">
        <w:rPr>
          <w:rFonts w:hAnsi="標楷體" w:hint="eastAsia"/>
          <w:szCs w:val="32"/>
        </w:rPr>
        <w:t>一項，</w:t>
      </w:r>
      <w:r w:rsidR="000A2BD8" w:rsidRPr="004006D4">
        <w:rPr>
          <w:rFonts w:hint="eastAsia"/>
          <w:szCs w:val="32"/>
        </w:rPr>
        <w:t>國內藥品不良反應通報自9</w:t>
      </w:r>
      <w:r w:rsidR="004006D4">
        <w:rPr>
          <w:rFonts w:hint="eastAsia"/>
          <w:szCs w:val="32"/>
        </w:rPr>
        <w:t>8</w:t>
      </w:r>
      <w:r w:rsidR="000A2BD8" w:rsidRPr="004006D4">
        <w:rPr>
          <w:rFonts w:hint="eastAsia"/>
          <w:szCs w:val="32"/>
        </w:rPr>
        <w:t>年</w:t>
      </w:r>
      <w:r w:rsidR="004006D4">
        <w:rPr>
          <w:rFonts w:hint="eastAsia"/>
          <w:szCs w:val="32"/>
        </w:rPr>
        <w:t>10</w:t>
      </w:r>
      <w:r w:rsidR="000A2BD8" w:rsidRPr="004006D4">
        <w:rPr>
          <w:rFonts w:hint="eastAsia"/>
          <w:szCs w:val="32"/>
        </w:rPr>
        <w:t>,</w:t>
      </w:r>
      <w:r w:rsidR="004006D4">
        <w:rPr>
          <w:rFonts w:hint="eastAsia"/>
          <w:szCs w:val="32"/>
        </w:rPr>
        <w:t>187</w:t>
      </w:r>
      <w:r w:rsidR="000A2BD8" w:rsidRPr="004006D4">
        <w:rPr>
          <w:rFonts w:hint="eastAsia"/>
          <w:szCs w:val="32"/>
        </w:rPr>
        <w:t>件上升至107年15,713件，</w:t>
      </w:r>
      <w:r w:rsidR="006C3BEC" w:rsidRPr="004006D4">
        <w:rPr>
          <w:rFonts w:hint="eastAsia"/>
          <w:szCs w:val="32"/>
        </w:rPr>
        <w:t>10年間通報件數</w:t>
      </w:r>
      <w:r w:rsidR="00A6160D">
        <w:rPr>
          <w:rFonts w:hint="eastAsia"/>
          <w:szCs w:val="32"/>
        </w:rPr>
        <w:t>增加5成</w:t>
      </w:r>
      <w:r w:rsidR="00237BA8" w:rsidRPr="004006D4">
        <w:rPr>
          <w:rFonts w:hint="eastAsia"/>
          <w:szCs w:val="32"/>
        </w:rPr>
        <w:t>，</w:t>
      </w:r>
      <w:r w:rsidR="008D0B0A">
        <w:rPr>
          <w:rFonts w:hint="eastAsia"/>
          <w:szCs w:val="32"/>
        </w:rPr>
        <w:t>近</w:t>
      </w:r>
      <w:r w:rsidR="00131070">
        <w:rPr>
          <w:rFonts w:hint="eastAsia"/>
          <w:szCs w:val="32"/>
        </w:rPr>
        <w:t>10年間</w:t>
      </w:r>
      <w:r w:rsidR="008D0B0A">
        <w:rPr>
          <w:rFonts w:hint="eastAsia"/>
          <w:szCs w:val="32"/>
        </w:rPr>
        <w:t>平均每年</w:t>
      </w:r>
      <w:r w:rsidR="00237BA8" w:rsidRPr="004006D4">
        <w:rPr>
          <w:rFonts w:hint="eastAsia"/>
          <w:szCs w:val="32"/>
        </w:rPr>
        <w:t>約1萬</w:t>
      </w:r>
      <w:r w:rsidR="00787C57">
        <w:rPr>
          <w:rFonts w:hint="eastAsia"/>
          <w:szCs w:val="32"/>
        </w:rPr>
        <w:t>2</w:t>
      </w:r>
      <w:r w:rsidR="00237BA8" w:rsidRPr="004006D4">
        <w:rPr>
          <w:rFonts w:hint="eastAsia"/>
          <w:szCs w:val="32"/>
        </w:rPr>
        <w:t>千件左右。</w:t>
      </w:r>
      <w:r>
        <w:rPr>
          <w:rFonts w:hint="eastAsia"/>
          <w:szCs w:val="32"/>
        </w:rPr>
        <w:t>再</w:t>
      </w:r>
      <w:r w:rsidR="007123EA">
        <w:rPr>
          <w:rFonts w:hint="eastAsia"/>
        </w:rPr>
        <w:t>就食藥署統計</w:t>
      </w:r>
      <w:r w:rsidR="00F52651">
        <w:rPr>
          <w:rFonts w:hint="eastAsia"/>
        </w:rPr>
        <w:t>自</w:t>
      </w:r>
      <w:r w:rsidR="00F61CA6">
        <w:rPr>
          <w:rFonts w:hint="eastAsia"/>
        </w:rPr>
        <w:t>88年至107年9月止20年間，藥害救濟申請案件總數為3,253件，</w:t>
      </w:r>
      <w:r>
        <w:rPr>
          <w:rFonts w:hint="eastAsia"/>
        </w:rPr>
        <w:t>亦即</w:t>
      </w:r>
      <w:r w:rsidR="008D0B0A">
        <w:rPr>
          <w:rFonts w:hint="eastAsia"/>
        </w:rPr>
        <w:t>近</w:t>
      </w:r>
      <w:r w:rsidR="007123EA">
        <w:rPr>
          <w:rFonts w:hint="eastAsia"/>
        </w:rPr>
        <w:t>10年間</w:t>
      </w:r>
      <w:r w:rsidR="008D0B0A">
        <w:rPr>
          <w:rFonts w:hint="eastAsia"/>
        </w:rPr>
        <w:t>平均每年</w:t>
      </w:r>
      <w:r w:rsidR="007123EA">
        <w:rPr>
          <w:rFonts w:hint="eastAsia"/>
        </w:rPr>
        <w:t>約16</w:t>
      </w:r>
      <w:r w:rsidR="005A6E3D">
        <w:rPr>
          <w:rFonts w:hint="eastAsia"/>
        </w:rPr>
        <w:t>0件</w:t>
      </w:r>
      <w:r w:rsidR="007123EA">
        <w:rPr>
          <w:rFonts w:hint="eastAsia"/>
        </w:rPr>
        <w:t>左右</w:t>
      </w:r>
      <w:r w:rsidR="00787C57">
        <w:rPr>
          <w:rFonts w:hint="eastAsia"/>
        </w:rPr>
        <w:t>。</w:t>
      </w:r>
      <w:r>
        <w:rPr>
          <w:rFonts w:hint="eastAsia"/>
        </w:rPr>
        <w:t>是以，</w:t>
      </w:r>
      <w:r w:rsidR="008D0B0A">
        <w:rPr>
          <w:rFonts w:hint="eastAsia"/>
        </w:rPr>
        <w:t>我國每年約有</w:t>
      </w:r>
      <w:r w:rsidR="008D0B0A" w:rsidRPr="008D0B0A">
        <w:rPr>
          <w:rFonts w:hint="eastAsia"/>
        </w:rPr>
        <w:t>1萬2千件左右</w:t>
      </w:r>
      <w:r w:rsidR="008D0B0A">
        <w:rPr>
          <w:rFonts w:hint="eastAsia"/>
        </w:rPr>
        <w:t>之藥品不良反應通報，</w:t>
      </w:r>
      <w:r w:rsidR="00F52651">
        <w:rPr>
          <w:rFonts w:hint="eastAsia"/>
        </w:rPr>
        <w:t>相較之下，</w:t>
      </w:r>
      <w:r w:rsidR="008D0B0A">
        <w:rPr>
          <w:rFonts w:hint="eastAsia"/>
        </w:rPr>
        <w:t>申請藥害救濟</w:t>
      </w:r>
      <w:r w:rsidR="005A6E3D" w:rsidRPr="005A6E3D">
        <w:rPr>
          <w:rFonts w:hint="eastAsia"/>
        </w:rPr>
        <w:t>年約160件左右</w:t>
      </w:r>
      <w:r w:rsidR="005A6E3D">
        <w:rPr>
          <w:rFonts w:hint="eastAsia"/>
        </w:rPr>
        <w:t>，申請者</w:t>
      </w:r>
      <w:r w:rsidR="0013419F">
        <w:rPr>
          <w:rFonts w:hint="eastAsia"/>
        </w:rPr>
        <w:t>約</w:t>
      </w:r>
      <w:r w:rsidR="00122BDB">
        <w:rPr>
          <w:rFonts w:hint="eastAsia"/>
        </w:rPr>
        <w:t>占</w:t>
      </w:r>
      <w:r w:rsidR="00122BDB" w:rsidRPr="00122BDB">
        <w:rPr>
          <w:rFonts w:hint="eastAsia"/>
        </w:rPr>
        <w:t>藥品不良反應通報數</w:t>
      </w:r>
      <w:r w:rsidR="00122BDB">
        <w:rPr>
          <w:rFonts w:hint="eastAsia"/>
        </w:rPr>
        <w:t>每年</w:t>
      </w:r>
      <w:r w:rsidR="005A6E3D">
        <w:rPr>
          <w:rFonts w:hint="eastAsia"/>
        </w:rPr>
        <w:t>百分之一。</w:t>
      </w:r>
    </w:p>
    <w:p w:rsidR="00C11043" w:rsidRDefault="00291ECC" w:rsidP="00AB723E">
      <w:pPr>
        <w:pStyle w:val="3"/>
      </w:pPr>
      <w:r>
        <w:rPr>
          <w:rFonts w:hint="eastAsia"/>
        </w:rPr>
        <w:t>據食藥署表示，藥品不良反應通報資</w:t>
      </w:r>
      <w:r w:rsidR="006E7F0F">
        <w:rPr>
          <w:rFonts w:hint="eastAsia"/>
        </w:rPr>
        <w:t>料</w:t>
      </w:r>
      <w:r>
        <w:rPr>
          <w:rFonts w:hint="eastAsia"/>
        </w:rPr>
        <w:t>之運用限制</w:t>
      </w:r>
      <w:r w:rsidR="00AC4B61">
        <w:rPr>
          <w:rFonts w:hint="eastAsia"/>
        </w:rPr>
        <w:t>有：（1）</w:t>
      </w:r>
      <w:r w:rsidR="002A3DEE">
        <w:rPr>
          <w:rFonts w:hint="eastAsia"/>
        </w:rPr>
        <w:t>藥品不良反應通報事件發生時序上在使用藥品之後，並不表示皆為使用藥品所致。</w:t>
      </w:r>
      <w:r w:rsidR="00AC4B61">
        <w:rPr>
          <w:rFonts w:hint="eastAsia"/>
        </w:rPr>
        <w:t>（2）</w:t>
      </w:r>
      <w:r w:rsidR="002A3DEE">
        <w:rPr>
          <w:rFonts w:hint="eastAsia"/>
        </w:rPr>
        <w:t>多數藥品不良反應通報案例屬仿單已刊載之常見且可預期之藥品不良反應，且多數通報資料限於評估資料不足，尚難判定藥品與不良反應間是否具因果關係。</w:t>
      </w:r>
      <w:r w:rsidR="00AC4B61">
        <w:rPr>
          <w:rFonts w:hint="eastAsia"/>
        </w:rPr>
        <w:t>（3）</w:t>
      </w:r>
      <w:r w:rsidR="002A3DEE">
        <w:rPr>
          <w:rFonts w:hint="eastAsia"/>
        </w:rPr>
        <w:t>藥害救濟需由請求權人提出藥害救濟申請後，衛福部方得據以認定是否符合得申請救濟之「藥害」</w:t>
      </w:r>
      <w:r w:rsidR="00AC4B61">
        <w:rPr>
          <w:rFonts w:hint="eastAsia"/>
        </w:rPr>
        <w:t>，</w:t>
      </w:r>
      <w:r w:rsidR="002A3DEE">
        <w:rPr>
          <w:rFonts w:hint="eastAsia"/>
        </w:rPr>
        <w:t>尚難在請求權人未提出藥害救濟申請前，就個案予以審查。</w:t>
      </w:r>
    </w:p>
    <w:p w:rsidR="006E7F0F" w:rsidRDefault="006E7F0F" w:rsidP="00AB723E">
      <w:pPr>
        <w:pStyle w:val="3"/>
      </w:pPr>
      <w:r>
        <w:rPr>
          <w:rFonts w:hint="eastAsia"/>
        </w:rPr>
        <w:t>雖就</w:t>
      </w:r>
      <w:r w:rsidR="00291ECC" w:rsidRPr="006E7F0F">
        <w:rPr>
          <w:rFonts w:hint="eastAsia"/>
        </w:rPr>
        <w:t>藥品不良反應通報</w:t>
      </w:r>
      <w:r>
        <w:rPr>
          <w:rFonts w:hint="eastAsia"/>
        </w:rPr>
        <w:t>之</w:t>
      </w:r>
      <w:r w:rsidR="00291ECC" w:rsidRPr="006E7F0F">
        <w:rPr>
          <w:rFonts w:hint="eastAsia"/>
        </w:rPr>
        <w:t>資</w:t>
      </w:r>
      <w:r w:rsidRPr="006E7F0F">
        <w:rPr>
          <w:rFonts w:hint="eastAsia"/>
        </w:rPr>
        <w:t>料</w:t>
      </w:r>
      <w:r>
        <w:rPr>
          <w:rFonts w:hint="eastAsia"/>
        </w:rPr>
        <w:t>運用於藥害救濟申請案件之推估受限於上開情事，然</w:t>
      </w:r>
      <w:r w:rsidR="002A3DEE" w:rsidRPr="006E7F0F">
        <w:rPr>
          <w:rFonts w:hint="eastAsia"/>
        </w:rPr>
        <w:t>藥害救濟需由請求權人提出藥害救濟申請</w:t>
      </w:r>
      <w:r>
        <w:rPr>
          <w:rFonts w:hint="eastAsia"/>
        </w:rPr>
        <w:t>，主要決定於民眾有足夠資訊或認知其在使用合法藥物若發生不良反應後，能瞭解其</w:t>
      </w:r>
      <w:r w:rsidR="00353BD9">
        <w:rPr>
          <w:rFonts w:hint="eastAsia"/>
        </w:rPr>
        <w:t>有</w:t>
      </w:r>
      <w:r w:rsidR="00FC41CB">
        <w:rPr>
          <w:rFonts w:hint="eastAsia"/>
        </w:rPr>
        <w:t>進行</w:t>
      </w:r>
      <w:r>
        <w:rPr>
          <w:rFonts w:hint="eastAsia"/>
        </w:rPr>
        <w:t>救濟</w:t>
      </w:r>
      <w:r w:rsidR="00FC41CB">
        <w:rPr>
          <w:rFonts w:hint="eastAsia"/>
        </w:rPr>
        <w:t>之管道</w:t>
      </w:r>
      <w:r w:rsidR="003A60DC">
        <w:rPr>
          <w:rFonts w:hint="eastAsia"/>
        </w:rPr>
        <w:t>為前提</w:t>
      </w:r>
      <w:r w:rsidR="00FC41CB">
        <w:rPr>
          <w:rFonts w:hint="eastAsia"/>
        </w:rPr>
        <w:t>，</w:t>
      </w:r>
      <w:r w:rsidR="00F661E2">
        <w:rPr>
          <w:rFonts w:hint="eastAsia"/>
        </w:rPr>
        <w:t>就前開</w:t>
      </w:r>
      <w:r w:rsidR="00F661E2" w:rsidRPr="00F661E2">
        <w:rPr>
          <w:rFonts w:hint="eastAsia"/>
        </w:rPr>
        <w:t>我國每</w:t>
      </w:r>
      <w:r w:rsidR="00F661E2" w:rsidRPr="00F661E2">
        <w:rPr>
          <w:rFonts w:hint="eastAsia"/>
        </w:rPr>
        <w:lastRenderedPageBreak/>
        <w:t>年約有1萬2千件左右之藥品不良反應通報，而申請藥害救濟年約160件左右，申請者僅約百分之一</w:t>
      </w:r>
      <w:r w:rsidR="00F661E2">
        <w:rPr>
          <w:rFonts w:hint="eastAsia"/>
        </w:rPr>
        <w:t>之數據而言，</w:t>
      </w:r>
      <w:r w:rsidR="00CB583D">
        <w:rPr>
          <w:rFonts w:hint="eastAsia"/>
        </w:rPr>
        <w:t>其餘百分之99之藥</w:t>
      </w:r>
      <w:r w:rsidR="00FD258B">
        <w:rPr>
          <w:rFonts w:hint="eastAsia"/>
        </w:rPr>
        <w:t>品</w:t>
      </w:r>
      <w:r w:rsidR="00CB583D">
        <w:rPr>
          <w:rFonts w:hint="eastAsia"/>
        </w:rPr>
        <w:t>不良通報者</w:t>
      </w:r>
      <w:r w:rsidR="00A31EB0">
        <w:rPr>
          <w:rFonts w:hint="eastAsia"/>
        </w:rPr>
        <w:t>，甚至未進行藥</w:t>
      </w:r>
      <w:r w:rsidR="00FD258B">
        <w:rPr>
          <w:rFonts w:hint="eastAsia"/>
        </w:rPr>
        <w:t>品</w:t>
      </w:r>
      <w:r w:rsidR="00A31EB0">
        <w:rPr>
          <w:rFonts w:hint="eastAsia"/>
        </w:rPr>
        <w:t>不良反應</w:t>
      </w:r>
      <w:r w:rsidR="003A60DC">
        <w:rPr>
          <w:rFonts w:hint="eastAsia"/>
        </w:rPr>
        <w:t>通報</w:t>
      </w:r>
      <w:r w:rsidR="00CB583D">
        <w:rPr>
          <w:rFonts w:hint="eastAsia"/>
        </w:rPr>
        <w:t>，</w:t>
      </w:r>
      <w:r w:rsidR="003A60DC">
        <w:rPr>
          <w:rFonts w:hint="eastAsia"/>
        </w:rPr>
        <w:t>該等用藥不良反應者</w:t>
      </w:r>
      <w:r w:rsidR="00A31EB0">
        <w:rPr>
          <w:rFonts w:hint="eastAsia"/>
        </w:rPr>
        <w:t>是否</w:t>
      </w:r>
      <w:r w:rsidR="00A31EB0" w:rsidRPr="00A31EB0">
        <w:rPr>
          <w:rFonts w:hint="eastAsia"/>
        </w:rPr>
        <w:t>瞭解其有</w:t>
      </w:r>
      <w:r w:rsidR="00053750">
        <w:rPr>
          <w:rFonts w:hint="eastAsia"/>
        </w:rPr>
        <w:t>藥害</w:t>
      </w:r>
      <w:r w:rsidR="00A31EB0" w:rsidRPr="00A31EB0">
        <w:rPr>
          <w:rFonts w:hint="eastAsia"/>
        </w:rPr>
        <w:t>救濟之管道</w:t>
      </w:r>
      <w:r w:rsidR="00A31EB0">
        <w:rPr>
          <w:rFonts w:hint="eastAsia"/>
        </w:rPr>
        <w:t>，不無疑義。</w:t>
      </w:r>
      <w:r w:rsidR="00B35B92">
        <w:rPr>
          <w:rFonts w:hint="eastAsia"/>
        </w:rPr>
        <w:t>目前食藥署</w:t>
      </w:r>
      <w:r w:rsidR="00B35B92" w:rsidRPr="00B35B92">
        <w:rPr>
          <w:rFonts w:hint="eastAsia"/>
        </w:rPr>
        <w:t>以藥害救濟申請資訊來源，評估各管道宣導成效，過於被動</w:t>
      </w:r>
      <w:r w:rsidR="00B35B92">
        <w:rPr>
          <w:rFonts w:hint="eastAsia"/>
        </w:rPr>
        <w:t>；</w:t>
      </w:r>
      <w:r w:rsidR="00B35B92" w:rsidRPr="00B35B92">
        <w:rPr>
          <w:rFonts w:hint="eastAsia"/>
        </w:rPr>
        <w:t>又考量偏鄉地區醫療資源及資訊相較不足，允宜研議相關更親民方式加以宣導，</w:t>
      </w:r>
      <w:r w:rsidR="00B35B92">
        <w:rPr>
          <w:rFonts w:hint="eastAsia"/>
        </w:rPr>
        <w:t>以</w:t>
      </w:r>
      <w:r w:rsidR="00B35B92" w:rsidRPr="00B35B92">
        <w:rPr>
          <w:rFonts w:hint="eastAsia"/>
        </w:rPr>
        <w:t>強化現行之</w:t>
      </w:r>
      <w:r w:rsidR="00B35B92">
        <w:rPr>
          <w:rFonts w:hint="eastAsia"/>
        </w:rPr>
        <w:t>宣導</w:t>
      </w:r>
      <w:r w:rsidR="00B35B92" w:rsidRPr="00B35B92">
        <w:rPr>
          <w:rFonts w:hint="eastAsia"/>
        </w:rPr>
        <w:t>。</w:t>
      </w:r>
    </w:p>
    <w:p w:rsidR="00CC6A3E" w:rsidRPr="00CC6A3E" w:rsidRDefault="00CC6A3E" w:rsidP="00AB723E">
      <w:pPr>
        <w:pStyle w:val="3"/>
      </w:pPr>
      <w:r>
        <w:rPr>
          <w:rFonts w:hint="eastAsia"/>
        </w:rPr>
        <w:t>綜上，</w:t>
      </w:r>
      <w:r w:rsidRPr="00CC6A3E">
        <w:rPr>
          <w:rFonts w:hint="eastAsia"/>
        </w:rPr>
        <w:t>食藥署歷年對藥害預防及申請之宣導係利用藥袋標示、分眾宣導、運用網路、各媒體工具、衛教等方式進行，並以藥害救濟申請資訊來源，評估各管道宣導成效</w:t>
      </w:r>
      <w:r w:rsidR="00FE06E3" w:rsidRPr="00FE06E3">
        <w:rPr>
          <w:rFonts w:hint="eastAsia"/>
        </w:rPr>
        <w:t>，過於被動；</w:t>
      </w:r>
      <w:r w:rsidRPr="00CC6A3E">
        <w:rPr>
          <w:rFonts w:hint="eastAsia"/>
        </w:rPr>
        <w:t>又考量偏鄉地區醫療資源及資訊相較不足，</w:t>
      </w:r>
      <w:r w:rsidR="002C0FDA">
        <w:rPr>
          <w:rFonts w:hint="eastAsia"/>
        </w:rPr>
        <w:t>允宜因地制宜</w:t>
      </w:r>
      <w:r w:rsidRPr="00CC6A3E">
        <w:rPr>
          <w:rFonts w:hint="eastAsia"/>
        </w:rPr>
        <w:t>研議相關更親民方式加以宣導，強化現行之</w:t>
      </w:r>
      <w:r w:rsidR="00B63B56">
        <w:rPr>
          <w:rFonts w:hint="eastAsia"/>
        </w:rPr>
        <w:t>宣導</w:t>
      </w:r>
      <w:r w:rsidRPr="00CC6A3E">
        <w:rPr>
          <w:rFonts w:hint="eastAsia"/>
        </w:rPr>
        <w:t>。</w:t>
      </w:r>
    </w:p>
    <w:p w:rsidR="00D20956" w:rsidRDefault="00D20956" w:rsidP="005D4AC8">
      <w:pPr>
        <w:pStyle w:val="2"/>
        <w:spacing w:beforeLines="50" w:before="228"/>
        <w:ind w:left="1020" w:hanging="680"/>
        <w:rPr>
          <w:b/>
        </w:rPr>
      </w:pPr>
      <w:r w:rsidRPr="00FC068D">
        <w:rPr>
          <w:b/>
        </w:rPr>
        <w:t>藥害救濟法</w:t>
      </w:r>
      <w:r w:rsidRPr="00FC068D">
        <w:rPr>
          <w:rFonts w:hint="eastAsia"/>
          <w:b/>
        </w:rPr>
        <w:t>明</w:t>
      </w:r>
      <w:r w:rsidR="00E872B7">
        <w:rPr>
          <w:rFonts w:hint="eastAsia"/>
          <w:b/>
        </w:rPr>
        <w:t>定</w:t>
      </w:r>
      <w:r w:rsidRPr="00FC068D">
        <w:rPr>
          <w:rFonts w:hint="eastAsia"/>
          <w:b/>
        </w:rPr>
        <w:t>因正當使用合法藥物所生藥害，得依規定請求救濟</w:t>
      </w:r>
      <w:r w:rsidR="00FD24A3">
        <w:rPr>
          <w:rFonts w:hint="eastAsia"/>
          <w:b/>
        </w:rPr>
        <w:t>，而</w:t>
      </w:r>
      <w:r w:rsidRPr="00FC068D">
        <w:rPr>
          <w:b/>
        </w:rPr>
        <w:t>主管機關得考量藥害救濟基金財務狀況，依藥害救濟急迫程度，分階段實施</w:t>
      </w:r>
      <w:r w:rsidRPr="00FC068D">
        <w:rPr>
          <w:rFonts w:hint="eastAsia"/>
          <w:b/>
        </w:rPr>
        <w:t>。</w:t>
      </w:r>
      <w:r w:rsidRPr="00FC068D">
        <w:rPr>
          <w:b/>
        </w:rPr>
        <w:t>前衛生署</w:t>
      </w:r>
      <w:r w:rsidRPr="00FC068D">
        <w:rPr>
          <w:rFonts w:hint="eastAsia"/>
          <w:b/>
        </w:rPr>
        <w:t>並於</w:t>
      </w:r>
      <w:r w:rsidRPr="00FC068D">
        <w:rPr>
          <w:b/>
        </w:rPr>
        <w:t>89年公告，第一階段適用藥害救濟法之藥物範圍，暫不含中藥</w:t>
      </w:r>
      <w:r w:rsidRPr="00FC068D">
        <w:rPr>
          <w:rFonts w:hint="eastAsia"/>
          <w:b/>
        </w:rPr>
        <w:t>及</w:t>
      </w:r>
      <w:r w:rsidRPr="00FC068D">
        <w:rPr>
          <w:b/>
        </w:rPr>
        <w:t>醫療器材</w:t>
      </w:r>
      <w:r w:rsidR="00FD24A3">
        <w:rPr>
          <w:rFonts w:hint="eastAsia"/>
          <w:b/>
        </w:rPr>
        <w:t>之</w:t>
      </w:r>
      <w:r w:rsidRPr="00FC068D">
        <w:rPr>
          <w:b/>
        </w:rPr>
        <w:t>適用</w:t>
      </w:r>
      <w:r w:rsidR="00FD24A3">
        <w:rPr>
          <w:rFonts w:hint="eastAsia"/>
          <w:b/>
        </w:rPr>
        <w:t>；</w:t>
      </w:r>
      <w:r w:rsidRPr="00FC068D">
        <w:rPr>
          <w:rFonts w:hint="eastAsia"/>
          <w:b/>
        </w:rPr>
        <w:t>然第一階段實施已近20年，</w:t>
      </w:r>
      <w:r w:rsidR="00FD24A3">
        <w:rPr>
          <w:rFonts w:hint="eastAsia"/>
          <w:b/>
        </w:rPr>
        <w:t>迄</w:t>
      </w:r>
      <w:r w:rsidRPr="00FC068D">
        <w:rPr>
          <w:rFonts w:hint="eastAsia"/>
          <w:b/>
        </w:rPr>
        <w:t>仍未分階段納入中藥及醫療器材</w:t>
      </w:r>
      <w:r w:rsidR="00FC068D" w:rsidRPr="00FC068D">
        <w:rPr>
          <w:rFonts w:hint="eastAsia"/>
          <w:b/>
        </w:rPr>
        <w:t>為救濟範圍</w:t>
      </w:r>
      <w:r w:rsidRPr="00FC068D">
        <w:rPr>
          <w:rFonts w:hint="eastAsia"/>
          <w:b/>
        </w:rPr>
        <w:t>，</w:t>
      </w:r>
      <w:r w:rsidR="00655E1E" w:rsidRPr="00C05DD1">
        <w:rPr>
          <w:rFonts w:hint="eastAsia"/>
          <w:b/>
        </w:rPr>
        <w:t>食藥署允應定期檢討中藥及醫療器材納入救濟範圍</w:t>
      </w:r>
      <w:r w:rsidR="00A43932" w:rsidRPr="00C05DD1">
        <w:rPr>
          <w:rFonts w:hint="eastAsia"/>
          <w:b/>
        </w:rPr>
        <w:t>或仍有窒礙難行之處亦應積極尋求修法解決</w:t>
      </w:r>
      <w:r w:rsidR="00655E1E" w:rsidRPr="00C05DD1">
        <w:rPr>
          <w:rFonts w:hint="eastAsia"/>
          <w:b/>
        </w:rPr>
        <w:t>，避免阻絕受藥害者尋求救濟之機會</w:t>
      </w:r>
    </w:p>
    <w:p w:rsidR="0032397C" w:rsidRPr="00EF35B5" w:rsidRDefault="00DC5F13" w:rsidP="00AB723E">
      <w:pPr>
        <w:pStyle w:val="3"/>
        <w:numPr>
          <w:ilvl w:val="0"/>
          <w:numId w:val="38"/>
        </w:numPr>
        <w:ind w:left="1418" w:hanging="722"/>
      </w:pPr>
      <w:r w:rsidRPr="00DC5F13">
        <w:rPr>
          <w:rFonts w:hint="eastAsia"/>
        </w:rPr>
        <w:t>藥害救濟法第1條規定：「為使正當使用合法藥物而受害者，獲得及時救濟，特制定本法。」</w:t>
      </w:r>
      <w:r w:rsidR="006349BA">
        <w:rPr>
          <w:rFonts w:hint="eastAsia"/>
        </w:rPr>
        <w:t>同法</w:t>
      </w:r>
      <w:r w:rsidR="0032397C">
        <w:rPr>
          <w:rFonts w:hint="eastAsia"/>
        </w:rPr>
        <w:t>第4條規定：</w:t>
      </w:r>
      <w:r w:rsidR="0032397C" w:rsidRPr="0032397C">
        <w:rPr>
          <w:rFonts w:hint="eastAsia"/>
        </w:rPr>
        <w:t>「因正當使用合法藥物所生藥害，得依本法規定請求救濟。</w:t>
      </w:r>
      <w:r w:rsidR="0032397C" w:rsidRPr="0032397C">
        <w:t>……</w:t>
      </w:r>
      <w:r w:rsidR="0032397C" w:rsidRPr="0032397C">
        <w:rPr>
          <w:rFonts w:hint="eastAsia"/>
        </w:rPr>
        <w:t>第一項救濟，主管機關於必要時，得考量藥害救濟基金財務狀況，依藥害救濟急迫程</w:t>
      </w:r>
      <w:r w:rsidR="0032397C" w:rsidRPr="0032397C">
        <w:rPr>
          <w:rFonts w:hint="eastAsia"/>
        </w:rPr>
        <w:lastRenderedPageBreak/>
        <w:t>度，分階段實施之。」</w:t>
      </w:r>
      <w:r>
        <w:rPr>
          <w:rFonts w:hint="eastAsia"/>
        </w:rPr>
        <w:t>可知，民眾如</w:t>
      </w:r>
      <w:r w:rsidRPr="00DC5F13">
        <w:rPr>
          <w:rFonts w:hint="eastAsia"/>
        </w:rPr>
        <w:t>正當使用合法藥物而受害者</w:t>
      </w:r>
      <w:r>
        <w:rPr>
          <w:rFonts w:hint="eastAsia"/>
        </w:rPr>
        <w:t>，可依藥害救濟法請求救濟。</w:t>
      </w:r>
    </w:p>
    <w:p w:rsidR="0090068B" w:rsidRPr="0090068B" w:rsidRDefault="0090068B" w:rsidP="00AB723E">
      <w:pPr>
        <w:pStyle w:val="3"/>
      </w:pPr>
      <w:r>
        <w:rPr>
          <w:rFonts w:hint="eastAsia"/>
        </w:rPr>
        <w:t>查</w:t>
      </w:r>
      <w:r w:rsidR="00984B27">
        <w:rPr>
          <w:rFonts w:hint="eastAsia"/>
        </w:rPr>
        <w:t>藥事法第4條規定：</w:t>
      </w:r>
      <w:r w:rsidR="00984B27" w:rsidRPr="005B16E2">
        <w:rPr>
          <w:rFonts w:hint="eastAsia"/>
        </w:rPr>
        <w:t>「本法所稱藥物，係指藥品及醫療器材。」</w:t>
      </w:r>
      <w:r w:rsidR="005B16E2" w:rsidRPr="005B16E2">
        <w:rPr>
          <w:rFonts w:hint="eastAsia"/>
        </w:rPr>
        <w:t>同法第8條略以：「本法所稱製劑，係指以原料藥經加工調製，製成一定劑型及劑量之藥品。（第1項）製劑分為醫師處方藥品、醫師藥師藥劑生指示藥品、成藥及固有成方製劑。（第2項）」及第10條：「本法所稱固有成方製劑，係指依中央衛生主管機關選定公告具有醫療效能之傳統中藥處方調製 (劑) 之方劑。」</w:t>
      </w:r>
      <w:r w:rsidR="001E028C">
        <w:rPr>
          <w:rFonts w:hint="eastAsia"/>
        </w:rPr>
        <w:t>是以，藥害救濟法所含括之救濟範圍包括</w:t>
      </w:r>
      <w:r w:rsidR="001E028C" w:rsidRPr="001E028C">
        <w:rPr>
          <w:rFonts w:hint="eastAsia"/>
        </w:rPr>
        <w:t>因正當使用合法</w:t>
      </w:r>
      <w:r w:rsidR="001E028C">
        <w:rPr>
          <w:rFonts w:hint="eastAsia"/>
        </w:rPr>
        <w:t>醫療器材及中藥</w:t>
      </w:r>
      <w:r w:rsidR="001E028C" w:rsidRPr="001E028C">
        <w:rPr>
          <w:rFonts w:hint="eastAsia"/>
        </w:rPr>
        <w:t>所生藥害</w:t>
      </w:r>
      <w:r w:rsidR="001E028C">
        <w:rPr>
          <w:rFonts w:hint="eastAsia"/>
        </w:rPr>
        <w:t>之</w:t>
      </w:r>
      <w:r w:rsidR="001E028C" w:rsidRPr="001E028C">
        <w:rPr>
          <w:rFonts w:hint="eastAsia"/>
        </w:rPr>
        <w:t>救濟。</w:t>
      </w:r>
    </w:p>
    <w:p w:rsidR="00EF35B5" w:rsidRPr="00EF35B5" w:rsidRDefault="00F55C17" w:rsidP="00AB723E">
      <w:pPr>
        <w:pStyle w:val="3"/>
      </w:pPr>
      <w:r>
        <w:rPr>
          <w:rFonts w:hint="eastAsia"/>
        </w:rPr>
        <w:t>次</w:t>
      </w:r>
      <w:r w:rsidR="00EF35B5">
        <w:rPr>
          <w:rFonts w:hint="eastAsia"/>
        </w:rPr>
        <w:t>查</w:t>
      </w:r>
      <w:r w:rsidR="00EF35B5" w:rsidRPr="00EF35B5">
        <w:rPr>
          <w:rFonts w:hint="eastAsia"/>
        </w:rPr>
        <w:t>前衛生署</w:t>
      </w:r>
      <w:r w:rsidR="00567C22">
        <w:rPr>
          <w:rFonts w:hint="eastAsia"/>
        </w:rPr>
        <w:t>於</w:t>
      </w:r>
      <w:r w:rsidR="00EF35B5" w:rsidRPr="00EF35B5">
        <w:rPr>
          <w:rFonts w:hint="eastAsia"/>
        </w:rPr>
        <w:t>89年6月20日衛署藥字第89034185號公告，第一階段適用藥害救濟法之藥物範圍，限於藥事法第6條所規定之製劑，但暫不含中藥；至於藥事法第5條規定之試驗用藥品，及第13條規定之醫療器材則暫不適用。</w:t>
      </w:r>
    </w:p>
    <w:p w:rsidR="00EF35B5" w:rsidRPr="00FC068D" w:rsidRDefault="00567C22" w:rsidP="00AB723E">
      <w:pPr>
        <w:pStyle w:val="3"/>
      </w:pPr>
      <w:r>
        <w:rPr>
          <w:rFonts w:hint="eastAsia"/>
        </w:rPr>
        <w:t>針對</w:t>
      </w:r>
      <w:r w:rsidRPr="00567C22">
        <w:rPr>
          <w:rFonts w:hint="eastAsia"/>
        </w:rPr>
        <w:t>第一階段實施適用藥害救濟法之藥物範圍</w:t>
      </w:r>
      <w:r>
        <w:rPr>
          <w:rFonts w:hint="eastAsia"/>
        </w:rPr>
        <w:t>，自89年公告迄今</w:t>
      </w:r>
      <w:r w:rsidRPr="00567C22">
        <w:rPr>
          <w:rFonts w:hint="eastAsia"/>
        </w:rPr>
        <w:t>已將近20年，</w:t>
      </w:r>
      <w:r>
        <w:rPr>
          <w:rFonts w:hint="eastAsia"/>
        </w:rPr>
        <w:t>目前藥害救濟範圍</w:t>
      </w:r>
      <w:r w:rsidRPr="00567C22">
        <w:rPr>
          <w:rFonts w:hint="eastAsia"/>
        </w:rPr>
        <w:t>仍未納入中藥及醫療器材實施</w:t>
      </w:r>
      <w:r>
        <w:rPr>
          <w:rFonts w:hint="eastAsia"/>
        </w:rPr>
        <w:t>一節，</w:t>
      </w:r>
      <w:r w:rsidR="00EF35B5">
        <w:rPr>
          <w:rFonts w:hint="eastAsia"/>
        </w:rPr>
        <w:t>據衛福部表示：</w:t>
      </w:r>
    </w:p>
    <w:p w:rsidR="00E24621" w:rsidRPr="00A65107" w:rsidRDefault="00E24621" w:rsidP="00A65107">
      <w:pPr>
        <w:pStyle w:val="4"/>
        <w:rPr>
          <w:rFonts w:ascii="Times New Roman" w:hAnsi="Times New Roman"/>
        </w:rPr>
      </w:pPr>
      <w:r>
        <w:rPr>
          <w:rFonts w:hint="eastAsia"/>
        </w:rPr>
        <w:t>中藥係天然物，</w:t>
      </w:r>
      <w:r w:rsidR="00A3518E" w:rsidRPr="00A3518E">
        <w:rPr>
          <w:rFonts w:hint="eastAsia"/>
        </w:rPr>
        <w:t>成分</w:t>
      </w:r>
      <w:r>
        <w:rPr>
          <w:rFonts w:hint="eastAsia"/>
        </w:rPr>
        <w:t>多種複雜，</w:t>
      </w:r>
      <w:r w:rsidR="00F71EE5">
        <w:rPr>
          <w:rFonts w:hint="eastAsia"/>
        </w:rPr>
        <w:t>且</w:t>
      </w:r>
      <w:r>
        <w:rPr>
          <w:rFonts w:hint="eastAsia"/>
        </w:rPr>
        <w:t>臨床應用常為複方，追蹤鑑別原因與傷害間因果關係困難性高。目前中藥以具有長久使用歷史的固有典籍所載處方為依據，有某種程度的使用安全性，中藥人體臨床試驗發生不良反應或副作用等臨床資料稀少，需先釐清其所造成不良反應因果關係，並建立中藥藥害評估流程。</w:t>
      </w:r>
      <w:r w:rsidR="00CE679D">
        <w:rPr>
          <w:rFonts w:hint="eastAsia"/>
        </w:rPr>
        <w:t>依</w:t>
      </w:r>
      <w:r w:rsidR="00A65107">
        <w:rPr>
          <w:rFonts w:hint="eastAsia"/>
        </w:rPr>
        <w:t>衛福部</w:t>
      </w:r>
      <w:r>
        <w:rPr>
          <w:rFonts w:hint="eastAsia"/>
        </w:rPr>
        <w:t>90-107年間1,929件中藥不良反應通報案之評估分析結果，中藥與其不良反應之相關性被評為「確定」者，</w:t>
      </w:r>
      <w:r w:rsidR="00921C77">
        <w:rPr>
          <w:rFonts w:hint="eastAsia"/>
        </w:rPr>
        <w:t>占</w:t>
      </w:r>
      <w:r>
        <w:rPr>
          <w:rFonts w:hint="eastAsia"/>
        </w:rPr>
        <w:t>整體通報案件比率為0%，顯示要釐清中藥造成</w:t>
      </w:r>
      <w:r>
        <w:rPr>
          <w:rFonts w:hint="eastAsia"/>
        </w:rPr>
        <w:lastRenderedPageBreak/>
        <w:t>不良反應間因果關係，相較西藥有其困難性。</w:t>
      </w:r>
    </w:p>
    <w:p w:rsidR="003A5927" w:rsidRDefault="00E24621" w:rsidP="00A65107">
      <w:pPr>
        <w:pStyle w:val="4"/>
      </w:pPr>
      <w:r w:rsidRPr="00A529A8">
        <w:rPr>
          <w:rFonts w:hint="eastAsia"/>
        </w:rPr>
        <w:t>因醫療器材態樣多，使用醫療器材倘產生不良反應，可能存在醫療器材本身或</w:t>
      </w:r>
      <w:r w:rsidR="00A3518E">
        <w:rPr>
          <w:rFonts w:hint="eastAsia"/>
        </w:rPr>
        <w:t>(</w:t>
      </w:r>
      <w:r w:rsidRPr="00A529A8">
        <w:rPr>
          <w:rFonts w:hint="eastAsia"/>
        </w:rPr>
        <w:t>及</w:t>
      </w:r>
      <w:r w:rsidR="00A3518E">
        <w:rPr>
          <w:rFonts w:hint="eastAsia"/>
        </w:rPr>
        <w:t>)</w:t>
      </w:r>
      <w:r w:rsidRPr="00A529A8">
        <w:rPr>
          <w:rFonts w:hint="eastAsia"/>
        </w:rPr>
        <w:t>操作方式等原因，難評估該不良反應與醫療器材關連性，且國際上考量醫療器材前述特質，尚未有提供藥害救濟之情形，故醫療器材仍暫不納入藥害救濟。</w:t>
      </w:r>
    </w:p>
    <w:p w:rsidR="00FE6559" w:rsidRDefault="00FE6559" w:rsidP="00AB723E">
      <w:pPr>
        <w:pStyle w:val="3"/>
      </w:pPr>
      <w:r>
        <w:rPr>
          <w:rFonts w:hint="eastAsia"/>
        </w:rPr>
        <w:t>按藥害救濟之分階段實施，係主管機關在考量</w:t>
      </w:r>
      <w:r w:rsidRPr="00FE6559">
        <w:rPr>
          <w:rFonts w:hint="eastAsia"/>
        </w:rPr>
        <w:t>藥害救濟基金財務狀況，依藥害救濟急迫程度，分階段實施之</w:t>
      </w:r>
      <w:r>
        <w:rPr>
          <w:rFonts w:hint="eastAsia"/>
        </w:rPr>
        <w:t>，此為藥害救濟法第4條所明定。查自103年起基金每年皆有剩餘，且達法定金額以上，</w:t>
      </w:r>
      <w:r w:rsidRPr="00FE6559">
        <w:rPr>
          <w:rFonts w:hint="eastAsia"/>
        </w:rPr>
        <w:t>截至107年止，基金餘額累計達4億3千多萬餘元</w:t>
      </w:r>
      <w:r>
        <w:rPr>
          <w:rFonts w:hint="eastAsia"/>
        </w:rPr>
        <w:t>，已如前述。</w:t>
      </w:r>
      <w:r w:rsidR="00525FC5">
        <w:rPr>
          <w:rFonts w:hint="eastAsia"/>
        </w:rPr>
        <w:t>雖</w:t>
      </w:r>
      <w:r w:rsidR="00525FC5" w:rsidRPr="00525FC5">
        <w:rPr>
          <w:rFonts w:hint="eastAsia"/>
        </w:rPr>
        <w:t>中藥含多種複雜成分且臨床應用常為複方，追蹤鑑別原因與傷害因果，困難性高</w:t>
      </w:r>
      <w:r w:rsidR="00525FC5">
        <w:rPr>
          <w:rFonts w:hint="eastAsia"/>
        </w:rPr>
        <w:t>；又醫療器材</w:t>
      </w:r>
      <w:r w:rsidR="00525FC5" w:rsidRPr="00525FC5">
        <w:rPr>
          <w:rFonts w:hint="eastAsia"/>
        </w:rPr>
        <w:t>存在本身或/及操作方式等，難以評估該不良反應與醫療器材之關連性</w:t>
      </w:r>
      <w:r w:rsidR="00525FC5">
        <w:rPr>
          <w:rFonts w:hint="eastAsia"/>
        </w:rPr>
        <w:t>，惟食藥署仍應定期評估檢討納入藥害之範圍</w:t>
      </w:r>
      <w:r w:rsidR="00A03637">
        <w:rPr>
          <w:rFonts w:hint="eastAsia"/>
        </w:rPr>
        <w:t>或仍有窒礙難行之處亦應積極尋求修法解決</w:t>
      </w:r>
      <w:r w:rsidR="00525FC5">
        <w:rPr>
          <w:rFonts w:hint="eastAsia"/>
        </w:rPr>
        <w:t>，</w:t>
      </w:r>
      <w:r w:rsidR="00A03637" w:rsidRPr="00A03637">
        <w:rPr>
          <w:rFonts w:hint="eastAsia"/>
        </w:rPr>
        <w:t>不應</w:t>
      </w:r>
      <w:r w:rsidR="00681E7E">
        <w:rPr>
          <w:rFonts w:hint="eastAsia"/>
        </w:rPr>
        <w:t>長期</w:t>
      </w:r>
      <w:r w:rsidR="00A03637">
        <w:rPr>
          <w:rFonts w:hint="eastAsia"/>
        </w:rPr>
        <w:t>消極</w:t>
      </w:r>
      <w:r w:rsidR="00196E0F">
        <w:rPr>
          <w:rFonts w:hint="eastAsia"/>
        </w:rPr>
        <w:t>將民眾在使用中藥或醫療器材遭受</w:t>
      </w:r>
      <w:r w:rsidR="00A03637" w:rsidRPr="00A03637">
        <w:rPr>
          <w:rFonts w:hint="eastAsia"/>
        </w:rPr>
        <w:t>藥害</w:t>
      </w:r>
      <w:r w:rsidR="00196E0F">
        <w:rPr>
          <w:rFonts w:hint="eastAsia"/>
        </w:rPr>
        <w:t>排除</w:t>
      </w:r>
      <w:r w:rsidR="00A03637" w:rsidRPr="00A03637">
        <w:rPr>
          <w:rFonts w:hint="eastAsia"/>
        </w:rPr>
        <w:t>救濟之範圍，阻絕受藥害者尋求救濟之機會。</w:t>
      </w:r>
    </w:p>
    <w:p w:rsidR="003A5927" w:rsidRDefault="00655E1E" w:rsidP="00AB723E">
      <w:pPr>
        <w:pStyle w:val="3"/>
      </w:pPr>
      <w:r>
        <w:rPr>
          <w:rFonts w:hint="eastAsia"/>
        </w:rPr>
        <w:t>綜上，</w:t>
      </w:r>
      <w:r w:rsidRPr="00170E3A">
        <w:t>藥害救濟法</w:t>
      </w:r>
      <w:r w:rsidRPr="00170E3A">
        <w:rPr>
          <w:rFonts w:hint="eastAsia"/>
        </w:rPr>
        <w:t>明</w:t>
      </w:r>
      <w:r w:rsidR="00E47DB6">
        <w:rPr>
          <w:rFonts w:hint="eastAsia"/>
        </w:rPr>
        <w:t>定</w:t>
      </w:r>
      <w:r w:rsidRPr="00170E3A">
        <w:rPr>
          <w:rFonts w:hint="eastAsia"/>
        </w:rPr>
        <w:t>因正當使用合法藥物所生藥害，得依規定請求救濟，而</w:t>
      </w:r>
      <w:r w:rsidRPr="00170E3A">
        <w:t>主管機關得考量藥害救濟基金財務狀況，依藥害救濟急迫程度，分階段實施</w:t>
      </w:r>
      <w:r w:rsidRPr="00170E3A">
        <w:rPr>
          <w:rFonts w:hint="eastAsia"/>
        </w:rPr>
        <w:t>。</w:t>
      </w:r>
      <w:r w:rsidRPr="00170E3A">
        <w:t>前衛生署</w:t>
      </w:r>
      <w:r w:rsidRPr="00170E3A">
        <w:rPr>
          <w:rFonts w:hint="eastAsia"/>
        </w:rPr>
        <w:t>並於</w:t>
      </w:r>
      <w:r w:rsidRPr="00170E3A">
        <w:t>89年公告，第一階段適用藥害救濟法之藥物範圍，</w:t>
      </w:r>
      <w:r w:rsidRPr="00170E3A">
        <w:rPr>
          <w:rFonts w:hint="eastAsia"/>
        </w:rPr>
        <w:t>惟</w:t>
      </w:r>
      <w:r w:rsidRPr="00170E3A">
        <w:t>暫不含中藥</w:t>
      </w:r>
      <w:r w:rsidRPr="00170E3A">
        <w:rPr>
          <w:rFonts w:hint="eastAsia"/>
        </w:rPr>
        <w:t>及</w:t>
      </w:r>
      <w:r w:rsidRPr="00170E3A">
        <w:t>醫療器材</w:t>
      </w:r>
      <w:r w:rsidRPr="00170E3A">
        <w:rPr>
          <w:rFonts w:hint="eastAsia"/>
        </w:rPr>
        <w:t>之</w:t>
      </w:r>
      <w:r w:rsidRPr="00170E3A">
        <w:t>適用</w:t>
      </w:r>
      <w:r w:rsidRPr="00170E3A">
        <w:rPr>
          <w:rFonts w:hint="eastAsia"/>
        </w:rPr>
        <w:t>；然第一階段實施已近20年，迄仍未分階段納入中藥及醫療器材為救濟範圍，食藥署允應定期檢討中藥及醫療器材納入救濟範圍</w:t>
      </w:r>
      <w:r w:rsidR="00A43932">
        <w:rPr>
          <w:rFonts w:hint="eastAsia"/>
        </w:rPr>
        <w:t>或</w:t>
      </w:r>
      <w:r w:rsidR="00A43932" w:rsidRPr="00A43932">
        <w:rPr>
          <w:rFonts w:hint="eastAsia"/>
        </w:rPr>
        <w:t>仍有窒礙難行之處亦應積極尋求修法解決</w:t>
      </w:r>
      <w:r w:rsidRPr="00170E3A">
        <w:rPr>
          <w:rFonts w:hint="eastAsia"/>
        </w:rPr>
        <w:t>，避免阻絕受藥害者尋求救濟之機會。</w:t>
      </w:r>
    </w:p>
    <w:p w:rsidR="00E25849" w:rsidRDefault="00E25849"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75"/>
      <w:r>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Pr>
          <w:rFonts w:hint="eastAsia"/>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8F18EC">
        <w:t xml:space="preserve"> </w:t>
      </w:r>
    </w:p>
    <w:p w:rsidR="00E25849" w:rsidRDefault="00FB7770" w:rsidP="008F18EC">
      <w:pPr>
        <w:pStyle w:val="2"/>
        <w:spacing w:beforeLines="25" w:before="114"/>
        <w:ind w:left="1020" w:hanging="680"/>
      </w:pPr>
      <w:bookmarkStart w:id="100" w:name="_Toc524895649"/>
      <w:bookmarkStart w:id="101" w:name="_Toc524896195"/>
      <w:bookmarkStart w:id="102" w:name="_Toc524896225"/>
      <w:bookmarkStart w:id="103" w:name="_Toc70241820"/>
      <w:bookmarkStart w:id="104" w:name="_Toc70242209"/>
      <w:bookmarkStart w:id="105" w:name="_Toc421794876"/>
      <w:bookmarkStart w:id="106" w:name="_Toc421795442"/>
      <w:bookmarkStart w:id="107" w:name="_Toc421796023"/>
      <w:bookmarkStart w:id="108" w:name="_Toc422728958"/>
      <w:bookmarkStart w:id="109" w:name="_Toc422834161"/>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0"/>
      <w:bookmarkEnd w:id="101"/>
      <w:bookmarkEnd w:id="102"/>
      <w:r>
        <w:rPr>
          <w:rFonts w:hint="eastAsia"/>
        </w:rPr>
        <w:t>調查意見，</w:t>
      </w:r>
      <w:bookmarkStart w:id="129" w:name="_Toc421794877"/>
      <w:bookmarkStart w:id="130" w:name="_Toc421795443"/>
      <w:bookmarkStart w:id="131" w:name="_Toc421796024"/>
      <w:bookmarkStart w:id="132" w:name="_Toc422728959"/>
      <w:bookmarkStart w:id="133" w:name="_Toc422834162"/>
      <w:bookmarkEnd w:id="103"/>
      <w:bookmarkEnd w:id="104"/>
      <w:bookmarkEnd w:id="105"/>
      <w:bookmarkEnd w:id="106"/>
      <w:bookmarkEnd w:id="107"/>
      <w:bookmarkEnd w:id="108"/>
      <w:bookmarkEnd w:id="109"/>
      <w:r w:rsidR="00E25849">
        <w:rPr>
          <w:rFonts w:hint="eastAsia"/>
        </w:rPr>
        <w:t>函</w:t>
      </w:r>
      <w:r w:rsidR="00E25849" w:rsidRPr="000F320F">
        <w:rPr>
          <w:rFonts w:hint="eastAsia"/>
          <w:color w:val="000000" w:themeColor="text1"/>
        </w:rPr>
        <w:t>請</w:t>
      </w:r>
      <w:r w:rsidR="00DB004A" w:rsidRPr="000F320F">
        <w:rPr>
          <w:rFonts w:hint="eastAsia"/>
          <w:color w:val="000000" w:themeColor="text1"/>
        </w:rPr>
        <w:t>衛生福利部</w:t>
      </w:r>
      <w:r w:rsidR="00E25849" w:rsidRPr="000F320F">
        <w:rPr>
          <w:rFonts w:hint="eastAsia"/>
          <w:color w:val="000000" w:themeColor="text1"/>
        </w:rPr>
        <w:t>檢</w:t>
      </w:r>
      <w:r w:rsidR="00E25849">
        <w:rPr>
          <w:rFonts w:hint="eastAsia"/>
        </w:rPr>
        <w:t>討改進見復。</w:t>
      </w:r>
      <w:bookmarkEnd w:id="110"/>
      <w:bookmarkEnd w:id="111"/>
      <w:bookmarkEnd w:id="112"/>
      <w:bookmarkEnd w:id="113"/>
      <w:bookmarkEnd w:id="114"/>
      <w:bookmarkEnd w:id="115"/>
      <w:bookmarkEnd w:id="116"/>
      <w:bookmarkEnd w:id="117"/>
      <w:bookmarkEnd w:id="129"/>
      <w:bookmarkEnd w:id="130"/>
      <w:bookmarkEnd w:id="131"/>
      <w:bookmarkEnd w:id="132"/>
      <w:bookmarkEnd w:id="133"/>
    </w:p>
    <w:p w:rsidR="00E25849" w:rsidRDefault="00E25849">
      <w:pPr>
        <w:pStyle w:val="2"/>
      </w:pPr>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18"/>
      <w:bookmarkEnd w:id="119"/>
      <w:bookmarkEnd w:id="120"/>
      <w:bookmarkEnd w:id="121"/>
      <w:bookmarkEnd w:id="122"/>
      <w:bookmarkEnd w:id="123"/>
      <w:bookmarkEnd w:id="124"/>
      <w:bookmarkEnd w:id="125"/>
      <w:bookmarkEnd w:id="126"/>
      <w:bookmarkEnd w:id="127"/>
      <w:bookmarkEnd w:id="128"/>
      <w:r>
        <w:rPr>
          <w:rFonts w:hint="eastAsia"/>
          <w:color w:val="000000"/>
        </w:rPr>
        <w:t>檢附派查函及相關附件，送請</w:t>
      </w:r>
      <w:r w:rsidR="004A53B8" w:rsidRPr="004A53B8">
        <w:rPr>
          <w:rFonts w:hint="eastAsia"/>
          <w:color w:val="000000" w:themeColor="text1"/>
        </w:rPr>
        <w:t>內政及少數民族</w:t>
      </w:r>
      <w:r>
        <w:rPr>
          <w:rFonts w:hint="eastAsia"/>
          <w:color w:val="000000"/>
        </w:rPr>
        <w:t>委員會處理。</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7264D2">
        <w:rPr>
          <w:rFonts w:hint="eastAsia"/>
          <w:b w:val="0"/>
          <w:bCs/>
          <w:snapToGrid/>
          <w:spacing w:val="12"/>
          <w:kern w:val="0"/>
          <w:sz w:val="40"/>
        </w:rPr>
        <w:t>蔡</w:t>
      </w:r>
      <w:r w:rsidR="007264D2">
        <w:rPr>
          <w:b w:val="0"/>
          <w:bCs/>
          <w:snapToGrid/>
          <w:spacing w:val="12"/>
          <w:kern w:val="0"/>
          <w:sz w:val="40"/>
        </w:rPr>
        <w:t>崇義</w:t>
      </w:r>
    </w:p>
    <w:p w:rsidR="007264D2" w:rsidRDefault="007264D2"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田</w:t>
      </w:r>
      <w:r>
        <w:rPr>
          <w:b w:val="0"/>
          <w:bCs/>
          <w:snapToGrid/>
          <w:spacing w:val="12"/>
          <w:kern w:val="0"/>
          <w:sz w:val="40"/>
        </w:rPr>
        <w:t>秋</w:t>
      </w:r>
      <w:r w:rsidRPr="007264D2">
        <w:rPr>
          <w:b w:val="0"/>
          <w:bCs/>
          <w:snapToGrid/>
          <w:spacing w:val="12"/>
          <w:kern w:val="0"/>
          <w:sz w:val="40"/>
        </w:rPr>
        <w:t>堇</w:t>
      </w:r>
    </w:p>
    <w:p w:rsidR="00770453" w:rsidRDefault="00770453" w:rsidP="00770453">
      <w:pPr>
        <w:pStyle w:val="aa"/>
        <w:spacing w:before="0" w:after="0"/>
        <w:ind w:leftChars="1100" w:left="3742"/>
        <w:rPr>
          <w:rFonts w:ascii="Times New Roman"/>
          <w:b w:val="0"/>
          <w:bCs/>
          <w:snapToGrid/>
          <w:spacing w:val="0"/>
          <w:kern w:val="0"/>
          <w:sz w:val="40"/>
        </w:rPr>
      </w:pPr>
    </w:p>
    <w:p w:rsidR="00F13972" w:rsidRDefault="00F13972" w:rsidP="00770453">
      <w:pPr>
        <w:pStyle w:val="aa"/>
        <w:spacing w:before="0" w:after="0"/>
        <w:ind w:leftChars="1100" w:left="3742"/>
        <w:rPr>
          <w:rFonts w:ascii="Times New Roman"/>
          <w:b w:val="0"/>
          <w:bCs/>
          <w:snapToGrid/>
          <w:spacing w:val="0"/>
          <w:kern w:val="0"/>
          <w:sz w:val="40"/>
        </w:rPr>
      </w:pPr>
    </w:p>
    <w:sectPr w:rsidR="00F1397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E7" w:rsidRDefault="006D04E7">
      <w:r>
        <w:separator/>
      </w:r>
    </w:p>
  </w:endnote>
  <w:endnote w:type="continuationSeparator" w:id="0">
    <w:p w:rsidR="006D04E7" w:rsidRDefault="006D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FB" w:rsidRDefault="00F01BF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B61F5">
      <w:rPr>
        <w:rStyle w:val="ae"/>
        <w:noProof/>
        <w:sz w:val="24"/>
      </w:rPr>
      <w:t>14</w:t>
    </w:r>
    <w:r>
      <w:rPr>
        <w:rStyle w:val="ae"/>
        <w:sz w:val="24"/>
      </w:rPr>
      <w:fldChar w:fldCharType="end"/>
    </w:r>
  </w:p>
  <w:p w:rsidR="00F01BFB" w:rsidRDefault="00F01BF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E7" w:rsidRDefault="006D04E7">
      <w:r>
        <w:separator/>
      </w:r>
    </w:p>
  </w:footnote>
  <w:footnote w:type="continuationSeparator" w:id="0">
    <w:p w:rsidR="006D04E7" w:rsidRDefault="006D04E7">
      <w:r>
        <w:continuationSeparator/>
      </w:r>
    </w:p>
  </w:footnote>
  <w:footnote w:id="1">
    <w:p w:rsidR="00F01BFB" w:rsidRDefault="00F01BFB" w:rsidP="00D266E9">
      <w:pPr>
        <w:pStyle w:val="aff2"/>
        <w:jc w:val="both"/>
      </w:pPr>
      <w:r>
        <w:rPr>
          <w:rStyle w:val="aff6"/>
        </w:rPr>
        <w:footnoteRef/>
      </w:r>
      <w:r>
        <w:t xml:space="preserve"> </w:t>
      </w:r>
      <w:r w:rsidRPr="006B3E97">
        <w:rPr>
          <w:rFonts w:hint="eastAsia"/>
        </w:rPr>
        <w:t>Dabigatran</w:t>
      </w:r>
      <w:r w:rsidRPr="006B3E97">
        <w:rPr>
          <w:rFonts w:hint="eastAsia"/>
        </w:rPr>
        <w:t>用於預防非瓣膜性心房纖維顫動病患發生中風與全身性栓塞，因</w:t>
      </w:r>
      <w:r>
        <w:rPr>
          <w:rFonts w:hint="eastAsia"/>
        </w:rPr>
        <w:t>其藥理作用為抗凝血，可預期其可能發生重大出血事件之嚴重不良反應。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110DA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lvlText w:val="(%3)"/>
      <w:lvlJc w:val="left"/>
      <w:pPr>
        <w:ind w:left="1361" w:hanging="681"/>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622EB9"/>
    <w:multiLevelType w:val="hybridMultilevel"/>
    <w:tmpl w:val="ED2AE650"/>
    <w:lvl w:ilvl="0" w:tplc="3252E878">
      <w:start w:val="1"/>
      <w:numFmt w:val="taiwaneseCountingThousand"/>
      <w:pStyle w:val="3"/>
      <w:lvlText w:val="(%1)"/>
      <w:lvlJc w:val="left"/>
      <w:pPr>
        <w:ind w:left="1176" w:hanging="480"/>
      </w:pPr>
      <w:rPr>
        <w:rFonts w:hint="default"/>
        <w:b w:val="0"/>
      </w:rPr>
    </w:lvl>
    <w:lvl w:ilvl="1" w:tplc="04090019">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D7F0935E"/>
    <w:lvl w:ilvl="0" w:tplc="FE7A3976">
      <w:start w:val="1"/>
      <w:numFmt w:val="decimal"/>
      <w:pStyle w:val="a3"/>
      <w:lvlText w:val="表%1　"/>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1B5458"/>
    <w:multiLevelType w:val="multilevel"/>
    <w:tmpl w:val="F21E341C"/>
    <w:lvl w:ilvl="0">
      <w:start w:val="1"/>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lvlText w:val="%2、"/>
      <w:lvlJc w:val="left"/>
      <w:pPr>
        <w:ind w:left="1045" w:hanging="697"/>
      </w:pPr>
      <w:rPr>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trike w:val="0"/>
        <w:dstrike w:val="0"/>
        <w:spacing w:val="0"/>
        <w:w w:val="100"/>
        <w:position w:val="0"/>
        <w:sz w:val="32"/>
        <w:u w:val="none"/>
        <w:effect w:val="none"/>
      </w:rPr>
    </w:lvl>
    <w:lvl w:ilvl="3">
      <w:start w:val="1"/>
      <w:numFmt w:val="decimalFullWidth"/>
      <w:suff w:val="nothing"/>
      <w:lvlText w:val="%4、"/>
      <w:lvlJc w:val="left"/>
      <w:pPr>
        <w:ind w:left="1741" w:hanging="698"/>
      </w:pPr>
      <w:rPr>
        <w:rFonts w:ascii="標楷體" w:eastAsia="標楷體" w:hAnsi="Times New Roman" w:hint="eastAsia"/>
        <w:b w:val="0"/>
        <w:i w:val="0"/>
        <w:strike w:val="0"/>
        <w:dstrike w:val="0"/>
        <w:spacing w:val="0"/>
        <w:w w:val="100"/>
        <w:position w:val="0"/>
        <w:sz w:val="32"/>
        <w:u w:val="none"/>
        <w:effect w:val="none"/>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1"/>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3"/>
    <w:lvlOverride w:ilvl="0">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num>
  <w:num w:numId="41">
    <w:abstractNumId w:val="3"/>
  </w:num>
  <w:num w:numId="42">
    <w:abstractNumId w:val="3"/>
    <w:lvlOverride w:ilvl="0">
      <w:startOverride w:val="1"/>
    </w:lvlOverride>
  </w:num>
  <w:num w:numId="43">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69"/>
    <w:rsid w:val="00003B34"/>
    <w:rsid w:val="00006961"/>
    <w:rsid w:val="000112BF"/>
    <w:rsid w:val="00012233"/>
    <w:rsid w:val="0001280C"/>
    <w:rsid w:val="00017318"/>
    <w:rsid w:val="0001737D"/>
    <w:rsid w:val="000216AE"/>
    <w:rsid w:val="000229AD"/>
    <w:rsid w:val="000246F7"/>
    <w:rsid w:val="0002651A"/>
    <w:rsid w:val="0003114D"/>
    <w:rsid w:val="00036D76"/>
    <w:rsid w:val="00053750"/>
    <w:rsid w:val="00057F32"/>
    <w:rsid w:val="00060D9D"/>
    <w:rsid w:val="000615FD"/>
    <w:rsid w:val="00062A25"/>
    <w:rsid w:val="00064F0D"/>
    <w:rsid w:val="0007312F"/>
    <w:rsid w:val="00073CB5"/>
    <w:rsid w:val="0007425C"/>
    <w:rsid w:val="00077553"/>
    <w:rsid w:val="000851A2"/>
    <w:rsid w:val="0009095F"/>
    <w:rsid w:val="00092385"/>
    <w:rsid w:val="0009352E"/>
    <w:rsid w:val="00095785"/>
    <w:rsid w:val="00096B96"/>
    <w:rsid w:val="000A2BD8"/>
    <w:rsid w:val="000A2F3F"/>
    <w:rsid w:val="000A6233"/>
    <w:rsid w:val="000A626E"/>
    <w:rsid w:val="000A7264"/>
    <w:rsid w:val="000B0B4A"/>
    <w:rsid w:val="000B279A"/>
    <w:rsid w:val="000B61D2"/>
    <w:rsid w:val="000B70A7"/>
    <w:rsid w:val="000B73DD"/>
    <w:rsid w:val="000C495F"/>
    <w:rsid w:val="000D2277"/>
    <w:rsid w:val="000D3125"/>
    <w:rsid w:val="000D54F7"/>
    <w:rsid w:val="000D66D9"/>
    <w:rsid w:val="000E52E1"/>
    <w:rsid w:val="000E6431"/>
    <w:rsid w:val="000E7119"/>
    <w:rsid w:val="000F21A5"/>
    <w:rsid w:val="000F320F"/>
    <w:rsid w:val="000F554B"/>
    <w:rsid w:val="000F5DA7"/>
    <w:rsid w:val="000F614C"/>
    <w:rsid w:val="00102B9F"/>
    <w:rsid w:val="00103F6E"/>
    <w:rsid w:val="00105C77"/>
    <w:rsid w:val="00112637"/>
    <w:rsid w:val="001127DE"/>
    <w:rsid w:val="00112ABC"/>
    <w:rsid w:val="0012001E"/>
    <w:rsid w:val="00121613"/>
    <w:rsid w:val="00122BDB"/>
    <w:rsid w:val="0012582A"/>
    <w:rsid w:val="00126A55"/>
    <w:rsid w:val="00127856"/>
    <w:rsid w:val="00131070"/>
    <w:rsid w:val="00133E88"/>
    <w:rsid w:val="00133F08"/>
    <w:rsid w:val="0013419F"/>
    <w:rsid w:val="001345E6"/>
    <w:rsid w:val="00137624"/>
    <w:rsid w:val="001378B0"/>
    <w:rsid w:val="00141D95"/>
    <w:rsid w:val="00142528"/>
    <w:rsid w:val="00142E00"/>
    <w:rsid w:val="0014609B"/>
    <w:rsid w:val="00146D61"/>
    <w:rsid w:val="00150F56"/>
    <w:rsid w:val="00152793"/>
    <w:rsid w:val="00153B7E"/>
    <w:rsid w:val="001545A9"/>
    <w:rsid w:val="001568E3"/>
    <w:rsid w:val="00157FD1"/>
    <w:rsid w:val="001637C7"/>
    <w:rsid w:val="001646C6"/>
    <w:rsid w:val="0016480E"/>
    <w:rsid w:val="001702C0"/>
    <w:rsid w:val="00170E3A"/>
    <w:rsid w:val="00171EB1"/>
    <w:rsid w:val="00174297"/>
    <w:rsid w:val="00180A70"/>
    <w:rsid w:val="00180E06"/>
    <w:rsid w:val="001817B3"/>
    <w:rsid w:val="00183014"/>
    <w:rsid w:val="0018315B"/>
    <w:rsid w:val="00184536"/>
    <w:rsid w:val="0018691A"/>
    <w:rsid w:val="001959C2"/>
    <w:rsid w:val="00196E0F"/>
    <w:rsid w:val="001977D3"/>
    <w:rsid w:val="001A2ECB"/>
    <w:rsid w:val="001A51E3"/>
    <w:rsid w:val="001A7968"/>
    <w:rsid w:val="001B1EF9"/>
    <w:rsid w:val="001B1FFD"/>
    <w:rsid w:val="001B2E98"/>
    <w:rsid w:val="001B3483"/>
    <w:rsid w:val="001B3C1E"/>
    <w:rsid w:val="001B4494"/>
    <w:rsid w:val="001C0D8B"/>
    <w:rsid w:val="001C0DA8"/>
    <w:rsid w:val="001D2297"/>
    <w:rsid w:val="001D4AD7"/>
    <w:rsid w:val="001E028C"/>
    <w:rsid w:val="001E0D8A"/>
    <w:rsid w:val="001E1220"/>
    <w:rsid w:val="001E1A63"/>
    <w:rsid w:val="001E661A"/>
    <w:rsid w:val="001E67BA"/>
    <w:rsid w:val="001E74C2"/>
    <w:rsid w:val="001F3A05"/>
    <w:rsid w:val="001F4F82"/>
    <w:rsid w:val="001F572F"/>
    <w:rsid w:val="001F5A48"/>
    <w:rsid w:val="001F6260"/>
    <w:rsid w:val="00200007"/>
    <w:rsid w:val="002030A5"/>
    <w:rsid w:val="00203131"/>
    <w:rsid w:val="00204FAF"/>
    <w:rsid w:val="00212E88"/>
    <w:rsid w:val="00213C9C"/>
    <w:rsid w:val="00215F80"/>
    <w:rsid w:val="00217A61"/>
    <w:rsid w:val="0022009E"/>
    <w:rsid w:val="00220B7E"/>
    <w:rsid w:val="00222760"/>
    <w:rsid w:val="00223241"/>
    <w:rsid w:val="0022425C"/>
    <w:rsid w:val="002246DE"/>
    <w:rsid w:val="00225A3E"/>
    <w:rsid w:val="0023081F"/>
    <w:rsid w:val="002352B1"/>
    <w:rsid w:val="0023644D"/>
    <w:rsid w:val="00237BA8"/>
    <w:rsid w:val="00241A70"/>
    <w:rsid w:val="002429E2"/>
    <w:rsid w:val="00245754"/>
    <w:rsid w:val="00247B56"/>
    <w:rsid w:val="00252325"/>
    <w:rsid w:val="00252BC4"/>
    <w:rsid w:val="00254014"/>
    <w:rsid w:val="00254B39"/>
    <w:rsid w:val="00254CCD"/>
    <w:rsid w:val="0026504D"/>
    <w:rsid w:val="00267D21"/>
    <w:rsid w:val="00273A2F"/>
    <w:rsid w:val="002740E5"/>
    <w:rsid w:val="00280986"/>
    <w:rsid w:val="00281ECE"/>
    <w:rsid w:val="002831C7"/>
    <w:rsid w:val="002840C6"/>
    <w:rsid w:val="0028450D"/>
    <w:rsid w:val="00286489"/>
    <w:rsid w:val="002903FF"/>
    <w:rsid w:val="00291ECC"/>
    <w:rsid w:val="00293442"/>
    <w:rsid w:val="00295174"/>
    <w:rsid w:val="00296172"/>
    <w:rsid w:val="00296B92"/>
    <w:rsid w:val="002A143F"/>
    <w:rsid w:val="002A2C22"/>
    <w:rsid w:val="002A300B"/>
    <w:rsid w:val="002A3DEE"/>
    <w:rsid w:val="002B02EB"/>
    <w:rsid w:val="002B153C"/>
    <w:rsid w:val="002B6B84"/>
    <w:rsid w:val="002C0602"/>
    <w:rsid w:val="002C0FDA"/>
    <w:rsid w:val="002C107A"/>
    <w:rsid w:val="002C1FC5"/>
    <w:rsid w:val="002C5D09"/>
    <w:rsid w:val="002D3CED"/>
    <w:rsid w:val="002D4F6E"/>
    <w:rsid w:val="002D5C16"/>
    <w:rsid w:val="002E1F34"/>
    <w:rsid w:val="002E3B8F"/>
    <w:rsid w:val="002E3CB0"/>
    <w:rsid w:val="002E683E"/>
    <w:rsid w:val="002F0292"/>
    <w:rsid w:val="002F17E4"/>
    <w:rsid w:val="002F2476"/>
    <w:rsid w:val="002F3DFF"/>
    <w:rsid w:val="002F4A49"/>
    <w:rsid w:val="002F5E05"/>
    <w:rsid w:val="003000CA"/>
    <w:rsid w:val="00302F7D"/>
    <w:rsid w:val="00307A76"/>
    <w:rsid w:val="00312F7F"/>
    <w:rsid w:val="0031455E"/>
    <w:rsid w:val="0031588A"/>
    <w:rsid w:val="00315A16"/>
    <w:rsid w:val="00315F8A"/>
    <w:rsid w:val="00317053"/>
    <w:rsid w:val="0032109C"/>
    <w:rsid w:val="00321902"/>
    <w:rsid w:val="00322B45"/>
    <w:rsid w:val="00323809"/>
    <w:rsid w:val="0032397C"/>
    <w:rsid w:val="00323A25"/>
    <w:rsid w:val="00323D41"/>
    <w:rsid w:val="00325414"/>
    <w:rsid w:val="003302F1"/>
    <w:rsid w:val="00343DE7"/>
    <w:rsid w:val="0034470E"/>
    <w:rsid w:val="00352DB0"/>
    <w:rsid w:val="00353BD9"/>
    <w:rsid w:val="00361063"/>
    <w:rsid w:val="0037094A"/>
    <w:rsid w:val="00371ED3"/>
    <w:rsid w:val="00372659"/>
    <w:rsid w:val="00372FFC"/>
    <w:rsid w:val="00374655"/>
    <w:rsid w:val="003765B0"/>
    <w:rsid w:val="00376B15"/>
    <w:rsid w:val="0037728A"/>
    <w:rsid w:val="00380B7D"/>
    <w:rsid w:val="003819F2"/>
    <w:rsid w:val="00381A99"/>
    <w:rsid w:val="003829C2"/>
    <w:rsid w:val="003830B2"/>
    <w:rsid w:val="003846CF"/>
    <w:rsid w:val="00384724"/>
    <w:rsid w:val="00387617"/>
    <w:rsid w:val="003919B7"/>
    <w:rsid w:val="00391D57"/>
    <w:rsid w:val="00392292"/>
    <w:rsid w:val="003930C3"/>
    <w:rsid w:val="003934C4"/>
    <w:rsid w:val="00394F45"/>
    <w:rsid w:val="0039540D"/>
    <w:rsid w:val="003977E3"/>
    <w:rsid w:val="003A2352"/>
    <w:rsid w:val="003A5927"/>
    <w:rsid w:val="003A593A"/>
    <w:rsid w:val="003A60DC"/>
    <w:rsid w:val="003A71D0"/>
    <w:rsid w:val="003B1017"/>
    <w:rsid w:val="003B3C07"/>
    <w:rsid w:val="003B477F"/>
    <w:rsid w:val="003B6081"/>
    <w:rsid w:val="003B61F5"/>
    <w:rsid w:val="003B6775"/>
    <w:rsid w:val="003C0F69"/>
    <w:rsid w:val="003C5FE2"/>
    <w:rsid w:val="003C62F0"/>
    <w:rsid w:val="003D05FB"/>
    <w:rsid w:val="003D10BD"/>
    <w:rsid w:val="003D1B16"/>
    <w:rsid w:val="003D45BF"/>
    <w:rsid w:val="003D508A"/>
    <w:rsid w:val="003D537F"/>
    <w:rsid w:val="003D7B75"/>
    <w:rsid w:val="003E0208"/>
    <w:rsid w:val="003E1DD7"/>
    <w:rsid w:val="003E4B57"/>
    <w:rsid w:val="003E7663"/>
    <w:rsid w:val="003F2420"/>
    <w:rsid w:val="003F27E1"/>
    <w:rsid w:val="003F437A"/>
    <w:rsid w:val="003F5C2B"/>
    <w:rsid w:val="004006D4"/>
    <w:rsid w:val="00402240"/>
    <w:rsid w:val="004023E9"/>
    <w:rsid w:val="0040280D"/>
    <w:rsid w:val="0040454A"/>
    <w:rsid w:val="00411DDE"/>
    <w:rsid w:val="00413F83"/>
    <w:rsid w:val="0041490C"/>
    <w:rsid w:val="00416191"/>
    <w:rsid w:val="00416721"/>
    <w:rsid w:val="0041680D"/>
    <w:rsid w:val="00421EF0"/>
    <w:rsid w:val="004224FA"/>
    <w:rsid w:val="00423D07"/>
    <w:rsid w:val="0042753B"/>
    <w:rsid w:val="00427936"/>
    <w:rsid w:val="00430543"/>
    <w:rsid w:val="00433A9E"/>
    <w:rsid w:val="004432E0"/>
    <w:rsid w:val="0044346F"/>
    <w:rsid w:val="00444B37"/>
    <w:rsid w:val="00444E8B"/>
    <w:rsid w:val="00445EDA"/>
    <w:rsid w:val="004518BC"/>
    <w:rsid w:val="00451CC4"/>
    <w:rsid w:val="00453FF6"/>
    <w:rsid w:val="004557E8"/>
    <w:rsid w:val="004561FA"/>
    <w:rsid w:val="0046291F"/>
    <w:rsid w:val="0046520A"/>
    <w:rsid w:val="004666BD"/>
    <w:rsid w:val="00466765"/>
    <w:rsid w:val="004672AB"/>
    <w:rsid w:val="00471493"/>
    <w:rsid w:val="004714FE"/>
    <w:rsid w:val="00477BAA"/>
    <w:rsid w:val="004813A4"/>
    <w:rsid w:val="00491B37"/>
    <w:rsid w:val="0049351F"/>
    <w:rsid w:val="00495053"/>
    <w:rsid w:val="004A0E37"/>
    <w:rsid w:val="004A13B2"/>
    <w:rsid w:val="004A1F59"/>
    <w:rsid w:val="004A29BE"/>
    <w:rsid w:val="004A3225"/>
    <w:rsid w:val="004A33EE"/>
    <w:rsid w:val="004A3AA8"/>
    <w:rsid w:val="004A53B8"/>
    <w:rsid w:val="004B0FEF"/>
    <w:rsid w:val="004B13C7"/>
    <w:rsid w:val="004B1932"/>
    <w:rsid w:val="004B3CC4"/>
    <w:rsid w:val="004B45E5"/>
    <w:rsid w:val="004B48EF"/>
    <w:rsid w:val="004B778F"/>
    <w:rsid w:val="004C0609"/>
    <w:rsid w:val="004C639F"/>
    <w:rsid w:val="004C70EC"/>
    <w:rsid w:val="004D141F"/>
    <w:rsid w:val="004D2742"/>
    <w:rsid w:val="004D2F28"/>
    <w:rsid w:val="004D6310"/>
    <w:rsid w:val="004E0062"/>
    <w:rsid w:val="004E05A1"/>
    <w:rsid w:val="004E7374"/>
    <w:rsid w:val="004F472A"/>
    <w:rsid w:val="004F5E57"/>
    <w:rsid w:val="004F6710"/>
    <w:rsid w:val="00500C3E"/>
    <w:rsid w:val="00502849"/>
    <w:rsid w:val="00504334"/>
    <w:rsid w:val="0050498D"/>
    <w:rsid w:val="005051E3"/>
    <w:rsid w:val="005104D7"/>
    <w:rsid w:val="00510639"/>
    <w:rsid w:val="00510B9E"/>
    <w:rsid w:val="00511985"/>
    <w:rsid w:val="005139F1"/>
    <w:rsid w:val="00514429"/>
    <w:rsid w:val="005161C1"/>
    <w:rsid w:val="00520E93"/>
    <w:rsid w:val="005228CA"/>
    <w:rsid w:val="00522D91"/>
    <w:rsid w:val="0052456D"/>
    <w:rsid w:val="00525FC5"/>
    <w:rsid w:val="005307AE"/>
    <w:rsid w:val="00530ADE"/>
    <w:rsid w:val="00532440"/>
    <w:rsid w:val="005331FC"/>
    <w:rsid w:val="00536BC2"/>
    <w:rsid w:val="005425E1"/>
    <w:rsid w:val="005427C5"/>
    <w:rsid w:val="00542CF6"/>
    <w:rsid w:val="0054794E"/>
    <w:rsid w:val="00550E4A"/>
    <w:rsid w:val="00553C03"/>
    <w:rsid w:val="00557198"/>
    <w:rsid w:val="00560DDA"/>
    <w:rsid w:val="00563692"/>
    <w:rsid w:val="00567C22"/>
    <w:rsid w:val="00571679"/>
    <w:rsid w:val="005771EC"/>
    <w:rsid w:val="00580E0C"/>
    <w:rsid w:val="005829E6"/>
    <w:rsid w:val="00584235"/>
    <w:rsid w:val="005844E7"/>
    <w:rsid w:val="005908B8"/>
    <w:rsid w:val="00591A9B"/>
    <w:rsid w:val="0059512E"/>
    <w:rsid w:val="0059726F"/>
    <w:rsid w:val="005A54A4"/>
    <w:rsid w:val="005A6D7C"/>
    <w:rsid w:val="005A6DD2"/>
    <w:rsid w:val="005A6E3D"/>
    <w:rsid w:val="005A789C"/>
    <w:rsid w:val="005B16E2"/>
    <w:rsid w:val="005B4CF4"/>
    <w:rsid w:val="005B7FFB"/>
    <w:rsid w:val="005C0D7F"/>
    <w:rsid w:val="005C385D"/>
    <w:rsid w:val="005D3B20"/>
    <w:rsid w:val="005D4AC8"/>
    <w:rsid w:val="005D71B7"/>
    <w:rsid w:val="005E0051"/>
    <w:rsid w:val="005E4759"/>
    <w:rsid w:val="005E5C68"/>
    <w:rsid w:val="005E65C0"/>
    <w:rsid w:val="005F0390"/>
    <w:rsid w:val="00600062"/>
    <w:rsid w:val="0060025F"/>
    <w:rsid w:val="006072CD"/>
    <w:rsid w:val="006109EE"/>
    <w:rsid w:val="00612023"/>
    <w:rsid w:val="00614190"/>
    <w:rsid w:val="006160A9"/>
    <w:rsid w:val="00622A99"/>
    <w:rsid w:val="00622E67"/>
    <w:rsid w:val="00624B1A"/>
    <w:rsid w:val="00626B57"/>
    <w:rsid w:val="00626EDC"/>
    <w:rsid w:val="00631993"/>
    <w:rsid w:val="00633D1A"/>
    <w:rsid w:val="006349BA"/>
    <w:rsid w:val="006349F8"/>
    <w:rsid w:val="006452D3"/>
    <w:rsid w:val="006470EC"/>
    <w:rsid w:val="00647492"/>
    <w:rsid w:val="0065262E"/>
    <w:rsid w:val="00653317"/>
    <w:rsid w:val="006542D6"/>
    <w:rsid w:val="0065598E"/>
    <w:rsid w:val="00655AF2"/>
    <w:rsid w:val="00655BC5"/>
    <w:rsid w:val="00655E1E"/>
    <w:rsid w:val="006562F5"/>
    <w:rsid w:val="006564E0"/>
    <w:rsid w:val="00656610"/>
    <w:rsid w:val="006568BE"/>
    <w:rsid w:val="0066025D"/>
    <w:rsid w:val="00660907"/>
    <w:rsid w:val="0066091A"/>
    <w:rsid w:val="00666503"/>
    <w:rsid w:val="00666560"/>
    <w:rsid w:val="0067214C"/>
    <w:rsid w:val="006773EC"/>
    <w:rsid w:val="00680504"/>
    <w:rsid w:val="00680D00"/>
    <w:rsid w:val="00681CD9"/>
    <w:rsid w:val="00681E7E"/>
    <w:rsid w:val="00683E30"/>
    <w:rsid w:val="00687024"/>
    <w:rsid w:val="00694C13"/>
    <w:rsid w:val="00695890"/>
    <w:rsid w:val="00695E22"/>
    <w:rsid w:val="006B3291"/>
    <w:rsid w:val="006B3E97"/>
    <w:rsid w:val="006B7093"/>
    <w:rsid w:val="006B7417"/>
    <w:rsid w:val="006C3BEC"/>
    <w:rsid w:val="006D04E7"/>
    <w:rsid w:val="006D06DB"/>
    <w:rsid w:val="006D16B5"/>
    <w:rsid w:val="006D2DE9"/>
    <w:rsid w:val="006D31F9"/>
    <w:rsid w:val="006D3691"/>
    <w:rsid w:val="006D3D6F"/>
    <w:rsid w:val="006D5201"/>
    <w:rsid w:val="006D6C1E"/>
    <w:rsid w:val="006E4119"/>
    <w:rsid w:val="006E47C4"/>
    <w:rsid w:val="006E5EF0"/>
    <w:rsid w:val="006E7F0F"/>
    <w:rsid w:val="006F3563"/>
    <w:rsid w:val="006F42B9"/>
    <w:rsid w:val="006F6103"/>
    <w:rsid w:val="00704E00"/>
    <w:rsid w:val="007060AE"/>
    <w:rsid w:val="007123EA"/>
    <w:rsid w:val="00715157"/>
    <w:rsid w:val="007209E7"/>
    <w:rsid w:val="00724C19"/>
    <w:rsid w:val="007253AE"/>
    <w:rsid w:val="00725B70"/>
    <w:rsid w:val="00726182"/>
    <w:rsid w:val="007264D2"/>
    <w:rsid w:val="00727635"/>
    <w:rsid w:val="00732329"/>
    <w:rsid w:val="007337CA"/>
    <w:rsid w:val="00734CE4"/>
    <w:rsid w:val="00735123"/>
    <w:rsid w:val="00741837"/>
    <w:rsid w:val="007439B2"/>
    <w:rsid w:val="007453E6"/>
    <w:rsid w:val="007559D6"/>
    <w:rsid w:val="00761116"/>
    <w:rsid w:val="00764978"/>
    <w:rsid w:val="00767333"/>
    <w:rsid w:val="00770453"/>
    <w:rsid w:val="0077309D"/>
    <w:rsid w:val="007774EE"/>
    <w:rsid w:val="00780240"/>
    <w:rsid w:val="00781411"/>
    <w:rsid w:val="00781822"/>
    <w:rsid w:val="007825E6"/>
    <w:rsid w:val="00783AC2"/>
    <w:rsid w:val="00783F21"/>
    <w:rsid w:val="007854E3"/>
    <w:rsid w:val="00787159"/>
    <w:rsid w:val="00787C57"/>
    <w:rsid w:val="0079043A"/>
    <w:rsid w:val="00791668"/>
    <w:rsid w:val="00791AA1"/>
    <w:rsid w:val="00792668"/>
    <w:rsid w:val="00797870"/>
    <w:rsid w:val="00797E48"/>
    <w:rsid w:val="007A2889"/>
    <w:rsid w:val="007A3793"/>
    <w:rsid w:val="007B47D3"/>
    <w:rsid w:val="007B60FB"/>
    <w:rsid w:val="007C1BA2"/>
    <w:rsid w:val="007C2B48"/>
    <w:rsid w:val="007C7269"/>
    <w:rsid w:val="007D20E9"/>
    <w:rsid w:val="007D349C"/>
    <w:rsid w:val="007D7881"/>
    <w:rsid w:val="007D7E3A"/>
    <w:rsid w:val="007E0E10"/>
    <w:rsid w:val="007E44D9"/>
    <w:rsid w:val="007E4768"/>
    <w:rsid w:val="007E777B"/>
    <w:rsid w:val="007F2070"/>
    <w:rsid w:val="007F63C1"/>
    <w:rsid w:val="007F7A1F"/>
    <w:rsid w:val="008004C4"/>
    <w:rsid w:val="008053F5"/>
    <w:rsid w:val="00806C1C"/>
    <w:rsid w:val="008079A4"/>
    <w:rsid w:val="00807AF7"/>
    <w:rsid w:val="00810198"/>
    <w:rsid w:val="00810D00"/>
    <w:rsid w:val="00812DBD"/>
    <w:rsid w:val="00815DA8"/>
    <w:rsid w:val="0082194D"/>
    <w:rsid w:val="008221F9"/>
    <w:rsid w:val="00825064"/>
    <w:rsid w:val="00825D56"/>
    <w:rsid w:val="00826EF5"/>
    <w:rsid w:val="00831693"/>
    <w:rsid w:val="00832E99"/>
    <w:rsid w:val="00836452"/>
    <w:rsid w:val="00840104"/>
    <w:rsid w:val="00840C1F"/>
    <w:rsid w:val="008411C9"/>
    <w:rsid w:val="00841FC5"/>
    <w:rsid w:val="00843D0F"/>
    <w:rsid w:val="00845709"/>
    <w:rsid w:val="00846F89"/>
    <w:rsid w:val="00852CBD"/>
    <w:rsid w:val="00855373"/>
    <w:rsid w:val="008576BD"/>
    <w:rsid w:val="00860463"/>
    <w:rsid w:val="00860D22"/>
    <w:rsid w:val="008716B9"/>
    <w:rsid w:val="00871CB5"/>
    <w:rsid w:val="008733DA"/>
    <w:rsid w:val="00874EAA"/>
    <w:rsid w:val="008750CF"/>
    <w:rsid w:val="008758E4"/>
    <w:rsid w:val="008777C3"/>
    <w:rsid w:val="00881513"/>
    <w:rsid w:val="00882314"/>
    <w:rsid w:val="008850E4"/>
    <w:rsid w:val="0089173D"/>
    <w:rsid w:val="008939AB"/>
    <w:rsid w:val="0089576E"/>
    <w:rsid w:val="008A12F5"/>
    <w:rsid w:val="008B1587"/>
    <w:rsid w:val="008B1B01"/>
    <w:rsid w:val="008B1B9A"/>
    <w:rsid w:val="008B3BCD"/>
    <w:rsid w:val="008B6DF8"/>
    <w:rsid w:val="008B7FD9"/>
    <w:rsid w:val="008C0643"/>
    <w:rsid w:val="008C106C"/>
    <w:rsid w:val="008C10F1"/>
    <w:rsid w:val="008C1926"/>
    <w:rsid w:val="008C1E99"/>
    <w:rsid w:val="008C3108"/>
    <w:rsid w:val="008C3982"/>
    <w:rsid w:val="008D09BA"/>
    <w:rsid w:val="008D0B0A"/>
    <w:rsid w:val="008E0085"/>
    <w:rsid w:val="008E24B6"/>
    <w:rsid w:val="008E2AA6"/>
    <w:rsid w:val="008E2C7F"/>
    <w:rsid w:val="008E311B"/>
    <w:rsid w:val="008E5A9C"/>
    <w:rsid w:val="008F0515"/>
    <w:rsid w:val="008F18EC"/>
    <w:rsid w:val="008F26B1"/>
    <w:rsid w:val="008F46E7"/>
    <w:rsid w:val="008F64CA"/>
    <w:rsid w:val="008F6F0B"/>
    <w:rsid w:val="008F7E4B"/>
    <w:rsid w:val="0090068B"/>
    <w:rsid w:val="00900C17"/>
    <w:rsid w:val="009020E6"/>
    <w:rsid w:val="009023A2"/>
    <w:rsid w:val="00902643"/>
    <w:rsid w:val="00906719"/>
    <w:rsid w:val="00907A54"/>
    <w:rsid w:val="00907BA7"/>
    <w:rsid w:val="0091064E"/>
    <w:rsid w:val="00911FC5"/>
    <w:rsid w:val="00912B6E"/>
    <w:rsid w:val="00916C9B"/>
    <w:rsid w:val="00921C77"/>
    <w:rsid w:val="00923F68"/>
    <w:rsid w:val="00925032"/>
    <w:rsid w:val="00930FC4"/>
    <w:rsid w:val="00931A10"/>
    <w:rsid w:val="00936710"/>
    <w:rsid w:val="009434CA"/>
    <w:rsid w:val="00947967"/>
    <w:rsid w:val="00952E1C"/>
    <w:rsid w:val="00955201"/>
    <w:rsid w:val="009561C2"/>
    <w:rsid w:val="00965200"/>
    <w:rsid w:val="00965B12"/>
    <w:rsid w:val="009668B3"/>
    <w:rsid w:val="00971471"/>
    <w:rsid w:val="00972AB5"/>
    <w:rsid w:val="009749D9"/>
    <w:rsid w:val="00974E80"/>
    <w:rsid w:val="00975467"/>
    <w:rsid w:val="00981E33"/>
    <w:rsid w:val="009849C2"/>
    <w:rsid w:val="00984B27"/>
    <w:rsid w:val="00984D24"/>
    <w:rsid w:val="009858EB"/>
    <w:rsid w:val="00994414"/>
    <w:rsid w:val="00994527"/>
    <w:rsid w:val="00994924"/>
    <w:rsid w:val="009A1F1D"/>
    <w:rsid w:val="009A3E73"/>
    <w:rsid w:val="009A3F47"/>
    <w:rsid w:val="009A68FB"/>
    <w:rsid w:val="009B0046"/>
    <w:rsid w:val="009B0D95"/>
    <w:rsid w:val="009B0F1A"/>
    <w:rsid w:val="009B32DF"/>
    <w:rsid w:val="009B4C57"/>
    <w:rsid w:val="009C1440"/>
    <w:rsid w:val="009C2107"/>
    <w:rsid w:val="009C36E6"/>
    <w:rsid w:val="009C3CBA"/>
    <w:rsid w:val="009C5D9E"/>
    <w:rsid w:val="009D2C3E"/>
    <w:rsid w:val="009D5164"/>
    <w:rsid w:val="009E0625"/>
    <w:rsid w:val="009E3034"/>
    <w:rsid w:val="009E4110"/>
    <w:rsid w:val="009E499A"/>
    <w:rsid w:val="009E549F"/>
    <w:rsid w:val="009E5E93"/>
    <w:rsid w:val="009E6825"/>
    <w:rsid w:val="009E6E5E"/>
    <w:rsid w:val="009F28A8"/>
    <w:rsid w:val="009F473E"/>
    <w:rsid w:val="009F5247"/>
    <w:rsid w:val="009F682A"/>
    <w:rsid w:val="009F75F6"/>
    <w:rsid w:val="00A01314"/>
    <w:rsid w:val="00A022BE"/>
    <w:rsid w:val="00A03637"/>
    <w:rsid w:val="00A04600"/>
    <w:rsid w:val="00A07B4B"/>
    <w:rsid w:val="00A13AAD"/>
    <w:rsid w:val="00A13E7C"/>
    <w:rsid w:val="00A20203"/>
    <w:rsid w:val="00A206B8"/>
    <w:rsid w:val="00A24C95"/>
    <w:rsid w:val="00A2599A"/>
    <w:rsid w:val="00A26094"/>
    <w:rsid w:val="00A268E6"/>
    <w:rsid w:val="00A27E32"/>
    <w:rsid w:val="00A301BF"/>
    <w:rsid w:val="00A302B2"/>
    <w:rsid w:val="00A31EB0"/>
    <w:rsid w:val="00A331B4"/>
    <w:rsid w:val="00A34763"/>
    <w:rsid w:val="00A3484E"/>
    <w:rsid w:val="00A3518E"/>
    <w:rsid w:val="00A356D3"/>
    <w:rsid w:val="00A36ADA"/>
    <w:rsid w:val="00A37C4D"/>
    <w:rsid w:val="00A4135D"/>
    <w:rsid w:val="00A42479"/>
    <w:rsid w:val="00A42EA3"/>
    <w:rsid w:val="00A438D8"/>
    <w:rsid w:val="00A43932"/>
    <w:rsid w:val="00A473F5"/>
    <w:rsid w:val="00A5117E"/>
    <w:rsid w:val="00A51C4D"/>
    <w:rsid w:val="00A51F9D"/>
    <w:rsid w:val="00A529A8"/>
    <w:rsid w:val="00A5416A"/>
    <w:rsid w:val="00A60BB5"/>
    <w:rsid w:val="00A61577"/>
    <w:rsid w:val="00A6160D"/>
    <w:rsid w:val="00A639F4"/>
    <w:rsid w:val="00A64C8C"/>
    <w:rsid w:val="00A6501C"/>
    <w:rsid w:val="00A65107"/>
    <w:rsid w:val="00A65864"/>
    <w:rsid w:val="00A65FAE"/>
    <w:rsid w:val="00A67894"/>
    <w:rsid w:val="00A67A82"/>
    <w:rsid w:val="00A728D5"/>
    <w:rsid w:val="00A743CA"/>
    <w:rsid w:val="00A80051"/>
    <w:rsid w:val="00A81A32"/>
    <w:rsid w:val="00A82C3D"/>
    <w:rsid w:val="00A835BD"/>
    <w:rsid w:val="00A83876"/>
    <w:rsid w:val="00A85744"/>
    <w:rsid w:val="00A859B6"/>
    <w:rsid w:val="00A90C1E"/>
    <w:rsid w:val="00A97B15"/>
    <w:rsid w:val="00AA03F9"/>
    <w:rsid w:val="00AA39EE"/>
    <w:rsid w:val="00AA42D5"/>
    <w:rsid w:val="00AB0C86"/>
    <w:rsid w:val="00AB2C45"/>
    <w:rsid w:val="00AB2FAB"/>
    <w:rsid w:val="00AB5C14"/>
    <w:rsid w:val="00AB723E"/>
    <w:rsid w:val="00AC1621"/>
    <w:rsid w:val="00AC1EE7"/>
    <w:rsid w:val="00AC333F"/>
    <w:rsid w:val="00AC4B61"/>
    <w:rsid w:val="00AC585C"/>
    <w:rsid w:val="00AD1777"/>
    <w:rsid w:val="00AD1925"/>
    <w:rsid w:val="00AD2A4C"/>
    <w:rsid w:val="00AD79CC"/>
    <w:rsid w:val="00AE067D"/>
    <w:rsid w:val="00AE7ADA"/>
    <w:rsid w:val="00AF1181"/>
    <w:rsid w:val="00AF2F79"/>
    <w:rsid w:val="00AF4653"/>
    <w:rsid w:val="00AF7DB7"/>
    <w:rsid w:val="00B10D02"/>
    <w:rsid w:val="00B169EC"/>
    <w:rsid w:val="00B17935"/>
    <w:rsid w:val="00B179C2"/>
    <w:rsid w:val="00B201E2"/>
    <w:rsid w:val="00B243B9"/>
    <w:rsid w:val="00B25AC3"/>
    <w:rsid w:val="00B35B92"/>
    <w:rsid w:val="00B41721"/>
    <w:rsid w:val="00B423ED"/>
    <w:rsid w:val="00B443E4"/>
    <w:rsid w:val="00B46E4D"/>
    <w:rsid w:val="00B50526"/>
    <w:rsid w:val="00B53100"/>
    <w:rsid w:val="00B5484D"/>
    <w:rsid w:val="00B563EA"/>
    <w:rsid w:val="00B56756"/>
    <w:rsid w:val="00B56C2A"/>
    <w:rsid w:val="00B56CDF"/>
    <w:rsid w:val="00B60E51"/>
    <w:rsid w:val="00B63A54"/>
    <w:rsid w:val="00B63B56"/>
    <w:rsid w:val="00B754CF"/>
    <w:rsid w:val="00B769FC"/>
    <w:rsid w:val="00B77D18"/>
    <w:rsid w:val="00B82CEA"/>
    <w:rsid w:val="00B8313A"/>
    <w:rsid w:val="00B86712"/>
    <w:rsid w:val="00B8767E"/>
    <w:rsid w:val="00B93503"/>
    <w:rsid w:val="00B93EF0"/>
    <w:rsid w:val="00BA2759"/>
    <w:rsid w:val="00BA31E8"/>
    <w:rsid w:val="00BA55E0"/>
    <w:rsid w:val="00BA6BD4"/>
    <w:rsid w:val="00BA6C7A"/>
    <w:rsid w:val="00BB037A"/>
    <w:rsid w:val="00BB16DB"/>
    <w:rsid w:val="00BB17D1"/>
    <w:rsid w:val="00BB2916"/>
    <w:rsid w:val="00BB3752"/>
    <w:rsid w:val="00BB5947"/>
    <w:rsid w:val="00BB6688"/>
    <w:rsid w:val="00BC09AD"/>
    <w:rsid w:val="00BC1FAE"/>
    <w:rsid w:val="00BC26D4"/>
    <w:rsid w:val="00BC2D73"/>
    <w:rsid w:val="00BC6033"/>
    <w:rsid w:val="00BD179A"/>
    <w:rsid w:val="00BD2CB0"/>
    <w:rsid w:val="00BD4C9C"/>
    <w:rsid w:val="00BD7B29"/>
    <w:rsid w:val="00BE0C80"/>
    <w:rsid w:val="00BE107B"/>
    <w:rsid w:val="00BE3842"/>
    <w:rsid w:val="00BE3A53"/>
    <w:rsid w:val="00BF0FB0"/>
    <w:rsid w:val="00BF10E4"/>
    <w:rsid w:val="00BF2A42"/>
    <w:rsid w:val="00BF6CAF"/>
    <w:rsid w:val="00C03D8C"/>
    <w:rsid w:val="00C055EC"/>
    <w:rsid w:val="00C05DD1"/>
    <w:rsid w:val="00C10DC9"/>
    <w:rsid w:val="00C11043"/>
    <w:rsid w:val="00C12FB3"/>
    <w:rsid w:val="00C16D2C"/>
    <w:rsid w:val="00C17341"/>
    <w:rsid w:val="00C218CB"/>
    <w:rsid w:val="00C24EEF"/>
    <w:rsid w:val="00C25A20"/>
    <w:rsid w:val="00C25CF6"/>
    <w:rsid w:val="00C26C36"/>
    <w:rsid w:val="00C32768"/>
    <w:rsid w:val="00C35E77"/>
    <w:rsid w:val="00C431DF"/>
    <w:rsid w:val="00C456BD"/>
    <w:rsid w:val="00C460B3"/>
    <w:rsid w:val="00C46279"/>
    <w:rsid w:val="00C528D1"/>
    <w:rsid w:val="00C530DC"/>
    <w:rsid w:val="00C5350D"/>
    <w:rsid w:val="00C55110"/>
    <w:rsid w:val="00C6123C"/>
    <w:rsid w:val="00C6311A"/>
    <w:rsid w:val="00C63E84"/>
    <w:rsid w:val="00C7031A"/>
    <w:rsid w:val="00C705C5"/>
    <w:rsid w:val="00C7084D"/>
    <w:rsid w:val="00C7315E"/>
    <w:rsid w:val="00C75895"/>
    <w:rsid w:val="00C83C9F"/>
    <w:rsid w:val="00C86D43"/>
    <w:rsid w:val="00C86E23"/>
    <w:rsid w:val="00C90C99"/>
    <w:rsid w:val="00C94840"/>
    <w:rsid w:val="00C95589"/>
    <w:rsid w:val="00C97249"/>
    <w:rsid w:val="00C97D4C"/>
    <w:rsid w:val="00CA1842"/>
    <w:rsid w:val="00CA4EE3"/>
    <w:rsid w:val="00CB027F"/>
    <w:rsid w:val="00CB2EBE"/>
    <w:rsid w:val="00CB583D"/>
    <w:rsid w:val="00CB63E7"/>
    <w:rsid w:val="00CC0EBB"/>
    <w:rsid w:val="00CC14EC"/>
    <w:rsid w:val="00CC1F50"/>
    <w:rsid w:val="00CC5ED7"/>
    <w:rsid w:val="00CC6297"/>
    <w:rsid w:val="00CC6A3E"/>
    <w:rsid w:val="00CC7690"/>
    <w:rsid w:val="00CD08E8"/>
    <w:rsid w:val="00CD1986"/>
    <w:rsid w:val="00CD4B01"/>
    <w:rsid w:val="00CD54BF"/>
    <w:rsid w:val="00CD79D8"/>
    <w:rsid w:val="00CD7EB1"/>
    <w:rsid w:val="00CE4D5C"/>
    <w:rsid w:val="00CE5396"/>
    <w:rsid w:val="00CE5D5A"/>
    <w:rsid w:val="00CE679D"/>
    <w:rsid w:val="00CF05DA"/>
    <w:rsid w:val="00CF1378"/>
    <w:rsid w:val="00CF58EB"/>
    <w:rsid w:val="00CF6B10"/>
    <w:rsid w:val="00CF6FEC"/>
    <w:rsid w:val="00CF74BC"/>
    <w:rsid w:val="00D0106E"/>
    <w:rsid w:val="00D06383"/>
    <w:rsid w:val="00D167CF"/>
    <w:rsid w:val="00D20956"/>
    <w:rsid w:val="00D20E85"/>
    <w:rsid w:val="00D24615"/>
    <w:rsid w:val="00D2565E"/>
    <w:rsid w:val="00D266E9"/>
    <w:rsid w:val="00D27B57"/>
    <w:rsid w:val="00D37842"/>
    <w:rsid w:val="00D42DC2"/>
    <w:rsid w:val="00D4302B"/>
    <w:rsid w:val="00D537E1"/>
    <w:rsid w:val="00D55BB2"/>
    <w:rsid w:val="00D56CF5"/>
    <w:rsid w:val="00D5724A"/>
    <w:rsid w:val="00D6091A"/>
    <w:rsid w:val="00D611E2"/>
    <w:rsid w:val="00D6605A"/>
    <w:rsid w:val="00D6695F"/>
    <w:rsid w:val="00D73459"/>
    <w:rsid w:val="00D75644"/>
    <w:rsid w:val="00D81656"/>
    <w:rsid w:val="00D83D87"/>
    <w:rsid w:val="00D84A6D"/>
    <w:rsid w:val="00D86A30"/>
    <w:rsid w:val="00D92F8B"/>
    <w:rsid w:val="00D97CB4"/>
    <w:rsid w:val="00D97DD4"/>
    <w:rsid w:val="00DA464A"/>
    <w:rsid w:val="00DA4945"/>
    <w:rsid w:val="00DA5A8A"/>
    <w:rsid w:val="00DB004A"/>
    <w:rsid w:val="00DB1170"/>
    <w:rsid w:val="00DB2175"/>
    <w:rsid w:val="00DB26CD"/>
    <w:rsid w:val="00DB441C"/>
    <w:rsid w:val="00DB44AF"/>
    <w:rsid w:val="00DB7608"/>
    <w:rsid w:val="00DC11F1"/>
    <w:rsid w:val="00DC1F58"/>
    <w:rsid w:val="00DC339B"/>
    <w:rsid w:val="00DC49A0"/>
    <w:rsid w:val="00DC5867"/>
    <w:rsid w:val="00DC5D40"/>
    <w:rsid w:val="00DC5DD0"/>
    <w:rsid w:val="00DC5F13"/>
    <w:rsid w:val="00DC69A7"/>
    <w:rsid w:val="00DD073D"/>
    <w:rsid w:val="00DD30E9"/>
    <w:rsid w:val="00DD3D92"/>
    <w:rsid w:val="00DD4730"/>
    <w:rsid w:val="00DD4F47"/>
    <w:rsid w:val="00DD7FBB"/>
    <w:rsid w:val="00DE0B9F"/>
    <w:rsid w:val="00DE2A9E"/>
    <w:rsid w:val="00DE2F3E"/>
    <w:rsid w:val="00DE4238"/>
    <w:rsid w:val="00DE657F"/>
    <w:rsid w:val="00DF1218"/>
    <w:rsid w:val="00DF222D"/>
    <w:rsid w:val="00DF3C7E"/>
    <w:rsid w:val="00DF5467"/>
    <w:rsid w:val="00DF54D8"/>
    <w:rsid w:val="00DF6462"/>
    <w:rsid w:val="00E02FA0"/>
    <w:rsid w:val="00E036DC"/>
    <w:rsid w:val="00E10454"/>
    <w:rsid w:val="00E112E5"/>
    <w:rsid w:val="00E11FDD"/>
    <w:rsid w:val="00E122D8"/>
    <w:rsid w:val="00E12A8B"/>
    <w:rsid w:val="00E12CC8"/>
    <w:rsid w:val="00E1303A"/>
    <w:rsid w:val="00E13CBF"/>
    <w:rsid w:val="00E15352"/>
    <w:rsid w:val="00E21CC7"/>
    <w:rsid w:val="00E23056"/>
    <w:rsid w:val="00E24621"/>
    <w:rsid w:val="00E24D9E"/>
    <w:rsid w:val="00E25849"/>
    <w:rsid w:val="00E25FE0"/>
    <w:rsid w:val="00E26727"/>
    <w:rsid w:val="00E31843"/>
    <w:rsid w:val="00E3197E"/>
    <w:rsid w:val="00E342F8"/>
    <w:rsid w:val="00E351ED"/>
    <w:rsid w:val="00E42B19"/>
    <w:rsid w:val="00E47DB6"/>
    <w:rsid w:val="00E56C69"/>
    <w:rsid w:val="00E600BB"/>
    <w:rsid w:val="00E6034B"/>
    <w:rsid w:val="00E6549E"/>
    <w:rsid w:val="00E65EDE"/>
    <w:rsid w:val="00E66976"/>
    <w:rsid w:val="00E70F81"/>
    <w:rsid w:val="00E77055"/>
    <w:rsid w:val="00E770B9"/>
    <w:rsid w:val="00E77460"/>
    <w:rsid w:val="00E83ABC"/>
    <w:rsid w:val="00E844F2"/>
    <w:rsid w:val="00E861EC"/>
    <w:rsid w:val="00E872B7"/>
    <w:rsid w:val="00E87D86"/>
    <w:rsid w:val="00E90AD0"/>
    <w:rsid w:val="00E92FCB"/>
    <w:rsid w:val="00EA147F"/>
    <w:rsid w:val="00EA4A27"/>
    <w:rsid w:val="00EA4FA6"/>
    <w:rsid w:val="00EB1A25"/>
    <w:rsid w:val="00EB24DF"/>
    <w:rsid w:val="00EB291B"/>
    <w:rsid w:val="00EB73FF"/>
    <w:rsid w:val="00EC3896"/>
    <w:rsid w:val="00EC7363"/>
    <w:rsid w:val="00ED03AB"/>
    <w:rsid w:val="00ED1963"/>
    <w:rsid w:val="00ED1CD4"/>
    <w:rsid w:val="00ED1D2B"/>
    <w:rsid w:val="00ED64B5"/>
    <w:rsid w:val="00EE0C9D"/>
    <w:rsid w:val="00EE5EA8"/>
    <w:rsid w:val="00EE693A"/>
    <w:rsid w:val="00EE7CCA"/>
    <w:rsid w:val="00EF35B5"/>
    <w:rsid w:val="00EF3FC0"/>
    <w:rsid w:val="00EF55BF"/>
    <w:rsid w:val="00EF570B"/>
    <w:rsid w:val="00F01BFB"/>
    <w:rsid w:val="00F04BE0"/>
    <w:rsid w:val="00F06106"/>
    <w:rsid w:val="00F06E53"/>
    <w:rsid w:val="00F073C7"/>
    <w:rsid w:val="00F076A4"/>
    <w:rsid w:val="00F1308E"/>
    <w:rsid w:val="00F13972"/>
    <w:rsid w:val="00F16A14"/>
    <w:rsid w:val="00F17BA4"/>
    <w:rsid w:val="00F2131C"/>
    <w:rsid w:val="00F324CC"/>
    <w:rsid w:val="00F33337"/>
    <w:rsid w:val="00F356E0"/>
    <w:rsid w:val="00F362D7"/>
    <w:rsid w:val="00F37D7B"/>
    <w:rsid w:val="00F4020D"/>
    <w:rsid w:val="00F41F6F"/>
    <w:rsid w:val="00F43A49"/>
    <w:rsid w:val="00F44E32"/>
    <w:rsid w:val="00F47D47"/>
    <w:rsid w:val="00F52651"/>
    <w:rsid w:val="00F5314C"/>
    <w:rsid w:val="00F55C17"/>
    <w:rsid w:val="00F55D67"/>
    <w:rsid w:val="00F55E63"/>
    <w:rsid w:val="00F5688C"/>
    <w:rsid w:val="00F56A1B"/>
    <w:rsid w:val="00F60048"/>
    <w:rsid w:val="00F61581"/>
    <w:rsid w:val="00F61CA6"/>
    <w:rsid w:val="00F635DD"/>
    <w:rsid w:val="00F642F5"/>
    <w:rsid w:val="00F661E2"/>
    <w:rsid w:val="00F6627B"/>
    <w:rsid w:val="00F67B01"/>
    <w:rsid w:val="00F71EE5"/>
    <w:rsid w:val="00F7336E"/>
    <w:rsid w:val="00F734F2"/>
    <w:rsid w:val="00F73DCE"/>
    <w:rsid w:val="00F75052"/>
    <w:rsid w:val="00F75E01"/>
    <w:rsid w:val="00F804D3"/>
    <w:rsid w:val="00F816CB"/>
    <w:rsid w:val="00F81CD2"/>
    <w:rsid w:val="00F82302"/>
    <w:rsid w:val="00F82641"/>
    <w:rsid w:val="00F826E0"/>
    <w:rsid w:val="00F84070"/>
    <w:rsid w:val="00F8491A"/>
    <w:rsid w:val="00F84C27"/>
    <w:rsid w:val="00F84EAE"/>
    <w:rsid w:val="00F87E8D"/>
    <w:rsid w:val="00F90F18"/>
    <w:rsid w:val="00F937E4"/>
    <w:rsid w:val="00F95CA1"/>
    <w:rsid w:val="00F95EE7"/>
    <w:rsid w:val="00F964A1"/>
    <w:rsid w:val="00FA1E5B"/>
    <w:rsid w:val="00FA39E6"/>
    <w:rsid w:val="00FA3D73"/>
    <w:rsid w:val="00FA3E35"/>
    <w:rsid w:val="00FA6E67"/>
    <w:rsid w:val="00FA7BC9"/>
    <w:rsid w:val="00FB378E"/>
    <w:rsid w:val="00FB37F1"/>
    <w:rsid w:val="00FB3ED4"/>
    <w:rsid w:val="00FB47C0"/>
    <w:rsid w:val="00FB4AB7"/>
    <w:rsid w:val="00FB501B"/>
    <w:rsid w:val="00FB6BF5"/>
    <w:rsid w:val="00FB719A"/>
    <w:rsid w:val="00FB7770"/>
    <w:rsid w:val="00FC068D"/>
    <w:rsid w:val="00FC25EE"/>
    <w:rsid w:val="00FC3320"/>
    <w:rsid w:val="00FC41CB"/>
    <w:rsid w:val="00FC4E91"/>
    <w:rsid w:val="00FC76B5"/>
    <w:rsid w:val="00FD24A3"/>
    <w:rsid w:val="00FD258B"/>
    <w:rsid w:val="00FD3B91"/>
    <w:rsid w:val="00FD576B"/>
    <w:rsid w:val="00FD579E"/>
    <w:rsid w:val="00FD64D3"/>
    <w:rsid w:val="00FD6845"/>
    <w:rsid w:val="00FE0262"/>
    <w:rsid w:val="00FE0615"/>
    <w:rsid w:val="00FE06E3"/>
    <w:rsid w:val="00FE4516"/>
    <w:rsid w:val="00FE6117"/>
    <w:rsid w:val="00FE64C8"/>
    <w:rsid w:val="00FE6559"/>
    <w:rsid w:val="00FF0F44"/>
    <w:rsid w:val="00FF1D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33F000-90B9-44A8-94AE-CFDBF8C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C2D73"/>
    <w:pPr>
      <w:widowControl w:val="0"/>
      <w:overflowPunct w:val="0"/>
      <w:autoSpaceDE w:val="0"/>
      <w:autoSpaceDN w:val="0"/>
      <w:jc w:val="both"/>
    </w:pPr>
    <w:rPr>
      <w:rFonts w:ascii="標楷體" w:eastAsia="標楷體"/>
      <w:kern w:val="2"/>
      <w:sz w:val="32"/>
    </w:rPr>
  </w:style>
  <w:style w:type="paragraph" w:styleId="1">
    <w:name w:val="heading 1"/>
    <w:aliases w:val="章"/>
    <w:basedOn w:val="a6"/>
    <w:link w:val="10"/>
    <w:qFormat/>
    <w:rsid w:val="004F5E57"/>
    <w:pPr>
      <w:numPr>
        <w:numId w:val="7"/>
      </w:numPr>
      <w:outlineLvl w:val="0"/>
    </w:pPr>
    <w:rPr>
      <w:rFonts w:hAnsi="Arial"/>
      <w:bCs/>
      <w:kern w:val="32"/>
      <w:szCs w:val="52"/>
    </w:rPr>
  </w:style>
  <w:style w:type="paragraph" w:styleId="2">
    <w:name w:val="heading 2"/>
    <w:aliases w:val="標題110/111,節"/>
    <w:basedOn w:val="a6"/>
    <w:link w:val="20"/>
    <w:qFormat/>
    <w:rsid w:val="004F5E57"/>
    <w:pPr>
      <w:numPr>
        <w:ilvl w:val="1"/>
        <w:numId w:val="7"/>
      </w:numPr>
      <w:outlineLvl w:val="1"/>
    </w:pPr>
    <w:rPr>
      <w:rFonts w:hAnsi="Arial"/>
      <w:bCs/>
      <w:kern w:val="32"/>
      <w:szCs w:val="48"/>
    </w:rPr>
  </w:style>
  <w:style w:type="paragraph" w:styleId="3">
    <w:name w:val="heading 3"/>
    <w:basedOn w:val="a6"/>
    <w:link w:val="30"/>
    <w:uiPriority w:val="9"/>
    <w:qFormat/>
    <w:rsid w:val="00AB723E"/>
    <w:pPr>
      <w:numPr>
        <w:numId w:val="15"/>
      </w:numPr>
      <w:ind w:left="1418" w:hanging="722"/>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章 字元1"/>
    <w:basedOn w:val="a7"/>
    <w:link w:val="1"/>
    <w:rsid w:val="008E2C7F"/>
    <w:rPr>
      <w:rFonts w:ascii="標楷體" w:eastAsia="標楷體" w:hAnsi="Arial"/>
      <w:bCs/>
      <w:kern w:val="32"/>
      <w:sz w:val="32"/>
      <w:szCs w:val="52"/>
    </w:rPr>
  </w:style>
  <w:style w:type="character" w:customStyle="1" w:styleId="20">
    <w:name w:val="標題 2 字元"/>
    <w:aliases w:val="標題110/111 字元,節 字元"/>
    <w:basedOn w:val="a7"/>
    <w:link w:val="2"/>
    <w:rsid w:val="0031455E"/>
    <w:rPr>
      <w:rFonts w:ascii="標楷體" w:eastAsia="標楷體" w:hAnsi="Arial"/>
      <w:bCs/>
      <w:kern w:val="32"/>
      <w:sz w:val="32"/>
      <w:szCs w:val="48"/>
    </w:rPr>
  </w:style>
  <w:style w:type="character" w:customStyle="1" w:styleId="30">
    <w:name w:val="標題 3 字元"/>
    <w:basedOn w:val="a7"/>
    <w:link w:val="3"/>
    <w:uiPriority w:val="9"/>
    <w:rsid w:val="00AB723E"/>
    <w:rPr>
      <w:rFonts w:ascii="標楷體" w:eastAsia="標楷體" w:hAnsi="Arial"/>
      <w:bCs/>
      <w:kern w:val="32"/>
      <w:sz w:val="32"/>
      <w:szCs w:val="36"/>
    </w:rPr>
  </w:style>
  <w:style w:type="character" w:customStyle="1" w:styleId="40">
    <w:name w:val="標題 4 字元"/>
    <w:aliases w:val="表格 字元"/>
    <w:basedOn w:val="a7"/>
    <w:link w:val="4"/>
    <w:rsid w:val="008E2C7F"/>
    <w:rPr>
      <w:rFonts w:ascii="標楷體" w:eastAsia="標楷體" w:hAnsi="Arial"/>
      <w:kern w:val="32"/>
      <w:sz w:val="32"/>
      <w:szCs w:val="36"/>
    </w:rPr>
  </w:style>
  <w:style w:type="character" w:customStyle="1" w:styleId="50">
    <w:name w:val="標題 5 字元"/>
    <w:basedOn w:val="a7"/>
    <w:link w:val="5"/>
    <w:rsid w:val="008E2C7F"/>
    <w:rPr>
      <w:rFonts w:ascii="標楷體" w:eastAsia="標楷體" w:hAnsi="Arial"/>
      <w:bCs/>
      <w:kern w:val="32"/>
      <w:sz w:val="32"/>
      <w:szCs w:val="36"/>
    </w:rPr>
  </w:style>
  <w:style w:type="character" w:customStyle="1" w:styleId="60">
    <w:name w:val="標題 6 字元"/>
    <w:basedOn w:val="a7"/>
    <w:link w:val="6"/>
    <w:rsid w:val="008E2C7F"/>
    <w:rPr>
      <w:rFonts w:ascii="標楷體" w:eastAsia="標楷體" w:hAnsi="Arial"/>
      <w:kern w:val="32"/>
      <w:sz w:val="32"/>
      <w:szCs w:val="36"/>
    </w:rPr>
  </w:style>
  <w:style w:type="character" w:customStyle="1" w:styleId="70">
    <w:name w:val="標題 7 字元"/>
    <w:basedOn w:val="a7"/>
    <w:link w:val="7"/>
    <w:rsid w:val="008E2C7F"/>
    <w:rPr>
      <w:rFonts w:ascii="標楷體" w:eastAsia="標楷體" w:hAnsi="Arial"/>
      <w:bCs/>
      <w:kern w:val="32"/>
      <w:sz w:val="32"/>
      <w:szCs w:val="36"/>
    </w:rPr>
  </w:style>
  <w:style w:type="character" w:customStyle="1" w:styleId="80">
    <w:name w:val="標題 8 字元"/>
    <w:basedOn w:val="a7"/>
    <w:link w:val="8"/>
    <w:rsid w:val="008E2C7F"/>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8E2C7F"/>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8E2C7F"/>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8E2C7F"/>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8E2C7F"/>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8E2C7F"/>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styleId="aff1">
    <w:name w:val="FollowedHyperlink"/>
    <w:uiPriority w:val="99"/>
    <w:semiHidden/>
    <w:unhideWhenUsed/>
    <w:rsid w:val="008E2C7F"/>
    <w:rPr>
      <w:color w:val="800080"/>
      <w:u w:val="single"/>
    </w:rPr>
  </w:style>
  <w:style w:type="character" w:customStyle="1" w:styleId="110">
    <w:name w:val="標題 1 字元1"/>
    <w:aliases w:val="章 字元"/>
    <w:basedOn w:val="a7"/>
    <w:rsid w:val="008E2C7F"/>
    <w:rPr>
      <w:rFonts w:asciiTheme="majorHAnsi" w:eastAsiaTheme="majorEastAsia" w:hAnsiTheme="majorHAnsi" w:cstheme="majorBidi"/>
      <w:b/>
      <w:bCs/>
      <w:kern w:val="52"/>
      <w:sz w:val="52"/>
      <w:szCs w:val="52"/>
    </w:rPr>
  </w:style>
  <w:style w:type="character" w:customStyle="1" w:styleId="HTML">
    <w:name w:val="HTML 預設格式 字元"/>
    <w:basedOn w:val="a7"/>
    <w:link w:val="HTML0"/>
    <w:uiPriority w:val="99"/>
    <w:semiHidden/>
    <w:rsid w:val="008E2C7F"/>
    <w:rPr>
      <w:rFonts w:ascii="Courier New" w:eastAsia="標楷體" w:hAnsi="Courier New" w:cs="Courier New"/>
      <w:kern w:val="2"/>
    </w:rPr>
  </w:style>
  <w:style w:type="paragraph" w:styleId="HTML0">
    <w:name w:val="HTML Preformatted"/>
    <w:basedOn w:val="a6"/>
    <w:link w:val="HTML"/>
    <w:uiPriority w:val="99"/>
    <w:semiHidden/>
    <w:unhideWhenUsed/>
    <w:rsid w:val="008E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Courier New" w:hAnsi="Courier New" w:cs="Courier New"/>
      <w:sz w:val="20"/>
    </w:rPr>
  </w:style>
  <w:style w:type="paragraph" w:styleId="aff2">
    <w:name w:val="footnote text"/>
    <w:basedOn w:val="a6"/>
    <w:link w:val="aff3"/>
    <w:uiPriority w:val="99"/>
    <w:semiHidden/>
    <w:unhideWhenUsed/>
    <w:rsid w:val="008E2C7F"/>
    <w:pPr>
      <w:overflowPunct/>
      <w:autoSpaceDE/>
      <w:autoSpaceDN/>
      <w:snapToGrid w:val="0"/>
      <w:jc w:val="left"/>
    </w:pPr>
    <w:rPr>
      <w:rFonts w:ascii="Times New Roman"/>
      <w:sz w:val="20"/>
    </w:rPr>
  </w:style>
  <w:style w:type="character" w:customStyle="1" w:styleId="aff3">
    <w:name w:val="註腳文字 字元"/>
    <w:basedOn w:val="a7"/>
    <w:link w:val="aff2"/>
    <w:uiPriority w:val="99"/>
    <w:semiHidden/>
    <w:rsid w:val="008E2C7F"/>
    <w:rPr>
      <w:rFonts w:eastAsia="標楷體"/>
      <w:kern w:val="2"/>
    </w:rPr>
  </w:style>
  <w:style w:type="paragraph" w:customStyle="1" w:styleId="aff4">
    <w:name w:val="表樣式"/>
    <w:basedOn w:val="a6"/>
    <w:next w:val="a6"/>
    <w:rsid w:val="008E2C7F"/>
    <w:pPr>
      <w:tabs>
        <w:tab w:val="num" w:pos="1440"/>
      </w:tabs>
      <w:overflowPunct/>
      <w:autoSpaceDE/>
      <w:autoSpaceDN/>
      <w:ind w:left="695" w:hanging="695"/>
    </w:pPr>
    <w:rPr>
      <w:kern w:val="0"/>
    </w:rPr>
  </w:style>
  <w:style w:type="paragraph" w:customStyle="1" w:styleId="aff5">
    <w:name w:val="圖樣式"/>
    <w:basedOn w:val="a6"/>
    <w:next w:val="a6"/>
    <w:rsid w:val="008E2C7F"/>
    <w:pPr>
      <w:tabs>
        <w:tab w:val="num" w:pos="1440"/>
      </w:tabs>
      <w:overflowPunct/>
      <w:autoSpaceDE/>
      <w:autoSpaceDN/>
      <w:ind w:left="400" w:hangingChars="400" w:hanging="400"/>
    </w:pPr>
  </w:style>
  <w:style w:type="paragraph" w:customStyle="1" w:styleId="13">
    <w:name w:val="標題1"/>
    <w:basedOn w:val="a6"/>
    <w:qFormat/>
    <w:rsid w:val="008E2C7F"/>
    <w:pPr>
      <w:outlineLvl w:val="0"/>
    </w:pPr>
    <w:rPr>
      <w:kern w:val="28"/>
      <w:sz w:val="28"/>
      <w:szCs w:val="24"/>
    </w:rPr>
  </w:style>
  <w:style w:type="paragraph" w:customStyle="1" w:styleId="Default">
    <w:name w:val="Default"/>
    <w:rsid w:val="008E2C7F"/>
    <w:pPr>
      <w:widowControl w:val="0"/>
      <w:autoSpaceDE w:val="0"/>
      <w:autoSpaceDN w:val="0"/>
      <w:adjustRightInd w:val="0"/>
    </w:pPr>
    <w:rPr>
      <w:rFonts w:ascii="標楷體" w:hAnsi="標楷體" w:cs="標楷體"/>
      <w:color w:val="000000"/>
      <w:sz w:val="24"/>
      <w:szCs w:val="24"/>
    </w:rPr>
  </w:style>
  <w:style w:type="character" w:styleId="aff6">
    <w:name w:val="footnote reference"/>
    <w:uiPriority w:val="99"/>
    <w:semiHidden/>
    <w:unhideWhenUsed/>
    <w:rsid w:val="008E2C7F"/>
    <w:rPr>
      <w:vertAlign w:val="superscript"/>
    </w:rPr>
  </w:style>
  <w:style w:type="table" w:customStyle="1" w:styleId="15">
    <w:name w:val="表格格線1"/>
    <w:basedOn w:val="a8"/>
    <w:next w:val="afb"/>
    <w:uiPriority w:val="59"/>
    <w:rsid w:val="001E122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6"/>
    <w:next w:val="a6"/>
    <w:unhideWhenUsed/>
    <w:qFormat/>
    <w:rsid w:val="009B32DF"/>
    <w:pPr>
      <w:overflowPunct/>
      <w:autoSpaceDE/>
      <w:autoSpaceDN/>
      <w:jc w:val="left"/>
    </w:pPr>
    <w:rPr>
      <w:rFonts w:ascii="Times New Roman" w:eastAsia="新細明體"/>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9843">
      <w:bodyDiv w:val="1"/>
      <w:marLeft w:val="0"/>
      <w:marRight w:val="0"/>
      <w:marTop w:val="0"/>
      <w:marBottom w:val="0"/>
      <w:divBdr>
        <w:top w:val="none" w:sz="0" w:space="0" w:color="auto"/>
        <w:left w:val="none" w:sz="0" w:space="0" w:color="auto"/>
        <w:bottom w:val="none" w:sz="0" w:space="0" w:color="auto"/>
        <w:right w:val="none" w:sz="0" w:space="0" w:color="auto"/>
      </w:divBdr>
    </w:div>
    <w:div w:id="430587272">
      <w:bodyDiv w:val="1"/>
      <w:marLeft w:val="0"/>
      <w:marRight w:val="0"/>
      <w:marTop w:val="0"/>
      <w:marBottom w:val="0"/>
      <w:divBdr>
        <w:top w:val="none" w:sz="0" w:space="0" w:color="auto"/>
        <w:left w:val="none" w:sz="0" w:space="0" w:color="auto"/>
        <w:bottom w:val="none" w:sz="0" w:space="0" w:color="auto"/>
        <w:right w:val="none" w:sz="0" w:space="0" w:color="auto"/>
      </w:divBdr>
    </w:div>
    <w:div w:id="587009083">
      <w:bodyDiv w:val="1"/>
      <w:marLeft w:val="0"/>
      <w:marRight w:val="0"/>
      <w:marTop w:val="0"/>
      <w:marBottom w:val="0"/>
      <w:divBdr>
        <w:top w:val="none" w:sz="0" w:space="0" w:color="auto"/>
        <w:left w:val="none" w:sz="0" w:space="0" w:color="auto"/>
        <w:bottom w:val="none" w:sz="0" w:space="0" w:color="auto"/>
        <w:right w:val="none" w:sz="0" w:space="0" w:color="auto"/>
      </w:divBdr>
    </w:div>
    <w:div w:id="793597438">
      <w:bodyDiv w:val="1"/>
      <w:marLeft w:val="0"/>
      <w:marRight w:val="0"/>
      <w:marTop w:val="0"/>
      <w:marBottom w:val="150"/>
      <w:divBdr>
        <w:top w:val="none" w:sz="0" w:space="0" w:color="auto"/>
        <w:left w:val="none" w:sz="0" w:space="0" w:color="auto"/>
        <w:bottom w:val="none" w:sz="0" w:space="0" w:color="auto"/>
        <w:right w:val="none" w:sz="0" w:space="0" w:color="auto"/>
      </w:divBdr>
      <w:divsChild>
        <w:div w:id="2088187371">
          <w:marLeft w:val="0"/>
          <w:marRight w:val="0"/>
          <w:marTop w:val="0"/>
          <w:marBottom w:val="0"/>
          <w:divBdr>
            <w:top w:val="none" w:sz="0" w:space="0" w:color="auto"/>
            <w:left w:val="none" w:sz="0" w:space="0" w:color="auto"/>
            <w:bottom w:val="none" w:sz="0" w:space="0" w:color="auto"/>
            <w:right w:val="none" w:sz="0" w:space="0" w:color="auto"/>
          </w:divBdr>
          <w:divsChild>
            <w:div w:id="24915164">
              <w:marLeft w:val="0"/>
              <w:marRight w:val="0"/>
              <w:marTop w:val="0"/>
              <w:marBottom w:val="120"/>
              <w:divBdr>
                <w:top w:val="none" w:sz="0" w:space="0" w:color="auto"/>
                <w:left w:val="none" w:sz="0" w:space="0" w:color="auto"/>
                <w:bottom w:val="none" w:sz="0" w:space="0" w:color="auto"/>
                <w:right w:val="none" w:sz="0" w:space="0" w:color="auto"/>
              </w:divBdr>
            </w:div>
          </w:divsChild>
        </w:div>
        <w:div w:id="1213545092">
          <w:marLeft w:val="0"/>
          <w:marRight w:val="0"/>
          <w:marTop w:val="0"/>
          <w:marBottom w:val="0"/>
          <w:divBdr>
            <w:top w:val="none" w:sz="0" w:space="0" w:color="auto"/>
            <w:left w:val="none" w:sz="0" w:space="0" w:color="auto"/>
            <w:bottom w:val="none" w:sz="0" w:space="0" w:color="auto"/>
            <w:right w:val="none" w:sz="0" w:space="0" w:color="auto"/>
          </w:divBdr>
          <w:divsChild>
            <w:div w:id="377629523">
              <w:marLeft w:val="0"/>
              <w:marRight w:val="0"/>
              <w:marTop w:val="0"/>
              <w:marBottom w:val="0"/>
              <w:divBdr>
                <w:top w:val="none" w:sz="0" w:space="0" w:color="auto"/>
                <w:left w:val="none" w:sz="0" w:space="0" w:color="auto"/>
                <w:bottom w:val="none" w:sz="0" w:space="0" w:color="auto"/>
                <w:right w:val="none" w:sz="0" w:space="0" w:color="auto"/>
              </w:divBdr>
            </w:div>
            <w:div w:id="411784203">
              <w:marLeft w:val="0"/>
              <w:marRight w:val="0"/>
              <w:marTop w:val="0"/>
              <w:marBottom w:val="120"/>
              <w:divBdr>
                <w:top w:val="none" w:sz="0" w:space="0" w:color="auto"/>
                <w:left w:val="none" w:sz="0" w:space="0" w:color="auto"/>
                <w:bottom w:val="none" w:sz="0" w:space="0" w:color="auto"/>
                <w:right w:val="none" w:sz="0" w:space="0" w:color="auto"/>
              </w:divBdr>
            </w:div>
          </w:divsChild>
        </w:div>
        <w:div w:id="1980525113">
          <w:marLeft w:val="0"/>
          <w:marRight w:val="0"/>
          <w:marTop w:val="0"/>
          <w:marBottom w:val="0"/>
          <w:divBdr>
            <w:top w:val="none" w:sz="0" w:space="0" w:color="auto"/>
            <w:left w:val="none" w:sz="0" w:space="0" w:color="auto"/>
            <w:bottom w:val="none" w:sz="0" w:space="0" w:color="auto"/>
            <w:right w:val="none" w:sz="0" w:space="0" w:color="auto"/>
          </w:divBdr>
          <w:divsChild>
            <w:div w:id="82603640">
              <w:marLeft w:val="0"/>
              <w:marRight w:val="0"/>
              <w:marTop w:val="0"/>
              <w:marBottom w:val="0"/>
              <w:divBdr>
                <w:top w:val="none" w:sz="0" w:space="0" w:color="auto"/>
                <w:left w:val="none" w:sz="0" w:space="0" w:color="auto"/>
                <w:bottom w:val="none" w:sz="0" w:space="0" w:color="auto"/>
                <w:right w:val="none" w:sz="0" w:space="0" w:color="auto"/>
              </w:divBdr>
            </w:div>
            <w:div w:id="763109468">
              <w:marLeft w:val="0"/>
              <w:marRight w:val="0"/>
              <w:marTop w:val="0"/>
              <w:marBottom w:val="120"/>
              <w:divBdr>
                <w:top w:val="none" w:sz="0" w:space="0" w:color="auto"/>
                <w:left w:val="none" w:sz="0" w:space="0" w:color="auto"/>
                <w:bottom w:val="none" w:sz="0" w:space="0" w:color="auto"/>
                <w:right w:val="none" w:sz="0" w:space="0" w:color="auto"/>
              </w:divBdr>
            </w:div>
          </w:divsChild>
        </w:div>
        <w:div w:id="509025729">
          <w:marLeft w:val="0"/>
          <w:marRight w:val="0"/>
          <w:marTop w:val="0"/>
          <w:marBottom w:val="0"/>
          <w:divBdr>
            <w:top w:val="none" w:sz="0" w:space="0" w:color="auto"/>
            <w:left w:val="none" w:sz="0" w:space="0" w:color="auto"/>
            <w:bottom w:val="none" w:sz="0" w:space="0" w:color="auto"/>
            <w:right w:val="none" w:sz="0" w:space="0" w:color="auto"/>
          </w:divBdr>
          <w:divsChild>
            <w:div w:id="1106080276">
              <w:marLeft w:val="0"/>
              <w:marRight w:val="0"/>
              <w:marTop w:val="0"/>
              <w:marBottom w:val="0"/>
              <w:divBdr>
                <w:top w:val="none" w:sz="0" w:space="0" w:color="auto"/>
                <w:left w:val="none" w:sz="0" w:space="0" w:color="auto"/>
                <w:bottom w:val="none" w:sz="0" w:space="0" w:color="auto"/>
                <w:right w:val="none" w:sz="0" w:space="0" w:color="auto"/>
              </w:divBdr>
            </w:div>
            <w:div w:id="68502603">
              <w:marLeft w:val="0"/>
              <w:marRight w:val="0"/>
              <w:marTop w:val="0"/>
              <w:marBottom w:val="120"/>
              <w:divBdr>
                <w:top w:val="none" w:sz="0" w:space="0" w:color="auto"/>
                <w:left w:val="none" w:sz="0" w:space="0" w:color="auto"/>
                <w:bottom w:val="none" w:sz="0" w:space="0" w:color="auto"/>
                <w:right w:val="none" w:sz="0" w:space="0" w:color="auto"/>
              </w:divBdr>
            </w:div>
          </w:divsChild>
        </w:div>
        <w:div w:id="922833705">
          <w:marLeft w:val="0"/>
          <w:marRight w:val="0"/>
          <w:marTop w:val="0"/>
          <w:marBottom w:val="0"/>
          <w:divBdr>
            <w:top w:val="none" w:sz="0" w:space="0" w:color="auto"/>
            <w:left w:val="none" w:sz="0" w:space="0" w:color="auto"/>
            <w:bottom w:val="none" w:sz="0" w:space="0" w:color="auto"/>
            <w:right w:val="none" w:sz="0" w:space="0" w:color="auto"/>
          </w:divBdr>
          <w:divsChild>
            <w:div w:id="2100904331">
              <w:marLeft w:val="0"/>
              <w:marRight w:val="0"/>
              <w:marTop w:val="0"/>
              <w:marBottom w:val="0"/>
              <w:divBdr>
                <w:top w:val="none" w:sz="0" w:space="0" w:color="auto"/>
                <w:left w:val="none" w:sz="0" w:space="0" w:color="auto"/>
                <w:bottom w:val="none" w:sz="0" w:space="0" w:color="auto"/>
                <w:right w:val="none" w:sz="0" w:space="0" w:color="auto"/>
              </w:divBdr>
            </w:div>
            <w:div w:id="2071077208">
              <w:marLeft w:val="0"/>
              <w:marRight w:val="0"/>
              <w:marTop w:val="0"/>
              <w:marBottom w:val="120"/>
              <w:divBdr>
                <w:top w:val="none" w:sz="0" w:space="0" w:color="auto"/>
                <w:left w:val="none" w:sz="0" w:space="0" w:color="auto"/>
                <w:bottom w:val="none" w:sz="0" w:space="0" w:color="auto"/>
                <w:right w:val="none" w:sz="0" w:space="0" w:color="auto"/>
              </w:divBdr>
            </w:div>
          </w:divsChild>
        </w:div>
        <w:div w:id="384262139">
          <w:marLeft w:val="0"/>
          <w:marRight w:val="0"/>
          <w:marTop w:val="0"/>
          <w:marBottom w:val="0"/>
          <w:divBdr>
            <w:top w:val="none" w:sz="0" w:space="0" w:color="auto"/>
            <w:left w:val="none" w:sz="0" w:space="0" w:color="auto"/>
            <w:bottom w:val="none" w:sz="0" w:space="0" w:color="auto"/>
            <w:right w:val="none" w:sz="0" w:space="0" w:color="auto"/>
          </w:divBdr>
          <w:divsChild>
            <w:div w:id="1743218201">
              <w:marLeft w:val="0"/>
              <w:marRight w:val="0"/>
              <w:marTop w:val="0"/>
              <w:marBottom w:val="0"/>
              <w:divBdr>
                <w:top w:val="none" w:sz="0" w:space="0" w:color="auto"/>
                <w:left w:val="none" w:sz="0" w:space="0" w:color="auto"/>
                <w:bottom w:val="none" w:sz="0" w:space="0" w:color="auto"/>
                <w:right w:val="none" w:sz="0" w:space="0" w:color="auto"/>
              </w:divBdr>
            </w:div>
            <w:div w:id="2080863614">
              <w:marLeft w:val="0"/>
              <w:marRight w:val="0"/>
              <w:marTop w:val="0"/>
              <w:marBottom w:val="120"/>
              <w:divBdr>
                <w:top w:val="none" w:sz="0" w:space="0" w:color="auto"/>
                <w:left w:val="none" w:sz="0" w:space="0" w:color="auto"/>
                <w:bottom w:val="none" w:sz="0" w:space="0" w:color="auto"/>
                <w:right w:val="none" w:sz="0" w:space="0" w:color="auto"/>
              </w:divBdr>
            </w:div>
          </w:divsChild>
        </w:div>
        <w:div w:id="278537047">
          <w:marLeft w:val="0"/>
          <w:marRight w:val="0"/>
          <w:marTop w:val="0"/>
          <w:marBottom w:val="0"/>
          <w:divBdr>
            <w:top w:val="none" w:sz="0" w:space="0" w:color="auto"/>
            <w:left w:val="none" w:sz="0" w:space="0" w:color="auto"/>
            <w:bottom w:val="none" w:sz="0" w:space="0" w:color="auto"/>
            <w:right w:val="none" w:sz="0" w:space="0" w:color="auto"/>
          </w:divBdr>
          <w:divsChild>
            <w:div w:id="915286727">
              <w:marLeft w:val="0"/>
              <w:marRight w:val="0"/>
              <w:marTop w:val="0"/>
              <w:marBottom w:val="0"/>
              <w:divBdr>
                <w:top w:val="none" w:sz="0" w:space="0" w:color="auto"/>
                <w:left w:val="none" w:sz="0" w:space="0" w:color="auto"/>
                <w:bottom w:val="none" w:sz="0" w:space="0" w:color="auto"/>
                <w:right w:val="none" w:sz="0" w:space="0" w:color="auto"/>
              </w:divBdr>
            </w:div>
            <w:div w:id="5267937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9617849">
      <w:bodyDiv w:val="1"/>
      <w:marLeft w:val="0"/>
      <w:marRight w:val="0"/>
      <w:marTop w:val="0"/>
      <w:marBottom w:val="0"/>
      <w:divBdr>
        <w:top w:val="none" w:sz="0" w:space="0" w:color="auto"/>
        <w:left w:val="none" w:sz="0" w:space="0" w:color="auto"/>
        <w:bottom w:val="none" w:sz="0" w:space="0" w:color="auto"/>
        <w:right w:val="none" w:sz="0" w:space="0" w:color="auto"/>
      </w:divBdr>
    </w:div>
    <w:div w:id="1180779802">
      <w:bodyDiv w:val="1"/>
      <w:marLeft w:val="0"/>
      <w:marRight w:val="0"/>
      <w:marTop w:val="0"/>
      <w:marBottom w:val="0"/>
      <w:divBdr>
        <w:top w:val="none" w:sz="0" w:space="0" w:color="auto"/>
        <w:left w:val="none" w:sz="0" w:space="0" w:color="auto"/>
        <w:bottom w:val="none" w:sz="0" w:space="0" w:color="auto"/>
        <w:right w:val="none" w:sz="0" w:space="0" w:color="auto"/>
      </w:divBdr>
    </w:div>
    <w:div w:id="1191797312">
      <w:bodyDiv w:val="1"/>
      <w:marLeft w:val="0"/>
      <w:marRight w:val="0"/>
      <w:marTop w:val="0"/>
      <w:marBottom w:val="0"/>
      <w:divBdr>
        <w:top w:val="none" w:sz="0" w:space="0" w:color="auto"/>
        <w:left w:val="none" w:sz="0" w:space="0" w:color="auto"/>
        <w:bottom w:val="none" w:sz="0" w:space="0" w:color="auto"/>
        <w:right w:val="none" w:sz="0" w:space="0" w:color="auto"/>
      </w:divBdr>
    </w:div>
    <w:div w:id="1489905711">
      <w:bodyDiv w:val="1"/>
      <w:marLeft w:val="0"/>
      <w:marRight w:val="0"/>
      <w:marTop w:val="0"/>
      <w:marBottom w:val="0"/>
      <w:divBdr>
        <w:top w:val="none" w:sz="0" w:space="0" w:color="auto"/>
        <w:left w:val="none" w:sz="0" w:space="0" w:color="auto"/>
        <w:bottom w:val="none" w:sz="0" w:space="0" w:color="auto"/>
        <w:right w:val="none" w:sz="0" w:space="0" w:color="auto"/>
      </w:divBdr>
    </w:div>
    <w:div w:id="1517228006">
      <w:bodyDiv w:val="1"/>
      <w:marLeft w:val="0"/>
      <w:marRight w:val="0"/>
      <w:marTop w:val="0"/>
      <w:marBottom w:val="0"/>
      <w:divBdr>
        <w:top w:val="none" w:sz="0" w:space="0" w:color="auto"/>
        <w:left w:val="none" w:sz="0" w:space="0" w:color="auto"/>
        <w:bottom w:val="none" w:sz="0" w:space="0" w:color="auto"/>
        <w:right w:val="none" w:sz="0" w:space="0" w:color="auto"/>
      </w:divBdr>
    </w:div>
    <w:div w:id="1654676646">
      <w:bodyDiv w:val="1"/>
      <w:marLeft w:val="0"/>
      <w:marRight w:val="0"/>
      <w:marTop w:val="0"/>
      <w:marBottom w:val="0"/>
      <w:divBdr>
        <w:top w:val="none" w:sz="0" w:space="0" w:color="auto"/>
        <w:left w:val="none" w:sz="0" w:space="0" w:color="auto"/>
        <w:bottom w:val="none" w:sz="0" w:space="0" w:color="auto"/>
        <w:right w:val="none" w:sz="0" w:space="0" w:color="auto"/>
      </w:divBdr>
    </w:div>
    <w:div w:id="19002464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E335-6370-40F1-8D10-1822A9D7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1308</Words>
  <Characters>7462</Characters>
  <Application>Microsoft Office Word</Application>
  <DocSecurity>0</DocSecurity>
  <Lines>62</Lines>
  <Paragraphs>17</Paragraphs>
  <ScaleCrop>false</ScaleCrop>
  <Company>cy</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2015-06-11T03:52:00Z</cp:lastPrinted>
  <dcterms:created xsi:type="dcterms:W3CDTF">2019-04-18T02:49:00Z</dcterms:created>
  <dcterms:modified xsi:type="dcterms:W3CDTF">2019-04-18T02:49:00Z</dcterms:modified>
</cp:coreProperties>
</file>