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5E08" w:rsidRDefault="00255E08" w:rsidP="006B4BEB">
      <w:pPr>
        <w:pStyle w:val="a6"/>
        <w:kinsoku w:val="0"/>
        <w:overflowPunct w:val="0"/>
        <w:spacing w:before="0"/>
        <w:ind w:leftChars="700" w:left="2381" w:firstLine="0"/>
        <w:rPr>
          <w:bCs/>
          <w:snapToGrid/>
          <w:spacing w:val="200"/>
          <w:kern w:val="0"/>
          <w:sz w:val="40"/>
        </w:rPr>
      </w:pPr>
      <w:r>
        <w:rPr>
          <w:rFonts w:hint="eastAsia"/>
          <w:bCs/>
          <w:snapToGrid/>
          <w:spacing w:val="200"/>
          <w:kern w:val="0"/>
          <w:sz w:val="40"/>
        </w:rPr>
        <w:t>調查報告</w:t>
      </w:r>
    </w:p>
    <w:p w:rsidR="00255E08" w:rsidRDefault="00255E08" w:rsidP="006B4BEB">
      <w:pPr>
        <w:pStyle w:val="1"/>
        <w:overflowPunct w:val="0"/>
        <w:ind w:left="2310" w:hanging="2310"/>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529218256"/>
      <w:bookmarkStart w:id="11" w:name="_Toc529222679"/>
      <w:bookmarkStart w:id="12" w:name="_Toc529223101"/>
      <w:bookmarkStart w:id="13" w:name="_Toc529223852"/>
      <w:bookmarkStart w:id="14" w:name="_Toc529228248"/>
      <w:bookmarkStart w:id="15" w:name="_Toc2400384"/>
      <w:bookmarkStart w:id="16" w:name="_Toc4316179"/>
      <w:bookmarkStart w:id="17" w:name="_Toc4473320"/>
      <w:bookmarkStart w:id="18" w:name="_Toc69556887"/>
      <w:bookmarkStart w:id="19" w:name="_Toc69556936"/>
      <w:bookmarkStart w:id="20" w:name="_Toc69609810"/>
      <w:bookmarkStart w:id="21" w:name="_Toc70241806"/>
      <w:bookmarkStart w:id="22" w:name="_Toc70242195"/>
      <w:r>
        <w:rPr>
          <w:rFonts w:hint="eastAsia"/>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proofErr w:type="gramStart"/>
      <w:r w:rsidR="00AA051B" w:rsidRPr="00AA051B">
        <w:rPr>
          <w:rFonts w:hint="eastAsia"/>
        </w:rPr>
        <w:t>據訴</w:t>
      </w:r>
      <w:proofErr w:type="gramEnd"/>
      <w:r w:rsidR="00AA051B" w:rsidRPr="00AA051B">
        <w:rPr>
          <w:rFonts w:hint="eastAsia"/>
        </w:rPr>
        <w:t>，民國101年4月24日陳姓替代役役男於成功嶺營區替代役醫療中隊寢室被發現倒臥血泊中，其父指控承辦檢察官明知其並非自殺，竟草率以自殺結案。陳姓替代役役男究係自殺或他殺?法醫之自殺鑑定報告有無疑義?若他殺則檢察官當有草率結案之違失，若真係自殺，則係何原因?是否與訓練管教有關?</w:t>
      </w:r>
      <w:proofErr w:type="gramStart"/>
      <w:r w:rsidR="00AA051B" w:rsidRPr="00AA051B">
        <w:rPr>
          <w:rFonts w:hint="eastAsia"/>
        </w:rPr>
        <w:t>均有深入</w:t>
      </w:r>
      <w:proofErr w:type="gramEnd"/>
      <w:r w:rsidR="00AA051B" w:rsidRPr="00AA051B">
        <w:rPr>
          <w:rFonts w:hint="eastAsia"/>
        </w:rPr>
        <w:t>調查之必要案。</w:t>
      </w:r>
      <w:r w:rsidR="00AA051B">
        <w:t xml:space="preserve"> </w:t>
      </w:r>
    </w:p>
    <w:p w:rsidR="00255E08" w:rsidRDefault="00255E08" w:rsidP="006B4BEB">
      <w:pPr>
        <w:pStyle w:val="1"/>
        <w:overflowPunct w:val="0"/>
        <w:ind w:left="2380" w:hanging="2380"/>
      </w:pPr>
      <w:bookmarkStart w:id="23" w:name="_Toc524895646"/>
      <w:bookmarkStart w:id="24" w:name="_Toc524896192"/>
      <w:bookmarkStart w:id="25" w:name="_Toc524896222"/>
      <w:bookmarkStart w:id="26" w:name="_Toc524902729"/>
      <w:bookmarkStart w:id="27" w:name="_Toc525066145"/>
      <w:bookmarkStart w:id="28" w:name="_Toc525070836"/>
      <w:bookmarkStart w:id="29" w:name="_Toc525938376"/>
      <w:bookmarkStart w:id="30" w:name="_Toc525939224"/>
      <w:bookmarkStart w:id="31" w:name="_Toc525939729"/>
      <w:bookmarkStart w:id="32" w:name="_Toc529218269"/>
      <w:bookmarkStart w:id="33" w:name="_Toc529222686"/>
      <w:bookmarkStart w:id="34" w:name="_Toc529223108"/>
      <w:bookmarkStart w:id="35" w:name="_Toc529223859"/>
      <w:bookmarkStart w:id="36" w:name="_Toc529228262"/>
      <w:bookmarkStart w:id="37" w:name="_Toc2400392"/>
      <w:bookmarkStart w:id="38" w:name="_Toc4316186"/>
      <w:bookmarkStart w:id="39" w:name="_Toc4473327"/>
      <w:bookmarkStart w:id="40" w:name="_Toc69556894"/>
      <w:bookmarkStart w:id="41" w:name="_Toc69556943"/>
      <w:bookmarkStart w:id="42" w:name="_Toc69609817"/>
      <w:bookmarkStart w:id="43" w:name="_Toc70241813"/>
      <w:bookmarkStart w:id="44" w:name="_Toc70242202"/>
      <w:r>
        <w:rPr>
          <w:rFonts w:hint="eastAsia"/>
        </w:rPr>
        <w:t>調查意見：</w:t>
      </w:r>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p>
    <w:p w:rsidR="00255E08" w:rsidRDefault="00FD1391" w:rsidP="006B4BEB">
      <w:pPr>
        <w:pStyle w:val="10"/>
        <w:overflowPunct w:val="0"/>
        <w:ind w:left="680" w:firstLine="680"/>
      </w:pPr>
      <w:bookmarkStart w:id="45" w:name="_Toc524902730"/>
      <w:proofErr w:type="gramStart"/>
      <w:r w:rsidRPr="00FD1391">
        <w:rPr>
          <w:rFonts w:hint="eastAsia"/>
        </w:rPr>
        <w:t>據訴</w:t>
      </w:r>
      <w:proofErr w:type="gramEnd"/>
      <w:r w:rsidRPr="00FD1391">
        <w:rPr>
          <w:rFonts w:hint="eastAsia"/>
        </w:rPr>
        <w:t>，民國</w:t>
      </w:r>
      <w:r w:rsidR="00BA14F6" w:rsidRPr="00D71F29">
        <w:rPr>
          <w:rFonts w:hint="eastAsia"/>
        </w:rPr>
        <w:t>(下</w:t>
      </w:r>
      <w:r w:rsidR="00BA14F6">
        <w:rPr>
          <w:rFonts w:hint="eastAsia"/>
        </w:rPr>
        <w:t>同)</w:t>
      </w:r>
      <w:r w:rsidRPr="00FD1391">
        <w:rPr>
          <w:rFonts w:hint="eastAsia"/>
        </w:rPr>
        <w:t>101年4月24日陳姓替代</w:t>
      </w:r>
      <w:proofErr w:type="gramStart"/>
      <w:r w:rsidRPr="00FD1391">
        <w:rPr>
          <w:rFonts w:hint="eastAsia"/>
        </w:rPr>
        <w:t>役</w:t>
      </w:r>
      <w:proofErr w:type="gramEnd"/>
      <w:r w:rsidRPr="00FD1391">
        <w:rPr>
          <w:rFonts w:hint="eastAsia"/>
        </w:rPr>
        <w:t>役男(下稱陳員)於成功嶺營區替代役醫療中隊寢室被發現倒臥血泊中，其父指控承辦檢察官明知其並非自殺，竟草率以自殺結案。陳</w:t>
      </w:r>
      <w:r w:rsidR="00106C37" w:rsidRPr="00FD1391">
        <w:rPr>
          <w:rFonts w:hint="eastAsia"/>
        </w:rPr>
        <w:t>員</w:t>
      </w:r>
      <w:r w:rsidRPr="00FD1391">
        <w:rPr>
          <w:rFonts w:hint="eastAsia"/>
        </w:rPr>
        <w:t>究係自殺或他殺?法醫之自殺鑑定報告有無疑義?若他殺則檢察官當有草率結案之違失，若真係自殺，則係何原因?是否與訓練管教有關?</w:t>
      </w:r>
      <w:proofErr w:type="gramStart"/>
      <w:r w:rsidRPr="00FD1391">
        <w:rPr>
          <w:rFonts w:hint="eastAsia"/>
        </w:rPr>
        <w:t>均有深入</w:t>
      </w:r>
      <w:proofErr w:type="gramEnd"/>
      <w:r w:rsidRPr="00FD1391">
        <w:rPr>
          <w:rFonts w:hint="eastAsia"/>
        </w:rPr>
        <w:t>調查之必要。</w:t>
      </w:r>
      <w:r w:rsidR="00707AC5" w:rsidRPr="00AA051B">
        <w:rPr>
          <w:rFonts w:hint="eastAsia"/>
          <w:bCs/>
        </w:rPr>
        <w:t>案</w:t>
      </w:r>
      <w:r w:rsidR="00707AC5">
        <w:rPr>
          <w:rFonts w:hint="eastAsia"/>
          <w:bCs/>
        </w:rPr>
        <w:t>經本院向</w:t>
      </w:r>
      <w:r w:rsidR="00707AC5">
        <w:rPr>
          <w:rFonts w:hint="eastAsia"/>
        </w:rPr>
        <w:t>臺灣</w:t>
      </w:r>
      <w:proofErr w:type="gramStart"/>
      <w:r w:rsidR="00707AC5">
        <w:rPr>
          <w:rFonts w:hint="eastAsia"/>
        </w:rPr>
        <w:t>臺</w:t>
      </w:r>
      <w:proofErr w:type="gramEnd"/>
      <w:r w:rsidR="00707AC5">
        <w:rPr>
          <w:rFonts w:hint="eastAsia"/>
        </w:rPr>
        <w:t>北地方檢察署(下稱</w:t>
      </w:r>
      <w:proofErr w:type="gramStart"/>
      <w:r w:rsidR="00707AC5">
        <w:rPr>
          <w:rFonts w:hint="eastAsia"/>
        </w:rPr>
        <w:t>臺</w:t>
      </w:r>
      <w:proofErr w:type="gramEnd"/>
      <w:r w:rsidR="00707AC5">
        <w:rPr>
          <w:rFonts w:hint="eastAsia"/>
        </w:rPr>
        <w:t>北地檢署)、臺灣</w:t>
      </w:r>
      <w:proofErr w:type="gramStart"/>
      <w:r w:rsidR="00707AC5">
        <w:rPr>
          <w:rFonts w:hint="eastAsia"/>
        </w:rPr>
        <w:t>臺</w:t>
      </w:r>
      <w:proofErr w:type="gramEnd"/>
      <w:r w:rsidR="00707AC5">
        <w:rPr>
          <w:rFonts w:hint="eastAsia"/>
        </w:rPr>
        <w:t>中地方檢察署(下稱</w:t>
      </w:r>
      <w:proofErr w:type="gramStart"/>
      <w:r w:rsidR="00707AC5">
        <w:rPr>
          <w:rFonts w:hint="eastAsia"/>
        </w:rPr>
        <w:t>臺</w:t>
      </w:r>
      <w:proofErr w:type="gramEnd"/>
      <w:r w:rsidR="00707AC5">
        <w:rPr>
          <w:rFonts w:hint="eastAsia"/>
        </w:rPr>
        <w:t>中地檢署)、</w:t>
      </w:r>
      <w:proofErr w:type="gramStart"/>
      <w:r w:rsidR="00707AC5">
        <w:rPr>
          <w:rFonts w:hint="eastAsia"/>
        </w:rPr>
        <w:t>臺</w:t>
      </w:r>
      <w:proofErr w:type="gramEnd"/>
      <w:r w:rsidR="00707AC5">
        <w:rPr>
          <w:rFonts w:hint="eastAsia"/>
        </w:rPr>
        <w:t>北高等行政法院</w:t>
      </w:r>
      <w:r w:rsidR="00E10443">
        <w:rPr>
          <w:rFonts w:hint="eastAsia"/>
        </w:rPr>
        <w:t>、法務部</w:t>
      </w:r>
      <w:r w:rsidR="00707AC5">
        <w:rPr>
          <w:rFonts w:hint="eastAsia"/>
        </w:rPr>
        <w:t>調閱相關卷證資料，茲已</w:t>
      </w:r>
      <w:proofErr w:type="gramStart"/>
      <w:r w:rsidR="00707AC5">
        <w:rPr>
          <w:rFonts w:hAnsi="標楷體" w:hint="eastAsia"/>
        </w:rPr>
        <w:t>調查竣事，爰</w:t>
      </w:r>
      <w:r w:rsidR="00707AC5">
        <w:rPr>
          <w:rFonts w:hint="eastAsia"/>
        </w:rPr>
        <w:t>臚</w:t>
      </w:r>
      <w:proofErr w:type="gramEnd"/>
      <w:r w:rsidR="00707AC5">
        <w:rPr>
          <w:rFonts w:hint="eastAsia"/>
        </w:rPr>
        <w:t>列調查意見如次：</w:t>
      </w:r>
    </w:p>
    <w:p w:rsidR="00122EE5" w:rsidRPr="004B05AB" w:rsidRDefault="00122EE5" w:rsidP="004B05AB">
      <w:pPr>
        <w:pStyle w:val="2"/>
        <w:rPr>
          <w:b/>
        </w:rPr>
      </w:pPr>
      <w:r w:rsidRPr="004B05AB">
        <w:rPr>
          <w:rFonts w:hint="eastAsia"/>
          <w:b/>
        </w:rPr>
        <w:t>有關陳訴人</w:t>
      </w:r>
      <w:proofErr w:type="gramStart"/>
      <w:r w:rsidRPr="004B05AB">
        <w:rPr>
          <w:rFonts w:hint="eastAsia"/>
          <w:b/>
        </w:rPr>
        <w:t>續訴指</w:t>
      </w:r>
      <w:proofErr w:type="gramEnd"/>
      <w:r w:rsidRPr="004B05AB">
        <w:rPr>
          <w:rFonts w:hint="eastAsia"/>
          <w:b/>
        </w:rPr>
        <w:t>稱，本件</w:t>
      </w:r>
      <w:proofErr w:type="gramStart"/>
      <w:r w:rsidRPr="004B05AB">
        <w:rPr>
          <w:rFonts w:hint="eastAsia"/>
          <w:b/>
        </w:rPr>
        <w:t>臺</w:t>
      </w:r>
      <w:proofErr w:type="gramEnd"/>
      <w:r w:rsidRPr="004B05AB">
        <w:rPr>
          <w:rFonts w:hint="eastAsia"/>
          <w:b/>
        </w:rPr>
        <w:t>北地檢署承辦檢察官明知陳員並非自殺，竟無視法醫師之自殺鑑定報告仍有疑義而草率以自殺結案等情，</w:t>
      </w:r>
      <w:proofErr w:type="gramStart"/>
      <w:r w:rsidRPr="004B05AB">
        <w:rPr>
          <w:rFonts w:hint="eastAsia"/>
          <w:b/>
        </w:rPr>
        <w:t>該署業依</w:t>
      </w:r>
      <w:proofErr w:type="gramEnd"/>
      <w:r w:rsidR="004B05AB" w:rsidRPr="004B05AB">
        <w:rPr>
          <w:rFonts w:hint="eastAsia"/>
          <w:b/>
        </w:rPr>
        <w:t>「臺灣高等檢察署所屬各地方檢察署及其檢察分署辦理他案應行注意事項」之</w:t>
      </w:r>
      <w:r w:rsidRPr="004B05AB">
        <w:rPr>
          <w:rFonts w:hint="eastAsia"/>
          <w:b/>
        </w:rPr>
        <w:t>規定簽結，並函復在案</w:t>
      </w:r>
      <w:r w:rsidR="004B05AB">
        <w:rPr>
          <w:rFonts w:hint="eastAsia"/>
          <w:b/>
        </w:rPr>
        <w:t>，</w:t>
      </w:r>
      <w:proofErr w:type="gramStart"/>
      <w:r w:rsidR="004B05AB">
        <w:rPr>
          <w:rFonts w:hint="eastAsia"/>
          <w:b/>
        </w:rPr>
        <w:t>核屬實情</w:t>
      </w:r>
      <w:proofErr w:type="gramEnd"/>
      <w:r w:rsidRPr="004B05AB">
        <w:rPr>
          <w:rFonts w:hint="eastAsia"/>
          <w:b/>
        </w:rPr>
        <w:t>。</w:t>
      </w:r>
    </w:p>
    <w:p w:rsidR="00122EE5" w:rsidRDefault="00122EE5" w:rsidP="00122EE5">
      <w:pPr>
        <w:pStyle w:val="3"/>
        <w:overflowPunct w:val="0"/>
        <w:ind w:left="1360" w:hanging="680"/>
      </w:pPr>
      <w:r>
        <w:rPr>
          <w:rFonts w:hint="eastAsia"/>
        </w:rPr>
        <w:t>按</w:t>
      </w:r>
      <w:r w:rsidRPr="00D71F29">
        <w:rPr>
          <w:rFonts w:hint="eastAsia"/>
        </w:rPr>
        <w:t>陳訴</w:t>
      </w:r>
      <w:r>
        <w:rPr>
          <w:rFonts w:hint="eastAsia"/>
        </w:rPr>
        <w:t>人於107年5月14日向本</w:t>
      </w:r>
      <w:proofErr w:type="gramStart"/>
      <w:r>
        <w:rPr>
          <w:rFonts w:hint="eastAsia"/>
        </w:rPr>
        <w:t>院續</w:t>
      </w:r>
      <w:r w:rsidRPr="002F4E35">
        <w:rPr>
          <w:rFonts w:hint="eastAsia"/>
        </w:rPr>
        <w:t>訴</w:t>
      </w:r>
      <w:proofErr w:type="gramEnd"/>
      <w:r w:rsidRPr="00D71F29">
        <w:rPr>
          <w:rFonts w:hint="eastAsia"/>
        </w:rPr>
        <w:t>：</w:t>
      </w:r>
      <w:proofErr w:type="gramStart"/>
      <w:r>
        <w:rPr>
          <w:rFonts w:hint="eastAsia"/>
        </w:rPr>
        <w:t>臺</w:t>
      </w:r>
      <w:proofErr w:type="gramEnd"/>
      <w:r>
        <w:rPr>
          <w:rFonts w:hint="eastAsia"/>
        </w:rPr>
        <w:t>北地檢署</w:t>
      </w:r>
      <w:r w:rsidRPr="00AA051B">
        <w:rPr>
          <w:rFonts w:hint="eastAsia"/>
        </w:rPr>
        <w:t>檢察官承辦</w:t>
      </w:r>
      <w:proofErr w:type="gramStart"/>
      <w:r>
        <w:rPr>
          <w:rFonts w:hint="eastAsia"/>
        </w:rPr>
        <w:t>106</w:t>
      </w:r>
      <w:proofErr w:type="gramEnd"/>
      <w:r>
        <w:rPr>
          <w:rFonts w:hint="eastAsia"/>
        </w:rPr>
        <w:t>年度他字第8761號</w:t>
      </w:r>
      <w:r w:rsidR="00B72EA8">
        <w:rPr>
          <w:rFonts w:hint="eastAsia"/>
        </w:rPr>
        <w:t>(法醫師</w:t>
      </w:r>
      <w:r w:rsidR="003562AD">
        <w:rPr>
          <w:rFonts w:hint="eastAsia"/>
        </w:rPr>
        <w:t>蕭</w:t>
      </w:r>
      <w:r w:rsidR="00364421">
        <w:rPr>
          <w:rFonts w:hint="eastAsia"/>
        </w:rPr>
        <w:t>開</w:t>
      </w:r>
      <w:r w:rsidR="003562AD">
        <w:rPr>
          <w:rFonts w:hint="eastAsia"/>
        </w:rPr>
        <w:t>平</w:t>
      </w:r>
      <w:r w:rsidR="00B72EA8">
        <w:rPr>
          <w:rFonts w:hint="eastAsia"/>
        </w:rPr>
        <w:t>涉嫌偽造文書等)案件</w:t>
      </w:r>
      <w:r>
        <w:rPr>
          <w:rFonts w:hint="eastAsia"/>
        </w:rPr>
        <w:t>，涉有故意不偵查犯罪嫌疑人之違法失職等情</w:t>
      </w:r>
      <w:r w:rsidR="004B05AB">
        <w:rPr>
          <w:rFonts w:hint="eastAsia"/>
        </w:rPr>
        <w:t>，</w:t>
      </w:r>
      <w:proofErr w:type="gramStart"/>
      <w:r w:rsidR="004B05AB">
        <w:rPr>
          <w:rFonts w:hint="eastAsia"/>
        </w:rPr>
        <w:t>合先敘</w:t>
      </w:r>
      <w:proofErr w:type="gramEnd"/>
      <w:r w:rsidR="004B05AB">
        <w:rPr>
          <w:rFonts w:hint="eastAsia"/>
        </w:rPr>
        <w:t>明</w:t>
      </w:r>
      <w:r>
        <w:rPr>
          <w:rFonts w:hint="eastAsia"/>
        </w:rPr>
        <w:t>。</w:t>
      </w:r>
    </w:p>
    <w:p w:rsidR="00122EE5" w:rsidRDefault="00122EE5" w:rsidP="00122EE5">
      <w:pPr>
        <w:pStyle w:val="3"/>
        <w:overflowPunct w:val="0"/>
        <w:ind w:left="1360" w:hanging="680"/>
      </w:pPr>
      <w:r>
        <w:rPr>
          <w:rFonts w:hint="eastAsia"/>
        </w:rPr>
        <w:lastRenderedPageBreak/>
        <w:t>卷查</w:t>
      </w:r>
      <w:proofErr w:type="gramStart"/>
      <w:r>
        <w:rPr>
          <w:rFonts w:hint="eastAsia"/>
        </w:rPr>
        <w:t>臺</w:t>
      </w:r>
      <w:proofErr w:type="gramEnd"/>
      <w:r>
        <w:rPr>
          <w:rFonts w:hint="eastAsia"/>
        </w:rPr>
        <w:t>北地檢署107年4月20日</w:t>
      </w:r>
      <w:r w:rsidR="00DC1E58" w:rsidRPr="00F05C6A">
        <w:rPr>
          <w:rFonts w:hint="eastAsia"/>
        </w:rPr>
        <w:t>北</w:t>
      </w:r>
      <w:proofErr w:type="gramStart"/>
      <w:r w:rsidR="00DC1E58" w:rsidRPr="00F05C6A">
        <w:rPr>
          <w:rFonts w:hint="eastAsia"/>
        </w:rPr>
        <w:t>檢泰敬</w:t>
      </w:r>
      <w:proofErr w:type="gramEnd"/>
      <w:r w:rsidR="00DC1E58" w:rsidRPr="00F05C6A">
        <w:rPr>
          <w:rFonts w:hint="eastAsia"/>
        </w:rPr>
        <w:t>106他8761字第1079031379號</w:t>
      </w:r>
      <w:r>
        <w:rPr>
          <w:rFonts w:hint="eastAsia"/>
        </w:rPr>
        <w:t>函復陳訴人告訴「法醫師</w:t>
      </w:r>
      <w:r w:rsidR="003562AD">
        <w:rPr>
          <w:rFonts w:hint="eastAsia"/>
        </w:rPr>
        <w:t>蕭</w:t>
      </w:r>
      <w:r w:rsidR="00364421">
        <w:rPr>
          <w:rFonts w:hint="eastAsia"/>
        </w:rPr>
        <w:t>開</w:t>
      </w:r>
      <w:r w:rsidR="003562AD">
        <w:rPr>
          <w:rFonts w:hint="eastAsia"/>
        </w:rPr>
        <w:t>平</w:t>
      </w:r>
      <w:r>
        <w:rPr>
          <w:rFonts w:hint="eastAsia"/>
        </w:rPr>
        <w:t>涉嫌偽造文書等案件」，略</w:t>
      </w:r>
      <w:proofErr w:type="gramStart"/>
      <w:r>
        <w:rPr>
          <w:rFonts w:hint="eastAsia"/>
        </w:rPr>
        <w:t>以</w:t>
      </w:r>
      <w:proofErr w:type="gramEnd"/>
      <w:r>
        <w:rPr>
          <w:rFonts w:hint="eastAsia"/>
        </w:rPr>
        <w:t>：</w:t>
      </w:r>
    </w:p>
    <w:p w:rsidR="00122EE5" w:rsidRDefault="00122EE5" w:rsidP="00122EE5">
      <w:pPr>
        <w:pStyle w:val="4"/>
        <w:kinsoku w:val="0"/>
        <w:overflowPunct w:val="0"/>
        <w:ind w:left="1700" w:hanging="680"/>
      </w:pPr>
      <w:r>
        <w:rPr>
          <w:rFonts w:hint="eastAsia"/>
        </w:rPr>
        <w:t>刑法第</w:t>
      </w:r>
      <w:r>
        <w:t>165</w:t>
      </w:r>
      <w:r>
        <w:rPr>
          <w:rFonts w:hint="eastAsia"/>
        </w:rPr>
        <w:t>條規定：偽造、變造、湮滅或隱匿關係他人刑事被告案件之證據，或使用偽造、變造之證據者，處</w:t>
      </w:r>
      <w:r>
        <w:t>2</w:t>
      </w:r>
      <w:r>
        <w:rPr>
          <w:rFonts w:hint="eastAsia"/>
        </w:rPr>
        <w:t>年以下有期徒刑、拘役或</w:t>
      </w:r>
      <w:r>
        <w:t>500</w:t>
      </w:r>
      <w:r>
        <w:rPr>
          <w:rFonts w:hint="eastAsia"/>
        </w:rPr>
        <w:t>元以下罰金。所謂偽造，係指無製作權而冒名製作不實内容之行為；變造，係指無變更權限而就原物進行局部内容更動之行為；湮滅，係指使證據喪失其證明效用之任何行為；隱匿，係指使人無法或難以發現該物確實所在之藏匿行為。查台端等所指之鑑定報告書係由被告以其本人名義所製作，而屬有權製作之人，其將有權製作之鑑定報告書交由檢察機關進行調查，並無偽造、變造、湮滅、或隱匿該鑑定報告書之行為，自未合於上開罪名之構成要件。</w:t>
      </w:r>
    </w:p>
    <w:p w:rsidR="00122EE5" w:rsidRDefault="00122EE5" w:rsidP="00122EE5">
      <w:pPr>
        <w:pStyle w:val="4"/>
        <w:kinsoku w:val="0"/>
        <w:overflowPunct w:val="0"/>
        <w:ind w:left="1700" w:hanging="680"/>
      </w:pPr>
      <w:r>
        <w:rPr>
          <w:rFonts w:hint="eastAsia"/>
        </w:rPr>
        <w:t>刑法第124條規定：有審判職務之公務員或仲裁人，為枉法之裁判或仲裁者，處1年以上7年以下有期徒刑。查被告為法務部法醫研究所法醫師，並非職司審判職務之公務員或仲裁人，無從為此罪名之犯罪主體。</w:t>
      </w:r>
    </w:p>
    <w:p w:rsidR="00122EE5" w:rsidRDefault="00122EE5" w:rsidP="00122EE5">
      <w:pPr>
        <w:pStyle w:val="4"/>
        <w:kinsoku w:val="0"/>
        <w:overflowPunct w:val="0"/>
        <w:ind w:left="1700" w:hanging="680"/>
      </w:pPr>
      <w:r>
        <w:rPr>
          <w:rFonts w:hint="eastAsia"/>
        </w:rPr>
        <w:t>有關刑法第168條偽證及第213條公務員登載不實部分：</w:t>
      </w:r>
    </w:p>
    <w:p w:rsidR="00122EE5" w:rsidRDefault="00122EE5" w:rsidP="00122EE5">
      <w:pPr>
        <w:pStyle w:val="5"/>
        <w:overflowPunct w:val="0"/>
        <w:ind w:left="2041" w:hanging="680"/>
      </w:pPr>
      <w:proofErr w:type="gramStart"/>
      <w:r>
        <w:rPr>
          <w:rFonts w:hint="eastAsia"/>
        </w:rPr>
        <w:t>按於執行</w:t>
      </w:r>
      <w:proofErr w:type="gramEnd"/>
      <w:r>
        <w:rPr>
          <w:rFonts w:hint="eastAsia"/>
        </w:rPr>
        <w:t>審判職務之公署審判時或於檢察官偵查時，證人、鑑定人、通譯於案情有重要關係之事項，供前</w:t>
      </w:r>
      <w:proofErr w:type="gramStart"/>
      <w:r>
        <w:rPr>
          <w:rFonts w:hint="eastAsia"/>
        </w:rPr>
        <w:t>或供後具結</w:t>
      </w:r>
      <w:proofErr w:type="gramEnd"/>
      <w:r>
        <w:rPr>
          <w:rFonts w:hint="eastAsia"/>
        </w:rPr>
        <w:t>，而為虛偽陳述者，處7年以下有期徒刑。公務員明知為不實之事項，而登載於職務上所掌之公文書，足以生損害於公眾或他人者，處1年以上7年以下有期徒刑。刑法第168條、第213條分別定有明</w:t>
      </w:r>
      <w:r>
        <w:rPr>
          <w:rFonts w:hint="eastAsia"/>
        </w:rPr>
        <w:lastRenderedPageBreak/>
        <w:t>文。無論偽證或公務員登載不</w:t>
      </w:r>
      <w:proofErr w:type="gramStart"/>
      <w:r>
        <w:rPr>
          <w:rFonts w:hint="eastAsia"/>
        </w:rPr>
        <w:t>實罪，均以</w:t>
      </w:r>
      <w:proofErr w:type="gramEnd"/>
      <w:r>
        <w:rPr>
          <w:rFonts w:hint="eastAsia"/>
        </w:rPr>
        <w:t>行為人「故意」為虛偽陳述，或「故意」將</w:t>
      </w:r>
      <w:proofErr w:type="gramStart"/>
      <w:r>
        <w:rPr>
          <w:rFonts w:hint="eastAsia"/>
        </w:rPr>
        <w:t>不</w:t>
      </w:r>
      <w:proofErr w:type="gramEnd"/>
      <w:r>
        <w:rPr>
          <w:rFonts w:hint="eastAsia"/>
        </w:rPr>
        <w:t>實事項登載於職務上所掌之公文書為限。</w:t>
      </w:r>
    </w:p>
    <w:p w:rsidR="00122EE5" w:rsidRDefault="00122EE5" w:rsidP="00122EE5">
      <w:pPr>
        <w:pStyle w:val="5"/>
        <w:overflowPunct w:val="0"/>
        <w:ind w:left="2041" w:hanging="680"/>
      </w:pPr>
      <w:r>
        <w:rPr>
          <w:rFonts w:hint="eastAsia"/>
        </w:rPr>
        <w:t>本件被告於101年7月10日為鑑定具結，出具鑑定報告書，就</w:t>
      </w:r>
      <w:r w:rsidR="003562AD">
        <w:rPr>
          <w:rFonts w:hint="eastAsia"/>
        </w:rPr>
        <w:t>陳○銘</w:t>
      </w:r>
      <w:r>
        <w:rPr>
          <w:rFonts w:hint="eastAsia"/>
        </w:rPr>
        <w:t>死亡經過研判如下：</w:t>
      </w:r>
    </w:p>
    <w:p w:rsidR="00122EE5" w:rsidRDefault="00122EE5" w:rsidP="00122EE5">
      <w:pPr>
        <w:pStyle w:val="6"/>
        <w:overflowPunct w:val="0"/>
        <w:ind w:left="2381" w:hanging="680"/>
      </w:pPr>
      <w:r>
        <w:rPr>
          <w:rFonts w:hint="eastAsia"/>
        </w:rPr>
        <w:t>死者經確認為</w:t>
      </w:r>
      <w:r w:rsidR="003562AD">
        <w:rPr>
          <w:rFonts w:hint="eastAsia"/>
        </w:rPr>
        <w:t>陳○銘</w:t>
      </w:r>
      <w:r>
        <w:rPr>
          <w:rFonts w:hint="eastAsia"/>
        </w:rPr>
        <w:t>，生前於</w:t>
      </w:r>
      <w:r>
        <w:t>101</w:t>
      </w:r>
      <w:r>
        <w:rPr>
          <w:rFonts w:hint="eastAsia"/>
        </w:rPr>
        <w:t>年</w:t>
      </w:r>
      <w:r>
        <w:t>4</w:t>
      </w:r>
      <w:r>
        <w:rPr>
          <w:rFonts w:hint="eastAsia"/>
        </w:rPr>
        <w:t>月</w:t>
      </w:r>
      <w:r>
        <w:t>24</w:t>
      </w:r>
      <w:r>
        <w:rPr>
          <w:rFonts w:hint="eastAsia"/>
        </w:rPr>
        <w:t>日下午</w:t>
      </w:r>
      <w:r>
        <w:t>1</w:t>
      </w:r>
      <w:r>
        <w:rPr>
          <w:rFonts w:hint="eastAsia"/>
        </w:rPr>
        <w:t>時</w:t>
      </w:r>
      <w:r>
        <w:t>55</w:t>
      </w:r>
      <w:r>
        <w:rPr>
          <w:rFonts w:hint="eastAsia"/>
        </w:rPr>
        <w:t>分在</w:t>
      </w:r>
      <w:proofErr w:type="gramStart"/>
      <w:r>
        <w:rPr>
          <w:rFonts w:hint="eastAsia"/>
        </w:rPr>
        <w:t>臺</w:t>
      </w:r>
      <w:proofErr w:type="gramEnd"/>
      <w:r>
        <w:rPr>
          <w:rFonts w:hint="eastAsia"/>
        </w:rPr>
        <w:t>中市烏日區中山路</w:t>
      </w:r>
      <w:r>
        <w:t>3</w:t>
      </w:r>
      <w:r>
        <w:rPr>
          <w:rFonts w:hint="eastAsia"/>
        </w:rPr>
        <w:t>段</w:t>
      </w:r>
      <w:r>
        <w:t>774</w:t>
      </w:r>
      <w:r>
        <w:rPr>
          <w:rFonts w:hint="eastAsia"/>
        </w:rPr>
        <w:t>號（成功嶺營區）替代役醫療中隊寢室内，被發現倒臥血泊中，經營區派駐醫師劉</w:t>
      </w:r>
      <w:r w:rsidR="00607788">
        <w:rPr>
          <w:rFonts w:hint="eastAsia"/>
        </w:rPr>
        <w:t>○</w:t>
      </w:r>
      <w:r>
        <w:rPr>
          <w:rFonts w:hint="eastAsia"/>
        </w:rPr>
        <w:t>輝現場急救並送至彰化基督教醫院仍不治。</w:t>
      </w:r>
    </w:p>
    <w:p w:rsidR="00122EE5" w:rsidRDefault="00122EE5" w:rsidP="00122EE5">
      <w:pPr>
        <w:pStyle w:val="6"/>
        <w:overflowPunct w:val="0"/>
        <w:ind w:left="2381" w:hanging="680"/>
      </w:pPr>
      <w:r>
        <w:rPr>
          <w:rFonts w:hint="eastAsia"/>
        </w:rPr>
        <w:t>死亡前兩</w:t>
      </w:r>
      <w:proofErr w:type="gramStart"/>
      <w:r>
        <w:rPr>
          <w:rFonts w:hint="eastAsia"/>
        </w:rPr>
        <w:t>週</w:t>
      </w:r>
      <w:proofErr w:type="gramEnd"/>
      <w:r>
        <w:rPr>
          <w:rFonts w:hint="eastAsia"/>
        </w:rPr>
        <w:t>母親帶</w:t>
      </w:r>
      <w:r w:rsidR="003562AD">
        <w:rPr>
          <w:rFonts w:hint="eastAsia"/>
        </w:rPr>
        <w:t>陳○</w:t>
      </w:r>
      <w:proofErr w:type="gramStart"/>
      <w:r w:rsidR="003562AD">
        <w:rPr>
          <w:rFonts w:hint="eastAsia"/>
        </w:rPr>
        <w:t>銘</w:t>
      </w:r>
      <w:r>
        <w:rPr>
          <w:rFonts w:hint="eastAsia"/>
        </w:rPr>
        <w:t>去恩</w:t>
      </w:r>
      <w:proofErr w:type="gramEnd"/>
      <w:r>
        <w:rPr>
          <w:rFonts w:hint="eastAsia"/>
        </w:rPr>
        <w:t>主公廟拜拜， 抽籤後「解</w:t>
      </w:r>
      <w:proofErr w:type="gramStart"/>
      <w:r>
        <w:rPr>
          <w:rFonts w:hint="eastAsia"/>
        </w:rPr>
        <w:t>籤</w:t>
      </w:r>
      <w:proofErr w:type="gramEnd"/>
      <w:r>
        <w:rPr>
          <w:rFonts w:hint="eastAsia"/>
        </w:rPr>
        <w:t>的說他慢慢會比較順利，解</w:t>
      </w:r>
      <w:proofErr w:type="gramStart"/>
      <w:r>
        <w:rPr>
          <w:rFonts w:hint="eastAsia"/>
        </w:rPr>
        <w:t>籤</w:t>
      </w:r>
      <w:proofErr w:type="gramEnd"/>
      <w:r>
        <w:rPr>
          <w:rFonts w:hint="eastAsia"/>
        </w:rPr>
        <w:t>的人問他會不會自殘，他說不會」。</w:t>
      </w:r>
    </w:p>
    <w:p w:rsidR="00122EE5" w:rsidRDefault="003562AD" w:rsidP="00122EE5">
      <w:pPr>
        <w:pStyle w:val="6"/>
        <w:overflowPunct w:val="0"/>
        <w:ind w:left="2381" w:hanging="680"/>
      </w:pPr>
      <w:r>
        <w:rPr>
          <w:rFonts w:hint="eastAsia"/>
        </w:rPr>
        <w:t>陳○銘</w:t>
      </w:r>
      <w:r w:rsidR="00122EE5">
        <w:rPr>
          <w:rFonts w:hint="eastAsia"/>
        </w:rPr>
        <w:t>於101年4月24日下午12時14分寄送簡訊父母「爸媽保重」。</w:t>
      </w:r>
    </w:p>
    <w:p w:rsidR="00122EE5" w:rsidRDefault="00122EE5" w:rsidP="00122EE5">
      <w:pPr>
        <w:pStyle w:val="6"/>
        <w:overflowPunct w:val="0"/>
        <w:ind w:left="2381" w:hanging="680"/>
      </w:pPr>
      <w:r>
        <w:rPr>
          <w:rFonts w:hint="eastAsia"/>
        </w:rPr>
        <w:t>依法醫毒物學分析發現體液中血液含有死後細菌發酵引起之微量酒精反應（尿中無），血液中含有微量感冒藥物及尿中含有微量抗组織胺藥物，無其他常見毒藥物反應。</w:t>
      </w:r>
    </w:p>
    <w:p w:rsidR="00122EE5" w:rsidRDefault="00122EE5" w:rsidP="00122EE5">
      <w:pPr>
        <w:pStyle w:val="6"/>
        <w:overflowPunct w:val="0"/>
        <w:ind w:left="2381" w:hanging="680"/>
      </w:pPr>
      <w:r>
        <w:rPr>
          <w:rFonts w:hint="eastAsia"/>
        </w:rPr>
        <w:t>依解剖及組織病理切片觀察結果及解剖結果發</w:t>
      </w:r>
      <w:proofErr w:type="gramStart"/>
      <w:r>
        <w:rPr>
          <w:rFonts w:hint="eastAsia"/>
        </w:rPr>
        <w:t>規左腕有至少</w:t>
      </w:r>
      <w:proofErr w:type="gramEnd"/>
      <w:r>
        <w:rPr>
          <w:rFonts w:hint="eastAsia"/>
        </w:rPr>
        <w:t>4道</w:t>
      </w:r>
      <w:proofErr w:type="gramStart"/>
      <w:r>
        <w:rPr>
          <w:rFonts w:hint="eastAsia"/>
        </w:rPr>
        <w:t>猶疑性淺嘗試</w:t>
      </w:r>
      <w:proofErr w:type="gramEnd"/>
      <w:r>
        <w:rPr>
          <w:rFonts w:hint="eastAsia"/>
        </w:rPr>
        <w:t>平行切割傷及6道較深之平行切割傷，傷口排列精緻密集狀。</w:t>
      </w:r>
      <w:proofErr w:type="gramStart"/>
      <w:r>
        <w:rPr>
          <w:rFonts w:hint="eastAsia"/>
        </w:rPr>
        <w:t>以上均非致命傷</w:t>
      </w:r>
      <w:proofErr w:type="gramEnd"/>
      <w:r>
        <w:rPr>
          <w:rFonts w:hint="eastAsia"/>
        </w:rPr>
        <w:t>。其在右頸部有「Z」型 3道幾乎連續之深切割傷，其深度達頸部血管損傷、大量出血致出血性休克死亡。由身體無大量鎮靜安眠藥物且無抵抗傷等均支持為自殘之結果。由刀片之長度穿刺、切割即可達頸部血管之深度，吻合為刀片自殘之結果。</w:t>
      </w:r>
    </w:p>
    <w:p w:rsidR="00122EE5" w:rsidRDefault="00122EE5" w:rsidP="00122EE5">
      <w:pPr>
        <w:pStyle w:val="6"/>
        <w:overflowPunct w:val="0"/>
        <w:ind w:left="2381" w:hanging="680"/>
      </w:pPr>
      <w:r>
        <w:rPr>
          <w:rFonts w:hint="eastAsia"/>
        </w:rPr>
        <w:lastRenderedPageBreak/>
        <w:t>由以上</w:t>
      </w:r>
      <w:r w:rsidR="003562AD">
        <w:rPr>
          <w:rFonts w:hint="eastAsia"/>
        </w:rPr>
        <w:t>陳○銘</w:t>
      </w:r>
      <w:r>
        <w:rPr>
          <w:rFonts w:hint="eastAsia"/>
        </w:rPr>
        <w:t>死亡經過及檢驗判明：</w:t>
      </w:r>
      <w:r w:rsidR="003562AD">
        <w:rPr>
          <w:rFonts w:hint="eastAsia"/>
        </w:rPr>
        <w:t>陳○銘</w:t>
      </w:r>
      <w:r>
        <w:rPr>
          <w:rFonts w:hint="eastAsia"/>
        </w:rPr>
        <w:t xml:space="preserve"> 之死亡機轉為出血性休克，死亡原因為簡訊父母後、</w:t>
      </w:r>
      <w:proofErr w:type="gramStart"/>
      <w:r>
        <w:rPr>
          <w:rFonts w:hint="eastAsia"/>
        </w:rPr>
        <w:t>自割左手腕</w:t>
      </w:r>
      <w:proofErr w:type="gramEnd"/>
      <w:r>
        <w:rPr>
          <w:rFonts w:hint="eastAsia"/>
        </w:rPr>
        <w:t>、</w:t>
      </w:r>
      <w:proofErr w:type="gramStart"/>
      <w:r>
        <w:rPr>
          <w:rFonts w:hint="eastAsia"/>
        </w:rPr>
        <w:t>右頸致頸部</w:t>
      </w:r>
      <w:proofErr w:type="gramEnd"/>
      <w:r>
        <w:rPr>
          <w:rFonts w:hint="eastAsia"/>
        </w:rPr>
        <w:t>大出血致出血性休克死亡。</w:t>
      </w:r>
      <w:proofErr w:type="gramStart"/>
      <w:r>
        <w:rPr>
          <w:rFonts w:hint="eastAsia"/>
        </w:rPr>
        <w:t>由割手腕</w:t>
      </w:r>
      <w:proofErr w:type="gramEnd"/>
      <w:r>
        <w:rPr>
          <w:rFonts w:hint="eastAsia"/>
        </w:rPr>
        <w:t>之平行、細緻程度屬自為之嘗試自殘行為，故死亡方式研判為「自為」。</w:t>
      </w:r>
    </w:p>
    <w:p w:rsidR="00122EE5" w:rsidRDefault="00122EE5" w:rsidP="00122EE5">
      <w:pPr>
        <w:pStyle w:val="6"/>
        <w:overflowPunct w:val="0"/>
        <w:ind w:left="2381" w:hanging="680"/>
      </w:pPr>
      <w:r>
        <w:rPr>
          <w:rFonts w:hint="eastAsia"/>
        </w:rPr>
        <w:t>研判死亡原因：出血性休克。頸部大出血。簡訊遺言、自殘手腕、右頸之鑑定結果為：死者</w:t>
      </w:r>
      <w:r w:rsidR="003562AD">
        <w:rPr>
          <w:rFonts w:hint="eastAsia"/>
        </w:rPr>
        <w:t>陳○銘</w:t>
      </w:r>
      <w:r>
        <w:rPr>
          <w:rFonts w:hint="eastAsia"/>
        </w:rPr>
        <w:t>，26歲，簡訊父母後、</w:t>
      </w:r>
      <w:proofErr w:type="gramStart"/>
      <w:r>
        <w:rPr>
          <w:rFonts w:hint="eastAsia"/>
        </w:rPr>
        <w:t>自割左手腕</w:t>
      </w:r>
      <w:proofErr w:type="gramEnd"/>
      <w:r>
        <w:rPr>
          <w:rFonts w:hint="eastAsia"/>
        </w:rPr>
        <w:t>、</w:t>
      </w:r>
      <w:proofErr w:type="gramStart"/>
      <w:r>
        <w:rPr>
          <w:rFonts w:hint="eastAsia"/>
        </w:rPr>
        <w:t>右頸致頸部</w:t>
      </w:r>
      <w:proofErr w:type="gramEnd"/>
      <w:r>
        <w:rPr>
          <w:rFonts w:hint="eastAsia"/>
        </w:rPr>
        <w:t>大出血致出血性休克死亡。</w:t>
      </w:r>
    </w:p>
    <w:p w:rsidR="00122EE5" w:rsidRDefault="00122EE5" w:rsidP="00122EE5">
      <w:pPr>
        <w:pStyle w:val="5"/>
        <w:overflowPunct w:val="0"/>
        <w:ind w:left="2041" w:hanging="680"/>
      </w:pPr>
      <w:r>
        <w:rPr>
          <w:rFonts w:hint="eastAsia"/>
        </w:rPr>
        <w:t>查鑑定報告書，全文並無台端等所稱被告認定</w:t>
      </w:r>
      <w:r w:rsidR="003562AD">
        <w:rPr>
          <w:rFonts w:hint="eastAsia"/>
        </w:rPr>
        <w:t>陳○</w:t>
      </w:r>
      <w:proofErr w:type="gramStart"/>
      <w:r w:rsidR="003562AD">
        <w:rPr>
          <w:rFonts w:hint="eastAsia"/>
        </w:rPr>
        <w:t>銘</w:t>
      </w:r>
      <w:r>
        <w:rPr>
          <w:rFonts w:hint="eastAsia"/>
        </w:rPr>
        <w:t>先用</w:t>
      </w:r>
      <w:proofErr w:type="gramEnd"/>
      <w:r>
        <w:rPr>
          <w:rFonts w:hint="eastAsia"/>
        </w:rPr>
        <w:t>「右手」持刀刃猶疑的切割左</w:t>
      </w:r>
      <w:proofErr w:type="gramStart"/>
      <w:r>
        <w:rPr>
          <w:rFonts w:hint="eastAsia"/>
        </w:rPr>
        <w:t>手腕近腕關節</w:t>
      </w:r>
      <w:proofErr w:type="gramEnd"/>
      <w:r>
        <w:t>25</w:t>
      </w:r>
      <w:r>
        <w:rPr>
          <w:rFonts w:hint="eastAsia"/>
        </w:rPr>
        <w:t>公分</w:t>
      </w:r>
      <w:r>
        <w:t>6</w:t>
      </w:r>
      <w:r>
        <w:rPr>
          <w:rFonts w:hint="eastAsia"/>
        </w:rPr>
        <w:t>道傷口，再用「左手」持刀刃刺傷右側頸</w:t>
      </w:r>
      <w:r>
        <w:t>3</w:t>
      </w:r>
      <w:r>
        <w:rPr>
          <w:rFonts w:hint="eastAsia"/>
        </w:rPr>
        <w:t>刀等情，且該鑑定結果係綜合</w:t>
      </w:r>
      <w:r w:rsidR="003562AD">
        <w:rPr>
          <w:rFonts w:hint="eastAsia"/>
        </w:rPr>
        <w:t>陳○銘</w:t>
      </w:r>
      <w:r>
        <w:rPr>
          <w:rFonts w:hint="eastAsia"/>
        </w:rPr>
        <w:t>之傷勢分佈情形、身體無大量鎮靜安眠藥物、身體無抵抗傷等，支持為自殘之結果，且以該刀片之長度穿刺、切割，足以達頸部血管之深度，吻合為刀片自殘之結果，佐以上開簡訊内容，始研判</w:t>
      </w:r>
      <w:r w:rsidR="003562AD">
        <w:rPr>
          <w:rFonts w:hint="eastAsia"/>
        </w:rPr>
        <w:t>陳○銘</w:t>
      </w:r>
      <w:r>
        <w:rPr>
          <w:rFonts w:hint="eastAsia"/>
        </w:rPr>
        <w:t>死亡方式為「自為」，非單以該簡訊内容作為認定</w:t>
      </w:r>
      <w:r w:rsidR="003562AD">
        <w:rPr>
          <w:rFonts w:hint="eastAsia"/>
        </w:rPr>
        <w:t>陳○銘</w:t>
      </w:r>
      <w:r>
        <w:rPr>
          <w:rFonts w:hint="eastAsia"/>
        </w:rPr>
        <w:t>自殺之依據，姑不論台端等指陳上開簡訊係他人持</w:t>
      </w:r>
      <w:r w:rsidR="003562AD">
        <w:rPr>
          <w:rFonts w:hint="eastAsia"/>
        </w:rPr>
        <w:t>陳○銘</w:t>
      </w:r>
      <w:r>
        <w:rPr>
          <w:rFonts w:hint="eastAsia"/>
        </w:rPr>
        <w:t>手機傳送一節為台端等之臆測，縱使排除該上開簡訊，</w:t>
      </w:r>
      <w:r w:rsidR="003562AD">
        <w:rPr>
          <w:rFonts w:hint="eastAsia"/>
        </w:rPr>
        <w:t>陳○銘</w:t>
      </w:r>
      <w:r>
        <w:rPr>
          <w:rFonts w:hint="eastAsia"/>
        </w:rPr>
        <w:t>傷勢仍吻合刀片自殘結果，是台端等上開主張容有誤會。</w:t>
      </w:r>
    </w:p>
    <w:p w:rsidR="00122EE5" w:rsidRDefault="00122EE5" w:rsidP="00122EE5">
      <w:pPr>
        <w:pStyle w:val="5"/>
        <w:overflowPunct w:val="0"/>
        <w:ind w:left="2041" w:hanging="680"/>
      </w:pPr>
      <w:proofErr w:type="gramStart"/>
      <w:r>
        <w:rPr>
          <w:rFonts w:hint="eastAsia"/>
        </w:rPr>
        <w:t>再者，</w:t>
      </w:r>
      <w:proofErr w:type="gramEnd"/>
      <w:r>
        <w:rPr>
          <w:rFonts w:hint="eastAsia"/>
        </w:rPr>
        <w:t>法務部法醫研究所函</w:t>
      </w:r>
      <w:r w:rsidR="00902005">
        <w:rPr>
          <w:rFonts w:hint="eastAsia"/>
        </w:rPr>
        <w:t>復</w:t>
      </w:r>
      <w:r>
        <w:rPr>
          <w:rFonts w:hint="eastAsia"/>
        </w:rPr>
        <w:t>意見稱：</w:t>
      </w:r>
    </w:p>
    <w:p w:rsidR="00122EE5" w:rsidRDefault="00122EE5" w:rsidP="00122EE5">
      <w:pPr>
        <w:pStyle w:val="6"/>
        <w:overflowPunct w:val="0"/>
        <w:ind w:left="2381" w:hanging="680"/>
      </w:pPr>
      <w:r>
        <w:rPr>
          <w:rFonts w:hint="eastAsia"/>
        </w:rPr>
        <w:t>自為的傷勢一般仍選擇順手可以完成之過程，</w:t>
      </w:r>
      <w:proofErr w:type="gramStart"/>
      <w:r>
        <w:rPr>
          <w:rFonts w:hint="eastAsia"/>
        </w:rPr>
        <w:t>故割腕則</w:t>
      </w:r>
      <w:proofErr w:type="gramEnd"/>
      <w:r>
        <w:rPr>
          <w:rFonts w:hint="eastAsia"/>
        </w:rPr>
        <w:t>以慣用手，如右手，則以手臂旋轉半徑，即旋轉軸極易達到左手腕内側區並傷及内</w:t>
      </w:r>
      <w:r w:rsidR="00902005">
        <w:rPr>
          <w:rFonts w:hint="eastAsia"/>
        </w:rPr>
        <w:t>側</w:t>
      </w:r>
      <w:r>
        <w:rPr>
          <w:rFonts w:hint="eastAsia"/>
        </w:rPr>
        <w:t>軟組織，可達到自殘的目的。由右手持刀片，則只要用手臂力道擠壓，極易</w:t>
      </w:r>
      <w:r>
        <w:rPr>
          <w:rFonts w:hint="eastAsia"/>
        </w:rPr>
        <w:lastRenderedPageBreak/>
        <w:t>達到割傷</w:t>
      </w:r>
      <w:proofErr w:type="gramStart"/>
      <w:r>
        <w:rPr>
          <w:rFonts w:hint="eastAsia"/>
        </w:rPr>
        <w:t>右側頸總動脈</w:t>
      </w:r>
      <w:proofErr w:type="gramEnd"/>
      <w:r>
        <w:rPr>
          <w:rFonts w:hint="eastAsia"/>
        </w:rPr>
        <w:t>及靜脈之可能。考量</w:t>
      </w:r>
      <w:proofErr w:type="gramStart"/>
      <w:r>
        <w:rPr>
          <w:rFonts w:hint="eastAsia"/>
        </w:rPr>
        <w:t>死者為躺臥姿</w:t>
      </w:r>
      <w:proofErr w:type="gramEnd"/>
      <w:r>
        <w:rPr>
          <w:rFonts w:hint="eastAsia"/>
        </w:rPr>
        <w:t>勢，欲右手施力，極可能局部偏</w:t>
      </w:r>
      <w:proofErr w:type="gramStart"/>
      <w:r>
        <w:rPr>
          <w:rFonts w:hint="eastAsia"/>
        </w:rPr>
        <w:t>左側躺以利於</w:t>
      </w:r>
      <w:proofErr w:type="gramEnd"/>
      <w:r>
        <w:rPr>
          <w:rFonts w:hint="eastAsia"/>
        </w:rPr>
        <w:t>右手施力，則左手腕及右</w:t>
      </w:r>
      <w:proofErr w:type="gramStart"/>
      <w:r>
        <w:rPr>
          <w:rFonts w:hint="eastAsia"/>
        </w:rPr>
        <w:t>頸均為較</w:t>
      </w:r>
      <w:proofErr w:type="gramEnd"/>
      <w:r>
        <w:rPr>
          <w:rFonts w:hint="eastAsia"/>
        </w:rPr>
        <w:t>易經慣用手右手施力之範圍。</w:t>
      </w:r>
    </w:p>
    <w:p w:rsidR="00122EE5" w:rsidRDefault="00122EE5" w:rsidP="00122EE5">
      <w:pPr>
        <w:pStyle w:val="6"/>
        <w:overflowPunct w:val="0"/>
        <w:ind w:left="2381" w:hanging="680"/>
      </w:pPr>
      <w:r>
        <w:rPr>
          <w:rFonts w:hint="eastAsia"/>
        </w:rPr>
        <w:t>自刎頸部之傷口主要仍以慣用手及持用之</w:t>
      </w:r>
      <w:proofErr w:type="gramStart"/>
      <w:r>
        <w:rPr>
          <w:rFonts w:hint="eastAsia"/>
        </w:rPr>
        <w:t>刀器較相關</w:t>
      </w:r>
      <w:proofErr w:type="gramEnd"/>
      <w:r>
        <w:rPr>
          <w:rFonts w:hint="eastAsia"/>
        </w:rPr>
        <w:t>，</w:t>
      </w:r>
      <w:proofErr w:type="gramStart"/>
      <w:r>
        <w:rPr>
          <w:rFonts w:hint="eastAsia"/>
        </w:rPr>
        <w:t>若刀器較</w:t>
      </w:r>
      <w:proofErr w:type="gramEnd"/>
      <w:r>
        <w:rPr>
          <w:rFonts w:hint="eastAsia"/>
        </w:rPr>
        <w:t>長，則慣用右手者，不易由右頸自刺、割，而必須由左側行之，反之如本案為持刀</w:t>
      </w:r>
      <w:proofErr w:type="gramStart"/>
      <w:r>
        <w:rPr>
          <w:rFonts w:hint="eastAsia"/>
        </w:rPr>
        <w:t>片且呈躺</w:t>
      </w:r>
      <w:proofErr w:type="gramEnd"/>
      <w:r>
        <w:rPr>
          <w:rFonts w:hint="eastAsia"/>
        </w:rPr>
        <w:t>臥姿勢，則慣用右手者必然傷及右</w:t>
      </w:r>
      <w:r w:rsidR="00902005">
        <w:rPr>
          <w:rFonts w:hint="eastAsia"/>
        </w:rPr>
        <w:t>側</w:t>
      </w:r>
      <w:r>
        <w:rPr>
          <w:rFonts w:hint="eastAsia"/>
        </w:rPr>
        <w:t>頸部。</w:t>
      </w:r>
    </w:p>
    <w:p w:rsidR="00122EE5" w:rsidRDefault="00122EE5" w:rsidP="00122EE5">
      <w:pPr>
        <w:pStyle w:val="6"/>
        <w:overflowPunct w:val="0"/>
        <w:ind w:left="2381" w:hanging="680"/>
      </w:pPr>
      <w:r>
        <w:rPr>
          <w:rFonts w:hint="eastAsia"/>
        </w:rPr>
        <w:t>依死者身上傷勢，符合以手持現場留存刀片切割之結果，依法醫學經驗法則研判，死者係以右手</w:t>
      </w:r>
      <w:proofErr w:type="gramStart"/>
      <w:r>
        <w:rPr>
          <w:rFonts w:hint="eastAsia"/>
        </w:rPr>
        <w:t>自割左手腕</w:t>
      </w:r>
      <w:proofErr w:type="gramEnd"/>
      <w:r>
        <w:rPr>
          <w:rFonts w:hint="eastAsia"/>
        </w:rPr>
        <w:t>及因為右手順手切割右頸部導致頸部右</w:t>
      </w:r>
      <w:r w:rsidR="00902005">
        <w:rPr>
          <w:rFonts w:hint="eastAsia"/>
        </w:rPr>
        <w:t>側</w:t>
      </w:r>
      <w:r>
        <w:rPr>
          <w:rFonts w:hint="eastAsia"/>
        </w:rPr>
        <w:t>大出血致出血性休克死亡之可能性。此有法務部法醫研究所</w:t>
      </w:r>
      <w:r>
        <w:t>107</w:t>
      </w:r>
      <w:r>
        <w:rPr>
          <w:rFonts w:hint="eastAsia"/>
        </w:rPr>
        <w:t>年</w:t>
      </w:r>
      <w:r>
        <w:t>1</w:t>
      </w:r>
      <w:r>
        <w:rPr>
          <w:rFonts w:hint="eastAsia"/>
        </w:rPr>
        <w:t>月</w:t>
      </w:r>
      <w:r>
        <w:t>31</w:t>
      </w:r>
      <w:r>
        <w:rPr>
          <w:rFonts w:hint="eastAsia"/>
        </w:rPr>
        <w:t>日法醫理字第</w:t>
      </w:r>
      <w:r>
        <w:t>10600065120</w:t>
      </w:r>
      <w:r>
        <w:rPr>
          <w:rFonts w:hint="eastAsia"/>
        </w:rPr>
        <w:t>號函可證，已說明何以認定</w:t>
      </w:r>
      <w:r w:rsidR="003562AD">
        <w:rPr>
          <w:rFonts w:hint="eastAsia"/>
        </w:rPr>
        <w:t>陳○銘</w:t>
      </w:r>
      <w:r>
        <w:rPr>
          <w:rFonts w:hint="eastAsia"/>
        </w:rPr>
        <w:t>身上傷勢符合手持現場留存刀片切割之結果，其說明亦符合經驗法則。況且依台端等提出現場所留美工刀片照片所示，與一般可替換式美工刀之刀片相同，該刀片雖無刀柄，但刀片扁平，</w:t>
      </w:r>
      <w:r w:rsidR="00902005">
        <w:rPr>
          <w:rFonts w:hint="eastAsia"/>
        </w:rPr>
        <w:t>側</w:t>
      </w:r>
      <w:r>
        <w:rPr>
          <w:rFonts w:hint="eastAsia"/>
        </w:rPr>
        <w:t>面寬度約</w:t>
      </w:r>
      <w:r>
        <w:t>0.9</w:t>
      </w:r>
      <w:r>
        <w:rPr>
          <w:rFonts w:hint="eastAsia"/>
        </w:rPr>
        <w:t>公分，長約</w:t>
      </w:r>
      <w:r>
        <w:t>7.5</w:t>
      </w:r>
      <w:r>
        <w:rPr>
          <w:rFonts w:hint="eastAsia"/>
        </w:rPr>
        <w:t>公分，一般人可以</w:t>
      </w:r>
      <w:proofErr w:type="gramStart"/>
      <w:r>
        <w:rPr>
          <w:rFonts w:hint="eastAsia"/>
        </w:rPr>
        <w:t>手指夾捏方式</w:t>
      </w:r>
      <w:proofErr w:type="gramEnd"/>
      <w:r>
        <w:rPr>
          <w:rFonts w:hint="eastAsia"/>
        </w:rPr>
        <w:t>穩固拿取該刀片而無需</w:t>
      </w:r>
      <w:proofErr w:type="gramStart"/>
      <w:r>
        <w:rPr>
          <w:rFonts w:hint="eastAsia"/>
        </w:rPr>
        <w:t>觸及刀峰</w:t>
      </w:r>
      <w:proofErr w:type="gramEnd"/>
      <w:r>
        <w:rPr>
          <w:rFonts w:hint="eastAsia"/>
        </w:rPr>
        <w:t>，且該刀片尚有充分長度裸露在外，足以為上述</w:t>
      </w:r>
      <w:proofErr w:type="gramStart"/>
      <w:r>
        <w:rPr>
          <w:rFonts w:hint="eastAsia"/>
        </w:rPr>
        <w:t>自切左手腕</w:t>
      </w:r>
      <w:proofErr w:type="gramEnd"/>
      <w:r>
        <w:rPr>
          <w:rFonts w:hint="eastAsia"/>
        </w:rPr>
        <w:t>、右頸部之行為，非絕對僅能以手掌握持方式拿取該刀片，是</w:t>
      </w:r>
      <w:r w:rsidR="003562AD">
        <w:rPr>
          <w:rFonts w:hint="eastAsia"/>
        </w:rPr>
        <w:t>陳○銘</w:t>
      </w:r>
      <w:r>
        <w:rPr>
          <w:rFonts w:hint="eastAsia"/>
        </w:rPr>
        <w:t>手掌雖無明顯可辨識傷痕，亦非足以證明</w:t>
      </w:r>
      <w:r w:rsidR="003562AD">
        <w:rPr>
          <w:rFonts w:hint="eastAsia"/>
        </w:rPr>
        <w:t>陳○銘</w:t>
      </w:r>
      <w:r>
        <w:rPr>
          <w:rFonts w:hint="eastAsia"/>
        </w:rPr>
        <w:t>死亡方式非屬自為。台端等雖復質疑上開刀片上未發現明顯指紋，</w:t>
      </w:r>
      <w:r w:rsidR="003562AD">
        <w:rPr>
          <w:rFonts w:hint="eastAsia"/>
        </w:rPr>
        <w:t>陳○銘</w:t>
      </w:r>
      <w:r>
        <w:rPr>
          <w:rFonts w:hint="eastAsia"/>
        </w:rPr>
        <w:t>死亡自與該刀片無關。然指紋之保存涉及到當事人排汗的多寡、汗液成分的比例、及現場環境的</w:t>
      </w:r>
      <w:r>
        <w:rPr>
          <w:rFonts w:hint="eastAsia"/>
        </w:rPr>
        <w:lastRenderedPageBreak/>
        <w:t>溫度、相對濕度、指紋存在</w:t>
      </w:r>
      <w:proofErr w:type="gramStart"/>
      <w:r>
        <w:rPr>
          <w:rFonts w:hint="eastAsia"/>
        </w:rPr>
        <w:t>檢體物面的</w:t>
      </w:r>
      <w:proofErr w:type="gramEnd"/>
      <w:r>
        <w:rPr>
          <w:rFonts w:hint="eastAsia"/>
        </w:rPr>
        <w:t>性質等等多方面因素，</w:t>
      </w:r>
      <w:proofErr w:type="gramStart"/>
      <w:r>
        <w:rPr>
          <w:rFonts w:hint="eastAsia"/>
        </w:rPr>
        <w:t>非謂未發現</w:t>
      </w:r>
      <w:proofErr w:type="gramEnd"/>
      <w:r>
        <w:rPr>
          <w:rFonts w:hint="eastAsia"/>
        </w:rPr>
        <w:t>明顯指紋，即 可排除</w:t>
      </w:r>
      <w:r w:rsidR="003562AD">
        <w:rPr>
          <w:rFonts w:hint="eastAsia"/>
        </w:rPr>
        <w:t>陳○銘</w:t>
      </w:r>
      <w:r>
        <w:rPr>
          <w:rFonts w:hint="eastAsia"/>
        </w:rPr>
        <w:t>死亡與該刀片有關，或排除</w:t>
      </w:r>
      <w:r w:rsidR="003562AD">
        <w:rPr>
          <w:rFonts w:hint="eastAsia"/>
        </w:rPr>
        <w:t>陳○銘</w:t>
      </w:r>
      <w:r>
        <w:rPr>
          <w:rFonts w:hint="eastAsia"/>
        </w:rPr>
        <w:t>死亡為自為。</w:t>
      </w:r>
    </w:p>
    <w:p w:rsidR="00122EE5" w:rsidRDefault="00122EE5" w:rsidP="00122EE5">
      <w:pPr>
        <w:pStyle w:val="5"/>
        <w:overflowPunct w:val="0"/>
        <w:ind w:left="2041" w:hanging="680"/>
      </w:pPr>
      <w:r>
        <w:rPr>
          <w:rFonts w:hint="eastAsia"/>
        </w:rPr>
        <w:t>台端等復以發現人</w:t>
      </w:r>
      <w:r w:rsidR="003562AD">
        <w:rPr>
          <w:rFonts w:hint="eastAsia"/>
        </w:rPr>
        <w:t>魏</w:t>
      </w:r>
      <w:r w:rsidR="00364421">
        <w:rPr>
          <w:rFonts w:hint="eastAsia"/>
        </w:rPr>
        <w:t>文</w:t>
      </w:r>
      <w:r w:rsidR="003562AD">
        <w:rPr>
          <w:rFonts w:hint="eastAsia"/>
        </w:rPr>
        <w:t>瀚</w:t>
      </w:r>
      <w:r>
        <w:rPr>
          <w:rFonts w:hint="eastAsia"/>
        </w:rPr>
        <w:t>於相驗案件偵訊時陳稱：「</w:t>
      </w:r>
      <w:proofErr w:type="gramStart"/>
      <w:r>
        <w:rPr>
          <w:rFonts w:hint="eastAsia"/>
        </w:rPr>
        <w:t>（</w:t>
      </w:r>
      <w:proofErr w:type="gramEnd"/>
      <w:r>
        <w:rPr>
          <w:rFonts w:hint="eastAsia"/>
        </w:rPr>
        <w:t>後來進去你看到什麼？）一進去我叫</w:t>
      </w:r>
      <w:r w:rsidR="003562AD">
        <w:rPr>
          <w:rFonts w:hint="eastAsia"/>
        </w:rPr>
        <w:t>○銘</w:t>
      </w:r>
      <w:r>
        <w:rPr>
          <w:rFonts w:hint="eastAsia"/>
        </w:rPr>
        <w:t>學長，他沒有反應，他棉被蓋到脖子、肩膀處，我看到他臉色蒼白，我想說他生病了，我走到由死者睡的地方往外數第四</w:t>
      </w:r>
      <w:proofErr w:type="gramStart"/>
      <w:r>
        <w:rPr>
          <w:rFonts w:hint="eastAsia"/>
        </w:rPr>
        <w:t>個</w:t>
      </w:r>
      <w:proofErr w:type="gramEnd"/>
      <w:r>
        <w:rPr>
          <w:rFonts w:hint="eastAsia"/>
        </w:rPr>
        <w:t>床位，看到牆壁及床上都是血漬，我第一個反應直覺是自殺，我</w:t>
      </w:r>
      <w:proofErr w:type="gramStart"/>
      <w:r>
        <w:rPr>
          <w:rFonts w:hint="eastAsia"/>
        </w:rPr>
        <w:t>衝</w:t>
      </w:r>
      <w:proofErr w:type="gramEnd"/>
      <w:r>
        <w:rPr>
          <w:rFonts w:hint="eastAsia"/>
        </w:rPr>
        <w:t>出寢室跟安全士官講</w:t>
      </w:r>
      <w:r w:rsidR="003562AD">
        <w:rPr>
          <w:rFonts w:hint="eastAsia"/>
        </w:rPr>
        <w:t>○銘</w:t>
      </w:r>
      <w:r>
        <w:rPr>
          <w:rFonts w:hint="eastAsia"/>
        </w:rPr>
        <w:t>學長自殺，當時安全士官是蔡</w:t>
      </w:r>
      <w:r w:rsidR="00364421">
        <w:rPr>
          <w:rFonts w:hint="eastAsia"/>
        </w:rPr>
        <w:t>東</w:t>
      </w:r>
      <w:r>
        <w:rPr>
          <w:rFonts w:hint="eastAsia"/>
        </w:rPr>
        <w:t>洪。我跟他說趕快叫救護車，我又趕快</w:t>
      </w:r>
      <w:proofErr w:type="gramStart"/>
      <w:r>
        <w:rPr>
          <w:rFonts w:hint="eastAsia"/>
        </w:rPr>
        <w:t>衝</w:t>
      </w:r>
      <w:proofErr w:type="gramEnd"/>
      <w:r>
        <w:rPr>
          <w:rFonts w:hint="eastAsia"/>
        </w:rPr>
        <w:t>到一</w:t>
      </w:r>
      <w:proofErr w:type="gramStart"/>
      <w:r>
        <w:rPr>
          <w:rFonts w:hint="eastAsia"/>
        </w:rPr>
        <w:t>樓跟護士</w:t>
      </w:r>
      <w:proofErr w:type="gramEnd"/>
      <w:r>
        <w:rPr>
          <w:rFonts w:hint="eastAsia"/>
        </w:rPr>
        <w:t>講</w:t>
      </w:r>
      <w:r w:rsidR="003562AD">
        <w:rPr>
          <w:rFonts w:hint="eastAsia"/>
        </w:rPr>
        <w:t>○銘</w:t>
      </w:r>
      <w:r>
        <w:rPr>
          <w:rFonts w:hint="eastAsia"/>
        </w:rPr>
        <w:t>學長自殺」、「</w:t>
      </w:r>
      <w:proofErr w:type="gramStart"/>
      <w:r>
        <w:rPr>
          <w:rFonts w:hint="eastAsia"/>
        </w:rPr>
        <w:t>（</w:t>
      </w:r>
      <w:proofErr w:type="gramEnd"/>
      <w:r>
        <w:rPr>
          <w:rFonts w:hint="eastAsia"/>
        </w:rPr>
        <w:t>你當時有看到他手持刀子嗎？或脖子有刀子嗎？）當時棉被蓋著，我沒看到，後來處理情形我不知道」等語，認</w:t>
      </w:r>
      <w:r w:rsidR="003562AD">
        <w:rPr>
          <w:rFonts w:hint="eastAsia"/>
        </w:rPr>
        <w:t>陳○</w:t>
      </w:r>
      <w:proofErr w:type="gramStart"/>
      <w:r w:rsidR="003562AD">
        <w:rPr>
          <w:rFonts w:hint="eastAsia"/>
        </w:rPr>
        <w:t>銘</w:t>
      </w:r>
      <w:r>
        <w:rPr>
          <w:rFonts w:hint="eastAsia"/>
        </w:rPr>
        <w:t>既係</w:t>
      </w:r>
      <w:proofErr w:type="gramEnd"/>
      <w:r>
        <w:rPr>
          <w:rFonts w:hint="eastAsia"/>
        </w:rPr>
        <w:t>將棉被蓋到脖子、肩膀處，則其血跡何以能</w:t>
      </w:r>
      <w:r w:rsidR="00902005">
        <w:rPr>
          <w:rFonts w:hint="eastAsia"/>
        </w:rPr>
        <w:t>噴</w:t>
      </w:r>
      <w:r>
        <w:rPr>
          <w:rFonts w:hint="eastAsia"/>
        </w:rPr>
        <w:t>到距離</w:t>
      </w:r>
      <w:r w:rsidR="003562AD">
        <w:rPr>
          <w:rFonts w:hint="eastAsia"/>
        </w:rPr>
        <w:t>陳○銘</w:t>
      </w:r>
      <w:r>
        <w:rPr>
          <w:rFonts w:hint="eastAsia"/>
        </w:rPr>
        <w:t>所睡床位往外數第四</w:t>
      </w:r>
      <w:proofErr w:type="gramStart"/>
      <w:r>
        <w:rPr>
          <w:rFonts w:hint="eastAsia"/>
        </w:rPr>
        <w:t>個</w:t>
      </w:r>
      <w:proofErr w:type="gramEnd"/>
      <w:r>
        <w:rPr>
          <w:rFonts w:hint="eastAsia"/>
        </w:rPr>
        <w:t>床位，而認</w:t>
      </w:r>
      <w:r w:rsidR="003562AD">
        <w:rPr>
          <w:rFonts w:hint="eastAsia"/>
        </w:rPr>
        <w:t>陳○銘</w:t>
      </w:r>
      <w:r>
        <w:rPr>
          <w:rFonts w:hint="eastAsia"/>
        </w:rPr>
        <w:t>是起床被殺後，兇手再將</w:t>
      </w:r>
      <w:r w:rsidR="003562AD">
        <w:rPr>
          <w:rFonts w:hint="eastAsia"/>
        </w:rPr>
        <w:t>陳○銘</w:t>
      </w:r>
      <w:r>
        <w:rPr>
          <w:rFonts w:hint="eastAsia"/>
        </w:rPr>
        <w:t>推倒並蓋上棉被，始造成其血跡噴到第四</w:t>
      </w:r>
      <w:proofErr w:type="gramStart"/>
      <w:r>
        <w:rPr>
          <w:rFonts w:hint="eastAsia"/>
        </w:rPr>
        <w:t>個</w:t>
      </w:r>
      <w:proofErr w:type="gramEnd"/>
      <w:r>
        <w:rPr>
          <w:rFonts w:hint="eastAsia"/>
        </w:rPr>
        <w:t>床位牆壁上。然據臺灣彰化地方檢察署</w:t>
      </w:r>
      <w:proofErr w:type="gramStart"/>
      <w:r>
        <w:t>101</w:t>
      </w:r>
      <w:proofErr w:type="gramEnd"/>
      <w:r>
        <w:rPr>
          <w:rFonts w:hint="eastAsia"/>
        </w:rPr>
        <w:t>年度</w:t>
      </w:r>
      <w:proofErr w:type="gramStart"/>
      <w:r>
        <w:rPr>
          <w:rFonts w:hint="eastAsia"/>
        </w:rPr>
        <w:t>相字第</w:t>
      </w:r>
      <w:r>
        <w:t>351</w:t>
      </w:r>
      <w:r>
        <w:rPr>
          <w:rFonts w:hint="eastAsia"/>
        </w:rPr>
        <w:t>號卷</w:t>
      </w:r>
      <w:proofErr w:type="gramEnd"/>
      <w:r>
        <w:rPr>
          <w:rFonts w:hint="eastAsia"/>
        </w:rPr>
        <w:t>内現場照片所示，</w:t>
      </w:r>
      <w:r w:rsidR="003562AD">
        <w:rPr>
          <w:rFonts w:hint="eastAsia"/>
        </w:rPr>
        <w:t>陳○銘</w:t>
      </w:r>
      <w:r>
        <w:rPr>
          <w:rFonts w:hint="eastAsia"/>
        </w:rPr>
        <w:t>之寢室入門後分為左右兩排床位，</w:t>
      </w:r>
      <w:r w:rsidR="003562AD">
        <w:rPr>
          <w:rFonts w:hint="eastAsia"/>
        </w:rPr>
        <w:t>陳○銘</w:t>
      </w:r>
      <w:r>
        <w:rPr>
          <w:rFonts w:hint="eastAsia"/>
        </w:rPr>
        <w:t>之床位為右排最内靠牆處，由該床位往門口數來，可見至少有四個床位，</w:t>
      </w:r>
      <w:r w:rsidR="003562AD">
        <w:rPr>
          <w:rFonts w:hint="eastAsia"/>
        </w:rPr>
        <w:t>陳○銘</w:t>
      </w:r>
      <w:r>
        <w:rPr>
          <w:rFonts w:hint="eastAsia"/>
        </w:rPr>
        <w:t>床位床頭靠牆處有血跡</w:t>
      </w:r>
      <w:r w:rsidR="00902005">
        <w:rPr>
          <w:rFonts w:hint="eastAsia"/>
        </w:rPr>
        <w:t>噴</w:t>
      </w:r>
      <w:r>
        <w:rPr>
          <w:rFonts w:hint="eastAsia"/>
        </w:rPr>
        <w:t>濺痕，床位床鋪近床頭處亦有大量血跡，是</w:t>
      </w:r>
      <w:r w:rsidR="003562AD">
        <w:rPr>
          <w:rFonts w:hint="eastAsia"/>
        </w:rPr>
        <w:t>魏○瀚</w:t>
      </w:r>
      <w:r>
        <w:rPr>
          <w:rFonts w:hint="eastAsia"/>
        </w:rPr>
        <w:t>所述之意思，乃其入門後走到</w:t>
      </w:r>
      <w:r w:rsidR="003562AD">
        <w:rPr>
          <w:rFonts w:hint="eastAsia"/>
        </w:rPr>
        <w:t>陳○銘</w:t>
      </w:r>
      <w:r>
        <w:rPr>
          <w:rFonts w:hint="eastAsia"/>
        </w:rPr>
        <w:t>床位往外數之第四個床位處，即可看見</w:t>
      </w:r>
      <w:r w:rsidR="003562AD">
        <w:rPr>
          <w:rFonts w:hint="eastAsia"/>
        </w:rPr>
        <w:t>陳○銘</w:t>
      </w:r>
      <w:r>
        <w:rPr>
          <w:rFonts w:hint="eastAsia"/>
        </w:rPr>
        <w:t>床位靠牆處及該床上都是血跡，並非台端所稱血跡</w:t>
      </w:r>
      <w:r w:rsidR="00902005">
        <w:rPr>
          <w:rFonts w:hint="eastAsia"/>
        </w:rPr>
        <w:t>噴</w:t>
      </w:r>
      <w:r>
        <w:rPr>
          <w:rFonts w:hint="eastAsia"/>
        </w:rPr>
        <w:t>到距離</w:t>
      </w:r>
      <w:r w:rsidR="003562AD">
        <w:rPr>
          <w:rFonts w:hint="eastAsia"/>
        </w:rPr>
        <w:t>陳○銘</w:t>
      </w:r>
      <w:r>
        <w:rPr>
          <w:rFonts w:hint="eastAsia"/>
        </w:rPr>
        <w:t>床位數來第四個床位之牆壁上，是台</w:t>
      </w:r>
      <w:r>
        <w:rPr>
          <w:rFonts w:hint="eastAsia"/>
        </w:rPr>
        <w:lastRenderedPageBreak/>
        <w:t>端此部分主張與現場情況有違，乃有所誤認。</w:t>
      </w:r>
    </w:p>
    <w:p w:rsidR="00122EE5" w:rsidRDefault="00122EE5" w:rsidP="00122EE5">
      <w:pPr>
        <w:pStyle w:val="5"/>
        <w:overflowPunct w:val="0"/>
        <w:ind w:left="2041" w:hanging="680"/>
      </w:pPr>
      <w:r>
        <w:rPr>
          <w:rFonts w:hint="eastAsia"/>
        </w:rPr>
        <w:t>再一般解剖鑑定報告之製作，應考量現場調查證據之難易程度、組織病理切片製作、毒物化學檢驗，並綜合上揭資料的個別檢驗結果為综合研判，解剖鑑定報告之製作約在解剖後</w:t>
      </w:r>
      <w:r>
        <w:t>50</w:t>
      </w:r>
      <w:r>
        <w:rPr>
          <w:rFonts w:hint="eastAsia"/>
        </w:rPr>
        <w:t>至</w:t>
      </w:r>
      <w:r>
        <w:t>70</w:t>
      </w:r>
      <w:r>
        <w:rPr>
          <w:rFonts w:hint="eastAsia"/>
        </w:rPr>
        <w:t>天完成，有上開法務部法醫研究所函可憑，是本件係於</w:t>
      </w:r>
      <w:r>
        <w:t>101</w:t>
      </w:r>
      <w:r>
        <w:rPr>
          <w:rFonts w:hint="eastAsia"/>
        </w:rPr>
        <w:t>年</w:t>
      </w:r>
      <w:r>
        <w:t>5</w:t>
      </w:r>
      <w:r>
        <w:rPr>
          <w:rFonts w:hint="eastAsia"/>
        </w:rPr>
        <w:t>月</w:t>
      </w:r>
      <w:r>
        <w:t>1</w:t>
      </w:r>
      <w:r>
        <w:rPr>
          <w:rFonts w:hint="eastAsia"/>
        </w:rPr>
        <w:t>日解剖，</w:t>
      </w:r>
      <w:r>
        <w:t>101</w:t>
      </w:r>
      <w:r>
        <w:rPr>
          <w:rFonts w:hint="eastAsia"/>
        </w:rPr>
        <w:t>年</w:t>
      </w:r>
      <w:r>
        <w:t>5</w:t>
      </w:r>
      <w:r>
        <w:rPr>
          <w:rFonts w:hint="eastAsia"/>
        </w:rPr>
        <w:t>月</w:t>
      </w:r>
      <w:r>
        <w:t>3</w:t>
      </w:r>
      <w:r>
        <w:rPr>
          <w:rFonts w:hint="eastAsia"/>
        </w:rPr>
        <w:t>日發文委託鑑定，於</w:t>
      </w:r>
      <w:r>
        <w:t>101</w:t>
      </w:r>
      <w:r>
        <w:rPr>
          <w:rFonts w:hint="eastAsia"/>
        </w:rPr>
        <w:t>年</w:t>
      </w:r>
      <w:r>
        <w:t>7</w:t>
      </w:r>
      <w:r>
        <w:rPr>
          <w:rFonts w:hint="eastAsia"/>
        </w:rPr>
        <w:t>月</w:t>
      </w:r>
      <w:r>
        <w:t>10</w:t>
      </w:r>
      <w:r>
        <w:rPr>
          <w:rFonts w:hint="eastAsia"/>
        </w:rPr>
        <w:t>日完成鑑定報告，其鑑定報告製作之時程並無異常。</w:t>
      </w:r>
    </w:p>
    <w:p w:rsidR="00122EE5" w:rsidRDefault="00122EE5" w:rsidP="00122EE5">
      <w:pPr>
        <w:pStyle w:val="4"/>
        <w:kinsoku w:val="0"/>
        <w:overflowPunct w:val="0"/>
        <w:ind w:left="1700" w:hanging="680"/>
      </w:pPr>
      <w:r>
        <w:rPr>
          <w:rFonts w:hint="eastAsia"/>
        </w:rPr>
        <w:t>綜上所述，依台端等之主張，均無從認定被告係「故意」或有何於鑑定報告中虛偽陳述或登載不實。台端等雖請求傳訊上開中隊於101年4月26日檢察官現場模擬及開庭時請假、公差而未接受偵訊之人，及對101年4月24日午休</w:t>
      </w:r>
      <w:proofErr w:type="gramStart"/>
      <w:r>
        <w:rPr>
          <w:rFonts w:hint="eastAsia"/>
        </w:rPr>
        <w:t>時在場之</w:t>
      </w:r>
      <w:proofErr w:type="gramEnd"/>
      <w:r>
        <w:rPr>
          <w:rFonts w:hint="eastAsia"/>
        </w:rPr>
        <w:t>4人、中隊長謝</w:t>
      </w:r>
      <w:r w:rsidR="00364421">
        <w:rPr>
          <w:rFonts w:hint="eastAsia"/>
        </w:rPr>
        <w:t>政</w:t>
      </w:r>
      <w:r>
        <w:rPr>
          <w:rFonts w:hint="eastAsia"/>
        </w:rPr>
        <w:t>權、副中隊長廖</w:t>
      </w:r>
      <w:r w:rsidR="00364421">
        <w:rPr>
          <w:rFonts w:hint="eastAsia"/>
        </w:rPr>
        <w:t>恩</w:t>
      </w:r>
      <w:r>
        <w:rPr>
          <w:rFonts w:hint="eastAsia"/>
        </w:rPr>
        <w:t>碩、區隊長何</w:t>
      </w:r>
      <w:r w:rsidR="00364421">
        <w:rPr>
          <w:rFonts w:hint="eastAsia"/>
        </w:rPr>
        <w:t>嘉</w:t>
      </w:r>
      <w:r>
        <w:rPr>
          <w:rFonts w:hint="eastAsia"/>
        </w:rPr>
        <w:t>澤、安全士官蔡</w:t>
      </w:r>
      <w:r w:rsidR="00364421">
        <w:rPr>
          <w:rFonts w:hint="eastAsia"/>
        </w:rPr>
        <w:t>東</w:t>
      </w:r>
      <w:r>
        <w:rPr>
          <w:rFonts w:hint="eastAsia"/>
        </w:rPr>
        <w:t>洪、</w:t>
      </w:r>
      <w:proofErr w:type="gramStart"/>
      <w:r w:rsidR="003562AD">
        <w:rPr>
          <w:rFonts w:hint="eastAsia"/>
        </w:rPr>
        <w:t>魏</w:t>
      </w:r>
      <w:r w:rsidR="00364421">
        <w:rPr>
          <w:rFonts w:hint="eastAsia"/>
        </w:rPr>
        <w:t>文</w:t>
      </w:r>
      <w:r w:rsidR="003562AD">
        <w:rPr>
          <w:rFonts w:hint="eastAsia"/>
        </w:rPr>
        <w:t>瀚</w:t>
      </w:r>
      <w:r>
        <w:rPr>
          <w:rFonts w:hint="eastAsia"/>
        </w:rPr>
        <w:t>為測謊</w:t>
      </w:r>
      <w:proofErr w:type="gramEnd"/>
      <w:r>
        <w:rPr>
          <w:rFonts w:hint="eastAsia"/>
        </w:rPr>
        <w:t>鑑定，然</w:t>
      </w:r>
      <w:proofErr w:type="gramStart"/>
      <w:r>
        <w:rPr>
          <w:rFonts w:hint="eastAsia"/>
        </w:rPr>
        <w:t>此均非被告</w:t>
      </w:r>
      <w:proofErr w:type="gramEnd"/>
      <w:r>
        <w:rPr>
          <w:rFonts w:hint="eastAsia"/>
        </w:rPr>
        <w:t>為解剖鑑定時得以作為鑑定之參考依據，無從據以認定被告有無故意虛偽陳述或登載不實，對於本件偵查結果不生影響，而無調查必要。據此，本件乃係台端等對公務員依法執行公務不服而申告，但對構成刑責之要件嫌疑事實未有任何具體指摘，或提出相關事證或指出涉案事證所在，無從認被告與何刑事不法有關，故予結案。</w:t>
      </w:r>
    </w:p>
    <w:p w:rsidR="00122EE5" w:rsidRDefault="00122EE5" w:rsidP="000B26A3">
      <w:pPr>
        <w:pStyle w:val="3"/>
        <w:ind w:left="1360" w:hanging="680"/>
      </w:pPr>
      <w:r>
        <w:rPr>
          <w:rFonts w:hint="eastAsia"/>
        </w:rPr>
        <w:t>質言之，</w:t>
      </w:r>
      <w:r w:rsidRPr="002942B5">
        <w:rPr>
          <w:rFonts w:hint="eastAsia"/>
        </w:rPr>
        <w:t>本案陳</w:t>
      </w:r>
      <w:r>
        <w:rPr>
          <w:rFonts w:hint="eastAsia"/>
        </w:rPr>
        <w:t>訴</w:t>
      </w:r>
      <w:r w:rsidRPr="002942B5">
        <w:rPr>
          <w:rFonts w:hint="eastAsia"/>
        </w:rPr>
        <w:t>人</w:t>
      </w:r>
      <w:proofErr w:type="gramStart"/>
      <w:r>
        <w:rPr>
          <w:rFonts w:hint="eastAsia"/>
        </w:rPr>
        <w:t>續訴</w:t>
      </w:r>
      <w:r w:rsidRPr="002942B5">
        <w:rPr>
          <w:rFonts w:hint="eastAsia"/>
        </w:rPr>
        <w:t>指</w:t>
      </w:r>
      <w:proofErr w:type="gramEnd"/>
      <w:r w:rsidRPr="002942B5">
        <w:rPr>
          <w:rFonts w:hint="eastAsia"/>
        </w:rPr>
        <w:t>稱</w:t>
      </w:r>
      <w:r>
        <w:rPr>
          <w:rFonts w:hint="eastAsia"/>
        </w:rPr>
        <w:t>事項，業經本院函請</w:t>
      </w:r>
      <w:proofErr w:type="gramStart"/>
      <w:r>
        <w:rPr>
          <w:rFonts w:hint="eastAsia"/>
        </w:rPr>
        <w:t>臺</w:t>
      </w:r>
      <w:proofErr w:type="gramEnd"/>
      <w:r>
        <w:rPr>
          <w:rFonts w:hint="eastAsia"/>
        </w:rPr>
        <w:t>北地檢署於107年6月11日提供</w:t>
      </w:r>
      <w:proofErr w:type="gramStart"/>
      <w:r>
        <w:rPr>
          <w:rFonts w:hint="eastAsia"/>
        </w:rPr>
        <w:t>106</w:t>
      </w:r>
      <w:proofErr w:type="gramEnd"/>
      <w:r>
        <w:rPr>
          <w:rFonts w:hint="eastAsia"/>
        </w:rPr>
        <w:t>年度他字第8761號案件</w:t>
      </w:r>
      <w:r w:rsidRPr="001653A3">
        <w:rPr>
          <w:rFonts w:hint="eastAsia"/>
          <w:szCs w:val="32"/>
        </w:rPr>
        <w:t>偵查結果相關</w:t>
      </w:r>
      <w:proofErr w:type="gramStart"/>
      <w:r w:rsidRPr="001653A3">
        <w:rPr>
          <w:rFonts w:hint="eastAsia"/>
          <w:szCs w:val="32"/>
        </w:rPr>
        <w:t>書類全卷</w:t>
      </w:r>
      <w:proofErr w:type="gramEnd"/>
      <w:r w:rsidRPr="001653A3">
        <w:rPr>
          <w:rFonts w:hint="eastAsia"/>
          <w:szCs w:val="32"/>
        </w:rPr>
        <w:t>資料(含偵查</w:t>
      </w:r>
      <w:proofErr w:type="gramStart"/>
      <w:r w:rsidRPr="001653A3">
        <w:rPr>
          <w:rFonts w:hint="eastAsia"/>
          <w:szCs w:val="32"/>
        </w:rPr>
        <w:t>全卷暨相關</w:t>
      </w:r>
      <w:proofErr w:type="gramEnd"/>
      <w:r w:rsidRPr="001653A3">
        <w:rPr>
          <w:rFonts w:hint="eastAsia"/>
          <w:szCs w:val="32"/>
        </w:rPr>
        <w:t>證據)影本</w:t>
      </w:r>
      <w:r>
        <w:rPr>
          <w:rFonts w:hint="eastAsia"/>
          <w:szCs w:val="32"/>
        </w:rPr>
        <w:t>到</w:t>
      </w:r>
      <w:r w:rsidRPr="001653A3">
        <w:rPr>
          <w:rFonts w:hint="eastAsia"/>
          <w:szCs w:val="32"/>
        </w:rPr>
        <w:t>院</w:t>
      </w:r>
      <w:r>
        <w:rPr>
          <w:rStyle w:val="af3"/>
          <w:szCs w:val="32"/>
        </w:rPr>
        <w:footnoteReference w:id="1"/>
      </w:r>
      <w:r w:rsidRPr="001653A3">
        <w:rPr>
          <w:rFonts w:hint="eastAsia"/>
          <w:szCs w:val="32"/>
        </w:rPr>
        <w:t>。</w:t>
      </w:r>
      <w:proofErr w:type="gramStart"/>
      <w:r w:rsidRPr="002942B5">
        <w:rPr>
          <w:rFonts w:hint="eastAsia"/>
        </w:rPr>
        <w:t>參據</w:t>
      </w:r>
      <w:r>
        <w:rPr>
          <w:rFonts w:hint="eastAsia"/>
        </w:rPr>
        <w:t>上</w:t>
      </w:r>
      <w:proofErr w:type="gramEnd"/>
      <w:r>
        <w:rPr>
          <w:rFonts w:hint="eastAsia"/>
        </w:rPr>
        <w:t>開卷證資料顯示</w:t>
      </w:r>
      <w:r w:rsidRPr="002942B5">
        <w:rPr>
          <w:rFonts w:hint="eastAsia"/>
        </w:rPr>
        <w:t>，</w:t>
      </w:r>
      <w:r w:rsidRPr="00686E5E">
        <w:rPr>
          <w:rFonts w:hint="eastAsia"/>
        </w:rPr>
        <w:lastRenderedPageBreak/>
        <w:t>本件</w:t>
      </w:r>
      <w:proofErr w:type="gramStart"/>
      <w:r w:rsidRPr="00686E5E">
        <w:rPr>
          <w:rFonts w:hint="eastAsia"/>
        </w:rPr>
        <w:t>臺</w:t>
      </w:r>
      <w:proofErr w:type="gramEnd"/>
      <w:r w:rsidRPr="00686E5E">
        <w:rPr>
          <w:rFonts w:hint="eastAsia"/>
        </w:rPr>
        <w:t>北地檢署承辦檢察官</w:t>
      </w:r>
      <w:r w:rsidR="007D7359">
        <w:rPr>
          <w:rFonts w:hint="eastAsia"/>
        </w:rPr>
        <w:t>係</w:t>
      </w:r>
      <w:r w:rsidR="00F05C6A">
        <w:rPr>
          <w:rFonts w:hint="eastAsia"/>
        </w:rPr>
        <w:t>依</w:t>
      </w:r>
      <w:r w:rsidR="00F548BB">
        <w:rPr>
          <w:rFonts w:hint="eastAsia"/>
        </w:rPr>
        <w:t>臺</w:t>
      </w:r>
      <w:r w:rsidR="000B26A3" w:rsidRPr="000B26A3">
        <w:rPr>
          <w:rFonts w:hint="eastAsia"/>
        </w:rPr>
        <w:t>灣高等檢察</w:t>
      </w:r>
      <w:r w:rsidR="006E42EB">
        <w:rPr>
          <w:rFonts w:hint="eastAsia"/>
        </w:rPr>
        <w:t>署</w:t>
      </w:r>
      <w:r w:rsidR="00F548BB">
        <w:rPr>
          <w:rFonts w:hint="eastAsia"/>
        </w:rPr>
        <w:t>發布</w:t>
      </w:r>
      <w:r w:rsidR="000B26A3">
        <w:rPr>
          <w:rFonts w:hint="eastAsia"/>
        </w:rPr>
        <w:t>之</w:t>
      </w:r>
      <w:r w:rsidR="00F05C6A" w:rsidRPr="00F05C6A">
        <w:rPr>
          <w:rFonts w:hint="eastAsia"/>
        </w:rPr>
        <w:t>規定</w:t>
      </w:r>
      <w:r w:rsidR="000B26A3">
        <w:rPr>
          <w:rStyle w:val="af3"/>
        </w:rPr>
        <w:footnoteReference w:id="2"/>
      </w:r>
      <w:r w:rsidR="00F05C6A" w:rsidRPr="00F05C6A">
        <w:rPr>
          <w:rFonts w:hint="eastAsia"/>
        </w:rPr>
        <w:t>予以簽結，並函復陳訴人在案</w:t>
      </w:r>
      <w:r w:rsidR="00F05C6A">
        <w:rPr>
          <w:rFonts w:hint="eastAsia"/>
        </w:rPr>
        <w:t>，此有</w:t>
      </w:r>
      <w:r w:rsidR="00F05C6A" w:rsidRPr="00F05C6A">
        <w:rPr>
          <w:rFonts w:hint="eastAsia"/>
        </w:rPr>
        <w:t>本件他案簽結之簽呈及</w:t>
      </w:r>
      <w:r w:rsidR="00F05C6A">
        <w:rPr>
          <w:rFonts w:hint="eastAsia"/>
        </w:rPr>
        <w:t>該</w:t>
      </w:r>
      <w:r w:rsidR="00F05C6A" w:rsidRPr="00F05C6A">
        <w:rPr>
          <w:rFonts w:hint="eastAsia"/>
        </w:rPr>
        <w:t>署107年4月 20</w:t>
      </w:r>
      <w:r w:rsidR="00F05C6A">
        <w:rPr>
          <w:rFonts w:hint="eastAsia"/>
        </w:rPr>
        <w:t>日</w:t>
      </w:r>
      <w:r w:rsidR="00F05C6A" w:rsidRPr="00F05C6A">
        <w:rPr>
          <w:rFonts w:hint="eastAsia"/>
        </w:rPr>
        <w:t>函影本各1份</w:t>
      </w:r>
      <w:proofErr w:type="gramStart"/>
      <w:r w:rsidR="00F05C6A" w:rsidRPr="00F05C6A">
        <w:rPr>
          <w:rFonts w:hint="eastAsia"/>
        </w:rPr>
        <w:t>附卷可考</w:t>
      </w:r>
      <w:proofErr w:type="gramEnd"/>
      <w:r w:rsidR="00F05C6A">
        <w:rPr>
          <w:rFonts w:hint="eastAsia"/>
        </w:rPr>
        <w:t>，</w:t>
      </w:r>
      <w:proofErr w:type="gramStart"/>
      <w:r w:rsidR="00F05C6A">
        <w:rPr>
          <w:rFonts w:hint="eastAsia"/>
        </w:rPr>
        <w:t>核屬實情</w:t>
      </w:r>
      <w:proofErr w:type="gramEnd"/>
      <w:r>
        <w:rPr>
          <w:rFonts w:hint="eastAsia"/>
        </w:rPr>
        <w:t>。</w:t>
      </w:r>
    </w:p>
    <w:p w:rsidR="0094799D" w:rsidRPr="000C4DB2" w:rsidRDefault="0094799D" w:rsidP="0094799D">
      <w:pPr>
        <w:pStyle w:val="2"/>
        <w:rPr>
          <w:b/>
        </w:rPr>
      </w:pPr>
      <w:r w:rsidRPr="000C4DB2">
        <w:rPr>
          <w:rFonts w:hint="eastAsia"/>
          <w:b/>
        </w:rPr>
        <w:t>有關本件他案以簽結方式結案後，雖未阻斷陳訴人尋求司法救濟之機會，陳訴人如仍有異議，自可提出證據對被告再行告訴或告發，檢察官自會依法偵辦，或可依刑事訴訟法第319條規定，以被害人之直系血親身分，提起自訴。然</w:t>
      </w:r>
      <w:proofErr w:type="gramStart"/>
      <w:r w:rsidRPr="000C4DB2">
        <w:rPr>
          <w:rFonts w:hint="eastAsia"/>
          <w:b/>
        </w:rPr>
        <w:t>鑑</w:t>
      </w:r>
      <w:proofErr w:type="gramEnd"/>
      <w:r w:rsidRPr="000C4DB2">
        <w:rPr>
          <w:rFonts w:hint="eastAsia"/>
          <w:b/>
        </w:rPr>
        <w:t>於陳訴人對法律較為生疏，宜請法務部轉請檢察機關</w:t>
      </w:r>
      <w:proofErr w:type="gramStart"/>
      <w:r w:rsidRPr="000C4DB2">
        <w:rPr>
          <w:rFonts w:hint="eastAsia"/>
          <w:b/>
        </w:rPr>
        <w:t>研</w:t>
      </w:r>
      <w:proofErr w:type="gramEnd"/>
      <w:r w:rsidRPr="000C4DB2">
        <w:rPr>
          <w:rFonts w:hint="eastAsia"/>
          <w:b/>
        </w:rPr>
        <w:t>酌以偵查終結方式為之，</w:t>
      </w:r>
      <w:proofErr w:type="gramStart"/>
      <w:r w:rsidRPr="000C4DB2">
        <w:rPr>
          <w:rFonts w:hint="eastAsia"/>
          <w:b/>
        </w:rPr>
        <w:t>庶</w:t>
      </w:r>
      <w:proofErr w:type="gramEnd"/>
      <w:r w:rsidRPr="000C4DB2">
        <w:rPr>
          <w:rFonts w:hint="eastAsia"/>
          <w:b/>
        </w:rPr>
        <w:t>保障其「</w:t>
      </w:r>
      <w:proofErr w:type="gramStart"/>
      <w:r w:rsidRPr="000C4DB2">
        <w:rPr>
          <w:rFonts w:hint="eastAsia"/>
          <w:b/>
        </w:rPr>
        <w:t>再議權</w:t>
      </w:r>
      <w:proofErr w:type="gramEnd"/>
      <w:r w:rsidRPr="000C4DB2">
        <w:rPr>
          <w:rFonts w:hint="eastAsia"/>
          <w:b/>
        </w:rPr>
        <w:t>」。</w:t>
      </w:r>
    </w:p>
    <w:p w:rsidR="0094799D" w:rsidRPr="000C4DB2" w:rsidRDefault="0094799D" w:rsidP="0094799D">
      <w:pPr>
        <w:pStyle w:val="3"/>
        <w:ind w:left="1360" w:hanging="680"/>
      </w:pPr>
      <w:r w:rsidRPr="000C4DB2">
        <w:rPr>
          <w:rFonts w:hint="eastAsia"/>
        </w:rPr>
        <w:t>按刑事訴訟法第260條規定：「不起訴處分已確定或緩起訴處分期滿未經撤銷者，非有左列情形之一，不得對於同一案件再行起訴：一、發現新事實或新證據者。二、有第420條第1項第1款、第2款、第4款或第5款所定得為再審原因之情形者。」足見本件</w:t>
      </w:r>
      <w:proofErr w:type="gramStart"/>
      <w:r w:rsidRPr="000C4DB2">
        <w:rPr>
          <w:rFonts w:hint="eastAsia"/>
        </w:rPr>
        <w:t>臺</w:t>
      </w:r>
      <w:proofErr w:type="gramEnd"/>
      <w:r w:rsidRPr="000C4DB2">
        <w:rPr>
          <w:rFonts w:hint="eastAsia"/>
        </w:rPr>
        <w:t>北地檢署承辦檢察官以簽結方式結案，並無上開法條之效力，自不生阻斷陳訴人尋求司法救濟之機會，</w:t>
      </w:r>
      <w:proofErr w:type="gramStart"/>
      <w:r w:rsidRPr="000C4DB2">
        <w:rPr>
          <w:rFonts w:hint="eastAsia"/>
        </w:rPr>
        <w:t>彰然明甚</w:t>
      </w:r>
      <w:proofErr w:type="gramEnd"/>
      <w:r w:rsidRPr="000C4DB2">
        <w:rPr>
          <w:rFonts w:hint="eastAsia"/>
        </w:rPr>
        <w:t>。</w:t>
      </w:r>
    </w:p>
    <w:p w:rsidR="0094799D" w:rsidRPr="000C4DB2" w:rsidRDefault="0094799D" w:rsidP="0094799D">
      <w:pPr>
        <w:pStyle w:val="3"/>
        <w:ind w:left="1360" w:hanging="680"/>
      </w:pPr>
      <w:r w:rsidRPr="000C4DB2">
        <w:rPr>
          <w:rFonts w:hint="eastAsia"/>
        </w:rPr>
        <w:t>次查法務部就本院</w:t>
      </w:r>
      <w:proofErr w:type="gramStart"/>
      <w:r w:rsidRPr="000C4DB2">
        <w:rPr>
          <w:rFonts w:hint="eastAsia"/>
        </w:rPr>
        <w:t>詢</w:t>
      </w:r>
      <w:proofErr w:type="gramEnd"/>
      <w:r w:rsidRPr="000C4DB2">
        <w:rPr>
          <w:rFonts w:hint="eastAsia"/>
        </w:rPr>
        <w:t>及本案陳訴人尚有何司法救濟途徑之查復函</w:t>
      </w:r>
      <w:r w:rsidRPr="000C4DB2">
        <w:rPr>
          <w:rStyle w:val="af3"/>
        </w:rPr>
        <w:footnoteReference w:id="3"/>
      </w:r>
      <w:r w:rsidRPr="000C4DB2">
        <w:rPr>
          <w:rFonts w:hint="eastAsia"/>
        </w:rPr>
        <w:t>指稱：「本件他案以簽結方式結案後，陳訴人如有異議，自可提出證據對被告再行告訴或告發，檢察官自會依法偵辦，或可依刑事訴訟法第319條</w:t>
      </w:r>
      <w:r w:rsidRPr="000C4DB2">
        <w:rPr>
          <w:rStyle w:val="af3"/>
        </w:rPr>
        <w:footnoteReference w:id="4"/>
      </w:r>
      <w:r w:rsidRPr="000C4DB2">
        <w:rPr>
          <w:rFonts w:hint="eastAsia"/>
        </w:rPr>
        <w:t>規定，以被害人之直系血親身分，提起自</w:t>
      </w:r>
      <w:r w:rsidRPr="000C4DB2">
        <w:rPr>
          <w:rFonts w:hint="eastAsia"/>
        </w:rPr>
        <w:lastRenderedPageBreak/>
        <w:t>訴。」</w:t>
      </w:r>
    </w:p>
    <w:p w:rsidR="0094799D" w:rsidRPr="000C4DB2" w:rsidRDefault="0094799D" w:rsidP="0094799D">
      <w:pPr>
        <w:pStyle w:val="3"/>
        <w:ind w:left="1360" w:hanging="680"/>
      </w:pPr>
      <w:r w:rsidRPr="000C4DB2">
        <w:rPr>
          <w:rFonts w:hint="eastAsia"/>
        </w:rPr>
        <w:t>又依據「</w:t>
      </w:r>
      <w:r w:rsidRPr="000C4DB2">
        <w:rPr>
          <w:rFonts w:hint="eastAsia"/>
          <w:b/>
        </w:rPr>
        <w:t>臺灣高等檢察署所屬各地方檢察署及其檢察分署辦理他案應行注意事項</w:t>
      </w:r>
      <w:r w:rsidRPr="000C4DB2">
        <w:rPr>
          <w:rFonts w:hint="eastAsia"/>
        </w:rPr>
        <w:t>」第2點第1款規定：「告訴、告發之案件，告訴人或告發人</w:t>
      </w:r>
      <w:r w:rsidRPr="000C4DB2">
        <w:rPr>
          <w:rFonts w:hint="eastAsia"/>
          <w:b/>
          <w:u w:val="single"/>
        </w:rPr>
        <w:t>是否確有其人</w:t>
      </w:r>
      <w:r w:rsidRPr="000C4DB2">
        <w:rPr>
          <w:rFonts w:hint="eastAsia"/>
        </w:rPr>
        <w:t>或其告訴、告發之事實，</w:t>
      </w:r>
      <w:r w:rsidRPr="000C4DB2">
        <w:rPr>
          <w:rFonts w:hint="eastAsia"/>
          <w:b/>
          <w:u w:val="single"/>
        </w:rPr>
        <w:t>是否涉及特定人</w:t>
      </w:r>
      <w:r w:rsidRPr="000C4DB2">
        <w:rPr>
          <w:rFonts w:hint="eastAsia"/>
        </w:rPr>
        <w:t>有犯罪嫌疑，</w:t>
      </w:r>
      <w:r w:rsidRPr="000C4DB2">
        <w:rPr>
          <w:rFonts w:hint="eastAsia"/>
          <w:b/>
          <w:u w:val="single"/>
        </w:rPr>
        <w:t>尚不明瞭</w:t>
      </w:r>
      <w:r w:rsidRPr="000C4DB2">
        <w:rPr>
          <w:rFonts w:hint="eastAsia"/>
        </w:rPr>
        <w:t>。」而本件陳訴人及被告法醫</w:t>
      </w:r>
      <w:proofErr w:type="gramStart"/>
      <w:r w:rsidRPr="000C4DB2">
        <w:rPr>
          <w:rFonts w:hint="eastAsia"/>
        </w:rPr>
        <w:t>蕭</w:t>
      </w:r>
      <w:r w:rsidR="00364421">
        <w:rPr>
          <w:rFonts w:hint="eastAsia"/>
        </w:rPr>
        <w:t>開</w:t>
      </w:r>
      <w:r w:rsidRPr="000C4DB2">
        <w:rPr>
          <w:rFonts w:hint="eastAsia"/>
        </w:rPr>
        <w:t>平均已明確</w:t>
      </w:r>
      <w:proofErr w:type="gramEnd"/>
      <w:r w:rsidRPr="000C4DB2">
        <w:rPr>
          <w:rFonts w:hint="eastAsia"/>
        </w:rPr>
        <w:t>，蕭法醫雖無陳訴人所述違法事實，但由陳述事實確實可判定告訴</w:t>
      </w:r>
      <w:proofErr w:type="gramStart"/>
      <w:r w:rsidRPr="000C4DB2">
        <w:rPr>
          <w:rFonts w:hint="eastAsia"/>
        </w:rPr>
        <w:t>人及蕭法醫</w:t>
      </w:r>
      <w:proofErr w:type="gramEnd"/>
      <w:r w:rsidRPr="000C4DB2">
        <w:rPr>
          <w:rFonts w:hint="eastAsia"/>
        </w:rPr>
        <w:t>確有其人，而非「尚不能明瞭」。而其無違法理由亦可載明，以「他字」案簽結，似有不妥，宜請以偵查終結方式為之，容告訴人即陳訴人可聲請再議。</w:t>
      </w:r>
    </w:p>
    <w:p w:rsidR="0094799D" w:rsidRPr="000C4DB2" w:rsidRDefault="0094799D" w:rsidP="0094799D">
      <w:pPr>
        <w:pStyle w:val="3"/>
        <w:ind w:left="1360" w:hanging="680"/>
      </w:pPr>
      <w:r w:rsidRPr="000C4DB2">
        <w:rPr>
          <w:rFonts w:hint="eastAsia"/>
          <w:szCs w:val="32"/>
        </w:rPr>
        <w:t>綜上，本案</w:t>
      </w:r>
      <w:proofErr w:type="gramStart"/>
      <w:r w:rsidRPr="000C4DB2">
        <w:rPr>
          <w:rFonts w:hint="eastAsia"/>
        </w:rPr>
        <w:t>臺</w:t>
      </w:r>
      <w:proofErr w:type="gramEnd"/>
      <w:r w:rsidRPr="000C4DB2">
        <w:rPr>
          <w:rFonts w:hint="eastAsia"/>
        </w:rPr>
        <w:t>北地檢署承辦</w:t>
      </w:r>
      <w:r w:rsidRPr="000C4DB2">
        <w:rPr>
          <w:rFonts w:hint="eastAsia"/>
          <w:szCs w:val="32"/>
        </w:rPr>
        <w:t>檢察官以行政簽結方式辦理，告訴人尚有上述尋求司法補救之途徑，雖未讓告訴人完全喪失救濟之機會。亦即，陳訴人如仍有異議，自可提出證據對被告再行告訴或告發，檢察官自會依法偵辦，或可依刑事訴訟法第319條規定，以被害人之直系血親身分，提起自訴。</w:t>
      </w:r>
      <w:r w:rsidRPr="000C4DB2">
        <w:rPr>
          <w:rFonts w:hint="eastAsia"/>
        </w:rPr>
        <w:t>然</w:t>
      </w:r>
      <w:proofErr w:type="gramStart"/>
      <w:r w:rsidRPr="000C4DB2">
        <w:rPr>
          <w:rFonts w:hint="eastAsia"/>
        </w:rPr>
        <w:t>鑑</w:t>
      </w:r>
      <w:proofErr w:type="gramEnd"/>
      <w:r w:rsidRPr="000C4DB2">
        <w:rPr>
          <w:rFonts w:hint="eastAsia"/>
        </w:rPr>
        <w:t>於陳訴人對法律較為生疏，宜請法務部轉請檢察機關</w:t>
      </w:r>
      <w:proofErr w:type="gramStart"/>
      <w:r w:rsidRPr="000C4DB2">
        <w:rPr>
          <w:rFonts w:hint="eastAsia"/>
        </w:rPr>
        <w:t>研</w:t>
      </w:r>
      <w:proofErr w:type="gramEnd"/>
      <w:r w:rsidRPr="000C4DB2">
        <w:rPr>
          <w:rFonts w:hint="eastAsia"/>
        </w:rPr>
        <w:t>酌以偵查終結方式為之，</w:t>
      </w:r>
      <w:proofErr w:type="gramStart"/>
      <w:r w:rsidRPr="000C4DB2">
        <w:rPr>
          <w:rFonts w:hint="eastAsia"/>
        </w:rPr>
        <w:t>庶</w:t>
      </w:r>
      <w:proofErr w:type="gramEnd"/>
      <w:r w:rsidRPr="000C4DB2">
        <w:rPr>
          <w:rFonts w:hint="eastAsia"/>
        </w:rPr>
        <w:t>保障其「</w:t>
      </w:r>
      <w:proofErr w:type="gramStart"/>
      <w:r w:rsidRPr="000C4DB2">
        <w:rPr>
          <w:rFonts w:hint="eastAsia"/>
        </w:rPr>
        <w:t>再</w:t>
      </w:r>
      <w:r>
        <w:rPr>
          <w:rFonts w:hint="eastAsia"/>
        </w:rPr>
        <w:t>議</w:t>
      </w:r>
      <w:r w:rsidRPr="000C4DB2">
        <w:rPr>
          <w:rFonts w:hint="eastAsia"/>
        </w:rPr>
        <w:t>權</w:t>
      </w:r>
      <w:proofErr w:type="gramEnd"/>
      <w:r w:rsidRPr="000C4DB2">
        <w:rPr>
          <w:rFonts w:hint="eastAsia"/>
        </w:rPr>
        <w:t>」。</w:t>
      </w:r>
    </w:p>
    <w:p w:rsidR="0094799D" w:rsidRPr="000C4DB2" w:rsidRDefault="0094799D" w:rsidP="0094799D">
      <w:pPr>
        <w:pStyle w:val="2"/>
        <w:rPr>
          <w:b/>
        </w:rPr>
      </w:pPr>
      <w:r w:rsidRPr="000C4DB2">
        <w:rPr>
          <w:rFonts w:hint="eastAsia"/>
          <w:b/>
        </w:rPr>
        <w:t>有關</w:t>
      </w:r>
      <w:proofErr w:type="gramStart"/>
      <w:r w:rsidRPr="000C4DB2">
        <w:rPr>
          <w:rFonts w:hint="eastAsia"/>
          <w:b/>
        </w:rPr>
        <w:t>倘非重複濫訴</w:t>
      </w:r>
      <w:proofErr w:type="gramEnd"/>
      <w:r w:rsidRPr="000C4DB2">
        <w:rPr>
          <w:rFonts w:hint="eastAsia"/>
          <w:b/>
        </w:rPr>
        <w:t>而確實涉及特定人之案件，概以「他字」案簽結，似有不妥，宜請法務部通盤考量</w:t>
      </w:r>
      <w:proofErr w:type="gramStart"/>
      <w:r w:rsidRPr="000C4DB2">
        <w:rPr>
          <w:rFonts w:hint="eastAsia"/>
          <w:b/>
        </w:rPr>
        <w:t>囑</w:t>
      </w:r>
      <w:proofErr w:type="gramEnd"/>
      <w:r w:rsidRPr="000C4DB2">
        <w:rPr>
          <w:rFonts w:hint="eastAsia"/>
          <w:b/>
        </w:rPr>
        <w:t>請檢察機關以偵查終結方式為之，</w:t>
      </w:r>
      <w:proofErr w:type="gramStart"/>
      <w:r w:rsidRPr="000C4DB2">
        <w:rPr>
          <w:rFonts w:hint="eastAsia"/>
          <w:b/>
        </w:rPr>
        <w:t>俾</w:t>
      </w:r>
      <w:proofErr w:type="gramEnd"/>
      <w:r w:rsidRPr="000C4DB2">
        <w:rPr>
          <w:rFonts w:hint="eastAsia"/>
          <w:b/>
        </w:rPr>
        <w:t>保障告訴人之訴訟權益。</w:t>
      </w:r>
    </w:p>
    <w:p w:rsidR="0094799D" w:rsidRPr="000C4DB2" w:rsidRDefault="0094799D" w:rsidP="0094799D">
      <w:pPr>
        <w:pStyle w:val="3"/>
        <w:ind w:left="1360" w:hanging="680"/>
      </w:pPr>
      <w:r w:rsidRPr="000C4DB2">
        <w:rPr>
          <w:rFonts w:hint="eastAsia"/>
        </w:rPr>
        <w:t>查檢察機關依據臺灣高等檢察署訂定之「臺灣高等檢察署所屬各地方檢察署及其檢察分署辦理他案應行注意事項」，於法有據，已如前述。</w:t>
      </w:r>
    </w:p>
    <w:p w:rsidR="0094799D" w:rsidRPr="000C4DB2" w:rsidRDefault="0094799D" w:rsidP="0094799D">
      <w:pPr>
        <w:pStyle w:val="3"/>
        <w:ind w:left="1360" w:hanging="680"/>
      </w:pPr>
      <w:r w:rsidRPr="000C4DB2">
        <w:rPr>
          <w:rFonts w:hint="eastAsia"/>
        </w:rPr>
        <w:t>又查有關 「他字」案本院認有存在必要，</w:t>
      </w:r>
      <w:proofErr w:type="gramStart"/>
      <w:r w:rsidRPr="000C4DB2">
        <w:rPr>
          <w:rFonts w:hint="eastAsia"/>
        </w:rPr>
        <w:t>以免濫訴</w:t>
      </w:r>
      <w:proofErr w:type="gramEnd"/>
      <w:r w:rsidRPr="000C4DB2">
        <w:rPr>
          <w:rFonts w:hint="eastAsia"/>
        </w:rPr>
        <w:t>。然應慎重為之，對於告訴、告發之案件，告訴人</w:t>
      </w:r>
      <w:r w:rsidRPr="000C4DB2">
        <w:rPr>
          <w:rFonts w:hint="eastAsia"/>
        </w:rPr>
        <w:lastRenderedPageBreak/>
        <w:t>或告發人若確有其人或其告訴、告發之事實，若非</w:t>
      </w:r>
      <w:proofErr w:type="gramStart"/>
      <w:r w:rsidRPr="000C4DB2">
        <w:rPr>
          <w:rFonts w:hint="eastAsia"/>
        </w:rPr>
        <w:t>重複濫訴而</w:t>
      </w:r>
      <w:proofErr w:type="gramEnd"/>
      <w:r w:rsidRPr="000C4DB2">
        <w:rPr>
          <w:rFonts w:hint="eastAsia"/>
        </w:rPr>
        <w:t>確實涉及特定人，以他字案簽結，似宜檢討，以免影響「</w:t>
      </w:r>
      <w:proofErr w:type="gramStart"/>
      <w:r w:rsidRPr="000C4DB2">
        <w:rPr>
          <w:rFonts w:hint="eastAsia"/>
        </w:rPr>
        <w:t>再議權</w:t>
      </w:r>
      <w:proofErr w:type="gramEnd"/>
      <w:r w:rsidRPr="000C4DB2">
        <w:rPr>
          <w:rFonts w:hint="eastAsia"/>
        </w:rPr>
        <w:t>」。</w:t>
      </w:r>
    </w:p>
    <w:p w:rsidR="0094799D" w:rsidRPr="000C4DB2" w:rsidRDefault="0094799D" w:rsidP="0094799D">
      <w:pPr>
        <w:pStyle w:val="3"/>
        <w:ind w:left="1360" w:hanging="680"/>
      </w:pPr>
      <w:r w:rsidRPr="000C4DB2">
        <w:rPr>
          <w:rFonts w:hint="eastAsia"/>
        </w:rPr>
        <w:t>質言之，有關</w:t>
      </w:r>
      <w:proofErr w:type="gramStart"/>
      <w:r w:rsidRPr="000C4DB2">
        <w:rPr>
          <w:rFonts w:hint="eastAsia"/>
        </w:rPr>
        <w:t>倘非重複濫訴</w:t>
      </w:r>
      <w:proofErr w:type="gramEnd"/>
      <w:r w:rsidRPr="000C4DB2">
        <w:rPr>
          <w:rFonts w:hint="eastAsia"/>
        </w:rPr>
        <w:t>而確實涉及特定人之案件，悉數以「他字」案簽結，似有不妥，宜請法務部通盤考量</w:t>
      </w:r>
      <w:proofErr w:type="gramStart"/>
      <w:r w:rsidRPr="000C4DB2">
        <w:rPr>
          <w:rFonts w:hint="eastAsia"/>
        </w:rPr>
        <w:t>囑</w:t>
      </w:r>
      <w:proofErr w:type="gramEnd"/>
      <w:r w:rsidRPr="000C4DB2">
        <w:rPr>
          <w:rFonts w:hint="eastAsia"/>
        </w:rPr>
        <w:t>請檢察機關以偵查終結方式為之，</w:t>
      </w:r>
      <w:proofErr w:type="gramStart"/>
      <w:r w:rsidRPr="000C4DB2">
        <w:rPr>
          <w:rFonts w:hint="eastAsia"/>
        </w:rPr>
        <w:t>俾</w:t>
      </w:r>
      <w:proofErr w:type="gramEnd"/>
      <w:r w:rsidRPr="000C4DB2">
        <w:rPr>
          <w:rFonts w:hint="eastAsia"/>
        </w:rPr>
        <w:t>保障告訴人之訴訟權益。</w:t>
      </w:r>
    </w:p>
    <w:p w:rsidR="001E57E2" w:rsidRPr="001E57E2" w:rsidRDefault="000B724D" w:rsidP="006B4BEB">
      <w:pPr>
        <w:pStyle w:val="2"/>
        <w:overflowPunct w:val="0"/>
        <w:rPr>
          <w:b/>
        </w:rPr>
      </w:pPr>
      <w:r>
        <w:rPr>
          <w:rFonts w:hint="eastAsia"/>
          <w:b/>
        </w:rPr>
        <w:t>另</w:t>
      </w:r>
      <w:r w:rsidR="001E57E2" w:rsidRPr="001E57E2">
        <w:rPr>
          <w:rFonts w:hint="eastAsia"/>
          <w:b/>
        </w:rPr>
        <w:t>有關</w:t>
      </w:r>
      <w:r w:rsidR="00C72C5B">
        <w:rPr>
          <w:rFonts w:hint="eastAsia"/>
          <w:b/>
        </w:rPr>
        <w:t>本案</w:t>
      </w:r>
      <w:r w:rsidR="00C72C5B" w:rsidRPr="001E57E2">
        <w:rPr>
          <w:rFonts w:hint="eastAsia"/>
          <w:b/>
        </w:rPr>
        <w:t>陳訴人</w:t>
      </w:r>
      <w:r w:rsidR="002D494E">
        <w:rPr>
          <w:rFonts w:hint="eastAsia"/>
          <w:b/>
        </w:rPr>
        <w:t>曾</w:t>
      </w:r>
      <w:r w:rsidR="00C72C5B">
        <w:rPr>
          <w:rFonts w:hint="eastAsia"/>
          <w:b/>
        </w:rPr>
        <w:t>於10</w:t>
      </w:r>
      <w:r w:rsidR="00106C37">
        <w:rPr>
          <w:rFonts w:hint="eastAsia"/>
          <w:b/>
        </w:rPr>
        <w:t>2</w:t>
      </w:r>
      <w:r w:rsidR="00C72C5B">
        <w:rPr>
          <w:rFonts w:hint="eastAsia"/>
          <w:b/>
        </w:rPr>
        <w:t>年間</w:t>
      </w:r>
      <w:r w:rsidR="00106C37">
        <w:rPr>
          <w:rFonts w:hint="eastAsia"/>
          <w:b/>
        </w:rPr>
        <w:t>兩度</w:t>
      </w:r>
      <w:r w:rsidR="00C72C5B">
        <w:rPr>
          <w:rFonts w:hint="eastAsia"/>
          <w:b/>
        </w:rPr>
        <w:t>向本院陳情事項，</w:t>
      </w:r>
      <w:r w:rsidR="002D494E">
        <w:rPr>
          <w:rFonts w:hint="eastAsia"/>
          <w:b/>
        </w:rPr>
        <w:t>業</w:t>
      </w:r>
      <w:r w:rsidR="00C72C5B">
        <w:rPr>
          <w:rFonts w:hint="eastAsia"/>
          <w:b/>
        </w:rPr>
        <w:t>經</w:t>
      </w:r>
      <w:r w:rsidR="002D494E">
        <w:rPr>
          <w:rFonts w:hint="eastAsia"/>
          <w:b/>
        </w:rPr>
        <w:t>轉請權責機關予以查明處理，並已</w:t>
      </w:r>
      <w:r w:rsidR="00024679">
        <w:rPr>
          <w:rFonts w:hint="eastAsia"/>
          <w:b/>
        </w:rPr>
        <w:t>於</w:t>
      </w:r>
      <w:r w:rsidR="00024679" w:rsidRPr="00024679">
        <w:rPr>
          <w:rFonts w:hint="eastAsia"/>
          <w:b/>
        </w:rPr>
        <w:t>103年12月1日</w:t>
      </w:r>
      <w:r w:rsidR="002D494E">
        <w:rPr>
          <w:rFonts w:hint="eastAsia"/>
          <w:b/>
        </w:rPr>
        <w:t>函復</w:t>
      </w:r>
      <w:r w:rsidR="002D494E" w:rsidRPr="001E57E2">
        <w:rPr>
          <w:rFonts w:hint="eastAsia"/>
          <w:b/>
        </w:rPr>
        <w:t>陳訴人</w:t>
      </w:r>
      <w:r w:rsidR="002D494E">
        <w:rPr>
          <w:rFonts w:hint="eastAsia"/>
          <w:b/>
        </w:rPr>
        <w:t>在案</w:t>
      </w:r>
      <w:r w:rsidR="001E57E2" w:rsidRPr="001E57E2">
        <w:rPr>
          <w:rFonts w:hint="eastAsia"/>
          <w:b/>
        </w:rPr>
        <w:t>，</w:t>
      </w:r>
      <w:proofErr w:type="gramStart"/>
      <w:r w:rsidR="00122EE5">
        <w:rPr>
          <w:rFonts w:hint="eastAsia"/>
          <w:b/>
        </w:rPr>
        <w:t>併此</w:t>
      </w:r>
      <w:r w:rsidR="002D494E">
        <w:rPr>
          <w:rFonts w:hint="eastAsia"/>
          <w:b/>
        </w:rPr>
        <w:t>敘</w:t>
      </w:r>
      <w:proofErr w:type="gramEnd"/>
      <w:r w:rsidR="002D494E">
        <w:rPr>
          <w:rFonts w:hint="eastAsia"/>
          <w:b/>
        </w:rPr>
        <w:t>明</w:t>
      </w:r>
      <w:r w:rsidR="00C72C5B">
        <w:rPr>
          <w:rFonts w:hint="eastAsia"/>
          <w:b/>
        </w:rPr>
        <w:t>。</w:t>
      </w:r>
    </w:p>
    <w:p w:rsidR="001E57E2" w:rsidRDefault="00106C37" w:rsidP="006B4BEB">
      <w:pPr>
        <w:pStyle w:val="3"/>
        <w:overflowPunct w:val="0"/>
        <w:ind w:left="1360" w:hanging="680"/>
      </w:pPr>
      <w:r w:rsidRPr="00D71F29">
        <w:rPr>
          <w:rFonts w:hint="eastAsia"/>
        </w:rPr>
        <w:t>據陳訴</w:t>
      </w:r>
      <w:r>
        <w:rPr>
          <w:rFonts w:hint="eastAsia"/>
        </w:rPr>
        <w:t>人於102年5月23日向本院</w:t>
      </w:r>
      <w:r w:rsidRPr="002F4E35">
        <w:rPr>
          <w:rFonts w:hint="eastAsia"/>
        </w:rPr>
        <w:t>陳訴</w:t>
      </w:r>
      <w:r w:rsidRPr="00D71F29">
        <w:rPr>
          <w:rFonts w:hint="eastAsia"/>
        </w:rPr>
        <w:t>：為陳情人之子陳</w:t>
      </w:r>
      <w:r w:rsidR="0012650C">
        <w:rPr>
          <w:rFonts w:hint="eastAsia"/>
        </w:rPr>
        <w:t>員</w:t>
      </w:r>
      <w:r w:rsidRPr="00D71F29">
        <w:rPr>
          <w:rFonts w:hint="eastAsia"/>
        </w:rPr>
        <w:t>於內政部役政署(成功嶺</w:t>
      </w:r>
      <w:r w:rsidR="003011C3" w:rsidRPr="00FD1391">
        <w:rPr>
          <w:rFonts w:hint="eastAsia"/>
        </w:rPr>
        <w:t>營區</w:t>
      </w:r>
      <w:r w:rsidRPr="00D71F29">
        <w:rPr>
          <w:rFonts w:hint="eastAsia"/>
        </w:rPr>
        <w:t>)替代役訓練班受訓期間，</w:t>
      </w:r>
      <w:proofErr w:type="gramStart"/>
      <w:r w:rsidRPr="00D71F29">
        <w:rPr>
          <w:rFonts w:hint="eastAsia"/>
        </w:rPr>
        <w:t>疑</w:t>
      </w:r>
      <w:proofErr w:type="gramEnd"/>
      <w:r w:rsidRPr="00D71F29">
        <w:rPr>
          <w:rFonts w:hint="eastAsia"/>
        </w:rPr>
        <w:t>遭幹部不當管教，致</w:t>
      </w:r>
      <w:r w:rsidR="00CD1EB0">
        <w:rPr>
          <w:rFonts w:hint="eastAsia"/>
        </w:rPr>
        <w:t>發生死亡事件，於命案發生後，主管機關未詳實調查，涉有違</w:t>
      </w:r>
      <w:proofErr w:type="gramStart"/>
      <w:r w:rsidR="00CD1EB0">
        <w:rPr>
          <w:rFonts w:hint="eastAsia"/>
        </w:rPr>
        <w:t>失等情</w:t>
      </w:r>
      <w:proofErr w:type="gramEnd"/>
      <w:r w:rsidR="00CD1EB0">
        <w:rPr>
          <w:rFonts w:hint="eastAsia"/>
        </w:rPr>
        <w:t>一節：</w:t>
      </w:r>
    </w:p>
    <w:p w:rsidR="00CD1EB0" w:rsidRDefault="00152B25" w:rsidP="006B4BEB">
      <w:pPr>
        <w:pStyle w:val="4"/>
        <w:kinsoku w:val="0"/>
        <w:overflowPunct w:val="0"/>
        <w:ind w:left="1700" w:hanging="680"/>
      </w:pPr>
      <w:r>
        <w:rPr>
          <w:rFonts w:hint="eastAsia"/>
        </w:rPr>
        <w:t>本院</w:t>
      </w:r>
      <w:r w:rsidR="007759C2">
        <w:rPr>
          <w:rFonts w:hint="eastAsia"/>
        </w:rPr>
        <w:t>係</w:t>
      </w:r>
      <w:r>
        <w:rPr>
          <w:rFonts w:hint="eastAsia"/>
        </w:rPr>
        <w:t>以102年6月7日院台業二字第102703389號函請內政部詳予查明</w:t>
      </w:r>
      <w:proofErr w:type="gramStart"/>
      <w:r>
        <w:rPr>
          <w:rFonts w:hint="eastAsia"/>
        </w:rPr>
        <w:t>見復。</w:t>
      </w:r>
      <w:proofErr w:type="gramEnd"/>
    </w:p>
    <w:p w:rsidR="00152B25" w:rsidRDefault="00152B25" w:rsidP="006B4BEB">
      <w:pPr>
        <w:pStyle w:val="4"/>
        <w:kinsoku w:val="0"/>
        <w:overflowPunct w:val="0"/>
        <w:ind w:left="1700" w:hanging="680"/>
      </w:pPr>
      <w:r>
        <w:rPr>
          <w:rFonts w:hint="eastAsia"/>
        </w:rPr>
        <w:t>內政部</w:t>
      </w:r>
      <w:proofErr w:type="gramStart"/>
      <w:r w:rsidR="008F46BD">
        <w:rPr>
          <w:rFonts w:hint="eastAsia"/>
        </w:rPr>
        <w:t>嗣</w:t>
      </w:r>
      <w:proofErr w:type="gramEnd"/>
      <w:r>
        <w:rPr>
          <w:rFonts w:hint="eastAsia"/>
        </w:rPr>
        <w:t>以102年8月2日內</w:t>
      </w:r>
      <w:proofErr w:type="gramStart"/>
      <w:r>
        <w:rPr>
          <w:rFonts w:hint="eastAsia"/>
        </w:rPr>
        <w:t>授役訓字</w:t>
      </w:r>
      <w:proofErr w:type="gramEnd"/>
      <w:r>
        <w:rPr>
          <w:rFonts w:hint="eastAsia"/>
        </w:rPr>
        <w:t>第1020831446號</w:t>
      </w:r>
      <w:proofErr w:type="gramStart"/>
      <w:r>
        <w:rPr>
          <w:rFonts w:hint="eastAsia"/>
        </w:rPr>
        <w:t>函</w:t>
      </w:r>
      <w:r w:rsidR="008F46BD">
        <w:rPr>
          <w:rFonts w:hint="eastAsia"/>
        </w:rPr>
        <w:t>復本院</w:t>
      </w:r>
      <w:proofErr w:type="gramEnd"/>
      <w:r w:rsidR="008F46BD">
        <w:rPr>
          <w:rFonts w:hint="eastAsia"/>
        </w:rPr>
        <w:t>，略</w:t>
      </w:r>
      <w:proofErr w:type="gramStart"/>
      <w:r w:rsidR="008F46BD">
        <w:rPr>
          <w:rFonts w:hint="eastAsia"/>
        </w:rPr>
        <w:t>以</w:t>
      </w:r>
      <w:proofErr w:type="gramEnd"/>
      <w:r w:rsidR="008F46BD">
        <w:rPr>
          <w:rFonts w:hint="eastAsia"/>
        </w:rPr>
        <w:t>：</w:t>
      </w:r>
    </w:p>
    <w:p w:rsidR="008F46BD" w:rsidRDefault="008F46BD" w:rsidP="006B4BEB">
      <w:pPr>
        <w:pStyle w:val="5"/>
        <w:overflowPunct w:val="0"/>
        <w:ind w:left="2041" w:hanging="680"/>
      </w:pPr>
      <w:r>
        <w:rPr>
          <w:rFonts w:hint="eastAsia"/>
        </w:rPr>
        <w:t>檢陳</w:t>
      </w:r>
      <w:proofErr w:type="gramStart"/>
      <w:r>
        <w:rPr>
          <w:rFonts w:hint="eastAsia"/>
        </w:rPr>
        <w:t>查復書1份</w:t>
      </w:r>
      <w:proofErr w:type="gramEnd"/>
      <w:r>
        <w:rPr>
          <w:rFonts w:hint="eastAsia"/>
        </w:rPr>
        <w:t>。</w:t>
      </w:r>
      <w:r w:rsidR="00155BDF">
        <w:rPr>
          <w:rFonts w:hint="eastAsia"/>
        </w:rPr>
        <w:t>(經核</w:t>
      </w:r>
      <w:r w:rsidR="00155BDF" w:rsidRPr="002942B5">
        <w:rPr>
          <w:rFonts w:hint="eastAsia"/>
        </w:rPr>
        <w:t>主管機關就本案事實經過、管理情形及改進措施等皆</w:t>
      </w:r>
      <w:proofErr w:type="gramStart"/>
      <w:r w:rsidR="00155BDF" w:rsidRPr="002942B5">
        <w:rPr>
          <w:rFonts w:hint="eastAsia"/>
        </w:rPr>
        <w:t>已詳予敘</w:t>
      </w:r>
      <w:proofErr w:type="gramEnd"/>
      <w:r w:rsidR="00155BDF" w:rsidRPr="002942B5">
        <w:rPr>
          <w:rFonts w:hint="eastAsia"/>
        </w:rPr>
        <w:t>明</w:t>
      </w:r>
      <w:r w:rsidR="00A62862">
        <w:rPr>
          <w:rFonts w:hint="eastAsia"/>
        </w:rPr>
        <w:t>。</w:t>
      </w:r>
      <w:r w:rsidR="00155BDF">
        <w:rPr>
          <w:rFonts w:hint="eastAsia"/>
        </w:rPr>
        <w:t>)</w:t>
      </w:r>
    </w:p>
    <w:p w:rsidR="008F46BD" w:rsidRDefault="008F46BD" w:rsidP="006B4BEB">
      <w:pPr>
        <w:pStyle w:val="5"/>
        <w:overflowPunct w:val="0"/>
        <w:ind w:left="2041" w:hanging="680"/>
      </w:pPr>
      <w:r w:rsidRPr="00D71F29">
        <w:rPr>
          <w:rFonts w:hint="eastAsia"/>
        </w:rPr>
        <w:t>陳情人之子陳</w:t>
      </w:r>
      <w:r>
        <w:rPr>
          <w:rFonts w:hint="eastAsia"/>
        </w:rPr>
        <w:t>員</w:t>
      </w:r>
      <w:r w:rsidRPr="00D71F29">
        <w:rPr>
          <w:rFonts w:hint="eastAsia"/>
        </w:rPr>
        <w:t>於成功嶺</w:t>
      </w:r>
      <w:r>
        <w:rPr>
          <w:rFonts w:hint="eastAsia"/>
        </w:rPr>
        <w:t>服</w:t>
      </w:r>
      <w:r w:rsidRPr="00D71F29">
        <w:rPr>
          <w:rFonts w:hint="eastAsia"/>
        </w:rPr>
        <w:t>替代役期間</w:t>
      </w:r>
      <w:r>
        <w:rPr>
          <w:rFonts w:hint="eastAsia"/>
        </w:rPr>
        <w:t>死亡，法務部法醫研究所</w:t>
      </w:r>
      <w:r w:rsidR="002D678B">
        <w:rPr>
          <w:rFonts w:hint="eastAsia"/>
        </w:rPr>
        <w:t>暨</w:t>
      </w:r>
      <w:r w:rsidR="002D678B" w:rsidRPr="002F4E35">
        <w:rPr>
          <w:rFonts w:hint="eastAsia"/>
        </w:rPr>
        <w:t>臺灣</w:t>
      </w:r>
      <w:r w:rsidR="002D678B">
        <w:rPr>
          <w:rFonts w:hint="eastAsia"/>
        </w:rPr>
        <w:t>彰化</w:t>
      </w:r>
      <w:r w:rsidR="002D678B" w:rsidRPr="002F4E35">
        <w:rPr>
          <w:rFonts w:hint="eastAsia"/>
        </w:rPr>
        <w:t>地方</w:t>
      </w:r>
      <w:proofErr w:type="gramStart"/>
      <w:r w:rsidR="002D678B" w:rsidRPr="002F4E35">
        <w:rPr>
          <w:rFonts w:hint="eastAsia"/>
        </w:rPr>
        <w:t>檢察署</w:t>
      </w:r>
      <w:r w:rsidR="002D678B">
        <w:rPr>
          <w:rFonts w:hint="eastAsia"/>
        </w:rPr>
        <w:t>俱載死亡</w:t>
      </w:r>
      <w:proofErr w:type="gramEnd"/>
      <w:r w:rsidR="002D678B">
        <w:rPr>
          <w:rFonts w:hint="eastAsia"/>
        </w:rPr>
        <w:t>方式為自殺，有關家屬質疑違失部分，檢方查無實據，為不起訴處分。</w:t>
      </w:r>
    </w:p>
    <w:p w:rsidR="008F46BD" w:rsidRDefault="008D0127" w:rsidP="006B4BEB">
      <w:pPr>
        <w:pStyle w:val="4"/>
        <w:kinsoku w:val="0"/>
        <w:overflowPunct w:val="0"/>
        <w:ind w:left="1700" w:hanging="680"/>
      </w:pPr>
      <w:r>
        <w:rPr>
          <w:rFonts w:hint="eastAsia"/>
        </w:rPr>
        <w:t>本院以103年12月1日院台業五字第1030103109號函復陳訴人，並檢附</w:t>
      </w:r>
      <w:r w:rsidR="004B50DB">
        <w:rPr>
          <w:rFonts w:hint="eastAsia"/>
        </w:rPr>
        <w:t>前開</w:t>
      </w:r>
      <w:r>
        <w:rPr>
          <w:rFonts w:hint="eastAsia"/>
        </w:rPr>
        <w:t>內政部查復書摘要1份供參。</w:t>
      </w:r>
    </w:p>
    <w:p w:rsidR="002D678B" w:rsidRDefault="008D0127" w:rsidP="006B4BEB">
      <w:pPr>
        <w:pStyle w:val="3"/>
        <w:overflowPunct w:val="0"/>
        <w:ind w:left="1360" w:hanging="680"/>
      </w:pPr>
      <w:r>
        <w:rPr>
          <w:rFonts w:hint="eastAsia"/>
        </w:rPr>
        <w:t>又</w:t>
      </w:r>
      <w:r w:rsidRPr="00D71F29">
        <w:rPr>
          <w:rFonts w:hint="eastAsia"/>
        </w:rPr>
        <w:t>據陳訴</w:t>
      </w:r>
      <w:r>
        <w:rPr>
          <w:rFonts w:hint="eastAsia"/>
        </w:rPr>
        <w:t>人於102年8月2日向本</w:t>
      </w:r>
      <w:proofErr w:type="gramStart"/>
      <w:r>
        <w:rPr>
          <w:rFonts w:hint="eastAsia"/>
        </w:rPr>
        <w:t>院續</w:t>
      </w:r>
      <w:r w:rsidRPr="002F4E35">
        <w:rPr>
          <w:rFonts w:hint="eastAsia"/>
        </w:rPr>
        <w:t>訴</w:t>
      </w:r>
      <w:proofErr w:type="gramEnd"/>
      <w:r w:rsidRPr="00D71F29">
        <w:rPr>
          <w:rFonts w:hint="eastAsia"/>
        </w:rPr>
        <w:t>：</w:t>
      </w:r>
      <w:r>
        <w:rPr>
          <w:rFonts w:hint="eastAsia"/>
        </w:rPr>
        <w:t>渠不服</w:t>
      </w:r>
      <w:proofErr w:type="gramStart"/>
      <w:r w:rsidR="00135C80">
        <w:rPr>
          <w:rFonts w:hint="eastAsia"/>
        </w:rPr>
        <w:t>臺</w:t>
      </w:r>
      <w:proofErr w:type="gramEnd"/>
      <w:r w:rsidR="00135C80">
        <w:rPr>
          <w:rFonts w:hint="eastAsia"/>
        </w:rPr>
        <w:t>中地檢署</w:t>
      </w:r>
      <w:proofErr w:type="gramStart"/>
      <w:r w:rsidR="00135C80">
        <w:rPr>
          <w:rFonts w:hint="eastAsia"/>
        </w:rPr>
        <w:t>102</w:t>
      </w:r>
      <w:proofErr w:type="gramEnd"/>
      <w:r w:rsidR="00135C80">
        <w:rPr>
          <w:rFonts w:hint="eastAsia"/>
        </w:rPr>
        <w:t>年度</w:t>
      </w:r>
      <w:proofErr w:type="gramStart"/>
      <w:r w:rsidR="00135C80">
        <w:rPr>
          <w:rFonts w:hint="eastAsia"/>
        </w:rPr>
        <w:t>偵</w:t>
      </w:r>
      <w:proofErr w:type="gramEnd"/>
      <w:r w:rsidR="00135C80">
        <w:rPr>
          <w:rFonts w:hint="eastAsia"/>
        </w:rPr>
        <w:t>字第3107號被告何嘉澤殺人</w:t>
      </w:r>
      <w:r w:rsidR="00135C80">
        <w:rPr>
          <w:rFonts w:hint="eastAsia"/>
        </w:rPr>
        <w:lastRenderedPageBreak/>
        <w:t>案不起訴處分，</w:t>
      </w:r>
      <w:proofErr w:type="gramStart"/>
      <w:r w:rsidR="00135C80">
        <w:rPr>
          <w:rFonts w:hint="eastAsia"/>
        </w:rPr>
        <w:t>經渠聲</w:t>
      </w:r>
      <w:proofErr w:type="gramEnd"/>
      <w:r w:rsidR="00135C80">
        <w:rPr>
          <w:rFonts w:hint="eastAsia"/>
        </w:rPr>
        <w:t>請</w:t>
      </w:r>
      <w:proofErr w:type="gramStart"/>
      <w:r w:rsidR="00135C80">
        <w:rPr>
          <w:rFonts w:hint="eastAsia"/>
        </w:rPr>
        <w:t>再議復遭</w:t>
      </w:r>
      <w:proofErr w:type="gramEnd"/>
      <w:r w:rsidR="00135C80">
        <w:rPr>
          <w:rFonts w:hint="eastAsia"/>
        </w:rPr>
        <w:t>臺灣高等法院臺中分院檢察署</w:t>
      </w:r>
      <w:proofErr w:type="gramStart"/>
      <w:r w:rsidR="00135C80">
        <w:rPr>
          <w:rFonts w:hint="eastAsia"/>
        </w:rPr>
        <w:t>102</w:t>
      </w:r>
      <w:proofErr w:type="gramEnd"/>
      <w:r w:rsidR="00135C80">
        <w:rPr>
          <w:rFonts w:hint="eastAsia"/>
        </w:rPr>
        <w:t>年度上聲議字第1422號處分書駁回，</w:t>
      </w:r>
      <w:r w:rsidR="00641EB0">
        <w:rPr>
          <w:rFonts w:hint="eastAsia"/>
        </w:rPr>
        <w:t>並檢送</w:t>
      </w:r>
      <w:proofErr w:type="gramStart"/>
      <w:r w:rsidR="00641EB0">
        <w:rPr>
          <w:rFonts w:hint="eastAsia"/>
        </w:rPr>
        <w:t>臺</w:t>
      </w:r>
      <w:proofErr w:type="gramEnd"/>
      <w:r w:rsidR="00641EB0">
        <w:rPr>
          <w:rFonts w:hint="eastAsia"/>
        </w:rPr>
        <w:t>中地檢署102年7月16日(</w:t>
      </w:r>
      <w:proofErr w:type="gramStart"/>
      <w:r w:rsidR="00135C80">
        <w:rPr>
          <w:rFonts w:hint="eastAsia"/>
        </w:rPr>
        <w:t>102</w:t>
      </w:r>
      <w:proofErr w:type="gramEnd"/>
      <w:r w:rsidR="00135C80">
        <w:rPr>
          <w:rFonts w:hint="eastAsia"/>
        </w:rPr>
        <w:t>年度</w:t>
      </w:r>
      <w:proofErr w:type="gramStart"/>
      <w:r w:rsidR="00135C80">
        <w:rPr>
          <w:rFonts w:hint="eastAsia"/>
        </w:rPr>
        <w:t>偵</w:t>
      </w:r>
      <w:proofErr w:type="gramEnd"/>
      <w:r w:rsidR="00135C80">
        <w:rPr>
          <w:rFonts w:hint="eastAsia"/>
        </w:rPr>
        <w:t>字第15796號</w:t>
      </w:r>
      <w:r w:rsidR="00641EB0">
        <w:rPr>
          <w:rFonts w:hint="eastAsia"/>
        </w:rPr>
        <w:t>陸海空軍刑法</w:t>
      </w:r>
      <w:r w:rsidR="00135C80">
        <w:rPr>
          <w:rFonts w:hint="eastAsia"/>
        </w:rPr>
        <w:t>案件</w:t>
      </w:r>
      <w:r w:rsidR="00641EB0">
        <w:rPr>
          <w:rFonts w:hint="eastAsia"/>
        </w:rPr>
        <w:t>)刑事傳票影本到院供參一節：</w:t>
      </w:r>
    </w:p>
    <w:p w:rsidR="00135C80" w:rsidRDefault="00641EB0" w:rsidP="006B4BEB">
      <w:pPr>
        <w:pStyle w:val="4"/>
        <w:kinsoku w:val="0"/>
        <w:overflowPunct w:val="0"/>
        <w:ind w:left="1700" w:hanging="680"/>
      </w:pPr>
      <w:r>
        <w:rPr>
          <w:rFonts w:hint="eastAsia"/>
        </w:rPr>
        <w:t>本院以102年8月23日院台業五字第102</w:t>
      </w:r>
      <w:r w:rsidR="004B50DB">
        <w:rPr>
          <w:rFonts w:hint="eastAsia"/>
        </w:rPr>
        <w:t>0</w:t>
      </w:r>
      <w:r>
        <w:rPr>
          <w:rFonts w:hint="eastAsia"/>
        </w:rPr>
        <w:t>705203號函請</w:t>
      </w:r>
      <w:proofErr w:type="gramStart"/>
      <w:r>
        <w:rPr>
          <w:rFonts w:hint="eastAsia"/>
        </w:rPr>
        <w:t>臺</w:t>
      </w:r>
      <w:proofErr w:type="gramEnd"/>
      <w:r>
        <w:rPr>
          <w:rFonts w:hint="eastAsia"/>
        </w:rPr>
        <w:t>中地檢署於</w:t>
      </w:r>
      <w:proofErr w:type="gramStart"/>
      <w:r>
        <w:rPr>
          <w:rFonts w:hint="eastAsia"/>
        </w:rPr>
        <w:t>102</w:t>
      </w:r>
      <w:proofErr w:type="gramEnd"/>
      <w:r>
        <w:rPr>
          <w:rFonts w:hint="eastAsia"/>
        </w:rPr>
        <w:t>年度</w:t>
      </w:r>
      <w:proofErr w:type="gramStart"/>
      <w:r>
        <w:rPr>
          <w:rFonts w:hint="eastAsia"/>
        </w:rPr>
        <w:t>偵</w:t>
      </w:r>
      <w:proofErr w:type="gramEnd"/>
      <w:r>
        <w:rPr>
          <w:rFonts w:hint="eastAsia"/>
        </w:rPr>
        <w:t>字第15796號案件</w:t>
      </w:r>
      <w:proofErr w:type="gramStart"/>
      <w:r>
        <w:rPr>
          <w:rFonts w:hint="eastAsia"/>
        </w:rPr>
        <w:t>偵</w:t>
      </w:r>
      <w:proofErr w:type="gramEnd"/>
      <w:r>
        <w:rPr>
          <w:rFonts w:hint="eastAsia"/>
        </w:rPr>
        <w:t>結後，檢附</w:t>
      </w:r>
      <w:r w:rsidR="0073226E">
        <w:rPr>
          <w:rFonts w:hint="eastAsia"/>
        </w:rPr>
        <w:t>檢察官處分書類到院供參</w:t>
      </w:r>
      <w:r>
        <w:rPr>
          <w:rFonts w:hint="eastAsia"/>
        </w:rPr>
        <w:t>。</w:t>
      </w:r>
    </w:p>
    <w:p w:rsidR="00641EB0" w:rsidRDefault="0073226E" w:rsidP="006B4BEB">
      <w:pPr>
        <w:pStyle w:val="4"/>
        <w:kinsoku w:val="0"/>
        <w:overflowPunct w:val="0"/>
        <w:ind w:left="1700" w:hanging="680"/>
      </w:pPr>
      <w:proofErr w:type="gramStart"/>
      <w:r>
        <w:rPr>
          <w:rFonts w:hint="eastAsia"/>
        </w:rPr>
        <w:t>臺</w:t>
      </w:r>
      <w:proofErr w:type="gramEnd"/>
      <w:r>
        <w:rPr>
          <w:rFonts w:hint="eastAsia"/>
        </w:rPr>
        <w:t>中地檢署以103年9月22日中</w:t>
      </w:r>
      <w:proofErr w:type="gramStart"/>
      <w:r>
        <w:rPr>
          <w:rFonts w:hint="eastAsia"/>
        </w:rPr>
        <w:t>檢秀荒102</w:t>
      </w:r>
      <w:r w:rsidR="005B7B6A">
        <w:rPr>
          <w:rFonts w:hint="eastAsia"/>
        </w:rPr>
        <w:t>偵</w:t>
      </w:r>
      <w:proofErr w:type="gramEnd"/>
      <w:r w:rsidR="005B7B6A">
        <w:rPr>
          <w:rFonts w:hint="eastAsia"/>
        </w:rPr>
        <w:t>15796</w:t>
      </w:r>
      <w:r>
        <w:rPr>
          <w:rFonts w:hint="eastAsia"/>
        </w:rPr>
        <w:t>字第0</w:t>
      </w:r>
      <w:r w:rsidR="005B7B6A">
        <w:rPr>
          <w:rFonts w:hint="eastAsia"/>
        </w:rPr>
        <w:t>98069</w:t>
      </w:r>
      <w:r>
        <w:rPr>
          <w:rFonts w:hint="eastAsia"/>
        </w:rPr>
        <w:t>號函</w:t>
      </w:r>
      <w:r w:rsidR="005B7B6A">
        <w:rPr>
          <w:rFonts w:hint="eastAsia"/>
        </w:rPr>
        <w:t>，檢陳該署</w:t>
      </w:r>
      <w:proofErr w:type="gramStart"/>
      <w:r w:rsidR="005B7B6A">
        <w:rPr>
          <w:rFonts w:hint="eastAsia"/>
        </w:rPr>
        <w:t>102</w:t>
      </w:r>
      <w:proofErr w:type="gramEnd"/>
      <w:r w:rsidR="005B7B6A">
        <w:rPr>
          <w:rFonts w:hint="eastAsia"/>
        </w:rPr>
        <w:t>年度</w:t>
      </w:r>
      <w:proofErr w:type="gramStart"/>
      <w:r w:rsidR="005B7B6A">
        <w:rPr>
          <w:rFonts w:hint="eastAsia"/>
        </w:rPr>
        <w:t>偵</w:t>
      </w:r>
      <w:proofErr w:type="gramEnd"/>
      <w:r w:rsidR="005B7B6A">
        <w:rPr>
          <w:rFonts w:hint="eastAsia"/>
        </w:rPr>
        <w:t>字第15796號不起訴處分書正本1件到院。</w:t>
      </w:r>
      <w:r w:rsidR="00A62862">
        <w:rPr>
          <w:rFonts w:hint="eastAsia"/>
        </w:rPr>
        <w:t>(經核</w:t>
      </w:r>
      <w:proofErr w:type="gramStart"/>
      <w:r w:rsidR="00A62862" w:rsidRPr="002942B5">
        <w:rPr>
          <w:rFonts w:hint="eastAsia"/>
        </w:rPr>
        <w:t>臺</w:t>
      </w:r>
      <w:proofErr w:type="gramEnd"/>
      <w:r w:rsidR="00A62862" w:rsidRPr="002942B5">
        <w:rPr>
          <w:rFonts w:hint="eastAsia"/>
        </w:rPr>
        <w:t>中地檢署及臺灣高等法院臺中分院檢察署以</w:t>
      </w:r>
      <w:proofErr w:type="gramStart"/>
      <w:r w:rsidR="00A62862" w:rsidRPr="002942B5">
        <w:rPr>
          <w:rFonts w:hint="eastAsia"/>
        </w:rPr>
        <w:t>102</w:t>
      </w:r>
      <w:proofErr w:type="gramEnd"/>
      <w:r w:rsidR="00A62862" w:rsidRPr="002942B5">
        <w:rPr>
          <w:rFonts w:hint="eastAsia"/>
        </w:rPr>
        <w:t>年度</w:t>
      </w:r>
      <w:proofErr w:type="gramStart"/>
      <w:r w:rsidR="00A62862" w:rsidRPr="002942B5">
        <w:rPr>
          <w:rFonts w:hint="eastAsia"/>
        </w:rPr>
        <w:t>偵</w:t>
      </w:r>
      <w:proofErr w:type="gramEnd"/>
      <w:r w:rsidR="00A62862" w:rsidRPr="002942B5">
        <w:rPr>
          <w:rFonts w:hint="eastAsia"/>
        </w:rPr>
        <w:t>字第3107號、</w:t>
      </w:r>
      <w:proofErr w:type="gramStart"/>
      <w:r w:rsidR="00A62862" w:rsidRPr="002942B5">
        <w:rPr>
          <w:rFonts w:hint="eastAsia"/>
        </w:rPr>
        <w:t>102</w:t>
      </w:r>
      <w:proofErr w:type="gramEnd"/>
      <w:r w:rsidR="00A62862" w:rsidRPr="002942B5">
        <w:rPr>
          <w:rFonts w:hint="eastAsia"/>
        </w:rPr>
        <w:t>年度上聲議字第1422號及</w:t>
      </w:r>
      <w:proofErr w:type="gramStart"/>
      <w:r w:rsidR="00A62862" w:rsidRPr="002942B5">
        <w:rPr>
          <w:rFonts w:hint="eastAsia"/>
        </w:rPr>
        <w:t>102</w:t>
      </w:r>
      <w:proofErr w:type="gramEnd"/>
      <w:r w:rsidR="00A62862" w:rsidRPr="002942B5">
        <w:rPr>
          <w:rFonts w:hint="eastAsia"/>
        </w:rPr>
        <w:t>年度</w:t>
      </w:r>
      <w:proofErr w:type="gramStart"/>
      <w:r w:rsidR="00A62862" w:rsidRPr="002942B5">
        <w:rPr>
          <w:rFonts w:hint="eastAsia"/>
        </w:rPr>
        <w:t>偵</w:t>
      </w:r>
      <w:proofErr w:type="gramEnd"/>
      <w:r w:rsidR="00A62862" w:rsidRPr="002942B5">
        <w:rPr>
          <w:rFonts w:hint="eastAsia"/>
        </w:rPr>
        <w:t>字第15796號殺人等案件就被告涉犯罪行予以偵辦，機關人員亦獲不起訴處分，檢察官並就陳情人各項告訴主張於不起訴處分書中論述綦詳，</w:t>
      </w:r>
      <w:proofErr w:type="gramStart"/>
      <w:r w:rsidR="00A62862" w:rsidRPr="002942B5">
        <w:rPr>
          <w:rFonts w:hint="eastAsia"/>
        </w:rPr>
        <w:t>爰</w:t>
      </w:r>
      <w:proofErr w:type="gramEnd"/>
      <w:r w:rsidR="00A62862" w:rsidRPr="002942B5">
        <w:rPr>
          <w:rFonts w:hint="eastAsia"/>
        </w:rPr>
        <w:t>本案</w:t>
      </w:r>
      <w:proofErr w:type="gramStart"/>
      <w:r w:rsidR="00A62862" w:rsidRPr="002942B5">
        <w:rPr>
          <w:rFonts w:hint="eastAsia"/>
        </w:rPr>
        <w:t>尚難僅憑</w:t>
      </w:r>
      <w:proofErr w:type="gramEnd"/>
      <w:r w:rsidR="00A62862" w:rsidRPr="002942B5">
        <w:rPr>
          <w:rFonts w:hint="eastAsia"/>
        </w:rPr>
        <w:t>陳</w:t>
      </w:r>
      <w:r w:rsidR="00A62862">
        <w:rPr>
          <w:rFonts w:hint="eastAsia"/>
        </w:rPr>
        <w:t>情</w:t>
      </w:r>
      <w:r w:rsidR="00A62862" w:rsidRPr="002942B5">
        <w:rPr>
          <w:rFonts w:hint="eastAsia"/>
        </w:rPr>
        <w:t>人指訴事項，</w:t>
      </w:r>
      <w:proofErr w:type="gramStart"/>
      <w:r w:rsidR="00A62862" w:rsidRPr="002942B5">
        <w:rPr>
          <w:rFonts w:hint="eastAsia"/>
        </w:rPr>
        <w:t>遽</w:t>
      </w:r>
      <w:proofErr w:type="gramEnd"/>
      <w:r w:rsidR="00A62862" w:rsidRPr="002942B5">
        <w:rPr>
          <w:rFonts w:hint="eastAsia"/>
        </w:rPr>
        <w:t>認主管機關及人員涉有違失。</w:t>
      </w:r>
      <w:r w:rsidR="00A62862">
        <w:rPr>
          <w:rFonts w:hint="eastAsia"/>
        </w:rPr>
        <w:t>)</w:t>
      </w:r>
    </w:p>
    <w:p w:rsidR="0073226E" w:rsidRDefault="005B7B6A" w:rsidP="006B4BEB">
      <w:pPr>
        <w:pStyle w:val="4"/>
        <w:kinsoku w:val="0"/>
        <w:overflowPunct w:val="0"/>
        <w:ind w:left="1700" w:hanging="680"/>
      </w:pPr>
      <w:r>
        <w:rPr>
          <w:rFonts w:hint="eastAsia"/>
        </w:rPr>
        <w:t>本院以103年12月1日院台業五字第1030103109號</w:t>
      </w:r>
      <w:proofErr w:type="gramStart"/>
      <w:r>
        <w:rPr>
          <w:rFonts w:hint="eastAsia"/>
        </w:rPr>
        <w:t>併</w:t>
      </w:r>
      <w:proofErr w:type="gramEnd"/>
      <w:r>
        <w:rPr>
          <w:rFonts w:hint="eastAsia"/>
        </w:rPr>
        <w:t>案函復陳訴人，並敘明：</w:t>
      </w:r>
    </w:p>
    <w:p w:rsidR="005B7B6A" w:rsidRDefault="00024679" w:rsidP="006B4BEB">
      <w:pPr>
        <w:pStyle w:val="5"/>
        <w:overflowPunct w:val="0"/>
        <w:ind w:left="2041" w:hanging="680"/>
      </w:pPr>
      <w:r>
        <w:rPr>
          <w:rFonts w:hint="eastAsia"/>
        </w:rPr>
        <w:t>按本院職權係對機關或公務人員涉有違法失職情事，認有調查必要且經詳細調查後，依職 權行使糾正、糾舉或彈劾，以促其注意改善或追究違失人員行政責任，並非司法機關行使司法權後之第四審，無權</w:t>
      </w:r>
      <w:proofErr w:type="gramStart"/>
      <w:r>
        <w:rPr>
          <w:rFonts w:hint="eastAsia"/>
        </w:rPr>
        <w:t>逕</w:t>
      </w:r>
      <w:proofErr w:type="gramEnd"/>
      <w:r>
        <w:rPr>
          <w:rFonts w:hint="eastAsia"/>
        </w:rPr>
        <w:t>為變更司法機關</w:t>
      </w:r>
      <w:proofErr w:type="gramStart"/>
      <w:r>
        <w:rPr>
          <w:rFonts w:hint="eastAsia"/>
        </w:rPr>
        <w:t>偵</w:t>
      </w:r>
      <w:proofErr w:type="gramEnd"/>
      <w:r>
        <w:rPr>
          <w:rFonts w:hint="eastAsia"/>
        </w:rPr>
        <w:t>審結果。</w:t>
      </w:r>
    </w:p>
    <w:p w:rsidR="00024679" w:rsidRDefault="00024679" w:rsidP="006B4BEB">
      <w:pPr>
        <w:pStyle w:val="5"/>
        <w:overflowPunct w:val="0"/>
        <w:ind w:left="2041" w:hanging="680"/>
      </w:pPr>
      <w:r>
        <w:rPr>
          <w:rFonts w:hint="eastAsia"/>
        </w:rPr>
        <w:t>本案台端告訴殺人等案件，既經</w:t>
      </w:r>
      <w:proofErr w:type="gramStart"/>
      <w:r>
        <w:rPr>
          <w:rFonts w:hint="eastAsia"/>
        </w:rPr>
        <w:t>臺</w:t>
      </w:r>
      <w:proofErr w:type="gramEnd"/>
      <w:r>
        <w:rPr>
          <w:rFonts w:hint="eastAsia"/>
        </w:rPr>
        <w:t>中地檢署(</w:t>
      </w:r>
      <w:proofErr w:type="gramStart"/>
      <w:r>
        <w:rPr>
          <w:rFonts w:hint="eastAsia"/>
        </w:rPr>
        <w:t>102</w:t>
      </w:r>
      <w:proofErr w:type="gramEnd"/>
      <w:r>
        <w:rPr>
          <w:rFonts w:hint="eastAsia"/>
        </w:rPr>
        <w:t>年度</w:t>
      </w:r>
      <w:proofErr w:type="gramStart"/>
      <w:r>
        <w:rPr>
          <w:rFonts w:hint="eastAsia"/>
        </w:rPr>
        <w:t>偵</w:t>
      </w:r>
      <w:proofErr w:type="gramEnd"/>
      <w:r>
        <w:rPr>
          <w:rFonts w:hint="eastAsia"/>
        </w:rPr>
        <w:t>字第3107號、</w:t>
      </w:r>
      <w:proofErr w:type="gramStart"/>
      <w:r>
        <w:rPr>
          <w:rFonts w:hint="eastAsia"/>
        </w:rPr>
        <w:t>102</w:t>
      </w:r>
      <w:proofErr w:type="gramEnd"/>
      <w:r>
        <w:rPr>
          <w:rFonts w:hint="eastAsia"/>
        </w:rPr>
        <w:t>年度</w:t>
      </w:r>
      <w:proofErr w:type="gramStart"/>
      <w:r>
        <w:rPr>
          <w:rFonts w:hint="eastAsia"/>
        </w:rPr>
        <w:t>偵</w:t>
      </w:r>
      <w:proofErr w:type="gramEnd"/>
      <w:r>
        <w:rPr>
          <w:rFonts w:hint="eastAsia"/>
        </w:rPr>
        <w:t>字第15796號</w:t>
      </w:r>
      <w:proofErr w:type="gramStart"/>
      <w:r>
        <w:rPr>
          <w:rFonts w:hint="eastAsia"/>
        </w:rPr>
        <w:t>）</w:t>
      </w:r>
      <w:proofErr w:type="gramEnd"/>
      <w:r>
        <w:rPr>
          <w:rFonts w:hint="eastAsia"/>
        </w:rPr>
        <w:t>為不起訴處分，台端如認為確有符合刑事訴訟法第260條再行起訴之事由，可檢</w:t>
      </w:r>
      <w:r>
        <w:rPr>
          <w:rFonts w:hint="eastAsia"/>
        </w:rPr>
        <w:lastRenderedPageBreak/>
        <w:t>具相關證據資料，循法定程序尋求救濟，以維權益。</w:t>
      </w:r>
    </w:p>
    <w:p w:rsidR="001E57E2" w:rsidRDefault="00F817F4" w:rsidP="006B4BEB">
      <w:pPr>
        <w:pStyle w:val="3"/>
        <w:overflowPunct w:val="0"/>
        <w:ind w:left="1360" w:hanging="680"/>
      </w:pPr>
      <w:r>
        <w:rPr>
          <w:rFonts w:hint="eastAsia"/>
        </w:rPr>
        <w:t>綜上，</w:t>
      </w:r>
      <w:r w:rsidRPr="00F817F4">
        <w:rPr>
          <w:rFonts w:hint="eastAsia"/>
        </w:rPr>
        <w:t>有關本案陳訴人</w:t>
      </w:r>
      <w:r w:rsidR="005B3F24">
        <w:rPr>
          <w:rFonts w:hint="eastAsia"/>
        </w:rPr>
        <w:t>先前</w:t>
      </w:r>
      <w:r w:rsidRPr="00F817F4">
        <w:rPr>
          <w:rFonts w:hint="eastAsia"/>
        </w:rPr>
        <w:t>曾於</w:t>
      </w:r>
      <w:r>
        <w:rPr>
          <w:rFonts w:hint="eastAsia"/>
        </w:rPr>
        <w:t>102年5月23日、</w:t>
      </w:r>
      <w:r w:rsidRPr="00F817F4">
        <w:rPr>
          <w:rFonts w:hint="eastAsia"/>
        </w:rPr>
        <w:t>102年</w:t>
      </w:r>
      <w:r>
        <w:rPr>
          <w:rFonts w:hint="eastAsia"/>
        </w:rPr>
        <w:t>8月2日</w:t>
      </w:r>
      <w:r w:rsidRPr="00F817F4">
        <w:rPr>
          <w:rFonts w:hint="eastAsia"/>
        </w:rPr>
        <w:t>向本院陳情事項，業經</w:t>
      </w:r>
      <w:r w:rsidR="00C32DCB" w:rsidRPr="00F817F4">
        <w:rPr>
          <w:rFonts w:hint="eastAsia"/>
        </w:rPr>
        <w:t>本院</w:t>
      </w:r>
      <w:r>
        <w:rPr>
          <w:rFonts w:hint="eastAsia"/>
        </w:rPr>
        <w:t>分別</w:t>
      </w:r>
      <w:r w:rsidRPr="00F817F4">
        <w:rPr>
          <w:rFonts w:hint="eastAsia"/>
        </w:rPr>
        <w:t>轉請</w:t>
      </w:r>
      <w:r>
        <w:rPr>
          <w:rFonts w:hint="eastAsia"/>
        </w:rPr>
        <w:t>內政部、</w:t>
      </w:r>
      <w:proofErr w:type="gramStart"/>
      <w:r>
        <w:rPr>
          <w:rFonts w:hint="eastAsia"/>
        </w:rPr>
        <w:t>臺</w:t>
      </w:r>
      <w:proofErr w:type="gramEnd"/>
      <w:r>
        <w:rPr>
          <w:rFonts w:hint="eastAsia"/>
        </w:rPr>
        <w:t>中地檢署</w:t>
      </w:r>
      <w:r w:rsidRPr="00F817F4">
        <w:rPr>
          <w:rFonts w:hint="eastAsia"/>
        </w:rPr>
        <w:t>予以</w:t>
      </w:r>
      <w:r>
        <w:rPr>
          <w:rFonts w:hint="eastAsia"/>
        </w:rPr>
        <w:t>妥為</w:t>
      </w:r>
      <w:r w:rsidRPr="00F817F4">
        <w:rPr>
          <w:rFonts w:hint="eastAsia"/>
        </w:rPr>
        <w:t>查明處理</w:t>
      </w:r>
      <w:r>
        <w:rPr>
          <w:rFonts w:hint="eastAsia"/>
        </w:rPr>
        <w:t>回覆</w:t>
      </w:r>
      <w:r w:rsidRPr="00F817F4">
        <w:rPr>
          <w:rFonts w:hint="eastAsia"/>
        </w:rPr>
        <w:t>，</w:t>
      </w:r>
      <w:r w:rsidR="00C32DCB">
        <w:rPr>
          <w:rFonts w:hint="eastAsia"/>
        </w:rPr>
        <w:t>已如前述，</w:t>
      </w:r>
      <w:r w:rsidRPr="00F817F4">
        <w:rPr>
          <w:rFonts w:hint="eastAsia"/>
        </w:rPr>
        <w:t>並於103年12月1日</w:t>
      </w:r>
      <w:proofErr w:type="gramStart"/>
      <w:r>
        <w:rPr>
          <w:rFonts w:hint="eastAsia"/>
        </w:rPr>
        <w:t>併</w:t>
      </w:r>
      <w:proofErr w:type="gramEnd"/>
      <w:r>
        <w:rPr>
          <w:rFonts w:hint="eastAsia"/>
        </w:rPr>
        <w:t>案</w:t>
      </w:r>
      <w:r w:rsidRPr="00F817F4">
        <w:rPr>
          <w:rFonts w:hint="eastAsia"/>
        </w:rPr>
        <w:t>函復陳訴人在案，</w:t>
      </w:r>
      <w:proofErr w:type="gramStart"/>
      <w:r w:rsidR="00A43AD9">
        <w:rPr>
          <w:rFonts w:hint="eastAsia"/>
        </w:rPr>
        <w:t>併此</w:t>
      </w:r>
      <w:r w:rsidRPr="00F817F4">
        <w:rPr>
          <w:rFonts w:hint="eastAsia"/>
        </w:rPr>
        <w:t>敘</w:t>
      </w:r>
      <w:proofErr w:type="gramEnd"/>
      <w:r w:rsidRPr="00F817F4">
        <w:rPr>
          <w:rFonts w:hint="eastAsia"/>
        </w:rPr>
        <w:t>明。</w:t>
      </w:r>
    </w:p>
    <w:p w:rsidR="00AA045B" w:rsidRDefault="00AA045B" w:rsidP="00EA11F0">
      <w:pPr>
        <w:pStyle w:val="3"/>
        <w:numPr>
          <w:ilvl w:val="0"/>
          <w:numId w:val="0"/>
        </w:numPr>
        <w:overflowPunct w:val="0"/>
        <w:ind w:left="1360"/>
      </w:pPr>
    </w:p>
    <w:p w:rsidR="002942B5" w:rsidRDefault="002942B5" w:rsidP="00EA11F0">
      <w:pPr>
        <w:pStyle w:val="2"/>
        <w:numPr>
          <w:ilvl w:val="0"/>
          <w:numId w:val="0"/>
        </w:numPr>
        <w:overflowPunct w:val="0"/>
        <w:ind w:left="1045"/>
      </w:pPr>
    </w:p>
    <w:p w:rsidR="00255E08" w:rsidRDefault="00255E08" w:rsidP="006B4BEB">
      <w:pPr>
        <w:pStyle w:val="10"/>
        <w:overflowPunct w:val="0"/>
        <w:ind w:leftChars="300" w:left="1020" w:firstLine="680"/>
        <w:rPr>
          <w:bCs/>
        </w:rPr>
      </w:pPr>
      <w:bookmarkStart w:id="46" w:name="_Toc525066147"/>
      <w:bookmarkStart w:id="47" w:name="_Toc525070838"/>
      <w:bookmarkStart w:id="48" w:name="_Toc525938378"/>
      <w:bookmarkStart w:id="49" w:name="_Toc525939226"/>
      <w:bookmarkStart w:id="50" w:name="_Toc525939731"/>
      <w:bookmarkStart w:id="51" w:name="_Toc529218271"/>
      <w:bookmarkStart w:id="52" w:name="_Toc529222688"/>
      <w:bookmarkStart w:id="53" w:name="_Toc529223110"/>
      <w:bookmarkStart w:id="54" w:name="_Toc529223861"/>
      <w:bookmarkStart w:id="55" w:name="_Toc529228264"/>
    </w:p>
    <w:bookmarkEnd w:id="45"/>
    <w:bookmarkEnd w:id="46"/>
    <w:bookmarkEnd w:id="47"/>
    <w:bookmarkEnd w:id="48"/>
    <w:bookmarkEnd w:id="49"/>
    <w:bookmarkEnd w:id="50"/>
    <w:bookmarkEnd w:id="51"/>
    <w:bookmarkEnd w:id="52"/>
    <w:bookmarkEnd w:id="53"/>
    <w:bookmarkEnd w:id="54"/>
    <w:bookmarkEnd w:id="55"/>
    <w:p w:rsidR="00255E08" w:rsidRDefault="00255E08" w:rsidP="006B4BEB">
      <w:pPr>
        <w:pStyle w:val="10"/>
        <w:overflowPunct w:val="0"/>
        <w:ind w:leftChars="800" w:left="2721" w:firstLine="680"/>
        <w:rPr>
          <w:bCs/>
        </w:rPr>
      </w:pPr>
    </w:p>
    <w:p w:rsidR="00255E08" w:rsidRDefault="00255E08" w:rsidP="006B4BEB">
      <w:pPr>
        <w:pStyle w:val="1"/>
        <w:overflowPunct w:val="0"/>
        <w:ind w:left="2380" w:hanging="2380"/>
      </w:pPr>
      <w:bookmarkStart w:id="56" w:name="_Toc524895648"/>
      <w:bookmarkStart w:id="57" w:name="_Toc524896194"/>
      <w:bookmarkStart w:id="58" w:name="_Toc524896224"/>
      <w:bookmarkStart w:id="59" w:name="_Toc524902734"/>
      <w:bookmarkStart w:id="60" w:name="_Toc525066148"/>
      <w:bookmarkStart w:id="61" w:name="_Toc525070839"/>
      <w:bookmarkStart w:id="62" w:name="_Toc525938379"/>
      <w:bookmarkStart w:id="63" w:name="_Toc525939227"/>
      <w:bookmarkStart w:id="64" w:name="_Toc525939732"/>
      <w:bookmarkStart w:id="65" w:name="_Toc529218272"/>
      <w:r>
        <w:br w:type="page"/>
      </w:r>
      <w:bookmarkStart w:id="66" w:name="_Toc529222689"/>
      <w:bookmarkStart w:id="67" w:name="_Toc529223111"/>
      <w:bookmarkStart w:id="68" w:name="_Toc529223862"/>
      <w:bookmarkStart w:id="69" w:name="_Toc529228265"/>
      <w:bookmarkStart w:id="70" w:name="_Toc2400395"/>
      <w:bookmarkStart w:id="71" w:name="_Toc4316189"/>
      <w:bookmarkStart w:id="72" w:name="_Toc4473330"/>
      <w:bookmarkStart w:id="73" w:name="_Toc69556897"/>
      <w:bookmarkStart w:id="74" w:name="_Toc69556946"/>
      <w:bookmarkStart w:id="75" w:name="_Toc69609820"/>
      <w:bookmarkStart w:id="76" w:name="_Toc70241816"/>
      <w:bookmarkStart w:id="77" w:name="_Toc70242205"/>
      <w:r>
        <w:rPr>
          <w:rFonts w:hint="eastAsia"/>
        </w:rPr>
        <w:lastRenderedPageBreak/>
        <w:t>處理辦法：</w:t>
      </w:r>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p>
    <w:p w:rsidR="00762043" w:rsidRDefault="00762043" w:rsidP="006B4BEB">
      <w:pPr>
        <w:pStyle w:val="2"/>
        <w:overflowPunct w:val="0"/>
        <w:ind w:left="1020" w:hanging="680"/>
      </w:pPr>
      <w:bookmarkStart w:id="78" w:name="_Toc524895649"/>
      <w:bookmarkStart w:id="79" w:name="_Toc524896195"/>
      <w:bookmarkStart w:id="80" w:name="_Toc524896225"/>
      <w:bookmarkStart w:id="81" w:name="_Toc2400396"/>
      <w:bookmarkStart w:id="82" w:name="_Toc4316190"/>
      <w:bookmarkStart w:id="83" w:name="_Toc4473331"/>
      <w:bookmarkStart w:id="84" w:name="_Toc69556898"/>
      <w:bookmarkStart w:id="85" w:name="_Toc69556947"/>
      <w:bookmarkStart w:id="86" w:name="_Toc69609821"/>
      <w:bookmarkStart w:id="87" w:name="_Toc70241817"/>
      <w:bookmarkStart w:id="88" w:name="_Toc70242206"/>
      <w:bookmarkStart w:id="89" w:name="_Toc524902735"/>
      <w:bookmarkStart w:id="90" w:name="_Toc525066149"/>
      <w:bookmarkStart w:id="91" w:name="_Toc525070840"/>
      <w:bookmarkStart w:id="92" w:name="_Toc525938380"/>
      <w:bookmarkStart w:id="93" w:name="_Toc525939228"/>
      <w:bookmarkStart w:id="94" w:name="_Toc525939733"/>
      <w:bookmarkStart w:id="95" w:name="_Toc529218273"/>
      <w:bookmarkStart w:id="96" w:name="_Toc529222690"/>
      <w:bookmarkStart w:id="97" w:name="_Toc529223112"/>
      <w:bookmarkStart w:id="98" w:name="_Toc529223863"/>
      <w:bookmarkStart w:id="99" w:name="_Toc529228266"/>
      <w:bookmarkEnd w:id="78"/>
      <w:bookmarkEnd w:id="79"/>
      <w:bookmarkEnd w:id="80"/>
      <w:r>
        <w:rPr>
          <w:rFonts w:hint="eastAsia"/>
        </w:rPr>
        <w:t>抄調查意見</w:t>
      </w:r>
      <w:r w:rsidR="00937EF0" w:rsidRPr="000C4DB2">
        <w:rPr>
          <w:rFonts w:hint="eastAsia"/>
        </w:rPr>
        <w:t>二至三函請法務部</w:t>
      </w:r>
      <w:proofErr w:type="gramStart"/>
      <w:r w:rsidR="00937EF0" w:rsidRPr="000C4DB2">
        <w:rPr>
          <w:rFonts w:hint="eastAsia"/>
        </w:rPr>
        <w:t>研</w:t>
      </w:r>
      <w:proofErr w:type="gramEnd"/>
      <w:r w:rsidR="00937EF0" w:rsidRPr="000C4DB2">
        <w:rPr>
          <w:rFonts w:hint="eastAsia"/>
        </w:rPr>
        <w:t>酌辦理</w:t>
      </w:r>
      <w:proofErr w:type="gramStart"/>
      <w:r w:rsidR="00937EF0" w:rsidRPr="000C4DB2">
        <w:rPr>
          <w:rFonts w:hint="eastAsia"/>
        </w:rPr>
        <w:t>見復</w:t>
      </w:r>
      <w:r>
        <w:rPr>
          <w:rFonts w:hint="eastAsia"/>
        </w:rPr>
        <w:t>。</w:t>
      </w:r>
      <w:proofErr w:type="gramEnd"/>
    </w:p>
    <w:p w:rsidR="00762043" w:rsidRDefault="00BE5B0A" w:rsidP="006B4BEB">
      <w:pPr>
        <w:pStyle w:val="2"/>
        <w:overflowPunct w:val="0"/>
        <w:ind w:left="1020" w:hanging="680"/>
      </w:pPr>
      <w:r>
        <w:rPr>
          <w:rFonts w:hint="eastAsia"/>
        </w:rPr>
        <w:t>抄</w:t>
      </w:r>
      <w:r w:rsidR="00762043">
        <w:rPr>
          <w:rFonts w:hint="eastAsia"/>
        </w:rPr>
        <w:t>調查意見函復陳訴人。</w:t>
      </w:r>
    </w:p>
    <w:p w:rsidR="00762043" w:rsidRPr="00F71FE4" w:rsidRDefault="00762043" w:rsidP="006B4BEB">
      <w:pPr>
        <w:pStyle w:val="2"/>
        <w:overflowPunct w:val="0"/>
        <w:ind w:left="1020" w:hanging="680"/>
      </w:pPr>
      <w:r w:rsidRPr="00F71FE4">
        <w:rPr>
          <w:rFonts w:hint="eastAsia"/>
        </w:rPr>
        <w:t>本調查報告審議通過後，調查意見</w:t>
      </w:r>
      <w:r>
        <w:rPr>
          <w:rFonts w:hint="eastAsia"/>
        </w:rPr>
        <w:t>於隱匿個資後</w:t>
      </w:r>
      <w:r w:rsidRPr="00F71FE4">
        <w:rPr>
          <w:rFonts w:hint="eastAsia"/>
        </w:rPr>
        <w:t>上網公布。</w:t>
      </w:r>
    </w:p>
    <w:p w:rsidR="00762043" w:rsidRDefault="00762043" w:rsidP="006B4BEB">
      <w:pPr>
        <w:pStyle w:val="2"/>
        <w:overflowPunct w:val="0"/>
        <w:ind w:left="1020" w:hanging="680"/>
      </w:pPr>
      <w:r>
        <w:rPr>
          <w:rFonts w:ascii="Times New Roman" w:hAnsi="Times New Roman" w:hint="eastAsia"/>
          <w:color w:val="000000"/>
        </w:rPr>
        <w:t>檢</w:t>
      </w:r>
      <w:proofErr w:type="gramStart"/>
      <w:r>
        <w:rPr>
          <w:rFonts w:ascii="Times New Roman" w:hAnsi="Times New Roman" w:hint="eastAsia"/>
          <w:color w:val="000000"/>
        </w:rPr>
        <w:t>附派查函</w:t>
      </w:r>
      <w:proofErr w:type="gramEnd"/>
      <w:r>
        <w:rPr>
          <w:rFonts w:ascii="Times New Roman" w:hAnsi="Times New Roman" w:hint="eastAsia"/>
          <w:color w:val="000000"/>
        </w:rPr>
        <w:t>及相關附件，送請</w:t>
      </w:r>
      <w:r>
        <w:rPr>
          <w:rFonts w:hint="eastAsia"/>
        </w:rPr>
        <w:t>司法及獄政、內政及少數民族委員會聯席會議處理。</w:t>
      </w:r>
    </w:p>
    <w:p w:rsidR="00255E08" w:rsidRDefault="00255E08" w:rsidP="006B4BEB">
      <w:pPr>
        <w:pStyle w:val="2"/>
        <w:numPr>
          <w:ilvl w:val="0"/>
          <w:numId w:val="0"/>
        </w:numPr>
        <w:overflowPunct w:val="0"/>
        <w:ind w:left="1020"/>
        <w:rPr>
          <w:rFonts w:hint="eastAsia"/>
        </w:rPr>
      </w:pPr>
      <w:bookmarkStart w:id="100" w:name="_GoBack"/>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p>
    <w:p w:rsidR="00350F50" w:rsidRDefault="00350F50" w:rsidP="00350F50">
      <w:pPr>
        <w:pStyle w:val="2"/>
        <w:numPr>
          <w:ilvl w:val="0"/>
          <w:numId w:val="0"/>
        </w:numPr>
        <w:overflowPunct w:val="0"/>
        <w:ind w:left="1020" w:firstLineChars="1034" w:firstLine="3517"/>
        <w:rPr>
          <w:rFonts w:hint="eastAsia"/>
        </w:rPr>
      </w:pPr>
      <w:r>
        <w:rPr>
          <w:rFonts w:hint="eastAsia"/>
        </w:rPr>
        <w:t>調查委員:蔡崇義</w:t>
      </w:r>
    </w:p>
    <w:p w:rsidR="00350F50" w:rsidRDefault="00350F50" w:rsidP="00350F50">
      <w:pPr>
        <w:pStyle w:val="2"/>
        <w:numPr>
          <w:ilvl w:val="0"/>
          <w:numId w:val="0"/>
        </w:numPr>
        <w:overflowPunct w:val="0"/>
        <w:ind w:left="1020" w:firstLineChars="1034" w:firstLine="3517"/>
      </w:pPr>
      <w:r>
        <w:rPr>
          <w:rFonts w:hint="eastAsia"/>
        </w:rPr>
        <w:t xml:space="preserve">         田秋</w:t>
      </w:r>
      <w:proofErr w:type="gramStart"/>
      <w:r>
        <w:rPr>
          <w:rFonts w:hint="eastAsia"/>
        </w:rPr>
        <w:t>堇</w:t>
      </w:r>
      <w:proofErr w:type="gramEnd"/>
    </w:p>
    <w:sectPr w:rsidR="00350F5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4482" w:rsidRDefault="000E4482" w:rsidP="00255E08">
      <w:r>
        <w:separator/>
      </w:r>
    </w:p>
  </w:endnote>
  <w:endnote w:type="continuationSeparator" w:id="0">
    <w:p w:rsidR="000E4482" w:rsidRDefault="000E4482" w:rsidP="00255E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3F24" w:rsidRDefault="005B3F24">
    <w:pPr>
      <w:pStyle w:val="ae"/>
      <w:framePr w:wrap="around" w:vAnchor="text" w:hAnchor="margin" w:xAlign="center" w:y="1"/>
      <w:rPr>
        <w:rStyle w:val="a7"/>
        <w:sz w:val="24"/>
      </w:rPr>
    </w:pPr>
    <w:r>
      <w:rPr>
        <w:rStyle w:val="a7"/>
        <w:sz w:val="24"/>
      </w:rPr>
      <w:fldChar w:fldCharType="begin"/>
    </w:r>
    <w:r>
      <w:rPr>
        <w:rStyle w:val="a7"/>
        <w:sz w:val="24"/>
      </w:rPr>
      <w:instrText xml:space="preserve">PAGE  </w:instrText>
    </w:r>
    <w:r>
      <w:rPr>
        <w:rStyle w:val="a7"/>
        <w:sz w:val="24"/>
      </w:rPr>
      <w:fldChar w:fldCharType="separate"/>
    </w:r>
    <w:r w:rsidR="00350F50">
      <w:rPr>
        <w:rStyle w:val="a7"/>
        <w:noProof/>
        <w:sz w:val="24"/>
      </w:rPr>
      <w:t>13</w:t>
    </w:r>
    <w:r>
      <w:rPr>
        <w:rStyle w:val="a7"/>
        <w:sz w:val="24"/>
      </w:rPr>
      <w:fldChar w:fldCharType="end"/>
    </w:r>
  </w:p>
  <w:p w:rsidR="005B3F24" w:rsidRDefault="005B3F24">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4482" w:rsidRDefault="000E4482" w:rsidP="00255E08">
      <w:r>
        <w:separator/>
      </w:r>
    </w:p>
  </w:footnote>
  <w:footnote w:type="continuationSeparator" w:id="0">
    <w:p w:rsidR="000E4482" w:rsidRDefault="000E4482" w:rsidP="00255E08">
      <w:r>
        <w:continuationSeparator/>
      </w:r>
    </w:p>
  </w:footnote>
  <w:footnote w:id="1">
    <w:p w:rsidR="00122EE5" w:rsidRDefault="00122EE5" w:rsidP="00122EE5">
      <w:pPr>
        <w:pStyle w:val="af1"/>
      </w:pPr>
      <w:r>
        <w:rPr>
          <w:rStyle w:val="af3"/>
        </w:rPr>
        <w:footnoteRef/>
      </w:r>
      <w:r w:rsidR="00C6206F">
        <w:rPr>
          <w:rFonts w:hint="eastAsia"/>
        </w:rPr>
        <w:t xml:space="preserve"> </w:t>
      </w:r>
      <w:proofErr w:type="gramStart"/>
      <w:r>
        <w:rPr>
          <w:rFonts w:hint="eastAsia"/>
        </w:rPr>
        <w:t>臺</w:t>
      </w:r>
      <w:proofErr w:type="gramEnd"/>
      <w:r>
        <w:rPr>
          <w:rFonts w:hint="eastAsia"/>
        </w:rPr>
        <w:t>北地檢署</w:t>
      </w:r>
      <w:r>
        <w:rPr>
          <w:rFonts w:hint="eastAsia"/>
        </w:rPr>
        <w:t>107</w:t>
      </w:r>
      <w:r>
        <w:rPr>
          <w:rFonts w:hint="eastAsia"/>
        </w:rPr>
        <w:t>年</w:t>
      </w:r>
      <w:r>
        <w:rPr>
          <w:rFonts w:hint="eastAsia"/>
        </w:rPr>
        <w:t>6</w:t>
      </w:r>
      <w:r>
        <w:rPr>
          <w:rFonts w:hint="eastAsia"/>
        </w:rPr>
        <w:t>月</w:t>
      </w:r>
      <w:r>
        <w:rPr>
          <w:rFonts w:hint="eastAsia"/>
        </w:rPr>
        <w:t>11</w:t>
      </w:r>
      <w:r>
        <w:rPr>
          <w:rFonts w:hint="eastAsia"/>
        </w:rPr>
        <w:t>日北</w:t>
      </w:r>
      <w:proofErr w:type="gramStart"/>
      <w:r>
        <w:rPr>
          <w:rFonts w:hint="eastAsia"/>
        </w:rPr>
        <w:t>檢泰敬</w:t>
      </w:r>
      <w:proofErr w:type="gramEnd"/>
      <w:r>
        <w:rPr>
          <w:rFonts w:hint="eastAsia"/>
        </w:rPr>
        <w:t>106</w:t>
      </w:r>
      <w:r>
        <w:rPr>
          <w:rFonts w:hint="eastAsia"/>
        </w:rPr>
        <w:t>他</w:t>
      </w:r>
      <w:r>
        <w:rPr>
          <w:rFonts w:hint="eastAsia"/>
        </w:rPr>
        <w:t>8761</w:t>
      </w:r>
      <w:r>
        <w:rPr>
          <w:rFonts w:hint="eastAsia"/>
        </w:rPr>
        <w:t>字第</w:t>
      </w:r>
      <w:r>
        <w:rPr>
          <w:rFonts w:hint="eastAsia"/>
        </w:rPr>
        <w:t>1079048720</w:t>
      </w:r>
      <w:r>
        <w:rPr>
          <w:rFonts w:hint="eastAsia"/>
        </w:rPr>
        <w:t>號函。</w:t>
      </w:r>
    </w:p>
  </w:footnote>
  <w:footnote w:id="2">
    <w:p w:rsidR="000B26A3" w:rsidRPr="000B26A3" w:rsidRDefault="000B26A3">
      <w:pPr>
        <w:pStyle w:val="af1"/>
      </w:pPr>
      <w:r>
        <w:rPr>
          <w:rStyle w:val="af3"/>
        </w:rPr>
        <w:footnoteRef/>
      </w:r>
      <w:r w:rsidR="00C6206F">
        <w:rPr>
          <w:rFonts w:hint="eastAsia"/>
        </w:rPr>
        <w:t xml:space="preserve"> </w:t>
      </w:r>
      <w:r w:rsidRPr="007D7359">
        <w:rPr>
          <w:rFonts w:hint="eastAsia"/>
        </w:rPr>
        <w:t>臺灣高等檢察署所屬各地方檢察署及其檢察分署辦理他案應行注意事項第</w:t>
      </w:r>
      <w:r>
        <w:rPr>
          <w:rFonts w:hint="eastAsia"/>
        </w:rPr>
        <w:t>3</w:t>
      </w:r>
      <w:r w:rsidRPr="007D7359">
        <w:rPr>
          <w:rFonts w:hint="eastAsia"/>
        </w:rPr>
        <w:t>點第</w:t>
      </w:r>
      <w:r>
        <w:rPr>
          <w:rFonts w:hint="eastAsia"/>
        </w:rPr>
        <w:t>5</w:t>
      </w:r>
      <w:r w:rsidRPr="007D7359">
        <w:rPr>
          <w:rFonts w:hint="eastAsia"/>
        </w:rPr>
        <w:t>款</w:t>
      </w:r>
      <w:r>
        <w:rPr>
          <w:rFonts w:hint="eastAsia"/>
        </w:rPr>
        <w:t>：</w:t>
      </w:r>
      <w:r w:rsidRPr="007D7359">
        <w:rPr>
          <w:rFonts w:hint="eastAsia"/>
        </w:rPr>
        <w:t>他案有下列情形之</w:t>
      </w:r>
      <w:proofErr w:type="gramStart"/>
      <w:r w:rsidRPr="007D7359">
        <w:rPr>
          <w:rFonts w:hint="eastAsia"/>
        </w:rPr>
        <w:t>一</w:t>
      </w:r>
      <w:proofErr w:type="gramEnd"/>
      <w:r w:rsidRPr="007D7359">
        <w:rPr>
          <w:rFonts w:hint="eastAsia"/>
        </w:rPr>
        <w:t>者，檢察官得逕行簽</w:t>
      </w:r>
      <w:proofErr w:type="gramStart"/>
      <w:r w:rsidRPr="007D7359">
        <w:rPr>
          <w:rFonts w:hint="eastAsia"/>
        </w:rPr>
        <w:t>請報結</w:t>
      </w:r>
      <w:proofErr w:type="gramEnd"/>
      <w:r w:rsidRPr="007D7359">
        <w:rPr>
          <w:rFonts w:hint="eastAsia"/>
        </w:rPr>
        <w:t>：</w:t>
      </w:r>
      <w:r>
        <w:rPr>
          <w:rFonts w:hint="eastAsia"/>
        </w:rPr>
        <w:t>…</w:t>
      </w:r>
      <w:proofErr w:type="gramStart"/>
      <w:r>
        <w:rPr>
          <w:rFonts w:hint="eastAsia"/>
        </w:rPr>
        <w:t>…</w:t>
      </w:r>
      <w:proofErr w:type="gramEnd"/>
      <w:r>
        <w:rPr>
          <w:rFonts w:hint="eastAsia"/>
        </w:rPr>
        <w:t>(</w:t>
      </w:r>
      <w:r>
        <w:rPr>
          <w:rFonts w:hint="eastAsia"/>
        </w:rPr>
        <w:t>五</w:t>
      </w:r>
      <w:r>
        <w:rPr>
          <w:rFonts w:hint="eastAsia"/>
        </w:rPr>
        <w:t>)</w:t>
      </w:r>
      <w:r>
        <w:rPr>
          <w:rFonts w:hint="eastAsia"/>
        </w:rPr>
        <w:t>對公務員依法執行公務不服而申告，但對構成刑責之要件嫌疑事實未有任何具體指摘，或提出相關事證或指出涉案事證所在。</w:t>
      </w:r>
      <w:r>
        <w:t xml:space="preserve"> </w:t>
      </w:r>
    </w:p>
  </w:footnote>
  <w:footnote w:id="3">
    <w:p w:rsidR="0094799D" w:rsidRPr="000B724D" w:rsidRDefault="0094799D" w:rsidP="0094799D">
      <w:pPr>
        <w:pStyle w:val="af1"/>
      </w:pPr>
      <w:r>
        <w:rPr>
          <w:rStyle w:val="af3"/>
        </w:rPr>
        <w:footnoteRef/>
      </w:r>
      <w:r>
        <w:t xml:space="preserve"> </w:t>
      </w:r>
      <w:r>
        <w:rPr>
          <w:rFonts w:hint="eastAsia"/>
        </w:rPr>
        <w:t>法務部</w:t>
      </w:r>
      <w:r>
        <w:rPr>
          <w:rFonts w:hint="eastAsia"/>
        </w:rPr>
        <w:t>108</w:t>
      </w:r>
      <w:r>
        <w:rPr>
          <w:rFonts w:hint="eastAsia"/>
        </w:rPr>
        <w:t>年</w:t>
      </w:r>
      <w:r>
        <w:rPr>
          <w:rFonts w:hint="eastAsia"/>
        </w:rPr>
        <w:t>2</w:t>
      </w:r>
      <w:r>
        <w:rPr>
          <w:rFonts w:hint="eastAsia"/>
        </w:rPr>
        <w:t>月</w:t>
      </w:r>
      <w:r>
        <w:rPr>
          <w:rFonts w:hint="eastAsia"/>
        </w:rPr>
        <w:t>11</w:t>
      </w:r>
      <w:r>
        <w:rPr>
          <w:rFonts w:hint="eastAsia"/>
        </w:rPr>
        <w:t>日法檢字第</w:t>
      </w:r>
      <w:r>
        <w:rPr>
          <w:rFonts w:hint="eastAsia"/>
        </w:rPr>
        <w:t>10800514150</w:t>
      </w:r>
      <w:r>
        <w:rPr>
          <w:rFonts w:hint="eastAsia"/>
        </w:rPr>
        <w:t>號函。</w:t>
      </w:r>
    </w:p>
  </w:footnote>
  <w:footnote w:id="4">
    <w:p w:rsidR="0094799D" w:rsidRDefault="0094799D" w:rsidP="0094799D">
      <w:pPr>
        <w:pStyle w:val="af1"/>
      </w:pPr>
      <w:r>
        <w:rPr>
          <w:rStyle w:val="af3"/>
        </w:rPr>
        <w:footnoteRef/>
      </w:r>
      <w:r>
        <w:t xml:space="preserve"> </w:t>
      </w:r>
      <w:r>
        <w:rPr>
          <w:rFonts w:hint="eastAsia"/>
        </w:rPr>
        <w:t>刑事訴訟法第</w:t>
      </w:r>
      <w:r>
        <w:rPr>
          <w:rFonts w:hint="eastAsia"/>
        </w:rPr>
        <w:t>319</w:t>
      </w:r>
      <w:r>
        <w:rPr>
          <w:rFonts w:hint="eastAsia"/>
        </w:rPr>
        <w:t>條規定：</w:t>
      </w:r>
    </w:p>
    <w:p w:rsidR="0094799D" w:rsidRDefault="0094799D" w:rsidP="0094799D">
      <w:pPr>
        <w:pStyle w:val="af1"/>
      </w:pPr>
      <w:r>
        <w:rPr>
          <w:rFonts w:hint="eastAsia"/>
        </w:rPr>
        <w:t>犯罪之被害人得提起自訴。但無行為能力或限制行為能力或死亡者，得由其法定代理人、直系血親或配偶為之。</w:t>
      </w:r>
    </w:p>
    <w:p w:rsidR="0094799D" w:rsidRDefault="0094799D" w:rsidP="0094799D">
      <w:pPr>
        <w:pStyle w:val="af1"/>
      </w:pPr>
      <w:r>
        <w:rPr>
          <w:rFonts w:hint="eastAsia"/>
        </w:rPr>
        <w:t>前項自訴之提起，應委任律師行之。</w:t>
      </w:r>
    </w:p>
    <w:p w:rsidR="0094799D" w:rsidRDefault="0094799D" w:rsidP="0094799D">
      <w:pPr>
        <w:pStyle w:val="af1"/>
      </w:pPr>
      <w:r>
        <w:rPr>
          <w:rFonts w:hint="eastAsia"/>
        </w:rPr>
        <w:t>犯罪事實之一部提起自訴者，</w:t>
      </w:r>
      <w:proofErr w:type="gramStart"/>
      <w:r>
        <w:rPr>
          <w:rFonts w:hint="eastAsia"/>
        </w:rPr>
        <w:t>他部雖不得</w:t>
      </w:r>
      <w:proofErr w:type="gramEnd"/>
      <w:r>
        <w:rPr>
          <w:rFonts w:hint="eastAsia"/>
        </w:rPr>
        <w:t>自訴亦以得提起自訴論。但不得提起自訴部分係較重之罪，或其第一審屬於高等法院管轄，或第</w:t>
      </w:r>
      <w:r>
        <w:rPr>
          <w:rFonts w:hint="eastAsia"/>
        </w:rPr>
        <w:t>321</w:t>
      </w:r>
      <w:r>
        <w:rPr>
          <w:rFonts w:hint="eastAsia"/>
        </w:rPr>
        <w:t>條之情形者，不在此限。</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140E010C"/>
    <w:multiLevelType w:val="multilevel"/>
    <w:tmpl w:val="1FAED9FE"/>
    <w:lvl w:ilvl="0">
      <w:start w:val="1"/>
      <w:numFmt w:val="ideographLegalTraditional"/>
      <w:pStyle w:val="1"/>
      <w:suff w:val="nothing"/>
      <w:lvlText w:val="%1、"/>
      <w:lvlJc w:val="left"/>
      <w:pPr>
        <w:ind w:left="1976" w:hanging="699"/>
      </w:pPr>
      <w:rPr>
        <w:rFonts w:ascii="標楷體" w:eastAsia="標楷體" w:hint="eastAsia"/>
        <w:b w:val="0"/>
        <w:i w:val="0"/>
        <w:snapToGrid/>
        <w:spacing w:val="0"/>
        <w:w w:val="100"/>
        <w:position w:val="0"/>
        <w:sz w:val="32"/>
      </w:rPr>
    </w:lvl>
    <w:lvl w:ilvl="1">
      <w:start w:val="1"/>
      <w:numFmt w:val="taiwaneseCountingThousand"/>
      <w:pStyle w:val="2"/>
      <w:suff w:val="nothing"/>
      <w:lvlText w:val="%2、"/>
      <w:lvlJc w:val="left"/>
      <w:pPr>
        <w:ind w:left="2115" w:hanging="697"/>
      </w:pPr>
      <w:rPr>
        <w:rFonts w:ascii="標楷體" w:eastAsia="標楷體" w:hint="eastAsia"/>
        <w:b w:val="0"/>
        <w:i w:val="0"/>
        <w:snapToGrid/>
        <w:spacing w:val="0"/>
        <w:w w:val="100"/>
        <w:position w:val="0"/>
        <w:sz w:val="32"/>
        <w:em w:val="none"/>
        <w:lang w:val="en-US"/>
      </w:rPr>
    </w:lvl>
    <w:lvl w:ilvl="2">
      <w:start w:val="1"/>
      <w:numFmt w:val="taiwaneseCountingThousand"/>
      <w:pStyle w:val="3"/>
      <w:suff w:val="nothing"/>
      <w:lvlText w:val="(%3)"/>
      <w:lvlJc w:val="left"/>
      <w:pPr>
        <w:ind w:left="1393" w:hanging="697"/>
      </w:pPr>
      <w:rPr>
        <w:rFonts w:ascii="標楷體" w:eastAsia="標楷體" w:hint="eastAsia"/>
        <w:b w:val="0"/>
        <w:i w:val="0"/>
        <w:spacing w:val="0"/>
        <w:w w:val="100"/>
        <w:position w:val="0"/>
        <w:sz w:val="32"/>
      </w:rPr>
    </w:lvl>
    <w:lvl w:ilvl="3">
      <w:start w:val="1"/>
      <w:numFmt w:val="decimalFullWidth"/>
      <w:pStyle w:val="4"/>
      <w:suff w:val="nothing"/>
      <w:lvlText w:val="%4、"/>
      <w:lvlJc w:val="left"/>
      <w:pPr>
        <w:ind w:left="1741" w:hanging="698"/>
      </w:pPr>
      <w:rPr>
        <w:rFonts w:ascii="標楷體" w:eastAsia="標楷體" w:hint="eastAsia"/>
        <w:b w:val="0"/>
        <w:i w:val="0"/>
        <w:spacing w:val="0"/>
        <w:w w:val="100"/>
        <w:position w:val="0"/>
        <w:sz w:val="32"/>
        <w:lang w:val="en-US"/>
      </w:rPr>
    </w:lvl>
    <w:lvl w:ilvl="4">
      <w:start w:val="1"/>
      <w:numFmt w:val="decimalFullWidth"/>
      <w:pStyle w:val="5"/>
      <w:suff w:val="nothing"/>
      <w:lvlText w:val="(%5)"/>
      <w:lvlJc w:val="left"/>
      <w:pPr>
        <w:ind w:left="2095" w:hanging="700"/>
      </w:pPr>
      <w:rPr>
        <w:rFonts w:ascii="標楷體" w:eastAsia="標楷體" w:hint="eastAsia"/>
        <w:b w:val="0"/>
        <w:i w:val="0"/>
        <w:snapToGrid/>
        <w:spacing w:val="0"/>
        <w:w w:val="100"/>
        <w:position w:val="0"/>
        <w:sz w:val="32"/>
      </w:rPr>
    </w:lvl>
    <w:lvl w:ilvl="5">
      <w:start w:val="1"/>
      <w:numFmt w:val="decimalFullWidth"/>
      <w:pStyle w:val="6"/>
      <w:suff w:val="nothing"/>
      <w:lvlText w:val="&lt;%6&gt;"/>
      <w:lvlJc w:val="left"/>
      <w:pPr>
        <w:ind w:left="2444" w:hanging="715"/>
      </w:pPr>
      <w:rPr>
        <w:rFonts w:ascii="標楷體" w:eastAsia="標楷體" w:hint="eastAsia"/>
        <w:b w:val="0"/>
        <w:i w:val="0"/>
        <w:snapToGrid/>
        <w:spacing w:val="0"/>
        <w:w w:val="100"/>
        <w:position w:val="0"/>
        <w:sz w:val="32"/>
      </w:rPr>
    </w:lvl>
    <w:lvl w:ilvl="6">
      <w:start w:val="1"/>
      <w:numFmt w:val="bullet"/>
      <w:pStyle w:val="7"/>
      <w:suff w:val="nothing"/>
      <w:lvlText w:val="․"/>
      <w:lvlJc w:val="left"/>
      <w:pPr>
        <w:ind w:left="2444" w:hanging="352"/>
      </w:pPr>
      <w:rPr>
        <w:rFonts w:ascii="標楷體" w:eastAsia="標楷體" w:hint="eastAsia"/>
        <w:b w:val="0"/>
        <w:i w:val="0"/>
        <w:snapToGrid/>
        <w:spacing w:val="0"/>
        <w:w w:val="100"/>
        <w:position w:val="0"/>
        <w:sz w:val="32"/>
      </w:rPr>
    </w:lvl>
    <w:lvl w:ilvl="7">
      <w:start w:val="1"/>
      <w:numFmt w:val="bullet"/>
      <w:pStyle w:val="8"/>
      <w:suff w:val="nothing"/>
      <w:lvlText w:val="◇"/>
      <w:lvlJc w:val="left"/>
      <w:pPr>
        <w:ind w:left="2790"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abstractNum w:abstractNumId="2">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1"/>
  </w:num>
  <w:num w:numId="2">
    <w:abstractNumId w:val="2"/>
  </w:num>
  <w:num w:numId="3">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270E"/>
    <w:rsid w:val="00024679"/>
    <w:rsid w:val="00041F00"/>
    <w:rsid w:val="00046232"/>
    <w:rsid w:val="000A652B"/>
    <w:rsid w:val="000B26A3"/>
    <w:rsid w:val="000B724D"/>
    <w:rsid w:val="000E4482"/>
    <w:rsid w:val="00106713"/>
    <w:rsid w:val="00106C37"/>
    <w:rsid w:val="00112160"/>
    <w:rsid w:val="00122EE5"/>
    <w:rsid w:val="0012650C"/>
    <w:rsid w:val="0013164F"/>
    <w:rsid w:val="00135C80"/>
    <w:rsid w:val="00140806"/>
    <w:rsid w:val="00152B25"/>
    <w:rsid w:val="00155BDF"/>
    <w:rsid w:val="001678AC"/>
    <w:rsid w:val="00173D2A"/>
    <w:rsid w:val="00185FF7"/>
    <w:rsid w:val="001876D1"/>
    <w:rsid w:val="00191F2A"/>
    <w:rsid w:val="001922CA"/>
    <w:rsid w:val="001B4137"/>
    <w:rsid w:val="001B5AAE"/>
    <w:rsid w:val="001D2269"/>
    <w:rsid w:val="001D2FBC"/>
    <w:rsid w:val="001E57E2"/>
    <w:rsid w:val="00226771"/>
    <w:rsid w:val="00246E38"/>
    <w:rsid w:val="00255E08"/>
    <w:rsid w:val="00281C83"/>
    <w:rsid w:val="00282858"/>
    <w:rsid w:val="00282DA7"/>
    <w:rsid w:val="002942B5"/>
    <w:rsid w:val="002A25D8"/>
    <w:rsid w:val="002B404A"/>
    <w:rsid w:val="002D494E"/>
    <w:rsid w:val="002D678B"/>
    <w:rsid w:val="002E6237"/>
    <w:rsid w:val="002F06E5"/>
    <w:rsid w:val="002F0FB9"/>
    <w:rsid w:val="002F4E35"/>
    <w:rsid w:val="003011C3"/>
    <w:rsid w:val="00326C54"/>
    <w:rsid w:val="00346409"/>
    <w:rsid w:val="00350F50"/>
    <w:rsid w:val="00354D5E"/>
    <w:rsid w:val="003562AD"/>
    <w:rsid w:val="00364421"/>
    <w:rsid w:val="003672BA"/>
    <w:rsid w:val="00367E45"/>
    <w:rsid w:val="00381004"/>
    <w:rsid w:val="00386A49"/>
    <w:rsid w:val="0041362B"/>
    <w:rsid w:val="00434043"/>
    <w:rsid w:val="00437D13"/>
    <w:rsid w:val="004447C4"/>
    <w:rsid w:val="00456849"/>
    <w:rsid w:val="00474E6D"/>
    <w:rsid w:val="00494FBE"/>
    <w:rsid w:val="004B05AB"/>
    <w:rsid w:val="004B4C7C"/>
    <w:rsid w:val="004B50DB"/>
    <w:rsid w:val="004D577F"/>
    <w:rsid w:val="00561560"/>
    <w:rsid w:val="00577089"/>
    <w:rsid w:val="005A1654"/>
    <w:rsid w:val="005A3868"/>
    <w:rsid w:val="005A46E3"/>
    <w:rsid w:val="005B3F24"/>
    <w:rsid w:val="005B7B6A"/>
    <w:rsid w:val="005C0D77"/>
    <w:rsid w:val="005C4B5F"/>
    <w:rsid w:val="005E4C54"/>
    <w:rsid w:val="005F5AEF"/>
    <w:rsid w:val="00607788"/>
    <w:rsid w:val="006130EE"/>
    <w:rsid w:val="00641EB0"/>
    <w:rsid w:val="00667AF0"/>
    <w:rsid w:val="00686E5E"/>
    <w:rsid w:val="00687FB6"/>
    <w:rsid w:val="006B32C8"/>
    <w:rsid w:val="006B4BEB"/>
    <w:rsid w:val="006B7C81"/>
    <w:rsid w:val="006C210A"/>
    <w:rsid w:val="006C2CFF"/>
    <w:rsid w:val="006D74EA"/>
    <w:rsid w:val="006E42EB"/>
    <w:rsid w:val="006E5420"/>
    <w:rsid w:val="006F07BC"/>
    <w:rsid w:val="006F3AF5"/>
    <w:rsid w:val="006F65A6"/>
    <w:rsid w:val="00707AC5"/>
    <w:rsid w:val="007208D9"/>
    <w:rsid w:val="0072610C"/>
    <w:rsid w:val="00731809"/>
    <w:rsid w:val="0073226E"/>
    <w:rsid w:val="00741503"/>
    <w:rsid w:val="007446E1"/>
    <w:rsid w:val="00746DB3"/>
    <w:rsid w:val="00755325"/>
    <w:rsid w:val="00762043"/>
    <w:rsid w:val="00775011"/>
    <w:rsid w:val="007759C2"/>
    <w:rsid w:val="00786F6A"/>
    <w:rsid w:val="00796E07"/>
    <w:rsid w:val="007D7359"/>
    <w:rsid w:val="0084496C"/>
    <w:rsid w:val="008614AB"/>
    <w:rsid w:val="0088113C"/>
    <w:rsid w:val="008C52F9"/>
    <w:rsid w:val="008D0127"/>
    <w:rsid w:val="008D6B59"/>
    <w:rsid w:val="008F46BD"/>
    <w:rsid w:val="008F7843"/>
    <w:rsid w:val="00902005"/>
    <w:rsid w:val="009353CC"/>
    <w:rsid w:val="00937EF0"/>
    <w:rsid w:val="009469D2"/>
    <w:rsid w:val="0094799D"/>
    <w:rsid w:val="00956CA0"/>
    <w:rsid w:val="00984B06"/>
    <w:rsid w:val="009857D9"/>
    <w:rsid w:val="009D76B4"/>
    <w:rsid w:val="009F31B1"/>
    <w:rsid w:val="00A074AE"/>
    <w:rsid w:val="00A320F2"/>
    <w:rsid w:val="00A43AD9"/>
    <w:rsid w:val="00A62862"/>
    <w:rsid w:val="00A70195"/>
    <w:rsid w:val="00A74DFB"/>
    <w:rsid w:val="00A834F7"/>
    <w:rsid w:val="00A90182"/>
    <w:rsid w:val="00AA045B"/>
    <w:rsid w:val="00AA051B"/>
    <w:rsid w:val="00AB2121"/>
    <w:rsid w:val="00AD3541"/>
    <w:rsid w:val="00AF2D57"/>
    <w:rsid w:val="00B22745"/>
    <w:rsid w:val="00B35DF1"/>
    <w:rsid w:val="00B52A82"/>
    <w:rsid w:val="00B72EA8"/>
    <w:rsid w:val="00B8146C"/>
    <w:rsid w:val="00B96643"/>
    <w:rsid w:val="00B97D4B"/>
    <w:rsid w:val="00BA14F6"/>
    <w:rsid w:val="00BC7457"/>
    <w:rsid w:val="00BD0557"/>
    <w:rsid w:val="00BE1E71"/>
    <w:rsid w:val="00BE270E"/>
    <w:rsid w:val="00BE5B0A"/>
    <w:rsid w:val="00BF57A4"/>
    <w:rsid w:val="00C07C23"/>
    <w:rsid w:val="00C32DCB"/>
    <w:rsid w:val="00C46C89"/>
    <w:rsid w:val="00C6206F"/>
    <w:rsid w:val="00C72C5B"/>
    <w:rsid w:val="00CA1633"/>
    <w:rsid w:val="00CA4900"/>
    <w:rsid w:val="00CA5FFA"/>
    <w:rsid w:val="00CB1A3F"/>
    <w:rsid w:val="00CD1EB0"/>
    <w:rsid w:val="00CD773C"/>
    <w:rsid w:val="00CF0BA3"/>
    <w:rsid w:val="00D2338F"/>
    <w:rsid w:val="00D40A74"/>
    <w:rsid w:val="00D434D9"/>
    <w:rsid w:val="00D4480F"/>
    <w:rsid w:val="00D47494"/>
    <w:rsid w:val="00D71F29"/>
    <w:rsid w:val="00DA0073"/>
    <w:rsid w:val="00DA7378"/>
    <w:rsid w:val="00DC1E58"/>
    <w:rsid w:val="00DC29D2"/>
    <w:rsid w:val="00DE7289"/>
    <w:rsid w:val="00E0050E"/>
    <w:rsid w:val="00E10443"/>
    <w:rsid w:val="00E12BD5"/>
    <w:rsid w:val="00E14B59"/>
    <w:rsid w:val="00E232BB"/>
    <w:rsid w:val="00E473ED"/>
    <w:rsid w:val="00E87906"/>
    <w:rsid w:val="00EA11F0"/>
    <w:rsid w:val="00EA3E4C"/>
    <w:rsid w:val="00ED2412"/>
    <w:rsid w:val="00EE6864"/>
    <w:rsid w:val="00F0390F"/>
    <w:rsid w:val="00F05C6A"/>
    <w:rsid w:val="00F548BB"/>
    <w:rsid w:val="00F57F8B"/>
    <w:rsid w:val="00F817F4"/>
    <w:rsid w:val="00FA197B"/>
    <w:rsid w:val="00FC176A"/>
    <w:rsid w:val="00FD1391"/>
    <w:rsid w:val="00FD527A"/>
    <w:rsid w:val="00FE00BD"/>
    <w:rsid w:val="00FE41B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pPr>
      <w:widowControl w:val="0"/>
    </w:pPr>
    <w:rPr>
      <w:rFonts w:eastAsia="標楷體"/>
      <w:kern w:val="2"/>
      <w:sz w:val="32"/>
    </w:rPr>
  </w:style>
  <w:style w:type="paragraph" w:styleId="1">
    <w:name w:val="heading 1"/>
    <w:basedOn w:val="a1"/>
    <w:qFormat/>
    <w:pPr>
      <w:numPr>
        <w:numId w:val="1"/>
      </w:numPr>
      <w:kinsoku w:val="0"/>
      <w:ind w:left="699"/>
      <w:jc w:val="both"/>
      <w:outlineLvl w:val="0"/>
    </w:pPr>
    <w:rPr>
      <w:rFonts w:ascii="標楷體" w:hAnsi="Arial"/>
      <w:bCs/>
      <w:kern w:val="0"/>
      <w:szCs w:val="52"/>
    </w:rPr>
  </w:style>
  <w:style w:type="paragraph" w:styleId="2">
    <w:name w:val="heading 2"/>
    <w:basedOn w:val="a1"/>
    <w:qFormat/>
    <w:pPr>
      <w:numPr>
        <w:ilvl w:val="1"/>
        <w:numId w:val="1"/>
      </w:numPr>
      <w:kinsoku w:val="0"/>
      <w:ind w:left="1045"/>
      <w:jc w:val="both"/>
      <w:outlineLvl w:val="1"/>
    </w:pPr>
    <w:rPr>
      <w:rFonts w:ascii="標楷體" w:hAnsi="Arial"/>
      <w:bCs/>
      <w:kern w:val="0"/>
      <w:szCs w:val="48"/>
    </w:rPr>
  </w:style>
  <w:style w:type="paragraph" w:styleId="3">
    <w:name w:val="heading 3"/>
    <w:basedOn w:val="a1"/>
    <w:qFormat/>
    <w:pPr>
      <w:numPr>
        <w:ilvl w:val="2"/>
        <w:numId w:val="1"/>
      </w:numPr>
      <w:kinsoku w:val="0"/>
      <w:ind w:leftChars="200" w:left="400" w:hangingChars="200" w:hanging="200"/>
      <w:jc w:val="both"/>
      <w:outlineLvl w:val="2"/>
    </w:pPr>
    <w:rPr>
      <w:rFonts w:ascii="標楷體" w:hAnsi="Arial"/>
      <w:bCs/>
      <w:kern w:val="0"/>
      <w:szCs w:val="36"/>
    </w:rPr>
  </w:style>
  <w:style w:type="paragraph" w:styleId="4">
    <w:name w:val="heading 4"/>
    <w:basedOn w:val="a1"/>
    <w:qFormat/>
    <w:pPr>
      <w:numPr>
        <w:ilvl w:val="3"/>
        <w:numId w:val="1"/>
      </w:numPr>
      <w:ind w:leftChars="300" w:left="500" w:hangingChars="200" w:hanging="200"/>
      <w:jc w:val="both"/>
      <w:outlineLvl w:val="3"/>
    </w:pPr>
    <w:rPr>
      <w:rFonts w:ascii="標楷體" w:hAnsi="Arial"/>
      <w:szCs w:val="36"/>
    </w:rPr>
  </w:style>
  <w:style w:type="paragraph" w:styleId="5">
    <w:name w:val="heading 5"/>
    <w:basedOn w:val="a1"/>
    <w:qFormat/>
    <w:pPr>
      <w:numPr>
        <w:ilvl w:val="4"/>
        <w:numId w:val="1"/>
      </w:numPr>
      <w:kinsoku w:val="0"/>
      <w:ind w:leftChars="400" w:left="600" w:hangingChars="200" w:hanging="200"/>
      <w:jc w:val="both"/>
      <w:outlineLvl w:val="4"/>
    </w:pPr>
    <w:rPr>
      <w:rFonts w:ascii="標楷體" w:hAnsi="Arial"/>
      <w:bCs/>
      <w:szCs w:val="36"/>
    </w:rPr>
  </w:style>
  <w:style w:type="paragraph" w:styleId="6">
    <w:name w:val="heading 6"/>
    <w:basedOn w:val="a1"/>
    <w:qFormat/>
    <w:pPr>
      <w:numPr>
        <w:ilvl w:val="5"/>
        <w:numId w:val="1"/>
      </w:numPr>
      <w:tabs>
        <w:tab w:val="left" w:pos="2094"/>
      </w:tabs>
      <w:kinsoku w:val="0"/>
      <w:ind w:leftChars="500" w:left="700" w:hangingChars="200" w:hanging="200"/>
      <w:jc w:val="both"/>
      <w:outlineLvl w:val="5"/>
    </w:pPr>
    <w:rPr>
      <w:rFonts w:ascii="標楷體" w:hAnsi="Arial"/>
      <w:szCs w:val="36"/>
    </w:rPr>
  </w:style>
  <w:style w:type="paragraph" w:styleId="7">
    <w:name w:val="heading 7"/>
    <w:basedOn w:val="a1"/>
    <w:qFormat/>
    <w:pPr>
      <w:numPr>
        <w:ilvl w:val="6"/>
        <w:numId w:val="1"/>
      </w:numPr>
      <w:kinsoku w:val="0"/>
      <w:ind w:leftChars="600" w:left="700" w:hangingChars="100" w:hanging="100"/>
      <w:jc w:val="both"/>
      <w:outlineLvl w:val="6"/>
    </w:pPr>
    <w:rPr>
      <w:rFonts w:ascii="標楷體" w:hAnsi="Arial"/>
      <w:bCs/>
      <w:szCs w:val="36"/>
    </w:rPr>
  </w:style>
  <w:style w:type="paragraph" w:styleId="8">
    <w:name w:val="heading 8"/>
    <w:basedOn w:val="a1"/>
    <w:qFormat/>
    <w:pPr>
      <w:numPr>
        <w:ilvl w:val="7"/>
        <w:numId w:val="1"/>
      </w:numPr>
      <w:kinsoku w:val="0"/>
      <w:ind w:leftChars="700" w:left="800" w:hangingChars="100" w:hanging="100"/>
      <w:jc w:val="both"/>
      <w:outlineLvl w:val="7"/>
    </w:pPr>
    <w:rPr>
      <w:rFonts w:ascii="標楷體" w:hAnsi="Arial"/>
      <w:szCs w:val="3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Signature"/>
    <w:basedOn w:val="a1"/>
    <w:semiHidden/>
    <w:pPr>
      <w:spacing w:before="720" w:after="720"/>
      <w:ind w:left="7371"/>
    </w:pPr>
    <w:rPr>
      <w:rFonts w:ascii="標楷體"/>
      <w:b/>
      <w:snapToGrid w:val="0"/>
      <w:spacing w:val="10"/>
      <w:sz w:val="36"/>
    </w:rPr>
  </w:style>
  <w:style w:type="paragraph" w:styleId="a6">
    <w:name w:val="endnote text"/>
    <w:basedOn w:val="a1"/>
    <w:semiHidden/>
    <w:pPr>
      <w:spacing w:before="240"/>
      <w:ind w:left="1021" w:hanging="1021"/>
      <w:jc w:val="both"/>
    </w:pPr>
    <w:rPr>
      <w:rFonts w:ascii="標楷體"/>
      <w:snapToGrid w:val="0"/>
      <w:spacing w:val="10"/>
    </w:rPr>
  </w:style>
  <w:style w:type="paragraph" w:styleId="50">
    <w:name w:val="toc 5"/>
    <w:basedOn w:val="a1"/>
    <w:next w:val="a1"/>
    <w:autoRedefine/>
    <w:semiHidden/>
    <w:pPr>
      <w:ind w:leftChars="400" w:left="600" w:rightChars="200" w:right="200" w:hangingChars="200" w:hanging="200"/>
    </w:pPr>
    <w:rPr>
      <w:rFonts w:ascii="標楷體"/>
    </w:rPr>
  </w:style>
  <w:style w:type="character" w:styleId="a7">
    <w:name w:val="page number"/>
    <w:basedOn w:val="a2"/>
    <w:semiHidden/>
    <w:rPr>
      <w:rFonts w:ascii="標楷體" w:eastAsia="標楷體"/>
      <w:sz w:val="20"/>
    </w:rPr>
  </w:style>
  <w:style w:type="paragraph" w:styleId="60">
    <w:name w:val="toc 6"/>
    <w:basedOn w:val="a1"/>
    <w:next w:val="a1"/>
    <w:autoRedefine/>
    <w:semiHidden/>
    <w:pPr>
      <w:ind w:leftChars="500" w:left="500"/>
    </w:pPr>
    <w:rPr>
      <w:rFonts w:ascii="標楷體"/>
    </w:rPr>
  </w:style>
  <w:style w:type="paragraph" w:customStyle="1" w:styleId="10">
    <w:name w:val="段落樣式1"/>
    <w:basedOn w:val="a1"/>
    <w:pPr>
      <w:tabs>
        <w:tab w:val="left" w:pos="567"/>
      </w:tabs>
      <w:kinsoku w:val="0"/>
      <w:ind w:leftChars="200" w:left="200" w:firstLineChars="200" w:firstLine="200"/>
      <w:jc w:val="both"/>
    </w:pPr>
    <w:rPr>
      <w:rFonts w:ascii="標楷體"/>
      <w:kern w:val="0"/>
    </w:rPr>
  </w:style>
  <w:style w:type="paragraph" w:customStyle="1" w:styleId="20">
    <w:name w:val="段落樣式2"/>
    <w:basedOn w:val="a1"/>
    <w:pPr>
      <w:tabs>
        <w:tab w:val="left" w:pos="567"/>
      </w:tabs>
      <w:ind w:leftChars="300" w:left="300" w:firstLineChars="200" w:firstLine="200"/>
      <w:jc w:val="both"/>
    </w:pPr>
    <w:rPr>
      <w:rFonts w:ascii="標楷體"/>
      <w:kern w:val="0"/>
    </w:rPr>
  </w:style>
  <w:style w:type="paragraph" w:styleId="11">
    <w:name w:val="toc 1"/>
    <w:basedOn w:val="a1"/>
    <w:next w:val="a1"/>
    <w:autoRedefine/>
    <w:semiHidden/>
    <w:pPr>
      <w:kinsoku w:val="0"/>
      <w:ind w:left="2443" w:rightChars="200" w:right="698" w:hangingChars="700" w:hanging="2443"/>
      <w:jc w:val="both"/>
    </w:pPr>
    <w:rPr>
      <w:rFonts w:ascii="標楷體"/>
      <w:noProof/>
      <w:szCs w:val="32"/>
    </w:rPr>
  </w:style>
  <w:style w:type="paragraph" w:styleId="21">
    <w:name w:val="toc 2"/>
    <w:basedOn w:val="a1"/>
    <w:next w:val="a1"/>
    <w:autoRedefine/>
    <w:semiHidden/>
    <w:pPr>
      <w:kinsoku w:val="0"/>
      <w:ind w:leftChars="100" w:left="300" w:rightChars="200" w:right="200" w:hangingChars="200" w:hanging="200"/>
    </w:pPr>
    <w:rPr>
      <w:rFonts w:ascii="標楷體"/>
      <w:noProof/>
    </w:rPr>
  </w:style>
  <w:style w:type="paragraph" w:styleId="30">
    <w:name w:val="toc 3"/>
    <w:basedOn w:val="a1"/>
    <w:next w:val="a1"/>
    <w:autoRedefine/>
    <w:semiHidden/>
    <w:pPr>
      <w:kinsoku w:val="0"/>
      <w:ind w:leftChars="200" w:left="400" w:rightChars="200" w:right="200" w:hangingChars="200" w:hanging="200"/>
      <w:jc w:val="both"/>
    </w:pPr>
    <w:rPr>
      <w:rFonts w:ascii="標楷體"/>
      <w:noProof/>
    </w:rPr>
  </w:style>
  <w:style w:type="paragraph" w:styleId="40">
    <w:name w:val="toc 4"/>
    <w:basedOn w:val="a1"/>
    <w:next w:val="a1"/>
    <w:autoRedefine/>
    <w:semiHidden/>
    <w:pPr>
      <w:kinsoku w:val="0"/>
      <w:ind w:leftChars="300" w:left="500" w:rightChars="200" w:right="200" w:hangingChars="200" w:hanging="200"/>
      <w:jc w:val="both"/>
    </w:pPr>
    <w:rPr>
      <w:rFonts w:ascii="標楷體"/>
    </w:rPr>
  </w:style>
  <w:style w:type="paragraph" w:styleId="70">
    <w:name w:val="toc 7"/>
    <w:basedOn w:val="a1"/>
    <w:next w:val="a1"/>
    <w:autoRedefine/>
    <w:semiHidden/>
    <w:pPr>
      <w:ind w:leftChars="600" w:left="800" w:hangingChars="200" w:hanging="200"/>
    </w:pPr>
    <w:rPr>
      <w:rFonts w:ascii="標楷體"/>
    </w:rPr>
  </w:style>
  <w:style w:type="paragraph" w:styleId="80">
    <w:name w:val="toc 8"/>
    <w:basedOn w:val="a1"/>
    <w:next w:val="a1"/>
    <w:autoRedefine/>
    <w:semiHidden/>
    <w:pPr>
      <w:ind w:leftChars="700" w:left="900" w:hangingChars="200" w:hanging="200"/>
    </w:pPr>
    <w:rPr>
      <w:rFonts w:ascii="標楷體"/>
    </w:rPr>
  </w:style>
  <w:style w:type="paragraph" w:styleId="9">
    <w:name w:val="toc 9"/>
    <w:basedOn w:val="a1"/>
    <w:next w:val="a1"/>
    <w:autoRedefine/>
    <w:semiHidden/>
    <w:pPr>
      <w:ind w:leftChars="1600" w:left="3840"/>
    </w:pPr>
  </w:style>
  <w:style w:type="paragraph" w:styleId="a8">
    <w:name w:val="header"/>
    <w:basedOn w:val="a1"/>
    <w:semiHidden/>
    <w:pPr>
      <w:tabs>
        <w:tab w:val="center" w:pos="4153"/>
        <w:tab w:val="right" w:pos="8306"/>
      </w:tabs>
      <w:snapToGrid w:val="0"/>
    </w:pPr>
    <w:rPr>
      <w:sz w:val="20"/>
    </w:rPr>
  </w:style>
  <w:style w:type="paragraph" w:customStyle="1" w:styleId="31">
    <w:name w:val="段落樣式3"/>
    <w:basedOn w:val="20"/>
    <w:pPr>
      <w:ind w:leftChars="400" w:left="400"/>
    </w:pPr>
  </w:style>
  <w:style w:type="character" w:styleId="a9">
    <w:name w:val="Hyperlink"/>
    <w:basedOn w:val="a2"/>
    <w:semiHidden/>
    <w:rPr>
      <w:color w:val="0000FF"/>
      <w:u w:val="single"/>
    </w:rPr>
  </w:style>
  <w:style w:type="paragraph" w:customStyle="1" w:styleId="aa">
    <w:name w:val="簽名日期"/>
    <w:basedOn w:val="a1"/>
    <w:pPr>
      <w:kinsoku w:val="0"/>
      <w:jc w:val="distribute"/>
    </w:pPr>
    <w:rPr>
      <w:kern w:val="0"/>
    </w:rPr>
  </w:style>
  <w:style w:type="paragraph" w:customStyle="1" w:styleId="0">
    <w:name w:val="段落樣式0"/>
    <w:basedOn w:val="20"/>
    <w:pPr>
      <w:ind w:leftChars="200" w:left="200" w:firstLineChars="0" w:firstLine="0"/>
    </w:pPr>
  </w:style>
  <w:style w:type="paragraph" w:customStyle="1" w:styleId="ab">
    <w:name w:val="附件"/>
    <w:basedOn w:val="a6"/>
    <w:pPr>
      <w:kinsoku w:val="0"/>
      <w:spacing w:before="0"/>
      <w:ind w:left="1047" w:hangingChars="300" w:hanging="1047"/>
    </w:pPr>
    <w:rPr>
      <w:snapToGrid/>
      <w:spacing w:val="0"/>
      <w:kern w:val="0"/>
    </w:rPr>
  </w:style>
  <w:style w:type="paragraph" w:customStyle="1" w:styleId="41">
    <w:name w:val="段落樣式4"/>
    <w:basedOn w:val="31"/>
    <w:pPr>
      <w:ind w:leftChars="500" w:left="500"/>
    </w:pPr>
  </w:style>
  <w:style w:type="paragraph" w:customStyle="1" w:styleId="51">
    <w:name w:val="段落樣式5"/>
    <w:basedOn w:val="41"/>
    <w:pPr>
      <w:ind w:leftChars="600" w:left="600"/>
    </w:pPr>
  </w:style>
  <w:style w:type="paragraph" w:customStyle="1" w:styleId="61">
    <w:name w:val="段落樣式6"/>
    <w:basedOn w:val="51"/>
    <w:pPr>
      <w:ind w:leftChars="700" w:left="700"/>
    </w:pPr>
  </w:style>
  <w:style w:type="paragraph" w:customStyle="1" w:styleId="71">
    <w:name w:val="段落樣式7"/>
    <w:basedOn w:val="61"/>
  </w:style>
  <w:style w:type="paragraph" w:customStyle="1" w:styleId="81">
    <w:name w:val="段落樣式8"/>
    <w:basedOn w:val="71"/>
    <w:pPr>
      <w:ind w:leftChars="800" w:left="800"/>
    </w:pPr>
  </w:style>
  <w:style w:type="paragraph" w:customStyle="1" w:styleId="a0">
    <w:name w:val="表樣式"/>
    <w:basedOn w:val="a1"/>
    <w:next w:val="a1"/>
    <w:pPr>
      <w:numPr>
        <w:numId w:val="2"/>
      </w:numPr>
      <w:jc w:val="both"/>
    </w:pPr>
    <w:rPr>
      <w:rFonts w:ascii="標楷體"/>
      <w:kern w:val="0"/>
    </w:rPr>
  </w:style>
  <w:style w:type="paragraph" w:styleId="ac">
    <w:name w:val="Body Text Indent"/>
    <w:basedOn w:val="a1"/>
    <w:semiHidden/>
    <w:pPr>
      <w:ind w:left="698" w:hangingChars="200" w:hanging="698"/>
    </w:pPr>
  </w:style>
  <w:style w:type="paragraph" w:customStyle="1" w:styleId="ad">
    <w:name w:val="調查報告"/>
    <w:basedOn w:val="a6"/>
    <w:pPr>
      <w:kinsoku w:val="0"/>
      <w:spacing w:before="0"/>
      <w:ind w:left="1701" w:firstLine="0"/>
    </w:pPr>
    <w:rPr>
      <w:b/>
      <w:snapToGrid/>
      <w:spacing w:val="200"/>
      <w:kern w:val="0"/>
      <w:sz w:val="36"/>
    </w:rPr>
  </w:style>
  <w:style w:type="paragraph" w:customStyle="1" w:styleId="a">
    <w:name w:val="圖樣式"/>
    <w:basedOn w:val="a1"/>
    <w:next w:val="a1"/>
    <w:pPr>
      <w:numPr>
        <w:numId w:val="3"/>
      </w:numPr>
      <w:tabs>
        <w:tab w:val="clear" w:pos="1440"/>
      </w:tabs>
      <w:ind w:left="400" w:hangingChars="400" w:hanging="400"/>
      <w:jc w:val="both"/>
    </w:pPr>
    <w:rPr>
      <w:rFonts w:ascii="標楷體"/>
    </w:rPr>
  </w:style>
  <w:style w:type="paragraph" w:styleId="ae">
    <w:name w:val="footer"/>
    <w:basedOn w:val="a1"/>
    <w:semiHidden/>
    <w:pPr>
      <w:tabs>
        <w:tab w:val="center" w:pos="4153"/>
        <w:tab w:val="right" w:pos="8306"/>
      </w:tabs>
      <w:snapToGrid w:val="0"/>
    </w:pPr>
    <w:rPr>
      <w:sz w:val="20"/>
    </w:rPr>
  </w:style>
  <w:style w:type="paragraph" w:styleId="af">
    <w:name w:val="table of figures"/>
    <w:basedOn w:val="a1"/>
    <w:next w:val="a1"/>
    <w:semiHidden/>
    <w:pPr>
      <w:ind w:left="400" w:hangingChars="400" w:hanging="400"/>
    </w:pPr>
  </w:style>
  <w:style w:type="paragraph" w:styleId="af0">
    <w:name w:val="List Paragraph"/>
    <w:basedOn w:val="a1"/>
    <w:uiPriority w:val="34"/>
    <w:qFormat/>
    <w:rsid w:val="00BF57A4"/>
    <w:pPr>
      <w:ind w:leftChars="200" w:left="480"/>
    </w:pPr>
  </w:style>
  <w:style w:type="paragraph" w:styleId="af1">
    <w:name w:val="footnote text"/>
    <w:basedOn w:val="a1"/>
    <w:link w:val="af2"/>
    <w:uiPriority w:val="99"/>
    <w:unhideWhenUsed/>
    <w:rsid w:val="005C4B5F"/>
    <w:pPr>
      <w:snapToGrid w:val="0"/>
    </w:pPr>
    <w:rPr>
      <w:sz w:val="20"/>
    </w:rPr>
  </w:style>
  <w:style w:type="character" w:customStyle="1" w:styleId="af2">
    <w:name w:val="註腳文字 字元"/>
    <w:basedOn w:val="a2"/>
    <w:link w:val="af1"/>
    <w:uiPriority w:val="99"/>
    <w:rsid w:val="005C4B5F"/>
    <w:rPr>
      <w:rFonts w:eastAsia="標楷體"/>
      <w:kern w:val="2"/>
    </w:rPr>
  </w:style>
  <w:style w:type="character" w:styleId="af3">
    <w:name w:val="footnote reference"/>
    <w:basedOn w:val="a2"/>
    <w:uiPriority w:val="99"/>
    <w:semiHidden/>
    <w:unhideWhenUsed/>
    <w:rsid w:val="005C4B5F"/>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pPr>
      <w:widowControl w:val="0"/>
    </w:pPr>
    <w:rPr>
      <w:rFonts w:eastAsia="標楷體"/>
      <w:kern w:val="2"/>
      <w:sz w:val="32"/>
    </w:rPr>
  </w:style>
  <w:style w:type="paragraph" w:styleId="1">
    <w:name w:val="heading 1"/>
    <w:basedOn w:val="a1"/>
    <w:qFormat/>
    <w:pPr>
      <w:numPr>
        <w:numId w:val="1"/>
      </w:numPr>
      <w:kinsoku w:val="0"/>
      <w:ind w:left="699"/>
      <w:jc w:val="both"/>
      <w:outlineLvl w:val="0"/>
    </w:pPr>
    <w:rPr>
      <w:rFonts w:ascii="標楷體" w:hAnsi="Arial"/>
      <w:bCs/>
      <w:kern w:val="0"/>
      <w:szCs w:val="52"/>
    </w:rPr>
  </w:style>
  <w:style w:type="paragraph" w:styleId="2">
    <w:name w:val="heading 2"/>
    <w:basedOn w:val="a1"/>
    <w:qFormat/>
    <w:pPr>
      <w:numPr>
        <w:ilvl w:val="1"/>
        <w:numId w:val="1"/>
      </w:numPr>
      <w:kinsoku w:val="0"/>
      <w:ind w:left="1045"/>
      <w:jc w:val="both"/>
      <w:outlineLvl w:val="1"/>
    </w:pPr>
    <w:rPr>
      <w:rFonts w:ascii="標楷體" w:hAnsi="Arial"/>
      <w:bCs/>
      <w:kern w:val="0"/>
      <w:szCs w:val="48"/>
    </w:rPr>
  </w:style>
  <w:style w:type="paragraph" w:styleId="3">
    <w:name w:val="heading 3"/>
    <w:basedOn w:val="a1"/>
    <w:qFormat/>
    <w:pPr>
      <w:numPr>
        <w:ilvl w:val="2"/>
        <w:numId w:val="1"/>
      </w:numPr>
      <w:kinsoku w:val="0"/>
      <w:ind w:leftChars="200" w:left="400" w:hangingChars="200" w:hanging="200"/>
      <w:jc w:val="both"/>
      <w:outlineLvl w:val="2"/>
    </w:pPr>
    <w:rPr>
      <w:rFonts w:ascii="標楷體" w:hAnsi="Arial"/>
      <w:bCs/>
      <w:kern w:val="0"/>
      <w:szCs w:val="36"/>
    </w:rPr>
  </w:style>
  <w:style w:type="paragraph" w:styleId="4">
    <w:name w:val="heading 4"/>
    <w:basedOn w:val="a1"/>
    <w:qFormat/>
    <w:pPr>
      <w:numPr>
        <w:ilvl w:val="3"/>
        <w:numId w:val="1"/>
      </w:numPr>
      <w:ind w:leftChars="300" w:left="500" w:hangingChars="200" w:hanging="200"/>
      <w:jc w:val="both"/>
      <w:outlineLvl w:val="3"/>
    </w:pPr>
    <w:rPr>
      <w:rFonts w:ascii="標楷體" w:hAnsi="Arial"/>
      <w:szCs w:val="36"/>
    </w:rPr>
  </w:style>
  <w:style w:type="paragraph" w:styleId="5">
    <w:name w:val="heading 5"/>
    <w:basedOn w:val="a1"/>
    <w:qFormat/>
    <w:pPr>
      <w:numPr>
        <w:ilvl w:val="4"/>
        <w:numId w:val="1"/>
      </w:numPr>
      <w:kinsoku w:val="0"/>
      <w:ind w:leftChars="400" w:left="600" w:hangingChars="200" w:hanging="200"/>
      <w:jc w:val="both"/>
      <w:outlineLvl w:val="4"/>
    </w:pPr>
    <w:rPr>
      <w:rFonts w:ascii="標楷體" w:hAnsi="Arial"/>
      <w:bCs/>
      <w:szCs w:val="36"/>
    </w:rPr>
  </w:style>
  <w:style w:type="paragraph" w:styleId="6">
    <w:name w:val="heading 6"/>
    <w:basedOn w:val="a1"/>
    <w:qFormat/>
    <w:pPr>
      <w:numPr>
        <w:ilvl w:val="5"/>
        <w:numId w:val="1"/>
      </w:numPr>
      <w:tabs>
        <w:tab w:val="left" w:pos="2094"/>
      </w:tabs>
      <w:kinsoku w:val="0"/>
      <w:ind w:leftChars="500" w:left="700" w:hangingChars="200" w:hanging="200"/>
      <w:jc w:val="both"/>
      <w:outlineLvl w:val="5"/>
    </w:pPr>
    <w:rPr>
      <w:rFonts w:ascii="標楷體" w:hAnsi="Arial"/>
      <w:szCs w:val="36"/>
    </w:rPr>
  </w:style>
  <w:style w:type="paragraph" w:styleId="7">
    <w:name w:val="heading 7"/>
    <w:basedOn w:val="a1"/>
    <w:qFormat/>
    <w:pPr>
      <w:numPr>
        <w:ilvl w:val="6"/>
        <w:numId w:val="1"/>
      </w:numPr>
      <w:kinsoku w:val="0"/>
      <w:ind w:leftChars="600" w:left="700" w:hangingChars="100" w:hanging="100"/>
      <w:jc w:val="both"/>
      <w:outlineLvl w:val="6"/>
    </w:pPr>
    <w:rPr>
      <w:rFonts w:ascii="標楷體" w:hAnsi="Arial"/>
      <w:bCs/>
      <w:szCs w:val="36"/>
    </w:rPr>
  </w:style>
  <w:style w:type="paragraph" w:styleId="8">
    <w:name w:val="heading 8"/>
    <w:basedOn w:val="a1"/>
    <w:qFormat/>
    <w:pPr>
      <w:numPr>
        <w:ilvl w:val="7"/>
        <w:numId w:val="1"/>
      </w:numPr>
      <w:kinsoku w:val="0"/>
      <w:ind w:leftChars="700" w:left="800" w:hangingChars="100" w:hanging="100"/>
      <w:jc w:val="both"/>
      <w:outlineLvl w:val="7"/>
    </w:pPr>
    <w:rPr>
      <w:rFonts w:ascii="標楷體" w:hAnsi="Arial"/>
      <w:szCs w:val="3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Signature"/>
    <w:basedOn w:val="a1"/>
    <w:semiHidden/>
    <w:pPr>
      <w:spacing w:before="720" w:after="720"/>
      <w:ind w:left="7371"/>
    </w:pPr>
    <w:rPr>
      <w:rFonts w:ascii="標楷體"/>
      <w:b/>
      <w:snapToGrid w:val="0"/>
      <w:spacing w:val="10"/>
      <w:sz w:val="36"/>
    </w:rPr>
  </w:style>
  <w:style w:type="paragraph" w:styleId="a6">
    <w:name w:val="endnote text"/>
    <w:basedOn w:val="a1"/>
    <w:semiHidden/>
    <w:pPr>
      <w:spacing w:before="240"/>
      <w:ind w:left="1021" w:hanging="1021"/>
      <w:jc w:val="both"/>
    </w:pPr>
    <w:rPr>
      <w:rFonts w:ascii="標楷體"/>
      <w:snapToGrid w:val="0"/>
      <w:spacing w:val="10"/>
    </w:rPr>
  </w:style>
  <w:style w:type="paragraph" w:styleId="50">
    <w:name w:val="toc 5"/>
    <w:basedOn w:val="a1"/>
    <w:next w:val="a1"/>
    <w:autoRedefine/>
    <w:semiHidden/>
    <w:pPr>
      <w:ind w:leftChars="400" w:left="600" w:rightChars="200" w:right="200" w:hangingChars="200" w:hanging="200"/>
    </w:pPr>
    <w:rPr>
      <w:rFonts w:ascii="標楷體"/>
    </w:rPr>
  </w:style>
  <w:style w:type="character" w:styleId="a7">
    <w:name w:val="page number"/>
    <w:basedOn w:val="a2"/>
    <w:semiHidden/>
    <w:rPr>
      <w:rFonts w:ascii="標楷體" w:eastAsia="標楷體"/>
      <w:sz w:val="20"/>
    </w:rPr>
  </w:style>
  <w:style w:type="paragraph" w:styleId="60">
    <w:name w:val="toc 6"/>
    <w:basedOn w:val="a1"/>
    <w:next w:val="a1"/>
    <w:autoRedefine/>
    <w:semiHidden/>
    <w:pPr>
      <w:ind w:leftChars="500" w:left="500"/>
    </w:pPr>
    <w:rPr>
      <w:rFonts w:ascii="標楷體"/>
    </w:rPr>
  </w:style>
  <w:style w:type="paragraph" w:customStyle="1" w:styleId="10">
    <w:name w:val="段落樣式1"/>
    <w:basedOn w:val="a1"/>
    <w:pPr>
      <w:tabs>
        <w:tab w:val="left" w:pos="567"/>
      </w:tabs>
      <w:kinsoku w:val="0"/>
      <w:ind w:leftChars="200" w:left="200" w:firstLineChars="200" w:firstLine="200"/>
      <w:jc w:val="both"/>
    </w:pPr>
    <w:rPr>
      <w:rFonts w:ascii="標楷體"/>
      <w:kern w:val="0"/>
    </w:rPr>
  </w:style>
  <w:style w:type="paragraph" w:customStyle="1" w:styleId="20">
    <w:name w:val="段落樣式2"/>
    <w:basedOn w:val="a1"/>
    <w:pPr>
      <w:tabs>
        <w:tab w:val="left" w:pos="567"/>
      </w:tabs>
      <w:ind w:leftChars="300" w:left="300" w:firstLineChars="200" w:firstLine="200"/>
      <w:jc w:val="both"/>
    </w:pPr>
    <w:rPr>
      <w:rFonts w:ascii="標楷體"/>
      <w:kern w:val="0"/>
    </w:rPr>
  </w:style>
  <w:style w:type="paragraph" w:styleId="11">
    <w:name w:val="toc 1"/>
    <w:basedOn w:val="a1"/>
    <w:next w:val="a1"/>
    <w:autoRedefine/>
    <w:semiHidden/>
    <w:pPr>
      <w:kinsoku w:val="0"/>
      <w:ind w:left="2443" w:rightChars="200" w:right="698" w:hangingChars="700" w:hanging="2443"/>
      <w:jc w:val="both"/>
    </w:pPr>
    <w:rPr>
      <w:rFonts w:ascii="標楷體"/>
      <w:noProof/>
      <w:szCs w:val="32"/>
    </w:rPr>
  </w:style>
  <w:style w:type="paragraph" w:styleId="21">
    <w:name w:val="toc 2"/>
    <w:basedOn w:val="a1"/>
    <w:next w:val="a1"/>
    <w:autoRedefine/>
    <w:semiHidden/>
    <w:pPr>
      <w:kinsoku w:val="0"/>
      <w:ind w:leftChars="100" w:left="300" w:rightChars="200" w:right="200" w:hangingChars="200" w:hanging="200"/>
    </w:pPr>
    <w:rPr>
      <w:rFonts w:ascii="標楷體"/>
      <w:noProof/>
    </w:rPr>
  </w:style>
  <w:style w:type="paragraph" w:styleId="30">
    <w:name w:val="toc 3"/>
    <w:basedOn w:val="a1"/>
    <w:next w:val="a1"/>
    <w:autoRedefine/>
    <w:semiHidden/>
    <w:pPr>
      <w:kinsoku w:val="0"/>
      <w:ind w:leftChars="200" w:left="400" w:rightChars="200" w:right="200" w:hangingChars="200" w:hanging="200"/>
      <w:jc w:val="both"/>
    </w:pPr>
    <w:rPr>
      <w:rFonts w:ascii="標楷體"/>
      <w:noProof/>
    </w:rPr>
  </w:style>
  <w:style w:type="paragraph" w:styleId="40">
    <w:name w:val="toc 4"/>
    <w:basedOn w:val="a1"/>
    <w:next w:val="a1"/>
    <w:autoRedefine/>
    <w:semiHidden/>
    <w:pPr>
      <w:kinsoku w:val="0"/>
      <w:ind w:leftChars="300" w:left="500" w:rightChars="200" w:right="200" w:hangingChars="200" w:hanging="200"/>
      <w:jc w:val="both"/>
    </w:pPr>
    <w:rPr>
      <w:rFonts w:ascii="標楷體"/>
    </w:rPr>
  </w:style>
  <w:style w:type="paragraph" w:styleId="70">
    <w:name w:val="toc 7"/>
    <w:basedOn w:val="a1"/>
    <w:next w:val="a1"/>
    <w:autoRedefine/>
    <w:semiHidden/>
    <w:pPr>
      <w:ind w:leftChars="600" w:left="800" w:hangingChars="200" w:hanging="200"/>
    </w:pPr>
    <w:rPr>
      <w:rFonts w:ascii="標楷體"/>
    </w:rPr>
  </w:style>
  <w:style w:type="paragraph" w:styleId="80">
    <w:name w:val="toc 8"/>
    <w:basedOn w:val="a1"/>
    <w:next w:val="a1"/>
    <w:autoRedefine/>
    <w:semiHidden/>
    <w:pPr>
      <w:ind w:leftChars="700" w:left="900" w:hangingChars="200" w:hanging="200"/>
    </w:pPr>
    <w:rPr>
      <w:rFonts w:ascii="標楷體"/>
    </w:rPr>
  </w:style>
  <w:style w:type="paragraph" w:styleId="9">
    <w:name w:val="toc 9"/>
    <w:basedOn w:val="a1"/>
    <w:next w:val="a1"/>
    <w:autoRedefine/>
    <w:semiHidden/>
    <w:pPr>
      <w:ind w:leftChars="1600" w:left="3840"/>
    </w:pPr>
  </w:style>
  <w:style w:type="paragraph" w:styleId="a8">
    <w:name w:val="header"/>
    <w:basedOn w:val="a1"/>
    <w:semiHidden/>
    <w:pPr>
      <w:tabs>
        <w:tab w:val="center" w:pos="4153"/>
        <w:tab w:val="right" w:pos="8306"/>
      </w:tabs>
      <w:snapToGrid w:val="0"/>
    </w:pPr>
    <w:rPr>
      <w:sz w:val="20"/>
    </w:rPr>
  </w:style>
  <w:style w:type="paragraph" w:customStyle="1" w:styleId="31">
    <w:name w:val="段落樣式3"/>
    <w:basedOn w:val="20"/>
    <w:pPr>
      <w:ind w:leftChars="400" w:left="400"/>
    </w:pPr>
  </w:style>
  <w:style w:type="character" w:styleId="a9">
    <w:name w:val="Hyperlink"/>
    <w:basedOn w:val="a2"/>
    <w:semiHidden/>
    <w:rPr>
      <w:color w:val="0000FF"/>
      <w:u w:val="single"/>
    </w:rPr>
  </w:style>
  <w:style w:type="paragraph" w:customStyle="1" w:styleId="aa">
    <w:name w:val="簽名日期"/>
    <w:basedOn w:val="a1"/>
    <w:pPr>
      <w:kinsoku w:val="0"/>
      <w:jc w:val="distribute"/>
    </w:pPr>
    <w:rPr>
      <w:kern w:val="0"/>
    </w:rPr>
  </w:style>
  <w:style w:type="paragraph" w:customStyle="1" w:styleId="0">
    <w:name w:val="段落樣式0"/>
    <w:basedOn w:val="20"/>
    <w:pPr>
      <w:ind w:leftChars="200" w:left="200" w:firstLineChars="0" w:firstLine="0"/>
    </w:pPr>
  </w:style>
  <w:style w:type="paragraph" w:customStyle="1" w:styleId="ab">
    <w:name w:val="附件"/>
    <w:basedOn w:val="a6"/>
    <w:pPr>
      <w:kinsoku w:val="0"/>
      <w:spacing w:before="0"/>
      <w:ind w:left="1047" w:hangingChars="300" w:hanging="1047"/>
    </w:pPr>
    <w:rPr>
      <w:snapToGrid/>
      <w:spacing w:val="0"/>
      <w:kern w:val="0"/>
    </w:rPr>
  </w:style>
  <w:style w:type="paragraph" w:customStyle="1" w:styleId="41">
    <w:name w:val="段落樣式4"/>
    <w:basedOn w:val="31"/>
    <w:pPr>
      <w:ind w:leftChars="500" w:left="500"/>
    </w:pPr>
  </w:style>
  <w:style w:type="paragraph" w:customStyle="1" w:styleId="51">
    <w:name w:val="段落樣式5"/>
    <w:basedOn w:val="41"/>
    <w:pPr>
      <w:ind w:leftChars="600" w:left="600"/>
    </w:pPr>
  </w:style>
  <w:style w:type="paragraph" w:customStyle="1" w:styleId="61">
    <w:name w:val="段落樣式6"/>
    <w:basedOn w:val="51"/>
    <w:pPr>
      <w:ind w:leftChars="700" w:left="700"/>
    </w:pPr>
  </w:style>
  <w:style w:type="paragraph" w:customStyle="1" w:styleId="71">
    <w:name w:val="段落樣式7"/>
    <w:basedOn w:val="61"/>
  </w:style>
  <w:style w:type="paragraph" w:customStyle="1" w:styleId="81">
    <w:name w:val="段落樣式8"/>
    <w:basedOn w:val="71"/>
    <w:pPr>
      <w:ind w:leftChars="800" w:left="800"/>
    </w:pPr>
  </w:style>
  <w:style w:type="paragraph" w:customStyle="1" w:styleId="a0">
    <w:name w:val="表樣式"/>
    <w:basedOn w:val="a1"/>
    <w:next w:val="a1"/>
    <w:pPr>
      <w:numPr>
        <w:numId w:val="2"/>
      </w:numPr>
      <w:jc w:val="both"/>
    </w:pPr>
    <w:rPr>
      <w:rFonts w:ascii="標楷體"/>
      <w:kern w:val="0"/>
    </w:rPr>
  </w:style>
  <w:style w:type="paragraph" w:styleId="ac">
    <w:name w:val="Body Text Indent"/>
    <w:basedOn w:val="a1"/>
    <w:semiHidden/>
    <w:pPr>
      <w:ind w:left="698" w:hangingChars="200" w:hanging="698"/>
    </w:pPr>
  </w:style>
  <w:style w:type="paragraph" w:customStyle="1" w:styleId="ad">
    <w:name w:val="調查報告"/>
    <w:basedOn w:val="a6"/>
    <w:pPr>
      <w:kinsoku w:val="0"/>
      <w:spacing w:before="0"/>
      <w:ind w:left="1701" w:firstLine="0"/>
    </w:pPr>
    <w:rPr>
      <w:b/>
      <w:snapToGrid/>
      <w:spacing w:val="200"/>
      <w:kern w:val="0"/>
      <w:sz w:val="36"/>
    </w:rPr>
  </w:style>
  <w:style w:type="paragraph" w:customStyle="1" w:styleId="a">
    <w:name w:val="圖樣式"/>
    <w:basedOn w:val="a1"/>
    <w:next w:val="a1"/>
    <w:pPr>
      <w:numPr>
        <w:numId w:val="3"/>
      </w:numPr>
      <w:tabs>
        <w:tab w:val="clear" w:pos="1440"/>
      </w:tabs>
      <w:ind w:left="400" w:hangingChars="400" w:hanging="400"/>
      <w:jc w:val="both"/>
    </w:pPr>
    <w:rPr>
      <w:rFonts w:ascii="標楷體"/>
    </w:rPr>
  </w:style>
  <w:style w:type="paragraph" w:styleId="ae">
    <w:name w:val="footer"/>
    <w:basedOn w:val="a1"/>
    <w:semiHidden/>
    <w:pPr>
      <w:tabs>
        <w:tab w:val="center" w:pos="4153"/>
        <w:tab w:val="right" w:pos="8306"/>
      </w:tabs>
      <w:snapToGrid w:val="0"/>
    </w:pPr>
    <w:rPr>
      <w:sz w:val="20"/>
    </w:rPr>
  </w:style>
  <w:style w:type="paragraph" w:styleId="af">
    <w:name w:val="table of figures"/>
    <w:basedOn w:val="a1"/>
    <w:next w:val="a1"/>
    <w:semiHidden/>
    <w:pPr>
      <w:ind w:left="400" w:hangingChars="400" w:hanging="400"/>
    </w:pPr>
  </w:style>
  <w:style w:type="paragraph" w:styleId="af0">
    <w:name w:val="List Paragraph"/>
    <w:basedOn w:val="a1"/>
    <w:uiPriority w:val="34"/>
    <w:qFormat/>
    <w:rsid w:val="00BF57A4"/>
    <w:pPr>
      <w:ind w:leftChars="200" w:left="480"/>
    </w:pPr>
  </w:style>
  <w:style w:type="paragraph" w:styleId="af1">
    <w:name w:val="footnote text"/>
    <w:basedOn w:val="a1"/>
    <w:link w:val="af2"/>
    <w:uiPriority w:val="99"/>
    <w:unhideWhenUsed/>
    <w:rsid w:val="005C4B5F"/>
    <w:pPr>
      <w:snapToGrid w:val="0"/>
    </w:pPr>
    <w:rPr>
      <w:sz w:val="20"/>
    </w:rPr>
  </w:style>
  <w:style w:type="character" w:customStyle="1" w:styleId="af2">
    <w:name w:val="註腳文字 字元"/>
    <w:basedOn w:val="a2"/>
    <w:link w:val="af1"/>
    <w:uiPriority w:val="99"/>
    <w:rsid w:val="005C4B5F"/>
    <w:rPr>
      <w:rFonts w:eastAsia="標楷體"/>
      <w:kern w:val="2"/>
    </w:rPr>
  </w:style>
  <w:style w:type="character" w:styleId="af3">
    <w:name w:val="footnote reference"/>
    <w:basedOn w:val="a2"/>
    <w:uiPriority w:val="99"/>
    <w:semiHidden/>
    <w:unhideWhenUsed/>
    <w:rsid w:val="005C4B5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jchen\AppData\Roaming\Microsoft\Templates\&#27243;&#24335;&#35519;&#26597;&#34920;&#21934;\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6ABD26-CBC8-4C5D-BE28-6EB8BB85FC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4</TotalTime>
  <Pages>13</Pages>
  <Words>990</Words>
  <Characters>5644</Characters>
  <Application>Microsoft Office Word</Application>
  <DocSecurity>0</DocSecurity>
  <Lines>47</Lines>
  <Paragraphs>13</Paragraphs>
  <ScaleCrop>false</ScaleCrop>
  <Company>cy</Company>
  <LinksUpToDate>false</LinksUpToDate>
  <CharactersWithSpaces>6621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監察院監察調查處「調查報告格式範本」說明資料       2001/9/4</dc:title>
  <dc:creator>stud01</dc:creator>
  <cp:lastModifiedBy>stud01</cp:lastModifiedBy>
  <cp:revision>4</cp:revision>
  <cp:lastPrinted>2019-03-12T00:20:00Z</cp:lastPrinted>
  <dcterms:created xsi:type="dcterms:W3CDTF">2019-04-09T07:32:00Z</dcterms:created>
  <dcterms:modified xsi:type="dcterms:W3CDTF">2019-04-09T07:38:00Z</dcterms:modified>
</cp:coreProperties>
</file>