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A61" w:rsidRPr="00BC2B41" w:rsidRDefault="00922A61" w:rsidP="005C5DDA">
      <w:pPr>
        <w:pStyle w:val="ac"/>
        <w:overflowPunct w:val="0"/>
        <w:topLinePunct/>
        <w:autoSpaceDN w:val="0"/>
        <w:spacing w:before="0"/>
        <w:ind w:left="2380" w:hangingChars="290" w:hanging="2380"/>
        <w:jc w:val="center"/>
        <w:rPr>
          <w:b/>
          <w:bCs/>
          <w:snapToGrid/>
          <w:kern w:val="0"/>
          <w:sz w:val="40"/>
        </w:rPr>
      </w:pPr>
      <w:r w:rsidRPr="00BC2B41">
        <w:rPr>
          <w:rFonts w:hint="eastAsia"/>
          <w:b/>
          <w:bCs/>
          <w:snapToGrid/>
          <w:spacing w:val="200"/>
          <w:kern w:val="0"/>
          <w:sz w:val="40"/>
        </w:rPr>
        <w:t>糾正案文</w:t>
      </w:r>
    </w:p>
    <w:p w:rsidR="00922A61" w:rsidRPr="00BC2B41" w:rsidRDefault="00922A61" w:rsidP="005C5DDA">
      <w:pPr>
        <w:pStyle w:val="1"/>
        <w:kinsoku/>
        <w:overflowPunct w:val="0"/>
        <w:topLinePunct/>
        <w:autoSpaceDN w:val="0"/>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BC2B41">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AC30F8" w:rsidRPr="00BC2B41">
        <w:rPr>
          <w:rFonts w:hint="eastAsia"/>
        </w:rPr>
        <w:t>行政院、經濟部</w:t>
      </w:r>
      <w:r w:rsidRPr="00BC2B41">
        <w:rPr>
          <w:rFonts w:hint="eastAsia"/>
        </w:rPr>
        <w:t>。</w:t>
      </w:r>
    </w:p>
    <w:p w:rsidR="000B1B6A" w:rsidRPr="00BC2B41" w:rsidRDefault="00922A61" w:rsidP="00A72B32">
      <w:pPr>
        <w:pStyle w:val="1"/>
        <w:autoSpaceDN w:val="0"/>
        <w:ind w:left="2721" w:hanging="2721"/>
      </w:pPr>
      <w:bookmarkStart w:id="14" w:name="_Toc529218255"/>
      <w:bookmarkStart w:id="15" w:name="_Toc529222678"/>
      <w:bookmarkStart w:id="16" w:name="_Toc529223100"/>
      <w:bookmarkStart w:id="17" w:name="_Toc529223851"/>
      <w:bookmarkStart w:id="18" w:name="_Toc529228247"/>
      <w:r w:rsidRPr="00BC2B41">
        <w:rPr>
          <w:rFonts w:hint="eastAsia"/>
        </w:rPr>
        <w:t>案　　　由：</w:t>
      </w:r>
      <w:r w:rsidR="00562D9F" w:rsidRPr="00BC2B41">
        <w:rPr>
          <w:rFonts w:hint="eastAsia"/>
        </w:rPr>
        <w:t>核四</w:t>
      </w:r>
      <w:r w:rsidR="005831AE" w:rsidRPr="00BC2B41">
        <w:rPr>
          <w:rFonts w:hint="eastAsia"/>
        </w:rPr>
        <w:t>封存</w:t>
      </w:r>
      <w:r w:rsidR="00E6117D" w:rsidRPr="00BC2B41">
        <w:rPr>
          <w:rFonts w:hint="eastAsia"/>
        </w:rPr>
        <w:t>後每年仍耗費數億元於資產維護管理，行政院及經濟部對外宣告核四重啟不可行</w:t>
      </w:r>
      <w:r w:rsidR="005831AE" w:rsidRPr="00BC2B41">
        <w:rPr>
          <w:rFonts w:hint="eastAsia"/>
        </w:rPr>
        <w:t>，</w:t>
      </w:r>
      <w:r w:rsidR="00E6117D" w:rsidRPr="00BC2B41">
        <w:rPr>
          <w:rFonts w:hint="eastAsia"/>
        </w:rPr>
        <w:t>核四興建費用</w:t>
      </w:r>
      <w:r w:rsidR="00562D9F" w:rsidRPr="00BC2B41">
        <w:rPr>
          <w:rFonts w:hint="eastAsia"/>
        </w:rPr>
        <w:t>2,833億元</w:t>
      </w:r>
      <w:r w:rsidR="00E6117D" w:rsidRPr="00BC2B41">
        <w:rPr>
          <w:rFonts w:hint="eastAsia"/>
        </w:rPr>
        <w:t>須列為</w:t>
      </w:r>
      <w:r w:rsidR="005831AE" w:rsidRPr="00BC2B41">
        <w:rPr>
          <w:rFonts w:hint="eastAsia"/>
        </w:rPr>
        <w:t>損失</w:t>
      </w:r>
      <w:r w:rsidR="00562D9F" w:rsidRPr="00BC2B41">
        <w:rPr>
          <w:rFonts w:hint="eastAsia"/>
        </w:rPr>
        <w:t>，</w:t>
      </w:r>
      <w:r w:rsidR="00E6117D" w:rsidRPr="00BC2B41">
        <w:rPr>
          <w:rFonts w:hint="eastAsia"/>
        </w:rPr>
        <w:t>行政院及</w:t>
      </w:r>
      <w:r w:rsidR="00562D9F" w:rsidRPr="00BC2B41">
        <w:rPr>
          <w:rFonts w:hint="eastAsia"/>
        </w:rPr>
        <w:t>經濟部對核四政策之重大變動，導致資源嚴重浪費；</w:t>
      </w:r>
      <w:r w:rsidR="00AB2E5A" w:rsidRPr="00BC2B41">
        <w:rPr>
          <w:rFonts w:hint="eastAsia"/>
        </w:rPr>
        <w:t>再者，</w:t>
      </w:r>
      <w:r w:rsidR="00562D9F" w:rsidRPr="00BC2B41">
        <w:rPr>
          <w:rFonts w:hint="eastAsia"/>
        </w:rPr>
        <w:t>經濟部宣布能源配比(燃氣50%、燃煤30%、再生能源20%)之能源轉型政策，未經能源安全、能源經濟及環境影響等完整評估</w:t>
      </w:r>
      <w:r w:rsidR="00AB2E5A" w:rsidRPr="00BC2B41">
        <w:rPr>
          <w:rFonts w:hint="eastAsia"/>
        </w:rPr>
        <w:t>，復於</w:t>
      </w:r>
      <w:r w:rsidR="00562D9F" w:rsidRPr="00BC2B41">
        <w:rPr>
          <w:rFonts w:hint="eastAsia"/>
        </w:rPr>
        <w:t>再生能源發電量增加有限情況下，</w:t>
      </w:r>
      <w:r w:rsidR="00AB2E5A" w:rsidRPr="00BC2B41">
        <w:rPr>
          <w:rFonts w:hint="eastAsia"/>
        </w:rPr>
        <w:t>以</w:t>
      </w:r>
      <w:r w:rsidR="00562D9F" w:rsidRPr="00BC2B41">
        <w:rPr>
          <w:rFonts w:hint="eastAsia"/>
        </w:rPr>
        <w:t>運轉中核電機組長期停機</w:t>
      </w:r>
      <w:r w:rsidR="00AB2E5A" w:rsidRPr="00BC2B41">
        <w:rPr>
          <w:rFonts w:hint="eastAsia"/>
        </w:rPr>
        <w:t>方式減核</w:t>
      </w:r>
      <w:r w:rsidR="00562D9F" w:rsidRPr="00BC2B41">
        <w:rPr>
          <w:rFonts w:hint="eastAsia"/>
        </w:rPr>
        <w:t>，</w:t>
      </w:r>
      <w:r w:rsidR="00AB2E5A" w:rsidRPr="00BC2B41">
        <w:rPr>
          <w:rFonts w:hint="eastAsia"/>
        </w:rPr>
        <w:t>致近年火力發</w:t>
      </w:r>
      <w:r w:rsidR="003A5AB9" w:rsidRPr="00BC2B41">
        <w:rPr>
          <w:rFonts w:hint="eastAsia"/>
        </w:rPr>
        <w:t>購</w:t>
      </w:r>
      <w:r w:rsidR="00AB2E5A" w:rsidRPr="00BC2B41">
        <w:rPr>
          <w:rFonts w:hint="eastAsia"/>
        </w:rPr>
        <w:t>電</w:t>
      </w:r>
      <w:r w:rsidR="003A5AB9" w:rsidRPr="00BC2B41">
        <w:rPr>
          <w:rFonts w:hint="eastAsia"/>
        </w:rPr>
        <w:t>量</w:t>
      </w:r>
      <w:r w:rsidR="00AB2E5A" w:rsidRPr="00BC2B41">
        <w:rPr>
          <w:rFonts w:hint="eastAsia"/>
        </w:rPr>
        <w:t>逐年提高，</w:t>
      </w:r>
      <w:r w:rsidR="00562D9F" w:rsidRPr="00BC2B41">
        <w:rPr>
          <w:rFonts w:hint="eastAsia"/>
        </w:rPr>
        <w:t>106年</w:t>
      </w:r>
      <w:r w:rsidR="00AB2E5A" w:rsidRPr="00BC2B41">
        <w:rPr>
          <w:rFonts w:hint="eastAsia"/>
        </w:rPr>
        <w:t>占比達84.4%，</w:t>
      </w:r>
      <w:r w:rsidR="00562D9F" w:rsidRPr="00BC2B41">
        <w:rPr>
          <w:rFonts w:hint="eastAsia"/>
        </w:rPr>
        <w:t>燃煤發電增幅</w:t>
      </w:r>
      <w:r w:rsidR="00AB2E5A" w:rsidRPr="00BC2B41">
        <w:rPr>
          <w:rFonts w:hint="eastAsia"/>
        </w:rPr>
        <w:t>甚至</w:t>
      </w:r>
      <w:r w:rsidR="003A5AB9" w:rsidRPr="00BC2B41">
        <w:rPr>
          <w:rFonts w:hint="eastAsia"/>
        </w:rPr>
        <w:t>高</w:t>
      </w:r>
      <w:r w:rsidR="00AB2E5A" w:rsidRPr="00BC2B41">
        <w:rPr>
          <w:rFonts w:hint="eastAsia"/>
        </w:rPr>
        <w:t>於</w:t>
      </w:r>
      <w:r w:rsidR="00562D9F" w:rsidRPr="00BC2B41">
        <w:rPr>
          <w:rFonts w:hint="eastAsia"/>
        </w:rPr>
        <w:t>燃氣，造成嚴重空氣污染；</w:t>
      </w:r>
      <w:r w:rsidR="003A5AB9" w:rsidRPr="00BC2B41">
        <w:rPr>
          <w:rFonts w:hint="eastAsia"/>
        </w:rPr>
        <w:t>以及</w:t>
      </w:r>
      <w:r w:rsidR="00562D9F" w:rsidRPr="00BC2B41">
        <w:rPr>
          <w:rFonts w:hint="eastAsia"/>
        </w:rPr>
        <w:t>經濟部宣布</w:t>
      </w:r>
      <w:r w:rsidR="005831AE" w:rsidRPr="00BC2B41">
        <w:rPr>
          <w:rFonts w:hint="eastAsia"/>
        </w:rPr>
        <w:t>新能源政策</w:t>
      </w:r>
      <w:r w:rsidR="00562D9F" w:rsidRPr="00BC2B41">
        <w:rPr>
          <w:rFonts w:hint="eastAsia"/>
        </w:rPr>
        <w:t>之前，並未評估其對電價之影響，迄106年3月行政院始於國公營企業體檢小組會議評估</w:t>
      </w:r>
      <w:r w:rsidR="003A5AB9" w:rsidRPr="00BC2B41">
        <w:rPr>
          <w:rFonts w:hint="eastAsia"/>
        </w:rPr>
        <w:t>等情，</w:t>
      </w:r>
      <w:r w:rsidR="00017CE8" w:rsidRPr="00BC2B41">
        <w:rPr>
          <w:rFonts w:hint="eastAsia"/>
        </w:rPr>
        <w:t>均有違失，爰依法提案糾正。</w:t>
      </w:r>
    </w:p>
    <w:p w:rsidR="00922A61" w:rsidRPr="00BC2B41" w:rsidRDefault="00922A61" w:rsidP="005C5DDA">
      <w:pPr>
        <w:pStyle w:val="1"/>
        <w:kinsoku/>
        <w:overflowPunct w:val="0"/>
        <w:topLinePunct/>
        <w:autoSpaceDN w:val="0"/>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BC2B41">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201841" w:rsidRPr="00BC2B41" w:rsidRDefault="00201841" w:rsidP="00201841">
      <w:pPr>
        <w:pStyle w:val="2"/>
        <w:rPr>
          <w:b/>
        </w:rPr>
      </w:pPr>
      <w:bookmarkStart w:id="33" w:name="_Toc512002742"/>
      <w:bookmarkStart w:id="34" w:name="_Toc534639978"/>
      <w:bookmarkStart w:id="35" w:name="_Toc1477899"/>
      <w:bookmarkStart w:id="36" w:name="_Toc516495630"/>
      <w:bookmarkStart w:id="37" w:name="_Toc517960099"/>
      <w:bookmarkStart w:id="38" w:name="_Toc524895648"/>
      <w:bookmarkStart w:id="39" w:name="_Toc524896194"/>
      <w:bookmarkStart w:id="40" w:name="_Toc524896224"/>
      <w:bookmarkStart w:id="41" w:name="_Toc524902734"/>
      <w:bookmarkStart w:id="42" w:name="_Toc525066148"/>
      <w:bookmarkStart w:id="43" w:name="_Toc525070839"/>
      <w:bookmarkStart w:id="44" w:name="_Toc525938379"/>
      <w:bookmarkStart w:id="45" w:name="_Toc525939227"/>
      <w:bookmarkStart w:id="46" w:name="_Toc525939732"/>
      <w:bookmarkStart w:id="47" w:name="_Toc529218272"/>
      <w:bookmarkStart w:id="48" w:name="_Toc529222689"/>
      <w:bookmarkStart w:id="49" w:name="_Toc529223111"/>
      <w:bookmarkStart w:id="50" w:name="_Toc529223862"/>
      <w:bookmarkStart w:id="51" w:name="_Toc529228265"/>
      <w:r w:rsidRPr="00BC2B41">
        <w:rPr>
          <w:rFonts w:hint="eastAsia"/>
          <w:b/>
        </w:rPr>
        <w:t>行政院自81年核定核四興建，興建期間數度停工、復工，工期一再展延並追加預算，歷經20餘年仍未能完工商轉，興建費用則已投入高達2,833億元，自103年起封存迄今，台電公司每年在無經濟效益流入的情形下，皆須耗費數億元於資產維護管理，經濟部及行政院對核四政策之重大變動，導致資源嚴重浪費，核有怠失</w:t>
      </w:r>
    </w:p>
    <w:bookmarkEnd w:id="33"/>
    <w:bookmarkEnd w:id="34"/>
    <w:bookmarkEnd w:id="35"/>
    <w:p w:rsidR="005C17A0" w:rsidRPr="00BC2B41" w:rsidRDefault="005C17A0" w:rsidP="005C5DDA">
      <w:pPr>
        <w:pStyle w:val="3"/>
        <w:overflowPunct w:val="0"/>
        <w:topLinePunct/>
        <w:autoSpaceDN w:val="0"/>
        <w:ind w:left="1361" w:hanging="681"/>
      </w:pPr>
      <w:r w:rsidRPr="00BC2B41">
        <w:rPr>
          <w:rFonts w:hint="eastAsia"/>
        </w:rPr>
        <w:t>台灣電力股份有限公司</w:t>
      </w:r>
      <w:r w:rsidRPr="00BC2B41">
        <w:rPr>
          <w:rFonts w:hAnsi="標楷體" w:hint="eastAsia"/>
        </w:rPr>
        <w:t>(下稱</w:t>
      </w:r>
      <w:r w:rsidRPr="00BC2B41">
        <w:rPr>
          <w:rFonts w:hint="eastAsia"/>
        </w:rPr>
        <w:t>台電公司</w:t>
      </w:r>
      <w:r w:rsidRPr="00BC2B41">
        <w:rPr>
          <w:rFonts w:hAnsi="標楷體" w:hint="eastAsia"/>
        </w:rPr>
        <w:t>)</w:t>
      </w:r>
      <w:r w:rsidRPr="00BC2B41">
        <w:rPr>
          <w:rFonts w:hint="eastAsia"/>
        </w:rPr>
        <w:t>於民國</w:t>
      </w:r>
      <w:r w:rsidRPr="00BC2B41">
        <w:rPr>
          <w:rFonts w:hAnsi="標楷體" w:hint="eastAsia"/>
        </w:rPr>
        <w:t>（下同）</w:t>
      </w:r>
      <w:r w:rsidRPr="00BC2B41">
        <w:rPr>
          <w:rFonts w:hint="eastAsia"/>
        </w:rPr>
        <w:t>69年5月陳報「核能四廠第一、二號機發電工程計畫」(下稱核四計畫) 先期工作，行政院於81</w:t>
      </w:r>
      <w:r w:rsidRPr="00BC2B41">
        <w:rPr>
          <w:rFonts w:hint="eastAsia"/>
        </w:rPr>
        <w:lastRenderedPageBreak/>
        <w:t>年2月核定興建，同</w:t>
      </w:r>
      <w:r w:rsidRPr="00BC2B41">
        <w:t>年6月經立法院准予動支</w:t>
      </w:r>
      <w:r w:rsidRPr="00BC2B41">
        <w:rPr>
          <w:rFonts w:hint="eastAsia"/>
        </w:rPr>
        <w:t>相</w:t>
      </w:r>
      <w:r w:rsidRPr="00BC2B41">
        <w:t>關預算</w:t>
      </w:r>
      <w:r w:rsidRPr="00BC2B41">
        <w:rPr>
          <w:rFonts w:hint="eastAsia"/>
        </w:rPr>
        <w:t>後正式動工，嗣核四計畫共歷經4次修正，興建期間數度停工、復工，工期一再展延並多次追加預算，遲未能完工商轉，本院於100年至102年間已多次就核四計畫興建期間之相關缺失提出調查報告並糾正相關機關在案</w:t>
      </w:r>
      <w:r w:rsidRPr="00BC2B41">
        <w:rPr>
          <w:rStyle w:val="afc"/>
        </w:rPr>
        <w:footnoteReference w:id="1"/>
      </w:r>
      <w:r w:rsidRPr="00BC2B41">
        <w:rPr>
          <w:rFonts w:hint="eastAsia"/>
        </w:rPr>
        <w:t>。102年2月26日立法院朝野黨團協商結論：「核四案的公民投票有結果前，不辦理追加預算、不放置燃料棒；有關101年度及102年度預算的執行，除了已經發包及安全檢測工作之外，其餘皆暫停施工」；嗣103年4月28日行政院江前院長宜樺召開記者會宣布，即日起「核四1號機不施工只安檢、安檢後封存，2號機全部停工」，是以，核四自104年1月1日起進行封存準備作業，封存期程定為3年，封存計畫配合「封存後須保持重啟可用」及「封存後重啟成本最低」之原則辦理；嗣105年7月29日立法院第9屆第1會期第1次臨時會附帶決議：「106年度起僅以最少經費與人力保管核四廠區及相關設備」，核四進入資產維護管理階段，以「確保資產設備最大價值」為目標。</w:t>
      </w:r>
    </w:p>
    <w:p w:rsidR="005C17A0" w:rsidRPr="00BC2B41" w:rsidRDefault="005C17A0" w:rsidP="005C5DDA">
      <w:pPr>
        <w:pStyle w:val="3"/>
        <w:overflowPunct w:val="0"/>
        <w:topLinePunct/>
        <w:autoSpaceDN w:val="0"/>
      </w:pPr>
      <w:r w:rsidRPr="00BC2B41">
        <w:rPr>
          <w:rFonts w:hint="eastAsia"/>
        </w:rPr>
        <w:t>本計畫原編列投資總額為新</w:t>
      </w:r>
      <w:r w:rsidR="00F00113" w:rsidRPr="00BC2B41">
        <w:rPr>
          <w:rFonts w:hint="eastAsia"/>
        </w:rPr>
        <w:t>臺</w:t>
      </w:r>
      <w:r w:rsidRPr="00BC2B41">
        <w:rPr>
          <w:rFonts w:hint="eastAsia"/>
        </w:rPr>
        <w:t>幣</w:t>
      </w:r>
      <w:r w:rsidRPr="00BC2B41">
        <w:rPr>
          <w:rFonts w:hAnsi="標楷體" w:hint="eastAsia"/>
        </w:rPr>
        <w:t>（下同）</w:t>
      </w:r>
      <w:r w:rsidRPr="00BC2B41">
        <w:rPr>
          <w:rFonts w:hint="eastAsia"/>
        </w:rPr>
        <w:t>1,697.31億餘元，原定商轉日期分別為1號機89年7月、2號機90年7月，嗣陸續修正計畫及投資總額，行政院</w:t>
      </w:r>
      <w:r w:rsidRPr="00BC2B41">
        <w:rPr>
          <w:rFonts w:hint="eastAsia"/>
        </w:rPr>
        <w:lastRenderedPageBreak/>
        <w:t>於101年核定修正之核四投資總額已高達2,838.79億元。參據台電公司預算書及決算書所載，核四計畫自71至103年度合計共編列預算2,836.62億元，累計決算數為2,832.89億元</w:t>
      </w:r>
      <w:r w:rsidRPr="00BC2B41">
        <w:rPr>
          <w:rStyle w:val="afc"/>
        </w:rPr>
        <w:footnoteReference w:id="2"/>
      </w:r>
      <w:r w:rsidRPr="00BC2B41">
        <w:rPr>
          <w:rFonts w:hint="eastAsia"/>
        </w:rPr>
        <w:t>，費用涵蓋項目包括土地、土地改良物、房屋及建築、機械及設備、交通及運輸設備、什項設備、核能燃料等。又，核四於封存及資產維護管理期間各年度預算編列情形如下：104年度停工補償費用25.29億元</w:t>
      </w:r>
      <w:r w:rsidRPr="00BC2B41">
        <w:rPr>
          <w:rStyle w:val="afc"/>
        </w:rPr>
        <w:footnoteReference w:id="3"/>
      </w:r>
      <w:r w:rsidRPr="00BC2B41">
        <w:rPr>
          <w:rFonts w:hint="eastAsia"/>
        </w:rPr>
        <w:t>及「維護保養費用及廠區管理費用」12.80億元、105年度「維護保養費用及廠區管理費用」8.56億元</w:t>
      </w:r>
      <w:r w:rsidRPr="00BC2B41">
        <w:rPr>
          <w:rStyle w:val="afc"/>
        </w:rPr>
        <w:footnoteReference w:id="4"/>
      </w:r>
      <w:r w:rsidRPr="00BC2B41">
        <w:rPr>
          <w:rFonts w:hint="eastAsia"/>
        </w:rPr>
        <w:t>、106年度「資產維護管理費用」7.5億元</w:t>
      </w:r>
      <w:r w:rsidRPr="00BC2B41">
        <w:rPr>
          <w:rStyle w:val="afc"/>
        </w:rPr>
        <w:footnoteReference w:id="5"/>
      </w:r>
      <w:r w:rsidRPr="00BC2B41">
        <w:rPr>
          <w:rFonts w:hint="eastAsia"/>
        </w:rPr>
        <w:t>；107年度及108年度均續編「資產維護管理費用」8.17億元。</w:t>
      </w:r>
    </w:p>
    <w:p w:rsidR="005C17A0" w:rsidRPr="00BC2B41" w:rsidRDefault="005C17A0" w:rsidP="00201841">
      <w:pPr>
        <w:pStyle w:val="3"/>
        <w:overflowPunct w:val="0"/>
        <w:autoSpaceDE w:val="0"/>
        <w:autoSpaceDN w:val="0"/>
        <w:ind w:left="1394"/>
      </w:pPr>
      <w:r w:rsidRPr="00BC2B41">
        <w:rPr>
          <w:rFonts w:hint="eastAsia"/>
        </w:rPr>
        <w:t>核四自88年取得原能會核發之建廠許可執照，直至103年進入封存前，1號機已完工並完成試運轉測試作業</w:t>
      </w:r>
      <w:r w:rsidR="00D37D34" w:rsidRPr="00BC2B41">
        <w:rPr>
          <w:rStyle w:val="afc"/>
        </w:rPr>
        <w:footnoteReference w:id="6"/>
      </w:r>
      <w:r w:rsidRPr="00BC2B41">
        <w:rPr>
          <w:rFonts w:hint="eastAsia"/>
        </w:rPr>
        <w:t>、2號機已完成全部廠房結構與主要機械設備安裝，部分儀電尚未完成施工，宣布封存後即停工迄今，然核四興建耗時多年，倘未來如無商轉可能，則已投入之2,832.89億元興建成本將無法回收；此外，核四自103年起封存，除前開停工補償費用與每年數億元之資產維護管理費用屬封存影響數外，台電公司仍須持續負擔核四相關用人費用</w:t>
      </w:r>
      <w:r w:rsidRPr="00BC2B41">
        <w:rPr>
          <w:rStyle w:val="afc"/>
        </w:rPr>
        <w:lastRenderedPageBreak/>
        <w:footnoteReference w:id="7"/>
      </w:r>
      <w:r w:rsidRPr="00BC2B41">
        <w:rPr>
          <w:rFonts w:hint="eastAsia"/>
        </w:rPr>
        <w:t>與建廠資金成本</w:t>
      </w:r>
      <w:r w:rsidRPr="00BC2B41">
        <w:rPr>
          <w:rStyle w:val="afc"/>
        </w:rPr>
        <w:footnoteReference w:id="8"/>
      </w:r>
      <w:r w:rsidRPr="00BC2B41">
        <w:rPr>
          <w:rFonts w:hint="eastAsia"/>
        </w:rPr>
        <w:t>等；另據台電公司估算，核四核島區設備、常規島區設備及庫存備品材料之帳面價值約637.6億元，惟前揭設備與材料已購置多年，實際價值已隨時間逐漸減損，且相關設備及庫存材料未來能否順利出售或去化，亦非無疑。是以，核四自規劃、興建期間即爭議不斷，歷經暫緩動工與停、復工等情，多年來政府政策反覆、無延續性，而原定3年之封存期限業已屆滿，</w:t>
      </w:r>
      <w:r w:rsidR="00201841" w:rsidRPr="00BC2B41">
        <w:rPr>
          <w:rFonts w:hint="eastAsia"/>
        </w:rPr>
        <w:t>本案調查期間多次詢問台電公司、經濟部及行政院，關於核四廠之後續處置方式與配套作為，經濟部僅表示核四廠轉型方案與資產處理方式仍交由台電公司持續研擬規劃修正等，經濟部與行政院遲未能研提完整明確之處置作為，造成人力、時間及金錢之資源浪費。而經濟部因應107年底能源議題公投結果，於108年1月底提出評估，其中關於核四部分，經濟部表示：「核四重啟則需突破立院決議要求廢除核四計畫、安全數位儀控設備之備品無法取得、與原廠協商修約、向原能會申請重啟及完成福島安全強化、設備完成組裝之測試、燃料棒送回原廠檢查等作業，總期程將超過6到7年。綜合以上因素，核能延役或重啟，客觀條件不可行、地方民意不支持，困難重重」，始明確提出核四重啟不可行。</w:t>
      </w:r>
    </w:p>
    <w:p w:rsidR="005C17A0" w:rsidRPr="00BC2B41" w:rsidRDefault="005C17A0" w:rsidP="005C5DDA">
      <w:pPr>
        <w:pStyle w:val="3"/>
        <w:overflowPunct w:val="0"/>
        <w:topLinePunct/>
        <w:autoSpaceDN w:val="0"/>
        <w:rPr>
          <w:b/>
        </w:rPr>
      </w:pPr>
      <w:r w:rsidRPr="00BC2B41">
        <w:rPr>
          <w:rFonts w:hint="eastAsia"/>
        </w:rPr>
        <w:t>綜上，行政院自81年核定核四興建，興建期間數度停工、復工，工期一再展延並追加預算，歷經20餘年仍未能完工商轉，興建費用則已投入高達2,833億元，自103年起封存迄今，每年在無經濟效益流入的情形下，皆須耗費數億元於資產維護管理，經</w:t>
      </w:r>
      <w:r w:rsidRPr="00BC2B41">
        <w:rPr>
          <w:rFonts w:hint="eastAsia"/>
        </w:rPr>
        <w:lastRenderedPageBreak/>
        <w:t>濟部及行政院對核四政策之重大變動，導致資源嚴重浪費，核有怠失。</w:t>
      </w:r>
    </w:p>
    <w:p w:rsidR="00201841" w:rsidRPr="00BC2B41" w:rsidRDefault="00587D62" w:rsidP="00587D62">
      <w:pPr>
        <w:pStyle w:val="2"/>
        <w:rPr>
          <w:b/>
        </w:rPr>
      </w:pPr>
      <w:bookmarkStart w:id="52" w:name="_Toc513016279"/>
      <w:bookmarkStart w:id="53" w:name="_Toc1477901"/>
      <w:r w:rsidRPr="00BC2B41">
        <w:rPr>
          <w:rFonts w:hint="eastAsia"/>
          <w:b/>
        </w:rPr>
        <w:t>新政府上任後第5天，經濟部即宣布新的能源政策，將再生能源發電量占比20%，105年7月行政院並設定2025年能源配比(燃氣50%、燃煤30%、再生能源20%)，然此限時非核（9年）之能源轉型政策，未經能源安全、能源經濟及環境影響等完整評估；嗣更於核四封存、104年備用容量率僅11.5%(經濟部101年9月17日核定目標值15%，含6部核能機組)及再生能源進度緩慢情況下，以核一1號機、核二2號機長期停止運轉方式減核，致供電吃緊(黃燈)、警戒(橘燈)天數日增，106、107年「供電充裕」天數各僅剩53、55天，全國工業總會、全國商業總會及台北市美國商會均對未來供電穩定、電價可負擔性風險「感到憂慮」，影響投資意願，顯有違失</w:t>
      </w:r>
      <w:r w:rsidR="00201841" w:rsidRPr="00BC2B41">
        <w:rPr>
          <w:rFonts w:hint="eastAsia"/>
          <w:b/>
        </w:rPr>
        <w:t>。</w:t>
      </w:r>
    </w:p>
    <w:bookmarkEnd w:id="52"/>
    <w:bookmarkEnd w:id="53"/>
    <w:p w:rsidR="005C17A0" w:rsidRPr="00BC2B41" w:rsidRDefault="005C17A0" w:rsidP="005C5DDA">
      <w:pPr>
        <w:pStyle w:val="3"/>
        <w:overflowPunct w:val="0"/>
        <w:topLinePunct/>
        <w:autoSpaceDN w:val="0"/>
      </w:pPr>
      <w:r w:rsidRPr="00BC2B41">
        <w:rPr>
          <w:rFonts w:hint="eastAsia"/>
        </w:rPr>
        <w:t>查</w:t>
      </w:r>
      <w:r w:rsidRPr="00BC2B41">
        <w:rPr>
          <w:rFonts w:hint="eastAsia"/>
          <w:b/>
        </w:rPr>
        <w:t>備用容量(Reserve Margin)</w:t>
      </w:r>
      <w:r w:rsidRPr="00BC2B41">
        <w:rPr>
          <w:rFonts w:hint="eastAsia"/>
        </w:rPr>
        <w:t>係系統在各發電機組正常發電情況下，可提供之最大發電容量(即系統規劃淨尖峰能力)與每年之「最高小時用電量」(即系統尖峰負載)之差額，可用來衡量每年之供電充裕度，其計算公式為備用容量等於系統規劃淨尖峰能力減系統尖峰負載。而</w:t>
      </w:r>
      <w:r w:rsidRPr="00BC2B41">
        <w:rPr>
          <w:rFonts w:hint="eastAsia"/>
          <w:b/>
        </w:rPr>
        <w:t>備用容量率(Percent Reserve Margin)</w:t>
      </w:r>
      <w:r w:rsidRPr="00BC2B41">
        <w:rPr>
          <w:rFonts w:hint="eastAsia"/>
        </w:rPr>
        <w:t>則為每年備用容量占每年尖峰負載之百分比，備用容量率愈大，系統供電愈可靠，但投資愈大，供電成本也愈高；反之，則可靠度下降，甚至限電。因此，一個合理備用容量率除須維持一定供電可靠度標準外，供電成本也要考慮，其計算公式為備用容量率＝備用容量÷系統尖峰負載×100%。備用容量率目標值原訂20%，經濟部94年10月25日首次核定調降至16%，再於101年9月17日核定調降為15%，102年起備用容量率實績值逐年下降</w:t>
      </w:r>
      <w:r w:rsidRPr="00BC2B41">
        <w:rPr>
          <w:rFonts w:hint="eastAsia"/>
        </w:rPr>
        <w:lastRenderedPageBreak/>
        <w:t>(如圖1)。自102年17.5%逐年下降至106年9.8%（104～106年備用容量率分別為11.5%、10.4%、9.8%，均含6部核能機組之供電能力），期間，行政院江前院長於103年4月28日宣布核四停工並於安檢後封存。至</w:t>
      </w:r>
      <w:r w:rsidRPr="00BC2B41">
        <w:rPr>
          <w:rFonts w:hint="eastAsia"/>
          <w:b/>
        </w:rPr>
        <w:t>備轉容量(Operating Reserve)</w:t>
      </w:r>
      <w:r w:rsidRPr="00BC2B41">
        <w:rPr>
          <w:rFonts w:hint="eastAsia"/>
        </w:rPr>
        <w:t>，指當天實際可調度之發電容量裕度，亦即系統每天的供電餘裕，等於系統運轉淨尖峰能力－系統瞬時尖峰負載(瞬間值)。而</w:t>
      </w:r>
      <w:r w:rsidRPr="00BC2B41">
        <w:rPr>
          <w:rFonts w:hint="eastAsia"/>
          <w:b/>
        </w:rPr>
        <w:t>備轉容量率(Percent Operating Reserve)</w:t>
      </w:r>
      <w:r w:rsidRPr="00BC2B41">
        <w:rPr>
          <w:rFonts w:hint="eastAsia"/>
        </w:rPr>
        <w:t>：係用來衡量每日供電可靠度之指標。等於備轉容量÷系統瞬時尖峰負載(瞬間值)×100%。析言之，備用容量率與備轉容量率二者有間，合先敘明。</w:t>
      </w:r>
    </w:p>
    <w:p w:rsidR="005C17A0" w:rsidRPr="00BC2B41" w:rsidRDefault="005C17A0" w:rsidP="005C5DDA">
      <w:pPr>
        <w:overflowPunct w:val="0"/>
        <w:topLinePunct/>
        <w:autoSpaceDN w:val="0"/>
        <w:jc w:val="center"/>
      </w:pPr>
      <w:r w:rsidRPr="00BC2B41">
        <w:rPr>
          <w:noProof/>
        </w:rPr>
        <w:drawing>
          <wp:inline distT="0" distB="0" distL="0" distR="0" wp14:anchorId="5C69F13E" wp14:editId="6758C0A5">
            <wp:extent cx="5635183" cy="2926080"/>
            <wp:effectExtent l="0" t="0" r="3810" b="7620"/>
            <wp:docPr id="297" name="圖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35183" cy="2926080"/>
                    </a:xfrm>
                    <a:prstGeom prst="rect">
                      <a:avLst/>
                    </a:prstGeom>
                  </pic:spPr>
                </pic:pic>
              </a:graphicData>
            </a:graphic>
          </wp:inline>
        </w:drawing>
      </w:r>
    </w:p>
    <w:p w:rsidR="005C17A0" w:rsidRPr="00BC2B41" w:rsidRDefault="005C17A0" w:rsidP="005C5DDA">
      <w:pPr>
        <w:pStyle w:val="aff3"/>
        <w:kinsoku/>
        <w:topLinePunct/>
        <w:autoSpaceDE/>
        <w:spacing w:after="120"/>
      </w:pPr>
      <w:r w:rsidRPr="00BC2B41">
        <w:rPr>
          <w:rFonts w:hint="eastAsia"/>
        </w:rPr>
        <w:t>資料來源：台電公司。</w:t>
      </w:r>
    </w:p>
    <w:p w:rsidR="005C17A0" w:rsidRPr="00BC2B41" w:rsidRDefault="005C17A0" w:rsidP="005C5DDA">
      <w:pPr>
        <w:pStyle w:val="a1"/>
        <w:topLinePunct/>
        <w:autoSpaceDE/>
        <w:spacing w:before="40" w:after="240"/>
        <w:ind w:left="480" w:hanging="480"/>
      </w:pPr>
      <w:bookmarkStart w:id="54" w:name="_Toc536451795"/>
      <w:r w:rsidRPr="00BC2B41">
        <w:rPr>
          <w:rFonts w:hint="eastAsia"/>
        </w:rPr>
        <w:t>歷年備用容量率與限電次數</w:t>
      </w:r>
      <w:bookmarkEnd w:id="54"/>
    </w:p>
    <w:p w:rsidR="005C17A0" w:rsidRPr="00BC2B41" w:rsidRDefault="005C17A0" w:rsidP="005C5DDA">
      <w:pPr>
        <w:pStyle w:val="3"/>
        <w:overflowPunct w:val="0"/>
        <w:topLinePunct/>
        <w:autoSpaceDN w:val="0"/>
      </w:pPr>
      <w:r w:rsidRPr="00BC2B41">
        <w:rPr>
          <w:rFonts w:hint="eastAsia"/>
        </w:rPr>
        <w:t>次查環境基本法於</w:t>
      </w:r>
      <w:r w:rsidRPr="00BC2B41">
        <w:rPr>
          <w:rFonts w:hAnsi="標楷體" w:cs="Arial" w:hint="eastAsia"/>
          <w:szCs w:val="24"/>
        </w:rPr>
        <w:t>91年12月11日公布施行，其中</w:t>
      </w:r>
      <w:r w:rsidRPr="00BC2B41">
        <w:rPr>
          <w:rFonts w:hint="eastAsia"/>
        </w:rPr>
        <w:t>第23條規定：「政府應訂定計畫，逐步達成非核家園目標；並應加強核能安全管制、輻射防護、放射性物料管理及環境輻射偵測，確保民眾生活避免輻射</w:t>
      </w:r>
      <w:r w:rsidRPr="00BC2B41">
        <w:rPr>
          <w:rFonts w:hint="eastAsia"/>
        </w:rPr>
        <w:lastRenderedPageBreak/>
        <w:t>危害。」，此為「非核家園」首次入法，至於實施期程，則未明定。105年政黨輪替，</w:t>
      </w:r>
      <w:r w:rsidRPr="00BC2B41">
        <w:rPr>
          <w:rFonts w:hAnsi="標楷體" w:cs="Arial" w:hint="eastAsia"/>
          <w:szCs w:val="24"/>
        </w:rPr>
        <w:t>5月20日李世光</w:t>
      </w:r>
      <w:r w:rsidR="00201841" w:rsidRPr="00BC2B41">
        <w:rPr>
          <w:rStyle w:val="afc"/>
          <w:rFonts w:hAnsi="標楷體" w:cs="Arial"/>
          <w:szCs w:val="24"/>
        </w:rPr>
        <w:footnoteReference w:id="9"/>
      </w:r>
      <w:r w:rsidRPr="00BC2B41">
        <w:rPr>
          <w:rFonts w:hAnsi="標楷體" w:cs="Arial" w:hint="eastAsia"/>
          <w:szCs w:val="24"/>
        </w:rPr>
        <w:t>接任經濟部部長，同月25日宣布</w:t>
      </w:r>
      <w:r w:rsidRPr="00BC2B41">
        <w:rPr>
          <w:rFonts w:hint="eastAsia"/>
        </w:rPr>
        <w:t>西元</w:t>
      </w:r>
      <w:r w:rsidRPr="00BC2B41">
        <w:rPr>
          <w:rFonts w:hAnsi="標楷體" w:cs="Arial" w:hint="eastAsia"/>
          <w:szCs w:val="24"/>
        </w:rPr>
        <w:t>2025年達成非</w:t>
      </w:r>
      <w:r w:rsidRPr="00BC2B41">
        <w:rPr>
          <w:rFonts w:hAnsi="標楷體" w:hint="eastAsia"/>
          <w:szCs w:val="28"/>
        </w:rPr>
        <w:t>核家園，再生能源發電量占總發電量比例達20%。所稱</w:t>
      </w:r>
      <w:r w:rsidRPr="00BC2B41">
        <w:rPr>
          <w:rFonts w:hint="eastAsia"/>
        </w:rPr>
        <w:t>西元</w:t>
      </w:r>
      <w:r w:rsidRPr="00BC2B41">
        <w:rPr>
          <w:rFonts w:hAnsi="標楷體" w:hint="eastAsia"/>
          <w:szCs w:val="28"/>
        </w:rPr>
        <w:t>2025年完成非核家園，即「核四停建，核一、二、三廠不延役」；同年</w:t>
      </w:r>
      <w:r w:rsidRPr="00BC2B41">
        <w:rPr>
          <w:rFonts w:hint="eastAsia"/>
        </w:rPr>
        <w:t>7月1日行政院召開「電源開發方案問題盤點」會議(吳政忠政務委員主持)，會議結論：「(一)未來電力結構配比應以政府原訂政策-2025年燃煤發電占比30%、燃氣50%、再生能源20%為規劃方向，請經濟部督導台電公司按此目標規劃電源開發方案。</w:t>
      </w:r>
      <w:r w:rsidRPr="00BC2B41">
        <w:rPr>
          <w:rFonts w:hAnsi="標楷體" w:hint="eastAsia"/>
        </w:rPr>
        <w:t>……</w:t>
      </w:r>
      <w:r w:rsidRPr="00BC2B41">
        <w:rPr>
          <w:rFonts w:hint="eastAsia"/>
        </w:rPr>
        <w:t>」，明確定出西元2025年燃氣50%、燃煤30%及再生能源20%之電力結構配比</w:t>
      </w:r>
      <w:r w:rsidRPr="00BC2B41">
        <w:rPr>
          <w:rFonts w:hint="eastAsia"/>
          <w:vanish/>
        </w:rPr>
        <w:t>(V3)</w:t>
      </w:r>
      <w:r w:rsidRPr="00BC2B41">
        <w:rPr>
          <w:rFonts w:hint="eastAsia"/>
        </w:rPr>
        <w:t>。該配比，與同屬自有能源短缺之日本、韓國相較，日本經濟產業省規劃西元2030年電源構成，如圖2</w:t>
      </w:r>
      <w:r w:rsidRPr="00BC2B41">
        <w:rPr>
          <w:rStyle w:val="afc"/>
        </w:rPr>
        <w:footnoteReference w:id="10"/>
      </w:r>
      <w:r w:rsidRPr="00BC2B41">
        <w:rPr>
          <w:rFonts w:hint="eastAsia"/>
        </w:rPr>
        <w:t>，其中「核能占比22~20%、再生能源22~24%、天然氣27%、燃煤26%、燃油3%」；韓國第2次能源主計畫</w:t>
      </w:r>
      <w:r w:rsidRPr="00BC2B41">
        <w:rPr>
          <w:rStyle w:val="afc"/>
        </w:rPr>
        <w:footnoteReference w:id="11"/>
      </w:r>
      <w:r w:rsidRPr="00BC2B41">
        <w:rPr>
          <w:rFonts w:hint="eastAsia"/>
        </w:rPr>
        <w:t>建議西元2035年核能占其整體電力22~29%（西元2017年、西元2030年電力裝置容量如圖3</w:t>
      </w:r>
      <w:r w:rsidRPr="00BC2B41">
        <w:rPr>
          <w:rStyle w:val="afc"/>
        </w:rPr>
        <w:footnoteReference w:id="12"/>
      </w:r>
      <w:r w:rsidRPr="00BC2B41">
        <w:rPr>
          <w:rFonts w:hint="eastAsia"/>
        </w:rPr>
        <w:t>）不同。綜觀日、韓兩國能源政策，降低</w:t>
      </w:r>
      <w:r w:rsidR="00587D62" w:rsidRPr="00BC2B41">
        <w:rPr>
          <w:rFonts w:hint="eastAsia"/>
        </w:rPr>
        <w:t>化</w:t>
      </w:r>
      <w:r w:rsidRPr="00BC2B41">
        <w:rPr>
          <w:rFonts w:hint="eastAsia"/>
        </w:rPr>
        <w:t>石燃料發電比例占比為其共同特色，縱發生福島核子事故，再生能源占比提升，然均保留約二成核電，其能源政策實值得我們深思。</w:t>
      </w:r>
    </w:p>
    <w:p w:rsidR="005C17A0" w:rsidRPr="00BC2B41" w:rsidRDefault="005C17A0" w:rsidP="005C5DDA">
      <w:pPr>
        <w:overflowPunct w:val="0"/>
        <w:topLinePunct/>
        <w:autoSpaceDN w:val="0"/>
        <w:jc w:val="center"/>
      </w:pPr>
      <w:r w:rsidRPr="00BC2B41">
        <w:rPr>
          <w:noProof/>
        </w:rPr>
        <w:lastRenderedPageBreak/>
        <mc:AlternateContent>
          <mc:Choice Requires="wps">
            <w:drawing>
              <wp:anchor distT="0" distB="0" distL="114300" distR="114300" simplePos="0" relativeHeight="251673600" behindDoc="0" locked="0" layoutInCell="1" allowOverlap="1" wp14:anchorId="52E37413" wp14:editId="7AE8D996">
                <wp:simplePos x="0" y="0"/>
                <wp:positionH relativeFrom="column">
                  <wp:posOffset>3514627</wp:posOffset>
                </wp:positionH>
                <wp:positionV relativeFrom="paragraph">
                  <wp:posOffset>1611727</wp:posOffset>
                </wp:positionV>
                <wp:extent cx="728662" cy="395288"/>
                <wp:effectExtent l="0" t="0" r="14605" b="24130"/>
                <wp:wrapNone/>
                <wp:docPr id="244" name="橢圓 244"/>
                <wp:cNvGraphicFramePr/>
                <a:graphic xmlns:a="http://schemas.openxmlformats.org/drawingml/2006/main">
                  <a:graphicData uri="http://schemas.microsoft.com/office/word/2010/wordprocessingShape">
                    <wps:wsp>
                      <wps:cNvSpPr/>
                      <wps:spPr>
                        <a:xfrm>
                          <a:off x="0" y="0"/>
                          <a:ext cx="728662" cy="39528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6A15E1" id="橢圓 244" o:spid="_x0000_s1026" style="position:absolute;margin-left:276.75pt;margin-top:126.9pt;width:57.35pt;height:31.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" filled="f" strokecolor="red" strokeweight="2pt"/>
            </w:pict>
          </mc:Fallback>
        </mc:AlternateContent>
      </w:r>
      <w:r w:rsidRPr="00BC2B41">
        <w:rPr>
          <w:noProof/>
        </w:rPr>
        <w:drawing>
          <wp:inline distT="0" distB="0" distL="0" distR="0" wp14:anchorId="51F043C8" wp14:editId="096525E7">
            <wp:extent cx="4476168" cy="3014014"/>
            <wp:effectExtent l="0" t="0" r="635"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C0A0B7.tmp"/>
                    <pic:cNvPicPr/>
                  </pic:nvPicPr>
                  <pic:blipFill rotWithShape="1">
                    <a:blip r:embed="rId9" cstate="print">
                      <a:extLst>
                        <a:ext uri="{28A0092B-C50C-407E-A947-70E740481C1C}">
                          <a14:useLocalDpi xmlns:a14="http://schemas.microsoft.com/office/drawing/2010/main" val="0"/>
                        </a:ext>
                      </a:extLst>
                    </a:blip>
                    <a:srcRect b="6263"/>
                    <a:stretch/>
                  </pic:blipFill>
                  <pic:spPr bwMode="auto">
                    <a:xfrm>
                      <a:off x="0" y="0"/>
                      <a:ext cx="4471590" cy="3010931"/>
                    </a:xfrm>
                    <a:prstGeom prst="rect">
                      <a:avLst/>
                    </a:prstGeom>
                    <a:ln>
                      <a:noFill/>
                    </a:ln>
                    <a:extLst>
                      <a:ext uri="{53640926-AAD7-44D8-BBD7-CCE9431645EC}">
                        <a14:shadowObscured xmlns:a14="http://schemas.microsoft.com/office/drawing/2010/main"/>
                      </a:ext>
                    </a:extLst>
                  </pic:spPr>
                </pic:pic>
              </a:graphicData>
            </a:graphic>
          </wp:inline>
        </w:drawing>
      </w:r>
    </w:p>
    <w:p w:rsidR="005C17A0" w:rsidRPr="00BC2B41" w:rsidRDefault="005C17A0" w:rsidP="005C5DDA">
      <w:pPr>
        <w:pStyle w:val="aff3"/>
        <w:kinsoku/>
        <w:topLinePunct/>
        <w:autoSpaceDE/>
        <w:spacing w:after="0"/>
        <w:rPr>
          <w:lang w:eastAsia="ja-JP"/>
        </w:rPr>
      </w:pPr>
      <w:r w:rsidRPr="00BC2B41">
        <w:rPr>
          <w:rFonts w:hint="eastAsia"/>
          <w:lang w:eastAsia="ja-JP"/>
        </w:rPr>
        <w:t>註：</w:t>
      </w:r>
      <w:r w:rsidRPr="00BC2B41">
        <w:rPr>
          <w:rFonts w:eastAsia="MS Mincho" w:hint="eastAsia"/>
          <w:lang w:eastAsia="ja-JP"/>
        </w:rPr>
        <w:t>バイオマス：</w:t>
      </w:r>
      <w:r w:rsidRPr="00BC2B41">
        <w:rPr>
          <w:rFonts w:hint="eastAsia"/>
          <w:lang w:eastAsia="ja-JP"/>
        </w:rPr>
        <w:t>生質能源</w:t>
      </w:r>
    </w:p>
    <w:p w:rsidR="005C17A0" w:rsidRPr="00BC2B41" w:rsidRDefault="005C17A0" w:rsidP="00831189">
      <w:pPr>
        <w:pStyle w:val="aff3"/>
        <w:kinsoku/>
        <w:topLinePunct/>
        <w:autoSpaceDE/>
        <w:spacing w:after="0"/>
        <w:ind w:left="1165" w:hangingChars="485" w:hanging="1165"/>
        <w:rPr>
          <w:lang w:eastAsia="ja-JP"/>
        </w:rPr>
      </w:pPr>
      <w:r w:rsidRPr="00BC2B41">
        <w:rPr>
          <w:rFonts w:hint="eastAsia"/>
          <w:lang w:eastAsia="ja-JP"/>
        </w:rPr>
        <w:t>資料來源：日本經濟產業省資源能源廳「平成</w:t>
      </w:r>
      <w:r w:rsidRPr="00BC2B41">
        <w:rPr>
          <w:lang w:eastAsia="ja-JP"/>
        </w:rPr>
        <w:t>28</w:t>
      </w:r>
      <w:r w:rsidRPr="00BC2B41">
        <w:rPr>
          <w:rFonts w:hint="eastAsia"/>
          <w:lang w:eastAsia="ja-JP"/>
        </w:rPr>
        <w:t>年度エネルギーに関する年次報告」(エネルギー白書</w:t>
      </w:r>
      <w:r w:rsidRPr="00BC2B41">
        <w:rPr>
          <w:lang w:eastAsia="ja-JP"/>
        </w:rPr>
        <w:t>2017</w:t>
      </w:r>
      <w:r w:rsidRPr="00BC2B41">
        <w:rPr>
          <w:rFonts w:hint="eastAsia"/>
          <w:lang w:eastAsia="ja-JP"/>
        </w:rPr>
        <w:t>)。</w:t>
      </w:r>
    </w:p>
    <w:p w:rsidR="005C17A0" w:rsidRPr="00BC2B41" w:rsidRDefault="005C17A0" w:rsidP="005C5DDA">
      <w:pPr>
        <w:pStyle w:val="a1"/>
        <w:topLinePunct/>
        <w:autoSpaceDE/>
        <w:spacing w:before="40" w:after="240"/>
        <w:ind w:left="480" w:hanging="480"/>
      </w:pPr>
      <w:bookmarkStart w:id="55" w:name="_Toc536451796"/>
      <w:r w:rsidRPr="00BC2B41">
        <w:rPr>
          <w:rFonts w:hint="eastAsia"/>
        </w:rPr>
        <w:t>日本西元2030年電源結構規劃</w:t>
      </w:r>
      <w:bookmarkEnd w:id="55"/>
    </w:p>
    <w:p w:rsidR="00DD4C83" w:rsidRPr="00BC2B41" w:rsidRDefault="00DD4C83" w:rsidP="005C5DDA">
      <w:pPr>
        <w:overflowPunct w:val="0"/>
        <w:topLinePunct/>
        <w:autoSpaceDN w:val="0"/>
      </w:pPr>
    </w:p>
    <w:tbl>
      <w:tblPr>
        <w:tblStyle w:val="aff2"/>
        <w:tblW w:w="0" w:type="auto"/>
        <w:tblInd w:w="108" w:type="dxa"/>
        <w:tblLayout w:type="fixed"/>
        <w:tblLook w:val="04A0" w:firstRow="1" w:lastRow="0" w:firstColumn="1" w:lastColumn="0" w:noHBand="0" w:noVBand="1"/>
      </w:tblPr>
      <w:tblGrid>
        <w:gridCol w:w="4476"/>
        <w:gridCol w:w="4476"/>
      </w:tblGrid>
      <w:tr w:rsidR="00BC2B41" w:rsidRPr="00BC2B41" w:rsidTr="005C17A0">
        <w:trPr>
          <w:trHeight w:val="2773"/>
        </w:trPr>
        <w:tc>
          <w:tcPr>
            <w:tcW w:w="4476" w:type="dxa"/>
          </w:tcPr>
          <w:p w:rsidR="005C17A0" w:rsidRPr="00BC2B41" w:rsidRDefault="005C17A0" w:rsidP="005C5DDA">
            <w:pPr>
              <w:overflowPunct w:val="0"/>
              <w:topLinePunct/>
              <w:autoSpaceDN w:val="0"/>
              <w:rPr>
                <w:sz w:val="24"/>
                <w:szCs w:val="24"/>
              </w:rPr>
            </w:pPr>
            <w:r w:rsidRPr="00BC2B41">
              <w:rPr>
                <w:rFonts w:hint="eastAsia"/>
                <w:noProof/>
                <w:sz w:val="24"/>
                <w:szCs w:val="24"/>
              </w:rPr>
              <w:drawing>
                <wp:inline distT="0" distB="0" distL="0" distR="0" wp14:anchorId="086BC505" wp14:editId="297209D7">
                  <wp:extent cx="3037434" cy="1808242"/>
                  <wp:effectExtent l="0" t="0" r="0" b="190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0385C.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5547" cy="1813072"/>
                          </a:xfrm>
                          <a:prstGeom prst="rect">
                            <a:avLst/>
                          </a:prstGeom>
                        </pic:spPr>
                      </pic:pic>
                    </a:graphicData>
                  </a:graphic>
                </wp:inline>
              </w:drawing>
            </w:r>
          </w:p>
        </w:tc>
        <w:tc>
          <w:tcPr>
            <w:tcW w:w="4476" w:type="dxa"/>
          </w:tcPr>
          <w:p w:rsidR="005C17A0" w:rsidRPr="00BC2B41" w:rsidRDefault="005C17A0" w:rsidP="005C5DDA">
            <w:pPr>
              <w:overflowPunct w:val="0"/>
              <w:topLinePunct/>
              <w:autoSpaceDN w:val="0"/>
              <w:rPr>
                <w:sz w:val="24"/>
                <w:szCs w:val="24"/>
              </w:rPr>
            </w:pPr>
            <w:r w:rsidRPr="00BC2B41">
              <w:rPr>
                <w:noProof/>
                <w:sz w:val="24"/>
                <w:szCs w:val="24"/>
              </w:rPr>
              <w:drawing>
                <wp:inline distT="0" distB="0" distL="0" distR="0" wp14:anchorId="16F0395A" wp14:editId="18D4E6AC">
                  <wp:extent cx="3098986" cy="1771650"/>
                  <wp:effectExtent l="0" t="0" r="635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073B6.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2429" cy="1779335"/>
                          </a:xfrm>
                          <a:prstGeom prst="rect">
                            <a:avLst/>
                          </a:prstGeom>
                        </pic:spPr>
                      </pic:pic>
                    </a:graphicData>
                  </a:graphic>
                </wp:inline>
              </w:drawing>
            </w:r>
          </w:p>
        </w:tc>
      </w:tr>
    </w:tbl>
    <w:p w:rsidR="005C17A0" w:rsidRPr="00BC2B41" w:rsidRDefault="005C17A0" w:rsidP="00831189">
      <w:pPr>
        <w:pStyle w:val="aff3"/>
        <w:kinsoku/>
        <w:topLinePunct/>
        <w:autoSpaceDE/>
        <w:spacing w:after="0"/>
        <w:ind w:left="1215" w:hangingChars="506" w:hanging="1215"/>
        <w:rPr>
          <w:rFonts w:hAnsi="標楷體"/>
        </w:rPr>
      </w:pPr>
      <w:r w:rsidRPr="00BC2B41">
        <w:rPr>
          <w:rFonts w:hAnsi="標楷體" w:hint="eastAsia"/>
        </w:rPr>
        <w:t>資料來源：法國「國際關係研究中心」(IFRI)，西元2018年2月發布之「</w:t>
      </w:r>
      <w:r w:rsidRPr="00BC2B41">
        <w:rPr>
          <w:rFonts w:hAnsi="標楷體"/>
        </w:rPr>
        <w:t>South Korea's New Electricity Plan. Cosmetic Changes or a Breakthrough for the Climate?</w:t>
      </w:r>
      <w:r w:rsidRPr="00BC2B41">
        <w:rPr>
          <w:rFonts w:hAnsi="標楷體" w:hint="eastAsia"/>
        </w:rPr>
        <w:t>」</w:t>
      </w:r>
    </w:p>
    <w:p w:rsidR="005C17A0" w:rsidRPr="00BC2B41" w:rsidRDefault="005C17A0" w:rsidP="005C5DDA">
      <w:pPr>
        <w:pStyle w:val="a1"/>
        <w:topLinePunct/>
        <w:autoSpaceDE/>
        <w:spacing w:before="40" w:after="240"/>
        <w:ind w:left="480" w:hanging="480"/>
      </w:pPr>
      <w:bookmarkStart w:id="56" w:name="_Toc536451797"/>
      <w:r w:rsidRPr="00BC2B41">
        <w:rPr>
          <w:rFonts w:hint="eastAsia"/>
        </w:rPr>
        <w:t>南韓西元2017與2030年電力裝置容量</w:t>
      </w:r>
      <w:bookmarkEnd w:id="56"/>
    </w:p>
    <w:p w:rsidR="005C17A0" w:rsidRPr="00BC2B41" w:rsidRDefault="00831189" w:rsidP="00831189">
      <w:pPr>
        <w:pStyle w:val="3"/>
      </w:pPr>
      <w:r w:rsidRPr="00BC2B41">
        <w:rPr>
          <w:rFonts w:hint="eastAsia"/>
        </w:rPr>
        <w:t>對於我國將於西元2025年完成「非核家園」及「5：3：2電力配比」，全國工業總會(下稱工總)白皮書、全國商業總會產業建言書及台北市美國商會白皮</w:t>
      </w:r>
      <w:r w:rsidRPr="00BC2B41">
        <w:rPr>
          <w:rFonts w:hint="eastAsia"/>
        </w:rPr>
        <w:lastRenderedPageBreak/>
        <w:t>書、商業景氣調查報告均對西元2025年臺灣電力能否充裕「感到疑慮」，並提出以下看法</w:t>
      </w:r>
      <w:r w:rsidR="005C17A0" w:rsidRPr="00BC2B41">
        <w:rPr>
          <w:rFonts w:hint="eastAsia"/>
        </w:rPr>
        <w:t>：</w:t>
      </w:r>
    </w:p>
    <w:p w:rsidR="005C17A0" w:rsidRPr="00BC2B41" w:rsidRDefault="00831189" w:rsidP="00831189">
      <w:pPr>
        <w:pStyle w:val="4"/>
        <w:overflowPunct w:val="0"/>
        <w:autoSpaceDE w:val="0"/>
        <w:autoSpaceDN w:val="0"/>
        <w:ind w:left="1740" w:hanging="697"/>
      </w:pPr>
      <w:r w:rsidRPr="00BC2B41">
        <w:rPr>
          <w:rFonts w:hint="eastAsia"/>
        </w:rPr>
        <w:t>工總於106年7月20日發表2017年工總白皮書，</w:t>
      </w:r>
      <w:r w:rsidR="005C17A0" w:rsidRPr="00BC2B41">
        <w:rPr>
          <w:rFonts w:hint="eastAsia"/>
        </w:rPr>
        <w:t>其中，第一章緒言指出「另在產業關心的新能源政策方面，政府期盼運用『以綠電取代核電』、『以氣電取代煤電』的手段，於2025年達到『非核家園』、『減碳』目標，並將國內發電配比調整為再生能源發電占20%、煤發電占30%、天然氣發電占50%。但我產業界憂心的是，再生能源的發展並非一蹴可及，如果貿然取消核電，不僅將會折損電力系統的可負擔性與低碳化，也會提高缺電風險，不利國家競爭力維護與低碳經濟發展。其次，無論以綠電取代核電或以氣電取代煤電，皆會造成發電成本的大幅增加。第三，綠電及氣電皆有供電穩定性的問題。換言之，蔡政府的新能源政策，不僅無法引資，更恐會因電力成本、供電穩定性等問題，將國內資金逼出去。」</w:t>
      </w:r>
      <w:r w:rsidR="005C17A0" w:rsidRPr="00BC2B41">
        <w:rPr>
          <w:rStyle w:val="afc"/>
        </w:rPr>
        <w:footnoteReference w:id="13"/>
      </w:r>
      <w:r w:rsidR="005C17A0" w:rsidRPr="00BC2B41">
        <w:rPr>
          <w:rFonts w:hint="eastAsia"/>
        </w:rPr>
        <w:t>等語。同(工總)白皮書第四章結論亦指出：「『電力安全』雖等同『國家安全』，但政府為達到2025年『非核家園』目標，卻祭出『以再生能源發電取代核發電、以天然氣發電取代煤發電』的飛蛾撲火手段，不僅不利國家競爭力維護、低碳經濟發展，更與國際電源多元開發趨勢背道而馳，讓</w:t>
      </w:r>
      <w:r w:rsidR="00F00113" w:rsidRPr="00BC2B41">
        <w:rPr>
          <w:rFonts w:hint="eastAsia"/>
        </w:rPr>
        <w:t>臺灣</w:t>
      </w:r>
      <w:r w:rsidR="005C17A0" w:rsidRPr="00BC2B41">
        <w:rPr>
          <w:rFonts w:hint="eastAsia"/>
        </w:rPr>
        <w:t>曝露於高度缺電風險的環境。</w:t>
      </w:r>
      <w:r w:rsidR="005C17A0" w:rsidRPr="00BC2B41">
        <w:rPr>
          <w:rFonts w:hAnsi="標楷體" w:hint="eastAsia"/>
        </w:rPr>
        <w:t>……</w:t>
      </w:r>
      <w:r w:rsidR="005C17A0" w:rsidRPr="00BC2B41">
        <w:rPr>
          <w:rFonts w:hint="eastAsia"/>
        </w:rPr>
        <w:t>」</w:t>
      </w:r>
      <w:r w:rsidR="005C17A0" w:rsidRPr="00BC2B41">
        <w:rPr>
          <w:rStyle w:val="afc"/>
        </w:rPr>
        <w:footnoteReference w:id="14"/>
      </w:r>
      <w:r w:rsidR="005C17A0" w:rsidRPr="00BC2B41">
        <w:rPr>
          <w:rFonts w:hint="eastAsia"/>
        </w:rPr>
        <w:t>等語。</w:t>
      </w:r>
    </w:p>
    <w:p w:rsidR="005C17A0" w:rsidRPr="00BC2B41" w:rsidRDefault="005C17A0" w:rsidP="005C5DDA">
      <w:pPr>
        <w:pStyle w:val="4"/>
        <w:overflowPunct w:val="0"/>
        <w:topLinePunct/>
        <w:autoSpaceDN w:val="0"/>
      </w:pPr>
      <w:r w:rsidRPr="00BC2B41">
        <w:rPr>
          <w:rFonts w:hint="eastAsia"/>
        </w:rPr>
        <w:t>為促使政府持續重視商業及服務業發展之重要性，並提高對於服務產業之各項資源投入，全國商業總會2017年10月產業建言書特別將當前影響國內服務產業發展之五大經營環境因素及八</w:t>
      </w:r>
      <w:r w:rsidRPr="00BC2B41">
        <w:rPr>
          <w:rFonts w:hint="eastAsia"/>
        </w:rPr>
        <w:lastRenderedPageBreak/>
        <w:t>大產業政策因素歸納為「五大障礙，八大失能」。所稱八大失能之第五項即為能源政策背離產業需求，該建言書第10頁指出：「政府推動非核家園，可謂立意良善。然而，國內現階段不論民生或工商產業，對於能源之需求仍高，短期間能透過改變用電習慣而降低之能源消耗量十分有限。加上國內發電及輸電網路效率使得夏季限電缺電之情況發生頻繁，證明了穩定、可負擔及低風險之能源供應體系尚未建構完備。因此，政府應當大量開發替代能源，並維持國內供電正常，使停電問題不再發生。在當前不完善之供電條件下，若貿然推動非核家園政策，反將會導致整體社會暴露於更大之缺限電風險當中，更使得產業界未蒙其利先受其害。為確保電力供應之穩定性，以免影響民生及產業發展，本會極力要求政府重視能源問題，並立即實施下列補救措施：1.應以815大停電為殷鑑，確保備轉容量率至10% 以上。2.為確保業界不停電之目標，須將重啟核電列為穩定電力供應之選項。」等語。</w:t>
      </w:r>
    </w:p>
    <w:p w:rsidR="005C17A0" w:rsidRPr="00BC2B41" w:rsidRDefault="005C17A0" w:rsidP="005C5DDA">
      <w:pPr>
        <w:pStyle w:val="4"/>
        <w:overflowPunct w:val="0"/>
        <w:topLinePunct/>
        <w:autoSpaceDN w:val="0"/>
      </w:pPr>
      <w:r w:rsidRPr="00BC2B41">
        <w:rPr>
          <w:rFonts w:hint="eastAsia"/>
        </w:rPr>
        <w:t>台北市美國商會</w:t>
      </w:r>
      <w:r w:rsidRPr="00BC2B41">
        <w:rPr>
          <w:rFonts w:hAnsi="標楷體" w:hint="eastAsia"/>
        </w:rPr>
        <w:t>（下稱</w:t>
      </w:r>
      <w:r w:rsidRPr="00BC2B41">
        <w:rPr>
          <w:rFonts w:hint="eastAsia"/>
        </w:rPr>
        <w:t>美國商會</w:t>
      </w:r>
      <w:r w:rsidRPr="00BC2B41">
        <w:rPr>
          <w:rFonts w:hAnsi="標楷體" w:hint="eastAsia"/>
        </w:rPr>
        <w:t>）</w:t>
      </w:r>
      <w:r w:rsidRPr="00BC2B41">
        <w:rPr>
          <w:rFonts w:hint="eastAsia"/>
        </w:rPr>
        <w:t>2017白皮書建議：「充足可靠的電力供應對高科技製造業者而言至為關鍵，即便是不到一秒的供電中斷也會造成嚴重的設備損壞以及重大產量損失。提供可負擔且可預測的能源價格，對於工業用戶的盈虧獲利與長期投資決策亦至關重要，工業用戶必須制定未來數年的生產營運與產能投資規劃，一旦做出決定，便會持續數十年之久；因此，他們不只看重眼前也會放眼於未來更長期的能源價格與</w:t>
      </w:r>
      <w:r w:rsidRPr="00BC2B41">
        <w:rPr>
          <w:rFonts w:hint="eastAsia"/>
        </w:rPr>
        <w:lastRenderedPageBreak/>
        <w:t>穩定電力供應情況</w:t>
      </w:r>
      <w:r w:rsidRPr="00BC2B41">
        <w:rPr>
          <w:rStyle w:val="afc"/>
        </w:rPr>
        <w:footnoteReference w:id="15"/>
      </w:r>
      <w:r w:rsidRPr="00BC2B41">
        <w:rPr>
          <w:rFonts w:hint="eastAsia"/>
        </w:rPr>
        <w:t>。」、「</w:t>
      </w:r>
      <w:r w:rsidR="00F00113" w:rsidRPr="00BC2B41">
        <w:rPr>
          <w:rFonts w:hint="eastAsia"/>
        </w:rPr>
        <w:t>臺灣</w:t>
      </w:r>
      <w:r w:rsidRPr="00BC2B41">
        <w:rPr>
          <w:rFonts w:hint="eastAsia"/>
        </w:rPr>
        <w:t>已啟動從原有的核能與燃煤發電轉型成其他燃料與發電技術組合。核能發電預計在2025年將停止運轉，而大家對於替代能源的成本以及能否穩定供電仍抱持不確定的態度，也因此對於未來的電力供應產生不少疑慮。</w:t>
      </w:r>
      <w:r w:rsidR="00F00113" w:rsidRPr="00BC2B41">
        <w:rPr>
          <w:rFonts w:hint="eastAsia"/>
        </w:rPr>
        <w:t>臺灣</w:t>
      </w:r>
      <w:r w:rsidRPr="00BC2B41">
        <w:rPr>
          <w:rFonts w:hint="eastAsia"/>
        </w:rPr>
        <w:t>有16%的電力來自核能，若是發電燃料組合轉變的速度太快，在電價與穩定供電方面便會造成龐大的風險。以加拿大安大略省為例，日前因為快速變更其發電燃料與技術組合，使得成本上升的幅度超出預期，讓用電戶難以接受，政府只得大動作介入，緩和大幅超出家庭及工業用電客戶預期的成本漲勢。為避免預期之外的電價上漲或供電穩定度下降，其他國家則是採以較長久或較具彈性的時程推動能源轉型，或者是從鄰國取得電力供應</w:t>
      </w:r>
      <w:r w:rsidRPr="00BC2B41">
        <w:rPr>
          <w:rStyle w:val="afc"/>
        </w:rPr>
        <w:footnoteReference w:id="16"/>
      </w:r>
      <w:r w:rsidRPr="00BC2B41">
        <w:rPr>
          <w:rFonts w:hint="eastAsia"/>
        </w:rPr>
        <w:t>(後者不適用於</w:t>
      </w:r>
      <w:r w:rsidR="00F00113" w:rsidRPr="00BC2B41">
        <w:rPr>
          <w:rFonts w:hint="eastAsia"/>
        </w:rPr>
        <w:t>臺灣</w:t>
      </w:r>
      <w:r w:rsidRPr="00BC2B41">
        <w:rPr>
          <w:rFonts w:hint="eastAsia"/>
        </w:rPr>
        <w:t>)。」、「著眼於</w:t>
      </w:r>
      <w:r w:rsidR="00F00113" w:rsidRPr="00BC2B41">
        <w:rPr>
          <w:rFonts w:hint="eastAsia"/>
        </w:rPr>
        <w:t>臺灣</w:t>
      </w:r>
      <w:r w:rsidRPr="00BC2B41">
        <w:rPr>
          <w:rFonts w:hint="eastAsia"/>
        </w:rPr>
        <w:t>產業的成本競爭力及其對</w:t>
      </w:r>
      <w:r w:rsidRPr="00BC2B41">
        <w:rPr>
          <w:rFonts w:hint="eastAsia"/>
        </w:rPr>
        <w:lastRenderedPageBreak/>
        <w:t>就業和經濟發展的貢獻，目前的核能發電要過渡到未來的發電來源，其間的轉型必須審慎管理，畢竟既有核能電廠的新增發電成本低，而替代電力來源勢必會產生新的投資成本。儘管轉型到後核能時代的燃料組合十分重要，但若實施方式過於僵化或過於倉促，缺乏明確的替代計劃確保供電成本的競爭力、可負擔性及可靠性，將可能會損及</w:t>
      </w:r>
      <w:r w:rsidR="00F00113" w:rsidRPr="00BC2B41">
        <w:rPr>
          <w:rFonts w:hint="eastAsia"/>
        </w:rPr>
        <w:t>臺灣</w:t>
      </w:r>
      <w:r w:rsidRPr="00BC2B41">
        <w:rPr>
          <w:rFonts w:hint="eastAsia"/>
        </w:rPr>
        <w:t>的經濟發展</w:t>
      </w:r>
      <w:r w:rsidRPr="00BC2B41">
        <w:rPr>
          <w:rStyle w:val="afc"/>
        </w:rPr>
        <w:footnoteReference w:id="17"/>
      </w:r>
      <w:r w:rsidRPr="00BC2B41">
        <w:rPr>
          <w:rFonts w:hint="eastAsia"/>
        </w:rPr>
        <w:t>。」等語。</w:t>
      </w:r>
    </w:p>
    <w:p w:rsidR="005C17A0" w:rsidRPr="00BC2B41" w:rsidRDefault="005C17A0" w:rsidP="005C5DDA">
      <w:pPr>
        <w:pStyle w:val="4"/>
        <w:overflowPunct w:val="0"/>
        <w:topLinePunct/>
        <w:autoSpaceDN w:val="0"/>
      </w:pPr>
      <w:r w:rsidRPr="00BC2B41">
        <w:rPr>
          <w:rFonts w:hint="eastAsia"/>
        </w:rPr>
        <w:t>美國商會於107年3月7日發布「2018商業景氣調查」報告，本次調查結果，有高達84%美國商會成員</w:t>
      </w:r>
      <w:r w:rsidRPr="00BC2B41">
        <w:rPr>
          <w:rStyle w:val="afc"/>
        </w:rPr>
        <w:footnoteReference w:id="18"/>
      </w:r>
      <w:r w:rsidRPr="00BC2B41">
        <w:rPr>
          <w:rFonts w:hint="eastAsia"/>
        </w:rPr>
        <w:t>都表示，對</w:t>
      </w:r>
      <w:r w:rsidR="00F00113" w:rsidRPr="00BC2B41">
        <w:rPr>
          <w:rFonts w:hint="eastAsia"/>
        </w:rPr>
        <w:t>臺灣</w:t>
      </w:r>
      <w:r w:rsidRPr="00BC2B41">
        <w:rPr>
          <w:rFonts w:hint="eastAsia"/>
        </w:rPr>
        <w:t xml:space="preserve">電力供應是否滿足需求「感到疑慮」(whether electricity </w:t>
      </w:r>
      <w:r w:rsidRPr="00BC2B41">
        <w:t>supply</w:t>
      </w:r>
      <w:r w:rsidRPr="00BC2B41">
        <w:rPr>
          <w:rFonts w:hint="eastAsia"/>
        </w:rPr>
        <w:t xml:space="preserve"> can meet demand)，其中有近半數、高達49.74%是「極端憂慮」(extremely concerned)，另外34.72%表達「會憂慮(somewhat concerned)」，不擔心的只有8.81%，另外6.74%則表示沒有意見。其2018年白皮書略以：「本委員會在2017年白皮書中所提到的疑慮及議題現今觀之更為相關。自去年2017年白皮書發表後所發生的事件使得</w:t>
      </w:r>
      <w:r w:rsidR="00F00113" w:rsidRPr="00BC2B41">
        <w:rPr>
          <w:rFonts w:hint="eastAsia"/>
        </w:rPr>
        <w:t>臺灣</w:t>
      </w:r>
      <w:r w:rsidRPr="00BC2B41">
        <w:rPr>
          <w:rFonts w:hint="eastAsia"/>
        </w:rPr>
        <w:t>需要有穩定可靠及具價格競爭力的電力供應一事更為急迫。因此今年本委員會所作的建議和討論的主題，和我們去年白皮書提到的二個建議相同</w:t>
      </w:r>
      <w:r w:rsidRPr="00BC2B41">
        <w:rPr>
          <w:rFonts w:hint="eastAsia"/>
        </w:rPr>
        <w:lastRenderedPageBreak/>
        <w:t>且更為詳加論述</w:t>
      </w:r>
      <w:r w:rsidRPr="00BC2B41">
        <w:rPr>
          <w:rStyle w:val="afc"/>
        </w:rPr>
        <w:footnoteReference w:id="19"/>
      </w:r>
      <w:r w:rsidRPr="00BC2B41">
        <w:rPr>
          <w:rFonts w:hint="eastAsia"/>
        </w:rPr>
        <w:t>。</w:t>
      </w:r>
      <w:r w:rsidRPr="00BC2B41">
        <w:rPr>
          <w:rFonts w:hAnsi="標楷體" w:hint="eastAsia"/>
        </w:rPr>
        <w:t>……能源工作小組應負責制定全方位的執行藍圖，確實反應為支持國家能源策略所訂定的必要建設計劃，確保充足、可靠又具有成本競爭力的能源供應。</w:t>
      </w:r>
      <w:r w:rsidR="00F00113" w:rsidRPr="00BC2B41">
        <w:rPr>
          <w:rFonts w:hint="eastAsia"/>
        </w:rPr>
        <w:t>臺灣</w:t>
      </w:r>
      <w:r w:rsidRPr="00BC2B41">
        <w:rPr>
          <w:rFonts w:hint="eastAsia"/>
        </w:rPr>
        <w:t>正進入一個能源成本與可靠度逐漸出現不確定性的時期，此時需要一套井然有序、管理能源轉型的綜合藍圖。委員會支持風力和太陽能等再生能源的開發，但是從其他市場所獲得的經驗指出，過快轉型採用大量再生能源，會大幅提升能源的成本壓力，這是產業用電大戶所關注的重要課題，對</w:t>
      </w:r>
      <w:r w:rsidR="00F00113" w:rsidRPr="00BC2B41">
        <w:rPr>
          <w:rFonts w:hint="eastAsia"/>
        </w:rPr>
        <w:t>臺灣</w:t>
      </w:r>
      <w:r w:rsidRPr="00BC2B41">
        <w:rPr>
          <w:rFonts w:hint="eastAsia"/>
        </w:rPr>
        <w:t>吸引國內與國外製造業投資的競爭地位方面也會產生負面影響</w:t>
      </w:r>
      <w:r w:rsidRPr="00BC2B41">
        <w:rPr>
          <w:rStyle w:val="afc"/>
        </w:rPr>
        <w:footnoteReference w:id="20"/>
      </w:r>
      <w:r w:rsidRPr="00BC2B41">
        <w:rPr>
          <w:rFonts w:hint="eastAsia"/>
        </w:rPr>
        <w:t>。」另美國商會於108年1月23日公布「2019商業景氣調查」報告，其中，87%受訪廠商對未來電力供應感到憂慮</w:t>
      </w:r>
      <w:r w:rsidRPr="00BC2B41">
        <w:rPr>
          <w:rStyle w:val="afc"/>
        </w:rPr>
        <w:footnoteReference w:id="21"/>
      </w:r>
      <w:r w:rsidR="00205127" w:rsidRPr="00205127">
        <w:rPr>
          <w:rFonts w:hint="eastAsia"/>
          <w:color w:val="FF0000"/>
        </w:rPr>
        <w:t>，如圖4</w:t>
      </w:r>
      <w:r w:rsidRPr="00BC2B41">
        <w:rPr>
          <w:rFonts w:hint="eastAsia"/>
        </w:rPr>
        <w:t>。</w:t>
      </w:r>
    </w:p>
    <w:p w:rsidR="005C17A0" w:rsidRPr="00BC2B41" w:rsidRDefault="005C17A0" w:rsidP="005C5DDA">
      <w:pPr>
        <w:overflowPunct w:val="0"/>
        <w:topLinePunct/>
        <w:autoSpaceDN w:val="0"/>
        <w:jc w:val="center"/>
      </w:pPr>
      <w:r w:rsidRPr="00BC2B41">
        <w:rPr>
          <w:rFonts w:hint="eastAsia"/>
          <w:noProof/>
        </w:rPr>
        <w:lastRenderedPageBreak/>
        <w:drawing>
          <wp:inline distT="0" distB="0" distL="0" distR="0" wp14:anchorId="3AA21812" wp14:editId="77823E3B">
            <wp:extent cx="4311428" cy="4017818"/>
            <wp:effectExtent l="0" t="0" r="0" b="1905"/>
            <wp:docPr id="262" name="圖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0547D.tmp"/>
                    <pic:cNvPicPr/>
                  </pic:nvPicPr>
                  <pic:blipFill>
                    <a:blip r:embed="rId12">
                      <a:extLst>
                        <a:ext uri="{28A0092B-C50C-407E-A947-70E740481C1C}">
                          <a14:useLocalDpi xmlns:a14="http://schemas.microsoft.com/office/drawing/2010/main" val="0"/>
                        </a:ext>
                      </a:extLst>
                    </a:blip>
                    <a:stretch>
                      <a:fillRect/>
                    </a:stretch>
                  </pic:blipFill>
                  <pic:spPr>
                    <a:xfrm>
                      <a:off x="0" y="0"/>
                      <a:ext cx="4314778" cy="4020940"/>
                    </a:xfrm>
                    <a:prstGeom prst="rect">
                      <a:avLst/>
                    </a:prstGeom>
                  </pic:spPr>
                </pic:pic>
              </a:graphicData>
            </a:graphic>
          </wp:inline>
        </w:drawing>
      </w:r>
    </w:p>
    <w:p w:rsidR="005C17A0" w:rsidRPr="00BC2B41" w:rsidRDefault="005C17A0" w:rsidP="00BC5C24">
      <w:pPr>
        <w:pStyle w:val="aff3"/>
      </w:pPr>
      <w:bookmarkStart w:id="57" w:name="_Toc536451798"/>
      <w:r w:rsidRPr="00BC2B41">
        <w:rPr>
          <w:rFonts w:hint="eastAsia"/>
        </w:rPr>
        <w:t>資料來源：美國商會「2019商業景氣調查」報告</w:t>
      </w:r>
      <w:bookmarkEnd w:id="57"/>
    </w:p>
    <w:p w:rsidR="005C17A0" w:rsidRPr="00BC2B41" w:rsidRDefault="005C17A0" w:rsidP="00BC5C24">
      <w:pPr>
        <w:pStyle w:val="a1"/>
      </w:pPr>
      <w:r w:rsidRPr="00BC2B41">
        <w:rPr>
          <w:rFonts w:hint="eastAsia"/>
        </w:rPr>
        <w:t>美國商會成員對</w:t>
      </w:r>
      <w:r w:rsidR="00F00113" w:rsidRPr="00BC2B41">
        <w:rPr>
          <w:rFonts w:hint="eastAsia"/>
        </w:rPr>
        <w:t>臺灣</w:t>
      </w:r>
      <w:r w:rsidRPr="00BC2B41">
        <w:rPr>
          <w:rFonts w:hint="eastAsia"/>
        </w:rPr>
        <w:t>電力供應是否滿足需求之看法</w:t>
      </w:r>
    </w:p>
    <w:p w:rsidR="00505499" w:rsidRPr="00BC2B41" w:rsidRDefault="00505499" w:rsidP="00505499"/>
    <w:p w:rsidR="005C17A0" w:rsidRPr="00BC2B41" w:rsidRDefault="005C17A0" w:rsidP="005C5DDA">
      <w:pPr>
        <w:pStyle w:val="4"/>
        <w:overflowPunct w:val="0"/>
        <w:topLinePunct/>
        <w:autoSpaceDN w:val="0"/>
      </w:pPr>
      <w:r w:rsidRPr="00BC2B41">
        <w:rPr>
          <w:rFonts w:hint="eastAsia"/>
        </w:rPr>
        <w:t>另歐洲商會西元2017、2018年建議書，並未對我國新能源政策未來是否會造缺電風險一節表示意見，併此敘明。</w:t>
      </w:r>
    </w:p>
    <w:p w:rsidR="005C17A0" w:rsidRPr="00BC2B41" w:rsidRDefault="005C17A0" w:rsidP="00910D34">
      <w:pPr>
        <w:pStyle w:val="3"/>
        <w:overflowPunct w:val="0"/>
        <w:autoSpaceDE w:val="0"/>
        <w:autoSpaceDN w:val="0"/>
        <w:ind w:left="1394"/>
      </w:pPr>
      <w:r w:rsidRPr="00BC2B41">
        <w:rPr>
          <w:rFonts w:hint="eastAsia"/>
        </w:rPr>
        <w:t>卷查經濟部「能源統計資料查詢系統」，104~106年核電發電量(毛發電量)依序為36,471.1、31,661.4、22,445.5百萬度，顯示105、106年核能發電量各較前一年度分別減少13.2%、29.1%</w:t>
      </w:r>
      <w:r w:rsidR="00831189" w:rsidRPr="00BC2B41">
        <w:rPr>
          <w:rStyle w:val="afc"/>
        </w:rPr>
        <w:footnoteReference w:id="22"/>
      </w:r>
      <w:r w:rsidRPr="00BC2B41">
        <w:rPr>
          <w:rFonts w:hint="eastAsia"/>
        </w:rPr>
        <w:t>，該核電減少量，</w:t>
      </w:r>
      <w:r w:rsidR="00831189" w:rsidRPr="00BC2B41">
        <w:rPr>
          <w:rFonts w:hint="eastAsia"/>
        </w:rPr>
        <w:t>縱由火力發電填補，台電公司</w:t>
      </w:r>
      <w:r w:rsidR="009D7648" w:rsidRPr="00BC2B41">
        <w:rPr>
          <w:rFonts w:hint="eastAsia"/>
        </w:rPr>
        <w:t xml:space="preserve"> </w:t>
      </w:r>
      <w:r w:rsidRPr="00BC2B41">
        <w:rPr>
          <w:rFonts w:hint="eastAsia"/>
        </w:rPr>
        <w:t>103~106年度備轉容量(率)天數統計(</w:t>
      </w:r>
      <w:r w:rsidR="009D7648" w:rsidRPr="00BC2B41">
        <w:rPr>
          <w:rFonts w:hint="eastAsia"/>
        </w:rPr>
        <w:t>如</w:t>
      </w:r>
      <w:r w:rsidRPr="00BC2B41">
        <w:rPr>
          <w:rFonts w:hint="eastAsia"/>
        </w:rPr>
        <w:t>表</w:t>
      </w:r>
      <w:r w:rsidR="009D7648" w:rsidRPr="00BC2B41">
        <w:rPr>
          <w:rFonts w:hint="eastAsia"/>
        </w:rPr>
        <w:t>1</w:t>
      </w:r>
      <w:r w:rsidRPr="00BC2B41">
        <w:rPr>
          <w:rFonts w:hint="eastAsia"/>
        </w:rPr>
        <w:t>)，</w:t>
      </w:r>
      <w:r w:rsidR="009D7648" w:rsidRPr="00BC2B41">
        <w:rPr>
          <w:rFonts w:hint="eastAsia"/>
        </w:rPr>
        <w:t>仍反</w:t>
      </w:r>
      <w:r w:rsidR="009D7648" w:rsidRPr="00BC2B41">
        <w:rPr>
          <w:rFonts w:hint="eastAsia"/>
        </w:rPr>
        <w:lastRenderedPageBreak/>
        <w:t>映實際供電吃緊程度</w:t>
      </w:r>
      <w:r w:rsidRPr="00BC2B41">
        <w:rPr>
          <w:rFonts w:hint="eastAsia"/>
        </w:rPr>
        <w:t>。其中103~107年黃燈(備轉容量率6%~10%)依序為53天、158天、160天、208天及281天；橘燈(備轉容量率小於6%)部分，則依序達9天、31天、77天、101天及29天，呈供電吃緊狀態。甚至商轉逾40年之老舊機組，如協和1</w:t>
      </w:r>
      <w:r w:rsidR="00871BD1" w:rsidRPr="00BC2B41">
        <w:rPr>
          <w:rFonts w:hint="eastAsia"/>
        </w:rPr>
        <w:t>號機、2號機</w:t>
      </w:r>
      <w:r w:rsidRPr="00BC2B41">
        <w:rPr>
          <w:rFonts w:hint="eastAsia"/>
        </w:rPr>
        <w:t>，迄107年5月31日仍肩負供電任務</w:t>
      </w:r>
      <w:r w:rsidRPr="00BC2B41">
        <w:rPr>
          <w:rStyle w:val="afc"/>
        </w:rPr>
        <w:footnoteReference w:id="23"/>
      </w:r>
      <w:r w:rsidR="009D7648" w:rsidRPr="00BC2B41">
        <w:rPr>
          <w:rFonts w:hint="eastAsia"/>
        </w:rPr>
        <w:t>。易言之，台電公司已窮盡一切手段，全年備轉容量率高於10%以上天數(供電充裕)，103年度尚有303天，104~106年快速掉至174、126、53天，107年略回升至55天，呈下降趨勢。再者，近年瞬時尖峰負載最高日備轉容量率亦迭創新低，略以，104年7月2日備轉容量67.3萬瓩（備轉容量率1.90%），低於90萬瓩，達紅色「限電警戒」；105年7月28日備轉容量率3.41%、106年8月15日備轉容量率3.17%，均低於6%，達橘色「供電警戒」，縱107年最低備轉容量率略有提高（6.17%），仍屬黃色「供電吃緊」亦可佐證，顯示近年限電陰影籠罩全臺，工總、美國商會對未來供電同感疑慮非謂無據。</w:t>
      </w:r>
    </w:p>
    <w:p w:rsidR="005C17A0" w:rsidRPr="00BC2B41" w:rsidRDefault="005C17A0" w:rsidP="005C5DDA">
      <w:pPr>
        <w:pStyle w:val="a3"/>
        <w:kinsoku/>
        <w:topLinePunct/>
        <w:autoSpaceDE/>
        <w:ind w:left="0" w:firstLine="0"/>
        <w:jc w:val="center"/>
      </w:pPr>
      <w:bookmarkStart w:id="58" w:name="_Toc536451837"/>
      <w:r w:rsidRPr="00BC2B41">
        <w:rPr>
          <w:rFonts w:hint="eastAsia"/>
        </w:rPr>
        <w:lastRenderedPageBreak/>
        <w:t>101-107年備轉容量率天數統計</w:t>
      </w:r>
      <w:bookmarkEnd w:id="58"/>
    </w:p>
    <w:p w:rsidR="005C17A0" w:rsidRPr="00BC2B41" w:rsidRDefault="003A5AB9" w:rsidP="003A5AB9">
      <w:pPr>
        <w:overflowPunct w:val="0"/>
        <w:topLinePunct/>
        <w:autoSpaceDN w:val="0"/>
        <w:ind w:leftChars="200" w:left="680"/>
      </w:pPr>
      <w:r w:rsidRPr="00BC2B41">
        <w:rPr>
          <w:noProof/>
        </w:rPr>
        <w:drawing>
          <wp:inline distT="0" distB="0" distL="0" distR="0" wp14:anchorId="5A9A5983" wp14:editId="6E68EEFF">
            <wp:extent cx="4949286" cy="3114848"/>
            <wp:effectExtent l="0" t="0" r="381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87250.tmp"/>
                    <pic:cNvPicPr/>
                  </pic:nvPicPr>
                  <pic:blipFill>
                    <a:blip r:embed="rId13">
                      <a:extLst>
                        <a:ext uri="{28A0092B-C50C-407E-A947-70E740481C1C}">
                          <a14:useLocalDpi xmlns:a14="http://schemas.microsoft.com/office/drawing/2010/main" val="0"/>
                        </a:ext>
                      </a:extLst>
                    </a:blip>
                    <a:stretch>
                      <a:fillRect/>
                    </a:stretch>
                  </pic:blipFill>
                  <pic:spPr>
                    <a:xfrm>
                      <a:off x="0" y="0"/>
                      <a:ext cx="4955095" cy="3118504"/>
                    </a:xfrm>
                    <a:prstGeom prst="rect">
                      <a:avLst/>
                    </a:prstGeom>
                  </pic:spPr>
                </pic:pic>
              </a:graphicData>
            </a:graphic>
          </wp:inline>
        </w:drawing>
      </w:r>
    </w:p>
    <w:p w:rsidR="005C17A0" w:rsidRPr="00BC2B41" w:rsidRDefault="005C17A0" w:rsidP="001734C9">
      <w:pPr>
        <w:pStyle w:val="aff3"/>
        <w:kinsoku/>
        <w:topLinePunct/>
        <w:autoSpaceDE/>
        <w:ind w:leftChars="100" w:left="1507" w:hangingChars="486" w:hanging="1167"/>
      </w:pPr>
      <w:r w:rsidRPr="00BC2B41">
        <w:rPr>
          <w:rFonts w:hint="eastAsia"/>
        </w:rPr>
        <w:t>資料來源：台電公司107年1月23日書面應詢資料及108年1月21日補充資料</w:t>
      </w:r>
    </w:p>
    <w:p w:rsidR="005C17A0" w:rsidRPr="00BC2B41" w:rsidRDefault="00910D34" w:rsidP="00910D34">
      <w:pPr>
        <w:pStyle w:val="3"/>
        <w:overflowPunct w:val="0"/>
        <w:autoSpaceDE w:val="0"/>
        <w:autoSpaceDN w:val="0"/>
        <w:ind w:left="1394"/>
      </w:pPr>
      <w:r w:rsidRPr="00BC2B41">
        <w:rPr>
          <w:rFonts w:hint="eastAsia"/>
        </w:rPr>
        <w:t>綜上，核四裝置容量270萬瓩，發電量占系統約7%，惟經濟部為落實蔡總統「非核家園」競選政見，逕於105年5月宣布推動西元2025年全面非核，再生能源發電量占比並達20%，然此限時「非核家園」之能源政策，逕自律定西元2025年氣電50%、煤電30%及綠電20%之目標，甚至以運轉中核電機組長期停機方式提前減核，致供電吃緊、警戒(黃、橘燈)天數日增，工商團體、美國商會對西元2025年缺電風險、可負擔性及低碳化憂心不已，影響投資意願及產業發展，顯有違失。</w:t>
      </w:r>
    </w:p>
    <w:p w:rsidR="005C17A0" w:rsidRPr="00BC2B41" w:rsidRDefault="005C17A0" w:rsidP="005C5DDA">
      <w:pPr>
        <w:overflowPunct w:val="0"/>
        <w:topLinePunct/>
        <w:autoSpaceDN w:val="0"/>
      </w:pPr>
    </w:p>
    <w:p w:rsidR="00910D34" w:rsidRPr="00BC2B41" w:rsidRDefault="00910D34" w:rsidP="00910D34">
      <w:pPr>
        <w:pStyle w:val="2"/>
        <w:overflowPunct w:val="0"/>
        <w:autoSpaceDE w:val="0"/>
        <w:autoSpaceDN w:val="0"/>
        <w:ind w:left="1043"/>
        <w:rPr>
          <w:b/>
        </w:rPr>
      </w:pPr>
      <w:bookmarkStart w:id="59" w:name="_Toc1477902"/>
      <w:bookmarkStart w:id="60" w:name="_Toc513016280"/>
      <w:r w:rsidRPr="00BC2B41">
        <w:rPr>
          <w:rFonts w:hint="eastAsia"/>
          <w:b/>
        </w:rPr>
        <w:t>核四1、2號機裝置容量共270萬瓩，占備用容量率約6.5%，依台電公司102年長期電源開發方案（10209案），原訂104、106年7月陸續商轉，卻於103年封存，台電公司電源開發方案（10302案）規劃以火力、再生能源補足其供電缺口，惟經濟部於核四缺口亟需以</w:t>
      </w:r>
      <w:r w:rsidRPr="00BC2B41">
        <w:rPr>
          <w:rFonts w:hint="eastAsia"/>
          <w:b/>
        </w:rPr>
        <w:lastRenderedPageBreak/>
        <w:t>火力填補、再生能源發電量成長有限情況下，讓運轉中核電機組完成大修後長期處於停機狀態，擴大核電缺口，致火力全開，火力發電占比逐年提高，106年燃煤發電增幅（2.38%）甚至高於燃氣（2.25%），造成嚴重空氣污染，確有違失。</w:t>
      </w:r>
    </w:p>
    <w:bookmarkEnd w:id="59"/>
    <w:p w:rsidR="005C17A0" w:rsidRPr="00BC2B41" w:rsidRDefault="005C17A0" w:rsidP="005C5DDA">
      <w:pPr>
        <w:pStyle w:val="3"/>
        <w:overflowPunct w:val="0"/>
        <w:topLinePunct/>
        <w:autoSpaceDN w:val="0"/>
      </w:pPr>
      <w:r w:rsidRPr="00BC2B41">
        <w:rPr>
          <w:rFonts w:hint="eastAsia"/>
        </w:rPr>
        <w:t>查核四1、2號機裝置容量各135萬瓩，依台電公司</w:t>
      </w:r>
      <w:r w:rsidR="00871BD1" w:rsidRPr="00BC2B41">
        <w:rPr>
          <w:rFonts w:hint="eastAsia"/>
        </w:rPr>
        <w:t>「102年長期電源開發方案（10209案）」（下稱10209案）</w:t>
      </w:r>
      <w:r w:rsidRPr="00BC2B41">
        <w:rPr>
          <w:rFonts w:hint="eastAsia"/>
        </w:rPr>
        <w:t>，原預估</w:t>
      </w:r>
      <w:r w:rsidR="002F2B97" w:rsidRPr="00BC2B41">
        <w:rPr>
          <w:rFonts w:hint="eastAsia"/>
        </w:rPr>
        <w:t>核四</w:t>
      </w:r>
      <w:r w:rsidRPr="00BC2B41">
        <w:rPr>
          <w:rFonts w:hint="eastAsia"/>
        </w:rPr>
        <w:t>1號機於104年7月商轉，2號機於106年7月商轉，</w:t>
      </w:r>
      <w:r w:rsidR="002F2B97" w:rsidRPr="00BC2B41">
        <w:rPr>
          <w:rFonts w:hint="eastAsia"/>
        </w:rPr>
        <w:t>該</w:t>
      </w:r>
      <w:r w:rsidRPr="00BC2B41">
        <w:rPr>
          <w:rFonts w:hint="eastAsia"/>
        </w:rPr>
        <w:t>10209案</w:t>
      </w:r>
      <w:r w:rsidR="00871BD1" w:rsidRPr="00BC2B41">
        <w:rPr>
          <w:rFonts w:hint="eastAsia"/>
        </w:rPr>
        <w:t>關於</w:t>
      </w:r>
      <w:r w:rsidRPr="00BC2B41">
        <w:rPr>
          <w:rFonts w:hint="eastAsia"/>
        </w:rPr>
        <w:t>各年淨尖峰能力、尖峰負載及備用容量率關係如圖5</w:t>
      </w:r>
      <w:r w:rsidRPr="00BC2B41">
        <w:rPr>
          <w:rStyle w:val="afc"/>
        </w:rPr>
        <w:footnoteReference w:id="24"/>
      </w:r>
      <w:r w:rsidRPr="00BC2B41">
        <w:rPr>
          <w:rFonts w:hint="eastAsia"/>
        </w:rPr>
        <w:t>。該圖依10209案，預估103年系統備用容量率可維持在15%以上，104、105年下降為14.4%及11.2%，106、107年在施工中機組陸續完工後，備用容量率達15.7%、17.6%，往後各年備用容量率逐年下降，111年以後降至個位數。又，該10209案鑑於行政院暫緩推動核四公投案，臚列有無核四備用容量率比較圖如圖6，並分析「若核四計畫未能順利商轉，備用容量率於104年即降至10.8%。105年起除107年為11.0%外，其餘各年備用容量率均降至個位數，</w:t>
      </w:r>
      <w:r w:rsidRPr="00BC2B41">
        <w:rPr>
          <w:rFonts w:hint="eastAsia"/>
          <w:b/>
        </w:rPr>
        <w:t>依過去經驗，當備用容量率低於10%時，就有缺電風險，低於7.4%時，限電幾乎無法避免。</w:t>
      </w:r>
      <w:r w:rsidRPr="00BC2B41">
        <w:rPr>
          <w:rFonts w:hint="eastAsia"/>
        </w:rPr>
        <w:t>」此有10209案玖、三（核電政策調整之影響）可稽。</w:t>
      </w:r>
    </w:p>
    <w:p w:rsidR="005C17A0" w:rsidRPr="00BC2B41" w:rsidRDefault="005C17A0" w:rsidP="005C5DDA">
      <w:pPr>
        <w:overflowPunct w:val="0"/>
        <w:topLinePunct/>
        <w:autoSpaceDN w:val="0"/>
        <w:jc w:val="center"/>
      </w:pPr>
      <w:r w:rsidRPr="00BC2B41">
        <w:rPr>
          <w:rFonts w:hint="eastAsia"/>
          <w:noProof/>
        </w:rPr>
        <w:lastRenderedPageBreak/>
        <w:drawing>
          <wp:inline distT="0" distB="0" distL="0" distR="0" wp14:anchorId="4AA5A8DE" wp14:editId="504C2CA2">
            <wp:extent cx="4979081" cy="4113955"/>
            <wp:effectExtent l="0" t="0" r="0" b="1270"/>
            <wp:docPr id="243" name="圖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242B.tmp"/>
                    <pic:cNvPicPr/>
                  </pic:nvPicPr>
                  <pic:blipFill>
                    <a:blip r:embed="rId14">
                      <a:extLst>
                        <a:ext uri="{28A0092B-C50C-407E-A947-70E740481C1C}">
                          <a14:useLocalDpi xmlns:a14="http://schemas.microsoft.com/office/drawing/2010/main" val="0"/>
                        </a:ext>
                      </a:extLst>
                    </a:blip>
                    <a:stretch>
                      <a:fillRect/>
                    </a:stretch>
                  </pic:blipFill>
                  <pic:spPr>
                    <a:xfrm>
                      <a:off x="0" y="0"/>
                      <a:ext cx="4990019" cy="4122993"/>
                    </a:xfrm>
                    <a:prstGeom prst="rect">
                      <a:avLst/>
                    </a:prstGeom>
                  </pic:spPr>
                </pic:pic>
              </a:graphicData>
            </a:graphic>
          </wp:inline>
        </w:drawing>
      </w:r>
    </w:p>
    <w:p w:rsidR="005C17A0" w:rsidRPr="00BC2B41" w:rsidRDefault="005C17A0" w:rsidP="005C5DDA">
      <w:pPr>
        <w:pStyle w:val="a1"/>
        <w:topLinePunct/>
        <w:autoSpaceDE/>
        <w:spacing w:before="40" w:after="240"/>
        <w:ind w:left="480" w:hanging="480"/>
      </w:pPr>
      <w:bookmarkStart w:id="61" w:name="_Toc536451799"/>
      <w:r w:rsidRPr="00BC2B41">
        <w:rPr>
          <w:rFonts w:hint="eastAsia"/>
        </w:rPr>
        <w:t>各年淨尖峰能力、尖峰負載及備用容量率關係</w:t>
      </w:r>
      <w:bookmarkEnd w:id="61"/>
    </w:p>
    <w:p w:rsidR="005C17A0" w:rsidRPr="00BC2B41" w:rsidRDefault="005C17A0" w:rsidP="005C5DDA">
      <w:pPr>
        <w:overflowPunct w:val="0"/>
        <w:topLinePunct/>
        <w:autoSpaceDN w:val="0"/>
        <w:jc w:val="center"/>
        <w:rPr>
          <w:rFonts w:hAnsi="標楷體"/>
          <w:b/>
          <w:szCs w:val="32"/>
        </w:rPr>
      </w:pPr>
      <w:r w:rsidRPr="00BC2B41">
        <w:rPr>
          <w:rFonts w:hint="eastAsia"/>
          <w:noProof/>
        </w:rPr>
        <w:drawing>
          <wp:inline distT="0" distB="0" distL="0" distR="0" wp14:anchorId="1559107B" wp14:editId="14D9F90E">
            <wp:extent cx="5238035" cy="3449781"/>
            <wp:effectExtent l="0" t="0" r="1270" b="0"/>
            <wp:docPr id="246" name="圖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AA4C.tmp"/>
                    <pic:cNvPicPr/>
                  </pic:nvPicPr>
                  <pic:blipFill>
                    <a:blip r:embed="rId15">
                      <a:extLst>
                        <a:ext uri="{28A0092B-C50C-407E-A947-70E740481C1C}">
                          <a14:useLocalDpi xmlns:a14="http://schemas.microsoft.com/office/drawing/2010/main" val="0"/>
                        </a:ext>
                      </a:extLst>
                    </a:blip>
                    <a:stretch>
                      <a:fillRect/>
                    </a:stretch>
                  </pic:blipFill>
                  <pic:spPr>
                    <a:xfrm>
                      <a:off x="0" y="0"/>
                      <a:ext cx="5247009" cy="3455691"/>
                    </a:xfrm>
                    <a:prstGeom prst="rect">
                      <a:avLst/>
                    </a:prstGeom>
                  </pic:spPr>
                </pic:pic>
              </a:graphicData>
            </a:graphic>
          </wp:inline>
        </w:drawing>
      </w:r>
    </w:p>
    <w:p w:rsidR="005C17A0" w:rsidRPr="00BC2B41" w:rsidRDefault="005C17A0" w:rsidP="005C5DDA">
      <w:pPr>
        <w:pStyle w:val="a1"/>
        <w:topLinePunct/>
        <w:autoSpaceDE/>
        <w:spacing w:before="40" w:after="240"/>
        <w:ind w:left="480" w:hanging="480"/>
        <w:rPr>
          <w:rFonts w:hAnsi="標楷體"/>
          <w:b/>
          <w:szCs w:val="32"/>
        </w:rPr>
      </w:pPr>
      <w:bookmarkStart w:id="62" w:name="_Toc536451800"/>
      <w:r w:rsidRPr="00BC2B41">
        <w:rPr>
          <w:rFonts w:hint="eastAsia"/>
        </w:rPr>
        <w:t>10209案有無核四備用容量率比較圖</w:t>
      </w:r>
      <w:bookmarkEnd w:id="62"/>
    </w:p>
    <w:p w:rsidR="005C17A0" w:rsidRPr="00BC2B41" w:rsidRDefault="005C17A0" w:rsidP="005C5DDA">
      <w:pPr>
        <w:pStyle w:val="3"/>
        <w:overflowPunct w:val="0"/>
        <w:topLinePunct/>
        <w:autoSpaceDN w:val="0"/>
        <w:rPr>
          <w:rFonts w:hAnsi="標楷體"/>
          <w:szCs w:val="32"/>
        </w:rPr>
      </w:pPr>
      <w:r w:rsidRPr="00BC2B41">
        <w:rPr>
          <w:rFonts w:hAnsi="標楷體" w:hint="eastAsia"/>
          <w:szCs w:val="32"/>
        </w:rPr>
        <w:lastRenderedPageBreak/>
        <w:t>次查台電公司102年長期電源開發方案規劃「民國102~113年新增電源配比（10209-有核四案）」如表2，與101底相較，規劃台電新增火力293.4</w:t>
      </w:r>
      <w:r w:rsidRPr="00BC2B41">
        <w:rPr>
          <w:rFonts w:hint="eastAsia"/>
        </w:rPr>
        <w:t>萬瓩，民營電廠新增再生能源549.3萬瓩，預計113年再生能源裝置容量904.0萬瓩（含慣常水力）。</w:t>
      </w:r>
      <w:r w:rsidRPr="00BC2B41">
        <w:rPr>
          <w:rFonts w:hAnsi="標楷體" w:hint="eastAsia"/>
          <w:szCs w:val="32"/>
        </w:rPr>
        <w:t>行政院103年4月28日宣布核四封存後，</w:t>
      </w:r>
      <w:r w:rsidRPr="00BC2B41">
        <w:rPr>
          <w:rFonts w:hint="eastAsia"/>
        </w:rPr>
        <w:t>103~114年新增電源配比（10302-無核四案）</w:t>
      </w:r>
      <w:r w:rsidRPr="00BC2B41">
        <w:rPr>
          <w:rStyle w:val="10"/>
          <w:rFonts w:hint="eastAsia"/>
        </w:rPr>
        <w:t>如表</w:t>
      </w:r>
      <w:r w:rsidR="00DD4C83" w:rsidRPr="00BC2B41">
        <w:rPr>
          <w:rFonts w:hint="eastAsia"/>
        </w:rPr>
        <w:t>3</w:t>
      </w:r>
      <w:r w:rsidRPr="00BC2B41">
        <w:rPr>
          <w:rFonts w:hint="eastAsia"/>
        </w:rPr>
        <w:t>，與102年底相較，</w:t>
      </w:r>
      <w:r w:rsidRPr="00BC2B41">
        <w:rPr>
          <w:rFonts w:hAnsi="標楷體" w:hint="eastAsia"/>
          <w:szCs w:val="32"/>
        </w:rPr>
        <w:t>規劃台電新增火力455.7</w:t>
      </w:r>
      <w:r w:rsidRPr="00BC2B41">
        <w:rPr>
          <w:rFonts w:hint="eastAsia"/>
        </w:rPr>
        <w:t>萬瓩（與10209案相較，增加162.3萬瓩），民營電廠再生能源新增590.0萬瓩（與10209案相較，增加40.7萬瓩）。比較有核四（10209案）與無核四案（10302案），縱114年總裝置容量（4,667.1萬瓩）較113年（5,101.1萬瓩）減少434萬瓩（註：核四裝置容量270萬瓩），再生能源裝置容量增加30.2萬瓩</w:t>
      </w:r>
      <w:r w:rsidRPr="00BC2B41">
        <w:rPr>
          <w:rStyle w:val="afc"/>
        </w:rPr>
        <w:footnoteReference w:id="25"/>
      </w:r>
      <w:r w:rsidRPr="00BC2B41">
        <w:rPr>
          <w:rFonts w:hint="eastAsia"/>
        </w:rPr>
        <w:t>，其火力裝置容量仍新增162.3萬瓩，</w:t>
      </w:r>
      <w:r w:rsidRPr="00BC2B41">
        <w:rPr>
          <w:rFonts w:hint="eastAsia"/>
          <w:b/>
        </w:rPr>
        <w:t>說明核四不商轉，其270萬瓩電力缺口，主要由火力補足。</w:t>
      </w:r>
    </w:p>
    <w:p w:rsidR="005C17A0" w:rsidRPr="00BC2B41" w:rsidRDefault="005C17A0" w:rsidP="005C5DDA">
      <w:pPr>
        <w:pStyle w:val="a3"/>
        <w:kinsoku/>
        <w:topLinePunct/>
        <w:autoSpaceDE/>
        <w:ind w:left="0" w:firstLine="0"/>
        <w:jc w:val="center"/>
      </w:pPr>
      <w:bookmarkStart w:id="63" w:name="_Toc536451838"/>
      <w:r w:rsidRPr="00BC2B41">
        <w:rPr>
          <w:rFonts w:hint="eastAsia"/>
        </w:rPr>
        <w:t>102~113年新增電源配比（10209-有核四案）</w:t>
      </w:r>
      <w:bookmarkEnd w:id="63"/>
    </w:p>
    <w:p w:rsidR="005C17A0" w:rsidRPr="00BC2B41" w:rsidRDefault="005C17A0" w:rsidP="005C5DDA">
      <w:pPr>
        <w:overflowPunct w:val="0"/>
        <w:topLinePunct/>
        <w:autoSpaceDN w:val="0"/>
        <w:ind w:leftChars="394" w:left="1340"/>
        <w:jc w:val="center"/>
      </w:pPr>
      <w:r w:rsidRPr="00BC2B41">
        <w:rPr>
          <w:rFonts w:hint="eastAsia"/>
          <w:noProof/>
        </w:rPr>
        <mc:AlternateContent>
          <mc:Choice Requires="wps">
            <w:drawing>
              <wp:anchor distT="0" distB="0" distL="114300" distR="114300" simplePos="0" relativeHeight="251678720" behindDoc="0" locked="0" layoutInCell="1" allowOverlap="1" wp14:anchorId="093454AC" wp14:editId="37A10202">
                <wp:simplePos x="0" y="0"/>
                <wp:positionH relativeFrom="column">
                  <wp:posOffset>4675505</wp:posOffset>
                </wp:positionH>
                <wp:positionV relativeFrom="paragraph">
                  <wp:posOffset>2283460</wp:posOffset>
                </wp:positionV>
                <wp:extent cx="533400" cy="181610"/>
                <wp:effectExtent l="0" t="0" r="19050" b="27940"/>
                <wp:wrapNone/>
                <wp:docPr id="254" name="矩形 254"/>
                <wp:cNvGraphicFramePr/>
                <a:graphic xmlns:a="http://schemas.openxmlformats.org/drawingml/2006/main">
                  <a:graphicData uri="http://schemas.microsoft.com/office/word/2010/wordprocessingShape">
                    <wps:wsp>
                      <wps:cNvSpPr/>
                      <wps:spPr>
                        <a:xfrm>
                          <a:off x="0" y="0"/>
                          <a:ext cx="533400" cy="1816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25E454" id="矩形 254" o:spid="_x0000_s1026" style="position:absolute;margin-left:368.15pt;margin-top:179.8pt;width:42pt;height:14.3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" filled="f" strokecolor="#243f60 [1604]" strokeweight="2pt"/>
            </w:pict>
          </mc:Fallback>
        </mc:AlternateContent>
      </w:r>
      <w:r w:rsidRPr="00BC2B41">
        <w:rPr>
          <w:rFonts w:hint="eastAsia"/>
          <w:noProof/>
        </w:rPr>
        <mc:AlternateContent>
          <mc:Choice Requires="wps">
            <w:drawing>
              <wp:anchor distT="0" distB="0" distL="114300" distR="114300" simplePos="0" relativeHeight="251682816" behindDoc="0" locked="0" layoutInCell="1" allowOverlap="1" wp14:anchorId="36D6D10E" wp14:editId="6A1EE71E">
                <wp:simplePos x="0" y="0"/>
                <wp:positionH relativeFrom="column">
                  <wp:posOffset>4675505</wp:posOffset>
                </wp:positionH>
                <wp:positionV relativeFrom="paragraph">
                  <wp:posOffset>855345</wp:posOffset>
                </wp:positionV>
                <wp:extent cx="533400" cy="200660"/>
                <wp:effectExtent l="0" t="0" r="19050" b="27940"/>
                <wp:wrapNone/>
                <wp:docPr id="256" name="矩形 256"/>
                <wp:cNvGraphicFramePr/>
                <a:graphic xmlns:a="http://schemas.openxmlformats.org/drawingml/2006/main">
                  <a:graphicData uri="http://schemas.microsoft.com/office/word/2010/wordprocessingShape">
                    <wps:wsp>
                      <wps:cNvSpPr/>
                      <wps:spPr>
                        <a:xfrm>
                          <a:off x="0" y="0"/>
                          <a:ext cx="533400" cy="2006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06081D" id="矩形 256" o:spid="_x0000_s1026" style="position:absolute;margin-left:368.15pt;margin-top:67.35pt;width:42pt;height:15.8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" filled="f" strokecolor="#243f60 [1604]" strokeweight="2pt"/>
            </w:pict>
          </mc:Fallback>
        </mc:AlternateContent>
      </w:r>
      <w:r w:rsidRPr="00BC2B41">
        <w:rPr>
          <w:rFonts w:hint="eastAsia"/>
          <w:noProof/>
        </w:rPr>
        <mc:AlternateContent>
          <mc:Choice Requires="wps">
            <w:drawing>
              <wp:anchor distT="0" distB="0" distL="114300" distR="114300" simplePos="0" relativeHeight="251674624" behindDoc="0" locked="0" layoutInCell="1" allowOverlap="1" wp14:anchorId="3E954C5B" wp14:editId="009F0C77">
                <wp:simplePos x="0" y="0"/>
                <wp:positionH relativeFrom="column">
                  <wp:posOffset>2642870</wp:posOffset>
                </wp:positionH>
                <wp:positionV relativeFrom="paragraph">
                  <wp:posOffset>1473200</wp:posOffset>
                </wp:positionV>
                <wp:extent cx="428625" cy="173355"/>
                <wp:effectExtent l="0" t="0" r="28575" b="17145"/>
                <wp:wrapNone/>
                <wp:docPr id="249" name="矩形 249"/>
                <wp:cNvGraphicFramePr/>
                <a:graphic xmlns:a="http://schemas.openxmlformats.org/drawingml/2006/main">
                  <a:graphicData uri="http://schemas.microsoft.com/office/word/2010/wordprocessingShape">
                    <wps:wsp>
                      <wps:cNvSpPr/>
                      <wps:spPr>
                        <a:xfrm>
                          <a:off x="0" y="0"/>
                          <a:ext cx="428625" cy="1733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54C3F4" id="矩形 249" o:spid="_x0000_s1026" style="position:absolute;margin-left:208.1pt;margin-top:116pt;width:33.75pt;height:13.6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" filled="f" strokecolor="#243f60 [1604]" strokeweight="2pt"/>
            </w:pict>
          </mc:Fallback>
        </mc:AlternateContent>
      </w:r>
      <w:r w:rsidRPr="00BC2B41">
        <w:rPr>
          <w:rFonts w:hint="eastAsia"/>
          <w:noProof/>
        </w:rPr>
        <mc:AlternateContent>
          <mc:Choice Requires="wps">
            <w:drawing>
              <wp:anchor distT="0" distB="0" distL="114300" distR="114300" simplePos="0" relativeHeight="251675648" behindDoc="0" locked="0" layoutInCell="1" allowOverlap="1" wp14:anchorId="70ADD6B1" wp14:editId="58123D9C">
                <wp:simplePos x="0" y="0"/>
                <wp:positionH relativeFrom="column">
                  <wp:posOffset>3075305</wp:posOffset>
                </wp:positionH>
                <wp:positionV relativeFrom="paragraph">
                  <wp:posOffset>2461895</wp:posOffset>
                </wp:positionV>
                <wp:extent cx="331470" cy="219075"/>
                <wp:effectExtent l="0" t="0" r="11430" b="28575"/>
                <wp:wrapNone/>
                <wp:docPr id="250" name="矩形 250"/>
                <wp:cNvGraphicFramePr/>
                <a:graphic xmlns:a="http://schemas.openxmlformats.org/drawingml/2006/main">
                  <a:graphicData uri="http://schemas.microsoft.com/office/word/2010/wordprocessingShape">
                    <wps:wsp>
                      <wps:cNvSpPr/>
                      <wps:spPr>
                        <a:xfrm>
                          <a:off x="0" y="0"/>
                          <a:ext cx="331470" cy="219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E8053" id="矩形 250" o:spid="_x0000_s1026" style="position:absolute;margin-left:242.15pt;margin-top:193.85pt;width:26.1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" filled="f" strokecolor="#243f60 [1604]" strokeweight="2pt"/>
            </w:pict>
          </mc:Fallback>
        </mc:AlternateContent>
      </w:r>
      <w:r w:rsidRPr="00BC2B41">
        <w:rPr>
          <w:rFonts w:hint="eastAsia"/>
          <w:noProof/>
        </w:rPr>
        <w:drawing>
          <wp:inline distT="0" distB="0" distL="0" distR="0" wp14:anchorId="4ED271E6" wp14:editId="7A68516E">
            <wp:extent cx="4779937" cy="2691994"/>
            <wp:effectExtent l="0" t="0" r="1905" b="0"/>
            <wp:docPr id="248" name="圖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7B92.tmp"/>
                    <pic:cNvPicPr/>
                  </pic:nvPicPr>
                  <pic:blipFill>
                    <a:blip r:embed="rId16">
                      <a:extLst>
                        <a:ext uri="{28A0092B-C50C-407E-A947-70E740481C1C}">
                          <a14:useLocalDpi xmlns:a14="http://schemas.microsoft.com/office/drawing/2010/main" val="0"/>
                        </a:ext>
                      </a:extLst>
                    </a:blip>
                    <a:stretch>
                      <a:fillRect/>
                    </a:stretch>
                  </pic:blipFill>
                  <pic:spPr>
                    <a:xfrm>
                      <a:off x="0" y="0"/>
                      <a:ext cx="4782912" cy="2693669"/>
                    </a:xfrm>
                    <a:prstGeom prst="rect">
                      <a:avLst/>
                    </a:prstGeom>
                  </pic:spPr>
                </pic:pic>
              </a:graphicData>
            </a:graphic>
          </wp:inline>
        </w:drawing>
      </w:r>
    </w:p>
    <w:p w:rsidR="005C17A0" w:rsidRPr="00BC2B41" w:rsidRDefault="005C17A0" w:rsidP="005C5DDA">
      <w:pPr>
        <w:pStyle w:val="aff3"/>
        <w:kinsoku/>
        <w:topLinePunct/>
        <w:autoSpaceDE/>
      </w:pPr>
      <w:r w:rsidRPr="00BC2B41">
        <w:rPr>
          <w:rFonts w:hint="eastAsia"/>
        </w:rPr>
        <w:t>資料來源：</w:t>
      </w:r>
      <w:r w:rsidRPr="00BC2B41">
        <w:rPr>
          <w:rFonts w:hAnsi="標楷體" w:hint="eastAsia"/>
          <w:szCs w:val="32"/>
        </w:rPr>
        <w:t>台電公司長期電源開發方案規劃</w:t>
      </w:r>
      <w:r w:rsidRPr="00BC2B41">
        <w:rPr>
          <w:rFonts w:hint="eastAsia"/>
        </w:rPr>
        <w:t>10209-有核四案</w:t>
      </w:r>
    </w:p>
    <w:p w:rsidR="005C17A0" w:rsidRPr="00BC2B41" w:rsidRDefault="005C17A0" w:rsidP="005C5DDA">
      <w:pPr>
        <w:pStyle w:val="a3"/>
        <w:kinsoku/>
        <w:topLinePunct/>
        <w:autoSpaceDE/>
        <w:ind w:left="0" w:firstLine="0"/>
        <w:jc w:val="center"/>
      </w:pPr>
      <w:bookmarkStart w:id="64" w:name="_Toc536451839"/>
      <w:r w:rsidRPr="00BC2B41">
        <w:rPr>
          <w:rFonts w:hint="eastAsia"/>
        </w:rPr>
        <w:lastRenderedPageBreak/>
        <w:t>103~114年新增電源配比（10302-無核四案）</w:t>
      </w:r>
      <w:bookmarkEnd w:id="64"/>
    </w:p>
    <w:p w:rsidR="005C17A0" w:rsidRPr="00BC2B41" w:rsidRDefault="00712219" w:rsidP="002F2B97">
      <w:pPr>
        <w:overflowPunct w:val="0"/>
        <w:topLinePunct/>
        <w:autoSpaceDN w:val="0"/>
        <w:ind w:leftChars="292" w:left="1360" w:hangingChars="108" w:hanging="367"/>
        <w:jc w:val="center"/>
      </w:pPr>
      <w:r w:rsidRPr="00BC2B41">
        <w:rPr>
          <w:rFonts w:hint="eastAsia"/>
          <w:noProof/>
        </w:rPr>
        <mc:AlternateContent>
          <mc:Choice Requires="wps">
            <w:drawing>
              <wp:anchor distT="0" distB="0" distL="114300" distR="114300" simplePos="0" relativeHeight="251676672" behindDoc="0" locked="0" layoutInCell="1" allowOverlap="1" wp14:anchorId="0F08D0BD" wp14:editId="603CAC2A">
                <wp:simplePos x="0" y="0"/>
                <wp:positionH relativeFrom="column">
                  <wp:posOffset>2513380</wp:posOffset>
                </wp:positionH>
                <wp:positionV relativeFrom="paragraph">
                  <wp:posOffset>1584911</wp:posOffset>
                </wp:positionV>
                <wp:extent cx="457200" cy="228014"/>
                <wp:effectExtent l="0" t="0" r="19050" b="19685"/>
                <wp:wrapNone/>
                <wp:docPr id="252" name="矩形 252"/>
                <wp:cNvGraphicFramePr/>
                <a:graphic xmlns:a="http://schemas.openxmlformats.org/drawingml/2006/main">
                  <a:graphicData uri="http://schemas.microsoft.com/office/word/2010/wordprocessingShape">
                    <wps:wsp>
                      <wps:cNvSpPr/>
                      <wps:spPr>
                        <a:xfrm>
                          <a:off x="0" y="0"/>
                          <a:ext cx="457200" cy="2280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03CD4" id="矩形 252" o:spid="_x0000_s1026" style="position:absolute;margin-left:197.9pt;margin-top:124.8pt;width:36pt;height:17.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" filled="f" strokecolor="#243f60 [1604]" strokeweight="2pt"/>
            </w:pict>
          </mc:Fallback>
        </mc:AlternateContent>
      </w:r>
      <w:r w:rsidRPr="00BC2B41">
        <w:rPr>
          <w:rFonts w:hint="eastAsia"/>
          <w:noProof/>
        </w:rPr>
        <mc:AlternateContent>
          <mc:Choice Requires="wps">
            <w:drawing>
              <wp:anchor distT="0" distB="0" distL="114300" distR="114300" simplePos="0" relativeHeight="251712512" behindDoc="0" locked="0" layoutInCell="1" allowOverlap="1" wp14:anchorId="12A5A85E" wp14:editId="7838E135">
                <wp:simplePos x="0" y="0"/>
                <wp:positionH relativeFrom="column">
                  <wp:posOffset>2969895</wp:posOffset>
                </wp:positionH>
                <wp:positionV relativeFrom="paragraph">
                  <wp:posOffset>954405</wp:posOffset>
                </wp:positionV>
                <wp:extent cx="364490" cy="217805"/>
                <wp:effectExtent l="0" t="0" r="16510" b="10795"/>
                <wp:wrapNone/>
                <wp:docPr id="229" name="矩形 229"/>
                <wp:cNvGraphicFramePr/>
                <a:graphic xmlns:a="http://schemas.openxmlformats.org/drawingml/2006/main">
                  <a:graphicData uri="http://schemas.microsoft.com/office/word/2010/wordprocessingShape">
                    <wps:wsp>
                      <wps:cNvSpPr/>
                      <wps:spPr>
                        <a:xfrm>
                          <a:off x="0" y="0"/>
                          <a:ext cx="364490" cy="2178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9458CD" id="矩形 229" o:spid="_x0000_s1026" style="position:absolute;margin-left:233.85pt;margin-top:75.15pt;width:28.7pt;height:17.1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" filled="f" strokecolor="#243f60 [1604]" strokeweight="2pt"/>
            </w:pict>
          </mc:Fallback>
        </mc:AlternateContent>
      </w:r>
      <w:r w:rsidRPr="00BC2B41">
        <w:rPr>
          <w:rFonts w:hint="eastAsia"/>
          <w:noProof/>
        </w:rPr>
        <mc:AlternateContent>
          <mc:Choice Requires="wps">
            <w:drawing>
              <wp:anchor distT="0" distB="0" distL="114300" distR="114300" simplePos="0" relativeHeight="251677696" behindDoc="0" locked="0" layoutInCell="1" allowOverlap="1" wp14:anchorId="39249DE6" wp14:editId="4CCA4CC2">
                <wp:simplePos x="0" y="0"/>
                <wp:positionH relativeFrom="column">
                  <wp:posOffset>2969895</wp:posOffset>
                </wp:positionH>
                <wp:positionV relativeFrom="paragraph">
                  <wp:posOffset>2660015</wp:posOffset>
                </wp:positionV>
                <wp:extent cx="382270" cy="213360"/>
                <wp:effectExtent l="0" t="0" r="17780" b="15240"/>
                <wp:wrapNone/>
                <wp:docPr id="253" name="矩形 253"/>
                <wp:cNvGraphicFramePr/>
                <a:graphic xmlns:a="http://schemas.openxmlformats.org/drawingml/2006/main">
                  <a:graphicData uri="http://schemas.microsoft.com/office/word/2010/wordprocessingShape">
                    <wps:wsp>
                      <wps:cNvSpPr/>
                      <wps:spPr>
                        <a:xfrm>
                          <a:off x="0" y="0"/>
                          <a:ext cx="382270" cy="2133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464E8" id="矩形 253" o:spid="_x0000_s1026" style="position:absolute;margin-left:233.85pt;margin-top:209.45pt;width:30.1pt;height:1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" filled="f" strokecolor="#243f60 [1604]" strokeweight="2pt"/>
            </w:pict>
          </mc:Fallback>
        </mc:AlternateContent>
      </w:r>
      <w:r w:rsidRPr="00BC2B41">
        <w:rPr>
          <w:rFonts w:hint="eastAsia"/>
          <w:noProof/>
        </w:rPr>
        <mc:AlternateContent>
          <mc:Choice Requires="wps">
            <w:drawing>
              <wp:anchor distT="0" distB="0" distL="114300" distR="114300" simplePos="0" relativeHeight="251679744" behindDoc="0" locked="0" layoutInCell="1" allowOverlap="1" wp14:anchorId="07EF7DE8" wp14:editId="09BDCF14">
                <wp:simplePos x="0" y="0"/>
                <wp:positionH relativeFrom="column">
                  <wp:posOffset>4693285</wp:posOffset>
                </wp:positionH>
                <wp:positionV relativeFrom="paragraph">
                  <wp:posOffset>2682387</wp:posOffset>
                </wp:positionV>
                <wp:extent cx="632460" cy="193040"/>
                <wp:effectExtent l="0" t="0" r="15240" b="16510"/>
                <wp:wrapNone/>
                <wp:docPr id="255" name="矩形 255"/>
                <wp:cNvGraphicFramePr/>
                <a:graphic xmlns:a="http://schemas.openxmlformats.org/drawingml/2006/main">
                  <a:graphicData uri="http://schemas.microsoft.com/office/word/2010/wordprocessingShape">
                    <wps:wsp>
                      <wps:cNvSpPr/>
                      <wps:spPr>
                        <a:xfrm>
                          <a:off x="0" y="0"/>
                          <a:ext cx="632460" cy="1930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07611" id="矩形 255" o:spid="_x0000_s1026" style="position:absolute;margin-left:369.55pt;margin-top:211.2pt;width:49.8pt;height:1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" filled="f" strokecolor="#243f60 [1604]" strokeweight="2pt"/>
            </w:pict>
          </mc:Fallback>
        </mc:AlternateContent>
      </w:r>
      <w:r w:rsidRPr="00BC2B41">
        <w:rPr>
          <w:rFonts w:hint="eastAsia"/>
          <w:noProof/>
        </w:rPr>
        <mc:AlternateContent>
          <mc:Choice Requires="wps">
            <w:drawing>
              <wp:anchor distT="0" distB="0" distL="114300" distR="114300" simplePos="0" relativeHeight="251683840" behindDoc="0" locked="0" layoutInCell="1" allowOverlap="1" wp14:anchorId="51BDE2AB" wp14:editId="7CADA0FF">
                <wp:simplePos x="0" y="0"/>
                <wp:positionH relativeFrom="column">
                  <wp:posOffset>4693285</wp:posOffset>
                </wp:positionH>
                <wp:positionV relativeFrom="paragraph">
                  <wp:posOffset>981075</wp:posOffset>
                </wp:positionV>
                <wp:extent cx="632460" cy="179070"/>
                <wp:effectExtent l="0" t="0" r="15240" b="11430"/>
                <wp:wrapNone/>
                <wp:docPr id="258" name="矩形 258"/>
                <wp:cNvGraphicFramePr/>
                <a:graphic xmlns:a="http://schemas.openxmlformats.org/drawingml/2006/main">
                  <a:graphicData uri="http://schemas.microsoft.com/office/word/2010/wordprocessingShape">
                    <wps:wsp>
                      <wps:cNvSpPr/>
                      <wps:spPr>
                        <a:xfrm>
                          <a:off x="0" y="0"/>
                          <a:ext cx="632460" cy="1790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538E1" id="矩形 258" o:spid="_x0000_s1026" style="position:absolute;margin-left:369.55pt;margin-top:77.25pt;width:49.8pt;height:14.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" filled="f" strokecolor="#243f60 [1604]" strokeweight="2pt"/>
            </w:pict>
          </mc:Fallback>
        </mc:AlternateContent>
      </w:r>
      <w:r w:rsidR="005C17A0" w:rsidRPr="00BC2B41">
        <w:rPr>
          <w:rFonts w:hint="eastAsia"/>
          <w:noProof/>
        </w:rPr>
        <w:drawing>
          <wp:inline distT="0" distB="0" distL="0" distR="0" wp14:anchorId="2C063F8A" wp14:editId="06C05000">
            <wp:extent cx="5077845" cy="2943225"/>
            <wp:effectExtent l="0" t="0" r="8890" b="0"/>
            <wp:docPr id="251" name="圖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DD24.tmp"/>
                    <pic:cNvPicPr/>
                  </pic:nvPicPr>
                  <pic:blipFill>
                    <a:blip r:embed="rId17">
                      <a:extLst>
                        <a:ext uri="{28A0092B-C50C-407E-A947-70E740481C1C}">
                          <a14:useLocalDpi xmlns:a14="http://schemas.microsoft.com/office/drawing/2010/main" val="0"/>
                        </a:ext>
                      </a:extLst>
                    </a:blip>
                    <a:stretch>
                      <a:fillRect/>
                    </a:stretch>
                  </pic:blipFill>
                  <pic:spPr>
                    <a:xfrm>
                      <a:off x="0" y="0"/>
                      <a:ext cx="5091205" cy="2950969"/>
                    </a:xfrm>
                    <a:prstGeom prst="rect">
                      <a:avLst/>
                    </a:prstGeom>
                  </pic:spPr>
                </pic:pic>
              </a:graphicData>
            </a:graphic>
          </wp:inline>
        </w:drawing>
      </w:r>
    </w:p>
    <w:p w:rsidR="005C17A0" w:rsidRPr="00BC2B41" w:rsidRDefault="005C17A0" w:rsidP="002F2B97">
      <w:pPr>
        <w:pStyle w:val="aff3"/>
        <w:kinsoku/>
        <w:topLinePunct/>
        <w:autoSpaceDE/>
        <w:ind w:firstLineChars="413" w:firstLine="992"/>
      </w:pPr>
      <w:r w:rsidRPr="00BC2B41">
        <w:rPr>
          <w:rFonts w:hint="eastAsia"/>
        </w:rPr>
        <w:t>資料來源：</w:t>
      </w:r>
      <w:r w:rsidRPr="00BC2B41">
        <w:rPr>
          <w:rFonts w:hAnsi="標楷體" w:hint="eastAsia"/>
          <w:szCs w:val="32"/>
        </w:rPr>
        <w:t>台電公司長期電源開發方案規劃</w:t>
      </w:r>
      <w:r w:rsidRPr="00BC2B41">
        <w:rPr>
          <w:rFonts w:hint="eastAsia"/>
        </w:rPr>
        <w:t>10302-無核四案</w:t>
      </w:r>
    </w:p>
    <w:p w:rsidR="00BC5C24" w:rsidRPr="00BC2B41" w:rsidRDefault="005C17A0" w:rsidP="005C5DDA">
      <w:pPr>
        <w:pStyle w:val="3"/>
        <w:overflowPunct w:val="0"/>
        <w:topLinePunct/>
        <w:autoSpaceDN w:val="0"/>
      </w:pPr>
      <w:r w:rsidRPr="00BC2B41">
        <w:rPr>
          <w:rFonts w:hint="eastAsia"/>
        </w:rPr>
        <w:t>再查</w:t>
      </w:r>
      <w:r w:rsidRPr="00BC2B41">
        <w:rPr>
          <w:rFonts w:hAnsi="標楷體" w:hint="eastAsia"/>
          <w:bCs w:val="0"/>
          <w:szCs w:val="32"/>
        </w:rPr>
        <w:t>台電系統發購電量（結構）及</w:t>
      </w:r>
      <w:r w:rsidRPr="00BC2B41">
        <w:rPr>
          <w:rFonts w:hint="eastAsia"/>
        </w:rPr>
        <w:t>瞬時尖峰負載最高日備轉容量</w:t>
      </w:r>
      <w:r w:rsidRPr="00BC2B41">
        <w:rPr>
          <w:rFonts w:hAnsi="標楷體" w:hint="eastAsia"/>
          <w:bCs w:val="0"/>
          <w:szCs w:val="32"/>
        </w:rPr>
        <w:t>率，97~106年發購電量及再生能源占比</w:t>
      </w:r>
      <w:r w:rsidRPr="00BC2B41">
        <w:rPr>
          <w:rFonts w:hint="eastAsia"/>
        </w:rPr>
        <w:t>，如表</w:t>
      </w:r>
      <w:r w:rsidR="00DD4C83" w:rsidRPr="00BC2B41">
        <w:rPr>
          <w:rFonts w:hint="eastAsia"/>
        </w:rPr>
        <w:t>4</w:t>
      </w:r>
      <w:r w:rsidRPr="00BC2B41">
        <w:rPr>
          <w:rFonts w:hint="eastAsia"/>
        </w:rPr>
        <w:t>，</w:t>
      </w:r>
      <w:r w:rsidRPr="00BC2B41">
        <w:rPr>
          <w:rFonts w:hint="eastAsia"/>
          <w:b/>
        </w:rPr>
        <w:t>與103年相較，106年</w:t>
      </w:r>
      <w:r w:rsidRPr="00BC2B41">
        <w:rPr>
          <w:rFonts w:hint="eastAsia"/>
        </w:rPr>
        <w:t>再生能源發電量僅增24.59億度，</w:t>
      </w:r>
      <w:r w:rsidRPr="00BC2B41">
        <w:rPr>
          <w:rFonts w:hint="eastAsia"/>
          <w:b/>
        </w:rPr>
        <w:t>火力發電量卻增加284.25億度，占比由76.0%增至84.4%，增加8.4%，增幅可觀</w:t>
      </w:r>
      <w:r w:rsidRPr="00BC2B41">
        <w:rPr>
          <w:rFonts w:hint="eastAsia"/>
        </w:rPr>
        <w:t>；台電系統歷年發購電量結構，如圖7，其中，106年發電量結構，燃煤39.2%，燃氣38.6%，燃油4.8%。再者，近10年(98~107)年度瞬時尖峰負載最高日備轉資料，如表</w:t>
      </w:r>
      <w:r w:rsidR="007E709A" w:rsidRPr="00BC2B41">
        <w:rPr>
          <w:rFonts w:hint="eastAsia"/>
        </w:rPr>
        <w:t>5</w:t>
      </w:r>
      <w:r w:rsidRPr="00BC2B41">
        <w:rPr>
          <w:rFonts w:hint="eastAsia"/>
        </w:rPr>
        <w:t>，其中，104年7月2日備轉容量率最低（1.9%，限電警戒），105年7月28日、106年8月15日備轉容量率亦僅3.41%、3.17%（供電警戒），實屬偏低。</w:t>
      </w:r>
    </w:p>
    <w:p w:rsidR="002F2B97" w:rsidRPr="00BC2B41" w:rsidRDefault="002F2B97" w:rsidP="002F2B97"/>
    <w:p w:rsidR="002F2B97" w:rsidRPr="00BC2B41" w:rsidRDefault="002F2B97" w:rsidP="002F2B97"/>
    <w:p w:rsidR="002F2B97" w:rsidRPr="00BC2B41" w:rsidRDefault="002F2B97" w:rsidP="002F2B97"/>
    <w:p w:rsidR="005C17A0" w:rsidRPr="00BC2B41" w:rsidRDefault="005C17A0" w:rsidP="005C5DDA">
      <w:pPr>
        <w:pStyle w:val="a3"/>
        <w:kinsoku/>
        <w:topLinePunct/>
        <w:autoSpaceDE/>
        <w:ind w:left="0" w:firstLine="0"/>
        <w:jc w:val="center"/>
      </w:pPr>
      <w:bookmarkStart w:id="65" w:name="_Toc536451840"/>
      <w:r w:rsidRPr="00BC2B41">
        <w:rPr>
          <w:rFonts w:hint="eastAsia"/>
        </w:rPr>
        <w:lastRenderedPageBreak/>
        <w:t>台電系統97~106年發購電量及再生能源占比</w:t>
      </w:r>
      <w:bookmarkEnd w:id="65"/>
    </w:p>
    <w:tbl>
      <w:tblPr>
        <w:tblStyle w:val="aff2"/>
        <w:tblW w:w="9180" w:type="dxa"/>
        <w:jc w:val="center"/>
        <w:tblLook w:val="04A0" w:firstRow="1" w:lastRow="0" w:firstColumn="1" w:lastColumn="0" w:noHBand="0" w:noVBand="1"/>
      </w:tblPr>
      <w:tblGrid>
        <w:gridCol w:w="734"/>
        <w:gridCol w:w="1077"/>
        <w:gridCol w:w="736"/>
        <w:gridCol w:w="1074"/>
        <w:gridCol w:w="736"/>
        <w:gridCol w:w="1073"/>
        <w:gridCol w:w="735"/>
        <w:gridCol w:w="1074"/>
        <w:gridCol w:w="735"/>
        <w:gridCol w:w="1206"/>
      </w:tblGrid>
      <w:tr w:rsidR="00BC2B41" w:rsidRPr="00BC2B41" w:rsidTr="00DD4C83">
        <w:trPr>
          <w:trHeight w:val="340"/>
          <w:tblHeader/>
          <w:jc w:val="center"/>
        </w:trPr>
        <w:tc>
          <w:tcPr>
            <w:tcW w:w="734" w:type="dxa"/>
            <w:vMerge w:val="restart"/>
            <w:vAlign w:val="center"/>
          </w:tcPr>
          <w:p w:rsidR="00DD4C83" w:rsidRPr="00BC2B41" w:rsidRDefault="00DD4C83" w:rsidP="005C5DDA">
            <w:pPr>
              <w:pStyle w:val="121"/>
              <w:topLinePunct/>
              <w:autoSpaceDE/>
            </w:pPr>
            <w:r w:rsidRPr="00BC2B41">
              <w:rPr>
                <w:rFonts w:hint="eastAsia"/>
              </w:rPr>
              <w:t>年度</w:t>
            </w:r>
          </w:p>
        </w:tc>
        <w:tc>
          <w:tcPr>
            <w:tcW w:w="1813" w:type="dxa"/>
            <w:gridSpan w:val="2"/>
            <w:vAlign w:val="center"/>
          </w:tcPr>
          <w:p w:rsidR="00DD4C83" w:rsidRPr="00BC2B41" w:rsidRDefault="00DD4C83" w:rsidP="00BC5C24">
            <w:pPr>
              <w:pStyle w:val="121"/>
              <w:topLinePunct/>
              <w:autoSpaceDE/>
              <w:jc w:val="center"/>
            </w:pPr>
            <w:r w:rsidRPr="00BC2B41">
              <w:rPr>
                <w:rFonts w:hint="eastAsia"/>
              </w:rPr>
              <w:t>火力</w:t>
            </w:r>
          </w:p>
        </w:tc>
        <w:tc>
          <w:tcPr>
            <w:tcW w:w="1810" w:type="dxa"/>
            <w:gridSpan w:val="2"/>
            <w:vAlign w:val="center"/>
          </w:tcPr>
          <w:p w:rsidR="00DD4C83" w:rsidRPr="00BC2B41" w:rsidRDefault="00DD4C83" w:rsidP="00BC5C24">
            <w:pPr>
              <w:pStyle w:val="121"/>
              <w:topLinePunct/>
              <w:autoSpaceDE/>
              <w:jc w:val="center"/>
            </w:pPr>
            <w:r w:rsidRPr="00BC2B41">
              <w:rPr>
                <w:rFonts w:hint="eastAsia"/>
              </w:rPr>
              <w:t>核能</w:t>
            </w:r>
          </w:p>
        </w:tc>
        <w:tc>
          <w:tcPr>
            <w:tcW w:w="1808" w:type="dxa"/>
            <w:gridSpan w:val="2"/>
            <w:vAlign w:val="center"/>
          </w:tcPr>
          <w:p w:rsidR="00DD4C83" w:rsidRPr="00BC2B41" w:rsidRDefault="00DD4C83" w:rsidP="00BC5C24">
            <w:pPr>
              <w:pStyle w:val="121"/>
              <w:topLinePunct/>
              <w:autoSpaceDE/>
              <w:jc w:val="center"/>
            </w:pPr>
            <w:r w:rsidRPr="00BC2B41">
              <w:rPr>
                <w:rFonts w:hint="eastAsia"/>
              </w:rPr>
              <w:t>抽蓄水力</w:t>
            </w:r>
          </w:p>
        </w:tc>
        <w:tc>
          <w:tcPr>
            <w:tcW w:w="1809" w:type="dxa"/>
            <w:gridSpan w:val="2"/>
            <w:vAlign w:val="center"/>
          </w:tcPr>
          <w:p w:rsidR="00DD4C83" w:rsidRPr="00BC2B41" w:rsidRDefault="00DD4C83" w:rsidP="00BC5C24">
            <w:pPr>
              <w:pStyle w:val="121"/>
              <w:topLinePunct/>
              <w:autoSpaceDE/>
              <w:jc w:val="center"/>
            </w:pPr>
            <w:r w:rsidRPr="00BC2B41">
              <w:rPr>
                <w:rFonts w:hint="eastAsia"/>
              </w:rPr>
              <w:t>再生能源</w:t>
            </w:r>
          </w:p>
        </w:tc>
        <w:tc>
          <w:tcPr>
            <w:tcW w:w="1206" w:type="dxa"/>
            <w:vMerge w:val="restart"/>
            <w:vAlign w:val="center"/>
          </w:tcPr>
          <w:p w:rsidR="00DD4C83" w:rsidRPr="00BC2B41" w:rsidRDefault="00DD4C83" w:rsidP="005C5DDA">
            <w:pPr>
              <w:pStyle w:val="121"/>
              <w:topLinePunct/>
              <w:autoSpaceDE/>
            </w:pPr>
            <w:r w:rsidRPr="00BC2B41">
              <w:rPr>
                <w:rFonts w:hint="eastAsia"/>
              </w:rPr>
              <w:t>發購電量</w:t>
            </w:r>
            <w:r w:rsidRPr="00BC2B41">
              <w:br/>
            </w:r>
            <w:r w:rsidRPr="00BC2B41">
              <w:rPr>
                <w:rFonts w:hint="eastAsia"/>
              </w:rPr>
              <w:t>小計</w:t>
            </w:r>
          </w:p>
        </w:tc>
      </w:tr>
      <w:tr w:rsidR="00BC2B41" w:rsidRPr="00BC2B41" w:rsidTr="00DD4C83">
        <w:trPr>
          <w:trHeight w:val="680"/>
          <w:tblHeader/>
          <w:jc w:val="center"/>
        </w:trPr>
        <w:tc>
          <w:tcPr>
            <w:tcW w:w="734" w:type="dxa"/>
            <w:vMerge/>
            <w:vAlign w:val="center"/>
          </w:tcPr>
          <w:p w:rsidR="00DD4C83" w:rsidRPr="00BC2B41" w:rsidRDefault="00DD4C83" w:rsidP="005C5DDA">
            <w:pPr>
              <w:pStyle w:val="121"/>
              <w:topLinePunct/>
              <w:autoSpaceDE/>
            </w:pPr>
          </w:p>
        </w:tc>
        <w:tc>
          <w:tcPr>
            <w:tcW w:w="1077" w:type="dxa"/>
            <w:vAlign w:val="center"/>
          </w:tcPr>
          <w:p w:rsidR="00DD4C83" w:rsidRPr="00BC2B41" w:rsidRDefault="00DD4C83" w:rsidP="005C5DDA">
            <w:pPr>
              <w:pStyle w:val="121"/>
              <w:topLinePunct/>
              <w:autoSpaceDE/>
            </w:pPr>
            <w:r w:rsidRPr="00BC2B41">
              <w:rPr>
                <w:rFonts w:hint="eastAsia"/>
              </w:rPr>
              <w:t>發購電量</w:t>
            </w:r>
            <w:r w:rsidRPr="00BC2B41">
              <w:br/>
            </w:r>
            <w:r w:rsidRPr="00BC2B41">
              <w:rPr>
                <w:rFonts w:hint="eastAsia"/>
              </w:rPr>
              <w:t>(億度)</w:t>
            </w:r>
          </w:p>
        </w:tc>
        <w:tc>
          <w:tcPr>
            <w:tcW w:w="736" w:type="dxa"/>
            <w:vAlign w:val="center"/>
          </w:tcPr>
          <w:p w:rsidR="00DD4C83" w:rsidRPr="00BC2B41" w:rsidRDefault="00DD4C83" w:rsidP="005C5DDA">
            <w:pPr>
              <w:pStyle w:val="121"/>
              <w:topLinePunct/>
              <w:autoSpaceDE/>
            </w:pPr>
            <w:r w:rsidRPr="00BC2B41">
              <w:rPr>
                <w:rFonts w:hint="eastAsia"/>
              </w:rPr>
              <w:t>占比</w:t>
            </w:r>
            <w:r w:rsidRPr="00BC2B41">
              <w:br/>
            </w:r>
            <w:r w:rsidRPr="00BC2B41">
              <w:rPr>
                <w:rFonts w:hint="eastAsia"/>
              </w:rPr>
              <w:t>(%)</w:t>
            </w:r>
          </w:p>
        </w:tc>
        <w:tc>
          <w:tcPr>
            <w:tcW w:w="1074" w:type="dxa"/>
            <w:vAlign w:val="center"/>
          </w:tcPr>
          <w:p w:rsidR="00DD4C83" w:rsidRPr="00BC2B41" w:rsidRDefault="00DD4C83" w:rsidP="005C5DDA">
            <w:pPr>
              <w:pStyle w:val="121"/>
              <w:topLinePunct/>
              <w:autoSpaceDE/>
            </w:pPr>
            <w:r w:rsidRPr="00BC2B41">
              <w:rPr>
                <w:rFonts w:hint="eastAsia"/>
              </w:rPr>
              <w:t>發購電量</w:t>
            </w:r>
            <w:r w:rsidRPr="00BC2B41">
              <w:br/>
            </w:r>
            <w:r w:rsidRPr="00BC2B41">
              <w:rPr>
                <w:rFonts w:hint="eastAsia"/>
              </w:rPr>
              <w:t>(億度)</w:t>
            </w:r>
          </w:p>
        </w:tc>
        <w:tc>
          <w:tcPr>
            <w:tcW w:w="736" w:type="dxa"/>
            <w:vAlign w:val="center"/>
          </w:tcPr>
          <w:p w:rsidR="00DD4C83" w:rsidRPr="00BC2B41" w:rsidRDefault="00DD4C83" w:rsidP="005C5DDA">
            <w:pPr>
              <w:pStyle w:val="121"/>
              <w:topLinePunct/>
              <w:autoSpaceDE/>
            </w:pPr>
            <w:r w:rsidRPr="00BC2B41">
              <w:rPr>
                <w:rFonts w:hint="eastAsia"/>
              </w:rPr>
              <w:t>占比</w:t>
            </w:r>
          </w:p>
          <w:p w:rsidR="00DD4C83" w:rsidRPr="00BC2B41" w:rsidRDefault="00DD4C83" w:rsidP="005C5DDA">
            <w:pPr>
              <w:pStyle w:val="121"/>
              <w:topLinePunct/>
              <w:autoSpaceDE/>
            </w:pPr>
            <w:r w:rsidRPr="00BC2B41">
              <w:rPr>
                <w:rFonts w:hint="eastAsia"/>
              </w:rPr>
              <w:t>(%)</w:t>
            </w:r>
          </w:p>
        </w:tc>
        <w:tc>
          <w:tcPr>
            <w:tcW w:w="1073" w:type="dxa"/>
            <w:vAlign w:val="center"/>
          </w:tcPr>
          <w:p w:rsidR="00DD4C83" w:rsidRPr="00BC2B41" w:rsidRDefault="00DD4C83" w:rsidP="005C5DDA">
            <w:pPr>
              <w:pStyle w:val="121"/>
              <w:topLinePunct/>
              <w:autoSpaceDE/>
            </w:pPr>
            <w:r w:rsidRPr="00BC2B41">
              <w:rPr>
                <w:rFonts w:hint="eastAsia"/>
              </w:rPr>
              <w:t>發購電量</w:t>
            </w:r>
          </w:p>
          <w:p w:rsidR="00DD4C83" w:rsidRPr="00BC2B41" w:rsidRDefault="00DD4C83" w:rsidP="005C5DDA">
            <w:pPr>
              <w:pStyle w:val="121"/>
              <w:topLinePunct/>
              <w:autoSpaceDE/>
            </w:pPr>
            <w:r w:rsidRPr="00BC2B41">
              <w:rPr>
                <w:rFonts w:hint="eastAsia"/>
              </w:rPr>
              <w:t>(億度)</w:t>
            </w:r>
          </w:p>
        </w:tc>
        <w:tc>
          <w:tcPr>
            <w:tcW w:w="735" w:type="dxa"/>
            <w:vAlign w:val="center"/>
          </w:tcPr>
          <w:p w:rsidR="00DD4C83" w:rsidRPr="00BC2B41" w:rsidRDefault="00DD4C83" w:rsidP="005C5DDA">
            <w:pPr>
              <w:pStyle w:val="121"/>
              <w:topLinePunct/>
              <w:autoSpaceDE/>
            </w:pPr>
            <w:r w:rsidRPr="00BC2B41">
              <w:rPr>
                <w:rFonts w:hint="eastAsia"/>
              </w:rPr>
              <w:t>占比</w:t>
            </w:r>
          </w:p>
          <w:p w:rsidR="00DD4C83" w:rsidRPr="00BC2B41" w:rsidRDefault="00DD4C83" w:rsidP="005C5DDA">
            <w:pPr>
              <w:pStyle w:val="121"/>
              <w:topLinePunct/>
              <w:autoSpaceDE/>
            </w:pPr>
            <w:r w:rsidRPr="00BC2B41">
              <w:rPr>
                <w:rFonts w:hint="eastAsia"/>
              </w:rPr>
              <w:t>(%)</w:t>
            </w:r>
          </w:p>
        </w:tc>
        <w:tc>
          <w:tcPr>
            <w:tcW w:w="1074" w:type="dxa"/>
            <w:vAlign w:val="center"/>
          </w:tcPr>
          <w:p w:rsidR="00DD4C83" w:rsidRPr="00BC2B41" w:rsidRDefault="00DD4C83" w:rsidP="005C5DDA">
            <w:pPr>
              <w:pStyle w:val="121"/>
              <w:topLinePunct/>
              <w:autoSpaceDE/>
            </w:pPr>
            <w:r w:rsidRPr="00BC2B41">
              <w:rPr>
                <w:rFonts w:hint="eastAsia"/>
              </w:rPr>
              <w:t>發購電量(億度)</w:t>
            </w:r>
          </w:p>
        </w:tc>
        <w:tc>
          <w:tcPr>
            <w:tcW w:w="735" w:type="dxa"/>
            <w:vAlign w:val="center"/>
          </w:tcPr>
          <w:p w:rsidR="00DD4C83" w:rsidRPr="00BC2B41" w:rsidRDefault="00DD4C83" w:rsidP="005C5DDA">
            <w:pPr>
              <w:pStyle w:val="121"/>
              <w:topLinePunct/>
              <w:autoSpaceDE/>
            </w:pPr>
            <w:r w:rsidRPr="00BC2B41">
              <w:rPr>
                <w:rFonts w:hint="eastAsia"/>
              </w:rPr>
              <w:t>占比</w:t>
            </w:r>
          </w:p>
          <w:p w:rsidR="00DD4C83" w:rsidRPr="00BC2B41" w:rsidRDefault="00DD4C83" w:rsidP="005C5DDA">
            <w:pPr>
              <w:pStyle w:val="121"/>
              <w:topLinePunct/>
              <w:autoSpaceDE/>
            </w:pPr>
            <w:r w:rsidRPr="00BC2B41">
              <w:rPr>
                <w:rFonts w:hint="eastAsia"/>
              </w:rPr>
              <w:t>(%)</w:t>
            </w:r>
          </w:p>
        </w:tc>
        <w:tc>
          <w:tcPr>
            <w:tcW w:w="1206" w:type="dxa"/>
            <w:vMerge/>
            <w:vAlign w:val="center"/>
          </w:tcPr>
          <w:p w:rsidR="00DD4C83" w:rsidRPr="00BC2B41" w:rsidRDefault="00DD4C83" w:rsidP="005C5DDA">
            <w:pPr>
              <w:pStyle w:val="121"/>
              <w:topLinePunct/>
              <w:autoSpaceDE/>
            </w:pPr>
          </w:p>
        </w:tc>
      </w:tr>
      <w:tr w:rsidR="00BC2B41" w:rsidRPr="00BC2B41" w:rsidTr="00DD4C83">
        <w:trPr>
          <w:trHeight w:val="340"/>
          <w:jc w:val="center"/>
        </w:trPr>
        <w:tc>
          <w:tcPr>
            <w:tcW w:w="734" w:type="dxa"/>
            <w:vAlign w:val="center"/>
          </w:tcPr>
          <w:p w:rsidR="00DD4C83" w:rsidRPr="00BC2B41" w:rsidRDefault="00DD4C83" w:rsidP="005C5DDA">
            <w:pPr>
              <w:pStyle w:val="121"/>
              <w:topLinePunct/>
              <w:autoSpaceDE/>
            </w:pPr>
            <w:r w:rsidRPr="00BC2B41">
              <w:rPr>
                <w:rFonts w:hint="eastAsia"/>
              </w:rPr>
              <w:t>97</w:t>
            </w:r>
          </w:p>
        </w:tc>
        <w:tc>
          <w:tcPr>
            <w:tcW w:w="1077" w:type="dxa"/>
            <w:vAlign w:val="center"/>
          </w:tcPr>
          <w:p w:rsidR="00DD4C83" w:rsidRPr="00BC2B41" w:rsidRDefault="00DD4C83" w:rsidP="005C5DDA">
            <w:pPr>
              <w:pStyle w:val="121"/>
              <w:topLinePunct/>
              <w:autoSpaceDE/>
              <w:jc w:val="right"/>
            </w:pPr>
            <w:r w:rsidRPr="00BC2B41">
              <w:rPr>
                <w:rFonts w:hint="eastAsia"/>
              </w:rPr>
              <w:t>1,503.57</w:t>
            </w:r>
          </w:p>
        </w:tc>
        <w:tc>
          <w:tcPr>
            <w:tcW w:w="736" w:type="dxa"/>
            <w:vAlign w:val="center"/>
          </w:tcPr>
          <w:p w:rsidR="00DD4C83" w:rsidRPr="00BC2B41" w:rsidRDefault="00DD4C83" w:rsidP="005C5DDA">
            <w:pPr>
              <w:pStyle w:val="121"/>
              <w:topLinePunct/>
              <w:autoSpaceDE/>
              <w:jc w:val="right"/>
            </w:pPr>
            <w:r w:rsidRPr="00BC2B41">
              <w:rPr>
                <w:rFonts w:hint="eastAsia"/>
              </w:rPr>
              <w:t>75.1</w:t>
            </w:r>
          </w:p>
        </w:tc>
        <w:tc>
          <w:tcPr>
            <w:tcW w:w="1074" w:type="dxa"/>
            <w:vAlign w:val="center"/>
          </w:tcPr>
          <w:p w:rsidR="00DD4C83" w:rsidRPr="00BC2B41" w:rsidRDefault="00DD4C83" w:rsidP="005C5DDA">
            <w:pPr>
              <w:pStyle w:val="121"/>
              <w:topLinePunct/>
              <w:autoSpaceDE/>
              <w:jc w:val="right"/>
            </w:pPr>
            <w:r w:rsidRPr="00BC2B41">
              <w:rPr>
                <w:rFonts w:hint="eastAsia"/>
              </w:rPr>
              <w:t>392.60</w:t>
            </w:r>
          </w:p>
        </w:tc>
        <w:tc>
          <w:tcPr>
            <w:tcW w:w="736" w:type="dxa"/>
            <w:vAlign w:val="center"/>
          </w:tcPr>
          <w:p w:rsidR="00DD4C83" w:rsidRPr="00BC2B41" w:rsidRDefault="00DD4C83" w:rsidP="005C5DDA">
            <w:pPr>
              <w:pStyle w:val="121"/>
              <w:topLinePunct/>
              <w:autoSpaceDE/>
              <w:jc w:val="right"/>
            </w:pPr>
            <w:r w:rsidRPr="00BC2B41">
              <w:rPr>
                <w:rFonts w:hint="eastAsia"/>
              </w:rPr>
              <w:t>19.6</w:t>
            </w:r>
          </w:p>
        </w:tc>
        <w:tc>
          <w:tcPr>
            <w:tcW w:w="1073" w:type="dxa"/>
            <w:vAlign w:val="center"/>
          </w:tcPr>
          <w:p w:rsidR="00DD4C83" w:rsidRPr="00BC2B41" w:rsidRDefault="00DD4C83" w:rsidP="005C5DDA">
            <w:pPr>
              <w:pStyle w:val="121"/>
              <w:topLinePunct/>
              <w:autoSpaceDE/>
              <w:jc w:val="right"/>
            </w:pPr>
            <w:r w:rsidRPr="00BC2B41">
              <w:rPr>
                <w:rFonts w:hint="eastAsia"/>
              </w:rPr>
              <w:t>34.59</w:t>
            </w:r>
          </w:p>
        </w:tc>
        <w:tc>
          <w:tcPr>
            <w:tcW w:w="735" w:type="dxa"/>
            <w:vAlign w:val="center"/>
          </w:tcPr>
          <w:p w:rsidR="00DD4C83" w:rsidRPr="00BC2B41" w:rsidRDefault="00DD4C83" w:rsidP="005C5DDA">
            <w:pPr>
              <w:pStyle w:val="121"/>
              <w:topLinePunct/>
              <w:autoSpaceDE/>
              <w:jc w:val="right"/>
            </w:pPr>
            <w:r w:rsidRPr="00BC2B41">
              <w:rPr>
                <w:rFonts w:hint="eastAsia"/>
              </w:rPr>
              <w:t>1.7</w:t>
            </w:r>
          </w:p>
        </w:tc>
        <w:tc>
          <w:tcPr>
            <w:tcW w:w="1074" w:type="dxa"/>
            <w:vAlign w:val="center"/>
          </w:tcPr>
          <w:p w:rsidR="00DD4C83" w:rsidRPr="00BC2B41" w:rsidRDefault="00DD4C83" w:rsidP="005C5DDA">
            <w:pPr>
              <w:pStyle w:val="121"/>
              <w:topLinePunct/>
              <w:autoSpaceDE/>
              <w:jc w:val="right"/>
            </w:pPr>
            <w:r w:rsidRPr="00BC2B41">
              <w:rPr>
                <w:rFonts w:hint="eastAsia"/>
              </w:rPr>
              <w:t>71.65</w:t>
            </w:r>
          </w:p>
        </w:tc>
        <w:tc>
          <w:tcPr>
            <w:tcW w:w="735" w:type="dxa"/>
            <w:vAlign w:val="center"/>
          </w:tcPr>
          <w:p w:rsidR="00DD4C83" w:rsidRPr="00BC2B41" w:rsidRDefault="00DD4C83" w:rsidP="005C5DDA">
            <w:pPr>
              <w:pStyle w:val="121"/>
              <w:topLinePunct/>
              <w:autoSpaceDE/>
              <w:jc w:val="right"/>
            </w:pPr>
            <w:r w:rsidRPr="00BC2B41">
              <w:rPr>
                <w:rFonts w:hint="eastAsia"/>
              </w:rPr>
              <w:t>3.6</w:t>
            </w:r>
          </w:p>
        </w:tc>
        <w:tc>
          <w:tcPr>
            <w:tcW w:w="1206" w:type="dxa"/>
            <w:vAlign w:val="center"/>
          </w:tcPr>
          <w:p w:rsidR="00DD4C83" w:rsidRPr="00BC2B41" w:rsidRDefault="00DD4C83" w:rsidP="005C5DDA">
            <w:pPr>
              <w:pStyle w:val="121"/>
              <w:topLinePunct/>
              <w:autoSpaceDE/>
              <w:jc w:val="right"/>
            </w:pPr>
            <w:r w:rsidRPr="00BC2B41">
              <w:rPr>
                <w:rFonts w:hint="eastAsia"/>
              </w:rPr>
              <w:t>2,002.41</w:t>
            </w:r>
          </w:p>
        </w:tc>
      </w:tr>
      <w:tr w:rsidR="00BC2B41" w:rsidRPr="00BC2B41" w:rsidTr="00DD4C83">
        <w:trPr>
          <w:trHeight w:val="340"/>
          <w:jc w:val="center"/>
        </w:trPr>
        <w:tc>
          <w:tcPr>
            <w:tcW w:w="734" w:type="dxa"/>
            <w:vAlign w:val="center"/>
          </w:tcPr>
          <w:p w:rsidR="00DD4C83" w:rsidRPr="00BC2B41" w:rsidRDefault="00DD4C83" w:rsidP="005C5DDA">
            <w:pPr>
              <w:pStyle w:val="121"/>
              <w:topLinePunct/>
              <w:autoSpaceDE/>
            </w:pPr>
            <w:r w:rsidRPr="00BC2B41">
              <w:rPr>
                <w:rFonts w:hint="eastAsia"/>
              </w:rPr>
              <w:t>98</w:t>
            </w:r>
          </w:p>
        </w:tc>
        <w:tc>
          <w:tcPr>
            <w:tcW w:w="1077" w:type="dxa"/>
            <w:vAlign w:val="center"/>
          </w:tcPr>
          <w:p w:rsidR="00DD4C83" w:rsidRPr="00BC2B41" w:rsidRDefault="00DD4C83" w:rsidP="005C5DDA">
            <w:pPr>
              <w:pStyle w:val="121"/>
              <w:topLinePunct/>
              <w:autoSpaceDE/>
              <w:jc w:val="right"/>
            </w:pPr>
            <w:r w:rsidRPr="00BC2B41">
              <w:rPr>
                <w:rFonts w:hint="eastAsia"/>
              </w:rPr>
              <w:t>1,434.94</w:t>
            </w:r>
          </w:p>
        </w:tc>
        <w:tc>
          <w:tcPr>
            <w:tcW w:w="736" w:type="dxa"/>
            <w:vAlign w:val="center"/>
          </w:tcPr>
          <w:p w:rsidR="00DD4C83" w:rsidRPr="00BC2B41" w:rsidRDefault="00DD4C83" w:rsidP="005C5DDA">
            <w:pPr>
              <w:pStyle w:val="121"/>
              <w:topLinePunct/>
              <w:autoSpaceDE/>
              <w:jc w:val="right"/>
            </w:pPr>
            <w:r w:rsidRPr="00BC2B41">
              <w:rPr>
                <w:rFonts w:hint="eastAsia"/>
              </w:rPr>
              <w:t>74.1</w:t>
            </w:r>
          </w:p>
        </w:tc>
        <w:tc>
          <w:tcPr>
            <w:tcW w:w="1074" w:type="dxa"/>
            <w:vAlign w:val="center"/>
          </w:tcPr>
          <w:p w:rsidR="00DD4C83" w:rsidRPr="00BC2B41" w:rsidRDefault="00DD4C83" w:rsidP="005C5DDA">
            <w:pPr>
              <w:pStyle w:val="121"/>
              <w:topLinePunct/>
              <w:autoSpaceDE/>
              <w:jc w:val="right"/>
            </w:pPr>
            <w:r w:rsidRPr="00BC2B41">
              <w:rPr>
                <w:rFonts w:hint="eastAsia"/>
              </w:rPr>
              <w:t>399.81</w:t>
            </w:r>
          </w:p>
        </w:tc>
        <w:tc>
          <w:tcPr>
            <w:tcW w:w="736" w:type="dxa"/>
            <w:vAlign w:val="center"/>
          </w:tcPr>
          <w:p w:rsidR="00DD4C83" w:rsidRPr="00BC2B41" w:rsidRDefault="00DD4C83" w:rsidP="005C5DDA">
            <w:pPr>
              <w:pStyle w:val="121"/>
              <w:topLinePunct/>
              <w:autoSpaceDE/>
              <w:jc w:val="right"/>
            </w:pPr>
            <w:r w:rsidRPr="00BC2B41">
              <w:rPr>
                <w:rFonts w:hint="eastAsia"/>
              </w:rPr>
              <w:t>20.7</w:t>
            </w:r>
          </w:p>
        </w:tc>
        <w:tc>
          <w:tcPr>
            <w:tcW w:w="1073" w:type="dxa"/>
            <w:vAlign w:val="center"/>
          </w:tcPr>
          <w:p w:rsidR="00DD4C83" w:rsidRPr="00BC2B41" w:rsidRDefault="00DD4C83" w:rsidP="005C5DDA">
            <w:pPr>
              <w:pStyle w:val="121"/>
              <w:topLinePunct/>
              <w:autoSpaceDE/>
              <w:jc w:val="right"/>
            </w:pPr>
            <w:r w:rsidRPr="00BC2B41">
              <w:rPr>
                <w:rFonts w:hint="eastAsia"/>
              </w:rPr>
              <w:t>32.90</w:t>
            </w:r>
          </w:p>
        </w:tc>
        <w:tc>
          <w:tcPr>
            <w:tcW w:w="735" w:type="dxa"/>
            <w:vAlign w:val="center"/>
          </w:tcPr>
          <w:p w:rsidR="00DD4C83" w:rsidRPr="00BC2B41" w:rsidRDefault="00DD4C83" w:rsidP="005C5DDA">
            <w:pPr>
              <w:pStyle w:val="121"/>
              <w:topLinePunct/>
              <w:autoSpaceDE/>
              <w:jc w:val="right"/>
            </w:pPr>
            <w:r w:rsidRPr="00BC2B41">
              <w:rPr>
                <w:rFonts w:hint="eastAsia"/>
              </w:rPr>
              <w:t>1.7</w:t>
            </w:r>
          </w:p>
        </w:tc>
        <w:tc>
          <w:tcPr>
            <w:tcW w:w="1074" w:type="dxa"/>
            <w:vAlign w:val="center"/>
          </w:tcPr>
          <w:p w:rsidR="00DD4C83" w:rsidRPr="00BC2B41" w:rsidRDefault="00DD4C83" w:rsidP="005C5DDA">
            <w:pPr>
              <w:pStyle w:val="121"/>
              <w:topLinePunct/>
              <w:autoSpaceDE/>
              <w:jc w:val="right"/>
            </w:pPr>
            <w:r w:rsidRPr="00BC2B41">
              <w:rPr>
                <w:rFonts w:hint="eastAsia"/>
              </w:rPr>
              <w:t>68.40</w:t>
            </w:r>
          </w:p>
        </w:tc>
        <w:tc>
          <w:tcPr>
            <w:tcW w:w="735" w:type="dxa"/>
            <w:vAlign w:val="center"/>
          </w:tcPr>
          <w:p w:rsidR="00DD4C83" w:rsidRPr="00BC2B41" w:rsidRDefault="00DD4C83" w:rsidP="005C5DDA">
            <w:pPr>
              <w:pStyle w:val="121"/>
              <w:topLinePunct/>
              <w:autoSpaceDE/>
              <w:jc w:val="right"/>
            </w:pPr>
            <w:r w:rsidRPr="00BC2B41">
              <w:rPr>
                <w:rFonts w:hint="eastAsia"/>
              </w:rPr>
              <w:t>3.5</w:t>
            </w:r>
          </w:p>
        </w:tc>
        <w:tc>
          <w:tcPr>
            <w:tcW w:w="1206" w:type="dxa"/>
            <w:vAlign w:val="center"/>
          </w:tcPr>
          <w:p w:rsidR="00DD4C83" w:rsidRPr="00BC2B41" w:rsidRDefault="00DD4C83" w:rsidP="005C5DDA">
            <w:pPr>
              <w:pStyle w:val="121"/>
              <w:topLinePunct/>
              <w:autoSpaceDE/>
              <w:jc w:val="right"/>
            </w:pPr>
            <w:r w:rsidRPr="00BC2B41">
              <w:rPr>
                <w:rFonts w:hint="eastAsia"/>
              </w:rPr>
              <w:t>1,936.05</w:t>
            </w:r>
          </w:p>
        </w:tc>
      </w:tr>
      <w:tr w:rsidR="00BC2B41" w:rsidRPr="00BC2B41" w:rsidTr="00DD4C83">
        <w:trPr>
          <w:trHeight w:val="340"/>
          <w:jc w:val="center"/>
        </w:trPr>
        <w:tc>
          <w:tcPr>
            <w:tcW w:w="734" w:type="dxa"/>
            <w:vAlign w:val="center"/>
          </w:tcPr>
          <w:p w:rsidR="00DD4C83" w:rsidRPr="00BC2B41" w:rsidRDefault="00DD4C83" w:rsidP="005C5DDA">
            <w:pPr>
              <w:pStyle w:val="121"/>
              <w:topLinePunct/>
              <w:autoSpaceDE/>
            </w:pPr>
            <w:r w:rsidRPr="00BC2B41">
              <w:rPr>
                <w:rFonts w:hint="eastAsia"/>
              </w:rPr>
              <w:t>99</w:t>
            </w:r>
          </w:p>
        </w:tc>
        <w:tc>
          <w:tcPr>
            <w:tcW w:w="1077" w:type="dxa"/>
            <w:vAlign w:val="center"/>
          </w:tcPr>
          <w:p w:rsidR="00DD4C83" w:rsidRPr="00BC2B41" w:rsidRDefault="00DD4C83" w:rsidP="005C5DDA">
            <w:pPr>
              <w:pStyle w:val="121"/>
              <w:topLinePunct/>
              <w:autoSpaceDE/>
              <w:jc w:val="right"/>
            </w:pPr>
            <w:r w:rsidRPr="00BC2B41">
              <w:rPr>
                <w:rFonts w:hint="eastAsia"/>
              </w:rPr>
              <w:t>1,567.55</w:t>
            </w:r>
          </w:p>
        </w:tc>
        <w:tc>
          <w:tcPr>
            <w:tcW w:w="736" w:type="dxa"/>
            <w:vAlign w:val="center"/>
          </w:tcPr>
          <w:p w:rsidR="00DD4C83" w:rsidRPr="00BC2B41" w:rsidRDefault="00DD4C83" w:rsidP="005C5DDA">
            <w:pPr>
              <w:pStyle w:val="121"/>
              <w:topLinePunct/>
              <w:autoSpaceDE/>
              <w:jc w:val="right"/>
            </w:pPr>
            <w:r w:rsidRPr="00BC2B41">
              <w:rPr>
                <w:rFonts w:hint="eastAsia"/>
              </w:rPr>
              <w:t>75.6</w:t>
            </w:r>
          </w:p>
        </w:tc>
        <w:tc>
          <w:tcPr>
            <w:tcW w:w="1074" w:type="dxa"/>
            <w:vAlign w:val="center"/>
          </w:tcPr>
          <w:p w:rsidR="00DD4C83" w:rsidRPr="00BC2B41" w:rsidRDefault="00DD4C83" w:rsidP="005C5DDA">
            <w:pPr>
              <w:pStyle w:val="121"/>
              <w:topLinePunct/>
              <w:autoSpaceDE/>
              <w:jc w:val="right"/>
            </w:pPr>
            <w:r w:rsidRPr="00BC2B41">
              <w:rPr>
                <w:rFonts w:hint="eastAsia"/>
              </w:rPr>
              <w:t>400.29</w:t>
            </w:r>
          </w:p>
        </w:tc>
        <w:tc>
          <w:tcPr>
            <w:tcW w:w="736" w:type="dxa"/>
            <w:vAlign w:val="center"/>
          </w:tcPr>
          <w:p w:rsidR="00DD4C83" w:rsidRPr="00BC2B41" w:rsidRDefault="00DD4C83" w:rsidP="005C5DDA">
            <w:pPr>
              <w:pStyle w:val="121"/>
              <w:topLinePunct/>
              <w:autoSpaceDE/>
              <w:jc w:val="right"/>
            </w:pPr>
            <w:r w:rsidRPr="00BC2B41">
              <w:rPr>
                <w:rFonts w:hint="eastAsia"/>
              </w:rPr>
              <w:t>19.3</w:t>
            </w:r>
          </w:p>
        </w:tc>
        <w:tc>
          <w:tcPr>
            <w:tcW w:w="1073" w:type="dxa"/>
            <w:vAlign w:val="center"/>
          </w:tcPr>
          <w:p w:rsidR="00DD4C83" w:rsidRPr="00BC2B41" w:rsidRDefault="00DD4C83" w:rsidP="005C5DDA">
            <w:pPr>
              <w:pStyle w:val="121"/>
              <w:topLinePunct/>
              <w:autoSpaceDE/>
              <w:jc w:val="right"/>
            </w:pPr>
            <w:r w:rsidRPr="00BC2B41">
              <w:rPr>
                <w:rFonts w:hint="eastAsia"/>
              </w:rPr>
              <w:t>30.47</w:t>
            </w:r>
          </w:p>
        </w:tc>
        <w:tc>
          <w:tcPr>
            <w:tcW w:w="735" w:type="dxa"/>
            <w:vAlign w:val="center"/>
          </w:tcPr>
          <w:p w:rsidR="00DD4C83" w:rsidRPr="00BC2B41" w:rsidRDefault="00DD4C83" w:rsidP="005C5DDA">
            <w:pPr>
              <w:pStyle w:val="121"/>
              <w:topLinePunct/>
              <w:autoSpaceDE/>
              <w:jc w:val="right"/>
            </w:pPr>
            <w:r w:rsidRPr="00BC2B41">
              <w:rPr>
                <w:rFonts w:hint="eastAsia"/>
              </w:rPr>
              <w:t>1.5</w:t>
            </w:r>
          </w:p>
        </w:tc>
        <w:tc>
          <w:tcPr>
            <w:tcW w:w="1074" w:type="dxa"/>
            <w:vAlign w:val="center"/>
          </w:tcPr>
          <w:p w:rsidR="00DD4C83" w:rsidRPr="00BC2B41" w:rsidRDefault="00DD4C83" w:rsidP="005C5DDA">
            <w:pPr>
              <w:pStyle w:val="121"/>
              <w:topLinePunct/>
              <w:autoSpaceDE/>
              <w:jc w:val="right"/>
            </w:pPr>
            <w:r w:rsidRPr="00BC2B41">
              <w:rPr>
                <w:rFonts w:hint="eastAsia"/>
              </w:rPr>
              <w:t>75.54</w:t>
            </w:r>
          </w:p>
        </w:tc>
        <w:tc>
          <w:tcPr>
            <w:tcW w:w="735" w:type="dxa"/>
            <w:vAlign w:val="center"/>
          </w:tcPr>
          <w:p w:rsidR="00DD4C83" w:rsidRPr="00BC2B41" w:rsidRDefault="00DD4C83" w:rsidP="005C5DDA">
            <w:pPr>
              <w:pStyle w:val="121"/>
              <w:topLinePunct/>
              <w:autoSpaceDE/>
              <w:jc w:val="right"/>
            </w:pPr>
            <w:r w:rsidRPr="00BC2B41">
              <w:rPr>
                <w:rFonts w:hint="eastAsia"/>
              </w:rPr>
              <w:t>3.6</w:t>
            </w:r>
          </w:p>
        </w:tc>
        <w:tc>
          <w:tcPr>
            <w:tcW w:w="1206" w:type="dxa"/>
            <w:vAlign w:val="center"/>
          </w:tcPr>
          <w:p w:rsidR="00DD4C83" w:rsidRPr="00BC2B41" w:rsidRDefault="00DD4C83" w:rsidP="005C5DDA">
            <w:pPr>
              <w:pStyle w:val="121"/>
              <w:topLinePunct/>
              <w:autoSpaceDE/>
              <w:jc w:val="right"/>
            </w:pPr>
            <w:r w:rsidRPr="00BC2B41">
              <w:rPr>
                <w:rFonts w:hint="eastAsia"/>
              </w:rPr>
              <w:t>2,073.85</w:t>
            </w:r>
          </w:p>
        </w:tc>
      </w:tr>
      <w:tr w:rsidR="00BC2B41" w:rsidRPr="00BC2B41" w:rsidTr="00DD4C83">
        <w:trPr>
          <w:trHeight w:val="340"/>
          <w:jc w:val="center"/>
        </w:trPr>
        <w:tc>
          <w:tcPr>
            <w:tcW w:w="734" w:type="dxa"/>
            <w:vAlign w:val="center"/>
          </w:tcPr>
          <w:p w:rsidR="00DD4C83" w:rsidRPr="00BC2B41" w:rsidRDefault="00DD4C83" w:rsidP="005C5DDA">
            <w:pPr>
              <w:pStyle w:val="121"/>
              <w:topLinePunct/>
              <w:autoSpaceDE/>
            </w:pPr>
            <w:r w:rsidRPr="00BC2B41">
              <w:rPr>
                <w:rFonts w:hint="eastAsia"/>
              </w:rPr>
              <w:t>100</w:t>
            </w:r>
          </w:p>
        </w:tc>
        <w:tc>
          <w:tcPr>
            <w:tcW w:w="1077" w:type="dxa"/>
            <w:vAlign w:val="center"/>
          </w:tcPr>
          <w:p w:rsidR="00DD4C83" w:rsidRPr="00BC2B41" w:rsidRDefault="00DD4C83" w:rsidP="005C5DDA">
            <w:pPr>
              <w:pStyle w:val="121"/>
              <w:topLinePunct/>
              <w:autoSpaceDE/>
              <w:jc w:val="right"/>
            </w:pPr>
            <w:r w:rsidRPr="00BC2B41">
              <w:rPr>
                <w:rFonts w:hint="eastAsia"/>
              </w:rPr>
              <w:t>1,616.92</w:t>
            </w:r>
          </w:p>
        </w:tc>
        <w:tc>
          <w:tcPr>
            <w:tcW w:w="736" w:type="dxa"/>
            <w:vAlign w:val="center"/>
          </w:tcPr>
          <w:p w:rsidR="00DD4C83" w:rsidRPr="00BC2B41" w:rsidRDefault="00DD4C83" w:rsidP="005C5DDA">
            <w:pPr>
              <w:pStyle w:val="121"/>
              <w:topLinePunct/>
              <w:autoSpaceDE/>
              <w:jc w:val="right"/>
            </w:pPr>
            <w:r w:rsidRPr="00BC2B41">
              <w:rPr>
                <w:rFonts w:hint="eastAsia"/>
              </w:rPr>
              <w:t>75.9</w:t>
            </w:r>
          </w:p>
        </w:tc>
        <w:tc>
          <w:tcPr>
            <w:tcW w:w="1074" w:type="dxa"/>
            <w:vAlign w:val="center"/>
          </w:tcPr>
          <w:p w:rsidR="00DD4C83" w:rsidRPr="00BC2B41" w:rsidRDefault="00DD4C83" w:rsidP="005C5DDA">
            <w:pPr>
              <w:pStyle w:val="121"/>
              <w:topLinePunct/>
              <w:autoSpaceDE/>
              <w:jc w:val="right"/>
            </w:pPr>
            <w:r w:rsidRPr="00BC2B41">
              <w:rPr>
                <w:rFonts w:hint="eastAsia"/>
              </w:rPr>
              <w:t>405.22</w:t>
            </w:r>
          </w:p>
        </w:tc>
        <w:tc>
          <w:tcPr>
            <w:tcW w:w="736" w:type="dxa"/>
            <w:vAlign w:val="center"/>
          </w:tcPr>
          <w:p w:rsidR="00DD4C83" w:rsidRPr="00BC2B41" w:rsidRDefault="00DD4C83" w:rsidP="005C5DDA">
            <w:pPr>
              <w:pStyle w:val="121"/>
              <w:topLinePunct/>
              <w:autoSpaceDE/>
              <w:jc w:val="right"/>
            </w:pPr>
            <w:r w:rsidRPr="00BC2B41">
              <w:rPr>
                <w:rFonts w:hint="eastAsia"/>
              </w:rPr>
              <w:t>19.0</w:t>
            </w:r>
          </w:p>
        </w:tc>
        <w:tc>
          <w:tcPr>
            <w:tcW w:w="1073" w:type="dxa"/>
            <w:vAlign w:val="center"/>
          </w:tcPr>
          <w:p w:rsidR="00DD4C83" w:rsidRPr="00BC2B41" w:rsidRDefault="00DD4C83" w:rsidP="005C5DDA">
            <w:pPr>
              <w:pStyle w:val="121"/>
              <w:topLinePunct/>
              <w:autoSpaceDE/>
              <w:jc w:val="right"/>
            </w:pPr>
            <w:r w:rsidRPr="00BC2B41">
              <w:rPr>
                <w:rFonts w:hint="eastAsia"/>
              </w:rPr>
              <w:t>28.89</w:t>
            </w:r>
          </w:p>
        </w:tc>
        <w:tc>
          <w:tcPr>
            <w:tcW w:w="735" w:type="dxa"/>
            <w:vAlign w:val="center"/>
          </w:tcPr>
          <w:p w:rsidR="00DD4C83" w:rsidRPr="00BC2B41" w:rsidRDefault="00DD4C83" w:rsidP="005C5DDA">
            <w:pPr>
              <w:pStyle w:val="121"/>
              <w:topLinePunct/>
              <w:autoSpaceDE/>
              <w:jc w:val="right"/>
            </w:pPr>
            <w:r w:rsidRPr="00BC2B41">
              <w:rPr>
                <w:rFonts w:hint="eastAsia"/>
              </w:rPr>
              <w:t>1.4</w:t>
            </w:r>
          </w:p>
        </w:tc>
        <w:tc>
          <w:tcPr>
            <w:tcW w:w="1074" w:type="dxa"/>
            <w:vAlign w:val="center"/>
          </w:tcPr>
          <w:p w:rsidR="00DD4C83" w:rsidRPr="00BC2B41" w:rsidRDefault="00DD4C83" w:rsidP="005C5DDA">
            <w:pPr>
              <w:pStyle w:val="121"/>
              <w:topLinePunct/>
              <w:autoSpaceDE/>
              <w:jc w:val="right"/>
            </w:pPr>
            <w:r w:rsidRPr="00BC2B41">
              <w:rPr>
                <w:rFonts w:hint="eastAsia"/>
              </w:rPr>
              <w:t>79.39</w:t>
            </w:r>
          </w:p>
        </w:tc>
        <w:tc>
          <w:tcPr>
            <w:tcW w:w="735" w:type="dxa"/>
            <w:vAlign w:val="center"/>
          </w:tcPr>
          <w:p w:rsidR="00DD4C83" w:rsidRPr="00BC2B41" w:rsidRDefault="00DD4C83" w:rsidP="005C5DDA">
            <w:pPr>
              <w:pStyle w:val="121"/>
              <w:topLinePunct/>
              <w:autoSpaceDE/>
              <w:jc w:val="right"/>
            </w:pPr>
            <w:r w:rsidRPr="00BC2B41">
              <w:rPr>
                <w:rFonts w:hint="eastAsia"/>
              </w:rPr>
              <w:t>3.7</w:t>
            </w:r>
          </w:p>
        </w:tc>
        <w:tc>
          <w:tcPr>
            <w:tcW w:w="1206" w:type="dxa"/>
            <w:vAlign w:val="center"/>
          </w:tcPr>
          <w:p w:rsidR="00DD4C83" w:rsidRPr="00BC2B41" w:rsidRDefault="00DD4C83" w:rsidP="005C5DDA">
            <w:pPr>
              <w:pStyle w:val="121"/>
              <w:topLinePunct/>
              <w:autoSpaceDE/>
              <w:jc w:val="right"/>
            </w:pPr>
            <w:r w:rsidRPr="00BC2B41">
              <w:rPr>
                <w:rFonts w:hint="eastAsia"/>
              </w:rPr>
              <w:t>2,130.42</w:t>
            </w:r>
          </w:p>
        </w:tc>
      </w:tr>
      <w:tr w:rsidR="00BC2B41" w:rsidRPr="00BC2B41" w:rsidTr="00DD4C83">
        <w:trPr>
          <w:trHeight w:val="340"/>
          <w:jc w:val="center"/>
        </w:trPr>
        <w:tc>
          <w:tcPr>
            <w:tcW w:w="734" w:type="dxa"/>
            <w:vAlign w:val="center"/>
          </w:tcPr>
          <w:p w:rsidR="00DD4C83" w:rsidRPr="00BC2B41" w:rsidRDefault="00DD4C83" w:rsidP="005C5DDA">
            <w:pPr>
              <w:pStyle w:val="121"/>
              <w:topLinePunct/>
              <w:autoSpaceDE/>
            </w:pPr>
            <w:r w:rsidRPr="00BC2B41">
              <w:rPr>
                <w:rFonts w:hint="eastAsia"/>
              </w:rPr>
              <w:t>101</w:t>
            </w:r>
          </w:p>
        </w:tc>
        <w:tc>
          <w:tcPr>
            <w:tcW w:w="1077" w:type="dxa"/>
            <w:vAlign w:val="center"/>
          </w:tcPr>
          <w:p w:rsidR="00DD4C83" w:rsidRPr="00BC2B41" w:rsidRDefault="00DD4C83" w:rsidP="005C5DDA">
            <w:pPr>
              <w:pStyle w:val="121"/>
              <w:topLinePunct/>
              <w:autoSpaceDE/>
              <w:jc w:val="right"/>
            </w:pPr>
            <w:r w:rsidRPr="00BC2B41">
              <w:rPr>
                <w:rFonts w:hint="eastAsia"/>
              </w:rPr>
              <w:t>1,602.47</w:t>
            </w:r>
          </w:p>
        </w:tc>
        <w:tc>
          <w:tcPr>
            <w:tcW w:w="736" w:type="dxa"/>
            <w:vAlign w:val="center"/>
          </w:tcPr>
          <w:p w:rsidR="00DD4C83" w:rsidRPr="00BC2B41" w:rsidRDefault="00DD4C83" w:rsidP="005C5DDA">
            <w:pPr>
              <w:pStyle w:val="121"/>
              <w:topLinePunct/>
              <w:autoSpaceDE/>
              <w:jc w:val="right"/>
            </w:pPr>
            <w:r w:rsidRPr="00BC2B41">
              <w:rPr>
                <w:rFonts w:hint="eastAsia"/>
              </w:rPr>
              <w:t>75.7</w:t>
            </w:r>
          </w:p>
        </w:tc>
        <w:tc>
          <w:tcPr>
            <w:tcW w:w="1074" w:type="dxa"/>
            <w:vAlign w:val="center"/>
          </w:tcPr>
          <w:p w:rsidR="00DD4C83" w:rsidRPr="00BC2B41" w:rsidRDefault="00DD4C83" w:rsidP="005C5DDA">
            <w:pPr>
              <w:pStyle w:val="121"/>
              <w:topLinePunct/>
              <w:autoSpaceDE/>
              <w:jc w:val="right"/>
            </w:pPr>
            <w:r w:rsidRPr="00BC2B41">
              <w:rPr>
                <w:rFonts w:hint="eastAsia"/>
              </w:rPr>
              <w:t>388.87</w:t>
            </w:r>
          </w:p>
        </w:tc>
        <w:tc>
          <w:tcPr>
            <w:tcW w:w="736" w:type="dxa"/>
            <w:vAlign w:val="center"/>
          </w:tcPr>
          <w:p w:rsidR="00DD4C83" w:rsidRPr="00BC2B41" w:rsidRDefault="00DD4C83" w:rsidP="005C5DDA">
            <w:pPr>
              <w:pStyle w:val="121"/>
              <w:topLinePunct/>
              <w:autoSpaceDE/>
              <w:jc w:val="right"/>
            </w:pPr>
            <w:r w:rsidRPr="00BC2B41">
              <w:rPr>
                <w:rFonts w:hint="eastAsia"/>
              </w:rPr>
              <w:t>18.4</w:t>
            </w:r>
          </w:p>
        </w:tc>
        <w:tc>
          <w:tcPr>
            <w:tcW w:w="1073" w:type="dxa"/>
            <w:vAlign w:val="center"/>
          </w:tcPr>
          <w:p w:rsidR="00DD4C83" w:rsidRPr="00BC2B41" w:rsidRDefault="00DD4C83" w:rsidP="005C5DDA">
            <w:pPr>
              <w:pStyle w:val="121"/>
              <w:topLinePunct/>
              <w:autoSpaceDE/>
              <w:jc w:val="right"/>
            </w:pPr>
            <w:r w:rsidRPr="00BC2B41">
              <w:rPr>
                <w:rFonts w:hint="eastAsia"/>
              </w:rPr>
              <w:t>29.24</w:t>
            </w:r>
          </w:p>
        </w:tc>
        <w:tc>
          <w:tcPr>
            <w:tcW w:w="735" w:type="dxa"/>
            <w:vAlign w:val="center"/>
          </w:tcPr>
          <w:p w:rsidR="00DD4C83" w:rsidRPr="00BC2B41" w:rsidRDefault="00DD4C83" w:rsidP="005C5DDA">
            <w:pPr>
              <w:pStyle w:val="121"/>
              <w:topLinePunct/>
              <w:autoSpaceDE/>
              <w:jc w:val="right"/>
            </w:pPr>
            <w:r w:rsidRPr="00BC2B41">
              <w:rPr>
                <w:rFonts w:hint="eastAsia"/>
              </w:rPr>
              <w:t>1.4</w:t>
            </w:r>
          </w:p>
        </w:tc>
        <w:tc>
          <w:tcPr>
            <w:tcW w:w="1074" w:type="dxa"/>
            <w:vAlign w:val="center"/>
          </w:tcPr>
          <w:p w:rsidR="00DD4C83" w:rsidRPr="00BC2B41" w:rsidRDefault="00DD4C83" w:rsidP="005C5DDA">
            <w:pPr>
              <w:pStyle w:val="121"/>
              <w:topLinePunct/>
              <w:autoSpaceDE/>
              <w:jc w:val="right"/>
            </w:pPr>
            <w:r w:rsidRPr="00BC2B41">
              <w:rPr>
                <w:rFonts w:hint="eastAsia"/>
              </w:rPr>
              <w:t>96.49</w:t>
            </w:r>
          </w:p>
        </w:tc>
        <w:tc>
          <w:tcPr>
            <w:tcW w:w="735" w:type="dxa"/>
            <w:vAlign w:val="center"/>
          </w:tcPr>
          <w:p w:rsidR="00DD4C83" w:rsidRPr="00BC2B41" w:rsidRDefault="00DD4C83" w:rsidP="005C5DDA">
            <w:pPr>
              <w:pStyle w:val="121"/>
              <w:topLinePunct/>
              <w:autoSpaceDE/>
              <w:jc w:val="right"/>
            </w:pPr>
            <w:r w:rsidRPr="00BC2B41">
              <w:rPr>
                <w:rFonts w:hint="eastAsia"/>
              </w:rPr>
              <w:t>4.6</w:t>
            </w:r>
          </w:p>
        </w:tc>
        <w:tc>
          <w:tcPr>
            <w:tcW w:w="1206" w:type="dxa"/>
            <w:vAlign w:val="center"/>
          </w:tcPr>
          <w:p w:rsidR="00DD4C83" w:rsidRPr="00BC2B41" w:rsidRDefault="00DD4C83" w:rsidP="005C5DDA">
            <w:pPr>
              <w:pStyle w:val="121"/>
              <w:topLinePunct/>
              <w:autoSpaceDE/>
              <w:jc w:val="right"/>
            </w:pPr>
            <w:r w:rsidRPr="00BC2B41">
              <w:rPr>
                <w:rFonts w:hint="eastAsia"/>
              </w:rPr>
              <w:t>2,117.07</w:t>
            </w:r>
          </w:p>
        </w:tc>
      </w:tr>
      <w:tr w:rsidR="00BC2B41" w:rsidRPr="00BC2B41" w:rsidTr="00DD4C83">
        <w:trPr>
          <w:trHeight w:val="340"/>
          <w:jc w:val="center"/>
        </w:trPr>
        <w:tc>
          <w:tcPr>
            <w:tcW w:w="734" w:type="dxa"/>
            <w:vAlign w:val="center"/>
          </w:tcPr>
          <w:p w:rsidR="00DD4C83" w:rsidRPr="00BC2B41" w:rsidRDefault="00DD4C83" w:rsidP="005C5DDA">
            <w:pPr>
              <w:pStyle w:val="121"/>
              <w:topLinePunct/>
              <w:autoSpaceDE/>
            </w:pPr>
            <w:r w:rsidRPr="00BC2B41">
              <w:rPr>
                <w:rFonts w:hint="eastAsia"/>
              </w:rPr>
              <w:t>102</w:t>
            </w:r>
          </w:p>
        </w:tc>
        <w:tc>
          <w:tcPr>
            <w:tcW w:w="1077" w:type="dxa"/>
            <w:vAlign w:val="center"/>
          </w:tcPr>
          <w:p w:rsidR="00DD4C83" w:rsidRPr="00BC2B41" w:rsidRDefault="00DD4C83" w:rsidP="005C5DDA">
            <w:pPr>
              <w:pStyle w:val="121"/>
              <w:topLinePunct/>
              <w:autoSpaceDE/>
              <w:jc w:val="right"/>
            </w:pPr>
            <w:r w:rsidRPr="00BC2B41">
              <w:rPr>
                <w:rFonts w:hint="eastAsia"/>
              </w:rPr>
              <w:t>1,604.27</w:t>
            </w:r>
          </w:p>
        </w:tc>
        <w:tc>
          <w:tcPr>
            <w:tcW w:w="736" w:type="dxa"/>
            <w:vAlign w:val="center"/>
          </w:tcPr>
          <w:p w:rsidR="00DD4C83" w:rsidRPr="00BC2B41" w:rsidRDefault="00DD4C83" w:rsidP="005C5DDA">
            <w:pPr>
              <w:pStyle w:val="121"/>
              <w:topLinePunct/>
              <w:autoSpaceDE/>
              <w:jc w:val="right"/>
            </w:pPr>
            <w:r w:rsidRPr="00BC2B41">
              <w:rPr>
                <w:rFonts w:hint="eastAsia"/>
              </w:rPr>
              <w:t>75.2</w:t>
            </w:r>
          </w:p>
        </w:tc>
        <w:tc>
          <w:tcPr>
            <w:tcW w:w="1074" w:type="dxa"/>
            <w:vAlign w:val="center"/>
          </w:tcPr>
          <w:p w:rsidR="00DD4C83" w:rsidRPr="00BC2B41" w:rsidRDefault="00DD4C83" w:rsidP="005C5DDA">
            <w:pPr>
              <w:pStyle w:val="121"/>
              <w:topLinePunct/>
              <w:autoSpaceDE/>
              <w:jc w:val="right"/>
            </w:pPr>
            <w:r w:rsidRPr="00BC2B41">
              <w:rPr>
                <w:rFonts w:hint="eastAsia"/>
              </w:rPr>
              <w:t>400.79</w:t>
            </w:r>
          </w:p>
        </w:tc>
        <w:tc>
          <w:tcPr>
            <w:tcW w:w="736" w:type="dxa"/>
            <w:vAlign w:val="center"/>
          </w:tcPr>
          <w:p w:rsidR="00DD4C83" w:rsidRPr="00BC2B41" w:rsidRDefault="00DD4C83" w:rsidP="005C5DDA">
            <w:pPr>
              <w:pStyle w:val="121"/>
              <w:topLinePunct/>
              <w:autoSpaceDE/>
              <w:jc w:val="right"/>
            </w:pPr>
            <w:r w:rsidRPr="00BC2B41">
              <w:rPr>
                <w:rFonts w:hint="eastAsia"/>
              </w:rPr>
              <w:t>18.8</w:t>
            </w:r>
          </w:p>
        </w:tc>
        <w:tc>
          <w:tcPr>
            <w:tcW w:w="1073" w:type="dxa"/>
            <w:vAlign w:val="center"/>
          </w:tcPr>
          <w:p w:rsidR="00DD4C83" w:rsidRPr="00BC2B41" w:rsidRDefault="00DD4C83" w:rsidP="005C5DDA">
            <w:pPr>
              <w:pStyle w:val="121"/>
              <w:topLinePunct/>
              <w:autoSpaceDE/>
              <w:jc w:val="right"/>
            </w:pPr>
            <w:r w:rsidRPr="00BC2B41">
              <w:rPr>
                <w:rFonts w:hint="eastAsia"/>
              </w:rPr>
              <w:t>31.74</w:t>
            </w:r>
          </w:p>
        </w:tc>
        <w:tc>
          <w:tcPr>
            <w:tcW w:w="735" w:type="dxa"/>
            <w:vAlign w:val="center"/>
          </w:tcPr>
          <w:p w:rsidR="00DD4C83" w:rsidRPr="00BC2B41" w:rsidRDefault="00DD4C83" w:rsidP="005C5DDA">
            <w:pPr>
              <w:pStyle w:val="121"/>
              <w:topLinePunct/>
              <w:autoSpaceDE/>
              <w:jc w:val="right"/>
            </w:pPr>
            <w:r w:rsidRPr="00BC2B41">
              <w:rPr>
                <w:rFonts w:hint="eastAsia"/>
              </w:rPr>
              <w:t>1.5</w:t>
            </w:r>
          </w:p>
        </w:tc>
        <w:tc>
          <w:tcPr>
            <w:tcW w:w="1074" w:type="dxa"/>
            <w:vAlign w:val="center"/>
          </w:tcPr>
          <w:p w:rsidR="00DD4C83" w:rsidRPr="00BC2B41" w:rsidRDefault="00DD4C83" w:rsidP="005C5DDA">
            <w:pPr>
              <w:pStyle w:val="121"/>
              <w:topLinePunct/>
              <w:autoSpaceDE/>
              <w:jc w:val="right"/>
            </w:pPr>
            <w:r w:rsidRPr="00BC2B41">
              <w:rPr>
                <w:rFonts w:hint="eastAsia"/>
              </w:rPr>
              <w:t>97.49</w:t>
            </w:r>
          </w:p>
        </w:tc>
        <w:tc>
          <w:tcPr>
            <w:tcW w:w="735" w:type="dxa"/>
            <w:vAlign w:val="center"/>
          </w:tcPr>
          <w:p w:rsidR="00DD4C83" w:rsidRPr="00BC2B41" w:rsidRDefault="00DD4C83" w:rsidP="005C5DDA">
            <w:pPr>
              <w:pStyle w:val="121"/>
              <w:topLinePunct/>
              <w:autoSpaceDE/>
              <w:jc w:val="right"/>
            </w:pPr>
            <w:r w:rsidRPr="00BC2B41">
              <w:rPr>
                <w:rFonts w:hint="eastAsia"/>
              </w:rPr>
              <w:t>4.6</w:t>
            </w:r>
          </w:p>
        </w:tc>
        <w:tc>
          <w:tcPr>
            <w:tcW w:w="1206" w:type="dxa"/>
            <w:vAlign w:val="center"/>
          </w:tcPr>
          <w:p w:rsidR="00DD4C83" w:rsidRPr="00BC2B41" w:rsidRDefault="00DD4C83" w:rsidP="005C5DDA">
            <w:pPr>
              <w:pStyle w:val="121"/>
              <w:topLinePunct/>
              <w:autoSpaceDE/>
              <w:jc w:val="right"/>
            </w:pPr>
            <w:r w:rsidRPr="00BC2B41">
              <w:rPr>
                <w:rFonts w:hint="eastAsia"/>
              </w:rPr>
              <w:t>2,134.29</w:t>
            </w:r>
          </w:p>
        </w:tc>
      </w:tr>
      <w:tr w:rsidR="00BC2B41" w:rsidRPr="00BC2B41" w:rsidTr="00DD4C83">
        <w:trPr>
          <w:trHeight w:val="340"/>
          <w:jc w:val="center"/>
        </w:trPr>
        <w:tc>
          <w:tcPr>
            <w:tcW w:w="734" w:type="dxa"/>
            <w:vAlign w:val="center"/>
          </w:tcPr>
          <w:p w:rsidR="00DD4C83" w:rsidRPr="00BC2B41" w:rsidRDefault="00DD4C83" w:rsidP="005C5DDA">
            <w:pPr>
              <w:pStyle w:val="121"/>
              <w:topLinePunct/>
              <w:autoSpaceDE/>
            </w:pPr>
            <w:r w:rsidRPr="00BC2B41">
              <w:rPr>
                <w:rFonts w:hint="eastAsia"/>
              </w:rPr>
              <w:t>103</w:t>
            </w:r>
          </w:p>
        </w:tc>
        <w:tc>
          <w:tcPr>
            <w:tcW w:w="1077" w:type="dxa"/>
            <w:vAlign w:val="center"/>
          </w:tcPr>
          <w:p w:rsidR="00DD4C83" w:rsidRPr="00BC2B41" w:rsidRDefault="00DD4C83" w:rsidP="005C5DDA">
            <w:pPr>
              <w:pStyle w:val="121"/>
              <w:topLinePunct/>
              <w:autoSpaceDE/>
              <w:jc w:val="right"/>
            </w:pPr>
            <w:r w:rsidRPr="00BC2B41">
              <w:rPr>
                <w:rFonts w:hint="eastAsia"/>
              </w:rPr>
              <w:t>1,665.27</w:t>
            </w:r>
          </w:p>
        </w:tc>
        <w:tc>
          <w:tcPr>
            <w:tcW w:w="736" w:type="dxa"/>
            <w:vAlign w:val="center"/>
          </w:tcPr>
          <w:p w:rsidR="00DD4C83" w:rsidRPr="00BC2B41" w:rsidRDefault="00DD4C83" w:rsidP="005C5DDA">
            <w:pPr>
              <w:pStyle w:val="121"/>
              <w:topLinePunct/>
              <w:autoSpaceDE/>
              <w:jc w:val="right"/>
            </w:pPr>
            <w:r w:rsidRPr="00BC2B41">
              <w:rPr>
                <w:rFonts w:hint="eastAsia"/>
              </w:rPr>
              <w:t>76.0</w:t>
            </w:r>
          </w:p>
        </w:tc>
        <w:tc>
          <w:tcPr>
            <w:tcW w:w="1074" w:type="dxa"/>
            <w:vAlign w:val="center"/>
          </w:tcPr>
          <w:p w:rsidR="00DD4C83" w:rsidRPr="00BC2B41" w:rsidRDefault="00DD4C83" w:rsidP="005C5DDA">
            <w:pPr>
              <w:pStyle w:val="121"/>
              <w:topLinePunct/>
              <w:autoSpaceDE/>
              <w:jc w:val="right"/>
            </w:pPr>
            <w:r w:rsidRPr="00BC2B41">
              <w:rPr>
                <w:rFonts w:hint="eastAsia"/>
              </w:rPr>
              <w:t>408.01</w:t>
            </w:r>
          </w:p>
        </w:tc>
        <w:tc>
          <w:tcPr>
            <w:tcW w:w="736" w:type="dxa"/>
            <w:vAlign w:val="center"/>
          </w:tcPr>
          <w:p w:rsidR="00DD4C83" w:rsidRPr="00BC2B41" w:rsidRDefault="00DD4C83" w:rsidP="005C5DDA">
            <w:pPr>
              <w:pStyle w:val="121"/>
              <w:topLinePunct/>
              <w:autoSpaceDE/>
              <w:jc w:val="right"/>
            </w:pPr>
            <w:r w:rsidRPr="00BC2B41">
              <w:rPr>
                <w:rFonts w:hint="eastAsia"/>
              </w:rPr>
              <w:t>18.6</w:t>
            </w:r>
          </w:p>
        </w:tc>
        <w:tc>
          <w:tcPr>
            <w:tcW w:w="1073" w:type="dxa"/>
            <w:vAlign w:val="center"/>
          </w:tcPr>
          <w:p w:rsidR="00DD4C83" w:rsidRPr="00BC2B41" w:rsidRDefault="00DD4C83" w:rsidP="005C5DDA">
            <w:pPr>
              <w:pStyle w:val="121"/>
              <w:topLinePunct/>
              <w:autoSpaceDE/>
              <w:jc w:val="right"/>
            </w:pPr>
            <w:r w:rsidRPr="00BC2B41">
              <w:rPr>
                <w:rFonts w:hint="eastAsia"/>
              </w:rPr>
              <w:t>31.08</w:t>
            </w:r>
          </w:p>
        </w:tc>
        <w:tc>
          <w:tcPr>
            <w:tcW w:w="735" w:type="dxa"/>
            <w:vAlign w:val="center"/>
          </w:tcPr>
          <w:p w:rsidR="00DD4C83" w:rsidRPr="00BC2B41" w:rsidRDefault="00DD4C83" w:rsidP="005C5DDA">
            <w:pPr>
              <w:pStyle w:val="121"/>
              <w:topLinePunct/>
              <w:autoSpaceDE/>
              <w:jc w:val="right"/>
            </w:pPr>
            <w:r w:rsidRPr="00BC2B41">
              <w:rPr>
                <w:rFonts w:hint="eastAsia"/>
              </w:rPr>
              <w:t>1.4</w:t>
            </w:r>
          </w:p>
        </w:tc>
        <w:tc>
          <w:tcPr>
            <w:tcW w:w="1074" w:type="dxa"/>
            <w:vAlign w:val="center"/>
          </w:tcPr>
          <w:p w:rsidR="00DD4C83" w:rsidRPr="00BC2B41" w:rsidRDefault="00DD4C83" w:rsidP="005C5DDA">
            <w:pPr>
              <w:pStyle w:val="121"/>
              <w:topLinePunct/>
              <w:autoSpaceDE/>
              <w:jc w:val="right"/>
            </w:pPr>
            <w:r w:rsidRPr="00BC2B41">
              <w:rPr>
                <w:rFonts w:hint="eastAsia"/>
                <w:noProof/>
              </w:rPr>
              <mc:AlternateContent>
                <mc:Choice Requires="wps">
                  <w:drawing>
                    <wp:anchor distT="0" distB="0" distL="114300" distR="114300" simplePos="0" relativeHeight="251717632" behindDoc="0" locked="0" layoutInCell="1" allowOverlap="1" wp14:anchorId="1AC9D2B0" wp14:editId="4BA476BD">
                      <wp:simplePos x="0" y="0"/>
                      <wp:positionH relativeFrom="column">
                        <wp:posOffset>-2828290</wp:posOffset>
                      </wp:positionH>
                      <wp:positionV relativeFrom="paragraph">
                        <wp:posOffset>-3175</wp:posOffset>
                      </wp:positionV>
                      <wp:extent cx="470535" cy="893445"/>
                      <wp:effectExtent l="0" t="0" r="24765" b="20955"/>
                      <wp:wrapNone/>
                      <wp:docPr id="302" name="矩形 302"/>
                      <wp:cNvGraphicFramePr/>
                      <a:graphic xmlns:a="http://schemas.openxmlformats.org/drawingml/2006/main">
                        <a:graphicData uri="http://schemas.microsoft.com/office/word/2010/wordprocessingShape">
                          <wps:wsp>
                            <wps:cNvSpPr/>
                            <wps:spPr>
                              <a:xfrm>
                                <a:off x="0" y="0"/>
                                <a:ext cx="470535" cy="89344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1A1DA" id="矩形 302" o:spid="_x0000_s1026" style="position:absolute;margin-left:-222.7pt;margin-top:-.25pt;width:37.05pt;height:70.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" filled="f" strokecolor="#385d8a" strokeweight="2pt"/>
                  </w:pict>
                </mc:Fallback>
              </mc:AlternateContent>
            </w:r>
            <w:r w:rsidRPr="00BC2B41">
              <w:rPr>
                <w:rFonts w:hint="eastAsia"/>
                <w:noProof/>
              </w:rPr>
              <mc:AlternateContent>
                <mc:Choice Requires="wps">
                  <w:drawing>
                    <wp:anchor distT="0" distB="0" distL="114300" distR="114300" simplePos="0" relativeHeight="251715584" behindDoc="0" locked="0" layoutInCell="1" allowOverlap="1" wp14:anchorId="7F6C1177" wp14:editId="6FE6F624">
                      <wp:simplePos x="0" y="0"/>
                      <wp:positionH relativeFrom="column">
                        <wp:posOffset>-3520440</wp:posOffset>
                      </wp:positionH>
                      <wp:positionV relativeFrom="paragraph">
                        <wp:posOffset>3810</wp:posOffset>
                      </wp:positionV>
                      <wp:extent cx="683895" cy="887730"/>
                      <wp:effectExtent l="0" t="0" r="20955" b="26670"/>
                      <wp:wrapNone/>
                      <wp:docPr id="266" name="矩形 266"/>
                      <wp:cNvGraphicFramePr/>
                      <a:graphic xmlns:a="http://schemas.openxmlformats.org/drawingml/2006/main">
                        <a:graphicData uri="http://schemas.microsoft.com/office/word/2010/wordprocessingShape">
                          <wps:wsp>
                            <wps:cNvSpPr/>
                            <wps:spPr>
                              <a:xfrm>
                                <a:off x="0" y="0"/>
                                <a:ext cx="683895" cy="88773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AAF0F" id="矩形 266" o:spid="_x0000_s1026" style="position:absolute;margin-left:-277.2pt;margin-top:.3pt;width:53.85pt;height:69.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" filled="f" strokecolor="#385d8a" strokeweight="2pt"/>
                  </w:pict>
                </mc:Fallback>
              </mc:AlternateContent>
            </w:r>
            <w:r w:rsidRPr="00BC2B41">
              <w:rPr>
                <w:rFonts w:hint="eastAsia"/>
                <w:noProof/>
              </w:rPr>
              <mc:AlternateContent>
                <mc:Choice Requires="wps">
                  <w:drawing>
                    <wp:anchor distT="0" distB="0" distL="114300" distR="114300" simplePos="0" relativeHeight="251716608" behindDoc="0" locked="0" layoutInCell="1" allowOverlap="1" wp14:anchorId="0A7DC349" wp14:editId="15B972E8">
                      <wp:simplePos x="0" y="0"/>
                      <wp:positionH relativeFrom="column">
                        <wp:posOffset>-64135</wp:posOffset>
                      </wp:positionH>
                      <wp:positionV relativeFrom="paragraph">
                        <wp:posOffset>-3175</wp:posOffset>
                      </wp:positionV>
                      <wp:extent cx="683895" cy="893445"/>
                      <wp:effectExtent l="0" t="0" r="20955" b="20955"/>
                      <wp:wrapNone/>
                      <wp:docPr id="301" name="矩形 301"/>
                      <wp:cNvGraphicFramePr/>
                      <a:graphic xmlns:a="http://schemas.openxmlformats.org/drawingml/2006/main">
                        <a:graphicData uri="http://schemas.microsoft.com/office/word/2010/wordprocessingShape">
                          <wps:wsp>
                            <wps:cNvSpPr/>
                            <wps:spPr>
                              <a:xfrm>
                                <a:off x="0" y="0"/>
                                <a:ext cx="683895" cy="89344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4A005" id="矩形 301" o:spid="_x0000_s1026" style="position:absolute;margin-left:-5.05pt;margin-top:-.25pt;width:53.85pt;height:70.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" filled="f" strokecolor="#385d8a" strokeweight="2pt"/>
                  </w:pict>
                </mc:Fallback>
              </mc:AlternateContent>
            </w:r>
            <w:r w:rsidRPr="00BC2B41">
              <w:rPr>
                <w:rFonts w:hint="eastAsia"/>
              </w:rPr>
              <w:t>87.87</w:t>
            </w:r>
          </w:p>
        </w:tc>
        <w:tc>
          <w:tcPr>
            <w:tcW w:w="735" w:type="dxa"/>
            <w:vAlign w:val="center"/>
          </w:tcPr>
          <w:p w:rsidR="00DD4C83" w:rsidRPr="00BC2B41" w:rsidRDefault="00DD4C83" w:rsidP="005C5DDA">
            <w:pPr>
              <w:pStyle w:val="121"/>
              <w:topLinePunct/>
              <w:autoSpaceDE/>
              <w:jc w:val="right"/>
            </w:pPr>
            <w:r w:rsidRPr="00BC2B41">
              <w:rPr>
                <w:rFonts w:hint="eastAsia"/>
              </w:rPr>
              <w:t>4.0</w:t>
            </w:r>
          </w:p>
        </w:tc>
        <w:tc>
          <w:tcPr>
            <w:tcW w:w="1206" w:type="dxa"/>
            <w:vAlign w:val="center"/>
          </w:tcPr>
          <w:p w:rsidR="00DD4C83" w:rsidRPr="00BC2B41" w:rsidRDefault="00DD4C83" w:rsidP="005C5DDA">
            <w:pPr>
              <w:pStyle w:val="121"/>
              <w:topLinePunct/>
              <w:autoSpaceDE/>
              <w:jc w:val="right"/>
            </w:pPr>
            <w:r w:rsidRPr="00BC2B41">
              <w:rPr>
                <w:rFonts w:hint="eastAsia"/>
              </w:rPr>
              <w:t>2,192.23</w:t>
            </w:r>
          </w:p>
        </w:tc>
      </w:tr>
      <w:tr w:rsidR="00BC2B41" w:rsidRPr="00BC2B41" w:rsidTr="00DD4C83">
        <w:trPr>
          <w:trHeight w:val="340"/>
          <w:jc w:val="center"/>
        </w:trPr>
        <w:tc>
          <w:tcPr>
            <w:tcW w:w="734" w:type="dxa"/>
            <w:vAlign w:val="center"/>
          </w:tcPr>
          <w:p w:rsidR="00DD4C83" w:rsidRPr="00BC2B41" w:rsidRDefault="00DD4C83" w:rsidP="005C5DDA">
            <w:pPr>
              <w:pStyle w:val="121"/>
              <w:topLinePunct/>
              <w:autoSpaceDE/>
            </w:pPr>
            <w:r w:rsidRPr="00BC2B41">
              <w:rPr>
                <w:rFonts w:hint="eastAsia"/>
              </w:rPr>
              <w:t>104</w:t>
            </w:r>
          </w:p>
        </w:tc>
        <w:tc>
          <w:tcPr>
            <w:tcW w:w="1077" w:type="dxa"/>
            <w:vAlign w:val="center"/>
          </w:tcPr>
          <w:p w:rsidR="00DD4C83" w:rsidRPr="00BC2B41" w:rsidRDefault="00DD4C83" w:rsidP="005C5DDA">
            <w:pPr>
              <w:pStyle w:val="121"/>
              <w:topLinePunct/>
              <w:autoSpaceDE/>
              <w:jc w:val="right"/>
            </w:pPr>
            <w:r w:rsidRPr="00BC2B41">
              <w:rPr>
                <w:rFonts w:hint="eastAsia"/>
              </w:rPr>
              <w:t>1,716.49</w:t>
            </w:r>
          </w:p>
        </w:tc>
        <w:tc>
          <w:tcPr>
            <w:tcW w:w="736" w:type="dxa"/>
            <w:vAlign w:val="center"/>
          </w:tcPr>
          <w:p w:rsidR="00DD4C83" w:rsidRPr="00BC2B41" w:rsidRDefault="00DD4C83" w:rsidP="005C5DDA">
            <w:pPr>
              <w:pStyle w:val="121"/>
              <w:topLinePunct/>
              <w:autoSpaceDE/>
              <w:jc w:val="right"/>
            </w:pPr>
            <w:r w:rsidRPr="00BC2B41">
              <w:rPr>
                <w:rFonts w:hint="eastAsia"/>
              </w:rPr>
              <w:t>78.3</w:t>
            </w:r>
          </w:p>
        </w:tc>
        <w:tc>
          <w:tcPr>
            <w:tcW w:w="1074" w:type="dxa"/>
            <w:vAlign w:val="center"/>
          </w:tcPr>
          <w:p w:rsidR="00DD4C83" w:rsidRPr="00BC2B41" w:rsidRDefault="00DD4C83" w:rsidP="005C5DDA">
            <w:pPr>
              <w:pStyle w:val="121"/>
              <w:topLinePunct/>
              <w:autoSpaceDE/>
              <w:jc w:val="right"/>
            </w:pPr>
            <w:r w:rsidRPr="00BC2B41">
              <w:rPr>
                <w:rFonts w:hint="eastAsia"/>
              </w:rPr>
              <w:t>351.43</w:t>
            </w:r>
          </w:p>
        </w:tc>
        <w:tc>
          <w:tcPr>
            <w:tcW w:w="736" w:type="dxa"/>
            <w:vAlign w:val="center"/>
          </w:tcPr>
          <w:p w:rsidR="00DD4C83" w:rsidRPr="00BC2B41" w:rsidRDefault="00DD4C83" w:rsidP="005C5DDA">
            <w:pPr>
              <w:pStyle w:val="121"/>
              <w:topLinePunct/>
              <w:autoSpaceDE/>
              <w:jc w:val="right"/>
            </w:pPr>
            <w:r w:rsidRPr="00BC2B41">
              <w:rPr>
                <w:rFonts w:hint="eastAsia"/>
              </w:rPr>
              <w:t>16.0</w:t>
            </w:r>
          </w:p>
        </w:tc>
        <w:tc>
          <w:tcPr>
            <w:tcW w:w="1073" w:type="dxa"/>
            <w:vAlign w:val="center"/>
          </w:tcPr>
          <w:p w:rsidR="00DD4C83" w:rsidRPr="00BC2B41" w:rsidRDefault="00DD4C83" w:rsidP="005C5DDA">
            <w:pPr>
              <w:pStyle w:val="121"/>
              <w:topLinePunct/>
              <w:autoSpaceDE/>
              <w:jc w:val="right"/>
            </w:pPr>
            <w:r w:rsidRPr="00BC2B41">
              <w:rPr>
                <w:rFonts w:hint="eastAsia"/>
              </w:rPr>
              <w:t>30.23</w:t>
            </w:r>
          </w:p>
        </w:tc>
        <w:tc>
          <w:tcPr>
            <w:tcW w:w="735" w:type="dxa"/>
            <w:vAlign w:val="center"/>
          </w:tcPr>
          <w:p w:rsidR="00DD4C83" w:rsidRPr="00BC2B41" w:rsidRDefault="00DD4C83" w:rsidP="005C5DDA">
            <w:pPr>
              <w:pStyle w:val="121"/>
              <w:topLinePunct/>
              <w:autoSpaceDE/>
              <w:jc w:val="right"/>
            </w:pPr>
            <w:r w:rsidRPr="00BC2B41">
              <w:rPr>
                <w:rFonts w:hint="eastAsia"/>
              </w:rPr>
              <w:t>1.4</w:t>
            </w:r>
          </w:p>
        </w:tc>
        <w:tc>
          <w:tcPr>
            <w:tcW w:w="1074" w:type="dxa"/>
            <w:vAlign w:val="center"/>
          </w:tcPr>
          <w:p w:rsidR="00DD4C83" w:rsidRPr="00BC2B41" w:rsidRDefault="00DD4C83" w:rsidP="005C5DDA">
            <w:pPr>
              <w:pStyle w:val="121"/>
              <w:topLinePunct/>
              <w:autoSpaceDE/>
              <w:jc w:val="right"/>
            </w:pPr>
            <w:r w:rsidRPr="00BC2B41">
              <w:rPr>
                <w:rFonts w:hint="eastAsia"/>
              </w:rPr>
              <w:t>92.89</w:t>
            </w:r>
          </w:p>
        </w:tc>
        <w:tc>
          <w:tcPr>
            <w:tcW w:w="735" w:type="dxa"/>
            <w:vAlign w:val="center"/>
          </w:tcPr>
          <w:p w:rsidR="00DD4C83" w:rsidRPr="00BC2B41" w:rsidRDefault="00DD4C83" w:rsidP="005C5DDA">
            <w:pPr>
              <w:pStyle w:val="121"/>
              <w:topLinePunct/>
              <w:autoSpaceDE/>
              <w:jc w:val="right"/>
            </w:pPr>
            <w:r w:rsidRPr="00BC2B41">
              <w:rPr>
                <w:rFonts w:hint="eastAsia"/>
              </w:rPr>
              <w:t>4.2</w:t>
            </w:r>
          </w:p>
        </w:tc>
        <w:tc>
          <w:tcPr>
            <w:tcW w:w="1206" w:type="dxa"/>
            <w:vAlign w:val="center"/>
          </w:tcPr>
          <w:p w:rsidR="00DD4C83" w:rsidRPr="00BC2B41" w:rsidRDefault="00DD4C83" w:rsidP="005C5DDA">
            <w:pPr>
              <w:pStyle w:val="121"/>
              <w:topLinePunct/>
              <w:autoSpaceDE/>
              <w:jc w:val="right"/>
            </w:pPr>
            <w:r w:rsidRPr="00BC2B41">
              <w:rPr>
                <w:rFonts w:hint="eastAsia"/>
              </w:rPr>
              <w:t>2,191.04</w:t>
            </w:r>
          </w:p>
        </w:tc>
      </w:tr>
      <w:tr w:rsidR="00BC2B41" w:rsidRPr="00BC2B41" w:rsidTr="00DD4C83">
        <w:trPr>
          <w:trHeight w:val="340"/>
          <w:jc w:val="center"/>
        </w:trPr>
        <w:tc>
          <w:tcPr>
            <w:tcW w:w="734" w:type="dxa"/>
            <w:vAlign w:val="center"/>
          </w:tcPr>
          <w:p w:rsidR="00DD4C83" w:rsidRPr="00BC2B41" w:rsidRDefault="00DD4C83" w:rsidP="005C5DDA">
            <w:pPr>
              <w:pStyle w:val="121"/>
              <w:topLinePunct/>
              <w:autoSpaceDE/>
            </w:pPr>
            <w:r w:rsidRPr="00BC2B41">
              <w:rPr>
                <w:rFonts w:hint="eastAsia"/>
              </w:rPr>
              <w:t>105</w:t>
            </w:r>
          </w:p>
        </w:tc>
        <w:tc>
          <w:tcPr>
            <w:tcW w:w="1077" w:type="dxa"/>
            <w:vAlign w:val="center"/>
          </w:tcPr>
          <w:p w:rsidR="00DD4C83" w:rsidRPr="00BC2B41" w:rsidRDefault="00DD4C83" w:rsidP="005C5DDA">
            <w:pPr>
              <w:pStyle w:val="121"/>
              <w:topLinePunct/>
              <w:autoSpaceDE/>
              <w:jc w:val="right"/>
            </w:pPr>
            <w:r w:rsidRPr="00BC2B41">
              <w:rPr>
                <w:rFonts w:hint="eastAsia"/>
              </w:rPr>
              <w:t>1,804.51</w:t>
            </w:r>
          </w:p>
        </w:tc>
        <w:tc>
          <w:tcPr>
            <w:tcW w:w="736" w:type="dxa"/>
            <w:vAlign w:val="center"/>
          </w:tcPr>
          <w:p w:rsidR="00DD4C83" w:rsidRPr="00BC2B41" w:rsidRDefault="00DD4C83" w:rsidP="005C5DDA">
            <w:pPr>
              <w:pStyle w:val="121"/>
              <w:topLinePunct/>
              <w:autoSpaceDE/>
              <w:jc w:val="right"/>
            </w:pPr>
            <w:r w:rsidRPr="00BC2B41">
              <w:rPr>
                <w:rFonts w:hint="eastAsia"/>
              </w:rPr>
              <w:t>79.9</w:t>
            </w:r>
          </w:p>
        </w:tc>
        <w:tc>
          <w:tcPr>
            <w:tcW w:w="1074" w:type="dxa"/>
            <w:vAlign w:val="center"/>
          </w:tcPr>
          <w:p w:rsidR="00DD4C83" w:rsidRPr="00BC2B41" w:rsidRDefault="00DD4C83" w:rsidP="005C5DDA">
            <w:pPr>
              <w:pStyle w:val="121"/>
              <w:topLinePunct/>
              <w:autoSpaceDE/>
              <w:jc w:val="right"/>
            </w:pPr>
            <w:r w:rsidRPr="00BC2B41">
              <w:rPr>
                <w:rFonts w:hint="eastAsia"/>
              </w:rPr>
              <w:t>304.61</w:t>
            </w:r>
          </w:p>
        </w:tc>
        <w:tc>
          <w:tcPr>
            <w:tcW w:w="736" w:type="dxa"/>
            <w:vAlign w:val="center"/>
          </w:tcPr>
          <w:p w:rsidR="00DD4C83" w:rsidRPr="00BC2B41" w:rsidRDefault="00DD4C83" w:rsidP="005C5DDA">
            <w:pPr>
              <w:pStyle w:val="121"/>
              <w:topLinePunct/>
              <w:autoSpaceDE/>
              <w:jc w:val="right"/>
            </w:pPr>
            <w:r w:rsidRPr="00BC2B41">
              <w:rPr>
                <w:rFonts w:hint="eastAsia"/>
              </w:rPr>
              <w:t>13.5</w:t>
            </w:r>
          </w:p>
        </w:tc>
        <w:tc>
          <w:tcPr>
            <w:tcW w:w="1073" w:type="dxa"/>
            <w:vAlign w:val="center"/>
          </w:tcPr>
          <w:p w:rsidR="00DD4C83" w:rsidRPr="00BC2B41" w:rsidRDefault="00DD4C83" w:rsidP="005C5DDA">
            <w:pPr>
              <w:pStyle w:val="121"/>
              <w:topLinePunct/>
              <w:autoSpaceDE/>
              <w:jc w:val="right"/>
            </w:pPr>
            <w:r w:rsidRPr="00BC2B41">
              <w:rPr>
                <w:rFonts w:hint="eastAsia"/>
              </w:rPr>
              <w:t>32.82</w:t>
            </w:r>
          </w:p>
        </w:tc>
        <w:tc>
          <w:tcPr>
            <w:tcW w:w="735" w:type="dxa"/>
            <w:vAlign w:val="center"/>
          </w:tcPr>
          <w:p w:rsidR="00DD4C83" w:rsidRPr="00BC2B41" w:rsidRDefault="00DD4C83" w:rsidP="005C5DDA">
            <w:pPr>
              <w:pStyle w:val="121"/>
              <w:topLinePunct/>
              <w:autoSpaceDE/>
              <w:jc w:val="right"/>
            </w:pPr>
            <w:r w:rsidRPr="00BC2B41">
              <w:rPr>
                <w:rFonts w:hint="eastAsia"/>
              </w:rPr>
              <w:t>1.5</w:t>
            </w:r>
          </w:p>
        </w:tc>
        <w:tc>
          <w:tcPr>
            <w:tcW w:w="1074" w:type="dxa"/>
            <w:vAlign w:val="center"/>
          </w:tcPr>
          <w:p w:rsidR="00DD4C83" w:rsidRPr="00BC2B41" w:rsidRDefault="00DD4C83" w:rsidP="005C5DDA">
            <w:pPr>
              <w:pStyle w:val="121"/>
              <w:topLinePunct/>
              <w:autoSpaceDE/>
              <w:jc w:val="right"/>
            </w:pPr>
            <w:r w:rsidRPr="00BC2B41">
              <w:rPr>
                <w:rFonts w:hint="eastAsia"/>
              </w:rPr>
              <w:t>115.99</w:t>
            </w:r>
          </w:p>
        </w:tc>
        <w:tc>
          <w:tcPr>
            <w:tcW w:w="735" w:type="dxa"/>
            <w:vAlign w:val="center"/>
          </w:tcPr>
          <w:p w:rsidR="00DD4C83" w:rsidRPr="00BC2B41" w:rsidRDefault="00DD4C83" w:rsidP="005C5DDA">
            <w:pPr>
              <w:pStyle w:val="121"/>
              <w:topLinePunct/>
              <w:autoSpaceDE/>
              <w:jc w:val="right"/>
            </w:pPr>
            <w:r w:rsidRPr="00BC2B41">
              <w:rPr>
                <w:rFonts w:hint="eastAsia"/>
              </w:rPr>
              <w:t>5.1</w:t>
            </w:r>
          </w:p>
        </w:tc>
        <w:tc>
          <w:tcPr>
            <w:tcW w:w="1206" w:type="dxa"/>
            <w:vAlign w:val="center"/>
          </w:tcPr>
          <w:p w:rsidR="00DD4C83" w:rsidRPr="00BC2B41" w:rsidRDefault="00DD4C83" w:rsidP="005C5DDA">
            <w:pPr>
              <w:pStyle w:val="121"/>
              <w:topLinePunct/>
              <w:autoSpaceDE/>
              <w:jc w:val="right"/>
            </w:pPr>
            <w:r w:rsidRPr="00BC2B41">
              <w:rPr>
                <w:rFonts w:hint="eastAsia"/>
              </w:rPr>
              <w:t>2,257.93</w:t>
            </w:r>
          </w:p>
        </w:tc>
      </w:tr>
      <w:tr w:rsidR="00BC2B41" w:rsidRPr="00BC2B41" w:rsidTr="00DD4C83">
        <w:trPr>
          <w:trHeight w:val="340"/>
          <w:jc w:val="center"/>
        </w:trPr>
        <w:tc>
          <w:tcPr>
            <w:tcW w:w="734" w:type="dxa"/>
            <w:vAlign w:val="center"/>
          </w:tcPr>
          <w:p w:rsidR="00DD4C83" w:rsidRPr="00BC2B41" w:rsidRDefault="00DD4C83" w:rsidP="005C5DDA">
            <w:pPr>
              <w:pStyle w:val="121"/>
              <w:topLinePunct/>
              <w:autoSpaceDE/>
            </w:pPr>
            <w:r w:rsidRPr="00BC2B41">
              <w:rPr>
                <w:rFonts w:hint="eastAsia"/>
              </w:rPr>
              <w:t>106</w:t>
            </w:r>
          </w:p>
        </w:tc>
        <w:tc>
          <w:tcPr>
            <w:tcW w:w="1077" w:type="dxa"/>
            <w:vAlign w:val="center"/>
          </w:tcPr>
          <w:p w:rsidR="00DD4C83" w:rsidRPr="00BC2B41" w:rsidRDefault="00DD4C83" w:rsidP="005C5DDA">
            <w:pPr>
              <w:pStyle w:val="121"/>
              <w:topLinePunct/>
              <w:autoSpaceDE/>
              <w:jc w:val="right"/>
            </w:pPr>
            <w:r w:rsidRPr="00BC2B41">
              <w:rPr>
                <w:rFonts w:hint="eastAsia"/>
              </w:rPr>
              <w:t>1,949.52</w:t>
            </w:r>
          </w:p>
        </w:tc>
        <w:tc>
          <w:tcPr>
            <w:tcW w:w="736" w:type="dxa"/>
            <w:vAlign w:val="center"/>
          </w:tcPr>
          <w:p w:rsidR="00DD4C83" w:rsidRPr="00BC2B41" w:rsidRDefault="00DD4C83" w:rsidP="005C5DDA">
            <w:pPr>
              <w:pStyle w:val="121"/>
              <w:topLinePunct/>
              <w:autoSpaceDE/>
              <w:jc w:val="right"/>
            </w:pPr>
            <w:r w:rsidRPr="00BC2B41">
              <w:rPr>
                <w:rFonts w:hint="eastAsia"/>
              </w:rPr>
              <w:t>84.4</w:t>
            </w:r>
          </w:p>
        </w:tc>
        <w:tc>
          <w:tcPr>
            <w:tcW w:w="1074" w:type="dxa"/>
            <w:vAlign w:val="center"/>
          </w:tcPr>
          <w:p w:rsidR="00DD4C83" w:rsidRPr="00BC2B41" w:rsidRDefault="00DD4C83" w:rsidP="005C5DDA">
            <w:pPr>
              <w:pStyle w:val="121"/>
              <w:topLinePunct/>
              <w:autoSpaceDE/>
              <w:jc w:val="right"/>
            </w:pPr>
            <w:r w:rsidRPr="00BC2B41">
              <w:rPr>
                <w:rFonts w:hint="eastAsia"/>
              </w:rPr>
              <w:t>215.60</w:t>
            </w:r>
          </w:p>
        </w:tc>
        <w:tc>
          <w:tcPr>
            <w:tcW w:w="736" w:type="dxa"/>
            <w:vAlign w:val="center"/>
          </w:tcPr>
          <w:p w:rsidR="00DD4C83" w:rsidRPr="00BC2B41" w:rsidRDefault="00DD4C83" w:rsidP="005C5DDA">
            <w:pPr>
              <w:pStyle w:val="121"/>
              <w:topLinePunct/>
              <w:autoSpaceDE/>
              <w:jc w:val="right"/>
            </w:pPr>
            <w:r w:rsidRPr="00BC2B41">
              <w:rPr>
                <w:rFonts w:hint="eastAsia"/>
              </w:rPr>
              <w:t>9.3</w:t>
            </w:r>
          </w:p>
        </w:tc>
        <w:tc>
          <w:tcPr>
            <w:tcW w:w="1073" w:type="dxa"/>
            <w:vAlign w:val="center"/>
          </w:tcPr>
          <w:p w:rsidR="00DD4C83" w:rsidRPr="00BC2B41" w:rsidRDefault="00DD4C83" w:rsidP="005C5DDA">
            <w:pPr>
              <w:pStyle w:val="121"/>
              <w:topLinePunct/>
              <w:autoSpaceDE/>
              <w:jc w:val="right"/>
            </w:pPr>
            <w:r w:rsidRPr="00BC2B41">
              <w:rPr>
                <w:rFonts w:hint="eastAsia"/>
              </w:rPr>
              <w:t>33.22</w:t>
            </w:r>
          </w:p>
        </w:tc>
        <w:tc>
          <w:tcPr>
            <w:tcW w:w="735" w:type="dxa"/>
            <w:vAlign w:val="center"/>
          </w:tcPr>
          <w:p w:rsidR="00DD4C83" w:rsidRPr="00BC2B41" w:rsidRDefault="00DD4C83" w:rsidP="005C5DDA">
            <w:pPr>
              <w:pStyle w:val="121"/>
              <w:topLinePunct/>
              <w:autoSpaceDE/>
              <w:jc w:val="right"/>
            </w:pPr>
            <w:r w:rsidRPr="00BC2B41">
              <w:rPr>
                <w:rFonts w:hint="eastAsia"/>
              </w:rPr>
              <w:t>1.4</w:t>
            </w:r>
          </w:p>
        </w:tc>
        <w:tc>
          <w:tcPr>
            <w:tcW w:w="1074" w:type="dxa"/>
            <w:vAlign w:val="center"/>
          </w:tcPr>
          <w:p w:rsidR="00DD4C83" w:rsidRPr="00BC2B41" w:rsidRDefault="00DD4C83" w:rsidP="005C5DDA">
            <w:pPr>
              <w:pStyle w:val="121"/>
              <w:topLinePunct/>
              <w:autoSpaceDE/>
              <w:jc w:val="right"/>
            </w:pPr>
            <w:r w:rsidRPr="00BC2B41">
              <w:rPr>
                <w:rFonts w:hint="eastAsia"/>
              </w:rPr>
              <w:t>112.46</w:t>
            </w:r>
          </w:p>
        </w:tc>
        <w:tc>
          <w:tcPr>
            <w:tcW w:w="735" w:type="dxa"/>
            <w:vAlign w:val="center"/>
          </w:tcPr>
          <w:p w:rsidR="00DD4C83" w:rsidRPr="00BC2B41" w:rsidRDefault="00DD4C83" w:rsidP="005C5DDA">
            <w:pPr>
              <w:pStyle w:val="121"/>
              <w:topLinePunct/>
              <w:autoSpaceDE/>
              <w:jc w:val="right"/>
            </w:pPr>
            <w:r w:rsidRPr="00BC2B41">
              <w:rPr>
                <w:rFonts w:hint="eastAsia"/>
              </w:rPr>
              <w:t>4.9</w:t>
            </w:r>
          </w:p>
        </w:tc>
        <w:tc>
          <w:tcPr>
            <w:tcW w:w="1206" w:type="dxa"/>
            <w:vAlign w:val="center"/>
          </w:tcPr>
          <w:p w:rsidR="00DD4C83" w:rsidRPr="00BC2B41" w:rsidRDefault="00DD4C83" w:rsidP="005C5DDA">
            <w:pPr>
              <w:pStyle w:val="121"/>
              <w:topLinePunct/>
              <w:autoSpaceDE/>
              <w:jc w:val="right"/>
            </w:pPr>
            <w:r w:rsidRPr="00BC2B41">
              <w:rPr>
                <w:rFonts w:hint="eastAsia"/>
              </w:rPr>
              <w:t>2,310.80</w:t>
            </w:r>
          </w:p>
        </w:tc>
      </w:tr>
    </w:tbl>
    <w:p w:rsidR="005C17A0" w:rsidRPr="00BC2B41" w:rsidRDefault="005C17A0" w:rsidP="005C5DDA">
      <w:pPr>
        <w:pStyle w:val="aff3"/>
        <w:kinsoku/>
        <w:topLinePunct/>
        <w:autoSpaceDE/>
      </w:pPr>
      <w:r w:rsidRPr="00BC2B41">
        <w:rPr>
          <w:rFonts w:hint="eastAsia"/>
        </w:rPr>
        <w:t>資料來源：台電公司。</w:t>
      </w:r>
    </w:p>
    <w:p w:rsidR="005C17A0" w:rsidRPr="00BC2B41" w:rsidRDefault="005C17A0" w:rsidP="005C5DDA">
      <w:pPr>
        <w:widowControl/>
        <w:overflowPunct w:val="0"/>
        <w:topLinePunct/>
        <w:autoSpaceDN w:val="0"/>
        <w:ind w:leftChars="500" w:left="1701"/>
        <w:rPr>
          <w:rFonts w:hAnsi="標楷體"/>
          <w:b/>
          <w:szCs w:val="32"/>
        </w:rPr>
      </w:pPr>
      <w:r w:rsidRPr="00BC2B41">
        <w:rPr>
          <w:rFonts w:hAnsi="標楷體"/>
          <w:b/>
          <w:noProof/>
          <w:szCs w:val="32"/>
        </w:rPr>
        <w:drawing>
          <wp:inline distT="0" distB="0" distL="0" distR="0" wp14:anchorId="0679E848" wp14:editId="0DD0B5E7">
            <wp:extent cx="4286250" cy="4122923"/>
            <wp:effectExtent l="0" t="0" r="0" b="0"/>
            <wp:docPr id="259" name="圖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C1EB.tmp"/>
                    <pic:cNvPicPr/>
                  </pic:nvPicPr>
                  <pic:blipFill>
                    <a:blip r:embed="rId18">
                      <a:extLst>
                        <a:ext uri="{28A0092B-C50C-407E-A947-70E740481C1C}">
                          <a14:useLocalDpi xmlns:a14="http://schemas.microsoft.com/office/drawing/2010/main" val="0"/>
                        </a:ext>
                      </a:extLst>
                    </a:blip>
                    <a:stretch>
                      <a:fillRect/>
                    </a:stretch>
                  </pic:blipFill>
                  <pic:spPr>
                    <a:xfrm>
                      <a:off x="0" y="0"/>
                      <a:ext cx="4286250" cy="4122923"/>
                    </a:xfrm>
                    <a:prstGeom prst="rect">
                      <a:avLst/>
                    </a:prstGeom>
                  </pic:spPr>
                </pic:pic>
              </a:graphicData>
            </a:graphic>
          </wp:inline>
        </w:drawing>
      </w:r>
    </w:p>
    <w:p w:rsidR="005C17A0" w:rsidRPr="00BC2B41" w:rsidRDefault="005C17A0" w:rsidP="005C5DDA">
      <w:pPr>
        <w:pStyle w:val="aff3"/>
        <w:kinsoku/>
        <w:topLinePunct/>
        <w:autoSpaceDE/>
      </w:pPr>
      <w:r w:rsidRPr="00BC2B41">
        <w:rPr>
          <w:rFonts w:hint="eastAsia"/>
        </w:rPr>
        <w:t>資料來源：台電公司網站。</w:t>
      </w:r>
    </w:p>
    <w:p w:rsidR="005C17A0" w:rsidRPr="00BC2B41" w:rsidRDefault="005C17A0" w:rsidP="005C5DDA">
      <w:pPr>
        <w:pStyle w:val="a1"/>
        <w:topLinePunct/>
        <w:autoSpaceDE/>
        <w:spacing w:before="40" w:after="120"/>
        <w:rPr>
          <w:rFonts w:hAnsi="標楷體"/>
          <w:szCs w:val="32"/>
        </w:rPr>
      </w:pPr>
      <w:bookmarkStart w:id="66" w:name="_Toc536451801"/>
      <w:r w:rsidRPr="00BC2B41">
        <w:rPr>
          <w:rFonts w:hAnsi="標楷體" w:hint="eastAsia"/>
          <w:szCs w:val="32"/>
        </w:rPr>
        <w:t>台電系統歷年發購電量結構</w:t>
      </w:r>
      <w:bookmarkEnd w:id="66"/>
    </w:p>
    <w:p w:rsidR="005C17A0" w:rsidRPr="00BC2B41" w:rsidRDefault="005C17A0" w:rsidP="005C5DDA">
      <w:pPr>
        <w:pStyle w:val="a3"/>
        <w:kinsoku/>
        <w:topLinePunct/>
        <w:autoSpaceDE/>
        <w:ind w:left="0" w:firstLine="0"/>
        <w:jc w:val="center"/>
      </w:pPr>
      <w:bookmarkStart w:id="67" w:name="_Toc536451841"/>
      <w:r w:rsidRPr="00BC2B41">
        <w:rPr>
          <w:rFonts w:hint="eastAsia"/>
        </w:rPr>
        <w:lastRenderedPageBreak/>
        <w:t>近10年(98~107)年度瞬時尖峰負載最高日備轉資料</w:t>
      </w:r>
      <w:bookmarkEnd w:id="67"/>
    </w:p>
    <w:p w:rsidR="005C17A0" w:rsidRPr="00BC2B41" w:rsidRDefault="005C17A0" w:rsidP="005C5DDA">
      <w:pPr>
        <w:overflowPunct w:val="0"/>
        <w:topLinePunct/>
        <w:autoSpaceDN w:val="0"/>
        <w:jc w:val="center"/>
      </w:pPr>
      <w:r w:rsidRPr="00BC2B41">
        <w:rPr>
          <w:noProof/>
        </w:rPr>
        <mc:AlternateContent>
          <mc:Choice Requires="wps">
            <w:drawing>
              <wp:anchor distT="0" distB="0" distL="114300" distR="114300" simplePos="0" relativeHeight="251680768" behindDoc="0" locked="0" layoutInCell="1" allowOverlap="1" wp14:anchorId="1ADF04AF" wp14:editId="78C37607">
                <wp:simplePos x="0" y="0"/>
                <wp:positionH relativeFrom="column">
                  <wp:posOffset>429260</wp:posOffset>
                </wp:positionH>
                <wp:positionV relativeFrom="paragraph">
                  <wp:posOffset>1109980</wp:posOffset>
                </wp:positionV>
                <wp:extent cx="4752975" cy="133350"/>
                <wp:effectExtent l="0" t="0" r="28575" b="19050"/>
                <wp:wrapNone/>
                <wp:docPr id="265" name="矩形 265"/>
                <wp:cNvGraphicFramePr/>
                <a:graphic xmlns:a="http://schemas.openxmlformats.org/drawingml/2006/main">
                  <a:graphicData uri="http://schemas.microsoft.com/office/word/2010/wordprocessingShape">
                    <wps:wsp>
                      <wps:cNvSpPr/>
                      <wps:spPr>
                        <a:xfrm>
                          <a:off x="0" y="0"/>
                          <a:ext cx="4752975"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2842AD" id="矩形 265" o:spid="_x0000_s1026" style="position:absolute;margin-left:33.8pt;margin-top:87.4pt;width:374.25pt;height:10.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" filled="f" strokecolor="#243f60 [1604]" strokeweight="2pt"/>
            </w:pict>
          </mc:Fallback>
        </mc:AlternateContent>
      </w:r>
      <w:r w:rsidRPr="00BC2B41">
        <w:rPr>
          <w:noProof/>
        </w:rPr>
        <w:drawing>
          <wp:inline distT="0" distB="0" distL="0" distR="0" wp14:anchorId="7D93DD2E" wp14:editId="2C992A78">
            <wp:extent cx="4786312" cy="1962150"/>
            <wp:effectExtent l="0" t="0" r="0" b="0"/>
            <wp:docPr id="257" name="圖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CB89.tmp"/>
                    <pic:cNvPicPr/>
                  </pic:nvPicPr>
                  <pic:blipFill>
                    <a:blip r:embed="rId19">
                      <a:extLst>
                        <a:ext uri="{28A0092B-C50C-407E-A947-70E740481C1C}">
                          <a14:useLocalDpi xmlns:a14="http://schemas.microsoft.com/office/drawing/2010/main" val="0"/>
                        </a:ext>
                      </a:extLst>
                    </a:blip>
                    <a:stretch>
                      <a:fillRect/>
                    </a:stretch>
                  </pic:blipFill>
                  <pic:spPr>
                    <a:xfrm>
                      <a:off x="0" y="0"/>
                      <a:ext cx="4786312" cy="1962150"/>
                    </a:xfrm>
                    <a:prstGeom prst="rect">
                      <a:avLst/>
                    </a:prstGeom>
                  </pic:spPr>
                </pic:pic>
              </a:graphicData>
            </a:graphic>
          </wp:inline>
        </w:drawing>
      </w:r>
    </w:p>
    <w:p w:rsidR="00505499" w:rsidRPr="00BC2B41" w:rsidRDefault="00505499" w:rsidP="00505499"/>
    <w:p w:rsidR="005C17A0" w:rsidRPr="00BC2B41" w:rsidRDefault="005C17A0" w:rsidP="005C5DDA">
      <w:pPr>
        <w:pStyle w:val="3"/>
        <w:overflowPunct w:val="0"/>
        <w:topLinePunct/>
        <w:autoSpaceDN w:val="0"/>
        <w:rPr>
          <w:rFonts w:ascii="新細明體" w:eastAsia="新細明體" w:hAnsi="新細明體" w:cs="新細明體"/>
          <w:sz w:val="28"/>
          <w:szCs w:val="28"/>
        </w:rPr>
      </w:pPr>
      <w:r w:rsidRPr="00BC2B41">
        <w:rPr>
          <w:rFonts w:hint="eastAsia"/>
        </w:rPr>
        <w:t>惟查全國總發電量(毛發電量)，主要由台電公司、民營電廠及汽電共生組成。依經濟部能源局「能源統計資料查詢系統」統計之102~106年發電結構(如表</w:t>
      </w:r>
      <w:r w:rsidR="007E709A" w:rsidRPr="00BC2B41">
        <w:rPr>
          <w:rFonts w:hint="eastAsia"/>
        </w:rPr>
        <w:t>6</w:t>
      </w:r>
      <w:r w:rsidRPr="00BC2B41">
        <w:rPr>
          <w:rFonts w:hint="eastAsia"/>
        </w:rPr>
        <w:t>)</w:t>
      </w:r>
      <w:r w:rsidRPr="00BC2B41">
        <w:rPr>
          <w:rStyle w:val="afc"/>
        </w:rPr>
        <w:footnoteReference w:id="26"/>
      </w:r>
      <w:r w:rsidRPr="00BC2B41">
        <w:rPr>
          <w:rFonts w:hint="eastAsia"/>
        </w:rPr>
        <w:t>，105年總毛發電2,641.1億度，其中，台電公司自發電部分，核能316.6億度(占11.99%)，燃煤652.6億度(24.71%)、燃氣634.4億度(24.02%)、燃油104.5億度(3.96%)；106年總毛發電2,703.6億度(較105年增加62.5億度)，其中核能224.5億度(8.30%)、燃煤732.4億度(27.09%)、燃氣710.3億度(26.27%)、燃油112.0億度(4.29%)。與105年相較，106年核能毛發電減少92.2億度(3.69%)，燃煤增加79.8億度(2.38%)，燃氣增加75.9億度(2.25%)</w:t>
      </w:r>
      <w:r w:rsidR="00BB6E8B" w:rsidRPr="00707D63">
        <w:rPr>
          <w:rFonts w:hint="eastAsia"/>
          <w:color w:val="FF0000"/>
          <w:spacing w:val="-4"/>
        </w:rPr>
        <w:t>(如</w:t>
      </w:r>
      <w:r w:rsidR="00BB6E8B" w:rsidRPr="00BB6E8B">
        <w:rPr>
          <w:rFonts w:hint="eastAsia"/>
          <w:color w:val="FF0000"/>
          <w:spacing w:val="-4"/>
        </w:rPr>
        <w:t>圖</w:t>
      </w:r>
      <w:r w:rsidR="00BB6E8B">
        <w:rPr>
          <w:rFonts w:hint="eastAsia"/>
          <w:color w:val="FF0000"/>
          <w:spacing w:val="-4"/>
        </w:rPr>
        <w:t>8</w:t>
      </w:r>
      <w:r w:rsidR="00BB6E8B" w:rsidRPr="00707D63">
        <w:rPr>
          <w:rFonts w:hint="eastAsia"/>
          <w:color w:val="FF0000"/>
          <w:spacing w:val="-4"/>
        </w:rPr>
        <w:t>)</w:t>
      </w:r>
      <w:r w:rsidRPr="00BC2B41">
        <w:rPr>
          <w:rFonts w:hint="eastAsia"/>
        </w:rPr>
        <w:t>。由於民營電廠106年毛發電與105年度相當</w:t>
      </w:r>
      <w:r w:rsidR="00BB6E8B" w:rsidRPr="00FD7C5F">
        <w:rPr>
          <w:rFonts w:hint="eastAsia"/>
          <w:color w:val="FF0000"/>
        </w:rPr>
        <w:t>(如圖9）</w:t>
      </w:r>
      <w:r w:rsidRPr="00BC2B41">
        <w:rPr>
          <w:rFonts w:hint="eastAsia"/>
        </w:rPr>
        <w:t>，顯示106年新增電力需求（52.8億度）及核電缺口（約92億度），幾乎全數由台電公司以火力發電（燃煤增79.8億度、燃氣增75.9億度、燃油增11.5億度）方式補足，以火力填補核電缺口，</w:t>
      </w:r>
      <w:r w:rsidR="00BB6E8B" w:rsidRPr="00FD7C5F">
        <w:rPr>
          <w:rFonts w:hint="eastAsia"/>
          <w:color w:val="FF0000"/>
        </w:rPr>
        <w:t>化石</w:t>
      </w:r>
      <w:r w:rsidR="00BB6E8B">
        <w:rPr>
          <w:rFonts w:hint="eastAsia"/>
        </w:rPr>
        <w:t>燃料用量增且燃煤發電增幅更甚於燃氣</w:t>
      </w:r>
      <w:r w:rsidRPr="00BC2B41">
        <w:rPr>
          <w:rFonts w:hint="eastAsia"/>
        </w:rPr>
        <w:t>。依台電公司102~106年火力發電化石燃料耗用</w:t>
      </w:r>
      <w:r w:rsidRPr="00BC2B41">
        <w:rPr>
          <w:rFonts w:hint="eastAsia"/>
        </w:rPr>
        <w:lastRenderedPageBreak/>
        <w:t>量</w:t>
      </w:r>
      <w:r w:rsidR="00BB6E8B" w:rsidRPr="00FD7C5F">
        <w:rPr>
          <w:rFonts w:hint="eastAsia"/>
        </w:rPr>
        <w:t>(如圖</w:t>
      </w:r>
      <w:r w:rsidR="00BB6E8B">
        <w:rPr>
          <w:rFonts w:hint="eastAsia"/>
          <w:color w:val="FF0000"/>
        </w:rPr>
        <w:t>1</w:t>
      </w:r>
      <w:r w:rsidR="00BB6E8B" w:rsidRPr="00FD7C5F">
        <w:rPr>
          <w:rFonts w:hint="eastAsia"/>
          <w:color w:val="FF0000"/>
        </w:rPr>
        <w:t>0</w:t>
      </w:r>
      <w:r w:rsidR="00BB6E8B" w:rsidRPr="00FD7C5F">
        <w:rPr>
          <w:rFonts w:hint="eastAsia"/>
        </w:rPr>
        <w:t>)</w:t>
      </w:r>
      <w:r w:rsidRPr="00BC2B41">
        <w:rPr>
          <w:rFonts w:hint="eastAsia"/>
        </w:rPr>
        <w:t>，以及經濟部能源局能源統計月報列載台電公司及民營電廠102-106年發電用燃煤量</w:t>
      </w:r>
      <w:r w:rsidRPr="00BC2B41">
        <w:rPr>
          <w:rStyle w:val="afc"/>
        </w:rPr>
        <w:footnoteReference w:id="27"/>
      </w:r>
      <w:r w:rsidRPr="00BC2B41">
        <w:rPr>
          <w:rFonts w:hint="eastAsia"/>
        </w:rPr>
        <w:t>(</w:t>
      </w:r>
      <w:r w:rsidR="00BB6E8B" w:rsidRPr="00FD7C5F">
        <w:rPr>
          <w:rFonts w:hint="eastAsia"/>
          <w:color w:val="FF0000"/>
        </w:rPr>
        <w:t>如</w:t>
      </w:r>
      <w:r w:rsidRPr="00BC2B41">
        <w:rPr>
          <w:rFonts w:hint="eastAsia"/>
        </w:rPr>
        <w:t>圖</w:t>
      </w:r>
      <w:r w:rsidR="00562D9F" w:rsidRPr="00BB6E8B">
        <w:rPr>
          <w:rFonts w:hint="eastAsia"/>
          <w:color w:val="FF0000"/>
        </w:rPr>
        <w:t>1</w:t>
      </w:r>
      <w:r w:rsidR="00BB6E8B" w:rsidRPr="00BB6E8B">
        <w:rPr>
          <w:rFonts w:hint="eastAsia"/>
          <w:color w:val="FF0000"/>
        </w:rPr>
        <w:t>1</w:t>
      </w:r>
      <w:r w:rsidRPr="00BC2B41">
        <w:rPr>
          <w:rFonts w:hint="eastAsia"/>
        </w:rPr>
        <w:t>)，其中民營電廠105、106年發電用燃煤量差異不大，但台電公司106年發電用燃煤量(28,974,528公噸)較105年(26,164,853公噸)大增10.74%，說明台電公司106年「火力全開」情形</w:t>
      </w:r>
      <w:r w:rsidRPr="00BC2B41">
        <w:rPr>
          <w:rFonts w:hint="eastAsia"/>
          <w:kern w:val="2"/>
          <w:szCs w:val="20"/>
        </w:rPr>
        <w:t>。析言之，在</w:t>
      </w:r>
      <w:r w:rsidRPr="00BC2B41">
        <w:rPr>
          <w:rFonts w:hint="eastAsia"/>
        </w:rPr>
        <w:t>台灣中油股份有限公司</w:t>
      </w:r>
      <w:r w:rsidRPr="00BC2B41">
        <w:rPr>
          <w:rFonts w:hAnsi="標楷體" w:hint="eastAsia"/>
        </w:rPr>
        <w:t>(下稱</w:t>
      </w:r>
      <w:r w:rsidRPr="00BC2B41">
        <w:rPr>
          <w:rFonts w:hint="eastAsia"/>
        </w:rPr>
        <w:t>中油公司</w:t>
      </w:r>
      <w:r w:rsidRPr="00BC2B41">
        <w:rPr>
          <w:rFonts w:hAnsi="標楷體" w:hint="eastAsia"/>
        </w:rPr>
        <w:t>)</w:t>
      </w:r>
      <w:r w:rsidRPr="00BC2B41">
        <w:rPr>
          <w:rFonts w:hint="eastAsia"/>
          <w:kern w:val="2"/>
          <w:szCs w:val="20"/>
        </w:rPr>
        <w:t>，供氣能力有限（因第三液化天然氣接收站未完成）、再生能源進度緩慢情況下，經濟部設定以9年時間完成非核家園，甚至以核一廠1號機、核二廠2號機</w:t>
      </w:r>
      <w:r w:rsidRPr="00BC2B41">
        <w:rPr>
          <w:rStyle w:val="afc"/>
          <w:kern w:val="2"/>
          <w:szCs w:val="20"/>
        </w:rPr>
        <w:footnoteReference w:id="28"/>
      </w:r>
      <w:r w:rsidRPr="00BC2B41">
        <w:rPr>
          <w:rFonts w:hint="eastAsia"/>
          <w:kern w:val="2"/>
          <w:szCs w:val="20"/>
        </w:rPr>
        <w:t>不運轉方式減核，致僅能以火力發電方式補足電力缺口，結果導致溫室氣體及空氣污染均增加，讓人民承受空污，犧牲健康，實非周延。</w:t>
      </w:r>
    </w:p>
    <w:p w:rsidR="005C17A0" w:rsidRPr="00BC2B41" w:rsidRDefault="005C17A0" w:rsidP="005C5DDA">
      <w:pPr>
        <w:pStyle w:val="a3"/>
        <w:kinsoku/>
        <w:topLinePunct/>
        <w:autoSpaceDE/>
        <w:ind w:left="0" w:firstLine="0"/>
        <w:jc w:val="center"/>
      </w:pPr>
      <w:bookmarkStart w:id="68" w:name="_Toc536451842"/>
      <w:r w:rsidRPr="00BC2B41">
        <w:rPr>
          <w:rFonts w:hint="eastAsia"/>
        </w:rPr>
        <w:t>102年至106年全國發電量</w:t>
      </w:r>
      <w:bookmarkEnd w:id="68"/>
    </w:p>
    <w:p w:rsidR="005C17A0" w:rsidRPr="00BC2B41" w:rsidRDefault="005C17A0" w:rsidP="00BC5C24">
      <w:pPr>
        <w:overflowPunct w:val="0"/>
        <w:topLinePunct/>
        <w:autoSpaceDN w:val="0"/>
        <w:spacing w:line="240" w:lineRule="exact"/>
        <w:jc w:val="right"/>
        <w:rPr>
          <w:sz w:val="24"/>
        </w:rPr>
      </w:pPr>
      <w:r w:rsidRPr="00BC2B41">
        <w:rPr>
          <w:rFonts w:hint="eastAsia"/>
          <w:sz w:val="24"/>
        </w:rPr>
        <w:t>單位：百萬度</w:t>
      </w:r>
    </w:p>
    <w:p w:rsidR="005C17A0" w:rsidRPr="00BC2B41" w:rsidRDefault="005C17A0" w:rsidP="005C5DDA">
      <w:pPr>
        <w:overflowPunct w:val="0"/>
        <w:topLinePunct/>
        <w:autoSpaceDN w:val="0"/>
        <w:jc w:val="center"/>
      </w:pPr>
      <w:r w:rsidRPr="00BC2B41">
        <w:rPr>
          <w:noProof/>
        </w:rPr>
        <mc:AlternateContent>
          <mc:Choice Requires="wps">
            <w:drawing>
              <wp:anchor distT="0" distB="0" distL="114300" distR="114300" simplePos="0" relativeHeight="251707392" behindDoc="0" locked="0" layoutInCell="1" allowOverlap="1" wp14:anchorId="0AFF01B5" wp14:editId="73F1347F">
                <wp:simplePos x="0" y="0"/>
                <wp:positionH relativeFrom="column">
                  <wp:posOffset>1939925</wp:posOffset>
                </wp:positionH>
                <wp:positionV relativeFrom="paragraph">
                  <wp:posOffset>1124585</wp:posOffset>
                </wp:positionV>
                <wp:extent cx="419100" cy="444500"/>
                <wp:effectExtent l="0" t="0" r="19050" b="12700"/>
                <wp:wrapNone/>
                <wp:docPr id="192" name="矩形 192"/>
                <wp:cNvGraphicFramePr/>
                <a:graphic xmlns:a="http://schemas.openxmlformats.org/drawingml/2006/main">
                  <a:graphicData uri="http://schemas.microsoft.com/office/word/2010/wordprocessingShape">
                    <wps:wsp>
                      <wps:cNvSpPr/>
                      <wps:spPr>
                        <a:xfrm>
                          <a:off x="0" y="0"/>
                          <a:ext cx="419100" cy="444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6C835D" id="矩形 192" o:spid="_x0000_s1026" style="position:absolute;margin-left:152.75pt;margin-top:88.55pt;width:33pt;height:3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" filled="f" strokecolor="#243f60 [1604]" strokeweight="2pt"/>
            </w:pict>
          </mc:Fallback>
        </mc:AlternateContent>
      </w:r>
      <w:r w:rsidRPr="00BC2B41">
        <w:rPr>
          <w:noProof/>
        </w:rPr>
        <mc:AlternateContent>
          <mc:Choice Requires="wps">
            <w:drawing>
              <wp:anchor distT="0" distB="0" distL="114300" distR="114300" simplePos="0" relativeHeight="251710464" behindDoc="0" locked="0" layoutInCell="1" allowOverlap="1" wp14:anchorId="0777F1BD" wp14:editId="1F818E0B">
                <wp:simplePos x="0" y="0"/>
                <wp:positionH relativeFrom="column">
                  <wp:posOffset>4947920</wp:posOffset>
                </wp:positionH>
                <wp:positionV relativeFrom="paragraph">
                  <wp:posOffset>1122680</wp:posOffset>
                </wp:positionV>
                <wp:extent cx="298450" cy="444500"/>
                <wp:effectExtent l="0" t="0" r="25400" b="12700"/>
                <wp:wrapNone/>
                <wp:docPr id="59" name="矩形 59"/>
                <wp:cNvGraphicFramePr/>
                <a:graphic xmlns:a="http://schemas.openxmlformats.org/drawingml/2006/main">
                  <a:graphicData uri="http://schemas.microsoft.com/office/word/2010/wordprocessingShape">
                    <wps:wsp>
                      <wps:cNvSpPr/>
                      <wps:spPr>
                        <a:xfrm>
                          <a:off x="0" y="0"/>
                          <a:ext cx="298450" cy="444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4285F" id="矩形 59" o:spid="_x0000_s1026" style="position:absolute;margin-left:389.6pt;margin-top:88.4pt;width:23.5pt;height:3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" filled="f" strokecolor="#243f60 [1604]" strokeweight="2pt"/>
            </w:pict>
          </mc:Fallback>
        </mc:AlternateContent>
      </w:r>
      <w:r w:rsidRPr="00BC2B41">
        <w:rPr>
          <w:noProof/>
        </w:rPr>
        <mc:AlternateContent>
          <mc:Choice Requires="wps">
            <w:drawing>
              <wp:anchor distT="0" distB="0" distL="114300" distR="114300" simplePos="0" relativeHeight="251706368" behindDoc="0" locked="0" layoutInCell="1" allowOverlap="1" wp14:anchorId="4833002E" wp14:editId="679AC9CA">
                <wp:simplePos x="0" y="0"/>
                <wp:positionH relativeFrom="column">
                  <wp:posOffset>1595120</wp:posOffset>
                </wp:positionH>
                <wp:positionV relativeFrom="paragraph">
                  <wp:posOffset>1122680</wp:posOffset>
                </wp:positionV>
                <wp:extent cx="342900" cy="444500"/>
                <wp:effectExtent l="0" t="0" r="19050" b="12700"/>
                <wp:wrapNone/>
                <wp:docPr id="193" name="矩形 193"/>
                <wp:cNvGraphicFramePr/>
                <a:graphic xmlns:a="http://schemas.openxmlformats.org/drawingml/2006/main">
                  <a:graphicData uri="http://schemas.microsoft.com/office/word/2010/wordprocessingShape">
                    <wps:wsp>
                      <wps:cNvSpPr/>
                      <wps:spPr>
                        <a:xfrm>
                          <a:off x="0" y="0"/>
                          <a:ext cx="342900" cy="444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EAB2FD" id="矩形 193" o:spid="_x0000_s1026" style="position:absolute;margin-left:125.6pt;margin-top:88.4pt;width:27pt;height:3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" filled="f" strokecolor="#243f60 [1604]" strokeweight="2pt"/>
            </w:pict>
          </mc:Fallback>
        </mc:AlternateContent>
      </w:r>
      <w:r w:rsidRPr="00BC2B41">
        <w:rPr>
          <w:noProof/>
        </w:rPr>
        <mc:AlternateContent>
          <mc:Choice Requires="wps">
            <w:drawing>
              <wp:anchor distT="0" distB="0" distL="114300" distR="114300" simplePos="0" relativeHeight="251705344" behindDoc="0" locked="0" layoutInCell="1" allowOverlap="1" wp14:anchorId="383C257F" wp14:editId="76774E2D">
                <wp:simplePos x="0" y="0"/>
                <wp:positionH relativeFrom="column">
                  <wp:posOffset>915670</wp:posOffset>
                </wp:positionH>
                <wp:positionV relativeFrom="paragraph">
                  <wp:posOffset>1122680</wp:posOffset>
                </wp:positionV>
                <wp:extent cx="323850" cy="444500"/>
                <wp:effectExtent l="0" t="0" r="19050" b="12700"/>
                <wp:wrapNone/>
                <wp:docPr id="196" name="矩形 196"/>
                <wp:cNvGraphicFramePr/>
                <a:graphic xmlns:a="http://schemas.openxmlformats.org/drawingml/2006/main">
                  <a:graphicData uri="http://schemas.microsoft.com/office/word/2010/wordprocessingShape">
                    <wps:wsp>
                      <wps:cNvSpPr/>
                      <wps:spPr>
                        <a:xfrm>
                          <a:off x="0" y="0"/>
                          <a:ext cx="323850" cy="444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45A058" id="矩形 196" o:spid="_x0000_s1026" style="position:absolute;margin-left:72.1pt;margin-top:88.4pt;width:25.5pt;height:3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" filled="f" strokecolor="#243f60 [1604]" strokeweight="2pt"/>
            </w:pict>
          </mc:Fallback>
        </mc:AlternateContent>
      </w:r>
      <w:r w:rsidRPr="00BC2B41">
        <w:rPr>
          <w:noProof/>
        </w:rPr>
        <w:drawing>
          <wp:inline distT="0" distB="0" distL="0" distR="0" wp14:anchorId="59FF1AC5" wp14:editId="2AB2CC29">
            <wp:extent cx="5615940" cy="1616710"/>
            <wp:effectExtent l="0" t="0" r="3810" b="2540"/>
            <wp:docPr id="209" name="圖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083C2.tmp"/>
                    <pic:cNvPicPr/>
                  </pic:nvPicPr>
                  <pic:blipFill>
                    <a:blip r:embed="rId20">
                      <a:extLst>
                        <a:ext uri="{28A0092B-C50C-407E-A947-70E740481C1C}">
                          <a14:useLocalDpi xmlns:a14="http://schemas.microsoft.com/office/drawing/2010/main" val="0"/>
                        </a:ext>
                      </a:extLst>
                    </a:blip>
                    <a:stretch>
                      <a:fillRect/>
                    </a:stretch>
                  </pic:blipFill>
                  <pic:spPr>
                    <a:xfrm>
                      <a:off x="0" y="0"/>
                      <a:ext cx="5615940" cy="1616710"/>
                    </a:xfrm>
                    <a:prstGeom prst="rect">
                      <a:avLst/>
                    </a:prstGeom>
                  </pic:spPr>
                </pic:pic>
              </a:graphicData>
            </a:graphic>
          </wp:inline>
        </w:drawing>
      </w:r>
    </w:p>
    <w:p w:rsidR="005C17A0" w:rsidRPr="00BC2B41" w:rsidRDefault="005C17A0" w:rsidP="005C5DDA">
      <w:pPr>
        <w:overflowPunct w:val="0"/>
        <w:topLinePunct/>
        <w:autoSpaceDN w:val="0"/>
      </w:pPr>
      <w:r w:rsidRPr="00BC2B41">
        <w:rPr>
          <w:noProof/>
        </w:rPr>
        <w:lastRenderedPageBreak/>
        <mc:AlternateContent>
          <mc:Choice Requires="wps">
            <w:drawing>
              <wp:anchor distT="0" distB="0" distL="114300" distR="114300" simplePos="0" relativeHeight="251709440" behindDoc="0" locked="0" layoutInCell="1" allowOverlap="1" wp14:anchorId="284F1D82" wp14:editId="7E2BCB2E">
                <wp:simplePos x="0" y="0"/>
                <wp:positionH relativeFrom="column">
                  <wp:posOffset>1514475</wp:posOffset>
                </wp:positionH>
                <wp:positionV relativeFrom="paragraph">
                  <wp:posOffset>1339215</wp:posOffset>
                </wp:positionV>
                <wp:extent cx="431800" cy="552450"/>
                <wp:effectExtent l="0" t="0" r="25400" b="19050"/>
                <wp:wrapNone/>
                <wp:docPr id="197" name="矩形 197"/>
                <wp:cNvGraphicFramePr/>
                <a:graphic xmlns:a="http://schemas.openxmlformats.org/drawingml/2006/main">
                  <a:graphicData uri="http://schemas.microsoft.com/office/word/2010/wordprocessingShape">
                    <wps:wsp>
                      <wps:cNvSpPr/>
                      <wps:spPr>
                        <a:xfrm>
                          <a:off x="0" y="0"/>
                          <a:ext cx="431800" cy="552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83E867" id="矩形 197" o:spid="_x0000_s1026" style="position:absolute;margin-left:119.25pt;margin-top:105.45pt;width:34pt;height:43.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" filled="f" strokecolor="#243f60 [1604]" strokeweight="2pt"/>
            </w:pict>
          </mc:Fallback>
        </mc:AlternateContent>
      </w:r>
      <w:r w:rsidRPr="00BC2B41">
        <w:rPr>
          <w:noProof/>
        </w:rPr>
        <mc:AlternateContent>
          <mc:Choice Requires="wps">
            <w:drawing>
              <wp:anchor distT="0" distB="0" distL="114300" distR="114300" simplePos="0" relativeHeight="251708416" behindDoc="0" locked="0" layoutInCell="1" allowOverlap="1" wp14:anchorId="711EA46F" wp14:editId="3F9738C6">
                <wp:simplePos x="0" y="0"/>
                <wp:positionH relativeFrom="column">
                  <wp:posOffset>841375</wp:posOffset>
                </wp:positionH>
                <wp:positionV relativeFrom="paragraph">
                  <wp:posOffset>1339215</wp:posOffset>
                </wp:positionV>
                <wp:extent cx="431800" cy="552450"/>
                <wp:effectExtent l="0" t="0" r="25400" b="19050"/>
                <wp:wrapNone/>
                <wp:docPr id="199" name="矩形 199"/>
                <wp:cNvGraphicFramePr/>
                <a:graphic xmlns:a="http://schemas.openxmlformats.org/drawingml/2006/main">
                  <a:graphicData uri="http://schemas.microsoft.com/office/word/2010/wordprocessingShape">
                    <wps:wsp>
                      <wps:cNvSpPr/>
                      <wps:spPr>
                        <a:xfrm>
                          <a:off x="0" y="0"/>
                          <a:ext cx="431800" cy="552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CB83D4" id="矩形 199" o:spid="_x0000_s1026" style="position:absolute;margin-left:66.25pt;margin-top:105.45pt;width:34pt;height:43.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" filled="f" strokecolor="#243f60 [1604]" strokeweight="2pt"/>
            </w:pict>
          </mc:Fallback>
        </mc:AlternateContent>
      </w:r>
      <w:r w:rsidRPr="00BC2B41">
        <w:rPr>
          <w:noProof/>
        </w:rPr>
        <mc:AlternateContent>
          <mc:Choice Requires="wps">
            <w:drawing>
              <wp:anchor distT="0" distB="0" distL="114300" distR="114300" simplePos="0" relativeHeight="251711488" behindDoc="0" locked="0" layoutInCell="1" allowOverlap="1" wp14:anchorId="2769E6E9" wp14:editId="24CC5076">
                <wp:simplePos x="0" y="0"/>
                <wp:positionH relativeFrom="column">
                  <wp:posOffset>2903220</wp:posOffset>
                </wp:positionH>
                <wp:positionV relativeFrom="paragraph">
                  <wp:posOffset>1337310</wp:posOffset>
                </wp:positionV>
                <wp:extent cx="393700" cy="552450"/>
                <wp:effectExtent l="0" t="0" r="25400" b="19050"/>
                <wp:wrapNone/>
                <wp:docPr id="198" name="矩形 198"/>
                <wp:cNvGraphicFramePr/>
                <a:graphic xmlns:a="http://schemas.openxmlformats.org/drawingml/2006/main">
                  <a:graphicData uri="http://schemas.microsoft.com/office/word/2010/wordprocessingShape">
                    <wps:wsp>
                      <wps:cNvSpPr/>
                      <wps:spPr>
                        <a:xfrm>
                          <a:off x="0" y="0"/>
                          <a:ext cx="393700" cy="552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D7399E" id="矩形 198" o:spid="_x0000_s1026" style="position:absolute;margin-left:228.6pt;margin-top:105.3pt;width:31pt;height:43.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" filled="f" strokecolor="#243f60 [1604]" strokeweight="2pt"/>
            </w:pict>
          </mc:Fallback>
        </mc:AlternateContent>
      </w:r>
      <w:r w:rsidRPr="00BC2B41">
        <w:rPr>
          <w:noProof/>
        </w:rPr>
        <w:drawing>
          <wp:inline distT="0" distB="0" distL="0" distR="0" wp14:anchorId="4D379436" wp14:editId="683DB12F">
            <wp:extent cx="5613400" cy="1843786"/>
            <wp:effectExtent l="0" t="0" r="6350" b="4445"/>
            <wp:docPr id="221" name="圖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0A8F3.tmp"/>
                    <pic:cNvPicPr/>
                  </pic:nvPicPr>
                  <pic:blipFill rotWithShape="1">
                    <a:blip r:embed="rId21">
                      <a:extLst>
                        <a:ext uri="{28A0092B-C50C-407E-A947-70E740481C1C}">
                          <a14:useLocalDpi xmlns:a14="http://schemas.microsoft.com/office/drawing/2010/main" val="0"/>
                        </a:ext>
                      </a:extLst>
                    </a:blip>
                    <a:srcRect t="6142"/>
                    <a:stretch/>
                  </pic:blipFill>
                  <pic:spPr bwMode="auto">
                    <a:xfrm>
                      <a:off x="0" y="0"/>
                      <a:ext cx="5615940" cy="1844620"/>
                    </a:xfrm>
                    <a:prstGeom prst="rect">
                      <a:avLst/>
                    </a:prstGeom>
                    <a:ln>
                      <a:noFill/>
                    </a:ln>
                    <a:extLst>
                      <a:ext uri="{53640926-AAD7-44D8-BBD7-CCE9431645EC}">
                        <a14:shadowObscured xmlns:a14="http://schemas.microsoft.com/office/drawing/2010/main"/>
                      </a:ext>
                    </a:extLst>
                  </pic:spPr>
                </pic:pic>
              </a:graphicData>
            </a:graphic>
          </wp:inline>
        </w:drawing>
      </w:r>
    </w:p>
    <w:p w:rsidR="005C17A0" w:rsidRPr="00BC2B41" w:rsidRDefault="005C17A0" w:rsidP="005C5DDA">
      <w:pPr>
        <w:pStyle w:val="aff3"/>
        <w:kinsoku/>
        <w:topLinePunct/>
        <w:autoSpaceDE/>
        <w:spacing w:after="0"/>
      </w:pPr>
      <w:r w:rsidRPr="00BC2B41">
        <w:rPr>
          <w:rFonts w:hint="eastAsia"/>
        </w:rPr>
        <w:t>註：1.淨發電量係指毛發電量扣除廠用電量。</w:t>
      </w:r>
    </w:p>
    <w:p w:rsidR="005C17A0" w:rsidRDefault="005C17A0" w:rsidP="005C5DDA">
      <w:pPr>
        <w:pStyle w:val="aff3"/>
        <w:kinsoku/>
        <w:topLinePunct/>
        <w:autoSpaceDE/>
      </w:pPr>
      <w:r w:rsidRPr="00BC2B41">
        <w:rPr>
          <w:rFonts w:hint="eastAsia"/>
        </w:rPr>
        <w:t xml:space="preserve">　　2.廠用電係指發電廠因運轉發電機所消耗於各項附屬設備之電能。</w:t>
      </w:r>
      <w:r w:rsidRPr="00BC2B41">
        <w:br/>
      </w:r>
      <w:r w:rsidRPr="00BC2B41">
        <w:rPr>
          <w:rFonts w:hint="eastAsia"/>
        </w:rPr>
        <w:t>資料來源：經濟部能源局「能源統計資料查詢</w:t>
      </w:r>
      <w:r w:rsidRPr="00BC2B41">
        <w:rPr>
          <w:rFonts w:hint="eastAsia"/>
          <w:szCs w:val="24"/>
        </w:rPr>
        <w:t>系統</w:t>
      </w:r>
      <w:r w:rsidRPr="00BC2B41">
        <w:rPr>
          <w:rFonts w:hint="eastAsia"/>
        </w:rPr>
        <w:t>」。</w:t>
      </w:r>
    </w:p>
    <w:p w:rsidR="00A3264D" w:rsidRPr="00BC2B41" w:rsidRDefault="00A3264D" w:rsidP="005C5DDA">
      <w:pPr>
        <w:pStyle w:val="aff3"/>
        <w:kinsoku/>
        <w:topLinePunct/>
        <w:autoSpaceDE/>
      </w:pPr>
    </w:p>
    <w:p w:rsidR="00BB6E8B" w:rsidRPr="00BC2B41" w:rsidRDefault="00BB6E8B" w:rsidP="00BB6E8B">
      <w:pPr>
        <w:overflowPunct w:val="0"/>
        <w:topLinePunct/>
        <w:autoSpaceDN w:val="0"/>
        <w:jc w:val="center"/>
      </w:pPr>
      <w:r w:rsidRPr="00BC2B41">
        <w:rPr>
          <w:noProof/>
        </w:rPr>
        <w:drawing>
          <wp:inline distT="0" distB="0" distL="0" distR="0" wp14:anchorId="37401C5F" wp14:editId="318D3504">
            <wp:extent cx="4563661" cy="2784764"/>
            <wp:effectExtent l="0" t="0" r="8890" b="0"/>
            <wp:docPr id="223" name="圖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893D3.tmp"/>
                    <pic:cNvPicPr/>
                  </pic:nvPicPr>
                  <pic:blipFill>
                    <a:blip r:embed="rId22">
                      <a:extLst>
                        <a:ext uri="{28A0092B-C50C-407E-A947-70E740481C1C}">
                          <a14:useLocalDpi xmlns:a14="http://schemas.microsoft.com/office/drawing/2010/main" val="0"/>
                        </a:ext>
                      </a:extLst>
                    </a:blip>
                    <a:stretch>
                      <a:fillRect/>
                    </a:stretch>
                  </pic:blipFill>
                  <pic:spPr>
                    <a:xfrm>
                      <a:off x="0" y="0"/>
                      <a:ext cx="4571920" cy="2789804"/>
                    </a:xfrm>
                    <a:prstGeom prst="rect">
                      <a:avLst/>
                    </a:prstGeom>
                  </pic:spPr>
                </pic:pic>
              </a:graphicData>
            </a:graphic>
          </wp:inline>
        </w:drawing>
      </w:r>
    </w:p>
    <w:p w:rsidR="00BB6E8B" w:rsidRPr="00BC2B41" w:rsidRDefault="00BB6E8B" w:rsidP="00BB6E8B">
      <w:pPr>
        <w:pStyle w:val="aff3"/>
        <w:kinsoku/>
        <w:topLinePunct/>
        <w:autoSpaceDE/>
        <w:spacing w:after="0"/>
        <w:ind w:firstLineChars="5" w:firstLine="12"/>
      </w:pPr>
      <w:r w:rsidRPr="00BC2B41">
        <w:rPr>
          <w:rFonts w:hint="eastAsia"/>
        </w:rPr>
        <w:t>註：內圈為105年、外圈為106年。</w:t>
      </w:r>
    </w:p>
    <w:p w:rsidR="00BB6E8B" w:rsidRPr="00BC2B41" w:rsidRDefault="00BB6E8B" w:rsidP="00BB6E8B">
      <w:pPr>
        <w:pStyle w:val="aff3"/>
        <w:kinsoku/>
        <w:topLinePunct/>
        <w:autoSpaceDE/>
      </w:pPr>
      <w:r w:rsidRPr="00BC2B41">
        <w:rPr>
          <w:rFonts w:hint="eastAsia"/>
        </w:rPr>
        <w:t>資料來源：經濟部能源局「能源統計資料查詢系統」</w:t>
      </w:r>
    </w:p>
    <w:p w:rsidR="00BB6E8B" w:rsidRPr="00BB6E8B" w:rsidRDefault="00BB6E8B" w:rsidP="00BB6E8B">
      <w:pPr>
        <w:pStyle w:val="a1"/>
        <w:topLinePunct/>
        <w:autoSpaceDE/>
        <w:spacing w:before="40" w:after="240"/>
        <w:ind w:left="480" w:hanging="480"/>
        <w:rPr>
          <w:color w:val="FF0000"/>
        </w:rPr>
      </w:pPr>
      <w:bookmarkStart w:id="69" w:name="_Toc536451803"/>
      <w:r w:rsidRPr="00BB6E8B">
        <w:rPr>
          <w:rFonts w:hint="eastAsia"/>
          <w:color w:val="FF0000"/>
        </w:rPr>
        <w:t>台電公司各類發電毛發電比</w:t>
      </w:r>
      <w:bookmarkEnd w:id="69"/>
    </w:p>
    <w:p w:rsidR="002F2B97" w:rsidRPr="00BB6E8B" w:rsidRDefault="002F2B97" w:rsidP="002F2B97"/>
    <w:p w:rsidR="005C17A0" w:rsidRPr="00BC2B41" w:rsidRDefault="005C17A0" w:rsidP="005C5DDA">
      <w:pPr>
        <w:overflowPunct w:val="0"/>
        <w:topLinePunct/>
        <w:autoSpaceDN w:val="0"/>
        <w:jc w:val="center"/>
      </w:pPr>
      <w:r w:rsidRPr="00BC2B41">
        <w:rPr>
          <w:noProof/>
        </w:rPr>
        <w:lastRenderedPageBreak/>
        <w:drawing>
          <wp:inline distT="0" distB="0" distL="0" distR="0" wp14:anchorId="21C3428D" wp14:editId="5ADCD2F8">
            <wp:extent cx="4114798" cy="2514600"/>
            <wp:effectExtent l="0" t="0" r="635" b="0"/>
            <wp:docPr id="222" name="圖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42A9C.tmp"/>
                    <pic:cNvPicPr/>
                  </pic:nvPicPr>
                  <pic:blipFill>
                    <a:blip r:embed="rId23">
                      <a:extLst>
                        <a:ext uri="{28A0092B-C50C-407E-A947-70E740481C1C}">
                          <a14:useLocalDpi xmlns:a14="http://schemas.microsoft.com/office/drawing/2010/main" val="0"/>
                        </a:ext>
                      </a:extLst>
                    </a:blip>
                    <a:stretch>
                      <a:fillRect/>
                    </a:stretch>
                  </pic:blipFill>
                  <pic:spPr>
                    <a:xfrm>
                      <a:off x="0" y="0"/>
                      <a:ext cx="4125939" cy="2521408"/>
                    </a:xfrm>
                    <a:prstGeom prst="rect">
                      <a:avLst/>
                    </a:prstGeom>
                  </pic:spPr>
                </pic:pic>
              </a:graphicData>
            </a:graphic>
          </wp:inline>
        </w:drawing>
      </w:r>
    </w:p>
    <w:p w:rsidR="005C17A0" w:rsidRPr="00BC2B41" w:rsidRDefault="005C17A0" w:rsidP="005C5DDA">
      <w:pPr>
        <w:pStyle w:val="aff3"/>
        <w:kinsoku/>
        <w:topLinePunct/>
        <w:autoSpaceDE/>
        <w:spacing w:after="0"/>
      </w:pPr>
      <w:r w:rsidRPr="00BC2B41">
        <w:rPr>
          <w:rFonts w:hint="eastAsia"/>
        </w:rPr>
        <w:t>註：內圈為105年、外圈為106年。</w:t>
      </w:r>
    </w:p>
    <w:p w:rsidR="005C17A0" w:rsidRPr="00BC2B41" w:rsidRDefault="005C17A0" w:rsidP="005C5DDA">
      <w:pPr>
        <w:pStyle w:val="aff3"/>
        <w:kinsoku/>
        <w:topLinePunct/>
        <w:autoSpaceDE/>
        <w:spacing w:afterLines="50" w:after="228"/>
      </w:pPr>
      <w:r w:rsidRPr="00BC2B41">
        <w:rPr>
          <w:rFonts w:hint="eastAsia"/>
        </w:rPr>
        <w:t>資料來源：經濟部能源局「能源統計資料查詢系統」</w:t>
      </w:r>
    </w:p>
    <w:p w:rsidR="005C17A0" w:rsidRPr="00BB6E8B" w:rsidRDefault="005C17A0" w:rsidP="005C5DDA">
      <w:pPr>
        <w:pStyle w:val="a1"/>
        <w:topLinePunct/>
        <w:autoSpaceDE/>
        <w:spacing w:before="40" w:after="240"/>
        <w:ind w:left="480" w:hanging="480"/>
        <w:rPr>
          <w:color w:val="FF0000"/>
        </w:rPr>
      </w:pPr>
      <w:bookmarkStart w:id="70" w:name="_Toc536451802"/>
      <w:r w:rsidRPr="00BB6E8B">
        <w:rPr>
          <w:rFonts w:hint="eastAsia"/>
          <w:color w:val="FF0000"/>
        </w:rPr>
        <w:t>台電、民營電廠、汽電共生及民間太陽光電105~106年毛發電比例</w:t>
      </w:r>
      <w:bookmarkEnd w:id="70"/>
    </w:p>
    <w:p w:rsidR="005C17A0" w:rsidRPr="00BC2B41" w:rsidRDefault="005C17A0" w:rsidP="002F2B97"/>
    <w:p w:rsidR="002F2B97" w:rsidRPr="00BC2B41" w:rsidRDefault="002F2B97" w:rsidP="002F2B97"/>
    <w:p w:rsidR="005C17A0" w:rsidRPr="00BC2B41" w:rsidRDefault="005C17A0" w:rsidP="005C5DDA">
      <w:pPr>
        <w:overflowPunct w:val="0"/>
        <w:topLinePunct/>
        <w:autoSpaceDN w:val="0"/>
        <w:jc w:val="center"/>
      </w:pPr>
      <w:r w:rsidRPr="00BC2B41">
        <w:rPr>
          <w:rFonts w:hint="eastAsia"/>
          <w:noProof/>
        </w:rPr>
        <w:drawing>
          <wp:inline distT="0" distB="0" distL="0" distR="0" wp14:anchorId="1B7FF8A8" wp14:editId="177307F2">
            <wp:extent cx="4924813" cy="2339342"/>
            <wp:effectExtent l="0" t="0" r="9525" b="3810"/>
            <wp:docPr id="224" name="圖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94CDA2.tmp"/>
                    <pic:cNvPicPr/>
                  </pic:nvPicPr>
                  <pic:blipFill>
                    <a:blip r:embed="rId24">
                      <a:extLst>
                        <a:ext uri="{28A0092B-C50C-407E-A947-70E740481C1C}">
                          <a14:useLocalDpi xmlns:a14="http://schemas.microsoft.com/office/drawing/2010/main" val="0"/>
                        </a:ext>
                      </a:extLst>
                    </a:blip>
                    <a:stretch>
                      <a:fillRect/>
                    </a:stretch>
                  </pic:blipFill>
                  <pic:spPr>
                    <a:xfrm>
                      <a:off x="0" y="0"/>
                      <a:ext cx="4940826" cy="2346948"/>
                    </a:xfrm>
                    <a:prstGeom prst="rect">
                      <a:avLst/>
                    </a:prstGeom>
                  </pic:spPr>
                </pic:pic>
              </a:graphicData>
            </a:graphic>
          </wp:inline>
        </w:drawing>
      </w:r>
    </w:p>
    <w:p w:rsidR="005C17A0" w:rsidRPr="00BC2B41" w:rsidRDefault="005C17A0" w:rsidP="001734C9">
      <w:pPr>
        <w:pStyle w:val="aff3"/>
        <w:kinsoku/>
        <w:topLinePunct/>
        <w:autoSpaceDE/>
        <w:ind w:firstLineChars="295" w:firstLine="708"/>
      </w:pPr>
      <w:r w:rsidRPr="00BC2B41">
        <w:rPr>
          <w:rFonts w:hint="eastAsia"/>
        </w:rPr>
        <w:t>資料來源：台電公司。</w:t>
      </w:r>
    </w:p>
    <w:p w:rsidR="005C17A0" w:rsidRPr="00BC2B41" w:rsidRDefault="005C17A0" w:rsidP="005C5DDA">
      <w:pPr>
        <w:pStyle w:val="a1"/>
        <w:topLinePunct/>
        <w:autoSpaceDE/>
        <w:spacing w:before="40" w:after="240"/>
        <w:ind w:left="480" w:hanging="480"/>
      </w:pPr>
      <w:bookmarkStart w:id="71" w:name="_Toc536451804"/>
      <w:r w:rsidRPr="00BC2B41">
        <w:rPr>
          <w:rFonts w:hint="eastAsia"/>
        </w:rPr>
        <w:t>台電公司近5年火力發電化石燃料耗用量</w:t>
      </w:r>
      <w:bookmarkEnd w:id="71"/>
    </w:p>
    <w:p w:rsidR="005C17A0" w:rsidRPr="00BC2B41" w:rsidRDefault="005C17A0" w:rsidP="005C5DDA">
      <w:pPr>
        <w:overflowPunct w:val="0"/>
        <w:topLinePunct/>
        <w:autoSpaceDN w:val="0"/>
      </w:pPr>
    </w:p>
    <w:p w:rsidR="005C17A0" w:rsidRPr="00BC2B41" w:rsidRDefault="005C17A0" w:rsidP="005C5DDA">
      <w:pPr>
        <w:overflowPunct w:val="0"/>
        <w:topLinePunct/>
        <w:autoSpaceDN w:val="0"/>
        <w:jc w:val="center"/>
      </w:pPr>
      <w:r w:rsidRPr="00BC2B41">
        <w:rPr>
          <w:rFonts w:hint="eastAsia"/>
          <w:noProof/>
        </w:rPr>
        <w:lastRenderedPageBreak/>
        <w:drawing>
          <wp:inline distT="0" distB="0" distL="0" distR="0" wp14:anchorId="33048A42" wp14:editId="5038DA6C">
            <wp:extent cx="5140036" cy="2789625"/>
            <wp:effectExtent l="0" t="0" r="3810" b="0"/>
            <wp:docPr id="225" name="圖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78C6FA.tmp"/>
                    <pic:cNvPicPr/>
                  </pic:nvPicPr>
                  <pic:blipFill rotWithShape="1">
                    <a:blip r:embed="rId25">
                      <a:extLst>
                        <a:ext uri="{28A0092B-C50C-407E-A947-70E740481C1C}">
                          <a14:useLocalDpi xmlns:a14="http://schemas.microsoft.com/office/drawing/2010/main" val="0"/>
                        </a:ext>
                      </a:extLst>
                    </a:blip>
                    <a:srcRect t="4956"/>
                    <a:stretch/>
                  </pic:blipFill>
                  <pic:spPr bwMode="auto">
                    <a:xfrm>
                      <a:off x="0" y="0"/>
                      <a:ext cx="5146224" cy="2792983"/>
                    </a:xfrm>
                    <a:prstGeom prst="rect">
                      <a:avLst/>
                    </a:prstGeom>
                    <a:ln>
                      <a:noFill/>
                    </a:ln>
                    <a:extLst>
                      <a:ext uri="{53640926-AAD7-44D8-BBD7-CCE9431645EC}">
                        <a14:shadowObscured xmlns:a14="http://schemas.microsoft.com/office/drawing/2010/main"/>
                      </a:ext>
                    </a:extLst>
                  </pic:spPr>
                </pic:pic>
              </a:graphicData>
            </a:graphic>
          </wp:inline>
        </w:drawing>
      </w:r>
    </w:p>
    <w:p w:rsidR="005C17A0" w:rsidRPr="00BC2B41" w:rsidRDefault="005C17A0" w:rsidP="001734C9">
      <w:pPr>
        <w:pStyle w:val="aff3"/>
        <w:kinsoku/>
        <w:topLinePunct/>
        <w:autoSpaceDE/>
        <w:ind w:firstLineChars="236" w:firstLine="567"/>
      </w:pPr>
      <w:r w:rsidRPr="00BC2B41">
        <w:rPr>
          <w:rFonts w:hint="eastAsia"/>
        </w:rPr>
        <w:t>資料來源：經濟部能源局能源統計月報。</w:t>
      </w:r>
    </w:p>
    <w:p w:rsidR="005C17A0" w:rsidRPr="00BC2B41" w:rsidRDefault="005C17A0" w:rsidP="005C5DDA">
      <w:pPr>
        <w:pStyle w:val="a1"/>
        <w:topLinePunct/>
        <w:autoSpaceDE/>
        <w:spacing w:before="40" w:after="240"/>
        <w:ind w:left="480" w:hanging="480"/>
      </w:pPr>
      <w:bookmarkStart w:id="72" w:name="_Toc536451805"/>
      <w:r w:rsidRPr="00BC2B41">
        <w:rPr>
          <w:rFonts w:hint="eastAsia"/>
        </w:rPr>
        <w:t>台電公司及民營電廠102-106年發電用燃煤量</w:t>
      </w:r>
      <w:bookmarkEnd w:id="72"/>
    </w:p>
    <w:p w:rsidR="005C17A0" w:rsidRPr="00BC2B41" w:rsidRDefault="002F2B97" w:rsidP="005C5DDA">
      <w:pPr>
        <w:pStyle w:val="3"/>
        <w:overflowPunct w:val="0"/>
        <w:topLinePunct/>
        <w:autoSpaceDN w:val="0"/>
        <w:rPr>
          <w:rFonts w:hAnsi="標楷體"/>
          <w:b/>
          <w:szCs w:val="32"/>
        </w:rPr>
      </w:pPr>
      <w:r w:rsidRPr="00BC2B41">
        <w:rPr>
          <w:rFonts w:hAnsi="標楷體" w:hint="eastAsia"/>
          <w:szCs w:val="32"/>
        </w:rPr>
        <w:t>綜上，核四廠1、2號機裝置容量共270萬瓩，占備用容量率約6.5%，依台電公司102年長期電源開發方案（10209案），原訂104、106年7月陸續商轉，卻於103年封存，台電公司電源開發方案（10302案）規劃以火力、再生能源補足其供電缺口，惟經濟部於核四缺口亟需以火力填補、再生能源發電量成長有限情況下，讓運轉中核電機組完成大修後長期處於停機狀態，擴大核電缺口，致火力全開，火力發電占比逐年提高，106年燃煤發電增幅（2.38%）甚至高於燃氣（2.25%），造成嚴重空氣污染，確有違失。</w:t>
      </w:r>
    </w:p>
    <w:p w:rsidR="005C17A0" w:rsidRPr="00BC2B41" w:rsidRDefault="005C17A0" w:rsidP="005C5DDA">
      <w:pPr>
        <w:overflowPunct w:val="0"/>
        <w:topLinePunct/>
        <w:autoSpaceDN w:val="0"/>
      </w:pPr>
    </w:p>
    <w:p w:rsidR="005C17A0" w:rsidRPr="00BC2B41" w:rsidRDefault="005C17A0" w:rsidP="00521141">
      <w:pPr>
        <w:pStyle w:val="2"/>
        <w:rPr>
          <w:b/>
        </w:rPr>
      </w:pPr>
      <w:bookmarkStart w:id="73" w:name="_Toc1477903"/>
      <w:r w:rsidRPr="00BC2B41">
        <w:rPr>
          <w:rFonts w:hint="eastAsia"/>
          <w:b/>
        </w:rPr>
        <w:t>提供可負擔且可預測之能源價格，對於廠商</w:t>
      </w:r>
      <w:r w:rsidR="002F2B97" w:rsidRPr="00BC2B41">
        <w:rPr>
          <w:rFonts w:hint="eastAsia"/>
          <w:b/>
        </w:rPr>
        <w:t>營運</w:t>
      </w:r>
      <w:r w:rsidRPr="00BC2B41">
        <w:rPr>
          <w:rFonts w:hint="eastAsia"/>
          <w:b/>
        </w:rPr>
        <w:t>獲利、長期投資決策及民生物價至關重要，惟經濟部主管全國經濟行政及經濟建設事務，</w:t>
      </w:r>
      <w:r w:rsidR="00521141" w:rsidRPr="00BC2B41">
        <w:rPr>
          <w:rFonts w:hint="eastAsia"/>
          <w:b/>
        </w:rPr>
        <w:t>105年5月宣布新能源政策之前</w:t>
      </w:r>
      <w:r w:rsidRPr="00BC2B41">
        <w:rPr>
          <w:rFonts w:hint="eastAsia"/>
          <w:b/>
        </w:rPr>
        <w:t>，並未評估其對電價之影響，迄106年3月行政院始於</w:t>
      </w:r>
      <w:r w:rsidR="002F2B97" w:rsidRPr="00BC2B41">
        <w:rPr>
          <w:rFonts w:hint="eastAsia"/>
          <w:b/>
        </w:rPr>
        <w:t>「國公營企業體檢小組會議」評估，按台</w:t>
      </w:r>
      <w:r w:rsidR="002F2B97" w:rsidRPr="00BC2B41">
        <w:rPr>
          <w:rFonts w:hint="eastAsia"/>
          <w:b/>
        </w:rPr>
        <w:lastRenderedPageBreak/>
        <w:t>電公司評估結果，估計114年發購電成本將較105年增加約1,499億元，每度分攤成本增加0.5219元（含核四減損金額2,581億元分9年每度分攤金額0.11元，離岸風電年發電量按82.4億度估算，與實際躉購電量141億度有間），顯有違失</w:t>
      </w:r>
      <w:r w:rsidRPr="00BC2B41">
        <w:rPr>
          <w:rFonts w:hint="eastAsia"/>
          <w:b/>
        </w:rPr>
        <w:t>。</w:t>
      </w:r>
      <w:bookmarkEnd w:id="73"/>
    </w:p>
    <w:p w:rsidR="005C17A0" w:rsidRPr="00BC2B41" w:rsidRDefault="002F2B97" w:rsidP="005C5DDA">
      <w:pPr>
        <w:pStyle w:val="3"/>
        <w:overflowPunct w:val="0"/>
        <w:topLinePunct/>
        <w:autoSpaceDN w:val="0"/>
      </w:pPr>
      <w:r w:rsidRPr="00BC2B41">
        <w:rPr>
          <w:rFonts w:hint="eastAsia"/>
        </w:rPr>
        <w:t>提供可負擔且可預測的能源價格，對於工業用戶的營運</w:t>
      </w:r>
      <w:r w:rsidR="005C17A0" w:rsidRPr="00BC2B41">
        <w:rPr>
          <w:rFonts w:hint="eastAsia"/>
        </w:rPr>
        <w:t>獲利與長期投資決策亦至關重要</w:t>
      </w:r>
      <w:r w:rsidR="005C17A0" w:rsidRPr="00BC2B41">
        <w:rPr>
          <w:rStyle w:val="afc"/>
        </w:rPr>
        <w:footnoteReference w:id="29"/>
      </w:r>
      <w:r w:rsidR="005C17A0" w:rsidRPr="00BC2B41">
        <w:rPr>
          <w:rFonts w:hint="eastAsia"/>
        </w:rPr>
        <w:t>，工業用戶必須制定未來數年的生產營運與產能投資規劃，一旦做出決定，便會持續數十年之久，此有美國商會2017年白皮書第86頁在卷可稽。由於經濟部推動西元2025年達成非核家園，規劃燃氣50%、燃煤30%及再生能源20%之電力配比結構時</w:t>
      </w:r>
      <w:r w:rsidR="005C17A0" w:rsidRPr="00BC2B41">
        <w:rPr>
          <w:rFonts w:hint="eastAsia"/>
          <w:vanish/>
        </w:rPr>
        <w:t>(V3)</w:t>
      </w:r>
      <w:r w:rsidR="005C17A0" w:rsidRPr="00BC2B41">
        <w:rPr>
          <w:rFonts w:hint="eastAsia"/>
        </w:rPr>
        <w:t>並未論述對電價之影響，加上經濟部沈榮津部長106年10月18日於立法院經濟委員會備詢時陳稱「到2025年綠能到達20%時，電價每度約會上漲0.5元。」</w:t>
      </w:r>
      <w:r w:rsidR="005C17A0" w:rsidRPr="00BC2B41">
        <w:rPr>
          <w:rStyle w:val="afc"/>
        </w:rPr>
        <w:footnoteReference w:id="30"/>
      </w:r>
      <w:r w:rsidR="005C17A0" w:rsidRPr="00BC2B41">
        <w:rPr>
          <w:rFonts w:hint="eastAsia"/>
        </w:rPr>
        <w:t>，與行政院賴院長同年11月18日稱「未來10年電價上漲不會超過1元」說法不同。後者最高漲幅(40%)，為前者漲幅(20%)之1倍。本院爰於107年2月1日詢問經濟部未來（114年）再生能源發電占20%時之電價漲幅，該部表示：「有關未來電價之變化，依據台電公司估算，以台電公司5%投資報酬率下，參酌立法院104年1月20日審查通過之電價公式推估，預估至2025年每度電價約上漲0.5元</w:t>
      </w:r>
      <w:r w:rsidR="005C17A0" w:rsidRPr="00BC2B41">
        <w:rPr>
          <w:rStyle w:val="afc"/>
        </w:rPr>
        <w:footnoteReference w:id="31"/>
      </w:r>
      <w:r w:rsidR="005C17A0" w:rsidRPr="00BC2B41">
        <w:rPr>
          <w:rFonts w:hint="eastAsia"/>
        </w:rPr>
        <w:t>。」等語。</w:t>
      </w:r>
    </w:p>
    <w:p w:rsidR="005C17A0" w:rsidRPr="00BC2B41" w:rsidRDefault="005C17A0" w:rsidP="005C5DDA">
      <w:pPr>
        <w:pStyle w:val="3"/>
        <w:overflowPunct w:val="0"/>
        <w:topLinePunct/>
        <w:autoSpaceDN w:val="0"/>
      </w:pPr>
      <w:r w:rsidRPr="00BC2B41">
        <w:rPr>
          <w:rFonts w:hint="eastAsia"/>
        </w:rPr>
        <w:t>為究明114年電價漲幅，本院請台電公司說明估算資料，經經濟部同意，台電公司表示相關估算資料係出自106年3月21日行政院國公營企業體檢小組</w:t>
      </w:r>
      <w:r w:rsidRPr="00BC2B41">
        <w:rPr>
          <w:rFonts w:hint="eastAsia"/>
        </w:rPr>
        <w:lastRenderedPageBreak/>
        <w:t>會議簡報：台電公司重要議題檢討追蹤報告-「短中長期穩定供電策略及長期財務規劃」，簡報第21頁(對電價之影響)載述:「影響電價之假設條件及變數眾多，茲依據下列假設</w:t>
      </w:r>
      <w:r w:rsidRPr="00BC2B41">
        <w:rPr>
          <w:rStyle w:val="afc"/>
        </w:rPr>
        <w:footnoteReference w:id="32"/>
      </w:r>
      <w:r w:rsidRPr="00BC2B41">
        <w:rPr>
          <w:rFonts w:hint="eastAsia"/>
        </w:rPr>
        <w:t>進行電價試算，2025年平均每度電價約為3.0515元，將較2016年每度電價2.5488元上漲0.5027元(含核四減損影響約0.11元</w:t>
      </w:r>
      <w:r w:rsidRPr="00BC2B41">
        <w:rPr>
          <w:rStyle w:val="afc"/>
        </w:rPr>
        <w:footnoteReference w:id="33"/>
      </w:r>
      <w:r w:rsidRPr="00BC2B41">
        <w:rPr>
          <w:rFonts w:hint="eastAsia"/>
        </w:rPr>
        <w:t>)，漲幅約19.72%。」等語(下稱114年國公營體檢預估)。由於該簡報資料係台電公司製作，本院再請台電公司說明其試算內涵，該公司說明如下：</w:t>
      </w:r>
    </w:p>
    <w:p w:rsidR="005C17A0" w:rsidRPr="00BC2B41" w:rsidRDefault="005C17A0" w:rsidP="005C5DDA">
      <w:pPr>
        <w:pStyle w:val="4"/>
        <w:overflowPunct w:val="0"/>
        <w:topLinePunct/>
        <w:autoSpaceDN w:val="0"/>
      </w:pPr>
      <w:r w:rsidRPr="00BC2B41">
        <w:rPr>
          <w:rFonts w:hint="eastAsia"/>
        </w:rPr>
        <w:t>台電公司107年4月17日說明其自發電、購電估算基礎如表</w:t>
      </w:r>
      <w:r w:rsidR="007E709A" w:rsidRPr="00BC2B41">
        <w:rPr>
          <w:rFonts w:hint="eastAsia"/>
        </w:rPr>
        <w:t>7</w:t>
      </w:r>
      <w:r w:rsidRPr="00BC2B41">
        <w:rPr>
          <w:rFonts w:hint="eastAsia"/>
        </w:rPr>
        <w:t>(自發電燃料別比較</w:t>
      </w:r>
      <w:r w:rsidRPr="00BC2B41">
        <w:rPr>
          <w:rStyle w:val="afc"/>
        </w:rPr>
        <w:footnoteReference w:id="34"/>
      </w:r>
      <w:r w:rsidRPr="00BC2B41">
        <w:rPr>
          <w:rFonts w:hint="eastAsia"/>
        </w:rPr>
        <w:t>)、表</w:t>
      </w:r>
      <w:r w:rsidR="007E709A" w:rsidRPr="00BC2B41">
        <w:rPr>
          <w:rFonts w:hint="eastAsia"/>
        </w:rPr>
        <w:t>8</w:t>
      </w:r>
      <w:r w:rsidRPr="00BC2B41">
        <w:rPr>
          <w:rFonts w:hint="eastAsia"/>
        </w:rPr>
        <w:t>(購入電力燃料別比較)。其中，表</w:t>
      </w:r>
      <w:r w:rsidR="007E709A" w:rsidRPr="00BC2B41">
        <w:rPr>
          <w:rFonts w:hint="eastAsia"/>
        </w:rPr>
        <w:t>7</w:t>
      </w:r>
      <w:r w:rsidRPr="00BC2B41">
        <w:rPr>
          <w:rFonts w:hint="eastAsia"/>
        </w:rPr>
        <w:t>按台電公司自發電燃料別比較「105年上半年電價調整案</w:t>
      </w:r>
      <w:r w:rsidRPr="00BC2B41">
        <w:rPr>
          <w:rStyle w:val="afc"/>
        </w:rPr>
        <w:footnoteReference w:id="35"/>
      </w:r>
      <w:r w:rsidRPr="00BC2B41">
        <w:rPr>
          <w:rFonts w:hint="eastAsia"/>
        </w:rPr>
        <w:t>」與「114年國公營體檢預估」電價，表</w:t>
      </w:r>
      <w:r w:rsidR="007E709A" w:rsidRPr="00BC2B41">
        <w:rPr>
          <w:rFonts w:hint="eastAsia"/>
        </w:rPr>
        <w:t>8</w:t>
      </w:r>
      <w:r w:rsidRPr="00BC2B41">
        <w:rPr>
          <w:rFonts w:hint="eastAsia"/>
        </w:rPr>
        <w:t>則為購電成本差異。與「105上半年電價調整案」(售電量2,085.52億度)相較，「114年國公營體檢預估」(售電量2,402.96億度)台電公司114年自發電燃料支出減少175.5億元</w:t>
      </w:r>
      <w:r w:rsidRPr="00BC2B41">
        <w:rPr>
          <w:rStyle w:val="afc"/>
        </w:rPr>
        <w:footnoteReference w:id="36"/>
      </w:r>
      <w:r w:rsidRPr="00BC2B41">
        <w:rPr>
          <w:rFonts w:hint="eastAsia"/>
        </w:rPr>
        <w:t>(主要為燃油發電減少)，相當於</w:t>
      </w:r>
      <w:r w:rsidRPr="00BC2B41">
        <w:rPr>
          <w:rFonts w:hint="eastAsia"/>
        </w:rPr>
        <w:lastRenderedPageBreak/>
        <w:t>每度減少0.2124元</w:t>
      </w:r>
      <w:r w:rsidRPr="00BC2B41">
        <w:rPr>
          <w:rStyle w:val="afc"/>
        </w:rPr>
        <w:footnoteReference w:id="37"/>
      </w:r>
      <w:r w:rsidRPr="00BC2B41">
        <w:rPr>
          <w:rFonts w:hint="eastAsia"/>
        </w:rPr>
        <w:t>；而114年之購電支出，則因太陽光電、離岸風電、燃氣購電量增加，大幅增加1,674.8億元</w:t>
      </w:r>
      <w:r w:rsidRPr="00BC2B41">
        <w:rPr>
          <w:rStyle w:val="afc"/>
        </w:rPr>
        <w:footnoteReference w:id="38"/>
      </w:r>
      <w:r w:rsidRPr="00BC2B41">
        <w:rPr>
          <w:rFonts w:hint="eastAsia"/>
        </w:rPr>
        <w:t>，每度分攤成本增加0.6243元</w:t>
      </w:r>
      <w:r w:rsidRPr="00BC2B41">
        <w:rPr>
          <w:rStyle w:val="afc"/>
        </w:rPr>
        <w:footnoteReference w:id="39"/>
      </w:r>
      <w:r w:rsidRPr="00BC2B41">
        <w:rPr>
          <w:rFonts w:hint="eastAsia"/>
        </w:rPr>
        <w:t>。</w:t>
      </w:r>
      <w:r w:rsidRPr="00BC2B41">
        <w:rPr>
          <w:rFonts w:hint="eastAsia"/>
          <w:u w:val="single"/>
        </w:rPr>
        <w:t>合計114年之發購電成本支出，較105上半年電價調整案，增加1,499.3億元</w:t>
      </w:r>
      <w:r w:rsidRPr="00BC2B41">
        <w:rPr>
          <w:rStyle w:val="afc"/>
          <w:u w:val="single"/>
        </w:rPr>
        <w:footnoteReference w:id="40"/>
      </w:r>
      <w:r w:rsidRPr="00BC2B41">
        <w:rPr>
          <w:rFonts w:hint="eastAsia"/>
          <w:u w:val="single"/>
        </w:rPr>
        <w:t>，每度分攤成本增加0.4119元</w:t>
      </w:r>
      <w:r w:rsidRPr="00BC2B41">
        <w:rPr>
          <w:rStyle w:val="afc"/>
          <w:u w:val="single"/>
        </w:rPr>
        <w:footnoteReference w:id="41"/>
      </w:r>
      <w:r w:rsidRPr="00BC2B41">
        <w:rPr>
          <w:rFonts w:hint="eastAsia"/>
          <w:u w:val="single"/>
        </w:rPr>
        <w:t>(不含核四減損0.11元/度)</w:t>
      </w:r>
      <w:r w:rsidRPr="00BC2B41">
        <w:rPr>
          <w:rFonts w:hint="eastAsia"/>
        </w:rPr>
        <w:t>。</w:t>
      </w:r>
    </w:p>
    <w:p w:rsidR="005C17A0" w:rsidRPr="00BC2B41" w:rsidRDefault="005C17A0" w:rsidP="005C5DDA">
      <w:pPr>
        <w:pStyle w:val="a3"/>
        <w:kinsoku/>
        <w:topLinePunct/>
        <w:autoSpaceDE/>
        <w:ind w:left="0" w:firstLine="0"/>
        <w:jc w:val="center"/>
      </w:pPr>
      <w:bookmarkStart w:id="74" w:name="_Toc536451843"/>
      <w:r w:rsidRPr="00BC2B41">
        <w:rPr>
          <w:rFonts w:hint="eastAsia"/>
        </w:rPr>
        <w:t>台電公司提供自發電燃料別比較</w:t>
      </w:r>
      <w:bookmarkEnd w:id="74"/>
    </w:p>
    <w:p w:rsidR="005C17A0" w:rsidRPr="00BC2B41" w:rsidRDefault="005C17A0" w:rsidP="005C5DDA">
      <w:pPr>
        <w:overflowPunct w:val="0"/>
        <w:topLinePunct/>
        <w:autoSpaceDN w:val="0"/>
      </w:pPr>
      <w:r w:rsidRPr="00BC2B41">
        <w:rPr>
          <w:rFonts w:hint="eastAsia"/>
          <w:noProof/>
        </w:rPr>
        <mc:AlternateContent>
          <mc:Choice Requires="wps">
            <w:drawing>
              <wp:anchor distT="0" distB="0" distL="114300" distR="114300" simplePos="0" relativeHeight="251703296" behindDoc="0" locked="0" layoutInCell="1" allowOverlap="1" wp14:anchorId="30202FE9" wp14:editId="5DDACCD8">
                <wp:simplePos x="0" y="0"/>
                <wp:positionH relativeFrom="column">
                  <wp:posOffset>3991449</wp:posOffset>
                </wp:positionH>
                <wp:positionV relativeFrom="paragraph">
                  <wp:posOffset>545901</wp:posOffset>
                </wp:positionV>
                <wp:extent cx="600501" cy="115570"/>
                <wp:effectExtent l="0" t="0" r="28575" b="17780"/>
                <wp:wrapNone/>
                <wp:docPr id="36" name="矩形 36"/>
                <wp:cNvGraphicFramePr/>
                <a:graphic xmlns:a="http://schemas.openxmlformats.org/drawingml/2006/main">
                  <a:graphicData uri="http://schemas.microsoft.com/office/word/2010/wordprocessingShape">
                    <wps:wsp>
                      <wps:cNvSpPr/>
                      <wps:spPr>
                        <a:xfrm>
                          <a:off x="0" y="0"/>
                          <a:ext cx="600501" cy="1155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93B3F8" id="矩形 36" o:spid="_x0000_s1026" style="position:absolute;margin-left:314.3pt;margin-top:43pt;width:47.3pt;height:9.1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" filled="f" strokecolor="#243f60 [1604]" strokeweight="2pt"/>
            </w:pict>
          </mc:Fallback>
        </mc:AlternateContent>
      </w:r>
      <w:r w:rsidRPr="00BC2B41">
        <w:rPr>
          <w:rFonts w:hint="eastAsia"/>
          <w:noProof/>
        </w:rPr>
        <mc:AlternateContent>
          <mc:Choice Requires="wps">
            <w:drawing>
              <wp:anchor distT="0" distB="0" distL="114300" distR="114300" simplePos="0" relativeHeight="251702272" behindDoc="0" locked="0" layoutInCell="1" allowOverlap="1" wp14:anchorId="2DF15416" wp14:editId="1E338CC3">
                <wp:simplePos x="0" y="0"/>
                <wp:positionH relativeFrom="column">
                  <wp:posOffset>2155825</wp:posOffset>
                </wp:positionH>
                <wp:positionV relativeFrom="paragraph">
                  <wp:posOffset>545901</wp:posOffset>
                </wp:positionV>
                <wp:extent cx="477672" cy="116006"/>
                <wp:effectExtent l="0" t="0" r="17780" b="17780"/>
                <wp:wrapNone/>
                <wp:docPr id="33" name="矩形 33"/>
                <wp:cNvGraphicFramePr/>
                <a:graphic xmlns:a="http://schemas.openxmlformats.org/drawingml/2006/main">
                  <a:graphicData uri="http://schemas.microsoft.com/office/word/2010/wordprocessingShape">
                    <wps:wsp>
                      <wps:cNvSpPr/>
                      <wps:spPr>
                        <a:xfrm>
                          <a:off x="0" y="0"/>
                          <a:ext cx="477672" cy="1160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5C5EAE" id="矩形 33" o:spid="_x0000_s1026" style="position:absolute;margin-left:169.75pt;margin-top:43pt;width:37.6pt;height:9.1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" filled="f" strokecolor="#243f60 [1604]" strokeweight="2pt"/>
            </w:pict>
          </mc:Fallback>
        </mc:AlternateContent>
      </w:r>
      <w:r w:rsidRPr="00BC2B41">
        <w:rPr>
          <w:rFonts w:hint="eastAsia"/>
          <w:noProof/>
        </w:rPr>
        <mc:AlternateContent>
          <mc:Choice Requires="wps">
            <w:drawing>
              <wp:anchor distT="0" distB="0" distL="114300" distR="114300" simplePos="0" relativeHeight="251693056" behindDoc="0" locked="0" layoutInCell="1" allowOverlap="1" wp14:anchorId="3AABD43B" wp14:editId="6CF9A888">
                <wp:simplePos x="0" y="0"/>
                <wp:positionH relativeFrom="column">
                  <wp:posOffset>2633345</wp:posOffset>
                </wp:positionH>
                <wp:positionV relativeFrom="paragraph">
                  <wp:posOffset>1179558</wp:posOffset>
                </wp:positionV>
                <wp:extent cx="387350" cy="363855"/>
                <wp:effectExtent l="0" t="0" r="12700" b="17145"/>
                <wp:wrapNone/>
                <wp:docPr id="18" name="矩形 18"/>
                <wp:cNvGraphicFramePr/>
                <a:graphic xmlns:a="http://schemas.openxmlformats.org/drawingml/2006/main">
                  <a:graphicData uri="http://schemas.microsoft.com/office/word/2010/wordprocessingShape">
                    <wps:wsp>
                      <wps:cNvSpPr/>
                      <wps:spPr>
                        <a:xfrm>
                          <a:off x="0" y="0"/>
                          <a:ext cx="387350" cy="363855"/>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ED007" id="矩形 18" o:spid="_x0000_s1026" style="position:absolute;margin-left:207.35pt;margin-top:92.9pt;width:30.5pt;height:28.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" filled="f" strokecolor="#1f497d [3215]" strokeweight="1.5pt"/>
            </w:pict>
          </mc:Fallback>
        </mc:AlternateContent>
      </w:r>
      <w:r w:rsidRPr="00BC2B41">
        <w:rPr>
          <w:rFonts w:hint="eastAsia"/>
          <w:noProof/>
        </w:rPr>
        <mc:AlternateContent>
          <mc:Choice Requires="wps">
            <w:drawing>
              <wp:anchor distT="0" distB="0" distL="114300" distR="114300" simplePos="0" relativeHeight="251694080" behindDoc="0" locked="0" layoutInCell="1" allowOverlap="1" wp14:anchorId="40C36616" wp14:editId="23303D6D">
                <wp:simplePos x="0" y="0"/>
                <wp:positionH relativeFrom="column">
                  <wp:posOffset>4590052</wp:posOffset>
                </wp:positionH>
                <wp:positionV relativeFrom="paragraph">
                  <wp:posOffset>1175385</wp:posOffset>
                </wp:positionV>
                <wp:extent cx="387350" cy="363855"/>
                <wp:effectExtent l="0" t="0" r="12700" b="17145"/>
                <wp:wrapNone/>
                <wp:docPr id="20" name="矩形 20"/>
                <wp:cNvGraphicFramePr/>
                <a:graphic xmlns:a="http://schemas.openxmlformats.org/drawingml/2006/main">
                  <a:graphicData uri="http://schemas.microsoft.com/office/word/2010/wordprocessingShape">
                    <wps:wsp>
                      <wps:cNvSpPr/>
                      <wps:spPr>
                        <a:xfrm>
                          <a:off x="0" y="0"/>
                          <a:ext cx="387350" cy="363855"/>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C0218" id="矩形 20" o:spid="_x0000_s1026" style="position:absolute;margin-left:361.4pt;margin-top:92.55pt;width:30.5pt;height:28.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" filled="f" strokecolor="#1f497d [3215]" strokeweight="1.5pt"/>
            </w:pict>
          </mc:Fallback>
        </mc:AlternateContent>
      </w:r>
      <w:r w:rsidRPr="00BC2B41">
        <w:rPr>
          <w:rFonts w:hint="eastAsia"/>
          <w:noProof/>
        </w:rPr>
        <mc:AlternateContent>
          <mc:Choice Requires="wps">
            <w:drawing>
              <wp:anchor distT="0" distB="0" distL="114300" distR="114300" simplePos="0" relativeHeight="251687936" behindDoc="0" locked="0" layoutInCell="1" allowOverlap="1" wp14:anchorId="0CB13380" wp14:editId="0511721F">
                <wp:simplePos x="0" y="0"/>
                <wp:positionH relativeFrom="column">
                  <wp:posOffset>4988560</wp:posOffset>
                </wp:positionH>
                <wp:positionV relativeFrom="paragraph">
                  <wp:posOffset>1427208</wp:posOffset>
                </wp:positionV>
                <wp:extent cx="560705" cy="114935"/>
                <wp:effectExtent l="0" t="0" r="10795" b="18415"/>
                <wp:wrapNone/>
                <wp:docPr id="10" name="矩形 10"/>
                <wp:cNvGraphicFramePr/>
                <a:graphic xmlns:a="http://schemas.openxmlformats.org/drawingml/2006/main">
                  <a:graphicData uri="http://schemas.microsoft.com/office/word/2010/wordprocessingShape">
                    <wps:wsp>
                      <wps:cNvSpPr/>
                      <wps:spPr>
                        <a:xfrm>
                          <a:off x="0" y="0"/>
                          <a:ext cx="560705" cy="114935"/>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EC38F1" id="矩形 10" o:spid="_x0000_s1026" style="position:absolute;margin-left:392.8pt;margin-top:112.4pt;width:44.15pt;height:9.0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" filled="f" strokecolor="#1f497d [3215]" strokeweight="1.5pt"/>
            </w:pict>
          </mc:Fallback>
        </mc:AlternateContent>
      </w:r>
      <w:r w:rsidRPr="00BC2B41">
        <w:rPr>
          <w:rFonts w:hint="eastAsia"/>
          <w:noProof/>
        </w:rPr>
        <mc:AlternateContent>
          <mc:Choice Requires="wps">
            <w:drawing>
              <wp:anchor distT="0" distB="0" distL="114300" distR="114300" simplePos="0" relativeHeight="251686912" behindDoc="0" locked="0" layoutInCell="1" allowOverlap="1" wp14:anchorId="0953C0B8" wp14:editId="6D1501D2">
                <wp:simplePos x="0" y="0"/>
                <wp:positionH relativeFrom="column">
                  <wp:posOffset>4988560</wp:posOffset>
                </wp:positionH>
                <wp:positionV relativeFrom="paragraph">
                  <wp:posOffset>1175443</wp:posOffset>
                </wp:positionV>
                <wp:extent cx="561109" cy="115200"/>
                <wp:effectExtent l="0" t="0" r="10795" b="18415"/>
                <wp:wrapNone/>
                <wp:docPr id="5" name="矩形 5"/>
                <wp:cNvGraphicFramePr/>
                <a:graphic xmlns:a="http://schemas.openxmlformats.org/drawingml/2006/main">
                  <a:graphicData uri="http://schemas.microsoft.com/office/word/2010/wordprocessingShape">
                    <wps:wsp>
                      <wps:cNvSpPr/>
                      <wps:spPr>
                        <a:xfrm>
                          <a:off x="0" y="0"/>
                          <a:ext cx="561109" cy="115200"/>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2FD30A" id="矩形 5" o:spid="_x0000_s1026" style="position:absolute;margin-left:392.8pt;margin-top:92.55pt;width:44.2pt;height:9.0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" filled="f" strokecolor="#1f497d [3215]" strokeweight="1.5pt"/>
            </w:pict>
          </mc:Fallback>
        </mc:AlternateContent>
      </w:r>
      <w:r w:rsidRPr="00BC2B41">
        <w:rPr>
          <w:rFonts w:hint="eastAsia"/>
          <w:noProof/>
        </w:rPr>
        <w:drawing>
          <wp:inline distT="0" distB="0" distL="0" distR="0" wp14:anchorId="59F3D138" wp14:editId="79AE3BD0">
            <wp:extent cx="5590309" cy="1641763"/>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81739.tmp"/>
                    <pic:cNvPicPr/>
                  </pic:nvPicPr>
                  <pic:blipFill>
                    <a:blip r:embed="rId26">
                      <a:extLst>
                        <a:ext uri="{28A0092B-C50C-407E-A947-70E740481C1C}">
                          <a14:useLocalDpi xmlns:a14="http://schemas.microsoft.com/office/drawing/2010/main" val="0"/>
                        </a:ext>
                      </a:extLst>
                    </a:blip>
                    <a:stretch>
                      <a:fillRect/>
                    </a:stretch>
                  </pic:blipFill>
                  <pic:spPr>
                    <a:xfrm>
                      <a:off x="0" y="0"/>
                      <a:ext cx="5591731" cy="1642181"/>
                    </a:xfrm>
                    <a:prstGeom prst="rect">
                      <a:avLst/>
                    </a:prstGeom>
                  </pic:spPr>
                </pic:pic>
              </a:graphicData>
            </a:graphic>
          </wp:inline>
        </w:drawing>
      </w:r>
    </w:p>
    <w:p w:rsidR="005C17A0" w:rsidRPr="00BC2B41" w:rsidRDefault="005C17A0" w:rsidP="005C5DDA">
      <w:pPr>
        <w:pStyle w:val="aff3"/>
        <w:kinsoku/>
        <w:topLinePunct/>
        <w:autoSpaceDE/>
        <w:spacing w:before="0" w:after="0" w:line="240" w:lineRule="auto"/>
        <w:jc w:val="left"/>
        <w:rPr>
          <w:szCs w:val="24"/>
        </w:rPr>
      </w:pPr>
      <w:r w:rsidRPr="00BC2B41">
        <w:rPr>
          <w:rFonts w:hint="eastAsia"/>
          <w:szCs w:val="24"/>
        </w:rPr>
        <w:t>資料來源：台電公司</w:t>
      </w:r>
    </w:p>
    <w:p w:rsidR="005C17A0" w:rsidRPr="00BC2B41" w:rsidRDefault="005C17A0" w:rsidP="005C5DDA">
      <w:pPr>
        <w:pStyle w:val="a3"/>
        <w:kinsoku/>
        <w:topLinePunct/>
        <w:autoSpaceDE/>
        <w:ind w:left="0" w:firstLine="0"/>
        <w:jc w:val="center"/>
      </w:pPr>
      <w:bookmarkStart w:id="75" w:name="_Toc536451844"/>
      <w:r w:rsidRPr="00BC2B41">
        <w:rPr>
          <w:rFonts w:hint="eastAsia"/>
        </w:rPr>
        <w:lastRenderedPageBreak/>
        <w:t>台電公司提供購入電力燃料別比較</w:t>
      </w:r>
      <w:bookmarkEnd w:id="75"/>
    </w:p>
    <w:p w:rsidR="005C17A0" w:rsidRPr="00BC2B41" w:rsidRDefault="005C17A0" w:rsidP="005C5DDA">
      <w:pPr>
        <w:overflowPunct w:val="0"/>
        <w:topLinePunct/>
        <w:autoSpaceDN w:val="0"/>
      </w:pPr>
      <w:r w:rsidRPr="00BC2B41">
        <w:rPr>
          <w:rFonts w:hint="eastAsia"/>
          <w:noProof/>
        </w:rPr>
        <mc:AlternateContent>
          <mc:Choice Requires="wps">
            <w:drawing>
              <wp:anchor distT="0" distB="0" distL="114300" distR="114300" simplePos="0" relativeHeight="251704320" behindDoc="0" locked="0" layoutInCell="1" allowOverlap="1" wp14:anchorId="2C399F0A" wp14:editId="3996FB81">
                <wp:simplePos x="0" y="0"/>
                <wp:positionH relativeFrom="column">
                  <wp:posOffset>1992895</wp:posOffset>
                </wp:positionH>
                <wp:positionV relativeFrom="paragraph">
                  <wp:posOffset>576552</wp:posOffset>
                </wp:positionV>
                <wp:extent cx="566382" cy="231775"/>
                <wp:effectExtent l="0" t="0" r="24765" b="15875"/>
                <wp:wrapNone/>
                <wp:docPr id="1" name="矩形 1"/>
                <wp:cNvGraphicFramePr/>
                <a:graphic xmlns:a="http://schemas.openxmlformats.org/drawingml/2006/main">
                  <a:graphicData uri="http://schemas.microsoft.com/office/word/2010/wordprocessingShape">
                    <wps:wsp>
                      <wps:cNvSpPr/>
                      <wps:spPr>
                        <a:xfrm>
                          <a:off x="0" y="0"/>
                          <a:ext cx="566382" cy="231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544CFF" id="矩形 1" o:spid="_x0000_s1026" style="position:absolute;margin-left:156.9pt;margin-top:45.4pt;width:44.6pt;height:18.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" filled="f" strokecolor="#243f60 [1604]" strokeweight="2pt"/>
            </w:pict>
          </mc:Fallback>
        </mc:AlternateContent>
      </w:r>
      <w:r w:rsidRPr="00BC2B41">
        <w:rPr>
          <w:rFonts w:hint="eastAsia"/>
          <w:noProof/>
        </w:rPr>
        <mc:AlternateContent>
          <mc:Choice Requires="wps">
            <w:drawing>
              <wp:anchor distT="0" distB="0" distL="114300" distR="114300" simplePos="0" relativeHeight="251701248" behindDoc="0" locked="0" layoutInCell="1" allowOverlap="1" wp14:anchorId="703B5888" wp14:editId="2FC03CFD">
                <wp:simplePos x="0" y="0"/>
                <wp:positionH relativeFrom="column">
                  <wp:posOffset>3610155</wp:posOffset>
                </wp:positionH>
                <wp:positionV relativeFrom="paragraph">
                  <wp:posOffset>576552</wp:posOffset>
                </wp:positionV>
                <wp:extent cx="586854" cy="232012"/>
                <wp:effectExtent l="0" t="0" r="22860" b="15875"/>
                <wp:wrapNone/>
                <wp:docPr id="32" name="矩形 32"/>
                <wp:cNvGraphicFramePr/>
                <a:graphic xmlns:a="http://schemas.openxmlformats.org/drawingml/2006/main">
                  <a:graphicData uri="http://schemas.microsoft.com/office/word/2010/wordprocessingShape">
                    <wps:wsp>
                      <wps:cNvSpPr/>
                      <wps:spPr>
                        <a:xfrm>
                          <a:off x="0" y="0"/>
                          <a:ext cx="586854" cy="23201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01E778" id="矩形 32" o:spid="_x0000_s1026" style="position:absolute;margin-left:284.25pt;margin-top:45.4pt;width:46.2pt;height:18.2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" filled="f" strokecolor="#243f60 [1604]" strokeweight="2pt"/>
            </w:pict>
          </mc:Fallback>
        </mc:AlternateContent>
      </w:r>
      <w:r w:rsidRPr="00BC2B41">
        <w:rPr>
          <w:rFonts w:hint="eastAsia"/>
          <w:noProof/>
        </w:rPr>
        <mc:AlternateContent>
          <mc:Choice Requires="wps">
            <w:drawing>
              <wp:anchor distT="0" distB="0" distL="114300" distR="114300" simplePos="0" relativeHeight="251699200" behindDoc="0" locked="0" layoutInCell="1" allowOverlap="1" wp14:anchorId="7CF078D1" wp14:editId="3057F1FF">
                <wp:simplePos x="0" y="0"/>
                <wp:positionH relativeFrom="column">
                  <wp:posOffset>-521</wp:posOffset>
                </wp:positionH>
                <wp:positionV relativeFrom="paragraph">
                  <wp:posOffset>1605688</wp:posOffset>
                </wp:positionV>
                <wp:extent cx="5548961" cy="129653"/>
                <wp:effectExtent l="0" t="0" r="13970" b="22860"/>
                <wp:wrapNone/>
                <wp:docPr id="30" name="矩形 30"/>
                <wp:cNvGraphicFramePr/>
                <a:graphic xmlns:a="http://schemas.openxmlformats.org/drawingml/2006/main">
                  <a:graphicData uri="http://schemas.microsoft.com/office/word/2010/wordprocessingShape">
                    <wps:wsp>
                      <wps:cNvSpPr/>
                      <wps:spPr>
                        <a:xfrm>
                          <a:off x="0" y="0"/>
                          <a:ext cx="5548961" cy="12965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6AB7EC" id="矩形 30" o:spid="_x0000_s1026" style="position:absolute;margin-left:-.05pt;margin-top:126.45pt;width:436.95pt;height:10.2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" filled="f" strokecolor="#243f60 [1604]" strokeweight="2pt"/>
            </w:pict>
          </mc:Fallback>
        </mc:AlternateContent>
      </w:r>
      <w:r w:rsidRPr="00BC2B41">
        <w:rPr>
          <w:rFonts w:hint="eastAsia"/>
          <w:noProof/>
        </w:rPr>
        <mc:AlternateContent>
          <mc:Choice Requires="wps">
            <w:drawing>
              <wp:anchor distT="0" distB="0" distL="114300" distR="114300" simplePos="0" relativeHeight="251696128" behindDoc="0" locked="0" layoutInCell="1" allowOverlap="1" wp14:anchorId="38EB9815" wp14:editId="41362C4E">
                <wp:simplePos x="0" y="0"/>
                <wp:positionH relativeFrom="column">
                  <wp:posOffset>4199370</wp:posOffset>
                </wp:positionH>
                <wp:positionV relativeFrom="paragraph">
                  <wp:posOffset>2114377</wp:posOffset>
                </wp:positionV>
                <wp:extent cx="637310" cy="382039"/>
                <wp:effectExtent l="0" t="0" r="10795" b="18415"/>
                <wp:wrapNone/>
                <wp:docPr id="3" name="矩形 3"/>
                <wp:cNvGraphicFramePr/>
                <a:graphic xmlns:a="http://schemas.openxmlformats.org/drawingml/2006/main">
                  <a:graphicData uri="http://schemas.microsoft.com/office/word/2010/wordprocessingShape">
                    <wps:wsp>
                      <wps:cNvSpPr/>
                      <wps:spPr>
                        <a:xfrm>
                          <a:off x="0" y="0"/>
                          <a:ext cx="637310" cy="382039"/>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475E8" id="矩形 3" o:spid="_x0000_s1026" style="position:absolute;margin-left:330.65pt;margin-top:166.5pt;width:50.2pt;height:30.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" filled="f" strokecolor="#1f497d [3215]" strokeweight="1.5pt"/>
            </w:pict>
          </mc:Fallback>
        </mc:AlternateContent>
      </w:r>
      <w:r w:rsidRPr="00BC2B41">
        <w:rPr>
          <w:rFonts w:hint="eastAsia"/>
          <w:noProof/>
        </w:rPr>
        <mc:AlternateContent>
          <mc:Choice Requires="wps">
            <w:drawing>
              <wp:anchor distT="0" distB="0" distL="114300" distR="114300" simplePos="0" relativeHeight="251695104" behindDoc="0" locked="0" layoutInCell="1" allowOverlap="1" wp14:anchorId="564E7B89" wp14:editId="1BE61063">
                <wp:simplePos x="0" y="0"/>
                <wp:positionH relativeFrom="column">
                  <wp:posOffset>2557607</wp:posOffset>
                </wp:positionH>
                <wp:positionV relativeFrom="paragraph">
                  <wp:posOffset>2114377</wp:posOffset>
                </wp:positionV>
                <wp:extent cx="574963" cy="382039"/>
                <wp:effectExtent l="0" t="0" r="15875" b="18415"/>
                <wp:wrapNone/>
                <wp:docPr id="21" name="矩形 21"/>
                <wp:cNvGraphicFramePr/>
                <a:graphic xmlns:a="http://schemas.openxmlformats.org/drawingml/2006/main">
                  <a:graphicData uri="http://schemas.microsoft.com/office/word/2010/wordprocessingShape">
                    <wps:wsp>
                      <wps:cNvSpPr/>
                      <wps:spPr>
                        <a:xfrm>
                          <a:off x="0" y="0"/>
                          <a:ext cx="574963" cy="382039"/>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8E3D7" id="矩形 21" o:spid="_x0000_s1026" style="position:absolute;margin-left:201.4pt;margin-top:166.5pt;width:45.25pt;height:30.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" filled="f" strokecolor="#1f497d [3215]" strokeweight="1.5pt"/>
            </w:pict>
          </mc:Fallback>
        </mc:AlternateContent>
      </w:r>
      <w:r w:rsidRPr="00BC2B41">
        <w:rPr>
          <w:rFonts w:hint="eastAsia"/>
          <w:noProof/>
        </w:rPr>
        <mc:AlternateContent>
          <mc:Choice Requires="wps">
            <w:drawing>
              <wp:anchor distT="0" distB="0" distL="114300" distR="114300" simplePos="0" relativeHeight="251689984" behindDoc="0" locked="0" layoutInCell="1" allowOverlap="1" wp14:anchorId="640F62BB" wp14:editId="3D4B85B0">
                <wp:simplePos x="0" y="0"/>
                <wp:positionH relativeFrom="column">
                  <wp:posOffset>4836160</wp:posOffset>
                </wp:positionH>
                <wp:positionV relativeFrom="paragraph">
                  <wp:posOffset>2368492</wp:posOffset>
                </wp:positionV>
                <wp:extent cx="713105" cy="126000"/>
                <wp:effectExtent l="0" t="0" r="10795" b="26670"/>
                <wp:wrapNone/>
                <wp:docPr id="12" name="矩形 12"/>
                <wp:cNvGraphicFramePr/>
                <a:graphic xmlns:a="http://schemas.openxmlformats.org/drawingml/2006/main">
                  <a:graphicData uri="http://schemas.microsoft.com/office/word/2010/wordprocessingShape">
                    <wps:wsp>
                      <wps:cNvSpPr/>
                      <wps:spPr>
                        <a:xfrm>
                          <a:off x="0" y="0"/>
                          <a:ext cx="713105" cy="126000"/>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F74C4" id="矩形 12" o:spid="_x0000_s1026" style="position:absolute;margin-left:380.8pt;margin-top:186.5pt;width:56.15pt;height:9.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" filled="f" strokecolor="#1f497d [3215]" strokeweight="1.5pt"/>
            </w:pict>
          </mc:Fallback>
        </mc:AlternateContent>
      </w:r>
      <w:r w:rsidRPr="00BC2B41">
        <w:rPr>
          <w:rFonts w:hint="eastAsia"/>
          <w:noProof/>
        </w:rPr>
        <mc:AlternateContent>
          <mc:Choice Requires="wps">
            <w:drawing>
              <wp:anchor distT="0" distB="0" distL="114300" distR="114300" simplePos="0" relativeHeight="251688960" behindDoc="0" locked="0" layoutInCell="1" allowOverlap="1" wp14:anchorId="15547E0B" wp14:editId="65741BF3">
                <wp:simplePos x="0" y="0"/>
                <wp:positionH relativeFrom="column">
                  <wp:posOffset>4836160</wp:posOffset>
                </wp:positionH>
                <wp:positionV relativeFrom="paragraph">
                  <wp:posOffset>2113280</wp:posOffset>
                </wp:positionV>
                <wp:extent cx="713105" cy="126000"/>
                <wp:effectExtent l="0" t="0" r="10795" b="26670"/>
                <wp:wrapNone/>
                <wp:docPr id="4" name="矩形 4"/>
                <wp:cNvGraphicFramePr/>
                <a:graphic xmlns:a="http://schemas.openxmlformats.org/drawingml/2006/main">
                  <a:graphicData uri="http://schemas.microsoft.com/office/word/2010/wordprocessingShape">
                    <wps:wsp>
                      <wps:cNvSpPr/>
                      <wps:spPr>
                        <a:xfrm>
                          <a:off x="0" y="0"/>
                          <a:ext cx="713105" cy="126000"/>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717F2" id="矩形 4" o:spid="_x0000_s1026" style="position:absolute;margin-left:380.8pt;margin-top:166.4pt;width:56.15pt;height:9.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" filled="f" strokecolor="#1f497d [3215]" strokeweight="1.5pt"/>
            </w:pict>
          </mc:Fallback>
        </mc:AlternateContent>
      </w:r>
      <w:r w:rsidRPr="00BC2B41">
        <w:rPr>
          <w:rFonts w:hint="eastAsia"/>
          <w:noProof/>
        </w:rPr>
        <w:drawing>
          <wp:inline distT="0" distB="0" distL="0" distR="0" wp14:anchorId="32611CB5" wp14:editId="52972704">
            <wp:extent cx="5615940" cy="2462530"/>
            <wp:effectExtent l="0" t="0" r="381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8ABFA.t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15940" cy="2462530"/>
                    </a:xfrm>
                    <a:prstGeom prst="rect">
                      <a:avLst/>
                    </a:prstGeom>
                  </pic:spPr>
                </pic:pic>
              </a:graphicData>
            </a:graphic>
          </wp:inline>
        </w:drawing>
      </w:r>
    </w:p>
    <w:p w:rsidR="005C17A0" w:rsidRPr="00BC2B41" w:rsidRDefault="005C17A0" w:rsidP="005C5DDA">
      <w:pPr>
        <w:pStyle w:val="aff3"/>
        <w:kinsoku/>
        <w:topLinePunct/>
        <w:autoSpaceDE/>
      </w:pPr>
      <w:r w:rsidRPr="00BC2B41">
        <w:rPr>
          <w:rFonts w:hint="eastAsia"/>
        </w:rPr>
        <w:t>資料來源：台電公司</w:t>
      </w:r>
    </w:p>
    <w:p w:rsidR="005C17A0" w:rsidRPr="00BC2B41" w:rsidRDefault="005C17A0" w:rsidP="005C5DDA">
      <w:pPr>
        <w:overflowPunct w:val="0"/>
        <w:topLinePunct/>
        <w:autoSpaceDN w:val="0"/>
      </w:pPr>
    </w:p>
    <w:p w:rsidR="005C17A0" w:rsidRPr="00BC2B41" w:rsidRDefault="005C17A0" w:rsidP="005C5DDA">
      <w:pPr>
        <w:pStyle w:val="4"/>
        <w:overflowPunct w:val="0"/>
        <w:topLinePunct/>
        <w:autoSpaceDN w:val="0"/>
      </w:pPr>
      <w:r w:rsidRPr="00BC2B41">
        <w:rPr>
          <w:rFonts w:hint="eastAsia"/>
        </w:rPr>
        <w:t>另台電公司107年5月9日提供「106年度自編決算數」與114年成本比較，其中，自發電部分如表</w:t>
      </w:r>
      <w:r w:rsidR="007E709A" w:rsidRPr="00BC2B41">
        <w:rPr>
          <w:rFonts w:hint="eastAsia"/>
        </w:rPr>
        <w:t>9</w:t>
      </w:r>
      <w:r w:rsidRPr="00BC2B41">
        <w:rPr>
          <w:rFonts w:hint="eastAsia"/>
        </w:rPr>
        <w:t>；購電部分如表</w:t>
      </w:r>
      <w:r w:rsidR="007E709A" w:rsidRPr="00BC2B41">
        <w:rPr>
          <w:rFonts w:hint="eastAsia"/>
        </w:rPr>
        <w:t>10</w:t>
      </w:r>
      <w:r w:rsidRPr="00BC2B41">
        <w:rPr>
          <w:rFonts w:hint="eastAsia"/>
        </w:rPr>
        <w:t>。與106年度自編決算數相較，114年自發購電金額增加1,184億元</w:t>
      </w:r>
      <w:r w:rsidRPr="00BC2B41">
        <w:rPr>
          <w:rStyle w:val="afc"/>
        </w:rPr>
        <w:footnoteReference w:id="42"/>
      </w:r>
      <w:r w:rsidRPr="00BC2B41">
        <w:rPr>
          <w:rFonts w:hint="eastAsia"/>
        </w:rPr>
        <w:t>，每度分攤成本增加0.3307元/度</w:t>
      </w:r>
      <w:r w:rsidRPr="00BC2B41">
        <w:rPr>
          <w:rStyle w:val="afc"/>
        </w:rPr>
        <w:footnoteReference w:id="43"/>
      </w:r>
      <w:r w:rsidRPr="00BC2B41">
        <w:rPr>
          <w:rFonts w:hint="eastAsia"/>
        </w:rPr>
        <w:t>，較該公司106年3月21日比較「114年國公營體檢預估」與「105上半年電價調整案」，預估自發購電成本較增加金額（1,499.3億元）、每度分攤成本（0.4119元/度）更低。主因為106年核能發電量減少126.3億度，燃氣、燃煤發電量各增加147.5、61.2億度(如表</w:t>
      </w:r>
      <w:r w:rsidR="005C5DDA" w:rsidRPr="00BC2B41">
        <w:rPr>
          <w:rFonts w:hint="eastAsia"/>
        </w:rPr>
        <w:t>11</w:t>
      </w:r>
      <w:r w:rsidRPr="00BC2B41">
        <w:rPr>
          <w:rFonts w:hint="eastAsia"/>
        </w:rPr>
        <w:t>，105~106年台電系統發購電量結構如圖</w:t>
      </w:r>
      <w:r w:rsidR="00DD4C83" w:rsidRPr="00BC2B41">
        <w:rPr>
          <w:rFonts w:hint="eastAsia"/>
        </w:rPr>
        <w:t>1</w:t>
      </w:r>
      <w:r w:rsidRPr="00BC2B41">
        <w:rPr>
          <w:rFonts w:hint="eastAsia"/>
        </w:rPr>
        <w:t>2)，大幅墊高106年發電成本，導致106年迴避成本</w:t>
      </w:r>
      <w:r w:rsidRPr="00BC2B41">
        <w:rPr>
          <w:rStyle w:val="afc"/>
        </w:rPr>
        <w:footnoteReference w:id="44"/>
      </w:r>
      <w:r w:rsidRPr="00BC2B41">
        <w:rPr>
          <w:rFonts w:hint="eastAsia"/>
        </w:rPr>
        <w:t>較高，</w:t>
      </w:r>
      <w:r w:rsidRPr="00BC2B41">
        <w:rPr>
          <w:rFonts w:hint="eastAsia"/>
          <w:u w:val="single"/>
        </w:rPr>
        <w:t>因此造成114年國公營體檢預估與106年自編決算數「金額差異」縮小（表</w:t>
      </w:r>
      <w:r w:rsidR="007E709A" w:rsidRPr="00BC2B41">
        <w:rPr>
          <w:rFonts w:hint="eastAsia"/>
          <w:u w:val="single"/>
        </w:rPr>
        <w:t>9</w:t>
      </w:r>
      <w:r w:rsidRPr="00BC2B41">
        <w:rPr>
          <w:rFonts w:hint="eastAsia"/>
          <w:u w:val="single"/>
        </w:rPr>
        <w:t>、</w:t>
      </w:r>
      <w:r w:rsidR="007E709A" w:rsidRPr="00BC2B41">
        <w:rPr>
          <w:rFonts w:hint="eastAsia"/>
          <w:u w:val="single"/>
        </w:rPr>
        <w:t>10</w:t>
      </w:r>
      <w:r w:rsidRPr="00BC2B41">
        <w:rPr>
          <w:rFonts w:hint="eastAsia"/>
          <w:u w:val="single"/>
        </w:rPr>
        <w:t>），每度分</w:t>
      </w:r>
      <w:r w:rsidRPr="00BC2B41">
        <w:rPr>
          <w:rFonts w:hint="eastAsia"/>
          <w:u w:val="single"/>
        </w:rPr>
        <w:lastRenderedPageBreak/>
        <w:t>攤成本略為降低。</w:t>
      </w:r>
    </w:p>
    <w:p w:rsidR="005C17A0" w:rsidRPr="00BC2B41" w:rsidRDefault="005C17A0" w:rsidP="005C5DDA">
      <w:pPr>
        <w:pStyle w:val="a3"/>
        <w:kinsoku/>
        <w:topLinePunct/>
        <w:autoSpaceDE/>
        <w:ind w:left="0" w:firstLine="0"/>
        <w:jc w:val="center"/>
      </w:pPr>
      <w:bookmarkStart w:id="76" w:name="_Toc536451845"/>
      <w:r w:rsidRPr="00BC2B41">
        <w:rPr>
          <w:rFonts w:hint="eastAsia"/>
        </w:rPr>
        <w:t>106年自編決算數與114年國公營體檢預估對照表</w:t>
      </w:r>
      <w:r w:rsidRPr="00BC2B41">
        <w:br/>
      </w:r>
      <w:r w:rsidRPr="00BC2B41">
        <w:rPr>
          <w:rFonts w:hint="eastAsia"/>
        </w:rPr>
        <w:t>-台電公司自發電部分</w:t>
      </w:r>
      <w:bookmarkEnd w:id="76"/>
    </w:p>
    <w:p w:rsidR="005C17A0" w:rsidRPr="00BC2B41" w:rsidRDefault="005C17A0" w:rsidP="005C5DDA">
      <w:pPr>
        <w:overflowPunct w:val="0"/>
        <w:topLinePunct/>
        <w:autoSpaceDN w:val="0"/>
      </w:pPr>
      <w:r w:rsidRPr="00BC2B41">
        <w:rPr>
          <w:rFonts w:hint="eastAsia"/>
          <w:noProof/>
        </w:rPr>
        <mc:AlternateContent>
          <mc:Choice Requires="wps">
            <w:drawing>
              <wp:anchor distT="0" distB="0" distL="114300" distR="114300" simplePos="0" relativeHeight="251691008" behindDoc="0" locked="0" layoutInCell="1" allowOverlap="1" wp14:anchorId="0BC0A770" wp14:editId="78E42523">
                <wp:simplePos x="0" y="0"/>
                <wp:positionH relativeFrom="column">
                  <wp:posOffset>4981575</wp:posOffset>
                </wp:positionH>
                <wp:positionV relativeFrom="paragraph">
                  <wp:posOffset>1083945</wp:posOffset>
                </wp:positionV>
                <wp:extent cx="560705" cy="114935"/>
                <wp:effectExtent l="0" t="0" r="10795" b="18415"/>
                <wp:wrapNone/>
                <wp:docPr id="13" name="矩形 13"/>
                <wp:cNvGraphicFramePr/>
                <a:graphic xmlns:a="http://schemas.openxmlformats.org/drawingml/2006/main">
                  <a:graphicData uri="http://schemas.microsoft.com/office/word/2010/wordprocessingShape">
                    <wps:wsp>
                      <wps:cNvSpPr/>
                      <wps:spPr>
                        <a:xfrm>
                          <a:off x="0" y="0"/>
                          <a:ext cx="560705" cy="114935"/>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DF2EFF" id="矩形 13" o:spid="_x0000_s1026" style="position:absolute;margin-left:392.25pt;margin-top:85.35pt;width:44.15pt;height:9.0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" filled="f" strokecolor="#1f497d [3215]" strokeweight="1.5pt"/>
            </w:pict>
          </mc:Fallback>
        </mc:AlternateContent>
      </w:r>
      <w:r w:rsidRPr="00BC2B41">
        <w:rPr>
          <w:rFonts w:hint="eastAsia"/>
          <w:noProof/>
        </w:rPr>
        <mc:AlternateContent>
          <mc:Choice Requires="wps">
            <w:drawing>
              <wp:anchor distT="0" distB="0" distL="114300" distR="114300" simplePos="0" relativeHeight="251698176" behindDoc="0" locked="0" layoutInCell="1" allowOverlap="1" wp14:anchorId="6371AB6B" wp14:editId="1ACA23E1">
                <wp:simplePos x="0" y="0"/>
                <wp:positionH relativeFrom="column">
                  <wp:posOffset>4981575</wp:posOffset>
                </wp:positionH>
                <wp:positionV relativeFrom="paragraph">
                  <wp:posOffset>1373505</wp:posOffset>
                </wp:positionV>
                <wp:extent cx="560705" cy="114935"/>
                <wp:effectExtent l="0" t="0" r="10795" b="18415"/>
                <wp:wrapNone/>
                <wp:docPr id="29" name="矩形 29"/>
                <wp:cNvGraphicFramePr/>
                <a:graphic xmlns:a="http://schemas.openxmlformats.org/drawingml/2006/main">
                  <a:graphicData uri="http://schemas.microsoft.com/office/word/2010/wordprocessingShape">
                    <wps:wsp>
                      <wps:cNvSpPr/>
                      <wps:spPr>
                        <a:xfrm>
                          <a:off x="0" y="0"/>
                          <a:ext cx="560705" cy="114935"/>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1A1BE6" id="矩形 29" o:spid="_x0000_s1026" style="position:absolute;margin-left:392.25pt;margin-top:108.15pt;width:44.15pt;height:9.0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" filled="f" strokecolor="#1f497d [3215]" strokeweight="1.5pt"/>
            </w:pict>
          </mc:Fallback>
        </mc:AlternateContent>
      </w:r>
      <w:r w:rsidRPr="00BC2B41">
        <w:rPr>
          <w:rFonts w:hint="eastAsia"/>
          <w:noProof/>
        </w:rPr>
        <w:drawing>
          <wp:inline distT="0" distB="0" distL="0" distR="0" wp14:anchorId="57CF39D1" wp14:editId="43E9E0EA">
            <wp:extent cx="5586046" cy="1477108"/>
            <wp:effectExtent l="0" t="0" r="0" b="8890"/>
            <wp:docPr id="200" name="圖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4E612.tm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15940" cy="1485013"/>
                    </a:xfrm>
                    <a:prstGeom prst="rect">
                      <a:avLst/>
                    </a:prstGeom>
                  </pic:spPr>
                </pic:pic>
              </a:graphicData>
            </a:graphic>
          </wp:inline>
        </w:drawing>
      </w:r>
    </w:p>
    <w:p w:rsidR="005C17A0" w:rsidRPr="00BC2B41" w:rsidRDefault="005C17A0" w:rsidP="005C5DDA">
      <w:pPr>
        <w:pStyle w:val="a3"/>
        <w:kinsoku/>
        <w:topLinePunct/>
        <w:autoSpaceDE/>
        <w:ind w:left="0" w:firstLine="0"/>
        <w:jc w:val="center"/>
      </w:pPr>
      <w:bookmarkStart w:id="77" w:name="_Toc536451846"/>
      <w:r w:rsidRPr="00BC2B41">
        <w:rPr>
          <w:rFonts w:hint="eastAsia"/>
        </w:rPr>
        <w:t>106年自編決算數與114年國公營體檢預估對照表-購電</w:t>
      </w:r>
      <w:bookmarkEnd w:id="77"/>
    </w:p>
    <w:p w:rsidR="005C17A0" w:rsidRPr="00BC2B41" w:rsidRDefault="00B1296C" w:rsidP="005C5DDA">
      <w:pPr>
        <w:overflowPunct w:val="0"/>
        <w:topLinePunct/>
        <w:autoSpaceDN w:val="0"/>
      </w:pPr>
      <w:r w:rsidRPr="00BC2B41">
        <w:rPr>
          <w:rFonts w:hint="eastAsia"/>
          <w:noProof/>
        </w:rPr>
        <mc:AlternateContent>
          <mc:Choice Requires="wps">
            <w:drawing>
              <wp:anchor distT="0" distB="0" distL="114300" distR="114300" simplePos="0" relativeHeight="251700224" behindDoc="0" locked="0" layoutInCell="1" allowOverlap="1" wp14:anchorId="7E66509D" wp14:editId="362F8E8C">
                <wp:simplePos x="0" y="0"/>
                <wp:positionH relativeFrom="column">
                  <wp:posOffset>47625</wp:posOffset>
                </wp:positionH>
                <wp:positionV relativeFrom="paragraph">
                  <wp:posOffset>1501140</wp:posOffset>
                </wp:positionV>
                <wp:extent cx="5496560" cy="135890"/>
                <wp:effectExtent l="0" t="0" r="27940" b="16510"/>
                <wp:wrapNone/>
                <wp:docPr id="31" name="矩形 31"/>
                <wp:cNvGraphicFramePr/>
                <a:graphic xmlns:a="http://schemas.openxmlformats.org/drawingml/2006/main">
                  <a:graphicData uri="http://schemas.microsoft.com/office/word/2010/wordprocessingShape">
                    <wps:wsp>
                      <wps:cNvSpPr/>
                      <wps:spPr>
                        <a:xfrm>
                          <a:off x="0" y="0"/>
                          <a:ext cx="5496560" cy="1358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FD2011" id="矩形 31" o:spid="_x0000_s1026" style="position:absolute;margin-left:3.75pt;margin-top:118.2pt;width:432.8pt;height:10.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" filled="f" strokecolor="#243f60 [1604]" strokeweight="2pt"/>
            </w:pict>
          </mc:Fallback>
        </mc:AlternateContent>
      </w:r>
      <w:r w:rsidRPr="00BC2B41">
        <w:rPr>
          <w:rFonts w:hint="eastAsia"/>
          <w:noProof/>
        </w:rPr>
        <mc:AlternateContent>
          <mc:Choice Requires="wps">
            <w:drawing>
              <wp:anchor distT="0" distB="0" distL="114300" distR="114300" simplePos="0" relativeHeight="251692032" behindDoc="0" locked="0" layoutInCell="1" allowOverlap="1" wp14:anchorId="597C5FE8" wp14:editId="13783953">
                <wp:simplePos x="0" y="0"/>
                <wp:positionH relativeFrom="column">
                  <wp:posOffset>4819650</wp:posOffset>
                </wp:positionH>
                <wp:positionV relativeFrom="paragraph">
                  <wp:posOffset>2037080</wp:posOffset>
                </wp:positionV>
                <wp:extent cx="720090" cy="143510"/>
                <wp:effectExtent l="0" t="0" r="22860" b="27940"/>
                <wp:wrapNone/>
                <wp:docPr id="14" name="矩形 14"/>
                <wp:cNvGraphicFramePr/>
                <a:graphic xmlns:a="http://schemas.openxmlformats.org/drawingml/2006/main">
                  <a:graphicData uri="http://schemas.microsoft.com/office/word/2010/wordprocessingShape">
                    <wps:wsp>
                      <wps:cNvSpPr/>
                      <wps:spPr>
                        <a:xfrm>
                          <a:off x="0" y="0"/>
                          <a:ext cx="720090" cy="143510"/>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4DD26" id="矩形 14" o:spid="_x0000_s1026" style="position:absolute;margin-left:379.5pt;margin-top:160.4pt;width:56.7pt;height:11.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" filled="f" strokecolor="#1f497d [3215]" strokeweight="1.5pt"/>
            </w:pict>
          </mc:Fallback>
        </mc:AlternateContent>
      </w:r>
      <w:r w:rsidRPr="00BC2B41">
        <w:rPr>
          <w:rFonts w:hint="eastAsia"/>
          <w:noProof/>
        </w:rPr>
        <mc:AlternateContent>
          <mc:Choice Requires="wps">
            <w:drawing>
              <wp:anchor distT="0" distB="0" distL="114300" distR="114300" simplePos="0" relativeHeight="251697152" behindDoc="0" locked="0" layoutInCell="1" allowOverlap="1" wp14:anchorId="063BEA2A" wp14:editId="43930BE6">
                <wp:simplePos x="0" y="0"/>
                <wp:positionH relativeFrom="column">
                  <wp:posOffset>4820920</wp:posOffset>
                </wp:positionH>
                <wp:positionV relativeFrom="paragraph">
                  <wp:posOffset>2305050</wp:posOffset>
                </wp:positionV>
                <wp:extent cx="720090" cy="143510"/>
                <wp:effectExtent l="0" t="0" r="22860" b="27940"/>
                <wp:wrapNone/>
                <wp:docPr id="6" name="矩形 6"/>
                <wp:cNvGraphicFramePr/>
                <a:graphic xmlns:a="http://schemas.openxmlformats.org/drawingml/2006/main">
                  <a:graphicData uri="http://schemas.microsoft.com/office/word/2010/wordprocessingShape">
                    <wps:wsp>
                      <wps:cNvSpPr/>
                      <wps:spPr>
                        <a:xfrm>
                          <a:off x="0" y="0"/>
                          <a:ext cx="720090" cy="143510"/>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37165" id="矩形 6" o:spid="_x0000_s1026" style="position:absolute;margin-left:379.6pt;margin-top:181.5pt;width:56.7pt;height:11.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" filled="f" strokecolor="#1f497d [3215]" strokeweight="1.5pt"/>
            </w:pict>
          </mc:Fallback>
        </mc:AlternateContent>
      </w:r>
      <w:r w:rsidR="005C17A0" w:rsidRPr="00BC2B41">
        <w:rPr>
          <w:rFonts w:hint="eastAsia"/>
          <w:noProof/>
        </w:rPr>
        <w:drawing>
          <wp:inline distT="0" distB="0" distL="0" distR="0" wp14:anchorId="7B3C4AB2" wp14:editId="530A8E31">
            <wp:extent cx="5613400" cy="2432050"/>
            <wp:effectExtent l="0" t="0" r="6350" b="6350"/>
            <wp:docPr id="201" name="圖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4B62D.tmp"/>
                    <pic:cNvPicPr/>
                  </pic:nvPicPr>
                  <pic:blipFill>
                    <a:blip r:embed="rId29">
                      <a:extLst>
                        <a:ext uri="{28A0092B-C50C-407E-A947-70E740481C1C}">
                          <a14:useLocalDpi xmlns:a14="http://schemas.microsoft.com/office/drawing/2010/main" val="0"/>
                        </a:ext>
                      </a:extLst>
                    </a:blip>
                    <a:stretch>
                      <a:fillRect/>
                    </a:stretch>
                  </pic:blipFill>
                  <pic:spPr>
                    <a:xfrm>
                      <a:off x="0" y="0"/>
                      <a:ext cx="5615940" cy="2433150"/>
                    </a:xfrm>
                    <a:prstGeom prst="rect">
                      <a:avLst/>
                    </a:prstGeom>
                  </pic:spPr>
                </pic:pic>
              </a:graphicData>
            </a:graphic>
          </wp:inline>
        </w:drawing>
      </w:r>
    </w:p>
    <w:p w:rsidR="005C17A0" w:rsidRPr="00BC2B41" w:rsidRDefault="005C17A0" w:rsidP="005C5DDA">
      <w:pPr>
        <w:overflowPunct w:val="0"/>
        <w:topLinePunct/>
        <w:autoSpaceDN w:val="0"/>
      </w:pPr>
    </w:p>
    <w:p w:rsidR="005C17A0" w:rsidRPr="00BC2B41" w:rsidRDefault="005C17A0" w:rsidP="005C5DDA">
      <w:pPr>
        <w:pStyle w:val="a3"/>
        <w:kinsoku/>
        <w:topLinePunct/>
        <w:autoSpaceDE/>
        <w:ind w:left="0" w:firstLine="0"/>
        <w:jc w:val="center"/>
      </w:pPr>
      <w:bookmarkStart w:id="78" w:name="_Toc536451847"/>
      <w:r w:rsidRPr="00BC2B41">
        <w:rPr>
          <w:rFonts w:hint="eastAsia"/>
        </w:rPr>
        <w:t>105上半年電價調整案、106年度自編決算數發電量對照表</w:t>
      </w:r>
      <w:bookmarkEnd w:id="78"/>
    </w:p>
    <w:p w:rsidR="005C17A0" w:rsidRPr="00BC2B41" w:rsidRDefault="005C17A0" w:rsidP="005C5DDA">
      <w:pPr>
        <w:overflowPunct w:val="0"/>
        <w:topLinePunct/>
        <w:autoSpaceDN w:val="0"/>
      </w:pPr>
      <w:r w:rsidRPr="00BC2B41">
        <w:rPr>
          <w:noProof/>
        </w:rPr>
        <w:drawing>
          <wp:inline distT="0" distB="0" distL="0" distR="0" wp14:anchorId="56FDCD7C" wp14:editId="61C0E629">
            <wp:extent cx="5615940" cy="1412875"/>
            <wp:effectExtent l="0" t="0" r="3810" b="0"/>
            <wp:docPr id="230" name="圖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A06E24.tmp"/>
                    <pic:cNvPicPr/>
                  </pic:nvPicPr>
                  <pic:blipFill>
                    <a:blip r:embed="rId30">
                      <a:extLst>
                        <a:ext uri="{28A0092B-C50C-407E-A947-70E740481C1C}">
                          <a14:useLocalDpi xmlns:a14="http://schemas.microsoft.com/office/drawing/2010/main" val="0"/>
                        </a:ext>
                      </a:extLst>
                    </a:blip>
                    <a:stretch>
                      <a:fillRect/>
                    </a:stretch>
                  </pic:blipFill>
                  <pic:spPr>
                    <a:xfrm>
                      <a:off x="0" y="0"/>
                      <a:ext cx="5615940" cy="1412875"/>
                    </a:xfrm>
                    <a:prstGeom prst="rect">
                      <a:avLst/>
                    </a:prstGeom>
                  </pic:spPr>
                </pic:pic>
              </a:graphicData>
            </a:graphic>
          </wp:inline>
        </w:drawing>
      </w:r>
    </w:p>
    <w:p w:rsidR="005C17A0" w:rsidRPr="00BC2B41" w:rsidRDefault="005C17A0" w:rsidP="005C5DDA">
      <w:pPr>
        <w:overflowPunct w:val="0"/>
        <w:topLinePunct/>
        <w:autoSpaceDN w:val="0"/>
      </w:pPr>
    </w:p>
    <w:p w:rsidR="00505499" w:rsidRPr="00BC2B41" w:rsidRDefault="00505499" w:rsidP="005C5DDA">
      <w:pPr>
        <w:overflowPunct w:val="0"/>
        <w:topLinePunct/>
        <w:autoSpaceDN w:val="0"/>
      </w:pPr>
    </w:p>
    <w:p w:rsidR="00505499" w:rsidRPr="00BC2B41" w:rsidRDefault="00505499" w:rsidP="005C5DDA">
      <w:pPr>
        <w:overflowPunct w:val="0"/>
        <w:topLinePunct/>
        <w:autoSpaceDN w:val="0"/>
      </w:pPr>
    </w:p>
    <w:tbl>
      <w:tblPr>
        <w:tblStyle w:val="aff2"/>
        <w:tblW w:w="0" w:type="auto"/>
        <w:tblLayout w:type="fixed"/>
        <w:tblLook w:val="04A0" w:firstRow="1" w:lastRow="0" w:firstColumn="1" w:lastColumn="0" w:noHBand="0" w:noVBand="1"/>
      </w:tblPr>
      <w:tblGrid>
        <w:gridCol w:w="4530"/>
        <w:gridCol w:w="4530"/>
      </w:tblGrid>
      <w:tr w:rsidR="00BC2B41" w:rsidRPr="00BC2B41" w:rsidTr="005831AE">
        <w:trPr>
          <w:trHeight w:val="3795"/>
        </w:trPr>
        <w:tc>
          <w:tcPr>
            <w:tcW w:w="4530" w:type="dxa"/>
          </w:tcPr>
          <w:p w:rsidR="001734C9" w:rsidRPr="00BC2B41" w:rsidRDefault="001734C9" w:rsidP="005831AE">
            <w:pPr>
              <w:jc w:val="center"/>
              <w:rPr>
                <w:rFonts w:ascii="標楷體" w:hAnsi="標楷體"/>
                <w:sz w:val="28"/>
                <w:szCs w:val="28"/>
              </w:rPr>
            </w:pPr>
            <w:r w:rsidRPr="00BC2B41">
              <w:rPr>
                <w:rFonts w:ascii="標楷體" w:hAnsi="標楷體" w:hint="eastAsia"/>
                <w:sz w:val="28"/>
                <w:szCs w:val="28"/>
              </w:rPr>
              <w:lastRenderedPageBreak/>
              <w:t>105年台電系統發購電量結構</w:t>
            </w:r>
            <w:r w:rsidRPr="00BC2B41">
              <w:rPr>
                <w:rFonts w:ascii="標楷體" w:hAnsi="標楷體"/>
                <w:sz w:val="28"/>
                <w:szCs w:val="28"/>
              </w:rPr>
              <w:br/>
            </w:r>
            <w:r w:rsidRPr="00BC2B41">
              <w:rPr>
                <w:rFonts w:ascii="標楷體" w:hAnsi="標楷體" w:hint="eastAsia"/>
                <w:sz w:val="28"/>
                <w:szCs w:val="28"/>
              </w:rPr>
              <w:t>(火力79.9%、核能13.5%)</w:t>
            </w:r>
          </w:p>
          <w:p w:rsidR="001734C9" w:rsidRPr="00BC2B41" w:rsidRDefault="001734C9" w:rsidP="005831AE">
            <w:pPr>
              <w:jc w:val="center"/>
              <w:rPr>
                <w:rFonts w:ascii="標楷體" w:hAnsi="標楷體"/>
                <w:sz w:val="28"/>
                <w:szCs w:val="28"/>
              </w:rPr>
            </w:pPr>
          </w:p>
          <w:p w:rsidR="001734C9" w:rsidRPr="00BC2B41" w:rsidRDefault="001734C9" w:rsidP="005831AE">
            <w:pPr>
              <w:rPr>
                <w:rFonts w:ascii="標楷體" w:hAnsi="標楷體"/>
              </w:rPr>
            </w:pPr>
            <w:r w:rsidRPr="00BC2B41">
              <w:rPr>
                <w:rFonts w:ascii="標楷體" w:hAnsi="標楷體" w:hint="eastAsia"/>
                <w:noProof/>
              </w:rPr>
              <w:drawing>
                <wp:inline distT="0" distB="0" distL="0" distR="0" wp14:anchorId="404AA41D" wp14:editId="0A86B19F">
                  <wp:extent cx="2735424" cy="1487083"/>
                  <wp:effectExtent l="0" t="0" r="8255"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CC47C.tmp"/>
                          <pic:cNvPicPr/>
                        </pic:nvPicPr>
                        <pic:blipFill rotWithShape="1">
                          <a:blip r:embed="rId31" cstate="print">
                            <a:extLst>
                              <a:ext uri="{28A0092B-C50C-407E-A947-70E740481C1C}">
                                <a14:useLocalDpi xmlns:a14="http://schemas.microsoft.com/office/drawing/2010/main" val="0"/>
                              </a:ext>
                            </a:extLst>
                          </a:blip>
                          <a:srcRect l="8687" t="11504"/>
                          <a:stretch/>
                        </pic:blipFill>
                        <pic:spPr bwMode="auto">
                          <a:xfrm>
                            <a:off x="0" y="0"/>
                            <a:ext cx="2738176" cy="1488579"/>
                          </a:xfrm>
                          <a:prstGeom prst="rect">
                            <a:avLst/>
                          </a:prstGeom>
                          <a:ln>
                            <a:noFill/>
                          </a:ln>
                          <a:extLst>
                            <a:ext uri="{53640926-AAD7-44D8-BBD7-CCE9431645EC}">
                              <a14:shadowObscured xmlns:a14="http://schemas.microsoft.com/office/drawing/2010/main"/>
                            </a:ext>
                          </a:extLst>
                        </pic:spPr>
                      </pic:pic>
                    </a:graphicData>
                  </a:graphic>
                </wp:inline>
              </w:drawing>
            </w:r>
          </w:p>
        </w:tc>
        <w:tc>
          <w:tcPr>
            <w:tcW w:w="4530" w:type="dxa"/>
          </w:tcPr>
          <w:p w:rsidR="001734C9" w:rsidRPr="00BC2B41" w:rsidRDefault="001734C9" w:rsidP="005831AE">
            <w:pPr>
              <w:jc w:val="center"/>
              <w:rPr>
                <w:rFonts w:ascii="標楷體" w:hAnsi="標楷體"/>
                <w:sz w:val="28"/>
                <w:szCs w:val="28"/>
              </w:rPr>
            </w:pPr>
            <w:r w:rsidRPr="00BC2B41">
              <w:rPr>
                <w:rFonts w:ascii="標楷體" w:hAnsi="標楷體" w:hint="eastAsia"/>
                <w:sz w:val="28"/>
                <w:szCs w:val="28"/>
              </w:rPr>
              <w:t>106年台電系統發購電量結構</w:t>
            </w:r>
            <w:r w:rsidRPr="00BC2B41">
              <w:rPr>
                <w:rFonts w:ascii="標楷體" w:hAnsi="標楷體"/>
                <w:sz w:val="28"/>
                <w:szCs w:val="28"/>
              </w:rPr>
              <w:br/>
            </w:r>
            <w:r w:rsidRPr="00BC2B41">
              <w:rPr>
                <w:rFonts w:ascii="標楷體" w:hAnsi="標楷體" w:hint="eastAsia"/>
                <w:sz w:val="28"/>
                <w:szCs w:val="28"/>
              </w:rPr>
              <w:t>(火力84.4%、核能9.3%)</w:t>
            </w:r>
          </w:p>
          <w:p w:rsidR="001734C9" w:rsidRPr="00BC2B41" w:rsidRDefault="001734C9" w:rsidP="005831AE">
            <w:pPr>
              <w:jc w:val="center"/>
              <w:rPr>
                <w:rFonts w:ascii="標楷體" w:hAnsi="標楷體"/>
                <w:sz w:val="28"/>
                <w:szCs w:val="28"/>
              </w:rPr>
            </w:pPr>
          </w:p>
          <w:p w:rsidR="001734C9" w:rsidRPr="00BC2B41" w:rsidRDefault="001734C9" w:rsidP="005831AE">
            <w:pPr>
              <w:rPr>
                <w:rFonts w:ascii="標楷體" w:hAnsi="標楷體"/>
              </w:rPr>
            </w:pPr>
            <w:r w:rsidRPr="00BC2B41">
              <w:rPr>
                <w:rFonts w:ascii="標楷體" w:hAnsi="標楷體" w:hint="eastAsia"/>
                <w:noProof/>
              </w:rPr>
              <w:drawing>
                <wp:inline distT="0" distB="0" distL="0" distR="0" wp14:anchorId="6C58E65E" wp14:editId="298A9A89">
                  <wp:extent cx="2770909" cy="1460163"/>
                  <wp:effectExtent l="0" t="0" r="0" b="698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CB65A.tmp"/>
                          <pic:cNvPicPr/>
                        </pic:nvPicPr>
                        <pic:blipFill rotWithShape="1">
                          <a:blip r:embed="rId32" cstate="print">
                            <a:extLst>
                              <a:ext uri="{28A0092B-C50C-407E-A947-70E740481C1C}">
                                <a14:useLocalDpi xmlns:a14="http://schemas.microsoft.com/office/drawing/2010/main" val="0"/>
                              </a:ext>
                            </a:extLst>
                          </a:blip>
                          <a:srcRect l="9955" t="8772"/>
                          <a:stretch/>
                        </pic:blipFill>
                        <pic:spPr bwMode="auto">
                          <a:xfrm>
                            <a:off x="0" y="0"/>
                            <a:ext cx="2776682" cy="1463205"/>
                          </a:xfrm>
                          <a:prstGeom prst="rect">
                            <a:avLst/>
                          </a:prstGeom>
                          <a:ln>
                            <a:noFill/>
                          </a:ln>
                          <a:extLst>
                            <a:ext uri="{53640926-AAD7-44D8-BBD7-CCE9431645EC}">
                              <a14:shadowObscured xmlns:a14="http://schemas.microsoft.com/office/drawing/2010/main"/>
                            </a:ext>
                          </a:extLst>
                        </pic:spPr>
                      </pic:pic>
                    </a:graphicData>
                  </a:graphic>
                </wp:inline>
              </w:drawing>
            </w:r>
          </w:p>
        </w:tc>
      </w:tr>
    </w:tbl>
    <w:p w:rsidR="005C17A0" w:rsidRPr="00BC2B41" w:rsidRDefault="005C17A0" w:rsidP="005C5DDA">
      <w:pPr>
        <w:pStyle w:val="aff3"/>
        <w:kinsoku/>
        <w:topLinePunct/>
        <w:autoSpaceDE/>
      </w:pPr>
      <w:r w:rsidRPr="00BC2B41">
        <w:rPr>
          <w:rFonts w:hint="eastAsia"/>
        </w:rPr>
        <w:t>資料來源：台電公司。</w:t>
      </w:r>
      <w:bookmarkStart w:id="79" w:name="_Toc536451806"/>
    </w:p>
    <w:p w:rsidR="005C17A0" w:rsidRPr="00BC2B41" w:rsidRDefault="005C17A0" w:rsidP="005C5DDA">
      <w:pPr>
        <w:pStyle w:val="a1"/>
        <w:topLinePunct/>
        <w:autoSpaceDE/>
        <w:spacing w:before="40" w:after="240"/>
        <w:ind w:left="480" w:hanging="480"/>
      </w:pPr>
      <w:r w:rsidRPr="00BC2B41">
        <w:rPr>
          <w:rFonts w:hint="eastAsia"/>
        </w:rPr>
        <w:t>105~106年台電系統發購電量結構</w:t>
      </w:r>
      <w:bookmarkEnd w:id="79"/>
    </w:p>
    <w:p w:rsidR="005C17A0" w:rsidRPr="00BC2B41" w:rsidRDefault="005C17A0" w:rsidP="005C5DDA">
      <w:pPr>
        <w:pStyle w:val="4"/>
        <w:overflowPunct w:val="0"/>
        <w:topLinePunct/>
        <w:autoSpaceDN w:val="0"/>
      </w:pPr>
      <w:r w:rsidRPr="00BC2B41">
        <w:rPr>
          <w:rFonts w:hint="eastAsia"/>
        </w:rPr>
        <w:t>前述105上半年電價調整案、106年自編決算案，因114年離岸風電裝置容量將增為5.5GW，躉購電量達203.5億度(較原規劃裝置容量3GW，發電量111億度為高，且其中以遴選方式釋出之3.836GW，年發電量141.9億度，較表</w:t>
      </w:r>
      <w:r w:rsidR="005C5DDA" w:rsidRPr="00BC2B41">
        <w:rPr>
          <w:rFonts w:hint="eastAsia"/>
        </w:rPr>
        <w:t>8</w:t>
      </w:r>
      <w:r w:rsidRPr="00BC2B41">
        <w:rPr>
          <w:rFonts w:hint="eastAsia"/>
        </w:rPr>
        <w:t>、表</w:t>
      </w:r>
      <w:r w:rsidR="005C5DDA" w:rsidRPr="00BC2B41">
        <w:rPr>
          <w:rFonts w:hint="eastAsia"/>
        </w:rPr>
        <w:t>10</w:t>
      </w:r>
      <w:r w:rsidRPr="00BC2B41">
        <w:rPr>
          <w:rFonts w:hint="eastAsia"/>
        </w:rPr>
        <w:t>所列發電量(82.4億度)增加59.5億度，由於該遴選之離岸風電與燃氣購電價差每度2.77元</w:t>
      </w:r>
      <w:r w:rsidRPr="00BC2B41">
        <w:rPr>
          <w:rStyle w:val="afc"/>
        </w:rPr>
        <w:footnoteReference w:id="45"/>
      </w:r>
      <w:r w:rsidRPr="00BC2B41">
        <w:rPr>
          <w:rFonts w:hint="eastAsia"/>
        </w:rPr>
        <w:t>，在114年售電量維持不變情況下(2,402.96億度)，估計自發購電成本較原1,499.3億元再增加164.8億元</w:t>
      </w:r>
      <w:r w:rsidRPr="00BC2B41">
        <w:rPr>
          <w:rStyle w:val="afc"/>
        </w:rPr>
        <w:footnoteReference w:id="46"/>
      </w:r>
      <w:r w:rsidRPr="00BC2B41">
        <w:rPr>
          <w:rFonts w:hint="eastAsia"/>
        </w:rPr>
        <w:t>，達1,664.1億元，每度分攤成本亦由原0.4119元增為0.4805元</w:t>
      </w:r>
      <w:r w:rsidRPr="00BC2B41">
        <w:rPr>
          <w:rStyle w:val="afc"/>
        </w:rPr>
        <w:footnoteReference w:id="47"/>
      </w:r>
      <w:r w:rsidRPr="00BC2B41">
        <w:rPr>
          <w:rFonts w:hint="eastAsia"/>
        </w:rPr>
        <w:t>(不含核四分攤成本0.11元)。</w:t>
      </w:r>
    </w:p>
    <w:p w:rsidR="005C17A0" w:rsidRPr="00BC2B41" w:rsidRDefault="005C17A0" w:rsidP="005C5DDA">
      <w:pPr>
        <w:pStyle w:val="4"/>
        <w:overflowPunct w:val="0"/>
        <w:topLinePunct/>
        <w:autoSpaceDN w:val="0"/>
        <w:ind w:left="1701" w:hanging="510"/>
      </w:pPr>
      <w:r w:rsidRPr="00BC2B41">
        <w:rPr>
          <w:rFonts w:hint="eastAsia"/>
        </w:rPr>
        <w:t>析言之，114年每度電成本增加如表</w:t>
      </w:r>
      <w:r w:rsidR="007E709A" w:rsidRPr="00BC2B41">
        <w:rPr>
          <w:rFonts w:hint="eastAsia"/>
        </w:rPr>
        <w:t>12</w:t>
      </w:r>
      <w:r w:rsidRPr="00BC2B41">
        <w:rPr>
          <w:rFonts w:hint="eastAsia"/>
        </w:rPr>
        <w:t>。與105</w:t>
      </w:r>
      <w:r w:rsidRPr="00BC2B41">
        <w:rPr>
          <w:rFonts w:hint="eastAsia"/>
        </w:rPr>
        <w:lastRenderedPageBreak/>
        <w:t>上半年調整案相較(離岸風電購電量82.4億度)，預估成本增加1,499億元，每度分攤0.4119元。惟因114年離岸風電裝置容量5.5GW中，遴選共3.836GW(69.7%)，競價共1.664GW(30.3%，因價格與火力發電成本差異不大，故暫不列入估計)，其價格均已公布，爰估計114年發購電成本增加約1,664億元，不含核四減損影響約0.11元/度，每度分攤成本增為0.4805元。倘與106年實績值相較，因106年核能發電量減少，火力發電量增加、故106年發購電成本高，與114年相較，扣除之迴避成本亦高，故金額差異、每度分攤成本較小，併此敘明。</w:t>
      </w:r>
    </w:p>
    <w:p w:rsidR="005C17A0" w:rsidRPr="00BC2B41" w:rsidRDefault="005C17A0" w:rsidP="005C5DDA">
      <w:pPr>
        <w:pStyle w:val="a3"/>
        <w:kinsoku/>
        <w:topLinePunct/>
        <w:autoSpaceDE/>
        <w:ind w:left="0" w:firstLine="0"/>
        <w:jc w:val="center"/>
      </w:pPr>
      <w:bookmarkStart w:id="80" w:name="_Toc536451848"/>
      <w:r w:rsidRPr="00BC2B41">
        <w:rPr>
          <w:rFonts w:hint="eastAsia"/>
        </w:rPr>
        <w:t>預估114年電價成本差異</w:t>
      </w:r>
      <w:bookmarkEnd w:id="80"/>
    </w:p>
    <w:tbl>
      <w:tblPr>
        <w:tblStyle w:val="aff2"/>
        <w:tblW w:w="0" w:type="auto"/>
        <w:tblLook w:val="04A0" w:firstRow="1" w:lastRow="0" w:firstColumn="1" w:lastColumn="0" w:noHBand="0" w:noVBand="1"/>
      </w:tblPr>
      <w:tblGrid>
        <w:gridCol w:w="1817"/>
        <w:gridCol w:w="1214"/>
        <w:gridCol w:w="1246"/>
        <w:gridCol w:w="1214"/>
        <w:gridCol w:w="1179"/>
        <w:gridCol w:w="1211"/>
        <w:gridCol w:w="1179"/>
      </w:tblGrid>
      <w:tr w:rsidR="00BC2B41" w:rsidRPr="00BC2B41" w:rsidTr="00D37D34">
        <w:trPr>
          <w:trHeight w:val="624"/>
        </w:trPr>
        <w:tc>
          <w:tcPr>
            <w:tcW w:w="1271" w:type="dxa"/>
            <w:vMerge w:val="restart"/>
            <w:tcBorders>
              <w:right w:val="single" w:sz="18" w:space="0" w:color="auto"/>
              <w:tl2br w:val="single" w:sz="4" w:space="0" w:color="auto"/>
            </w:tcBorders>
          </w:tcPr>
          <w:p w:rsidR="005C5DDA" w:rsidRPr="00BC2B41" w:rsidRDefault="005C5DDA" w:rsidP="005C5DDA">
            <w:pPr>
              <w:overflowPunct w:val="0"/>
              <w:topLinePunct/>
              <w:autoSpaceDN w:val="0"/>
              <w:adjustRightInd w:val="0"/>
              <w:snapToGrid w:val="0"/>
              <w:spacing w:line="300" w:lineRule="exact"/>
              <w:ind w:left="2240" w:hanging="640"/>
              <w:jc w:val="right"/>
              <w:rPr>
                <w:rFonts w:ascii="標楷體"/>
                <w:snapToGrid w:val="0"/>
                <w:spacing w:val="-14"/>
                <w:kern w:val="0"/>
                <w:sz w:val="24"/>
                <w:szCs w:val="24"/>
              </w:rPr>
            </w:pPr>
          </w:p>
          <w:p w:rsidR="005C5DDA" w:rsidRPr="00BC2B41" w:rsidRDefault="005C5DD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版本別</w:t>
            </w:r>
          </w:p>
          <w:p w:rsidR="005C5DDA" w:rsidRPr="00BC2B41" w:rsidRDefault="005C5DDA" w:rsidP="005C5DDA">
            <w:pPr>
              <w:overflowPunct w:val="0"/>
              <w:topLinePunct/>
              <w:autoSpaceDN w:val="0"/>
              <w:adjustRightInd w:val="0"/>
              <w:snapToGrid w:val="0"/>
              <w:spacing w:line="300" w:lineRule="exact"/>
              <w:jc w:val="right"/>
              <w:rPr>
                <w:rFonts w:ascii="標楷體"/>
                <w:snapToGrid w:val="0"/>
                <w:spacing w:val="-14"/>
                <w:kern w:val="0"/>
                <w:sz w:val="24"/>
                <w:szCs w:val="24"/>
              </w:rPr>
            </w:pPr>
          </w:p>
          <w:p w:rsidR="005C5DDA" w:rsidRPr="00BC2B41" w:rsidRDefault="005C5DDA" w:rsidP="005C5DDA">
            <w:pPr>
              <w:overflowPunct w:val="0"/>
              <w:topLinePunct/>
              <w:autoSpaceDN w:val="0"/>
              <w:adjustRightInd w:val="0"/>
              <w:snapToGrid w:val="0"/>
              <w:spacing w:line="300" w:lineRule="exact"/>
              <w:jc w:val="both"/>
              <w:rPr>
                <w:rFonts w:ascii="標楷體"/>
                <w:snapToGrid w:val="0"/>
                <w:spacing w:val="-14"/>
                <w:kern w:val="0"/>
                <w:sz w:val="24"/>
                <w:szCs w:val="24"/>
              </w:rPr>
            </w:pPr>
            <w:r w:rsidRPr="00BC2B41">
              <w:rPr>
                <w:rFonts w:ascii="標楷體" w:hint="eastAsia"/>
                <w:snapToGrid w:val="0"/>
                <w:spacing w:val="-14"/>
                <w:kern w:val="0"/>
                <w:sz w:val="24"/>
                <w:szCs w:val="24"/>
              </w:rPr>
              <w:t>離岸風電</w:t>
            </w:r>
          </w:p>
          <w:p w:rsidR="005C5DDA" w:rsidRPr="00BC2B41" w:rsidRDefault="005C5DDA" w:rsidP="005C5DDA">
            <w:pPr>
              <w:overflowPunct w:val="0"/>
              <w:topLinePunct/>
              <w:autoSpaceDN w:val="0"/>
              <w:adjustRightInd w:val="0"/>
              <w:snapToGrid w:val="0"/>
              <w:spacing w:line="300" w:lineRule="exact"/>
              <w:jc w:val="both"/>
              <w:rPr>
                <w:rFonts w:ascii="標楷體"/>
                <w:snapToGrid w:val="0"/>
                <w:spacing w:val="-14"/>
                <w:kern w:val="0"/>
                <w:sz w:val="24"/>
                <w:szCs w:val="24"/>
              </w:rPr>
            </w:pPr>
            <w:r w:rsidRPr="00BC2B41">
              <w:rPr>
                <w:rFonts w:ascii="標楷體" w:hint="eastAsia"/>
                <w:snapToGrid w:val="0"/>
                <w:spacing w:val="-14"/>
                <w:kern w:val="0"/>
                <w:sz w:val="24"/>
                <w:szCs w:val="24"/>
              </w:rPr>
              <w:t>購電度數</w:t>
            </w:r>
          </w:p>
        </w:tc>
        <w:tc>
          <w:tcPr>
            <w:tcW w:w="3813" w:type="dxa"/>
            <w:gridSpan w:val="3"/>
            <w:tcBorders>
              <w:top w:val="single" w:sz="18" w:space="0" w:color="auto"/>
              <w:left w:val="single" w:sz="18" w:space="0" w:color="auto"/>
              <w:bottom w:val="single" w:sz="6" w:space="0" w:color="auto"/>
              <w:right w:val="single" w:sz="18"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「105上半年電價調整案」v.s</w:t>
            </w:r>
            <w:r w:rsidRPr="00BC2B41">
              <w:rPr>
                <w:rFonts w:ascii="標楷體"/>
                <w:snapToGrid w:val="0"/>
                <w:spacing w:val="-14"/>
                <w:kern w:val="0"/>
                <w:sz w:val="24"/>
                <w:szCs w:val="24"/>
              </w:rPr>
              <w:br/>
            </w:r>
            <w:r w:rsidRPr="00BC2B41">
              <w:rPr>
                <w:rFonts w:ascii="標楷體" w:hint="eastAsia"/>
                <w:snapToGrid w:val="0"/>
                <w:spacing w:val="-14"/>
                <w:kern w:val="0"/>
                <w:sz w:val="24"/>
                <w:szCs w:val="24"/>
              </w:rPr>
              <w:t>「114年國公營體檢預估」</w:t>
            </w:r>
          </w:p>
        </w:tc>
        <w:tc>
          <w:tcPr>
            <w:tcW w:w="3816" w:type="dxa"/>
            <w:gridSpan w:val="3"/>
            <w:tcBorders>
              <w:left w:val="single" w:sz="18"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「106年自編決算數」v.s</w:t>
            </w:r>
            <w:r w:rsidRPr="00BC2B41">
              <w:rPr>
                <w:rFonts w:ascii="標楷體"/>
                <w:snapToGrid w:val="0"/>
                <w:spacing w:val="-14"/>
                <w:kern w:val="0"/>
                <w:sz w:val="24"/>
                <w:szCs w:val="24"/>
              </w:rPr>
              <w:br/>
            </w:r>
            <w:r w:rsidRPr="00BC2B41">
              <w:rPr>
                <w:rFonts w:ascii="標楷體" w:hint="eastAsia"/>
                <w:snapToGrid w:val="0"/>
                <w:spacing w:val="-14"/>
                <w:kern w:val="0"/>
                <w:sz w:val="24"/>
                <w:szCs w:val="24"/>
              </w:rPr>
              <w:t>「114年國公營體檢預估」</w:t>
            </w:r>
          </w:p>
        </w:tc>
      </w:tr>
      <w:tr w:rsidR="00BC2B41" w:rsidRPr="00BC2B41" w:rsidTr="00D37D34">
        <w:trPr>
          <w:trHeight w:val="850"/>
        </w:trPr>
        <w:tc>
          <w:tcPr>
            <w:tcW w:w="1271" w:type="dxa"/>
            <w:vMerge/>
            <w:tcBorders>
              <w:right w:val="single" w:sz="18" w:space="0" w:color="auto"/>
              <w:tl2br w:val="single" w:sz="4" w:space="0" w:color="auto"/>
            </w:tcBorders>
          </w:tcPr>
          <w:p w:rsidR="005C5DDA" w:rsidRPr="00BC2B41" w:rsidRDefault="005C5DDA" w:rsidP="005C5DDA">
            <w:pPr>
              <w:overflowPunct w:val="0"/>
              <w:topLinePunct/>
              <w:autoSpaceDN w:val="0"/>
              <w:adjustRightInd w:val="0"/>
              <w:snapToGrid w:val="0"/>
              <w:spacing w:line="300" w:lineRule="exact"/>
              <w:jc w:val="both"/>
              <w:rPr>
                <w:rFonts w:ascii="標楷體"/>
                <w:snapToGrid w:val="0"/>
                <w:spacing w:val="-14"/>
                <w:kern w:val="0"/>
                <w:sz w:val="24"/>
                <w:szCs w:val="24"/>
              </w:rPr>
            </w:pPr>
          </w:p>
        </w:tc>
        <w:tc>
          <w:tcPr>
            <w:tcW w:w="1271" w:type="dxa"/>
            <w:tcBorders>
              <w:top w:val="single" w:sz="6" w:space="0" w:color="auto"/>
              <w:left w:val="single" w:sz="18" w:space="0" w:color="auto"/>
              <w:bottom w:val="single" w:sz="6" w:space="0" w:color="auto"/>
              <w:right w:val="single" w:sz="6"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離岸風電</w:t>
            </w:r>
            <w:r w:rsidRPr="00BC2B41">
              <w:rPr>
                <w:rFonts w:ascii="標楷體"/>
                <w:snapToGrid w:val="0"/>
                <w:spacing w:val="-14"/>
                <w:kern w:val="0"/>
                <w:sz w:val="24"/>
                <w:szCs w:val="24"/>
              </w:rPr>
              <w:br/>
            </w:r>
            <w:r w:rsidRPr="00BC2B41">
              <w:rPr>
                <w:rFonts w:ascii="標楷體" w:hint="eastAsia"/>
                <w:snapToGrid w:val="0"/>
                <w:spacing w:val="-14"/>
                <w:kern w:val="0"/>
                <w:sz w:val="24"/>
                <w:szCs w:val="24"/>
              </w:rPr>
              <w:t>金額差異</w:t>
            </w:r>
          </w:p>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(億元)</w:t>
            </w:r>
          </w:p>
        </w:tc>
        <w:tc>
          <w:tcPr>
            <w:tcW w:w="1271" w:type="dxa"/>
            <w:tcBorders>
              <w:top w:val="single" w:sz="6" w:space="0" w:color="auto"/>
              <w:left w:val="single" w:sz="6" w:space="0" w:color="auto"/>
              <w:bottom w:val="single" w:sz="6" w:space="0" w:color="auto"/>
              <w:right w:val="single" w:sz="6"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發購電</w:t>
            </w:r>
            <w:r w:rsidRPr="00BC2B41">
              <w:rPr>
                <w:rFonts w:ascii="標楷體"/>
                <w:snapToGrid w:val="0"/>
                <w:spacing w:val="-14"/>
                <w:kern w:val="0"/>
                <w:sz w:val="24"/>
                <w:szCs w:val="24"/>
              </w:rPr>
              <w:br/>
            </w:r>
            <w:r w:rsidRPr="00BC2B41">
              <w:rPr>
                <w:rFonts w:ascii="標楷體" w:hint="eastAsia"/>
                <w:snapToGrid w:val="0"/>
                <w:spacing w:val="-14"/>
                <w:kern w:val="0"/>
                <w:sz w:val="24"/>
                <w:szCs w:val="24"/>
              </w:rPr>
              <w:t>金額差異</w:t>
            </w:r>
          </w:p>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(億元)</w:t>
            </w:r>
          </w:p>
        </w:tc>
        <w:tc>
          <w:tcPr>
            <w:tcW w:w="1271" w:type="dxa"/>
            <w:tcBorders>
              <w:top w:val="single" w:sz="6" w:space="0" w:color="auto"/>
              <w:left w:val="single" w:sz="6" w:space="0" w:color="auto"/>
              <w:bottom w:val="single" w:sz="6" w:space="0" w:color="auto"/>
              <w:right w:val="single" w:sz="18"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每度分攤成本差異</w:t>
            </w:r>
          </w:p>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(元/度)</w:t>
            </w:r>
          </w:p>
        </w:tc>
        <w:tc>
          <w:tcPr>
            <w:tcW w:w="1272" w:type="dxa"/>
            <w:tcBorders>
              <w:left w:val="single" w:sz="18"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離岸風電</w:t>
            </w:r>
            <w:r w:rsidRPr="00BC2B41">
              <w:rPr>
                <w:rFonts w:ascii="標楷體"/>
                <w:snapToGrid w:val="0"/>
                <w:spacing w:val="-14"/>
                <w:kern w:val="0"/>
                <w:sz w:val="24"/>
                <w:szCs w:val="24"/>
              </w:rPr>
              <w:br/>
            </w:r>
            <w:r w:rsidRPr="00BC2B41">
              <w:rPr>
                <w:rFonts w:ascii="標楷體" w:hint="eastAsia"/>
                <w:snapToGrid w:val="0"/>
                <w:spacing w:val="-14"/>
                <w:kern w:val="0"/>
                <w:sz w:val="24"/>
                <w:szCs w:val="24"/>
              </w:rPr>
              <w:t>金額差異</w:t>
            </w:r>
          </w:p>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(億元)</w:t>
            </w:r>
          </w:p>
        </w:tc>
        <w:tc>
          <w:tcPr>
            <w:tcW w:w="1272" w:type="dxa"/>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發購電</w:t>
            </w:r>
            <w:r w:rsidRPr="00BC2B41">
              <w:rPr>
                <w:rFonts w:ascii="標楷體"/>
                <w:snapToGrid w:val="0"/>
                <w:spacing w:val="-14"/>
                <w:kern w:val="0"/>
                <w:sz w:val="24"/>
                <w:szCs w:val="24"/>
              </w:rPr>
              <w:br/>
            </w:r>
            <w:r w:rsidRPr="00BC2B41">
              <w:rPr>
                <w:rFonts w:ascii="標楷體" w:hint="eastAsia"/>
                <w:snapToGrid w:val="0"/>
                <w:spacing w:val="-14"/>
                <w:kern w:val="0"/>
                <w:sz w:val="24"/>
                <w:szCs w:val="24"/>
              </w:rPr>
              <w:t>金額差異</w:t>
            </w:r>
          </w:p>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(億元)</w:t>
            </w:r>
          </w:p>
        </w:tc>
        <w:tc>
          <w:tcPr>
            <w:tcW w:w="1272" w:type="dxa"/>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每度分攤成本差異</w:t>
            </w:r>
          </w:p>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(元/度)</w:t>
            </w:r>
          </w:p>
        </w:tc>
      </w:tr>
      <w:tr w:rsidR="00BC2B41" w:rsidRPr="00BC2B41" w:rsidTr="00D37D34">
        <w:trPr>
          <w:trHeight w:val="567"/>
        </w:trPr>
        <w:tc>
          <w:tcPr>
            <w:tcW w:w="1271" w:type="dxa"/>
            <w:tcBorders>
              <w:right w:val="single" w:sz="18"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82.4億度</w:t>
            </w:r>
          </w:p>
        </w:tc>
        <w:tc>
          <w:tcPr>
            <w:tcW w:w="1271" w:type="dxa"/>
            <w:tcBorders>
              <w:top w:val="single" w:sz="6" w:space="0" w:color="auto"/>
              <w:left w:val="single" w:sz="18" w:space="0" w:color="auto"/>
              <w:bottom w:val="single" w:sz="6" w:space="0" w:color="auto"/>
              <w:right w:val="single" w:sz="6"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+473.45</w:t>
            </w:r>
            <w:r w:rsidRPr="00BC2B41">
              <w:rPr>
                <w:rFonts w:ascii="標楷體"/>
                <w:snapToGrid w:val="0"/>
                <w:spacing w:val="-14"/>
                <w:kern w:val="0"/>
                <w:sz w:val="24"/>
                <w:szCs w:val="24"/>
                <w:vertAlign w:val="superscript"/>
              </w:rPr>
              <w:footnoteReference w:id="48"/>
            </w:r>
          </w:p>
        </w:tc>
        <w:tc>
          <w:tcPr>
            <w:tcW w:w="1271" w:type="dxa"/>
            <w:tcBorders>
              <w:top w:val="single" w:sz="6" w:space="0" w:color="auto"/>
              <w:left w:val="single" w:sz="6" w:space="0" w:color="auto"/>
              <w:bottom w:val="single" w:sz="6" w:space="0" w:color="auto"/>
              <w:right w:val="single" w:sz="6"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+1,499.3</w:t>
            </w:r>
          </w:p>
        </w:tc>
        <w:tc>
          <w:tcPr>
            <w:tcW w:w="1271" w:type="dxa"/>
            <w:tcBorders>
              <w:top w:val="single" w:sz="6" w:space="0" w:color="auto"/>
              <w:left w:val="single" w:sz="6" w:space="0" w:color="auto"/>
              <w:bottom w:val="single" w:sz="6" w:space="0" w:color="auto"/>
              <w:right w:val="single" w:sz="18"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+0.4119</w:t>
            </w:r>
          </w:p>
        </w:tc>
        <w:tc>
          <w:tcPr>
            <w:tcW w:w="1272" w:type="dxa"/>
            <w:tcBorders>
              <w:left w:val="single" w:sz="18"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+473.45</w:t>
            </w:r>
          </w:p>
        </w:tc>
        <w:tc>
          <w:tcPr>
            <w:tcW w:w="1272" w:type="dxa"/>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+1,184.0</w:t>
            </w:r>
          </w:p>
        </w:tc>
        <w:tc>
          <w:tcPr>
            <w:tcW w:w="1272" w:type="dxa"/>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+0.3307</w:t>
            </w:r>
          </w:p>
        </w:tc>
      </w:tr>
      <w:tr w:rsidR="00BC2B41" w:rsidRPr="00BC2B41" w:rsidTr="00D37D34">
        <w:trPr>
          <w:trHeight w:val="567"/>
        </w:trPr>
        <w:tc>
          <w:tcPr>
            <w:tcW w:w="1271" w:type="dxa"/>
            <w:tcBorders>
              <w:right w:val="single" w:sz="18"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141.9億度(遴選)</w:t>
            </w:r>
          </w:p>
        </w:tc>
        <w:tc>
          <w:tcPr>
            <w:tcW w:w="1271" w:type="dxa"/>
            <w:tcBorders>
              <w:top w:val="single" w:sz="6" w:space="0" w:color="auto"/>
              <w:left w:val="single" w:sz="18" w:space="0" w:color="auto"/>
              <w:bottom w:val="single" w:sz="18" w:space="0" w:color="auto"/>
              <w:right w:val="single" w:sz="6"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+815.93</w:t>
            </w:r>
          </w:p>
        </w:tc>
        <w:tc>
          <w:tcPr>
            <w:tcW w:w="1271" w:type="dxa"/>
            <w:tcBorders>
              <w:top w:val="single" w:sz="6" w:space="0" w:color="auto"/>
              <w:left w:val="single" w:sz="6" w:space="0" w:color="auto"/>
              <w:bottom w:val="single" w:sz="18" w:space="0" w:color="auto"/>
              <w:right w:val="single" w:sz="6"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b/>
                <w:snapToGrid w:val="0"/>
                <w:spacing w:val="-14"/>
                <w:kern w:val="0"/>
                <w:sz w:val="24"/>
                <w:szCs w:val="24"/>
              </w:rPr>
            </w:pPr>
            <w:r w:rsidRPr="00BC2B41">
              <w:rPr>
                <w:rFonts w:ascii="標楷體" w:hint="eastAsia"/>
                <w:b/>
                <w:snapToGrid w:val="0"/>
                <w:spacing w:val="-14"/>
                <w:kern w:val="0"/>
                <w:sz w:val="24"/>
                <w:szCs w:val="24"/>
              </w:rPr>
              <w:t>+1,664.1</w:t>
            </w:r>
            <w:r w:rsidRPr="00BC2B41">
              <w:rPr>
                <w:rFonts w:ascii="標楷體"/>
                <w:b/>
                <w:snapToGrid w:val="0"/>
                <w:spacing w:val="-14"/>
                <w:kern w:val="0"/>
                <w:sz w:val="24"/>
                <w:szCs w:val="24"/>
                <w:vertAlign w:val="superscript"/>
              </w:rPr>
              <w:footnoteReference w:id="49"/>
            </w:r>
          </w:p>
        </w:tc>
        <w:tc>
          <w:tcPr>
            <w:tcW w:w="1271" w:type="dxa"/>
            <w:tcBorders>
              <w:top w:val="single" w:sz="6" w:space="0" w:color="auto"/>
              <w:left w:val="single" w:sz="6" w:space="0" w:color="auto"/>
              <w:bottom w:val="single" w:sz="18" w:space="0" w:color="auto"/>
              <w:right w:val="single" w:sz="18"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b/>
                <w:snapToGrid w:val="0"/>
                <w:spacing w:val="-14"/>
                <w:kern w:val="0"/>
                <w:sz w:val="24"/>
                <w:szCs w:val="24"/>
              </w:rPr>
            </w:pPr>
            <w:r w:rsidRPr="00BC2B41">
              <w:rPr>
                <w:rFonts w:ascii="標楷體" w:hint="eastAsia"/>
                <w:b/>
                <w:snapToGrid w:val="0"/>
                <w:spacing w:val="-14"/>
                <w:kern w:val="0"/>
                <w:sz w:val="24"/>
                <w:szCs w:val="24"/>
              </w:rPr>
              <w:t>+0.4805</w:t>
            </w:r>
            <w:r w:rsidRPr="00BC2B41">
              <w:rPr>
                <w:rFonts w:ascii="標楷體"/>
                <w:b/>
                <w:snapToGrid w:val="0"/>
                <w:spacing w:val="-14"/>
                <w:kern w:val="0"/>
                <w:sz w:val="24"/>
                <w:szCs w:val="24"/>
                <w:vertAlign w:val="superscript"/>
              </w:rPr>
              <w:footnoteReference w:id="50"/>
            </w:r>
          </w:p>
        </w:tc>
        <w:tc>
          <w:tcPr>
            <w:tcW w:w="1272" w:type="dxa"/>
            <w:tcBorders>
              <w:left w:val="single" w:sz="18" w:space="0" w:color="auto"/>
            </w:tcBorders>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+815.93</w:t>
            </w:r>
          </w:p>
        </w:tc>
        <w:tc>
          <w:tcPr>
            <w:tcW w:w="1272" w:type="dxa"/>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+1,348.8</w:t>
            </w:r>
          </w:p>
        </w:tc>
        <w:tc>
          <w:tcPr>
            <w:tcW w:w="1272" w:type="dxa"/>
            <w:vAlign w:val="center"/>
          </w:tcPr>
          <w:p w:rsidR="005C5DDA" w:rsidRPr="00BC2B41" w:rsidRDefault="005C5DD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+0.4519</w:t>
            </w:r>
          </w:p>
        </w:tc>
      </w:tr>
    </w:tbl>
    <w:p w:rsidR="005C17A0" w:rsidRPr="00BC2B41" w:rsidRDefault="005C17A0" w:rsidP="001734C9">
      <w:pPr>
        <w:pStyle w:val="aff3"/>
        <w:kinsoku/>
        <w:topLinePunct/>
        <w:autoSpaceDE/>
        <w:spacing w:after="0" w:line="320" w:lineRule="exact"/>
        <w:ind w:left="480" w:hangingChars="200" w:hanging="480"/>
      </w:pPr>
      <w:r w:rsidRPr="00BC2B41">
        <w:rPr>
          <w:rFonts w:hint="eastAsia"/>
        </w:rPr>
        <w:t>註：「105上半年電價調整案」估105年售電量：2,085.52億度、「106年自編決算數」之售電量：2,172.13億度、114年國公營體檢預估」估114年售電量為2,402.96億度，本表假設114年售電量預估數不變。</w:t>
      </w:r>
    </w:p>
    <w:p w:rsidR="005C17A0" w:rsidRPr="00BC2B41" w:rsidRDefault="005C17A0" w:rsidP="005C5DDA">
      <w:pPr>
        <w:pStyle w:val="aff3"/>
        <w:kinsoku/>
        <w:topLinePunct/>
        <w:autoSpaceDE/>
        <w:rPr>
          <w:rFonts w:hAnsi="Arial"/>
          <w:bCs/>
          <w:kern w:val="32"/>
          <w:szCs w:val="36"/>
        </w:rPr>
      </w:pPr>
      <w:r w:rsidRPr="00BC2B41">
        <w:rPr>
          <w:rFonts w:hint="eastAsia"/>
        </w:rPr>
        <w:t>資料來源：本院整理</w:t>
      </w:r>
    </w:p>
    <w:p w:rsidR="005C17A0" w:rsidRPr="00BC2B41" w:rsidRDefault="005C17A0" w:rsidP="005C5DDA">
      <w:pPr>
        <w:pStyle w:val="3"/>
        <w:overflowPunct w:val="0"/>
        <w:topLinePunct/>
        <w:autoSpaceDN w:val="0"/>
        <w:rPr>
          <w:spacing w:val="-4"/>
        </w:rPr>
      </w:pPr>
      <w:r w:rsidRPr="00BC2B41">
        <w:rPr>
          <w:rFonts w:hint="eastAsia"/>
          <w:spacing w:val="-4"/>
        </w:rPr>
        <w:t>另依據歐盟統計(EUOSTAT)資料，歐盟各國電價如表</w:t>
      </w:r>
      <w:r w:rsidR="007E709A" w:rsidRPr="00BC2B41">
        <w:rPr>
          <w:rFonts w:hint="eastAsia"/>
          <w:spacing w:val="-4"/>
        </w:rPr>
        <w:t>13</w:t>
      </w:r>
      <w:r w:rsidRPr="00BC2B41">
        <w:rPr>
          <w:rFonts w:hint="eastAsia"/>
          <w:spacing w:val="-4"/>
        </w:rPr>
        <w:t>、圖</w:t>
      </w:r>
      <w:r w:rsidR="007E709A" w:rsidRPr="00BC2B41">
        <w:rPr>
          <w:rFonts w:hint="eastAsia"/>
          <w:spacing w:val="-4"/>
        </w:rPr>
        <w:t>1</w:t>
      </w:r>
      <w:r w:rsidRPr="00BC2B41">
        <w:rPr>
          <w:rFonts w:hint="eastAsia"/>
          <w:spacing w:val="-4"/>
        </w:rPr>
        <w:t>3。其中，丹麥、德國為再生能源程度化較高國家，其家庭電價每度0.3歐元，約是</w:t>
      </w:r>
      <w:r w:rsidR="00F00113" w:rsidRPr="00BC2B41">
        <w:rPr>
          <w:rFonts w:hint="eastAsia"/>
          <w:spacing w:val="-4"/>
        </w:rPr>
        <w:t>臺灣</w:t>
      </w:r>
      <w:r w:rsidRPr="00BC2B41">
        <w:rPr>
          <w:rFonts w:hint="eastAsia"/>
          <w:spacing w:val="-4"/>
        </w:rPr>
        <w:t>的4倍。</w:t>
      </w:r>
    </w:p>
    <w:p w:rsidR="005C17A0" w:rsidRPr="00BC2B41" w:rsidRDefault="005C17A0" w:rsidP="005C5DDA">
      <w:pPr>
        <w:pStyle w:val="a3"/>
        <w:kinsoku/>
        <w:topLinePunct/>
        <w:autoSpaceDE/>
        <w:ind w:left="0" w:firstLine="0"/>
        <w:jc w:val="center"/>
      </w:pPr>
      <w:bookmarkStart w:id="81" w:name="_Toc536451849"/>
      <w:r w:rsidRPr="00BC2B41">
        <w:rPr>
          <w:rFonts w:hint="eastAsia"/>
        </w:rPr>
        <w:lastRenderedPageBreak/>
        <w:t>歐洲各國家庭用電價</w:t>
      </w:r>
      <w:bookmarkEnd w:id="81"/>
    </w:p>
    <w:p w:rsidR="005C17A0" w:rsidRPr="00BC2B41" w:rsidRDefault="005C17A0" w:rsidP="005C5DDA">
      <w:pPr>
        <w:overflowPunct w:val="0"/>
        <w:topLinePunct/>
        <w:autoSpaceDN w:val="0"/>
        <w:jc w:val="center"/>
      </w:pPr>
      <w:r w:rsidRPr="00BC2B41">
        <w:rPr>
          <w:rFonts w:hint="eastAsia"/>
          <w:noProof/>
        </w:rPr>
        <w:drawing>
          <wp:inline distT="0" distB="0" distL="0" distR="0" wp14:anchorId="4557534F" wp14:editId="4223D9DC">
            <wp:extent cx="5616054" cy="2988859"/>
            <wp:effectExtent l="0" t="0" r="3810" b="254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C0CE08.tmp"/>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15940" cy="2988798"/>
                    </a:xfrm>
                    <a:prstGeom prst="rect">
                      <a:avLst/>
                    </a:prstGeom>
                  </pic:spPr>
                </pic:pic>
              </a:graphicData>
            </a:graphic>
          </wp:inline>
        </w:drawing>
      </w:r>
    </w:p>
    <w:p w:rsidR="005C17A0" w:rsidRPr="00BC2B41" w:rsidRDefault="005C17A0" w:rsidP="005C5DDA">
      <w:pPr>
        <w:pStyle w:val="aff3"/>
        <w:kinsoku/>
        <w:topLinePunct/>
        <w:autoSpaceDE/>
      </w:pPr>
      <w:r w:rsidRPr="00BC2B41">
        <w:rPr>
          <w:rFonts w:hint="eastAsia"/>
        </w:rPr>
        <w:t xml:space="preserve">資料來源：Eurostat 2016 </w:t>
      </w:r>
    </w:p>
    <w:p w:rsidR="005C17A0" w:rsidRPr="00BC2B41" w:rsidRDefault="005C17A0" w:rsidP="005C5DDA">
      <w:pPr>
        <w:overflowPunct w:val="0"/>
        <w:topLinePunct/>
        <w:autoSpaceDN w:val="0"/>
        <w:jc w:val="center"/>
      </w:pPr>
      <w:r w:rsidRPr="00BC2B41">
        <w:rPr>
          <w:noProof/>
        </w:rPr>
        <w:drawing>
          <wp:inline distT="0" distB="0" distL="0" distR="0" wp14:anchorId="7469B6CB" wp14:editId="16967CD7">
            <wp:extent cx="5431809" cy="3951026"/>
            <wp:effectExtent l="0" t="0" r="0" b="0"/>
            <wp:docPr id="212" name="圖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CAF44.tmp"/>
                    <pic:cNvPicPr/>
                  </pic:nvPicPr>
                  <pic:blipFill>
                    <a:blip r:embed="rId34">
                      <a:extLst>
                        <a:ext uri="{28A0092B-C50C-407E-A947-70E740481C1C}">
                          <a14:useLocalDpi xmlns:a14="http://schemas.microsoft.com/office/drawing/2010/main" val="0"/>
                        </a:ext>
                      </a:extLst>
                    </a:blip>
                    <a:stretch>
                      <a:fillRect/>
                    </a:stretch>
                  </pic:blipFill>
                  <pic:spPr>
                    <a:xfrm>
                      <a:off x="0" y="0"/>
                      <a:ext cx="5439512" cy="3956629"/>
                    </a:xfrm>
                    <a:prstGeom prst="rect">
                      <a:avLst/>
                    </a:prstGeom>
                  </pic:spPr>
                </pic:pic>
              </a:graphicData>
            </a:graphic>
          </wp:inline>
        </w:drawing>
      </w:r>
    </w:p>
    <w:p w:rsidR="005C17A0" w:rsidRPr="00BC2B41" w:rsidRDefault="005C17A0" w:rsidP="001734C9">
      <w:pPr>
        <w:pStyle w:val="aff3"/>
        <w:kinsoku/>
        <w:topLinePunct/>
        <w:autoSpaceDE/>
        <w:ind w:firstLineChars="236" w:firstLine="567"/>
      </w:pPr>
      <w:r w:rsidRPr="00BC2B41">
        <w:rPr>
          <w:rFonts w:hint="eastAsia"/>
        </w:rPr>
        <w:t>資料來源：CLEAN ENERGY WIRE, Eurostat 2017</w:t>
      </w:r>
    </w:p>
    <w:p w:rsidR="005C17A0" w:rsidRPr="00BC2B41" w:rsidRDefault="005C17A0" w:rsidP="005C5DDA">
      <w:pPr>
        <w:pStyle w:val="a1"/>
        <w:topLinePunct/>
        <w:autoSpaceDE/>
        <w:spacing w:before="40" w:after="240"/>
        <w:ind w:left="480" w:hanging="480"/>
      </w:pPr>
      <w:bookmarkStart w:id="82" w:name="_Toc536451807"/>
      <w:r w:rsidRPr="00BC2B41">
        <w:rPr>
          <w:rFonts w:hint="eastAsia"/>
        </w:rPr>
        <w:t>西元2016年歐洲各國家用電價</w:t>
      </w:r>
      <w:bookmarkEnd w:id="82"/>
    </w:p>
    <w:p w:rsidR="005C17A0" w:rsidRPr="00BC2B41" w:rsidRDefault="005C17A0" w:rsidP="005C5DDA">
      <w:pPr>
        <w:pStyle w:val="3"/>
        <w:overflowPunct w:val="0"/>
        <w:topLinePunct/>
        <w:autoSpaceDN w:val="0"/>
      </w:pPr>
      <w:r w:rsidRPr="00BC2B41">
        <w:rPr>
          <w:rFonts w:hint="eastAsia"/>
        </w:rPr>
        <w:lastRenderedPageBreak/>
        <w:t>綜上，經濟部106年3月評估因售電結構結果(114年離岸風電躉購量按82.4億度計算)，台電發購電成本將較105年電價調整案每年將增加1,499億元，然依能源局107年5月1日簡報第17頁，114年離岸風電裝置容量5.5GW，躉購電量203.5億度</w:t>
      </w:r>
      <w:r w:rsidRPr="00BC2B41">
        <w:rPr>
          <w:rStyle w:val="afc"/>
        </w:rPr>
        <w:footnoteReference w:id="51"/>
      </w:r>
      <w:r w:rsidRPr="00BC2B41">
        <w:rPr>
          <w:rFonts w:hint="eastAsia"/>
        </w:rPr>
        <w:t>(遴選占69.7%、競價佔30.3%)，台電公司114年發購電支出將增加1,664億元，每度分攤成本增加0.5905元（含核四減損影響0.11元</w:t>
      </w:r>
      <w:r w:rsidRPr="00BC2B41">
        <w:rPr>
          <w:rStyle w:val="afc"/>
        </w:rPr>
        <w:footnoteReference w:id="52"/>
      </w:r>
      <w:r w:rsidRPr="00BC2B41">
        <w:rPr>
          <w:rFonts w:hint="eastAsia"/>
        </w:rPr>
        <w:t>），占台電公司105年4月1日調整後電價（2.5488元/度）23.2%。換言之，在非核家園及燃氣50%、燃煤30%、綠能20%電力配比下，估計114年電價約上漲三成，對民生物價及產業競爭力均將產生衝擊，工總2017、2018年白皮書所載：「無論以綠電取代核電或以氣電取代煤電，皆會造成發電成本的大幅增加。」、「</w:t>
      </w:r>
      <w:r w:rsidR="00F00113" w:rsidRPr="00BC2B41">
        <w:rPr>
          <w:rFonts w:hint="eastAsia"/>
        </w:rPr>
        <w:t>臺灣</w:t>
      </w:r>
      <w:r w:rsidRPr="00BC2B41">
        <w:rPr>
          <w:rFonts w:hint="eastAsia"/>
        </w:rPr>
        <w:t>正進入一個能源成本與可靠度逐漸出現不確定性的時期，此時需要一套井然有序、管理能源轉型的綜合藍圖。委員會支持風力和太陽能等再生能源的開發，但是從其他市場所獲得的經驗指出，過快轉型採用大量再生能源，會大幅提升能源的成本壓力」等語非謂無據。經濟部105年推動114年非核家園，並律定114年「燃氣50%、燃煤30%、綠電20%」電力配比，未事先評估能源轉型對經濟面之衝擊程度，迨106年3月始由台電公司評估非核家園對電價之影響，且迄未完整說明，致廠商無法完整掌握未來成本，恐衝擊民生物價，實有違失。</w:t>
      </w:r>
    </w:p>
    <w:p w:rsidR="001734C9" w:rsidRPr="00BC2B41" w:rsidRDefault="001734C9" w:rsidP="001734C9"/>
    <w:p w:rsidR="00D37D34" w:rsidRPr="00BC2B41" w:rsidRDefault="00D37D34" w:rsidP="001734C9"/>
    <w:p w:rsidR="005C17A0" w:rsidRPr="00BC2B41" w:rsidRDefault="005C17A0" w:rsidP="001734C9">
      <w:pPr>
        <w:pStyle w:val="2"/>
        <w:overflowPunct w:val="0"/>
        <w:autoSpaceDE w:val="0"/>
        <w:autoSpaceDN w:val="0"/>
        <w:ind w:left="1043"/>
        <w:rPr>
          <w:b/>
        </w:rPr>
      </w:pPr>
      <w:bookmarkStart w:id="83" w:name="_Toc1477904"/>
      <w:bookmarkEnd w:id="60"/>
      <w:r w:rsidRPr="00BC2B41">
        <w:rPr>
          <w:rFonts w:hint="eastAsia"/>
          <w:b/>
        </w:rPr>
        <w:lastRenderedPageBreak/>
        <w:t>依經濟部能源局「能源統計資料查詢系統」，106年度台電、民營電廠合計裝置容量39.4GW(不含太陽光電、風力裝置容量)，加計汽電共生系統「尖峰保證容量」(約2GW)，總裝置容量合計約41GW，扣除尖峰時廠內用電（約1.7GW），仍高於最高尖峰負載37.5GW甚多，表面上似不生缺電問題，惟實際上卻因核一、核二部分機組停機造成供電缺口（約2.25GW）、簽「尖峰保證容量」並不保證尖峰時提供發電量保證，致雖實施需量競價、節能等抑低尖峰負載措施，「尖峰備轉容量率」仍頻創新低(最低僅1.64%)，仍須以火力發電填補核電缺口</w:t>
      </w:r>
      <w:r w:rsidR="001734C9" w:rsidRPr="00BC2B41">
        <w:rPr>
          <w:rFonts w:hint="eastAsia"/>
          <w:b/>
        </w:rPr>
        <w:t>，造成火力電廠機組燃料限制超標，</w:t>
      </w:r>
      <w:r w:rsidRPr="00BC2B41">
        <w:rPr>
          <w:rFonts w:hint="eastAsia"/>
          <w:b/>
        </w:rPr>
        <w:t>核有疏失。</w:t>
      </w:r>
      <w:bookmarkEnd w:id="83"/>
    </w:p>
    <w:p w:rsidR="005C17A0" w:rsidRPr="00BC2B41" w:rsidRDefault="005C17A0" w:rsidP="005C5DDA">
      <w:pPr>
        <w:pStyle w:val="3"/>
        <w:overflowPunct w:val="0"/>
        <w:topLinePunct/>
        <w:autoSpaceDN w:val="0"/>
      </w:pPr>
      <w:r w:rsidRPr="00BC2B41">
        <w:rPr>
          <w:rFonts w:hint="eastAsia"/>
        </w:rPr>
        <w:t>本院為進一步瞭解核四封存影響，於107年11月6日諮詢綠色消費者基金會秘書長方儉，會中方秘書長簡報「核四封存案諮詢會議缺電問題面面觀」，簡報第16~17頁說明整體設備效率(OEE)和設備綜合生產力(TEEP</w:t>
      </w:r>
      <w:r w:rsidRPr="00BC2B41">
        <w:rPr>
          <w:rStyle w:val="afc"/>
        </w:rPr>
        <w:footnoteReference w:id="53"/>
      </w:r>
      <w:r w:rsidRPr="00BC2B41">
        <w:rPr>
          <w:rFonts w:hint="eastAsia"/>
        </w:rPr>
        <w:t>)，並稱「台電機組、民間機組及汽電共生合計裝置容量達49.905GW，年可發電量達4,372億度</w:t>
      </w:r>
      <w:r w:rsidRPr="00BC2B41">
        <w:rPr>
          <w:rFonts w:hAnsi="標楷體" w:hint="eastAsia"/>
        </w:rPr>
        <w:t>（</w:t>
      </w:r>
      <w:r w:rsidRPr="00BC2B41">
        <w:rPr>
          <w:rFonts w:hint="eastAsia"/>
        </w:rPr>
        <w:t>49.905GW×24小時×365天</w:t>
      </w:r>
      <w:r w:rsidRPr="00BC2B41">
        <w:rPr>
          <w:rFonts w:hAnsi="標楷體" w:hint="eastAsia"/>
        </w:rPr>
        <w:t>）</w:t>
      </w:r>
      <w:r w:rsidRPr="00BC2B41">
        <w:rPr>
          <w:rFonts w:hint="eastAsia"/>
        </w:rPr>
        <w:t>，相較2016年總發電量2,641億度(包含廠內用電)，其電力總體的綜合生產力TEEP＝2,641億度/4,372億度。」；另簡報第29頁指出，與台電簽約合格汽電共生共86部5.76GW，其中66部5.07G與台電公司有簽尖峰保證容量，惟其中尖峰保證容量僅2.04GW，方秘書長因此質疑「3GW的汽電共生保證容量去哪」等語，如圖</w:t>
      </w:r>
      <w:r w:rsidR="00DD4C83" w:rsidRPr="00BC2B41">
        <w:rPr>
          <w:rFonts w:hint="eastAsia"/>
        </w:rPr>
        <w:t>1</w:t>
      </w:r>
      <w:r w:rsidRPr="00BC2B41">
        <w:rPr>
          <w:rFonts w:hint="eastAsia"/>
        </w:rPr>
        <w:t>4。</w:t>
      </w:r>
    </w:p>
    <w:p w:rsidR="005C17A0" w:rsidRPr="00BC2B41" w:rsidRDefault="005C17A0" w:rsidP="005C5DDA">
      <w:pPr>
        <w:overflowPunct w:val="0"/>
        <w:topLinePunct/>
        <w:autoSpaceDN w:val="0"/>
        <w:ind w:leftChars="394" w:left="1340"/>
      </w:pPr>
      <w:r w:rsidRPr="00BC2B41">
        <w:rPr>
          <w:rFonts w:hint="eastAsia"/>
          <w:noProof/>
        </w:rPr>
        <w:lastRenderedPageBreak/>
        <w:drawing>
          <wp:inline distT="0" distB="0" distL="0" distR="0" wp14:anchorId="263FF795" wp14:editId="7F09E0CC">
            <wp:extent cx="4925868" cy="3702050"/>
            <wp:effectExtent l="0" t="0" r="8255" b="0"/>
            <wp:docPr id="215" name="圖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4DE9.tmp"/>
                    <pic:cNvPicPr/>
                  </pic:nvPicPr>
                  <pic:blipFill>
                    <a:blip r:embed="rId35">
                      <a:extLst>
                        <a:ext uri="{28A0092B-C50C-407E-A947-70E740481C1C}">
                          <a14:useLocalDpi xmlns:a14="http://schemas.microsoft.com/office/drawing/2010/main" val="0"/>
                        </a:ext>
                      </a:extLst>
                    </a:blip>
                    <a:stretch>
                      <a:fillRect/>
                    </a:stretch>
                  </pic:blipFill>
                  <pic:spPr>
                    <a:xfrm>
                      <a:off x="0" y="0"/>
                      <a:ext cx="4928097" cy="3703725"/>
                    </a:xfrm>
                    <a:prstGeom prst="rect">
                      <a:avLst/>
                    </a:prstGeom>
                  </pic:spPr>
                </pic:pic>
              </a:graphicData>
            </a:graphic>
          </wp:inline>
        </w:drawing>
      </w:r>
    </w:p>
    <w:p w:rsidR="005C17A0" w:rsidRPr="00BC2B41" w:rsidRDefault="005C17A0" w:rsidP="001734C9">
      <w:pPr>
        <w:pStyle w:val="aff3"/>
        <w:kinsoku/>
        <w:topLinePunct/>
        <w:autoSpaceDE/>
        <w:ind w:firstLineChars="531" w:firstLine="1275"/>
      </w:pPr>
      <w:r w:rsidRPr="00BC2B41">
        <w:rPr>
          <w:rFonts w:hint="eastAsia"/>
        </w:rPr>
        <w:t>資料來源：方儉秘書長</w:t>
      </w:r>
    </w:p>
    <w:p w:rsidR="005C17A0" w:rsidRPr="00BC2B41" w:rsidRDefault="005C17A0" w:rsidP="005C5DDA">
      <w:pPr>
        <w:pStyle w:val="a1"/>
        <w:topLinePunct/>
        <w:autoSpaceDE/>
        <w:spacing w:before="40" w:after="240"/>
        <w:ind w:left="480" w:hanging="480"/>
      </w:pPr>
      <w:bookmarkStart w:id="84" w:name="_Toc536451808"/>
      <w:r w:rsidRPr="00BC2B41">
        <w:rPr>
          <w:rFonts w:hint="eastAsia"/>
        </w:rPr>
        <w:t>與台電簽約合格汽電共生簡報</w:t>
      </w:r>
      <w:bookmarkEnd w:id="84"/>
    </w:p>
    <w:p w:rsidR="005C17A0" w:rsidRPr="00BC2B41" w:rsidRDefault="005C17A0" w:rsidP="005C5DDA">
      <w:pPr>
        <w:pStyle w:val="3"/>
        <w:overflowPunct w:val="0"/>
        <w:topLinePunct/>
        <w:autoSpaceDN w:val="0"/>
      </w:pPr>
      <w:r w:rsidRPr="00BC2B41">
        <w:rPr>
          <w:rFonts w:hint="eastAsia"/>
        </w:rPr>
        <w:t>查經濟部能源局「能源統計資料查詢系統」，104~106年台電公司、民營電廠及自用發電設備各類發電裝置容量如表</w:t>
      </w:r>
      <w:r w:rsidR="007E709A" w:rsidRPr="00BC2B41">
        <w:rPr>
          <w:rFonts w:hint="eastAsia"/>
        </w:rPr>
        <w:t>14</w:t>
      </w:r>
      <w:r w:rsidRPr="00BC2B41">
        <w:rPr>
          <w:rFonts w:hint="eastAsia"/>
        </w:rPr>
        <w:t>。裝置容量簡表如表</w:t>
      </w:r>
      <w:r w:rsidR="007E709A" w:rsidRPr="00BC2B41">
        <w:rPr>
          <w:rFonts w:hint="eastAsia"/>
        </w:rPr>
        <w:t>15</w:t>
      </w:r>
      <w:r w:rsidRPr="00BC2B41">
        <w:rPr>
          <w:rFonts w:hint="eastAsia"/>
        </w:rPr>
        <w:t>。其中台電公司、民營電廠裝置容量合計約39GW(除水力外，再生能源因能量密度較低，暫略)。</w:t>
      </w:r>
    </w:p>
    <w:p w:rsidR="005C17A0" w:rsidRPr="00BC2B41" w:rsidRDefault="005C17A0" w:rsidP="005C5DDA">
      <w:pPr>
        <w:overflowPunct w:val="0"/>
        <w:topLinePunct/>
        <w:autoSpaceDN w:val="0"/>
      </w:pPr>
    </w:p>
    <w:p w:rsidR="005C17A0" w:rsidRPr="00BC2B41" w:rsidRDefault="005C17A0" w:rsidP="005C5DDA">
      <w:pPr>
        <w:pStyle w:val="a3"/>
        <w:kinsoku/>
        <w:topLinePunct/>
        <w:autoSpaceDE/>
        <w:ind w:left="0" w:firstLine="0"/>
        <w:jc w:val="center"/>
      </w:pPr>
      <w:bookmarkStart w:id="85" w:name="_Toc536451850"/>
      <w:r w:rsidRPr="00BC2B41">
        <w:rPr>
          <w:rFonts w:hint="eastAsia"/>
        </w:rPr>
        <w:t>發電裝置容量</w:t>
      </w:r>
      <w:bookmarkEnd w:id="85"/>
    </w:p>
    <w:p w:rsidR="005C17A0" w:rsidRPr="00BC2B41" w:rsidRDefault="005C17A0" w:rsidP="005C5DDA">
      <w:pPr>
        <w:overflowPunct w:val="0"/>
        <w:topLinePunct/>
        <w:autoSpaceDN w:val="0"/>
        <w:spacing w:line="240" w:lineRule="exact"/>
        <w:jc w:val="right"/>
        <w:rPr>
          <w:sz w:val="22"/>
        </w:rPr>
      </w:pPr>
      <w:r w:rsidRPr="00BC2B41">
        <w:rPr>
          <w:rFonts w:hint="eastAsia"/>
          <w:sz w:val="22"/>
        </w:rPr>
        <w:t>單位：千瓩</w:t>
      </w:r>
    </w:p>
    <w:p w:rsidR="005C17A0" w:rsidRPr="00BC2B41" w:rsidRDefault="005C17A0" w:rsidP="005C5DDA">
      <w:pPr>
        <w:overflowPunct w:val="0"/>
        <w:topLinePunct/>
        <w:autoSpaceDN w:val="0"/>
      </w:pPr>
      <w:r w:rsidRPr="00BC2B41">
        <w:rPr>
          <w:rFonts w:hint="eastAsia"/>
          <w:noProof/>
        </w:rPr>
        <mc:AlternateContent>
          <mc:Choice Requires="wps">
            <w:drawing>
              <wp:anchor distT="0" distB="0" distL="114300" distR="114300" simplePos="0" relativeHeight="251664384" behindDoc="0" locked="0" layoutInCell="1" allowOverlap="1" wp14:anchorId="3901F1DD" wp14:editId="1AA87996">
                <wp:simplePos x="0" y="0"/>
                <wp:positionH relativeFrom="column">
                  <wp:posOffset>765598</wp:posOffset>
                </wp:positionH>
                <wp:positionV relativeFrom="paragraph">
                  <wp:posOffset>329565</wp:posOffset>
                </wp:positionV>
                <wp:extent cx="393700" cy="933450"/>
                <wp:effectExtent l="0" t="0" r="25400" b="19050"/>
                <wp:wrapNone/>
                <wp:docPr id="7" name="矩形 7"/>
                <wp:cNvGraphicFramePr/>
                <a:graphic xmlns:a="http://schemas.openxmlformats.org/drawingml/2006/main">
                  <a:graphicData uri="http://schemas.microsoft.com/office/word/2010/wordprocessingShape">
                    <wps:wsp>
                      <wps:cNvSpPr/>
                      <wps:spPr>
                        <a:xfrm>
                          <a:off x="0" y="0"/>
                          <a:ext cx="393700" cy="933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C548B1" id="矩形 7" o:spid="_x0000_s1026" style="position:absolute;margin-left:60.3pt;margin-top:25.95pt;width:31pt;height:7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" filled="f" strokecolor="#243f60 [1604]" strokeweight="2pt"/>
            </w:pict>
          </mc:Fallback>
        </mc:AlternateContent>
      </w:r>
      <w:r w:rsidRPr="00BC2B41">
        <w:rPr>
          <w:rFonts w:hint="eastAsia"/>
          <w:noProof/>
        </w:rPr>
        <w:drawing>
          <wp:inline distT="0" distB="0" distL="0" distR="0" wp14:anchorId="4C4D4236" wp14:editId="4AF1FFD6">
            <wp:extent cx="5615940" cy="1203325"/>
            <wp:effectExtent l="0" t="0" r="3810" b="0"/>
            <wp:docPr id="216" name="圖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9333.tmp"/>
                    <pic:cNvPicPr/>
                  </pic:nvPicPr>
                  <pic:blipFill>
                    <a:blip r:embed="rId36">
                      <a:extLst>
                        <a:ext uri="{28A0092B-C50C-407E-A947-70E740481C1C}">
                          <a14:useLocalDpi xmlns:a14="http://schemas.microsoft.com/office/drawing/2010/main" val="0"/>
                        </a:ext>
                      </a:extLst>
                    </a:blip>
                    <a:stretch>
                      <a:fillRect/>
                    </a:stretch>
                  </pic:blipFill>
                  <pic:spPr>
                    <a:xfrm>
                      <a:off x="0" y="0"/>
                      <a:ext cx="5615940" cy="1203325"/>
                    </a:xfrm>
                    <a:prstGeom prst="rect">
                      <a:avLst/>
                    </a:prstGeom>
                  </pic:spPr>
                </pic:pic>
              </a:graphicData>
            </a:graphic>
          </wp:inline>
        </w:drawing>
      </w:r>
    </w:p>
    <w:p w:rsidR="005C17A0" w:rsidRPr="00BC2B41" w:rsidRDefault="005C17A0" w:rsidP="005C5DDA">
      <w:pPr>
        <w:overflowPunct w:val="0"/>
        <w:topLinePunct/>
        <w:autoSpaceDN w:val="0"/>
      </w:pPr>
      <w:r w:rsidRPr="00BC2B41">
        <w:rPr>
          <w:rFonts w:hint="eastAsia"/>
          <w:noProof/>
        </w:rPr>
        <w:lastRenderedPageBreak/>
        <mc:AlternateContent>
          <mc:Choice Requires="wps">
            <w:drawing>
              <wp:anchor distT="0" distB="0" distL="114300" distR="114300" simplePos="0" relativeHeight="251665408" behindDoc="0" locked="0" layoutInCell="1" allowOverlap="1" wp14:anchorId="40F09600" wp14:editId="68B74EFF">
                <wp:simplePos x="0" y="0"/>
                <wp:positionH relativeFrom="column">
                  <wp:posOffset>470535</wp:posOffset>
                </wp:positionH>
                <wp:positionV relativeFrom="paragraph">
                  <wp:posOffset>581872</wp:posOffset>
                </wp:positionV>
                <wp:extent cx="469900" cy="996950"/>
                <wp:effectExtent l="0" t="0" r="25400" b="12700"/>
                <wp:wrapNone/>
                <wp:docPr id="60" name="矩形 60"/>
                <wp:cNvGraphicFramePr/>
                <a:graphic xmlns:a="http://schemas.openxmlformats.org/drawingml/2006/main">
                  <a:graphicData uri="http://schemas.microsoft.com/office/word/2010/wordprocessingShape">
                    <wps:wsp>
                      <wps:cNvSpPr/>
                      <wps:spPr>
                        <a:xfrm>
                          <a:off x="0" y="0"/>
                          <a:ext cx="469900" cy="996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78B01" id="矩形 60" o:spid="_x0000_s1026" style="position:absolute;margin-left:37.05pt;margin-top:45.8pt;width:37pt;height: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" filled="f" strokecolor="#243f60 [1604]" strokeweight="2pt"/>
            </w:pict>
          </mc:Fallback>
        </mc:AlternateContent>
      </w:r>
      <w:r w:rsidRPr="00BC2B41">
        <w:rPr>
          <w:rFonts w:hint="eastAsia"/>
          <w:noProof/>
        </w:rPr>
        <w:drawing>
          <wp:inline distT="0" distB="0" distL="0" distR="0" wp14:anchorId="5B5E7409" wp14:editId="51967095">
            <wp:extent cx="3987800" cy="1614109"/>
            <wp:effectExtent l="0" t="0" r="0" b="5715"/>
            <wp:docPr id="217" name="圖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C3A.tmp"/>
                    <pic:cNvPicPr/>
                  </pic:nvPicPr>
                  <pic:blipFill>
                    <a:blip r:embed="rId37">
                      <a:extLst>
                        <a:ext uri="{28A0092B-C50C-407E-A947-70E740481C1C}">
                          <a14:useLocalDpi xmlns:a14="http://schemas.microsoft.com/office/drawing/2010/main" val="0"/>
                        </a:ext>
                      </a:extLst>
                    </a:blip>
                    <a:stretch>
                      <a:fillRect/>
                    </a:stretch>
                  </pic:blipFill>
                  <pic:spPr>
                    <a:xfrm>
                      <a:off x="0" y="0"/>
                      <a:ext cx="3988356" cy="1614334"/>
                    </a:xfrm>
                    <a:prstGeom prst="rect">
                      <a:avLst/>
                    </a:prstGeom>
                  </pic:spPr>
                </pic:pic>
              </a:graphicData>
            </a:graphic>
          </wp:inline>
        </w:drawing>
      </w:r>
    </w:p>
    <w:p w:rsidR="005C17A0" w:rsidRPr="00BC2B41" w:rsidRDefault="005C17A0" w:rsidP="005C5DDA">
      <w:pPr>
        <w:overflowPunct w:val="0"/>
        <w:topLinePunct/>
        <w:autoSpaceDN w:val="0"/>
      </w:pPr>
      <w:r w:rsidRPr="00BC2B41">
        <w:rPr>
          <w:rFonts w:hint="eastAsia"/>
          <w:noProof/>
        </w:rPr>
        <mc:AlternateContent>
          <mc:Choice Requires="wps">
            <w:drawing>
              <wp:anchor distT="0" distB="0" distL="114300" distR="114300" simplePos="0" relativeHeight="251666432" behindDoc="0" locked="0" layoutInCell="1" allowOverlap="1" wp14:anchorId="1369F2E0" wp14:editId="629740AF">
                <wp:simplePos x="0" y="0"/>
                <wp:positionH relativeFrom="column">
                  <wp:posOffset>462068</wp:posOffset>
                </wp:positionH>
                <wp:positionV relativeFrom="paragraph">
                  <wp:posOffset>598170</wp:posOffset>
                </wp:positionV>
                <wp:extent cx="469900" cy="990600"/>
                <wp:effectExtent l="0" t="0" r="25400" b="19050"/>
                <wp:wrapNone/>
                <wp:docPr id="8" name="矩形 8"/>
                <wp:cNvGraphicFramePr/>
                <a:graphic xmlns:a="http://schemas.openxmlformats.org/drawingml/2006/main">
                  <a:graphicData uri="http://schemas.microsoft.com/office/word/2010/wordprocessingShape">
                    <wps:wsp>
                      <wps:cNvSpPr/>
                      <wps:spPr>
                        <a:xfrm>
                          <a:off x="0" y="0"/>
                          <a:ext cx="469900" cy="990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782A5" id="矩形 8" o:spid="_x0000_s1026" style="position:absolute;margin-left:36.4pt;margin-top:47.1pt;width:37pt;height: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" filled="f" strokecolor="#243f60 [1604]" strokeweight="2pt"/>
            </w:pict>
          </mc:Fallback>
        </mc:AlternateContent>
      </w:r>
      <w:r w:rsidRPr="00BC2B41">
        <w:rPr>
          <w:rFonts w:hint="eastAsia"/>
          <w:noProof/>
        </w:rPr>
        <w:drawing>
          <wp:inline distT="0" distB="0" distL="0" distR="0" wp14:anchorId="5F995416" wp14:editId="183BBA05">
            <wp:extent cx="4699000" cy="1529589"/>
            <wp:effectExtent l="0" t="0" r="6350" b="0"/>
            <wp:docPr id="218" name="圖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90F4.tmp"/>
                    <pic:cNvPicPr/>
                  </pic:nvPicPr>
                  <pic:blipFill rotWithShape="1">
                    <a:blip r:embed="rId38">
                      <a:extLst>
                        <a:ext uri="{28A0092B-C50C-407E-A947-70E740481C1C}">
                          <a14:useLocalDpi xmlns:a14="http://schemas.microsoft.com/office/drawing/2010/main" val="0"/>
                        </a:ext>
                      </a:extLst>
                    </a:blip>
                    <a:srcRect t="10845"/>
                    <a:stretch/>
                  </pic:blipFill>
                  <pic:spPr bwMode="auto">
                    <a:xfrm>
                      <a:off x="0" y="0"/>
                      <a:ext cx="4701126" cy="1530281"/>
                    </a:xfrm>
                    <a:prstGeom prst="rect">
                      <a:avLst/>
                    </a:prstGeom>
                    <a:ln>
                      <a:noFill/>
                    </a:ln>
                    <a:extLst>
                      <a:ext uri="{53640926-AAD7-44D8-BBD7-CCE9431645EC}">
                        <a14:shadowObscured xmlns:a14="http://schemas.microsoft.com/office/drawing/2010/main"/>
                      </a:ext>
                    </a:extLst>
                  </pic:spPr>
                </pic:pic>
              </a:graphicData>
            </a:graphic>
          </wp:inline>
        </w:drawing>
      </w:r>
    </w:p>
    <w:p w:rsidR="005C17A0" w:rsidRPr="00BC2B41" w:rsidRDefault="005C17A0" w:rsidP="005C5DDA">
      <w:pPr>
        <w:pStyle w:val="aff3"/>
        <w:kinsoku/>
        <w:topLinePunct/>
        <w:autoSpaceDE/>
      </w:pPr>
      <w:r w:rsidRPr="00BC2B41">
        <w:rPr>
          <w:rFonts w:hint="eastAsia"/>
        </w:rPr>
        <w:t>資料來源：能源統計資料查詢系統</w:t>
      </w:r>
    </w:p>
    <w:p w:rsidR="005C17A0" w:rsidRPr="00BC2B41" w:rsidRDefault="005C17A0" w:rsidP="005C5DDA">
      <w:pPr>
        <w:pStyle w:val="a3"/>
        <w:kinsoku/>
        <w:topLinePunct/>
        <w:autoSpaceDE/>
        <w:ind w:left="0" w:firstLine="0"/>
        <w:jc w:val="center"/>
      </w:pPr>
      <w:bookmarkStart w:id="86" w:name="_Toc536451851"/>
      <w:r w:rsidRPr="00BC2B41">
        <w:rPr>
          <w:rFonts w:hint="eastAsia"/>
        </w:rPr>
        <w:t>台電、民營電廠及自用發電設備裝置容量簡表</w:t>
      </w:r>
      <w:r w:rsidRPr="00BC2B41">
        <w:br/>
      </w:r>
      <w:r w:rsidRPr="00BC2B41">
        <w:rPr>
          <w:rFonts w:hint="eastAsia"/>
        </w:rPr>
        <w:t>(除水力外，再生能源略)</w:t>
      </w:r>
      <w:bookmarkEnd w:id="86"/>
    </w:p>
    <w:p w:rsidR="005C17A0" w:rsidRPr="00BC2B41" w:rsidRDefault="005C17A0" w:rsidP="005C5DDA">
      <w:pPr>
        <w:overflowPunct w:val="0"/>
        <w:topLinePunct/>
        <w:autoSpaceDN w:val="0"/>
        <w:ind w:leftChars="394" w:left="1340"/>
        <w:jc w:val="right"/>
        <w:rPr>
          <w:sz w:val="24"/>
          <w:szCs w:val="24"/>
        </w:rPr>
      </w:pPr>
      <w:r w:rsidRPr="00BC2B41">
        <w:rPr>
          <w:rFonts w:hint="eastAsia"/>
          <w:sz w:val="24"/>
          <w:szCs w:val="24"/>
        </w:rPr>
        <w:t>單位：</w:t>
      </w:r>
      <w:r w:rsidRPr="00BC2B41">
        <w:rPr>
          <w:rFonts w:hint="eastAsia"/>
          <w:sz w:val="24"/>
          <w:szCs w:val="24"/>
        </w:rPr>
        <w:t>GW</w:t>
      </w:r>
    </w:p>
    <w:tbl>
      <w:tblPr>
        <w:tblStyle w:val="aff2"/>
        <w:tblW w:w="8668" w:type="dxa"/>
        <w:tblInd w:w="392" w:type="dxa"/>
        <w:tblLook w:val="04A0" w:firstRow="1" w:lastRow="0" w:firstColumn="1" w:lastColumn="0" w:noHBand="0" w:noVBand="1"/>
      </w:tblPr>
      <w:tblGrid>
        <w:gridCol w:w="2167"/>
        <w:gridCol w:w="2167"/>
        <w:gridCol w:w="2167"/>
        <w:gridCol w:w="2167"/>
      </w:tblGrid>
      <w:tr w:rsidR="00BC2B41" w:rsidRPr="00BC2B41" w:rsidTr="005C17A0">
        <w:tc>
          <w:tcPr>
            <w:tcW w:w="2167" w:type="dxa"/>
            <w:tcBorders>
              <w:tl2br w:val="single" w:sz="4" w:space="0" w:color="auto"/>
            </w:tcBorders>
          </w:tcPr>
          <w:p w:rsidR="005C17A0" w:rsidRPr="00BC2B41" w:rsidRDefault="005C17A0" w:rsidP="005C5DDA">
            <w:pPr>
              <w:pStyle w:val="14"/>
              <w:topLinePunct/>
              <w:autoSpaceDE/>
              <w:jc w:val="right"/>
            </w:pPr>
            <w:r w:rsidRPr="00BC2B41">
              <w:rPr>
                <w:rFonts w:hint="eastAsia"/>
              </w:rPr>
              <w:t>年</w:t>
            </w:r>
          </w:p>
          <w:p w:rsidR="005C17A0" w:rsidRPr="00BC2B41" w:rsidRDefault="005C17A0" w:rsidP="005C5DDA">
            <w:pPr>
              <w:pStyle w:val="14"/>
              <w:topLinePunct/>
              <w:autoSpaceDE/>
            </w:pPr>
            <w:r w:rsidRPr="00BC2B41">
              <w:rPr>
                <w:rFonts w:hint="eastAsia"/>
              </w:rPr>
              <w:t>裝置容量</w:t>
            </w:r>
          </w:p>
        </w:tc>
        <w:tc>
          <w:tcPr>
            <w:tcW w:w="2167" w:type="dxa"/>
            <w:vAlign w:val="center"/>
          </w:tcPr>
          <w:p w:rsidR="005C17A0" w:rsidRPr="00BC2B41" w:rsidRDefault="005C17A0" w:rsidP="005C5DDA">
            <w:pPr>
              <w:pStyle w:val="14"/>
              <w:topLinePunct/>
              <w:autoSpaceDE/>
              <w:jc w:val="center"/>
            </w:pPr>
            <w:r w:rsidRPr="00BC2B41">
              <w:rPr>
                <w:rFonts w:hint="eastAsia"/>
              </w:rPr>
              <w:t>104</w:t>
            </w:r>
          </w:p>
        </w:tc>
        <w:tc>
          <w:tcPr>
            <w:tcW w:w="2167" w:type="dxa"/>
            <w:vAlign w:val="center"/>
          </w:tcPr>
          <w:p w:rsidR="005C17A0" w:rsidRPr="00BC2B41" w:rsidRDefault="005C17A0" w:rsidP="005C5DDA">
            <w:pPr>
              <w:pStyle w:val="14"/>
              <w:topLinePunct/>
              <w:autoSpaceDE/>
              <w:jc w:val="center"/>
            </w:pPr>
            <w:r w:rsidRPr="00BC2B41">
              <w:rPr>
                <w:rFonts w:hint="eastAsia"/>
              </w:rPr>
              <w:t>105</w:t>
            </w:r>
          </w:p>
        </w:tc>
        <w:tc>
          <w:tcPr>
            <w:tcW w:w="2167" w:type="dxa"/>
            <w:vAlign w:val="center"/>
          </w:tcPr>
          <w:p w:rsidR="005C17A0" w:rsidRPr="00BC2B41" w:rsidRDefault="005C17A0" w:rsidP="005C5DDA">
            <w:pPr>
              <w:pStyle w:val="14"/>
              <w:topLinePunct/>
              <w:autoSpaceDE/>
              <w:jc w:val="center"/>
            </w:pPr>
            <w:r w:rsidRPr="00BC2B41">
              <w:rPr>
                <w:rFonts w:hint="eastAsia"/>
              </w:rPr>
              <w:t>106</w:t>
            </w:r>
          </w:p>
        </w:tc>
      </w:tr>
      <w:tr w:rsidR="00BC2B41" w:rsidRPr="00BC2B41" w:rsidTr="005C17A0">
        <w:tc>
          <w:tcPr>
            <w:tcW w:w="2167" w:type="dxa"/>
          </w:tcPr>
          <w:p w:rsidR="005C17A0" w:rsidRPr="00BC2B41" w:rsidRDefault="005C17A0" w:rsidP="005C5DDA">
            <w:pPr>
              <w:pStyle w:val="14"/>
              <w:topLinePunct/>
              <w:autoSpaceDE/>
            </w:pPr>
            <w:r w:rsidRPr="00BC2B41">
              <w:rPr>
                <w:rFonts w:hint="eastAsia"/>
              </w:rPr>
              <w:t>台電系統</w:t>
            </w:r>
          </w:p>
        </w:tc>
        <w:tc>
          <w:tcPr>
            <w:tcW w:w="2167" w:type="dxa"/>
            <w:vAlign w:val="center"/>
          </w:tcPr>
          <w:p w:rsidR="005C17A0" w:rsidRPr="00BC2B41" w:rsidRDefault="005C17A0" w:rsidP="005C5DDA">
            <w:pPr>
              <w:pStyle w:val="14"/>
              <w:topLinePunct/>
              <w:autoSpaceDE/>
              <w:ind w:rightChars="100" w:right="340"/>
              <w:jc w:val="right"/>
            </w:pPr>
            <w:r w:rsidRPr="00BC2B41">
              <w:rPr>
                <w:rFonts w:hint="eastAsia"/>
              </w:rPr>
              <w:t>31.70</w:t>
            </w:r>
          </w:p>
        </w:tc>
        <w:tc>
          <w:tcPr>
            <w:tcW w:w="2167" w:type="dxa"/>
            <w:vAlign w:val="center"/>
          </w:tcPr>
          <w:p w:rsidR="005C17A0" w:rsidRPr="00BC2B41" w:rsidRDefault="005C17A0" w:rsidP="005C5DDA">
            <w:pPr>
              <w:pStyle w:val="14"/>
              <w:topLinePunct/>
              <w:autoSpaceDE/>
              <w:ind w:rightChars="100" w:right="340"/>
              <w:jc w:val="right"/>
            </w:pPr>
            <w:r w:rsidRPr="00BC2B41">
              <w:rPr>
                <w:rFonts w:hint="eastAsia"/>
              </w:rPr>
              <w:t>32.47</w:t>
            </w:r>
          </w:p>
        </w:tc>
        <w:tc>
          <w:tcPr>
            <w:tcW w:w="2167" w:type="dxa"/>
            <w:vAlign w:val="center"/>
          </w:tcPr>
          <w:p w:rsidR="005C17A0" w:rsidRPr="00BC2B41" w:rsidRDefault="005C17A0" w:rsidP="005C5DDA">
            <w:pPr>
              <w:pStyle w:val="14"/>
              <w:topLinePunct/>
              <w:autoSpaceDE/>
              <w:ind w:rightChars="100" w:right="340"/>
              <w:jc w:val="right"/>
            </w:pPr>
            <w:r w:rsidRPr="00BC2B41">
              <w:rPr>
                <w:rFonts w:hint="eastAsia"/>
              </w:rPr>
              <w:t>31.75</w:t>
            </w:r>
          </w:p>
        </w:tc>
      </w:tr>
      <w:tr w:rsidR="00BC2B41" w:rsidRPr="00BC2B41" w:rsidTr="005C17A0">
        <w:tc>
          <w:tcPr>
            <w:tcW w:w="2167" w:type="dxa"/>
          </w:tcPr>
          <w:p w:rsidR="005C17A0" w:rsidRPr="00BC2B41" w:rsidRDefault="005C17A0" w:rsidP="005C5DDA">
            <w:pPr>
              <w:pStyle w:val="14"/>
              <w:topLinePunct/>
              <w:autoSpaceDE/>
            </w:pPr>
            <w:r w:rsidRPr="00BC2B41">
              <w:rPr>
                <w:rFonts w:hint="eastAsia"/>
              </w:rPr>
              <w:t>民營電廠</w:t>
            </w:r>
          </w:p>
        </w:tc>
        <w:tc>
          <w:tcPr>
            <w:tcW w:w="2167" w:type="dxa"/>
            <w:vAlign w:val="center"/>
          </w:tcPr>
          <w:p w:rsidR="005C17A0" w:rsidRPr="00BC2B41" w:rsidRDefault="005C17A0" w:rsidP="005C5DDA">
            <w:pPr>
              <w:pStyle w:val="14"/>
              <w:topLinePunct/>
              <w:autoSpaceDE/>
              <w:ind w:rightChars="100" w:right="340"/>
              <w:jc w:val="right"/>
            </w:pPr>
            <w:r w:rsidRPr="00BC2B41">
              <w:rPr>
                <w:rFonts w:hint="eastAsia"/>
              </w:rPr>
              <w:t>7.71</w:t>
            </w:r>
          </w:p>
        </w:tc>
        <w:tc>
          <w:tcPr>
            <w:tcW w:w="2167" w:type="dxa"/>
            <w:vAlign w:val="center"/>
          </w:tcPr>
          <w:p w:rsidR="005C17A0" w:rsidRPr="00BC2B41" w:rsidRDefault="005C17A0" w:rsidP="005C5DDA">
            <w:pPr>
              <w:pStyle w:val="14"/>
              <w:topLinePunct/>
              <w:autoSpaceDE/>
              <w:ind w:rightChars="100" w:right="340"/>
              <w:jc w:val="right"/>
            </w:pPr>
            <w:r w:rsidRPr="00BC2B41">
              <w:rPr>
                <w:rFonts w:hint="eastAsia"/>
              </w:rPr>
              <w:t>7.71</w:t>
            </w:r>
          </w:p>
        </w:tc>
        <w:tc>
          <w:tcPr>
            <w:tcW w:w="2167" w:type="dxa"/>
            <w:vAlign w:val="center"/>
          </w:tcPr>
          <w:p w:rsidR="005C17A0" w:rsidRPr="00BC2B41" w:rsidRDefault="005C17A0" w:rsidP="005C5DDA">
            <w:pPr>
              <w:pStyle w:val="14"/>
              <w:topLinePunct/>
              <w:autoSpaceDE/>
              <w:ind w:rightChars="100" w:right="340"/>
              <w:jc w:val="right"/>
            </w:pPr>
            <w:r w:rsidRPr="00BC2B41">
              <w:rPr>
                <w:rFonts w:hint="eastAsia"/>
              </w:rPr>
              <w:t>7.71</w:t>
            </w:r>
          </w:p>
        </w:tc>
      </w:tr>
      <w:tr w:rsidR="00BC2B41" w:rsidRPr="00BC2B41" w:rsidTr="005C17A0">
        <w:tc>
          <w:tcPr>
            <w:tcW w:w="2167" w:type="dxa"/>
          </w:tcPr>
          <w:p w:rsidR="005C17A0" w:rsidRPr="00BC2B41" w:rsidRDefault="005C17A0" w:rsidP="005C5DDA">
            <w:pPr>
              <w:pStyle w:val="14"/>
              <w:topLinePunct/>
              <w:autoSpaceDE/>
            </w:pPr>
            <w:r w:rsidRPr="00BC2B41">
              <w:rPr>
                <w:rFonts w:hint="eastAsia"/>
              </w:rPr>
              <w:t>自用發電設備</w:t>
            </w:r>
          </w:p>
        </w:tc>
        <w:tc>
          <w:tcPr>
            <w:tcW w:w="2167" w:type="dxa"/>
            <w:vAlign w:val="center"/>
          </w:tcPr>
          <w:p w:rsidR="005C17A0" w:rsidRPr="00BC2B41" w:rsidRDefault="005C17A0" w:rsidP="005C5DDA">
            <w:pPr>
              <w:pStyle w:val="14"/>
              <w:topLinePunct/>
              <w:autoSpaceDE/>
              <w:ind w:rightChars="100" w:right="340"/>
              <w:jc w:val="right"/>
            </w:pPr>
            <w:r w:rsidRPr="00BC2B41">
              <w:rPr>
                <w:rFonts w:hint="eastAsia"/>
              </w:rPr>
              <w:t>7.38</w:t>
            </w:r>
          </w:p>
        </w:tc>
        <w:tc>
          <w:tcPr>
            <w:tcW w:w="2167" w:type="dxa"/>
            <w:vAlign w:val="center"/>
          </w:tcPr>
          <w:p w:rsidR="005C17A0" w:rsidRPr="00BC2B41" w:rsidRDefault="005C17A0" w:rsidP="005C5DDA">
            <w:pPr>
              <w:pStyle w:val="14"/>
              <w:topLinePunct/>
              <w:autoSpaceDE/>
              <w:ind w:rightChars="100" w:right="340"/>
              <w:jc w:val="right"/>
            </w:pPr>
            <w:r w:rsidRPr="00BC2B41">
              <w:rPr>
                <w:rFonts w:hint="eastAsia"/>
              </w:rPr>
              <w:t>7.40</w:t>
            </w:r>
          </w:p>
        </w:tc>
        <w:tc>
          <w:tcPr>
            <w:tcW w:w="2167" w:type="dxa"/>
            <w:vAlign w:val="center"/>
          </w:tcPr>
          <w:p w:rsidR="005C17A0" w:rsidRPr="00BC2B41" w:rsidRDefault="005C17A0" w:rsidP="005C5DDA">
            <w:pPr>
              <w:pStyle w:val="14"/>
              <w:topLinePunct/>
              <w:autoSpaceDE/>
              <w:ind w:rightChars="100" w:right="340"/>
              <w:jc w:val="right"/>
            </w:pPr>
            <w:r w:rsidRPr="00BC2B41">
              <w:rPr>
                <w:rFonts w:hint="eastAsia"/>
              </w:rPr>
              <w:t>7.37</w:t>
            </w:r>
          </w:p>
        </w:tc>
      </w:tr>
      <w:tr w:rsidR="00BC2B41" w:rsidRPr="00BC2B41" w:rsidTr="005C17A0">
        <w:tc>
          <w:tcPr>
            <w:tcW w:w="2167" w:type="dxa"/>
          </w:tcPr>
          <w:p w:rsidR="005C17A0" w:rsidRPr="00BC2B41" w:rsidRDefault="005C17A0" w:rsidP="005C5DDA">
            <w:pPr>
              <w:pStyle w:val="14"/>
              <w:topLinePunct/>
              <w:autoSpaceDE/>
            </w:pPr>
            <w:r w:rsidRPr="00BC2B41">
              <w:rPr>
                <w:rFonts w:hint="eastAsia"/>
              </w:rPr>
              <w:t>總裝置容量</w:t>
            </w:r>
          </w:p>
        </w:tc>
        <w:tc>
          <w:tcPr>
            <w:tcW w:w="2167" w:type="dxa"/>
            <w:vAlign w:val="center"/>
          </w:tcPr>
          <w:p w:rsidR="005C17A0" w:rsidRPr="00BC2B41" w:rsidRDefault="005C17A0" w:rsidP="005C5DDA">
            <w:pPr>
              <w:pStyle w:val="14"/>
              <w:topLinePunct/>
              <w:autoSpaceDE/>
              <w:ind w:rightChars="100" w:right="340"/>
              <w:jc w:val="right"/>
              <w:rPr>
                <w:rFonts w:ascii="新細明體" w:eastAsia="新細明體" w:hAnsi="新細明體" w:cs="新細明體"/>
              </w:rPr>
            </w:pPr>
            <w:r w:rsidRPr="00BC2B41">
              <w:rPr>
                <w:rFonts w:hint="eastAsia"/>
              </w:rPr>
              <w:t>46.79</w:t>
            </w:r>
          </w:p>
        </w:tc>
        <w:tc>
          <w:tcPr>
            <w:tcW w:w="2167" w:type="dxa"/>
            <w:vAlign w:val="center"/>
          </w:tcPr>
          <w:p w:rsidR="005C17A0" w:rsidRPr="00BC2B41" w:rsidRDefault="005C17A0" w:rsidP="005C5DDA">
            <w:pPr>
              <w:pStyle w:val="14"/>
              <w:topLinePunct/>
              <w:autoSpaceDE/>
              <w:ind w:rightChars="100" w:right="340"/>
              <w:jc w:val="right"/>
              <w:rPr>
                <w:rFonts w:ascii="新細明體" w:eastAsia="新細明體" w:hAnsi="新細明體" w:cs="新細明體"/>
              </w:rPr>
            </w:pPr>
            <w:r w:rsidRPr="00BC2B41">
              <w:rPr>
                <w:rFonts w:hint="eastAsia"/>
              </w:rPr>
              <w:t>47.58</w:t>
            </w:r>
          </w:p>
        </w:tc>
        <w:tc>
          <w:tcPr>
            <w:tcW w:w="2167" w:type="dxa"/>
            <w:vAlign w:val="center"/>
          </w:tcPr>
          <w:p w:rsidR="005C17A0" w:rsidRPr="00BC2B41" w:rsidRDefault="005C17A0" w:rsidP="005C5DDA">
            <w:pPr>
              <w:pStyle w:val="14"/>
              <w:topLinePunct/>
              <w:autoSpaceDE/>
              <w:ind w:rightChars="100" w:right="340"/>
              <w:jc w:val="right"/>
              <w:rPr>
                <w:rFonts w:ascii="新細明體" w:eastAsia="新細明體" w:hAnsi="新細明體" w:cs="新細明體"/>
              </w:rPr>
            </w:pPr>
            <w:r w:rsidRPr="00BC2B41">
              <w:rPr>
                <w:rFonts w:hint="eastAsia"/>
              </w:rPr>
              <w:t>46.83</w:t>
            </w:r>
          </w:p>
        </w:tc>
      </w:tr>
    </w:tbl>
    <w:p w:rsidR="001734C9" w:rsidRPr="00BC2B41" w:rsidRDefault="001734C9" w:rsidP="001734C9">
      <w:pPr>
        <w:pStyle w:val="aff3"/>
      </w:pPr>
      <w:r w:rsidRPr="00BC2B41">
        <w:rPr>
          <w:rFonts w:hint="eastAsia"/>
        </w:rPr>
        <w:t>資料來源：能源統計資料查詢系統</w:t>
      </w:r>
    </w:p>
    <w:p w:rsidR="005C17A0" w:rsidRPr="00BC2B41" w:rsidRDefault="005C17A0" w:rsidP="005C5DDA">
      <w:pPr>
        <w:overflowPunct w:val="0"/>
        <w:topLinePunct/>
        <w:autoSpaceDN w:val="0"/>
      </w:pPr>
    </w:p>
    <w:p w:rsidR="005C17A0" w:rsidRPr="00BC2B41" w:rsidRDefault="005C17A0" w:rsidP="005C5DDA">
      <w:pPr>
        <w:pStyle w:val="3"/>
        <w:overflowPunct w:val="0"/>
        <w:topLinePunct/>
        <w:autoSpaceDN w:val="0"/>
      </w:pPr>
      <w:r w:rsidRPr="00BC2B41">
        <w:rPr>
          <w:rFonts w:hint="eastAsia"/>
        </w:rPr>
        <w:t>次查104~106年發電量，如表</w:t>
      </w:r>
      <w:r w:rsidR="007E709A" w:rsidRPr="00BC2B41">
        <w:rPr>
          <w:rFonts w:hint="eastAsia"/>
        </w:rPr>
        <w:t>16</w:t>
      </w:r>
      <w:r w:rsidRPr="00BC2B41">
        <w:rPr>
          <w:rFonts w:hint="eastAsia"/>
        </w:rPr>
        <w:t>。近10年發購電量及火力發購電量與裝置容量占比如圖</w:t>
      </w:r>
      <w:r w:rsidR="00DD4C83" w:rsidRPr="00BC2B41">
        <w:rPr>
          <w:rFonts w:hint="eastAsia"/>
        </w:rPr>
        <w:t>1</w:t>
      </w:r>
      <w:r w:rsidRPr="00BC2B41">
        <w:rPr>
          <w:rFonts w:hint="eastAsia"/>
        </w:rPr>
        <w:t>5，其中，104~106年火力發購電量占比依序為78.3%、79.5%、84.4%，迭創新高。為比較台電與民營電廠燃氣、燃煤機組利用率，綜整台電公司、民營電廠裝置容量、發電量及容量因數如表</w:t>
      </w:r>
      <w:r w:rsidR="007E709A" w:rsidRPr="00BC2B41">
        <w:rPr>
          <w:rFonts w:hint="eastAsia"/>
        </w:rPr>
        <w:t>17</w:t>
      </w:r>
      <w:r w:rsidRPr="00BC2B41">
        <w:rPr>
          <w:rFonts w:hint="eastAsia"/>
        </w:rPr>
        <w:t>。數據顯示，</w:t>
      </w:r>
      <w:r w:rsidRPr="00BC2B41">
        <w:rPr>
          <w:rFonts w:hint="eastAsia"/>
        </w:rPr>
        <w:lastRenderedPageBreak/>
        <w:t>不論台電或民營電廠，燃煤容量因數均逾80%，高於燃氣機組甚多，此固與燃煤機組當基載用有關，然民營電廠燃氣容量因數普遍低於50%，且低於台電甚多。此意謂倘民營電廠天然氣用量限制等得以排除，其機組利用率是有提升之空間。</w:t>
      </w:r>
    </w:p>
    <w:p w:rsidR="005C17A0" w:rsidRPr="00BC2B41" w:rsidRDefault="005C17A0" w:rsidP="005C5DDA">
      <w:pPr>
        <w:pStyle w:val="a3"/>
        <w:kinsoku/>
        <w:topLinePunct/>
        <w:autoSpaceDE/>
        <w:ind w:left="0" w:firstLine="0"/>
        <w:jc w:val="center"/>
      </w:pPr>
      <w:bookmarkStart w:id="87" w:name="_Toc536451852"/>
      <w:r w:rsidRPr="00BC2B41">
        <w:rPr>
          <w:rFonts w:hint="eastAsia"/>
        </w:rPr>
        <w:t>104~106年發電量</w:t>
      </w:r>
      <w:bookmarkEnd w:id="87"/>
    </w:p>
    <w:p w:rsidR="005C17A0" w:rsidRPr="00BC2B41" w:rsidRDefault="005C17A0" w:rsidP="005C5DDA">
      <w:pPr>
        <w:overflowPunct w:val="0"/>
        <w:topLinePunct/>
        <w:autoSpaceDN w:val="0"/>
        <w:spacing w:line="240" w:lineRule="exact"/>
        <w:jc w:val="right"/>
        <w:rPr>
          <w:sz w:val="24"/>
        </w:rPr>
      </w:pPr>
      <w:r w:rsidRPr="00BC2B41">
        <w:rPr>
          <w:rFonts w:hint="eastAsia"/>
          <w:sz w:val="24"/>
        </w:rPr>
        <w:t>單位：百萬度</w:t>
      </w:r>
    </w:p>
    <w:p w:rsidR="005C17A0" w:rsidRPr="00BC2B41" w:rsidRDefault="005C17A0" w:rsidP="005C5DDA">
      <w:pPr>
        <w:overflowPunct w:val="0"/>
        <w:topLinePunct/>
        <w:autoSpaceDN w:val="0"/>
      </w:pPr>
      <w:r w:rsidRPr="00BC2B41">
        <w:rPr>
          <w:rFonts w:hint="eastAsia"/>
          <w:noProof/>
        </w:rPr>
        <mc:AlternateContent>
          <mc:Choice Requires="wps">
            <w:drawing>
              <wp:anchor distT="0" distB="0" distL="114300" distR="114300" simplePos="0" relativeHeight="251669504" behindDoc="0" locked="0" layoutInCell="1" allowOverlap="1" wp14:anchorId="465C061E" wp14:editId="53637E7F">
                <wp:simplePos x="0" y="0"/>
                <wp:positionH relativeFrom="column">
                  <wp:posOffset>2883112</wp:posOffset>
                </wp:positionH>
                <wp:positionV relativeFrom="paragraph">
                  <wp:posOffset>632460</wp:posOffset>
                </wp:positionV>
                <wp:extent cx="361950" cy="673100"/>
                <wp:effectExtent l="0" t="0" r="19050" b="12700"/>
                <wp:wrapNone/>
                <wp:docPr id="195" name="矩形 195"/>
                <wp:cNvGraphicFramePr/>
                <a:graphic xmlns:a="http://schemas.openxmlformats.org/drawingml/2006/main">
                  <a:graphicData uri="http://schemas.microsoft.com/office/word/2010/wordprocessingShape">
                    <wps:wsp>
                      <wps:cNvSpPr/>
                      <wps:spPr>
                        <a:xfrm>
                          <a:off x="0" y="0"/>
                          <a:ext cx="361950" cy="6731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C47C26" id="矩形 195" o:spid="_x0000_s1026" style="position:absolute;margin-left:227pt;margin-top:49.8pt;width:28.5pt;height:5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" filled="f" strokecolor="#243f60 [1604]" strokeweight="2pt"/>
            </w:pict>
          </mc:Fallback>
        </mc:AlternateContent>
      </w:r>
      <w:r w:rsidRPr="00BC2B41">
        <w:rPr>
          <w:rFonts w:hint="eastAsia"/>
          <w:noProof/>
        </w:rPr>
        <mc:AlternateContent>
          <mc:Choice Requires="wps">
            <w:drawing>
              <wp:anchor distT="0" distB="0" distL="114300" distR="114300" simplePos="0" relativeHeight="251668480" behindDoc="0" locked="0" layoutInCell="1" allowOverlap="1" wp14:anchorId="2AF8A08F" wp14:editId="1F34604C">
                <wp:simplePos x="0" y="0"/>
                <wp:positionH relativeFrom="column">
                  <wp:posOffset>2149475</wp:posOffset>
                </wp:positionH>
                <wp:positionV relativeFrom="paragraph">
                  <wp:posOffset>632460</wp:posOffset>
                </wp:positionV>
                <wp:extent cx="355600" cy="673100"/>
                <wp:effectExtent l="0" t="0" r="25400" b="12700"/>
                <wp:wrapNone/>
                <wp:docPr id="194" name="矩形 194"/>
                <wp:cNvGraphicFramePr/>
                <a:graphic xmlns:a="http://schemas.openxmlformats.org/drawingml/2006/main">
                  <a:graphicData uri="http://schemas.microsoft.com/office/word/2010/wordprocessingShape">
                    <wps:wsp>
                      <wps:cNvSpPr/>
                      <wps:spPr>
                        <a:xfrm>
                          <a:off x="0" y="0"/>
                          <a:ext cx="355600" cy="6731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AFAA57" id="矩形 194" o:spid="_x0000_s1026" style="position:absolute;margin-left:169.25pt;margin-top:49.8pt;width:28pt;height:53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" filled="f" strokecolor="#243f60 [1604]" strokeweight="2pt"/>
            </w:pict>
          </mc:Fallback>
        </mc:AlternateContent>
      </w:r>
      <w:r w:rsidRPr="00BC2B41">
        <w:rPr>
          <w:rFonts w:hint="eastAsia"/>
          <w:noProof/>
        </w:rPr>
        <w:drawing>
          <wp:inline distT="0" distB="0" distL="0" distR="0" wp14:anchorId="375F0EFD" wp14:editId="54CECF68">
            <wp:extent cx="5615940" cy="1549400"/>
            <wp:effectExtent l="0" t="0" r="3810" b="0"/>
            <wp:docPr id="210" name="圖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7465.tmp"/>
                    <pic:cNvPicPr/>
                  </pic:nvPicPr>
                  <pic:blipFill>
                    <a:blip r:embed="rId39">
                      <a:extLst>
                        <a:ext uri="{28A0092B-C50C-407E-A947-70E740481C1C}">
                          <a14:useLocalDpi xmlns:a14="http://schemas.microsoft.com/office/drawing/2010/main" val="0"/>
                        </a:ext>
                      </a:extLst>
                    </a:blip>
                    <a:stretch>
                      <a:fillRect/>
                    </a:stretch>
                  </pic:blipFill>
                  <pic:spPr>
                    <a:xfrm>
                      <a:off x="0" y="0"/>
                      <a:ext cx="5615940" cy="1549400"/>
                    </a:xfrm>
                    <a:prstGeom prst="rect">
                      <a:avLst/>
                    </a:prstGeom>
                  </pic:spPr>
                </pic:pic>
              </a:graphicData>
            </a:graphic>
          </wp:inline>
        </w:drawing>
      </w:r>
    </w:p>
    <w:p w:rsidR="005C17A0" w:rsidRPr="00BC2B41" w:rsidRDefault="005C17A0" w:rsidP="005C5DDA">
      <w:pPr>
        <w:overflowPunct w:val="0"/>
        <w:topLinePunct/>
        <w:autoSpaceDN w:val="0"/>
      </w:pPr>
      <w:r w:rsidRPr="00BC2B41">
        <w:rPr>
          <w:rFonts w:hint="eastAsia"/>
          <w:noProof/>
        </w:rPr>
        <mc:AlternateContent>
          <mc:Choice Requires="wps">
            <w:drawing>
              <wp:anchor distT="0" distB="0" distL="114300" distR="114300" simplePos="0" relativeHeight="251667456" behindDoc="0" locked="0" layoutInCell="1" allowOverlap="1" wp14:anchorId="1CF7BE45" wp14:editId="674B2FB6">
                <wp:simplePos x="0" y="0"/>
                <wp:positionH relativeFrom="column">
                  <wp:posOffset>955675</wp:posOffset>
                </wp:positionH>
                <wp:positionV relativeFrom="paragraph">
                  <wp:posOffset>751840</wp:posOffset>
                </wp:positionV>
                <wp:extent cx="952500" cy="863600"/>
                <wp:effectExtent l="0" t="0" r="19050" b="12700"/>
                <wp:wrapNone/>
                <wp:docPr id="63" name="矩形 63"/>
                <wp:cNvGraphicFramePr/>
                <a:graphic xmlns:a="http://schemas.openxmlformats.org/drawingml/2006/main">
                  <a:graphicData uri="http://schemas.microsoft.com/office/word/2010/wordprocessingShape">
                    <wps:wsp>
                      <wps:cNvSpPr/>
                      <wps:spPr>
                        <a:xfrm>
                          <a:off x="0" y="0"/>
                          <a:ext cx="952500" cy="863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C6BB1" id="矩形 63" o:spid="_x0000_s1026" style="position:absolute;margin-left:75.25pt;margin-top:59.2pt;width:75pt;height: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" filled="f" strokecolor="#243f60 [1604]" strokeweight="2pt"/>
            </w:pict>
          </mc:Fallback>
        </mc:AlternateContent>
      </w:r>
      <w:r w:rsidRPr="00BC2B41">
        <w:rPr>
          <w:rFonts w:hint="eastAsia"/>
          <w:noProof/>
        </w:rPr>
        <w:drawing>
          <wp:inline distT="0" distB="0" distL="0" distR="0" wp14:anchorId="4A72405E" wp14:editId="1C1C3B87">
            <wp:extent cx="4724400" cy="1613795"/>
            <wp:effectExtent l="0" t="0" r="0" b="5715"/>
            <wp:docPr id="211" name="圖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33CE.tmp"/>
                    <pic:cNvPicPr/>
                  </pic:nvPicPr>
                  <pic:blipFill>
                    <a:blip r:embed="rId40">
                      <a:extLst>
                        <a:ext uri="{28A0092B-C50C-407E-A947-70E740481C1C}">
                          <a14:useLocalDpi xmlns:a14="http://schemas.microsoft.com/office/drawing/2010/main" val="0"/>
                        </a:ext>
                      </a:extLst>
                    </a:blip>
                    <a:stretch>
                      <a:fillRect/>
                    </a:stretch>
                  </pic:blipFill>
                  <pic:spPr>
                    <a:xfrm>
                      <a:off x="0" y="0"/>
                      <a:ext cx="4726538" cy="1614525"/>
                    </a:xfrm>
                    <a:prstGeom prst="rect">
                      <a:avLst/>
                    </a:prstGeom>
                  </pic:spPr>
                </pic:pic>
              </a:graphicData>
            </a:graphic>
          </wp:inline>
        </w:drawing>
      </w:r>
    </w:p>
    <w:p w:rsidR="005C17A0" w:rsidRPr="00BC2B41" w:rsidRDefault="005C17A0" w:rsidP="005C5DDA">
      <w:pPr>
        <w:overflowPunct w:val="0"/>
        <w:topLinePunct/>
        <w:autoSpaceDN w:val="0"/>
      </w:pPr>
      <w:r w:rsidRPr="00BC2B41">
        <w:rPr>
          <w:rFonts w:hint="eastAsia"/>
          <w:noProof/>
        </w:rPr>
        <w:drawing>
          <wp:inline distT="0" distB="0" distL="0" distR="0" wp14:anchorId="02247AAB" wp14:editId="4C82B6AE">
            <wp:extent cx="5171383" cy="1447800"/>
            <wp:effectExtent l="0" t="0" r="0" b="0"/>
            <wp:docPr id="213" name="圖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2EA1.tmp"/>
                    <pic:cNvPicPr/>
                  </pic:nvPicPr>
                  <pic:blipFill>
                    <a:blip r:embed="rId41">
                      <a:extLst>
                        <a:ext uri="{28A0092B-C50C-407E-A947-70E740481C1C}">
                          <a14:useLocalDpi xmlns:a14="http://schemas.microsoft.com/office/drawing/2010/main" val="0"/>
                        </a:ext>
                      </a:extLst>
                    </a:blip>
                    <a:stretch>
                      <a:fillRect/>
                    </a:stretch>
                  </pic:blipFill>
                  <pic:spPr>
                    <a:xfrm>
                      <a:off x="0" y="0"/>
                      <a:ext cx="5179554" cy="1450087"/>
                    </a:xfrm>
                    <a:prstGeom prst="rect">
                      <a:avLst/>
                    </a:prstGeom>
                  </pic:spPr>
                </pic:pic>
              </a:graphicData>
            </a:graphic>
          </wp:inline>
        </w:drawing>
      </w:r>
    </w:p>
    <w:p w:rsidR="005C17A0" w:rsidRPr="00BC2B41" w:rsidRDefault="005C17A0" w:rsidP="005C5DDA">
      <w:pPr>
        <w:overflowPunct w:val="0"/>
        <w:topLinePunct/>
        <w:autoSpaceDN w:val="0"/>
        <w:spacing w:beforeLines="50" w:before="228"/>
        <w:ind w:left="680" w:hangingChars="200" w:hanging="680"/>
      </w:pPr>
      <w:r w:rsidRPr="00BC2B41">
        <w:rPr>
          <w:rFonts w:hint="eastAsia"/>
          <w:noProof/>
        </w:rPr>
        <w:drawing>
          <wp:inline distT="0" distB="0" distL="0" distR="0" wp14:anchorId="4DA712C5" wp14:editId="1D87ED14">
            <wp:extent cx="1460500" cy="1426772"/>
            <wp:effectExtent l="0" t="0" r="6350" b="2540"/>
            <wp:docPr id="214" name="圖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B771.tmp"/>
                    <pic:cNvPicPr/>
                  </pic:nvPicPr>
                  <pic:blipFill rotWithShape="1">
                    <a:blip r:embed="rId42">
                      <a:extLst>
                        <a:ext uri="{28A0092B-C50C-407E-A947-70E740481C1C}">
                          <a14:useLocalDpi xmlns:a14="http://schemas.microsoft.com/office/drawing/2010/main" val="0"/>
                        </a:ext>
                      </a:extLst>
                    </a:blip>
                    <a:srcRect t="13000"/>
                    <a:stretch/>
                  </pic:blipFill>
                  <pic:spPr bwMode="auto">
                    <a:xfrm>
                      <a:off x="0" y="0"/>
                      <a:ext cx="1465582" cy="1431737"/>
                    </a:xfrm>
                    <a:prstGeom prst="rect">
                      <a:avLst/>
                    </a:prstGeom>
                    <a:ln>
                      <a:noFill/>
                    </a:ln>
                    <a:extLst>
                      <a:ext uri="{53640926-AAD7-44D8-BBD7-CCE9431645EC}">
                        <a14:shadowObscured xmlns:a14="http://schemas.microsoft.com/office/drawing/2010/main"/>
                      </a:ext>
                    </a:extLst>
                  </pic:spPr>
                </pic:pic>
              </a:graphicData>
            </a:graphic>
          </wp:inline>
        </w:drawing>
      </w:r>
    </w:p>
    <w:p w:rsidR="005C17A0" w:rsidRPr="00BC2B41" w:rsidRDefault="005C17A0" w:rsidP="005C5DDA">
      <w:pPr>
        <w:overflowPunct w:val="0"/>
        <w:topLinePunct/>
        <w:autoSpaceDN w:val="0"/>
        <w:ind w:leftChars="200" w:left="680"/>
      </w:pPr>
      <w:r w:rsidRPr="00BC2B41">
        <w:rPr>
          <w:rFonts w:hint="eastAsia"/>
          <w:noProof/>
        </w:rPr>
        <w:lastRenderedPageBreak/>
        <mc:AlternateContent>
          <mc:Choice Requires="wps">
            <w:drawing>
              <wp:anchor distT="0" distB="0" distL="114300" distR="114300" simplePos="0" relativeHeight="251672576" behindDoc="0" locked="0" layoutInCell="1" allowOverlap="1" wp14:anchorId="029EE61F" wp14:editId="24EEDC2D">
                <wp:simplePos x="0" y="0"/>
                <wp:positionH relativeFrom="column">
                  <wp:posOffset>3411220</wp:posOffset>
                </wp:positionH>
                <wp:positionV relativeFrom="paragraph">
                  <wp:posOffset>2479040</wp:posOffset>
                </wp:positionV>
                <wp:extent cx="419100" cy="406400"/>
                <wp:effectExtent l="0" t="0" r="19050" b="12700"/>
                <wp:wrapNone/>
                <wp:docPr id="227" name="橢圓 227"/>
                <wp:cNvGraphicFramePr/>
                <a:graphic xmlns:a="http://schemas.openxmlformats.org/drawingml/2006/main">
                  <a:graphicData uri="http://schemas.microsoft.com/office/word/2010/wordprocessingShape">
                    <wps:wsp>
                      <wps:cNvSpPr/>
                      <wps:spPr>
                        <a:xfrm>
                          <a:off x="0" y="0"/>
                          <a:ext cx="419100" cy="4064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EBB38E" id="橢圓 227" o:spid="_x0000_s1026" style="position:absolute;margin-left:268.6pt;margin-top:195.2pt;width:33pt;height:3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" filled="f" strokecolor="#243f60 [1604]" strokeweight="2pt"/>
            </w:pict>
          </mc:Fallback>
        </mc:AlternateContent>
      </w:r>
      <w:r w:rsidRPr="00BC2B41">
        <w:rPr>
          <w:rFonts w:hint="eastAsia"/>
          <w:noProof/>
        </w:rPr>
        <w:drawing>
          <wp:inline distT="0" distB="0" distL="0" distR="0" wp14:anchorId="7A816491" wp14:editId="50FC04B0">
            <wp:extent cx="4842933" cy="4250267"/>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989A90.tmp"/>
                    <pic:cNvPicPr/>
                  </pic:nvPicPr>
                  <pic:blipFill>
                    <a:blip r:embed="rId43">
                      <a:extLst>
                        <a:ext uri="{28A0092B-C50C-407E-A947-70E740481C1C}">
                          <a14:useLocalDpi xmlns:a14="http://schemas.microsoft.com/office/drawing/2010/main" val="0"/>
                        </a:ext>
                      </a:extLst>
                    </a:blip>
                    <a:stretch>
                      <a:fillRect/>
                    </a:stretch>
                  </pic:blipFill>
                  <pic:spPr>
                    <a:xfrm>
                      <a:off x="0" y="0"/>
                      <a:ext cx="4849141" cy="4255715"/>
                    </a:xfrm>
                    <a:prstGeom prst="rect">
                      <a:avLst/>
                    </a:prstGeom>
                  </pic:spPr>
                </pic:pic>
              </a:graphicData>
            </a:graphic>
          </wp:inline>
        </w:drawing>
      </w:r>
    </w:p>
    <w:p w:rsidR="005C17A0" w:rsidRPr="00BC2B41" w:rsidRDefault="005C17A0" w:rsidP="005C5DDA">
      <w:pPr>
        <w:pStyle w:val="a1"/>
        <w:topLinePunct/>
        <w:autoSpaceDE/>
        <w:spacing w:before="40" w:after="240"/>
        <w:ind w:left="480" w:hanging="480"/>
      </w:pPr>
      <w:bookmarkStart w:id="88" w:name="_Toc536451809"/>
      <w:r w:rsidRPr="00BC2B41">
        <w:rPr>
          <w:rFonts w:hint="eastAsia"/>
        </w:rPr>
        <w:t>台電系統近10年發購電量</w:t>
      </w:r>
      <w:bookmarkEnd w:id="88"/>
    </w:p>
    <w:p w:rsidR="005C17A0" w:rsidRPr="00BC2B41" w:rsidRDefault="005C17A0" w:rsidP="005C5DDA">
      <w:pPr>
        <w:overflowPunct w:val="0"/>
        <w:topLinePunct/>
        <w:autoSpaceDN w:val="0"/>
      </w:pPr>
    </w:p>
    <w:p w:rsidR="005C17A0" w:rsidRPr="00BC2B41" w:rsidRDefault="005C17A0" w:rsidP="005C5DDA">
      <w:pPr>
        <w:pStyle w:val="a3"/>
        <w:kinsoku/>
        <w:topLinePunct/>
        <w:autoSpaceDE/>
        <w:ind w:left="0" w:firstLine="0"/>
        <w:jc w:val="center"/>
      </w:pPr>
      <w:bookmarkStart w:id="89" w:name="_Toc536451853"/>
      <w:r w:rsidRPr="00BC2B41">
        <w:rPr>
          <w:rFonts w:hint="eastAsia"/>
        </w:rPr>
        <w:t>台電、民營電廠燃氣、燃煤發電104~106年容量因數比較</w:t>
      </w:r>
      <w:bookmarkEnd w:id="89"/>
    </w:p>
    <w:p w:rsidR="005C17A0" w:rsidRPr="00BC2B41" w:rsidRDefault="005C17A0" w:rsidP="005C5DDA">
      <w:pPr>
        <w:overflowPunct w:val="0"/>
        <w:topLinePunct/>
        <w:autoSpaceDN w:val="0"/>
        <w:ind w:leftChars="100" w:left="340"/>
      </w:pPr>
      <w:r w:rsidRPr="00BC2B41">
        <w:rPr>
          <w:noProof/>
        </w:rPr>
        <mc:AlternateContent>
          <mc:Choice Requires="wps">
            <w:drawing>
              <wp:anchor distT="0" distB="0" distL="114300" distR="114300" simplePos="0" relativeHeight="251662336" behindDoc="0" locked="0" layoutInCell="1" allowOverlap="1" wp14:anchorId="6F4CB112" wp14:editId="6C31F746">
                <wp:simplePos x="0" y="0"/>
                <wp:positionH relativeFrom="column">
                  <wp:posOffset>5278120</wp:posOffset>
                </wp:positionH>
                <wp:positionV relativeFrom="paragraph">
                  <wp:posOffset>892175</wp:posOffset>
                </wp:positionV>
                <wp:extent cx="552450" cy="495300"/>
                <wp:effectExtent l="0" t="0" r="19050" b="19050"/>
                <wp:wrapNone/>
                <wp:docPr id="9" name="矩形 9"/>
                <wp:cNvGraphicFramePr/>
                <a:graphic xmlns:a="http://schemas.openxmlformats.org/drawingml/2006/main">
                  <a:graphicData uri="http://schemas.microsoft.com/office/word/2010/wordprocessingShape">
                    <wps:wsp>
                      <wps:cNvSpPr/>
                      <wps:spPr>
                        <a:xfrm>
                          <a:off x="0" y="0"/>
                          <a:ext cx="552450" cy="495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2C3B7B" id="矩形 9" o:spid="_x0000_s1026" style="position:absolute;margin-left:415.6pt;margin-top:70.25pt;width:43.5pt;height:3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" filled="f" strokecolor="red" strokeweight="2pt"/>
            </w:pict>
          </mc:Fallback>
        </mc:AlternateContent>
      </w:r>
      <w:r w:rsidRPr="00BC2B41">
        <w:rPr>
          <w:noProof/>
        </w:rPr>
        <mc:AlternateContent>
          <mc:Choice Requires="wps">
            <w:drawing>
              <wp:anchor distT="0" distB="0" distL="114300" distR="114300" simplePos="0" relativeHeight="251663360" behindDoc="0" locked="0" layoutInCell="1" allowOverlap="1" wp14:anchorId="53E81C4F" wp14:editId="0A92E17D">
                <wp:simplePos x="0" y="0"/>
                <wp:positionH relativeFrom="column">
                  <wp:posOffset>5278120</wp:posOffset>
                </wp:positionH>
                <wp:positionV relativeFrom="paragraph">
                  <wp:posOffset>399415</wp:posOffset>
                </wp:positionV>
                <wp:extent cx="552450" cy="488950"/>
                <wp:effectExtent l="0" t="0" r="19050" b="25400"/>
                <wp:wrapNone/>
                <wp:docPr id="15" name="矩形 15"/>
                <wp:cNvGraphicFramePr/>
                <a:graphic xmlns:a="http://schemas.openxmlformats.org/drawingml/2006/main">
                  <a:graphicData uri="http://schemas.microsoft.com/office/word/2010/wordprocessingShape">
                    <wps:wsp>
                      <wps:cNvSpPr/>
                      <wps:spPr>
                        <a:xfrm>
                          <a:off x="0" y="0"/>
                          <a:ext cx="552450" cy="488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24E497" id="矩形 15" o:spid="_x0000_s1026" style="position:absolute;margin-left:415.6pt;margin-top:31.45pt;width:43.5pt;height:3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" filled="f" strokecolor="#243f60 [1604]" strokeweight="2pt"/>
            </w:pict>
          </mc:Fallback>
        </mc:AlternateContent>
      </w:r>
      <w:r w:rsidRPr="00BC2B41">
        <w:rPr>
          <w:noProof/>
        </w:rPr>
        <w:drawing>
          <wp:inline distT="0" distB="0" distL="0" distR="0" wp14:anchorId="3FE12345" wp14:editId="3B12E403">
            <wp:extent cx="5613400" cy="1321472"/>
            <wp:effectExtent l="0" t="0" r="6350" b="0"/>
            <wp:docPr id="208" name="圖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894EF.tmp"/>
                    <pic:cNvPicPr/>
                  </pic:nvPicPr>
                  <pic:blipFill>
                    <a:blip r:embed="rId44">
                      <a:extLst>
                        <a:ext uri="{28A0092B-C50C-407E-A947-70E740481C1C}">
                          <a14:useLocalDpi xmlns:a14="http://schemas.microsoft.com/office/drawing/2010/main" val="0"/>
                        </a:ext>
                      </a:extLst>
                    </a:blip>
                    <a:stretch>
                      <a:fillRect/>
                    </a:stretch>
                  </pic:blipFill>
                  <pic:spPr>
                    <a:xfrm>
                      <a:off x="0" y="0"/>
                      <a:ext cx="5618798" cy="1322743"/>
                    </a:xfrm>
                    <a:prstGeom prst="rect">
                      <a:avLst/>
                    </a:prstGeom>
                  </pic:spPr>
                </pic:pic>
              </a:graphicData>
            </a:graphic>
          </wp:inline>
        </w:drawing>
      </w:r>
    </w:p>
    <w:p w:rsidR="005C17A0" w:rsidRPr="00BC2B41" w:rsidRDefault="005C17A0" w:rsidP="005C5DDA">
      <w:pPr>
        <w:overflowPunct w:val="0"/>
        <w:topLinePunct/>
        <w:autoSpaceDN w:val="0"/>
      </w:pPr>
    </w:p>
    <w:p w:rsidR="005C17A0" w:rsidRPr="00BC2B41" w:rsidRDefault="005C17A0" w:rsidP="005C5DDA">
      <w:pPr>
        <w:pStyle w:val="3"/>
        <w:overflowPunct w:val="0"/>
        <w:topLinePunct/>
        <w:autoSpaceDN w:val="0"/>
      </w:pPr>
      <w:r w:rsidRPr="00BC2B41">
        <w:rPr>
          <w:rFonts w:hint="eastAsia"/>
        </w:rPr>
        <w:t>再查自用發電設備106年裝置容量(9.80GW)之組成，經濟部107年12月6日經授能字第10703011380號函稱「能源統計資料查詢系統所列106年自用發電設備合計裝置容量(9.8GW)，係指全國所有自用發電設備，包括工商業設置之汽電共生設備、民間</w:t>
      </w:r>
      <w:r w:rsidRPr="00BC2B41">
        <w:rPr>
          <w:rFonts w:hint="eastAsia"/>
        </w:rPr>
        <w:lastRenderedPageBreak/>
        <w:t>自備發電機及再生能源自用發電設備等。一般汽電共生系統之裝備容量為8.1GW，包含合格汽電共生系統裝置容量7.67GW，其中有餘電出售而與台電公司簽訂售電契約之合格汽電共生系統裝置容量為5.62GW，如圖</w:t>
      </w:r>
      <w:r w:rsidR="00DD4C83" w:rsidRPr="00BC2B41">
        <w:rPr>
          <w:rFonts w:hint="eastAsia"/>
        </w:rPr>
        <w:t>1</w:t>
      </w:r>
      <w:r w:rsidRPr="00BC2B41">
        <w:rPr>
          <w:rFonts w:hint="eastAsia"/>
        </w:rPr>
        <w:t>6」、「經統計，與台電公司簽約非屬專業處理廢棄物之合格汽電共生系統，裝置容量共4.99GW，尖峰保證容量為1.50GW；屬專業處理廢棄物之合格汽電共生系統，裝置容量共0.63GW，尖峰保證容量為0.45GW。」等語。簡言之，與台電公司簽約之合格汽電共生裝置容量雖有5.62GW，但其中與台電公司簽「尖峰保證容量」約2GW。102~106年汽電共生購電實績如表</w:t>
      </w:r>
      <w:r w:rsidR="007E709A" w:rsidRPr="00BC2B41">
        <w:rPr>
          <w:rFonts w:hint="eastAsia"/>
        </w:rPr>
        <w:t>18</w:t>
      </w:r>
      <w:r w:rsidRPr="00BC2B41">
        <w:rPr>
          <w:rFonts w:hint="eastAsia"/>
        </w:rPr>
        <w:t>。數據顯示，近年汽電共生購電數逐年減少，平均單價約2元/度，遠低於需量競價(5~8元/度)。</w:t>
      </w:r>
    </w:p>
    <w:p w:rsidR="005C17A0" w:rsidRPr="00BC2B41" w:rsidRDefault="005C17A0" w:rsidP="005C5DDA">
      <w:pPr>
        <w:overflowPunct w:val="0"/>
        <w:topLinePunct/>
        <w:autoSpaceDN w:val="0"/>
        <w:ind w:leftChars="300" w:left="1020"/>
      </w:pPr>
      <w:r w:rsidRPr="00BC2B41">
        <w:rPr>
          <w:noProof/>
        </w:rPr>
        <w:drawing>
          <wp:inline distT="0" distB="0" distL="0" distR="0" wp14:anchorId="5EC207AD" wp14:editId="54AD67B7">
            <wp:extent cx="4759696" cy="2387600"/>
            <wp:effectExtent l="0" t="0" r="3175"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59696" cy="2387600"/>
                    </a:xfrm>
                    <a:prstGeom prst="rect">
                      <a:avLst/>
                    </a:prstGeom>
                    <a:noFill/>
                    <a:ln>
                      <a:noFill/>
                    </a:ln>
                  </pic:spPr>
                </pic:pic>
              </a:graphicData>
            </a:graphic>
          </wp:inline>
        </w:drawing>
      </w:r>
    </w:p>
    <w:p w:rsidR="005C17A0" w:rsidRPr="00BC2B41" w:rsidRDefault="005C17A0" w:rsidP="005C5DDA">
      <w:pPr>
        <w:pStyle w:val="a1"/>
        <w:topLinePunct/>
        <w:autoSpaceDE/>
        <w:spacing w:before="40" w:after="240"/>
        <w:ind w:left="480" w:hanging="480"/>
      </w:pPr>
      <w:bookmarkStart w:id="90" w:name="_Toc536451810"/>
      <w:r w:rsidRPr="00BC2B41">
        <w:rPr>
          <w:rFonts w:hint="eastAsia"/>
        </w:rPr>
        <w:t>自用發電設備架構</w:t>
      </w:r>
      <w:bookmarkEnd w:id="90"/>
    </w:p>
    <w:p w:rsidR="005C17A0" w:rsidRPr="00BC2B41" w:rsidRDefault="005C17A0" w:rsidP="005C5DDA">
      <w:pPr>
        <w:widowControl/>
        <w:overflowPunct w:val="0"/>
        <w:topLinePunct/>
        <w:autoSpaceDN w:val="0"/>
        <w:rPr>
          <w:rFonts w:hAnsi="華康楷書體W5(P)"/>
          <w:bCs/>
          <w:spacing w:val="-10"/>
          <w:kern w:val="28"/>
          <w:sz w:val="28"/>
          <w:szCs w:val="28"/>
        </w:rPr>
      </w:pPr>
      <w:r w:rsidRPr="00BC2B41">
        <w:br w:type="page"/>
      </w:r>
    </w:p>
    <w:p w:rsidR="005C17A0" w:rsidRPr="00BC2B41" w:rsidRDefault="007E709A" w:rsidP="005C5DDA">
      <w:pPr>
        <w:pStyle w:val="a3"/>
        <w:kinsoku/>
        <w:topLinePunct/>
        <w:autoSpaceDE/>
        <w:ind w:left="0" w:firstLine="0"/>
        <w:jc w:val="center"/>
      </w:pPr>
      <w:bookmarkStart w:id="91" w:name="_Toc536451854"/>
      <w:r w:rsidRPr="00BC2B41">
        <w:rPr>
          <w:rFonts w:hint="eastAsia"/>
          <w:noProof/>
        </w:rPr>
        <w:lastRenderedPageBreak/>
        <mc:AlternateContent>
          <mc:Choice Requires="wps">
            <w:drawing>
              <wp:anchor distT="0" distB="0" distL="114300" distR="114300" simplePos="0" relativeHeight="251670528" behindDoc="0" locked="0" layoutInCell="1" allowOverlap="1" wp14:anchorId="1B70B897" wp14:editId="4E663BEA">
                <wp:simplePos x="0" y="0"/>
                <wp:positionH relativeFrom="column">
                  <wp:posOffset>1539875</wp:posOffset>
                </wp:positionH>
                <wp:positionV relativeFrom="paragraph">
                  <wp:posOffset>247015</wp:posOffset>
                </wp:positionV>
                <wp:extent cx="1250950" cy="1663700"/>
                <wp:effectExtent l="0" t="0" r="25400" b="12700"/>
                <wp:wrapNone/>
                <wp:docPr id="219" name="矩形 219"/>
                <wp:cNvGraphicFramePr/>
                <a:graphic xmlns:a="http://schemas.openxmlformats.org/drawingml/2006/main">
                  <a:graphicData uri="http://schemas.microsoft.com/office/word/2010/wordprocessingShape">
                    <wps:wsp>
                      <wps:cNvSpPr/>
                      <wps:spPr>
                        <a:xfrm>
                          <a:off x="0" y="0"/>
                          <a:ext cx="1250950" cy="1663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8CABD" id="矩形 219" o:spid="_x0000_s1026" style="position:absolute;margin-left:121.25pt;margin-top:19.45pt;width:98.5pt;height:13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" filled="f" strokecolor="#243f60 [1604]" strokeweight="2pt"/>
            </w:pict>
          </mc:Fallback>
        </mc:AlternateContent>
      </w:r>
      <w:r w:rsidRPr="00BC2B41">
        <w:rPr>
          <w:rFonts w:hint="eastAsia"/>
          <w:noProof/>
        </w:rPr>
        <mc:AlternateContent>
          <mc:Choice Requires="wps">
            <w:drawing>
              <wp:anchor distT="0" distB="0" distL="114300" distR="114300" simplePos="0" relativeHeight="251671552" behindDoc="0" locked="0" layoutInCell="1" allowOverlap="1" wp14:anchorId="43156FA7" wp14:editId="286925DF">
                <wp:simplePos x="0" y="0"/>
                <wp:positionH relativeFrom="column">
                  <wp:posOffset>4046220</wp:posOffset>
                </wp:positionH>
                <wp:positionV relativeFrom="paragraph">
                  <wp:posOffset>245110</wp:posOffset>
                </wp:positionV>
                <wp:extent cx="1206500" cy="1663700"/>
                <wp:effectExtent l="0" t="0" r="12700" b="12700"/>
                <wp:wrapNone/>
                <wp:docPr id="226" name="矩形 226"/>
                <wp:cNvGraphicFramePr/>
                <a:graphic xmlns:a="http://schemas.openxmlformats.org/drawingml/2006/main">
                  <a:graphicData uri="http://schemas.microsoft.com/office/word/2010/wordprocessingShape">
                    <wps:wsp>
                      <wps:cNvSpPr/>
                      <wps:spPr>
                        <a:xfrm>
                          <a:off x="0" y="0"/>
                          <a:ext cx="1206500" cy="1663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D53804" id="矩形 226" o:spid="_x0000_s1026" style="position:absolute;margin-left:318.6pt;margin-top:19.3pt;width:95pt;height:13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" filled="f" strokecolor="#243f60 [1604]" strokeweight="2pt"/>
            </w:pict>
          </mc:Fallback>
        </mc:AlternateContent>
      </w:r>
      <w:r w:rsidR="005C17A0" w:rsidRPr="00BC2B41">
        <w:rPr>
          <w:rFonts w:hint="eastAsia"/>
        </w:rPr>
        <w:t>台電公司102~106年汽電共生購電實績</w:t>
      </w:r>
      <w:bookmarkEnd w:id="91"/>
    </w:p>
    <w:tbl>
      <w:tblPr>
        <w:tblStyle w:val="aff2"/>
        <w:tblW w:w="0" w:type="auto"/>
        <w:jc w:val="center"/>
        <w:tblLook w:val="04A0" w:firstRow="1" w:lastRow="0" w:firstColumn="1" w:lastColumn="0" w:noHBand="0" w:noVBand="1"/>
      </w:tblPr>
      <w:tblGrid>
        <w:gridCol w:w="1880"/>
        <w:gridCol w:w="1947"/>
        <w:gridCol w:w="1980"/>
        <w:gridCol w:w="1913"/>
      </w:tblGrid>
      <w:tr w:rsidR="00BC2B41" w:rsidRPr="00BC2B41" w:rsidTr="007E709A">
        <w:trPr>
          <w:jc w:val="center"/>
        </w:trPr>
        <w:tc>
          <w:tcPr>
            <w:tcW w:w="1880" w:type="dxa"/>
            <w:tcBorders>
              <w:tl2br w:val="single" w:sz="4" w:space="0" w:color="auto"/>
            </w:tcBorders>
          </w:tcPr>
          <w:p w:rsidR="005C17A0" w:rsidRPr="00BC2B41" w:rsidRDefault="005C17A0" w:rsidP="005C5DDA">
            <w:pPr>
              <w:pStyle w:val="14"/>
              <w:topLinePunct/>
              <w:autoSpaceDE/>
              <w:jc w:val="right"/>
            </w:pPr>
            <w:r w:rsidRPr="00BC2B41">
              <w:rPr>
                <w:rFonts w:hint="eastAsia"/>
              </w:rPr>
              <w:t>項目</w:t>
            </w:r>
          </w:p>
          <w:p w:rsidR="005C17A0" w:rsidRPr="00BC2B41" w:rsidRDefault="005C17A0" w:rsidP="005C5DDA">
            <w:pPr>
              <w:pStyle w:val="14"/>
              <w:topLinePunct/>
              <w:autoSpaceDE/>
            </w:pPr>
            <w:r w:rsidRPr="00BC2B41">
              <w:rPr>
                <w:rFonts w:hint="eastAsia"/>
              </w:rPr>
              <w:t>年度</w:t>
            </w:r>
          </w:p>
        </w:tc>
        <w:tc>
          <w:tcPr>
            <w:tcW w:w="1947" w:type="dxa"/>
          </w:tcPr>
          <w:p w:rsidR="005C17A0" w:rsidRPr="00BC2B41" w:rsidRDefault="005C17A0" w:rsidP="005C5DDA">
            <w:pPr>
              <w:pStyle w:val="14"/>
              <w:topLinePunct/>
              <w:autoSpaceDE/>
              <w:jc w:val="center"/>
            </w:pPr>
            <w:r w:rsidRPr="00BC2B41">
              <w:rPr>
                <w:rFonts w:hint="eastAsia"/>
              </w:rPr>
              <w:t>購電度數</w:t>
            </w:r>
          </w:p>
          <w:p w:rsidR="005C17A0" w:rsidRPr="00BC2B41" w:rsidRDefault="005C17A0" w:rsidP="005C5DDA">
            <w:pPr>
              <w:pStyle w:val="14"/>
              <w:topLinePunct/>
              <w:autoSpaceDE/>
              <w:jc w:val="center"/>
            </w:pPr>
            <w:r w:rsidRPr="00BC2B41">
              <w:rPr>
                <w:rFonts w:hint="eastAsia"/>
              </w:rPr>
              <w:t>(億度)</w:t>
            </w:r>
          </w:p>
        </w:tc>
        <w:tc>
          <w:tcPr>
            <w:tcW w:w="1980" w:type="dxa"/>
          </w:tcPr>
          <w:p w:rsidR="005C17A0" w:rsidRPr="00BC2B41" w:rsidRDefault="005C17A0" w:rsidP="005C5DDA">
            <w:pPr>
              <w:pStyle w:val="14"/>
              <w:topLinePunct/>
              <w:autoSpaceDE/>
              <w:jc w:val="center"/>
            </w:pPr>
            <w:r w:rsidRPr="00BC2B41">
              <w:rPr>
                <w:rFonts w:hint="eastAsia"/>
              </w:rPr>
              <w:t>購電金額</w:t>
            </w:r>
          </w:p>
          <w:p w:rsidR="005C17A0" w:rsidRPr="00BC2B41" w:rsidRDefault="005C17A0" w:rsidP="005C5DDA">
            <w:pPr>
              <w:pStyle w:val="14"/>
              <w:topLinePunct/>
              <w:autoSpaceDE/>
              <w:jc w:val="center"/>
            </w:pPr>
            <w:r w:rsidRPr="00BC2B41">
              <w:rPr>
                <w:rFonts w:hint="eastAsia"/>
              </w:rPr>
              <w:t>(億元)</w:t>
            </w:r>
          </w:p>
        </w:tc>
        <w:tc>
          <w:tcPr>
            <w:tcW w:w="1913" w:type="dxa"/>
          </w:tcPr>
          <w:p w:rsidR="005C17A0" w:rsidRPr="00BC2B41" w:rsidRDefault="005C17A0" w:rsidP="005C5DDA">
            <w:pPr>
              <w:pStyle w:val="14"/>
              <w:topLinePunct/>
              <w:autoSpaceDE/>
              <w:jc w:val="center"/>
            </w:pPr>
            <w:r w:rsidRPr="00BC2B41">
              <w:rPr>
                <w:rFonts w:hint="eastAsia"/>
              </w:rPr>
              <w:t>平均單價</w:t>
            </w:r>
          </w:p>
          <w:p w:rsidR="005C17A0" w:rsidRPr="00BC2B41" w:rsidRDefault="005C17A0" w:rsidP="005C5DDA">
            <w:pPr>
              <w:pStyle w:val="14"/>
              <w:topLinePunct/>
              <w:autoSpaceDE/>
              <w:jc w:val="center"/>
            </w:pPr>
            <w:r w:rsidRPr="00BC2B41">
              <w:rPr>
                <w:rFonts w:hint="eastAsia"/>
              </w:rPr>
              <w:t>(元/度)</w:t>
            </w:r>
          </w:p>
        </w:tc>
      </w:tr>
      <w:tr w:rsidR="00BC2B41" w:rsidRPr="00BC2B41" w:rsidTr="007E709A">
        <w:trPr>
          <w:jc w:val="center"/>
        </w:trPr>
        <w:tc>
          <w:tcPr>
            <w:tcW w:w="1880" w:type="dxa"/>
          </w:tcPr>
          <w:p w:rsidR="005C17A0" w:rsidRPr="00BC2B41" w:rsidRDefault="005C17A0" w:rsidP="005C5DDA">
            <w:pPr>
              <w:pStyle w:val="14"/>
              <w:topLinePunct/>
              <w:autoSpaceDE/>
              <w:jc w:val="center"/>
            </w:pPr>
            <w:r w:rsidRPr="00BC2B41">
              <w:rPr>
                <w:rFonts w:hint="eastAsia"/>
              </w:rPr>
              <w:t>102</w:t>
            </w:r>
          </w:p>
        </w:tc>
        <w:tc>
          <w:tcPr>
            <w:tcW w:w="1947" w:type="dxa"/>
          </w:tcPr>
          <w:p w:rsidR="005C17A0" w:rsidRPr="00BC2B41" w:rsidRDefault="005C17A0" w:rsidP="005C5DDA">
            <w:pPr>
              <w:pStyle w:val="14"/>
              <w:topLinePunct/>
              <w:autoSpaceDE/>
              <w:jc w:val="center"/>
            </w:pPr>
            <w:r w:rsidRPr="00BC2B41">
              <w:rPr>
                <w:rFonts w:hint="eastAsia"/>
              </w:rPr>
              <w:t>96.98</w:t>
            </w:r>
          </w:p>
        </w:tc>
        <w:tc>
          <w:tcPr>
            <w:tcW w:w="1980" w:type="dxa"/>
          </w:tcPr>
          <w:p w:rsidR="005C17A0" w:rsidRPr="00BC2B41" w:rsidRDefault="005C17A0" w:rsidP="005C5DDA">
            <w:pPr>
              <w:pStyle w:val="14"/>
              <w:topLinePunct/>
              <w:autoSpaceDE/>
              <w:jc w:val="center"/>
            </w:pPr>
            <w:r w:rsidRPr="00BC2B41">
              <w:rPr>
                <w:rFonts w:hint="eastAsia"/>
              </w:rPr>
              <w:t>209</w:t>
            </w:r>
          </w:p>
        </w:tc>
        <w:tc>
          <w:tcPr>
            <w:tcW w:w="1913" w:type="dxa"/>
          </w:tcPr>
          <w:p w:rsidR="005C17A0" w:rsidRPr="00BC2B41" w:rsidRDefault="005C17A0" w:rsidP="005C5DDA">
            <w:pPr>
              <w:pStyle w:val="14"/>
              <w:topLinePunct/>
              <w:autoSpaceDE/>
              <w:jc w:val="center"/>
            </w:pPr>
            <w:r w:rsidRPr="00BC2B41">
              <w:rPr>
                <w:rFonts w:hint="eastAsia"/>
              </w:rPr>
              <w:t>2.13</w:t>
            </w:r>
          </w:p>
        </w:tc>
      </w:tr>
      <w:tr w:rsidR="00BC2B41" w:rsidRPr="00BC2B41" w:rsidTr="007E709A">
        <w:trPr>
          <w:jc w:val="center"/>
        </w:trPr>
        <w:tc>
          <w:tcPr>
            <w:tcW w:w="1880" w:type="dxa"/>
          </w:tcPr>
          <w:p w:rsidR="005C17A0" w:rsidRPr="00BC2B41" w:rsidRDefault="005C17A0" w:rsidP="005C5DDA">
            <w:pPr>
              <w:pStyle w:val="14"/>
              <w:topLinePunct/>
              <w:autoSpaceDE/>
              <w:jc w:val="center"/>
            </w:pPr>
            <w:r w:rsidRPr="00BC2B41">
              <w:rPr>
                <w:rFonts w:hint="eastAsia"/>
              </w:rPr>
              <w:t>103</w:t>
            </w:r>
          </w:p>
        </w:tc>
        <w:tc>
          <w:tcPr>
            <w:tcW w:w="1947" w:type="dxa"/>
          </w:tcPr>
          <w:p w:rsidR="005C17A0" w:rsidRPr="00BC2B41" w:rsidRDefault="005C17A0" w:rsidP="005C5DDA">
            <w:pPr>
              <w:pStyle w:val="14"/>
              <w:topLinePunct/>
              <w:autoSpaceDE/>
              <w:jc w:val="center"/>
            </w:pPr>
            <w:r w:rsidRPr="00BC2B41">
              <w:rPr>
                <w:rFonts w:hint="eastAsia"/>
              </w:rPr>
              <w:t>94.98</w:t>
            </w:r>
          </w:p>
        </w:tc>
        <w:tc>
          <w:tcPr>
            <w:tcW w:w="1980" w:type="dxa"/>
          </w:tcPr>
          <w:p w:rsidR="005C17A0" w:rsidRPr="00BC2B41" w:rsidRDefault="005C17A0" w:rsidP="005C5DDA">
            <w:pPr>
              <w:pStyle w:val="14"/>
              <w:topLinePunct/>
              <w:autoSpaceDE/>
              <w:jc w:val="center"/>
            </w:pPr>
            <w:r w:rsidRPr="00BC2B41">
              <w:rPr>
                <w:rFonts w:hint="eastAsia"/>
              </w:rPr>
              <w:t>211.85</w:t>
            </w:r>
          </w:p>
        </w:tc>
        <w:tc>
          <w:tcPr>
            <w:tcW w:w="1913" w:type="dxa"/>
          </w:tcPr>
          <w:p w:rsidR="005C17A0" w:rsidRPr="00BC2B41" w:rsidRDefault="005C17A0" w:rsidP="005C5DDA">
            <w:pPr>
              <w:pStyle w:val="14"/>
              <w:topLinePunct/>
              <w:autoSpaceDE/>
              <w:jc w:val="center"/>
            </w:pPr>
            <w:r w:rsidRPr="00BC2B41">
              <w:rPr>
                <w:rFonts w:hint="eastAsia"/>
              </w:rPr>
              <w:t>2.23</w:t>
            </w:r>
          </w:p>
        </w:tc>
      </w:tr>
      <w:tr w:rsidR="00BC2B41" w:rsidRPr="00BC2B41" w:rsidTr="007E709A">
        <w:trPr>
          <w:jc w:val="center"/>
        </w:trPr>
        <w:tc>
          <w:tcPr>
            <w:tcW w:w="1880" w:type="dxa"/>
          </w:tcPr>
          <w:p w:rsidR="005C17A0" w:rsidRPr="00BC2B41" w:rsidRDefault="005C17A0" w:rsidP="005C5DDA">
            <w:pPr>
              <w:pStyle w:val="14"/>
              <w:topLinePunct/>
              <w:autoSpaceDE/>
              <w:jc w:val="center"/>
            </w:pPr>
            <w:r w:rsidRPr="00BC2B41">
              <w:rPr>
                <w:rFonts w:hint="eastAsia"/>
              </w:rPr>
              <w:t>104</w:t>
            </w:r>
          </w:p>
        </w:tc>
        <w:tc>
          <w:tcPr>
            <w:tcW w:w="1947" w:type="dxa"/>
          </w:tcPr>
          <w:p w:rsidR="005C17A0" w:rsidRPr="00BC2B41" w:rsidRDefault="005C17A0" w:rsidP="005C5DDA">
            <w:pPr>
              <w:pStyle w:val="14"/>
              <w:topLinePunct/>
              <w:autoSpaceDE/>
              <w:jc w:val="center"/>
            </w:pPr>
            <w:r w:rsidRPr="00BC2B41">
              <w:rPr>
                <w:rFonts w:hint="eastAsia"/>
              </w:rPr>
              <w:t>87.58</w:t>
            </w:r>
          </w:p>
        </w:tc>
        <w:tc>
          <w:tcPr>
            <w:tcW w:w="1980" w:type="dxa"/>
          </w:tcPr>
          <w:p w:rsidR="005C17A0" w:rsidRPr="00BC2B41" w:rsidRDefault="005C17A0" w:rsidP="005C5DDA">
            <w:pPr>
              <w:pStyle w:val="14"/>
              <w:topLinePunct/>
              <w:autoSpaceDE/>
              <w:jc w:val="center"/>
            </w:pPr>
            <w:r w:rsidRPr="00BC2B41">
              <w:rPr>
                <w:rFonts w:hint="eastAsia"/>
              </w:rPr>
              <w:t>193.81</w:t>
            </w:r>
          </w:p>
        </w:tc>
        <w:tc>
          <w:tcPr>
            <w:tcW w:w="1913" w:type="dxa"/>
          </w:tcPr>
          <w:p w:rsidR="005C17A0" w:rsidRPr="00BC2B41" w:rsidRDefault="005C17A0" w:rsidP="005C5DDA">
            <w:pPr>
              <w:pStyle w:val="14"/>
              <w:topLinePunct/>
              <w:autoSpaceDE/>
              <w:jc w:val="center"/>
            </w:pPr>
            <w:r w:rsidRPr="00BC2B41">
              <w:rPr>
                <w:rFonts w:hint="eastAsia"/>
              </w:rPr>
              <w:t>2.21</w:t>
            </w:r>
          </w:p>
        </w:tc>
      </w:tr>
      <w:tr w:rsidR="00BC2B41" w:rsidRPr="00BC2B41" w:rsidTr="007E709A">
        <w:trPr>
          <w:jc w:val="center"/>
        </w:trPr>
        <w:tc>
          <w:tcPr>
            <w:tcW w:w="1880" w:type="dxa"/>
          </w:tcPr>
          <w:p w:rsidR="005C17A0" w:rsidRPr="00BC2B41" w:rsidRDefault="005C17A0" w:rsidP="005C5DDA">
            <w:pPr>
              <w:pStyle w:val="14"/>
              <w:topLinePunct/>
              <w:autoSpaceDE/>
              <w:jc w:val="center"/>
            </w:pPr>
            <w:r w:rsidRPr="00BC2B41">
              <w:rPr>
                <w:rFonts w:hint="eastAsia"/>
              </w:rPr>
              <w:t>105</w:t>
            </w:r>
          </w:p>
        </w:tc>
        <w:tc>
          <w:tcPr>
            <w:tcW w:w="1947" w:type="dxa"/>
          </w:tcPr>
          <w:p w:rsidR="005C17A0" w:rsidRPr="00BC2B41" w:rsidRDefault="005C17A0" w:rsidP="005C5DDA">
            <w:pPr>
              <w:pStyle w:val="14"/>
              <w:topLinePunct/>
              <w:autoSpaceDE/>
              <w:jc w:val="center"/>
            </w:pPr>
            <w:r w:rsidRPr="00BC2B41">
              <w:rPr>
                <w:rFonts w:hint="eastAsia"/>
              </w:rPr>
              <w:t>84.64</w:t>
            </w:r>
          </w:p>
        </w:tc>
        <w:tc>
          <w:tcPr>
            <w:tcW w:w="1980" w:type="dxa"/>
          </w:tcPr>
          <w:p w:rsidR="005C17A0" w:rsidRPr="00BC2B41" w:rsidRDefault="005C17A0" w:rsidP="005C5DDA">
            <w:pPr>
              <w:pStyle w:val="14"/>
              <w:topLinePunct/>
              <w:autoSpaceDE/>
              <w:jc w:val="center"/>
            </w:pPr>
            <w:r w:rsidRPr="00BC2B41">
              <w:rPr>
                <w:rFonts w:hint="eastAsia"/>
              </w:rPr>
              <w:t>161.52</w:t>
            </w:r>
          </w:p>
        </w:tc>
        <w:tc>
          <w:tcPr>
            <w:tcW w:w="1913" w:type="dxa"/>
          </w:tcPr>
          <w:p w:rsidR="005C17A0" w:rsidRPr="00BC2B41" w:rsidRDefault="005C17A0" w:rsidP="005C5DDA">
            <w:pPr>
              <w:pStyle w:val="14"/>
              <w:topLinePunct/>
              <w:autoSpaceDE/>
              <w:jc w:val="center"/>
            </w:pPr>
            <w:r w:rsidRPr="00BC2B41">
              <w:rPr>
                <w:rFonts w:hint="eastAsia"/>
              </w:rPr>
              <w:t>1.9</w:t>
            </w:r>
          </w:p>
        </w:tc>
      </w:tr>
      <w:tr w:rsidR="00BC2B41" w:rsidRPr="00BC2B41" w:rsidTr="007E709A">
        <w:trPr>
          <w:jc w:val="center"/>
        </w:trPr>
        <w:tc>
          <w:tcPr>
            <w:tcW w:w="1880" w:type="dxa"/>
          </w:tcPr>
          <w:p w:rsidR="005C17A0" w:rsidRPr="00BC2B41" w:rsidRDefault="005C17A0" w:rsidP="005C5DDA">
            <w:pPr>
              <w:pStyle w:val="14"/>
              <w:topLinePunct/>
              <w:autoSpaceDE/>
              <w:jc w:val="center"/>
            </w:pPr>
            <w:r w:rsidRPr="00BC2B41">
              <w:rPr>
                <w:rFonts w:hint="eastAsia"/>
              </w:rPr>
              <w:t>106</w:t>
            </w:r>
          </w:p>
        </w:tc>
        <w:tc>
          <w:tcPr>
            <w:tcW w:w="1947" w:type="dxa"/>
          </w:tcPr>
          <w:p w:rsidR="005C17A0" w:rsidRPr="00BC2B41" w:rsidRDefault="005C17A0" w:rsidP="005C5DDA">
            <w:pPr>
              <w:pStyle w:val="14"/>
              <w:topLinePunct/>
              <w:autoSpaceDE/>
              <w:jc w:val="center"/>
            </w:pPr>
            <w:r w:rsidRPr="00BC2B41">
              <w:rPr>
                <w:rFonts w:hint="eastAsia"/>
              </w:rPr>
              <w:t>66.37</w:t>
            </w:r>
          </w:p>
        </w:tc>
        <w:tc>
          <w:tcPr>
            <w:tcW w:w="1980" w:type="dxa"/>
          </w:tcPr>
          <w:p w:rsidR="005C17A0" w:rsidRPr="00BC2B41" w:rsidRDefault="005C17A0" w:rsidP="005C5DDA">
            <w:pPr>
              <w:pStyle w:val="14"/>
              <w:topLinePunct/>
              <w:autoSpaceDE/>
              <w:jc w:val="center"/>
            </w:pPr>
            <w:r w:rsidRPr="00BC2B41">
              <w:rPr>
                <w:rFonts w:hint="eastAsia"/>
              </w:rPr>
              <w:t>128.75</w:t>
            </w:r>
          </w:p>
        </w:tc>
        <w:tc>
          <w:tcPr>
            <w:tcW w:w="1913" w:type="dxa"/>
          </w:tcPr>
          <w:p w:rsidR="005C17A0" w:rsidRPr="00BC2B41" w:rsidRDefault="005C17A0" w:rsidP="005C5DDA">
            <w:pPr>
              <w:pStyle w:val="14"/>
              <w:topLinePunct/>
              <w:autoSpaceDE/>
              <w:jc w:val="center"/>
            </w:pPr>
            <w:r w:rsidRPr="00BC2B41">
              <w:rPr>
                <w:rFonts w:hint="eastAsia"/>
              </w:rPr>
              <w:t>1.91</w:t>
            </w:r>
          </w:p>
        </w:tc>
      </w:tr>
    </w:tbl>
    <w:p w:rsidR="005C17A0" w:rsidRPr="00BC2B41" w:rsidRDefault="005C17A0" w:rsidP="001734C9">
      <w:pPr>
        <w:pStyle w:val="aff3"/>
        <w:kinsoku/>
        <w:topLinePunct/>
        <w:autoSpaceDE/>
        <w:ind w:firstLineChars="152" w:firstLine="365"/>
      </w:pPr>
      <w:r w:rsidRPr="00BC2B41">
        <w:rPr>
          <w:rFonts w:hint="eastAsia"/>
        </w:rPr>
        <w:t>資料來源：經濟部</w:t>
      </w:r>
    </w:p>
    <w:p w:rsidR="005C17A0" w:rsidRPr="00BC2B41" w:rsidRDefault="005C17A0" w:rsidP="005C5DDA">
      <w:pPr>
        <w:pStyle w:val="3"/>
        <w:overflowPunct w:val="0"/>
        <w:topLinePunct/>
        <w:autoSpaceDN w:val="0"/>
      </w:pPr>
      <w:r w:rsidRPr="00BC2B41">
        <w:rPr>
          <w:rFonts w:hint="eastAsia"/>
        </w:rPr>
        <w:t>惟查台電、</w:t>
      </w:r>
      <w:r w:rsidRPr="00BC2B41">
        <w:rPr>
          <w:rFonts w:ascii="Times New Roman" w:hAnsi="Times New Roman" w:hint="eastAsia"/>
          <w:szCs w:val="32"/>
        </w:rPr>
        <w:t>民營電廠</w:t>
      </w:r>
      <w:r w:rsidRPr="00BC2B41">
        <w:rPr>
          <w:rFonts w:hint="eastAsia"/>
        </w:rPr>
        <w:t>106年度合計裝置容量約39GW(太陽光電、風力容量略)，加計汽電共生系統「尖峰保證容量」(約2GW)，合計裝置容量約41GW，大於最高尖峰負載(約37GW)，尖峰時段似不生缺電問題，對此，經濟部107年12月7日經授能字第10703011380號函稱各類機組有供電能力限制，例如天然氣用量限制、生煤用量管控、環保法規、操作許可證及總量管制限制(粒狀物、硫氧化物與氮氧化物濃度及排放量等限制)、空品不良期間降載減排、汽電共生收購量經常無法達到約定之尖峰保證容量</w:t>
      </w:r>
      <w:r w:rsidRPr="00BC2B41">
        <w:rPr>
          <w:rFonts w:hAnsi="標楷體" w:hint="eastAsia"/>
        </w:rPr>
        <w:t>……</w:t>
      </w:r>
      <w:r w:rsidRPr="00BC2B41">
        <w:rPr>
          <w:rFonts w:hint="eastAsia"/>
        </w:rPr>
        <w:t>等。為確認裝置容量、尖峰負載差額與上開限制之關係，本院108年1月21日復請經濟部說明所述機組供電能力限制之因應情形，案經台電公司108年1月24日以106年8月15日供電資料（表</w:t>
      </w:r>
      <w:r w:rsidR="005C5DDA" w:rsidRPr="00BC2B41">
        <w:rPr>
          <w:rFonts w:hint="eastAsia"/>
        </w:rPr>
        <w:t>19</w:t>
      </w:r>
      <w:r w:rsidRPr="00BC2B41">
        <w:rPr>
          <w:rFonts w:hint="eastAsia"/>
        </w:rPr>
        <w:t>）為例，說明8月15日當日主要供電限制係核一1</w:t>
      </w:r>
      <w:r w:rsidR="00C532BB" w:rsidRPr="00BC2B41">
        <w:rPr>
          <w:rFonts w:hint="eastAsia"/>
        </w:rPr>
        <w:t>號機</w:t>
      </w:r>
      <w:r w:rsidRPr="00BC2B41">
        <w:rPr>
          <w:rFonts w:hint="eastAsia"/>
        </w:rPr>
        <w:t>、</w:t>
      </w:r>
      <w:r w:rsidR="00C532BB" w:rsidRPr="00BC2B41">
        <w:rPr>
          <w:rFonts w:hint="eastAsia"/>
        </w:rPr>
        <w:t>2號機</w:t>
      </w:r>
      <w:r w:rsidRPr="00BC2B41">
        <w:rPr>
          <w:rFonts w:hint="eastAsia"/>
        </w:rPr>
        <w:t>、核二2</w:t>
      </w:r>
      <w:r w:rsidR="00C532BB" w:rsidRPr="00BC2B41">
        <w:rPr>
          <w:rFonts w:hint="eastAsia"/>
        </w:rPr>
        <w:t>號</w:t>
      </w:r>
      <w:r w:rsidRPr="00BC2B41">
        <w:rPr>
          <w:rFonts w:hint="eastAsia"/>
        </w:rPr>
        <w:t>機組徒具約2.25GW裝置容量，卻因大修後無法啟動致生該缺口由火力發電填補。在機組許可核定燃料量限制下，倘無空品不良，台電優先採燃煤發電；惟遇大氣條件擴散不佳，又有用電需求時，台電公司採優先以燃氣機組發電，空品不良地區之燃煤機組降載方式調度，以滿足用電需求，故亦有天然氣用量逾許可核定值情</w:t>
      </w:r>
      <w:r w:rsidRPr="00BC2B41">
        <w:rPr>
          <w:rFonts w:hint="eastAsia"/>
        </w:rPr>
        <w:lastRenderedPageBreak/>
        <w:t>形。興達發電廠105~107年天然氣用量逾許可核定值情形，如表</w:t>
      </w:r>
      <w:r w:rsidR="005C5DDA" w:rsidRPr="00BC2B41">
        <w:rPr>
          <w:rFonts w:hint="eastAsia"/>
        </w:rPr>
        <w:t>20</w:t>
      </w:r>
      <w:r w:rsidRPr="00BC2B41">
        <w:rPr>
          <w:rFonts w:hint="eastAsia"/>
        </w:rPr>
        <w:t>。</w:t>
      </w:r>
    </w:p>
    <w:p w:rsidR="005C17A0" w:rsidRPr="00BC2B41" w:rsidRDefault="005C17A0" w:rsidP="005C5DDA">
      <w:pPr>
        <w:pStyle w:val="a3"/>
        <w:kinsoku/>
        <w:topLinePunct/>
        <w:autoSpaceDE/>
        <w:ind w:left="482" w:hanging="482"/>
        <w:jc w:val="center"/>
      </w:pPr>
      <w:bookmarkStart w:id="92" w:name="_Toc536451855"/>
      <w:r w:rsidRPr="00BC2B41">
        <w:rPr>
          <w:rFonts w:hint="eastAsia"/>
        </w:rPr>
        <w:t>106年8月15日供電情形</w:t>
      </w:r>
      <w:bookmarkEnd w:id="92"/>
    </w:p>
    <w:p w:rsidR="005C17A0" w:rsidRPr="00BC2B41" w:rsidRDefault="005C17A0" w:rsidP="005C5DDA">
      <w:pPr>
        <w:overflowPunct w:val="0"/>
        <w:topLinePunct/>
        <w:autoSpaceDN w:val="0"/>
        <w:jc w:val="center"/>
      </w:pPr>
      <w:r w:rsidRPr="00BC2B41">
        <w:rPr>
          <w:rFonts w:hint="eastAsia"/>
          <w:noProof/>
        </w:rPr>
        <w:drawing>
          <wp:inline distT="0" distB="0" distL="0" distR="0" wp14:anchorId="64DEAB6F" wp14:editId="4D63AFD8">
            <wp:extent cx="5859780" cy="3007231"/>
            <wp:effectExtent l="0" t="0" r="7620" b="3175"/>
            <wp:docPr id="228" name="圖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0BFB1.tmp"/>
                    <pic:cNvPicPr/>
                  </pic:nvPicPr>
                  <pic:blipFill>
                    <a:blip r:embed="rId46">
                      <a:extLst>
                        <a:ext uri="{28A0092B-C50C-407E-A947-70E740481C1C}">
                          <a14:useLocalDpi xmlns:a14="http://schemas.microsoft.com/office/drawing/2010/main" val="0"/>
                        </a:ext>
                      </a:extLst>
                    </a:blip>
                    <a:stretch>
                      <a:fillRect/>
                    </a:stretch>
                  </pic:blipFill>
                  <pic:spPr>
                    <a:xfrm>
                      <a:off x="0" y="0"/>
                      <a:ext cx="5868693" cy="3011805"/>
                    </a:xfrm>
                    <a:prstGeom prst="rect">
                      <a:avLst/>
                    </a:prstGeom>
                  </pic:spPr>
                </pic:pic>
              </a:graphicData>
            </a:graphic>
          </wp:inline>
        </w:drawing>
      </w:r>
    </w:p>
    <w:p w:rsidR="005C17A0" w:rsidRPr="00BC2B41" w:rsidRDefault="005C17A0" w:rsidP="005C5DDA">
      <w:pPr>
        <w:pStyle w:val="a3"/>
        <w:kinsoku/>
        <w:topLinePunct/>
        <w:autoSpaceDE/>
        <w:ind w:left="482" w:hanging="482"/>
        <w:jc w:val="center"/>
      </w:pPr>
      <w:bookmarkStart w:id="93" w:name="_Toc536451856"/>
      <w:r w:rsidRPr="00BC2B41">
        <w:rPr>
          <w:rFonts w:hint="eastAsia"/>
        </w:rPr>
        <w:t>興達發電廠105~107年許可核定燃料用量及實際用量</w:t>
      </w:r>
      <w:bookmarkEnd w:id="93"/>
    </w:p>
    <w:p w:rsidR="005C17A0" w:rsidRPr="00BC2B41" w:rsidRDefault="005C17A0" w:rsidP="005C5DDA">
      <w:pPr>
        <w:overflowPunct w:val="0"/>
        <w:topLinePunct/>
        <w:autoSpaceDN w:val="0"/>
        <w:jc w:val="right"/>
        <w:rPr>
          <w:sz w:val="22"/>
        </w:rPr>
      </w:pPr>
      <w:r w:rsidRPr="00BC2B41">
        <w:rPr>
          <w:rFonts w:hint="eastAsia"/>
          <w:sz w:val="22"/>
        </w:rPr>
        <w:t>單位：公噸</w:t>
      </w:r>
      <w:r w:rsidRPr="00BC2B41">
        <w:rPr>
          <w:rFonts w:hint="eastAsia"/>
          <w:sz w:val="22"/>
        </w:rPr>
        <w:t>/</w:t>
      </w:r>
      <w:r w:rsidRPr="00BC2B41">
        <w:rPr>
          <w:rFonts w:hint="eastAsia"/>
          <w:sz w:val="22"/>
        </w:rPr>
        <w:t>千立方公尺</w:t>
      </w:r>
    </w:p>
    <w:tbl>
      <w:tblPr>
        <w:tblStyle w:val="aff2"/>
        <w:tblW w:w="8897" w:type="dxa"/>
        <w:tblLayout w:type="fixed"/>
        <w:tblLook w:val="04A0" w:firstRow="1" w:lastRow="0" w:firstColumn="1" w:lastColumn="0" w:noHBand="0" w:noVBand="1"/>
      </w:tblPr>
      <w:tblGrid>
        <w:gridCol w:w="675"/>
        <w:gridCol w:w="1370"/>
        <w:gridCol w:w="1370"/>
        <w:gridCol w:w="1371"/>
        <w:gridCol w:w="1370"/>
        <w:gridCol w:w="1370"/>
        <w:gridCol w:w="1371"/>
      </w:tblGrid>
      <w:tr w:rsidR="00BC2B41" w:rsidRPr="00BC2B41" w:rsidTr="00201841">
        <w:trPr>
          <w:trHeight w:val="282"/>
        </w:trPr>
        <w:tc>
          <w:tcPr>
            <w:tcW w:w="675" w:type="dxa"/>
            <w:vMerge w:val="restart"/>
            <w:vAlign w:val="center"/>
          </w:tcPr>
          <w:p w:rsidR="007E709A" w:rsidRPr="00BC2B41" w:rsidRDefault="007E709A" w:rsidP="005C5DDA">
            <w:pPr>
              <w:overflowPunct w:val="0"/>
              <w:topLinePunct/>
              <w:autoSpaceDN w:val="0"/>
              <w:adjustRightInd w:val="0"/>
              <w:snapToGrid w:val="0"/>
              <w:spacing w:line="300" w:lineRule="exact"/>
              <w:ind w:left="2240" w:hanging="640"/>
              <w:jc w:val="center"/>
              <w:rPr>
                <w:rFonts w:ascii="標楷體"/>
                <w:snapToGrid w:val="0"/>
                <w:spacing w:val="-14"/>
                <w:kern w:val="0"/>
                <w:sz w:val="24"/>
                <w:szCs w:val="24"/>
              </w:rPr>
            </w:pPr>
            <w:r w:rsidRPr="00BC2B41">
              <w:rPr>
                <w:rFonts w:ascii="標楷體" w:hint="eastAsia"/>
                <w:snapToGrid w:val="0"/>
                <w:spacing w:val="-14"/>
                <w:kern w:val="0"/>
                <w:sz w:val="24"/>
                <w:szCs w:val="24"/>
              </w:rPr>
              <w:t>機組</w:t>
            </w:r>
          </w:p>
        </w:tc>
        <w:tc>
          <w:tcPr>
            <w:tcW w:w="2740" w:type="dxa"/>
            <w:gridSpan w:val="2"/>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105年</w:t>
            </w:r>
          </w:p>
        </w:tc>
        <w:tc>
          <w:tcPr>
            <w:tcW w:w="2741" w:type="dxa"/>
            <w:gridSpan w:val="2"/>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106年</w:t>
            </w:r>
          </w:p>
        </w:tc>
        <w:tc>
          <w:tcPr>
            <w:tcW w:w="2741" w:type="dxa"/>
            <w:gridSpan w:val="2"/>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107年</w:t>
            </w:r>
          </w:p>
        </w:tc>
      </w:tr>
      <w:tr w:rsidR="00BC2B41" w:rsidRPr="00BC2B41" w:rsidTr="00201841">
        <w:trPr>
          <w:trHeight w:val="282"/>
        </w:trPr>
        <w:tc>
          <w:tcPr>
            <w:tcW w:w="675" w:type="dxa"/>
            <w:vMerge/>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p>
        </w:tc>
        <w:tc>
          <w:tcPr>
            <w:tcW w:w="1370"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許可量</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實際用量</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許可量</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實際用量</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許可量</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實際用量</w:t>
            </w:r>
          </w:p>
        </w:tc>
      </w:tr>
      <w:tr w:rsidR="00BC2B41" w:rsidRPr="00BC2B41" w:rsidTr="00201841">
        <w:tc>
          <w:tcPr>
            <w:tcW w:w="675"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#1</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1,752,000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1,228,285</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1,752,000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1,448,204</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1,335,548</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1,068,437</w:t>
            </w:r>
          </w:p>
        </w:tc>
      </w:tr>
      <w:tr w:rsidR="00BC2B41" w:rsidRPr="00BC2B41" w:rsidTr="00201841">
        <w:tc>
          <w:tcPr>
            <w:tcW w:w="675"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#2</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1,752,000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1,514,398</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1,752,000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1,140,465</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1,326,452</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1,326,408</w:t>
            </w:r>
          </w:p>
        </w:tc>
      </w:tr>
      <w:tr w:rsidR="00BC2B41" w:rsidRPr="00BC2B41" w:rsidTr="00201841">
        <w:tc>
          <w:tcPr>
            <w:tcW w:w="675"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#3</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1,795,800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1,468,129</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1,795,800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1,627,584</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1,505,971</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1,200,314</w:t>
            </w:r>
          </w:p>
        </w:tc>
      </w:tr>
      <w:tr w:rsidR="00BC2B41" w:rsidRPr="00BC2B41" w:rsidTr="00201841">
        <w:tc>
          <w:tcPr>
            <w:tcW w:w="675"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#4</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1,795,800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1,631,272</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1,795,800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1,280,849</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1,491,876</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1,496,063</w:t>
            </w:r>
          </w:p>
        </w:tc>
      </w:tr>
      <w:tr w:rsidR="00BC2B41" w:rsidRPr="00BC2B41" w:rsidTr="00201841">
        <w:tc>
          <w:tcPr>
            <w:tcW w:w="675"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noProof/>
                <w:snapToGrid w:val="0"/>
                <w:spacing w:val="-14"/>
                <w:kern w:val="0"/>
                <w:sz w:val="24"/>
                <w:szCs w:val="24"/>
              </w:rPr>
              <mc:AlternateContent>
                <mc:Choice Requires="wps">
                  <w:drawing>
                    <wp:anchor distT="0" distB="0" distL="114300" distR="114300" simplePos="0" relativeHeight="251719680" behindDoc="0" locked="0" layoutInCell="1" allowOverlap="1" wp14:anchorId="045DC83D" wp14:editId="1CD78CAD">
                      <wp:simplePos x="0" y="0"/>
                      <wp:positionH relativeFrom="column">
                        <wp:posOffset>-84455</wp:posOffset>
                      </wp:positionH>
                      <wp:positionV relativeFrom="paragraph">
                        <wp:posOffset>5080</wp:posOffset>
                      </wp:positionV>
                      <wp:extent cx="5654040" cy="972000"/>
                      <wp:effectExtent l="0" t="0" r="22860" b="19050"/>
                      <wp:wrapNone/>
                      <wp:docPr id="241" name="矩形 241"/>
                      <wp:cNvGraphicFramePr/>
                      <a:graphic xmlns:a="http://schemas.openxmlformats.org/drawingml/2006/main">
                        <a:graphicData uri="http://schemas.microsoft.com/office/word/2010/wordprocessingShape">
                          <wps:wsp>
                            <wps:cNvSpPr/>
                            <wps:spPr>
                              <a:xfrm>
                                <a:off x="0" y="0"/>
                                <a:ext cx="5654040" cy="9720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826A3" id="矩形 241" o:spid="_x0000_s1026" style="position:absolute;margin-left:-6.65pt;margin-top:.4pt;width:445.2pt;height:76.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" filled="f" strokecolor="#385d8a" strokeweight="2pt"/>
                  </w:pict>
                </mc:Fallback>
              </mc:AlternateContent>
            </w:r>
            <w:r w:rsidRPr="00BC2B41">
              <w:rPr>
                <w:rFonts w:ascii="標楷體" w:hint="eastAsia"/>
                <w:snapToGrid w:val="0"/>
                <w:spacing w:val="-14"/>
                <w:kern w:val="0"/>
                <w:sz w:val="24"/>
                <w:szCs w:val="24"/>
              </w:rPr>
              <w:t>CC#1</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522,846</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414,446</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601,493</w:t>
            </w:r>
          </w:p>
        </w:tc>
      </w:tr>
      <w:tr w:rsidR="00BC2B41" w:rsidRPr="00BC2B41" w:rsidTr="00201841">
        <w:tc>
          <w:tcPr>
            <w:tcW w:w="675"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CC#2</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501,465</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532,546</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423,722</w:t>
            </w:r>
          </w:p>
        </w:tc>
      </w:tr>
      <w:tr w:rsidR="00BC2B41" w:rsidRPr="00BC2B41" w:rsidTr="00201841">
        <w:tc>
          <w:tcPr>
            <w:tcW w:w="675"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CC#3</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511,867</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568,276</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464,049</w:t>
            </w:r>
          </w:p>
        </w:tc>
      </w:tr>
      <w:tr w:rsidR="00BC2B41" w:rsidRPr="00BC2B41" w:rsidTr="00201841">
        <w:tc>
          <w:tcPr>
            <w:tcW w:w="675"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CC#4</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517,161</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562,427</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556,248</w:t>
            </w:r>
          </w:p>
        </w:tc>
      </w:tr>
      <w:tr w:rsidR="00BC2B41" w:rsidRPr="00BC2B41" w:rsidTr="00201841">
        <w:tc>
          <w:tcPr>
            <w:tcW w:w="675" w:type="dxa"/>
            <w:vAlign w:val="center"/>
          </w:tcPr>
          <w:p w:rsidR="007E709A" w:rsidRPr="00BC2B41" w:rsidRDefault="007E709A" w:rsidP="005C5DDA">
            <w:pPr>
              <w:overflowPunct w:val="0"/>
              <w:topLinePunct/>
              <w:autoSpaceDN w:val="0"/>
              <w:adjustRightInd w:val="0"/>
              <w:snapToGrid w:val="0"/>
              <w:spacing w:line="300" w:lineRule="exact"/>
              <w:jc w:val="center"/>
              <w:rPr>
                <w:rFonts w:ascii="標楷體"/>
                <w:snapToGrid w:val="0"/>
                <w:spacing w:val="-14"/>
                <w:kern w:val="0"/>
                <w:sz w:val="24"/>
                <w:szCs w:val="24"/>
              </w:rPr>
            </w:pPr>
            <w:r w:rsidRPr="00BC2B41">
              <w:rPr>
                <w:rFonts w:ascii="標楷體" w:hint="eastAsia"/>
                <w:snapToGrid w:val="0"/>
                <w:spacing w:val="-14"/>
                <w:kern w:val="0"/>
                <w:sz w:val="24"/>
                <w:szCs w:val="24"/>
              </w:rPr>
              <w:t>CC#5</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477,731</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561,342</w:t>
            </w:r>
          </w:p>
        </w:tc>
        <w:tc>
          <w:tcPr>
            <w:tcW w:w="1370"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440,000</w:t>
            </w:r>
          </w:p>
        </w:tc>
        <w:tc>
          <w:tcPr>
            <w:tcW w:w="1371" w:type="dxa"/>
            <w:vAlign w:val="center"/>
          </w:tcPr>
          <w:p w:rsidR="007E709A" w:rsidRPr="00BC2B41" w:rsidRDefault="007E709A" w:rsidP="005C5DDA">
            <w:pPr>
              <w:overflowPunct w:val="0"/>
              <w:topLinePunct/>
              <w:autoSpaceDN w:val="0"/>
              <w:adjustRightInd w:val="0"/>
              <w:snapToGrid w:val="0"/>
              <w:spacing w:line="300" w:lineRule="exact"/>
              <w:jc w:val="right"/>
              <w:rPr>
                <w:rFonts w:ascii="標楷體"/>
                <w:snapToGrid w:val="0"/>
                <w:spacing w:val="-14"/>
                <w:kern w:val="0"/>
                <w:sz w:val="24"/>
                <w:szCs w:val="24"/>
              </w:rPr>
            </w:pPr>
            <w:r w:rsidRPr="00BC2B41">
              <w:rPr>
                <w:rFonts w:ascii="標楷體" w:hint="eastAsia"/>
                <w:snapToGrid w:val="0"/>
                <w:spacing w:val="-14"/>
                <w:kern w:val="0"/>
                <w:sz w:val="24"/>
                <w:szCs w:val="24"/>
              </w:rPr>
              <w:t>569,378</w:t>
            </w:r>
          </w:p>
        </w:tc>
      </w:tr>
    </w:tbl>
    <w:p w:rsidR="005C17A0" w:rsidRPr="00BC2B41" w:rsidRDefault="005C17A0" w:rsidP="005C5DDA">
      <w:pPr>
        <w:pStyle w:val="aff3"/>
        <w:kinsoku/>
        <w:topLinePunct/>
        <w:autoSpaceDE/>
        <w:spacing w:after="0"/>
      </w:pPr>
      <w:r w:rsidRPr="00BC2B41">
        <w:rPr>
          <w:rFonts w:hint="eastAsia"/>
        </w:rPr>
        <w:t>註：</w:t>
      </w:r>
    </w:p>
    <w:p w:rsidR="005C17A0" w:rsidRPr="00BC2B41" w:rsidRDefault="005C17A0" w:rsidP="005C5DDA">
      <w:pPr>
        <w:overflowPunct w:val="0"/>
        <w:topLinePunct/>
        <w:autoSpaceDN w:val="0"/>
        <w:spacing w:line="300" w:lineRule="exact"/>
        <w:ind w:leftChars="3" w:left="405" w:hangingChars="152" w:hanging="395"/>
        <w:rPr>
          <w:sz w:val="24"/>
          <w:szCs w:val="24"/>
        </w:rPr>
      </w:pPr>
      <w:r w:rsidRPr="00BC2B41">
        <w:rPr>
          <w:rFonts w:hint="eastAsia"/>
          <w:sz w:val="24"/>
          <w:szCs w:val="24"/>
        </w:rPr>
        <w:t>1</w:t>
      </w:r>
      <w:r w:rsidRPr="00BC2B41">
        <w:rPr>
          <w:rFonts w:hint="eastAsia"/>
          <w:sz w:val="24"/>
          <w:szCs w:val="24"/>
        </w:rPr>
        <w:t>、興達</w:t>
      </w:r>
      <w:r w:rsidRPr="00BC2B41">
        <w:rPr>
          <w:rFonts w:hint="eastAsia"/>
          <w:sz w:val="24"/>
          <w:szCs w:val="24"/>
        </w:rPr>
        <w:t>#4</w:t>
      </w:r>
      <w:r w:rsidRPr="00BC2B41">
        <w:rPr>
          <w:rFonts w:hint="eastAsia"/>
          <w:sz w:val="24"/>
          <w:szCs w:val="24"/>
        </w:rPr>
        <w:t>號機，</w:t>
      </w:r>
      <w:r w:rsidRPr="00BC2B41">
        <w:rPr>
          <w:rFonts w:hint="eastAsia"/>
          <w:sz w:val="24"/>
          <w:szCs w:val="24"/>
        </w:rPr>
        <w:t>107</w:t>
      </w:r>
      <w:r w:rsidRPr="00BC2B41">
        <w:rPr>
          <w:rFonts w:hint="eastAsia"/>
          <w:sz w:val="24"/>
          <w:szCs w:val="24"/>
        </w:rPr>
        <w:t>年燃煤用量超標，依據「固定污染源設置與操作許可證管理辦法」第</w:t>
      </w:r>
      <w:r w:rsidRPr="00BC2B41">
        <w:rPr>
          <w:rFonts w:hint="eastAsia"/>
          <w:sz w:val="24"/>
          <w:szCs w:val="24"/>
        </w:rPr>
        <w:t>22</w:t>
      </w:r>
      <w:r w:rsidRPr="00BC2B41">
        <w:rPr>
          <w:rFonts w:hint="eastAsia"/>
          <w:sz w:val="24"/>
          <w:szCs w:val="24"/>
        </w:rPr>
        <w:t>條規定，許可證記載之各項許可條件、數值，得有百分之十之容許誤差。</w:t>
      </w:r>
    </w:p>
    <w:p w:rsidR="005C17A0" w:rsidRPr="00BC2B41" w:rsidRDefault="005C17A0" w:rsidP="005C5DDA">
      <w:pPr>
        <w:overflowPunct w:val="0"/>
        <w:topLinePunct/>
        <w:autoSpaceDN w:val="0"/>
        <w:spacing w:line="300" w:lineRule="exact"/>
        <w:ind w:left="320" w:hangingChars="123" w:hanging="320"/>
        <w:rPr>
          <w:rFonts w:hAnsi="Arial"/>
          <w:bCs/>
          <w:kern w:val="32"/>
          <w:szCs w:val="36"/>
        </w:rPr>
      </w:pPr>
      <w:r w:rsidRPr="00BC2B41">
        <w:rPr>
          <w:rFonts w:hint="eastAsia"/>
          <w:sz w:val="24"/>
          <w:szCs w:val="24"/>
        </w:rPr>
        <w:t>2</w:t>
      </w:r>
      <w:r w:rsidRPr="00BC2B41">
        <w:rPr>
          <w:rFonts w:hint="eastAsia"/>
          <w:sz w:val="24"/>
          <w:szCs w:val="24"/>
        </w:rPr>
        <w:t>、</w:t>
      </w:r>
      <w:r w:rsidRPr="00BC2B41">
        <w:rPr>
          <w:rFonts w:hint="eastAsia"/>
          <w:sz w:val="24"/>
          <w:szCs w:val="24"/>
        </w:rPr>
        <w:t>CC#1~CC#5</w:t>
      </w:r>
      <w:r w:rsidRPr="00BC2B41">
        <w:rPr>
          <w:rFonts w:hint="eastAsia"/>
          <w:sz w:val="24"/>
          <w:szCs w:val="24"/>
        </w:rPr>
        <w:t>，</w:t>
      </w:r>
      <w:r w:rsidRPr="00BC2B41">
        <w:rPr>
          <w:rFonts w:hint="eastAsia"/>
          <w:sz w:val="24"/>
          <w:szCs w:val="24"/>
        </w:rPr>
        <w:t>105~107</w:t>
      </w:r>
      <w:r w:rsidRPr="00BC2B41">
        <w:rPr>
          <w:rFonts w:hint="eastAsia"/>
          <w:sz w:val="24"/>
          <w:szCs w:val="24"/>
        </w:rPr>
        <w:t>年燃料用量超過許可核定值，</w:t>
      </w:r>
      <w:r w:rsidRPr="00BC2B41">
        <w:rPr>
          <w:rFonts w:hint="eastAsia"/>
          <w:sz w:val="24"/>
          <w:szCs w:val="24"/>
        </w:rPr>
        <w:t>105</w:t>
      </w:r>
      <w:r w:rsidRPr="00BC2B41">
        <w:rPr>
          <w:rFonts w:hint="eastAsia"/>
          <w:sz w:val="24"/>
          <w:szCs w:val="24"/>
        </w:rPr>
        <w:t>、</w:t>
      </w:r>
      <w:r w:rsidRPr="00BC2B41">
        <w:rPr>
          <w:rFonts w:hint="eastAsia"/>
          <w:sz w:val="24"/>
          <w:szCs w:val="24"/>
        </w:rPr>
        <w:t>106</w:t>
      </w:r>
      <w:r w:rsidRPr="00BC2B41">
        <w:rPr>
          <w:rFonts w:hint="eastAsia"/>
          <w:sz w:val="24"/>
          <w:szCs w:val="24"/>
        </w:rPr>
        <w:t>年依空污法第</w:t>
      </w:r>
      <w:r w:rsidRPr="00BC2B41">
        <w:rPr>
          <w:rFonts w:hint="eastAsia"/>
          <w:sz w:val="24"/>
          <w:szCs w:val="24"/>
        </w:rPr>
        <w:t>78</w:t>
      </w:r>
      <w:r w:rsidRPr="00BC2B41">
        <w:rPr>
          <w:rFonts w:hint="eastAsia"/>
          <w:sz w:val="24"/>
          <w:szCs w:val="24"/>
        </w:rPr>
        <w:t>條（現已修改為第</w:t>
      </w:r>
      <w:r w:rsidRPr="00BC2B41">
        <w:rPr>
          <w:rFonts w:hint="eastAsia"/>
          <w:sz w:val="24"/>
          <w:szCs w:val="24"/>
        </w:rPr>
        <w:t>90</w:t>
      </w:r>
      <w:r w:rsidRPr="00BC2B41">
        <w:rPr>
          <w:rFonts w:hint="eastAsia"/>
          <w:sz w:val="24"/>
          <w:szCs w:val="24"/>
        </w:rPr>
        <w:t>條）向高雄市環保局申請免罰；</w:t>
      </w:r>
      <w:r w:rsidRPr="00BC2B41">
        <w:rPr>
          <w:rFonts w:hint="eastAsia"/>
          <w:sz w:val="24"/>
          <w:szCs w:val="24"/>
        </w:rPr>
        <w:t>107</w:t>
      </w:r>
      <w:r w:rsidRPr="00BC2B41">
        <w:rPr>
          <w:rFonts w:hint="eastAsia"/>
          <w:sz w:val="24"/>
          <w:szCs w:val="24"/>
        </w:rPr>
        <w:t>年則依空污法第</w:t>
      </w:r>
      <w:r w:rsidRPr="00BC2B41">
        <w:rPr>
          <w:rFonts w:hint="eastAsia"/>
          <w:sz w:val="24"/>
          <w:szCs w:val="24"/>
        </w:rPr>
        <w:t>14</w:t>
      </w:r>
      <w:r w:rsidRPr="00BC2B41">
        <w:rPr>
          <w:rFonts w:hint="eastAsia"/>
          <w:sz w:val="24"/>
          <w:szCs w:val="24"/>
        </w:rPr>
        <w:t>條規定，向環保署申請解除環保限制。</w:t>
      </w:r>
      <w:r w:rsidRPr="00BC2B41">
        <w:br w:type="page"/>
      </w:r>
    </w:p>
    <w:p w:rsidR="005C17A0" w:rsidRPr="00BC2B41" w:rsidRDefault="005C17A0" w:rsidP="005C5DDA">
      <w:pPr>
        <w:pStyle w:val="3"/>
        <w:overflowPunct w:val="0"/>
        <w:topLinePunct/>
        <w:autoSpaceDN w:val="0"/>
      </w:pPr>
      <w:r w:rsidRPr="00BC2B41">
        <w:rPr>
          <w:rFonts w:hint="eastAsia"/>
        </w:rPr>
        <w:lastRenderedPageBreak/>
        <w:t>另該函亦稱「汽電共生收購量經常無法達到約定之尖峰保證容量」，理由略以：</w:t>
      </w:r>
    </w:p>
    <w:p w:rsidR="005C17A0" w:rsidRPr="00BC2B41" w:rsidRDefault="005C17A0" w:rsidP="005C5DDA">
      <w:pPr>
        <w:pStyle w:val="4"/>
        <w:overflowPunct w:val="0"/>
        <w:topLinePunct/>
        <w:autoSpaceDN w:val="0"/>
      </w:pPr>
      <w:r w:rsidRPr="00BC2B41">
        <w:rPr>
          <w:rFonts w:hint="eastAsia"/>
        </w:rPr>
        <w:t>台電公司係依據「能源管理法」第10條及「汽電共生系統實施辦法」</w:t>
      </w:r>
      <w:r w:rsidRPr="00BC2B41">
        <w:rPr>
          <w:rFonts w:hAnsi="標楷體" w:hint="eastAsia"/>
        </w:rPr>
        <w:t>（下稱</w:t>
      </w:r>
      <w:r w:rsidRPr="00BC2B41">
        <w:rPr>
          <w:rFonts w:hint="eastAsia"/>
        </w:rPr>
        <w:t>實施辦法</w:t>
      </w:r>
      <w:r w:rsidRPr="00BC2B41">
        <w:rPr>
          <w:rFonts w:hAnsi="標楷體" w:hint="eastAsia"/>
        </w:rPr>
        <w:t>）</w:t>
      </w:r>
      <w:r w:rsidRPr="00BC2B41">
        <w:rPr>
          <w:rFonts w:hint="eastAsia"/>
        </w:rPr>
        <w:t>規定，與合格汽電共生業者簽訂電能購售契約，收購其生產電能之餘電。由於汽電共生為自用發電設備，多配合工廠製程蒸氣需求而設置，其所產出電力先供自用後，尚有餘電才將剩餘電力出售予台電公司，故業者皆以自身製程規劃為優先考量，和民營電廠電力全數售予台電公司之情況不同。</w:t>
      </w:r>
    </w:p>
    <w:p w:rsidR="005C17A0" w:rsidRPr="00BC2B41" w:rsidRDefault="005C17A0" w:rsidP="005C5DDA">
      <w:pPr>
        <w:pStyle w:val="4"/>
        <w:overflowPunct w:val="0"/>
        <w:topLinePunct/>
        <w:autoSpaceDN w:val="0"/>
      </w:pPr>
      <w:r w:rsidRPr="00BC2B41">
        <w:rPr>
          <w:rFonts w:hint="eastAsia"/>
        </w:rPr>
        <w:t>依據實施辦法規定，業者簽約時可視實際用電情形，選擇簽訂「尖峰保證容量」或「尖峰時段無保證容量」契約(選擇「尖峰保證容量」者，當月份可獲得容量電費及能量電費，選擇「尖峰無保證容量」者，僅能獲得能量電費)。</w:t>
      </w:r>
    </w:p>
    <w:p w:rsidR="005C17A0" w:rsidRPr="00BC2B41" w:rsidRDefault="005C17A0" w:rsidP="005C5DDA">
      <w:pPr>
        <w:pStyle w:val="4"/>
        <w:overflowPunct w:val="0"/>
        <w:topLinePunct/>
        <w:autoSpaceDN w:val="0"/>
      </w:pPr>
      <w:r w:rsidRPr="00BC2B41">
        <w:rPr>
          <w:rFonts w:hint="eastAsia"/>
        </w:rPr>
        <w:t>另依實施辦法第15條第3項規定，其保證容量以合格系統裝置容量半數為限，但專業處理廢棄物之合格系統，不在此限。部分業者於尖峰時段自用不足，無餘電可售，則簽訂無保證容量合約，故台電公司簽約之尖峰保證容量低於裝置容量。</w:t>
      </w:r>
    </w:p>
    <w:p w:rsidR="005C17A0" w:rsidRPr="00BC2B41" w:rsidRDefault="005C17A0" w:rsidP="005C5DDA">
      <w:pPr>
        <w:pStyle w:val="4"/>
        <w:overflowPunct w:val="0"/>
        <w:topLinePunct/>
        <w:autoSpaceDN w:val="0"/>
      </w:pPr>
      <w:r w:rsidRPr="00BC2B41">
        <w:rPr>
          <w:rFonts w:hint="eastAsia"/>
        </w:rPr>
        <w:t>依據電能購售契約第9條規定，尖峰時段保證可靠容量，係指於保證可靠容量之尖峰時段(週六及離峰日以外日期每日10時至12時，13時至17時，每日6小時)，汽電共生系統所能保證提供台電公司之平均售電容量，汽電共生業者於考量自身產能製程後，倘有餘裕於尖峰保證時段提供電量，則可以選擇與台電公司簽訂尖峰時段有保證容量契約，獲得容量電費。惟業者若於尖峰時段發電未達保證容量，則無法獲得保證容量全數之容量電費，而是以當月每日保證時段平均6小時</w:t>
      </w:r>
      <w:r w:rsidRPr="00BC2B41">
        <w:rPr>
          <w:rFonts w:hint="eastAsia"/>
        </w:rPr>
        <w:lastRenderedPageBreak/>
        <w:t>發電量最低值計算，例如當月某日機組發生故障至最低容量為0時，當月即無法獲得任何容量電費</w:t>
      </w:r>
      <w:r w:rsidRPr="00BC2B41">
        <w:rPr>
          <w:rStyle w:val="afc"/>
        </w:rPr>
        <w:footnoteReference w:id="54"/>
      </w:r>
      <w:r w:rsidRPr="00BC2B41">
        <w:rPr>
          <w:rFonts w:hint="eastAsia"/>
        </w:rPr>
        <w:t>，因此，業者為取得全數之容量電費，當盡力發電。</w:t>
      </w:r>
    </w:p>
    <w:p w:rsidR="005C17A0" w:rsidRPr="00BC2B41" w:rsidRDefault="005C17A0" w:rsidP="005C5DDA">
      <w:pPr>
        <w:pStyle w:val="31"/>
        <w:overflowPunct w:val="0"/>
        <w:topLinePunct/>
        <w:autoSpaceDN w:val="0"/>
        <w:ind w:left="1361" w:firstLine="680"/>
      </w:pPr>
      <w:r w:rsidRPr="00BC2B41">
        <w:rPr>
          <w:rFonts w:hint="eastAsia"/>
        </w:rPr>
        <w:t>析言之，針對台電公司近年汽電共生收購電量逐年減少，經濟部陳稱合格汽電共生系統產生之電能，屬餘電性質，台電公司僅能全力收購，似言之成理，然相較需量競價動輒每度5元以上，汽電共生系統尖峰時段之收購價格(約2元)似屬偏低，致有部分汽電共生業者寧選需量競價，而未與台電公司簽訂「尖峰保證容量」，亦應通盤檢討。</w:t>
      </w:r>
    </w:p>
    <w:p w:rsidR="005C17A0" w:rsidRPr="00BC2B41" w:rsidRDefault="005C17A0" w:rsidP="001734C9">
      <w:pPr>
        <w:pStyle w:val="3"/>
        <w:overflowPunct w:val="0"/>
        <w:autoSpaceDE w:val="0"/>
        <w:autoSpaceDN w:val="0"/>
        <w:ind w:left="1394"/>
      </w:pPr>
      <w:r w:rsidRPr="00BC2B41">
        <w:rPr>
          <w:rFonts w:hint="eastAsia"/>
        </w:rPr>
        <w:t>綜上，依經濟部能源局「能源統計資料查詢系統」，106年度台電、民營電廠合計裝置容量39.4GW(不含太陽光電、風力裝置容量)，加計汽電共生系統「尖峰保證容量」(約2GW)，總裝置容量合計約41GW，扣除尖峰時廠內用電（約1.7GW），仍高於最高尖峰負載37.5GW甚多，表面上似不生缺電問題，惟實際上卻因核一、核二部分機組停機造成供電缺口（約2.25GW）、簽「尖峰保證容量」並不保證尖峰時能提供保證之發電量，致雖實施需量競價、節能等抑低尖峰負載措施，「尖峰備轉容量率」仍頻創新低(最低僅1.64%)，仍須以火力發電填補核電缺口，</w:t>
      </w:r>
      <w:r w:rsidR="001734C9" w:rsidRPr="00BC2B41">
        <w:rPr>
          <w:rFonts w:hint="eastAsia"/>
        </w:rPr>
        <w:t>造成火力電廠機組燃料限制超標</w:t>
      </w:r>
      <w:r w:rsidRPr="00BC2B41">
        <w:rPr>
          <w:rFonts w:hint="eastAsia"/>
        </w:rPr>
        <w:t>，核有疏失。</w:t>
      </w:r>
    </w:p>
    <w:bookmarkEnd w:id="36"/>
    <w:bookmarkEnd w:id="37"/>
    <w:p w:rsidR="00017CE8" w:rsidRPr="00BC2B41" w:rsidRDefault="00017CE8" w:rsidP="005C5DDA">
      <w:pPr>
        <w:overflowPunct w:val="0"/>
        <w:topLinePunct/>
        <w:autoSpaceDN w:val="0"/>
      </w:pPr>
    </w:p>
    <w:p w:rsidR="00922A61" w:rsidRDefault="008F48D8" w:rsidP="005C5DDA">
      <w:pPr>
        <w:pStyle w:val="12"/>
        <w:kinsoku/>
        <w:overflowPunct w:val="0"/>
        <w:topLinePunct/>
        <w:autoSpaceDN w:val="0"/>
        <w:ind w:left="680" w:firstLine="680"/>
      </w:pPr>
      <w:r w:rsidRPr="00BC2B41">
        <w:rPr>
          <w:rFonts w:hint="eastAsia"/>
        </w:rPr>
        <w:lastRenderedPageBreak/>
        <w:t>綜上論結，</w:t>
      </w:r>
      <w:r w:rsidR="00600B95" w:rsidRPr="00BC2B41">
        <w:rPr>
          <w:rFonts w:hint="eastAsia"/>
        </w:rPr>
        <w:t>核四封存後每年仍耗費數億元於資產維護管理，行政院及經濟部對外宣告核四重啟不可行，核四興建費用2,833億元須列為損失，行政院及經濟部對核四政策之重大變動，導致資源嚴重浪費；再者，經濟部宣布能源配比</w:t>
      </w:r>
      <w:r w:rsidR="00521141" w:rsidRPr="00BC2B41">
        <w:rPr>
          <w:rFonts w:hint="eastAsia"/>
        </w:rPr>
        <w:t>(燃氣50%、燃煤30%、再生能源20%)之能源轉型政策，未經能源安全、能源經濟及環境影響等完整評估，復於再生能源發電量增加有限情況下，以運轉中核電機組長期停機方式減核，致近年火力發購電量逐年提高，106年占比達84.4%，燃煤發電增幅甚至高於燃氣，造成嚴重空氣污染；以及經濟部宣布新能源政策之前，並未評估其對電價之影響，迄106年3月行政院始於國公營企業體檢小組會議評估等情，均有違失</w:t>
      </w:r>
      <w:r w:rsidR="00BC5C24" w:rsidRPr="00BC2B41">
        <w:rPr>
          <w:rFonts w:hint="eastAsia"/>
        </w:rPr>
        <w:t>；另106年度表面上似不生缺電問題，惟實際上卻因核一、核二部分機組停機造成供電缺口、簽「尖峰保證容量」並不保證尖峰時提供發電量保證，致雖實施需量競價、節能等抑低尖峰負載措施，「尖峰備轉容量率」仍頻創新低，仍須以火力發電填補核電缺口，</w:t>
      </w:r>
      <w:r w:rsidR="00846D04" w:rsidRPr="00BC2B41">
        <w:rPr>
          <w:rFonts w:hint="eastAsia"/>
        </w:rPr>
        <w:t>造成火力電廠機組燃料限制超標</w:t>
      </w:r>
      <w:r w:rsidR="00BC5C24" w:rsidRPr="00BC2B41">
        <w:rPr>
          <w:rFonts w:hint="eastAsia"/>
        </w:rPr>
        <w:t>，以上均有違失</w:t>
      </w:r>
      <w:r w:rsidR="00EC7936" w:rsidRPr="00BC2B41">
        <w:rPr>
          <w:rFonts w:hAnsi="標楷體" w:hint="eastAsia"/>
        </w:rPr>
        <w:t>，</w:t>
      </w:r>
      <w:r w:rsidRPr="00BC2B41">
        <w:rPr>
          <w:rFonts w:hint="eastAsia"/>
        </w:rPr>
        <w:t>爰依監察法第24條提案糾正，函請</w:t>
      </w:r>
      <w:r w:rsidR="00BC5C24" w:rsidRPr="00BC2B41">
        <w:rPr>
          <w:rFonts w:hint="eastAsia"/>
        </w:rPr>
        <w:t>行政院</w:t>
      </w:r>
      <w:r w:rsidR="004E4255" w:rsidRPr="00BC2B41">
        <w:rPr>
          <w:rFonts w:hint="eastAsia"/>
        </w:rPr>
        <w:t>督</w:t>
      </w:r>
      <w:r w:rsidRPr="00BC2B41">
        <w:rPr>
          <w:rFonts w:hint="eastAsia"/>
        </w:rPr>
        <w:t>飭所屬確實檢討改善見復。</w:t>
      </w:r>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255B32" w:rsidRDefault="00255B32" w:rsidP="005C5DDA">
      <w:pPr>
        <w:pStyle w:val="12"/>
        <w:kinsoku/>
        <w:overflowPunct w:val="0"/>
        <w:topLinePunct/>
        <w:autoSpaceDN w:val="0"/>
        <w:ind w:left="680" w:firstLine="680"/>
      </w:pPr>
      <w:r>
        <w:rPr>
          <w:rFonts w:hint="eastAsia"/>
        </w:rPr>
        <w:t xml:space="preserve">      </w:t>
      </w:r>
    </w:p>
    <w:p w:rsidR="00255B32" w:rsidRDefault="00255B32" w:rsidP="005C5DDA">
      <w:pPr>
        <w:pStyle w:val="12"/>
        <w:kinsoku/>
        <w:overflowPunct w:val="0"/>
        <w:topLinePunct/>
        <w:autoSpaceDN w:val="0"/>
        <w:ind w:left="680" w:firstLine="680"/>
      </w:pPr>
      <w:r>
        <w:rPr>
          <w:rFonts w:hint="eastAsia"/>
        </w:rPr>
        <w:t xml:space="preserve">                </w:t>
      </w:r>
    </w:p>
    <w:p w:rsidR="00255B32" w:rsidRDefault="00255B32" w:rsidP="005C5DDA">
      <w:pPr>
        <w:pStyle w:val="12"/>
        <w:kinsoku/>
        <w:overflowPunct w:val="0"/>
        <w:topLinePunct/>
        <w:autoSpaceDN w:val="0"/>
        <w:ind w:left="680" w:firstLine="680"/>
      </w:pPr>
      <w:r>
        <w:rPr>
          <w:rFonts w:hint="eastAsia"/>
        </w:rPr>
        <w:t xml:space="preserve">                    提案委員</w:t>
      </w:r>
      <w:r>
        <w:rPr>
          <w:rFonts w:hAnsi="標楷體" w:hint="eastAsia"/>
        </w:rPr>
        <w:t>：</w:t>
      </w:r>
      <w:r>
        <w:rPr>
          <w:rFonts w:hint="eastAsia"/>
        </w:rPr>
        <w:t>包宗和</w:t>
      </w:r>
    </w:p>
    <w:p w:rsidR="00255B32" w:rsidRDefault="00255B32" w:rsidP="005C5DDA">
      <w:pPr>
        <w:pStyle w:val="12"/>
        <w:kinsoku/>
        <w:overflowPunct w:val="0"/>
        <w:topLinePunct/>
        <w:autoSpaceDN w:val="0"/>
        <w:ind w:left="680" w:firstLine="680"/>
      </w:pPr>
      <w:r>
        <w:rPr>
          <w:rFonts w:hint="eastAsia"/>
        </w:rPr>
        <w:t xml:space="preserve">                              李月德</w:t>
      </w:r>
    </w:p>
    <w:p w:rsidR="00255B32" w:rsidRPr="00BC2B41" w:rsidRDefault="00255B32" w:rsidP="005C5DDA">
      <w:pPr>
        <w:pStyle w:val="12"/>
        <w:kinsoku/>
        <w:overflowPunct w:val="0"/>
        <w:topLinePunct/>
        <w:autoSpaceDN w:val="0"/>
        <w:ind w:left="680" w:firstLine="680"/>
        <w:rPr>
          <w:rFonts w:hint="eastAsia"/>
        </w:rPr>
      </w:pPr>
      <w:r>
        <w:rPr>
          <w:rFonts w:hint="eastAsia"/>
        </w:rPr>
        <w:t xml:space="preserve">                              陳慶財</w:t>
      </w:r>
      <w:bookmarkStart w:id="94" w:name="_GoBack"/>
      <w:bookmarkEnd w:id="94"/>
    </w:p>
    <w:p w:rsidR="005D011F" w:rsidRPr="00BC2B41" w:rsidRDefault="005D011F" w:rsidP="005C5DDA">
      <w:pPr>
        <w:overflowPunct w:val="0"/>
        <w:topLinePunct/>
        <w:autoSpaceDN w:val="0"/>
        <w:ind w:leftChars="200" w:left="680" w:firstLineChars="200" w:firstLine="680"/>
        <w:rPr>
          <w:rFonts w:ascii="標楷體"/>
          <w:bCs/>
          <w:kern w:val="0"/>
        </w:rPr>
      </w:pPr>
    </w:p>
    <w:sectPr w:rsidR="005D011F" w:rsidRPr="00BC2B41" w:rsidSect="00A94AD3">
      <w:footerReference w:type="even" r:id="rId47"/>
      <w:footerReference w:type="default" r:id="rId4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EC8" w:rsidRDefault="00652EC8" w:rsidP="00922A61">
      <w:r>
        <w:separator/>
      </w:r>
    </w:p>
  </w:endnote>
  <w:endnote w:type="continuationSeparator" w:id="0">
    <w:p w:rsidR="00652EC8" w:rsidRDefault="00652EC8" w:rsidP="0092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楷書體W5(P)">
    <w:altName w:val="新細明體"/>
    <w:charset w:val="88"/>
    <w:family w:val="auto"/>
    <w:pitch w:val="variable"/>
    <w:sig w:usb0="80000001" w:usb1="28091800" w:usb2="00000016"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17D" w:rsidRDefault="00E6117D">
    <w:pPr>
      <w:framePr w:wrap="around" w:vAnchor="text" w:hAnchor="margin" w:xAlign="center" w:y="1"/>
      <w:ind w:left="640" w:firstLine="400"/>
      <w:textDirection w:val="btLr"/>
      <w:rPr>
        <w:rStyle w:val="ae"/>
      </w:rPr>
    </w:pPr>
    <w:r>
      <w:rPr>
        <w:rStyle w:val="ae"/>
      </w:rPr>
      <w:fldChar w:fldCharType="begin"/>
    </w:r>
    <w:r>
      <w:rPr>
        <w:rStyle w:val="ae"/>
      </w:rPr>
      <w:instrText xml:space="preserve">PAGE  </w:instrText>
    </w:r>
    <w:r>
      <w:rPr>
        <w:rStyle w:val="ae"/>
      </w:rPr>
      <w:fldChar w:fldCharType="separate"/>
    </w:r>
    <w:r>
      <w:rPr>
        <w:rStyle w:val="ae"/>
        <w:noProof/>
      </w:rPr>
      <w:t>3</w:t>
    </w:r>
    <w:r>
      <w:rPr>
        <w:rStyle w:val="ae"/>
      </w:rPr>
      <w:fldChar w:fldCharType="end"/>
    </w:r>
  </w:p>
  <w:p w:rsidR="00E6117D" w:rsidRDefault="00E6117D">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17D" w:rsidRDefault="00E6117D">
    <w:pPr>
      <w:pStyle w:val="af2"/>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55B32">
      <w:rPr>
        <w:rStyle w:val="ae"/>
        <w:noProof/>
        <w:sz w:val="24"/>
      </w:rPr>
      <w:t>46</w:t>
    </w:r>
    <w:r>
      <w:rPr>
        <w:rStyle w:val="ae"/>
        <w:sz w:val="24"/>
      </w:rPr>
      <w:fldChar w:fldCharType="end"/>
    </w:r>
  </w:p>
  <w:p w:rsidR="00E6117D" w:rsidRDefault="00E6117D">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EC8" w:rsidRDefault="00652EC8" w:rsidP="00922A61">
      <w:r>
        <w:separator/>
      </w:r>
    </w:p>
  </w:footnote>
  <w:footnote w:type="continuationSeparator" w:id="0">
    <w:p w:rsidR="00652EC8" w:rsidRDefault="00652EC8" w:rsidP="00922A61">
      <w:r>
        <w:continuationSeparator/>
      </w:r>
    </w:p>
  </w:footnote>
  <w:footnote w:id="1">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hint="eastAsia"/>
        </w:rPr>
        <w:t xml:space="preserve"> 本院第4屆監察委員提出之調查報告摘要案由及案號如下：「核四廠試運轉期間事故頻仍，凸顯任意修改原廠安全設計、降低電廠零件之安全規格等工程缺失，恐危害全民生命及財產安全，究該廠於商業運轉前相關興建工程、機具設備等有無符合安全標準？相關機組設計、運作至後續管理維護有無合理確實？台灣電力股份有限公司、行政院原子能委員會是否積極妥處？均有深入瞭解之必要乙案。（案號：100財調0056、100財正0024）」、「行政院停止興建核四廠對工期延宕及經費增加有無失職之責乙案（案號：101財調0016、101財正0004）」、「台灣電力股份有限公司第四核能發電廠復工後，涉有工程延誤及效能不彰等缺失乙案（案號：101財調0017、101財正0005）」、「台灣電力股份有限公司第四核能發電廠採購之可撓性金屬導線管，並未符合採購規範，竟同意廠商採事後補測部分檢測項目，即予驗收計價付款，且部分導線管位置安裝錯誤及供應廠商未具核能品質保證資格，又對於導線管配件電鍍鋅厚度之採購規範未能確實瞭解，驗收標準任意變更，相關採購作業顯有諸多缺失，亦未落實相關檢驗作業及品保要求（案號：102財正0005）」。</w:t>
      </w:r>
    </w:p>
  </w:footnote>
  <w:footnote w:id="2">
    <w:p w:rsidR="00E6117D" w:rsidRPr="00831189" w:rsidRDefault="00E6117D" w:rsidP="005C17A0">
      <w:pPr>
        <w:pStyle w:val="af9"/>
        <w:ind w:left="220" w:hanging="220"/>
        <w:rPr>
          <w:rFonts w:ascii="標楷體" w:hAnsi="標楷體"/>
          <w:color w:val="E36C0A" w:themeColor="accent6" w:themeShade="BF"/>
        </w:rPr>
      </w:pPr>
      <w:r w:rsidRPr="00831189">
        <w:rPr>
          <w:rStyle w:val="afc"/>
          <w:rFonts w:ascii="標楷體" w:hAnsi="標楷體"/>
        </w:rPr>
        <w:footnoteRef/>
      </w:r>
      <w:r w:rsidRPr="00831189">
        <w:rPr>
          <w:rFonts w:ascii="標楷體" w:hAnsi="標楷體" w:hint="eastAsia"/>
        </w:rPr>
        <w:t xml:space="preserve"> 台電公司106度決算書略以，本計畫已列預算數2,832.89億元，截至106年底止實績2,828.75億元，餘4.14億元未動支。</w:t>
      </w:r>
    </w:p>
  </w:footnote>
  <w:footnote w:id="3">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hint="eastAsia"/>
        </w:rPr>
        <w:t xml:space="preserve"> 停工補償費用僅編列於104年度，主要係包含國內外契約之補償廠商費用、查證與法律事務費用等；廠商所提履約爭議處理之相關案件，部分已進入法律程序，須俟法律等相關程序完成後才能結案，確切金額以最終程序完成後之金額為準。</w:t>
      </w:r>
    </w:p>
  </w:footnote>
  <w:footnote w:id="4">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hint="eastAsia"/>
        </w:rPr>
        <w:t xml:space="preserve"> 原編列13.56億元，經立法院刪除5億元後為8.56億元。</w:t>
      </w:r>
    </w:p>
  </w:footnote>
  <w:footnote w:id="5">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hint="eastAsia"/>
        </w:rPr>
        <w:t xml:space="preserve"> 原編列8.5億元，經立法院刪除1億元後為7.5億元。</w:t>
      </w:r>
    </w:p>
  </w:footnote>
  <w:footnote w:id="6">
    <w:p w:rsidR="00E6117D" w:rsidRDefault="00E6117D" w:rsidP="00D37D34">
      <w:pPr>
        <w:pStyle w:val="af9"/>
        <w:ind w:left="220" w:hanging="220"/>
      </w:pPr>
      <w:r w:rsidRPr="00D37D34">
        <w:rPr>
          <w:rStyle w:val="afc"/>
          <w:rFonts w:ascii="標楷體" w:hAnsi="標楷體"/>
        </w:rPr>
        <w:footnoteRef/>
      </w:r>
      <w:r>
        <w:rPr>
          <w:rFonts w:hint="eastAsia"/>
        </w:rPr>
        <w:t xml:space="preserve"> </w:t>
      </w:r>
      <w:r w:rsidRPr="00D37D34">
        <w:rPr>
          <w:rFonts w:ascii="標楷體" w:hAnsi="標楷體" w:hint="eastAsia"/>
          <w:color w:val="C00000"/>
        </w:rPr>
        <w:t>據台電公司補充說明，1號機於試運轉期間針對安全系統、非安全系統及共用設備，共需執行320份試運轉程序書，於102年9月完成。經濟部於102年4月2日成立核四安檢小組，並於同年5月29日宣布開始執行核四安檢，重新檢視及界定安全系統應辦理之試運轉項目，共列出231份試運轉測試程序書需執行安檢測試作業，其中與安全有關的187份試運轉程序書需送原能會審查，全部安檢作業於103年7月29日完成。經原能會審查後，於106年4月20日停止審查作業，同意155份測試報告，另3</w:t>
      </w:r>
      <w:r w:rsidRPr="00D37D34">
        <w:rPr>
          <w:rFonts w:hint="eastAsia"/>
        </w:rPr>
        <w:t>2</w:t>
      </w:r>
      <w:r w:rsidRPr="00D37D34">
        <w:rPr>
          <w:rFonts w:hint="eastAsia"/>
        </w:rPr>
        <w:t>份未結案。</w:t>
      </w:r>
    </w:p>
  </w:footnote>
  <w:footnote w:id="7">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依行政院核定結果，用人費用係台電公司員額內例行性人力，非封存額外衍生之費用。</w:t>
      </w:r>
    </w:p>
  </w:footnote>
  <w:footnote w:id="8">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hint="eastAsia"/>
        </w:rPr>
        <w:t xml:space="preserve"> 依行政院核定結果，核四建廠資金成本因已無進行使核四達到預定使用之必要活動，不同意資本化，屬利息費用。</w:t>
      </w:r>
    </w:p>
  </w:footnote>
  <w:footnote w:id="9">
    <w:p w:rsidR="00E6117D" w:rsidRPr="00831189" w:rsidRDefault="00E6117D" w:rsidP="00201841">
      <w:pPr>
        <w:pStyle w:val="af9"/>
        <w:ind w:left="220" w:hanging="220"/>
        <w:rPr>
          <w:rFonts w:ascii="標楷體" w:hAnsi="標楷體"/>
        </w:rPr>
      </w:pPr>
      <w:r w:rsidRPr="00831189">
        <w:rPr>
          <w:rStyle w:val="afc"/>
          <w:rFonts w:ascii="標楷體" w:hAnsi="標楷體"/>
        </w:rPr>
        <w:footnoteRef/>
      </w:r>
      <w:r w:rsidRPr="00831189">
        <w:rPr>
          <w:rFonts w:ascii="標楷體" w:hAnsi="標楷體" w:hint="eastAsia"/>
        </w:rPr>
        <w:t xml:space="preserve"> 李世光任期：自105年5月20日迄106年8月17日止；沈榮津任期：106年8月17日起。</w:t>
      </w:r>
    </w:p>
  </w:footnote>
  <w:footnote w:id="10">
    <w:p w:rsidR="00E6117D" w:rsidRPr="00831189" w:rsidRDefault="00E6117D" w:rsidP="00831189">
      <w:pPr>
        <w:pStyle w:val="af9"/>
        <w:ind w:left="209" w:hangingChars="95" w:hanging="209"/>
        <w:jc w:val="left"/>
        <w:rPr>
          <w:rFonts w:ascii="標楷體" w:hAnsi="標楷體"/>
        </w:rPr>
      </w:pPr>
      <w:r w:rsidRPr="00831189">
        <w:rPr>
          <w:rStyle w:val="afc"/>
          <w:rFonts w:ascii="標楷體" w:hAnsi="標楷體"/>
        </w:rPr>
        <w:footnoteRef/>
      </w:r>
      <w:r w:rsidRPr="00831189">
        <w:rPr>
          <w:rFonts w:ascii="標楷體" w:hAnsi="標楷體" w:hint="eastAsia"/>
        </w:rPr>
        <w:t xml:space="preserve"> 資料來源：日本經濟產業省2017年白皮書，第252頁，</w:t>
      </w:r>
      <w:r w:rsidRPr="00831189">
        <w:rPr>
          <w:rFonts w:ascii="標楷體" w:hAnsi="標楷體"/>
        </w:rPr>
        <w:t>http://www.enecho.meti.go.jp/about/whitepaper/</w:t>
      </w:r>
      <w:r w:rsidRPr="00831189">
        <w:rPr>
          <w:rFonts w:ascii="標楷體" w:hAnsi="標楷體" w:hint="eastAsia"/>
        </w:rPr>
        <w:t>。</w:t>
      </w:r>
    </w:p>
  </w:footnote>
  <w:footnote w:id="11">
    <w:p w:rsidR="00E6117D" w:rsidRPr="00831189" w:rsidRDefault="00E6117D" w:rsidP="00831189">
      <w:pPr>
        <w:pStyle w:val="af9"/>
        <w:ind w:left="220" w:hanging="220"/>
        <w:jc w:val="left"/>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資料來源：KOREA ENERGY MASTER PLAN, MINISTRY OF TRADE, INDUSTRY &amp; ENERGY,JAN 2014</w:t>
      </w:r>
    </w:p>
  </w:footnote>
  <w:footnote w:id="12">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資料來源：South Korea</w:t>
      </w:r>
      <w:r w:rsidRPr="00831189">
        <w:rPr>
          <w:rFonts w:ascii="標楷體" w:hAnsi="標楷體"/>
        </w:rPr>
        <w:t>’</w:t>
      </w:r>
      <w:r w:rsidRPr="00831189">
        <w:rPr>
          <w:rFonts w:ascii="標楷體" w:hAnsi="標楷體" w:hint="eastAsia"/>
        </w:rPr>
        <w:t>s New Electricity Plan, IFRI,28.Feb 2018。</w:t>
      </w:r>
    </w:p>
  </w:footnote>
  <w:footnote w:id="13">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hint="eastAsia"/>
        </w:rPr>
        <w:t xml:space="preserve"> 2017工總白皮書第6頁。</w:t>
      </w:r>
    </w:p>
  </w:footnote>
  <w:footnote w:id="14">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2017工總白皮書第121頁。</w:t>
      </w:r>
    </w:p>
  </w:footnote>
  <w:footnote w:id="15">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Sufficient and reliable power supply is of critical</w:t>
      </w:r>
      <w:r w:rsidRPr="00831189">
        <w:rPr>
          <w:rFonts w:ascii="標楷體" w:hAnsi="標楷體" w:hint="eastAsia"/>
        </w:rPr>
        <w:t xml:space="preserve"> </w:t>
      </w:r>
      <w:r w:rsidRPr="00831189">
        <w:rPr>
          <w:rFonts w:ascii="標楷體" w:hAnsi="標楷體"/>
        </w:rPr>
        <w:t>importance to high-tech manufacturers. Power interruptions</w:t>
      </w:r>
      <w:r w:rsidRPr="00831189">
        <w:rPr>
          <w:rFonts w:ascii="標楷體" w:hAnsi="標楷體" w:hint="eastAsia"/>
        </w:rPr>
        <w:t xml:space="preserve"> </w:t>
      </w:r>
      <w:r w:rsidRPr="00831189">
        <w:rPr>
          <w:rFonts w:ascii="標楷體" w:hAnsi="標楷體"/>
        </w:rPr>
        <w:t>lasting just a fraction of a second can result in severe</w:t>
      </w:r>
      <w:r w:rsidRPr="00831189">
        <w:rPr>
          <w:rFonts w:ascii="標楷體" w:hAnsi="標楷體" w:hint="eastAsia"/>
        </w:rPr>
        <w:t xml:space="preserve"> </w:t>
      </w:r>
      <w:r w:rsidRPr="00831189">
        <w:rPr>
          <w:rFonts w:ascii="標楷體" w:hAnsi="標楷體"/>
        </w:rPr>
        <w:t>equipment damage and enormous production losses.</w:t>
      </w:r>
      <w:r w:rsidRPr="00831189">
        <w:rPr>
          <w:rFonts w:ascii="標楷體" w:hAnsi="標楷體" w:hint="eastAsia"/>
        </w:rPr>
        <w:t xml:space="preserve"> </w:t>
      </w:r>
      <w:r w:rsidRPr="00831189">
        <w:rPr>
          <w:rFonts w:ascii="標楷體" w:hAnsi="標楷體"/>
        </w:rPr>
        <w:t>Affordable and predictable energy costs are also extremely</w:t>
      </w:r>
      <w:r w:rsidRPr="00831189">
        <w:rPr>
          <w:rFonts w:ascii="標楷體" w:hAnsi="標楷體" w:hint="eastAsia"/>
        </w:rPr>
        <w:t xml:space="preserve"> </w:t>
      </w:r>
      <w:r w:rsidRPr="00831189">
        <w:rPr>
          <w:rFonts w:ascii="標楷體" w:hAnsi="標楷體"/>
        </w:rPr>
        <w:t>important to the profitability and long-term investment</w:t>
      </w:r>
      <w:r w:rsidRPr="00831189">
        <w:rPr>
          <w:rFonts w:ascii="標楷體" w:hAnsi="標楷體" w:hint="eastAsia"/>
        </w:rPr>
        <w:t xml:space="preserve"> </w:t>
      </w:r>
      <w:r w:rsidRPr="00831189">
        <w:rPr>
          <w:rFonts w:ascii="標楷體" w:hAnsi="標楷體"/>
        </w:rPr>
        <w:t>decisions of industrial users. Investment decisions concerning</w:t>
      </w:r>
      <w:r w:rsidRPr="00831189">
        <w:rPr>
          <w:rFonts w:ascii="標楷體" w:hAnsi="標楷體" w:hint="eastAsia"/>
        </w:rPr>
        <w:t xml:space="preserve"> </w:t>
      </w:r>
      <w:r w:rsidRPr="00831189">
        <w:rPr>
          <w:rFonts w:ascii="標楷體" w:hAnsi="標楷體"/>
        </w:rPr>
        <w:t>future industrial operations and production capacity must</w:t>
      </w:r>
      <w:r w:rsidRPr="00831189">
        <w:rPr>
          <w:rFonts w:ascii="標楷體" w:hAnsi="標楷體" w:hint="eastAsia"/>
        </w:rPr>
        <w:t xml:space="preserve"> </w:t>
      </w:r>
      <w:r w:rsidRPr="00831189">
        <w:rPr>
          <w:rFonts w:ascii="標楷體" w:hAnsi="標楷體"/>
        </w:rPr>
        <w:t>be made years in advance, and once made, they can have an</w:t>
      </w:r>
      <w:r w:rsidRPr="00831189">
        <w:rPr>
          <w:rFonts w:ascii="標楷體" w:hAnsi="標楷體" w:hint="eastAsia"/>
        </w:rPr>
        <w:t xml:space="preserve"> </w:t>
      </w:r>
      <w:r w:rsidRPr="00831189">
        <w:rPr>
          <w:rFonts w:ascii="標楷體" w:hAnsi="標楷體"/>
        </w:rPr>
        <w:t>impact for decades. Consequently, industrial users focus on</w:t>
      </w:r>
      <w:r w:rsidRPr="00831189">
        <w:rPr>
          <w:rFonts w:ascii="標楷體" w:hAnsi="標楷體" w:hint="eastAsia"/>
        </w:rPr>
        <w:t xml:space="preserve"> </w:t>
      </w:r>
      <w:r w:rsidRPr="00831189">
        <w:rPr>
          <w:rFonts w:ascii="標楷體" w:hAnsi="標楷體"/>
        </w:rPr>
        <w:t>price and reliability not only for the near term, but over the</w:t>
      </w:r>
      <w:r w:rsidRPr="00831189">
        <w:rPr>
          <w:rFonts w:ascii="標楷體" w:hAnsi="標楷體" w:hint="eastAsia"/>
        </w:rPr>
        <w:t xml:space="preserve"> </w:t>
      </w:r>
      <w:r w:rsidRPr="00831189">
        <w:rPr>
          <w:rFonts w:ascii="標楷體" w:hAnsi="標楷體"/>
        </w:rPr>
        <w:t>longer term.</w:t>
      </w:r>
    </w:p>
  </w:footnote>
  <w:footnote w:id="16">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Taiwan has begun a process of shifting its fuel and</w:t>
      </w:r>
      <w:r w:rsidRPr="00831189">
        <w:rPr>
          <w:rFonts w:ascii="標楷體" w:hAnsi="標楷體" w:hint="eastAsia"/>
        </w:rPr>
        <w:t xml:space="preserve"> </w:t>
      </w:r>
      <w:r w:rsidRPr="00831189">
        <w:rPr>
          <w:rFonts w:ascii="標楷體" w:hAnsi="標楷體"/>
        </w:rPr>
        <w:t>technology mix away from nuclear- and coal-based power</w:t>
      </w:r>
      <w:r w:rsidRPr="00831189">
        <w:rPr>
          <w:rFonts w:ascii="標楷體" w:hAnsi="標楷體" w:hint="eastAsia"/>
        </w:rPr>
        <w:t xml:space="preserve"> </w:t>
      </w:r>
      <w:r w:rsidRPr="00831189">
        <w:rPr>
          <w:rFonts w:ascii="標楷體" w:hAnsi="標楷體"/>
        </w:rPr>
        <w:t>generation sources. With the planned phase-out of nuclear</w:t>
      </w:r>
      <w:r w:rsidRPr="00831189">
        <w:rPr>
          <w:rFonts w:ascii="標楷體" w:hAnsi="標楷體" w:hint="eastAsia"/>
        </w:rPr>
        <w:t xml:space="preserve"> </w:t>
      </w:r>
      <w:r w:rsidRPr="00831189">
        <w:rPr>
          <w:rFonts w:ascii="標楷體" w:hAnsi="標楷體"/>
        </w:rPr>
        <w:t>power by 2025, concern about the future power supply has</w:t>
      </w:r>
      <w:r w:rsidRPr="00831189">
        <w:rPr>
          <w:rFonts w:ascii="標楷體" w:hAnsi="標楷體" w:hint="eastAsia"/>
        </w:rPr>
        <w:t xml:space="preserve"> </w:t>
      </w:r>
      <w:r w:rsidRPr="00831189">
        <w:rPr>
          <w:rFonts w:ascii="標楷體" w:hAnsi="標楷體"/>
        </w:rPr>
        <w:t xml:space="preserve">increased due to </w:t>
      </w:r>
      <w:r w:rsidRPr="00831189">
        <w:rPr>
          <w:rFonts w:ascii="標楷體" w:hAnsi="標楷體" w:hint="eastAsia"/>
        </w:rPr>
        <w:t>u</w:t>
      </w:r>
      <w:r w:rsidRPr="00831189">
        <w:rPr>
          <w:rFonts w:ascii="標楷體" w:hAnsi="標楷體"/>
        </w:rPr>
        <w:t>ncertainties about the cost and reliability of</w:t>
      </w:r>
      <w:r w:rsidRPr="00831189">
        <w:rPr>
          <w:rFonts w:ascii="標楷體" w:hAnsi="標楷體" w:hint="eastAsia"/>
        </w:rPr>
        <w:t xml:space="preserve"> </w:t>
      </w:r>
      <w:r w:rsidRPr="00831189">
        <w:rPr>
          <w:rFonts w:ascii="標楷體" w:hAnsi="標楷體"/>
        </w:rPr>
        <w:t>alternative energies. Given that 16% of the country’s power</w:t>
      </w:r>
      <w:r w:rsidRPr="00831189">
        <w:rPr>
          <w:rFonts w:ascii="標楷體" w:hAnsi="標楷體" w:hint="eastAsia"/>
        </w:rPr>
        <w:t xml:space="preserve"> </w:t>
      </w:r>
      <w:r w:rsidRPr="00831189">
        <w:rPr>
          <w:rFonts w:ascii="標楷體" w:hAnsi="標楷體"/>
        </w:rPr>
        <w:t>output currently comes from nuclear power, a shift in the fuel</w:t>
      </w:r>
      <w:r w:rsidRPr="00831189">
        <w:rPr>
          <w:rFonts w:ascii="標楷體" w:hAnsi="標楷體" w:hint="eastAsia"/>
        </w:rPr>
        <w:t xml:space="preserve"> </w:t>
      </w:r>
      <w:r w:rsidRPr="00831189">
        <w:rPr>
          <w:rFonts w:ascii="標楷體" w:hAnsi="標楷體"/>
        </w:rPr>
        <w:t>mix – if carried out too abruptly – could introduce significant</w:t>
      </w:r>
      <w:r w:rsidRPr="00831189">
        <w:rPr>
          <w:rFonts w:ascii="標楷體" w:hAnsi="標楷體" w:hint="eastAsia"/>
        </w:rPr>
        <w:t xml:space="preserve"> </w:t>
      </w:r>
      <w:r w:rsidRPr="00831189">
        <w:rPr>
          <w:rFonts w:ascii="標楷體" w:hAnsi="標楷體"/>
        </w:rPr>
        <w:t>tariff and supply-security risks. As an example, Ontario</w:t>
      </w:r>
      <w:r w:rsidRPr="00831189">
        <w:rPr>
          <w:rFonts w:ascii="標楷體" w:hAnsi="標楷體" w:hint="eastAsia"/>
        </w:rPr>
        <w:t xml:space="preserve"> </w:t>
      </w:r>
      <w:r w:rsidRPr="00831189">
        <w:rPr>
          <w:rFonts w:ascii="標楷體" w:hAnsi="標楷體"/>
        </w:rPr>
        <w:t>province in Canada recently made a rapid change in its fuel</w:t>
      </w:r>
      <w:r w:rsidRPr="00831189">
        <w:rPr>
          <w:rFonts w:ascii="標楷體" w:hAnsi="標楷體" w:hint="eastAsia"/>
        </w:rPr>
        <w:t xml:space="preserve"> </w:t>
      </w:r>
      <w:r w:rsidRPr="00831189">
        <w:rPr>
          <w:rFonts w:ascii="標楷體" w:hAnsi="標楷體"/>
        </w:rPr>
        <w:t>and technology mix, resulting in much greater than expected</w:t>
      </w:r>
      <w:r w:rsidRPr="00831189">
        <w:rPr>
          <w:rFonts w:ascii="標楷體" w:hAnsi="標楷體" w:hint="eastAsia"/>
        </w:rPr>
        <w:t xml:space="preserve"> </w:t>
      </w:r>
      <w:r w:rsidRPr="00831189">
        <w:rPr>
          <w:rFonts w:ascii="標楷體" w:hAnsi="標楷體"/>
        </w:rPr>
        <w:t>cost increases, which proved difficult for customers to absorb.</w:t>
      </w:r>
      <w:r w:rsidRPr="00831189">
        <w:rPr>
          <w:rFonts w:ascii="標楷體" w:hAnsi="標楷體" w:hint="eastAsia"/>
        </w:rPr>
        <w:t xml:space="preserve"> </w:t>
      </w:r>
      <w:r w:rsidRPr="00831189">
        <w:rPr>
          <w:rFonts w:ascii="標楷體" w:hAnsi="標楷體"/>
        </w:rPr>
        <w:t>In the end, a dramatic government intervention was needed</w:t>
      </w:r>
      <w:r w:rsidRPr="00831189">
        <w:rPr>
          <w:rFonts w:ascii="標楷體" w:hAnsi="標楷體" w:hint="eastAsia"/>
        </w:rPr>
        <w:t xml:space="preserve"> </w:t>
      </w:r>
      <w:r w:rsidRPr="00831189">
        <w:rPr>
          <w:rFonts w:ascii="標楷體" w:hAnsi="標楷體"/>
        </w:rPr>
        <w:t>to moderate arger-than-expected cost increases for both</w:t>
      </w:r>
      <w:r w:rsidRPr="00831189">
        <w:rPr>
          <w:rFonts w:ascii="標楷體" w:hAnsi="標楷體" w:hint="eastAsia"/>
        </w:rPr>
        <w:t xml:space="preserve"> </w:t>
      </w:r>
      <w:r w:rsidRPr="00831189">
        <w:rPr>
          <w:rFonts w:ascii="標楷體" w:hAnsi="標楷體"/>
        </w:rPr>
        <w:t>residential and industrial customers. Other countries have</w:t>
      </w:r>
      <w:r w:rsidRPr="00831189">
        <w:rPr>
          <w:rFonts w:ascii="標楷體" w:hAnsi="標楷體" w:hint="eastAsia"/>
        </w:rPr>
        <w:t xml:space="preserve"> </w:t>
      </w:r>
      <w:r w:rsidRPr="00831189">
        <w:rPr>
          <w:rFonts w:ascii="標楷體" w:hAnsi="標楷體"/>
        </w:rPr>
        <w:t xml:space="preserve">managed </w:t>
      </w:r>
      <w:r w:rsidRPr="00831189">
        <w:rPr>
          <w:rFonts w:ascii="標楷體" w:hAnsi="標楷體" w:hint="eastAsia"/>
        </w:rPr>
        <w:t>tr</w:t>
      </w:r>
      <w:r w:rsidRPr="00831189">
        <w:rPr>
          <w:rFonts w:ascii="標楷體" w:hAnsi="標楷體"/>
        </w:rPr>
        <w:t>ansitions over a longer or more flexible timeframe,</w:t>
      </w:r>
      <w:r w:rsidRPr="00831189">
        <w:rPr>
          <w:rFonts w:ascii="標楷體" w:hAnsi="標楷體" w:hint="eastAsia"/>
        </w:rPr>
        <w:t xml:space="preserve"> </w:t>
      </w:r>
      <w:r w:rsidRPr="00831189">
        <w:rPr>
          <w:rFonts w:ascii="標楷體" w:hAnsi="標楷體"/>
        </w:rPr>
        <w:t>or they have had the ability (unavailable for Taiwan) to</w:t>
      </w:r>
      <w:r w:rsidRPr="00831189">
        <w:rPr>
          <w:rFonts w:ascii="標楷體" w:hAnsi="標楷體" w:hint="eastAsia"/>
        </w:rPr>
        <w:t xml:space="preserve"> </w:t>
      </w:r>
      <w:r w:rsidRPr="00831189">
        <w:rPr>
          <w:rFonts w:ascii="標楷體" w:hAnsi="標楷體"/>
        </w:rPr>
        <w:t>tap neighboring sources of supply, which can help avoid</w:t>
      </w:r>
      <w:r w:rsidRPr="00831189">
        <w:rPr>
          <w:rFonts w:ascii="標楷體" w:hAnsi="標楷體" w:hint="eastAsia"/>
        </w:rPr>
        <w:t xml:space="preserve"> </w:t>
      </w:r>
      <w:r w:rsidRPr="00831189">
        <w:rPr>
          <w:rFonts w:ascii="標楷體" w:hAnsi="標楷體"/>
        </w:rPr>
        <w:t>unanticipated increases in cost or reductions in reliability.</w:t>
      </w:r>
      <w:r w:rsidRPr="00831189">
        <w:rPr>
          <w:rFonts w:ascii="標楷體" w:hAnsi="標楷體" w:hint="eastAsia"/>
        </w:rPr>
        <w:t>(P36)</w:t>
      </w:r>
    </w:p>
  </w:footnote>
  <w:footnote w:id="17">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From the perspective of the cost-competitiveness of</w:t>
      </w:r>
      <w:r w:rsidRPr="00831189">
        <w:rPr>
          <w:rFonts w:ascii="標楷體" w:hAnsi="標楷體" w:hint="eastAsia"/>
        </w:rPr>
        <w:t xml:space="preserve"> </w:t>
      </w:r>
      <w:r w:rsidRPr="00831189">
        <w:rPr>
          <w:rFonts w:ascii="標楷體" w:hAnsi="標楷體"/>
        </w:rPr>
        <w:t>Taiwan’s industries and their contribution to employment</w:t>
      </w:r>
      <w:r w:rsidRPr="00831189">
        <w:rPr>
          <w:rFonts w:ascii="標楷體" w:hAnsi="標楷體" w:hint="eastAsia"/>
        </w:rPr>
        <w:t xml:space="preserve"> </w:t>
      </w:r>
      <w:r w:rsidRPr="00831189">
        <w:rPr>
          <w:rFonts w:ascii="標楷體" w:hAnsi="標楷體"/>
        </w:rPr>
        <w:t>and economic growth, the transition from existing nucleargeneration to future sources of power generation needs to be</w:t>
      </w:r>
      <w:r w:rsidRPr="00831189">
        <w:rPr>
          <w:rFonts w:ascii="標楷體" w:hAnsi="標楷體" w:hint="eastAsia"/>
        </w:rPr>
        <w:t xml:space="preserve"> </w:t>
      </w:r>
      <w:r w:rsidRPr="00831189">
        <w:rPr>
          <w:rFonts w:ascii="標楷體" w:hAnsi="標楷體"/>
        </w:rPr>
        <w:t>managed carefully. The reason is that the incremental cost of</w:t>
      </w:r>
      <w:r w:rsidRPr="00831189">
        <w:rPr>
          <w:rFonts w:ascii="標楷體" w:hAnsi="標楷體" w:hint="eastAsia"/>
        </w:rPr>
        <w:t xml:space="preserve"> </w:t>
      </w:r>
      <w:r w:rsidRPr="00831189">
        <w:rPr>
          <w:rFonts w:ascii="標楷體" w:hAnsi="標楷體"/>
        </w:rPr>
        <w:t>generation from existing nuclear power stations is low, whereas</w:t>
      </w:r>
      <w:r w:rsidRPr="00831189">
        <w:rPr>
          <w:rFonts w:ascii="標楷體" w:hAnsi="標楷體" w:hint="eastAsia"/>
        </w:rPr>
        <w:t xml:space="preserve"> </w:t>
      </w:r>
      <w:r w:rsidRPr="00831189">
        <w:rPr>
          <w:rFonts w:ascii="標楷體" w:hAnsi="標楷體"/>
        </w:rPr>
        <w:t>alternative sources of capacity will incur new investment costs.The transition to a post-nuclear fuel mix is important, but</w:t>
      </w:r>
      <w:r w:rsidRPr="00831189">
        <w:rPr>
          <w:rFonts w:ascii="標楷體" w:hAnsi="標楷體" w:hint="eastAsia"/>
        </w:rPr>
        <w:t xml:space="preserve"> </w:t>
      </w:r>
      <w:r w:rsidRPr="00831189">
        <w:rPr>
          <w:rFonts w:ascii="標楷體" w:hAnsi="標楷體"/>
        </w:rPr>
        <w:t>it also has the potential to be economically disruptive if it is</w:t>
      </w:r>
      <w:r w:rsidRPr="00831189">
        <w:rPr>
          <w:rFonts w:ascii="標楷體" w:hAnsi="標楷體" w:hint="eastAsia"/>
        </w:rPr>
        <w:t xml:space="preserve"> </w:t>
      </w:r>
      <w:r w:rsidRPr="00831189">
        <w:rPr>
          <w:rFonts w:ascii="標楷體" w:hAnsi="標楷體"/>
        </w:rPr>
        <w:t>implemented too rigidly or quickly without a clear replacement</w:t>
      </w:r>
      <w:r w:rsidRPr="00831189">
        <w:rPr>
          <w:rFonts w:ascii="標楷體" w:hAnsi="標楷體" w:hint="eastAsia"/>
        </w:rPr>
        <w:t xml:space="preserve"> </w:t>
      </w:r>
      <w:r w:rsidRPr="00831189">
        <w:rPr>
          <w:rFonts w:ascii="標楷體" w:hAnsi="標楷體"/>
        </w:rPr>
        <w:t>plan that ensures continued cost-competitiveness, affordability,and reliability of the electricity supply.</w:t>
      </w:r>
    </w:p>
  </w:footnote>
  <w:footnote w:id="18">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「2018商業景氣調查」共針對198位跨國企業領袖進行訪查。</w:t>
      </w:r>
    </w:p>
  </w:footnote>
  <w:footnote w:id="19">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2018白皮書第WP75頁</w:t>
      </w:r>
    </w:p>
  </w:footnote>
  <w:footnote w:id="20">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2018白皮書第WP76頁</w:t>
      </w:r>
    </w:p>
  </w:footnote>
  <w:footnote w:id="21">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87% worry about the future sufficiency of the electric power supply.</w:t>
      </w:r>
      <w:r w:rsidRPr="00831189">
        <w:rPr>
          <w:rFonts w:ascii="標楷體" w:hAnsi="標楷體" w:hint="eastAsia"/>
        </w:rPr>
        <w:t>「2019商業景氣調查」共針對179位跨國企業領袖進行訪查。（</w:t>
      </w:r>
      <w:r w:rsidRPr="00831189">
        <w:rPr>
          <w:rFonts w:ascii="標楷體" w:hAnsi="標楷體"/>
        </w:rPr>
        <w:t>The online 2019 Business Climate Survey was</w:t>
      </w:r>
      <w:r w:rsidRPr="00831189">
        <w:rPr>
          <w:rFonts w:ascii="標楷體" w:hAnsi="標楷體" w:hint="eastAsia"/>
        </w:rPr>
        <w:t xml:space="preserve"> </w:t>
      </w:r>
      <w:r w:rsidRPr="00831189">
        <w:rPr>
          <w:rFonts w:ascii="標楷體" w:hAnsi="標楷體"/>
        </w:rPr>
        <w:t>conducted for AmCham Taipei by PwC Taiwan</w:t>
      </w:r>
      <w:r w:rsidRPr="00831189">
        <w:rPr>
          <w:rFonts w:ascii="標楷體" w:hAnsi="標楷體" w:hint="eastAsia"/>
        </w:rPr>
        <w:t xml:space="preserve"> </w:t>
      </w:r>
      <w:r w:rsidRPr="00831189">
        <w:rPr>
          <w:rFonts w:ascii="標楷體" w:hAnsi="標楷體"/>
        </w:rPr>
        <w:t>between November 12 and December 21, 2018.Of the 391 eligible respondents among the voting representatives of the Chamber’s member</w:t>
      </w:r>
      <w:r w:rsidRPr="00831189">
        <w:rPr>
          <w:rFonts w:ascii="標楷體" w:hAnsi="標楷體" w:hint="eastAsia"/>
        </w:rPr>
        <w:t xml:space="preserve"> </w:t>
      </w:r>
      <w:r w:rsidRPr="00831189">
        <w:rPr>
          <w:rFonts w:ascii="標楷體" w:hAnsi="標楷體"/>
        </w:rPr>
        <w:t>companies (usually the country head), 179 tookthe survey for a response rate of 45.7%.</w:t>
      </w:r>
      <w:r w:rsidRPr="00831189">
        <w:rPr>
          <w:rFonts w:ascii="標楷體" w:hAnsi="標楷體" w:hint="eastAsia"/>
        </w:rPr>
        <w:t>）</w:t>
      </w:r>
    </w:p>
  </w:footnote>
  <w:footnote w:id="22">
    <w:p w:rsidR="00E6117D" w:rsidRPr="00831189" w:rsidRDefault="00E6117D" w:rsidP="00831189">
      <w:pPr>
        <w:pStyle w:val="af9"/>
        <w:ind w:left="220" w:hanging="220"/>
        <w:rPr>
          <w:rFonts w:ascii="標楷體" w:hAnsi="標楷體"/>
        </w:rPr>
      </w:pPr>
      <w:r>
        <w:rPr>
          <w:rStyle w:val="afc"/>
        </w:rPr>
        <w:footnoteRef/>
      </w:r>
      <w:r>
        <w:rPr>
          <w:rFonts w:hint="eastAsia"/>
        </w:rPr>
        <w:t xml:space="preserve"> </w:t>
      </w:r>
      <w:r w:rsidRPr="00831189">
        <w:rPr>
          <w:rFonts w:ascii="標楷體" w:hAnsi="標楷體" w:hint="eastAsia"/>
        </w:rPr>
        <w:t>核一#1號機第27次大修工作於104年2月4日已全部完成，但受到一束核燃料把手鬆脫事件影響，停機至執照到期日（107/12/5）。</w:t>
      </w:r>
    </w:p>
    <w:p w:rsidR="00E6117D" w:rsidRPr="00831189" w:rsidRDefault="00E6117D" w:rsidP="00831189">
      <w:pPr>
        <w:pStyle w:val="af9"/>
        <w:ind w:left="220" w:hanging="220"/>
      </w:pPr>
      <w:r w:rsidRPr="00831189">
        <w:rPr>
          <w:rFonts w:ascii="標楷體" w:hAnsi="標楷體" w:hint="eastAsia"/>
        </w:rPr>
        <w:t xml:space="preserve">  核二#2號機105年4月12日解聯進行第24次大修，同年5月16日併聯，發生發電機跳脫，停機迄107年3月27日始再度併聯，惟次日（3月28日）升載過程中解聯，反應爐安全停機，檢修至同年6月17日再度併聯迄今。</w:t>
      </w:r>
    </w:p>
  </w:footnote>
  <w:footnote w:id="23">
    <w:p w:rsidR="00E6117D" w:rsidRPr="009D7648" w:rsidRDefault="00E6117D" w:rsidP="009D7648">
      <w:pPr>
        <w:pStyle w:val="af9"/>
        <w:autoSpaceDN w:val="0"/>
        <w:ind w:left="110" w:hangingChars="50" w:hanging="110"/>
        <w:rPr>
          <w:rFonts w:ascii="標楷體" w:hAnsi="標楷體"/>
        </w:rPr>
      </w:pPr>
      <w:r w:rsidRPr="009D7648">
        <w:rPr>
          <w:rStyle w:val="afc"/>
          <w:rFonts w:ascii="標楷體" w:hAnsi="標楷體"/>
        </w:rPr>
        <w:footnoteRef/>
      </w:r>
      <w:r w:rsidRPr="009D7648">
        <w:rPr>
          <w:rFonts w:ascii="標楷體" w:hAnsi="標楷體" w:hint="eastAsia"/>
        </w:rPr>
        <w:t>協和#1號機商轉日期：66年1月15日，#2號機：66年12月2日。</w:t>
      </w:r>
    </w:p>
    <w:p w:rsidR="00E6117D" w:rsidRPr="00831189" w:rsidRDefault="00E6117D" w:rsidP="009D7648">
      <w:pPr>
        <w:pStyle w:val="af9"/>
        <w:autoSpaceDN w:val="0"/>
        <w:ind w:left="110" w:hangingChars="50" w:hanging="110"/>
        <w:jc w:val="left"/>
        <w:rPr>
          <w:rFonts w:ascii="標楷體" w:hAnsi="標楷體"/>
        </w:rPr>
      </w:pPr>
      <w:r w:rsidRPr="009D7648">
        <w:rPr>
          <w:rFonts w:ascii="標楷體" w:hAnsi="標楷體" w:hint="eastAsia"/>
        </w:rPr>
        <w:t xml:space="preserve"> 協和#1、#2於107年5月31日上午7時40分機組發電量(單位MW)如下表：（資料摘自台電公司107年5月31日電力資訊/各機組發電量網頁）</w:t>
      </w:r>
      <w:r w:rsidRPr="00831189">
        <w:rPr>
          <w:rFonts w:ascii="標楷體" w:hAnsi="標楷體" w:hint="eastAsia"/>
          <w:noProof/>
        </w:rPr>
        <w:drawing>
          <wp:inline distT="0" distB="0" distL="0" distR="0" wp14:anchorId="050E6565" wp14:editId="14548F0A">
            <wp:extent cx="5615940" cy="593725"/>
            <wp:effectExtent l="0" t="0" r="381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066B3.tmp"/>
                    <pic:cNvPicPr/>
                  </pic:nvPicPr>
                  <pic:blipFill>
                    <a:blip r:embed="rId1">
                      <a:extLst>
                        <a:ext uri="{28A0092B-C50C-407E-A947-70E740481C1C}">
                          <a14:useLocalDpi xmlns:a14="http://schemas.microsoft.com/office/drawing/2010/main" val="0"/>
                        </a:ext>
                      </a:extLst>
                    </a:blip>
                    <a:stretch>
                      <a:fillRect/>
                    </a:stretch>
                  </pic:blipFill>
                  <pic:spPr>
                    <a:xfrm>
                      <a:off x="0" y="0"/>
                      <a:ext cx="5615940" cy="593725"/>
                    </a:xfrm>
                    <a:prstGeom prst="rect">
                      <a:avLst/>
                    </a:prstGeom>
                  </pic:spPr>
                </pic:pic>
              </a:graphicData>
            </a:graphic>
          </wp:inline>
        </w:drawing>
      </w:r>
    </w:p>
  </w:footnote>
  <w:footnote w:id="24">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資料來源：102年長期電源開發方案圖8-1 台電公司 電源開發處 102年11月</w:t>
      </w:r>
    </w:p>
  </w:footnote>
  <w:footnote w:id="25">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114年再生能源裝置容量970萬瓩，較113年940萬瓩增加30.2萬瓩。</w:t>
      </w:r>
    </w:p>
  </w:footnote>
  <w:footnote w:id="26">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資料來源：經濟部能源局 能源統計資料查詢系統 電力供給/發電量</w:t>
      </w:r>
    </w:p>
  </w:footnote>
  <w:footnote w:id="27">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資料來源：經濟部能源局 能源統計月報 拾、電力：</w:t>
      </w:r>
      <w:hyperlink r:id="rId2" w:history="1">
        <w:r w:rsidRPr="00831189">
          <w:rPr>
            <w:rFonts w:ascii="標楷體" w:hAnsi="標楷體"/>
          </w:rPr>
          <w:t>台電火力發電燃料耗用量</w:t>
        </w:r>
        <w:r w:rsidRPr="00831189">
          <w:rPr>
            <w:rFonts w:ascii="標楷體" w:hAnsi="標楷體" w:hint="eastAsia"/>
          </w:rPr>
          <w:t>_歷年</w:t>
        </w:r>
        <w:r w:rsidRPr="00831189">
          <w:rPr>
            <w:rFonts w:ascii="標楷體" w:hAnsi="標楷體"/>
          </w:rPr>
          <w:t>.xls</w:t>
        </w:r>
      </w:hyperlink>
      <w:r w:rsidRPr="00831189">
        <w:rPr>
          <w:rFonts w:ascii="標楷體" w:hAnsi="標楷體" w:hint="eastAsia"/>
        </w:rPr>
        <w:t>、</w:t>
      </w:r>
      <w:hyperlink r:id="rId3" w:history="1">
        <w:r w:rsidRPr="00831189">
          <w:rPr>
            <w:rFonts w:ascii="標楷體" w:hAnsi="標楷體"/>
          </w:rPr>
          <w:t>民營電廠發電燃料耗用量</w:t>
        </w:r>
        <w:r w:rsidRPr="00831189">
          <w:rPr>
            <w:rFonts w:ascii="標楷體" w:hAnsi="標楷體" w:hint="eastAsia"/>
          </w:rPr>
          <w:t>_歷年</w:t>
        </w:r>
        <w:r w:rsidRPr="00831189">
          <w:rPr>
            <w:rFonts w:ascii="標楷體" w:hAnsi="標楷體"/>
          </w:rPr>
          <w:t>.xls</w:t>
        </w:r>
      </w:hyperlink>
      <w:r w:rsidRPr="00831189">
        <w:rPr>
          <w:rFonts w:ascii="標楷體" w:hAnsi="標楷體" w:hint="eastAsia"/>
        </w:rPr>
        <w:t>，統計至107年1月。</w:t>
      </w:r>
    </w:p>
  </w:footnote>
  <w:footnote w:id="28">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原能會107年6月5日同意核二廠2號機重啟。</w:t>
      </w:r>
    </w:p>
  </w:footnote>
  <w:footnote w:id="29">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資料來源：台北市美國商會2017年白皮書。</w:t>
      </w:r>
    </w:p>
  </w:footnote>
  <w:footnote w:id="30">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詳見立法院第9屆第4會期經濟委員會第8次全體委員會議紀錄，立法院公報 第106卷 第86 期 委員會紀錄第104頁。</w:t>
      </w:r>
    </w:p>
  </w:footnote>
  <w:footnote w:id="31">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資料來源：經濟部107年2月1日應詢書面資料，第8頁。</w:t>
      </w:r>
    </w:p>
  </w:footnote>
  <w:footnote w:id="32">
    <w:p w:rsidR="00E6117D" w:rsidRPr="00831189" w:rsidRDefault="00E6117D" w:rsidP="00BC5C24">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1、依據現行實施中之電價公式，台電公司仍有3%~5%投資報酬率；2、</w:t>
      </w:r>
      <w:r w:rsidRPr="00831189">
        <w:rPr>
          <w:rFonts w:ascii="標楷體" w:hAnsi="標楷體" w:hint="eastAsia"/>
          <w:b/>
        </w:rPr>
        <w:t>不考慮燃料價格波動</w:t>
      </w:r>
      <w:r w:rsidRPr="00831189">
        <w:rPr>
          <w:rFonts w:ascii="標楷體" w:hAnsi="標楷體" w:hint="eastAsia"/>
        </w:rPr>
        <w:t>，燃料價格假設條件如下：天然氣8.8894元/立方公尺、燃煤2,434元/公噸、燃料油11,569元/公秉、柴油20,356元/公秉(皆未含稅)，主要參考106年初價格；3、核四資產妥適處理後減損金額約2,581億元，分年反映於電價回收；4、IPP合約到期後與本公司續約，依購售電合約之容量費率及能量費率調整購價；資本費僅考慮業者部分設備更新之費用，其中燃煤麥寮及和平電廠另加計空污費。5、未來太陽光電發電成本將持續下降。6、再生能源發展基金持續給予再生能源補貼收入。</w:t>
      </w:r>
    </w:p>
  </w:footnote>
  <w:footnote w:id="33">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114年國公營體檢預估核四減損影響為0.11元/度，係以減損分9年分攤核算；惟據台電公司表示，於105年上半年電價調整案中，原估列核四減損影響數為0.04元/度，因當時係以減損分25年分攤核算。</w:t>
      </w:r>
    </w:p>
  </w:footnote>
  <w:footnote w:id="34">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台電公司為辦理105年上半年電價調整案而預估之發購電量及燃料單價，其中核能發電量，105年初預估341.86億度，實際上該(105)年度發電量僅304.8億度，相差約37億度。</w:t>
      </w:r>
    </w:p>
  </w:footnote>
  <w:footnote w:id="35">
    <w:p w:rsidR="00E6117D" w:rsidRPr="00831189" w:rsidRDefault="00E6117D" w:rsidP="00201841">
      <w:pPr>
        <w:pStyle w:val="af9"/>
        <w:ind w:left="181" w:hangingChars="82" w:hanging="181"/>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105年4月1日調整後電價每度2.5488元/度。本次調整係依立法院104年1月28日台立院議字第1040700589號函核定之電價費率計算公式計算，並經經濟部設置之「電價費率審議會」審定，反映105年預估燃料價格持續下跌，電價由每度平均電價2.8181元調降為2.5488元，調幅為-9.56%。</w:t>
      </w:r>
    </w:p>
  </w:footnote>
  <w:footnote w:id="36">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hint="eastAsia"/>
          <w:color w:val="E36C0A" w:themeColor="accent6" w:themeShade="BF"/>
        </w:rPr>
        <w:t xml:space="preserve"> </w:t>
      </w:r>
      <w:r w:rsidRPr="00831189">
        <w:rPr>
          <w:rFonts w:ascii="標楷體" w:hAnsi="標楷體" w:hint="eastAsia"/>
        </w:rPr>
        <w:t>表7：「105上半年電價調整案」自發電成本合計2,200.44億元、「114年國公營體檢預估」自發電成本合計2,024.97億元，共減少175.47億元。主要為燃油、核電燃料成本各減391、105億元，燃氣、燃煤成本各增259、61億元。</w:t>
      </w:r>
    </w:p>
  </w:footnote>
  <w:footnote w:id="37">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hint="eastAsia"/>
        </w:rPr>
        <w:t xml:space="preserve"> 表7：「105上半年電價調整案」每度分攤成本1.0551元，「114年國公營體檢預估」每度分攤成本0.8427元，共減少0.2124元。</w:t>
      </w:r>
    </w:p>
  </w:footnote>
  <w:footnote w:id="38">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hint="eastAsia"/>
        </w:rPr>
        <w:t xml:space="preserve"> 表8：「105上半年電價調整案」購電成本合計1,147.75億元、「114年國公營體檢預估」購電成本合計2,822.52億元，共增加1,674.77億元。主要為太陽光電購電金額增加1,104億元，離岸風電購電金額增加473億元及燃氣購電支出增加143億元。</w:t>
      </w:r>
    </w:p>
  </w:footnote>
  <w:footnote w:id="39">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hint="eastAsia"/>
        </w:rPr>
        <w:t xml:space="preserve"> 表8：「105上半年電價調整案」每度分攤成本0.5503元，「114年國公營體檢預估」每度分攤成本1.1746元，增加0.6243元。</w:t>
      </w:r>
    </w:p>
  </w:footnote>
  <w:footnote w:id="40">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(表7)支出減少175.47億元、(表8)支出增加1,674.77億元，發購電支出共增加1,499.3億元。</w:t>
      </w:r>
    </w:p>
  </w:footnote>
  <w:footnote w:id="41">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(表7)每度分攤成本減少0.2124元、(表8)每度分攤成本增加0.6243元，每度分攤成本合計增加0.4119元。</w:t>
      </w:r>
    </w:p>
  </w:footnote>
  <w:footnote w:id="42">
    <w:p w:rsidR="00E6117D" w:rsidRPr="00831189" w:rsidRDefault="00E6117D" w:rsidP="00201841">
      <w:pPr>
        <w:pStyle w:val="af9"/>
        <w:ind w:left="284" w:hangingChars="129" w:hanging="284"/>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(表9)自發電支出減少447.48億元、(表10)購電支出增加1,631.48億元，發購電支出共增加1,184億元。</w:t>
      </w:r>
    </w:p>
  </w:footnote>
  <w:footnote w:id="43">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(表9)自發電每度分攤成本減少0.2956元、(表10)購電每度分攤成本增加0.6263元，每度分攤成本合計增加0.3307元。</w:t>
      </w:r>
    </w:p>
  </w:footnote>
  <w:footnote w:id="44">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迴避成本：指電業自行產出或向其他來源購入非再生能源電能之年平均成本。</w:t>
      </w:r>
    </w:p>
  </w:footnote>
  <w:footnote w:id="45">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表8，114年天然氣平均購電單價2.98元，離岸風力平均單價5.75元/度，價差5.75-2.98＝2.77元/度</w:t>
      </w:r>
    </w:p>
  </w:footnote>
  <w:footnote w:id="46">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2.77元/度×59.5億度=164.8億元。</w:t>
      </w:r>
    </w:p>
  </w:footnote>
  <w:footnote w:id="47">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因離岸風電購電量增加59.5億度（82.4→141.9億度），可同時減少燃氣發電59.5億度，惟因二者每度價差約2.77元，一加一減，購電支出增加約164.8億元；(表8)「114年國公營體檢預估」購電支出修正為2,987.32億元（2,822.52億元+164.8億元）、每度分攤成本修正為1.2432元（購電支出2,987.32÷售電量2,402.96=1.2432）；每度分攤成本差異數修正為0.6929元（1.2432-0.5503=0.6929）。</w:t>
      </w:r>
    </w:p>
    <w:p w:rsidR="00E6117D" w:rsidRPr="00831189" w:rsidRDefault="00E6117D" w:rsidP="00851B50">
      <w:pPr>
        <w:pStyle w:val="af9"/>
        <w:ind w:left="220" w:hanging="220"/>
        <w:rPr>
          <w:rFonts w:ascii="標楷體" w:hAnsi="標楷體"/>
          <w:color w:val="E36C0A" w:themeColor="accent6" w:themeShade="BF"/>
        </w:rPr>
      </w:pPr>
      <w:r w:rsidRPr="00831189">
        <w:rPr>
          <w:rFonts w:ascii="標楷體" w:hAnsi="標楷體" w:hint="eastAsia"/>
        </w:rPr>
        <w:t xml:space="preserve">  發購電每度分攤成本為(表7)0.2124+(表8)0.6929=0.4805元。</w:t>
      </w:r>
    </w:p>
  </w:footnote>
  <w:footnote w:id="48">
    <w:p w:rsidR="00E6117D" w:rsidRPr="00831189" w:rsidRDefault="00E6117D" w:rsidP="005C5DDA">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82.4億度*5.75元/度＝473.45億元。</w:t>
      </w:r>
    </w:p>
  </w:footnote>
  <w:footnote w:id="49">
    <w:p w:rsidR="00E6117D" w:rsidRPr="00831189" w:rsidRDefault="00E6117D" w:rsidP="00201841">
      <w:pPr>
        <w:pStyle w:val="af9"/>
        <w:ind w:left="209" w:hangingChars="95" w:hanging="209"/>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1,499.3億元+（141.9-82.4）億度*2.77元/度＝1,664.1億元（因離岸風電購電量由82.4億度增為141.9億度，增加59.5億度，可同時減少燃氣發電，惟因二者每度價差約2.77元，一加一減，購電支出增加約164.8億元）。</w:t>
      </w:r>
    </w:p>
  </w:footnote>
  <w:footnote w:id="50">
    <w:p w:rsidR="00E6117D" w:rsidRPr="00831189" w:rsidRDefault="00E6117D" w:rsidP="005C5DDA">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同註</w:t>
      </w:r>
      <w:r w:rsidRPr="00831189">
        <w:rPr>
          <w:rFonts w:ascii="標楷體" w:hAnsi="標楷體" w:hint="eastAsia"/>
          <w:color w:val="C0504D" w:themeColor="accent2"/>
        </w:rPr>
        <w:t>4</w:t>
      </w:r>
      <w:r>
        <w:rPr>
          <w:rFonts w:ascii="標楷體" w:hAnsi="標楷體" w:hint="eastAsia"/>
          <w:color w:val="C0504D" w:themeColor="accent2"/>
        </w:rPr>
        <w:t>7</w:t>
      </w:r>
      <w:r w:rsidRPr="00831189">
        <w:rPr>
          <w:rFonts w:ascii="標楷體" w:hAnsi="標楷體" w:hint="eastAsia"/>
        </w:rPr>
        <w:t>。</w:t>
      </w:r>
    </w:p>
  </w:footnote>
  <w:footnote w:id="51">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依能源局107年5月1日簡報第17頁，2025年離岸風電裝置容量5.5GW，躉購電量約203.5億度。</w:t>
      </w:r>
    </w:p>
  </w:footnote>
  <w:footnote w:id="52">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同註</w:t>
      </w:r>
      <w:r w:rsidRPr="00325276">
        <w:rPr>
          <w:rFonts w:ascii="標楷體" w:hAnsi="標楷體" w:hint="eastAsia"/>
          <w:color w:val="C00000"/>
        </w:rPr>
        <w:t>3</w:t>
      </w:r>
      <w:r>
        <w:rPr>
          <w:rFonts w:ascii="標楷體" w:hAnsi="標楷體" w:hint="eastAsia"/>
          <w:color w:val="C00000"/>
        </w:rPr>
        <w:t>3</w:t>
      </w:r>
      <w:r w:rsidRPr="00831189">
        <w:rPr>
          <w:rFonts w:ascii="標楷體" w:hAnsi="標楷體" w:hint="eastAsia"/>
        </w:rPr>
        <w:t>。</w:t>
      </w:r>
    </w:p>
  </w:footnote>
  <w:footnote w:id="53">
    <w:p w:rsidR="00E6117D" w:rsidRPr="00831189" w:rsidRDefault="00E6117D" w:rsidP="005C17A0">
      <w:pPr>
        <w:pStyle w:val="af9"/>
        <w:ind w:left="220" w:hanging="220"/>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Total Effective Equipment Performance之簡稱。</w:t>
      </w:r>
    </w:p>
    <w:p w:rsidR="00E6117D" w:rsidRPr="00831189" w:rsidRDefault="00E6117D" w:rsidP="00851B50">
      <w:pPr>
        <w:pStyle w:val="af9"/>
        <w:ind w:left="220" w:hanging="220"/>
        <w:rPr>
          <w:rFonts w:ascii="標楷體" w:hAnsi="標楷體"/>
        </w:rPr>
      </w:pPr>
    </w:p>
  </w:footnote>
  <w:footnote w:id="54">
    <w:p w:rsidR="00E6117D" w:rsidRPr="00831189" w:rsidRDefault="00E6117D" w:rsidP="00201841">
      <w:pPr>
        <w:pStyle w:val="af9"/>
        <w:ind w:left="238" w:hangingChars="108" w:hanging="238"/>
        <w:rPr>
          <w:rFonts w:ascii="標楷體" w:hAnsi="標楷體"/>
        </w:rPr>
      </w:pPr>
      <w:r w:rsidRPr="00831189">
        <w:rPr>
          <w:rStyle w:val="afc"/>
          <w:rFonts w:ascii="標楷體" w:hAnsi="標楷體"/>
        </w:rPr>
        <w:footnoteRef/>
      </w:r>
      <w:r w:rsidRPr="00831189">
        <w:rPr>
          <w:rFonts w:ascii="標楷體" w:hAnsi="標楷體"/>
        </w:rPr>
        <w:t xml:space="preserve"> </w:t>
      </w:r>
      <w:r w:rsidRPr="00831189">
        <w:rPr>
          <w:rFonts w:ascii="標楷體" w:hAnsi="標楷體" w:hint="eastAsia"/>
        </w:rPr>
        <w:t>汽電共生系統實施辦法第15條：用售電業收購合格系統餘電之購電電費以下列公式計算：</w:t>
      </w:r>
    </w:p>
    <w:p w:rsidR="00E6117D" w:rsidRPr="00831189" w:rsidRDefault="00E6117D" w:rsidP="00201841">
      <w:pPr>
        <w:pStyle w:val="af9"/>
        <w:ind w:leftChars="83" w:left="614" w:hangingChars="151" w:hanging="332"/>
        <w:rPr>
          <w:rFonts w:ascii="標楷體" w:hAnsi="標楷體"/>
        </w:rPr>
      </w:pPr>
      <w:r w:rsidRPr="00831189">
        <w:rPr>
          <w:rFonts w:ascii="標楷體" w:hAnsi="標楷體" w:hint="eastAsia"/>
        </w:rPr>
        <w:t>1、尖峰時段未提供保證容量者之每月購電電費(元)＝能量費率(元／度)×每月購電量(度)。</w:t>
      </w:r>
    </w:p>
    <w:p w:rsidR="00E6117D" w:rsidRPr="00831189" w:rsidRDefault="00E6117D" w:rsidP="00201841">
      <w:pPr>
        <w:pStyle w:val="af9"/>
        <w:ind w:leftChars="83" w:left="614" w:hangingChars="151" w:hanging="332"/>
        <w:rPr>
          <w:rFonts w:ascii="標楷體" w:hAnsi="標楷體"/>
        </w:rPr>
      </w:pPr>
      <w:r w:rsidRPr="00831189">
        <w:rPr>
          <w:rFonts w:ascii="標楷體" w:hAnsi="標楷體" w:hint="eastAsia"/>
        </w:rPr>
        <w:t>2、尖峰時段可提供保證容量者之每月購電電費(元)＝容量費率(元／瓩)×保證可靠容量(瓩)＋能量費率(元／度)×每月購電量(度)－未達保證時段之扣減數(元)。</w:t>
      </w:r>
    </w:p>
    <w:p w:rsidR="00E6117D" w:rsidRPr="001734C9" w:rsidRDefault="00E6117D" w:rsidP="00201841">
      <w:pPr>
        <w:pStyle w:val="af9"/>
        <w:ind w:leftChars="70" w:left="238" w:firstLineChars="20" w:firstLine="44"/>
        <w:rPr>
          <w:rFonts w:ascii="標楷體" w:hAnsi="標楷體"/>
        </w:rPr>
      </w:pPr>
      <w:r w:rsidRPr="00831189">
        <w:rPr>
          <w:rFonts w:ascii="標楷體" w:hAnsi="標楷體" w:hint="eastAsia"/>
        </w:rPr>
        <w:t>前項第2款尖峰時段可提供保證容量之合格系統，除可歸責公用售電業或輸配電業之原因外</w:t>
      </w:r>
      <w:r w:rsidRPr="001734C9">
        <w:rPr>
          <w:rFonts w:ascii="標楷體" w:hAnsi="標楷體" w:hint="eastAsia"/>
        </w:rPr>
        <w:t>，如在保證發電時段未達保證容量者，其計算扣減數之公式為，未達保證時段之扣減數(元)＝容量費率(元／瓩)×(保證可靠容量－當月保證發電時段合格系統每日平均售予公用售電業之最低容量)(瓩)。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42DB1"/>
    <w:multiLevelType w:val="hybridMultilevel"/>
    <w:tmpl w:val="329A9FC4"/>
    <w:lvl w:ilvl="0" w:tplc="9582468A">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68CCF24"/>
    <w:lvl w:ilvl="0" w:tplc="2D02F8B0">
      <w:start w:val="1"/>
      <w:numFmt w:val="taiwaneseCountingThousand"/>
      <w:pStyle w:val="a"/>
      <w:lvlText w:val="附圖%1、"/>
      <w:lvlJc w:val="left"/>
      <w:pPr>
        <w:tabs>
          <w:tab w:val="num" w:pos="1440"/>
        </w:tabs>
        <w:ind w:left="695" w:hanging="69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0A8E4538"/>
    <w:lvl w:ilvl="0" w:tplc="8ACE9A7C">
      <w:start w:val="1"/>
      <w:numFmt w:val="taiwaneseCountingThousand"/>
      <w:pStyle w:val="a0"/>
      <w:lvlText w:val="附件%1、"/>
      <w:lvlJc w:val="left"/>
      <w:pPr>
        <w:tabs>
          <w:tab w:val="num" w:pos="1440"/>
        </w:tabs>
        <w:ind w:left="695" w:hanging="695"/>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1A90982"/>
    <w:multiLevelType w:val="hybridMultilevel"/>
    <w:tmpl w:val="F63E3864"/>
    <w:lvl w:ilvl="0" w:tplc="389658FC">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7C8A35C8"/>
    <w:lvl w:ilvl="0" w:tplc="44528986">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9E129274"/>
    <w:lvl w:ilvl="0" w:tplc="0C905CA2">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2"/>
  </w:num>
  <w:num w:numId="3">
    <w:abstractNumId w:val="3"/>
  </w:num>
  <w:num w:numId="4">
    <w:abstractNumId w:val="1"/>
  </w:num>
  <w:num w:numId="5">
    <w:abstractNumId w:val="0"/>
  </w:num>
  <w:num w:numId="6">
    <w:abstractNumId w:val="4"/>
  </w:num>
  <w:num w:numId="7">
    <w:abstractNumId w:val="7"/>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9"/>
  </w:num>
  <w:num w:numId="12">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0BC"/>
    <w:rsid w:val="0001286F"/>
    <w:rsid w:val="00017CE8"/>
    <w:rsid w:val="000221B8"/>
    <w:rsid w:val="0003207C"/>
    <w:rsid w:val="00050AD6"/>
    <w:rsid w:val="00057396"/>
    <w:rsid w:val="00085334"/>
    <w:rsid w:val="00090B18"/>
    <w:rsid w:val="0009101D"/>
    <w:rsid w:val="00094F59"/>
    <w:rsid w:val="000961C0"/>
    <w:rsid w:val="000A54F2"/>
    <w:rsid w:val="000B1B6A"/>
    <w:rsid w:val="000C231C"/>
    <w:rsid w:val="000E190B"/>
    <w:rsid w:val="000F40AD"/>
    <w:rsid w:val="000F40E6"/>
    <w:rsid w:val="00114F17"/>
    <w:rsid w:val="00125BBC"/>
    <w:rsid w:val="00133D57"/>
    <w:rsid w:val="001734C9"/>
    <w:rsid w:val="001748EC"/>
    <w:rsid w:val="00182CC6"/>
    <w:rsid w:val="001B0EC4"/>
    <w:rsid w:val="001B4F7B"/>
    <w:rsid w:val="001C532F"/>
    <w:rsid w:val="001D1B0D"/>
    <w:rsid w:val="001E4F4A"/>
    <w:rsid w:val="001F5DA1"/>
    <w:rsid w:val="00201841"/>
    <w:rsid w:val="00204E81"/>
    <w:rsid w:val="00205127"/>
    <w:rsid w:val="00205FE3"/>
    <w:rsid w:val="00227448"/>
    <w:rsid w:val="00230480"/>
    <w:rsid w:val="00242C70"/>
    <w:rsid w:val="00255B32"/>
    <w:rsid w:val="002750AD"/>
    <w:rsid w:val="002819DD"/>
    <w:rsid w:val="00296BC1"/>
    <w:rsid w:val="002B2757"/>
    <w:rsid w:val="002C375E"/>
    <w:rsid w:val="002C61BA"/>
    <w:rsid w:val="002C768E"/>
    <w:rsid w:val="002F2B97"/>
    <w:rsid w:val="003155F8"/>
    <w:rsid w:val="00325276"/>
    <w:rsid w:val="003279E8"/>
    <w:rsid w:val="00332F85"/>
    <w:rsid w:val="00333138"/>
    <w:rsid w:val="0034671A"/>
    <w:rsid w:val="00387074"/>
    <w:rsid w:val="0039767A"/>
    <w:rsid w:val="003A3E3D"/>
    <w:rsid w:val="003A5AB9"/>
    <w:rsid w:val="003B0888"/>
    <w:rsid w:val="003B4D58"/>
    <w:rsid w:val="003E2B7B"/>
    <w:rsid w:val="003F783B"/>
    <w:rsid w:val="0040588D"/>
    <w:rsid w:val="00405C01"/>
    <w:rsid w:val="00421DF5"/>
    <w:rsid w:val="00422722"/>
    <w:rsid w:val="00435F34"/>
    <w:rsid w:val="00441BFF"/>
    <w:rsid w:val="00450B16"/>
    <w:rsid w:val="00450BA3"/>
    <w:rsid w:val="00460950"/>
    <w:rsid w:val="004716A4"/>
    <w:rsid w:val="00484267"/>
    <w:rsid w:val="004851A8"/>
    <w:rsid w:val="004A1E6F"/>
    <w:rsid w:val="004B5AC5"/>
    <w:rsid w:val="004C097D"/>
    <w:rsid w:val="004E413D"/>
    <w:rsid w:val="004E4255"/>
    <w:rsid w:val="004F129C"/>
    <w:rsid w:val="00505499"/>
    <w:rsid w:val="00520A48"/>
    <w:rsid w:val="00521141"/>
    <w:rsid w:val="00550FDA"/>
    <w:rsid w:val="0055787D"/>
    <w:rsid w:val="00562D9F"/>
    <w:rsid w:val="005642BE"/>
    <w:rsid w:val="005652A3"/>
    <w:rsid w:val="0058262C"/>
    <w:rsid w:val="005831AE"/>
    <w:rsid w:val="00587D62"/>
    <w:rsid w:val="00594751"/>
    <w:rsid w:val="005A3BEF"/>
    <w:rsid w:val="005C17A0"/>
    <w:rsid w:val="005C31AA"/>
    <w:rsid w:val="005C5470"/>
    <w:rsid w:val="005C5DDA"/>
    <w:rsid w:val="005C6238"/>
    <w:rsid w:val="005D011F"/>
    <w:rsid w:val="005F0FC6"/>
    <w:rsid w:val="005F74F9"/>
    <w:rsid w:val="005F79B6"/>
    <w:rsid w:val="00600B95"/>
    <w:rsid w:val="006015CF"/>
    <w:rsid w:val="00652EC8"/>
    <w:rsid w:val="00657CFE"/>
    <w:rsid w:val="00670CE2"/>
    <w:rsid w:val="00691135"/>
    <w:rsid w:val="006958C1"/>
    <w:rsid w:val="006B10F2"/>
    <w:rsid w:val="006B2B2F"/>
    <w:rsid w:val="006D4E76"/>
    <w:rsid w:val="006D7713"/>
    <w:rsid w:val="006F3D1D"/>
    <w:rsid w:val="00701BC4"/>
    <w:rsid w:val="00712219"/>
    <w:rsid w:val="007129F7"/>
    <w:rsid w:val="00721261"/>
    <w:rsid w:val="00721579"/>
    <w:rsid w:val="0072715E"/>
    <w:rsid w:val="007815FB"/>
    <w:rsid w:val="00781699"/>
    <w:rsid w:val="007861B8"/>
    <w:rsid w:val="007B241E"/>
    <w:rsid w:val="007C33A5"/>
    <w:rsid w:val="007C5FB4"/>
    <w:rsid w:val="007D6136"/>
    <w:rsid w:val="007E6186"/>
    <w:rsid w:val="007E709A"/>
    <w:rsid w:val="007F186D"/>
    <w:rsid w:val="00807B45"/>
    <w:rsid w:val="00812C51"/>
    <w:rsid w:val="00831189"/>
    <w:rsid w:val="00846D04"/>
    <w:rsid w:val="00851B50"/>
    <w:rsid w:val="00864D8C"/>
    <w:rsid w:val="0086520A"/>
    <w:rsid w:val="00871BD1"/>
    <w:rsid w:val="008800BC"/>
    <w:rsid w:val="00884375"/>
    <w:rsid w:val="00890480"/>
    <w:rsid w:val="008A2080"/>
    <w:rsid w:val="008A2F9F"/>
    <w:rsid w:val="008A3B8C"/>
    <w:rsid w:val="008B63CE"/>
    <w:rsid w:val="008B68A1"/>
    <w:rsid w:val="008B69E6"/>
    <w:rsid w:val="008C7835"/>
    <w:rsid w:val="008F48D8"/>
    <w:rsid w:val="009024E0"/>
    <w:rsid w:val="00910D34"/>
    <w:rsid w:val="0091106E"/>
    <w:rsid w:val="00922A61"/>
    <w:rsid w:val="0092687D"/>
    <w:rsid w:val="0093156C"/>
    <w:rsid w:val="00931C60"/>
    <w:rsid w:val="009458C1"/>
    <w:rsid w:val="00954EDE"/>
    <w:rsid w:val="0096244F"/>
    <w:rsid w:val="00962659"/>
    <w:rsid w:val="0098262F"/>
    <w:rsid w:val="009851F0"/>
    <w:rsid w:val="00997047"/>
    <w:rsid w:val="009C029C"/>
    <w:rsid w:val="009D7648"/>
    <w:rsid w:val="00A05A9C"/>
    <w:rsid w:val="00A05D16"/>
    <w:rsid w:val="00A16D59"/>
    <w:rsid w:val="00A20965"/>
    <w:rsid w:val="00A26163"/>
    <w:rsid w:val="00A26A64"/>
    <w:rsid w:val="00A3264D"/>
    <w:rsid w:val="00A43F0D"/>
    <w:rsid w:val="00A509F4"/>
    <w:rsid w:val="00A6013F"/>
    <w:rsid w:val="00A72B32"/>
    <w:rsid w:val="00A86283"/>
    <w:rsid w:val="00A87DD3"/>
    <w:rsid w:val="00A94AD3"/>
    <w:rsid w:val="00A94CA1"/>
    <w:rsid w:val="00AA6126"/>
    <w:rsid w:val="00AB2E5A"/>
    <w:rsid w:val="00AB4B7E"/>
    <w:rsid w:val="00AC2018"/>
    <w:rsid w:val="00AC30F8"/>
    <w:rsid w:val="00AC64AD"/>
    <w:rsid w:val="00AD6B4C"/>
    <w:rsid w:val="00AE3C3F"/>
    <w:rsid w:val="00B12055"/>
    <w:rsid w:val="00B1296C"/>
    <w:rsid w:val="00B12BD5"/>
    <w:rsid w:val="00B32A8E"/>
    <w:rsid w:val="00B4697F"/>
    <w:rsid w:val="00B66A3A"/>
    <w:rsid w:val="00B80BE3"/>
    <w:rsid w:val="00B943FF"/>
    <w:rsid w:val="00BA1318"/>
    <w:rsid w:val="00BA264A"/>
    <w:rsid w:val="00BB6E8B"/>
    <w:rsid w:val="00BC2B41"/>
    <w:rsid w:val="00BC5C24"/>
    <w:rsid w:val="00BF3AAA"/>
    <w:rsid w:val="00C17EA2"/>
    <w:rsid w:val="00C248AE"/>
    <w:rsid w:val="00C41469"/>
    <w:rsid w:val="00C532BB"/>
    <w:rsid w:val="00CA5077"/>
    <w:rsid w:val="00CD62E9"/>
    <w:rsid w:val="00CE1100"/>
    <w:rsid w:val="00CF0A23"/>
    <w:rsid w:val="00CF635F"/>
    <w:rsid w:val="00D13920"/>
    <w:rsid w:val="00D212BC"/>
    <w:rsid w:val="00D219F0"/>
    <w:rsid w:val="00D22285"/>
    <w:rsid w:val="00D32FED"/>
    <w:rsid w:val="00D3360A"/>
    <w:rsid w:val="00D37D34"/>
    <w:rsid w:val="00D424A9"/>
    <w:rsid w:val="00D431B6"/>
    <w:rsid w:val="00D47D23"/>
    <w:rsid w:val="00D5051C"/>
    <w:rsid w:val="00D657B6"/>
    <w:rsid w:val="00D766DF"/>
    <w:rsid w:val="00D97899"/>
    <w:rsid w:val="00DA1C0B"/>
    <w:rsid w:val="00DA6BF3"/>
    <w:rsid w:val="00DB5623"/>
    <w:rsid w:val="00DC2000"/>
    <w:rsid w:val="00DD4C83"/>
    <w:rsid w:val="00DE1D8E"/>
    <w:rsid w:val="00DE3D69"/>
    <w:rsid w:val="00DF73C4"/>
    <w:rsid w:val="00E01A0E"/>
    <w:rsid w:val="00E10AA2"/>
    <w:rsid w:val="00E1145D"/>
    <w:rsid w:val="00E21825"/>
    <w:rsid w:val="00E52607"/>
    <w:rsid w:val="00E6117D"/>
    <w:rsid w:val="00E71E53"/>
    <w:rsid w:val="00E731A5"/>
    <w:rsid w:val="00E7543B"/>
    <w:rsid w:val="00E85A14"/>
    <w:rsid w:val="00EC7936"/>
    <w:rsid w:val="00EE15F8"/>
    <w:rsid w:val="00EF5E36"/>
    <w:rsid w:val="00F00113"/>
    <w:rsid w:val="00F01E51"/>
    <w:rsid w:val="00F20452"/>
    <w:rsid w:val="00F403B3"/>
    <w:rsid w:val="00F54D38"/>
    <w:rsid w:val="00F7201B"/>
    <w:rsid w:val="00F72C41"/>
    <w:rsid w:val="00F73A18"/>
    <w:rsid w:val="00F8331C"/>
    <w:rsid w:val="00FA5B9D"/>
    <w:rsid w:val="00FC219E"/>
    <w:rsid w:val="00FD7682"/>
    <w:rsid w:val="00FE0FC6"/>
    <w:rsid w:val="00FE1B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A4DAB64-57B3-4F36-B7BD-5A0D071E9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94AD3"/>
    <w:pPr>
      <w:widowControl w:val="0"/>
    </w:pPr>
    <w:rPr>
      <w:rFonts w:eastAsia="標楷體"/>
      <w:kern w:val="2"/>
      <w:sz w:val="32"/>
    </w:rPr>
  </w:style>
  <w:style w:type="paragraph" w:styleId="1">
    <w:name w:val="heading 1"/>
    <w:aliases w:val="題號1,壹"/>
    <w:basedOn w:val="a6"/>
    <w:link w:val="10"/>
    <w:qFormat/>
    <w:rsid w:val="00A94AD3"/>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標題110/111 + 內文,一."/>
    <w:basedOn w:val="a6"/>
    <w:link w:val="20"/>
    <w:qFormat/>
    <w:rsid w:val="00A94AD3"/>
    <w:pPr>
      <w:numPr>
        <w:ilvl w:val="1"/>
        <w:numId w:val="1"/>
      </w:numPr>
      <w:jc w:val="both"/>
      <w:outlineLvl w:val="1"/>
    </w:pPr>
    <w:rPr>
      <w:rFonts w:ascii="標楷體" w:hAnsi="Arial"/>
      <w:bCs/>
      <w:kern w:val="0"/>
      <w:szCs w:val="48"/>
    </w:rPr>
  </w:style>
  <w:style w:type="paragraph" w:styleId="3">
    <w:name w:val="heading 3"/>
    <w:basedOn w:val="a6"/>
    <w:link w:val="30"/>
    <w:qFormat/>
    <w:rsid w:val="00A94AD3"/>
    <w:pPr>
      <w:numPr>
        <w:ilvl w:val="2"/>
        <w:numId w:val="1"/>
      </w:numPr>
      <w:jc w:val="both"/>
      <w:outlineLvl w:val="2"/>
    </w:pPr>
    <w:rPr>
      <w:rFonts w:ascii="標楷體" w:hAnsi="Arial"/>
      <w:bCs/>
      <w:kern w:val="0"/>
      <w:szCs w:val="36"/>
    </w:rPr>
  </w:style>
  <w:style w:type="paragraph" w:styleId="4">
    <w:name w:val="heading 4"/>
    <w:aliases w:val="表格,一,1."/>
    <w:basedOn w:val="a6"/>
    <w:link w:val="40"/>
    <w:qFormat/>
    <w:rsid w:val="00A94AD3"/>
    <w:pPr>
      <w:numPr>
        <w:ilvl w:val="3"/>
        <w:numId w:val="1"/>
      </w:numPr>
      <w:jc w:val="both"/>
      <w:outlineLvl w:val="3"/>
    </w:pPr>
    <w:rPr>
      <w:rFonts w:ascii="標楷體" w:hAnsi="Arial"/>
      <w:szCs w:val="36"/>
    </w:rPr>
  </w:style>
  <w:style w:type="paragraph" w:styleId="5">
    <w:name w:val="heading 5"/>
    <w:aliases w:val="(一)"/>
    <w:basedOn w:val="a6"/>
    <w:link w:val="50"/>
    <w:qFormat/>
    <w:rsid w:val="00A94AD3"/>
    <w:pPr>
      <w:numPr>
        <w:ilvl w:val="4"/>
        <w:numId w:val="1"/>
      </w:numPr>
      <w:jc w:val="both"/>
      <w:outlineLvl w:val="4"/>
    </w:pPr>
    <w:rPr>
      <w:rFonts w:ascii="標楷體" w:hAnsi="Arial"/>
      <w:bCs/>
      <w:szCs w:val="36"/>
    </w:rPr>
  </w:style>
  <w:style w:type="paragraph" w:styleId="6">
    <w:name w:val="heading 6"/>
    <w:aliases w:val="1"/>
    <w:basedOn w:val="a6"/>
    <w:link w:val="60"/>
    <w:qFormat/>
    <w:rsid w:val="00A94AD3"/>
    <w:pPr>
      <w:numPr>
        <w:ilvl w:val="5"/>
        <w:numId w:val="1"/>
      </w:numPr>
      <w:tabs>
        <w:tab w:val="left" w:pos="2094"/>
      </w:tabs>
      <w:jc w:val="both"/>
      <w:outlineLvl w:val="5"/>
    </w:pPr>
    <w:rPr>
      <w:rFonts w:ascii="標楷體" w:hAnsi="Arial"/>
      <w:szCs w:val="36"/>
    </w:rPr>
  </w:style>
  <w:style w:type="paragraph" w:styleId="7">
    <w:name w:val="heading 7"/>
    <w:aliases w:val="(1)"/>
    <w:basedOn w:val="a6"/>
    <w:link w:val="70"/>
    <w:qFormat/>
    <w:rsid w:val="00A94AD3"/>
    <w:pPr>
      <w:numPr>
        <w:ilvl w:val="6"/>
        <w:numId w:val="1"/>
      </w:numPr>
      <w:jc w:val="both"/>
      <w:outlineLvl w:val="6"/>
    </w:pPr>
    <w:rPr>
      <w:rFonts w:ascii="標楷體" w:hAnsi="Arial"/>
      <w:bCs/>
      <w:szCs w:val="36"/>
    </w:rPr>
  </w:style>
  <w:style w:type="paragraph" w:styleId="8">
    <w:name w:val="heading 8"/>
    <w:basedOn w:val="a6"/>
    <w:link w:val="80"/>
    <w:qFormat/>
    <w:rsid w:val="00A94AD3"/>
    <w:pPr>
      <w:numPr>
        <w:ilvl w:val="7"/>
        <w:numId w:val="1"/>
      </w:numPr>
      <w:jc w:val="both"/>
      <w:outlineLvl w:val="7"/>
    </w:pPr>
    <w:rPr>
      <w:rFonts w:ascii="標楷體" w:hAnsi="Arial"/>
      <w:szCs w:val="36"/>
    </w:rPr>
  </w:style>
  <w:style w:type="paragraph" w:styleId="9">
    <w:name w:val="heading 9"/>
    <w:basedOn w:val="a6"/>
    <w:link w:val="90"/>
    <w:uiPriority w:val="9"/>
    <w:unhideWhenUsed/>
    <w:qFormat/>
    <w:rsid w:val="00997047"/>
    <w:pPr>
      <w:overflowPunct w:val="0"/>
      <w:autoSpaceDE w:val="0"/>
      <w:autoSpaceDN w:val="0"/>
      <w:ind w:left="3403" w:hanging="851"/>
      <w:jc w:val="both"/>
      <w:outlineLvl w:val="8"/>
    </w:pPr>
    <w:rPr>
      <w:rFonts w:ascii="標楷體"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31">
    <w:name w:val="段落樣式3"/>
    <w:basedOn w:val="21"/>
    <w:qFormat/>
    <w:rsid w:val="00A94AD3"/>
    <w:pPr>
      <w:ind w:leftChars="400" w:left="400"/>
    </w:pPr>
  </w:style>
  <w:style w:type="paragraph" w:customStyle="1" w:styleId="21">
    <w:name w:val="段落樣式2"/>
    <w:basedOn w:val="a6"/>
    <w:qFormat/>
    <w:rsid w:val="00A94AD3"/>
    <w:pPr>
      <w:tabs>
        <w:tab w:val="left" w:pos="567"/>
      </w:tabs>
      <w:ind w:leftChars="300" w:left="300" w:firstLineChars="200" w:firstLine="200"/>
      <w:jc w:val="both"/>
    </w:pPr>
    <w:rPr>
      <w:rFonts w:ascii="標楷體"/>
      <w:kern w:val="0"/>
    </w:rPr>
  </w:style>
  <w:style w:type="paragraph" w:customStyle="1" w:styleId="41">
    <w:name w:val="段落樣式4"/>
    <w:basedOn w:val="31"/>
    <w:qFormat/>
    <w:rsid w:val="00A94AD3"/>
    <w:pPr>
      <w:ind w:leftChars="500" w:left="500"/>
    </w:pPr>
  </w:style>
  <w:style w:type="paragraph" w:customStyle="1" w:styleId="51">
    <w:name w:val="段落樣式5"/>
    <w:basedOn w:val="41"/>
    <w:qFormat/>
    <w:rsid w:val="00A94AD3"/>
    <w:pPr>
      <w:ind w:leftChars="600" w:left="600"/>
    </w:pPr>
  </w:style>
  <w:style w:type="paragraph" w:customStyle="1" w:styleId="61">
    <w:name w:val="段落樣式6"/>
    <w:basedOn w:val="51"/>
    <w:qFormat/>
    <w:rsid w:val="00A94AD3"/>
    <w:pPr>
      <w:ind w:leftChars="700" w:left="700"/>
    </w:pPr>
  </w:style>
  <w:style w:type="paragraph" w:customStyle="1" w:styleId="71">
    <w:name w:val="段落樣式7"/>
    <w:basedOn w:val="61"/>
    <w:qFormat/>
    <w:rsid w:val="00A94AD3"/>
  </w:style>
  <w:style w:type="paragraph" w:customStyle="1" w:styleId="81">
    <w:name w:val="段落樣式8"/>
    <w:basedOn w:val="71"/>
    <w:qFormat/>
    <w:rsid w:val="00A94AD3"/>
    <w:pPr>
      <w:ind w:leftChars="800" w:left="800"/>
    </w:pPr>
  </w:style>
  <w:style w:type="paragraph" w:styleId="aa">
    <w:name w:val="Signature"/>
    <w:basedOn w:val="a6"/>
    <w:link w:val="ab"/>
    <w:semiHidden/>
    <w:rsid w:val="00A94AD3"/>
    <w:pPr>
      <w:spacing w:before="720" w:after="720"/>
      <w:ind w:left="7371"/>
    </w:pPr>
    <w:rPr>
      <w:rFonts w:ascii="標楷體"/>
      <w:b/>
      <w:snapToGrid w:val="0"/>
      <w:spacing w:val="10"/>
      <w:sz w:val="36"/>
    </w:rPr>
  </w:style>
  <w:style w:type="paragraph" w:styleId="ac">
    <w:name w:val="endnote text"/>
    <w:basedOn w:val="a6"/>
    <w:link w:val="ad"/>
    <w:semiHidden/>
    <w:rsid w:val="00A94AD3"/>
    <w:pPr>
      <w:spacing w:before="240"/>
      <w:ind w:left="1021" w:hanging="1021"/>
      <w:jc w:val="both"/>
    </w:pPr>
    <w:rPr>
      <w:rFonts w:ascii="標楷體"/>
      <w:snapToGrid w:val="0"/>
      <w:spacing w:val="10"/>
    </w:rPr>
  </w:style>
  <w:style w:type="character" w:styleId="ae">
    <w:name w:val="page number"/>
    <w:basedOn w:val="a7"/>
    <w:semiHidden/>
    <w:rsid w:val="00A94AD3"/>
    <w:rPr>
      <w:rFonts w:ascii="標楷體" w:eastAsia="標楷體"/>
      <w:sz w:val="20"/>
    </w:rPr>
  </w:style>
  <w:style w:type="paragraph" w:styleId="11">
    <w:name w:val="toc 1"/>
    <w:basedOn w:val="a6"/>
    <w:next w:val="a6"/>
    <w:uiPriority w:val="39"/>
    <w:rsid w:val="00A94AD3"/>
    <w:pPr>
      <w:ind w:left="200" w:hangingChars="200" w:hanging="200"/>
      <w:jc w:val="both"/>
    </w:pPr>
    <w:rPr>
      <w:rFonts w:ascii="標楷體"/>
    </w:rPr>
  </w:style>
  <w:style w:type="paragraph" w:styleId="22">
    <w:name w:val="toc 2"/>
    <w:basedOn w:val="a6"/>
    <w:next w:val="a6"/>
    <w:autoRedefine/>
    <w:uiPriority w:val="39"/>
    <w:rsid w:val="00A94AD3"/>
    <w:pPr>
      <w:ind w:leftChars="100" w:left="300" w:hangingChars="200" w:hanging="200"/>
      <w:jc w:val="both"/>
    </w:pPr>
    <w:rPr>
      <w:rFonts w:ascii="標楷體"/>
    </w:rPr>
  </w:style>
  <w:style w:type="paragraph" w:styleId="32">
    <w:name w:val="toc 3"/>
    <w:basedOn w:val="a6"/>
    <w:next w:val="a6"/>
    <w:uiPriority w:val="39"/>
    <w:rsid w:val="00A94AD3"/>
    <w:pPr>
      <w:ind w:leftChars="200" w:left="400" w:hangingChars="200" w:hanging="200"/>
      <w:jc w:val="both"/>
    </w:pPr>
    <w:rPr>
      <w:rFonts w:ascii="標楷體"/>
      <w:noProof/>
    </w:rPr>
  </w:style>
  <w:style w:type="paragraph" w:styleId="42">
    <w:name w:val="toc 4"/>
    <w:basedOn w:val="a6"/>
    <w:next w:val="a6"/>
    <w:uiPriority w:val="39"/>
    <w:rsid w:val="00A94AD3"/>
    <w:pPr>
      <w:kinsoku w:val="0"/>
      <w:ind w:leftChars="300" w:left="500" w:hangingChars="200" w:hanging="200"/>
      <w:jc w:val="both"/>
    </w:pPr>
    <w:rPr>
      <w:rFonts w:ascii="標楷體"/>
    </w:rPr>
  </w:style>
  <w:style w:type="paragraph" w:styleId="52">
    <w:name w:val="toc 5"/>
    <w:basedOn w:val="a6"/>
    <w:next w:val="a6"/>
    <w:autoRedefine/>
    <w:uiPriority w:val="39"/>
    <w:rsid w:val="00A94AD3"/>
    <w:pPr>
      <w:kinsoku w:val="0"/>
      <w:ind w:leftChars="400" w:left="600" w:hangingChars="200" w:hanging="200"/>
      <w:jc w:val="both"/>
    </w:pPr>
    <w:rPr>
      <w:rFonts w:ascii="標楷體"/>
    </w:rPr>
  </w:style>
  <w:style w:type="paragraph" w:styleId="62">
    <w:name w:val="toc 6"/>
    <w:basedOn w:val="a6"/>
    <w:next w:val="a6"/>
    <w:autoRedefine/>
    <w:uiPriority w:val="39"/>
    <w:rsid w:val="00A94AD3"/>
    <w:pPr>
      <w:ind w:leftChars="500" w:left="700" w:hangingChars="200" w:hanging="200"/>
    </w:pPr>
    <w:rPr>
      <w:rFonts w:ascii="標楷體"/>
    </w:rPr>
  </w:style>
  <w:style w:type="paragraph" w:styleId="72">
    <w:name w:val="toc 7"/>
    <w:basedOn w:val="a6"/>
    <w:next w:val="a6"/>
    <w:autoRedefine/>
    <w:uiPriority w:val="39"/>
    <w:rsid w:val="00A94AD3"/>
    <w:pPr>
      <w:ind w:leftChars="600" w:left="700" w:hangingChars="100" w:hanging="100"/>
    </w:pPr>
    <w:rPr>
      <w:rFonts w:ascii="標楷體"/>
    </w:rPr>
  </w:style>
  <w:style w:type="paragraph" w:styleId="82">
    <w:name w:val="toc 8"/>
    <w:basedOn w:val="a6"/>
    <w:next w:val="a6"/>
    <w:autoRedefine/>
    <w:uiPriority w:val="39"/>
    <w:rsid w:val="00A94AD3"/>
    <w:pPr>
      <w:ind w:leftChars="700" w:left="2792" w:hangingChars="100" w:hanging="349"/>
    </w:pPr>
    <w:rPr>
      <w:rFonts w:ascii="標楷體"/>
    </w:rPr>
  </w:style>
  <w:style w:type="paragraph" w:styleId="91">
    <w:name w:val="toc 9"/>
    <w:basedOn w:val="a6"/>
    <w:next w:val="a6"/>
    <w:autoRedefine/>
    <w:uiPriority w:val="39"/>
    <w:rsid w:val="00A94AD3"/>
    <w:pPr>
      <w:ind w:leftChars="1600" w:left="3840"/>
    </w:pPr>
  </w:style>
  <w:style w:type="character" w:styleId="af">
    <w:name w:val="Hyperlink"/>
    <w:basedOn w:val="a7"/>
    <w:uiPriority w:val="99"/>
    <w:rsid w:val="00A94AD3"/>
    <w:rPr>
      <w:color w:val="0000FF"/>
      <w:u w:val="single"/>
    </w:rPr>
  </w:style>
  <w:style w:type="paragraph" w:customStyle="1" w:styleId="12">
    <w:name w:val="段落樣式1"/>
    <w:basedOn w:val="a6"/>
    <w:qFormat/>
    <w:rsid w:val="00A94AD3"/>
    <w:pPr>
      <w:tabs>
        <w:tab w:val="left" w:pos="567"/>
      </w:tabs>
      <w:kinsoku w:val="0"/>
      <w:ind w:leftChars="200" w:left="200" w:firstLineChars="200" w:firstLine="200"/>
      <w:jc w:val="both"/>
    </w:pPr>
    <w:rPr>
      <w:rFonts w:ascii="標楷體"/>
      <w:kern w:val="0"/>
    </w:rPr>
  </w:style>
  <w:style w:type="paragraph" w:customStyle="1" w:styleId="0">
    <w:name w:val="段落樣式0"/>
    <w:basedOn w:val="21"/>
    <w:qFormat/>
    <w:rsid w:val="00A94AD3"/>
    <w:pPr>
      <w:ind w:leftChars="200" w:left="200" w:firstLineChars="0" w:firstLine="0"/>
    </w:pPr>
  </w:style>
  <w:style w:type="paragraph" w:styleId="af0">
    <w:name w:val="header"/>
    <w:basedOn w:val="a6"/>
    <w:link w:val="af1"/>
    <w:semiHidden/>
    <w:rsid w:val="00A94AD3"/>
    <w:pPr>
      <w:tabs>
        <w:tab w:val="center" w:pos="4153"/>
        <w:tab w:val="right" w:pos="8306"/>
      </w:tabs>
      <w:snapToGrid w:val="0"/>
    </w:pPr>
    <w:rPr>
      <w:sz w:val="20"/>
    </w:rPr>
  </w:style>
  <w:style w:type="paragraph" w:styleId="af2">
    <w:name w:val="footer"/>
    <w:basedOn w:val="a6"/>
    <w:link w:val="af3"/>
    <w:semiHidden/>
    <w:rsid w:val="00A94AD3"/>
    <w:pPr>
      <w:tabs>
        <w:tab w:val="center" w:pos="4153"/>
        <w:tab w:val="right" w:pos="8306"/>
      </w:tabs>
      <w:snapToGrid w:val="0"/>
    </w:pPr>
    <w:rPr>
      <w:sz w:val="20"/>
    </w:rPr>
  </w:style>
  <w:style w:type="paragraph" w:customStyle="1" w:styleId="af4">
    <w:name w:val="簽名日期"/>
    <w:basedOn w:val="a6"/>
    <w:rsid w:val="00A94AD3"/>
    <w:pPr>
      <w:kinsoku w:val="0"/>
      <w:jc w:val="distribute"/>
    </w:pPr>
    <w:rPr>
      <w:kern w:val="0"/>
    </w:rPr>
  </w:style>
  <w:style w:type="character" w:customStyle="1" w:styleId="10">
    <w:name w:val="標題 1 字元"/>
    <w:aliases w:val="題號1 字元,壹 字元"/>
    <w:basedOn w:val="a7"/>
    <w:link w:val="1"/>
    <w:rsid w:val="0001286F"/>
    <w:rPr>
      <w:rFonts w:ascii="標楷體" w:eastAsia="標楷體" w:hAnsi="Arial"/>
      <w:bCs/>
      <w:sz w:val="32"/>
      <w:szCs w:val="52"/>
    </w:rPr>
  </w:style>
  <w:style w:type="character" w:customStyle="1" w:styleId="20">
    <w:name w:val="標題 2 字元"/>
    <w:aliases w:val="標題110/111 字元,節 字元,節1 字元,標題110/111 + 內文 字元,一. 字元"/>
    <w:basedOn w:val="a7"/>
    <w:link w:val="2"/>
    <w:rsid w:val="0001286F"/>
    <w:rPr>
      <w:rFonts w:ascii="標楷體" w:eastAsia="標楷體" w:hAnsi="Arial"/>
      <w:bCs/>
      <w:sz w:val="32"/>
      <w:szCs w:val="48"/>
    </w:rPr>
  </w:style>
  <w:style w:type="character" w:customStyle="1" w:styleId="30">
    <w:name w:val="標題 3 字元"/>
    <w:basedOn w:val="a7"/>
    <w:link w:val="3"/>
    <w:rsid w:val="0001286F"/>
    <w:rPr>
      <w:rFonts w:ascii="標楷體" w:eastAsia="標楷體" w:hAnsi="Arial"/>
      <w:bCs/>
      <w:sz w:val="32"/>
      <w:szCs w:val="36"/>
    </w:rPr>
  </w:style>
  <w:style w:type="character" w:customStyle="1" w:styleId="40">
    <w:name w:val="標題 4 字元"/>
    <w:aliases w:val="表格 字元,一 字元,1. 字元"/>
    <w:basedOn w:val="a7"/>
    <w:link w:val="4"/>
    <w:rsid w:val="0001286F"/>
    <w:rPr>
      <w:rFonts w:ascii="標楷體" w:eastAsia="標楷體" w:hAnsi="Arial"/>
      <w:kern w:val="2"/>
      <w:sz w:val="32"/>
      <w:szCs w:val="36"/>
    </w:rPr>
  </w:style>
  <w:style w:type="character" w:customStyle="1" w:styleId="50">
    <w:name w:val="標題 5 字元"/>
    <w:aliases w:val="(一) 字元"/>
    <w:basedOn w:val="a7"/>
    <w:link w:val="5"/>
    <w:rsid w:val="0001286F"/>
    <w:rPr>
      <w:rFonts w:ascii="標楷體" w:eastAsia="標楷體" w:hAnsi="Arial"/>
      <w:bCs/>
      <w:kern w:val="2"/>
      <w:sz w:val="32"/>
      <w:szCs w:val="36"/>
    </w:rPr>
  </w:style>
  <w:style w:type="character" w:customStyle="1" w:styleId="60">
    <w:name w:val="標題 6 字元"/>
    <w:aliases w:val="1 字元"/>
    <w:basedOn w:val="a7"/>
    <w:link w:val="6"/>
    <w:rsid w:val="0001286F"/>
    <w:rPr>
      <w:rFonts w:ascii="標楷體" w:eastAsia="標楷體" w:hAnsi="Arial"/>
      <w:kern w:val="2"/>
      <w:sz w:val="32"/>
      <w:szCs w:val="36"/>
    </w:rPr>
  </w:style>
  <w:style w:type="character" w:customStyle="1" w:styleId="70">
    <w:name w:val="標題 7 字元"/>
    <w:aliases w:val="(1) 字元"/>
    <w:basedOn w:val="a7"/>
    <w:link w:val="7"/>
    <w:rsid w:val="0001286F"/>
    <w:rPr>
      <w:rFonts w:ascii="標楷體" w:eastAsia="標楷體" w:hAnsi="Arial"/>
      <w:bCs/>
      <w:kern w:val="2"/>
      <w:sz w:val="32"/>
      <w:szCs w:val="36"/>
    </w:rPr>
  </w:style>
  <w:style w:type="character" w:customStyle="1" w:styleId="80">
    <w:name w:val="標題 8 字元"/>
    <w:basedOn w:val="a7"/>
    <w:link w:val="8"/>
    <w:rsid w:val="0001286F"/>
    <w:rPr>
      <w:rFonts w:ascii="標楷體" w:eastAsia="標楷體" w:hAnsi="Arial"/>
      <w:kern w:val="2"/>
      <w:sz w:val="32"/>
      <w:szCs w:val="36"/>
    </w:rPr>
  </w:style>
  <w:style w:type="character" w:customStyle="1" w:styleId="ab">
    <w:name w:val="簽名 字元"/>
    <w:basedOn w:val="a7"/>
    <w:link w:val="aa"/>
    <w:semiHidden/>
    <w:rsid w:val="0001286F"/>
    <w:rPr>
      <w:rFonts w:ascii="標楷體" w:eastAsia="標楷體"/>
      <w:b/>
      <w:snapToGrid w:val="0"/>
      <w:spacing w:val="10"/>
      <w:kern w:val="2"/>
      <w:sz w:val="36"/>
    </w:rPr>
  </w:style>
  <w:style w:type="character" w:customStyle="1" w:styleId="ad">
    <w:name w:val="章節附註文字 字元"/>
    <w:basedOn w:val="a7"/>
    <w:link w:val="ac"/>
    <w:semiHidden/>
    <w:rsid w:val="0001286F"/>
    <w:rPr>
      <w:rFonts w:ascii="標楷體" w:eastAsia="標楷體"/>
      <w:snapToGrid w:val="0"/>
      <w:spacing w:val="10"/>
      <w:kern w:val="2"/>
      <w:sz w:val="32"/>
    </w:rPr>
  </w:style>
  <w:style w:type="character" w:customStyle="1" w:styleId="af1">
    <w:name w:val="頁首 字元"/>
    <w:basedOn w:val="a7"/>
    <w:link w:val="af0"/>
    <w:semiHidden/>
    <w:rsid w:val="0001286F"/>
    <w:rPr>
      <w:rFonts w:eastAsia="標楷體"/>
      <w:kern w:val="2"/>
    </w:rPr>
  </w:style>
  <w:style w:type="paragraph" w:customStyle="1" w:styleId="af5">
    <w:name w:val="附件"/>
    <w:basedOn w:val="ac"/>
    <w:rsid w:val="0001286F"/>
    <w:pPr>
      <w:kinsoku w:val="0"/>
      <w:spacing w:before="0"/>
      <w:ind w:leftChars="500" w:left="1047" w:hangingChars="300" w:hanging="1047"/>
    </w:pPr>
    <w:rPr>
      <w:snapToGrid/>
      <w:spacing w:val="0"/>
      <w:kern w:val="0"/>
    </w:rPr>
  </w:style>
  <w:style w:type="paragraph" w:customStyle="1" w:styleId="a0">
    <w:name w:val="表樣式"/>
    <w:basedOn w:val="a6"/>
    <w:next w:val="a6"/>
    <w:rsid w:val="0001286F"/>
    <w:pPr>
      <w:numPr>
        <w:numId w:val="3"/>
      </w:numPr>
      <w:jc w:val="both"/>
    </w:pPr>
    <w:rPr>
      <w:rFonts w:ascii="標楷體"/>
      <w:kern w:val="0"/>
    </w:rPr>
  </w:style>
  <w:style w:type="paragraph" w:styleId="af6">
    <w:name w:val="Body Text Indent"/>
    <w:basedOn w:val="a6"/>
    <w:link w:val="af7"/>
    <w:semiHidden/>
    <w:rsid w:val="0001286F"/>
    <w:pPr>
      <w:ind w:leftChars="500" w:left="698" w:hangingChars="200" w:hanging="698"/>
    </w:pPr>
  </w:style>
  <w:style w:type="character" w:customStyle="1" w:styleId="af7">
    <w:name w:val="本文縮排 字元"/>
    <w:basedOn w:val="a7"/>
    <w:link w:val="af6"/>
    <w:semiHidden/>
    <w:rsid w:val="0001286F"/>
    <w:rPr>
      <w:rFonts w:eastAsia="標楷體"/>
      <w:kern w:val="2"/>
      <w:sz w:val="32"/>
    </w:rPr>
  </w:style>
  <w:style w:type="paragraph" w:customStyle="1" w:styleId="af8">
    <w:name w:val="調查報告"/>
    <w:basedOn w:val="ac"/>
    <w:rsid w:val="0001286F"/>
    <w:pPr>
      <w:kinsoku w:val="0"/>
      <w:spacing w:before="0"/>
      <w:ind w:leftChars="500" w:left="1701" w:hangingChars="400" w:hanging="400"/>
    </w:pPr>
    <w:rPr>
      <w:b/>
      <w:snapToGrid/>
      <w:spacing w:val="200"/>
      <w:kern w:val="0"/>
      <w:sz w:val="36"/>
    </w:rPr>
  </w:style>
  <w:style w:type="paragraph" w:styleId="af9">
    <w:name w:val="footnote text"/>
    <w:basedOn w:val="a6"/>
    <w:link w:val="afa"/>
    <w:uiPriority w:val="99"/>
    <w:unhideWhenUsed/>
    <w:rsid w:val="005C17A0"/>
    <w:pPr>
      <w:snapToGrid w:val="0"/>
      <w:ind w:left="100" w:hangingChars="100" w:hanging="100"/>
      <w:jc w:val="both"/>
    </w:pPr>
    <w:rPr>
      <w:sz w:val="20"/>
    </w:rPr>
  </w:style>
  <w:style w:type="character" w:customStyle="1" w:styleId="afa">
    <w:name w:val="註腳文字 字元"/>
    <w:basedOn w:val="a7"/>
    <w:link w:val="af9"/>
    <w:uiPriority w:val="99"/>
    <w:rsid w:val="005C17A0"/>
    <w:rPr>
      <w:rFonts w:eastAsia="標楷體"/>
      <w:kern w:val="2"/>
    </w:rPr>
  </w:style>
  <w:style w:type="paragraph" w:customStyle="1" w:styleId="a">
    <w:name w:val="圖樣式"/>
    <w:basedOn w:val="a6"/>
    <w:next w:val="a6"/>
    <w:rsid w:val="0001286F"/>
    <w:pPr>
      <w:numPr>
        <w:numId w:val="4"/>
      </w:numPr>
      <w:jc w:val="both"/>
    </w:pPr>
    <w:rPr>
      <w:rFonts w:ascii="標楷體"/>
    </w:rPr>
  </w:style>
  <w:style w:type="character" w:customStyle="1" w:styleId="af3">
    <w:name w:val="頁尾 字元"/>
    <w:basedOn w:val="a7"/>
    <w:link w:val="af2"/>
    <w:semiHidden/>
    <w:rsid w:val="0001286F"/>
    <w:rPr>
      <w:rFonts w:eastAsia="標楷體"/>
      <w:kern w:val="2"/>
    </w:rPr>
  </w:style>
  <w:style w:type="paragraph" w:styleId="afb">
    <w:name w:val="table of figures"/>
    <w:basedOn w:val="a6"/>
    <w:next w:val="a6"/>
    <w:uiPriority w:val="99"/>
    <w:rsid w:val="0001286F"/>
    <w:pPr>
      <w:ind w:left="400" w:hangingChars="400" w:hanging="400"/>
    </w:pPr>
  </w:style>
  <w:style w:type="character" w:styleId="afc">
    <w:name w:val="footnote reference"/>
    <w:basedOn w:val="a7"/>
    <w:uiPriority w:val="99"/>
    <w:semiHidden/>
    <w:unhideWhenUsed/>
    <w:rsid w:val="0001286F"/>
    <w:rPr>
      <w:vertAlign w:val="superscript"/>
    </w:rPr>
  </w:style>
  <w:style w:type="paragraph" w:styleId="afd">
    <w:name w:val="List Paragraph"/>
    <w:basedOn w:val="a6"/>
    <w:uiPriority w:val="34"/>
    <w:qFormat/>
    <w:rsid w:val="0001286F"/>
    <w:pPr>
      <w:ind w:leftChars="200" w:left="480" w:hangingChars="400" w:hanging="1361"/>
    </w:pPr>
  </w:style>
  <w:style w:type="paragraph" w:styleId="afe">
    <w:name w:val="Plain Text"/>
    <w:basedOn w:val="a6"/>
    <w:link w:val="aff"/>
    <w:uiPriority w:val="99"/>
    <w:unhideWhenUsed/>
    <w:rsid w:val="0001286F"/>
    <w:pPr>
      <w:ind w:leftChars="500" w:left="3062" w:hangingChars="400" w:hanging="1361"/>
    </w:pPr>
    <w:rPr>
      <w:rFonts w:ascii="Calibri" w:eastAsia="新細明體" w:hAnsi="Courier New"/>
      <w:sz w:val="24"/>
      <w:szCs w:val="24"/>
    </w:rPr>
  </w:style>
  <w:style w:type="character" w:customStyle="1" w:styleId="aff">
    <w:name w:val="純文字 字元"/>
    <w:basedOn w:val="a7"/>
    <w:link w:val="afe"/>
    <w:uiPriority w:val="99"/>
    <w:rsid w:val="0001286F"/>
    <w:rPr>
      <w:rFonts w:ascii="Calibri" w:hAnsi="Courier New"/>
      <w:kern w:val="2"/>
      <w:sz w:val="24"/>
      <w:szCs w:val="24"/>
    </w:rPr>
  </w:style>
  <w:style w:type="paragraph" w:styleId="aff0">
    <w:name w:val="Balloon Text"/>
    <w:basedOn w:val="a6"/>
    <w:link w:val="aff1"/>
    <w:uiPriority w:val="99"/>
    <w:semiHidden/>
    <w:unhideWhenUsed/>
    <w:rsid w:val="0001286F"/>
    <w:pPr>
      <w:ind w:leftChars="500" w:left="3062" w:hangingChars="400" w:hanging="1361"/>
    </w:pPr>
    <w:rPr>
      <w:rFonts w:ascii="Cambria" w:eastAsia="新細明體" w:hAnsi="Cambria"/>
      <w:sz w:val="18"/>
      <w:szCs w:val="18"/>
    </w:rPr>
  </w:style>
  <w:style w:type="character" w:customStyle="1" w:styleId="aff1">
    <w:name w:val="註解方塊文字 字元"/>
    <w:basedOn w:val="a7"/>
    <w:link w:val="aff0"/>
    <w:uiPriority w:val="99"/>
    <w:semiHidden/>
    <w:rsid w:val="0001286F"/>
    <w:rPr>
      <w:rFonts w:ascii="Cambria" w:hAnsi="Cambria"/>
      <w:kern w:val="2"/>
      <w:sz w:val="18"/>
      <w:szCs w:val="18"/>
    </w:rPr>
  </w:style>
  <w:style w:type="table" w:styleId="aff2">
    <w:name w:val="Table Grid"/>
    <w:basedOn w:val="a8"/>
    <w:uiPriority w:val="39"/>
    <w:rsid w:val="00012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標題 9 字元"/>
    <w:basedOn w:val="a7"/>
    <w:link w:val="9"/>
    <w:uiPriority w:val="9"/>
    <w:rsid w:val="00997047"/>
    <w:rPr>
      <w:rFonts w:ascii="標楷體" w:eastAsia="標楷體" w:hAnsiTheme="majorHAnsi" w:cstheme="majorBidi"/>
      <w:kern w:val="32"/>
      <w:sz w:val="32"/>
      <w:szCs w:val="36"/>
    </w:rPr>
  </w:style>
  <w:style w:type="paragraph" w:customStyle="1" w:styleId="a3">
    <w:name w:val="表標題"/>
    <w:qFormat/>
    <w:rsid w:val="00997047"/>
    <w:pPr>
      <w:keepNext/>
      <w:widowControl w:val="0"/>
      <w:numPr>
        <w:numId w:val="7"/>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3">
    <w:name w:val="資料來源"/>
    <w:basedOn w:val="a6"/>
    <w:rsid w:val="001734C9"/>
    <w:pPr>
      <w:kinsoku w:val="0"/>
      <w:overflowPunct w:val="0"/>
      <w:autoSpaceDE w:val="0"/>
      <w:autoSpaceDN w:val="0"/>
      <w:adjustRightInd w:val="0"/>
      <w:snapToGrid w:val="0"/>
      <w:spacing w:before="40" w:after="240" w:line="360" w:lineRule="exact"/>
      <w:jc w:val="both"/>
    </w:pPr>
    <w:rPr>
      <w:rFonts w:ascii="標楷體"/>
      <w:spacing w:val="-10"/>
      <w:kern w:val="0"/>
      <w:sz w:val="24"/>
      <w:szCs w:val="22"/>
    </w:rPr>
  </w:style>
  <w:style w:type="paragraph" w:customStyle="1" w:styleId="a1">
    <w:name w:val="圖標題"/>
    <w:basedOn w:val="a6"/>
    <w:qFormat/>
    <w:rsid w:val="00997047"/>
    <w:pPr>
      <w:numPr>
        <w:numId w:val="8"/>
      </w:numPr>
      <w:overflowPunct w:val="0"/>
      <w:autoSpaceDE w:val="0"/>
      <w:autoSpaceDN w:val="0"/>
      <w:adjustRightInd w:val="0"/>
      <w:snapToGrid w:val="0"/>
      <w:spacing w:before="240" w:after="40" w:line="360" w:lineRule="exact"/>
      <w:ind w:left="482" w:hanging="482"/>
      <w:jc w:val="center"/>
      <w:textAlignment w:val="baseline"/>
    </w:pPr>
    <w:rPr>
      <w:rFonts w:ascii="標楷體" w:hAnsi="華康楷書體W5(P)"/>
      <w:bCs/>
      <w:spacing w:val="-10"/>
      <w:kern w:val="28"/>
      <w:sz w:val="28"/>
      <w:szCs w:val="28"/>
    </w:rPr>
  </w:style>
  <w:style w:type="paragraph" w:customStyle="1" w:styleId="aff4">
    <w:name w:val="附表樣式"/>
    <w:basedOn w:val="a6"/>
    <w:qFormat/>
    <w:rsid w:val="005C17A0"/>
    <w:pPr>
      <w:keepNext/>
      <w:overflowPunct w:val="0"/>
      <w:autoSpaceDE w:val="0"/>
      <w:autoSpaceDN w:val="0"/>
      <w:ind w:left="400" w:hangingChars="400" w:hanging="400"/>
      <w:jc w:val="both"/>
      <w:outlineLvl w:val="0"/>
    </w:pPr>
    <w:rPr>
      <w:rFonts w:ascii="標楷體"/>
      <w:kern w:val="32"/>
    </w:rPr>
  </w:style>
  <w:style w:type="paragraph" w:customStyle="1" w:styleId="14">
    <w:name w:val="表格14"/>
    <w:basedOn w:val="a6"/>
    <w:rsid w:val="005C17A0"/>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f5">
    <w:name w:val="附圖樣式"/>
    <w:basedOn w:val="a6"/>
    <w:qFormat/>
    <w:rsid w:val="005C17A0"/>
    <w:pPr>
      <w:keepNext/>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6"/>
    <w:rsid w:val="005C17A0"/>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120">
    <w:name w:val="表格標題12"/>
    <w:basedOn w:val="140"/>
    <w:rsid w:val="005C17A0"/>
    <w:pPr>
      <w:spacing w:line="240" w:lineRule="exact"/>
    </w:pPr>
    <w:rPr>
      <w:sz w:val="24"/>
      <w:szCs w:val="24"/>
    </w:rPr>
  </w:style>
  <w:style w:type="paragraph" w:customStyle="1" w:styleId="121">
    <w:name w:val="表格12"/>
    <w:basedOn w:val="14"/>
    <w:rsid w:val="005C17A0"/>
    <w:pPr>
      <w:spacing w:line="300" w:lineRule="exact"/>
    </w:pPr>
    <w:rPr>
      <w:sz w:val="24"/>
      <w:szCs w:val="24"/>
    </w:rPr>
  </w:style>
  <w:style w:type="paragraph" w:customStyle="1" w:styleId="a4">
    <w:name w:val="附錄"/>
    <w:basedOn w:val="a6"/>
    <w:qFormat/>
    <w:rsid w:val="005C17A0"/>
    <w:pPr>
      <w:keepNext/>
      <w:numPr>
        <w:numId w:val="10"/>
      </w:numPr>
      <w:overflowPunct w:val="0"/>
      <w:autoSpaceDE w:val="0"/>
      <w:autoSpaceDN w:val="0"/>
      <w:ind w:left="350" w:hangingChars="350" w:hanging="350"/>
      <w:jc w:val="both"/>
      <w:outlineLvl w:val="0"/>
    </w:pPr>
    <w:rPr>
      <w:rFonts w:ascii="標楷體"/>
      <w:kern w:val="32"/>
    </w:rPr>
  </w:style>
  <w:style w:type="paragraph" w:customStyle="1" w:styleId="a5">
    <w:name w:val="照片標題"/>
    <w:qFormat/>
    <w:rsid w:val="005C17A0"/>
    <w:pPr>
      <w:numPr>
        <w:numId w:val="11"/>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5C17A0"/>
    <w:pPr>
      <w:keepNext/>
      <w:numPr>
        <w:numId w:val="12"/>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1"/>
    <w:qFormat/>
    <w:rsid w:val="005C17A0"/>
    <w:pPr>
      <w:overflowPunct w:val="0"/>
      <w:autoSpaceDE w:val="0"/>
      <w:autoSpaceDN w:val="0"/>
      <w:ind w:leftChars="1000" w:left="1000"/>
    </w:pPr>
    <w:rPr>
      <w:kern w:val="32"/>
    </w:rPr>
  </w:style>
  <w:style w:type="character" w:styleId="aff6">
    <w:name w:val="annotation reference"/>
    <w:basedOn w:val="a7"/>
    <w:uiPriority w:val="99"/>
    <w:semiHidden/>
    <w:unhideWhenUsed/>
    <w:rsid w:val="005C17A0"/>
    <w:rPr>
      <w:sz w:val="18"/>
      <w:szCs w:val="18"/>
    </w:rPr>
  </w:style>
  <w:style w:type="paragraph" w:styleId="aff7">
    <w:name w:val="annotation text"/>
    <w:basedOn w:val="a6"/>
    <w:link w:val="aff8"/>
    <w:uiPriority w:val="99"/>
    <w:semiHidden/>
    <w:unhideWhenUsed/>
    <w:rsid w:val="005C17A0"/>
    <w:pPr>
      <w:overflowPunct w:val="0"/>
      <w:autoSpaceDE w:val="0"/>
      <w:autoSpaceDN w:val="0"/>
    </w:pPr>
    <w:rPr>
      <w:rFonts w:ascii="標楷體"/>
    </w:rPr>
  </w:style>
  <w:style w:type="character" w:customStyle="1" w:styleId="aff8">
    <w:name w:val="註解文字 字元"/>
    <w:basedOn w:val="a7"/>
    <w:link w:val="aff7"/>
    <w:uiPriority w:val="99"/>
    <w:semiHidden/>
    <w:rsid w:val="005C17A0"/>
    <w:rPr>
      <w:rFonts w:ascii="標楷體" w:eastAsia="標楷體"/>
      <w:kern w:val="2"/>
      <w:sz w:val="32"/>
    </w:rPr>
  </w:style>
  <w:style w:type="paragraph" w:styleId="aff9">
    <w:name w:val="annotation subject"/>
    <w:basedOn w:val="aff7"/>
    <w:next w:val="aff7"/>
    <w:link w:val="affa"/>
    <w:uiPriority w:val="99"/>
    <w:semiHidden/>
    <w:unhideWhenUsed/>
    <w:rsid w:val="005C17A0"/>
    <w:rPr>
      <w:b/>
      <w:bCs/>
    </w:rPr>
  </w:style>
  <w:style w:type="character" w:customStyle="1" w:styleId="affa">
    <w:name w:val="註解主旨 字元"/>
    <w:basedOn w:val="aff8"/>
    <w:link w:val="aff9"/>
    <w:uiPriority w:val="99"/>
    <w:semiHidden/>
    <w:rsid w:val="005C17A0"/>
    <w:rPr>
      <w:rFonts w:ascii="標楷體" w:eastAsia="標楷體"/>
      <w:b/>
      <w:bCs/>
      <w:kern w:val="2"/>
      <w:sz w:val="32"/>
    </w:rPr>
  </w:style>
  <w:style w:type="character" w:styleId="affb">
    <w:name w:val="Strong"/>
    <w:basedOn w:val="a7"/>
    <w:uiPriority w:val="22"/>
    <w:qFormat/>
    <w:rsid w:val="005C17A0"/>
    <w:rPr>
      <w:b/>
      <w:bCs/>
    </w:rPr>
  </w:style>
  <w:style w:type="character" w:customStyle="1" w:styleId="shorttext">
    <w:name w:val="short_text"/>
    <w:basedOn w:val="a7"/>
    <w:rsid w:val="005C17A0"/>
  </w:style>
  <w:style w:type="character" w:styleId="affc">
    <w:name w:val="Placeholder Text"/>
    <w:basedOn w:val="a7"/>
    <w:uiPriority w:val="99"/>
    <w:semiHidden/>
    <w:rsid w:val="005C17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tmp"/><Relationship Id="rId18" Type="http://schemas.openxmlformats.org/officeDocument/2006/relationships/image" Target="media/image12.tmp"/><Relationship Id="rId26" Type="http://schemas.openxmlformats.org/officeDocument/2006/relationships/image" Target="media/image20.tmp"/><Relationship Id="rId39" Type="http://schemas.openxmlformats.org/officeDocument/2006/relationships/image" Target="media/image33.tmp"/><Relationship Id="rId3" Type="http://schemas.openxmlformats.org/officeDocument/2006/relationships/styles" Target="styles.xml"/><Relationship Id="rId21" Type="http://schemas.openxmlformats.org/officeDocument/2006/relationships/image" Target="media/image15.tmp"/><Relationship Id="rId34" Type="http://schemas.openxmlformats.org/officeDocument/2006/relationships/image" Target="media/image28.tmp"/><Relationship Id="rId42" Type="http://schemas.openxmlformats.org/officeDocument/2006/relationships/image" Target="media/image36.tmp"/><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image" Target="media/image11.tmp"/><Relationship Id="rId25" Type="http://schemas.openxmlformats.org/officeDocument/2006/relationships/image" Target="media/image19.tmp"/><Relationship Id="rId33" Type="http://schemas.openxmlformats.org/officeDocument/2006/relationships/image" Target="media/image27.tmp"/><Relationship Id="rId38" Type="http://schemas.openxmlformats.org/officeDocument/2006/relationships/image" Target="media/image32.tmp"/><Relationship Id="rId46" Type="http://schemas.openxmlformats.org/officeDocument/2006/relationships/image" Target="media/image40.tmp"/><Relationship Id="rId2" Type="http://schemas.openxmlformats.org/officeDocument/2006/relationships/numbering" Target="numbering.xml"/><Relationship Id="rId16" Type="http://schemas.openxmlformats.org/officeDocument/2006/relationships/image" Target="media/image10.tmp"/><Relationship Id="rId20" Type="http://schemas.openxmlformats.org/officeDocument/2006/relationships/image" Target="media/image14.tmp"/><Relationship Id="rId29" Type="http://schemas.openxmlformats.org/officeDocument/2006/relationships/image" Target="media/image23.tmp"/><Relationship Id="rId41" Type="http://schemas.openxmlformats.org/officeDocument/2006/relationships/image" Target="media/image35.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8.tmp"/><Relationship Id="rId32" Type="http://schemas.openxmlformats.org/officeDocument/2006/relationships/image" Target="media/image26.tmp"/><Relationship Id="rId37" Type="http://schemas.openxmlformats.org/officeDocument/2006/relationships/image" Target="media/image31.tmp"/><Relationship Id="rId40" Type="http://schemas.openxmlformats.org/officeDocument/2006/relationships/image" Target="media/image34.tmp"/><Relationship Id="rId45"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9.tmp"/><Relationship Id="rId23" Type="http://schemas.openxmlformats.org/officeDocument/2006/relationships/image" Target="media/image17.tmp"/><Relationship Id="rId28" Type="http://schemas.openxmlformats.org/officeDocument/2006/relationships/image" Target="media/image22.tmp"/><Relationship Id="rId36" Type="http://schemas.openxmlformats.org/officeDocument/2006/relationships/image" Target="media/image30.tmp"/><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3.tmp"/><Relationship Id="rId31" Type="http://schemas.openxmlformats.org/officeDocument/2006/relationships/image" Target="media/image25.tmp"/><Relationship Id="rId44" Type="http://schemas.openxmlformats.org/officeDocument/2006/relationships/image" Target="media/image38.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media/image8.tmp"/><Relationship Id="rId22" Type="http://schemas.openxmlformats.org/officeDocument/2006/relationships/image" Target="media/image16.tmp"/><Relationship Id="rId27" Type="http://schemas.openxmlformats.org/officeDocument/2006/relationships/image" Target="media/image21.tmp"/><Relationship Id="rId30" Type="http://schemas.openxmlformats.org/officeDocument/2006/relationships/image" Target="media/image24.tmp"/><Relationship Id="rId35" Type="http://schemas.openxmlformats.org/officeDocument/2006/relationships/image" Target="media/image29.tmp"/><Relationship Id="rId43" Type="http://schemas.openxmlformats.org/officeDocument/2006/relationships/image" Target="media/image37.tmp"/><Relationship Id="rId48" Type="http://schemas.openxmlformats.org/officeDocument/2006/relationships/footer" Target="footer2.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file:///D:\&#35519;&#26597;&#26696;&#20214;106\&#26680;&#22235;\&#27665;&#29151;&#38651;&#24288;&#30332;&#38651;&#29123;&#26009;&#32791;&#29992;&#37327;(107.01).xls" TargetMode="External"/><Relationship Id="rId2" Type="http://schemas.openxmlformats.org/officeDocument/2006/relationships/hyperlink" Target="file:///D:\&#35519;&#26597;&#26696;&#20214;106\&#26680;&#22235;\&#21488;&#38651;&#28779;&#21147;&#30332;&#38651;&#29123;&#26009;&#32791;&#29992;&#37327;(~106.01).xls" TargetMode="External"/><Relationship Id="rId1" Type="http://schemas.openxmlformats.org/officeDocument/2006/relationships/image" Target="media/image6.tm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74B19-E5F0-44FE-8A6E-3241748BF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1</TotalTime>
  <Pages>46</Pages>
  <Words>2983</Words>
  <Characters>17007</Characters>
  <Application>Microsoft Office Word</Application>
  <DocSecurity>0</DocSecurity>
  <Lines>141</Lines>
  <Paragraphs>39</Paragraphs>
  <ScaleCrop>false</ScaleCrop>
  <Company>cy</Company>
  <LinksUpToDate>false</LinksUpToDate>
  <CharactersWithSpaces>19951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羅海鳳</cp:lastModifiedBy>
  <cp:revision>2</cp:revision>
  <cp:lastPrinted>2019-03-12T05:49:00Z</cp:lastPrinted>
  <dcterms:created xsi:type="dcterms:W3CDTF">2019-05-07T06:06:00Z</dcterms:created>
  <dcterms:modified xsi:type="dcterms:W3CDTF">2019-05-07T06:06:00Z</dcterms:modified>
</cp:coreProperties>
</file>