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8410A" w:rsidRDefault="00D75644" w:rsidP="00F37D7B">
      <w:pPr>
        <w:pStyle w:val="af3"/>
      </w:pPr>
      <w:r w:rsidRPr="004D141F">
        <w:rPr>
          <w:rFonts w:hint="eastAsia"/>
        </w:rPr>
        <w:t>調查報告</w:t>
      </w:r>
    </w:p>
    <w:p w:rsidR="00E25849" w:rsidRPr="009C47D2" w:rsidRDefault="00E25849" w:rsidP="0059638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8410A">
        <w:rPr>
          <w:rFonts w:hint="eastAsia"/>
        </w:rPr>
        <w:t>案　　由：</w:t>
      </w:r>
      <w:bookmarkEnd w:id="0"/>
      <w:bookmarkEnd w:id="1"/>
      <w:bookmarkEnd w:id="2"/>
      <w:bookmarkEnd w:id="3"/>
      <w:bookmarkEnd w:id="4"/>
      <w:bookmarkEnd w:id="5"/>
      <w:bookmarkEnd w:id="6"/>
      <w:bookmarkEnd w:id="7"/>
      <w:bookmarkEnd w:id="8"/>
      <w:bookmarkEnd w:id="9"/>
      <w:r w:rsidR="001C0DA8" w:rsidRPr="0059638D">
        <w:fldChar w:fldCharType="begin"/>
      </w:r>
      <w:r w:rsidRPr="009C47D2">
        <w:instrText xml:space="preserve"> MERGEFIELD </w:instrText>
      </w:r>
      <w:r w:rsidRPr="009C47D2">
        <w:rPr>
          <w:rFonts w:hint="eastAsia"/>
        </w:rPr>
        <w:instrText>案由</w:instrText>
      </w:r>
      <w:r w:rsidRPr="009C47D2">
        <w:instrText xml:space="preserve"> </w:instrText>
      </w:r>
      <w:r w:rsidR="001C0DA8" w:rsidRPr="0059638D">
        <w:fldChar w:fldCharType="separate"/>
      </w:r>
      <w:bookmarkEnd w:id="11"/>
      <w:r w:rsidR="00B61E0A" w:rsidRPr="009C47D2">
        <w:rPr>
          <w:rFonts w:hint="eastAsia"/>
          <w:noProof/>
        </w:rPr>
        <w:t>獵雷艦慶富</w:t>
      </w:r>
      <w:r w:rsidR="0059638D">
        <w:rPr>
          <w:rFonts w:hint="eastAsia"/>
          <w:noProof/>
        </w:rPr>
        <w:t>詐貸</w:t>
      </w:r>
      <w:r w:rsidR="00B61E0A" w:rsidRPr="009C47D2">
        <w:rPr>
          <w:rFonts w:hint="eastAsia"/>
          <w:noProof/>
        </w:rPr>
        <w:t>案</w:t>
      </w:r>
      <w:r w:rsidR="00C83543" w:rsidRPr="00B36954">
        <w:rPr>
          <w:rFonts w:hint="eastAsia"/>
          <w:noProof/>
        </w:rPr>
        <w:t>之慶富造船股份有限公司副董事長</w:t>
      </w:r>
      <w:r w:rsidR="00B61E0A" w:rsidRPr="009C47D2">
        <w:rPr>
          <w:rFonts w:hint="eastAsia"/>
          <w:noProof/>
        </w:rPr>
        <w:t>陳偉志經臺灣高雄地方法院裁定限制住居，原於前鎮分局報到，107年3月27日因變更住居所改向左營分局新莊派出所報到。惟自同年5月6</w:t>
      </w:r>
      <w:r w:rsidR="00D22998">
        <w:rPr>
          <w:rFonts w:hint="eastAsia"/>
          <w:noProof/>
        </w:rPr>
        <w:t>日起並未按日報到</w:t>
      </w:r>
      <w:r w:rsidR="00B61E0A" w:rsidRPr="009C47D2">
        <w:rPr>
          <w:rFonts w:hint="eastAsia"/>
          <w:noProof/>
        </w:rPr>
        <w:t>，經法院於同年月23日拘提未獲</w:t>
      </w:r>
      <w:r w:rsidR="00D22998">
        <w:rPr>
          <w:rFonts w:hint="eastAsia"/>
          <w:noProof/>
        </w:rPr>
        <w:t>，依刑事訴訟法第116條之2係規定被告報到對象為法院及檢察官，究法院與檢方於辦理被告報到之程序有無疏漏？院檢將被告報到之業務囑託警察機關為之，其法律依據為何？另被告於報到期間逃逸之責任歸屬為何？</w:t>
      </w:r>
      <w:r w:rsidR="00B61E0A" w:rsidRPr="009C47D2">
        <w:rPr>
          <w:rFonts w:hint="eastAsia"/>
          <w:noProof/>
        </w:rPr>
        <w:t>陳偉志與其父當時分別陳報住居所，至不同派出所報到，而陳偉志嗣後變更之住所為空戶，</w:t>
      </w:r>
      <w:r w:rsidR="00D22998">
        <w:rPr>
          <w:rFonts w:hint="eastAsia"/>
          <w:noProof/>
        </w:rPr>
        <w:t>法院同意其變更住居所的裁定是否合宜？警方是否需向</w:t>
      </w:r>
      <w:r w:rsidR="00B61E0A" w:rsidRPr="009C47D2">
        <w:rPr>
          <w:rFonts w:hint="eastAsia"/>
          <w:noProof/>
        </w:rPr>
        <w:t>住居所查訪？法院是否有要求警方須每日回傳報到資訊，確切掌控狀況？</w:t>
      </w:r>
      <w:r w:rsidR="00004A61" w:rsidRPr="00B36954">
        <w:rPr>
          <w:rFonts w:hint="eastAsia"/>
          <w:noProof/>
        </w:rPr>
        <w:t>近年來是否亦曾發生類似之被告逃逸事件(例如：偽造</w:t>
      </w:r>
      <w:r w:rsidR="0059638D">
        <w:rPr>
          <w:rFonts w:hint="eastAsia"/>
          <w:noProof/>
        </w:rPr>
        <w:t>降</w:t>
      </w:r>
      <w:r w:rsidR="00004A61" w:rsidRPr="00B36954">
        <w:rPr>
          <w:rFonts w:hint="eastAsia"/>
          <w:noProof/>
        </w:rPr>
        <w:t>血脂藥主嫌潘駿達逃逸案)？</w:t>
      </w:r>
      <w:r w:rsidR="009C47D2" w:rsidRPr="00B36954">
        <w:rPr>
          <w:rFonts w:hint="eastAsia"/>
          <w:noProof/>
        </w:rPr>
        <w:t>防逃機制之空窗期有無預防措施？</w:t>
      </w:r>
      <w:r w:rsidR="00B61E0A" w:rsidRPr="009C47D2">
        <w:rPr>
          <w:rFonts w:hint="eastAsia"/>
          <w:noProof/>
        </w:rPr>
        <w:t>新修正的刑事訴訟法草案雖增訂偵查、審判及執行程序的「三階段防逃」規定，但草案就本個案亦無法防止其脫逃，是否有再檢討落實防逃機制之需?均有了解之必要案。</w:t>
      </w:r>
      <w:bookmarkEnd w:id="10"/>
      <w:r w:rsidR="001C0DA8" w:rsidRPr="0059638D">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8551E" w:rsidRPr="00AD3298" w:rsidRDefault="0078551E" w:rsidP="00C12DF2">
      <w:pPr>
        <w:pStyle w:val="11"/>
        <w:ind w:left="680" w:firstLine="680"/>
        <w:rPr>
          <w:color w:val="000000" w:themeColor="text1"/>
        </w:rPr>
      </w:pPr>
      <w:bookmarkStart w:id="49" w:name="_Toc524902730"/>
      <w:r w:rsidRPr="00AD3298">
        <w:rPr>
          <w:rFonts w:hint="eastAsia"/>
          <w:color w:val="000000" w:themeColor="text1"/>
        </w:rPr>
        <w:t>民國(下同)106年5月24日由</w:t>
      </w:r>
      <w:r w:rsidRPr="00AD3298">
        <w:rPr>
          <w:rFonts w:hAnsi="標楷體" w:hint="eastAsia"/>
          <w:color w:val="000000" w:themeColor="text1"/>
        </w:rPr>
        <w:t>《</w:t>
      </w:r>
      <w:r w:rsidRPr="00AD3298">
        <w:rPr>
          <w:rFonts w:hint="eastAsia"/>
          <w:color w:val="000000" w:themeColor="text1"/>
        </w:rPr>
        <w:t>天下雜誌</w:t>
      </w:r>
      <w:r w:rsidRPr="00AD3298">
        <w:rPr>
          <w:rFonts w:hAnsi="標楷體" w:hint="eastAsia"/>
          <w:color w:val="000000" w:themeColor="text1"/>
        </w:rPr>
        <w:t>》</w:t>
      </w:r>
      <w:r w:rsidR="00F17632" w:rsidRPr="00AD3298">
        <w:rPr>
          <w:rFonts w:hint="eastAsia"/>
          <w:color w:val="000000" w:themeColor="text1"/>
        </w:rPr>
        <w:t>所進行之</w:t>
      </w:r>
      <w:r w:rsidRPr="00AD3298">
        <w:rPr>
          <w:rFonts w:hAnsi="標楷體" w:hint="eastAsia"/>
          <w:color w:val="000000" w:themeColor="text1"/>
        </w:rPr>
        <w:t>〈</w:t>
      </w:r>
      <w:r w:rsidRPr="00AD3298">
        <w:rPr>
          <w:rFonts w:hint="eastAsia"/>
          <w:color w:val="000000" w:themeColor="text1"/>
        </w:rPr>
        <w:t>台灣社會信任度調查</w:t>
      </w:r>
      <w:r w:rsidR="005B6BDD" w:rsidRPr="00AD3298">
        <w:rPr>
          <w:rFonts w:hAnsi="標楷體" w:hint="eastAsia"/>
          <w:color w:val="000000" w:themeColor="text1"/>
        </w:rPr>
        <w:t>〉</w:t>
      </w:r>
      <w:r w:rsidRPr="00AD3298">
        <w:rPr>
          <w:rFonts w:hAnsi="標楷體" w:hint="eastAsia"/>
          <w:color w:val="000000" w:themeColor="text1"/>
        </w:rPr>
        <w:t>指出</w:t>
      </w:r>
      <w:r w:rsidRPr="00AD3298">
        <w:rPr>
          <w:rFonts w:hint="eastAsia"/>
          <w:color w:val="000000" w:themeColor="text1"/>
        </w:rPr>
        <w:t>：我國「6大社會體系」中，民眾最不信任的是「食品安全」(82.2%)</w:t>
      </w:r>
      <w:r w:rsidR="002E788F">
        <w:rPr>
          <w:rFonts w:hint="eastAsia"/>
          <w:color w:val="000000" w:themeColor="text1"/>
        </w:rPr>
        <w:t>，其次即為</w:t>
      </w:r>
      <w:r w:rsidRPr="00AD3298">
        <w:rPr>
          <w:rFonts w:hint="eastAsia"/>
          <w:color w:val="000000" w:themeColor="text1"/>
        </w:rPr>
        <w:t>「司法體系」(67.7%)。</w:t>
      </w:r>
      <w:r w:rsidR="002E788F">
        <w:rPr>
          <w:rFonts w:hint="eastAsia"/>
          <w:color w:val="000000" w:themeColor="text1"/>
        </w:rPr>
        <w:t>另於該調查</w:t>
      </w:r>
      <w:r w:rsidR="002E788F" w:rsidRPr="002E788F">
        <w:rPr>
          <w:rFonts w:hint="eastAsia"/>
          <w:color w:val="000000" w:themeColor="text1"/>
        </w:rPr>
        <w:t>針對10</w:t>
      </w:r>
      <w:r w:rsidR="002E788F">
        <w:rPr>
          <w:rFonts w:hint="eastAsia"/>
          <w:color w:val="000000" w:themeColor="text1"/>
        </w:rPr>
        <w:t>個具有指標意義的</w:t>
      </w:r>
      <w:r w:rsidR="002E788F">
        <w:rPr>
          <w:rFonts w:hint="eastAsia"/>
          <w:color w:val="000000" w:themeColor="text1"/>
        </w:rPr>
        <w:lastRenderedPageBreak/>
        <w:t>對象進行民調之</w:t>
      </w:r>
      <w:r w:rsidR="00F17632" w:rsidRPr="00AD3298">
        <w:rPr>
          <w:rFonts w:hint="eastAsia"/>
          <w:color w:val="000000" w:themeColor="text1"/>
        </w:rPr>
        <w:t>結果</w:t>
      </w:r>
      <w:r w:rsidR="005B6BDD" w:rsidRPr="00AD3298">
        <w:rPr>
          <w:rFonts w:hint="eastAsia"/>
          <w:color w:val="000000" w:themeColor="text1"/>
        </w:rPr>
        <w:t>顯示</w:t>
      </w:r>
      <w:r w:rsidR="00F17632" w:rsidRPr="00AD3298">
        <w:rPr>
          <w:rFonts w:hint="eastAsia"/>
          <w:color w:val="000000" w:themeColor="text1"/>
        </w:rPr>
        <w:t>，僅四分之一的民眾</w:t>
      </w:r>
      <w:r w:rsidR="002E788F">
        <w:rPr>
          <w:rFonts w:hint="eastAsia"/>
          <w:color w:val="000000" w:themeColor="text1"/>
        </w:rPr>
        <w:t>信賴</w:t>
      </w:r>
      <w:r w:rsidRPr="00AD3298">
        <w:rPr>
          <w:rFonts w:hint="eastAsia"/>
          <w:color w:val="000000" w:themeColor="text1"/>
        </w:rPr>
        <w:t>「法官」</w:t>
      </w:r>
      <w:r w:rsidRPr="00AD3298">
        <w:rPr>
          <w:rStyle w:val="aff"/>
          <w:color w:val="000000" w:themeColor="text1"/>
        </w:rPr>
        <w:footnoteReference w:id="1"/>
      </w:r>
      <w:r w:rsidR="005B6BDD" w:rsidRPr="00AD3298">
        <w:rPr>
          <w:rFonts w:hint="eastAsia"/>
          <w:color w:val="000000" w:themeColor="text1"/>
        </w:rPr>
        <w:t>。又</w:t>
      </w:r>
      <w:r w:rsidRPr="00AD3298">
        <w:rPr>
          <w:rFonts w:hint="eastAsia"/>
          <w:color w:val="000000" w:themeColor="text1"/>
        </w:rPr>
        <w:t>107年8月14日由國立中正大學犯罪研究中心公布</w:t>
      </w:r>
      <w:r w:rsidR="00F17632" w:rsidRPr="00AD3298">
        <w:rPr>
          <w:rFonts w:hint="eastAsia"/>
          <w:color w:val="000000" w:themeColor="text1"/>
        </w:rPr>
        <w:t>之</w:t>
      </w:r>
      <w:r w:rsidR="005B6BDD" w:rsidRPr="00AD3298">
        <w:rPr>
          <w:rFonts w:hAnsi="標楷體" w:hint="eastAsia"/>
          <w:color w:val="000000" w:themeColor="text1"/>
        </w:rPr>
        <w:t>「</w:t>
      </w:r>
      <w:r w:rsidRPr="00AD3298">
        <w:rPr>
          <w:rFonts w:hint="eastAsia"/>
          <w:color w:val="000000" w:themeColor="text1"/>
        </w:rPr>
        <w:t>司法與犯罪防制滿意度調查</w:t>
      </w:r>
      <w:r w:rsidR="005B6BDD" w:rsidRPr="00AD3298">
        <w:rPr>
          <w:rFonts w:hAnsi="標楷體" w:hint="eastAsia"/>
          <w:color w:val="000000" w:themeColor="text1"/>
        </w:rPr>
        <w:t>」</w:t>
      </w:r>
      <w:r w:rsidR="0058410A">
        <w:rPr>
          <w:rFonts w:hint="eastAsia"/>
          <w:color w:val="000000" w:themeColor="text1"/>
        </w:rPr>
        <w:t>結果</w:t>
      </w:r>
      <w:r w:rsidRPr="00AD3298">
        <w:rPr>
          <w:rStyle w:val="aff"/>
          <w:color w:val="000000" w:themeColor="text1"/>
        </w:rPr>
        <w:footnoteReference w:id="2"/>
      </w:r>
      <w:r w:rsidR="00F17632" w:rsidRPr="00AD3298">
        <w:rPr>
          <w:rFonts w:hint="eastAsia"/>
          <w:color w:val="000000" w:themeColor="text1"/>
        </w:rPr>
        <w:t>：</w:t>
      </w:r>
      <w:r w:rsidRPr="00AD3298">
        <w:rPr>
          <w:rFonts w:hint="eastAsia"/>
          <w:color w:val="000000" w:themeColor="text1"/>
        </w:rPr>
        <w:t>「民眾對司法</w:t>
      </w:r>
      <w:r w:rsidRPr="00AD3298">
        <w:rPr>
          <w:rFonts w:hint="eastAsia"/>
          <w:color w:val="000000" w:themeColor="text1"/>
        </w:rPr>
        <w:lastRenderedPageBreak/>
        <w:t>官審理案件之公正性」</w:t>
      </w:r>
      <w:r w:rsidR="0058410A">
        <w:rPr>
          <w:rFonts w:hint="eastAsia"/>
          <w:color w:val="000000" w:themeColor="text1"/>
        </w:rPr>
        <w:t>調查</w:t>
      </w:r>
      <w:r w:rsidRPr="00AD3298">
        <w:rPr>
          <w:rFonts w:hint="eastAsia"/>
          <w:color w:val="000000" w:themeColor="text1"/>
        </w:rPr>
        <w:t>，有76.9</w:t>
      </w:r>
      <w:r w:rsidRPr="00AD3298">
        <w:rPr>
          <w:rFonts w:hAnsi="標楷體" w:hint="eastAsia"/>
          <w:color w:val="000000" w:themeColor="text1"/>
        </w:rPr>
        <w:t>％</w:t>
      </w:r>
      <w:r w:rsidR="00B1085C" w:rsidRPr="00AD3298">
        <w:rPr>
          <w:rFonts w:hint="eastAsia"/>
          <w:color w:val="000000" w:themeColor="text1"/>
        </w:rPr>
        <w:t>民眾不相信法官處理案件之公平性，</w:t>
      </w:r>
      <w:r w:rsidRPr="00AD3298">
        <w:rPr>
          <w:rFonts w:hint="eastAsia"/>
          <w:color w:val="000000" w:themeColor="text1"/>
        </w:rPr>
        <w:t>對檢察官</w:t>
      </w:r>
      <w:r w:rsidR="00B1085C" w:rsidRPr="00AD3298">
        <w:rPr>
          <w:rFonts w:hint="eastAsia"/>
          <w:color w:val="000000" w:themeColor="text1"/>
        </w:rPr>
        <w:t>案件處理</w:t>
      </w:r>
      <w:r w:rsidRPr="00AD3298">
        <w:rPr>
          <w:rFonts w:hint="eastAsia"/>
          <w:color w:val="000000" w:themeColor="text1"/>
        </w:rPr>
        <w:t>之信任度也僅有24.6</w:t>
      </w:r>
      <w:r w:rsidRPr="00AD3298">
        <w:rPr>
          <w:rFonts w:hAnsi="標楷體" w:hint="eastAsia"/>
          <w:color w:val="000000" w:themeColor="text1"/>
        </w:rPr>
        <w:t>％</w:t>
      </w:r>
      <w:r w:rsidR="005C1B90">
        <w:rPr>
          <w:rFonts w:hint="eastAsia"/>
          <w:color w:val="000000" w:themeColor="text1"/>
        </w:rPr>
        <w:t>。</w:t>
      </w:r>
      <w:r w:rsidR="00B1085C" w:rsidRPr="00AD3298">
        <w:rPr>
          <w:rFonts w:hint="eastAsia"/>
          <w:color w:val="000000" w:themeColor="text1"/>
        </w:rPr>
        <w:t>該研究亦針對</w:t>
      </w:r>
      <w:r w:rsidRPr="00AD3298">
        <w:rPr>
          <w:rFonts w:hint="eastAsia"/>
          <w:color w:val="000000" w:themeColor="text1"/>
        </w:rPr>
        <w:t>106年8月12日召開之司法改革</w:t>
      </w:r>
      <w:r w:rsidR="001B1389">
        <w:rPr>
          <w:rFonts w:hint="eastAsia"/>
          <w:color w:val="000000" w:themeColor="text1"/>
        </w:rPr>
        <w:t>國是會議</w:t>
      </w:r>
      <w:r w:rsidRPr="00AD3298">
        <w:rPr>
          <w:rFonts w:hint="eastAsia"/>
          <w:color w:val="000000" w:themeColor="text1"/>
        </w:rPr>
        <w:t>予以調查，發現民眾對政府當前的司法改革</w:t>
      </w:r>
      <w:r w:rsidR="00B1085C" w:rsidRPr="00AD3298">
        <w:rPr>
          <w:rFonts w:hint="eastAsia"/>
          <w:color w:val="000000" w:themeColor="text1"/>
        </w:rPr>
        <w:t>成效，竟有</w:t>
      </w:r>
      <w:r w:rsidRPr="00AD3298">
        <w:rPr>
          <w:rFonts w:hint="eastAsia"/>
          <w:color w:val="000000" w:themeColor="text1"/>
        </w:rPr>
        <w:t>高達</w:t>
      </w:r>
      <w:proofErr w:type="gramStart"/>
      <w:r w:rsidR="00B1085C" w:rsidRPr="00AD3298">
        <w:rPr>
          <w:rFonts w:hint="eastAsia"/>
          <w:color w:val="000000" w:themeColor="text1"/>
        </w:rPr>
        <w:t>8成</w:t>
      </w:r>
      <w:proofErr w:type="gramEnd"/>
      <w:r w:rsidR="00B1085C" w:rsidRPr="00AD3298">
        <w:rPr>
          <w:rFonts w:hint="eastAsia"/>
          <w:color w:val="000000" w:themeColor="text1"/>
        </w:rPr>
        <w:t>3</w:t>
      </w:r>
      <w:r w:rsidR="002E788F">
        <w:rPr>
          <w:rFonts w:hint="eastAsia"/>
          <w:color w:val="000000" w:themeColor="text1"/>
        </w:rPr>
        <w:t>的民眾表示不滿意。上述</w:t>
      </w:r>
      <w:r w:rsidRPr="00AD3298">
        <w:rPr>
          <w:rFonts w:hint="eastAsia"/>
          <w:color w:val="000000" w:themeColor="text1"/>
        </w:rPr>
        <w:t>調查</w:t>
      </w:r>
      <w:r w:rsidR="002E788F">
        <w:rPr>
          <w:rFonts w:hint="eastAsia"/>
          <w:color w:val="000000" w:themeColor="text1"/>
        </w:rPr>
        <w:t>結果與</w:t>
      </w:r>
      <w:r w:rsidRPr="00AD3298">
        <w:rPr>
          <w:rFonts w:hint="eastAsia"/>
          <w:color w:val="000000" w:themeColor="text1"/>
        </w:rPr>
        <w:t>數據，</w:t>
      </w:r>
      <w:r w:rsidR="002E788F">
        <w:rPr>
          <w:rFonts w:hint="eastAsia"/>
          <w:color w:val="000000" w:themeColor="text1"/>
        </w:rPr>
        <w:t>皆顯示民眾對於司法信任薄弱，</w:t>
      </w:r>
      <w:proofErr w:type="gramStart"/>
      <w:r w:rsidR="002E788F">
        <w:rPr>
          <w:rFonts w:hint="eastAsia"/>
          <w:color w:val="000000" w:themeColor="text1"/>
        </w:rPr>
        <w:t>益徵</w:t>
      </w:r>
      <w:r w:rsidR="005B6BDD" w:rsidRPr="00AD3298">
        <w:rPr>
          <w:rFonts w:hint="eastAsia"/>
          <w:color w:val="000000" w:themeColor="text1"/>
        </w:rPr>
        <w:t>我國</w:t>
      </w:r>
      <w:proofErr w:type="gramEnd"/>
      <w:r w:rsidR="005B6BDD" w:rsidRPr="00AD3298">
        <w:rPr>
          <w:rFonts w:hint="eastAsia"/>
          <w:color w:val="000000" w:themeColor="text1"/>
        </w:rPr>
        <w:t>司法改革實刻不容緩</w:t>
      </w:r>
      <w:r w:rsidRPr="00AD3298">
        <w:rPr>
          <w:rFonts w:hint="eastAsia"/>
          <w:color w:val="000000" w:themeColor="text1"/>
        </w:rPr>
        <w:t>。</w:t>
      </w:r>
    </w:p>
    <w:p w:rsidR="0078551E" w:rsidRPr="00AD3298" w:rsidRDefault="00FD4FF0" w:rsidP="00C12DF2">
      <w:pPr>
        <w:pStyle w:val="11"/>
        <w:ind w:left="680" w:firstLine="680"/>
        <w:rPr>
          <w:color w:val="000000" w:themeColor="text1"/>
        </w:rPr>
      </w:pPr>
      <w:r w:rsidRPr="00AD3298">
        <w:rPr>
          <w:rFonts w:hint="eastAsia"/>
          <w:color w:val="000000" w:themeColor="text1"/>
        </w:rPr>
        <w:t>近年來要犯脫逃事件頻傳</w:t>
      </w:r>
      <w:r w:rsidR="007E29DE">
        <w:rPr>
          <w:rFonts w:hint="eastAsia"/>
          <w:color w:val="000000" w:themeColor="text1"/>
        </w:rPr>
        <w:t>，包括英商林克穎、前東帝士總裁陳由豪、前廣三集團總裁曾正仁、前</w:t>
      </w:r>
      <w:proofErr w:type="gramStart"/>
      <w:r w:rsidR="007E29DE">
        <w:rPr>
          <w:rFonts w:hint="eastAsia"/>
          <w:color w:val="000000" w:themeColor="text1"/>
        </w:rPr>
        <w:t>臺</w:t>
      </w:r>
      <w:proofErr w:type="gramEnd"/>
      <w:r w:rsidR="00AF51A0" w:rsidRPr="00AD3298">
        <w:rPr>
          <w:rFonts w:hint="eastAsia"/>
          <w:color w:val="000000" w:themeColor="text1"/>
        </w:rPr>
        <w:t>南縣議長吳健保、貪污檢察官井天博及工總名譽理事長陳武雄等人都畏罪潛逃，引發民眾質疑司法效能</w:t>
      </w:r>
      <w:proofErr w:type="gramStart"/>
      <w:r w:rsidR="00AF51A0" w:rsidRPr="00AD3298">
        <w:rPr>
          <w:rFonts w:hint="eastAsia"/>
          <w:color w:val="000000" w:themeColor="text1"/>
        </w:rPr>
        <w:t>不</w:t>
      </w:r>
      <w:proofErr w:type="gramEnd"/>
      <w:r w:rsidR="00AF51A0" w:rsidRPr="00AD3298">
        <w:rPr>
          <w:rFonts w:hint="eastAsia"/>
          <w:color w:val="000000" w:themeColor="text1"/>
        </w:rPr>
        <w:t>彰，故為確保司法正義之實現</w:t>
      </w:r>
      <w:r w:rsidR="00FB1657" w:rsidRPr="00AD3298">
        <w:rPr>
          <w:rFonts w:hint="eastAsia"/>
          <w:color w:val="000000" w:themeColor="text1"/>
        </w:rPr>
        <w:t>，</w:t>
      </w:r>
      <w:r w:rsidR="005C1B90" w:rsidRPr="00AD3298">
        <w:rPr>
          <w:rFonts w:hint="eastAsia"/>
          <w:color w:val="000000" w:themeColor="text1"/>
        </w:rPr>
        <w:t>司法院於106年2月18日提出防逃機制之改革</w:t>
      </w:r>
      <w:r w:rsidR="005C1B90" w:rsidRPr="00AD3298">
        <w:rPr>
          <w:rStyle w:val="aff"/>
          <w:color w:val="000000" w:themeColor="text1"/>
        </w:rPr>
        <w:footnoteReference w:id="3"/>
      </w:r>
      <w:r w:rsidR="005C1B90">
        <w:rPr>
          <w:rFonts w:hint="eastAsia"/>
          <w:color w:val="000000" w:themeColor="text1"/>
        </w:rPr>
        <w:t>，</w:t>
      </w:r>
      <w:r w:rsidR="00960A4A" w:rsidRPr="00AD3298">
        <w:rPr>
          <w:rFonts w:hint="eastAsia"/>
          <w:color w:val="000000" w:themeColor="text1"/>
        </w:rPr>
        <w:t>惟</w:t>
      </w:r>
      <w:r w:rsidR="005C1B90">
        <w:rPr>
          <w:rFonts w:hint="eastAsia"/>
          <w:color w:val="000000" w:themeColor="text1"/>
        </w:rPr>
        <w:t>其</w:t>
      </w:r>
      <w:r w:rsidR="00960A4A" w:rsidRPr="00AD3298">
        <w:rPr>
          <w:rFonts w:hint="eastAsia"/>
          <w:color w:val="000000" w:themeColor="text1"/>
        </w:rPr>
        <w:t>雖</w:t>
      </w:r>
      <w:r w:rsidR="00AF51A0" w:rsidRPr="00AD3298">
        <w:rPr>
          <w:rFonts w:hint="eastAsia"/>
          <w:color w:val="000000" w:themeColor="text1"/>
        </w:rPr>
        <w:t>致力於防逃機制之改善，仍於107年初發生慶富</w:t>
      </w:r>
      <w:r w:rsidR="001B6CD6">
        <w:rPr>
          <w:rFonts w:hint="eastAsia"/>
          <w:color w:val="000000" w:themeColor="text1"/>
        </w:rPr>
        <w:t>造船股份有限公司副董事長</w:t>
      </w:r>
      <w:r w:rsidR="00AF51A0" w:rsidRPr="00AD3298">
        <w:rPr>
          <w:rFonts w:hint="eastAsia"/>
          <w:color w:val="000000" w:themeColor="text1"/>
        </w:rPr>
        <w:t>陳偉志棄保逃逸案</w:t>
      </w:r>
      <w:r w:rsidR="005C1B90">
        <w:rPr>
          <w:rFonts w:hint="eastAsia"/>
          <w:color w:val="000000" w:themeColor="text1"/>
        </w:rPr>
        <w:t>。</w:t>
      </w:r>
      <w:r w:rsidR="00F107C0">
        <w:rPr>
          <w:rFonts w:hint="eastAsia"/>
          <w:color w:val="000000" w:themeColor="text1"/>
        </w:rPr>
        <w:t>慶富</w:t>
      </w:r>
      <w:r w:rsidR="00042CC0" w:rsidRPr="00AD3298">
        <w:rPr>
          <w:rFonts w:hint="eastAsia"/>
          <w:color w:val="000000" w:themeColor="text1"/>
        </w:rPr>
        <w:t>案自106年8月間爆發後，</w:t>
      </w:r>
      <w:r w:rsidR="0078551E" w:rsidRPr="00AD3298">
        <w:rPr>
          <w:rFonts w:hint="eastAsia"/>
          <w:color w:val="000000" w:themeColor="text1"/>
        </w:rPr>
        <w:t>即受社會所矚目，經檢方調查</w:t>
      </w:r>
      <w:r w:rsidR="005C1B90">
        <w:rPr>
          <w:rFonts w:hint="eastAsia"/>
          <w:color w:val="000000" w:themeColor="text1"/>
        </w:rPr>
        <w:t>，</w:t>
      </w:r>
      <w:r w:rsidR="0078551E" w:rsidRPr="00AD3298">
        <w:rPr>
          <w:rFonts w:hint="eastAsia"/>
          <w:color w:val="000000" w:themeColor="text1"/>
        </w:rPr>
        <w:t>涉案當事人陳偉志及其父</w:t>
      </w:r>
      <w:r w:rsidR="00801F3F">
        <w:rPr>
          <w:rFonts w:hint="eastAsia"/>
          <w:color w:val="000000" w:themeColor="text1"/>
        </w:rPr>
        <w:t>慶富集團總裁</w:t>
      </w:r>
      <w:r w:rsidR="0078551E" w:rsidRPr="00AD3298">
        <w:rPr>
          <w:rFonts w:hint="eastAsia"/>
          <w:color w:val="000000" w:themeColor="text1"/>
        </w:rPr>
        <w:t>陳慶男皆於106年8月9日各以</w:t>
      </w:r>
      <w:r w:rsidR="00042CC0" w:rsidRPr="00AD3298">
        <w:rPr>
          <w:rFonts w:hint="eastAsia"/>
          <w:color w:val="000000" w:themeColor="text1"/>
        </w:rPr>
        <w:t>新臺幣(下同)</w:t>
      </w:r>
      <w:r w:rsidR="0078551E" w:rsidRPr="00AD3298">
        <w:rPr>
          <w:rFonts w:hint="eastAsia"/>
          <w:color w:val="000000" w:themeColor="text1"/>
        </w:rPr>
        <w:t>500萬、800萬交保並裁定限制住居，</w:t>
      </w:r>
      <w:proofErr w:type="gramStart"/>
      <w:r w:rsidR="00801F3F">
        <w:rPr>
          <w:rFonts w:hint="eastAsia"/>
          <w:color w:val="000000" w:themeColor="text1"/>
        </w:rPr>
        <w:t>嗣</w:t>
      </w:r>
      <w:proofErr w:type="gramEnd"/>
      <w:r w:rsidR="00042CC0" w:rsidRPr="00AD3298">
        <w:rPr>
          <w:rFonts w:hint="eastAsia"/>
          <w:color w:val="000000" w:themeColor="text1"/>
        </w:rPr>
        <w:t>於107年2月21日臺灣高雄地方檢察署(下稱高雄地檢署)</w:t>
      </w:r>
      <w:r w:rsidR="00960A4A" w:rsidRPr="00AD3298">
        <w:rPr>
          <w:rFonts w:hint="eastAsia"/>
          <w:color w:val="000000" w:themeColor="text1"/>
        </w:rPr>
        <w:t>分別以詐欺、背信等罪起訴</w:t>
      </w:r>
      <w:r w:rsidR="005C1B90">
        <w:rPr>
          <w:rFonts w:hint="eastAsia"/>
          <w:color w:val="000000" w:themeColor="text1"/>
        </w:rPr>
        <w:t>。</w:t>
      </w:r>
      <w:r w:rsidR="00042CC0" w:rsidRPr="00AD3298">
        <w:rPr>
          <w:rFonts w:hint="eastAsia"/>
          <w:color w:val="000000" w:themeColor="text1"/>
        </w:rPr>
        <w:t>隨後</w:t>
      </w:r>
      <w:r w:rsidR="0078551E" w:rsidRPr="00AD3298">
        <w:rPr>
          <w:rFonts w:hint="eastAsia"/>
          <w:color w:val="000000" w:themeColor="text1"/>
        </w:rPr>
        <w:t>陳偉志於107年3月27日</w:t>
      </w:r>
      <w:r w:rsidR="00042CC0" w:rsidRPr="00AD3298">
        <w:rPr>
          <w:rFonts w:hint="eastAsia"/>
          <w:color w:val="000000" w:themeColor="text1"/>
        </w:rPr>
        <w:t>向臺灣高雄地方法院(下稱高雄地院)聲請</w:t>
      </w:r>
      <w:r w:rsidR="0078551E" w:rsidRPr="00AD3298">
        <w:rPr>
          <w:rFonts w:hint="eastAsia"/>
          <w:color w:val="000000" w:themeColor="text1"/>
        </w:rPr>
        <w:t>變更住居地，原須向高雄市前鎮分局復興</w:t>
      </w:r>
      <w:r w:rsidR="00960A4A" w:rsidRPr="00AD3298">
        <w:rPr>
          <w:rFonts w:hint="eastAsia"/>
          <w:color w:val="000000" w:themeColor="text1"/>
        </w:rPr>
        <w:t>路</w:t>
      </w:r>
      <w:r w:rsidR="0078551E" w:rsidRPr="00AD3298">
        <w:rPr>
          <w:rFonts w:hint="eastAsia"/>
          <w:color w:val="000000" w:themeColor="text1"/>
        </w:rPr>
        <w:t>派</w:t>
      </w:r>
      <w:r w:rsidR="0078551E" w:rsidRPr="00AD3298">
        <w:rPr>
          <w:rFonts w:hint="eastAsia"/>
          <w:color w:val="000000" w:themeColor="text1"/>
        </w:rPr>
        <w:lastRenderedPageBreak/>
        <w:t>出所</w:t>
      </w:r>
      <w:r w:rsidR="00960A4A" w:rsidRPr="00AD3298">
        <w:rPr>
          <w:rFonts w:hint="eastAsia"/>
          <w:color w:val="000000" w:themeColor="text1"/>
        </w:rPr>
        <w:t>(下稱復興路派出所)</w:t>
      </w:r>
      <w:r w:rsidR="0078551E" w:rsidRPr="00AD3298">
        <w:rPr>
          <w:rFonts w:hint="eastAsia"/>
          <w:color w:val="000000" w:themeColor="text1"/>
        </w:rPr>
        <w:t>報到改至高雄市左營分局新莊派出所</w:t>
      </w:r>
      <w:r w:rsidR="00960A4A" w:rsidRPr="00AD3298">
        <w:rPr>
          <w:rFonts w:hint="eastAsia"/>
          <w:color w:val="000000" w:themeColor="text1"/>
        </w:rPr>
        <w:t>(下稱新莊派出所)報到</w:t>
      </w:r>
      <w:r w:rsidR="005C1B90">
        <w:rPr>
          <w:rFonts w:hint="eastAsia"/>
          <w:color w:val="000000" w:themeColor="text1"/>
        </w:rPr>
        <w:t>。</w:t>
      </w:r>
      <w:r w:rsidR="00960A4A" w:rsidRPr="00AD3298">
        <w:rPr>
          <w:rFonts w:hint="eastAsia"/>
          <w:color w:val="000000" w:themeColor="text1"/>
        </w:rPr>
        <w:t>然</w:t>
      </w:r>
      <w:r w:rsidR="0078551E" w:rsidRPr="00AD3298">
        <w:rPr>
          <w:rFonts w:hint="eastAsia"/>
          <w:color w:val="000000" w:themeColor="text1"/>
        </w:rPr>
        <w:t>卻於107年5月5</w:t>
      </w:r>
      <w:r w:rsidR="00960A4A" w:rsidRPr="00AD3298">
        <w:rPr>
          <w:rFonts w:hint="eastAsia"/>
          <w:color w:val="000000" w:themeColor="text1"/>
        </w:rPr>
        <w:t>日向</w:t>
      </w:r>
      <w:r w:rsidR="0078551E" w:rsidRPr="00AD3298">
        <w:rPr>
          <w:rFonts w:hint="eastAsia"/>
          <w:color w:val="000000" w:themeColor="text1"/>
        </w:rPr>
        <w:t>新莊派出所報到後，即未再</w:t>
      </w:r>
      <w:r w:rsidR="00042CC0" w:rsidRPr="00AD3298">
        <w:rPr>
          <w:rFonts w:hint="eastAsia"/>
          <w:color w:val="000000" w:themeColor="text1"/>
        </w:rPr>
        <w:t>至該所報到，</w:t>
      </w:r>
      <w:r w:rsidR="0078551E" w:rsidRPr="00AD3298">
        <w:rPr>
          <w:rFonts w:hint="eastAsia"/>
          <w:color w:val="000000" w:themeColor="text1"/>
        </w:rPr>
        <w:t>直至107年5月22</w:t>
      </w:r>
      <w:r w:rsidR="00042CC0" w:rsidRPr="00AD3298">
        <w:rPr>
          <w:rFonts w:hint="eastAsia"/>
          <w:color w:val="000000" w:themeColor="text1"/>
        </w:rPr>
        <w:t>日法院</w:t>
      </w:r>
      <w:r w:rsidR="0078551E" w:rsidRPr="00AD3298">
        <w:rPr>
          <w:rFonts w:hint="eastAsia"/>
          <w:color w:val="000000" w:themeColor="text1"/>
        </w:rPr>
        <w:t>詢問後</w:t>
      </w:r>
      <w:r w:rsidR="00801F3F">
        <w:rPr>
          <w:rFonts w:hint="eastAsia"/>
          <w:color w:val="000000" w:themeColor="text1"/>
        </w:rPr>
        <w:t>，</w:t>
      </w:r>
      <w:r w:rsidR="0078551E" w:rsidRPr="00AD3298">
        <w:rPr>
          <w:rFonts w:hint="eastAsia"/>
          <w:color w:val="000000" w:themeColor="text1"/>
        </w:rPr>
        <w:t>方察覺其逃逸，未報到期間長達17日，致拘提難獲</w:t>
      </w:r>
      <w:r w:rsidR="00801F3F">
        <w:rPr>
          <w:rFonts w:hint="eastAsia"/>
          <w:color w:val="000000" w:themeColor="text1"/>
        </w:rPr>
        <w:t>。</w:t>
      </w:r>
      <w:r w:rsidR="00960A4A" w:rsidRPr="00AD3298">
        <w:rPr>
          <w:rFonts w:hint="eastAsia"/>
          <w:color w:val="000000" w:themeColor="text1"/>
        </w:rPr>
        <w:t>犯罪嫌疑人</w:t>
      </w:r>
      <w:r w:rsidR="00042CC0" w:rsidRPr="00AD3298">
        <w:rPr>
          <w:rFonts w:hint="eastAsia"/>
          <w:color w:val="000000" w:themeColor="text1"/>
        </w:rPr>
        <w:t>行蹤</w:t>
      </w:r>
      <w:r w:rsidR="00960A4A" w:rsidRPr="00AD3298">
        <w:rPr>
          <w:rFonts w:hint="eastAsia"/>
          <w:color w:val="000000" w:themeColor="text1"/>
        </w:rPr>
        <w:t>之</w:t>
      </w:r>
      <w:r w:rsidR="0058410A">
        <w:rPr>
          <w:rFonts w:hint="eastAsia"/>
          <w:color w:val="000000" w:themeColor="text1"/>
        </w:rPr>
        <w:t>掌握，</w:t>
      </w:r>
      <w:proofErr w:type="gramStart"/>
      <w:r w:rsidR="0058410A">
        <w:rPr>
          <w:rFonts w:hint="eastAsia"/>
          <w:color w:val="000000" w:themeColor="text1"/>
        </w:rPr>
        <w:t>攸</w:t>
      </w:r>
      <w:proofErr w:type="gramEnd"/>
      <w:r w:rsidR="0058410A">
        <w:rPr>
          <w:rFonts w:hint="eastAsia"/>
          <w:color w:val="000000" w:themeColor="text1"/>
        </w:rPr>
        <w:t>關</w:t>
      </w:r>
      <w:r w:rsidR="00042CC0" w:rsidRPr="00AD3298">
        <w:rPr>
          <w:rFonts w:hint="eastAsia"/>
          <w:color w:val="000000" w:themeColor="text1"/>
        </w:rPr>
        <w:t>國家司法</w:t>
      </w:r>
      <w:r w:rsidR="0058410A">
        <w:rPr>
          <w:rFonts w:hint="eastAsia"/>
          <w:color w:val="000000" w:themeColor="text1"/>
        </w:rPr>
        <w:t>訴追能力之展現，倘未能嚴控犯罪者之行蹤，</w:t>
      </w:r>
      <w:r w:rsidR="00960A4A" w:rsidRPr="00AD3298">
        <w:rPr>
          <w:rFonts w:hint="eastAsia"/>
          <w:color w:val="000000" w:themeColor="text1"/>
        </w:rPr>
        <w:t>無法將其繩之以法，將致司法正義難以</w:t>
      </w:r>
      <w:r w:rsidR="00042CC0" w:rsidRPr="00AD3298">
        <w:rPr>
          <w:rFonts w:hint="eastAsia"/>
          <w:color w:val="000000" w:themeColor="text1"/>
        </w:rPr>
        <w:t>伸張，</w:t>
      </w:r>
      <w:r w:rsidR="0078551E" w:rsidRPr="00AD3298">
        <w:rPr>
          <w:rFonts w:hint="eastAsia"/>
          <w:color w:val="000000" w:themeColor="text1"/>
        </w:rPr>
        <w:t>重創國家司法</w:t>
      </w:r>
      <w:r w:rsidR="00042CC0" w:rsidRPr="00AD3298">
        <w:rPr>
          <w:rFonts w:hint="eastAsia"/>
          <w:color w:val="000000" w:themeColor="text1"/>
        </w:rPr>
        <w:t>權</w:t>
      </w:r>
      <w:r w:rsidR="0078551E" w:rsidRPr="00AD3298">
        <w:rPr>
          <w:rFonts w:hint="eastAsia"/>
          <w:color w:val="000000" w:themeColor="text1"/>
        </w:rPr>
        <w:t>之威信。</w:t>
      </w:r>
    </w:p>
    <w:p w:rsidR="0078551E" w:rsidRPr="00AD3298" w:rsidRDefault="0078551E" w:rsidP="00C12DF2">
      <w:pPr>
        <w:pStyle w:val="11"/>
        <w:ind w:left="680" w:firstLine="680"/>
        <w:rPr>
          <w:color w:val="000000" w:themeColor="text1"/>
        </w:rPr>
      </w:pPr>
      <w:r w:rsidRPr="00AD3298">
        <w:rPr>
          <w:rFonts w:hint="eastAsia"/>
          <w:color w:val="000000" w:themeColor="text1"/>
        </w:rPr>
        <w:t>對此本案於執行防逃業務時是否有</w:t>
      </w:r>
      <w:r w:rsidR="0014179B">
        <w:rPr>
          <w:rFonts w:hint="eastAsia"/>
          <w:color w:val="000000" w:themeColor="text1"/>
        </w:rPr>
        <w:t>所違失，</w:t>
      </w:r>
      <w:r w:rsidR="004D2D19" w:rsidRPr="00AD3298">
        <w:rPr>
          <w:rFonts w:hint="eastAsia"/>
          <w:color w:val="000000" w:themeColor="text1"/>
        </w:rPr>
        <w:t>相關規範是否充</w:t>
      </w:r>
      <w:r w:rsidRPr="00AD3298">
        <w:rPr>
          <w:rFonts w:hint="eastAsia"/>
          <w:color w:val="000000" w:themeColor="text1"/>
        </w:rPr>
        <w:t>足</w:t>
      </w:r>
      <w:r w:rsidR="004D2D19" w:rsidRPr="00AD3298">
        <w:rPr>
          <w:rFonts w:hint="eastAsia"/>
          <w:color w:val="000000" w:themeColor="text1"/>
        </w:rPr>
        <w:t>，院、檢、警</w:t>
      </w:r>
      <w:r w:rsidR="0014179B">
        <w:rPr>
          <w:rFonts w:hint="eastAsia"/>
          <w:color w:val="000000" w:themeColor="text1"/>
        </w:rPr>
        <w:t>三方</w:t>
      </w:r>
      <w:r w:rsidR="004D2D19" w:rsidRPr="00AD3298">
        <w:rPr>
          <w:rFonts w:hint="eastAsia"/>
          <w:color w:val="000000" w:themeColor="text1"/>
        </w:rPr>
        <w:t>對於防逃業務之分工為何？</w:t>
      </w:r>
      <w:proofErr w:type="gramStart"/>
      <w:r w:rsidR="004D2D19" w:rsidRPr="00AD3298">
        <w:rPr>
          <w:rFonts w:hint="eastAsia"/>
          <w:color w:val="000000" w:themeColor="text1"/>
        </w:rPr>
        <w:t>均有調查</w:t>
      </w:r>
      <w:proofErr w:type="gramEnd"/>
      <w:r w:rsidR="004D2D19" w:rsidRPr="00AD3298">
        <w:rPr>
          <w:rFonts w:hint="eastAsia"/>
          <w:color w:val="000000" w:themeColor="text1"/>
        </w:rPr>
        <w:t>之必要。</w:t>
      </w:r>
      <w:r w:rsidRPr="00AD3298">
        <w:rPr>
          <w:rFonts w:hint="eastAsia"/>
          <w:color w:val="000000" w:themeColor="text1"/>
        </w:rPr>
        <w:t>經本院</w:t>
      </w:r>
      <w:r w:rsidR="00042CC0" w:rsidRPr="00AD3298">
        <w:rPr>
          <w:rFonts w:hint="eastAsia"/>
          <w:color w:val="000000" w:themeColor="text1"/>
        </w:rPr>
        <w:t>調閱司法院、法務部、</w:t>
      </w:r>
      <w:r w:rsidRPr="00AD3298">
        <w:rPr>
          <w:rFonts w:hint="eastAsia"/>
          <w:color w:val="000000" w:themeColor="text1"/>
        </w:rPr>
        <w:t>高雄地檢署及內政部警政署(下稱警政署)等機關卷證資料，並於107年9月5日及同年10月31日詢問法務部、警政署及司法院等機關，已</w:t>
      </w:r>
      <w:proofErr w:type="gramStart"/>
      <w:r w:rsidRPr="00AD3298">
        <w:rPr>
          <w:rFonts w:hint="eastAsia"/>
          <w:color w:val="000000" w:themeColor="text1"/>
        </w:rPr>
        <w:t>調查竣事，列述</w:t>
      </w:r>
      <w:proofErr w:type="gramEnd"/>
      <w:r w:rsidRPr="00AD3298">
        <w:rPr>
          <w:rFonts w:hint="eastAsia"/>
          <w:color w:val="000000" w:themeColor="text1"/>
        </w:rPr>
        <w:t>調查意見如</w:t>
      </w:r>
      <w:proofErr w:type="gramStart"/>
      <w:r w:rsidRPr="00AD3298">
        <w:rPr>
          <w:rFonts w:hint="eastAsia"/>
          <w:color w:val="000000" w:themeColor="text1"/>
        </w:rPr>
        <w:t>后</w:t>
      </w:r>
      <w:proofErr w:type="gramEnd"/>
      <w:r w:rsidRPr="00AD3298">
        <w:rPr>
          <w:rFonts w:hint="eastAsia"/>
          <w:color w:val="000000" w:themeColor="text1"/>
        </w:rPr>
        <w:t>：</w:t>
      </w:r>
    </w:p>
    <w:p w:rsidR="00446148" w:rsidRPr="00446148" w:rsidRDefault="00801F3F" w:rsidP="00446148">
      <w:pPr>
        <w:pStyle w:val="2"/>
        <w:rPr>
          <w:b/>
        </w:rPr>
      </w:pPr>
      <w:r>
        <w:rPr>
          <w:rFonts w:hint="eastAsia"/>
          <w:b/>
        </w:rPr>
        <w:t>國防部獵雷艦專案計畫主持人陳偉志為慶富造船股份有限公司副董事長，因涉</w:t>
      </w:r>
      <w:proofErr w:type="gramStart"/>
      <w:r>
        <w:rPr>
          <w:rFonts w:hint="eastAsia"/>
          <w:b/>
        </w:rPr>
        <w:t>犯詐貸犯</w:t>
      </w:r>
      <w:proofErr w:type="gramEnd"/>
      <w:r>
        <w:rPr>
          <w:rFonts w:hint="eastAsia"/>
          <w:b/>
        </w:rPr>
        <w:t>行</w:t>
      </w:r>
      <w:r w:rsidR="00BD09D9">
        <w:rPr>
          <w:rFonts w:hint="eastAsia"/>
          <w:b/>
        </w:rPr>
        <w:t>受</w:t>
      </w:r>
      <w:r>
        <w:rPr>
          <w:rFonts w:hint="eastAsia"/>
          <w:b/>
        </w:rPr>
        <w:t>高雄地檢署起訴後，雖未獲羈押，仍命其需向派出所報到，然</w:t>
      </w:r>
      <w:r w:rsidR="00446148" w:rsidRPr="00446148">
        <w:rPr>
          <w:rFonts w:hint="eastAsia"/>
          <w:b/>
        </w:rPr>
        <w:t>於107年5月22日高雄地院開庭審理時</w:t>
      </w:r>
      <w:r>
        <w:rPr>
          <w:rFonts w:hint="eastAsia"/>
          <w:b/>
        </w:rPr>
        <w:t>方</w:t>
      </w:r>
      <w:r w:rsidR="00BD09D9">
        <w:rPr>
          <w:rFonts w:hint="eastAsia"/>
          <w:b/>
        </w:rPr>
        <w:t>察覺其</w:t>
      </w:r>
      <w:r w:rsidR="00446148" w:rsidRPr="00446148">
        <w:rPr>
          <w:rFonts w:hint="eastAsia"/>
          <w:b/>
        </w:rPr>
        <w:t>逃逸，且未至新莊派出所報到時間長達17日，顯自高雄地院將報到業務囑託警察機關辦理後，即未切實與警方</w:t>
      </w:r>
      <w:r w:rsidR="00610E06">
        <w:rPr>
          <w:rFonts w:hint="eastAsia"/>
          <w:b/>
        </w:rPr>
        <w:t>聯</w:t>
      </w:r>
      <w:r w:rsidR="00446148" w:rsidRPr="00446148">
        <w:rPr>
          <w:rFonts w:hint="eastAsia"/>
          <w:b/>
        </w:rPr>
        <w:t>繫，警方亦未適時回傳陳</w:t>
      </w:r>
      <w:r w:rsidR="008624C8">
        <w:rPr>
          <w:rFonts w:hint="eastAsia"/>
          <w:b/>
        </w:rPr>
        <w:t>偉志</w:t>
      </w:r>
      <w:r w:rsidR="00446148" w:rsidRPr="00446148">
        <w:rPr>
          <w:rFonts w:hint="eastAsia"/>
          <w:b/>
        </w:rPr>
        <w:t>報到狀況予法院，致未能掌握被告行蹤，使其藉機逃逸</w:t>
      </w:r>
      <w:r w:rsidR="00027EDD">
        <w:rPr>
          <w:rFonts w:hint="eastAsia"/>
          <w:b/>
        </w:rPr>
        <w:t>，</w:t>
      </w:r>
      <w:proofErr w:type="gramStart"/>
      <w:r w:rsidR="00027EDD">
        <w:rPr>
          <w:rFonts w:hint="eastAsia"/>
          <w:b/>
        </w:rPr>
        <w:t>均有疏失</w:t>
      </w:r>
      <w:proofErr w:type="gramEnd"/>
      <w:r w:rsidR="005C1B90">
        <w:rPr>
          <w:rFonts w:hint="eastAsia"/>
          <w:b/>
        </w:rPr>
        <w:t>。</w:t>
      </w:r>
      <w:proofErr w:type="gramStart"/>
      <w:r w:rsidR="00027EDD">
        <w:rPr>
          <w:rFonts w:hint="eastAsia"/>
          <w:b/>
        </w:rPr>
        <w:t>另</w:t>
      </w:r>
      <w:r w:rsidR="00446148" w:rsidRPr="00446148">
        <w:rPr>
          <w:rFonts w:hint="eastAsia"/>
          <w:b/>
        </w:rPr>
        <w:t>觀諸</w:t>
      </w:r>
      <w:proofErr w:type="gramEnd"/>
      <w:r w:rsidR="00446148" w:rsidRPr="00446148">
        <w:rPr>
          <w:rFonts w:hint="eastAsia"/>
          <w:b/>
        </w:rPr>
        <w:t>警政署提供近10年法院及檢察官囑託辦理報到統計數據，可知該業務囑託量日益趨增，然依刑事訴訟法第116條之2第1款規定：「法院許可停止羈押時，得命被告應遵守下列事項：一、定期向法院或檢察官報到。」顯見被告報到</w:t>
      </w:r>
      <w:r w:rsidR="00F107C0">
        <w:rPr>
          <w:rFonts w:hint="eastAsia"/>
          <w:b/>
        </w:rPr>
        <w:t>對象</w:t>
      </w:r>
      <w:r w:rsidR="00446148" w:rsidRPr="00446148">
        <w:rPr>
          <w:rFonts w:hint="eastAsia"/>
          <w:b/>
        </w:rPr>
        <w:t>實為檢察官或法院</w:t>
      </w:r>
      <w:r w:rsidR="005C1B90">
        <w:rPr>
          <w:rFonts w:hint="eastAsia"/>
          <w:b/>
        </w:rPr>
        <w:t>。</w:t>
      </w:r>
      <w:proofErr w:type="gramStart"/>
      <w:r w:rsidR="00446148" w:rsidRPr="00446148">
        <w:rPr>
          <w:rFonts w:hint="eastAsia"/>
          <w:b/>
        </w:rPr>
        <w:t>惟院檢常</w:t>
      </w:r>
      <w:proofErr w:type="gramEnd"/>
      <w:r w:rsidR="00446148" w:rsidRPr="00446148">
        <w:rPr>
          <w:rFonts w:hint="eastAsia"/>
          <w:b/>
        </w:rPr>
        <w:t>以一紙未明列法律依據及辦理方式之公文即囑託警察機關執行，實與刑事訴訟法之規定不符</w:t>
      </w:r>
      <w:r w:rsidR="005C1B90">
        <w:rPr>
          <w:rFonts w:hint="eastAsia"/>
          <w:b/>
        </w:rPr>
        <w:t>。</w:t>
      </w:r>
      <w:r w:rsidR="00446148" w:rsidRPr="00446148">
        <w:rPr>
          <w:rFonts w:hint="eastAsia"/>
          <w:b/>
        </w:rPr>
        <w:t>又命被告至指定處所報到實屬限制人身自由之處分，相關辦</w:t>
      </w:r>
      <w:r w:rsidR="00446148" w:rsidRPr="00446148">
        <w:rPr>
          <w:rFonts w:hint="eastAsia"/>
          <w:b/>
        </w:rPr>
        <w:lastRenderedPageBreak/>
        <w:t>理作業與流程應符法律保留及法律明確性原則，方屬妥適</w:t>
      </w:r>
      <w:r w:rsidR="005C1B90">
        <w:rPr>
          <w:rFonts w:hint="eastAsia"/>
          <w:b/>
        </w:rPr>
        <w:t>。</w:t>
      </w:r>
      <w:r w:rsidR="00446148" w:rsidRPr="00446148">
        <w:rPr>
          <w:rFonts w:hint="eastAsia"/>
          <w:b/>
        </w:rPr>
        <w:t>然其法制面及執行面之依據與</w:t>
      </w:r>
      <w:r w:rsidR="00E53CE6">
        <w:rPr>
          <w:rFonts w:hint="eastAsia"/>
          <w:b/>
        </w:rPr>
        <w:t>執行</w:t>
      </w:r>
      <w:r w:rsidR="00446148" w:rsidRPr="00446148">
        <w:rPr>
          <w:rFonts w:hint="eastAsia"/>
          <w:b/>
        </w:rPr>
        <w:t>規範皆付之闕如，實有違上述原則</w:t>
      </w:r>
      <w:r w:rsidR="00CA56D3">
        <w:rPr>
          <w:rFonts w:hint="eastAsia"/>
          <w:b/>
        </w:rPr>
        <w:t>之內涵，司法院及法務部允應詳</w:t>
      </w:r>
      <w:r w:rsidR="004D5DF6">
        <w:rPr>
          <w:rFonts w:hint="eastAsia"/>
          <w:b/>
        </w:rPr>
        <w:t>予</w:t>
      </w:r>
      <w:r w:rsidR="00CA56D3">
        <w:rPr>
          <w:rFonts w:hint="eastAsia"/>
          <w:b/>
        </w:rPr>
        <w:t>檢討該業務分配與責任歸屬，若欲將上述業務囑託警察機關辦理，亦應明定聯繫與作業規範供其依循，以建立完善之</w:t>
      </w:r>
      <w:proofErr w:type="gramStart"/>
      <w:r w:rsidR="00CA56D3">
        <w:rPr>
          <w:rFonts w:hint="eastAsia"/>
          <w:b/>
        </w:rPr>
        <w:t>防逃</w:t>
      </w:r>
      <w:r w:rsidR="00446148" w:rsidRPr="00446148">
        <w:rPr>
          <w:rFonts w:hint="eastAsia"/>
          <w:b/>
        </w:rPr>
        <w:t>網絡</w:t>
      </w:r>
      <w:proofErr w:type="gramEnd"/>
      <w:r w:rsidR="00446148" w:rsidRPr="00446148">
        <w:rPr>
          <w:rFonts w:hint="eastAsia"/>
          <w:b/>
        </w:rPr>
        <w:t>及</w:t>
      </w:r>
      <w:r w:rsidR="00CA56D3">
        <w:rPr>
          <w:rFonts w:hint="eastAsia"/>
          <w:b/>
        </w:rPr>
        <w:t>聯繫、作業規</w:t>
      </w:r>
      <w:r w:rsidR="00F107C0">
        <w:rPr>
          <w:rFonts w:hint="eastAsia"/>
          <w:b/>
        </w:rPr>
        <w:t>則</w:t>
      </w:r>
      <w:r w:rsidR="00446148" w:rsidRPr="00446148">
        <w:rPr>
          <w:rFonts w:hint="eastAsia"/>
          <w:b/>
        </w:rPr>
        <w:t>，共同防堵逃逸漏洞。</w:t>
      </w:r>
    </w:p>
    <w:p w:rsidR="00E05D55" w:rsidRDefault="00001894" w:rsidP="00001894">
      <w:pPr>
        <w:pStyle w:val="3"/>
      </w:pPr>
      <w:r>
        <w:rPr>
          <w:rFonts w:hint="eastAsia"/>
        </w:rPr>
        <w:t>憲法第8條：</w:t>
      </w:r>
      <w:r w:rsidRPr="00001894">
        <w:rPr>
          <w:rFonts w:hint="eastAsia"/>
        </w:rPr>
        <w:t>「人民身體之自由應予保障。除現行犯之逮捕由法律</w:t>
      </w:r>
      <w:proofErr w:type="gramStart"/>
      <w:r w:rsidRPr="00001894">
        <w:rPr>
          <w:rFonts w:hint="eastAsia"/>
        </w:rPr>
        <w:t>另定外</w:t>
      </w:r>
      <w:proofErr w:type="gramEnd"/>
      <w:r w:rsidRPr="00001894">
        <w:rPr>
          <w:rFonts w:hint="eastAsia"/>
        </w:rPr>
        <w:t>，非經司法或警察機關依法定程序，不得逮捕拘禁。非由法院依法定程序，不得審問處罰。非依法定程序之逮捕、拘禁、審問、處罰，得拒絕之。人民因犯罪嫌疑被逮捕拘禁時，其逮捕拘禁機關應將逮捕拘禁原因，以書面告知本人及其本人指定之親友，並至遲於</w:t>
      </w:r>
      <w:r w:rsidR="00F92B0C">
        <w:rPr>
          <w:rFonts w:hint="eastAsia"/>
        </w:rPr>
        <w:t>24</w:t>
      </w:r>
      <w:r w:rsidRPr="00001894">
        <w:rPr>
          <w:rFonts w:hint="eastAsia"/>
        </w:rPr>
        <w:t>小時內移送該管法院審問。本人或他人亦得聲請該管法院，於</w:t>
      </w:r>
      <w:r w:rsidR="00F92B0C">
        <w:rPr>
          <w:rFonts w:hint="eastAsia"/>
        </w:rPr>
        <w:t>24</w:t>
      </w:r>
      <w:r w:rsidRPr="00001894">
        <w:rPr>
          <w:rFonts w:hint="eastAsia"/>
        </w:rPr>
        <w:t>小時內向逮捕之機關提審。法院對於前項聲請，不得拒絕，並不得先令逮捕拘禁之機關</w:t>
      </w:r>
      <w:proofErr w:type="gramStart"/>
      <w:r w:rsidRPr="00001894">
        <w:rPr>
          <w:rFonts w:hint="eastAsia"/>
        </w:rPr>
        <w:t>查覆。</w:t>
      </w:r>
      <w:proofErr w:type="gramEnd"/>
      <w:r w:rsidRPr="00001894">
        <w:rPr>
          <w:rFonts w:hint="eastAsia"/>
        </w:rPr>
        <w:t>逮捕拘禁之機關，對於法院之提審，不得拒絕或遲延。人民遭受任何機關非法逮捕拘禁時，其本人或他人得向法院聲請追究，法院不得拒絕，並應於</w:t>
      </w:r>
      <w:r w:rsidR="00F92B0C">
        <w:rPr>
          <w:rFonts w:hint="eastAsia"/>
        </w:rPr>
        <w:t>24</w:t>
      </w:r>
      <w:r w:rsidRPr="00001894">
        <w:rPr>
          <w:rFonts w:hint="eastAsia"/>
        </w:rPr>
        <w:t>小時內向逮捕拘禁之機關追究，依法處理。」</w:t>
      </w:r>
      <w:r>
        <w:rPr>
          <w:rFonts w:hint="eastAsia"/>
        </w:rPr>
        <w:t>我國憲法所賦予之人身自由保障，亦包含身體之行動自由，使其得以隨心所欲於任何時間前往任何地點，或任何時間</w:t>
      </w:r>
      <w:proofErr w:type="gramStart"/>
      <w:r>
        <w:rPr>
          <w:rFonts w:hint="eastAsia"/>
        </w:rPr>
        <w:t>不</w:t>
      </w:r>
      <w:proofErr w:type="gramEnd"/>
      <w:r>
        <w:rPr>
          <w:rFonts w:hint="eastAsia"/>
        </w:rPr>
        <w:t>前往任何地點</w:t>
      </w:r>
      <w:r w:rsidR="005C1B90">
        <w:rPr>
          <w:rFonts w:hint="eastAsia"/>
        </w:rPr>
        <w:t>。</w:t>
      </w:r>
      <w:r>
        <w:rPr>
          <w:rFonts w:hint="eastAsia"/>
        </w:rPr>
        <w:t>另</w:t>
      </w:r>
      <w:r w:rsidRPr="00001894">
        <w:rPr>
          <w:rFonts w:hint="eastAsia"/>
        </w:rPr>
        <w:t>對人身自由的侵犯即指以實力積極的使個人於一定時間內必須出現或停留在一定處所，或消極的使其不得於一定時間離開一定處所</w:t>
      </w:r>
      <w:r w:rsidR="00581C89">
        <w:rPr>
          <w:rStyle w:val="aff"/>
        </w:rPr>
        <w:footnoteReference w:id="4"/>
      </w:r>
      <w:r w:rsidRPr="00001894">
        <w:rPr>
          <w:rFonts w:hint="eastAsia"/>
        </w:rPr>
        <w:t>。</w:t>
      </w:r>
    </w:p>
    <w:p w:rsidR="0078551E" w:rsidRDefault="00E05D55" w:rsidP="0087530E">
      <w:pPr>
        <w:pStyle w:val="3"/>
      </w:pPr>
      <w:proofErr w:type="gramStart"/>
      <w:r>
        <w:rPr>
          <w:rFonts w:hint="eastAsia"/>
        </w:rPr>
        <w:t>查</w:t>
      </w:r>
      <w:r w:rsidR="00001894">
        <w:rPr>
          <w:rFonts w:hint="eastAsia"/>
        </w:rPr>
        <w:t>命刑事</w:t>
      </w:r>
      <w:proofErr w:type="gramEnd"/>
      <w:r w:rsidR="00001894">
        <w:rPr>
          <w:rFonts w:hint="eastAsia"/>
        </w:rPr>
        <w:t>被告於指定之時間至某地點報到，</w:t>
      </w:r>
      <w:r w:rsidR="00581C89">
        <w:rPr>
          <w:rFonts w:hint="eastAsia"/>
        </w:rPr>
        <w:t>應</w:t>
      </w:r>
      <w:r>
        <w:rPr>
          <w:rFonts w:hint="eastAsia"/>
        </w:rPr>
        <w:t>亦屬</w:t>
      </w:r>
      <w:r>
        <w:rPr>
          <w:rFonts w:hint="eastAsia"/>
        </w:rPr>
        <w:lastRenderedPageBreak/>
        <w:t>對於該刑事被告之人身自由為一定之限制，而其對於人身自由所為之限制應屬憲法第8條以外之</w:t>
      </w:r>
      <w:r w:rsidR="0087530E">
        <w:rPr>
          <w:rFonts w:hint="eastAsia"/>
        </w:rPr>
        <w:t>人身自由之限制，依</w:t>
      </w:r>
      <w:r w:rsidR="0087530E" w:rsidRPr="0087530E">
        <w:rPr>
          <w:rFonts w:hint="eastAsia"/>
        </w:rPr>
        <w:t>司法院釋字第</w:t>
      </w:r>
      <w:r w:rsidR="0087530E">
        <w:rPr>
          <w:rFonts w:hint="eastAsia"/>
        </w:rPr>
        <w:t>443</w:t>
      </w:r>
      <w:r w:rsidR="0087530E" w:rsidRPr="0087530E">
        <w:rPr>
          <w:rFonts w:hint="eastAsia"/>
        </w:rPr>
        <w:t>號解釋</w:t>
      </w:r>
      <w:r w:rsidR="00C510A7">
        <w:rPr>
          <w:rFonts w:hint="eastAsia"/>
        </w:rPr>
        <w:t>理由書所言</w:t>
      </w:r>
      <w:r w:rsidR="0087530E">
        <w:rPr>
          <w:rFonts w:hint="eastAsia"/>
        </w:rPr>
        <w:t>：「</w:t>
      </w:r>
      <w:r w:rsidR="0087530E" w:rsidRPr="0087530E">
        <w:rPr>
          <w:rFonts w:hint="eastAsia"/>
        </w:rPr>
        <w:t>憲法所定人民之自由及權利範圍甚廣，凡不妨害社會秩序公共利益者，</w:t>
      </w:r>
      <w:proofErr w:type="gramStart"/>
      <w:r w:rsidR="0087530E" w:rsidRPr="0087530E">
        <w:rPr>
          <w:rFonts w:hint="eastAsia"/>
        </w:rPr>
        <w:t>均受保障</w:t>
      </w:r>
      <w:proofErr w:type="gramEnd"/>
      <w:r w:rsidR="0087530E" w:rsidRPr="0087530E">
        <w:rPr>
          <w:rFonts w:hint="eastAsia"/>
        </w:rPr>
        <w:t>。</w:t>
      </w:r>
      <w:proofErr w:type="gramStart"/>
      <w:r w:rsidR="0087530E" w:rsidRPr="0087530E">
        <w:rPr>
          <w:rFonts w:hint="eastAsia"/>
        </w:rPr>
        <w:t>惟</w:t>
      </w:r>
      <w:proofErr w:type="gramEnd"/>
      <w:r w:rsidR="0087530E" w:rsidRPr="0087530E">
        <w:rPr>
          <w:rFonts w:hint="eastAsia"/>
        </w:rPr>
        <w:t>並非一切自由及</w:t>
      </w:r>
      <w:proofErr w:type="gramStart"/>
      <w:r w:rsidR="0087530E" w:rsidRPr="0087530E">
        <w:rPr>
          <w:rFonts w:hint="eastAsia"/>
        </w:rPr>
        <w:t>權利均無分</w:t>
      </w:r>
      <w:proofErr w:type="gramEnd"/>
      <w:r w:rsidR="0087530E" w:rsidRPr="0087530E">
        <w:rPr>
          <w:rFonts w:hint="eastAsia"/>
        </w:rPr>
        <w:t>軒輊受憲法毫無差別之保障：關於人民身體之自由，憲法第</w:t>
      </w:r>
      <w:r w:rsidR="009E4078">
        <w:rPr>
          <w:rFonts w:hint="eastAsia"/>
        </w:rPr>
        <w:t>8</w:t>
      </w:r>
      <w:r w:rsidR="0087530E" w:rsidRPr="0087530E">
        <w:rPr>
          <w:rFonts w:hint="eastAsia"/>
        </w:rPr>
        <w:t>條規定即較為詳盡，其中內容屬於憲法保留之事項者，縱令立法機關，亦不得</w:t>
      </w:r>
      <w:r w:rsidR="00C510A7">
        <w:rPr>
          <w:rFonts w:hint="eastAsia"/>
        </w:rPr>
        <w:t>制定法律加以限制（參照</w:t>
      </w:r>
      <w:r w:rsidR="009E4078">
        <w:rPr>
          <w:rFonts w:hint="eastAsia"/>
        </w:rPr>
        <w:t>司法</w:t>
      </w:r>
      <w:r w:rsidR="00C510A7">
        <w:rPr>
          <w:rFonts w:hint="eastAsia"/>
        </w:rPr>
        <w:t>院釋字第</w:t>
      </w:r>
      <w:r w:rsidR="009E4078">
        <w:rPr>
          <w:rFonts w:hint="eastAsia"/>
        </w:rPr>
        <w:t>392</w:t>
      </w:r>
      <w:r w:rsidR="00C510A7">
        <w:rPr>
          <w:rFonts w:hint="eastAsia"/>
        </w:rPr>
        <w:t>號解釋理由書），而憲法第7條、第9條至第18</w:t>
      </w:r>
      <w:r w:rsidR="0087530E" w:rsidRPr="0087530E">
        <w:rPr>
          <w:rFonts w:hint="eastAsia"/>
        </w:rPr>
        <w:t>條、</w:t>
      </w:r>
      <w:r w:rsidR="00C510A7">
        <w:rPr>
          <w:rFonts w:hint="eastAsia"/>
        </w:rPr>
        <w:t>第21條及第22條之各種自由及權利，則於符合憲法第23</w:t>
      </w:r>
      <w:r w:rsidR="0087530E" w:rsidRPr="0087530E">
        <w:rPr>
          <w:rFonts w:hint="eastAsia"/>
        </w:rPr>
        <w:t>條之條件下，得以法律限制之。至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w:t>
      </w:r>
      <w:r w:rsidR="0087530E">
        <w:rPr>
          <w:rFonts w:hint="eastAsia"/>
        </w:rPr>
        <w:t>。」依上述解釋，若屬</w:t>
      </w:r>
      <w:r w:rsidR="0087530E" w:rsidRPr="0087530E">
        <w:rPr>
          <w:rFonts w:hint="eastAsia"/>
        </w:rPr>
        <w:t>限制人民身體自由者，必須遵守罪刑法定主義，以制定法律之方式為之</w:t>
      </w:r>
      <w:r w:rsidR="0087530E">
        <w:rPr>
          <w:rFonts w:hint="eastAsia"/>
        </w:rPr>
        <w:t>，實</w:t>
      </w:r>
      <w:r>
        <w:rPr>
          <w:rFonts w:hint="eastAsia"/>
        </w:rPr>
        <w:t>屬絕對法律保留(又稱國會保留)</w:t>
      </w:r>
      <w:r w:rsidR="005C1B90">
        <w:rPr>
          <w:rFonts w:hint="eastAsia"/>
        </w:rPr>
        <w:t>。</w:t>
      </w:r>
      <w:proofErr w:type="gramStart"/>
      <w:r w:rsidR="0087530E">
        <w:rPr>
          <w:rFonts w:hint="eastAsia"/>
        </w:rPr>
        <w:t>故</w:t>
      </w:r>
      <w:r>
        <w:rPr>
          <w:rFonts w:hint="eastAsia"/>
        </w:rPr>
        <w:t>命刑事</w:t>
      </w:r>
      <w:proofErr w:type="gramEnd"/>
      <w:r>
        <w:rPr>
          <w:rFonts w:hint="eastAsia"/>
        </w:rPr>
        <w:t>被告至指定處所報到之處分</w:t>
      </w:r>
      <w:r w:rsidR="00C510A7">
        <w:rPr>
          <w:rFonts w:hint="eastAsia"/>
        </w:rPr>
        <w:t>，亦屬</w:t>
      </w:r>
      <w:r w:rsidR="004F663A">
        <w:rPr>
          <w:rFonts w:hint="eastAsia"/>
        </w:rPr>
        <w:t>人身自由之限制，允</w:t>
      </w:r>
      <w:r w:rsidR="0087530E">
        <w:rPr>
          <w:rFonts w:hint="eastAsia"/>
        </w:rPr>
        <w:t>應有法律明文規範</w:t>
      </w:r>
      <w:r w:rsidR="005C1B90">
        <w:rPr>
          <w:rFonts w:hint="eastAsia"/>
        </w:rPr>
        <w:t>。</w:t>
      </w:r>
      <w:r w:rsidR="00F107C0">
        <w:rPr>
          <w:rFonts w:hint="eastAsia"/>
        </w:rPr>
        <w:t>按</w:t>
      </w:r>
      <w:r>
        <w:rPr>
          <w:rFonts w:hint="eastAsia"/>
        </w:rPr>
        <w:t>刑事訴訟法第116條</w:t>
      </w:r>
      <w:r w:rsidR="00C510A7">
        <w:rPr>
          <w:rFonts w:hint="eastAsia"/>
        </w:rPr>
        <w:t>之2</w:t>
      </w:r>
      <w:r>
        <w:rPr>
          <w:rFonts w:hint="eastAsia"/>
        </w:rPr>
        <w:t>第1</w:t>
      </w:r>
      <w:r w:rsidR="0087530E">
        <w:rPr>
          <w:rFonts w:hint="eastAsia"/>
        </w:rPr>
        <w:t>款</w:t>
      </w:r>
      <w:r>
        <w:rPr>
          <w:rFonts w:hint="eastAsia"/>
        </w:rPr>
        <w:t>規定：</w:t>
      </w:r>
      <w:r w:rsidRPr="00E05D55">
        <w:rPr>
          <w:rFonts w:hint="eastAsia"/>
        </w:rPr>
        <w:t>「法院許可停止羈押時，得命被告應遵守下列事項：一、定期向法院或檢察官報到。」</w:t>
      </w:r>
      <w:r w:rsidR="00F107C0">
        <w:rPr>
          <w:rFonts w:hint="eastAsia"/>
        </w:rPr>
        <w:t>當</w:t>
      </w:r>
      <w:r w:rsidR="00522F72">
        <w:rPr>
          <w:rFonts w:hint="eastAsia"/>
        </w:rPr>
        <w:t>法院許可停止羈押或已經執行羈押後聲請停止羈押(刑事訴訟法第117條之1</w:t>
      </w:r>
      <w:proofErr w:type="gramStart"/>
      <w:r w:rsidR="00522F72">
        <w:rPr>
          <w:rFonts w:hint="eastAsia"/>
        </w:rPr>
        <w:t>準</w:t>
      </w:r>
      <w:proofErr w:type="gramEnd"/>
      <w:r w:rsidR="00522F72">
        <w:rPr>
          <w:rFonts w:hint="eastAsia"/>
        </w:rPr>
        <w:t>用第116條之2)</w:t>
      </w:r>
      <w:r w:rsidR="0087530E">
        <w:rPr>
          <w:rFonts w:hint="eastAsia"/>
        </w:rPr>
        <w:t>，</w:t>
      </w:r>
      <w:r w:rsidR="0071006F">
        <w:rPr>
          <w:rFonts w:hint="eastAsia"/>
        </w:rPr>
        <w:t>除</w:t>
      </w:r>
      <w:r w:rsidR="00522F72">
        <w:rPr>
          <w:rFonts w:hint="eastAsia"/>
        </w:rPr>
        <w:t>羈押替代處分(具保、責付及限制住居)</w:t>
      </w:r>
      <w:r w:rsidR="0071006F">
        <w:rPr>
          <w:rFonts w:hint="eastAsia"/>
        </w:rPr>
        <w:t>外，得依該條規定命被告所為</w:t>
      </w:r>
      <w:r w:rsidR="00522F72">
        <w:rPr>
          <w:rFonts w:hint="eastAsia"/>
        </w:rPr>
        <w:t>之依附處分</w:t>
      </w:r>
      <w:r w:rsidR="004F663A">
        <w:rPr>
          <w:rFonts w:hint="eastAsia"/>
        </w:rPr>
        <w:t>，該條亦明文規範刑事被告之報到對象乃</w:t>
      </w:r>
      <w:r w:rsidR="00C510A7">
        <w:rPr>
          <w:rFonts w:hint="eastAsia"/>
        </w:rPr>
        <w:t>為法院與檢察官</w:t>
      </w:r>
      <w:r w:rsidR="0071006F">
        <w:rPr>
          <w:rFonts w:hint="eastAsia"/>
        </w:rPr>
        <w:t>，</w:t>
      </w:r>
      <w:proofErr w:type="gramStart"/>
      <w:r w:rsidR="0071006F">
        <w:rPr>
          <w:rFonts w:hint="eastAsia"/>
        </w:rPr>
        <w:t>合先敘</w:t>
      </w:r>
      <w:proofErr w:type="gramEnd"/>
      <w:r w:rsidR="0071006F">
        <w:rPr>
          <w:rFonts w:hint="eastAsia"/>
        </w:rPr>
        <w:t>明</w:t>
      </w:r>
      <w:r w:rsidR="00522F72">
        <w:rPr>
          <w:rFonts w:hint="eastAsia"/>
        </w:rPr>
        <w:t>。</w:t>
      </w:r>
    </w:p>
    <w:p w:rsidR="00E46A0F" w:rsidRDefault="00C510A7" w:rsidP="0071006F">
      <w:pPr>
        <w:pStyle w:val="3"/>
      </w:pPr>
      <w:r>
        <w:rPr>
          <w:rFonts w:hint="eastAsia"/>
        </w:rPr>
        <w:t>查</w:t>
      </w:r>
      <w:r w:rsidR="00E46A0F" w:rsidRPr="00422137">
        <w:rPr>
          <w:rFonts w:hint="eastAsia"/>
        </w:rPr>
        <w:t>陳慶男為慶富集團總裁，負責該集團及集團旗下</w:t>
      </w:r>
      <w:r w:rsidR="000C513E">
        <w:rPr>
          <w:rFonts w:hint="eastAsia"/>
        </w:rPr>
        <w:lastRenderedPageBreak/>
        <w:t>關係企業整體營運決策；</w:t>
      </w:r>
      <w:r w:rsidR="00E46A0F" w:rsidRPr="00422137">
        <w:rPr>
          <w:rFonts w:hint="eastAsia"/>
        </w:rPr>
        <w:t>陳偉志為慶富造船股份有限公司副董事長，也是獵雷艦專案計畫主持人，2人於106年8月9日到案後，先後坦承</w:t>
      </w:r>
      <w:proofErr w:type="gramStart"/>
      <w:r w:rsidR="00E46A0F" w:rsidRPr="00422137">
        <w:rPr>
          <w:rFonts w:hint="eastAsia"/>
        </w:rPr>
        <w:t>詐貸犯行</w:t>
      </w:r>
      <w:proofErr w:type="gramEnd"/>
      <w:r w:rsidR="00391FE0">
        <w:rPr>
          <w:rFonts w:hint="eastAsia"/>
        </w:rPr>
        <w:t>。高雄地檢署</w:t>
      </w:r>
      <w:r w:rsidR="00E46A0F" w:rsidRPr="00422137">
        <w:rPr>
          <w:rFonts w:hint="eastAsia"/>
        </w:rPr>
        <w:t>有</w:t>
      </w:r>
      <w:proofErr w:type="gramStart"/>
      <w:r w:rsidR="00E46A0F" w:rsidRPr="00422137">
        <w:rPr>
          <w:rFonts w:hint="eastAsia"/>
        </w:rPr>
        <w:t>鑑</w:t>
      </w:r>
      <w:proofErr w:type="gramEnd"/>
      <w:r w:rsidR="00E46A0F" w:rsidRPr="00422137">
        <w:rPr>
          <w:rFonts w:hint="eastAsia"/>
        </w:rPr>
        <w:t>於當時第一艘獵雷艦仍在義大利建造中，有待2人持續履行獵雷艦合約並與銀行團協商，再考量2人當時之經濟狀況等事項，決定被告陳慶男、陳偉志分別以800萬元及500萬元交保候傳，並限制住居、出境、出海</w:t>
      </w:r>
      <w:r w:rsidR="000C513E">
        <w:rPr>
          <w:rFonts w:hint="eastAsia"/>
        </w:rPr>
        <w:t>，2</w:t>
      </w:r>
      <w:r w:rsidR="004F663A">
        <w:rPr>
          <w:rFonts w:hint="eastAsia"/>
        </w:rPr>
        <w:t>人皆</w:t>
      </w:r>
      <w:r w:rsidR="0071006F" w:rsidRPr="0071006F">
        <w:rPr>
          <w:rFonts w:hint="eastAsia"/>
        </w:rPr>
        <w:t>需每天按時到前鎮分局復興路派出所報到</w:t>
      </w:r>
      <w:r w:rsidR="00E46A0F" w:rsidRPr="00422137">
        <w:rPr>
          <w:rFonts w:hint="eastAsia"/>
        </w:rPr>
        <w:t>。</w:t>
      </w:r>
    </w:p>
    <w:p w:rsidR="00E46A0F" w:rsidRPr="008D6F05" w:rsidRDefault="00E46A0F" w:rsidP="00E46A0F">
      <w:pPr>
        <w:pStyle w:val="3"/>
        <w:rPr>
          <w:color w:val="000000" w:themeColor="text1"/>
        </w:rPr>
      </w:pPr>
      <w:r w:rsidRPr="008D6F05">
        <w:rPr>
          <w:rFonts w:hint="eastAsia"/>
          <w:color w:val="000000" w:themeColor="text1"/>
        </w:rPr>
        <w:t>107年2月</w:t>
      </w:r>
      <w:r w:rsidR="0071006F">
        <w:rPr>
          <w:rFonts w:hint="eastAsia"/>
          <w:color w:val="000000" w:themeColor="text1"/>
        </w:rPr>
        <w:t>檢方</w:t>
      </w:r>
      <w:r w:rsidRPr="008D6F05">
        <w:rPr>
          <w:rFonts w:hint="eastAsia"/>
          <w:color w:val="000000" w:themeColor="text1"/>
        </w:rPr>
        <w:t>依詐欺、背信等罪將陳偉志等5人起訴，</w:t>
      </w:r>
      <w:r w:rsidR="0071006F">
        <w:rPr>
          <w:rFonts w:hint="eastAsia"/>
          <w:color w:val="000000" w:themeColor="text1"/>
        </w:rPr>
        <w:t>並須</w:t>
      </w:r>
      <w:r w:rsidRPr="008D6F05">
        <w:rPr>
          <w:rFonts w:hint="eastAsia"/>
          <w:color w:val="000000" w:themeColor="text1"/>
        </w:rPr>
        <w:t>向派出所報到</w:t>
      </w:r>
      <w:r w:rsidR="00391FE0">
        <w:rPr>
          <w:rFonts w:hint="eastAsia"/>
          <w:color w:val="000000" w:themeColor="text1"/>
        </w:rPr>
        <w:t>。</w:t>
      </w:r>
      <w:proofErr w:type="gramStart"/>
      <w:r w:rsidRPr="008D6F05">
        <w:rPr>
          <w:rFonts w:hint="eastAsia"/>
          <w:color w:val="000000" w:themeColor="text1"/>
        </w:rPr>
        <w:t>惟</w:t>
      </w:r>
      <w:proofErr w:type="gramEnd"/>
      <w:r w:rsidRPr="008D6F05">
        <w:rPr>
          <w:rFonts w:hint="eastAsia"/>
          <w:color w:val="000000" w:themeColor="text1"/>
        </w:rPr>
        <w:t>陳</w:t>
      </w:r>
      <w:r w:rsidR="008624C8">
        <w:rPr>
          <w:rFonts w:hint="eastAsia"/>
          <w:color w:val="000000" w:themeColor="text1"/>
        </w:rPr>
        <w:t>偉志</w:t>
      </w:r>
      <w:r w:rsidRPr="008D6F05">
        <w:rPr>
          <w:rFonts w:hint="eastAsia"/>
          <w:color w:val="000000" w:themeColor="text1"/>
        </w:rPr>
        <w:t>於107年5月5日後皆未至派出所報到，並於5月6日至5月23</w:t>
      </w:r>
      <w:r w:rsidR="000C513E">
        <w:rPr>
          <w:rFonts w:hint="eastAsia"/>
          <w:color w:val="000000" w:themeColor="text1"/>
        </w:rPr>
        <w:t>日發現亦無</w:t>
      </w:r>
      <w:r w:rsidR="00EA4A36">
        <w:rPr>
          <w:rFonts w:hint="eastAsia"/>
          <w:color w:val="000000" w:themeColor="text1"/>
        </w:rPr>
        <w:t>其</w:t>
      </w:r>
      <w:r w:rsidR="000C513E">
        <w:rPr>
          <w:rFonts w:hint="eastAsia"/>
          <w:color w:val="000000" w:themeColor="text1"/>
        </w:rPr>
        <w:t>至</w:t>
      </w:r>
      <w:r w:rsidRPr="008D6F05">
        <w:rPr>
          <w:rFonts w:hint="eastAsia"/>
          <w:color w:val="000000" w:themeColor="text1"/>
        </w:rPr>
        <w:t>派出所報到</w:t>
      </w:r>
      <w:r w:rsidR="000C513E">
        <w:rPr>
          <w:rFonts w:hint="eastAsia"/>
          <w:color w:val="000000" w:themeColor="text1"/>
        </w:rPr>
        <w:t>之紀錄</w:t>
      </w:r>
      <w:r w:rsidRPr="008D6F05">
        <w:rPr>
          <w:rFonts w:hint="eastAsia"/>
          <w:color w:val="000000" w:themeColor="text1"/>
        </w:rPr>
        <w:t>，共達17日</w:t>
      </w:r>
      <w:r w:rsidR="00391FE0">
        <w:rPr>
          <w:rFonts w:hint="eastAsia"/>
          <w:color w:val="000000" w:themeColor="text1"/>
        </w:rPr>
        <w:t>。</w:t>
      </w:r>
      <w:r w:rsidRPr="008D6F05">
        <w:rPr>
          <w:rFonts w:hint="eastAsia"/>
          <w:color w:val="000000" w:themeColor="text1"/>
        </w:rPr>
        <w:t>本案大事記</w:t>
      </w:r>
      <w:r w:rsidRPr="00226B3B">
        <w:rPr>
          <w:rFonts w:hint="eastAsia"/>
          <w:color w:val="000000" w:themeColor="text1"/>
        </w:rPr>
        <w:t>如下</w:t>
      </w:r>
      <w:r w:rsidRPr="00B36954">
        <w:rPr>
          <w:rFonts w:hint="eastAsia"/>
          <w:color w:val="000000" w:themeColor="text1"/>
        </w:rPr>
        <w:t>表1</w:t>
      </w:r>
      <w:r w:rsidRPr="008D6F05">
        <w:rPr>
          <w:rFonts w:hint="eastAsia"/>
          <w:color w:val="000000" w:themeColor="text1"/>
        </w:rPr>
        <w:t>所示：</w:t>
      </w:r>
    </w:p>
    <w:p w:rsidR="00E46A0F" w:rsidRPr="00306E1D" w:rsidRDefault="00E46A0F" w:rsidP="00E46A0F">
      <w:pPr>
        <w:pStyle w:val="5"/>
        <w:numPr>
          <w:ilvl w:val="0"/>
          <w:numId w:val="0"/>
        </w:numPr>
        <w:spacing w:before="120" w:line="0" w:lineRule="atLeast"/>
        <w:ind w:leftChars="399" w:left="1954" w:hanging="597"/>
        <w:rPr>
          <w:rFonts w:hAnsi="標楷體"/>
          <w:sz w:val="28"/>
        </w:rPr>
      </w:pPr>
      <w:r w:rsidRPr="00306E1D">
        <w:rPr>
          <w:rFonts w:hAnsi="標楷體" w:hint="eastAsia"/>
          <w:sz w:val="28"/>
        </w:rPr>
        <w:t>表1 陳偉志逃逸大事記</w:t>
      </w:r>
    </w:p>
    <w:tbl>
      <w:tblPr>
        <w:tblStyle w:val="af7"/>
        <w:tblW w:w="0" w:type="auto"/>
        <w:tblInd w:w="1452" w:type="dxa"/>
        <w:tblLook w:val="04A0" w:firstRow="1" w:lastRow="0" w:firstColumn="1" w:lastColumn="0" w:noHBand="0" w:noVBand="1"/>
      </w:tblPr>
      <w:tblGrid>
        <w:gridCol w:w="2767"/>
        <w:gridCol w:w="4426"/>
      </w:tblGrid>
      <w:tr w:rsidR="00E46A0F" w:rsidRPr="00306E1D" w:rsidTr="00AE3F87">
        <w:trPr>
          <w:tblHeader/>
        </w:trPr>
        <w:tc>
          <w:tcPr>
            <w:tcW w:w="2767" w:type="dxa"/>
            <w:shd w:val="clear" w:color="auto" w:fill="EEECE1" w:themeFill="background2"/>
          </w:tcPr>
          <w:p w:rsidR="00E46A0F" w:rsidRPr="00306E1D" w:rsidRDefault="00E46A0F" w:rsidP="00AE3F87">
            <w:pPr>
              <w:spacing w:line="0" w:lineRule="atLeast"/>
              <w:jc w:val="center"/>
              <w:rPr>
                <w:rFonts w:hAnsi="標楷體"/>
                <w:b/>
              </w:rPr>
            </w:pPr>
            <w:r w:rsidRPr="00306E1D">
              <w:rPr>
                <w:rFonts w:hAnsi="標楷體" w:hint="eastAsia"/>
                <w:b/>
              </w:rPr>
              <w:t>時間(年.月.日)</w:t>
            </w:r>
          </w:p>
        </w:tc>
        <w:tc>
          <w:tcPr>
            <w:tcW w:w="4426" w:type="dxa"/>
            <w:shd w:val="clear" w:color="auto" w:fill="EEECE1" w:themeFill="background2"/>
          </w:tcPr>
          <w:p w:rsidR="00E46A0F" w:rsidRPr="00306E1D" w:rsidRDefault="00E46A0F" w:rsidP="00AE3F87">
            <w:pPr>
              <w:spacing w:line="0" w:lineRule="atLeast"/>
              <w:jc w:val="center"/>
              <w:rPr>
                <w:rFonts w:hAnsi="標楷體"/>
                <w:b/>
              </w:rPr>
            </w:pPr>
            <w:r w:rsidRPr="00306E1D">
              <w:rPr>
                <w:rFonts w:hAnsi="標楷體" w:hint="eastAsia"/>
                <w:b/>
              </w:rPr>
              <w:t>大事記</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106.8.9</w:t>
            </w:r>
          </w:p>
        </w:tc>
        <w:tc>
          <w:tcPr>
            <w:tcW w:w="4426" w:type="dxa"/>
          </w:tcPr>
          <w:p w:rsidR="00E46A0F" w:rsidRPr="00306E1D" w:rsidRDefault="00E46A0F" w:rsidP="000C513E">
            <w:pPr>
              <w:spacing w:line="0" w:lineRule="atLeast"/>
              <w:rPr>
                <w:rFonts w:hAnsi="標楷體"/>
              </w:rPr>
            </w:pPr>
            <w:proofErr w:type="gramStart"/>
            <w:r w:rsidRPr="00306E1D">
              <w:rPr>
                <w:rFonts w:hAnsi="標楷體" w:hint="eastAsia"/>
              </w:rPr>
              <w:t>慶富案詐貸</w:t>
            </w:r>
            <w:proofErr w:type="gramEnd"/>
            <w:r w:rsidRPr="00306E1D">
              <w:rPr>
                <w:rFonts w:hAnsi="標楷體" w:hint="eastAsia"/>
              </w:rPr>
              <w:t>事件爆發，檢調先後搜索約談慶富集團陳慶男家族及前執行長簡良</w:t>
            </w:r>
            <w:proofErr w:type="gramStart"/>
            <w:r w:rsidRPr="00306E1D">
              <w:rPr>
                <w:rFonts w:hAnsi="標楷體" w:hint="eastAsia"/>
              </w:rPr>
              <w:t>鑑</w:t>
            </w:r>
            <w:proofErr w:type="gramEnd"/>
            <w:r w:rsidRPr="00306E1D">
              <w:rPr>
                <w:rFonts w:hAnsi="標楷體" w:hint="eastAsia"/>
              </w:rPr>
              <w:t>等人。陳慶男父子最後各以800萬、500萬元交保，並限制出境及住居，</w:t>
            </w:r>
            <w:r w:rsidR="0071006F">
              <w:rPr>
                <w:rFonts w:hAnsi="標楷體" w:hint="eastAsia"/>
              </w:rPr>
              <w:t>2人都需每天按時到復興路派出所報到</w:t>
            </w:r>
            <w:r w:rsidRPr="00306E1D">
              <w:rPr>
                <w:rFonts w:hAnsi="標楷體" w:hint="eastAsia"/>
              </w:rPr>
              <w:t>。</w:t>
            </w:r>
          </w:p>
        </w:tc>
      </w:tr>
      <w:tr w:rsidR="00E46A0F" w:rsidRPr="00306E1D" w:rsidTr="00AE3F87">
        <w:tc>
          <w:tcPr>
            <w:tcW w:w="2767" w:type="dxa"/>
          </w:tcPr>
          <w:p w:rsidR="00E46A0F" w:rsidRPr="00306E1D" w:rsidRDefault="00E46A0F" w:rsidP="00AE3F87">
            <w:pPr>
              <w:spacing w:line="0" w:lineRule="atLeast"/>
              <w:jc w:val="center"/>
              <w:rPr>
                <w:rFonts w:hAnsi="標楷體"/>
              </w:rPr>
            </w:pPr>
            <w:r>
              <w:rPr>
                <w:rFonts w:hAnsi="標楷體" w:hint="eastAsia"/>
              </w:rPr>
              <w:t>106.10.26</w:t>
            </w:r>
          </w:p>
        </w:tc>
        <w:tc>
          <w:tcPr>
            <w:tcW w:w="4426" w:type="dxa"/>
          </w:tcPr>
          <w:p w:rsidR="00E46A0F" w:rsidRPr="00306E1D" w:rsidRDefault="00E46A0F" w:rsidP="00EA4A36">
            <w:pPr>
              <w:spacing w:line="0" w:lineRule="atLeast"/>
              <w:ind w:leftChars="1" w:left="3"/>
              <w:rPr>
                <w:rFonts w:hAnsi="標楷體"/>
              </w:rPr>
            </w:pPr>
            <w:r>
              <w:rPr>
                <w:rFonts w:hAnsi="標楷體" w:hint="eastAsia"/>
              </w:rPr>
              <w:t>高雄市政府警察局前鎮分局(下稱前鎮分局)接獲高雄地檢署106年10月26日</w:t>
            </w:r>
            <w:proofErr w:type="gramStart"/>
            <w:r>
              <w:rPr>
                <w:rFonts w:hAnsi="標楷體" w:hint="eastAsia"/>
              </w:rPr>
              <w:t>雄檢欽麗106偵</w:t>
            </w:r>
            <w:proofErr w:type="gramEnd"/>
            <w:r>
              <w:rPr>
                <w:rFonts w:hAnsi="標楷體" w:hint="eastAsia"/>
              </w:rPr>
              <w:t>15271字第68949號函，請該分局協助辦理報到，被告陳慶男、陳偉志、陳盧朝霞自106年10月27日起至</w:t>
            </w:r>
            <w:proofErr w:type="gramStart"/>
            <w:r>
              <w:rPr>
                <w:rFonts w:hAnsi="標楷體" w:hint="eastAsia"/>
              </w:rPr>
              <w:t>偵</w:t>
            </w:r>
            <w:proofErr w:type="gramEnd"/>
            <w:r>
              <w:rPr>
                <w:rFonts w:hAnsi="標楷體" w:hint="eastAsia"/>
              </w:rPr>
              <w:t>結為止，每日應前往復興路</w:t>
            </w:r>
            <w:r>
              <w:rPr>
                <w:rFonts w:hAnsi="標楷體" w:hint="eastAsia"/>
              </w:rPr>
              <w:lastRenderedPageBreak/>
              <w:t>派出所報到</w:t>
            </w:r>
            <w:r w:rsidR="00EA4A36">
              <w:rPr>
                <w:rFonts w:hAnsi="標楷體" w:hint="eastAsia"/>
              </w:rPr>
              <w:t>1</w:t>
            </w:r>
            <w:r>
              <w:rPr>
                <w:rFonts w:hAnsi="標楷體" w:hint="eastAsia"/>
              </w:rPr>
              <w:t>次。</w:t>
            </w:r>
          </w:p>
        </w:tc>
      </w:tr>
      <w:tr w:rsidR="00E46A0F" w:rsidRPr="00306E1D" w:rsidTr="00AE3F87">
        <w:tc>
          <w:tcPr>
            <w:tcW w:w="2767" w:type="dxa"/>
          </w:tcPr>
          <w:p w:rsidR="00E46A0F" w:rsidRDefault="00E46A0F" w:rsidP="00AE3F87">
            <w:pPr>
              <w:spacing w:line="0" w:lineRule="atLeast"/>
              <w:jc w:val="center"/>
              <w:rPr>
                <w:rFonts w:hAnsi="標楷體"/>
              </w:rPr>
            </w:pPr>
            <w:r>
              <w:rPr>
                <w:rFonts w:hAnsi="標楷體" w:hint="eastAsia"/>
              </w:rPr>
              <w:lastRenderedPageBreak/>
              <w:t>106.11.4</w:t>
            </w:r>
          </w:p>
        </w:tc>
        <w:tc>
          <w:tcPr>
            <w:tcW w:w="4426" w:type="dxa"/>
          </w:tcPr>
          <w:p w:rsidR="00E46A0F" w:rsidRDefault="00E46A0F" w:rsidP="00AE3F87">
            <w:pPr>
              <w:spacing w:line="0" w:lineRule="atLeast"/>
              <w:ind w:leftChars="1" w:left="3"/>
              <w:rPr>
                <w:rFonts w:hAnsi="標楷體"/>
              </w:rPr>
            </w:pPr>
            <w:r w:rsidRPr="005935FB">
              <w:rPr>
                <w:rFonts w:hAnsi="標楷體" w:hint="eastAsia"/>
              </w:rPr>
              <w:tab/>
              <w:t>前鎮分局收文後即通知復興路派出所，設置簽到本，記錄陳偉志等3人報到情形，並於106年11月4日以高市</w:t>
            </w:r>
            <w:proofErr w:type="gramStart"/>
            <w:r w:rsidRPr="005935FB">
              <w:rPr>
                <w:rFonts w:hAnsi="標楷體" w:hint="eastAsia"/>
              </w:rPr>
              <w:t>警前分偵</w:t>
            </w:r>
            <w:proofErr w:type="gramEnd"/>
            <w:r w:rsidRPr="005935FB">
              <w:rPr>
                <w:rFonts w:hAnsi="標楷體" w:hint="eastAsia"/>
              </w:rPr>
              <w:t>字第10674710000號</w:t>
            </w:r>
            <w:proofErr w:type="gramStart"/>
            <w:r w:rsidRPr="005935FB">
              <w:rPr>
                <w:rFonts w:hAnsi="標楷體" w:hint="eastAsia"/>
              </w:rPr>
              <w:t>交辦單</w:t>
            </w:r>
            <w:proofErr w:type="gramEnd"/>
            <w:r w:rsidRPr="005935FB">
              <w:rPr>
                <w:rFonts w:hAnsi="標楷體" w:hint="eastAsia"/>
              </w:rPr>
              <w:t>，責由該所註記報到情形，如有無故未報到之情形應立即通報。</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107.2</w:t>
            </w:r>
            <w:r>
              <w:rPr>
                <w:rFonts w:hAnsi="標楷體" w:hint="eastAsia"/>
              </w:rPr>
              <w:t>.21</w:t>
            </w:r>
          </w:p>
        </w:tc>
        <w:tc>
          <w:tcPr>
            <w:tcW w:w="4426" w:type="dxa"/>
          </w:tcPr>
          <w:p w:rsidR="00E46A0F" w:rsidRPr="00306E1D" w:rsidRDefault="006A6E99" w:rsidP="006A6E99">
            <w:pPr>
              <w:spacing w:line="0" w:lineRule="atLeast"/>
              <w:rPr>
                <w:rFonts w:hAnsi="標楷體"/>
              </w:rPr>
            </w:pPr>
            <w:r>
              <w:rPr>
                <w:rFonts w:hAnsi="標楷體" w:hint="eastAsia"/>
              </w:rPr>
              <w:t>高雄地檢</w:t>
            </w:r>
            <w:r w:rsidR="00E46A0F">
              <w:rPr>
                <w:rFonts w:hAnsi="標楷體" w:hint="eastAsia"/>
              </w:rPr>
              <w:t>署</w:t>
            </w:r>
            <w:r w:rsidR="00E46A0F" w:rsidRPr="00306E1D">
              <w:rPr>
                <w:rFonts w:hAnsi="標楷體" w:hint="eastAsia"/>
              </w:rPr>
              <w:t>依詐欺、背信等罪將</w:t>
            </w:r>
            <w:r w:rsidR="00E46A0F">
              <w:rPr>
                <w:rFonts w:hAnsi="標楷體" w:hint="eastAsia"/>
              </w:rPr>
              <w:t>陳偉志等</w:t>
            </w:r>
            <w:r w:rsidR="00E46A0F" w:rsidRPr="00306E1D">
              <w:rPr>
                <w:rFonts w:hAnsi="標楷體" w:hint="eastAsia"/>
              </w:rPr>
              <w:t>5人起訴，並對陳慶男求刑30年，</w:t>
            </w:r>
            <w:proofErr w:type="gramStart"/>
            <w:r w:rsidR="00E46A0F" w:rsidRPr="00306E1D">
              <w:rPr>
                <w:rFonts w:hAnsi="標楷體" w:hint="eastAsia"/>
              </w:rPr>
              <w:t>併</w:t>
            </w:r>
            <w:proofErr w:type="gramEnd"/>
            <w:r w:rsidR="00E46A0F" w:rsidRPr="00306E1D">
              <w:rPr>
                <w:rFonts w:hAnsi="標楷體" w:hint="eastAsia"/>
              </w:rPr>
              <w:t>科10億</w:t>
            </w:r>
            <w:r w:rsidR="00610E06">
              <w:rPr>
                <w:rFonts w:hAnsi="標楷體" w:hint="eastAsia"/>
              </w:rPr>
              <w:t>元</w:t>
            </w:r>
            <w:r w:rsidR="00E46A0F" w:rsidRPr="00306E1D">
              <w:rPr>
                <w:rFonts w:hAnsi="標楷體" w:hint="eastAsia"/>
              </w:rPr>
              <w:t>罰金、陳偉志求刑25年，</w:t>
            </w:r>
            <w:proofErr w:type="gramStart"/>
            <w:r w:rsidR="00E46A0F" w:rsidRPr="00306E1D">
              <w:rPr>
                <w:rFonts w:hAnsi="標楷體" w:hint="eastAsia"/>
              </w:rPr>
              <w:t>併</w:t>
            </w:r>
            <w:proofErr w:type="gramEnd"/>
            <w:r w:rsidR="00E46A0F" w:rsidRPr="00306E1D">
              <w:rPr>
                <w:rFonts w:hAnsi="標楷體" w:hint="eastAsia"/>
              </w:rPr>
              <w:t>科罰金6億</w:t>
            </w:r>
            <w:r w:rsidR="00610E06">
              <w:rPr>
                <w:rFonts w:hAnsi="標楷體" w:hint="eastAsia"/>
              </w:rPr>
              <w:t>元</w:t>
            </w:r>
            <w:r w:rsidR="00E46A0F" w:rsidRPr="00306E1D">
              <w:rPr>
                <w:rFonts w:hAnsi="標楷體" w:hint="eastAsia"/>
              </w:rPr>
              <w:t>。</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107.3.26</w:t>
            </w:r>
          </w:p>
        </w:tc>
        <w:tc>
          <w:tcPr>
            <w:tcW w:w="4426" w:type="dxa"/>
          </w:tcPr>
          <w:p w:rsidR="00E46A0F" w:rsidRPr="00306E1D" w:rsidRDefault="00E46A0F" w:rsidP="0071006F">
            <w:pPr>
              <w:spacing w:line="0" w:lineRule="atLeast"/>
              <w:rPr>
                <w:rFonts w:hAnsi="標楷體"/>
              </w:rPr>
            </w:pPr>
            <w:r w:rsidRPr="00306E1D">
              <w:rPr>
                <w:rFonts w:hAnsi="標楷體" w:hint="eastAsia"/>
              </w:rPr>
              <w:t>陳偉志向法官陳報更改住居地後，由復興</w:t>
            </w:r>
            <w:r w:rsidR="0071006F">
              <w:rPr>
                <w:rFonts w:hAnsi="標楷體" w:hint="eastAsia"/>
              </w:rPr>
              <w:t>路</w:t>
            </w:r>
            <w:r w:rsidRPr="00306E1D">
              <w:rPr>
                <w:rFonts w:hAnsi="標楷體" w:hint="eastAsia"/>
              </w:rPr>
              <w:t>派出所</w:t>
            </w:r>
            <w:r>
              <w:rPr>
                <w:rFonts w:hAnsi="標楷體" w:hint="eastAsia"/>
              </w:rPr>
              <w:t>於該日15時29分傳真新莊派出所轉達陳偉志於該日起變更報到地點至新莊派出所</w:t>
            </w:r>
            <w:r w:rsidRPr="00306E1D">
              <w:rPr>
                <w:rFonts w:hAnsi="標楷體" w:hint="eastAsia"/>
              </w:rPr>
              <w:t>。</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107.3.27</w:t>
            </w:r>
          </w:p>
        </w:tc>
        <w:tc>
          <w:tcPr>
            <w:tcW w:w="4426" w:type="dxa"/>
          </w:tcPr>
          <w:p w:rsidR="00E46A0F" w:rsidRPr="00306E1D" w:rsidRDefault="00E46A0F" w:rsidP="00610E06">
            <w:pPr>
              <w:spacing w:line="0" w:lineRule="atLeast"/>
              <w:rPr>
                <w:rFonts w:hAnsi="標楷體"/>
              </w:rPr>
            </w:pPr>
            <w:r w:rsidRPr="0071006F">
              <w:rPr>
                <w:rFonts w:hAnsi="標楷體" w:hint="eastAsia"/>
                <w:color w:val="000000" w:themeColor="text1"/>
              </w:rPr>
              <w:t>高雄地院</w:t>
            </w:r>
            <w:proofErr w:type="gramStart"/>
            <w:r w:rsidRPr="0071006F">
              <w:rPr>
                <w:rFonts w:hAnsi="標楷體" w:hint="eastAsia"/>
                <w:color w:val="000000" w:themeColor="text1"/>
              </w:rPr>
              <w:t>以雄院</w:t>
            </w:r>
            <w:proofErr w:type="gramEnd"/>
            <w:r w:rsidRPr="0071006F">
              <w:rPr>
                <w:rFonts w:hAnsi="標楷體" w:hint="eastAsia"/>
                <w:color w:val="000000" w:themeColor="text1"/>
              </w:rPr>
              <w:t>和刑高107</w:t>
            </w:r>
            <w:proofErr w:type="gramStart"/>
            <w:r w:rsidRPr="0071006F">
              <w:rPr>
                <w:rFonts w:hAnsi="標楷體" w:hint="eastAsia"/>
                <w:color w:val="000000" w:themeColor="text1"/>
              </w:rPr>
              <w:t>金重訴</w:t>
            </w:r>
            <w:proofErr w:type="gramEnd"/>
            <w:r w:rsidRPr="0071006F">
              <w:rPr>
                <w:rFonts w:hAnsi="標楷體" w:hint="eastAsia"/>
                <w:color w:val="000000" w:themeColor="text1"/>
              </w:rPr>
              <w:t>1字</w:t>
            </w:r>
            <w:proofErr w:type="gramStart"/>
            <w:r w:rsidRPr="0071006F">
              <w:rPr>
                <w:rFonts w:hAnsi="標楷體" w:hint="eastAsia"/>
                <w:color w:val="000000" w:themeColor="text1"/>
              </w:rPr>
              <w:t>第1071006300</w:t>
            </w:r>
            <w:r w:rsidR="006A6E99">
              <w:rPr>
                <w:rFonts w:hAnsi="標楷體" w:hint="eastAsia"/>
                <w:color w:val="000000" w:themeColor="text1"/>
              </w:rPr>
              <w:t>號函發函</w:t>
            </w:r>
            <w:proofErr w:type="gramEnd"/>
            <w:r w:rsidR="006A6E99">
              <w:rPr>
                <w:rFonts w:hAnsi="標楷體" w:hint="eastAsia"/>
                <w:color w:val="000000" w:themeColor="text1"/>
              </w:rPr>
              <w:t>至左營分局、前鎮分局及陳偉志</w:t>
            </w:r>
            <w:r w:rsidR="00610E06">
              <w:rPr>
                <w:rFonts w:hAnsi="標楷體" w:hint="eastAsia"/>
                <w:color w:val="000000" w:themeColor="text1"/>
              </w:rPr>
              <w:t>已</w:t>
            </w:r>
            <w:r w:rsidRPr="0071006F">
              <w:rPr>
                <w:rFonts w:hAnsi="標楷體" w:hint="eastAsia"/>
                <w:color w:val="000000" w:themeColor="text1"/>
              </w:rPr>
              <w:t>變更報到之管轄派出所，陳偉志最後</w:t>
            </w:r>
            <w:r w:rsidR="00815D89">
              <w:rPr>
                <w:rFonts w:hAnsi="標楷體" w:hint="eastAsia"/>
                <w:color w:val="000000" w:themeColor="text1"/>
              </w:rPr>
              <w:t>1</w:t>
            </w:r>
            <w:r w:rsidRPr="0071006F">
              <w:rPr>
                <w:rFonts w:hAnsi="標楷體" w:hint="eastAsia"/>
                <w:color w:val="000000" w:themeColor="text1"/>
              </w:rPr>
              <w:t>次在復興</w:t>
            </w:r>
            <w:r w:rsidR="00BD09D9">
              <w:rPr>
                <w:rFonts w:hAnsi="標楷體" w:hint="eastAsia"/>
                <w:color w:val="000000" w:themeColor="text1"/>
              </w:rPr>
              <w:t>路</w:t>
            </w:r>
            <w:r w:rsidRPr="0071006F">
              <w:rPr>
                <w:rFonts w:hAnsi="標楷體" w:hint="eastAsia"/>
                <w:color w:val="000000" w:themeColor="text1"/>
              </w:rPr>
              <w:t>派出所報到。</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107.3.28</w:t>
            </w:r>
          </w:p>
        </w:tc>
        <w:tc>
          <w:tcPr>
            <w:tcW w:w="4426" w:type="dxa"/>
          </w:tcPr>
          <w:p w:rsidR="00E46A0F" w:rsidRPr="00306E1D" w:rsidRDefault="00E46A0F" w:rsidP="00AE3F87">
            <w:pPr>
              <w:spacing w:line="0" w:lineRule="atLeast"/>
              <w:rPr>
                <w:rFonts w:hAnsi="標楷體"/>
              </w:rPr>
            </w:pPr>
            <w:r w:rsidRPr="00306E1D">
              <w:rPr>
                <w:rFonts w:hAnsi="標楷體" w:hint="eastAsia"/>
              </w:rPr>
              <w:t>陳偉志開始在新莊派出所報到。</w:t>
            </w:r>
          </w:p>
        </w:tc>
      </w:tr>
      <w:tr w:rsidR="00E46A0F" w:rsidRPr="00306E1D" w:rsidTr="00AE3F87">
        <w:tc>
          <w:tcPr>
            <w:tcW w:w="2767" w:type="dxa"/>
          </w:tcPr>
          <w:p w:rsidR="00E46A0F" w:rsidRPr="00051198" w:rsidRDefault="00E46A0F" w:rsidP="00AE3F87">
            <w:pPr>
              <w:spacing w:line="0" w:lineRule="atLeast"/>
              <w:jc w:val="center"/>
              <w:rPr>
                <w:rFonts w:hAnsi="標楷體"/>
              </w:rPr>
            </w:pPr>
            <w:r>
              <w:rPr>
                <w:rFonts w:hAnsi="標楷體" w:hint="eastAsia"/>
              </w:rPr>
              <w:t>107.4.10</w:t>
            </w:r>
          </w:p>
        </w:tc>
        <w:tc>
          <w:tcPr>
            <w:tcW w:w="4426" w:type="dxa"/>
          </w:tcPr>
          <w:p w:rsidR="00E46A0F" w:rsidRPr="00306E1D" w:rsidRDefault="0071006F" w:rsidP="00610E06">
            <w:pPr>
              <w:spacing w:line="0" w:lineRule="atLeast"/>
              <w:rPr>
                <w:rFonts w:hAnsi="標楷體"/>
              </w:rPr>
            </w:pPr>
            <w:r>
              <w:rPr>
                <w:rFonts w:hAnsi="標楷體" w:hint="eastAsia"/>
              </w:rPr>
              <w:t>高雄市政府警察局</w:t>
            </w:r>
            <w:r w:rsidR="00E46A0F" w:rsidRPr="005935FB">
              <w:rPr>
                <w:rFonts w:hAnsi="標楷體" w:hint="eastAsia"/>
              </w:rPr>
              <w:t>左營分局</w:t>
            </w:r>
            <w:r>
              <w:rPr>
                <w:rFonts w:hAnsi="標楷體" w:hint="eastAsia"/>
              </w:rPr>
              <w:t>(下稱左營分局)</w:t>
            </w:r>
            <w:r w:rsidR="00E46A0F" w:rsidRPr="005935FB">
              <w:rPr>
                <w:rFonts w:hAnsi="標楷體" w:hint="eastAsia"/>
              </w:rPr>
              <w:t>復於107年4月10日再接獲高雄</w:t>
            </w:r>
            <w:proofErr w:type="gramStart"/>
            <w:r w:rsidR="00E46A0F" w:rsidRPr="005935FB">
              <w:rPr>
                <w:rFonts w:hAnsi="標楷體" w:hint="eastAsia"/>
              </w:rPr>
              <w:t>地院雄院和</w:t>
            </w:r>
            <w:proofErr w:type="gramEnd"/>
            <w:r w:rsidR="00E46A0F" w:rsidRPr="005935FB">
              <w:rPr>
                <w:rFonts w:hAnsi="標楷體" w:hint="eastAsia"/>
              </w:rPr>
              <w:t>刑高107</w:t>
            </w:r>
            <w:proofErr w:type="gramStart"/>
            <w:r w:rsidR="00E46A0F" w:rsidRPr="005935FB">
              <w:rPr>
                <w:rFonts w:hAnsi="標楷體" w:hint="eastAsia"/>
              </w:rPr>
              <w:t>金重訴</w:t>
            </w:r>
            <w:proofErr w:type="gramEnd"/>
            <w:r w:rsidR="00E46A0F" w:rsidRPr="005935FB">
              <w:rPr>
                <w:rFonts w:hAnsi="標楷體" w:hint="eastAsia"/>
              </w:rPr>
              <w:t>1字第</w:t>
            </w:r>
            <w:r w:rsidR="00E46A0F" w:rsidRPr="005935FB">
              <w:rPr>
                <w:rFonts w:hAnsi="標楷體" w:hint="eastAsia"/>
              </w:rPr>
              <w:lastRenderedPageBreak/>
              <w:t>1079901976</w:t>
            </w:r>
            <w:r w:rsidR="00E46A0F">
              <w:rPr>
                <w:rFonts w:hAnsi="標楷體" w:hint="eastAsia"/>
              </w:rPr>
              <w:t>號函，更正陳偉志住居於左營區忠貞街3號9樓。</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lastRenderedPageBreak/>
              <w:t>107.5.5</w:t>
            </w:r>
          </w:p>
        </w:tc>
        <w:tc>
          <w:tcPr>
            <w:tcW w:w="4426" w:type="dxa"/>
          </w:tcPr>
          <w:p w:rsidR="00E46A0F" w:rsidRPr="00306E1D" w:rsidRDefault="00E46A0F" w:rsidP="00815D89">
            <w:pPr>
              <w:spacing w:line="0" w:lineRule="atLeast"/>
              <w:rPr>
                <w:rFonts w:hAnsi="標楷體"/>
              </w:rPr>
            </w:pPr>
            <w:r>
              <w:rPr>
                <w:rFonts w:hAnsi="標楷體" w:hint="eastAsia"/>
              </w:rPr>
              <w:t>陳偉志於該日</w:t>
            </w:r>
            <w:r w:rsidRPr="00187D88">
              <w:rPr>
                <w:rFonts w:hAnsi="標楷體" w:hint="eastAsia"/>
              </w:rPr>
              <w:t>0時25分</w:t>
            </w:r>
            <w:r>
              <w:rPr>
                <w:rFonts w:hAnsi="標楷體" w:hint="eastAsia"/>
              </w:rPr>
              <w:t>最後</w:t>
            </w:r>
            <w:r w:rsidR="00815D89">
              <w:rPr>
                <w:rFonts w:hAnsi="標楷體" w:hint="eastAsia"/>
              </w:rPr>
              <w:t>1</w:t>
            </w:r>
            <w:r>
              <w:rPr>
                <w:rFonts w:hAnsi="標楷體" w:hint="eastAsia"/>
              </w:rPr>
              <w:t>次到新莊派出所簽</w:t>
            </w:r>
            <w:r w:rsidRPr="00306E1D">
              <w:rPr>
                <w:rFonts w:hAnsi="標楷體" w:hint="eastAsia"/>
              </w:rPr>
              <w:t>到</w:t>
            </w:r>
            <w:r>
              <w:rPr>
                <w:rFonts w:hAnsi="標楷體" w:hint="eastAsia"/>
              </w:rPr>
              <w:t>，即未再簽到</w:t>
            </w:r>
            <w:r w:rsidRPr="00306E1D">
              <w:rPr>
                <w:rFonts w:hAnsi="標楷體" w:hint="eastAsia"/>
              </w:rPr>
              <w:t>。</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107.5.6</w:t>
            </w:r>
          </w:p>
        </w:tc>
        <w:tc>
          <w:tcPr>
            <w:tcW w:w="4426" w:type="dxa"/>
          </w:tcPr>
          <w:p w:rsidR="00E46A0F" w:rsidRPr="00306E1D" w:rsidRDefault="0071006F" w:rsidP="00AE3F87">
            <w:pPr>
              <w:spacing w:line="0" w:lineRule="atLeast"/>
              <w:rPr>
                <w:rFonts w:hAnsi="標楷體"/>
              </w:rPr>
            </w:pPr>
            <w:r>
              <w:rPr>
                <w:rFonts w:hAnsi="標楷體" w:hint="eastAsia"/>
              </w:rPr>
              <w:t>陳偉志未再</w:t>
            </w:r>
            <w:r w:rsidR="00E46A0F" w:rsidRPr="00306E1D">
              <w:rPr>
                <w:rFonts w:hAnsi="標楷體" w:hint="eastAsia"/>
              </w:rPr>
              <w:t>前往新莊派出所報到。</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107.5.22</w:t>
            </w:r>
          </w:p>
        </w:tc>
        <w:tc>
          <w:tcPr>
            <w:tcW w:w="4426" w:type="dxa"/>
          </w:tcPr>
          <w:p w:rsidR="00E46A0F" w:rsidRPr="00306E1D" w:rsidRDefault="0071006F" w:rsidP="00AE3F87">
            <w:pPr>
              <w:spacing w:line="0" w:lineRule="atLeast"/>
              <w:rPr>
                <w:rFonts w:hAnsi="標楷體"/>
              </w:rPr>
            </w:pPr>
            <w:r>
              <w:rPr>
                <w:rFonts w:hAnsi="標楷體" w:hint="eastAsia"/>
              </w:rPr>
              <w:t>法院</w:t>
            </w:r>
            <w:r w:rsidR="00E46A0F" w:rsidRPr="00306E1D">
              <w:rPr>
                <w:rFonts w:hAnsi="標楷體" w:hint="eastAsia"/>
              </w:rPr>
              <w:t>詢問才驚覺人沒報到，緊急開出拘票。</w:t>
            </w:r>
          </w:p>
        </w:tc>
      </w:tr>
      <w:tr w:rsidR="00E46A0F" w:rsidRPr="00306E1D" w:rsidTr="00AE3F87">
        <w:tc>
          <w:tcPr>
            <w:tcW w:w="2767" w:type="dxa"/>
          </w:tcPr>
          <w:p w:rsidR="00E46A0F" w:rsidRPr="00306E1D" w:rsidRDefault="00E46A0F" w:rsidP="00AE3F87">
            <w:pPr>
              <w:spacing w:line="0" w:lineRule="atLeast"/>
              <w:jc w:val="center"/>
              <w:rPr>
                <w:rFonts w:hAnsi="標楷體"/>
              </w:rPr>
            </w:pPr>
            <w:r>
              <w:rPr>
                <w:rFonts w:hAnsi="標楷體" w:hint="eastAsia"/>
              </w:rPr>
              <w:t>107.5.23</w:t>
            </w:r>
          </w:p>
        </w:tc>
        <w:tc>
          <w:tcPr>
            <w:tcW w:w="4426" w:type="dxa"/>
          </w:tcPr>
          <w:p w:rsidR="00E46A0F" w:rsidRPr="00306E1D" w:rsidRDefault="00E46A0F" w:rsidP="0071006F">
            <w:pPr>
              <w:spacing w:line="0" w:lineRule="atLeast"/>
              <w:rPr>
                <w:rFonts w:hAnsi="標楷體"/>
              </w:rPr>
            </w:pPr>
            <w:r>
              <w:rPr>
                <w:rFonts w:hAnsi="標楷體" w:hint="eastAsia"/>
              </w:rPr>
              <w:t>高雄地院發文請左營分局及時查報陳偉志限制出境、出海是否按時報到，並提供簽到紀錄過</w:t>
            </w:r>
            <w:proofErr w:type="gramStart"/>
            <w:r>
              <w:rPr>
                <w:rFonts w:hAnsi="標楷體" w:hint="eastAsia"/>
              </w:rPr>
              <w:t>院參辦</w:t>
            </w:r>
            <w:proofErr w:type="gramEnd"/>
            <w:r w:rsidR="0071006F">
              <w:rPr>
                <w:rFonts w:hAnsi="標楷體" w:hint="eastAsia"/>
              </w:rPr>
              <w:t>。</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107.5.25</w:t>
            </w:r>
          </w:p>
        </w:tc>
        <w:tc>
          <w:tcPr>
            <w:tcW w:w="4426" w:type="dxa"/>
          </w:tcPr>
          <w:p w:rsidR="00E46A0F" w:rsidRPr="00306E1D" w:rsidRDefault="00E46A0F" w:rsidP="00943641">
            <w:pPr>
              <w:spacing w:line="0" w:lineRule="atLeast"/>
              <w:rPr>
                <w:rFonts w:hAnsi="標楷體"/>
              </w:rPr>
            </w:pPr>
            <w:r w:rsidRPr="00306E1D">
              <w:rPr>
                <w:rFonts w:hAnsi="標楷體" w:hint="eastAsia"/>
              </w:rPr>
              <w:t>拘票</w:t>
            </w:r>
            <w:r w:rsidR="00943641">
              <w:rPr>
                <w:rFonts w:hAnsi="標楷體" w:hint="eastAsia"/>
              </w:rPr>
              <w:t>3</w:t>
            </w:r>
            <w:r w:rsidRPr="00306E1D">
              <w:rPr>
                <w:rFonts w:hAnsi="標楷體" w:hint="eastAsia"/>
              </w:rPr>
              <w:t>天期限拘提不到陳偉志。</w:t>
            </w:r>
          </w:p>
        </w:tc>
      </w:tr>
      <w:tr w:rsidR="00E46A0F" w:rsidRPr="00306E1D" w:rsidTr="00AE3F87">
        <w:tc>
          <w:tcPr>
            <w:tcW w:w="2767" w:type="dxa"/>
          </w:tcPr>
          <w:p w:rsidR="00E46A0F" w:rsidRPr="00306E1D" w:rsidRDefault="00E46A0F" w:rsidP="00AE3F87">
            <w:pPr>
              <w:spacing w:line="0" w:lineRule="atLeast"/>
              <w:jc w:val="center"/>
              <w:rPr>
                <w:rFonts w:hAnsi="標楷體"/>
              </w:rPr>
            </w:pPr>
            <w:r>
              <w:rPr>
                <w:rFonts w:hAnsi="標楷體" w:hint="eastAsia"/>
              </w:rPr>
              <w:t>107.5.30</w:t>
            </w:r>
          </w:p>
        </w:tc>
        <w:tc>
          <w:tcPr>
            <w:tcW w:w="4426" w:type="dxa"/>
          </w:tcPr>
          <w:p w:rsidR="00E46A0F" w:rsidRPr="00306E1D" w:rsidRDefault="00E46A0F" w:rsidP="00AE3F87">
            <w:pPr>
              <w:spacing w:line="0" w:lineRule="atLeast"/>
              <w:rPr>
                <w:rFonts w:hAnsi="標楷體"/>
              </w:rPr>
            </w:pPr>
            <w:r>
              <w:rPr>
                <w:rFonts w:hAnsi="標楷體" w:hint="eastAsia"/>
              </w:rPr>
              <w:t>左營分局檢送分局員警職務報告及陳偉志簽到資料與高雄地院。</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107.6.4</w:t>
            </w:r>
          </w:p>
        </w:tc>
        <w:tc>
          <w:tcPr>
            <w:tcW w:w="4426" w:type="dxa"/>
          </w:tcPr>
          <w:p w:rsidR="00E46A0F" w:rsidRPr="00306E1D" w:rsidRDefault="00E46A0F" w:rsidP="00AE3F87">
            <w:pPr>
              <w:spacing w:line="0" w:lineRule="atLeast"/>
              <w:rPr>
                <w:rFonts w:hAnsi="標楷體"/>
              </w:rPr>
            </w:pPr>
            <w:r w:rsidRPr="00306E1D">
              <w:rPr>
                <w:rFonts w:hAnsi="標楷體" w:hint="eastAsia"/>
              </w:rPr>
              <w:t>陳偉志從5月6日起，就未依規定向派出所報到，</w:t>
            </w:r>
            <w:proofErr w:type="gramStart"/>
            <w:r w:rsidRPr="00306E1D">
              <w:rPr>
                <w:rFonts w:hAnsi="標楷體" w:hint="eastAsia"/>
              </w:rPr>
              <w:t>疑</w:t>
            </w:r>
            <w:proofErr w:type="gramEnd"/>
            <w:r w:rsidRPr="00306E1D">
              <w:rPr>
                <w:rFonts w:hAnsi="標楷體" w:hint="eastAsia"/>
              </w:rPr>
              <w:t>棄保潛逃，法官認定陳慶男也有逃亡之虞，當庭</w:t>
            </w:r>
            <w:proofErr w:type="gramStart"/>
            <w:r w:rsidRPr="00306E1D">
              <w:rPr>
                <w:rFonts w:hAnsi="標楷體" w:hint="eastAsia"/>
              </w:rPr>
              <w:t>諭</w:t>
            </w:r>
            <w:proofErr w:type="gramEnd"/>
            <w:r w:rsidRPr="00306E1D">
              <w:rPr>
                <w:rFonts w:hAnsi="標楷體" w:hint="eastAsia"/>
              </w:rPr>
              <w:t>令加保1億元，否則就羈押。</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107.6.5</w:t>
            </w:r>
          </w:p>
        </w:tc>
        <w:tc>
          <w:tcPr>
            <w:tcW w:w="4426" w:type="dxa"/>
          </w:tcPr>
          <w:p w:rsidR="00E46A0F" w:rsidRPr="00306E1D" w:rsidRDefault="006A6E99" w:rsidP="00EA4A36">
            <w:pPr>
              <w:spacing w:line="0" w:lineRule="atLeast"/>
              <w:rPr>
                <w:rFonts w:hAnsi="標楷體"/>
              </w:rPr>
            </w:pPr>
            <w:r w:rsidRPr="006A6E99">
              <w:rPr>
                <w:rFonts w:hAnsi="標楷體" w:hint="eastAsia"/>
                <w:color w:val="000000" w:themeColor="text1"/>
              </w:rPr>
              <w:t>左營分局分局長蔡文峰、左營分局偵查隊長蔡信助、新莊派出所所長黃立凡</w:t>
            </w:r>
            <w:r w:rsidR="00066BDD">
              <w:rPr>
                <w:rFonts w:hAnsi="標楷體" w:hint="eastAsia"/>
                <w:color w:val="000000" w:themeColor="text1"/>
              </w:rPr>
              <w:t>3</w:t>
            </w:r>
            <w:r w:rsidRPr="006A6E99">
              <w:rPr>
                <w:rFonts w:hAnsi="標楷體" w:hint="eastAsia"/>
                <w:color w:val="000000" w:themeColor="text1"/>
              </w:rPr>
              <w:t>人皆以執行慶富案少東陳偉志防逃勤務不力，情節嚴重為由分別記過</w:t>
            </w:r>
            <w:r w:rsidR="00EA4A36">
              <w:rPr>
                <w:rFonts w:hAnsi="標楷體" w:hint="eastAsia"/>
                <w:color w:val="000000" w:themeColor="text1"/>
              </w:rPr>
              <w:t>1</w:t>
            </w:r>
            <w:r w:rsidRPr="006A6E99">
              <w:rPr>
                <w:rFonts w:hAnsi="標楷體" w:hint="eastAsia"/>
                <w:color w:val="000000" w:themeColor="text1"/>
              </w:rPr>
              <w:t>次至</w:t>
            </w:r>
            <w:r w:rsidR="00EA4A36">
              <w:rPr>
                <w:rFonts w:hAnsi="標楷體" w:hint="eastAsia"/>
                <w:color w:val="000000" w:themeColor="text1"/>
              </w:rPr>
              <w:t>2</w:t>
            </w:r>
            <w:r w:rsidRPr="006A6E99">
              <w:rPr>
                <w:rFonts w:hAnsi="標楷體" w:hint="eastAsia"/>
                <w:color w:val="000000" w:themeColor="text1"/>
              </w:rPr>
              <w:t>次。</w:t>
            </w:r>
          </w:p>
        </w:tc>
      </w:tr>
      <w:tr w:rsidR="00E46A0F" w:rsidRPr="00306E1D" w:rsidTr="00AE3F87">
        <w:tc>
          <w:tcPr>
            <w:tcW w:w="2767" w:type="dxa"/>
          </w:tcPr>
          <w:p w:rsidR="00E46A0F" w:rsidRPr="00306E1D" w:rsidRDefault="00E46A0F" w:rsidP="00AE3F87">
            <w:pPr>
              <w:spacing w:line="0" w:lineRule="atLeast"/>
              <w:jc w:val="center"/>
              <w:rPr>
                <w:rFonts w:hAnsi="標楷體"/>
              </w:rPr>
            </w:pPr>
            <w:r w:rsidRPr="00306E1D">
              <w:rPr>
                <w:rFonts w:hAnsi="標楷體" w:hint="eastAsia"/>
              </w:rPr>
              <w:t>107.6.7</w:t>
            </w:r>
          </w:p>
        </w:tc>
        <w:tc>
          <w:tcPr>
            <w:tcW w:w="4426" w:type="dxa"/>
          </w:tcPr>
          <w:p w:rsidR="00E46A0F" w:rsidRPr="00306E1D" w:rsidRDefault="00E46A0F" w:rsidP="00EA4A36">
            <w:pPr>
              <w:spacing w:line="0" w:lineRule="atLeast"/>
              <w:rPr>
                <w:rFonts w:hAnsi="標楷體"/>
              </w:rPr>
            </w:pPr>
            <w:r w:rsidRPr="00306E1D">
              <w:rPr>
                <w:rFonts w:hAnsi="標楷體" w:hint="eastAsia"/>
              </w:rPr>
              <w:t>高雄地檢署為</w:t>
            </w:r>
            <w:proofErr w:type="gramStart"/>
            <w:r w:rsidRPr="00306E1D">
              <w:rPr>
                <w:rFonts w:hAnsi="標楷體" w:hint="eastAsia"/>
              </w:rPr>
              <w:t>釐</w:t>
            </w:r>
            <w:proofErr w:type="gramEnd"/>
            <w:r w:rsidRPr="00306E1D">
              <w:rPr>
                <w:rFonts w:hAnsi="標楷體" w:hint="eastAsia"/>
              </w:rPr>
              <w:t>清新莊派出</w:t>
            </w:r>
            <w:r w:rsidRPr="00306E1D">
              <w:rPr>
                <w:rFonts w:hAnsi="標楷體" w:hint="eastAsia"/>
              </w:rPr>
              <w:lastRenderedPageBreak/>
              <w:t>所警員是否涉及使犯人隱匿或</w:t>
            </w:r>
            <w:proofErr w:type="gramStart"/>
            <w:r w:rsidRPr="00306E1D">
              <w:rPr>
                <w:rFonts w:hAnsi="標楷體" w:hint="eastAsia"/>
              </w:rPr>
              <w:t>縱放罪</w:t>
            </w:r>
            <w:proofErr w:type="gramEnd"/>
            <w:r w:rsidRPr="00306E1D">
              <w:rPr>
                <w:rFonts w:hAnsi="標楷體" w:hint="eastAsia"/>
              </w:rPr>
              <w:t>，分案查辦後，今天下午傳喚時任新莊派出所所長黃立凡及羅姓承辦警員到案，</w:t>
            </w:r>
            <w:r w:rsidR="00EA4A36">
              <w:rPr>
                <w:rFonts w:hAnsi="標楷體" w:hint="eastAsia"/>
              </w:rPr>
              <w:t>2</w:t>
            </w:r>
            <w:r w:rsidRPr="00306E1D">
              <w:rPr>
                <w:rFonts w:hAnsi="標楷體" w:hint="eastAsia"/>
              </w:rPr>
              <w:t>人坦承多日未注意陳偉志簽到狀況。</w:t>
            </w:r>
          </w:p>
        </w:tc>
      </w:tr>
    </w:tbl>
    <w:p w:rsidR="00E46A0F" w:rsidRDefault="00E46A0F" w:rsidP="00E46A0F">
      <w:pPr>
        <w:pStyle w:val="4"/>
        <w:numPr>
          <w:ilvl w:val="0"/>
          <w:numId w:val="0"/>
        </w:numPr>
        <w:spacing w:after="240"/>
        <w:ind w:left="1358"/>
        <w:rPr>
          <w:sz w:val="24"/>
        </w:rPr>
      </w:pPr>
      <w:r>
        <w:rPr>
          <w:rFonts w:hint="eastAsia"/>
          <w:sz w:val="24"/>
        </w:rPr>
        <w:lastRenderedPageBreak/>
        <w:t>資料來源：監察院彙整。</w:t>
      </w:r>
    </w:p>
    <w:p w:rsidR="00E46A0F" w:rsidRPr="00E46A0F" w:rsidRDefault="00E46A0F" w:rsidP="00E46A0F">
      <w:pPr>
        <w:pStyle w:val="3"/>
        <w:numPr>
          <w:ilvl w:val="0"/>
          <w:numId w:val="0"/>
        </w:numPr>
        <w:ind w:left="1361"/>
      </w:pPr>
      <w:r>
        <w:rPr>
          <w:rFonts w:hint="eastAsia"/>
        </w:rPr>
        <w:t xml:space="preserve">    </w:t>
      </w:r>
      <w:r w:rsidR="0071006F">
        <w:rPr>
          <w:rFonts w:hint="eastAsia"/>
        </w:rPr>
        <w:t>由該大事記觀之，無論偵查或審理階段，</w:t>
      </w:r>
      <w:r>
        <w:rPr>
          <w:rFonts w:hint="eastAsia"/>
        </w:rPr>
        <w:t>檢察官及</w:t>
      </w:r>
      <w:proofErr w:type="gramStart"/>
      <w:r>
        <w:rPr>
          <w:rFonts w:hint="eastAsia"/>
        </w:rPr>
        <w:t>法院皆命陳</w:t>
      </w:r>
      <w:r w:rsidR="008624C8">
        <w:rPr>
          <w:rFonts w:hint="eastAsia"/>
        </w:rPr>
        <w:t>偉志</w:t>
      </w:r>
      <w:proofErr w:type="gramEnd"/>
      <w:r>
        <w:rPr>
          <w:rFonts w:hint="eastAsia"/>
        </w:rPr>
        <w:t>向指定之派出所報到</w:t>
      </w:r>
      <w:r w:rsidR="00391FE0">
        <w:rPr>
          <w:rFonts w:hint="eastAsia"/>
        </w:rPr>
        <w:t>。</w:t>
      </w:r>
      <w:r w:rsidR="00A6053F">
        <w:rPr>
          <w:rFonts w:hint="eastAsia"/>
        </w:rPr>
        <w:t>高雄地檢署於106年10月26日發函至前鎮分局，</w:t>
      </w:r>
      <w:r w:rsidR="006D75A6">
        <w:rPr>
          <w:rFonts w:hint="eastAsia"/>
        </w:rPr>
        <w:t>函文中</w:t>
      </w:r>
      <w:r w:rsidR="00A6053F">
        <w:rPr>
          <w:rFonts w:hint="eastAsia"/>
        </w:rPr>
        <w:t>指定</w:t>
      </w:r>
      <w:r w:rsidR="006D75A6">
        <w:rPr>
          <w:rFonts w:hint="eastAsia"/>
        </w:rPr>
        <w:t>報到之</w:t>
      </w:r>
      <w:r w:rsidR="00A6053F">
        <w:rPr>
          <w:rFonts w:hint="eastAsia"/>
        </w:rPr>
        <w:t>方式為</w:t>
      </w:r>
      <w:r w:rsidR="00A6053F">
        <w:rPr>
          <w:rFonts w:hAnsi="標楷體" w:hint="eastAsia"/>
        </w:rPr>
        <w:t>：「請協助</w:t>
      </w:r>
      <w:r w:rsidR="009E4078" w:rsidRPr="009E4078">
        <w:rPr>
          <w:rFonts w:hAnsi="標楷體" w:hint="eastAsia"/>
        </w:rPr>
        <w:t>高雄地檢</w:t>
      </w:r>
      <w:r w:rsidR="00A6053F">
        <w:rPr>
          <w:rFonts w:hAnsi="標楷體" w:hint="eastAsia"/>
        </w:rPr>
        <w:t>署辦理陳慶男、陳偉志及陳盧昭霞自106年10月27日起至本案</w:t>
      </w:r>
      <w:proofErr w:type="gramStart"/>
      <w:r w:rsidR="00A6053F">
        <w:rPr>
          <w:rFonts w:hAnsi="標楷體" w:hint="eastAsia"/>
        </w:rPr>
        <w:t>偵</w:t>
      </w:r>
      <w:proofErr w:type="gramEnd"/>
      <w:r w:rsidR="00A6053F">
        <w:rPr>
          <w:rFonts w:hAnsi="標楷體" w:hint="eastAsia"/>
        </w:rPr>
        <w:t>結為止，每日前往轄區復興路派出所報到1次</w:t>
      </w:r>
      <w:r w:rsidR="00A6053F">
        <w:rPr>
          <w:rFonts w:hAnsi="標楷體"/>
        </w:rPr>
        <w:t>…</w:t>
      </w:r>
      <w:proofErr w:type="gramStart"/>
      <w:r w:rsidR="00A6053F">
        <w:rPr>
          <w:rFonts w:hAnsi="標楷體"/>
        </w:rPr>
        <w:t>…</w:t>
      </w:r>
      <w:proofErr w:type="gramEnd"/>
      <w:r w:rsidR="00A6053F">
        <w:rPr>
          <w:rFonts w:hAnsi="標楷體" w:hint="eastAsia"/>
        </w:rPr>
        <w:t>。」(詳附</w:t>
      </w:r>
      <w:r w:rsidR="00391FE0">
        <w:rPr>
          <w:rFonts w:hAnsi="標楷體" w:hint="eastAsia"/>
        </w:rPr>
        <w:t>件</w:t>
      </w:r>
      <w:r w:rsidR="0097782D">
        <w:rPr>
          <w:rFonts w:hAnsi="標楷體" w:hint="eastAsia"/>
        </w:rPr>
        <w:t>一</w:t>
      </w:r>
      <w:r w:rsidR="00A6053F">
        <w:rPr>
          <w:rFonts w:hAnsi="標楷體" w:hint="eastAsia"/>
        </w:rPr>
        <w:t>)</w:t>
      </w:r>
      <w:r w:rsidR="00391FE0">
        <w:rPr>
          <w:rFonts w:hAnsi="標楷體" w:hint="eastAsia"/>
        </w:rPr>
        <w:t>。</w:t>
      </w:r>
      <w:r w:rsidR="00A6053F">
        <w:rPr>
          <w:rFonts w:hAnsi="標楷體" w:hint="eastAsia"/>
        </w:rPr>
        <w:t>另高雄地院亦於106年3月27日：「被告陳偉志自107年3月26日起應於每日</w:t>
      </w:r>
      <w:proofErr w:type="gramStart"/>
      <w:r w:rsidR="00A6053F">
        <w:rPr>
          <w:rFonts w:hAnsi="標楷體" w:hint="eastAsia"/>
        </w:rPr>
        <w:t>前往貴轄派出所</w:t>
      </w:r>
      <w:proofErr w:type="gramEnd"/>
      <w:r w:rsidR="00A6053F">
        <w:rPr>
          <w:rFonts w:hAnsi="標楷體" w:hint="eastAsia"/>
        </w:rPr>
        <w:t>報到，與次日報到時間應間隔12小時以上。」(詳附</w:t>
      </w:r>
      <w:r w:rsidR="00391FE0">
        <w:rPr>
          <w:rFonts w:hAnsi="標楷體" w:hint="eastAsia"/>
        </w:rPr>
        <w:t>件</w:t>
      </w:r>
      <w:r w:rsidR="0097782D">
        <w:rPr>
          <w:rFonts w:hAnsi="標楷體" w:hint="eastAsia"/>
        </w:rPr>
        <w:t>二</w:t>
      </w:r>
      <w:r w:rsidR="00A6053F">
        <w:rPr>
          <w:rFonts w:hAnsi="標楷體" w:hint="eastAsia"/>
        </w:rPr>
        <w:t>)。上述</w:t>
      </w:r>
      <w:r w:rsidR="00EA4A36">
        <w:rPr>
          <w:rFonts w:hAnsi="標楷體" w:hint="eastAsia"/>
        </w:rPr>
        <w:t>2</w:t>
      </w:r>
      <w:r w:rsidR="00A6053F">
        <w:rPr>
          <w:rFonts w:hAnsi="標楷體" w:hint="eastAsia"/>
        </w:rPr>
        <w:t>函文中，</w:t>
      </w:r>
      <w:proofErr w:type="gramStart"/>
      <w:r w:rsidR="006D75A6">
        <w:rPr>
          <w:rFonts w:hAnsi="標楷體" w:hint="eastAsia"/>
        </w:rPr>
        <w:t>均未</w:t>
      </w:r>
      <w:r w:rsidR="00A6053F">
        <w:rPr>
          <w:rFonts w:hAnsi="標楷體" w:hint="eastAsia"/>
        </w:rPr>
        <w:t>載</w:t>
      </w:r>
      <w:proofErr w:type="gramEnd"/>
      <w:r w:rsidR="00A6053F">
        <w:rPr>
          <w:rFonts w:hAnsi="標楷體" w:hint="eastAsia"/>
        </w:rPr>
        <w:t>述</w:t>
      </w:r>
      <w:r w:rsidR="00B4102E">
        <w:rPr>
          <w:rFonts w:hAnsi="標楷體" w:hint="eastAsia"/>
        </w:rPr>
        <w:t>囑託辦理刑事被告報到之法規依據。</w:t>
      </w:r>
    </w:p>
    <w:p w:rsidR="0078551E" w:rsidRDefault="00B4102E" w:rsidP="006D75A6">
      <w:pPr>
        <w:pStyle w:val="3"/>
      </w:pPr>
      <w:r>
        <w:rPr>
          <w:rFonts w:hint="eastAsia"/>
        </w:rPr>
        <w:t>經本院</w:t>
      </w:r>
      <w:r w:rsidR="006D75A6">
        <w:rPr>
          <w:rFonts w:hint="eastAsia"/>
        </w:rPr>
        <w:t>向司法院及法務部函</w:t>
      </w:r>
      <w:proofErr w:type="gramStart"/>
      <w:r w:rsidR="006D75A6">
        <w:rPr>
          <w:rFonts w:hint="eastAsia"/>
        </w:rPr>
        <w:t>詢</w:t>
      </w:r>
      <w:proofErr w:type="gramEnd"/>
      <w:r w:rsidR="006D75A6">
        <w:rPr>
          <w:rFonts w:hint="eastAsia"/>
        </w:rPr>
        <w:t>有關檢察官及</w:t>
      </w:r>
      <w:r w:rsidR="006D75A6" w:rsidRPr="006D75A6">
        <w:rPr>
          <w:rFonts w:hint="eastAsia"/>
        </w:rPr>
        <w:t>法院囑託司法警察機關辦理</w:t>
      </w:r>
      <w:r w:rsidR="006D75A6">
        <w:rPr>
          <w:rFonts w:hint="eastAsia"/>
        </w:rPr>
        <w:t>刑事</w:t>
      </w:r>
      <w:r w:rsidR="006D75A6" w:rsidRPr="006D75A6">
        <w:rPr>
          <w:rFonts w:hint="eastAsia"/>
        </w:rPr>
        <w:t>被告停止羈押或無羈押必要</w:t>
      </w:r>
      <w:r w:rsidR="006D75A6">
        <w:rPr>
          <w:rFonts w:hint="eastAsia"/>
        </w:rPr>
        <w:t>後，命其</w:t>
      </w:r>
      <w:r w:rsidR="006D75A6" w:rsidRPr="006D75A6">
        <w:rPr>
          <w:rFonts w:hint="eastAsia"/>
        </w:rPr>
        <w:t>至派出所報到之法律依據</w:t>
      </w:r>
      <w:r w:rsidR="006D75A6">
        <w:rPr>
          <w:rFonts w:hint="eastAsia"/>
        </w:rPr>
        <w:t>，其</w:t>
      </w:r>
      <w:r>
        <w:rPr>
          <w:rFonts w:hint="eastAsia"/>
        </w:rPr>
        <w:t>說明如下：</w:t>
      </w:r>
    </w:p>
    <w:p w:rsidR="00B4102E" w:rsidRDefault="00B4102E" w:rsidP="00B4102E">
      <w:pPr>
        <w:pStyle w:val="4"/>
      </w:pPr>
      <w:r>
        <w:rPr>
          <w:rFonts w:hint="eastAsia"/>
        </w:rPr>
        <w:t>司法院函復說明如下</w:t>
      </w:r>
      <w:r w:rsidR="006D75A6">
        <w:rPr>
          <w:rStyle w:val="aff"/>
        </w:rPr>
        <w:footnoteReference w:id="5"/>
      </w:r>
      <w:r>
        <w:rPr>
          <w:rFonts w:hint="eastAsia"/>
        </w:rPr>
        <w:t>：法院許可停止羈押時，得命被告應遵守法院認為適當之事項；法官於辦理刑事案件認有必要時，有指揮、命令司法警察之權。</w:t>
      </w:r>
      <w:r w:rsidRPr="00B4102E">
        <w:rPr>
          <w:rFonts w:hint="eastAsia"/>
          <w:b/>
        </w:rPr>
        <w:t>刑事訴訟法第116條之2第4款、法院組織法第76條第1項、調度司法警察條例第1條</w:t>
      </w:r>
      <w:r>
        <w:rPr>
          <w:rFonts w:hint="eastAsia"/>
        </w:rPr>
        <w:t>分別定有明</w:t>
      </w:r>
      <w:r>
        <w:rPr>
          <w:rFonts w:hint="eastAsia"/>
        </w:rPr>
        <w:lastRenderedPageBreak/>
        <w:t>文。是</w:t>
      </w:r>
      <w:proofErr w:type="gramStart"/>
      <w:r>
        <w:rPr>
          <w:rFonts w:hint="eastAsia"/>
        </w:rPr>
        <w:t>法官於審酌</w:t>
      </w:r>
      <w:proofErr w:type="gramEnd"/>
      <w:r>
        <w:rPr>
          <w:rFonts w:hint="eastAsia"/>
        </w:rPr>
        <w:t>個案情形，認被告並無羈押必要，而以羈押替代處分措施保全被告，並有請司法警察機關配合辦理之必要者，得依前揭規定，指揮或命令司法警察為之。</w:t>
      </w:r>
    </w:p>
    <w:p w:rsidR="00B4102E" w:rsidRDefault="00963723" w:rsidP="00B4102E">
      <w:pPr>
        <w:pStyle w:val="4"/>
      </w:pPr>
      <w:proofErr w:type="gramStart"/>
      <w:r>
        <w:rPr>
          <w:rFonts w:hint="eastAsia"/>
        </w:rPr>
        <w:t>詢</w:t>
      </w:r>
      <w:proofErr w:type="gramEnd"/>
      <w:r>
        <w:rPr>
          <w:rFonts w:hint="eastAsia"/>
        </w:rPr>
        <w:t>據法務部其說明為</w:t>
      </w:r>
      <w:r w:rsidR="00B4102E">
        <w:rPr>
          <w:rFonts w:hint="eastAsia"/>
        </w:rPr>
        <w:t>：命被告向派出所報到之法律依據為：「</w:t>
      </w:r>
      <w:r w:rsidR="00B4102E" w:rsidRPr="00B4102E">
        <w:rPr>
          <w:rFonts w:hint="eastAsia"/>
          <w:b/>
        </w:rPr>
        <w:t>刑事訴訟法第117條之1第1項</w:t>
      </w:r>
      <w:proofErr w:type="gramStart"/>
      <w:r w:rsidR="00B4102E" w:rsidRPr="00B4102E">
        <w:rPr>
          <w:rFonts w:hint="eastAsia"/>
          <w:b/>
        </w:rPr>
        <w:t>準</w:t>
      </w:r>
      <w:proofErr w:type="gramEnd"/>
      <w:r w:rsidR="00B4102E" w:rsidRPr="00B4102E">
        <w:rPr>
          <w:rFonts w:hint="eastAsia"/>
          <w:b/>
        </w:rPr>
        <w:t>用同法第116條之2之規定</w:t>
      </w:r>
      <w:r w:rsidR="00B4102E">
        <w:rPr>
          <w:rFonts w:hint="eastAsia"/>
        </w:rPr>
        <w:t>，檢察官訊問被告後，</w:t>
      </w:r>
      <w:proofErr w:type="gramStart"/>
      <w:r w:rsidR="00B4102E">
        <w:rPr>
          <w:rFonts w:hint="eastAsia"/>
        </w:rPr>
        <w:t>逕</w:t>
      </w:r>
      <w:proofErr w:type="gramEnd"/>
      <w:r w:rsidR="00B4102E">
        <w:rPr>
          <w:rFonts w:hint="eastAsia"/>
        </w:rPr>
        <w:t>命具保、責付、限制住居者，得命被告遵守</w:t>
      </w:r>
      <w:r w:rsidR="00B4102E" w:rsidRPr="00B4102E">
        <w:rPr>
          <w:rFonts w:hint="eastAsia"/>
          <w:b/>
        </w:rPr>
        <w:t>『其他檢察官認為適當之事項』」</w:t>
      </w:r>
      <w:r w:rsidR="00B4102E">
        <w:rPr>
          <w:rFonts w:hint="eastAsia"/>
        </w:rPr>
        <w:t>。</w:t>
      </w:r>
    </w:p>
    <w:p w:rsidR="00871682" w:rsidRDefault="00B4102E">
      <w:pPr>
        <w:pStyle w:val="3"/>
        <w:numPr>
          <w:ilvl w:val="0"/>
          <w:numId w:val="0"/>
        </w:numPr>
        <w:ind w:leftChars="401" w:left="1364"/>
        <w:rPr>
          <w:rFonts w:hAnsi="標楷體"/>
        </w:rPr>
      </w:pPr>
      <w:r>
        <w:rPr>
          <w:rFonts w:hint="eastAsia"/>
        </w:rPr>
        <w:t xml:space="preserve">    </w:t>
      </w:r>
      <w:r w:rsidR="00963723">
        <w:rPr>
          <w:rFonts w:hint="eastAsia"/>
        </w:rPr>
        <w:t>上述司法院及法務部對於</w:t>
      </w:r>
      <w:r>
        <w:rPr>
          <w:rFonts w:hint="eastAsia"/>
        </w:rPr>
        <w:t>命警察機關辦理被告報到之依據分別為：</w:t>
      </w:r>
      <w:r w:rsidRPr="00B4102E">
        <w:rPr>
          <w:rFonts w:hint="eastAsia"/>
        </w:rPr>
        <w:t>刑事訴訟法第116條</w:t>
      </w:r>
      <w:r w:rsidR="00E264E5" w:rsidRPr="00B4102E">
        <w:rPr>
          <w:rFonts w:hint="eastAsia"/>
        </w:rPr>
        <w:t>之2</w:t>
      </w:r>
      <w:r w:rsidRPr="00B4102E">
        <w:rPr>
          <w:rFonts w:hint="eastAsia"/>
        </w:rPr>
        <w:t>第4款、法院組織法第76條第1項、調度司法警察條例第1條</w:t>
      </w:r>
      <w:r>
        <w:rPr>
          <w:rFonts w:hint="eastAsia"/>
        </w:rPr>
        <w:t>及</w:t>
      </w:r>
      <w:r w:rsidRPr="00B4102E">
        <w:rPr>
          <w:rFonts w:hint="eastAsia"/>
        </w:rPr>
        <w:t>刑事訴訟法第117條</w:t>
      </w:r>
      <w:r w:rsidR="00E264E5" w:rsidRPr="00B4102E">
        <w:rPr>
          <w:rFonts w:hint="eastAsia"/>
        </w:rPr>
        <w:t>之1</w:t>
      </w:r>
      <w:r w:rsidRPr="00B4102E">
        <w:rPr>
          <w:rFonts w:hint="eastAsia"/>
        </w:rPr>
        <w:t>第1項</w:t>
      </w:r>
      <w:proofErr w:type="gramStart"/>
      <w:r w:rsidRPr="00B4102E">
        <w:rPr>
          <w:rFonts w:hint="eastAsia"/>
        </w:rPr>
        <w:t>準</w:t>
      </w:r>
      <w:proofErr w:type="gramEnd"/>
      <w:r w:rsidRPr="00B4102E">
        <w:rPr>
          <w:rFonts w:hint="eastAsia"/>
        </w:rPr>
        <w:t>用同法第116條</w:t>
      </w:r>
      <w:r w:rsidR="00E264E5" w:rsidRPr="00B4102E">
        <w:rPr>
          <w:rFonts w:hint="eastAsia"/>
        </w:rPr>
        <w:t>之2</w:t>
      </w:r>
      <w:r w:rsidRPr="00B4102E">
        <w:rPr>
          <w:rFonts w:hint="eastAsia"/>
        </w:rPr>
        <w:t>之規定</w:t>
      </w:r>
      <w:r>
        <w:rPr>
          <w:rFonts w:hint="eastAsia"/>
        </w:rPr>
        <w:t>，</w:t>
      </w:r>
      <w:proofErr w:type="gramStart"/>
      <w:r>
        <w:rPr>
          <w:rFonts w:hint="eastAsia"/>
        </w:rPr>
        <w:t>更皆以</w:t>
      </w:r>
      <w:proofErr w:type="gramEnd"/>
      <w:r>
        <w:rPr>
          <w:rFonts w:hint="eastAsia"/>
        </w:rPr>
        <w:t>刑事訴訟法</w:t>
      </w:r>
      <w:r w:rsidR="0088653D">
        <w:rPr>
          <w:rFonts w:hint="eastAsia"/>
        </w:rPr>
        <w:t>第</w:t>
      </w:r>
      <w:r>
        <w:rPr>
          <w:rFonts w:hint="eastAsia"/>
        </w:rPr>
        <w:t>116</w:t>
      </w:r>
      <w:r w:rsidR="0088653D">
        <w:rPr>
          <w:rFonts w:hint="eastAsia"/>
        </w:rPr>
        <w:t>條</w:t>
      </w:r>
      <w:r w:rsidR="00963723">
        <w:rPr>
          <w:rFonts w:hint="eastAsia"/>
        </w:rPr>
        <w:t>之2</w:t>
      </w:r>
      <w:r>
        <w:rPr>
          <w:rFonts w:hint="eastAsia"/>
        </w:rPr>
        <w:t>第4款之</w:t>
      </w:r>
      <w:r>
        <w:rPr>
          <w:rFonts w:hAnsi="標楷體" w:hint="eastAsia"/>
        </w:rPr>
        <w:t>「</w:t>
      </w:r>
      <w:r>
        <w:rPr>
          <w:rFonts w:hint="eastAsia"/>
        </w:rPr>
        <w:t>其他檢察官認為適當之事項</w:t>
      </w:r>
      <w:r w:rsidR="006A6E99">
        <w:rPr>
          <w:rFonts w:hAnsi="標楷體" w:hint="eastAsia"/>
        </w:rPr>
        <w:t>」為其依據</w:t>
      </w:r>
      <w:r w:rsidR="00391FE0">
        <w:rPr>
          <w:rFonts w:hAnsi="標楷體" w:hint="eastAsia"/>
        </w:rPr>
        <w:t>。</w:t>
      </w:r>
      <w:proofErr w:type="gramStart"/>
      <w:r w:rsidR="00963723">
        <w:rPr>
          <w:rFonts w:hAnsi="標楷體" w:hint="eastAsia"/>
        </w:rPr>
        <w:t>惟</w:t>
      </w:r>
      <w:r>
        <w:rPr>
          <w:rFonts w:hAnsi="標楷體" w:hint="eastAsia"/>
        </w:rPr>
        <w:t>觀刑事</w:t>
      </w:r>
      <w:proofErr w:type="gramEnd"/>
      <w:r>
        <w:rPr>
          <w:rFonts w:hAnsi="標楷體" w:hint="eastAsia"/>
        </w:rPr>
        <w:t>訴訟法第116條</w:t>
      </w:r>
      <w:r w:rsidR="00E264E5">
        <w:rPr>
          <w:rFonts w:hAnsi="標楷體" w:hint="eastAsia"/>
        </w:rPr>
        <w:t>之2</w:t>
      </w:r>
      <w:r>
        <w:rPr>
          <w:rFonts w:hAnsi="標楷體" w:hint="eastAsia"/>
        </w:rPr>
        <w:t>第1款即</w:t>
      </w:r>
      <w:r w:rsidR="001B1389">
        <w:rPr>
          <w:rFonts w:hAnsi="標楷體" w:hint="eastAsia"/>
        </w:rPr>
        <w:t>已</w:t>
      </w:r>
      <w:r>
        <w:rPr>
          <w:rFonts w:hAnsi="標楷體" w:hint="eastAsia"/>
        </w:rPr>
        <w:t>規定</w:t>
      </w:r>
      <w:r w:rsidR="00213C4D">
        <w:rPr>
          <w:rFonts w:hAnsi="標楷體" w:hint="eastAsia"/>
        </w:rPr>
        <w:t>：「</w:t>
      </w:r>
      <w:r w:rsidRPr="00B4102E">
        <w:rPr>
          <w:rFonts w:hAnsi="標楷體" w:hint="eastAsia"/>
        </w:rPr>
        <w:t>法院許可停止羈押時，得命被告應遵守下列事項：一、定期向法院或檢察官報到。</w:t>
      </w:r>
      <w:r w:rsidR="00213C4D">
        <w:rPr>
          <w:rFonts w:hAnsi="標楷體" w:hint="eastAsia"/>
        </w:rPr>
        <w:t>」</w:t>
      </w:r>
      <w:r w:rsidR="00963723">
        <w:rPr>
          <w:rFonts w:hAnsi="標楷體" w:hint="eastAsia"/>
        </w:rPr>
        <w:t>該法已明文規定當法院許可停止羈押時，被告報到之</w:t>
      </w:r>
      <w:r w:rsidR="00E264E5">
        <w:rPr>
          <w:rFonts w:hAnsi="標楷體" w:hint="eastAsia"/>
        </w:rPr>
        <w:t>對象</w:t>
      </w:r>
      <w:r w:rsidR="00963723">
        <w:rPr>
          <w:rFonts w:hAnsi="標楷體" w:hint="eastAsia"/>
        </w:rPr>
        <w:t>，係為法院或檢察官，然司法院及法務部竟無視該明文規定</w:t>
      </w:r>
      <w:r w:rsidR="004F663A">
        <w:rPr>
          <w:rFonts w:hAnsi="標楷體" w:hint="eastAsia"/>
        </w:rPr>
        <w:t>，反依據概括規定</w:t>
      </w:r>
      <w:proofErr w:type="gramStart"/>
      <w:r w:rsidR="004F663A">
        <w:rPr>
          <w:rFonts w:hAnsi="標楷體" w:hint="eastAsia"/>
        </w:rPr>
        <w:t>將命刑事</w:t>
      </w:r>
      <w:proofErr w:type="gramEnd"/>
      <w:r w:rsidR="004F663A">
        <w:rPr>
          <w:rFonts w:hAnsi="標楷體" w:hint="eastAsia"/>
        </w:rPr>
        <w:t>被告報到業務委由</w:t>
      </w:r>
      <w:r w:rsidR="00AE3F87">
        <w:rPr>
          <w:rFonts w:hAnsi="標楷體" w:hint="eastAsia"/>
        </w:rPr>
        <w:t>警察機關辦理，</w:t>
      </w:r>
      <w:r w:rsidR="00963723">
        <w:rPr>
          <w:rFonts w:hAnsi="標楷體" w:hint="eastAsia"/>
        </w:rPr>
        <w:t>法規適用上顯非妥適</w:t>
      </w:r>
      <w:r w:rsidR="00213C4D">
        <w:rPr>
          <w:rFonts w:hAnsi="標楷體" w:hint="eastAsia"/>
        </w:rPr>
        <w:t>。</w:t>
      </w:r>
    </w:p>
    <w:p w:rsidR="006B7579" w:rsidRDefault="00963723" w:rsidP="00213C4D">
      <w:pPr>
        <w:pStyle w:val="3"/>
      </w:pPr>
      <w:r>
        <w:rPr>
          <w:rFonts w:hint="eastAsia"/>
        </w:rPr>
        <w:t>另查檢察官與法院於命被告至警察機關報到後，</w:t>
      </w:r>
      <w:r w:rsidR="000822D9">
        <w:rPr>
          <w:rFonts w:hint="eastAsia"/>
        </w:rPr>
        <w:t>報到之流程及操作是否</w:t>
      </w:r>
      <w:r w:rsidR="001B1389">
        <w:rPr>
          <w:rFonts w:hint="eastAsia"/>
        </w:rPr>
        <w:t>訂</w:t>
      </w:r>
      <w:r>
        <w:rPr>
          <w:rFonts w:hint="eastAsia"/>
        </w:rPr>
        <w:t>定相關作業程序及流程予受囑託</w:t>
      </w:r>
      <w:r w:rsidR="006B7579">
        <w:rPr>
          <w:rFonts w:hint="eastAsia"/>
        </w:rPr>
        <w:t>機關參考</w:t>
      </w:r>
      <w:r>
        <w:rPr>
          <w:rFonts w:hint="eastAsia"/>
        </w:rPr>
        <w:t>辦理</w:t>
      </w:r>
      <w:r w:rsidR="006B7579">
        <w:rPr>
          <w:rFonts w:hint="eastAsia"/>
        </w:rPr>
        <w:t>，司法院及法務部之函復如下：</w:t>
      </w:r>
    </w:p>
    <w:p w:rsidR="006B7579" w:rsidRDefault="006B7579" w:rsidP="006B7579">
      <w:pPr>
        <w:pStyle w:val="4"/>
      </w:pPr>
      <w:r>
        <w:rPr>
          <w:rFonts w:hint="eastAsia"/>
        </w:rPr>
        <w:t>法務部函復資料指出</w:t>
      </w:r>
      <w:r w:rsidR="00963723">
        <w:rPr>
          <w:rStyle w:val="aff"/>
        </w:rPr>
        <w:footnoteReference w:id="6"/>
      </w:r>
      <w:r>
        <w:rPr>
          <w:rFonts w:hint="eastAsia"/>
        </w:rPr>
        <w:t>：早於105年間，即提供「刑事訴訟法增訂保全羈押制度相關修正之立法建</w:t>
      </w:r>
      <w:r>
        <w:rPr>
          <w:rFonts w:hint="eastAsia"/>
        </w:rPr>
        <w:lastRenderedPageBreak/>
        <w:t>議」，建請司法院儘速修正刑事訴訟法</w:t>
      </w:r>
      <w:r w:rsidR="00391FE0">
        <w:rPr>
          <w:rFonts w:hint="eastAsia"/>
        </w:rPr>
        <w:t>。</w:t>
      </w:r>
      <w:r>
        <w:rPr>
          <w:rFonts w:hint="eastAsia"/>
        </w:rPr>
        <w:t>後</w:t>
      </w:r>
      <w:r w:rsidR="00963723">
        <w:rPr>
          <w:rFonts w:hint="eastAsia"/>
        </w:rPr>
        <w:t>司法院參</w:t>
      </w:r>
      <w:proofErr w:type="gramStart"/>
      <w:r w:rsidR="00963723">
        <w:rPr>
          <w:rFonts w:hint="eastAsia"/>
        </w:rPr>
        <w:t>採</w:t>
      </w:r>
      <w:proofErr w:type="gramEnd"/>
      <w:r w:rsidR="00963723">
        <w:rPr>
          <w:rFonts w:hint="eastAsia"/>
        </w:rPr>
        <w:t>該</w:t>
      </w:r>
      <w:r>
        <w:rPr>
          <w:rFonts w:hint="eastAsia"/>
        </w:rPr>
        <w:t>部建議，擬具刑事訴訟法部分</w:t>
      </w:r>
      <w:r w:rsidR="00610E06">
        <w:rPr>
          <w:rFonts w:hint="eastAsia"/>
        </w:rPr>
        <w:t>條文</w:t>
      </w:r>
      <w:r>
        <w:rPr>
          <w:rFonts w:hint="eastAsia"/>
        </w:rPr>
        <w:t>修正草案，增訂偵查、審判及執行程序之「三階段防逃」機制，並經行政院完成會銜程序，目前在立法院審議中。</w:t>
      </w:r>
    </w:p>
    <w:p w:rsidR="006B7579" w:rsidRDefault="006B7579" w:rsidP="006B7579">
      <w:pPr>
        <w:pStyle w:val="4"/>
      </w:pPr>
      <w:r>
        <w:rPr>
          <w:rFonts w:hint="eastAsia"/>
        </w:rPr>
        <w:t>司法院函復資料指出</w:t>
      </w:r>
      <w:r w:rsidR="00963723">
        <w:rPr>
          <w:rStyle w:val="aff"/>
        </w:rPr>
        <w:footnoteReference w:id="7"/>
      </w:r>
      <w:r>
        <w:rPr>
          <w:rFonts w:hint="eastAsia"/>
        </w:rPr>
        <w:t>：該院於</w:t>
      </w:r>
      <w:proofErr w:type="gramStart"/>
      <w:r>
        <w:rPr>
          <w:rFonts w:hint="eastAsia"/>
        </w:rPr>
        <w:t>研</w:t>
      </w:r>
      <w:proofErr w:type="gramEnd"/>
      <w:r>
        <w:rPr>
          <w:rFonts w:hint="eastAsia"/>
        </w:rPr>
        <w:t>擬防逃機制之刑事訴訟法部分條文修正草案時，多次召開相關公聽會及諮</w:t>
      </w:r>
      <w:r w:rsidR="006A6E99">
        <w:rPr>
          <w:rFonts w:hint="eastAsia"/>
        </w:rPr>
        <w:t>詢會議，並邀請法務部及</w:t>
      </w:r>
      <w:r w:rsidR="00963723">
        <w:rPr>
          <w:rFonts w:hint="eastAsia"/>
        </w:rPr>
        <w:t>警政署等機關與會出席表達意見，</w:t>
      </w:r>
      <w:proofErr w:type="gramStart"/>
      <w:r w:rsidR="00963723">
        <w:rPr>
          <w:rFonts w:hint="eastAsia"/>
        </w:rPr>
        <w:t>俾</w:t>
      </w:r>
      <w:proofErr w:type="gramEnd"/>
      <w:r w:rsidR="00963723">
        <w:rPr>
          <w:rFonts w:hint="eastAsia"/>
        </w:rPr>
        <w:t>供該</w:t>
      </w:r>
      <w:r>
        <w:rPr>
          <w:rFonts w:hint="eastAsia"/>
        </w:rPr>
        <w:t>院決策之參考，</w:t>
      </w:r>
      <w:proofErr w:type="gramStart"/>
      <w:r>
        <w:rPr>
          <w:rFonts w:hint="eastAsia"/>
        </w:rPr>
        <w:t>此已詳如</w:t>
      </w:r>
      <w:proofErr w:type="gramEnd"/>
      <w:r>
        <w:rPr>
          <w:rFonts w:hint="eastAsia"/>
        </w:rPr>
        <w:t>前述</w:t>
      </w:r>
      <w:r w:rsidR="00391FE0">
        <w:rPr>
          <w:rFonts w:hint="eastAsia"/>
        </w:rPr>
        <w:t>。</w:t>
      </w:r>
      <w:r>
        <w:rPr>
          <w:rFonts w:hint="eastAsia"/>
        </w:rPr>
        <w:t>日後如因業務所需，而有邀請相關機關</w:t>
      </w:r>
      <w:proofErr w:type="gramStart"/>
      <w:r>
        <w:rPr>
          <w:rFonts w:hint="eastAsia"/>
        </w:rPr>
        <w:t>研</w:t>
      </w:r>
      <w:proofErr w:type="gramEnd"/>
      <w:r>
        <w:rPr>
          <w:rFonts w:hint="eastAsia"/>
        </w:rPr>
        <w:t>擬具體防逃機制細節之必要，該院當適時辦理。</w:t>
      </w:r>
    </w:p>
    <w:p w:rsidR="006B7579" w:rsidRDefault="006B7579" w:rsidP="006B7579">
      <w:pPr>
        <w:pStyle w:val="3"/>
        <w:numPr>
          <w:ilvl w:val="0"/>
          <w:numId w:val="0"/>
        </w:numPr>
        <w:ind w:left="1361"/>
      </w:pPr>
      <w:r>
        <w:rPr>
          <w:rFonts w:hint="eastAsia"/>
        </w:rPr>
        <w:t xml:space="preserve">    由上述函復可知，法務部及司法</w:t>
      </w:r>
      <w:proofErr w:type="gramStart"/>
      <w:r>
        <w:rPr>
          <w:rFonts w:hint="eastAsia"/>
        </w:rPr>
        <w:t>院均認</w:t>
      </w:r>
      <w:r w:rsidR="00963723">
        <w:rPr>
          <w:rFonts w:hint="eastAsia"/>
        </w:rPr>
        <w:t>對於</w:t>
      </w:r>
      <w:proofErr w:type="gramEnd"/>
      <w:r w:rsidR="00963723">
        <w:rPr>
          <w:rFonts w:hint="eastAsia"/>
        </w:rPr>
        <w:t>該業務之執行尚無訂</w:t>
      </w:r>
      <w:r w:rsidR="001E13A8">
        <w:rPr>
          <w:rFonts w:hint="eastAsia"/>
        </w:rPr>
        <w:t>定</w:t>
      </w:r>
      <w:r w:rsidR="00963723">
        <w:rPr>
          <w:rFonts w:hint="eastAsia"/>
        </w:rPr>
        <w:t>相關細節性規範之必要</w:t>
      </w:r>
      <w:r w:rsidR="00391FE0">
        <w:rPr>
          <w:rFonts w:hint="eastAsia"/>
        </w:rPr>
        <w:t>。</w:t>
      </w:r>
      <w:r w:rsidR="00963723">
        <w:rPr>
          <w:rFonts w:hint="eastAsia"/>
        </w:rPr>
        <w:t>然據本院函</w:t>
      </w:r>
      <w:proofErr w:type="gramStart"/>
      <w:r w:rsidR="00963723">
        <w:rPr>
          <w:rFonts w:hint="eastAsia"/>
        </w:rPr>
        <w:t>詢</w:t>
      </w:r>
      <w:r>
        <w:rPr>
          <w:rFonts w:hint="eastAsia"/>
        </w:rPr>
        <w:t>警政署時</w:t>
      </w:r>
      <w:proofErr w:type="gramEnd"/>
      <w:r>
        <w:rPr>
          <w:rFonts w:hint="eastAsia"/>
        </w:rPr>
        <w:t>，該署</w:t>
      </w:r>
      <w:r w:rsidR="00963723">
        <w:rPr>
          <w:rFonts w:hint="eastAsia"/>
        </w:rPr>
        <w:t>表示對於執行報到業務仍</w:t>
      </w:r>
      <w:r>
        <w:rPr>
          <w:rFonts w:hint="eastAsia"/>
        </w:rPr>
        <w:t>須</w:t>
      </w:r>
      <w:r w:rsidR="001B1389">
        <w:rPr>
          <w:rFonts w:hint="eastAsia"/>
        </w:rPr>
        <w:t>訂</w:t>
      </w:r>
      <w:r>
        <w:rPr>
          <w:rFonts w:hint="eastAsia"/>
        </w:rPr>
        <w:t>定流程及作業之規範，</w:t>
      </w:r>
      <w:r w:rsidR="00963723">
        <w:rPr>
          <w:rFonts w:hint="eastAsia"/>
        </w:rPr>
        <w:t>並</w:t>
      </w:r>
      <w:r>
        <w:rPr>
          <w:rFonts w:hint="eastAsia"/>
        </w:rPr>
        <w:t>提出下列看法</w:t>
      </w:r>
      <w:r w:rsidR="007A7D95">
        <w:rPr>
          <w:rStyle w:val="aff"/>
        </w:rPr>
        <w:footnoteReference w:id="8"/>
      </w:r>
      <w:r>
        <w:rPr>
          <w:rFonts w:hint="eastAsia"/>
        </w:rPr>
        <w:t>：</w:t>
      </w:r>
    </w:p>
    <w:p w:rsidR="00213C4D" w:rsidRDefault="00213C4D" w:rsidP="009F25B1">
      <w:pPr>
        <w:pStyle w:val="4"/>
        <w:numPr>
          <w:ilvl w:val="3"/>
          <w:numId w:val="18"/>
        </w:numPr>
      </w:pPr>
      <w:r>
        <w:rPr>
          <w:rFonts w:hint="eastAsia"/>
        </w:rPr>
        <w:t>法院、檢察署尚未針對報到流程訂有作業規範或處理程序；該署對於協助報到程序因個案情節不一，且主管機關未有明確規範，亦未訂有處理程序。</w:t>
      </w:r>
    </w:p>
    <w:p w:rsidR="00213C4D" w:rsidRDefault="00213C4D" w:rsidP="006B7579">
      <w:pPr>
        <w:pStyle w:val="4"/>
      </w:pPr>
      <w:r>
        <w:rPr>
          <w:rFonts w:hint="eastAsia"/>
        </w:rPr>
        <w:t>報到程序制定法規一節，因刑事被告報到案件之辦理，涉及法院(法官)、檢察署(檢察官)及各指定機關(包含警察機關)</w:t>
      </w:r>
      <w:r w:rsidR="007A7D95">
        <w:rPr>
          <w:rFonts w:hint="eastAsia"/>
        </w:rPr>
        <w:t>應配合辦理之事項及程序，經該</w:t>
      </w:r>
      <w:r>
        <w:rPr>
          <w:rFonts w:hint="eastAsia"/>
        </w:rPr>
        <w:t>署調查全國警察機關目前執行中刑事被告報到案件，法院或檢察署命被告報到方式、報到時間及報到頻率依其個案而異，</w:t>
      </w:r>
      <w:r w:rsidRPr="007A7D95">
        <w:rPr>
          <w:rFonts w:hint="eastAsia"/>
          <w:b/>
        </w:rPr>
        <w:t>針對報到案件之應配合事項及辦理程序，如能共同</w:t>
      </w:r>
      <w:proofErr w:type="gramStart"/>
      <w:r w:rsidRPr="007A7D95">
        <w:rPr>
          <w:rFonts w:hint="eastAsia"/>
          <w:b/>
        </w:rPr>
        <w:t>研</w:t>
      </w:r>
      <w:proofErr w:type="gramEnd"/>
      <w:r w:rsidRPr="007A7D95">
        <w:rPr>
          <w:rFonts w:hint="eastAsia"/>
          <w:b/>
        </w:rPr>
        <w:t>商訂定行</w:t>
      </w:r>
      <w:r w:rsidRPr="007A7D95">
        <w:rPr>
          <w:rFonts w:hint="eastAsia"/>
          <w:b/>
        </w:rPr>
        <w:lastRenderedPageBreak/>
        <w:t>政規則，</w:t>
      </w:r>
      <w:proofErr w:type="gramStart"/>
      <w:r w:rsidRPr="007A7D95">
        <w:rPr>
          <w:rFonts w:hint="eastAsia"/>
          <w:b/>
        </w:rPr>
        <w:t>應較周妥</w:t>
      </w:r>
      <w:proofErr w:type="gramEnd"/>
      <w:r>
        <w:rPr>
          <w:rFonts w:hint="eastAsia"/>
        </w:rPr>
        <w:t>。</w:t>
      </w:r>
    </w:p>
    <w:p w:rsidR="00213C4D" w:rsidRDefault="00213C4D" w:rsidP="006B7579">
      <w:pPr>
        <w:pStyle w:val="4"/>
      </w:pPr>
      <w:r>
        <w:rPr>
          <w:rFonts w:hint="eastAsia"/>
        </w:rPr>
        <w:t>因目前法院、檢察署針對刑事被告報到流程尚無訂定作業規範或處理程序，且個案情節不一，因此該署先前未訂定內部作業規範</w:t>
      </w:r>
      <w:r w:rsidR="00391FE0">
        <w:rPr>
          <w:rFonts w:hint="eastAsia"/>
        </w:rPr>
        <w:t>。</w:t>
      </w:r>
      <w:proofErr w:type="gramStart"/>
      <w:r>
        <w:rPr>
          <w:rFonts w:hint="eastAsia"/>
        </w:rPr>
        <w:t>惟</w:t>
      </w:r>
      <w:proofErr w:type="gramEnd"/>
      <w:r>
        <w:rPr>
          <w:rFonts w:hint="eastAsia"/>
        </w:rPr>
        <w:t>考量實務機關辦理需求，該署已訂定「警察機關辦理刑事被告報到案件注意事項」</w:t>
      </w:r>
      <w:r w:rsidR="00391FE0">
        <w:rPr>
          <w:rFonts w:hint="eastAsia"/>
        </w:rPr>
        <w:t>，</w:t>
      </w:r>
      <w:proofErr w:type="gramStart"/>
      <w:r>
        <w:rPr>
          <w:rFonts w:hint="eastAsia"/>
        </w:rPr>
        <w:t>107年8月28日函發各</w:t>
      </w:r>
      <w:proofErr w:type="gramEnd"/>
      <w:r>
        <w:rPr>
          <w:rFonts w:hint="eastAsia"/>
        </w:rPr>
        <w:t>警察機關依循，落實辦理。</w:t>
      </w:r>
    </w:p>
    <w:p w:rsidR="00213C4D" w:rsidRDefault="00213C4D" w:rsidP="00AE3F87">
      <w:pPr>
        <w:pStyle w:val="4"/>
      </w:pPr>
      <w:r>
        <w:rPr>
          <w:rFonts w:hint="eastAsia"/>
        </w:rPr>
        <w:t>法院及檢察署函請</w:t>
      </w:r>
      <w:r w:rsidR="00391FE0">
        <w:rPr>
          <w:rFonts w:hint="eastAsia"/>
        </w:rPr>
        <w:t>警察</w:t>
      </w:r>
      <w:r>
        <w:rPr>
          <w:rFonts w:hint="eastAsia"/>
        </w:rPr>
        <w:t>機關協助辦理刑事被告報到案件，因缺乏明確法律規定及細節性執行規則，目前僅由各法院或檢察官依個案情節責成被告應遵守事項，難有明確依循程序。</w:t>
      </w:r>
    </w:p>
    <w:p w:rsidR="00AE3F87" w:rsidRDefault="00AE3F87" w:rsidP="00AE3F87">
      <w:pPr>
        <w:pStyle w:val="3"/>
        <w:numPr>
          <w:ilvl w:val="0"/>
          <w:numId w:val="0"/>
        </w:numPr>
        <w:ind w:left="1361"/>
      </w:pPr>
      <w:r>
        <w:rPr>
          <w:rFonts w:hint="eastAsia"/>
        </w:rPr>
        <w:t xml:space="preserve">    </w:t>
      </w:r>
      <w:r w:rsidR="007A7D95">
        <w:rPr>
          <w:rFonts w:hint="eastAsia"/>
        </w:rPr>
        <w:t>命被告報到係為羈押之替代處分後之附加處分</w:t>
      </w:r>
      <w:r>
        <w:rPr>
          <w:rFonts w:hint="eastAsia"/>
        </w:rPr>
        <w:t>，</w:t>
      </w:r>
      <w:r w:rsidR="007A7D95">
        <w:rPr>
          <w:rFonts w:hint="eastAsia"/>
        </w:rPr>
        <w:t>依其性質仍屬限制人身自由</w:t>
      </w:r>
      <w:r w:rsidR="006A6E99">
        <w:rPr>
          <w:rFonts w:hint="eastAsia"/>
        </w:rPr>
        <w:t>之處分</w:t>
      </w:r>
      <w:r>
        <w:rPr>
          <w:rFonts w:hint="eastAsia"/>
        </w:rPr>
        <w:t>，倘無</w:t>
      </w:r>
      <w:r w:rsidR="007A7D95">
        <w:rPr>
          <w:rFonts w:hint="eastAsia"/>
        </w:rPr>
        <w:t>明確之規範而予以為之，實有違法律保留原則及法律明確性原則</w:t>
      </w:r>
      <w:r w:rsidR="00391FE0">
        <w:rPr>
          <w:rFonts w:hint="eastAsia"/>
        </w:rPr>
        <w:t>。</w:t>
      </w:r>
      <w:proofErr w:type="gramStart"/>
      <w:r w:rsidR="00A6331F">
        <w:rPr>
          <w:rFonts w:hint="eastAsia"/>
        </w:rPr>
        <w:t>況</w:t>
      </w:r>
      <w:proofErr w:type="gramEnd"/>
      <w:r>
        <w:rPr>
          <w:rFonts w:hint="eastAsia"/>
        </w:rPr>
        <w:t>命刑事被告報到之主體依刑事訴訟法第116條</w:t>
      </w:r>
      <w:r w:rsidR="00E264E5">
        <w:rPr>
          <w:rFonts w:hint="eastAsia"/>
        </w:rPr>
        <w:t>之2</w:t>
      </w:r>
      <w:r>
        <w:rPr>
          <w:rFonts w:hint="eastAsia"/>
        </w:rPr>
        <w:t>第1</w:t>
      </w:r>
      <w:r w:rsidR="007A7D95">
        <w:rPr>
          <w:rFonts w:hint="eastAsia"/>
        </w:rPr>
        <w:t>款既已明文規定為法院與檢察官，則委由警方辦理顯</w:t>
      </w:r>
      <w:r w:rsidR="00A6331F">
        <w:rPr>
          <w:rFonts w:hint="eastAsia"/>
        </w:rPr>
        <w:t>於法不符</w:t>
      </w:r>
      <w:r w:rsidR="00391FE0">
        <w:rPr>
          <w:rFonts w:hint="eastAsia"/>
        </w:rPr>
        <w:t>。</w:t>
      </w:r>
      <w:r w:rsidR="007A7D95">
        <w:rPr>
          <w:rFonts w:hint="eastAsia"/>
        </w:rPr>
        <w:t>主管機關</w:t>
      </w:r>
      <w:r w:rsidR="00A6331F">
        <w:rPr>
          <w:rFonts w:hint="eastAsia"/>
        </w:rPr>
        <w:t>對於</w:t>
      </w:r>
      <w:r>
        <w:rPr>
          <w:rFonts w:hint="eastAsia"/>
        </w:rPr>
        <w:t>執行方式及流程</w:t>
      </w:r>
      <w:r w:rsidR="007A7D95">
        <w:rPr>
          <w:rFonts w:hint="eastAsia"/>
        </w:rPr>
        <w:t>又</w:t>
      </w:r>
      <w:r w:rsidR="00A6331F">
        <w:rPr>
          <w:rFonts w:hint="eastAsia"/>
        </w:rPr>
        <w:t>無</w:t>
      </w:r>
      <w:r w:rsidR="001B1389">
        <w:rPr>
          <w:rFonts w:hint="eastAsia"/>
        </w:rPr>
        <w:t>訂</w:t>
      </w:r>
      <w:r w:rsidR="00A6331F">
        <w:rPr>
          <w:rFonts w:hint="eastAsia"/>
        </w:rPr>
        <w:t>定相關細節性規定</w:t>
      </w:r>
      <w:r>
        <w:rPr>
          <w:rFonts w:hint="eastAsia"/>
        </w:rPr>
        <w:t>供受囑託機關依循，</w:t>
      </w:r>
      <w:r w:rsidR="007A7D95">
        <w:rPr>
          <w:rFonts w:hint="eastAsia"/>
        </w:rPr>
        <w:t>易使受囑託</w:t>
      </w:r>
      <w:r w:rsidR="00245613">
        <w:rPr>
          <w:rFonts w:hint="eastAsia"/>
        </w:rPr>
        <w:t>機關無所適從，實非妥當。</w:t>
      </w:r>
    </w:p>
    <w:p w:rsidR="00245613" w:rsidRDefault="00245613" w:rsidP="009E4078">
      <w:pPr>
        <w:pStyle w:val="3"/>
      </w:pPr>
      <w:r>
        <w:rPr>
          <w:rFonts w:hint="eastAsia"/>
        </w:rPr>
        <w:t>次查</w:t>
      </w:r>
      <w:r w:rsidR="0027632F" w:rsidRPr="0027632F">
        <w:rPr>
          <w:rFonts w:hint="eastAsia"/>
        </w:rPr>
        <w:t>高雄地檢署於106年10月26日發函至前鎮分局，指定方式為：「請協助</w:t>
      </w:r>
      <w:r w:rsidR="009E4078" w:rsidRPr="009E4078">
        <w:rPr>
          <w:rFonts w:hint="eastAsia"/>
        </w:rPr>
        <w:t>高雄地檢</w:t>
      </w:r>
      <w:r w:rsidR="0027632F" w:rsidRPr="0027632F">
        <w:rPr>
          <w:rFonts w:hint="eastAsia"/>
        </w:rPr>
        <w:t>署辦理陳慶男、陳偉志及陳盧昭霞自106年10月27日起至本案</w:t>
      </w:r>
      <w:proofErr w:type="gramStart"/>
      <w:r w:rsidR="0027632F" w:rsidRPr="0027632F">
        <w:rPr>
          <w:rFonts w:hint="eastAsia"/>
        </w:rPr>
        <w:t>偵</w:t>
      </w:r>
      <w:proofErr w:type="gramEnd"/>
      <w:r w:rsidR="0027632F" w:rsidRPr="0027632F">
        <w:rPr>
          <w:rFonts w:hint="eastAsia"/>
        </w:rPr>
        <w:t>結為止，每日前往轄區復興路派出所報到1次…</w:t>
      </w:r>
      <w:proofErr w:type="gramStart"/>
      <w:r w:rsidR="0027632F" w:rsidRPr="0027632F">
        <w:rPr>
          <w:rFonts w:hint="eastAsia"/>
        </w:rPr>
        <w:t>…</w:t>
      </w:r>
      <w:proofErr w:type="gramEnd"/>
      <w:r w:rsidR="0027632F" w:rsidRPr="0027632F">
        <w:rPr>
          <w:rFonts w:hint="eastAsia"/>
        </w:rPr>
        <w:t>。」(詳附</w:t>
      </w:r>
      <w:r w:rsidR="00391FE0">
        <w:rPr>
          <w:rFonts w:hint="eastAsia"/>
        </w:rPr>
        <w:t>件</w:t>
      </w:r>
      <w:r w:rsidR="0097782D">
        <w:rPr>
          <w:rFonts w:hint="eastAsia"/>
        </w:rPr>
        <w:t>一</w:t>
      </w:r>
      <w:r w:rsidR="0027632F" w:rsidRPr="0027632F">
        <w:rPr>
          <w:rFonts w:hint="eastAsia"/>
        </w:rPr>
        <w:t>)；另高雄地院亦於106年3月27日：「被告陳偉志自107年3月26日起應於每日</w:t>
      </w:r>
      <w:proofErr w:type="gramStart"/>
      <w:r w:rsidR="0027632F" w:rsidRPr="0027632F">
        <w:rPr>
          <w:rFonts w:hint="eastAsia"/>
        </w:rPr>
        <w:t>前往貴轄派出所</w:t>
      </w:r>
      <w:proofErr w:type="gramEnd"/>
      <w:r w:rsidR="0027632F" w:rsidRPr="0027632F">
        <w:rPr>
          <w:rFonts w:hint="eastAsia"/>
        </w:rPr>
        <w:t>報到，與次日報到時間應間隔12小時以上。」(詳附</w:t>
      </w:r>
      <w:r w:rsidR="00391FE0">
        <w:rPr>
          <w:rFonts w:hint="eastAsia"/>
        </w:rPr>
        <w:t>件</w:t>
      </w:r>
      <w:r w:rsidR="0097782D">
        <w:rPr>
          <w:rFonts w:hint="eastAsia"/>
        </w:rPr>
        <w:t>二</w:t>
      </w:r>
      <w:r w:rsidR="0027632F" w:rsidRPr="0027632F">
        <w:rPr>
          <w:rFonts w:hint="eastAsia"/>
        </w:rPr>
        <w:t>)。</w:t>
      </w:r>
      <w:r w:rsidR="0027632F">
        <w:rPr>
          <w:rFonts w:hint="eastAsia"/>
        </w:rPr>
        <w:t>由</w:t>
      </w:r>
      <w:proofErr w:type="gramStart"/>
      <w:r w:rsidR="0027632F">
        <w:rPr>
          <w:rFonts w:hint="eastAsia"/>
        </w:rPr>
        <w:t>上述兩函文</w:t>
      </w:r>
      <w:proofErr w:type="gramEnd"/>
      <w:r w:rsidR="0027632F">
        <w:rPr>
          <w:rFonts w:hint="eastAsia"/>
        </w:rPr>
        <w:t>之報到指定</w:t>
      </w:r>
      <w:proofErr w:type="gramStart"/>
      <w:r w:rsidR="0027632F">
        <w:rPr>
          <w:rFonts w:hint="eastAsia"/>
        </w:rPr>
        <w:t>方式均無一定</w:t>
      </w:r>
      <w:proofErr w:type="gramEnd"/>
      <w:r w:rsidR="0027632F">
        <w:rPr>
          <w:rFonts w:hint="eastAsia"/>
        </w:rPr>
        <w:t>形式，另據</w:t>
      </w:r>
      <w:proofErr w:type="gramStart"/>
      <w:r w:rsidR="0027632F">
        <w:rPr>
          <w:rFonts w:hint="eastAsia"/>
        </w:rPr>
        <w:t>警政署函復</w:t>
      </w:r>
      <w:proofErr w:type="gramEnd"/>
      <w:r>
        <w:rPr>
          <w:rFonts w:hint="eastAsia"/>
        </w:rPr>
        <w:t>目前檢察機關與法院囑託警察機關辦理刑事被告報到案件之態樣</w:t>
      </w:r>
      <w:r w:rsidR="006A6E99">
        <w:rPr>
          <w:rFonts w:hint="eastAsia"/>
        </w:rPr>
        <w:t>，有以下情形</w:t>
      </w:r>
      <w:r>
        <w:rPr>
          <w:rFonts w:hint="eastAsia"/>
        </w:rPr>
        <w:t>：</w:t>
      </w:r>
    </w:p>
    <w:p w:rsidR="00245613" w:rsidRDefault="00245613" w:rsidP="0027632F">
      <w:pPr>
        <w:pStyle w:val="4"/>
      </w:pPr>
      <w:r>
        <w:rPr>
          <w:rFonts w:hint="eastAsia"/>
        </w:rPr>
        <w:lastRenderedPageBreak/>
        <w:t>經警政署</w:t>
      </w:r>
      <w:r>
        <w:rPr>
          <w:rStyle w:val="aff"/>
        </w:rPr>
        <w:footnoteReference w:id="9"/>
      </w:r>
      <w:r>
        <w:rPr>
          <w:rFonts w:hint="eastAsia"/>
        </w:rPr>
        <w:t>調查統計各警察機關辦理刑事被告報到案件，報到頻率自每日2次至每月1次不等，</w:t>
      </w:r>
      <w:r w:rsidR="0027632F">
        <w:rPr>
          <w:rFonts w:hint="eastAsia"/>
        </w:rPr>
        <w:t>警察機關辦理被告報到態樣如下表</w:t>
      </w:r>
      <w:r w:rsidR="00650639">
        <w:rPr>
          <w:rFonts w:hint="eastAsia"/>
        </w:rPr>
        <w:t>2</w:t>
      </w:r>
      <w:r w:rsidR="0027632F">
        <w:rPr>
          <w:rFonts w:hint="eastAsia"/>
        </w:rPr>
        <w:t>所示</w:t>
      </w:r>
      <w:r>
        <w:rPr>
          <w:rFonts w:hint="eastAsia"/>
        </w:rPr>
        <w:t>：</w:t>
      </w:r>
    </w:p>
    <w:p w:rsidR="00245613" w:rsidRDefault="00245613" w:rsidP="002B6DA0">
      <w:pPr>
        <w:pStyle w:val="5"/>
        <w:numPr>
          <w:ilvl w:val="0"/>
          <w:numId w:val="0"/>
        </w:numPr>
        <w:spacing w:before="240"/>
        <w:ind w:left="1701"/>
        <w:rPr>
          <w:sz w:val="28"/>
        </w:rPr>
      </w:pPr>
      <w:r>
        <w:rPr>
          <w:rFonts w:hint="eastAsia"/>
          <w:sz w:val="28"/>
        </w:rPr>
        <w:t>表2 警察機關辦理刑事被告報到一覽表</w:t>
      </w:r>
    </w:p>
    <w:tbl>
      <w:tblPr>
        <w:tblStyle w:val="af7"/>
        <w:tblW w:w="0" w:type="auto"/>
        <w:tblInd w:w="1830" w:type="dxa"/>
        <w:tblLook w:val="04A0" w:firstRow="1" w:lastRow="0" w:firstColumn="1" w:lastColumn="0" w:noHBand="0" w:noVBand="1"/>
      </w:tblPr>
      <w:tblGrid>
        <w:gridCol w:w="1760"/>
        <w:gridCol w:w="2977"/>
        <w:gridCol w:w="2267"/>
      </w:tblGrid>
      <w:tr w:rsidR="00245613" w:rsidRPr="008A653F" w:rsidTr="002B6DA0">
        <w:trPr>
          <w:tblHeader/>
        </w:trPr>
        <w:tc>
          <w:tcPr>
            <w:tcW w:w="1822" w:type="dxa"/>
            <w:shd w:val="clear" w:color="auto" w:fill="EEECE1" w:themeFill="background2"/>
          </w:tcPr>
          <w:p w:rsidR="00245613" w:rsidRPr="008A653F" w:rsidRDefault="00245613" w:rsidP="003D2CEE">
            <w:pPr>
              <w:pStyle w:val="5"/>
              <w:numPr>
                <w:ilvl w:val="0"/>
                <w:numId w:val="0"/>
              </w:numPr>
              <w:jc w:val="center"/>
              <w:rPr>
                <w:b/>
                <w:sz w:val="28"/>
              </w:rPr>
            </w:pPr>
            <w:r w:rsidRPr="008A653F">
              <w:rPr>
                <w:rFonts w:hint="eastAsia"/>
                <w:b/>
                <w:sz w:val="28"/>
              </w:rPr>
              <w:t>報到頻率</w:t>
            </w:r>
          </w:p>
        </w:tc>
        <w:tc>
          <w:tcPr>
            <w:tcW w:w="3068" w:type="dxa"/>
            <w:shd w:val="clear" w:color="auto" w:fill="EEECE1" w:themeFill="background2"/>
          </w:tcPr>
          <w:p w:rsidR="00245613" w:rsidRPr="008A653F" w:rsidRDefault="00245613" w:rsidP="003D2CEE">
            <w:pPr>
              <w:pStyle w:val="5"/>
              <w:numPr>
                <w:ilvl w:val="0"/>
                <w:numId w:val="0"/>
              </w:numPr>
              <w:jc w:val="center"/>
              <w:rPr>
                <w:b/>
                <w:sz w:val="28"/>
              </w:rPr>
            </w:pPr>
            <w:r w:rsidRPr="008A653F">
              <w:rPr>
                <w:rFonts w:hint="eastAsia"/>
                <w:b/>
                <w:sz w:val="28"/>
              </w:rPr>
              <w:t>報到方式</w:t>
            </w:r>
          </w:p>
        </w:tc>
        <w:tc>
          <w:tcPr>
            <w:tcW w:w="2340" w:type="dxa"/>
            <w:shd w:val="clear" w:color="auto" w:fill="EEECE1" w:themeFill="background2"/>
          </w:tcPr>
          <w:p w:rsidR="00245613" w:rsidRPr="008A653F" w:rsidRDefault="00245613" w:rsidP="003D2CEE">
            <w:pPr>
              <w:pStyle w:val="5"/>
              <w:numPr>
                <w:ilvl w:val="0"/>
                <w:numId w:val="0"/>
              </w:numPr>
              <w:jc w:val="center"/>
              <w:rPr>
                <w:b/>
                <w:sz w:val="28"/>
              </w:rPr>
            </w:pPr>
            <w:r w:rsidRPr="008A653F">
              <w:rPr>
                <w:rFonts w:hint="eastAsia"/>
                <w:b/>
                <w:sz w:val="28"/>
              </w:rPr>
              <w:t>備註</w:t>
            </w:r>
          </w:p>
        </w:tc>
      </w:tr>
      <w:tr w:rsidR="00245613" w:rsidTr="002B6DA0">
        <w:tc>
          <w:tcPr>
            <w:tcW w:w="1822" w:type="dxa"/>
          </w:tcPr>
          <w:p w:rsidR="00245613" w:rsidRDefault="00E75424" w:rsidP="00E75424">
            <w:pPr>
              <w:pStyle w:val="5"/>
              <w:numPr>
                <w:ilvl w:val="0"/>
                <w:numId w:val="0"/>
              </w:numPr>
              <w:rPr>
                <w:sz w:val="28"/>
              </w:rPr>
            </w:pPr>
            <w:r>
              <w:rPr>
                <w:rFonts w:hint="eastAsia"/>
                <w:sz w:val="28"/>
              </w:rPr>
              <w:t>1</w:t>
            </w:r>
            <w:r w:rsidR="00245613">
              <w:rPr>
                <w:rFonts w:hint="eastAsia"/>
                <w:sz w:val="28"/>
              </w:rPr>
              <w:t>日</w:t>
            </w:r>
            <w:r>
              <w:rPr>
                <w:rFonts w:hint="eastAsia"/>
                <w:sz w:val="28"/>
              </w:rPr>
              <w:t>2</w:t>
            </w:r>
            <w:r w:rsidR="00245613">
              <w:rPr>
                <w:rFonts w:hint="eastAsia"/>
                <w:sz w:val="28"/>
              </w:rPr>
              <w:t>次</w:t>
            </w:r>
          </w:p>
        </w:tc>
        <w:tc>
          <w:tcPr>
            <w:tcW w:w="3068" w:type="dxa"/>
          </w:tcPr>
          <w:p w:rsidR="00245613" w:rsidRDefault="00245613" w:rsidP="009F25B1">
            <w:pPr>
              <w:pStyle w:val="5"/>
              <w:numPr>
                <w:ilvl w:val="0"/>
                <w:numId w:val="20"/>
              </w:numPr>
              <w:rPr>
                <w:sz w:val="28"/>
              </w:rPr>
            </w:pPr>
            <w:r>
              <w:rPr>
                <w:rFonts w:hint="eastAsia"/>
                <w:sz w:val="28"/>
              </w:rPr>
              <w:t>每日</w:t>
            </w:r>
            <w:r w:rsidR="00E75424">
              <w:rPr>
                <w:rFonts w:hint="eastAsia"/>
                <w:sz w:val="28"/>
              </w:rPr>
              <w:t>2</w:t>
            </w:r>
            <w:r>
              <w:rPr>
                <w:rFonts w:hint="eastAsia"/>
                <w:sz w:val="28"/>
              </w:rPr>
              <w:t>次，有規定時段。</w:t>
            </w:r>
          </w:p>
          <w:p w:rsidR="00245613" w:rsidRDefault="00245613" w:rsidP="009F25B1">
            <w:pPr>
              <w:pStyle w:val="5"/>
              <w:numPr>
                <w:ilvl w:val="0"/>
                <w:numId w:val="20"/>
              </w:numPr>
              <w:rPr>
                <w:sz w:val="28"/>
              </w:rPr>
            </w:pPr>
            <w:r>
              <w:rPr>
                <w:rFonts w:hint="eastAsia"/>
                <w:sz w:val="28"/>
              </w:rPr>
              <w:t>每日早晚各</w:t>
            </w:r>
            <w:r w:rsidR="00E75424">
              <w:rPr>
                <w:rFonts w:hint="eastAsia"/>
                <w:sz w:val="28"/>
              </w:rPr>
              <w:t>1</w:t>
            </w:r>
            <w:r>
              <w:rPr>
                <w:rFonts w:hint="eastAsia"/>
                <w:sz w:val="28"/>
              </w:rPr>
              <w:t>次無規定時段。</w:t>
            </w:r>
          </w:p>
        </w:tc>
        <w:tc>
          <w:tcPr>
            <w:tcW w:w="2340" w:type="dxa"/>
          </w:tcPr>
          <w:p w:rsidR="00245613" w:rsidRDefault="00245613" w:rsidP="003D2CEE">
            <w:pPr>
              <w:pStyle w:val="5"/>
              <w:numPr>
                <w:ilvl w:val="0"/>
                <w:numId w:val="0"/>
              </w:numPr>
              <w:rPr>
                <w:sz w:val="28"/>
              </w:rPr>
            </w:pPr>
          </w:p>
        </w:tc>
      </w:tr>
      <w:tr w:rsidR="00245613" w:rsidTr="002B6DA0">
        <w:tc>
          <w:tcPr>
            <w:tcW w:w="1822" w:type="dxa"/>
          </w:tcPr>
          <w:p w:rsidR="00245613" w:rsidRDefault="00245613" w:rsidP="003D2CEE">
            <w:pPr>
              <w:pStyle w:val="5"/>
              <w:numPr>
                <w:ilvl w:val="0"/>
                <w:numId w:val="0"/>
              </w:numPr>
              <w:rPr>
                <w:sz w:val="28"/>
              </w:rPr>
            </w:pPr>
            <w:r>
              <w:rPr>
                <w:rFonts w:hint="eastAsia"/>
                <w:sz w:val="28"/>
              </w:rPr>
              <w:t>每日</w:t>
            </w:r>
          </w:p>
        </w:tc>
        <w:tc>
          <w:tcPr>
            <w:tcW w:w="3068" w:type="dxa"/>
          </w:tcPr>
          <w:p w:rsidR="00245613" w:rsidRDefault="00245613" w:rsidP="009F25B1">
            <w:pPr>
              <w:pStyle w:val="5"/>
              <w:numPr>
                <w:ilvl w:val="0"/>
                <w:numId w:val="21"/>
              </w:numPr>
              <w:rPr>
                <w:sz w:val="28"/>
              </w:rPr>
            </w:pPr>
            <w:r>
              <w:rPr>
                <w:rFonts w:hint="eastAsia"/>
                <w:sz w:val="28"/>
              </w:rPr>
              <w:t>每日規定時段。</w:t>
            </w:r>
          </w:p>
          <w:p w:rsidR="00245613" w:rsidRDefault="00245613" w:rsidP="009F25B1">
            <w:pPr>
              <w:pStyle w:val="5"/>
              <w:numPr>
                <w:ilvl w:val="0"/>
                <w:numId w:val="21"/>
              </w:numPr>
              <w:rPr>
                <w:sz w:val="28"/>
              </w:rPr>
            </w:pPr>
            <w:r>
              <w:rPr>
                <w:rFonts w:hint="eastAsia"/>
                <w:sz w:val="28"/>
              </w:rPr>
              <w:t>每日</w:t>
            </w:r>
            <w:proofErr w:type="gramStart"/>
            <w:r>
              <w:rPr>
                <w:rFonts w:hint="eastAsia"/>
                <w:sz w:val="28"/>
              </w:rPr>
              <w:t>不</w:t>
            </w:r>
            <w:proofErr w:type="gramEnd"/>
            <w:r>
              <w:rPr>
                <w:rFonts w:hint="eastAsia"/>
                <w:sz w:val="28"/>
              </w:rPr>
              <w:t>限時段。</w:t>
            </w:r>
          </w:p>
        </w:tc>
        <w:tc>
          <w:tcPr>
            <w:tcW w:w="2340" w:type="dxa"/>
          </w:tcPr>
          <w:p w:rsidR="00245613" w:rsidRDefault="00245613" w:rsidP="00610E06">
            <w:pPr>
              <w:pStyle w:val="5"/>
              <w:numPr>
                <w:ilvl w:val="0"/>
                <w:numId w:val="0"/>
              </w:numPr>
              <w:rPr>
                <w:sz w:val="28"/>
              </w:rPr>
            </w:pPr>
            <w:r>
              <w:rPr>
                <w:rFonts w:hint="eastAsia"/>
                <w:sz w:val="28"/>
              </w:rPr>
              <w:t>部</w:t>
            </w:r>
            <w:r w:rsidR="00610E06">
              <w:rPr>
                <w:rFonts w:hint="eastAsia"/>
                <w:sz w:val="28"/>
              </w:rPr>
              <w:t>分</w:t>
            </w:r>
            <w:r>
              <w:rPr>
                <w:rFonts w:hint="eastAsia"/>
                <w:sz w:val="28"/>
              </w:rPr>
              <w:t>規定前後</w:t>
            </w:r>
            <w:proofErr w:type="gramStart"/>
            <w:r>
              <w:rPr>
                <w:rFonts w:hint="eastAsia"/>
                <w:sz w:val="28"/>
              </w:rPr>
              <w:t>日相隔12小時</w:t>
            </w:r>
            <w:proofErr w:type="gramEnd"/>
            <w:r>
              <w:rPr>
                <w:rFonts w:hint="eastAsia"/>
                <w:sz w:val="28"/>
              </w:rPr>
              <w:t>以上</w:t>
            </w:r>
          </w:p>
        </w:tc>
      </w:tr>
      <w:tr w:rsidR="00245613" w:rsidTr="002B6DA0">
        <w:tc>
          <w:tcPr>
            <w:tcW w:w="1822" w:type="dxa"/>
          </w:tcPr>
          <w:p w:rsidR="00245613" w:rsidRDefault="00E75424" w:rsidP="00E75424">
            <w:pPr>
              <w:pStyle w:val="5"/>
              <w:numPr>
                <w:ilvl w:val="0"/>
                <w:numId w:val="0"/>
              </w:numPr>
              <w:rPr>
                <w:sz w:val="28"/>
              </w:rPr>
            </w:pPr>
            <w:r>
              <w:rPr>
                <w:rFonts w:hint="eastAsia"/>
                <w:sz w:val="28"/>
              </w:rPr>
              <w:t>2</w:t>
            </w:r>
            <w:r w:rsidR="00245613">
              <w:rPr>
                <w:rFonts w:hint="eastAsia"/>
                <w:sz w:val="28"/>
              </w:rPr>
              <w:t>日</w:t>
            </w:r>
            <w:r>
              <w:rPr>
                <w:rFonts w:hint="eastAsia"/>
                <w:sz w:val="28"/>
              </w:rPr>
              <w:t>1</w:t>
            </w:r>
            <w:r w:rsidR="00245613">
              <w:rPr>
                <w:rFonts w:hint="eastAsia"/>
                <w:sz w:val="28"/>
              </w:rPr>
              <w:t>次</w:t>
            </w:r>
          </w:p>
        </w:tc>
        <w:tc>
          <w:tcPr>
            <w:tcW w:w="3068" w:type="dxa"/>
          </w:tcPr>
          <w:p w:rsidR="00245613" w:rsidRDefault="00245613" w:rsidP="009F25B1">
            <w:pPr>
              <w:pStyle w:val="5"/>
              <w:numPr>
                <w:ilvl w:val="0"/>
                <w:numId w:val="22"/>
              </w:numPr>
              <w:rPr>
                <w:sz w:val="28"/>
              </w:rPr>
            </w:pPr>
            <w:r>
              <w:rPr>
                <w:rFonts w:hint="eastAsia"/>
                <w:sz w:val="28"/>
              </w:rPr>
              <w:t>隔</w:t>
            </w:r>
            <w:r w:rsidR="00E75424">
              <w:rPr>
                <w:rFonts w:hint="eastAsia"/>
                <w:sz w:val="28"/>
              </w:rPr>
              <w:t>2</w:t>
            </w:r>
            <w:r>
              <w:rPr>
                <w:rFonts w:hint="eastAsia"/>
                <w:sz w:val="28"/>
              </w:rPr>
              <w:t>日報到</w:t>
            </w:r>
            <w:r w:rsidR="00E75424">
              <w:rPr>
                <w:rFonts w:hint="eastAsia"/>
                <w:sz w:val="28"/>
              </w:rPr>
              <w:t>1</w:t>
            </w:r>
            <w:r>
              <w:rPr>
                <w:rFonts w:hint="eastAsia"/>
                <w:sz w:val="28"/>
              </w:rPr>
              <w:t>次。</w:t>
            </w:r>
          </w:p>
          <w:p w:rsidR="00245613" w:rsidRDefault="00245613" w:rsidP="009F25B1">
            <w:pPr>
              <w:pStyle w:val="5"/>
              <w:numPr>
                <w:ilvl w:val="0"/>
                <w:numId w:val="22"/>
              </w:numPr>
              <w:rPr>
                <w:sz w:val="28"/>
              </w:rPr>
            </w:pPr>
            <w:r>
              <w:rPr>
                <w:rFonts w:hint="eastAsia"/>
                <w:sz w:val="28"/>
              </w:rPr>
              <w:t>雙數日報到，有規定時段。</w:t>
            </w:r>
          </w:p>
        </w:tc>
        <w:tc>
          <w:tcPr>
            <w:tcW w:w="2340" w:type="dxa"/>
          </w:tcPr>
          <w:p w:rsidR="00245613" w:rsidRDefault="00245613" w:rsidP="003D2CEE">
            <w:pPr>
              <w:pStyle w:val="5"/>
              <w:numPr>
                <w:ilvl w:val="0"/>
                <w:numId w:val="0"/>
              </w:numPr>
              <w:rPr>
                <w:sz w:val="28"/>
              </w:rPr>
            </w:pPr>
          </w:p>
        </w:tc>
      </w:tr>
      <w:tr w:rsidR="00245613" w:rsidTr="002B6DA0">
        <w:tc>
          <w:tcPr>
            <w:tcW w:w="1822" w:type="dxa"/>
          </w:tcPr>
          <w:p w:rsidR="00245613" w:rsidRDefault="00245613" w:rsidP="00E75424">
            <w:pPr>
              <w:pStyle w:val="5"/>
              <w:numPr>
                <w:ilvl w:val="0"/>
                <w:numId w:val="0"/>
              </w:numPr>
              <w:rPr>
                <w:sz w:val="28"/>
              </w:rPr>
            </w:pPr>
            <w:r>
              <w:rPr>
                <w:rFonts w:hint="eastAsia"/>
                <w:sz w:val="28"/>
              </w:rPr>
              <w:t>每週</w:t>
            </w:r>
            <w:r w:rsidR="00E75424">
              <w:rPr>
                <w:rFonts w:hint="eastAsia"/>
                <w:sz w:val="28"/>
              </w:rPr>
              <w:t>1</w:t>
            </w:r>
            <w:r>
              <w:rPr>
                <w:rFonts w:hint="eastAsia"/>
                <w:sz w:val="28"/>
              </w:rPr>
              <w:t>次</w:t>
            </w:r>
          </w:p>
        </w:tc>
        <w:tc>
          <w:tcPr>
            <w:tcW w:w="3068" w:type="dxa"/>
          </w:tcPr>
          <w:p w:rsidR="00245613" w:rsidRDefault="00245613" w:rsidP="009F25B1">
            <w:pPr>
              <w:pStyle w:val="5"/>
              <w:numPr>
                <w:ilvl w:val="0"/>
                <w:numId w:val="23"/>
              </w:numPr>
              <w:rPr>
                <w:sz w:val="28"/>
              </w:rPr>
            </w:pPr>
            <w:r>
              <w:rPr>
                <w:rFonts w:hint="eastAsia"/>
                <w:sz w:val="28"/>
              </w:rPr>
              <w:t>每週固定</w:t>
            </w:r>
            <w:r w:rsidR="00E75424">
              <w:rPr>
                <w:rFonts w:hint="eastAsia"/>
                <w:sz w:val="28"/>
              </w:rPr>
              <w:t>1</w:t>
            </w:r>
            <w:r>
              <w:rPr>
                <w:rFonts w:hint="eastAsia"/>
                <w:sz w:val="28"/>
              </w:rPr>
              <w:t>天，有規定時段。</w:t>
            </w:r>
          </w:p>
          <w:p w:rsidR="00245613" w:rsidRDefault="00245613" w:rsidP="009F25B1">
            <w:pPr>
              <w:pStyle w:val="5"/>
              <w:numPr>
                <w:ilvl w:val="0"/>
                <w:numId w:val="23"/>
              </w:numPr>
              <w:rPr>
                <w:sz w:val="28"/>
              </w:rPr>
            </w:pPr>
            <w:r>
              <w:rPr>
                <w:rFonts w:hint="eastAsia"/>
                <w:sz w:val="28"/>
              </w:rPr>
              <w:t>每週固定</w:t>
            </w:r>
            <w:r w:rsidR="00E75424">
              <w:rPr>
                <w:rFonts w:hint="eastAsia"/>
                <w:sz w:val="28"/>
              </w:rPr>
              <w:t>1</w:t>
            </w:r>
            <w:r>
              <w:rPr>
                <w:rFonts w:hint="eastAsia"/>
                <w:sz w:val="28"/>
              </w:rPr>
              <w:t>天，無規定時段。</w:t>
            </w:r>
          </w:p>
          <w:p w:rsidR="00245613" w:rsidRDefault="00245613" w:rsidP="009F25B1">
            <w:pPr>
              <w:pStyle w:val="5"/>
              <w:numPr>
                <w:ilvl w:val="0"/>
                <w:numId w:val="23"/>
              </w:numPr>
              <w:rPr>
                <w:sz w:val="28"/>
              </w:rPr>
            </w:pPr>
            <w:r>
              <w:rPr>
                <w:rFonts w:hint="eastAsia"/>
                <w:sz w:val="28"/>
              </w:rPr>
              <w:t>每週任選</w:t>
            </w:r>
            <w:r w:rsidR="001E13A8">
              <w:rPr>
                <w:rFonts w:hint="eastAsia"/>
                <w:sz w:val="28"/>
              </w:rPr>
              <w:t>1</w:t>
            </w:r>
            <w:r>
              <w:rPr>
                <w:rFonts w:hint="eastAsia"/>
                <w:sz w:val="28"/>
              </w:rPr>
              <w:t>天，無規定時段。</w:t>
            </w:r>
          </w:p>
        </w:tc>
        <w:tc>
          <w:tcPr>
            <w:tcW w:w="2340" w:type="dxa"/>
          </w:tcPr>
          <w:p w:rsidR="00245613" w:rsidRDefault="00245613" w:rsidP="003D2CEE">
            <w:pPr>
              <w:pStyle w:val="5"/>
              <w:numPr>
                <w:ilvl w:val="0"/>
                <w:numId w:val="0"/>
              </w:numPr>
              <w:rPr>
                <w:sz w:val="28"/>
              </w:rPr>
            </w:pPr>
          </w:p>
        </w:tc>
      </w:tr>
      <w:tr w:rsidR="00245613" w:rsidTr="002B6DA0">
        <w:tc>
          <w:tcPr>
            <w:tcW w:w="1822" w:type="dxa"/>
          </w:tcPr>
          <w:p w:rsidR="00245613" w:rsidRDefault="00245613" w:rsidP="00E75424">
            <w:pPr>
              <w:pStyle w:val="5"/>
              <w:numPr>
                <w:ilvl w:val="0"/>
                <w:numId w:val="0"/>
              </w:numPr>
              <w:rPr>
                <w:sz w:val="28"/>
              </w:rPr>
            </w:pPr>
            <w:r>
              <w:rPr>
                <w:rFonts w:hint="eastAsia"/>
                <w:sz w:val="28"/>
              </w:rPr>
              <w:t>每週</w:t>
            </w:r>
            <w:r w:rsidR="00E75424">
              <w:rPr>
                <w:rFonts w:hint="eastAsia"/>
                <w:sz w:val="28"/>
              </w:rPr>
              <w:t>2</w:t>
            </w:r>
            <w:r>
              <w:rPr>
                <w:rFonts w:hint="eastAsia"/>
                <w:sz w:val="28"/>
              </w:rPr>
              <w:t>次</w:t>
            </w:r>
          </w:p>
        </w:tc>
        <w:tc>
          <w:tcPr>
            <w:tcW w:w="3068" w:type="dxa"/>
          </w:tcPr>
          <w:p w:rsidR="00245613" w:rsidRDefault="00245613" w:rsidP="009F25B1">
            <w:pPr>
              <w:pStyle w:val="5"/>
              <w:numPr>
                <w:ilvl w:val="0"/>
                <w:numId w:val="24"/>
              </w:numPr>
              <w:rPr>
                <w:sz w:val="28"/>
              </w:rPr>
            </w:pPr>
            <w:r>
              <w:rPr>
                <w:rFonts w:hint="eastAsia"/>
                <w:sz w:val="28"/>
              </w:rPr>
              <w:t>每週固定</w:t>
            </w:r>
            <w:r w:rsidR="00E75424">
              <w:rPr>
                <w:rFonts w:hint="eastAsia"/>
                <w:sz w:val="28"/>
              </w:rPr>
              <w:t>2</w:t>
            </w:r>
            <w:r>
              <w:rPr>
                <w:rFonts w:hint="eastAsia"/>
                <w:sz w:val="28"/>
              </w:rPr>
              <w:t>天，有規定時段。</w:t>
            </w:r>
          </w:p>
          <w:p w:rsidR="00245613" w:rsidRDefault="00245613" w:rsidP="009F25B1">
            <w:pPr>
              <w:pStyle w:val="5"/>
              <w:numPr>
                <w:ilvl w:val="0"/>
                <w:numId w:val="24"/>
              </w:numPr>
              <w:rPr>
                <w:sz w:val="28"/>
              </w:rPr>
            </w:pPr>
            <w:r>
              <w:rPr>
                <w:rFonts w:hint="eastAsia"/>
                <w:sz w:val="28"/>
              </w:rPr>
              <w:t>每週固定</w:t>
            </w:r>
            <w:r w:rsidR="00E75424">
              <w:rPr>
                <w:rFonts w:hint="eastAsia"/>
                <w:sz w:val="28"/>
              </w:rPr>
              <w:t>2</w:t>
            </w:r>
            <w:r>
              <w:rPr>
                <w:rFonts w:hint="eastAsia"/>
                <w:sz w:val="28"/>
              </w:rPr>
              <w:t>天，無規定時段。</w:t>
            </w:r>
          </w:p>
          <w:p w:rsidR="00245613" w:rsidRDefault="00245613" w:rsidP="009F25B1">
            <w:pPr>
              <w:pStyle w:val="5"/>
              <w:numPr>
                <w:ilvl w:val="0"/>
                <w:numId w:val="24"/>
              </w:numPr>
              <w:rPr>
                <w:sz w:val="28"/>
              </w:rPr>
            </w:pPr>
            <w:r>
              <w:rPr>
                <w:rFonts w:hint="eastAsia"/>
                <w:sz w:val="28"/>
              </w:rPr>
              <w:t>每週任選</w:t>
            </w:r>
            <w:r w:rsidR="00E75424">
              <w:rPr>
                <w:rFonts w:hint="eastAsia"/>
                <w:sz w:val="28"/>
              </w:rPr>
              <w:t>2</w:t>
            </w:r>
            <w:r>
              <w:rPr>
                <w:rFonts w:hint="eastAsia"/>
                <w:sz w:val="28"/>
              </w:rPr>
              <w:t>天，無規定時段。</w:t>
            </w:r>
          </w:p>
        </w:tc>
        <w:tc>
          <w:tcPr>
            <w:tcW w:w="2340" w:type="dxa"/>
          </w:tcPr>
          <w:p w:rsidR="00245613" w:rsidRDefault="00245613" w:rsidP="00610E06">
            <w:pPr>
              <w:pStyle w:val="5"/>
              <w:numPr>
                <w:ilvl w:val="0"/>
                <w:numId w:val="0"/>
              </w:numPr>
              <w:rPr>
                <w:sz w:val="28"/>
              </w:rPr>
            </w:pPr>
            <w:r>
              <w:rPr>
                <w:rFonts w:hint="eastAsia"/>
                <w:sz w:val="28"/>
              </w:rPr>
              <w:t>部</w:t>
            </w:r>
            <w:r w:rsidR="00610E06">
              <w:rPr>
                <w:rFonts w:hint="eastAsia"/>
                <w:sz w:val="28"/>
              </w:rPr>
              <w:t>分</w:t>
            </w:r>
            <w:r>
              <w:rPr>
                <w:rFonts w:hint="eastAsia"/>
                <w:sz w:val="28"/>
              </w:rPr>
              <w:t>規定</w:t>
            </w:r>
            <w:proofErr w:type="gramStart"/>
            <w:r>
              <w:rPr>
                <w:rFonts w:hint="eastAsia"/>
                <w:sz w:val="28"/>
              </w:rPr>
              <w:t>報到相隔48小時</w:t>
            </w:r>
            <w:proofErr w:type="gramEnd"/>
            <w:r>
              <w:rPr>
                <w:rFonts w:hint="eastAsia"/>
                <w:sz w:val="28"/>
              </w:rPr>
              <w:t>以上。</w:t>
            </w:r>
          </w:p>
        </w:tc>
      </w:tr>
      <w:tr w:rsidR="00245613" w:rsidTr="002B6DA0">
        <w:tc>
          <w:tcPr>
            <w:tcW w:w="1822" w:type="dxa"/>
          </w:tcPr>
          <w:p w:rsidR="00245613" w:rsidRDefault="00245613" w:rsidP="00E75424">
            <w:pPr>
              <w:pStyle w:val="5"/>
              <w:numPr>
                <w:ilvl w:val="0"/>
                <w:numId w:val="0"/>
              </w:numPr>
              <w:rPr>
                <w:sz w:val="28"/>
              </w:rPr>
            </w:pPr>
            <w:r>
              <w:rPr>
                <w:rFonts w:hint="eastAsia"/>
                <w:sz w:val="28"/>
              </w:rPr>
              <w:t>每週</w:t>
            </w:r>
            <w:r w:rsidR="00E75424">
              <w:rPr>
                <w:rFonts w:hint="eastAsia"/>
                <w:sz w:val="28"/>
              </w:rPr>
              <w:t>3</w:t>
            </w:r>
            <w:r>
              <w:rPr>
                <w:rFonts w:hint="eastAsia"/>
                <w:sz w:val="28"/>
              </w:rPr>
              <w:t>次</w:t>
            </w:r>
          </w:p>
        </w:tc>
        <w:tc>
          <w:tcPr>
            <w:tcW w:w="3068" w:type="dxa"/>
          </w:tcPr>
          <w:p w:rsidR="00245613" w:rsidRDefault="00245613" w:rsidP="009F25B1">
            <w:pPr>
              <w:pStyle w:val="5"/>
              <w:numPr>
                <w:ilvl w:val="0"/>
                <w:numId w:val="25"/>
              </w:numPr>
              <w:rPr>
                <w:sz w:val="28"/>
              </w:rPr>
            </w:pPr>
            <w:r>
              <w:rPr>
                <w:rFonts w:hint="eastAsia"/>
                <w:sz w:val="28"/>
              </w:rPr>
              <w:t>每週固定</w:t>
            </w:r>
            <w:r w:rsidR="00E75424">
              <w:rPr>
                <w:rFonts w:hint="eastAsia"/>
                <w:sz w:val="28"/>
              </w:rPr>
              <w:t>3</w:t>
            </w:r>
            <w:r>
              <w:rPr>
                <w:rFonts w:hint="eastAsia"/>
                <w:sz w:val="28"/>
              </w:rPr>
              <w:t>天，有規定時段。</w:t>
            </w:r>
          </w:p>
          <w:p w:rsidR="00245613" w:rsidRDefault="00245613" w:rsidP="009F25B1">
            <w:pPr>
              <w:pStyle w:val="5"/>
              <w:numPr>
                <w:ilvl w:val="0"/>
                <w:numId w:val="25"/>
              </w:numPr>
              <w:rPr>
                <w:sz w:val="28"/>
              </w:rPr>
            </w:pPr>
            <w:r>
              <w:rPr>
                <w:rFonts w:hint="eastAsia"/>
                <w:sz w:val="28"/>
              </w:rPr>
              <w:t>每週固定</w:t>
            </w:r>
            <w:r w:rsidR="00E75424">
              <w:rPr>
                <w:rFonts w:hint="eastAsia"/>
                <w:sz w:val="28"/>
              </w:rPr>
              <w:t>3</w:t>
            </w:r>
            <w:r>
              <w:rPr>
                <w:rFonts w:hint="eastAsia"/>
                <w:sz w:val="28"/>
              </w:rPr>
              <w:t>天，無規定時段。</w:t>
            </w:r>
          </w:p>
          <w:p w:rsidR="00245613" w:rsidRDefault="00245613" w:rsidP="009F25B1">
            <w:pPr>
              <w:pStyle w:val="5"/>
              <w:numPr>
                <w:ilvl w:val="0"/>
                <w:numId w:val="25"/>
              </w:numPr>
              <w:rPr>
                <w:sz w:val="28"/>
              </w:rPr>
            </w:pPr>
            <w:r>
              <w:rPr>
                <w:rFonts w:hint="eastAsia"/>
                <w:sz w:val="28"/>
              </w:rPr>
              <w:t>每週任選</w:t>
            </w:r>
            <w:r w:rsidR="00E75424">
              <w:rPr>
                <w:rFonts w:hint="eastAsia"/>
                <w:sz w:val="28"/>
              </w:rPr>
              <w:t>3</w:t>
            </w:r>
            <w:r>
              <w:rPr>
                <w:rFonts w:hint="eastAsia"/>
                <w:sz w:val="28"/>
              </w:rPr>
              <w:t>天，無規定時段。</w:t>
            </w:r>
          </w:p>
        </w:tc>
        <w:tc>
          <w:tcPr>
            <w:tcW w:w="2340" w:type="dxa"/>
          </w:tcPr>
          <w:p w:rsidR="00245613" w:rsidRDefault="00245613" w:rsidP="003D2CEE">
            <w:pPr>
              <w:pStyle w:val="5"/>
              <w:numPr>
                <w:ilvl w:val="0"/>
                <w:numId w:val="0"/>
              </w:numPr>
              <w:rPr>
                <w:sz w:val="28"/>
              </w:rPr>
            </w:pPr>
          </w:p>
        </w:tc>
      </w:tr>
      <w:tr w:rsidR="00245613" w:rsidTr="002B6DA0">
        <w:tc>
          <w:tcPr>
            <w:tcW w:w="1822" w:type="dxa"/>
          </w:tcPr>
          <w:p w:rsidR="00245613" w:rsidRDefault="00245613" w:rsidP="00E75424">
            <w:pPr>
              <w:pStyle w:val="5"/>
              <w:numPr>
                <w:ilvl w:val="0"/>
                <w:numId w:val="0"/>
              </w:numPr>
              <w:rPr>
                <w:sz w:val="28"/>
              </w:rPr>
            </w:pPr>
            <w:r>
              <w:rPr>
                <w:rFonts w:hint="eastAsia"/>
                <w:sz w:val="28"/>
              </w:rPr>
              <w:lastRenderedPageBreak/>
              <w:t>每週</w:t>
            </w:r>
            <w:r w:rsidR="00E75424">
              <w:rPr>
                <w:rFonts w:hint="eastAsia"/>
                <w:sz w:val="28"/>
              </w:rPr>
              <w:t>4</w:t>
            </w:r>
            <w:r>
              <w:rPr>
                <w:rFonts w:hint="eastAsia"/>
                <w:sz w:val="28"/>
              </w:rPr>
              <w:t>次</w:t>
            </w:r>
          </w:p>
        </w:tc>
        <w:tc>
          <w:tcPr>
            <w:tcW w:w="3068" w:type="dxa"/>
          </w:tcPr>
          <w:p w:rsidR="00245613" w:rsidRDefault="00245613" w:rsidP="009F25B1">
            <w:pPr>
              <w:pStyle w:val="5"/>
              <w:numPr>
                <w:ilvl w:val="0"/>
                <w:numId w:val="26"/>
              </w:numPr>
              <w:rPr>
                <w:sz w:val="28"/>
              </w:rPr>
            </w:pPr>
            <w:r>
              <w:rPr>
                <w:rFonts w:hint="eastAsia"/>
                <w:sz w:val="28"/>
              </w:rPr>
              <w:t>每週</w:t>
            </w:r>
            <w:r w:rsidR="00E75424">
              <w:rPr>
                <w:rFonts w:hint="eastAsia"/>
                <w:sz w:val="28"/>
              </w:rPr>
              <w:t>1、3、5</w:t>
            </w:r>
            <w:r>
              <w:rPr>
                <w:rFonts w:hint="eastAsia"/>
                <w:sz w:val="28"/>
              </w:rPr>
              <w:t>天，有規定時段。</w:t>
            </w:r>
          </w:p>
          <w:p w:rsidR="00245613" w:rsidRDefault="00245613" w:rsidP="009F25B1">
            <w:pPr>
              <w:pStyle w:val="5"/>
              <w:numPr>
                <w:ilvl w:val="0"/>
                <w:numId w:val="26"/>
              </w:numPr>
              <w:rPr>
                <w:sz w:val="28"/>
              </w:rPr>
            </w:pPr>
            <w:r>
              <w:rPr>
                <w:rFonts w:hint="eastAsia"/>
                <w:sz w:val="28"/>
              </w:rPr>
              <w:t>每週</w:t>
            </w:r>
            <w:r w:rsidR="00E75424">
              <w:rPr>
                <w:rFonts w:hint="eastAsia"/>
                <w:sz w:val="28"/>
              </w:rPr>
              <w:t>1、3、5</w:t>
            </w:r>
            <w:r>
              <w:rPr>
                <w:rFonts w:hint="eastAsia"/>
                <w:sz w:val="28"/>
              </w:rPr>
              <w:t>天，無規定時段。</w:t>
            </w:r>
          </w:p>
          <w:p w:rsidR="00245613" w:rsidRDefault="00245613" w:rsidP="009F25B1">
            <w:pPr>
              <w:pStyle w:val="5"/>
              <w:numPr>
                <w:ilvl w:val="0"/>
                <w:numId w:val="26"/>
              </w:numPr>
              <w:rPr>
                <w:sz w:val="28"/>
              </w:rPr>
            </w:pPr>
            <w:r>
              <w:rPr>
                <w:rFonts w:hint="eastAsia"/>
                <w:sz w:val="28"/>
              </w:rPr>
              <w:t>每週任選</w:t>
            </w:r>
            <w:r w:rsidR="00E75424">
              <w:rPr>
                <w:rFonts w:hint="eastAsia"/>
                <w:sz w:val="28"/>
              </w:rPr>
              <w:t>4</w:t>
            </w:r>
            <w:r>
              <w:rPr>
                <w:rFonts w:hint="eastAsia"/>
                <w:sz w:val="28"/>
              </w:rPr>
              <w:t>天，無規定時段。</w:t>
            </w:r>
          </w:p>
        </w:tc>
        <w:tc>
          <w:tcPr>
            <w:tcW w:w="2340" w:type="dxa"/>
          </w:tcPr>
          <w:p w:rsidR="00245613" w:rsidRDefault="00245613" w:rsidP="003D2CEE">
            <w:pPr>
              <w:pStyle w:val="5"/>
              <w:numPr>
                <w:ilvl w:val="0"/>
                <w:numId w:val="0"/>
              </w:numPr>
              <w:rPr>
                <w:sz w:val="28"/>
              </w:rPr>
            </w:pPr>
          </w:p>
        </w:tc>
      </w:tr>
      <w:tr w:rsidR="00245613" w:rsidTr="002B6DA0">
        <w:tc>
          <w:tcPr>
            <w:tcW w:w="1822" w:type="dxa"/>
          </w:tcPr>
          <w:p w:rsidR="00245613" w:rsidRDefault="00245613" w:rsidP="00E75424">
            <w:pPr>
              <w:pStyle w:val="5"/>
              <w:numPr>
                <w:ilvl w:val="0"/>
                <w:numId w:val="0"/>
              </w:numPr>
              <w:rPr>
                <w:sz w:val="28"/>
              </w:rPr>
            </w:pPr>
            <w:r>
              <w:rPr>
                <w:rFonts w:hint="eastAsia"/>
                <w:sz w:val="28"/>
              </w:rPr>
              <w:t>每月</w:t>
            </w:r>
            <w:r w:rsidR="00E75424">
              <w:rPr>
                <w:rFonts w:hint="eastAsia"/>
                <w:sz w:val="28"/>
              </w:rPr>
              <w:t>1</w:t>
            </w:r>
            <w:r>
              <w:rPr>
                <w:rFonts w:hint="eastAsia"/>
                <w:sz w:val="28"/>
              </w:rPr>
              <w:t>次</w:t>
            </w:r>
          </w:p>
        </w:tc>
        <w:tc>
          <w:tcPr>
            <w:tcW w:w="3068" w:type="dxa"/>
          </w:tcPr>
          <w:p w:rsidR="00245613" w:rsidRDefault="00245613" w:rsidP="003D2CEE">
            <w:pPr>
              <w:pStyle w:val="5"/>
              <w:numPr>
                <w:ilvl w:val="0"/>
                <w:numId w:val="0"/>
              </w:numPr>
              <w:rPr>
                <w:sz w:val="28"/>
              </w:rPr>
            </w:pPr>
            <w:r>
              <w:rPr>
                <w:rFonts w:hint="eastAsia"/>
                <w:sz w:val="28"/>
              </w:rPr>
              <w:t>每月固定日期，無時段限制。</w:t>
            </w:r>
          </w:p>
        </w:tc>
        <w:tc>
          <w:tcPr>
            <w:tcW w:w="2340" w:type="dxa"/>
          </w:tcPr>
          <w:p w:rsidR="00245613" w:rsidRDefault="00245613" w:rsidP="003D2CEE">
            <w:pPr>
              <w:pStyle w:val="5"/>
              <w:numPr>
                <w:ilvl w:val="0"/>
                <w:numId w:val="0"/>
              </w:numPr>
              <w:rPr>
                <w:sz w:val="28"/>
              </w:rPr>
            </w:pPr>
          </w:p>
        </w:tc>
      </w:tr>
      <w:tr w:rsidR="00245613" w:rsidTr="002B6DA0">
        <w:tc>
          <w:tcPr>
            <w:tcW w:w="1822" w:type="dxa"/>
          </w:tcPr>
          <w:p w:rsidR="00245613" w:rsidRDefault="00245613" w:rsidP="00E75424">
            <w:pPr>
              <w:pStyle w:val="5"/>
              <w:numPr>
                <w:ilvl w:val="0"/>
                <w:numId w:val="0"/>
              </w:numPr>
              <w:rPr>
                <w:sz w:val="28"/>
              </w:rPr>
            </w:pPr>
            <w:r>
              <w:rPr>
                <w:rFonts w:hint="eastAsia"/>
                <w:sz w:val="28"/>
              </w:rPr>
              <w:t>每月</w:t>
            </w:r>
            <w:r w:rsidR="00E75424">
              <w:rPr>
                <w:rFonts w:hint="eastAsia"/>
                <w:sz w:val="28"/>
              </w:rPr>
              <w:t>2</w:t>
            </w:r>
            <w:r>
              <w:rPr>
                <w:rFonts w:hint="eastAsia"/>
                <w:sz w:val="28"/>
              </w:rPr>
              <w:t>次</w:t>
            </w:r>
          </w:p>
        </w:tc>
        <w:tc>
          <w:tcPr>
            <w:tcW w:w="3068" w:type="dxa"/>
          </w:tcPr>
          <w:p w:rsidR="00245613" w:rsidRDefault="00245613" w:rsidP="009F25B1">
            <w:pPr>
              <w:pStyle w:val="5"/>
              <w:numPr>
                <w:ilvl w:val="0"/>
                <w:numId w:val="27"/>
              </w:numPr>
              <w:rPr>
                <w:sz w:val="28"/>
              </w:rPr>
            </w:pPr>
            <w:r>
              <w:rPr>
                <w:rFonts w:hint="eastAsia"/>
                <w:sz w:val="28"/>
              </w:rPr>
              <w:t>每月第</w:t>
            </w:r>
            <w:r w:rsidR="00E75424">
              <w:rPr>
                <w:rFonts w:hint="eastAsia"/>
                <w:sz w:val="28"/>
              </w:rPr>
              <w:t>2</w:t>
            </w:r>
            <w:proofErr w:type="gramStart"/>
            <w:r>
              <w:rPr>
                <w:rFonts w:hint="eastAsia"/>
                <w:sz w:val="28"/>
              </w:rPr>
              <w:t>週</w:t>
            </w:r>
            <w:proofErr w:type="gramEnd"/>
            <w:r>
              <w:rPr>
                <w:rFonts w:hint="eastAsia"/>
                <w:sz w:val="28"/>
              </w:rPr>
              <w:t>、第</w:t>
            </w:r>
            <w:r w:rsidR="00E75424">
              <w:rPr>
                <w:rFonts w:hint="eastAsia"/>
                <w:sz w:val="28"/>
              </w:rPr>
              <w:t>4</w:t>
            </w:r>
            <w:proofErr w:type="gramStart"/>
            <w:r>
              <w:rPr>
                <w:rFonts w:hint="eastAsia"/>
                <w:sz w:val="28"/>
              </w:rPr>
              <w:t>週</w:t>
            </w:r>
            <w:proofErr w:type="gramEnd"/>
            <w:r>
              <w:rPr>
                <w:rFonts w:hint="eastAsia"/>
                <w:sz w:val="28"/>
              </w:rPr>
              <w:t>固定日報到，有規定時段。</w:t>
            </w:r>
          </w:p>
          <w:p w:rsidR="00245613" w:rsidRDefault="00245613" w:rsidP="009F25B1">
            <w:pPr>
              <w:pStyle w:val="5"/>
              <w:numPr>
                <w:ilvl w:val="0"/>
                <w:numId w:val="27"/>
              </w:numPr>
              <w:rPr>
                <w:sz w:val="28"/>
              </w:rPr>
            </w:pPr>
            <w:r>
              <w:rPr>
                <w:rFonts w:hint="eastAsia"/>
                <w:sz w:val="28"/>
              </w:rPr>
              <w:t>15日前報到</w:t>
            </w:r>
            <w:r w:rsidR="003D5378">
              <w:rPr>
                <w:rFonts w:hint="eastAsia"/>
                <w:sz w:val="28"/>
              </w:rPr>
              <w:t>1</w:t>
            </w:r>
            <w:r>
              <w:rPr>
                <w:rFonts w:hint="eastAsia"/>
                <w:sz w:val="28"/>
              </w:rPr>
              <w:t>次、16日後報到</w:t>
            </w:r>
            <w:r w:rsidR="003D5378">
              <w:rPr>
                <w:rFonts w:hint="eastAsia"/>
                <w:sz w:val="28"/>
              </w:rPr>
              <w:t>1</w:t>
            </w:r>
            <w:r>
              <w:rPr>
                <w:rFonts w:hint="eastAsia"/>
                <w:sz w:val="28"/>
              </w:rPr>
              <w:t>次，報到間隔不得逾16日，無時間限制。</w:t>
            </w:r>
          </w:p>
          <w:p w:rsidR="00245613" w:rsidRDefault="00245613" w:rsidP="009F25B1">
            <w:pPr>
              <w:pStyle w:val="5"/>
              <w:numPr>
                <w:ilvl w:val="0"/>
                <w:numId w:val="27"/>
              </w:numPr>
              <w:rPr>
                <w:sz w:val="28"/>
              </w:rPr>
            </w:pPr>
            <w:r>
              <w:rPr>
                <w:rFonts w:hint="eastAsia"/>
                <w:sz w:val="28"/>
              </w:rPr>
              <w:t>每月1日、15日報到，無規定時段。</w:t>
            </w:r>
          </w:p>
        </w:tc>
        <w:tc>
          <w:tcPr>
            <w:tcW w:w="2340" w:type="dxa"/>
          </w:tcPr>
          <w:p w:rsidR="00245613" w:rsidRDefault="00245613" w:rsidP="003D2CEE">
            <w:pPr>
              <w:pStyle w:val="5"/>
              <w:numPr>
                <w:ilvl w:val="0"/>
                <w:numId w:val="0"/>
              </w:numPr>
              <w:rPr>
                <w:sz w:val="28"/>
              </w:rPr>
            </w:pPr>
          </w:p>
        </w:tc>
      </w:tr>
    </w:tbl>
    <w:p w:rsidR="00245613" w:rsidRDefault="00245613" w:rsidP="00245613">
      <w:pPr>
        <w:pStyle w:val="5"/>
        <w:numPr>
          <w:ilvl w:val="0"/>
          <w:numId w:val="0"/>
        </w:numPr>
        <w:spacing w:line="0" w:lineRule="atLeast"/>
        <w:ind w:firstLineChars="791" w:firstLine="2058"/>
        <w:rPr>
          <w:sz w:val="24"/>
        </w:rPr>
      </w:pPr>
      <w:r>
        <w:rPr>
          <w:rFonts w:hint="eastAsia"/>
          <w:sz w:val="24"/>
        </w:rPr>
        <w:t>資料來源：彙整自</w:t>
      </w:r>
      <w:r w:rsidRPr="008A653F">
        <w:rPr>
          <w:rFonts w:hint="eastAsia"/>
          <w:sz w:val="24"/>
        </w:rPr>
        <w:t>內政部警政署107年9月17日警署刑司字第</w:t>
      </w:r>
    </w:p>
    <w:p w:rsidR="00245613" w:rsidRPr="008A653F" w:rsidRDefault="00245613" w:rsidP="00245613">
      <w:pPr>
        <w:pStyle w:val="5"/>
        <w:numPr>
          <w:ilvl w:val="0"/>
          <w:numId w:val="0"/>
        </w:numPr>
        <w:spacing w:line="0" w:lineRule="atLeast"/>
        <w:ind w:leftChars="606" w:left="3336" w:hangingChars="490" w:hanging="1275"/>
        <w:rPr>
          <w:sz w:val="24"/>
        </w:rPr>
      </w:pPr>
      <w:r w:rsidRPr="008A653F">
        <w:rPr>
          <w:rFonts w:hint="eastAsia"/>
          <w:sz w:val="24"/>
        </w:rPr>
        <w:t>1070005351號</w:t>
      </w:r>
      <w:r w:rsidR="00911095">
        <w:rPr>
          <w:rFonts w:hint="eastAsia"/>
          <w:sz w:val="24"/>
        </w:rPr>
        <w:t>函</w:t>
      </w:r>
      <w:r w:rsidRPr="008A653F">
        <w:rPr>
          <w:rFonts w:hint="eastAsia"/>
          <w:sz w:val="24"/>
        </w:rPr>
        <w:t>。(本院收文號</w:t>
      </w:r>
      <w:r w:rsidR="00911095">
        <w:rPr>
          <w:rFonts w:hint="eastAsia"/>
          <w:sz w:val="24"/>
        </w:rPr>
        <w:t>函</w:t>
      </w:r>
      <w:r w:rsidRPr="008A653F">
        <w:rPr>
          <w:rFonts w:hint="eastAsia"/>
          <w:sz w:val="24"/>
        </w:rPr>
        <w:t>：1070102894)</w:t>
      </w:r>
    </w:p>
    <w:p w:rsidR="00245613" w:rsidRDefault="0027632F" w:rsidP="0027632F">
      <w:pPr>
        <w:pStyle w:val="4"/>
        <w:spacing w:before="240"/>
      </w:pPr>
      <w:r>
        <w:rPr>
          <w:rFonts w:hint="eastAsia"/>
        </w:rPr>
        <w:t>經本院函</w:t>
      </w:r>
      <w:proofErr w:type="gramStart"/>
      <w:r>
        <w:rPr>
          <w:rFonts w:hint="eastAsia"/>
        </w:rPr>
        <w:t>詢</w:t>
      </w:r>
      <w:proofErr w:type="gramEnd"/>
      <w:r>
        <w:rPr>
          <w:rFonts w:hint="eastAsia"/>
        </w:rPr>
        <w:t>警政署，該署表示上述報到態樣</w:t>
      </w:r>
      <w:proofErr w:type="gramStart"/>
      <w:r>
        <w:rPr>
          <w:rFonts w:hint="eastAsia"/>
        </w:rPr>
        <w:t>眾多，</w:t>
      </w:r>
      <w:proofErr w:type="gramEnd"/>
      <w:r>
        <w:rPr>
          <w:rFonts w:hint="eastAsia"/>
        </w:rPr>
        <w:t>恐有</w:t>
      </w:r>
      <w:r w:rsidRPr="0027632F">
        <w:rPr>
          <w:rFonts w:hint="eastAsia"/>
        </w:rPr>
        <w:t>徒增警力負荷</w:t>
      </w:r>
      <w:r>
        <w:rPr>
          <w:rFonts w:hint="eastAsia"/>
        </w:rPr>
        <w:t>之虞</w:t>
      </w:r>
      <w:r w:rsidR="00391FE0">
        <w:rPr>
          <w:rFonts w:hint="eastAsia"/>
        </w:rPr>
        <w:t>。</w:t>
      </w:r>
      <w:r w:rsidRPr="0027632F">
        <w:rPr>
          <w:rFonts w:hint="eastAsia"/>
        </w:rPr>
        <w:t>倘若</w:t>
      </w:r>
      <w:r>
        <w:rPr>
          <w:rFonts w:hint="eastAsia"/>
        </w:rPr>
        <w:t>法院</w:t>
      </w:r>
      <w:r w:rsidRPr="0027632F">
        <w:rPr>
          <w:rFonts w:hint="eastAsia"/>
        </w:rPr>
        <w:t>仍有定期報到必要，建議明確規定每日應報到時段，以利實務機關掌握被告報到情形。</w:t>
      </w:r>
      <w:r>
        <w:rPr>
          <w:rFonts w:hint="eastAsia"/>
        </w:rPr>
        <w:t>故經本院</w:t>
      </w:r>
      <w:proofErr w:type="gramStart"/>
      <w:r w:rsidR="00081E92">
        <w:rPr>
          <w:rFonts w:hint="eastAsia"/>
        </w:rPr>
        <w:t>詢</w:t>
      </w:r>
      <w:proofErr w:type="gramEnd"/>
      <w:r w:rsidR="00081E92">
        <w:rPr>
          <w:rFonts w:hint="eastAsia"/>
        </w:rPr>
        <w:t>據司法院相關事宜後，於107年11月5日</w:t>
      </w:r>
      <w:r w:rsidR="00245613">
        <w:rPr>
          <w:rFonts w:hint="eastAsia"/>
        </w:rPr>
        <w:t>高雄地院受理</w:t>
      </w:r>
      <w:proofErr w:type="gramStart"/>
      <w:r w:rsidR="00245613">
        <w:rPr>
          <w:rFonts w:hint="eastAsia"/>
        </w:rPr>
        <w:t>107</w:t>
      </w:r>
      <w:proofErr w:type="gramEnd"/>
      <w:r w:rsidR="00245613">
        <w:rPr>
          <w:rFonts w:hint="eastAsia"/>
        </w:rPr>
        <w:t>年度金</w:t>
      </w:r>
      <w:proofErr w:type="gramStart"/>
      <w:r w:rsidR="00245613">
        <w:rPr>
          <w:rFonts w:hint="eastAsia"/>
        </w:rPr>
        <w:t>重訴字</w:t>
      </w:r>
      <w:proofErr w:type="gramEnd"/>
      <w:r w:rsidR="00245613">
        <w:rPr>
          <w:rFonts w:hint="eastAsia"/>
        </w:rPr>
        <w:t>第1號違反銀行法(即慶富案)</w:t>
      </w:r>
      <w:r w:rsidR="00081E92">
        <w:rPr>
          <w:rFonts w:hint="eastAsia"/>
        </w:rPr>
        <w:t>時，該院所發布之</w:t>
      </w:r>
      <w:r w:rsidR="00245613">
        <w:rPr>
          <w:rFonts w:hint="eastAsia"/>
        </w:rPr>
        <w:t>新聞稿</w:t>
      </w:r>
      <w:r w:rsidR="00245613">
        <w:rPr>
          <w:rStyle w:val="aff"/>
        </w:rPr>
        <w:footnoteReference w:id="10"/>
      </w:r>
      <w:r w:rsidR="007A7D95">
        <w:rPr>
          <w:rFonts w:hint="eastAsia"/>
        </w:rPr>
        <w:t>已</w:t>
      </w:r>
      <w:r w:rsidR="00081E92">
        <w:rPr>
          <w:rFonts w:hint="eastAsia"/>
        </w:rPr>
        <w:t>有明顯改進，其內容如下</w:t>
      </w:r>
      <w:r w:rsidR="00245613">
        <w:rPr>
          <w:rFonts w:hint="eastAsia"/>
        </w:rPr>
        <w:t>：</w:t>
      </w:r>
    </w:p>
    <w:p w:rsidR="00245613" w:rsidRDefault="00245613" w:rsidP="0027632F">
      <w:pPr>
        <w:pStyle w:val="5"/>
        <w:numPr>
          <w:ilvl w:val="0"/>
          <w:numId w:val="0"/>
        </w:numPr>
        <w:ind w:leftChars="500" w:left="1701"/>
      </w:pPr>
      <w:r>
        <w:rPr>
          <w:rFonts w:hint="eastAsia"/>
        </w:rPr>
        <w:t xml:space="preserve">    陳慶男應予羈押，並自107年11月7日起延長羈押2月。惟如陳慶男於追加提出5200</w:t>
      </w:r>
      <w:r w:rsidR="00D217AC">
        <w:rPr>
          <w:rFonts w:hint="eastAsia"/>
        </w:rPr>
        <w:t>萬元</w:t>
      </w:r>
      <w:r>
        <w:rPr>
          <w:rFonts w:hint="eastAsia"/>
        </w:rPr>
        <w:t>之保證金後，准予停止羈押，並限制住居於</w:t>
      </w:r>
      <w:r w:rsidRPr="00A4635E">
        <w:rPr>
          <w:rFonts w:hAnsi="標楷體"/>
        </w:rPr>
        <w:t>…</w:t>
      </w:r>
      <w:proofErr w:type="gramStart"/>
      <w:r w:rsidRPr="00A4635E">
        <w:rPr>
          <w:rFonts w:hAnsi="標楷體"/>
        </w:rPr>
        <w:t>…</w:t>
      </w:r>
      <w:proofErr w:type="gramEnd"/>
      <w:r>
        <w:rPr>
          <w:rFonts w:hint="eastAsia"/>
        </w:rPr>
        <w:t>。且</w:t>
      </w:r>
      <w:r>
        <w:rPr>
          <w:rFonts w:hint="eastAsia"/>
        </w:rPr>
        <w:lastRenderedPageBreak/>
        <w:t>應自停止羈押時起，遵守下列事項：</w:t>
      </w:r>
    </w:p>
    <w:p w:rsidR="00245613" w:rsidRDefault="00245613" w:rsidP="0027632F">
      <w:pPr>
        <w:pStyle w:val="5"/>
      </w:pPr>
      <w:r>
        <w:rPr>
          <w:rFonts w:hint="eastAsia"/>
        </w:rPr>
        <w:t>於每日5至8時</w:t>
      </w:r>
      <w:proofErr w:type="gramStart"/>
      <w:r>
        <w:rPr>
          <w:rFonts w:hint="eastAsia"/>
        </w:rPr>
        <w:t>之間、19至22時之間，</w:t>
      </w:r>
      <w:proofErr w:type="gramEnd"/>
      <w:r>
        <w:rPr>
          <w:rFonts w:hint="eastAsia"/>
        </w:rPr>
        <w:t>各向復興路派出所報到1次。</w:t>
      </w:r>
    </w:p>
    <w:p w:rsidR="00245613" w:rsidRDefault="00245613" w:rsidP="0027632F">
      <w:pPr>
        <w:pStyle w:val="5"/>
      </w:pPr>
      <w:r>
        <w:rPr>
          <w:rFonts w:hint="eastAsia"/>
        </w:rPr>
        <w:t>於每日22時許至翌日6時許之夜間休息時間，應於限制住居地就寢，不得無故外出或變換夜間休息地點。</w:t>
      </w:r>
    </w:p>
    <w:p w:rsidR="00245613" w:rsidRDefault="00245613" w:rsidP="0027632F">
      <w:pPr>
        <w:pStyle w:val="5"/>
      </w:pPr>
      <w:r>
        <w:rPr>
          <w:rFonts w:hint="eastAsia"/>
        </w:rPr>
        <w:t>須</w:t>
      </w:r>
      <w:r w:rsidRPr="00A4635E">
        <w:rPr>
          <w:rFonts w:hint="eastAsia"/>
        </w:rPr>
        <w:t>提供24小時</w:t>
      </w:r>
      <w:proofErr w:type="gramStart"/>
      <w:r w:rsidRPr="00A4635E">
        <w:rPr>
          <w:rFonts w:hint="eastAsia"/>
        </w:rPr>
        <w:t>不</w:t>
      </w:r>
      <w:proofErr w:type="gramEnd"/>
      <w:r w:rsidRPr="00A4635E">
        <w:rPr>
          <w:rFonts w:hint="eastAsia"/>
        </w:rPr>
        <w:t>關</w:t>
      </w:r>
      <w:r>
        <w:rPr>
          <w:rFonts w:hint="eastAsia"/>
        </w:rPr>
        <w:t>機之手機門號，且應隨時接聽來自法院、檢察官和警察查詢行蹤之來電。</w:t>
      </w:r>
    </w:p>
    <w:p w:rsidR="00245613" w:rsidRDefault="00245613" w:rsidP="0027632F">
      <w:pPr>
        <w:pStyle w:val="5"/>
      </w:pPr>
      <w:r>
        <w:rPr>
          <w:rFonts w:hint="eastAsia"/>
        </w:rPr>
        <w:t>應陳報平時使用車輛之車牌號碼。</w:t>
      </w:r>
    </w:p>
    <w:p w:rsidR="00245613" w:rsidRDefault="00245613" w:rsidP="0027632F">
      <w:pPr>
        <w:pStyle w:val="5"/>
      </w:pPr>
      <w:r>
        <w:rPr>
          <w:rFonts w:hint="eastAsia"/>
        </w:rPr>
        <w:t>如</w:t>
      </w:r>
      <w:r w:rsidRPr="00A4635E">
        <w:rPr>
          <w:rFonts w:hint="eastAsia"/>
        </w:rPr>
        <w:t>欲離開</w:t>
      </w:r>
      <w:r>
        <w:rPr>
          <w:rFonts w:hint="eastAsia"/>
        </w:rPr>
        <w:t>高雄</w:t>
      </w:r>
      <w:r w:rsidRPr="00A4635E">
        <w:rPr>
          <w:rFonts w:hint="eastAsia"/>
        </w:rPr>
        <w:t>市應事先陳報法院准許</w:t>
      </w:r>
      <w:r>
        <w:rPr>
          <w:rFonts w:hint="eastAsia"/>
        </w:rPr>
        <w:t>。</w:t>
      </w:r>
    </w:p>
    <w:p w:rsidR="00245613" w:rsidRDefault="00081E92" w:rsidP="00A6331F">
      <w:pPr>
        <w:pStyle w:val="3"/>
      </w:pPr>
      <w:r>
        <w:rPr>
          <w:rFonts w:hint="eastAsia"/>
        </w:rPr>
        <w:t>再</w:t>
      </w:r>
      <w:proofErr w:type="gramStart"/>
      <w:r>
        <w:rPr>
          <w:rFonts w:hint="eastAsia"/>
        </w:rPr>
        <w:t>查依</w:t>
      </w:r>
      <w:r w:rsidR="00245613" w:rsidRPr="008E0BE6">
        <w:rPr>
          <w:rFonts w:hint="eastAsia"/>
        </w:rPr>
        <w:t>近</w:t>
      </w:r>
      <w:proofErr w:type="gramEnd"/>
      <w:r w:rsidR="00245613" w:rsidRPr="008E0BE6">
        <w:rPr>
          <w:rFonts w:hint="eastAsia"/>
        </w:rPr>
        <w:t>10</w:t>
      </w:r>
      <w:r w:rsidR="00245613">
        <w:rPr>
          <w:rFonts w:hint="eastAsia"/>
        </w:rPr>
        <w:t>年警察機關受囑託辦理報到案件統計資料(完整數據如</w:t>
      </w:r>
      <w:r w:rsidR="00245613" w:rsidRPr="00B36954">
        <w:rPr>
          <w:rFonts w:hint="eastAsia"/>
        </w:rPr>
        <w:t>附表)如下表3</w:t>
      </w:r>
      <w:r w:rsidR="00245613">
        <w:rPr>
          <w:rFonts w:hint="eastAsia"/>
        </w:rPr>
        <w:t>顯示，有關囑託辦理報到之案件每年皆達400件以上，至102年開始共有5年達900件以上(102年、104年至107年)，106年及107年更達1</w:t>
      </w:r>
      <w:r w:rsidR="00E52C3C">
        <w:rPr>
          <w:rFonts w:hint="eastAsia"/>
        </w:rPr>
        <w:t>,</w:t>
      </w:r>
      <w:r w:rsidR="00245613">
        <w:rPr>
          <w:rFonts w:hint="eastAsia"/>
        </w:rPr>
        <w:t>000件以上。</w:t>
      </w:r>
    </w:p>
    <w:p w:rsidR="00245613" w:rsidRPr="008E0BE6" w:rsidRDefault="00245613" w:rsidP="00245613">
      <w:pPr>
        <w:pStyle w:val="1"/>
        <w:numPr>
          <w:ilvl w:val="0"/>
          <w:numId w:val="0"/>
        </w:numPr>
        <w:spacing w:before="240"/>
        <w:ind w:leftChars="583" w:left="1983"/>
        <w:rPr>
          <w:sz w:val="24"/>
        </w:rPr>
      </w:pPr>
      <w:r w:rsidRPr="008E0BE6">
        <w:rPr>
          <w:rFonts w:hint="eastAsia"/>
          <w:sz w:val="24"/>
        </w:rPr>
        <w:t>表3 近10年警察機關受囑託辦理報到案件統計表</w:t>
      </w:r>
    </w:p>
    <w:tbl>
      <w:tblPr>
        <w:tblStyle w:val="af7"/>
        <w:tblW w:w="8966" w:type="dxa"/>
        <w:tblInd w:w="640" w:type="dxa"/>
        <w:tblLayout w:type="fixed"/>
        <w:tblLook w:val="04A0" w:firstRow="1" w:lastRow="0" w:firstColumn="1" w:lastColumn="0" w:noHBand="0" w:noVBand="1"/>
      </w:tblPr>
      <w:tblGrid>
        <w:gridCol w:w="798"/>
        <w:gridCol w:w="615"/>
        <w:gridCol w:w="709"/>
        <w:gridCol w:w="607"/>
        <w:gridCol w:w="708"/>
        <w:gridCol w:w="709"/>
        <w:gridCol w:w="851"/>
        <w:gridCol w:w="708"/>
        <w:gridCol w:w="669"/>
        <w:gridCol w:w="607"/>
        <w:gridCol w:w="992"/>
        <w:gridCol w:w="993"/>
      </w:tblGrid>
      <w:tr w:rsidR="00245613" w:rsidRPr="008E0BE6" w:rsidTr="00B36954">
        <w:tc>
          <w:tcPr>
            <w:tcW w:w="798" w:type="dxa"/>
            <w:tcBorders>
              <w:tl2br w:val="single" w:sz="4" w:space="0" w:color="auto"/>
            </w:tcBorders>
            <w:shd w:val="clear" w:color="auto" w:fill="EEECE1" w:themeFill="background2"/>
          </w:tcPr>
          <w:p w:rsidR="00245613" w:rsidRPr="008E0BE6" w:rsidRDefault="00245613" w:rsidP="003D2CEE">
            <w:pPr>
              <w:spacing w:line="0" w:lineRule="atLeast"/>
              <w:rPr>
                <w:rFonts w:hAnsi="標楷體"/>
                <w:b/>
                <w:sz w:val="24"/>
                <w:szCs w:val="27"/>
              </w:rPr>
            </w:pPr>
            <w:r>
              <w:rPr>
                <w:rFonts w:hAnsi="標楷體" w:hint="eastAsia"/>
                <w:b/>
                <w:sz w:val="24"/>
                <w:szCs w:val="28"/>
              </w:rPr>
              <w:t xml:space="preserve"> </w:t>
            </w:r>
            <w:r w:rsidRPr="008E0BE6">
              <w:rPr>
                <w:rFonts w:hAnsi="標楷體" w:hint="eastAsia"/>
                <w:b/>
                <w:sz w:val="22"/>
                <w:szCs w:val="27"/>
              </w:rPr>
              <w:t>年</w:t>
            </w:r>
          </w:p>
          <w:p w:rsidR="00245613" w:rsidRPr="008E0BE6" w:rsidRDefault="00245613" w:rsidP="003D2CEE">
            <w:pPr>
              <w:spacing w:line="0" w:lineRule="atLeast"/>
              <w:rPr>
                <w:rFonts w:hAnsi="標楷體"/>
                <w:b/>
                <w:sz w:val="24"/>
                <w:szCs w:val="28"/>
              </w:rPr>
            </w:pPr>
            <w:r w:rsidRPr="008E0BE6">
              <w:rPr>
                <w:rFonts w:hAnsi="標楷體" w:hint="eastAsia"/>
                <w:b/>
                <w:sz w:val="20"/>
                <w:szCs w:val="27"/>
              </w:rPr>
              <w:t>機關</w:t>
            </w:r>
          </w:p>
        </w:tc>
        <w:tc>
          <w:tcPr>
            <w:tcW w:w="615"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97</w:t>
            </w:r>
          </w:p>
        </w:tc>
        <w:tc>
          <w:tcPr>
            <w:tcW w:w="709"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98</w:t>
            </w:r>
          </w:p>
        </w:tc>
        <w:tc>
          <w:tcPr>
            <w:tcW w:w="607"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99</w:t>
            </w:r>
          </w:p>
        </w:tc>
        <w:tc>
          <w:tcPr>
            <w:tcW w:w="708"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100</w:t>
            </w:r>
          </w:p>
        </w:tc>
        <w:tc>
          <w:tcPr>
            <w:tcW w:w="709"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101</w:t>
            </w:r>
          </w:p>
        </w:tc>
        <w:tc>
          <w:tcPr>
            <w:tcW w:w="851"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102</w:t>
            </w:r>
          </w:p>
        </w:tc>
        <w:tc>
          <w:tcPr>
            <w:tcW w:w="708"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103</w:t>
            </w:r>
          </w:p>
        </w:tc>
        <w:tc>
          <w:tcPr>
            <w:tcW w:w="669"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104</w:t>
            </w:r>
          </w:p>
        </w:tc>
        <w:tc>
          <w:tcPr>
            <w:tcW w:w="607"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105</w:t>
            </w:r>
          </w:p>
        </w:tc>
        <w:tc>
          <w:tcPr>
            <w:tcW w:w="992"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106</w:t>
            </w:r>
          </w:p>
        </w:tc>
        <w:tc>
          <w:tcPr>
            <w:tcW w:w="993" w:type="dxa"/>
            <w:shd w:val="clear" w:color="auto" w:fill="EEECE1" w:themeFill="background2"/>
          </w:tcPr>
          <w:p w:rsidR="00245613" w:rsidRPr="008E0BE6" w:rsidRDefault="00245613" w:rsidP="003D2CEE">
            <w:pPr>
              <w:spacing w:line="0" w:lineRule="atLeast"/>
              <w:jc w:val="center"/>
              <w:rPr>
                <w:rFonts w:hAnsi="標楷體"/>
                <w:b/>
                <w:sz w:val="24"/>
                <w:szCs w:val="28"/>
              </w:rPr>
            </w:pPr>
            <w:r w:rsidRPr="008E0BE6">
              <w:rPr>
                <w:rFonts w:hAnsi="標楷體" w:hint="eastAsia"/>
                <w:b/>
                <w:sz w:val="24"/>
                <w:szCs w:val="28"/>
              </w:rPr>
              <w:t>107</w:t>
            </w:r>
          </w:p>
        </w:tc>
      </w:tr>
      <w:tr w:rsidR="00245613" w:rsidRPr="008E0BE6" w:rsidTr="00B36954">
        <w:tc>
          <w:tcPr>
            <w:tcW w:w="798" w:type="dxa"/>
          </w:tcPr>
          <w:p w:rsidR="00245613" w:rsidRPr="008E0BE6" w:rsidRDefault="00245613" w:rsidP="003D2CEE">
            <w:pPr>
              <w:spacing w:line="0" w:lineRule="atLeast"/>
              <w:rPr>
                <w:rFonts w:hAnsi="標楷體"/>
                <w:b/>
                <w:sz w:val="24"/>
                <w:szCs w:val="28"/>
              </w:rPr>
            </w:pPr>
            <w:r w:rsidRPr="008E0BE6">
              <w:rPr>
                <w:rFonts w:hAnsi="標楷體" w:hint="eastAsia"/>
                <w:b/>
                <w:sz w:val="24"/>
                <w:szCs w:val="28"/>
              </w:rPr>
              <w:t>法院</w:t>
            </w:r>
          </w:p>
        </w:tc>
        <w:tc>
          <w:tcPr>
            <w:tcW w:w="615"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255</w:t>
            </w:r>
          </w:p>
        </w:tc>
        <w:tc>
          <w:tcPr>
            <w:tcW w:w="709"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347</w:t>
            </w:r>
          </w:p>
        </w:tc>
        <w:tc>
          <w:tcPr>
            <w:tcW w:w="607"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286</w:t>
            </w:r>
          </w:p>
        </w:tc>
        <w:tc>
          <w:tcPr>
            <w:tcW w:w="708"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334</w:t>
            </w:r>
          </w:p>
        </w:tc>
        <w:tc>
          <w:tcPr>
            <w:tcW w:w="709"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437</w:t>
            </w:r>
          </w:p>
        </w:tc>
        <w:tc>
          <w:tcPr>
            <w:tcW w:w="851"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642</w:t>
            </w:r>
          </w:p>
        </w:tc>
        <w:tc>
          <w:tcPr>
            <w:tcW w:w="708"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474</w:t>
            </w:r>
          </w:p>
        </w:tc>
        <w:tc>
          <w:tcPr>
            <w:tcW w:w="669"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532</w:t>
            </w:r>
          </w:p>
        </w:tc>
        <w:tc>
          <w:tcPr>
            <w:tcW w:w="607"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562</w:t>
            </w:r>
          </w:p>
        </w:tc>
        <w:tc>
          <w:tcPr>
            <w:tcW w:w="992"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638</w:t>
            </w:r>
          </w:p>
        </w:tc>
        <w:tc>
          <w:tcPr>
            <w:tcW w:w="993" w:type="dxa"/>
          </w:tcPr>
          <w:p w:rsidR="00245613" w:rsidRPr="008E0BE6" w:rsidRDefault="00245613" w:rsidP="003D2CEE">
            <w:pPr>
              <w:spacing w:line="0" w:lineRule="atLeast"/>
              <w:jc w:val="center"/>
              <w:rPr>
                <w:rFonts w:hAnsi="標楷體"/>
                <w:sz w:val="24"/>
                <w:szCs w:val="28"/>
              </w:rPr>
            </w:pPr>
            <w:r w:rsidRPr="008E0BE6">
              <w:rPr>
                <w:rFonts w:hAnsi="標楷體" w:hint="eastAsia"/>
                <w:sz w:val="24"/>
                <w:szCs w:val="28"/>
              </w:rPr>
              <w:t>542</w:t>
            </w:r>
          </w:p>
        </w:tc>
      </w:tr>
      <w:tr w:rsidR="00245613" w:rsidRPr="008E0BE6" w:rsidTr="00B36954">
        <w:tc>
          <w:tcPr>
            <w:tcW w:w="798" w:type="dxa"/>
          </w:tcPr>
          <w:p w:rsidR="00245613" w:rsidRPr="008E0BE6" w:rsidRDefault="00245613" w:rsidP="003D2CEE">
            <w:pPr>
              <w:spacing w:line="0" w:lineRule="atLeast"/>
              <w:rPr>
                <w:rFonts w:hAnsi="標楷體"/>
                <w:b/>
                <w:sz w:val="24"/>
                <w:szCs w:val="28"/>
              </w:rPr>
            </w:pPr>
            <w:r>
              <w:rPr>
                <w:rFonts w:hAnsi="標楷體" w:hint="eastAsia"/>
                <w:b/>
                <w:sz w:val="24"/>
                <w:szCs w:val="28"/>
              </w:rPr>
              <w:t>地檢署</w:t>
            </w:r>
          </w:p>
        </w:tc>
        <w:tc>
          <w:tcPr>
            <w:tcW w:w="615"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228</w:t>
            </w:r>
          </w:p>
        </w:tc>
        <w:tc>
          <w:tcPr>
            <w:tcW w:w="709"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276</w:t>
            </w:r>
          </w:p>
        </w:tc>
        <w:tc>
          <w:tcPr>
            <w:tcW w:w="607"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293</w:t>
            </w:r>
          </w:p>
        </w:tc>
        <w:tc>
          <w:tcPr>
            <w:tcW w:w="708"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280</w:t>
            </w:r>
          </w:p>
        </w:tc>
        <w:tc>
          <w:tcPr>
            <w:tcW w:w="709"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248</w:t>
            </w:r>
          </w:p>
        </w:tc>
        <w:tc>
          <w:tcPr>
            <w:tcW w:w="851"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356</w:t>
            </w:r>
          </w:p>
        </w:tc>
        <w:tc>
          <w:tcPr>
            <w:tcW w:w="708"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285</w:t>
            </w:r>
          </w:p>
        </w:tc>
        <w:tc>
          <w:tcPr>
            <w:tcW w:w="669"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368</w:t>
            </w:r>
          </w:p>
        </w:tc>
        <w:tc>
          <w:tcPr>
            <w:tcW w:w="607"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400</w:t>
            </w:r>
          </w:p>
        </w:tc>
        <w:tc>
          <w:tcPr>
            <w:tcW w:w="992"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617</w:t>
            </w:r>
          </w:p>
        </w:tc>
        <w:tc>
          <w:tcPr>
            <w:tcW w:w="993" w:type="dxa"/>
          </w:tcPr>
          <w:p w:rsidR="00245613" w:rsidRPr="008E0BE6" w:rsidRDefault="00245613" w:rsidP="003D2CEE">
            <w:pPr>
              <w:spacing w:line="0" w:lineRule="atLeast"/>
              <w:jc w:val="center"/>
              <w:rPr>
                <w:rFonts w:hAnsi="標楷體"/>
                <w:sz w:val="24"/>
                <w:szCs w:val="28"/>
              </w:rPr>
            </w:pPr>
            <w:r>
              <w:rPr>
                <w:rFonts w:hAnsi="標楷體" w:hint="eastAsia"/>
                <w:sz w:val="24"/>
                <w:szCs w:val="28"/>
              </w:rPr>
              <w:t>461</w:t>
            </w:r>
          </w:p>
        </w:tc>
      </w:tr>
      <w:tr w:rsidR="00245613" w:rsidRPr="00AD35BC" w:rsidTr="00B36954">
        <w:tc>
          <w:tcPr>
            <w:tcW w:w="798" w:type="dxa"/>
          </w:tcPr>
          <w:p w:rsidR="00245613" w:rsidRPr="00AD35BC" w:rsidRDefault="00245613" w:rsidP="003D2CEE">
            <w:pPr>
              <w:spacing w:line="0" w:lineRule="atLeast"/>
              <w:rPr>
                <w:rFonts w:hAnsi="標楷體"/>
                <w:b/>
                <w:sz w:val="24"/>
                <w:szCs w:val="28"/>
              </w:rPr>
            </w:pPr>
            <w:r w:rsidRPr="00AD35BC">
              <w:rPr>
                <w:rFonts w:hAnsi="標楷體" w:hint="eastAsia"/>
                <w:b/>
                <w:sz w:val="24"/>
                <w:szCs w:val="28"/>
              </w:rPr>
              <w:t>合計</w:t>
            </w:r>
          </w:p>
        </w:tc>
        <w:tc>
          <w:tcPr>
            <w:tcW w:w="615"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483</w:t>
            </w:r>
          </w:p>
        </w:tc>
        <w:tc>
          <w:tcPr>
            <w:tcW w:w="709"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623</w:t>
            </w:r>
          </w:p>
        </w:tc>
        <w:tc>
          <w:tcPr>
            <w:tcW w:w="607"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579</w:t>
            </w:r>
          </w:p>
        </w:tc>
        <w:tc>
          <w:tcPr>
            <w:tcW w:w="708"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614</w:t>
            </w:r>
          </w:p>
        </w:tc>
        <w:tc>
          <w:tcPr>
            <w:tcW w:w="709"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685</w:t>
            </w:r>
          </w:p>
        </w:tc>
        <w:tc>
          <w:tcPr>
            <w:tcW w:w="851"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998</w:t>
            </w:r>
          </w:p>
        </w:tc>
        <w:tc>
          <w:tcPr>
            <w:tcW w:w="708"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759</w:t>
            </w:r>
          </w:p>
        </w:tc>
        <w:tc>
          <w:tcPr>
            <w:tcW w:w="669"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900</w:t>
            </w:r>
          </w:p>
        </w:tc>
        <w:tc>
          <w:tcPr>
            <w:tcW w:w="607"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962</w:t>
            </w:r>
          </w:p>
        </w:tc>
        <w:tc>
          <w:tcPr>
            <w:tcW w:w="992"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1255</w:t>
            </w:r>
          </w:p>
        </w:tc>
        <w:tc>
          <w:tcPr>
            <w:tcW w:w="993" w:type="dxa"/>
          </w:tcPr>
          <w:p w:rsidR="00245613" w:rsidRPr="00AD35BC" w:rsidRDefault="00245613" w:rsidP="003D2CEE">
            <w:pPr>
              <w:spacing w:line="0" w:lineRule="atLeast"/>
              <w:jc w:val="center"/>
              <w:rPr>
                <w:rFonts w:hAnsi="標楷體"/>
                <w:b/>
                <w:sz w:val="24"/>
                <w:szCs w:val="28"/>
              </w:rPr>
            </w:pPr>
            <w:r w:rsidRPr="00AD35BC">
              <w:rPr>
                <w:rFonts w:hAnsi="標楷體" w:hint="eastAsia"/>
                <w:b/>
                <w:sz w:val="24"/>
                <w:szCs w:val="28"/>
              </w:rPr>
              <w:t>1003</w:t>
            </w:r>
          </w:p>
        </w:tc>
      </w:tr>
    </w:tbl>
    <w:p w:rsidR="00245613" w:rsidRDefault="00245613" w:rsidP="00245613">
      <w:pPr>
        <w:pStyle w:val="5"/>
        <w:numPr>
          <w:ilvl w:val="0"/>
          <w:numId w:val="0"/>
        </w:numPr>
        <w:spacing w:line="0" w:lineRule="atLeast"/>
        <w:ind w:leftChars="606" w:left="3336" w:hangingChars="490" w:hanging="1275"/>
        <w:rPr>
          <w:sz w:val="24"/>
        </w:rPr>
      </w:pPr>
      <w:r>
        <w:rPr>
          <w:rFonts w:hint="eastAsia"/>
          <w:sz w:val="24"/>
        </w:rPr>
        <w:t>資料來源：彙整自內政部警政署107年10月23日警署刑司字第</w:t>
      </w:r>
    </w:p>
    <w:p w:rsidR="00245613" w:rsidRPr="00AD35BC" w:rsidRDefault="00245613" w:rsidP="00245613">
      <w:pPr>
        <w:pStyle w:val="5"/>
        <w:numPr>
          <w:ilvl w:val="0"/>
          <w:numId w:val="0"/>
        </w:numPr>
        <w:spacing w:after="240" w:line="0" w:lineRule="atLeast"/>
        <w:ind w:left="2041"/>
        <w:rPr>
          <w:sz w:val="24"/>
        </w:rPr>
      </w:pPr>
      <w:r>
        <w:rPr>
          <w:rFonts w:hint="eastAsia"/>
          <w:sz w:val="24"/>
        </w:rPr>
        <w:t>1070005950號</w:t>
      </w:r>
      <w:r w:rsidR="00911095">
        <w:rPr>
          <w:rFonts w:hint="eastAsia"/>
          <w:sz w:val="24"/>
        </w:rPr>
        <w:t>函</w:t>
      </w:r>
      <w:r>
        <w:rPr>
          <w:rFonts w:hint="eastAsia"/>
          <w:sz w:val="24"/>
        </w:rPr>
        <w:t>(本院收文號</w:t>
      </w:r>
      <w:r w:rsidR="00911095">
        <w:rPr>
          <w:rFonts w:hint="eastAsia"/>
          <w:sz w:val="24"/>
        </w:rPr>
        <w:t>函</w:t>
      </w:r>
      <w:r>
        <w:rPr>
          <w:rFonts w:hint="eastAsia"/>
          <w:sz w:val="24"/>
        </w:rPr>
        <w:t>：1070803640)。</w:t>
      </w:r>
    </w:p>
    <w:p w:rsidR="0078551E" w:rsidRDefault="00081E92" w:rsidP="00081E92">
      <w:pPr>
        <w:pStyle w:val="3"/>
        <w:numPr>
          <w:ilvl w:val="0"/>
          <w:numId w:val="0"/>
        </w:numPr>
        <w:ind w:left="1361"/>
      </w:pPr>
      <w:r>
        <w:rPr>
          <w:rFonts w:hint="eastAsia"/>
        </w:rPr>
        <w:t xml:space="preserve">    由上表之數據，顯見</w:t>
      </w:r>
      <w:r w:rsidR="00F41F46">
        <w:rPr>
          <w:rFonts w:hint="eastAsia"/>
        </w:rPr>
        <w:t>法院及檢方</w:t>
      </w:r>
      <w:r w:rsidR="0033103B">
        <w:rPr>
          <w:rFonts w:hint="eastAsia"/>
        </w:rPr>
        <w:t>命刑事被</w:t>
      </w:r>
      <w:r w:rsidR="007A7D95">
        <w:rPr>
          <w:rFonts w:hint="eastAsia"/>
        </w:rPr>
        <w:t>告至警察機關報到已行之有年</w:t>
      </w:r>
      <w:r w:rsidR="00391FE0">
        <w:rPr>
          <w:rFonts w:hint="eastAsia"/>
        </w:rPr>
        <w:t>。</w:t>
      </w:r>
      <w:r w:rsidR="0033103B">
        <w:rPr>
          <w:rFonts w:hint="eastAsia"/>
        </w:rPr>
        <w:t>然</w:t>
      </w:r>
      <w:r w:rsidR="007A7D95">
        <w:rPr>
          <w:rFonts w:hint="eastAsia"/>
        </w:rPr>
        <w:t>觀現行刑事訴訟法被告報到</w:t>
      </w:r>
      <w:r w:rsidR="004F663A">
        <w:rPr>
          <w:rFonts w:hint="eastAsia"/>
        </w:rPr>
        <w:t>之對象</w:t>
      </w:r>
      <w:r w:rsidR="00F41F46">
        <w:rPr>
          <w:rFonts w:hint="eastAsia"/>
        </w:rPr>
        <w:t>實為</w:t>
      </w:r>
      <w:r w:rsidR="007A7D95">
        <w:rPr>
          <w:rFonts w:hint="eastAsia"/>
        </w:rPr>
        <w:t>法院及檢察官</w:t>
      </w:r>
      <w:r w:rsidR="0033103B">
        <w:rPr>
          <w:rFonts w:hint="eastAsia"/>
        </w:rPr>
        <w:t>，倘</w:t>
      </w:r>
      <w:r w:rsidR="007A7D95">
        <w:rPr>
          <w:rFonts w:hint="eastAsia"/>
        </w:rPr>
        <w:t>若</w:t>
      </w:r>
      <w:r w:rsidR="004F663A">
        <w:rPr>
          <w:rFonts w:hint="eastAsia"/>
        </w:rPr>
        <w:t>欲將報到之業務委由警方為之，實應</w:t>
      </w:r>
      <w:r w:rsidR="001B1389">
        <w:rPr>
          <w:rFonts w:hint="eastAsia"/>
        </w:rPr>
        <w:t>訂</w:t>
      </w:r>
      <w:r w:rsidR="004F663A">
        <w:rPr>
          <w:rFonts w:hint="eastAsia"/>
        </w:rPr>
        <w:t>定相關</w:t>
      </w:r>
      <w:r w:rsidR="0033103B">
        <w:rPr>
          <w:rFonts w:hint="eastAsia"/>
        </w:rPr>
        <w:t>配套</w:t>
      </w:r>
      <w:r w:rsidR="004F663A">
        <w:rPr>
          <w:rFonts w:hint="eastAsia"/>
        </w:rPr>
        <w:t>措施</w:t>
      </w:r>
      <w:r w:rsidR="007A7D95">
        <w:rPr>
          <w:rFonts w:hint="eastAsia"/>
        </w:rPr>
        <w:t>並</w:t>
      </w:r>
      <w:r w:rsidR="0064039B">
        <w:rPr>
          <w:rFonts w:hint="eastAsia"/>
        </w:rPr>
        <w:t>主動</w:t>
      </w:r>
      <w:r w:rsidR="00610E06">
        <w:rPr>
          <w:rFonts w:hint="eastAsia"/>
        </w:rPr>
        <w:t>聯</w:t>
      </w:r>
      <w:r w:rsidR="0064039B">
        <w:rPr>
          <w:rFonts w:hint="eastAsia"/>
        </w:rPr>
        <w:t>繫</w:t>
      </w:r>
      <w:r w:rsidR="00391FE0">
        <w:rPr>
          <w:rFonts w:hint="eastAsia"/>
        </w:rPr>
        <w:t>。</w:t>
      </w:r>
      <w:r w:rsidR="0064039B">
        <w:rPr>
          <w:rFonts w:hint="eastAsia"/>
        </w:rPr>
        <w:t>惟</w:t>
      </w:r>
      <w:r w:rsidR="00695767">
        <w:rPr>
          <w:rFonts w:hint="eastAsia"/>
        </w:rPr>
        <w:t>本案情形，</w:t>
      </w:r>
      <w:r w:rsidR="0064039B">
        <w:rPr>
          <w:rFonts w:hint="eastAsia"/>
        </w:rPr>
        <w:t>似將報到業務委由警方為之</w:t>
      </w:r>
      <w:r w:rsidR="00F41F46">
        <w:rPr>
          <w:rFonts w:hint="eastAsia"/>
        </w:rPr>
        <w:t>後，即未再行追蹤被告報到狀況，且檢、院、</w:t>
      </w:r>
      <w:proofErr w:type="gramStart"/>
      <w:r w:rsidR="00F41F46">
        <w:rPr>
          <w:rFonts w:hint="eastAsia"/>
        </w:rPr>
        <w:t>警間亦無</w:t>
      </w:r>
      <w:proofErr w:type="gramEnd"/>
      <w:r w:rsidR="00F41F46">
        <w:rPr>
          <w:rFonts w:hint="eastAsia"/>
        </w:rPr>
        <w:t>建立</w:t>
      </w:r>
      <w:r w:rsidR="00610E06">
        <w:rPr>
          <w:rFonts w:hint="eastAsia"/>
        </w:rPr>
        <w:t>聯</w:t>
      </w:r>
      <w:r w:rsidR="00F41F46">
        <w:rPr>
          <w:rFonts w:hint="eastAsia"/>
        </w:rPr>
        <w:t>繫機制，致</w:t>
      </w:r>
      <w:r w:rsidR="0064039B">
        <w:rPr>
          <w:rFonts w:hint="eastAsia"/>
        </w:rPr>
        <w:t>被告藉機逃逸</w:t>
      </w:r>
      <w:r w:rsidR="00391FE0">
        <w:rPr>
          <w:rFonts w:hint="eastAsia"/>
        </w:rPr>
        <w:t>。</w:t>
      </w:r>
      <w:proofErr w:type="gramStart"/>
      <w:r w:rsidR="0064039B">
        <w:rPr>
          <w:rFonts w:hint="eastAsia"/>
        </w:rPr>
        <w:t>又觀諸</w:t>
      </w:r>
      <w:proofErr w:type="gramEnd"/>
      <w:r w:rsidR="0064039B">
        <w:rPr>
          <w:rFonts w:hint="eastAsia"/>
        </w:rPr>
        <w:t>上述囑託</w:t>
      </w:r>
      <w:r w:rsidR="0064039B">
        <w:rPr>
          <w:rFonts w:hint="eastAsia"/>
        </w:rPr>
        <w:lastRenderedPageBreak/>
        <w:t>方式籠統，除徒增警方業務，耗費警力</w:t>
      </w:r>
      <w:r w:rsidR="00F41F46">
        <w:rPr>
          <w:rFonts w:hint="eastAsia"/>
        </w:rPr>
        <w:t>外</w:t>
      </w:r>
      <w:r w:rsidR="0064039B">
        <w:rPr>
          <w:rFonts w:hint="eastAsia"/>
        </w:rPr>
        <w:t>，亦</w:t>
      </w:r>
      <w:proofErr w:type="gramStart"/>
      <w:r w:rsidR="0064039B">
        <w:rPr>
          <w:rFonts w:hint="eastAsia"/>
        </w:rPr>
        <w:t>難生</w:t>
      </w:r>
      <w:r w:rsidR="00650639">
        <w:rPr>
          <w:rFonts w:hint="eastAsia"/>
        </w:rPr>
        <w:t>防</w:t>
      </w:r>
      <w:proofErr w:type="gramEnd"/>
      <w:r w:rsidR="00650639">
        <w:rPr>
          <w:rFonts w:hint="eastAsia"/>
        </w:rPr>
        <w:t>逃效益</w:t>
      </w:r>
      <w:r w:rsidR="00391FE0">
        <w:rPr>
          <w:rFonts w:hint="eastAsia"/>
        </w:rPr>
        <w:t>。</w:t>
      </w:r>
      <w:r w:rsidR="00695767">
        <w:rPr>
          <w:rFonts w:hint="eastAsia"/>
        </w:rPr>
        <w:t>司法院及法務部實應</w:t>
      </w:r>
      <w:r w:rsidR="0033103B">
        <w:rPr>
          <w:rFonts w:hint="eastAsia"/>
        </w:rPr>
        <w:t>評估命被告</w:t>
      </w:r>
      <w:r w:rsidR="00650639">
        <w:rPr>
          <w:rFonts w:hint="eastAsia"/>
        </w:rPr>
        <w:t>報到之</w:t>
      </w:r>
      <w:r w:rsidR="00F41F46">
        <w:rPr>
          <w:rFonts w:hint="eastAsia"/>
        </w:rPr>
        <w:t>處分所生之防逃實效，以減少警力之耗損</w:t>
      </w:r>
      <w:r w:rsidR="0033103B">
        <w:rPr>
          <w:rFonts w:hint="eastAsia"/>
        </w:rPr>
        <w:t>。</w:t>
      </w:r>
    </w:p>
    <w:p w:rsidR="00BD09D9" w:rsidRPr="00BD09D9" w:rsidRDefault="00C510A7" w:rsidP="00BD09D9">
      <w:pPr>
        <w:pStyle w:val="3"/>
      </w:pPr>
      <w:r>
        <w:rPr>
          <w:rFonts w:hint="eastAsia"/>
        </w:rPr>
        <w:t>綜上，</w:t>
      </w:r>
      <w:r w:rsidR="00BD09D9" w:rsidRPr="00BD09D9">
        <w:rPr>
          <w:rFonts w:hint="eastAsia"/>
        </w:rPr>
        <w:t>國防部獵雷艦專案計畫主持人陳偉志為慶富造船股份有限公司副董事長，因涉</w:t>
      </w:r>
      <w:proofErr w:type="gramStart"/>
      <w:r w:rsidR="00BD09D9" w:rsidRPr="00BD09D9">
        <w:rPr>
          <w:rFonts w:hint="eastAsia"/>
        </w:rPr>
        <w:t>犯詐貸犯</w:t>
      </w:r>
      <w:proofErr w:type="gramEnd"/>
      <w:r w:rsidR="00BD09D9" w:rsidRPr="00BD09D9">
        <w:rPr>
          <w:rFonts w:hint="eastAsia"/>
        </w:rPr>
        <w:t>行受高雄地檢署起訴後，雖未獲羈押，仍命其需向派出所報到，然於107年5月22日高雄地院開庭審理時方察覺其逃逸，且未至新莊派出所報到時間長達17</w:t>
      </w:r>
      <w:r w:rsidR="00391FE0">
        <w:rPr>
          <w:rFonts w:hint="eastAsia"/>
        </w:rPr>
        <w:t>日。</w:t>
      </w:r>
      <w:r w:rsidR="00BD09D9" w:rsidRPr="00BD09D9">
        <w:rPr>
          <w:rFonts w:hint="eastAsia"/>
        </w:rPr>
        <w:t>顯自高雄地院將報到業務囑託警察機關辦理後，即未切實與警方</w:t>
      </w:r>
      <w:r w:rsidR="00610E06">
        <w:rPr>
          <w:rFonts w:hint="eastAsia"/>
        </w:rPr>
        <w:t>聯</w:t>
      </w:r>
      <w:r w:rsidR="00BD09D9" w:rsidRPr="00BD09D9">
        <w:rPr>
          <w:rFonts w:hint="eastAsia"/>
        </w:rPr>
        <w:t>繫，警方亦未適時回傳陳</w:t>
      </w:r>
      <w:r w:rsidR="00391FE0">
        <w:rPr>
          <w:rFonts w:hint="eastAsia"/>
        </w:rPr>
        <w:t>偉志報到狀況予法院，致未能掌握被告行蹤，使其藉機逃逸，</w:t>
      </w:r>
      <w:proofErr w:type="gramStart"/>
      <w:r w:rsidR="00391FE0">
        <w:rPr>
          <w:rFonts w:hint="eastAsia"/>
        </w:rPr>
        <w:t>均有疏失</w:t>
      </w:r>
      <w:proofErr w:type="gramEnd"/>
      <w:r w:rsidR="00391FE0">
        <w:rPr>
          <w:rFonts w:hint="eastAsia"/>
        </w:rPr>
        <w:t>。</w:t>
      </w:r>
      <w:proofErr w:type="gramStart"/>
      <w:r w:rsidR="00BD09D9" w:rsidRPr="00BD09D9">
        <w:rPr>
          <w:rFonts w:hint="eastAsia"/>
        </w:rPr>
        <w:t>另觀諸</w:t>
      </w:r>
      <w:proofErr w:type="gramEnd"/>
      <w:r w:rsidR="00BD09D9" w:rsidRPr="00BD09D9">
        <w:rPr>
          <w:rFonts w:hint="eastAsia"/>
        </w:rPr>
        <w:t>警政署提供近10</w:t>
      </w:r>
      <w:r w:rsidR="00391FE0">
        <w:rPr>
          <w:rFonts w:hint="eastAsia"/>
        </w:rPr>
        <w:t>年法院及檢察官囑託辦理報到統計數據，可知該業務囑託量日益趨增。</w:t>
      </w:r>
      <w:r w:rsidR="00BD09D9" w:rsidRPr="00BD09D9">
        <w:rPr>
          <w:rFonts w:hint="eastAsia"/>
        </w:rPr>
        <w:t>然依刑事訴訟法第116條之2第1款規定：「法院許可停止羈押時，得命被告應遵守下列事項：一、定期向法院或檢察官報到。」顯見被告報到對象實為檢察官或法院，</w:t>
      </w:r>
      <w:proofErr w:type="gramStart"/>
      <w:r w:rsidR="00BD09D9" w:rsidRPr="00BD09D9">
        <w:rPr>
          <w:rFonts w:hint="eastAsia"/>
        </w:rPr>
        <w:t>惟院檢常</w:t>
      </w:r>
      <w:proofErr w:type="gramEnd"/>
      <w:r w:rsidR="00BD09D9" w:rsidRPr="00BD09D9">
        <w:rPr>
          <w:rFonts w:hint="eastAsia"/>
        </w:rPr>
        <w:t>以一紙未明列法律依</w:t>
      </w:r>
      <w:r w:rsidR="00391FE0">
        <w:rPr>
          <w:rFonts w:hint="eastAsia"/>
        </w:rPr>
        <w:t>據及辦理方式之公文即囑託警察機關執行，實與刑事訴訟法之規定不符。</w:t>
      </w:r>
      <w:r w:rsidR="00BD09D9" w:rsidRPr="00BD09D9">
        <w:rPr>
          <w:rFonts w:hint="eastAsia"/>
        </w:rPr>
        <w:t>又命被告至指定處所報到實屬限制人身自由之</w:t>
      </w:r>
      <w:r w:rsidR="00391FE0">
        <w:rPr>
          <w:rFonts w:hint="eastAsia"/>
        </w:rPr>
        <w:t>處分，相關辦理作業與流程應符法律保留及法律明確性原則，方屬妥適。</w:t>
      </w:r>
      <w:r w:rsidR="00BD09D9" w:rsidRPr="00BD09D9">
        <w:rPr>
          <w:rFonts w:hint="eastAsia"/>
        </w:rPr>
        <w:t>然其法制面及執行面之依據與執行規範皆付之闕如，實有違上述原則之內涵，司法院及法務部允應詳予檢討該業務分配與責任歸屬，若欲將上述業務囑託警察機關辦理，亦應明定聯繫與作業規範供其依循，以建立完善之</w:t>
      </w:r>
      <w:proofErr w:type="gramStart"/>
      <w:r w:rsidR="00BD09D9" w:rsidRPr="00BD09D9">
        <w:rPr>
          <w:rFonts w:hint="eastAsia"/>
        </w:rPr>
        <w:t>防逃網絡</w:t>
      </w:r>
      <w:proofErr w:type="gramEnd"/>
      <w:r w:rsidR="00BD09D9" w:rsidRPr="00BD09D9">
        <w:rPr>
          <w:rFonts w:hint="eastAsia"/>
        </w:rPr>
        <w:t>及聯繫、作業規則，共同防堵逃逸漏洞。</w:t>
      </w:r>
    </w:p>
    <w:p w:rsidR="0078551E" w:rsidRPr="00B36954" w:rsidRDefault="0078551E">
      <w:pPr>
        <w:pStyle w:val="2"/>
        <w:rPr>
          <w:b/>
        </w:rPr>
      </w:pPr>
      <w:r w:rsidRPr="00514D3B">
        <w:rPr>
          <w:rFonts w:hint="eastAsia"/>
        </w:rPr>
        <w:tab/>
      </w:r>
      <w:r w:rsidR="0033103B" w:rsidRPr="00B36954">
        <w:rPr>
          <w:b/>
        </w:rPr>
        <w:t>107</w:t>
      </w:r>
      <w:r w:rsidR="003C6DCC" w:rsidRPr="00B36954">
        <w:rPr>
          <w:rFonts w:hint="eastAsia"/>
          <w:b/>
        </w:rPr>
        <w:t>年間除</w:t>
      </w:r>
      <w:r w:rsidR="00BD09D9" w:rsidRPr="00BD09D9">
        <w:rPr>
          <w:rFonts w:hint="eastAsia"/>
          <w:b/>
        </w:rPr>
        <w:t>慶富造船股份有限公司副董事長</w:t>
      </w:r>
      <w:r w:rsidR="00446148" w:rsidRPr="00B36954">
        <w:rPr>
          <w:rFonts w:hint="eastAsia"/>
          <w:b/>
        </w:rPr>
        <w:t>陳偉志</w:t>
      </w:r>
      <w:r w:rsidR="003C6DCC" w:rsidRPr="00B36954">
        <w:rPr>
          <w:rFonts w:hint="eastAsia"/>
          <w:b/>
        </w:rPr>
        <w:t>逃逸</w:t>
      </w:r>
      <w:r w:rsidR="0033103B" w:rsidRPr="00B36954">
        <w:rPr>
          <w:rFonts w:hint="eastAsia"/>
          <w:b/>
        </w:rPr>
        <w:t>外，亦發生</w:t>
      </w:r>
      <w:r w:rsidR="00650639" w:rsidRPr="00B36954">
        <w:rPr>
          <w:rFonts w:hint="eastAsia"/>
          <w:b/>
        </w:rPr>
        <w:t>偽造降血</w:t>
      </w:r>
      <w:proofErr w:type="gramStart"/>
      <w:r w:rsidR="00650639" w:rsidRPr="00B36954">
        <w:rPr>
          <w:rFonts w:hint="eastAsia"/>
          <w:b/>
        </w:rPr>
        <w:t>脂藥「冠脂妥</w:t>
      </w:r>
      <w:proofErr w:type="gramEnd"/>
      <w:r w:rsidR="00650639" w:rsidRPr="00B36954">
        <w:rPr>
          <w:rFonts w:hint="eastAsia"/>
          <w:b/>
        </w:rPr>
        <w:t>」主嫌潘駿達</w:t>
      </w:r>
      <w:r w:rsidR="007A2096" w:rsidRPr="00B36954">
        <w:rPr>
          <w:rFonts w:hint="eastAsia"/>
          <w:b/>
        </w:rPr>
        <w:t>逃逸案，該案與本案相似之處皆</w:t>
      </w:r>
      <w:r w:rsidR="0033103B" w:rsidRPr="00B36954">
        <w:rPr>
          <w:rFonts w:hint="eastAsia"/>
          <w:b/>
        </w:rPr>
        <w:t>於開庭審理時</w:t>
      </w:r>
      <w:r w:rsidR="00BD09D9">
        <w:rPr>
          <w:rFonts w:hint="eastAsia"/>
          <w:b/>
        </w:rPr>
        <w:t>，</w:t>
      </w:r>
      <w:r w:rsidR="0033103B" w:rsidRPr="00B36954">
        <w:rPr>
          <w:rFonts w:hint="eastAsia"/>
          <w:b/>
        </w:rPr>
        <w:t>方發現</w:t>
      </w:r>
      <w:r w:rsidR="0033103B" w:rsidRPr="00B36954">
        <w:rPr>
          <w:rFonts w:hint="eastAsia"/>
          <w:b/>
        </w:rPr>
        <w:lastRenderedPageBreak/>
        <w:t>被告</w:t>
      </w:r>
      <w:r w:rsidR="007A2096" w:rsidRPr="00B36954">
        <w:rPr>
          <w:rFonts w:hint="eastAsia"/>
          <w:b/>
        </w:rPr>
        <w:t>逃逸，顯見</w:t>
      </w:r>
      <w:r w:rsidR="0033103B" w:rsidRPr="00B36954">
        <w:rPr>
          <w:rFonts w:hint="eastAsia"/>
          <w:b/>
        </w:rPr>
        <w:t>我國</w:t>
      </w:r>
      <w:r w:rsidRPr="00B36954">
        <w:rPr>
          <w:rFonts w:hint="eastAsia"/>
          <w:b/>
        </w:rPr>
        <w:t>防逃機制</w:t>
      </w:r>
      <w:r w:rsidR="00650639" w:rsidRPr="00B36954">
        <w:rPr>
          <w:rFonts w:hint="eastAsia"/>
          <w:b/>
        </w:rPr>
        <w:t>仍有空窗</w:t>
      </w:r>
      <w:r w:rsidR="003C5E04">
        <w:rPr>
          <w:rFonts w:hint="eastAsia"/>
          <w:b/>
        </w:rPr>
        <w:t>。</w:t>
      </w:r>
      <w:r w:rsidR="00650639" w:rsidRPr="00B36954">
        <w:rPr>
          <w:rFonts w:hint="eastAsia"/>
          <w:b/>
        </w:rPr>
        <w:t>然</w:t>
      </w:r>
      <w:r w:rsidR="0033103B" w:rsidRPr="00B36954">
        <w:rPr>
          <w:rFonts w:hint="eastAsia"/>
          <w:b/>
        </w:rPr>
        <w:t>司法院</w:t>
      </w:r>
      <w:r w:rsidR="00650639" w:rsidRPr="00B36954">
        <w:rPr>
          <w:rFonts w:hint="eastAsia"/>
          <w:b/>
        </w:rPr>
        <w:t>及法務部未</w:t>
      </w:r>
      <w:r w:rsidR="00F0080E" w:rsidRPr="00B36954">
        <w:rPr>
          <w:rFonts w:hint="eastAsia"/>
          <w:b/>
        </w:rPr>
        <w:t>就</w:t>
      </w:r>
      <w:r w:rsidR="007A2096" w:rsidRPr="00B36954">
        <w:rPr>
          <w:rFonts w:hint="eastAsia"/>
          <w:b/>
        </w:rPr>
        <w:t>偵查及審理期間棄保潛逃被告之相關統計數據</w:t>
      </w:r>
      <w:r w:rsidR="00650639" w:rsidRPr="00B36954">
        <w:rPr>
          <w:rFonts w:hint="eastAsia"/>
          <w:b/>
        </w:rPr>
        <w:t>予以統計</w:t>
      </w:r>
      <w:r w:rsidR="0033103B" w:rsidRPr="00B36954">
        <w:rPr>
          <w:rFonts w:hint="eastAsia"/>
          <w:b/>
        </w:rPr>
        <w:t>，</w:t>
      </w:r>
      <w:r w:rsidR="00446148" w:rsidRPr="00B36954">
        <w:rPr>
          <w:rFonts w:hint="eastAsia"/>
          <w:b/>
        </w:rPr>
        <w:t>恐</w:t>
      </w:r>
      <w:r w:rsidR="0033103B" w:rsidRPr="00B36954">
        <w:rPr>
          <w:rFonts w:hint="eastAsia"/>
          <w:b/>
        </w:rPr>
        <w:t>無法對症下藥</w:t>
      </w:r>
      <w:r w:rsidR="003C5E04">
        <w:rPr>
          <w:rFonts w:hint="eastAsia"/>
          <w:b/>
        </w:rPr>
        <w:t>。</w:t>
      </w:r>
      <w:proofErr w:type="gramStart"/>
      <w:r w:rsidR="00446148" w:rsidRPr="00B36954">
        <w:rPr>
          <w:rFonts w:hint="eastAsia"/>
          <w:b/>
        </w:rPr>
        <w:t>另</w:t>
      </w:r>
      <w:r w:rsidR="004F663A" w:rsidRPr="00B36954">
        <w:rPr>
          <w:rFonts w:hint="eastAsia"/>
          <w:b/>
        </w:rPr>
        <w:t>防杜</w:t>
      </w:r>
      <w:proofErr w:type="gramEnd"/>
      <w:r w:rsidR="004F663A" w:rsidRPr="00B36954">
        <w:rPr>
          <w:rFonts w:hint="eastAsia"/>
          <w:b/>
        </w:rPr>
        <w:t>刑事被告逃逸，實為偵查與審理階段皆須重視之課題，</w:t>
      </w:r>
      <w:proofErr w:type="gramStart"/>
      <w:r w:rsidR="004F663A" w:rsidRPr="00B36954">
        <w:rPr>
          <w:rFonts w:hint="eastAsia"/>
          <w:b/>
        </w:rPr>
        <w:t>倘</w:t>
      </w:r>
      <w:r w:rsidR="00650639" w:rsidRPr="00B36954">
        <w:rPr>
          <w:rFonts w:hint="eastAsia"/>
          <w:b/>
        </w:rPr>
        <w:t>於刑事</w:t>
      </w:r>
      <w:proofErr w:type="gramEnd"/>
      <w:r w:rsidR="00B235AE" w:rsidRPr="00B36954">
        <w:rPr>
          <w:rFonts w:hint="eastAsia"/>
          <w:b/>
        </w:rPr>
        <w:t>程序中之任一階段產生</w:t>
      </w:r>
      <w:r w:rsidR="00650639" w:rsidRPr="00B36954">
        <w:rPr>
          <w:rFonts w:hint="eastAsia"/>
          <w:b/>
        </w:rPr>
        <w:t>防逃漏洞</w:t>
      </w:r>
      <w:r w:rsidR="00F0080E" w:rsidRPr="00B36954">
        <w:rPr>
          <w:rFonts w:hint="eastAsia"/>
          <w:b/>
        </w:rPr>
        <w:t>，</w:t>
      </w:r>
      <w:r w:rsidR="00B235AE" w:rsidRPr="00B36954">
        <w:rPr>
          <w:rFonts w:hint="eastAsia"/>
          <w:b/>
        </w:rPr>
        <w:t>皆</w:t>
      </w:r>
      <w:r w:rsidR="00BD09D9">
        <w:rPr>
          <w:rFonts w:hint="eastAsia"/>
          <w:b/>
        </w:rPr>
        <w:t>發</w:t>
      </w:r>
      <w:r w:rsidR="00A92E42" w:rsidRPr="00B36954">
        <w:rPr>
          <w:rFonts w:hint="eastAsia"/>
          <w:b/>
        </w:rPr>
        <w:t>生</w:t>
      </w:r>
      <w:r w:rsidR="00F0080E" w:rsidRPr="00B36954">
        <w:rPr>
          <w:rFonts w:hint="eastAsia"/>
          <w:b/>
        </w:rPr>
        <w:t>人犯行蹤</w:t>
      </w:r>
      <w:r w:rsidR="00A92E42" w:rsidRPr="00B36954">
        <w:rPr>
          <w:rFonts w:hint="eastAsia"/>
          <w:b/>
        </w:rPr>
        <w:t>之</w:t>
      </w:r>
      <w:proofErr w:type="gramStart"/>
      <w:r w:rsidR="00A92E42" w:rsidRPr="00B36954">
        <w:rPr>
          <w:rFonts w:hint="eastAsia"/>
          <w:b/>
        </w:rPr>
        <w:t>掌握</w:t>
      </w:r>
      <w:r w:rsidR="00F0080E" w:rsidRPr="00B36954">
        <w:rPr>
          <w:rFonts w:hint="eastAsia"/>
          <w:b/>
        </w:rPr>
        <w:t>與究責</w:t>
      </w:r>
      <w:proofErr w:type="gramEnd"/>
      <w:r w:rsidR="00F0080E" w:rsidRPr="00B36954">
        <w:rPr>
          <w:rFonts w:hint="eastAsia"/>
          <w:b/>
        </w:rPr>
        <w:t>之困難</w:t>
      </w:r>
      <w:r w:rsidR="003C5E04">
        <w:rPr>
          <w:rFonts w:hint="eastAsia"/>
          <w:b/>
        </w:rPr>
        <w:t>。</w:t>
      </w:r>
      <w:r w:rsidR="00B02067" w:rsidRPr="00B36954">
        <w:rPr>
          <w:rFonts w:hint="eastAsia"/>
          <w:b/>
        </w:rPr>
        <w:t>防範刑事被告於刑事程序中逃逸，絕非單一機關之責，</w:t>
      </w:r>
      <w:r w:rsidR="00446148" w:rsidRPr="00B36954">
        <w:rPr>
          <w:rFonts w:hint="eastAsia"/>
          <w:b/>
        </w:rPr>
        <w:t>司法院與法務部允應共同重視防</w:t>
      </w:r>
      <w:proofErr w:type="gramStart"/>
      <w:r w:rsidR="00446148" w:rsidRPr="00B36954">
        <w:rPr>
          <w:rFonts w:hint="eastAsia"/>
          <w:b/>
        </w:rPr>
        <w:t>逃空窗期</w:t>
      </w:r>
      <w:proofErr w:type="gramEnd"/>
      <w:r w:rsidR="00446148" w:rsidRPr="00B36954">
        <w:rPr>
          <w:rFonts w:hint="eastAsia"/>
          <w:b/>
        </w:rPr>
        <w:t>之漏洞，改善防逃</w:t>
      </w:r>
      <w:r w:rsidR="00315693" w:rsidRPr="00B36954">
        <w:rPr>
          <w:rFonts w:hint="eastAsia"/>
          <w:b/>
        </w:rPr>
        <w:t>機制，而非</w:t>
      </w:r>
      <w:proofErr w:type="gramStart"/>
      <w:r w:rsidR="00B235AE" w:rsidRPr="00B36954">
        <w:rPr>
          <w:rFonts w:hint="eastAsia"/>
          <w:b/>
        </w:rPr>
        <w:t>囿</w:t>
      </w:r>
      <w:proofErr w:type="gramEnd"/>
      <w:r w:rsidR="00B235AE" w:rsidRPr="00B36954">
        <w:rPr>
          <w:rFonts w:hint="eastAsia"/>
          <w:b/>
        </w:rPr>
        <w:t>於</w:t>
      </w:r>
      <w:r w:rsidR="00B02067" w:rsidRPr="00B36954">
        <w:rPr>
          <w:rFonts w:hint="eastAsia"/>
          <w:b/>
        </w:rPr>
        <w:t>本位主義，</w:t>
      </w:r>
      <w:proofErr w:type="gramStart"/>
      <w:r w:rsidR="00315693" w:rsidRPr="00B36954">
        <w:rPr>
          <w:rFonts w:hint="eastAsia"/>
          <w:b/>
        </w:rPr>
        <w:t>致喪</w:t>
      </w:r>
      <w:r w:rsidR="00446148" w:rsidRPr="00B36954">
        <w:rPr>
          <w:rFonts w:hint="eastAsia"/>
          <w:b/>
        </w:rPr>
        <w:t>防</w:t>
      </w:r>
      <w:proofErr w:type="gramEnd"/>
      <w:r w:rsidR="00446148" w:rsidRPr="00B36954">
        <w:rPr>
          <w:rFonts w:hint="eastAsia"/>
          <w:b/>
        </w:rPr>
        <w:t>逃</w:t>
      </w:r>
      <w:r w:rsidR="00B02067" w:rsidRPr="00B36954">
        <w:rPr>
          <w:rFonts w:hint="eastAsia"/>
          <w:b/>
        </w:rPr>
        <w:t>先機</w:t>
      </w:r>
      <w:r w:rsidR="003C5E04">
        <w:rPr>
          <w:rFonts w:hint="eastAsia"/>
          <w:b/>
        </w:rPr>
        <w:t>。</w:t>
      </w:r>
      <w:proofErr w:type="gramStart"/>
      <w:r w:rsidR="00315693" w:rsidRPr="00B36954">
        <w:rPr>
          <w:rFonts w:hint="eastAsia"/>
          <w:b/>
        </w:rPr>
        <w:t>另觀我國</w:t>
      </w:r>
      <w:proofErr w:type="gramEnd"/>
      <w:r w:rsidR="00315693" w:rsidRPr="00B36954">
        <w:rPr>
          <w:rFonts w:hint="eastAsia"/>
          <w:b/>
        </w:rPr>
        <w:t>法制對於逃逸</w:t>
      </w:r>
      <w:proofErr w:type="gramStart"/>
      <w:r w:rsidR="00315693" w:rsidRPr="00B36954">
        <w:rPr>
          <w:rFonts w:hint="eastAsia"/>
          <w:b/>
        </w:rPr>
        <w:t>被告僅生</w:t>
      </w:r>
      <w:r w:rsidR="00F0080E" w:rsidRPr="00B36954">
        <w:rPr>
          <w:rFonts w:hint="eastAsia"/>
          <w:b/>
        </w:rPr>
        <w:t>保證</w:t>
      </w:r>
      <w:proofErr w:type="gramEnd"/>
      <w:r w:rsidR="00F0080E" w:rsidRPr="00B36954">
        <w:rPr>
          <w:rFonts w:hint="eastAsia"/>
          <w:b/>
        </w:rPr>
        <w:t>金額沒收</w:t>
      </w:r>
      <w:r w:rsidR="00315693" w:rsidRPr="00B36954">
        <w:rPr>
          <w:rFonts w:hint="eastAsia"/>
          <w:b/>
        </w:rPr>
        <w:t>之制裁</w:t>
      </w:r>
      <w:r w:rsidR="004F663A" w:rsidRPr="00B36954">
        <w:rPr>
          <w:rFonts w:hint="eastAsia"/>
          <w:b/>
        </w:rPr>
        <w:t>，未增其因逃逸而生之</w:t>
      </w:r>
      <w:proofErr w:type="gramStart"/>
      <w:r w:rsidR="004F663A" w:rsidRPr="00B36954">
        <w:rPr>
          <w:rFonts w:hint="eastAsia"/>
          <w:b/>
        </w:rPr>
        <w:t>不</w:t>
      </w:r>
      <w:proofErr w:type="gramEnd"/>
      <w:r w:rsidR="004F663A" w:rsidRPr="00B36954">
        <w:rPr>
          <w:rFonts w:hint="eastAsia"/>
          <w:b/>
        </w:rPr>
        <w:t>利益，</w:t>
      </w:r>
      <w:proofErr w:type="gramStart"/>
      <w:r w:rsidR="004F663A" w:rsidRPr="00B36954">
        <w:rPr>
          <w:rFonts w:hint="eastAsia"/>
          <w:b/>
        </w:rPr>
        <w:t>難生嚇阻</w:t>
      </w:r>
      <w:proofErr w:type="gramEnd"/>
      <w:r w:rsidR="00F0080E" w:rsidRPr="00B36954">
        <w:rPr>
          <w:rFonts w:hint="eastAsia"/>
          <w:b/>
        </w:rPr>
        <w:t>逃逸</w:t>
      </w:r>
      <w:r w:rsidR="004F663A" w:rsidRPr="00B36954">
        <w:rPr>
          <w:rFonts w:hint="eastAsia"/>
          <w:b/>
        </w:rPr>
        <w:t>之效</w:t>
      </w:r>
      <w:r w:rsidR="003C5E04">
        <w:rPr>
          <w:rFonts w:hint="eastAsia"/>
          <w:b/>
        </w:rPr>
        <w:t>。</w:t>
      </w:r>
      <w:r w:rsidR="00315693" w:rsidRPr="00B36954">
        <w:rPr>
          <w:rFonts w:hint="eastAsia"/>
          <w:b/>
        </w:rPr>
        <w:t>對此</w:t>
      </w:r>
      <w:r w:rsidR="00B31686" w:rsidRPr="00B36954">
        <w:rPr>
          <w:rFonts w:hint="eastAsia"/>
          <w:b/>
        </w:rPr>
        <w:t>司法院</w:t>
      </w:r>
      <w:r w:rsidR="00F0080E" w:rsidRPr="00B36954">
        <w:rPr>
          <w:rFonts w:hint="eastAsia"/>
          <w:b/>
        </w:rPr>
        <w:t>及法務部允宜參考美國法制，</w:t>
      </w:r>
      <w:proofErr w:type="gramStart"/>
      <w:r w:rsidR="00315693" w:rsidRPr="00B36954">
        <w:rPr>
          <w:rFonts w:hint="eastAsia"/>
          <w:b/>
        </w:rPr>
        <w:t>增列</w:t>
      </w:r>
      <w:r w:rsidR="00F0080E" w:rsidRPr="00B36954">
        <w:rPr>
          <w:rFonts w:hint="eastAsia"/>
          <w:b/>
        </w:rPr>
        <w:t>棄保</w:t>
      </w:r>
      <w:proofErr w:type="gramEnd"/>
      <w:r w:rsidR="00F0080E" w:rsidRPr="00B36954">
        <w:rPr>
          <w:rFonts w:hint="eastAsia"/>
          <w:b/>
        </w:rPr>
        <w:t>潛逃之制裁</w:t>
      </w:r>
      <w:r w:rsidR="00315693" w:rsidRPr="00B36954">
        <w:rPr>
          <w:rFonts w:hint="eastAsia"/>
          <w:b/>
        </w:rPr>
        <w:t>效果，增加被告逃逸</w:t>
      </w:r>
      <w:r w:rsidR="00F0080E" w:rsidRPr="00B36954">
        <w:rPr>
          <w:rFonts w:hint="eastAsia"/>
          <w:b/>
        </w:rPr>
        <w:t>成本，間接降低被告逃逸之誘因，以提升我國司法訴追之效能</w:t>
      </w:r>
      <w:r w:rsidR="00B31686" w:rsidRPr="00B36954">
        <w:rPr>
          <w:rFonts w:hint="eastAsia"/>
          <w:b/>
        </w:rPr>
        <w:t>。</w:t>
      </w:r>
    </w:p>
    <w:p w:rsidR="0033103B" w:rsidRPr="007253F6" w:rsidRDefault="003C6DCC" w:rsidP="00BD09D9">
      <w:pPr>
        <w:pStyle w:val="3"/>
      </w:pPr>
      <w:r>
        <w:rPr>
          <w:rFonts w:hint="eastAsia"/>
        </w:rPr>
        <w:t>自</w:t>
      </w:r>
      <w:r w:rsidR="00BD09D9" w:rsidRPr="00BD09D9">
        <w:rPr>
          <w:rFonts w:hint="eastAsia"/>
        </w:rPr>
        <w:t>慶富造船股份有限公司副董事長</w:t>
      </w:r>
      <w:r>
        <w:rPr>
          <w:rFonts w:hint="eastAsia"/>
        </w:rPr>
        <w:t>陳偉志棄保潛逃後，於107年6月14日亦發生偽造降血</w:t>
      </w:r>
      <w:proofErr w:type="gramStart"/>
      <w:r>
        <w:rPr>
          <w:rFonts w:hint="eastAsia"/>
        </w:rPr>
        <w:t>脂藥「冠脂妥</w:t>
      </w:r>
      <w:proofErr w:type="gramEnd"/>
      <w:r>
        <w:rPr>
          <w:rFonts w:hint="eastAsia"/>
        </w:rPr>
        <w:t>」之主嫌潘駿達</w:t>
      </w:r>
      <w:r w:rsidR="0033103B" w:rsidRPr="007253F6">
        <w:rPr>
          <w:rFonts w:hint="eastAsia"/>
        </w:rPr>
        <w:t>長達2個月未向警方報到</w:t>
      </w:r>
      <w:r>
        <w:rPr>
          <w:rFonts w:hint="eastAsia"/>
        </w:rPr>
        <w:t>之棄保逃逸</w:t>
      </w:r>
      <w:r w:rsidR="0033103B" w:rsidRPr="007253F6">
        <w:rPr>
          <w:rFonts w:hint="eastAsia"/>
        </w:rPr>
        <w:t>案</w:t>
      </w:r>
      <w:r w:rsidR="00446148">
        <w:rPr>
          <w:rFonts w:hint="eastAsia"/>
        </w:rPr>
        <w:t>，</w:t>
      </w:r>
      <w:r w:rsidR="0033103B">
        <w:rPr>
          <w:rFonts w:hint="eastAsia"/>
        </w:rPr>
        <w:t>大事記</w:t>
      </w:r>
      <w:r w:rsidR="0033103B" w:rsidRPr="00226B3B">
        <w:rPr>
          <w:rFonts w:hint="eastAsia"/>
        </w:rPr>
        <w:t>如下表</w:t>
      </w:r>
      <w:r w:rsidRPr="00B36954">
        <w:t>4</w:t>
      </w:r>
      <w:r w:rsidR="0033103B">
        <w:rPr>
          <w:rFonts w:hint="eastAsia"/>
        </w:rPr>
        <w:t>所示：</w:t>
      </w:r>
    </w:p>
    <w:p w:rsidR="0033103B" w:rsidRPr="00306E1D" w:rsidRDefault="0033103B" w:rsidP="0033103B">
      <w:pPr>
        <w:pStyle w:val="5"/>
        <w:numPr>
          <w:ilvl w:val="0"/>
          <w:numId w:val="0"/>
        </w:numPr>
        <w:spacing w:before="120" w:line="0" w:lineRule="atLeast"/>
        <w:ind w:leftChars="417" w:left="1955" w:hanging="537"/>
        <w:rPr>
          <w:rFonts w:hAnsi="標楷體"/>
          <w:sz w:val="28"/>
        </w:rPr>
      </w:pPr>
      <w:r w:rsidRPr="00306E1D">
        <w:rPr>
          <w:rFonts w:hAnsi="標楷體" w:hint="eastAsia"/>
          <w:sz w:val="28"/>
        </w:rPr>
        <w:t>表</w:t>
      </w:r>
      <w:r>
        <w:rPr>
          <w:rFonts w:hAnsi="標楷體" w:hint="eastAsia"/>
          <w:sz w:val="28"/>
        </w:rPr>
        <w:t>4</w:t>
      </w:r>
      <w:r w:rsidRPr="00306E1D">
        <w:rPr>
          <w:rFonts w:hAnsi="標楷體" w:hint="eastAsia"/>
          <w:sz w:val="28"/>
        </w:rPr>
        <w:t xml:space="preserve"> </w:t>
      </w:r>
      <w:r>
        <w:rPr>
          <w:rFonts w:hAnsi="標楷體" w:hint="eastAsia"/>
          <w:sz w:val="28"/>
        </w:rPr>
        <w:t>偽造降</w:t>
      </w:r>
      <w:proofErr w:type="gramStart"/>
      <w:r>
        <w:rPr>
          <w:rFonts w:hAnsi="標楷體" w:hint="eastAsia"/>
          <w:sz w:val="28"/>
        </w:rPr>
        <w:t>血脂藥案</w:t>
      </w:r>
      <w:proofErr w:type="gramEnd"/>
      <w:r>
        <w:rPr>
          <w:rFonts w:hAnsi="標楷體" w:hint="eastAsia"/>
          <w:sz w:val="28"/>
        </w:rPr>
        <w:t>主嫌潘駿達逃逸</w:t>
      </w:r>
      <w:r w:rsidRPr="00306E1D">
        <w:rPr>
          <w:rFonts w:hAnsi="標楷體" w:hint="eastAsia"/>
          <w:sz w:val="28"/>
        </w:rPr>
        <w:t>大事記</w:t>
      </w:r>
    </w:p>
    <w:tbl>
      <w:tblPr>
        <w:tblStyle w:val="af7"/>
        <w:tblW w:w="0" w:type="auto"/>
        <w:tblInd w:w="1526" w:type="dxa"/>
        <w:tblLook w:val="04A0" w:firstRow="1" w:lastRow="0" w:firstColumn="1" w:lastColumn="0" w:noHBand="0" w:noVBand="1"/>
      </w:tblPr>
      <w:tblGrid>
        <w:gridCol w:w="2693"/>
        <w:gridCol w:w="4426"/>
      </w:tblGrid>
      <w:tr w:rsidR="0033103B" w:rsidRPr="00306E1D" w:rsidTr="003D2CEE">
        <w:trPr>
          <w:tblHeader/>
        </w:trPr>
        <w:tc>
          <w:tcPr>
            <w:tcW w:w="2693" w:type="dxa"/>
            <w:shd w:val="clear" w:color="auto" w:fill="EEECE1" w:themeFill="background2"/>
          </w:tcPr>
          <w:p w:rsidR="0033103B" w:rsidRPr="00306E1D" w:rsidRDefault="0033103B" w:rsidP="003D2CEE">
            <w:pPr>
              <w:spacing w:line="0" w:lineRule="atLeast"/>
              <w:jc w:val="center"/>
              <w:rPr>
                <w:rFonts w:hAnsi="標楷體"/>
                <w:b/>
              </w:rPr>
            </w:pPr>
            <w:r w:rsidRPr="00306E1D">
              <w:rPr>
                <w:rFonts w:hAnsi="標楷體" w:hint="eastAsia"/>
                <w:b/>
              </w:rPr>
              <w:t>時間(年.月.日)</w:t>
            </w:r>
          </w:p>
        </w:tc>
        <w:tc>
          <w:tcPr>
            <w:tcW w:w="4426" w:type="dxa"/>
            <w:shd w:val="clear" w:color="auto" w:fill="EEECE1" w:themeFill="background2"/>
          </w:tcPr>
          <w:p w:rsidR="0033103B" w:rsidRPr="00306E1D" w:rsidRDefault="0033103B" w:rsidP="003D2CEE">
            <w:pPr>
              <w:spacing w:line="0" w:lineRule="atLeast"/>
              <w:jc w:val="center"/>
              <w:rPr>
                <w:rFonts w:hAnsi="標楷體"/>
                <w:b/>
              </w:rPr>
            </w:pPr>
            <w:r w:rsidRPr="00306E1D">
              <w:rPr>
                <w:rFonts w:hAnsi="標楷體" w:hint="eastAsia"/>
                <w:b/>
              </w:rPr>
              <w:t>大事記</w:t>
            </w:r>
          </w:p>
        </w:tc>
      </w:tr>
      <w:tr w:rsidR="0033103B" w:rsidRPr="00306E1D" w:rsidTr="003D2CEE">
        <w:tc>
          <w:tcPr>
            <w:tcW w:w="2693" w:type="dxa"/>
          </w:tcPr>
          <w:p w:rsidR="0033103B" w:rsidRPr="00306E1D" w:rsidRDefault="0033103B" w:rsidP="003D2CEE">
            <w:pPr>
              <w:spacing w:line="0" w:lineRule="atLeast"/>
              <w:jc w:val="center"/>
              <w:rPr>
                <w:rFonts w:hAnsi="標楷體"/>
              </w:rPr>
            </w:pPr>
            <w:r>
              <w:rPr>
                <w:rFonts w:hAnsi="標楷體" w:hint="eastAsia"/>
              </w:rPr>
              <w:t>106.7.17</w:t>
            </w:r>
          </w:p>
        </w:tc>
        <w:tc>
          <w:tcPr>
            <w:tcW w:w="4426" w:type="dxa"/>
          </w:tcPr>
          <w:p w:rsidR="0033103B" w:rsidRPr="00306E1D" w:rsidRDefault="0033103B" w:rsidP="003D2CEE">
            <w:pPr>
              <w:spacing w:line="0" w:lineRule="atLeast"/>
              <w:rPr>
                <w:rFonts w:hAnsi="標楷體"/>
              </w:rPr>
            </w:pPr>
            <w:r w:rsidRPr="007A467B">
              <w:rPr>
                <w:rFonts w:hAnsi="標楷體" w:hint="eastAsia"/>
              </w:rPr>
              <w:t>潘駿達不服羈押被臺灣高等法院駁回。</w:t>
            </w:r>
            <w:r>
              <w:rPr>
                <w:rFonts w:hAnsi="標楷體" w:hint="eastAsia"/>
              </w:rPr>
              <w:t>(</w:t>
            </w:r>
            <w:r w:rsidRPr="007A467B">
              <w:rPr>
                <w:rFonts w:hAnsi="標楷體" w:hint="eastAsia"/>
              </w:rPr>
              <w:t>臺灣高等法院</w:t>
            </w:r>
            <w:proofErr w:type="gramStart"/>
            <w:r w:rsidRPr="007A467B">
              <w:rPr>
                <w:rFonts w:hAnsi="標楷體" w:hint="eastAsia"/>
              </w:rPr>
              <w:t>106年度抗字第928號</w:t>
            </w:r>
            <w:proofErr w:type="gramEnd"/>
            <w:r w:rsidRPr="007A467B">
              <w:rPr>
                <w:rFonts w:hAnsi="標楷體" w:hint="eastAsia"/>
              </w:rPr>
              <w:t>刑事裁定</w:t>
            </w:r>
            <w:r>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106.8.27</w:t>
            </w:r>
          </w:p>
        </w:tc>
        <w:tc>
          <w:tcPr>
            <w:tcW w:w="4426" w:type="dxa"/>
          </w:tcPr>
          <w:p w:rsidR="0033103B" w:rsidRPr="007A467B" w:rsidRDefault="0033103B" w:rsidP="003D2CEE">
            <w:pPr>
              <w:spacing w:line="0" w:lineRule="atLeast"/>
              <w:rPr>
                <w:rFonts w:hAnsi="標楷體"/>
              </w:rPr>
            </w:pPr>
            <w:r w:rsidRPr="007A467B">
              <w:rPr>
                <w:rFonts w:hAnsi="標楷體" w:hint="eastAsia"/>
              </w:rPr>
              <w:t>潘駿達聲請撤銷羈押被法院駁回。</w:t>
            </w:r>
            <w:r>
              <w:rPr>
                <w:rFonts w:hAnsi="標楷體" w:hint="eastAsia"/>
              </w:rPr>
              <w:t>(</w:t>
            </w:r>
            <w:r w:rsidRPr="007A467B">
              <w:rPr>
                <w:rFonts w:hAnsi="標楷體" w:hint="eastAsia"/>
              </w:rPr>
              <w:t>臺灣新北地方法院</w:t>
            </w:r>
            <w:proofErr w:type="gramStart"/>
            <w:r w:rsidRPr="007A467B">
              <w:rPr>
                <w:rFonts w:hAnsi="標楷體" w:hint="eastAsia"/>
              </w:rPr>
              <w:t>106年度聲字第3340號</w:t>
            </w:r>
            <w:proofErr w:type="gramEnd"/>
            <w:r w:rsidRPr="007A467B">
              <w:rPr>
                <w:rFonts w:hAnsi="標楷體" w:hint="eastAsia"/>
              </w:rPr>
              <w:t>刑事裁定</w:t>
            </w:r>
            <w:r>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106.9.27</w:t>
            </w:r>
          </w:p>
        </w:tc>
        <w:tc>
          <w:tcPr>
            <w:tcW w:w="4426" w:type="dxa"/>
          </w:tcPr>
          <w:p w:rsidR="0033103B" w:rsidRPr="007A467B" w:rsidRDefault="0033103B" w:rsidP="00415C51">
            <w:pPr>
              <w:spacing w:line="0" w:lineRule="atLeast"/>
              <w:rPr>
                <w:rFonts w:hAnsi="標楷體"/>
              </w:rPr>
            </w:pPr>
            <w:r w:rsidRPr="007A467B">
              <w:rPr>
                <w:rFonts w:hAnsi="標楷體" w:hint="eastAsia"/>
              </w:rPr>
              <w:t>審判中第</w:t>
            </w:r>
            <w:r w:rsidR="00415C51">
              <w:rPr>
                <w:rFonts w:hAnsi="標楷體" w:hint="eastAsia"/>
              </w:rPr>
              <w:t>1</w:t>
            </w:r>
            <w:r w:rsidRPr="007A467B">
              <w:rPr>
                <w:rFonts w:hAnsi="標楷體" w:hint="eastAsia"/>
              </w:rPr>
              <w:t>次延長羈押。</w:t>
            </w:r>
            <w:r>
              <w:rPr>
                <w:rFonts w:hAnsi="標楷體" w:hint="eastAsia"/>
              </w:rPr>
              <w:t>(</w:t>
            </w:r>
            <w:r w:rsidRPr="007A467B">
              <w:rPr>
                <w:rFonts w:hAnsi="標楷體" w:hint="eastAsia"/>
              </w:rPr>
              <w:t>臺灣新北地方法院</w:t>
            </w:r>
            <w:proofErr w:type="gramStart"/>
            <w:r w:rsidRPr="007A467B">
              <w:rPr>
                <w:rFonts w:hAnsi="標楷體" w:hint="eastAsia"/>
              </w:rPr>
              <w:t>106年度訴</w:t>
            </w:r>
            <w:r w:rsidRPr="007A467B">
              <w:rPr>
                <w:rFonts w:hAnsi="標楷體" w:hint="eastAsia"/>
              </w:rPr>
              <w:lastRenderedPageBreak/>
              <w:t>字第481號</w:t>
            </w:r>
            <w:proofErr w:type="gramEnd"/>
            <w:r w:rsidRPr="007A467B">
              <w:rPr>
                <w:rFonts w:hAnsi="標楷體" w:hint="eastAsia"/>
              </w:rPr>
              <w:t>刑事裁定</w:t>
            </w:r>
            <w:r>
              <w:rPr>
                <w:rFonts w:hAnsi="標楷體" w:hint="eastAsia"/>
              </w:rPr>
              <w:t>：</w:t>
            </w:r>
            <w:r w:rsidRPr="007A467B">
              <w:rPr>
                <w:rFonts w:hAnsi="標楷體" w:hint="eastAsia"/>
              </w:rPr>
              <w:t>潘駿達、潘立武均自</w:t>
            </w:r>
            <w:r w:rsidR="006B3404">
              <w:rPr>
                <w:rFonts w:hAnsi="標楷體" w:hint="eastAsia"/>
              </w:rPr>
              <w:t>106</w:t>
            </w:r>
            <w:r w:rsidRPr="007A467B">
              <w:rPr>
                <w:rFonts w:hAnsi="標楷體" w:hint="eastAsia"/>
              </w:rPr>
              <w:t>年</w:t>
            </w:r>
            <w:r w:rsidR="006B3404">
              <w:rPr>
                <w:rFonts w:hAnsi="標楷體" w:hint="eastAsia"/>
              </w:rPr>
              <w:t>9</w:t>
            </w:r>
            <w:r w:rsidRPr="007A467B">
              <w:rPr>
                <w:rFonts w:hAnsi="標楷體" w:hint="eastAsia"/>
              </w:rPr>
              <w:t>月</w:t>
            </w:r>
            <w:r w:rsidR="006B3404">
              <w:rPr>
                <w:rFonts w:hAnsi="標楷體" w:hint="eastAsia"/>
              </w:rPr>
              <w:t>30</w:t>
            </w:r>
            <w:r w:rsidRPr="007A467B">
              <w:rPr>
                <w:rFonts w:hAnsi="標楷體" w:hint="eastAsia"/>
              </w:rPr>
              <w:t>日起延長羈押</w:t>
            </w:r>
            <w:r w:rsidR="006B3404">
              <w:rPr>
                <w:rFonts w:hAnsi="標楷體" w:hint="eastAsia"/>
              </w:rPr>
              <w:t>2</w:t>
            </w:r>
            <w:r w:rsidRPr="007A467B">
              <w:rPr>
                <w:rFonts w:hAnsi="標楷體" w:hint="eastAsia"/>
              </w:rPr>
              <w:t>月，並均禁止接見通信。</w:t>
            </w:r>
            <w:r>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lastRenderedPageBreak/>
              <w:t>106.10.13</w:t>
            </w:r>
          </w:p>
        </w:tc>
        <w:tc>
          <w:tcPr>
            <w:tcW w:w="4426" w:type="dxa"/>
          </w:tcPr>
          <w:p w:rsidR="0033103B" w:rsidRPr="007A467B" w:rsidRDefault="0033103B" w:rsidP="003D2CEE">
            <w:pPr>
              <w:spacing w:line="0" w:lineRule="atLeast"/>
              <w:rPr>
                <w:rFonts w:hAnsi="標楷體"/>
              </w:rPr>
            </w:pPr>
            <w:r w:rsidRPr="002D17DD">
              <w:rPr>
                <w:rFonts w:hAnsi="標楷體" w:hint="eastAsia"/>
              </w:rPr>
              <w:t>潘駿達聲請撤銷羈押被法院駁回。</w:t>
            </w:r>
            <w:r>
              <w:rPr>
                <w:rFonts w:hAnsi="標楷體" w:hint="eastAsia"/>
              </w:rPr>
              <w:t>(</w:t>
            </w:r>
            <w:r w:rsidRPr="002D17DD">
              <w:rPr>
                <w:rFonts w:hAnsi="標楷體" w:hint="eastAsia"/>
              </w:rPr>
              <w:t>臺灣新北地方法院</w:t>
            </w:r>
            <w:proofErr w:type="gramStart"/>
            <w:r w:rsidRPr="002D17DD">
              <w:rPr>
                <w:rFonts w:hAnsi="標楷體" w:hint="eastAsia"/>
              </w:rPr>
              <w:t>106年度聲字第4022號</w:t>
            </w:r>
            <w:proofErr w:type="gramEnd"/>
            <w:r w:rsidRPr="002D17DD">
              <w:rPr>
                <w:rFonts w:hAnsi="標楷體" w:hint="eastAsia"/>
              </w:rPr>
              <w:t>刑事裁定</w:t>
            </w:r>
            <w:r>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106.11.9</w:t>
            </w:r>
          </w:p>
        </w:tc>
        <w:tc>
          <w:tcPr>
            <w:tcW w:w="4426" w:type="dxa"/>
          </w:tcPr>
          <w:p w:rsidR="0033103B" w:rsidRPr="002D17DD" w:rsidRDefault="0033103B" w:rsidP="003D2CEE">
            <w:pPr>
              <w:spacing w:line="0" w:lineRule="atLeast"/>
              <w:rPr>
                <w:rFonts w:hAnsi="標楷體"/>
              </w:rPr>
            </w:pPr>
            <w:r w:rsidRPr="002D17DD">
              <w:rPr>
                <w:rFonts w:hAnsi="標楷體" w:hint="eastAsia"/>
              </w:rPr>
              <w:t>潘駿達聲請撤銷羈押被法院駁回。</w:t>
            </w:r>
            <w:r>
              <w:rPr>
                <w:rFonts w:hAnsi="標楷體" w:hint="eastAsia"/>
              </w:rPr>
              <w:t>(</w:t>
            </w:r>
            <w:r w:rsidRPr="002D17DD">
              <w:rPr>
                <w:rFonts w:hAnsi="標楷體" w:hint="eastAsia"/>
              </w:rPr>
              <w:t>臺灣新北地方法院</w:t>
            </w:r>
            <w:proofErr w:type="gramStart"/>
            <w:r w:rsidRPr="002D17DD">
              <w:rPr>
                <w:rFonts w:hAnsi="標楷體" w:hint="eastAsia"/>
              </w:rPr>
              <w:t>106年度聲字第4607號</w:t>
            </w:r>
            <w:proofErr w:type="gramEnd"/>
            <w:r w:rsidRPr="002D17DD">
              <w:rPr>
                <w:rFonts w:hAnsi="標楷體" w:hint="eastAsia"/>
              </w:rPr>
              <w:t>刑事裁定</w:t>
            </w:r>
            <w:r>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106.11.27</w:t>
            </w:r>
          </w:p>
        </w:tc>
        <w:tc>
          <w:tcPr>
            <w:tcW w:w="4426" w:type="dxa"/>
          </w:tcPr>
          <w:p w:rsidR="0033103B" w:rsidRPr="002D17DD" w:rsidRDefault="0033103B" w:rsidP="00415C51">
            <w:pPr>
              <w:spacing w:line="0" w:lineRule="atLeast"/>
              <w:rPr>
                <w:rFonts w:hAnsi="標楷體"/>
              </w:rPr>
            </w:pPr>
            <w:r w:rsidRPr="002D17DD">
              <w:rPr>
                <w:rFonts w:hAnsi="標楷體" w:hint="eastAsia"/>
              </w:rPr>
              <w:t>審判中第</w:t>
            </w:r>
            <w:r w:rsidR="00415C51">
              <w:rPr>
                <w:rFonts w:hAnsi="標楷體" w:hint="eastAsia"/>
              </w:rPr>
              <w:t>2</w:t>
            </w:r>
            <w:r w:rsidRPr="002D17DD">
              <w:rPr>
                <w:rFonts w:hAnsi="標楷體" w:hint="eastAsia"/>
              </w:rPr>
              <w:t>次延長羈押。</w:t>
            </w:r>
            <w:r>
              <w:rPr>
                <w:rFonts w:hAnsi="標楷體" w:hint="eastAsia"/>
              </w:rPr>
              <w:t>(</w:t>
            </w:r>
            <w:r w:rsidRPr="002D17DD">
              <w:rPr>
                <w:rFonts w:hAnsi="標楷體" w:hint="eastAsia"/>
              </w:rPr>
              <w:t>臺灣新北地方法院</w:t>
            </w:r>
            <w:proofErr w:type="gramStart"/>
            <w:r w:rsidRPr="002D17DD">
              <w:rPr>
                <w:rFonts w:hAnsi="標楷體" w:hint="eastAsia"/>
              </w:rPr>
              <w:t>106年度訴字第481號</w:t>
            </w:r>
            <w:proofErr w:type="gramEnd"/>
            <w:r w:rsidRPr="002D17DD">
              <w:rPr>
                <w:rFonts w:hAnsi="標楷體" w:hint="eastAsia"/>
              </w:rPr>
              <w:t>刑事裁定</w:t>
            </w:r>
            <w:r>
              <w:rPr>
                <w:rFonts w:hAnsi="標楷體" w:hint="eastAsia"/>
              </w:rPr>
              <w:t>：</w:t>
            </w:r>
            <w:r w:rsidRPr="002D17DD">
              <w:rPr>
                <w:rFonts w:hAnsi="標楷體" w:hint="eastAsia"/>
              </w:rPr>
              <w:t>潘駿達、潘立武均自</w:t>
            </w:r>
            <w:r w:rsidR="006B3404">
              <w:rPr>
                <w:rFonts w:hAnsi="標楷體" w:hint="eastAsia"/>
              </w:rPr>
              <w:t>106</w:t>
            </w:r>
            <w:r w:rsidRPr="002D17DD">
              <w:rPr>
                <w:rFonts w:hAnsi="標楷體" w:hint="eastAsia"/>
              </w:rPr>
              <w:t>年</w:t>
            </w:r>
            <w:r w:rsidR="006B3404">
              <w:rPr>
                <w:rFonts w:hAnsi="標楷體" w:hint="eastAsia"/>
              </w:rPr>
              <w:t>11</w:t>
            </w:r>
            <w:r w:rsidRPr="002D17DD">
              <w:rPr>
                <w:rFonts w:hAnsi="標楷體" w:hint="eastAsia"/>
              </w:rPr>
              <w:t>月</w:t>
            </w:r>
            <w:r w:rsidR="006B3404">
              <w:rPr>
                <w:rFonts w:hAnsi="標楷體" w:hint="eastAsia"/>
              </w:rPr>
              <w:t>30</w:t>
            </w:r>
            <w:r w:rsidRPr="002D17DD">
              <w:rPr>
                <w:rFonts w:hAnsi="標楷體" w:hint="eastAsia"/>
              </w:rPr>
              <w:t>日起延長羈押</w:t>
            </w:r>
            <w:r w:rsidR="00747785">
              <w:rPr>
                <w:rFonts w:hAnsi="標楷體" w:hint="eastAsia"/>
              </w:rPr>
              <w:t>2</w:t>
            </w:r>
            <w:r w:rsidRPr="002D17DD">
              <w:rPr>
                <w:rFonts w:hAnsi="標楷體" w:hint="eastAsia"/>
              </w:rPr>
              <w:t>月，並均禁止接見通信。</w:t>
            </w:r>
            <w:r>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107.1.26</w:t>
            </w:r>
          </w:p>
        </w:tc>
        <w:tc>
          <w:tcPr>
            <w:tcW w:w="4426" w:type="dxa"/>
          </w:tcPr>
          <w:p w:rsidR="0033103B" w:rsidRPr="002D17DD" w:rsidRDefault="0033103B">
            <w:pPr>
              <w:spacing w:line="0" w:lineRule="atLeast"/>
              <w:rPr>
                <w:rFonts w:hAnsi="標楷體"/>
              </w:rPr>
            </w:pPr>
            <w:r w:rsidRPr="002D17DD">
              <w:rPr>
                <w:rFonts w:hAnsi="標楷體" w:hint="eastAsia"/>
              </w:rPr>
              <w:t>審判中第</w:t>
            </w:r>
            <w:r w:rsidR="00415C51">
              <w:rPr>
                <w:rFonts w:hAnsi="標楷體" w:hint="eastAsia"/>
              </w:rPr>
              <w:t>3</w:t>
            </w:r>
            <w:r w:rsidRPr="002D17DD">
              <w:rPr>
                <w:rFonts w:hAnsi="標楷體" w:hint="eastAsia"/>
              </w:rPr>
              <w:t>次延長羈押。</w:t>
            </w:r>
            <w:r>
              <w:rPr>
                <w:rFonts w:hAnsi="標楷體" w:hint="eastAsia"/>
              </w:rPr>
              <w:t>(</w:t>
            </w:r>
            <w:r w:rsidRPr="002D17DD">
              <w:rPr>
                <w:rFonts w:hAnsi="標楷體" w:hint="eastAsia"/>
              </w:rPr>
              <w:t>臺灣新北地方法院</w:t>
            </w:r>
            <w:proofErr w:type="gramStart"/>
            <w:r w:rsidRPr="002D17DD">
              <w:rPr>
                <w:rFonts w:hAnsi="標楷體" w:hint="eastAsia"/>
              </w:rPr>
              <w:t>106年度訴字第481號</w:t>
            </w:r>
            <w:proofErr w:type="gramEnd"/>
            <w:r w:rsidRPr="002D17DD">
              <w:rPr>
                <w:rFonts w:hAnsi="標楷體" w:hint="eastAsia"/>
              </w:rPr>
              <w:t>刑事裁定</w:t>
            </w:r>
            <w:r>
              <w:rPr>
                <w:rFonts w:hAnsi="標楷體" w:hint="eastAsia"/>
              </w:rPr>
              <w:t>：</w:t>
            </w:r>
            <w:r w:rsidRPr="002D17DD">
              <w:rPr>
                <w:rFonts w:hAnsi="標楷體" w:hint="eastAsia"/>
              </w:rPr>
              <w:t>潘駿達、潘立武均自</w:t>
            </w:r>
            <w:r w:rsidR="006B3404">
              <w:rPr>
                <w:rFonts w:hAnsi="標楷體" w:hint="eastAsia"/>
              </w:rPr>
              <w:t>107</w:t>
            </w:r>
            <w:r w:rsidRPr="002D17DD">
              <w:rPr>
                <w:rFonts w:hAnsi="標楷體" w:hint="eastAsia"/>
              </w:rPr>
              <w:t>年</w:t>
            </w:r>
            <w:r w:rsidR="006B3404">
              <w:rPr>
                <w:rFonts w:hAnsi="標楷體" w:hint="eastAsia"/>
              </w:rPr>
              <w:t>1</w:t>
            </w:r>
            <w:r w:rsidRPr="002D17DD">
              <w:rPr>
                <w:rFonts w:hAnsi="標楷體" w:hint="eastAsia"/>
              </w:rPr>
              <w:t>月</w:t>
            </w:r>
            <w:r w:rsidR="006B3404">
              <w:rPr>
                <w:rFonts w:hAnsi="標楷體" w:hint="eastAsia"/>
              </w:rPr>
              <w:t>30</w:t>
            </w:r>
            <w:r w:rsidRPr="002D17DD">
              <w:rPr>
                <w:rFonts w:hAnsi="標楷體" w:hint="eastAsia"/>
              </w:rPr>
              <w:t>日起延長羈押</w:t>
            </w:r>
            <w:r w:rsidR="006B3404">
              <w:rPr>
                <w:rFonts w:hAnsi="標楷體" w:hint="eastAsia"/>
              </w:rPr>
              <w:t>2</w:t>
            </w:r>
            <w:r w:rsidRPr="002D17DD">
              <w:rPr>
                <w:rFonts w:hAnsi="標楷體" w:hint="eastAsia"/>
              </w:rPr>
              <w:t>月，並均禁止接見通信。</w:t>
            </w:r>
            <w:r>
              <w:rPr>
                <w:rFonts w:hAnsi="標楷體" w:hint="eastAsia"/>
              </w:rPr>
              <w:t>)</w:t>
            </w:r>
          </w:p>
        </w:tc>
      </w:tr>
      <w:tr w:rsidR="0033103B" w:rsidRPr="00306E1D" w:rsidTr="003D2CEE">
        <w:tc>
          <w:tcPr>
            <w:tcW w:w="2693" w:type="dxa"/>
          </w:tcPr>
          <w:p w:rsidR="0033103B" w:rsidRPr="00306E1D" w:rsidRDefault="0033103B" w:rsidP="003D2CEE">
            <w:pPr>
              <w:spacing w:line="0" w:lineRule="atLeast"/>
              <w:jc w:val="center"/>
              <w:rPr>
                <w:rFonts w:hAnsi="標楷體"/>
              </w:rPr>
            </w:pPr>
            <w:r w:rsidRPr="00306E1D">
              <w:rPr>
                <w:rFonts w:hAnsi="標楷體" w:hint="eastAsia"/>
              </w:rPr>
              <w:t>107.2</w:t>
            </w:r>
            <w:r>
              <w:rPr>
                <w:rFonts w:hAnsi="標楷體" w:hint="eastAsia"/>
              </w:rPr>
              <w:t>.1</w:t>
            </w:r>
          </w:p>
        </w:tc>
        <w:tc>
          <w:tcPr>
            <w:tcW w:w="4426" w:type="dxa"/>
          </w:tcPr>
          <w:p w:rsidR="0033103B" w:rsidRPr="00306E1D" w:rsidRDefault="005165EE" w:rsidP="003D2CEE">
            <w:pPr>
              <w:spacing w:line="0" w:lineRule="atLeast"/>
              <w:rPr>
                <w:rFonts w:hAnsi="標楷體"/>
              </w:rPr>
            </w:pPr>
            <w:r>
              <w:rPr>
                <w:rFonts w:hAnsi="標楷體" w:hint="eastAsia"/>
              </w:rPr>
              <w:t>臺灣</w:t>
            </w:r>
            <w:r w:rsidR="00415C51">
              <w:rPr>
                <w:rFonts w:hAnsi="標楷體" w:hint="eastAsia"/>
              </w:rPr>
              <w:t>新北地</w:t>
            </w:r>
            <w:r>
              <w:rPr>
                <w:rFonts w:hAnsi="標楷體" w:hint="eastAsia"/>
              </w:rPr>
              <w:t>方法</w:t>
            </w:r>
            <w:r w:rsidR="00415C51">
              <w:rPr>
                <w:rFonts w:hAnsi="標楷體" w:hint="eastAsia"/>
              </w:rPr>
              <w:t>院</w:t>
            </w:r>
            <w:r>
              <w:rPr>
                <w:rFonts w:hAnsi="標楷體" w:hint="eastAsia"/>
              </w:rPr>
              <w:t>(下稱新北地院)</w:t>
            </w:r>
            <w:r w:rsidR="0033103B">
              <w:rPr>
                <w:rFonts w:hAnsi="標楷體" w:hint="eastAsia"/>
              </w:rPr>
              <w:t>於107年2月1</w:t>
            </w:r>
            <w:r w:rsidR="00315693">
              <w:rPr>
                <w:rFonts w:hAnsi="標楷體" w:hint="eastAsia"/>
              </w:rPr>
              <w:t>日訊畢被告潘</w:t>
            </w:r>
            <w:r w:rsidR="0033103B">
              <w:rPr>
                <w:rFonts w:hAnsi="標楷體" w:hint="eastAsia"/>
              </w:rPr>
              <w:t>駿達免於羈押，限制住居於新北市汐止區湖前街72號</w:t>
            </w:r>
            <w:r w:rsidR="0033103B" w:rsidRPr="00306E1D">
              <w:rPr>
                <w:rFonts w:hAnsi="標楷體" w:hint="eastAsia"/>
              </w:rPr>
              <w:t>。</w:t>
            </w:r>
          </w:p>
        </w:tc>
      </w:tr>
      <w:tr w:rsidR="0033103B" w:rsidRPr="00306E1D" w:rsidTr="003D2CEE">
        <w:tc>
          <w:tcPr>
            <w:tcW w:w="2693" w:type="dxa"/>
          </w:tcPr>
          <w:p w:rsidR="0033103B" w:rsidRPr="00306E1D" w:rsidRDefault="0033103B" w:rsidP="003D2CEE">
            <w:pPr>
              <w:spacing w:line="0" w:lineRule="atLeast"/>
              <w:jc w:val="center"/>
              <w:rPr>
                <w:rFonts w:hAnsi="標楷體"/>
              </w:rPr>
            </w:pPr>
            <w:r>
              <w:rPr>
                <w:rFonts w:hAnsi="標楷體" w:hint="eastAsia"/>
              </w:rPr>
              <w:t>107.2.5</w:t>
            </w:r>
          </w:p>
        </w:tc>
        <w:tc>
          <w:tcPr>
            <w:tcW w:w="4426" w:type="dxa"/>
          </w:tcPr>
          <w:p w:rsidR="0033103B" w:rsidRPr="00306E1D" w:rsidRDefault="0033103B" w:rsidP="00415C51">
            <w:pPr>
              <w:spacing w:line="0" w:lineRule="atLeast"/>
              <w:rPr>
                <w:rFonts w:hAnsi="標楷體"/>
              </w:rPr>
            </w:pPr>
            <w:r w:rsidRPr="007A467B">
              <w:rPr>
                <w:rFonts w:hAnsi="標楷體" w:hint="eastAsia"/>
              </w:rPr>
              <w:t>新北地院</w:t>
            </w:r>
            <w:r>
              <w:rPr>
                <w:rFonts w:hAnsi="標楷體" w:hint="eastAsia"/>
              </w:rPr>
              <w:t>函請</w:t>
            </w:r>
            <w:r w:rsidR="00315693">
              <w:rPr>
                <w:rFonts w:hAnsi="標楷體" w:hint="eastAsia"/>
              </w:rPr>
              <w:t>新北市政府警察局</w:t>
            </w:r>
            <w:r>
              <w:rPr>
                <w:rFonts w:hAnsi="標楷體" w:hint="eastAsia"/>
              </w:rPr>
              <w:t>汐止分局</w:t>
            </w:r>
            <w:r w:rsidR="00315693">
              <w:rPr>
                <w:rFonts w:hAnsi="標楷體" w:hint="eastAsia"/>
              </w:rPr>
              <w:t>(下稱汐止分</w:t>
            </w:r>
            <w:r w:rsidR="00315693">
              <w:rPr>
                <w:rFonts w:hAnsi="標楷體" w:hint="eastAsia"/>
              </w:rPr>
              <w:lastRenderedPageBreak/>
              <w:t>局)</w:t>
            </w:r>
            <w:r>
              <w:rPr>
                <w:rFonts w:hAnsi="標楷體" w:hint="eastAsia"/>
              </w:rPr>
              <w:t>執行報到手續(新</w:t>
            </w:r>
            <w:proofErr w:type="gramStart"/>
            <w:r>
              <w:rPr>
                <w:rFonts w:hAnsi="標楷體" w:hint="eastAsia"/>
              </w:rPr>
              <w:t>北院霞刑游</w:t>
            </w:r>
            <w:proofErr w:type="gramEnd"/>
            <w:r>
              <w:rPr>
                <w:rFonts w:hAnsi="標楷體" w:hint="eastAsia"/>
              </w:rPr>
              <w:t>106訴481字第07423號函)</w:t>
            </w:r>
          </w:p>
        </w:tc>
      </w:tr>
      <w:tr w:rsidR="0033103B" w:rsidRPr="00306E1D" w:rsidTr="003D2CEE">
        <w:tc>
          <w:tcPr>
            <w:tcW w:w="2693" w:type="dxa"/>
          </w:tcPr>
          <w:p w:rsidR="0033103B" w:rsidRPr="00306E1D" w:rsidRDefault="0033103B" w:rsidP="003D2CEE">
            <w:pPr>
              <w:spacing w:line="0" w:lineRule="atLeast"/>
              <w:jc w:val="center"/>
              <w:rPr>
                <w:rFonts w:hAnsi="標楷體"/>
              </w:rPr>
            </w:pPr>
            <w:r>
              <w:rPr>
                <w:rFonts w:hAnsi="標楷體" w:hint="eastAsia"/>
              </w:rPr>
              <w:lastRenderedPageBreak/>
              <w:t>107.2.8</w:t>
            </w:r>
          </w:p>
        </w:tc>
        <w:tc>
          <w:tcPr>
            <w:tcW w:w="4426" w:type="dxa"/>
          </w:tcPr>
          <w:p w:rsidR="0033103B" w:rsidRPr="00306E1D" w:rsidRDefault="0033103B" w:rsidP="003D2CEE">
            <w:pPr>
              <w:spacing w:line="0" w:lineRule="atLeast"/>
              <w:rPr>
                <w:rFonts w:hAnsi="標楷體"/>
              </w:rPr>
            </w:pPr>
            <w:r>
              <w:rPr>
                <w:rFonts w:hAnsi="標楷體" w:hint="eastAsia"/>
              </w:rPr>
              <w:t>汐止分局收文後，並由承辦人偵查</w:t>
            </w:r>
            <w:proofErr w:type="gramStart"/>
            <w:r>
              <w:rPr>
                <w:rFonts w:hAnsi="標楷體" w:hint="eastAsia"/>
              </w:rPr>
              <w:t>佐</w:t>
            </w:r>
            <w:proofErr w:type="gramEnd"/>
            <w:r>
              <w:rPr>
                <w:rFonts w:hAnsi="標楷體" w:hint="eastAsia"/>
              </w:rPr>
              <w:t>游勝豐簽收。</w:t>
            </w:r>
          </w:p>
        </w:tc>
      </w:tr>
      <w:tr w:rsidR="0033103B" w:rsidRPr="00306E1D" w:rsidTr="003D2CEE">
        <w:tc>
          <w:tcPr>
            <w:tcW w:w="2693" w:type="dxa"/>
          </w:tcPr>
          <w:p w:rsidR="0033103B" w:rsidRPr="00306E1D" w:rsidRDefault="0033103B" w:rsidP="003D2CEE">
            <w:pPr>
              <w:spacing w:line="0" w:lineRule="atLeast"/>
              <w:jc w:val="center"/>
              <w:rPr>
                <w:rFonts w:hAnsi="標楷體"/>
              </w:rPr>
            </w:pPr>
            <w:r>
              <w:rPr>
                <w:rFonts w:hAnsi="標楷體" w:hint="eastAsia"/>
              </w:rPr>
              <w:t>107.2.10</w:t>
            </w:r>
          </w:p>
        </w:tc>
        <w:tc>
          <w:tcPr>
            <w:tcW w:w="4426" w:type="dxa"/>
          </w:tcPr>
          <w:p w:rsidR="0033103B" w:rsidRPr="00306E1D" w:rsidRDefault="0033103B" w:rsidP="003D5378">
            <w:pPr>
              <w:spacing w:line="0" w:lineRule="atLeast"/>
              <w:rPr>
                <w:rFonts w:hAnsi="標楷體"/>
              </w:rPr>
            </w:pPr>
            <w:r>
              <w:rPr>
                <w:rFonts w:hAnsi="標楷體" w:hint="eastAsia"/>
              </w:rPr>
              <w:t>偵查</w:t>
            </w:r>
            <w:proofErr w:type="gramStart"/>
            <w:r>
              <w:rPr>
                <w:rFonts w:hAnsi="標楷體" w:hint="eastAsia"/>
              </w:rPr>
              <w:t>佐</w:t>
            </w:r>
            <w:proofErr w:type="gramEnd"/>
            <w:r>
              <w:rPr>
                <w:rFonts w:hAnsi="標楷體" w:hint="eastAsia"/>
              </w:rPr>
              <w:t>游勝豐親持公文至社</w:t>
            </w:r>
            <w:proofErr w:type="gramStart"/>
            <w:r>
              <w:rPr>
                <w:rFonts w:hAnsi="標楷體" w:hint="eastAsia"/>
              </w:rPr>
              <w:t>后</w:t>
            </w:r>
            <w:proofErr w:type="gramEnd"/>
            <w:r>
              <w:rPr>
                <w:rFonts w:hAnsi="標楷體" w:hint="eastAsia"/>
              </w:rPr>
              <w:t>派出所由值班員警陳宗佑簽收，委由值班員警轉交勤區員警造冊列管，</w:t>
            </w:r>
            <w:r w:rsidR="003D5378">
              <w:rPr>
                <w:rFonts w:hAnsi="標楷體" w:hint="eastAsia"/>
              </w:rPr>
              <w:t>惟</w:t>
            </w:r>
            <w:r>
              <w:rPr>
                <w:rFonts w:hAnsi="標楷體" w:hint="eastAsia"/>
              </w:rPr>
              <w:t>值班員警陳宗佑未落實交接，潘駿達亦未報到，</w:t>
            </w:r>
            <w:proofErr w:type="gramStart"/>
            <w:r>
              <w:rPr>
                <w:rFonts w:hAnsi="標楷體" w:hint="eastAsia"/>
              </w:rPr>
              <w:t>以致脫管</w:t>
            </w:r>
            <w:proofErr w:type="gramEnd"/>
            <w:r w:rsidRPr="00306E1D">
              <w:rPr>
                <w:rFonts w:hAnsi="標楷體" w:hint="eastAsia"/>
              </w:rPr>
              <w:t>。</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107.6.14</w:t>
            </w:r>
          </w:p>
        </w:tc>
        <w:tc>
          <w:tcPr>
            <w:tcW w:w="4426" w:type="dxa"/>
          </w:tcPr>
          <w:p w:rsidR="0033103B" w:rsidRDefault="0033103B" w:rsidP="003D2CEE">
            <w:pPr>
              <w:spacing w:line="0" w:lineRule="atLeast"/>
              <w:rPr>
                <w:rFonts w:hAnsi="標楷體"/>
              </w:rPr>
            </w:pPr>
            <w:r>
              <w:rPr>
                <w:rFonts w:hAnsi="標楷體" w:hint="eastAsia"/>
              </w:rPr>
              <w:t>傳喚被告到庭未到。</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t>107.6.15</w:t>
            </w:r>
          </w:p>
        </w:tc>
        <w:tc>
          <w:tcPr>
            <w:tcW w:w="4426" w:type="dxa"/>
          </w:tcPr>
          <w:p w:rsidR="0033103B" w:rsidRDefault="0033103B" w:rsidP="006B3404">
            <w:pPr>
              <w:spacing w:line="0" w:lineRule="atLeast"/>
              <w:rPr>
                <w:rFonts w:hAnsi="標楷體"/>
              </w:rPr>
            </w:pPr>
            <w:r>
              <w:rPr>
                <w:rFonts w:hAnsi="標楷體" w:hint="eastAsia"/>
              </w:rPr>
              <w:t>裁定具保人胡家</w:t>
            </w:r>
            <w:proofErr w:type="gramStart"/>
            <w:r>
              <w:rPr>
                <w:rFonts w:hAnsi="標楷體" w:hint="eastAsia"/>
              </w:rPr>
              <w:t>溱</w:t>
            </w:r>
            <w:proofErr w:type="gramEnd"/>
            <w:r>
              <w:rPr>
                <w:rFonts w:hAnsi="標楷體" w:hint="eastAsia"/>
              </w:rPr>
              <w:t>繳納之保證金</w:t>
            </w:r>
            <w:r w:rsidR="006B3404">
              <w:rPr>
                <w:rFonts w:hAnsi="標楷體" w:hint="eastAsia"/>
              </w:rPr>
              <w:t>100</w:t>
            </w:r>
            <w:r>
              <w:rPr>
                <w:rFonts w:hAnsi="標楷體" w:hint="eastAsia"/>
              </w:rPr>
              <w:t>萬元及實收利息沒入之。(</w:t>
            </w:r>
            <w:r w:rsidRPr="002D17DD">
              <w:rPr>
                <w:rFonts w:hAnsi="標楷體" w:hint="eastAsia"/>
              </w:rPr>
              <w:t>臺灣新北地方法院</w:t>
            </w:r>
            <w:proofErr w:type="gramStart"/>
            <w:r w:rsidRPr="002D17DD">
              <w:rPr>
                <w:rFonts w:hAnsi="標楷體" w:hint="eastAsia"/>
              </w:rPr>
              <w:t>106年度訴字第481號</w:t>
            </w:r>
            <w:proofErr w:type="gramEnd"/>
            <w:r w:rsidRPr="002D17DD">
              <w:rPr>
                <w:rFonts w:hAnsi="標楷體" w:hint="eastAsia"/>
              </w:rPr>
              <w:t>刑事裁定</w:t>
            </w:r>
            <w:r>
              <w:rPr>
                <w:rFonts w:hAnsi="標楷體" w:hint="eastAsia"/>
              </w:rPr>
              <w:t>：</w:t>
            </w:r>
            <w:r w:rsidRPr="002D17DD">
              <w:rPr>
                <w:rFonts w:hAnsi="標楷體" w:hint="eastAsia"/>
              </w:rPr>
              <w:t>本案具保人胡家</w:t>
            </w:r>
            <w:proofErr w:type="gramStart"/>
            <w:r w:rsidRPr="002D17DD">
              <w:rPr>
                <w:rFonts w:hAnsi="標楷體" w:hint="eastAsia"/>
              </w:rPr>
              <w:t>溱</w:t>
            </w:r>
            <w:proofErr w:type="gramEnd"/>
            <w:r w:rsidRPr="002D17DD">
              <w:rPr>
                <w:rFonts w:hAnsi="標楷體" w:hint="eastAsia"/>
              </w:rPr>
              <w:t>因被告潘駿達違反藥事法等案件，經依</w:t>
            </w:r>
            <w:r w:rsidR="009E4078" w:rsidRPr="009E4078">
              <w:rPr>
                <w:rFonts w:hAnsi="標楷體" w:hint="eastAsia"/>
              </w:rPr>
              <w:t>新北地</w:t>
            </w:r>
            <w:r w:rsidRPr="002D17DD">
              <w:rPr>
                <w:rFonts w:hAnsi="標楷體" w:hint="eastAsia"/>
              </w:rPr>
              <w:t>院指定保證金額100萬元，於107年2月1日出具現金保證後，已將被告釋放。茲因被告</w:t>
            </w:r>
            <w:r w:rsidR="00BD09D9">
              <w:rPr>
                <w:rFonts w:hAnsi="標楷體" w:hint="eastAsia"/>
              </w:rPr>
              <w:t>經</w:t>
            </w:r>
            <w:r w:rsidR="009E4078" w:rsidRPr="009E4078">
              <w:rPr>
                <w:rFonts w:hAnsi="標楷體" w:hint="eastAsia"/>
              </w:rPr>
              <w:t>新北地</w:t>
            </w:r>
            <w:r w:rsidRPr="002D17DD">
              <w:rPr>
                <w:rFonts w:hAnsi="標楷體" w:hint="eastAsia"/>
              </w:rPr>
              <w:t>院依其住、居所分別傳喚被告於107年6月14日下午</w:t>
            </w:r>
            <w:r>
              <w:rPr>
                <w:rFonts w:hAnsi="標楷體" w:hint="eastAsia"/>
              </w:rPr>
              <w:t>2</w:t>
            </w:r>
            <w:r w:rsidRPr="002D17DD">
              <w:rPr>
                <w:rFonts w:hAnsi="標楷體" w:hint="eastAsia"/>
              </w:rPr>
              <w:t>時30分到庭，並依具保人住所及國庫存款收款書所列之居所分別通知具保人應攜同被告</w:t>
            </w:r>
            <w:proofErr w:type="gramStart"/>
            <w:r w:rsidRPr="002D17DD">
              <w:rPr>
                <w:rFonts w:hAnsi="標楷體" w:hint="eastAsia"/>
              </w:rPr>
              <w:t>遵</w:t>
            </w:r>
            <w:proofErr w:type="gramEnd"/>
            <w:r w:rsidRPr="002D17DD">
              <w:rPr>
                <w:rFonts w:hAnsi="標楷體" w:hint="eastAsia"/>
              </w:rPr>
              <w:t>期到庭。</w:t>
            </w:r>
            <w:proofErr w:type="gramStart"/>
            <w:r w:rsidRPr="002D17DD">
              <w:rPr>
                <w:rFonts w:hAnsi="標楷體" w:hint="eastAsia"/>
              </w:rPr>
              <w:t>詎</w:t>
            </w:r>
            <w:proofErr w:type="gramEnd"/>
            <w:r w:rsidRPr="002D17DD">
              <w:rPr>
                <w:rFonts w:hAnsi="標楷體" w:hint="eastAsia"/>
              </w:rPr>
              <w:t>被告無正當理由不到庭，具保人亦未通知或帶同被告到庭，復經</w:t>
            </w:r>
            <w:r w:rsidR="009E4078" w:rsidRPr="009E4078">
              <w:rPr>
                <w:rFonts w:hAnsi="標楷體" w:hint="eastAsia"/>
              </w:rPr>
              <w:t>新北地</w:t>
            </w:r>
            <w:r w:rsidRPr="002D17DD">
              <w:rPr>
                <w:rFonts w:hAnsi="標楷體" w:hint="eastAsia"/>
              </w:rPr>
              <w:t>院依被告住、居所拘提</w:t>
            </w:r>
            <w:r w:rsidRPr="002D17DD">
              <w:rPr>
                <w:rFonts w:hAnsi="標楷體" w:hint="eastAsia"/>
              </w:rPr>
              <w:lastRenderedPageBreak/>
              <w:t>被告無著等情，有國庫存款收款書1紙、</w:t>
            </w:r>
            <w:r w:rsidR="009E4078" w:rsidRPr="009E4078">
              <w:rPr>
                <w:rFonts w:hAnsi="標楷體" w:hint="eastAsia"/>
              </w:rPr>
              <w:t>新北地</w:t>
            </w:r>
            <w:r w:rsidRPr="002D17DD">
              <w:rPr>
                <w:rFonts w:hAnsi="標楷體" w:hint="eastAsia"/>
              </w:rPr>
              <w:t>院</w:t>
            </w:r>
            <w:proofErr w:type="gramStart"/>
            <w:r w:rsidRPr="002D17DD">
              <w:rPr>
                <w:rFonts w:hAnsi="標楷體" w:hint="eastAsia"/>
              </w:rPr>
              <w:t>送達回證</w:t>
            </w:r>
            <w:r>
              <w:rPr>
                <w:rFonts w:hAnsi="標楷體" w:hint="eastAsia"/>
              </w:rPr>
              <w:t>4</w:t>
            </w:r>
            <w:r w:rsidRPr="002D17DD">
              <w:rPr>
                <w:rFonts w:hAnsi="標楷體" w:hint="eastAsia"/>
              </w:rPr>
              <w:t>紙</w:t>
            </w:r>
            <w:proofErr w:type="gramEnd"/>
            <w:r w:rsidRPr="002D17DD">
              <w:rPr>
                <w:rFonts w:hAnsi="標楷體" w:hint="eastAsia"/>
              </w:rPr>
              <w:t>、拘票暨報告書2 份在卷可</w:t>
            </w:r>
            <w:proofErr w:type="gramStart"/>
            <w:r w:rsidRPr="002D17DD">
              <w:rPr>
                <w:rFonts w:hAnsi="標楷體" w:hint="eastAsia"/>
              </w:rPr>
              <w:t>稽</w:t>
            </w:r>
            <w:proofErr w:type="gramEnd"/>
            <w:r w:rsidRPr="002D17DD">
              <w:rPr>
                <w:rFonts w:hAnsi="標楷體" w:hint="eastAsia"/>
              </w:rPr>
              <w:t>，且被告與具保人</w:t>
            </w:r>
            <w:proofErr w:type="gramStart"/>
            <w:r w:rsidRPr="002D17DD">
              <w:rPr>
                <w:rFonts w:hAnsi="標楷體" w:hint="eastAsia"/>
              </w:rPr>
              <w:t>現均無在</w:t>
            </w:r>
            <w:proofErr w:type="gramEnd"/>
            <w:r w:rsidRPr="002D17DD">
              <w:rPr>
                <w:rFonts w:hAnsi="標楷體" w:hint="eastAsia"/>
              </w:rPr>
              <w:t>監在押之情形，有被告及具保人臺灣高等法院在監在押全國</w:t>
            </w:r>
            <w:proofErr w:type="gramStart"/>
            <w:r w:rsidRPr="002D17DD">
              <w:rPr>
                <w:rFonts w:hAnsi="標楷體" w:hint="eastAsia"/>
              </w:rPr>
              <w:t>紀錄表各1份</w:t>
            </w:r>
            <w:proofErr w:type="gramEnd"/>
            <w:r w:rsidRPr="002D17DD">
              <w:rPr>
                <w:rFonts w:hAnsi="標楷體" w:hint="eastAsia"/>
              </w:rPr>
              <w:t>附</w:t>
            </w:r>
            <w:proofErr w:type="gramStart"/>
            <w:r w:rsidRPr="002D17DD">
              <w:rPr>
                <w:rFonts w:hAnsi="標楷體" w:hint="eastAsia"/>
              </w:rPr>
              <w:t>卷可佐</w:t>
            </w:r>
            <w:proofErr w:type="gramEnd"/>
            <w:r w:rsidRPr="002D17DD">
              <w:rPr>
                <w:rFonts w:hAnsi="標楷體" w:hint="eastAsia"/>
              </w:rPr>
              <w:t>，足認被告確已逃匿，自應將原繳納上開保證金沒入，實收利息亦依法</w:t>
            </w:r>
            <w:proofErr w:type="gramStart"/>
            <w:r w:rsidRPr="002D17DD">
              <w:rPr>
                <w:rFonts w:hAnsi="標楷體" w:hint="eastAsia"/>
              </w:rPr>
              <w:t>併</w:t>
            </w:r>
            <w:proofErr w:type="gramEnd"/>
            <w:r w:rsidRPr="002D17DD">
              <w:rPr>
                <w:rFonts w:hAnsi="標楷體" w:hint="eastAsia"/>
              </w:rPr>
              <w:t>沒入之。</w:t>
            </w:r>
          </w:p>
        </w:tc>
      </w:tr>
      <w:tr w:rsidR="0033103B" w:rsidRPr="00306E1D" w:rsidTr="003D2CEE">
        <w:tc>
          <w:tcPr>
            <w:tcW w:w="2693" w:type="dxa"/>
          </w:tcPr>
          <w:p w:rsidR="0033103B" w:rsidRDefault="0033103B" w:rsidP="003D2CEE">
            <w:pPr>
              <w:spacing w:line="0" w:lineRule="atLeast"/>
              <w:jc w:val="center"/>
              <w:rPr>
                <w:rFonts w:hAnsi="標楷體"/>
              </w:rPr>
            </w:pPr>
            <w:r>
              <w:rPr>
                <w:rFonts w:hAnsi="標楷體" w:hint="eastAsia"/>
              </w:rPr>
              <w:lastRenderedPageBreak/>
              <w:t>107.6.15</w:t>
            </w:r>
          </w:p>
        </w:tc>
        <w:tc>
          <w:tcPr>
            <w:tcW w:w="4426" w:type="dxa"/>
          </w:tcPr>
          <w:p w:rsidR="0033103B" w:rsidRDefault="0033103B" w:rsidP="003D2CEE">
            <w:pPr>
              <w:spacing w:line="0" w:lineRule="atLeast"/>
              <w:rPr>
                <w:rFonts w:hAnsi="標楷體"/>
              </w:rPr>
            </w:pPr>
            <w:r>
              <w:rPr>
                <w:rFonts w:hAnsi="標楷體" w:hint="eastAsia"/>
              </w:rPr>
              <w:t>發布通緝。</w:t>
            </w:r>
          </w:p>
        </w:tc>
      </w:tr>
    </w:tbl>
    <w:p w:rsidR="0033103B" w:rsidRPr="007253F6" w:rsidRDefault="0033103B" w:rsidP="0033103B">
      <w:pPr>
        <w:pStyle w:val="3"/>
        <w:numPr>
          <w:ilvl w:val="0"/>
          <w:numId w:val="0"/>
        </w:numPr>
        <w:spacing w:after="240"/>
        <w:ind w:left="1361"/>
        <w:rPr>
          <w:sz w:val="24"/>
        </w:rPr>
      </w:pPr>
      <w:r>
        <w:rPr>
          <w:rFonts w:hint="eastAsia"/>
          <w:sz w:val="24"/>
        </w:rPr>
        <w:t>資料來源：監察院彙整。</w:t>
      </w:r>
    </w:p>
    <w:p w:rsidR="0033103B" w:rsidRDefault="0033103B" w:rsidP="00415C51">
      <w:pPr>
        <w:pStyle w:val="4"/>
      </w:pPr>
      <w:r>
        <w:rPr>
          <w:rFonts w:hint="eastAsia"/>
        </w:rPr>
        <w:t>發生經過：</w:t>
      </w:r>
      <w:r w:rsidRPr="00203DC8">
        <w:rPr>
          <w:rFonts w:hint="eastAsia"/>
        </w:rPr>
        <w:t>汐止分局偵查</w:t>
      </w:r>
      <w:proofErr w:type="gramStart"/>
      <w:r w:rsidRPr="00203DC8">
        <w:rPr>
          <w:rFonts w:hint="eastAsia"/>
        </w:rPr>
        <w:t>佐</w:t>
      </w:r>
      <w:proofErr w:type="gramEnd"/>
      <w:r w:rsidRPr="00203DC8">
        <w:rPr>
          <w:rFonts w:hint="eastAsia"/>
        </w:rPr>
        <w:t>游勝豐於107年2月8日接獲新北地院來函(文號：107年2月5日新</w:t>
      </w:r>
      <w:proofErr w:type="gramStart"/>
      <w:r w:rsidRPr="00203DC8">
        <w:rPr>
          <w:rFonts w:hint="eastAsia"/>
        </w:rPr>
        <w:t>北院霞刑游</w:t>
      </w:r>
      <w:proofErr w:type="gramEnd"/>
      <w:r w:rsidRPr="00203DC8">
        <w:rPr>
          <w:rFonts w:hint="eastAsia"/>
        </w:rPr>
        <w:t>106訴481字第07423號</w:t>
      </w:r>
      <w:r w:rsidR="00911095">
        <w:rPr>
          <w:rFonts w:hint="eastAsia"/>
        </w:rPr>
        <w:t>函</w:t>
      </w:r>
      <w:r w:rsidRPr="00203DC8">
        <w:rPr>
          <w:rFonts w:hint="eastAsia"/>
        </w:rPr>
        <w:t>)，通知該分局就被告</w:t>
      </w:r>
      <w:proofErr w:type="gramStart"/>
      <w:r w:rsidRPr="00203DC8">
        <w:rPr>
          <w:rFonts w:hint="eastAsia"/>
        </w:rPr>
        <w:t>潘駿達涉藥事</w:t>
      </w:r>
      <w:proofErr w:type="gramEnd"/>
      <w:r w:rsidRPr="00203DC8">
        <w:rPr>
          <w:rFonts w:hint="eastAsia"/>
        </w:rPr>
        <w:t>法案，免予羈押，應於每日晚間9時前至</w:t>
      </w:r>
      <w:r w:rsidR="00415C51">
        <w:rPr>
          <w:rFonts w:hint="eastAsia"/>
        </w:rPr>
        <w:t>汐止</w:t>
      </w:r>
      <w:r w:rsidRPr="00203DC8">
        <w:rPr>
          <w:rFonts w:hint="eastAsia"/>
        </w:rPr>
        <w:t>分局社</w:t>
      </w:r>
      <w:proofErr w:type="gramStart"/>
      <w:r w:rsidRPr="00203DC8">
        <w:rPr>
          <w:rFonts w:hint="eastAsia"/>
        </w:rPr>
        <w:t>后</w:t>
      </w:r>
      <w:proofErr w:type="gramEnd"/>
      <w:r w:rsidRPr="00203DC8">
        <w:rPr>
          <w:rFonts w:hint="eastAsia"/>
        </w:rPr>
        <w:t>派出所</w:t>
      </w:r>
      <w:r w:rsidR="00415C51">
        <w:rPr>
          <w:rFonts w:hint="eastAsia"/>
        </w:rPr>
        <w:t>(下稱</w:t>
      </w:r>
      <w:r w:rsidR="00415C51" w:rsidRPr="00415C51">
        <w:rPr>
          <w:rFonts w:hint="eastAsia"/>
        </w:rPr>
        <w:t>社</w:t>
      </w:r>
      <w:proofErr w:type="gramStart"/>
      <w:r w:rsidR="00415C51" w:rsidRPr="00415C51">
        <w:rPr>
          <w:rFonts w:hint="eastAsia"/>
        </w:rPr>
        <w:t>后</w:t>
      </w:r>
      <w:proofErr w:type="gramEnd"/>
      <w:r w:rsidR="00415C51" w:rsidRPr="00415C51">
        <w:rPr>
          <w:rFonts w:hint="eastAsia"/>
        </w:rPr>
        <w:t>派出所</w:t>
      </w:r>
      <w:r w:rsidR="00415C51">
        <w:rPr>
          <w:rFonts w:hint="eastAsia"/>
        </w:rPr>
        <w:t>)</w:t>
      </w:r>
      <w:r w:rsidRPr="00203DC8">
        <w:rPr>
          <w:rFonts w:hint="eastAsia"/>
        </w:rPr>
        <w:t>報到</w:t>
      </w:r>
      <w:r w:rsidR="00A32CC7">
        <w:rPr>
          <w:rFonts w:hint="eastAsia"/>
        </w:rPr>
        <w:t>。</w:t>
      </w:r>
      <w:r w:rsidRPr="00203DC8">
        <w:rPr>
          <w:rFonts w:hint="eastAsia"/>
        </w:rPr>
        <w:t>本案即由承辦人偵查</w:t>
      </w:r>
      <w:proofErr w:type="gramStart"/>
      <w:r w:rsidRPr="00203DC8">
        <w:rPr>
          <w:rFonts w:hint="eastAsia"/>
        </w:rPr>
        <w:t>佐</w:t>
      </w:r>
      <w:proofErr w:type="gramEnd"/>
      <w:r w:rsidRPr="00203DC8">
        <w:rPr>
          <w:rFonts w:hint="eastAsia"/>
        </w:rPr>
        <w:t>游勝豐親持公文前往社</w:t>
      </w:r>
      <w:proofErr w:type="gramStart"/>
      <w:r w:rsidRPr="00203DC8">
        <w:rPr>
          <w:rFonts w:hint="eastAsia"/>
        </w:rPr>
        <w:t>后</w:t>
      </w:r>
      <w:proofErr w:type="gramEnd"/>
      <w:r w:rsidRPr="00203DC8">
        <w:rPr>
          <w:rFonts w:hint="eastAsia"/>
        </w:rPr>
        <w:t>派出所交由值班警員陳宗佑簽收，並囑託轉交勤區員警造冊列管</w:t>
      </w:r>
      <w:r w:rsidR="00A32CC7">
        <w:rPr>
          <w:rFonts w:hint="eastAsia"/>
        </w:rPr>
        <w:t>。</w:t>
      </w:r>
      <w:proofErr w:type="gramStart"/>
      <w:r w:rsidRPr="00203DC8">
        <w:rPr>
          <w:rFonts w:hint="eastAsia"/>
        </w:rPr>
        <w:t>惟</w:t>
      </w:r>
      <w:proofErr w:type="gramEnd"/>
      <w:r w:rsidRPr="00203DC8">
        <w:rPr>
          <w:rFonts w:hint="eastAsia"/>
        </w:rPr>
        <w:t>值班警員陳宗佑未落實交接，未將前述資料轉交</w:t>
      </w:r>
      <w:proofErr w:type="gramStart"/>
      <w:r w:rsidRPr="00203DC8">
        <w:rPr>
          <w:rFonts w:hint="eastAsia"/>
        </w:rPr>
        <w:t>勤區列管</w:t>
      </w:r>
      <w:proofErr w:type="gramEnd"/>
      <w:r w:rsidRPr="00203DC8">
        <w:rPr>
          <w:rFonts w:hint="eastAsia"/>
        </w:rPr>
        <w:t>，且被告潘駿達自107年2月1日交保後即未返家，從未至社</w:t>
      </w:r>
      <w:proofErr w:type="gramStart"/>
      <w:r w:rsidRPr="00203DC8">
        <w:rPr>
          <w:rFonts w:hint="eastAsia"/>
        </w:rPr>
        <w:t>后</w:t>
      </w:r>
      <w:proofErr w:type="gramEnd"/>
      <w:r w:rsidRPr="00203DC8">
        <w:rPr>
          <w:rFonts w:hint="eastAsia"/>
        </w:rPr>
        <w:t>派出所報到，致被告</w:t>
      </w:r>
      <w:proofErr w:type="gramStart"/>
      <w:r w:rsidRPr="00203DC8">
        <w:rPr>
          <w:rFonts w:hint="eastAsia"/>
        </w:rPr>
        <w:t>潘駿達脫管</w:t>
      </w:r>
      <w:proofErr w:type="gramEnd"/>
      <w:r w:rsidRPr="00203DC8">
        <w:rPr>
          <w:rFonts w:hint="eastAsia"/>
        </w:rPr>
        <w:t>。</w:t>
      </w:r>
    </w:p>
    <w:p w:rsidR="0033103B" w:rsidRDefault="0033103B" w:rsidP="0033103B">
      <w:pPr>
        <w:pStyle w:val="4"/>
      </w:pPr>
      <w:r>
        <w:rPr>
          <w:rFonts w:hint="eastAsia"/>
        </w:rPr>
        <w:t>懲處結果：</w:t>
      </w:r>
      <w:r w:rsidRPr="00203DC8">
        <w:rPr>
          <w:rFonts w:hint="eastAsia"/>
        </w:rPr>
        <w:t>社</w:t>
      </w:r>
      <w:proofErr w:type="gramStart"/>
      <w:r w:rsidRPr="00203DC8">
        <w:rPr>
          <w:rFonts w:hint="eastAsia"/>
        </w:rPr>
        <w:t>后</w:t>
      </w:r>
      <w:proofErr w:type="gramEnd"/>
      <w:r w:rsidRPr="00203DC8">
        <w:rPr>
          <w:rFonts w:hint="eastAsia"/>
        </w:rPr>
        <w:t>派出所警員陳宗佑未確實轉交承辦警勤區警員，亦未向該所正、副主管通報，被告潘駿達亦未前來報到，致</w:t>
      </w:r>
      <w:proofErr w:type="gramStart"/>
      <w:r w:rsidRPr="00203DC8">
        <w:rPr>
          <w:rFonts w:hint="eastAsia"/>
        </w:rPr>
        <w:t>案件脫管</w:t>
      </w:r>
      <w:proofErr w:type="gramEnd"/>
      <w:r w:rsidRPr="00203DC8">
        <w:rPr>
          <w:rFonts w:hint="eastAsia"/>
        </w:rPr>
        <w:t>，行政責任核予記過</w:t>
      </w:r>
      <w:r w:rsidR="00ED436E">
        <w:rPr>
          <w:rFonts w:hint="eastAsia"/>
        </w:rPr>
        <w:t>1</w:t>
      </w:r>
      <w:r w:rsidRPr="00203DC8">
        <w:rPr>
          <w:rFonts w:hint="eastAsia"/>
        </w:rPr>
        <w:t>次；社</w:t>
      </w:r>
      <w:proofErr w:type="gramStart"/>
      <w:r w:rsidRPr="00203DC8">
        <w:rPr>
          <w:rFonts w:hint="eastAsia"/>
        </w:rPr>
        <w:t>后</w:t>
      </w:r>
      <w:proofErr w:type="gramEnd"/>
      <w:r w:rsidRPr="00203DC8">
        <w:rPr>
          <w:rFonts w:hint="eastAsia"/>
        </w:rPr>
        <w:t>派出所警務員兼所長洪獻政考核監督不周，行政責任核予申誡</w:t>
      </w:r>
      <w:r w:rsidR="00ED436E">
        <w:rPr>
          <w:rFonts w:hint="eastAsia"/>
        </w:rPr>
        <w:t>1</w:t>
      </w:r>
      <w:r w:rsidRPr="00203DC8">
        <w:rPr>
          <w:rFonts w:hint="eastAsia"/>
        </w:rPr>
        <w:t>次、未對一般</w:t>
      </w:r>
      <w:r w:rsidRPr="00203DC8">
        <w:rPr>
          <w:rFonts w:hint="eastAsia"/>
        </w:rPr>
        <w:lastRenderedPageBreak/>
        <w:t>公文信件設簿管制致公文正本遺失，考核監督責任查有疏失，行政責任核予申誡</w:t>
      </w:r>
      <w:r w:rsidR="00ED436E">
        <w:rPr>
          <w:rFonts w:hint="eastAsia"/>
        </w:rPr>
        <w:t>1</w:t>
      </w:r>
      <w:r w:rsidRPr="00203DC8">
        <w:rPr>
          <w:rFonts w:hint="eastAsia"/>
        </w:rPr>
        <w:t>次；</w:t>
      </w:r>
      <w:r w:rsidR="00ED436E">
        <w:rPr>
          <w:rFonts w:hint="eastAsia"/>
        </w:rPr>
        <w:t>汐止</w:t>
      </w:r>
      <w:r w:rsidRPr="00203DC8">
        <w:rPr>
          <w:rFonts w:hint="eastAsia"/>
        </w:rPr>
        <w:t>分局偵查隊偵查</w:t>
      </w:r>
      <w:proofErr w:type="gramStart"/>
      <w:r w:rsidRPr="00203DC8">
        <w:rPr>
          <w:rFonts w:hint="eastAsia"/>
        </w:rPr>
        <w:t>佐</w:t>
      </w:r>
      <w:proofErr w:type="gramEnd"/>
      <w:r w:rsidRPr="00203DC8">
        <w:rPr>
          <w:rFonts w:hint="eastAsia"/>
        </w:rPr>
        <w:t>游勝豐，接辦上述公文後，雖有親持公文正本通知社</w:t>
      </w:r>
      <w:proofErr w:type="gramStart"/>
      <w:r w:rsidRPr="00203DC8">
        <w:rPr>
          <w:rFonts w:hint="eastAsia"/>
        </w:rPr>
        <w:t>后</w:t>
      </w:r>
      <w:proofErr w:type="gramEnd"/>
      <w:r w:rsidRPr="00203DC8">
        <w:rPr>
          <w:rFonts w:hint="eastAsia"/>
        </w:rPr>
        <w:t>派出所執行，惟事後未能再將本案以</w:t>
      </w:r>
      <w:proofErr w:type="gramStart"/>
      <w:r w:rsidRPr="00203DC8">
        <w:rPr>
          <w:rFonts w:hint="eastAsia"/>
        </w:rPr>
        <w:t>交辦單方式發</w:t>
      </w:r>
      <w:proofErr w:type="gramEnd"/>
      <w:r w:rsidRPr="00203DC8">
        <w:rPr>
          <w:rFonts w:hint="eastAsia"/>
        </w:rPr>
        <w:t>交該所辦理，致案件後續無人督辦執行情形，行政責任核予申誡</w:t>
      </w:r>
      <w:r w:rsidR="00ED436E">
        <w:rPr>
          <w:rFonts w:hint="eastAsia"/>
        </w:rPr>
        <w:t>2</w:t>
      </w:r>
      <w:r w:rsidRPr="00203DC8">
        <w:rPr>
          <w:rFonts w:hint="eastAsia"/>
        </w:rPr>
        <w:t>次；偵查隊前隊長葉倉池（現職瑞芳分局偵查隊長），考核監督不周，行政責任核予申誡</w:t>
      </w:r>
      <w:r w:rsidR="00ED436E">
        <w:rPr>
          <w:rFonts w:hint="eastAsia"/>
        </w:rPr>
        <w:t>1</w:t>
      </w:r>
      <w:r w:rsidRPr="00203DC8">
        <w:rPr>
          <w:rFonts w:hint="eastAsia"/>
        </w:rPr>
        <w:t>次。</w:t>
      </w:r>
      <w:proofErr w:type="gramStart"/>
      <w:r w:rsidRPr="00203DC8">
        <w:rPr>
          <w:rFonts w:hint="eastAsia"/>
        </w:rPr>
        <w:t>本案該分局</w:t>
      </w:r>
      <w:proofErr w:type="gramEnd"/>
      <w:r w:rsidRPr="00203DC8">
        <w:rPr>
          <w:rFonts w:hint="eastAsia"/>
        </w:rPr>
        <w:t>調查報告擬議情形由新北市政府警察局督察室</w:t>
      </w:r>
      <w:proofErr w:type="gramStart"/>
      <w:r w:rsidRPr="00203DC8">
        <w:rPr>
          <w:rFonts w:hint="eastAsia"/>
        </w:rPr>
        <w:t>簽核中</w:t>
      </w:r>
      <w:proofErr w:type="gramEnd"/>
      <w:r w:rsidRPr="00203DC8">
        <w:rPr>
          <w:rFonts w:hint="eastAsia"/>
        </w:rPr>
        <w:t>，獎懲令</w:t>
      </w:r>
      <w:proofErr w:type="gramStart"/>
      <w:r w:rsidRPr="00203DC8">
        <w:rPr>
          <w:rFonts w:hint="eastAsia"/>
        </w:rPr>
        <w:t>尚未核布</w:t>
      </w:r>
      <w:proofErr w:type="gramEnd"/>
      <w:r w:rsidRPr="00203DC8">
        <w:rPr>
          <w:rFonts w:hint="eastAsia"/>
        </w:rPr>
        <w:t>。</w:t>
      </w:r>
    </w:p>
    <w:p w:rsidR="0033103B" w:rsidRDefault="0033103B" w:rsidP="0033103B">
      <w:pPr>
        <w:pStyle w:val="4"/>
      </w:pPr>
      <w:r>
        <w:rPr>
          <w:rFonts w:hint="eastAsia"/>
        </w:rPr>
        <w:t>新北市政府警察局後續處理及補救措施</w:t>
      </w:r>
      <w:r>
        <w:rPr>
          <w:rStyle w:val="aff"/>
        </w:rPr>
        <w:footnoteReference w:id="11"/>
      </w:r>
      <w:r>
        <w:rPr>
          <w:rFonts w:hint="eastAsia"/>
        </w:rPr>
        <w:t>：</w:t>
      </w:r>
    </w:p>
    <w:p w:rsidR="0033103B" w:rsidRDefault="0033103B" w:rsidP="0033103B">
      <w:pPr>
        <w:pStyle w:val="5"/>
      </w:pPr>
      <w:r>
        <w:rPr>
          <w:rFonts w:hint="eastAsia"/>
        </w:rPr>
        <w:t>本案目前由臺灣新北地方檢察署檢察官秦嘉瑋指揮汐止分局全力查緝</w:t>
      </w:r>
      <w:proofErr w:type="gramStart"/>
      <w:r>
        <w:rPr>
          <w:rFonts w:hint="eastAsia"/>
        </w:rPr>
        <w:t>潘</w:t>
      </w:r>
      <w:proofErr w:type="gramEnd"/>
      <w:r>
        <w:rPr>
          <w:rFonts w:hint="eastAsia"/>
        </w:rPr>
        <w:t>嫌到案。</w:t>
      </w:r>
    </w:p>
    <w:p w:rsidR="0033103B" w:rsidRDefault="0033103B" w:rsidP="0033103B">
      <w:pPr>
        <w:pStyle w:val="5"/>
      </w:pPr>
      <w:r>
        <w:rPr>
          <w:rFonts w:hint="eastAsia"/>
        </w:rPr>
        <w:t>新北市政府警察局為避免再發生類似情形，業已函請所屬各分局接獲法院(地檢署)交辦監管案件，即由偵</w:t>
      </w:r>
      <w:r w:rsidR="007E29DE">
        <w:rPr>
          <w:rFonts w:hint="eastAsia"/>
        </w:rPr>
        <w:t>查隊</w:t>
      </w:r>
      <w:r>
        <w:rPr>
          <w:rFonts w:hint="eastAsia"/>
        </w:rPr>
        <w:t>專人設專卷，發交辦理，刑責區每月自行追蹤列管，並由小隊長管控，提醒刑責區與警勤區聯繫，如發現未報到即時向單位主管報告並向院檢通報。刑事警察大隊定時督導查核各分局偵查隊、各所專卷執行情形，避免刑責區與警勤</w:t>
      </w:r>
      <w:proofErr w:type="gramStart"/>
      <w:r>
        <w:rPr>
          <w:rFonts w:hint="eastAsia"/>
        </w:rPr>
        <w:t>區脫管</w:t>
      </w:r>
      <w:proofErr w:type="gramEnd"/>
      <w:r>
        <w:rPr>
          <w:rFonts w:hint="eastAsia"/>
        </w:rPr>
        <w:t>情事發生。</w:t>
      </w:r>
    </w:p>
    <w:p w:rsidR="0033103B" w:rsidRDefault="002F7980" w:rsidP="0033103B">
      <w:pPr>
        <w:pStyle w:val="3"/>
      </w:pPr>
      <w:r>
        <w:rPr>
          <w:rFonts w:hint="eastAsia"/>
        </w:rPr>
        <w:t>次查，經本院向司法院及法務部調閱</w:t>
      </w:r>
      <w:r w:rsidR="0033103B">
        <w:rPr>
          <w:rFonts w:hint="eastAsia"/>
        </w:rPr>
        <w:t>我國近10年(97年至107年)</w:t>
      </w:r>
      <w:proofErr w:type="gramStart"/>
      <w:r w:rsidR="0033103B">
        <w:rPr>
          <w:rFonts w:hint="eastAsia"/>
        </w:rPr>
        <w:t>間棄保</w:t>
      </w:r>
      <w:proofErr w:type="gramEnd"/>
      <w:r w:rsidR="0033103B">
        <w:rPr>
          <w:rFonts w:hint="eastAsia"/>
        </w:rPr>
        <w:t>潛逃之被告統計資料</w:t>
      </w:r>
      <w:r>
        <w:rPr>
          <w:rFonts w:hint="eastAsia"/>
        </w:rPr>
        <w:t>，法務部及司法院僅回復通緝數據，就各階段棄保潛逃之數據，</w:t>
      </w:r>
      <w:r w:rsidR="00A32CC7">
        <w:rPr>
          <w:rFonts w:hint="eastAsia"/>
        </w:rPr>
        <w:t>則</w:t>
      </w:r>
      <w:r>
        <w:rPr>
          <w:rFonts w:hint="eastAsia"/>
        </w:rPr>
        <w:t>無另行統計，其說明分別如下：</w:t>
      </w:r>
    </w:p>
    <w:p w:rsidR="0033103B" w:rsidRPr="001B0449" w:rsidRDefault="0033103B" w:rsidP="0033103B">
      <w:pPr>
        <w:pStyle w:val="4"/>
      </w:pPr>
      <w:r>
        <w:rPr>
          <w:rFonts w:hint="eastAsia"/>
        </w:rPr>
        <w:t>據法務部函復資料指出</w:t>
      </w:r>
      <w:r>
        <w:rPr>
          <w:rStyle w:val="aff"/>
        </w:rPr>
        <w:footnoteReference w:id="12"/>
      </w:r>
      <w:r>
        <w:rPr>
          <w:rFonts w:hint="eastAsia"/>
        </w:rPr>
        <w:t>：</w:t>
      </w:r>
      <w:r>
        <w:rPr>
          <w:rFonts w:hAnsi="標楷體" w:hint="eastAsia"/>
        </w:rPr>
        <w:t>「</w:t>
      </w:r>
      <w:r w:rsidRPr="007538AC">
        <w:rPr>
          <w:rFonts w:hAnsi="標楷體" w:hint="eastAsia"/>
        </w:rPr>
        <w:t>依照臺</w:t>
      </w:r>
      <w:r w:rsidR="009962D6">
        <w:rPr>
          <w:rFonts w:hAnsi="標楷體" w:hint="eastAsia"/>
        </w:rPr>
        <w:t>灣</w:t>
      </w:r>
      <w:r w:rsidRPr="007538AC">
        <w:rPr>
          <w:rFonts w:hAnsi="標楷體" w:hint="eastAsia"/>
        </w:rPr>
        <w:t>高</w:t>
      </w:r>
      <w:r w:rsidR="009962D6">
        <w:rPr>
          <w:rFonts w:hAnsi="標楷體" w:hint="eastAsia"/>
        </w:rPr>
        <w:t>等</w:t>
      </w:r>
      <w:r w:rsidRPr="007538AC">
        <w:rPr>
          <w:rFonts w:hAnsi="標楷體" w:hint="eastAsia"/>
        </w:rPr>
        <w:t>檢</w:t>
      </w:r>
      <w:r w:rsidR="009962D6">
        <w:rPr>
          <w:rFonts w:hAnsi="標楷體" w:hint="eastAsia"/>
        </w:rPr>
        <w:t>察</w:t>
      </w:r>
      <w:r w:rsidRPr="007538AC">
        <w:rPr>
          <w:rFonts w:hAnsi="標楷體" w:hint="eastAsia"/>
        </w:rPr>
        <w:t>署全球資訊網公布之資料，103年至106年間，每年</w:t>
      </w:r>
      <w:r w:rsidRPr="007538AC">
        <w:rPr>
          <w:rFonts w:hAnsi="標楷體" w:hint="eastAsia"/>
        </w:rPr>
        <w:lastRenderedPageBreak/>
        <w:t>全國各檢察署發布通緝之總</w:t>
      </w:r>
      <w:proofErr w:type="gramStart"/>
      <w:r w:rsidRPr="007538AC">
        <w:rPr>
          <w:rFonts w:hAnsi="標楷體" w:hint="eastAsia"/>
        </w:rPr>
        <w:t>人數均達</w:t>
      </w:r>
      <w:proofErr w:type="gramEnd"/>
      <w:r w:rsidRPr="007538AC">
        <w:rPr>
          <w:rFonts w:hAnsi="標楷體" w:hint="eastAsia"/>
        </w:rPr>
        <w:t>4萬餘人;另全國各法院每年發布通緝之總人數亦達7至8</w:t>
      </w:r>
      <w:r>
        <w:rPr>
          <w:rFonts w:hAnsi="標楷體" w:hint="eastAsia"/>
        </w:rPr>
        <w:t>千人，</w:t>
      </w:r>
      <w:r w:rsidR="009E4078">
        <w:rPr>
          <w:rFonts w:hAnsi="標楷體" w:hint="eastAsia"/>
        </w:rPr>
        <w:t>法務</w:t>
      </w:r>
      <w:r>
        <w:rPr>
          <w:rFonts w:hAnsi="標楷體" w:hint="eastAsia"/>
        </w:rPr>
        <w:t>部無從逐筆提供被告棄保潛逃案件之『被告姓名』</w:t>
      </w:r>
      <w:r w:rsidRPr="007538AC">
        <w:rPr>
          <w:rFonts w:hAnsi="標楷體" w:hint="eastAsia"/>
        </w:rPr>
        <w:t>、</w:t>
      </w:r>
      <w:r>
        <w:rPr>
          <w:rFonts w:hAnsi="標楷體" w:hint="eastAsia"/>
        </w:rPr>
        <w:t>『案件名稱』、『所犯刑責』、『潛逃時間』、『判決確定前後潛逃』</w:t>
      </w:r>
      <w:r w:rsidRPr="007538AC">
        <w:rPr>
          <w:rFonts w:hAnsi="標楷體" w:hint="eastAsia"/>
        </w:rPr>
        <w:t>等等資訊。</w:t>
      </w:r>
      <w:r>
        <w:rPr>
          <w:rFonts w:hAnsi="標楷體" w:hint="eastAsia"/>
        </w:rPr>
        <w:t>」</w:t>
      </w:r>
    </w:p>
    <w:p w:rsidR="0033103B" w:rsidRPr="00480A33" w:rsidRDefault="0033103B" w:rsidP="0033103B">
      <w:pPr>
        <w:pStyle w:val="4"/>
      </w:pPr>
      <w:r>
        <w:rPr>
          <w:rFonts w:hAnsi="標楷體" w:hint="eastAsia"/>
        </w:rPr>
        <w:t>據法務部函復資料指出</w:t>
      </w:r>
      <w:r>
        <w:rPr>
          <w:rStyle w:val="aff"/>
          <w:rFonts w:hAnsi="標楷體"/>
        </w:rPr>
        <w:footnoteReference w:id="13"/>
      </w:r>
      <w:r>
        <w:rPr>
          <w:rFonts w:hAnsi="標楷體" w:hint="eastAsia"/>
        </w:rPr>
        <w:t>：97年至107年8月於偵查中棄保潛逃的人數為3,334人，</w:t>
      </w:r>
      <w:r w:rsidRPr="001B0449">
        <w:rPr>
          <w:rFonts w:hAnsi="標楷體" w:hint="eastAsia"/>
          <w:b/>
        </w:rPr>
        <w:t>另如於起訴後第一審開庭前棄保潛逃之情形，係屬司法院權責，</w:t>
      </w:r>
      <w:proofErr w:type="gramStart"/>
      <w:r w:rsidRPr="001B0449">
        <w:rPr>
          <w:rFonts w:hAnsi="標楷體" w:hint="eastAsia"/>
          <w:b/>
        </w:rPr>
        <w:t>該部未有</w:t>
      </w:r>
      <w:proofErr w:type="gramEnd"/>
      <w:r w:rsidRPr="001B0449">
        <w:rPr>
          <w:rFonts w:hAnsi="標楷體" w:hint="eastAsia"/>
          <w:b/>
        </w:rPr>
        <w:t>相關統計數據</w:t>
      </w:r>
      <w:r>
        <w:rPr>
          <w:rFonts w:hAnsi="標楷體" w:hint="eastAsia"/>
        </w:rPr>
        <w:t>。</w:t>
      </w:r>
    </w:p>
    <w:p w:rsidR="0033103B" w:rsidRPr="00597D43" w:rsidRDefault="00A32CC7" w:rsidP="0033103B">
      <w:pPr>
        <w:pStyle w:val="4"/>
      </w:pPr>
      <w:r>
        <w:rPr>
          <w:rFonts w:hAnsi="標楷體" w:hint="eastAsia"/>
        </w:rPr>
        <w:t>函</w:t>
      </w:r>
      <w:proofErr w:type="gramStart"/>
      <w:r w:rsidR="0033103B">
        <w:rPr>
          <w:rFonts w:hAnsi="標楷體" w:hint="eastAsia"/>
        </w:rPr>
        <w:t>詢</w:t>
      </w:r>
      <w:proofErr w:type="gramEnd"/>
      <w:r w:rsidR="0033103B">
        <w:rPr>
          <w:rFonts w:hAnsi="標楷體" w:hint="eastAsia"/>
        </w:rPr>
        <w:t>司法院有關97年至107年棄保潛逃之被告統計資料，其說明如下：無棄保潛逃之相關數據，謹提供97年起至107年10月9日止，第一、二審審判中通緝之統計資料共計6,509人次，起訴後第一審開庭前之通緝統計資料計587人次。至於確定判決後執行前之棄保潛逃人數統計數據，事屬法務部</w:t>
      </w:r>
      <w:r w:rsidR="00ED436E">
        <w:rPr>
          <w:rFonts w:hAnsi="標楷體" w:hint="eastAsia"/>
        </w:rPr>
        <w:t>職</w:t>
      </w:r>
      <w:r w:rsidR="0033103B">
        <w:rPr>
          <w:rFonts w:hAnsi="標楷體" w:hint="eastAsia"/>
        </w:rPr>
        <w:t>掌，</w:t>
      </w:r>
      <w:proofErr w:type="gramStart"/>
      <w:r w:rsidR="0033103B">
        <w:rPr>
          <w:rFonts w:hAnsi="標楷體" w:hint="eastAsia"/>
        </w:rPr>
        <w:t>該院無資料</w:t>
      </w:r>
      <w:proofErr w:type="gramEnd"/>
      <w:r w:rsidR="0033103B">
        <w:rPr>
          <w:rFonts w:hAnsi="標楷體" w:hint="eastAsia"/>
        </w:rPr>
        <w:t>提供。</w:t>
      </w:r>
    </w:p>
    <w:p w:rsidR="0033103B" w:rsidRDefault="0033103B" w:rsidP="0033103B">
      <w:pPr>
        <w:pStyle w:val="5"/>
      </w:pPr>
      <w:r>
        <w:rPr>
          <w:rFonts w:hint="eastAsia"/>
        </w:rPr>
        <w:t>各法院現行編製統計所需之原始資料，除統計人員依裁判書之記載為蒐集外，有關審理期間之資料蒐集係接收自審判系統，而現行審判系統未就被告</w:t>
      </w:r>
      <w:proofErr w:type="gramStart"/>
      <w:r>
        <w:rPr>
          <w:rFonts w:hint="eastAsia"/>
        </w:rPr>
        <w:t>具保後是否</w:t>
      </w:r>
      <w:proofErr w:type="gramEnd"/>
      <w:r>
        <w:rPr>
          <w:rFonts w:hint="eastAsia"/>
        </w:rPr>
        <w:t>發生棄保潛逃乙節為相關註記，亦未於終局裁判書內記載，</w:t>
      </w:r>
      <w:proofErr w:type="gramStart"/>
      <w:r>
        <w:rPr>
          <w:rFonts w:hint="eastAsia"/>
        </w:rPr>
        <w:t>爰</w:t>
      </w:r>
      <w:proofErr w:type="gramEnd"/>
      <w:r>
        <w:rPr>
          <w:rFonts w:hint="eastAsia"/>
        </w:rPr>
        <w:t>無從統計。</w:t>
      </w:r>
    </w:p>
    <w:p w:rsidR="0033103B" w:rsidRDefault="0033103B" w:rsidP="0033103B">
      <w:pPr>
        <w:pStyle w:val="5"/>
      </w:pPr>
      <w:r>
        <w:rPr>
          <w:rFonts w:hint="eastAsia"/>
        </w:rPr>
        <w:t>該院將評估於審判系統</w:t>
      </w:r>
      <w:proofErr w:type="gramStart"/>
      <w:r>
        <w:rPr>
          <w:rFonts w:hint="eastAsia"/>
        </w:rPr>
        <w:t>增設</w:t>
      </w:r>
      <w:r w:rsidR="00A32CC7">
        <w:rPr>
          <w:rFonts w:hint="eastAsia"/>
        </w:rPr>
        <w:t>棄保</w:t>
      </w:r>
      <w:proofErr w:type="gramEnd"/>
      <w:r w:rsidR="00A32CC7">
        <w:rPr>
          <w:rFonts w:hint="eastAsia"/>
        </w:rPr>
        <w:t>潛逃</w:t>
      </w:r>
      <w:r>
        <w:rPr>
          <w:rFonts w:hint="eastAsia"/>
        </w:rPr>
        <w:t>欄位以進行統計之可行性，如若可行，再行建置</w:t>
      </w:r>
      <w:r>
        <w:rPr>
          <w:rStyle w:val="aff"/>
        </w:rPr>
        <w:footnoteReference w:id="14"/>
      </w:r>
      <w:r>
        <w:rPr>
          <w:rFonts w:hint="eastAsia"/>
        </w:rPr>
        <w:t>。</w:t>
      </w:r>
    </w:p>
    <w:p w:rsidR="0033103B" w:rsidRDefault="009A20FB" w:rsidP="00A229CE">
      <w:pPr>
        <w:pStyle w:val="3"/>
      </w:pPr>
      <w:r>
        <w:rPr>
          <w:rFonts w:hint="eastAsia"/>
        </w:rPr>
        <w:t>自</w:t>
      </w:r>
      <w:r w:rsidR="00A229CE" w:rsidRPr="00A229CE">
        <w:rPr>
          <w:rFonts w:hint="eastAsia"/>
        </w:rPr>
        <w:t>慶富造船股份有限公司副董事長陳偉志</w:t>
      </w:r>
      <w:r>
        <w:rPr>
          <w:rFonts w:hint="eastAsia"/>
        </w:rPr>
        <w:t>逃逸後，又發生</w:t>
      </w:r>
      <w:r w:rsidRPr="009A20FB">
        <w:rPr>
          <w:rFonts w:hint="eastAsia"/>
        </w:rPr>
        <w:t>偽造降血</w:t>
      </w:r>
      <w:proofErr w:type="gramStart"/>
      <w:r w:rsidRPr="009A20FB">
        <w:rPr>
          <w:rFonts w:hint="eastAsia"/>
        </w:rPr>
        <w:t>脂藥「冠脂妥</w:t>
      </w:r>
      <w:proofErr w:type="gramEnd"/>
      <w:r w:rsidRPr="009A20FB">
        <w:rPr>
          <w:rFonts w:hint="eastAsia"/>
        </w:rPr>
        <w:t>」之主嫌潘駿達長達2個月未向警方報到之棄保逃逸</w:t>
      </w:r>
      <w:r>
        <w:rPr>
          <w:rFonts w:hint="eastAsia"/>
        </w:rPr>
        <w:t>案，顯見目前我國</w:t>
      </w:r>
      <w:r>
        <w:rPr>
          <w:rFonts w:hint="eastAsia"/>
        </w:rPr>
        <w:lastRenderedPageBreak/>
        <w:t>之防逃機制</w:t>
      </w:r>
      <w:r w:rsidR="00A32CC7">
        <w:rPr>
          <w:rFonts w:hint="eastAsia"/>
        </w:rPr>
        <w:t>確</w:t>
      </w:r>
      <w:r>
        <w:rPr>
          <w:rFonts w:hint="eastAsia"/>
        </w:rPr>
        <w:t>有漏洞，其</w:t>
      </w:r>
      <w:proofErr w:type="gramStart"/>
      <w:r>
        <w:rPr>
          <w:rFonts w:hint="eastAsia"/>
        </w:rPr>
        <w:t>空窗期如下</w:t>
      </w:r>
      <w:proofErr w:type="gramEnd"/>
      <w:r w:rsidR="0033103B">
        <w:rPr>
          <w:rFonts w:hint="eastAsia"/>
        </w:rPr>
        <w:t>：</w:t>
      </w:r>
    </w:p>
    <w:p w:rsidR="0033103B" w:rsidRDefault="0033103B" w:rsidP="00B36954">
      <w:pPr>
        <w:pStyle w:val="4"/>
        <w:spacing w:after="240"/>
      </w:pPr>
      <w:r>
        <w:rPr>
          <w:rFonts w:hint="eastAsia"/>
        </w:rPr>
        <w:t>停止羈押及無羈押必要之被告可能逃逸之時點，分別有起訴後</w:t>
      </w:r>
      <w:r w:rsidR="00ED436E">
        <w:rPr>
          <w:rFonts w:hint="eastAsia"/>
        </w:rPr>
        <w:t>至</w:t>
      </w:r>
      <w:r>
        <w:rPr>
          <w:rFonts w:hint="eastAsia"/>
        </w:rPr>
        <w:t>審理前及</w:t>
      </w:r>
      <w:r w:rsidR="009962D6" w:rsidRPr="009962D6">
        <w:rPr>
          <w:rFonts w:hint="eastAsia"/>
        </w:rPr>
        <w:t>確定判決</w:t>
      </w:r>
      <w:r>
        <w:rPr>
          <w:rFonts w:hint="eastAsia"/>
        </w:rPr>
        <w:t>宣判時</w:t>
      </w:r>
      <w:r w:rsidR="00ED436E">
        <w:rPr>
          <w:rFonts w:hint="eastAsia"/>
        </w:rPr>
        <w:t>至</w:t>
      </w:r>
      <w:r w:rsidR="009A20FB">
        <w:rPr>
          <w:rFonts w:hint="eastAsia"/>
        </w:rPr>
        <w:t>執行前</w:t>
      </w:r>
      <w:r>
        <w:rPr>
          <w:rFonts w:hint="eastAsia"/>
        </w:rPr>
        <w:t>此二時間點</w:t>
      </w:r>
      <w:r w:rsidR="00A32CC7">
        <w:rPr>
          <w:rFonts w:hint="eastAsia"/>
        </w:rPr>
        <w:t>，</w:t>
      </w:r>
      <w:r>
        <w:rPr>
          <w:rFonts w:hint="eastAsia"/>
        </w:rPr>
        <w:t>恐造成防逃之漏洞，如</w:t>
      </w:r>
      <w:r w:rsidRPr="00B36954">
        <w:rPr>
          <w:rFonts w:hint="eastAsia"/>
        </w:rPr>
        <w:t>下圖</w:t>
      </w:r>
      <w:r>
        <w:rPr>
          <w:rFonts w:hint="eastAsia"/>
        </w:rPr>
        <w:t>所示：</w:t>
      </w:r>
    </w:p>
    <w:p w:rsidR="0033103B" w:rsidRDefault="0033103B" w:rsidP="0033103B">
      <w:pPr>
        <w:pStyle w:val="4"/>
        <w:numPr>
          <w:ilvl w:val="0"/>
          <w:numId w:val="0"/>
        </w:numPr>
        <w:ind w:left="1701"/>
        <w:rPr>
          <w:sz w:val="28"/>
        </w:rPr>
      </w:pPr>
      <w:r>
        <w:rPr>
          <w:noProof/>
        </w:rPr>
        <w:drawing>
          <wp:inline distT="0" distB="0" distL="0" distR="0" wp14:anchorId="33513D7B" wp14:editId="4EB05EDD">
            <wp:extent cx="4649269" cy="1307205"/>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48150" cy="1306890"/>
                    </a:xfrm>
                    <a:prstGeom prst="rect">
                      <a:avLst/>
                    </a:prstGeom>
                  </pic:spPr>
                </pic:pic>
              </a:graphicData>
            </a:graphic>
          </wp:inline>
        </w:drawing>
      </w:r>
    </w:p>
    <w:p w:rsidR="00AB5E08" w:rsidRDefault="00AB5E08" w:rsidP="00AB5E08">
      <w:pPr>
        <w:pStyle w:val="4"/>
        <w:numPr>
          <w:ilvl w:val="0"/>
          <w:numId w:val="0"/>
        </w:numPr>
        <w:ind w:left="1701"/>
        <w:rPr>
          <w:sz w:val="28"/>
        </w:rPr>
      </w:pPr>
      <w:r>
        <w:rPr>
          <w:rFonts w:hint="eastAsia"/>
          <w:sz w:val="28"/>
        </w:rPr>
        <w:t>圖 防</w:t>
      </w:r>
      <w:proofErr w:type="gramStart"/>
      <w:r>
        <w:rPr>
          <w:rFonts w:hint="eastAsia"/>
          <w:sz w:val="28"/>
        </w:rPr>
        <w:t>逃空窗期</w:t>
      </w:r>
      <w:proofErr w:type="gramEnd"/>
      <w:r>
        <w:rPr>
          <w:rFonts w:hint="eastAsia"/>
          <w:sz w:val="28"/>
        </w:rPr>
        <w:t>時點圖示</w:t>
      </w:r>
    </w:p>
    <w:p w:rsidR="0033103B" w:rsidRPr="00E26D01" w:rsidRDefault="0033103B" w:rsidP="009A20FB">
      <w:pPr>
        <w:pStyle w:val="4"/>
        <w:numPr>
          <w:ilvl w:val="0"/>
          <w:numId w:val="0"/>
        </w:numPr>
        <w:spacing w:after="240"/>
        <w:ind w:left="1701"/>
        <w:rPr>
          <w:sz w:val="24"/>
        </w:rPr>
      </w:pPr>
      <w:r>
        <w:rPr>
          <w:rFonts w:hint="eastAsia"/>
          <w:sz w:val="24"/>
        </w:rPr>
        <w:t>資料來源：監察院彙整</w:t>
      </w:r>
    </w:p>
    <w:p w:rsidR="0033103B" w:rsidRDefault="0033103B" w:rsidP="0033103B">
      <w:pPr>
        <w:pStyle w:val="5"/>
      </w:pPr>
      <w:r>
        <w:rPr>
          <w:rFonts w:hint="eastAsia"/>
        </w:rPr>
        <w:t>防</w:t>
      </w:r>
      <w:proofErr w:type="gramStart"/>
      <w:r>
        <w:rPr>
          <w:rFonts w:hint="eastAsia"/>
        </w:rPr>
        <w:t>逃空窗期</w:t>
      </w:r>
      <w:proofErr w:type="gramEnd"/>
      <w:r>
        <w:rPr>
          <w:rFonts w:hint="eastAsia"/>
        </w:rPr>
        <w:t>1</w:t>
      </w:r>
      <w:r w:rsidR="00ED436E">
        <w:rPr>
          <w:rFonts w:hint="eastAsia"/>
        </w:rPr>
        <w:t>至</w:t>
      </w:r>
      <w:r>
        <w:rPr>
          <w:rFonts w:hint="eastAsia"/>
        </w:rPr>
        <w:t>起訴後至法院</w:t>
      </w:r>
      <w:proofErr w:type="gramStart"/>
      <w:r>
        <w:rPr>
          <w:rFonts w:hint="eastAsia"/>
        </w:rPr>
        <w:t>繫</w:t>
      </w:r>
      <w:proofErr w:type="gramEnd"/>
      <w:r>
        <w:rPr>
          <w:rFonts w:hint="eastAsia"/>
        </w:rPr>
        <w:t>屬前或第一審開庭前逃逸相關案例：107年5月5日本案慶富案少東陳偉志逃逸案、107年6月14日</w:t>
      </w:r>
      <w:r w:rsidRPr="008F719D">
        <w:rPr>
          <w:rFonts w:hint="eastAsia"/>
        </w:rPr>
        <w:t>偽造降血</w:t>
      </w:r>
      <w:proofErr w:type="gramStart"/>
      <w:r w:rsidRPr="008F719D">
        <w:rPr>
          <w:rFonts w:hint="eastAsia"/>
        </w:rPr>
        <w:t>脂藥「冠脂妥</w:t>
      </w:r>
      <w:proofErr w:type="gramEnd"/>
      <w:r w:rsidRPr="008F719D">
        <w:rPr>
          <w:rFonts w:hint="eastAsia"/>
        </w:rPr>
        <w:t>」之主嫌潘駿達</w:t>
      </w:r>
      <w:r>
        <w:rPr>
          <w:rFonts w:hint="eastAsia"/>
        </w:rPr>
        <w:t>棄保逃逸案。</w:t>
      </w:r>
    </w:p>
    <w:p w:rsidR="0033103B" w:rsidRDefault="0033103B" w:rsidP="0033103B">
      <w:pPr>
        <w:pStyle w:val="5"/>
      </w:pPr>
      <w:r>
        <w:rPr>
          <w:rFonts w:hint="eastAsia"/>
        </w:rPr>
        <w:t>防</w:t>
      </w:r>
      <w:proofErr w:type="gramStart"/>
      <w:r>
        <w:rPr>
          <w:rFonts w:hint="eastAsia"/>
        </w:rPr>
        <w:t>逃空窗期</w:t>
      </w:r>
      <w:proofErr w:type="gramEnd"/>
      <w:r>
        <w:rPr>
          <w:rFonts w:hint="eastAsia"/>
        </w:rPr>
        <w:t>2</w:t>
      </w:r>
      <w:r w:rsidR="00ED436E">
        <w:rPr>
          <w:rFonts w:hint="eastAsia"/>
        </w:rPr>
        <w:t>至</w:t>
      </w:r>
      <w:r>
        <w:rPr>
          <w:rFonts w:hint="eastAsia"/>
        </w:rPr>
        <w:t>宣判後執行前：107年8月14日發現因</w:t>
      </w:r>
      <w:r w:rsidR="00136252">
        <w:rPr>
          <w:rFonts w:hint="eastAsia"/>
        </w:rPr>
        <w:t>96</w:t>
      </w:r>
      <w:r w:rsidRPr="00FC0306">
        <w:rPr>
          <w:rFonts w:hint="eastAsia"/>
        </w:rPr>
        <w:t>年參與鼎力集團「金圓互助會」136億元吸金案</w:t>
      </w:r>
      <w:r>
        <w:rPr>
          <w:rFonts w:hint="eastAsia"/>
        </w:rPr>
        <w:t>遭判刑4年2月之</w:t>
      </w:r>
      <w:r w:rsidRPr="00FC0306">
        <w:rPr>
          <w:rFonts w:hint="eastAsia"/>
        </w:rPr>
        <w:t>詐騙慣犯</w:t>
      </w:r>
      <w:proofErr w:type="gramStart"/>
      <w:r w:rsidRPr="00FC0306">
        <w:rPr>
          <w:rFonts w:hint="eastAsia"/>
        </w:rPr>
        <w:t>陳靖騰</w:t>
      </w:r>
      <w:r>
        <w:rPr>
          <w:rFonts w:hint="eastAsia"/>
        </w:rPr>
        <w:t>亦棄保</w:t>
      </w:r>
      <w:proofErr w:type="gramEnd"/>
      <w:r>
        <w:rPr>
          <w:rFonts w:hint="eastAsia"/>
        </w:rPr>
        <w:t>潛逃。</w:t>
      </w:r>
    </w:p>
    <w:p w:rsidR="0033103B" w:rsidRDefault="0033103B" w:rsidP="0033103B">
      <w:pPr>
        <w:pStyle w:val="4"/>
      </w:pPr>
      <w:r>
        <w:rPr>
          <w:rFonts w:hint="eastAsia"/>
        </w:rPr>
        <w:t>若於起訴後</w:t>
      </w:r>
      <w:r w:rsidR="00ED436E">
        <w:rPr>
          <w:rFonts w:hint="eastAsia"/>
        </w:rPr>
        <w:t>至</w:t>
      </w:r>
      <w:r>
        <w:rPr>
          <w:rFonts w:hint="eastAsia"/>
        </w:rPr>
        <w:t>法院審理前逃逸之說明：</w:t>
      </w:r>
    </w:p>
    <w:p w:rsidR="0033103B" w:rsidRDefault="0033103B" w:rsidP="0033103B">
      <w:pPr>
        <w:pStyle w:val="5"/>
      </w:pPr>
      <w:r>
        <w:rPr>
          <w:rFonts w:hint="eastAsia"/>
        </w:rPr>
        <w:t>本案情形檢察官在偵查時所為之羈押替代處分是否有持續到起訴後至法院開庭審理前：</w:t>
      </w:r>
    </w:p>
    <w:p w:rsidR="0033103B" w:rsidRDefault="0033103B" w:rsidP="0033103B">
      <w:pPr>
        <w:pStyle w:val="6"/>
      </w:pPr>
      <w:r>
        <w:rPr>
          <w:rFonts w:hint="eastAsia"/>
        </w:rPr>
        <w:t>法務部之說明</w:t>
      </w:r>
      <w:r>
        <w:rPr>
          <w:rStyle w:val="aff"/>
        </w:rPr>
        <w:footnoteReference w:id="15"/>
      </w:r>
      <w:r>
        <w:rPr>
          <w:rFonts w:hint="eastAsia"/>
        </w:rPr>
        <w:t>：該</w:t>
      </w:r>
      <w:r w:rsidRPr="00FA3CD5">
        <w:rPr>
          <w:rFonts w:hint="eastAsia"/>
        </w:rPr>
        <w:t>部所屬各地方檢察機關檢察官將刑事案件起訴後，僅能告知該管法院該案被告於偵查中相關</w:t>
      </w:r>
      <w:proofErr w:type="gramStart"/>
      <w:r w:rsidRPr="00FA3CD5">
        <w:rPr>
          <w:rFonts w:hint="eastAsia"/>
        </w:rPr>
        <w:t>諭</w:t>
      </w:r>
      <w:proofErr w:type="gramEnd"/>
      <w:r w:rsidRPr="00FA3CD5">
        <w:rPr>
          <w:rFonts w:hint="eastAsia"/>
        </w:rPr>
        <w:t>知限制住居與具保、</w:t>
      </w:r>
      <w:proofErr w:type="gramStart"/>
      <w:r w:rsidRPr="00FA3CD5">
        <w:rPr>
          <w:rFonts w:hint="eastAsia"/>
        </w:rPr>
        <w:t>責付等羈押</w:t>
      </w:r>
      <w:proofErr w:type="gramEnd"/>
      <w:r w:rsidRPr="00FA3CD5">
        <w:rPr>
          <w:rFonts w:hint="eastAsia"/>
        </w:rPr>
        <w:t>替代處分之情形，並</w:t>
      </w:r>
      <w:proofErr w:type="gramStart"/>
      <w:r w:rsidRPr="00FA3CD5">
        <w:rPr>
          <w:rFonts w:hint="eastAsia"/>
        </w:rPr>
        <w:t>建請如</w:t>
      </w:r>
      <w:r w:rsidRPr="00FA3CD5">
        <w:rPr>
          <w:rFonts w:hint="eastAsia"/>
        </w:rPr>
        <w:lastRenderedPageBreak/>
        <w:t>該</w:t>
      </w:r>
      <w:proofErr w:type="gramEnd"/>
      <w:r w:rsidRPr="00FA3CD5">
        <w:rPr>
          <w:rFonts w:hint="eastAsia"/>
        </w:rPr>
        <w:t>管法院認</w:t>
      </w:r>
      <w:r w:rsidR="00136252">
        <w:rPr>
          <w:rFonts w:hint="eastAsia"/>
        </w:rPr>
        <w:t>有</w:t>
      </w:r>
      <w:r w:rsidRPr="00FA3CD5">
        <w:rPr>
          <w:rFonts w:hint="eastAsia"/>
        </w:rPr>
        <w:t>繼續</w:t>
      </w:r>
      <w:r w:rsidR="00136252">
        <w:rPr>
          <w:rFonts w:hint="eastAsia"/>
        </w:rPr>
        <w:t>羈押之必要</w:t>
      </w:r>
      <w:r w:rsidRPr="00FA3CD5">
        <w:rPr>
          <w:rFonts w:hint="eastAsia"/>
        </w:rPr>
        <w:t>者，請依法自行辦理。</w:t>
      </w:r>
    </w:p>
    <w:p w:rsidR="0033103B" w:rsidRDefault="0033103B" w:rsidP="0033103B">
      <w:pPr>
        <w:pStyle w:val="6"/>
      </w:pPr>
      <w:r>
        <w:rPr>
          <w:rFonts w:hint="eastAsia"/>
        </w:rPr>
        <w:t>司法院之說明</w:t>
      </w:r>
      <w:r>
        <w:rPr>
          <w:rStyle w:val="aff"/>
        </w:rPr>
        <w:footnoteReference w:id="16"/>
      </w:r>
      <w:r>
        <w:rPr>
          <w:rFonts w:hint="eastAsia"/>
        </w:rPr>
        <w:t>：</w:t>
      </w:r>
      <w:r w:rsidRPr="00FA3CD5">
        <w:rPr>
          <w:rFonts w:hint="eastAsia"/>
        </w:rPr>
        <w:t>刑事執行之保全經刑事訴訟法明文列為羈押目的之</w:t>
      </w:r>
      <w:proofErr w:type="gramStart"/>
      <w:r w:rsidRPr="00FA3CD5">
        <w:rPr>
          <w:rFonts w:hint="eastAsia"/>
        </w:rPr>
        <w:t>一</w:t>
      </w:r>
      <w:proofErr w:type="gramEnd"/>
      <w:r w:rsidRPr="00FA3CD5">
        <w:rPr>
          <w:rFonts w:hint="eastAsia"/>
        </w:rPr>
        <w:t>（刑事訴訟法第101條第1項本文），具保、責付、限制</w:t>
      </w:r>
      <w:proofErr w:type="gramStart"/>
      <w:r w:rsidR="006D117A">
        <w:rPr>
          <w:rFonts w:hint="eastAsia"/>
        </w:rPr>
        <w:t>住</w:t>
      </w:r>
      <w:r w:rsidRPr="00FA3CD5">
        <w:rPr>
          <w:rFonts w:hint="eastAsia"/>
        </w:rPr>
        <w:t>居均屬羈押</w:t>
      </w:r>
      <w:proofErr w:type="gramEnd"/>
      <w:r w:rsidRPr="00FA3CD5">
        <w:rPr>
          <w:rFonts w:hint="eastAsia"/>
        </w:rPr>
        <w:t>替代處分，其目的亦係在確保刑事案件之追訴、審判或執行程序的順利進行。是</w:t>
      </w:r>
      <w:proofErr w:type="gramStart"/>
      <w:r w:rsidRPr="00FA3CD5">
        <w:rPr>
          <w:rFonts w:hint="eastAsia"/>
        </w:rPr>
        <w:t>以</w:t>
      </w:r>
      <w:proofErr w:type="gramEnd"/>
      <w:r w:rsidRPr="00FA3CD5">
        <w:rPr>
          <w:rFonts w:hint="eastAsia"/>
        </w:rPr>
        <w:t>，檢察官於偵查中對被告所為之羈押替代處分，在經法院變更前，原則上其效力均持續至起訴後。</w:t>
      </w:r>
    </w:p>
    <w:p w:rsidR="0033103B" w:rsidRPr="0092084D" w:rsidRDefault="0033103B" w:rsidP="0033103B">
      <w:pPr>
        <w:pStyle w:val="5"/>
      </w:pPr>
      <w:r w:rsidRPr="0092084D">
        <w:rPr>
          <w:rFonts w:hint="eastAsia"/>
        </w:rPr>
        <w:t>司法院對於起訴後</w:t>
      </w:r>
      <w:r w:rsidR="00ED436E">
        <w:rPr>
          <w:rFonts w:hint="eastAsia"/>
        </w:rPr>
        <w:t>至</w:t>
      </w:r>
      <w:proofErr w:type="gramStart"/>
      <w:r w:rsidRPr="0092084D">
        <w:rPr>
          <w:rFonts w:hint="eastAsia"/>
        </w:rPr>
        <w:t>審理前防逃</w:t>
      </w:r>
      <w:proofErr w:type="gramEnd"/>
      <w:r w:rsidRPr="0092084D">
        <w:rPr>
          <w:rFonts w:hint="eastAsia"/>
        </w:rPr>
        <w:t>機制之說明：案件經起訴</w:t>
      </w:r>
      <w:proofErr w:type="gramStart"/>
      <w:r w:rsidRPr="0092084D">
        <w:rPr>
          <w:rFonts w:hint="eastAsia"/>
        </w:rPr>
        <w:t>繫</w:t>
      </w:r>
      <w:proofErr w:type="gramEnd"/>
      <w:r w:rsidRPr="0092084D">
        <w:rPr>
          <w:rFonts w:hint="eastAsia"/>
        </w:rPr>
        <w:t>屬法院後，係由法院視個案之需要而決定是否</w:t>
      </w:r>
      <w:proofErr w:type="gramStart"/>
      <w:r w:rsidRPr="0092084D">
        <w:rPr>
          <w:rFonts w:hint="eastAsia"/>
        </w:rPr>
        <w:t>採行防</w:t>
      </w:r>
      <w:proofErr w:type="gramEnd"/>
      <w:r w:rsidRPr="0092084D">
        <w:rPr>
          <w:rFonts w:hint="eastAsia"/>
        </w:rPr>
        <w:t>逃措施</w:t>
      </w:r>
      <w:r w:rsidRPr="0092084D">
        <w:rPr>
          <w:rStyle w:val="aff"/>
        </w:rPr>
        <w:footnoteReference w:id="17"/>
      </w:r>
      <w:r w:rsidRPr="0092084D">
        <w:rPr>
          <w:rFonts w:hint="eastAsia"/>
        </w:rPr>
        <w:t>。</w:t>
      </w:r>
    </w:p>
    <w:p w:rsidR="0033103B" w:rsidRPr="0092084D" w:rsidRDefault="0033103B" w:rsidP="0033103B">
      <w:pPr>
        <w:pStyle w:val="5"/>
      </w:pPr>
      <w:r w:rsidRPr="0092084D">
        <w:rPr>
          <w:rFonts w:hint="eastAsia"/>
        </w:rPr>
        <w:t>法務部對於起訴後</w:t>
      </w:r>
      <w:r w:rsidR="00ED436E">
        <w:rPr>
          <w:rFonts w:hint="eastAsia"/>
        </w:rPr>
        <w:t>至</w:t>
      </w:r>
      <w:proofErr w:type="gramStart"/>
      <w:r>
        <w:rPr>
          <w:rFonts w:hint="eastAsia"/>
        </w:rPr>
        <w:t>審理前</w:t>
      </w:r>
      <w:r w:rsidRPr="0092084D">
        <w:rPr>
          <w:rFonts w:hint="eastAsia"/>
        </w:rPr>
        <w:t>防逃</w:t>
      </w:r>
      <w:proofErr w:type="gramEnd"/>
      <w:r w:rsidRPr="0092084D">
        <w:rPr>
          <w:rFonts w:hint="eastAsia"/>
        </w:rPr>
        <w:t>機制之說明：</w:t>
      </w:r>
    </w:p>
    <w:p w:rsidR="0033103B" w:rsidRDefault="009962D6" w:rsidP="0033103B">
      <w:pPr>
        <w:pStyle w:val="6"/>
      </w:pPr>
      <w:r>
        <w:rPr>
          <w:rFonts w:hint="eastAsia"/>
        </w:rPr>
        <w:t>法務</w:t>
      </w:r>
      <w:r w:rsidR="0033103B">
        <w:rPr>
          <w:rFonts w:hint="eastAsia"/>
        </w:rPr>
        <w:t>部早於105年間，即提供「刑事訴訟法增訂保全羈押制度相</w:t>
      </w:r>
      <w:r w:rsidR="009A20FB">
        <w:rPr>
          <w:rFonts w:hint="eastAsia"/>
        </w:rPr>
        <w:t>關修正之立法建議」，建請司法院儘速修正刑事訴訟法</w:t>
      </w:r>
      <w:r w:rsidR="00136252">
        <w:rPr>
          <w:rFonts w:hint="eastAsia"/>
        </w:rPr>
        <w:t>。</w:t>
      </w:r>
      <w:r w:rsidR="009A20FB">
        <w:rPr>
          <w:rFonts w:hint="eastAsia"/>
        </w:rPr>
        <w:t>後司法院參</w:t>
      </w:r>
      <w:proofErr w:type="gramStart"/>
      <w:r w:rsidR="009A20FB">
        <w:rPr>
          <w:rFonts w:hint="eastAsia"/>
        </w:rPr>
        <w:t>採</w:t>
      </w:r>
      <w:proofErr w:type="gramEnd"/>
      <w:r>
        <w:rPr>
          <w:rFonts w:hint="eastAsia"/>
        </w:rPr>
        <w:t>法務</w:t>
      </w:r>
      <w:r w:rsidR="0033103B">
        <w:rPr>
          <w:rFonts w:hint="eastAsia"/>
        </w:rPr>
        <w:t>部建議，擬具刑事訴訟法部分</w:t>
      </w:r>
      <w:r w:rsidR="00610E06">
        <w:rPr>
          <w:rFonts w:hint="eastAsia"/>
        </w:rPr>
        <w:t>條文</w:t>
      </w:r>
      <w:r w:rsidR="0033103B">
        <w:rPr>
          <w:rFonts w:hint="eastAsia"/>
        </w:rPr>
        <w:t>修正草案，增訂偵查、審判及執行程序之「三階段防逃」機制，並經行政院完成會銜程序，目前在立法院審議中。</w:t>
      </w:r>
    </w:p>
    <w:p w:rsidR="0033103B" w:rsidRPr="0092084D" w:rsidRDefault="0033103B" w:rsidP="00AD3298">
      <w:pPr>
        <w:pStyle w:val="6"/>
      </w:pPr>
      <w:r>
        <w:rPr>
          <w:rFonts w:hint="eastAsia"/>
        </w:rPr>
        <w:t>本案</w:t>
      </w:r>
      <w:r w:rsidR="00DC2588">
        <w:rPr>
          <w:rFonts w:hAnsi="標楷體" w:hint="eastAsia"/>
        </w:rPr>
        <w:t>於</w:t>
      </w:r>
      <w:r w:rsidRPr="0092084D">
        <w:rPr>
          <w:rFonts w:hint="eastAsia"/>
        </w:rPr>
        <w:t>107年9月5日約</w:t>
      </w:r>
      <w:proofErr w:type="gramStart"/>
      <w:r w:rsidRPr="0092084D">
        <w:rPr>
          <w:rFonts w:hint="eastAsia"/>
        </w:rPr>
        <w:t>詢</w:t>
      </w:r>
      <w:proofErr w:type="gramEnd"/>
      <w:r w:rsidRPr="0092084D">
        <w:rPr>
          <w:rFonts w:hint="eastAsia"/>
        </w:rPr>
        <w:t>法務部有關該</w:t>
      </w:r>
      <w:proofErr w:type="gramStart"/>
      <w:r w:rsidRPr="0092084D">
        <w:rPr>
          <w:rFonts w:hint="eastAsia"/>
        </w:rPr>
        <w:t>時點棄保</w:t>
      </w:r>
      <w:proofErr w:type="gramEnd"/>
      <w:r w:rsidRPr="0092084D">
        <w:rPr>
          <w:rFonts w:hint="eastAsia"/>
        </w:rPr>
        <w:t>潛逃相關問題時，次長蔡碧仲及檢察司副司長黃謀信之說明如下：</w:t>
      </w:r>
    </w:p>
    <w:p w:rsidR="0033103B" w:rsidRDefault="0033103B" w:rsidP="0033103B">
      <w:pPr>
        <w:pStyle w:val="7"/>
      </w:pPr>
      <w:proofErr w:type="gramStart"/>
      <w:r w:rsidRPr="00D5422C">
        <w:rPr>
          <w:rFonts w:hint="eastAsia"/>
        </w:rPr>
        <w:t>這種棄保</w:t>
      </w:r>
      <w:proofErr w:type="gramEnd"/>
      <w:r w:rsidRPr="00D5422C">
        <w:rPr>
          <w:rFonts w:hint="eastAsia"/>
        </w:rPr>
        <w:t>潛逃每天都在發生。態樣也太多了，起訴之後開庭前潛逃的態樣是最多的。</w:t>
      </w:r>
    </w:p>
    <w:p w:rsidR="0033103B" w:rsidRDefault="0033103B" w:rsidP="0033103B">
      <w:pPr>
        <w:pStyle w:val="7"/>
      </w:pPr>
      <w:r w:rsidRPr="00CE20EF">
        <w:rPr>
          <w:rFonts w:hint="eastAsia"/>
        </w:rPr>
        <w:lastRenderedPageBreak/>
        <w:t>聯繫之間有</w:t>
      </w:r>
      <w:r>
        <w:rPr>
          <w:rFonts w:hint="eastAsia"/>
        </w:rPr>
        <w:t>問題是螺絲</w:t>
      </w:r>
      <w:proofErr w:type="gramStart"/>
      <w:r>
        <w:rPr>
          <w:rFonts w:hint="eastAsia"/>
        </w:rPr>
        <w:t>鬆</w:t>
      </w:r>
      <w:proofErr w:type="gramEnd"/>
      <w:r>
        <w:rPr>
          <w:rFonts w:hint="eastAsia"/>
        </w:rPr>
        <w:t>掉了。</w:t>
      </w:r>
      <w:r w:rsidRPr="009A20FB">
        <w:rPr>
          <w:rFonts w:hint="eastAsia"/>
          <w:b/>
        </w:rPr>
        <w:t>所以人跑掉，我們認為大家都有責任。</w:t>
      </w:r>
      <w:r>
        <w:rPr>
          <w:rFonts w:hint="eastAsia"/>
        </w:rPr>
        <w:t>所以我認同委員說，這種報到方式</w:t>
      </w:r>
      <w:r w:rsidRPr="00CE20EF">
        <w:rPr>
          <w:rFonts w:hint="eastAsia"/>
        </w:rPr>
        <w:t>是有問題的</w:t>
      </w:r>
      <w:r w:rsidR="00136252">
        <w:rPr>
          <w:rFonts w:hint="eastAsia"/>
        </w:rPr>
        <w:t>。</w:t>
      </w:r>
      <w:r w:rsidRPr="00CE20EF">
        <w:rPr>
          <w:rFonts w:hint="eastAsia"/>
        </w:rPr>
        <w:t>也不知道是從什麼時候開始這樣做，所以我們承諾委員提到的我們會處理與檢討。</w:t>
      </w:r>
    </w:p>
    <w:p w:rsidR="0033103B" w:rsidRPr="007538AC" w:rsidRDefault="0033103B" w:rsidP="0033103B">
      <w:pPr>
        <w:pStyle w:val="7"/>
      </w:pPr>
      <w:r w:rsidRPr="00CE20EF">
        <w:rPr>
          <w:rFonts w:hint="eastAsia"/>
        </w:rPr>
        <w:t>委員提到有空窗，會</w:t>
      </w:r>
      <w:proofErr w:type="gramStart"/>
      <w:r w:rsidRPr="00CE20EF">
        <w:rPr>
          <w:rFonts w:hint="eastAsia"/>
        </w:rPr>
        <w:t>有空窗的是</w:t>
      </w:r>
      <w:proofErr w:type="gramEnd"/>
      <w:r w:rsidRPr="00CE20EF">
        <w:rPr>
          <w:rFonts w:hint="eastAsia"/>
        </w:rPr>
        <w:t>原本沒有羈押，但因為檢方起訴後，這替代處分效力是否能持續到起訴後開庭前，我們現在的做法，會跟法院在函文中說明有具保、限制住居，一段時間後由院方決定是否欲繼續延續，否則即撤銷原偵查處分。</w:t>
      </w:r>
    </w:p>
    <w:p w:rsidR="0033103B" w:rsidRDefault="0033103B" w:rsidP="0033103B">
      <w:pPr>
        <w:pStyle w:val="4"/>
      </w:pPr>
      <w:r>
        <w:rPr>
          <w:rFonts w:hint="eastAsia"/>
        </w:rPr>
        <w:t>防</w:t>
      </w:r>
      <w:proofErr w:type="gramStart"/>
      <w:r>
        <w:rPr>
          <w:rFonts w:hint="eastAsia"/>
        </w:rPr>
        <w:t>逃空窗期</w:t>
      </w:r>
      <w:proofErr w:type="gramEnd"/>
      <w:r>
        <w:rPr>
          <w:rFonts w:hint="eastAsia"/>
        </w:rPr>
        <w:t>2</w:t>
      </w:r>
      <w:r w:rsidR="00ED436E">
        <w:rPr>
          <w:rFonts w:hint="eastAsia"/>
        </w:rPr>
        <w:t>至</w:t>
      </w:r>
      <w:r>
        <w:rPr>
          <w:rFonts w:hint="eastAsia"/>
        </w:rPr>
        <w:t>宣判後執行前逃逸</w:t>
      </w:r>
      <w:r w:rsidR="00E7745F">
        <w:rPr>
          <w:rFonts w:hint="eastAsia"/>
        </w:rPr>
        <w:t>，</w:t>
      </w:r>
      <w:r>
        <w:rPr>
          <w:rFonts w:hint="eastAsia"/>
        </w:rPr>
        <w:t>司法院及法務部之說明：</w:t>
      </w:r>
    </w:p>
    <w:p w:rsidR="0033103B" w:rsidRDefault="0033103B" w:rsidP="0033103B">
      <w:pPr>
        <w:pStyle w:val="5"/>
      </w:pPr>
      <w:r>
        <w:rPr>
          <w:rFonts w:hint="eastAsia"/>
        </w:rPr>
        <w:t>據法務部函復資料指出</w:t>
      </w:r>
      <w:r>
        <w:rPr>
          <w:rStyle w:val="aff"/>
        </w:rPr>
        <w:footnoteReference w:id="18"/>
      </w:r>
      <w:r>
        <w:rPr>
          <w:rFonts w:hint="eastAsia"/>
        </w:rPr>
        <w:t>：</w:t>
      </w:r>
      <w:r w:rsidRPr="00A90D2C">
        <w:rPr>
          <w:rFonts w:hint="eastAsia"/>
        </w:rPr>
        <w:t>現行所謂「防逃機制」因不具強制力、不能拘束被告自由，</w:t>
      </w:r>
      <w:proofErr w:type="gramStart"/>
      <w:r w:rsidRPr="00A90D2C">
        <w:rPr>
          <w:rFonts w:hint="eastAsia"/>
        </w:rPr>
        <w:t>只能目視</w:t>
      </w:r>
      <w:proofErr w:type="gramEnd"/>
      <w:r w:rsidRPr="00A90D2C">
        <w:rPr>
          <w:rFonts w:hint="eastAsia"/>
        </w:rPr>
        <w:t>觀察、跟蹤尾隨，被告只要進入人潮眾多之公共場所，</w:t>
      </w:r>
      <w:r w:rsidR="00136252" w:rsidRPr="00A90D2C">
        <w:rPr>
          <w:rFonts w:hint="eastAsia"/>
        </w:rPr>
        <w:t>即能</w:t>
      </w:r>
      <w:r w:rsidRPr="00A90D2C">
        <w:rPr>
          <w:rFonts w:hint="eastAsia"/>
        </w:rPr>
        <w:t>輕易躲藏逃匿</w:t>
      </w:r>
      <w:r w:rsidR="00136252">
        <w:rPr>
          <w:rFonts w:hint="eastAsia"/>
        </w:rPr>
        <w:t>。</w:t>
      </w:r>
      <w:r w:rsidRPr="00A90D2C">
        <w:rPr>
          <w:rFonts w:hint="eastAsia"/>
        </w:rPr>
        <w:t>為此，司法警察機縱然耗費大量人力、物力，亦無法有效達成防逃目的。問題癥結，係現行刑事訴訟法規定宣判時被告不需到場，導致宣示判決淪為</w:t>
      </w:r>
      <w:proofErr w:type="gramStart"/>
      <w:r w:rsidRPr="00A90D2C">
        <w:rPr>
          <w:rFonts w:hint="eastAsia"/>
        </w:rPr>
        <w:t>一</w:t>
      </w:r>
      <w:proofErr w:type="gramEnd"/>
      <w:r w:rsidRPr="00A90D2C">
        <w:rPr>
          <w:rFonts w:hint="eastAsia"/>
        </w:rPr>
        <w:t>可有可無之程序</w:t>
      </w:r>
      <w:r w:rsidR="00136252">
        <w:rPr>
          <w:rFonts w:hint="eastAsia"/>
        </w:rPr>
        <w:t>。</w:t>
      </w:r>
      <w:r w:rsidRPr="00A90D2C">
        <w:rPr>
          <w:rFonts w:hint="eastAsia"/>
        </w:rPr>
        <w:t>宣判時被告既然可以不到，法官縱然判處重刑，也無從</w:t>
      </w:r>
      <w:proofErr w:type="gramStart"/>
      <w:r w:rsidRPr="00A90D2C">
        <w:rPr>
          <w:rFonts w:hint="eastAsia"/>
        </w:rPr>
        <w:t>審酌應以</w:t>
      </w:r>
      <w:proofErr w:type="gramEnd"/>
      <w:r w:rsidRPr="00A90D2C">
        <w:rPr>
          <w:rFonts w:hint="eastAsia"/>
        </w:rPr>
        <w:t>何種方式保全該已遭重判之被</w:t>
      </w:r>
      <w:r w:rsidR="00136252">
        <w:rPr>
          <w:rFonts w:hint="eastAsia"/>
        </w:rPr>
        <w:t>告。</w:t>
      </w:r>
      <w:r w:rsidRPr="00A90D2C">
        <w:rPr>
          <w:rFonts w:hint="eastAsia"/>
        </w:rPr>
        <w:t>就被告而言，宣判時可憑自己喜好決定是否到庭，一旦得知判處重刑時，自然心生逃亡企圖，亦因行動自由，可從容策劃逃亡。</w:t>
      </w:r>
    </w:p>
    <w:p w:rsidR="0033103B" w:rsidRDefault="0033103B" w:rsidP="0033103B">
      <w:pPr>
        <w:pStyle w:val="5"/>
      </w:pPr>
      <w:r>
        <w:rPr>
          <w:rFonts w:hint="eastAsia"/>
        </w:rPr>
        <w:t>據司法院函復資料指出</w:t>
      </w:r>
      <w:r>
        <w:rPr>
          <w:rStyle w:val="aff"/>
        </w:rPr>
        <w:footnoteReference w:id="19"/>
      </w:r>
      <w:r>
        <w:rPr>
          <w:rFonts w:hint="eastAsia"/>
        </w:rPr>
        <w:t>：</w:t>
      </w:r>
    </w:p>
    <w:p w:rsidR="0033103B" w:rsidRDefault="0033103B" w:rsidP="0033103B">
      <w:pPr>
        <w:pStyle w:val="6"/>
      </w:pPr>
      <w:r>
        <w:rPr>
          <w:rFonts w:hint="eastAsia"/>
        </w:rPr>
        <w:lastRenderedPageBreak/>
        <w:t>刑事裁判之執行屬檢察官職掌，為避免法院判決確定後</w:t>
      </w:r>
      <w:proofErr w:type="gramStart"/>
      <w:r>
        <w:rPr>
          <w:rFonts w:hint="eastAsia"/>
        </w:rPr>
        <w:t>至檢卷移送</w:t>
      </w:r>
      <w:proofErr w:type="gramEnd"/>
      <w:r>
        <w:rPr>
          <w:rFonts w:hint="eastAsia"/>
        </w:rPr>
        <w:t>執行所產生之「逃亡</w:t>
      </w:r>
      <w:proofErr w:type="gramStart"/>
      <w:r>
        <w:rPr>
          <w:rFonts w:hint="eastAsia"/>
        </w:rPr>
        <w:t>空窗期</w:t>
      </w:r>
      <w:proofErr w:type="gramEnd"/>
      <w:r>
        <w:rPr>
          <w:rFonts w:hint="eastAsia"/>
        </w:rPr>
        <w:t>」，臺灣高等法院「辦理刑事審判紀錄業務注意事項」第</w:t>
      </w:r>
      <w:r>
        <w:t>194</w:t>
      </w:r>
      <w:r w:rsidR="00115B75">
        <w:rPr>
          <w:rFonts w:hint="eastAsia"/>
        </w:rPr>
        <w:t>點</w:t>
      </w:r>
      <w:r>
        <w:rPr>
          <w:rFonts w:hint="eastAsia"/>
        </w:rPr>
        <w:t>規定「（第</w:t>
      </w:r>
      <w:r>
        <w:t>3</w:t>
      </w:r>
      <w:r>
        <w:rPr>
          <w:rFonts w:hint="eastAsia"/>
        </w:rPr>
        <w:t>項）對於嚴重侵害國家或社會法益，或於社會治安、經濟秩序有重大危害等重大或矚目案件，被告有逃匿之虞者，判決確定時，應即先行通知檢察官預為防範，同時以</w:t>
      </w:r>
      <w:proofErr w:type="gramStart"/>
      <w:r>
        <w:rPr>
          <w:rFonts w:hint="eastAsia"/>
        </w:rPr>
        <w:t>最</w:t>
      </w:r>
      <w:proofErr w:type="gramEnd"/>
      <w:r>
        <w:rPr>
          <w:rFonts w:hint="eastAsia"/>
        </w:rPr>
        <w:t>速</w:t>
      </w:r>
      <w:proofErr w:type="gramStart"/>
      <w:r>
        <w:rPr>
          <w:rFonts w:hint="eastAsia"/>
        </w:rPr>
        <w:t>件檢卷</w:t>
      </w:r>
      <w:proofErr w:type="gramEnd"/>
      <w:r>
        <w:rPr>
          <w:rFonts w:hint="eastAsia"/>
        </w:rPr>
        <w:t>移送執行。（第</w:t>
      </w:r>
      <w:r>
        <w:t>4</w:t>
      </w:r>
      <w:r>
        <w:rPr>
          <w:rFonts w:hint="eastAsia"/>
        </w:rPr>
        <w:t>項）前項案件，若為二審判決即告確定者，於判決確定當日，應立即檢附判決主文公告；如係</w:t>
      </w:r>
      <w:proofErr w:type="gramStart"/>
      <w:r>
        <w:rPr>
          <w:rFonts w:hint="eastAsia"/>
        </w:rPr>
        <w:t>諭</w:t>
      </w:r>
      <w:proofErr w:type="gramEnd"/>
      <w:r>
        <w:rPr>
          <w:rFonts w:hint="eastAsia"/>
        </w:rPr>
        <w:t>知上訴駁回者，應檢附判決主文公告及一審有罪判決正本或影本函送檢察署執行，並說明係社會矚目、重大刑事案件，請注意掌握被告動態之旨，相關卷證則儘速另行補送。」</w:t>
      </w:r>
    </w:p>
    <w:p w:rsidR="0033103B" w:rsidRDefault="0033103B" w:rsidP="0033103B">
      <w:pPr>
        <w:pStyle w:val="6"/>
      </w:pPr>
      <w:r>
        <w:rPr>
          <w:rFonts w:hint="eastAsia"/>
        </w:rPr>
        <w:t>另依「臺灣高等法院審結刑事重大、社會矚目案件即時通知臺灣高等檢察署啟動防</w:t>
      </w:r>
      <w:r w:rsidR="00115B75">
        <w:rPr>
          <w:rFonts w:hint="eastAsia"/>
        </w:rPr>
        <w:t>逃機制作業要點」</w:t>
      </w:r>
      <w:r>
        <w:rPr>
          <w:rFonts w:hint="eastAsia"/>
        </w:rPr>
        <w:t>，就該要點第</w:t>
      </w:r>
      <w:r w:rsidR="00800744">
        <w:rPr>
          <w:rFonts w:hint="eastAsia"/>
        </w:rPr>
        <w:t>2</w:t>
      </w:r>
      <w:r>
        <w:rPr>
          <w:rFonts w:hint="eastAsia"/>
        </w:rPr>
        <w:t>點所列之案件，承辦書記官應於辯論終結後將宣判日期，及於宣判後將裁判主文，即時以書面通知臺灣高等檢察署；於宣判後，若有新出（發）現</w:t>
      </w:r>
      <w:proofErr w:type="gramStart"/>
      <w:r>
        <w:rPr>
          <w:rFonts w:hint="eastAsia"/>
        </w:rPr>
        <w:t>之情資</w:t>
      </w:r>
      <w:proofErr w:type="gramEnd"/>
      <w:r>
        <w:rPr>
          <w:rFonts w:hint="eastAsia"/>
        </w:rPr>
        <w:t>，法官為必要緊急處分之同時，並得將新出（發）現</w:t>
      </w:r>
      <w:proofErr w:type="gramStart"/>
      <w:r>
        <w:rPr>
          <w:rFonts w:hint="eastAsia"/>
        </w:rPr>
        <w:t>之情資</w:t>
      </w:r>
      <w:proofErr w:type="gramEnd"/>
      <w:r>
        <w:rPr>
          <w:rFonts w:hint="eastAsia"/>
        </w:rPr>
        <w:t>，即時副知臺灣高等檢察署。必要時，得先以電話或傳真方式為之，但應製作電話或傳真紀錄存查（該要點第5點參照）。</w:t>
      </w:r>
    </w:p>
    <w:p w:rsidR="0033103B" w:rsidRDefault="0033103B" w:rsidP="0033103B">
      <w:pPr>
        <w:pStyle w:val="6"/>
      </w:pPr>
      <w:r>
        <w:rPr>
          <w:rFonts w:hint="eastAsia"/>
        </w:rPr>
        <w:t>又依「最高法院受理社會矚目、重大刑事案</w:t>
      </w:r>
      <w:r w:rsidR="00115B75">
        <w:rPr>
          <w:rFonts w:hint="eastAsia"/>
        </w:rPr>
        <w:t>件判決後通知最高法院檢察署辦理要點」</w:t>
      </w:r>
      <w:r>
        <w:rPr>
          <w:rFonts w:hint="eastAsia"/>
        </w:rPr>
        <w:t>第4點規定，刑事庭書記科就第</w:t>
      </w:r>
      <w:r w:rsidR="00800744">
        <w:rPr>
          <w:rFonts w:hint="eastAsia"/>
        </w:rPr>
        <w:t>2</w:t>
      </w:r>
      <w:r>
        <w:rPr>
          <w:rFonts w:hint="eastAsia"/>
        </w:rPr>
        <w:t>點之案件評議後，於判決主文揭示公告時，</w:t>
      </w:r>
      <w:proofErr w:type="gramStart"/>
      <w:r>
        <w:rPr>
          <w:rFonts w:hint="eastAsia"/>
        </w:rPr>
        <w:t>併</w:t>
      </w:r>
      <w:proofErr w:type="gramEnd"/>
      <w:r>
        <w:rPr>
          <w:rFonts w:hint="eastAsia"/>
        </w:rPr>
        <w:t>檢送該院判</w:t>
      </w:r>
      <w:r>
        <w:rPr>
          <w:rFonts w:hint="eastAsia"/>
        </w:rPr>
        <w:lastRenderedPageBreak/>
        <w:t>決主文及二審有罪判決正本或影本通知最高檢察署。必要時，並得同時以電話通知，但應做成電話紀錄。</w:t>
      </w:r>
    </w:p>
    <w:p w:rsidR="00117B39" w:rsidRPr="00AD3298" w:rsidRDefault="00115B75" w:rsidP="00115B75">
      <w:pPr>
        <w:pStyle w:val="3"/>
        <w:rPr>
          <w:color w:val="000000" w:themeColor="text1"/>
        </w:rPr>
      </w:pPr>
      <w:r>
        <w:rPr>
          <w:rFonts w:hint="eastAsia"/>
        </w:rPr>
        <w:t>再查有關防</w:t>
      </w:r>
      <w:proofErr w:type="gramStart"/>
      <w:r>
        <w:rPr>
          <w:rFonts w:hint="eastAsia"/>
        </w:rPr>
        <w:t>逃</w:t>
      </w:r>
      <w:r w:rsidR="00117B39">
        <w:rPr>
          <w:rFonts w:hint="eastAsia"/>
        </w:rPr>
        <w:t>空窗期</w:t>
      </w:r>
      <w:proofErr w:type="gramEnd"/>
      <w:r w:rsidR="00117B39">
        <w:rPr>
          <w:rFonts w:hint="eastAsia"/>
        </w:rPr>
        <w:t>之產生與棄保潛逃之數據未能提供之說明</w:t>
      </w:r>
      <w:r>
        <w:rPr>
          <w:rFonts w:hint="eastAsia"/>
        </w:rPr>
        <w:t>，司法院及法務部屢</w:t>
      </w:r>
      <w:proofErr w:type="gramStart"/>
      <w:r>
        <w:rPr>
          <w:rFonts w:hint="eastAsia"/>
        </w:rPr>
        <w:t>以</w:t>
      </w:r>
      <w:proofErr w:type="gramEnd"/>
      <w:r>
        <w:rPr>
          <w:rFonts w:hint="eastAsia"/>
        </w:rPr>
        <w:t>：</w:t>
      </w:r>
      <w:r w:rsidRPr="00115B75">
        <w:rPr>
          <w:rFonts w:hint="eastAsia"/>
        </w:rPr>
        <w:t>「另如於起訴後第一審開庭前棄保潛逃之情形，係屬司法院權</w:t>
      </w:r>
      <w:r w:rsidRPr="00AD3298">
        <w:rPr>
          <w:rFonts w:hint="eastAsia"/>
          <w:color w:val="000000" w:themeColor="text1"/>
        </w:rPr>
        <w:t>責，</w:t>
      </w:r>
      <w:proofErr w:type="gramStart"/>
      <w:r w:rsidRPr="00AD3298">
        <w:rPr>
          <w:rFonts w:hint="eastAsia"/>
          <w:color w:val="000000" w:themeColor="text1"/>
        </w:rPr>
        <w:t>該部未有</w:t>
      </w:r>
      <w:proofErr w:type="gramEnd"/>
      <w:r w:rsidRPr="00AD3298">
        <w:rPr>
          <w:rFonts w:hint="eastAsia"/>
          <w:color w:val="000000" w:themeColor="text1"/>
        </w:rPr>
        <w:t>相關統計數據。」；「至於確定判決後執行前之棄保潛逃人數統計數據，事屬法務部執掌，</w:t>
      </w:r>
      <w:proofErr w:type="gramStart"/>
      <w:r w:rsidRPr="00AD3298">
        <w:rPr>
          <w:rFonts w:hint="eastAsia"/>
          <w:color w:val="000000" w:themeColor="text1"/>
        </w:rPr>
        <w:t>該院無資料</w:t>
      </w:r>
      <w:proofErr w:type="gramEnd"/>
      <w:r w:rsidRPr="00AD3298">
        <w:rPr>
          <w:rFonts w:hint="eastAsia"/>
          <w:color w:val="000000" w:themeColor="text1"/>
        </w:rPr>
        <w:t>提供。」；</w:t>
      </w:r>
      <w:r w:rsidR="00117B39" w:rsidRPr="00AD3298">
        <w:rPr>
          <w:rFonts w:hint="eastAsia"/>
          <w:color w:val="000000" w:themeColor="text1"/>
        </w:rPr>
        <w:t>「陳偉志係於高雄地院審理中逃匿，</w:t>
      </w:r>
      <w:proofErr w:type="gramStart"/>
      <w:r w:rsidR="00117B39" w:rsidRPr="00AD3298">
        <w:rPr>
          <w:rFonts w:hint="eastAsia"/>
          <w:color w:val="000000" w:themeColor="text1"/>
        </w:rPr>
        <w:t>除修法</w:t>
      </w:r>
      <w:proofErr w:type="gramEnd"/>
      <w:r w:rsidR="00117B39" w:rsidRPr="00AD3298">
        <w:rPr>
          <w:rFonts w:hint="eastAsia"/>
          <w:color w:val="000000" w:themeColor="text1"/>
        </w:rPr>
        <w:t>外，如何防止被告在審理中逃匿，係屬司法院權責，相關改善計畫應由司法院表示意見。」等</w:t>
      </w:r>
      <w:proofErr w:type="gramStart"/>
      <w:r w:rsidR="00117B39" w:rsidRPr="00AD3298">
        <w:rPr>
          <w:rFonts w:hint="eastAsia"/>
          <w:color w:val="000000" w:themeColor="text1"/>
        </w:rPr>
        <w:t>語置辯</w:t>
      </w:r>
      <w:proofErr w:type="gramEnd"/>
      <w:r w:rsidR="00136252">
        <w:rPr>
          <w:rFonts w:hint="eastAsia"/>
          <w:color w:val="000000" w:themeColor="text1"/>
        </w:rPr>
        <w:t>。</w:t>
      </w:r>
      <w:proofErr w:type="gramStart"/>
      <w:r w:rsidR="00117B39" w:rsidRPr="00AD3298">
        <w:rPr>
          <w:rFonts w:hint="eastAsia"/>
          <w:color w:val="000000" w:themeColor="text1"/>
        </w:rPr>
        <w:t>惟</w:t>
      </w:r>
      <w:proofErr w:type="gramEnd"/>
      <w:r w:rsidRPr="00AD3298">
        <w:rPr>
          <w:rFonts w:hint="eastAsia"/>
          <w:color w:val="000000" w:themeColor="text1"/>
        </w:rPr>
        <w:t>對於刑事被告行蹤之掌握，</w:t>
      </w:r>
      <w:proofErr w:type="gramStart"/>
      <w:r w:rsidRPr="00AD3298">
        <w:rPr>
          <w:rFonts w:hint="eastAsia"/>
          <w:color w:val="000000" w:themeColor="text1"/>
        </w:rPr>
        <w:t>無論係處刑事訴訟</w:t>
      </w:r>
      <w:proofErr w:type="gramEnd"/>
      <w:r w:rsidRPr="00AD3298">
        <w:rPr>
          <w:rFonts w:hint="eastAsia"/>
          <w:color w:val="000000" w:themeColor="text1"/>
        </w:rPr>
        <w:t>程序之任一時點，院、檢皆有責任予以重視，而非強行切割時點，推諉卸責</w:t>
      </w:r>
      <w:r w:rsidR="00136252">
        <w:rPr>
          <w:rFonts w:hint="eastAsia"/>
          <w:color w:val="000000" w:themeColor="text1"/>
        </w:rPr>
        <w:t>。</w:t>
      </w:r>
      <w:r w:rsidRPr="00AD3298">
        <w:rPr>
          <w:rFonts w:hint="eastAsia"/>
          <w:color w:val="000000" w:themeColor="text1"/>
        </w:rPr>
        <w:t>誠如司法院釋字第392號解釋理由書</w:t>
      </w:r>
      <w:r w:rsidR="002F7980" w:rsidRPr="00AD3298">
        <w:rPr>
          <w:rFonts w:hint="eastAsia"/>
          <w:color w:val="000000" w:themeColor="text1"/>
        </w:rPr>
        <w:t>所言：「司法權之</w:t>
      </w:r>
      <w:proofErr w:type="gramStart"/>
      <w:r w:rsidR="002F7980" w:rsidRPr="00AD3298">
        <w:rPr>
          <w:rFonts w:hint="eastAsia"/>
          <w:color w:val="000000" w:themeColor="text1"/>
        </w:rPr>
        <w:t>一</w:t>
      </w:r>
      <w:proofErr w:type="gramEnd"/>
      <w:r w:rsidR="002F7980" w:rsidRPr="00AD3298">
        <w:rPr>
          <w:rFonts w:hint="eastAsia"/>
          <w:color w:val="000000" w:themeColor="text1"/>
        </w:rPr>
        <w:t>之刑事訴訟、即刑事司法之裁判，係以實現國家刑罰權為目的之司法程序，其審判乃以追訴而開始，追訴必須實施偵查，</w:t>
      </w:r>
      <w:proofErr w:type="gramStart"/>
      <w:r w:rsidR="002F7980" w:rsidRPr="00AD3298">
        <w:rPr>
          <w:rFonts w:hint="eastAsia"/>
          <w:color w:val="000000" w:themeColor="text1"/>
        </w:rPr>
        <w:t>迨</w:t>
      </w:r>
      <w:proofErr w:type="gramEnd"/>
      <w:r w:rsidR="002F7980" w:rsidRPr="00AD3298">
        <w:rPr>
          <w:rFonts w:hint="eastAsia"/>
          <w:color w:val="000000" w:themeColor="text1"/>
        </w:rPr>
        <w:t>判決確定，尚須執行始能實現裁判之內容。是以此等</w:t>
      </w:r>
      <w:proofErr w:type="gramStart"/>
      <w:r w:rsidR="002F7980" w:rsidRPr="00AD3298">
        <w:rPr>
          <w:rFonts w:hint="eastAsia"/>
          <w:color w:val="000000" w:themeColor="text1"/>
        </w:rPr>
        <w:t>程序悉與審判</w:t>
      </w:r>
      <w:proofErr w:type="gramEnd"/>
      <w:r w:rsidR="002F7980" w:rsidRPr="00AD3298">
        <w:rPr>
          <w:rFonts w:hint="eastAsia"/>
          <w:color w:val="000000" w:themeColor="text1"/>
        </w:rPr>
        <w:t>、處罰具有不可分離之關係，亦即</w:t>
      </w:r>
      <w:r w:rsidR="00EC78C4" w:rsidRPr="00AD3298">
        <w:rPr>
          <w:rFonts w:hint="eastAsia"/>
          <w:color w:val="000000" w:themeColor="text1"/>
        </w:rPr>
        <w:t>偵查、訴追、審判、刑之</w:t>
      </w:r>
      <w:proofErr w:type="gramStart"/>
      <w:r w:rsidR="00EC78C4" w:rsidRPr="00AD3298">
        <w:rPr>
          <w:rFonts w:hint="eastAsia"/>
          <w:color w:val="000000" w:themeColor="text1"/>
        </w:rPr>
        <w:t>執行均屬刑事</w:t>
      </w:r>
      <w:proofErr w:type="gramEnd"/>
      <w:r w:rsidR="00EC78C4" w:rsidRPr="00AD3298">
        <w:rPr>
          <w:rFonts w:hint="eastAsia"/>
          <w:color w:val="000000" w:themeColor="text1"/>
        </w:rPr>
        <w:t>司法之過程，其間代表國家從事</w:t>
      </w:r>
      <w:r w:rsidR="00EC78C4" w:rsidRPr="00AD3298">
        <w:rPr>
          <w:rFonts w:hAnsi="標楷體" w:hint="eastAsia"/>
          <w:color w:val="000000" w:themeColor="text1"/>
        </w:rPr>
        <w:t>『</w:t>
      </w:r>
      <w:r w:rsidR="00EC78C4" w:rsidRPr="00AD3298">
        <w:rPr>
          <w:rFonts w:hint="eastAsia"/>
          <w:color w:val="000000" w:themeColor="text1"/>
        </w:rPr>
        <w:t>偵查</w:t>
      </w:r>
      <w:r w:rsidR="00EC78C4" w:rsidRPr="00AD3298">
        <w:rPr>
          <w:rFonts w:hAnsi="標楷體" w:hint="eastAsia"/>
          <w:color w:val="000000" w:themeColor="text1"/>
        </w:rPr>
        <w:t>』『</w:t>
      </w:r>
      <w:r w:rsidR="00EC78C4" w:rsidRPr="00AD3298">
        <w:rPr>
          <w:rFonts w:hint="eastAsia"/>
          <w:color w:val="000000" w:themeColor="text1"/>
        </w:rPr>
        <w:t>訴追</w:t>
      </w:r>
      <w:r w:rsidR="00EC78C4" w:rsidRPr="00AD3298">
        <w:rPr>
          <w:rFonts w:hAnsi="標楷體" w:hint="eastAsia"/>
          <w:color w:val="000000" w:themeColor="text1"/>
        </w:rPr>
        <w:t>』『</w:t>
      </w:r>
      <w:r w:rsidR="00EC78C4" w:rsidRPr="00AD3298">
        <w:rPr>
          <w:rFonts w:hint="eastAsia"/>
          <w:color w:val="000000" w:themeColor="text1"/>
        </w:rPr>
        <w:t>執行</w:t>
      </w:r>
      <w:r w:rsidR="00EC78C4" w:rsidRPr="00AD3298">
        <w:rPr>
          <w:rFonts w:hAnsi="標楷體" w:hint="eastAsia"/>
          <w:color w:val="000000" w:themeColor="text1"/>
        </w:rPr>
        <w:t>』</w:t>
      </w:r>
      <w:r w:rsidR="002F7980" w:rsidRPr="00AD3298">
        <w:rPr>
          <w:rFonts w:hint="eastAsia"/>
          <w:color w:val="000000" w:themeColor="text1"/>
        </w:rPr>
        <w:t>之檢察機關，其所行使之職權，目的既亦在達成刑事司法之任務，則在此</w:t>
      </w:r>
      <w:proofErr w:type="gramStart"/>
      <w:r w:rsidR="002F7980" w:rsidRPr="00AD3298">
        <w:rPr>
          <w:rFonts w:hint="eastAsia"/>
          <w:color w:val="000000" w:themeColor="text1"/>
        </w:rPr>
        <w:t>一</w:t>
      </w:r>
      <w:proofErr w:type="gramEnd"/>
      <w:r w:rsidR="002F7980" w:rsidRPr="00AD3298">
        <w:rPr>
          <w:rFonts w:hint="eastAsia"/>
          <w:color w:val="000000" w:themeColor="text1"/>
        </w:rPr>
        <w:t>範圍內之國家作用，當應屬廣義司法之</w:t>
      </w:r>
      <w:proofErr w:type="gramStart"/>
      <w:r w:rsidR="002F7980" w:rsidRPr="00AD3298">
        <w:rPr>
          <w:rFonts w:hint="eastAsia"/>
          <w:color w:val="000000" w:themeColor="text1"/>
        </w:rPr>
        <w:t>一</w:t>
      </w:r>
      <w:proofErr w:type="gramEnd"/>
      <w:r w:rsidR="002F7980" w:rsidRPr="00AD3298">
        <w:rPr>
          <w:rFonts w:hint="eastAsia"/>
          <w:color w:val="000000" w:themeColor="text1"/>
        </w:rPr>
        <w:t>。」</w:t>
      </w:r>
      <w:r w:rsidR="00EC78C4" w:rsidRPr="00AD3298">
        <w:rPr>
          <w:rFonts w:hint="eastAsia"/>
          <w:color w:val="000000" w:themeColor="text1"/>
        </w:rPr>
        <w:t>故</w:t>
      </w:r>
      <w:r w:rsidR="002F7980" w:rsidRPr="00AD3298">
        <w:rPr>
          <w:rFonts w:hint="eastAsia"/>
          <w:color w:val="000000" w:themeColor="text1"/>
        </w:rPr>
        <w:t>無論</w:t>
      </w:r>
      <w:proofErr w:type="gramStart"/>
      <w:r w:rsidR="002F7980" w:rsidRPr="00AD3298">
        <w:rPr>
          <w:rFonts w:hint="eastAsia"/>
          <w:color w:val="000000" w:themeColor="text1"/>
        </w:rPr>
        <w:t>空窗</w:t>
      </w:r>
      <w:r w:rsidR="00117B39" w:rsidRPr="00AD3298">
        <w:rPr>
          <w:rFonts w:hint="eastAsia"/>
          <w:color w:val="000000" w:themeColor="text1"/>
        </w:rPr>
        <w:t>期</w:t>
      </w:r>
      <w:r w:rsidR="002F7980" w:rsidRPr="00AD3298">
        <w:rPr>
          <w:rFonts w:hint="eastAsia"/>
          <w:color w:val="000000" w:themeColor="text1"/>
        </w:rPr>
        <w:t>存在</w:t>
      </w:r>
      <w:proofErr w:type="gramEnd"/>
      <w:r w:rsidR="002F7980" w:rsidRPr="00AD3298">
        <w:rPr>
          <w:rFonts w:hint="eastAsia"/>
          <w:color w:val="000000" w:themeColor="text1"/>
        </w:rPr>
        <w:t>於偵查、審判或執行階段，</w:t>
      </w:r>
      <w:r w:rsidR="00EC78C4" w:rsidRPr="00AD3298">
        <w:rPr>
          <w:rFonts w:hint="eastAsia"/>
          <w:color w:val="000000" w:themeColor="text1"/>
        </w:rPr>
        <w:t>對於人犯</w:t>
      </w:r>
      <w:proofErr w:type="gramStart"/>
      <w:r w:rsidR="00EC78C4" w:rsidRPr="00AD3298">
        <w:rPr>
          <w:rFonts w:hint="eastAsia"/>
          <w:color w:val="000000" w:themeColor="text1"/>
        </w:rPr>
        <w:t>行蹤均</w:t>
      </w:r>
      <w:r w:rsidR="002F7980" w:rsidRPr="00AD3298">
        <w:rPr>
          <w:rFonts w:hint="eastAsia"/>
          <w:color w:val="000000" w:themeColor="text1"/>
        </w:rPr>
        <w:t>應</w:t>
      </w:r>
      <w:r w:rsidR="00117B39" w:rsidRPr="00AD3298">
        <w:rPr>
          <w:rFonts w:hint="eastAsia"/>
          <w:color w:val="000000" w:themeColor="text1"/>
        </w:rPr>
        <w:t>切實</w:t>
      </w:r>
      <w:proofErr w:type="gramEnd"/>
      <w:r w:rsidR="00117B39" w:rsidRPr="00AD3298">
        <w:rPr>
          <w:rFonts w:hint="eastAsia"/>
          <w:color w:val="000000" w:themeColor="text1"/>
        </w:rPr>
        <w:t>掌握</w:t>
      </w:r>
      <w:r w:rsidR="002F7980" w:rsidRPr="00AD3298">
        <w:rPr>
          <w:rFonts w:hint="eastAsia"/>
          <w:color w:val="000000" w:themeColor="text1"/>
        </w:rPr>
        <w:t>，</w:t>
      </w:r>
      <w:r w:rsidR="00EC78C4" w:rsidRPr="00AD3298">
        <w:rPr>
          <w:rFonts w:hint="eastAsia"/>
          <w:color w:val="000000" w:themeColor="text1"/>
        </w:rPr>
        <w:t>而非僅單一機關之責，實應共同研討對策，</w:t>
      </w:r>
      <w:proofErr w:type="gramStart"/>
      <w:r w:rsidR="00EC78C4" w:rsidRPr="00AD3298">
        <w:rPr>
          <w:rFonts w:hint="eastAsia"/>
          <w:color w:val="000000" w:themeColor="text1"/>
        </w:rPr>
        <w:t>以利防逃</w:t>
      </w:r>
      <w:proofErr w:type="gramEnd"/>
      <w:r w:rsidR="00EC78C4" w:rsidRPr="00AD3298">
        <w:rPr>
          <w:rFonts w:hint="eastAsia"/>
          <w:color w:val="000000" w:themeColor="text1"/>
        </w:rPr>
        <w:t>機制之改善</w:t>
      </w:r>
      <w:r w:rsidR="00117B39" w:rsidRPr="00AD3298">
        <w:rPr>
          <w:rFonts w:hint="eastAsia"/>
          <w:color w:val="000000" w:themeColor="text1"/>
        </w:rPr>
        <w:t>。</w:t>
      </w:r>
    </w:p>
    <w:p w:rsidR="00654C81" w:rsidRPr="00AD3298" w:rsidRDefault="00EC78C4" w:rsidP="00654C81">
      <w:pPr>
        <w:pStyle w:val="3"/>
        <w:rPr>
          <w:color w:val="000000" w:themeColor="text1"/>
        </w:rPr>
      </w:pPr>
      <w:r w:rsidRPr="00AD3298">
        <w:rPr>
          <w:rFonts w:hint="eastAsia"/>
          <w:color w:val="000000" w:themeColor="text1"/>
        </w:rPr>
        <w:t>另查</w:t>
      </w:r>
      <w:r w:rsidR="00654C81" w:rsidRPr="00AD3298">
        <w:rPr>
          <w:rFonts w:hint="eastAsia"/>
          <w:color w:val="000000" w:themeColor="text1"/>
        </w:rPr>
        <w:t>無羈押必要</w:t>
      </w:r>
      <w:r w:rsidRPr="00AD3298">
        <w:rPr>
          <w:rFonts w:hint="eastAsia"/>
          <w:color w:val="000000" w:themeColor="text1"/>
        </w:rPr>
        <w:t>或停止羈押</w:t>
      </w:r>
      <w:r w:rsidR="00654C81" w:rsidRPr="00AD3298">
        <w:rPr>
          <w:rFonts w:hint="eastAsia"/>
          <w:color w:val="000000" w:themeColor="text1"/>
        </w:rPr>
        <w:t>之刑事被告</w:t>
      </w:r>
      <w:r w:rsidRPr="00AD3298">
        <w:rPr>
          <w:rFonts w:hint="eastAsia"/>
          <w:color w:val="000000" w:themeColor="text1"/>
        </w:rPr>
        <w:t>於</w:t>
      </w:r>
      <w:proofErr w:type="gramStart"/>
      <w:r w:rsidR="00654C81" w:rsidRPr="00AD3298">
        <w:rPr>
          <w:rFonts w:hint="eastAsia"/>
          <w:color w:val="000000" w:themeColor="text1"/>
        </w:rPr>
        <w:t>具保後</w:t>
      </w:r>
      <w:proofErr w:type="gramEnd"/>
      <w:r w:rsidRPr="00AD3298">
        <w:rPr>
          <w:rFonts w:hint="eastAsia"/>
          <w:color w:val="000000" w:themeColor="text1"/>
        </w:rPr>
        <w:t>，往往產生較高之逃逸風險，美</w:t>
      </w:r>
      <w:r w:rsidR="00654C81" w:rsidRPr="00AD3298">
        <w:rPr>
          <w:rFonts w:hint="eastAsia"/>
          <w:color w:val="000000" w:themeColor="text1"/>
        </w:rPr>
        <w:t>國法</w:t>
      </w:r>
      <w:r w:rsidRPr="00AD3298">
        <w:rPr>
          <w:rFonts w:hint="eastAsia"/>
          <w:color w:val="000000" w:themeColor="text1"/>
        </w:rPr>
        <w:t>制即對</w:t>
      </w:r>
      <w:r w:rsidR="00654C81" w:rsidRPr="00AD3298">
        <w:rPr>
          <w:rFonts w:hint="eastAsia"/>
          <w:color w:val="000000" w:themeColor="text1"/>
        </w:rPr>
        <w:t>棄保潛逃</w:t>
      </w:r>
      <w:r w:rsidRPr="00AD3298">
        <w:rPr>
          <w:rFonts w:hint="eastAsia"/>
          <w:color w:val="000000" w:themeColor="text1"/>
        </w:rPr>
        <w:t>之被告</w:t>
      </w:r>
      <w:r w:rsidR="00654C81" w:rsidRPr="00AD3298">
        <w:rPr>
          <w:rFonts w:hint="eastAsia"/>
          <w:color w:val="000000" w:themeColor="text1"/>
        </w:rPr>
        <w:t>給予制裁，</w:t>
      </w:r>
      <w:r w:rsidRPr="00AD3298">
        <w:rPr>
          <w:rFonts w:hint="eastAsia"/>
          <w:color w:val="000000" w:themeColor="text1"/>
        </w:rPr>
        <w:t>嚇阻其逃逸</w:t>
      </w:r>
      <w:r w:rsidR="00136252">
        <w:rPr>
          <w:rFonts w:hint="eastAsia"/>
          <w:color w:val="000000" w:themeColor="text1"/>
        </w:rPr>
        <w:t>。</w:t>
      </w:r>
      <w:r w:rsidRPr="00AD3298">
        <w:rPr>
          <w:rFonts w:hint="eastAsia"/>
          <w:color w:val="000000" w:themeColor="text1"/>
        </w:rPr>
        <w:t>然</w:t>
      </w:r>
      <w:r w:rsidR="00654C81" w:rsidRPr="00AD3298">
        <w:rPr>
          <w:rFonts w:hint="eastAsia"/>
          <w:color w:val="000000" w:themeColor="text1"/>
        </w:rPr>
        <w:t>相較於</w:t>
      </w:r>
      <w:proofErr w:type="gramStart"/>
      <w:r w:rsidR="00654C81" w:rsidRPr="00AD3298">
        <w:rPr>
          <w:rFonts w:hint="eastAsia"/>
          <w:color w:val="000000" w:themeColor="text1"/>
        </w:rPr>
        <w:t>我國僅生</w:t>
      </w:r>
      <w:r w:rsidR="00654C81" w:rsidRPr="00AD3298">
        <w:rPr>
          <w:rFonts w:hint="eastAsia"/>
          <w:color w:val="000000" w:themeColor="text1"/>
        </w:rPr>
        <w:lastRenderedPageBreak/>
        <w:t>沒入</w:t>
      </w:r>
      <w:proofErr w:type="gramEnd"/>
      <w:r w:rsidR="00654C81" w:rsidRPr="00AD3298">
        <w:rPr>
          <w:rFonts w:hint="eastAsia"/>
          <w:color w:val="000000" w:themeColor="text1"/>
        </w:rPr>
        <w:t>保證金</w:t>
      </w:r>
      <w:r w:rsidRPr="00AD3298">
        <w:rPr>
          <w:rFonts w:hint="eastAsia"/>
          <w:color w:val="000000" w:themeColor="text1"/>
        </w:rPr>
        <w:t>之效果，對權貴被告而言</w:t>
      </w:r>
      <w:r w:rsidR="00BD09D9">
        <w:rPr>
          <w:rFonts w:hint="eastAsia"/>
          <w:color w:val="000000" w:themeColor="text1"/>
        </w:rPr>
        <w:t>，其效果可能</w:t>
      </w:r>
      <w:r w:rsidRPr="00AD3298">
        <w:rPr>
          <w:rFonts w:hint="eastAsia"/>
          <w:color w:val="000000" w:themeColor="text1"/>
        </w:rPr>
        <w:t>不痛不癢，或可參考美國法制</w:t>
      </w:r>
      <w:r w:rsidR="0004669D" w:rsidRPr="00AD3298">
        <w:rPr>
          <w:rFonts w:hint="eastAsia"/>
          <w:color w:val="000000" w:themeColor="text1"/>
        </w:rPr>
        <w:t>就</w:t>
      </w:r>
      <w:r w:rsidR="0004669D" w:rsidRPr="00AD3298">
        <w:rPr>
          <w:rFonts w:hAnsi="標楷體" w:hint="eastAsia"/>
          <w:color w:val="000000" w:themeColor="text1"/>
        </w:rPr>
        <w:t>「未準時到庭」及「違反保釋條件」</w:t>
      </w:r>
      <w:r w:rsidRPr="00AD3298">
        <w:rPr>
          <w:rFonts w:hAnsi="標楷體" w:hint="eastAsia"/>
          <w:color w:val="000000" w:themeColor="text1"/>
        </w:rPr>
        <w:t>之被告予以刑責，並將其入罪化，相關</w:t>
      </w:r>
      <w:r w:rsidR="0004669D" w:rsidRPr="00AD3298">
        <w:rPr>
          <w:rFonts w:hAnsi="標楷體" w:hint="eastAsia"/>
          <w:color w:val="000000" w:themeColor="text1"/>
        </w:rPr>
        <w:t>內容如下</w:t>
      </w:r>
      <w:r w:rsidR="00570F43" w:rsidRPr="00AD3298">
        <w:rPr>
          <w:rStyle w:val="aff"/>
          <w:rFonts w:hAnsi="標楷體"/>
          <w:color w:val="000000" w:themeColor="text1"/>
        </w:rPr>
        <w:footnoteReference w:id="20"/>
      </w:r>
      <w:r w:rsidR="0004669D" w:rsidRPr="00AD3298">
        <w:rPr>
          <w:rFonts w:hAnsi="標楷體" w:hint="eastAsia"/>
          <w:color w:val="000000" w:themeColor="text1"/>
        </w:rPr>
        <w:t>：</w:t>
      </w:r>
    </w:p>
    <w:p w:rsidR="0004669D" w:rsidRPr="00AD3298" w:rsidRDefault="0004669D" w:rsidP="0004669D">
      <w:pPr>
        <w:pStyle w:val="4"/>
        <w:rPr>
          <w:color w:val="000000" w:themeColor="text1"/>
        </w:rPr>
      </w:pPr>
      <w:r w:rsidRPr="00AD3298">
        <w:rPr>
          <w:rFonts w:hint="eastAsia"/>
          <w:color w:val="000000" w:themeColor="text1"/>
        </w:rPr>
        <w:t>未準時到庭之入罪化：只要被告係有意識地違反到庭通知或命令而不到庭，即滿足</w:t>
      </w:r>
      <w:r w:rsidRPr="00AD3298">
        <w:rPr>
          <w:rFonts w:hAnsi="標楷體" w:hint="eastAsia"/>
          <w:color w:val="000000" w:themeColor="text1"/>
        </w:rPr>
        <w:t>「有意</w:t>
      </w:r>
      <w:proofErr w:type="gramStart"/>
      <w:r w:rsidRPr="00AD3298">
        <w:rPr>
          <w:rFonts w:hAnsi="標楷體" w:hint="eastAsia"/>
          <w:color w:val="000000" w:themeColor="text1"/>
        </w:rPr>
        <w:t>不到庭罪</w:t>
      </w:r>
      <w:proofErr w:type="gramEnd"/>
      <w:r w:rsidRPr="00AD3298">
        <w:rPr>
          <w:rFonts w:hAnsi="標楷體" w:hint="eastAsia"/>
          <w:color w:val="000000" w:themeColor="text1"/>
        </w:rPr>
        <w:t>」(willfully fail to appear)之主觀構成要件，目前美國聯邦與大部分州的</w:t>
      </w:r>
      <w:proofErr w:type="gramStart"/>
      <w:r w:rsidRPr="00AD3298">
        <w:rPr>
          <w:rFonts w:hAnsi="標楷體" w:hint="eastAsia"/>
          <w:color w:val="000000" w:themeColor="text1"/>
        </w:rPr>
        <w:t>法律均已明文</w:t>
      </w:r>
      <w:proofErr w:type="gramEnd"/>
      <w:r w:rsidRPr="00AD3298">
        <w:rPr>
          <w:rFonts w:hAnsi="標楷體" w:hint="eastAsia"/>
          <w:color w:val="000000" w:themeColor="text1"/>
        </w:rPr>
        <w:t>該法之處罰，而顯著提高被告之出庭比率。</w:t>
      </w:r>
    </w:p>
    <w:p w:rsidR="0004669D" w:rsidRPr="00AD3298" w:rsidRDefault="0004669D" w:rsidP="00570F43">
      <w:pPr>
        <w:pStyle w:val="4"/>
        <w:rPr>
          <w:color w:val="000000" w:themeColor="text1"/>
        </w:rPr>
      </w:pPr>
      <w:r w:rsidRPr="00AD3298">
        <w:rPr>
          <w:rFonts w:hint="eastAsia"/>
          <w:color w:val="000000" w:themeColor="text1"/>
        </w:rPr>
        <w:t>違反保釋條件之入罪化：</w:t>
      </w:r>
      <w:r w:rsidR="00570F43" w:rsidRPr="00AD3298">
        <w:rPr>
          <w:rFonts w:hint="eastAsia"/>
          <w:color w:val="000000" w:themeColor="text1"/>
        </w:rPr>
        <w:t>我國刑事訴訟法第116</w:t>
      </w:r>
      <w:r w:rsidR="0088653D">
        <w:rPr>
          <w:rFonts w:hint="eastAsia"/>
          <w:color w:val="000000" w:themeColor="text1"/>
        </w:rPr>
        <w:t>條</w:t>
      </w:r>
      <w:r w:rsidR="00EC78C4" w:rsidRPr="00AD3298">
        <w:rPr>
          <w:rFonts w:hint="eastAsia"/>
          <w:color w:val="000000" w:themeColor="text1"/>
        </w:rPr>
        <w:t>之2</w:t>
      </w:r>
      <w:r w:rsidR="00570F43" w:rsidRPr="00AD3298">
        <w:rPr>
          <w:rFonts w:hAnsi="標楷體" w:hint="eastAsia"/>
          <w:color w:val="000000" w:themeColor="text1"/>
        </w:rPr>
        <w:t>：「法院許可停止羈押時，得命被告應遵守下列事項：一、定期向法院或檢察官報到。二、不得對被害人、證人、鑑定人、辦理本案偵查、審判之公務員或其配偶、直系血親、</w:t>
      </w:r>
      <w:r w:rsidR="00800744">
        <w:rPr>
          <w:rFonts w:hAnsi="標楷體" w:hint="eastAsia"/>
          <w:color w:val="000000" w:themeColor="text1"/>
        </w:rPr>
        <w:t>3</w:t>
      </w:r>
      <w:r w:rsidR="00570F43" w:rsidRPr="00AD3298">
        <w:rPr>
          <w:rFonts w:hAnsi="標楷體" w:hint="eastAsia"/>
          <w:color w:val="000000" w:themeColor="text1"/>
        </w:rPr>
        <w:t>親等內之旁系血親、</w:t>
      </w:r>
      <w:r w:rsidR="00800744">
        <w:rPr>
          <w:rFonts w:hAnsi="標楷體" w:hint="eastAsia"/>
          <w:color w:val="000000" w:themeColor="text1"/>
        </w:rPr>
        <w:t>2</w:t>
      </w:r>
      <w:r w:rsidR="00570F43" w:rsidRPr="00AD3298">
        <w:rPr>
          <w:rFonts w:hAnsi="標楷體" w:hint="eastAsia"/>
          <w:color w:val="000000" w:themeColor="text1"/>
        </w:rPr>
        <w:t>親等內之姻親、家長、家屬之身體或財產實施危害或恐嚇之行為。三、因第</w:t>
      </w:r>
      <w:r w:rsidR="00C32CAF">
        <w:rPr>
          <w:rFonts w:hAnsi="標楷體" w:hint="eastAsia"/>
          <w:color w:val="000000" w:themeColor="text1"/>
        </w:rPr>
        <w:t>114</w:t>
      </w:r>
      <w:r w:rsidR="00570F43" w:rsidRPr="00AD3298">
        <w:rPr>
          <w:rFonts w:hAnsi="標楷體" w:hint="eastAsia"/>
          <w:color w:val="000000" w:themeColor="text1"/>
        </w:rPr>
        <w:t>條第</w:t>
      </w:r>
      <w:r w:rsidR="00C32CAF">
        <w:rPr>
          <w:rFonts w:hAnsi="標楷體" w:hint="eastAsia"/>
          <w:color w:val="000000" w:themeColor="text1"/>
        </w:rPr>
        <w:t>3</w:t>
      </w:r>
      <w:r w:rsidR="00570F43" w:rsidRPr="00AD3298">
        <w:rPr>
          <w:rFonts w:hAnsi="標楷體" w:hint="eastAsia"/>
          <w:color w:val="000000" w:themeColor="text1"/>
        </w:rPr>
        <w:t>款之情形停止羈押者，除維持日常生活及職業所必需者外，未經法院或檢察官許可，不得從事與治療目的顯然無關之活動。四、其他經法院認為適當之事項。」倘被告違反保釋條件時，</w:t>
      </w:r>
      <w:proofErr w:type="gramStart"/>
      <w:r w:rsidR="00570F43" w:rsidRPr="00AD3298">
        <w:rPr>
          <w:rFonts w:hAnsi="標楷體" w:hint="eastAsia"/>
          <w:color w:val="000000" w:themeColor="text1"/>
        </w:rPr>
        <w:t>僅生同</w:t>
      </w:r>
      <w:proofErr w:type="gramEnd"/>
      <w:r w:rsidR="00570F43" w:rsidRPr="00AD3298">
        <w:rPr>
          <w:rFonts w:hAnsi="標楷體" w:hint="eastAsia"/>
          <w:color w:val="000000" w:themeColor="text1"/>
        </w:rPr>
        <w:t>法第117條再執行羈押之效果，因未更予被告</w:t>
      </w:r>
      <w:proofErr w:type="gramStart"/>
      <w:r w:rsidR="00570F43" w:rsidRPr="00AD3298">
        <w:rPr>
          <w:rFonts w:hAnsi="標楷體" w:hint="eastAsia"/>
          <w:color w:val="000000" w:themeColor="text1"/>
        </w:rPr>
        <w:t>不</w:t>
      </w:r>
      <w:proofErr w:type="gramEnd"/>
      <w:r w:rsidR="00570F43" w:rsidRPr="00AD3298">
        <w:rPr>
          <w:rFonts w:hAnsi="標楷體" w:hint="eastAsia"/>
          <w:color w:val="000000" w:themeColor="text1"/>
        </w:rPr>
        <w:t>利益，是否足已有效促使被告遵守保釋條件，而達保釋目的</w:t>
      </w:r>
      <w:r w:rsidR="00710DE7" w:rsidRPr="00AD3298">
        <w:rPr>
          <w:rFonts w:hAnsi="標楷體" w:hint="eastAsia"/>
          <w:color w:val="000000" w:themeColor="text1"/>
        </w:rPr>
        <w:t>，恐有疑義。於美國聯邦刑事法典針對違反保釋條件之情形，明文訂</w:t>
      </w:r>
      <w:proofErr w:type="gramStart"/>
      <w:r w:rsidR="00710DE7" w:rsidRPr="00AD3298">
        <w:rPr>
          <w:rFonts w:hAnsi="標楷體" w:hint="eastAsia"/>
          <w:color w:val="000000" w:themeColor="text1"/>
        </w:rPr>
        <w:t>有再</w:t>
      </w:r>
      <w:r w:rsidR="00570F43" w:rsidRPr="00AD3298">
        <w:rPr>
          <w:rFonts w:hAnsi="標楷體" w:hint="eastAsia"/>
          <w:color w:val="000000" w:themeColor="text1"/>
        </w:rPr>
        <w:t>刑羈押</w:t>
      </w:r>
      <w:proofErr w:type="gramEnd"/>
      <w:r w:rsidR="00570F43" w:rsidRPr="00AD3298">
        <w:rPr>
          <w:rFonts w:hAnsi="標楷體" w:hint="eastAsia"/>
          <w:color w:val="000000" w:themeColor="text1"/>
        </w:rPr>
        <w:t>與藐視法庭罪等法律效果，因此，法官得在被告違反保釋條件時，以觸犯美國聯邦刑</w:t>
      </w:r>
      <w:r w:rsidR="00AA41FA">
        <w:rPr>
          <w:rFonts w:hAnsi="標楷體" w:hint="eastAsia"/>
          <w:color w:val="000000" w:themeColor="text1"/>
        </w:rPr>
        <w:t>事</w:t>
      </w:r>
      <w:r w:rsidR="00570F43" w:rsidRPr="00AD3298">
        <w:rPr>
          <w:rFonts w:hAnsi="標楷體" w:hint="eastAsia"/>
          <w:color w:val="000000" w:themeColor="text1"/>
        </w:rPr>
        <w:t>法典第401節(3)</w:t>
      </w:r>
      <w:r w:rsidR="00CA59CD">
        <w:rPr>
          <w:rStyle w:val="aff"/>
          <w:rFonts w:hAnsi="標楷體"/>
          <w:color w:val="000000" w:themeColor="text1"/>
        </w:rPr>
        <w:footnoteReference w:id="21"/>
      </w:r>
      <w:r w:rsidR="00570F43" w:rsidRPr="00AD3298">
        <w:rPr>
          <w:rFonts w:hAnsi="標楷體" w:hint="eastAsia"/>
          <w:color w:val="000000" w:themeColor="text1"/>
        </w:rPr>
        <w:t>之規定為由，予以刑事處罰。</w:t>
      </w:r>
    </w:p>
    <w:p w:rsidR="00570F43" w:rsidRPr="00654C81" w:rsidRDefault="00570F43" w:rsidP="00570F43">
      <w:pPr>
        <w:pStyle w:val="3"/>
        <w:numPr>
          <w:ilvl w:val="0"/>
          <w:numId w:val="0"/>
        </w:numPr>
        <w:ind w:left="1361"/>
      </w:pPr>
      <w:r w:rsidRPr="00AD3298">
        <w:rPr>
          <w:rFonts w:hint="eastAsia"/>
          <w:color w:val="000000" w:themeColor="text1"/>
        </w:rPr>
        <w:lastRenderedPageBreak/>
        <w:t xml:space="preserve">    </w:t>
      </w:r>
      <w:proofErr w:type="gramStart"/>
      <w:r w:rsidRPr="00AD3298">
        <w:rPr>
          <w:rFonts w:hint="eastAsia"/>
          <w:color w:val="000000" w:themeColor="text1"/>
        </w:rPr>
        <w:t>透過該棄保</w:t>
      </w:r>
      <w:proofErr w:type="gramEnd"/>
      <w:r w:rsidRPr="00AD3298">
        <w:rPr>
          <w:rFonts w:hint="eastAsia"/>
          <w:color w:val="000000" w:themeColor="text1"/>
        </w:rPr>
        <w:t>潛逃法制之制裁，增加被告逃逸之成本，間接降低被告逃逸之誘因，上述美國防逃機制</w:t>
      </w:r>
      <w:r w:rsidR="008053BF" w:rsidRPr="00AD3298">
        <w:rPr>
          <w:rFonts w:hint="eastAsia"/>
          <w:color w:val="000000" w:themeColor="text1"/>
        </w:rPr>
        <w:t>，似可作為我國</w:t>
      </w:r>
      <w:r w:rsidR="00BD09D9">
        <w:rPr>
          <w:rFonts w:hint="eastAsia"/>
          <w:color w:val="000000" w:themeColor="text1"/>
        </w:rPr>
        <w:t>司法</w:t>
      </w:r>
      <w:r w:rsidR="008053BF" w:rsidRPr="00AD3298">
        <w:rPr>
          <w:rFonts w:hint="eastAsia"/>
          <w:color w:val="000000" w:themeColor="text1"/>
        </w:rPr>
        <w:t>防逃機制改善之借鏡。</w:t>
      </w:r>
    </w:p>
    <w:p w:rsidR="00AD3298" w:rsidRPr="00AD3298" w:rsidRDefault="008053BF">
      <w:pPr>
        <w:pStyle w:val="3"/>
      </w:pPr>
      <w:r>
        <w:rPr>
          <w:rFonts w:hint="eastAsia"/>
        </w:rPr>
        <w:t>綜上，</w:t>
      </w:r>
      <w:r w:rsidR="00A229CE" w:rsidRPr="00A229CE">
        <w:rPr>
          <w:rFonts w:hint="eastAsia"/>
        </w:rPr>
        <w:t>107年間除慶富造船股份有限公司副董事長陳偉志逃逸外，亦發生偽造降血</w:t>
      </w:r>
      <w:proofErr w:type="gramStart"/>
      <w:r w:rsidR="00A229CE" w:rsidRPr="00A229CE">
        <w:rPr>
          <w:rFonts w:hint="eastAsia"/>
        </w:rPr>
        <w:t>脂藥「冠脂妥</w:t>
      </w:r>
      <w:proofErr w:type="gramEnd"/>
      <w:r w:rsidR="00A229CE" w:rsidRPr="00A229CE">
        <w:rPr>
          <w:rFonts w:hint="eastAsia"/>
        </w:rPr>
        <w:t>」主嫌潘駿達逃逸案，該案與本案相似之處皆於開庭審理時，方發現被告逃逸，</w:t>
      </w:r>
      <w:r w:rsidR="00136252">
        <w:rPr>
          <w:rFonts w:hint="eastAsia"/>
        </w:rPr>
        <w:t>顯見我國防逃機制確有空窗。</w:t>
      </w:r>
      <w:r w:rsidR="00A229CE" w:rsidRPr="00A229CE">
        <w:rPr>
          <w:rFonts w:hint="eastAsia"/>
        </w:rPr>
        <w:t>然司法院及法務部未就偵</w:t>
      </w:r>
      <w:r w:rsidR="00136252">
        <w:rPr>
          <w:rFonts w:hint="eastAsia"/>
        </w:rPr>
        <w:t>查及審理期間棄保潛逃被告之相關統計數據予以統計，恐無法對症下藥。</w:t>
      </w:r>
      <w:proofErr w:type="gramStart"/>
      <w:r w:rsidR="00A229CE" w:rsidRPr="00A229CE">
        <w:rPr>
          <w:rFonts w:hint="eastAsia"/>
        </w:rPr>
        <w:t>另防杜</w:t>
      </w:r>
      <w:proofErr w:type="gramEnd"/>
      <w:r w:rsidR="00A229CE" w:rsidRPr="00A229CE">
        <w:rPr>
          <w:rFonts w:hint="eastAsia"/>
        </w:rPr>
        <w:t>刑事被告逃逸，實為偵查與審理階段皆須重視之課題，</w:t>
      </w:r>
      <w:proofErr w:type="gramStart"/>
      <w:r w:rsidR="00A229CE" w:rsidRPr="00A229CE">
        <w:rPr>
          <w:rFonts w:hint="eastAsia"/>
        </w:rPr>
        <w:t>倘於刑事</w:t>
      </w:r>
      <w:proofErr w:type="gramEnd"/>
      <w:r w:rsidR="00A229CE" w:rsidRPr="00A229CE">
        <w:rPr>
          <w:rFonts w:hint="eastAsia"/>
        </w:rPr>
        <w:t>程序中之任一階段產生防逃漏洞，皆發生人犯行蹤之</w:t>
      </w:r>
      <w:proofErr w:type="gramStart"/>
      <w:r w:rsidR="00A229CE" w:rsidRPr="00A229CE">
        <w:rPr>
          <w:rFonts w:hint="eastAsia"/>
        </w:rPr>
        <w:t>掌握與究責</w:t>
      </w:r>
      <w:proofErr w:type="gramEnd"/>
      <w:r w:rsidR="00A229CE" w:rsidRPr="00A229CE">
        <w:rPr>
          <w:rFonts w:hint="eastAsia"/>
        </w:rPr>
        <w:t>之困難，防範刑事被告於刑事程序中逃逸，絕非單一機關之責，司法院與法務部允應共同重視</w:t>
      </w:r>
      <w:r w:rsidR="00136252">
        <w:rPr>
          <w:rFonts w:hint="eastAsia"/>
        </w:rPr>
        <w:t>防</w:t>
      </w:r>
      <w:proofErr w:type="gramStart"/>
      <w:r w:rsidR="00136252">
        <w:rPr>
          <w:rFonts w:hint="eastAsia"/>
        </w:rPr>
        <w:t>逃空窗期</w:t>
      </w:r>
      <w:proofErr w:type="gramEnd"/>
      <w:r w:rsidR="00136252">
        <w:rPr>
          <w:rFonts w:hint="eastAsia"/>
        </w:rPr>
        <w:t>之漏洞，改善防逃機制，而非</w:t>
      </w:r>
      <w:proofErr w:type="gramStart"/>
      <w:r w:rsidR="00136252">
        <w:rPr>
          <w:rFonts w:hint="eastAsia"/>
        </w:rPr>
        <w:t>囿</w:t>
      </w:r>
      <w:proofErr w:type="gramEnd"/>
      <w:r w:rsidR="00136252">
        <w:rPr>
          <w:rFonts w:hint="eastAsia"/>
        </w:rPr>
        <w:t>於本位主義，</w:t>
      </w:r>
      <w:proofErr w:type="gramStart"/>
      <w:r w:rsidR="00136252">
        <w:rPr>
          <w:rFonts w:hint="eastAsia"/>
        </w:rPr>
        <w:t>致喪防</w:t>
      </w:r>
      <w:proofErr w:type="gramEnd"/>
      <w:r w:rsidR="00136252">
        <w:rPr>
          <w:rFonts w:hint="eastAsia"/>
        </w:rPr>
        <w:t>逃先機。</w:t>
      </w:r>
      <w:proofErr w:type="gramStart"/>
      <w:r w:rsidR="00A229CE" w:rsidRPr="00A229CE">
        <w:rPr>
          <w:rFonts w:hint="eastAsia"/>
        </w:rPr>
        <w:t>另觀我國</w:t>
      </w:r>
      <w:proofErr w:type="gramEnd"/>
      <w:r w:rsidR="00A229CE" w:rsidRPr="00A229CE">
        <w:rPr>
          <w:rFonts w:hint="eastAsia"/>
        </w:rPr>
        <w:t>法制</w:t>
      </w:r>
      <w:r w:rsidR="00136252">
        <w:rPr>
          <w:rFonts w:hint="eastAsia"/>
        </w:rPr>
        <w:t>對於逃逸</w:t>
      </w:r>
      <w:proofErr w:type="gramStart"/>
      <w:r w:rsidR="00136252">
        <w:rPr>
          <w:rFonts w:hint="eastAsia"/>
        </w:rPr>
        <w:t>被告僅生保證</w:t>
      </w:r>
      <w:proofErr w:type="gramEnd"/>
      <w:r w:rsidR="00136252">
        <w:rPr>
          <w:rFonts w:hint="eastAsia"/>
        </w:rPr>
        <w:t>金額沒收之制裁，未增其因逃逸而生之</w:t>
      </w:r>
      <w:proofErr w:type="gramStart"/>
      <w:r w:rsidR="00136252">
        <w:rPr>
          <w:rFonts w:hint="eastAsia"/>
        </w:rPr>
        <w:t>不</w:t>
      </w:r>
      <w:proofErr w:type="gramEnd"/>
      <w:r w:rsidR="00136252">
        <w:rPr>
          <w:rFonts w:hint="eastAsia"/>
        </w:rPr>
        <w:t>利益，</w:t>
      </w:r>
      <w:proofErr w:type="gramStart"/>
      <w:r w:rsidR="00136252">
        <w:rPr>
          <w:rFonts w:hint="eastAsia"/>
        </w:rPr>
        <w:t>難生嚇阻</w:t>
      </w:r>
      <w:proofErr w:type="gramEnd"/>
      <w:r w:rsidR="00136252">
        <w:rPr>
          <w:rFonts w:hint="eastAsia"/>
        </w:rPr>
        <w:t>逃逸之效。</w:t>
      </w:r>
      <w:r w:rsidR="00A229CE" w:rsidRPr="00A229CE">
        <w:rPr>
          <w:rFonts w:hint="eastAsia"/>
        </w:rPr>
        <w:t>對此司法院及法務部允宜參考美國法制，</w:t>
      </w:r>
      <w:proofErr w:type="gramStart"/>
      <w:r w:rsidR="00A229CE" w:rsidRPr="00A229CE">
        <w:rPr>
          <w:rFonts w:hint="eastAsia"/>
        </w:rPr>
        <w:t>增列棄保</w:t>
      </w:r>
      <w:proofErr w:type="gramEnd"/>
      <w:r w:rsidR="00A229CE" w:rsidRPr="00A229CE">
        <w:rPr>
          <w:rFonts w:hint="eastAsia"/>
        </w:rPr>
        <w:t>潛逃之制裁效果，增加被告逃逸成本，間接降低被告逃逸之誘因，以提升我國司法訴追之效能。</w:t>
      </w:r>
    </w:p>
    <w:p w:rsidR="0078551E" w:rsidRPr="00EC724B" w:rsidRDefault="0094686A" w:rsidP="000F389F">
      <w:pPr>
        <w:pStyle w:val="2"/>
        <w:rPr>
          <w:b/>
        </w:rPr>
      </w:pPr>
      <w:r>
        <w:rPr>
          <w:rFonts w:hint="eastAsia"/>
          <w:b/>
        </w:rPr>
        <w:t>現行</w:t>
      </w:r>
      <w:r w:rsidR="007A2096" w:rsidRPr="00EC724B">
        <w:rPr>
          <w:rFonts w:hint="eastAsia"/>
          <w:b/>
        </w:rPr>
        <w:t>刑事訴訟法</w:t>
      </w:r>
      <w:r>
        <w:rPr>
          <w:rFonts w:hint="eastAsia"/>
          <w:b/>
        </w:rPr>
        <w:t>中</w:t>
      </w:r>
      <w:r w:rsidR="00AD3298">
        <w:rPr>
          <w:rFonts w:hint="eastAsia"/>
          <w:b/>
        </w:rPr>
        <w:t>明定之羈押替代處分</w:t>
      </w:r>
      <w:r w:rsidR="007A2096" w:rsidRPr="00EC724B">
        <w:rPr>
          <w:rFonts w:hint="eastAsia"/>
          <w:b/>
        </w:rPr>
        <w:t>分別為具保、責付及限制住居，</w:t>
      </w:r>
      <w:r w:rsidR="00904F01">
        <w:rPr>
          <w:rFonts w:hint="eastAsia"/>
          <w:b/>
        </w:rPr>
        <w:t>而限制住居常須</w:t>
      </w:r>
      <w:r w:rsidR="00904F01" w:rsidRPr="00EC724B">
        <w:rPr>
          <w:rFonts w:hint="eastAsia"/>
          <w:b/>
        </w:rPr>
        <w:t>配合出境、出海</w:t>
      </w:r>
      <w:r w:rsidR="00904F01">
        <w:rPr>
          <w:rFonts w:hint="eastAsia"/>
          <w:b/>
        </w:rPr>
        <w:t>，</w:t>
      </w:r>
      <w:proofErr w:type="gramStart"/>
      <w:r w:rsidR="00904F01">
        <w:rPr>
          <w:rFonts w:hint="eastAsia"/>
          <w:b/>
        </w:rPr>
        <w:t>方生防逃</w:t>
      </w:r>
      <w:proofErr w:type="gramEnd"/>
      <w:r w:rsidR="00904F01">
        <w:rPr>
          <w:rFonts w:hint="eastAsia"/>
          <w:b/>
        </w:rPr>
        <w:t>實效，</w:t>
      </w:r>
      <w:r w:rsidR="007A2096" w:rsidRPr="00EC724B">
        <w:rPr>
          <w:rFonts w:hint="eastAsia"/>
          <w:b/>
        </w:rPr>
        <w:t>本案被告陳偉志於</w:t>
      </w:r>
      <w:proofErr w:type="gramStart"/>
      <w:r w:rsidR="007A2096" w:rsidRPr="00EC724B">
        <w:rPr>
          <w:rFonts w:hint="eastAsia"/>
          <w:b/>
        </w:rPr>
        <w:t>具保後</w:t>
      </w:r>
      <w:proofErr w:type="gramEnd"/>
      <w:r w:rsidR="007A2096" w:rsidRPr="00EC724B">
        <w:rPr>
          <w:rFonts w:hint="eastAsia"/>
          <w:b/>
        </w:rPr>
        <w:t>，</w:t>
      </w:r>
      <w:r w:rsidR="00904F01">
        <w:rPr>
          <w:rFonts w:hint="eastAsia"/>
          <w:b/>
        </w:rPr>
        <w:t>即</w:t>
      </w:r>
      <w:r w:rsidR="007A2096" w:rsidRPr="00EC724B">
        <w:rPr>
          <w:rFonts w:hint="eastAsia"/>
          <w:b/>
        </w:rPr>
        <w:t>受檢方</w:t>
      </w:r>
      <w:r w:rsidR="003D2CEE" w:rsidRPr="00EC724B">
        <w:rPr>
          <w:rFonts w:hint="eastAsia"/>
          <w:b/>
        </w:rPr>
        <w:t>命限制住居、出境及出海</w:t>
      </w:r>
      <w:r w:rsidR="007A2096" w:rsidRPr="00EC724B">
        <w:rPr>
          <w:rFonts w:hint="eastAsia"/>
          <w:b/>
        </w:rPr>
        <w:t>之處分</w:t>
      </w:r>
      <w:r w:rsidR="00904F01">
        <w:rPr>
          <w:rFonts w:hint="eastAsia"/>
          <w:b/>
        </w:rPr>
        <w:t>。</w:t>
      </w:r>
      <w:r w:rsidR="000B6427">
        <w:rPr>
          <w:rFonts w:hint="eastAsia"/>
          <w:b/>
        </w:rPr>
        <w:t>惟</w:t>
      </w:r>
      <w:r w:rsidR="007A2096" w:rsidRPr="00EC724B">
        <w:rPr>
          <w:rFonts w:hint="eastAsia"/>
          <w:b/>
        </w:rPr>
        <w:t>後兩者</w:t>
      </w:r>
      <w:r>
        <w:rPr>
          <w:rFonts w:hint="eastAsia"/>
          <w:b/>
        </w:rPr>
        <w:t>之處分皆</w:t>
      </w:r>
      <w:r>
        <w:rPr>
          <w:rFonts w:hint="eastAsia"/>
          <w:b/>
        </w:rPr>
        <w:lastRenderedPageBreak/>
        <w:t>未明定於刑事訴訟法</w:t>
      </w:r>
      <w:r w:rsidR="00EC724B" w:rsidRPr="00EC724B">
        <w:rPr>
          <w:rFonts w:hint="eastAsia"/>
          <w:b/>
        </w:rPr>
        <w:t>，</w:t>
      </w:r>
      <w:r w:rsidR="00904F01">
        <w:rPr>
          <w:rFonts w:hint="eastAsia"/>
          <w:b/>
        </w:rPr>
        <w:t>卻</w:t>
      </w:r>
      <w:r>
        <w:rPr>
          <w:rFonts w:hint="eastAsia"/>
          <w:b/>
        </w:rPr>
        <w:t>對於</w:t>
      </w:r>
      <w:r w:rsidR="00B65C55">
        <w:rPr>
          <w:rFonts w:hint="eastAsia"/>
          <w:b/>
        </w:rPr>
        <w:t>人</w:t>
      </w:r>
      <w:r w:rsidR="000B6427">
        <w:rPr>
          <w:rFonts w:hint="eastAsia"/>
          <w:b/>
        </w:rPr>
        <w:t>身自由</w:t>
      </w:r>
      <w:r w:rsidR="00B65C55">
        <w:rPr>
          <w:rFonts w:hint="eastAsia"/>
          <w:b/>
        </w:rPr>
        <w:t>之限制</w:t>
      </w:r>
      <w:r>
        <w:rPr>
          <w:rFonts w:hint="eastAsia"/>
          <w:b/>
        </w:rPr>
        <w:t>更廣，</w:t>
      </w:r>
      <w:r w:rsidR="00694289">
        <w:rPr>
          <w:rFonts w:hint="eastAsia"/>
          <w:b/>
        </w:rPr>
        <w:t>甚而涉及人民之遷徙自由，倘無法律明文規定，恐有違法律保留原</w:t>
      </w:r>
      <w:r w:rsidR="000B6427">
        <w:rPr>
          <w:rFonts w:hint="eastAsia"/>
          <w:b/>
        </w:rPr>
        <w:t>則</w:t>
      </w:r>
      <w:r w:rsidR="00904F01">
        <w:rPr>
          <w:rFonts w:hint="eastAsia"/>
          <w:b/>
        </w:rPr>
        <w:t>。</w:t>
      </w:r>
      <w:r w:rsidR="000B6427">
        <w:rPr>
          <w:rFonts w:hint="eastAsia"/>
          <w:b/>
        </w:rPr>
        <w:t>另</w:t>
      </w:r>
      <w:r w:rsidR="003D2CEE" w:rsidRPr="00EC724B">
        <w:rPr>
          <w:rFonts w:hint="eastAsia"/>
          <w:b/>
        </w:rPr>
        <w:t>限制住居</w:t>
      </w:r>
      <w:r>
        <w:rPr>
          <w:rFonts w:hint="eastAsia"/>
          <w:b/>
        </w:rPr>
        <w:t>所生之</w:t>
      </w:r>
      <w:r w:rsidR="00117B39">
        <w:rPr>
          <w:rFonts w:hint="eastAsia"/>
          <w:b/>
        </w:rPr>
        <w:t>防逃</w:t>
      </w:r>
      <w:r w:rsidR="00694289">
        <w:rPr>
          <w:rFonts w:hint="eastAsia"/>
          <w:b/>
        </w:rPr>
        <w:t>效果薄弱，</w:t>
      </w:r>
      <w:r>
        <w:rPr>
          <w:rFonts w:hint="eastAsia"/>
          <w:b/>
        </w:rPr>
        <w:t>司法院及法務部允應考量修正或補充限制住居之規範</w:t>
      </w:r>
      <w:r w:rsidR="00117B39">
        <w:rPr>
          <w:rFonts w:hint="eastAsia"/>
          <w:b/>
        </w:rPr>
        <w:t>，以符實需</w:t>
      </w:r>
      <w:r w:rsidR="00904F01">
        <w:rPr>
          <w:rFonts w:hint="eastAsia"/>
          <w:b/>
        </w:rPr>
        <w:t>。</w:t>
      </w:r>
      <w:r>
        <w:rPr>
          <w:rFonts w:hint="eastAsia"/>
          <w:b/>
        </w:rPr>
        <w:t>本案</w:t>
      </w:r>
      <w:r w:rsidR="003D2CEE" w:rsidRPr="00EC724B">
        <w:rPr>
          <w:rFonts w:hint="eastAsia"/>
          <w:b/>
        </w:rPr>
        <w:t>陳偉志於107年3月26日</w:t>
      </w:r>
      <w:r>
        <w:rPr>
          <w:rFonts w:hint="eastAsia"/>
          <w:b/>
        </w:rPr>
        <w:t>向法院聲請</w:t>
      </w:r>
      <w:r w:rsidR="003D2CEE" w:rsidRPr="00EC724B">
        <w:rPr>
          <w:rFonts w:hint="eastAsia"/>
          <w:b/>
        </w:rPr>
        <w:t>變更住居所</w:t>
      </w:r>
      <w:r>
        <w:rPr>
          <w:rFonts w:hint="eastAsia"/>
          <w:b/>
        </w:rPr>
        <w:t>，高雄地院亦同意其聲請</w:t>
      </w:r>
      <w:r w:rsidR="00904F01">
        <w:rPr>
          <w:rFonts w:hint="eastAsia"/>
          <w:b/>
        </w:rPr>
        <w:t>。</w:t>
      </w:r>
      <w:r>
        <w:rPr>
          <w:rFonts w:hint="eastAsia"/>
          <w:b/>
        </w:rPr>
        <w:t>然被告若能隨意聲請</w:t>
      </w:r>
      <w:r w:rsidR="003D2CEE" w:rsidRPr="00EC724B">
        <w:rPr>
          <w:rFonts w:hint="eastAsia"/>
          <w:b/>
        </w:rPr>
        <w:t>變更住居所</w:t>
      </w:r>
      <w:r w:rsidR="00694289">
        <w:rPr>
          <w:rFonts w:hint="eastAsia"/>
          <w:b/>
        </w:rPr>
        <w:t>，恐</w:t>
      </w:r>
      <w:r>
        <w:rPr>
          <w:rFonts w:hint="eastAsia"/>
          <w:b/>
        </w:rPr>
        <w:t>未</w:t>
      </w:r>
      <w:r w:rsidR="000B6427">
        <w:rPr>
          <w:rFonts w:hint="eastAsia"/>
          <w:b/>
        </w:rPr>
        <w:t>能</w:t>
      </w:r>
      <w:r w:rsidR="00904F01">
        <w:rPr>
          <w:rFonts w:hint="eastAsia"/>
          <w:b/>
        </w:rPr>
        <w:t>達</w:t>
      </w:r>
      <w:r w:rsidR="000B6427">
        <w:rPr>
          <w:rFonts w:hint="eastAsia"/>
          <w:b/>
        </w:rPr>
        <w:t>被告限制住居之目的，</w:t>
      </w:r>
      <w:r w:rsidR="00E53CE6">
        <w:rPr>
          <w:rFonts w:hint="eastAsia"/>
          <w:b/>
        </w:rPr>
        <w:t>反</w:t>
      </w:r>
      <w:r w:rsidR="000B6427">
        <w:rPr>
          <w:rFonts w:hint="eastAsia"/>
          <w:b/>
        </w:rPr>
        <w:t>形成</w:t>
      </w:r>
      <w:r>
        <w:rPr>
          <w:rFonts w:hint="eastAsia"/>
          <w:b/>
        </w:rPr>
        <w:t>防逃漏洞</w:t>
      </w:r>
      <w:r w:rsidR="003D2CEE" w:rsidRPr="00EC724B">
        <w:rPr>
          <w:rFonts w:hint="eastAsia"/>
          <w:b/>
        </w:rPr>
        <w:t>，</w:t>
      </w:r>
      <w:proofErr w:type="gramStart"/>
      <w:r w:rsidR="003D2CEE" w:rsidRPr="00EC724B">
        <w:rPr>
          <w:rFonts w:hint="eastAsia"/>
          <w:b/>
        </w:rPr>
        <w:t>司法院</w:t>
      </w:r>
      <w:r>
        <w:rPr>
          <w:rFonts w:hint="eastAsia"/>
          <w:b/>
        </w:rPr>
        <w:t>允</w:t>
      </w:r>
      <w:r w:rsidR="00E53CE6">
        <w:rPr>
          <w:rFonts w:hint="eastAsia"/>
          <w:b/>
        </w:rPr>
        <w:t>宜</w:t>
      </w:r>
      <w:proofErr w:type="gramEnd"/>
      <w:r w:rsidR="003D2CEE" w:rsidRPr="00EC724B">
        <w:rPr>
          <w:rFonts w:hint="eastAsia"/>
          <w:b/>
        </w:rPr>
        <w:t>參酌</w:t>
      </w:r>
      <w:r w:rsidR="000F389F" w:rsidRPr="00EC724B">
        <w:rPr>
          <w:rFonts w:hint="eastAsia"/>
          <w:b/>
        </w:rPr>
        <w:t>「臺灣高等法院檢察署設置偵查經濟犯罪中心作業要點｣第</w:t>
      </w:r>
      <w:r w:rsidR="000F389F" w:rsidRPr="00EC724B">
        <w:rPr>
          <w:b/>
        </w:rPr>
        <w:t>6</w:t>
      </w:r>
      <w:r w:rsidR="000F389F" w:rsidRPr="00EC724B">
        <w:rPr>
          <w:rFonts w:hint="eastAsia"/>
          <w:b/>
        </w:rPr>
        <w:t>點第</w:t>
      </w:r>
      <w:r w:rsidR="000F389F" w:rsidRPr="00EC724B">
        <w:rPr>
          <w:b/>
        </w:rPr>
        <w:t>2</w:t>
      </w:r>
      <w:r w:rsidR="000F389F" w:rsidRPr="00EC724B">
        <w:rPr>
          <w:rFonts w:hint="eastAsia"/>
          <w:b/>
        </w:rPr>
        <w:t>款</w:t>
      </w:r>
      <w:r>
        <w:rPr>
          <w:rFonts w:hint="eastAsia"/>
          <w:b/>
        </w:rPr>
        <w:t>之規定，對於涉有重大經濟犯罪之被告</w:t>
      </w:r>
      <w:r w:rsidR="00904F01">
        <w:rPr>
          <w:rFonts w:hint="eastAsia"/>
          <w:b/>
        </w:rPr>
        <w:t>，</w:t>
      </w:r>
      <w:r>
        <w:rPr>
          <w:rFonts w:hint="eastAsia"/>
          <w:b/>
        </w:rPr>
        <w:t>於</w:t>
      </w:r>
      <w:r w:rsidR="000F389F" w:rsidRPr="00EC724B">
        <w:rPr>
          <w:rFonts w:hint="eastAsia"/>
          <w:b/>
        </w:rPr>
        <w:t>限制住居（含限制出</w:t>
      </w:r>
      <w:r w:rsidR="00694289">
        <w:rPr>
          <w:rFonts w:hint="eastAsia"/>
          <w:b/>
        </w:rPr>
        <w:t>境）</w:t>
      </w:r>
      <w:r w:rsidR="00904F01">
        <w:rPr>
          <w:rFonts w:hint="eastAsia"/>
          <w:b/>
        </w:rPr>
        <w:t>時</w:t>
      </w:r>
      <w:r w:rsidR="00694289">
        <w:rPr>
          <w:rFonts w:hint="eastAsia"/>
          <w:b/>
        </w:rPr>
        <w:t>，通知其戶籍所在地之戶政機關，在戶籍登記簿上</w:t>
      </w:r>
      <w:r w:rsidR="00904F01">
        <w:rPr>
          <w:rFonts w:hint="eastAsia"/>
          <w:b/>
        </w:rPr>
        <w:t>為</w:t>
      </w:r>
      <w:r w:rsidR="000F389F" w:rsidRPr="00EC724B">
        <w:rPr>
          <w:rFonts w:hint="eastAsia"/>
          <w:b/>
        </w:rPr>
        <w:t>不得受理其遷徙或變更姓名申請</w:t>
      </w:r>
      <w:r w:rsidR="00904F01">
        <w:rPr>
          <w:rFonts w:hint="eastAsia"/>
          <w:b/>
        </w:rPr>
        <w:t>之註記</w:t>
      </w:r>
      <w:r w:rsidR="000F389F" w:rsidRPr="00EC724B">
        <w:rPr>
          <w:rFonts w:hint="eastAsia"/>
          <w:b/>
        </w:rPr>
        <w:t>，</w:t>
      </w:r>
      <w:r w:rsidR="00EC724B" w:rsidRPr="00EC724B">
        <w:rPr>
          <w:rFonts w:hint="eastAsia"/>
          <w:b/>
        </w:rPr>
        <w:t>避免被告藉變更住居</w:t>
      </w:r>
      <w:r w:rsidR="00E53CE6">
        <w:rPr>
          <w:rFonts w:hint="eastAsia"/>
          <w:b/>
        </w:rPr>
        <w:t>所</w:t>
      </w:r>
      <w:r w:rsidR="00EC724B" w:rsidRPr="00EC724B">
        <w:rPr>
          <w:rFonts w:hint="eastAsia"/>
          <w:b/>
        </w:rPr>
        <w:t>之名，行逃逸之實</w:t>
      </w:r>
      <w:r w:rsidR="000F389F" w:rsidRPr="00EC724B">
        <w:rPr>
          <w:rFonts w:hint="eastAsia"/>
          <w:b/>
        </w:rPr>
        <w:t>。</w:t>
      </w:r>
    </w:p>
    <w:p w:rsidR="00522F72" w:rsidRDefault="00B31686" w:rsidP="00522F72">
      <w:pPr>
        <w:pStyle w:val="3"/>
      </w:pPr>
      <w:r>
        <w:rPr>
          <w:rFonts w:hint="eastAsia"/>
        </w:rPr>
        <w:t>刑事訴訟法第</w:t>
      </w:r>
      <w:r w:rsidR="00522F72">
        <w:rPr>
          <w:rFonts w:hint="eastAsia"/>
        </w:rPr>
        <w:t>93</w:t>
      </w:r>
      <w:r>
        <w:rPr>
          <w:rFonts w:hint="eastAsia"/>
        </w:rPr>
        <w:t>條第2項規定：</w:t>
      </w:r>
      <w:r w:rsidRPr="00B31686">
        <w:rPr>
          <w:rFonts w:hint="eastAsia"/>
        </w:rPr>
        <w:t>「前項情形，未經聲請者，檢察官應即將被告釋放。但如認有第</w:t>
      </w:r>
      <w:r w:rsidR="00C32CAF">
        <w:rPr>
          <w:rFonts w:hint="eastAsia"/>
        </w:rPr>
        <w:t>101</w:t>
      </w:r>
      <w:r w:rsidRPr="00B31686">
        <w:rPr>
          <w:rFonts w:hint="eastAsia"/>
        </w:rPr>
        <w:t>條第</w:t>
      </w:r>
      <w:r w:rsidR="00C32CAF">
        <w:rPr>
          <w:rFonts w:hint="eastAsia"/>
        </w:rPr>
        <w:t>1</w:t>
      </w:r>
      <w:r w:rsidRPr="00B31686">
        <w:rPr>
          <w:rFonts w:hint="eastAsia"/>
        </w:rPr>
        <w:t>項或第</w:t>
      </w:r>
      <w:r w:rsidR="00C32CAF">
        <w:rPr>
          <w:rFonts w:hint="eastAsia"/>
        </w:rPr>
        <w:t>101</w:t>
      </w:r>
      <w:r w:rsidRPr="00B31686">
        <w:rPr>
          <w:rFonts w:hint="eastAsia"/>
        </w:rPr>
        <w:t>條之</w:t>
      </w:r>
      <w:r w:rsidR="00C32CAF">
        <w:rPr>
          <w:rFonts w:hint="eastAsia"/>
        </w:rPr>
        <w:t>1</w:t>
      </w:r>
      <w:r w:rsidRPr="00B31686">
        <w:rPr>
          <w:rFonts w:hint="eastAsia"/>
        </w:rPr>
        <w:t>第</w:t>
      </w:r>
      <w:r w:rsidR="00C32CAF">
        <w:rPr>
          <w:rFonts w:hint="eastAsia"/>
        </w:rPr>
        <w:t>1</w:t>
      </w:r>
      <w:r w:rsidRPr="00B31686">
        <w:rPr>
          <w:rFonts w:hint="eastAsia"/>
        </w:rPr>
        <w:t>項各款所定情形之</w:t>
      </w:r>
      <w:proofErr w:type="gramStart"/>
      <w:r w:rsidRPr="00B31686">
        <w:rPr>
          <w:rFonts w:hint="eastAsia"/>
        </w:rPr>
        <w:t>一</w:t>
      </w:r>
      <w:proofErr w:type="gramEnd"/>
      <w:r w:rsidRPr="00B31686">
        <w:rPr>
          <w:rFonts w:hint="eastAsia"/>
        </w:rPr>
        <w:t>而無聲請羈押之必要者，得</w:t>
      </w:r>
      <w:proofErr w:type="gramStart"/>
      <w:r w:rsidRPr="00B31686">
        <w:rPr>
          <w:rFonts w:hint="eastAsia"/>
        </w:rPr>
        <w:t>逕</w:t>
      </w:r>
      <w:proofErr w:type="gramEnd"/>
      <w:r w:rsidRPr="00B31686">
        <w:rPr>
          <w:rFonts w:hint="eastAsia"/>
        </w:rPr>
        <w:t>命具保、責付或限制住居；如不能具保、責付或限制住居，而有必要情形者，仍得聲請法院羈押之。」另依</w:t>
      </w:r>
      <w:r>
        <w:rPr>
          <w:rFonts w:hint="eastAsia"/>
        </w:rPr>
        <w:t>同法第101</w:t>
      </w:r>
      <w:r w:rsidR="0088653D">
        <w:rPr>
          <w:rFonts w:hint="eastAsia"/>
        </w:rPr>
        <w:t>條</w:t>
      </w:r>
      <w:r w:rsidR="00522F72">
        <w:rPr>
          <w:rFonts w:hint="eastAsia"/>
        </w:rPr>
        <w:t>之2</w:t>
      </w:r>
      <w:r>
        <w:rPr>
          <w:rFonts w:hint="eastAsia"/>
        </w:rPr>
        <w:t>規定：「</w:t>
      </w:r>
      <w:r w:rsidR="00522F72" w:rsidRPr="00522F72">
        <w:rPr>
          <w:rFonts w:hAnsi="標楷體" w:hint="eastAsia"/>
        </w:rPr>
        <w:t>被告經法官訊問後，雖有第</w:t>
      </w:r>
      <w:r w:rsidR="00C32CAF">
        <w:rPr>
          <w:rFonts w:hAnsi="標楷體" w:hint="eastAsia"/>
        </w:rPr>
        <w:t>101</w:t>
      </w:r>
      <w:r w:rsidR="00522F72" w:rsidRPr="00522F72">
        <w:rPr>
          <w:rFonts w:hAnsi="標楷體" w:hint="eastAsia"/>
        </w:rPr>
        <w:t>條第</w:t>
      </w:r>
      <w:r w:rsidR="00C32CAF">
        <w:rPr>
          <w:rFonts w:hAnsi="標楷體" w:hint="eastAsia"/>
        </w:rPr>
        <w:t>1</w:t>
      </w:r>
      <w:r w:rsidR="00522F72" w:rsidRPr="00522F72">
        <w:rPr>
          <w:rFonts w:hAnsi="標楷體" w:hint="eastAsia"/>
        </w:rPr>
        <w:t>項或第</w:t>
      </w:r>
      <w:r w:rsidR="00C32CAF">
        <w:rPr>
          <w:rFonts w:hAnsi="標楷體" w:hint="eastAsia"/>
        </w:rPr>
        <w:t>101</w:t>
      </w:r>
      <w:r w:rsidR="00522F72" w:rsidRPr="00522F72">
        <w:rPr>
          <w:rFonts w:hAnsi="標楷體" w:hint="eastAsia"/>
        </w:rPr>
        <w:t>條之</w:t>
      </w:r>
      <w:r w:rsidR="00C32CAF">
        <w:rPr>
          <w:rFonts w:hAnsi="標楷體" w:hint="eastAsia"/>
        </w:rPr>
        <w:t>1</w:t>
      </w:r>
      <w:r w:rsidR="00522F72" w:rsidRPr="00522F72">
        <w:rPr>
          <w:rFonts w:hAnsi="標楷體" w:hint="eastAsia"/>
        </w:rPr>
        <w:t>第</w:t>
      </w:r>
      <w:r w:rsidR="00C32CAF">
        <w:rPr>
          <w:rFonts w:hAnsi="標楷體" w:hint="eastAsia"/>
        </w:rPr>
        <w:t>1</w:t>
      </w:r>
      <w:r w:rsidR="00522F72" w:rsidRPr="00522F72">
        <w:rPr>
          <w:rFonts w:hAnsi="標楷體" w:hint="eastAsia"/>
        </w:rPr>
        <w:t>項各款所定情形之</w:t>
      </w:r>
      <w:proofErr w:type="gramStart"/>
      <w:r w:rsidR="00522F72" w:rsidRPr="00522F72">
        <w:rPr>
          <w:rFonts w:hAnsi="標楷體" w:hint="eastAsia"/>
        </w:rPr>
        <w:t>一</w:t>
      </w:r>
      <w:proofErr w:type="gramEnd"/>
      <w:r w:rsidR="00522F72" w:rsidRPr="00522F72">
        <w:rPr>
          <w:rFonts w:hAnsi="標楷體" w:hint="eastAsia"/>
        </w:rPr>
        <w:t>而無羈押之必要者，得</w:t>
      </w:r>
      <w:proofErr w:type="gramStart"/>
      <w:r w:rsidR="00522F72" w:rsidRPr="00522F72">
        <w:rPr>
          <w:rFonts w:hAnsi="標楷體" w:hint="eastAsia"/>
        </w:rPr>
        <w:t>逕</w:t>
      </w:r>
      <w:proofErr w:type="gramEnd"/>
      <w:r w:rsidR="00522F72" w:rsidRPr="00522F72">
        <w:rPr>
          <w:rFonts w:hAnsi="標楷體" w:hint="eastAsia"/>
        </w:rPr>
        <w:t>命具保、責付或限制住居；其有第</w:t>
      </w:r>
      <w:r w:rsidR="00C32CAF">
        <w:rPr>
          <w:rFonts w:hAnsi="標楷體" w:hint="eastAsia"/>
        </w:rPr>
        <w:t>114</w:t>
      </w:r>
      <w:r w:rsidR="00522F72" w:rsidRPr="00522F72">
        <w:rPr>
          <w:rFonts w:hAnsi="標楷體" w:hint="eastAsia"/>
        </w:rPr>
        <w:t>條各款所定情形之</w:t>
      </w:r>
      <w:proofErr w:type="gramStart"/>
      <w:r w:rsidR="00522F72" w:rsidRPr="00522F72">
        <w:rPr>
          <w:rFonts w:hAnsi="標楷體" w:hint="eastAsia"/>
        </w:rPr>
        <w:t>一</w:t>
      </w:r>
      <w:proofErr w:type="gramEnd"/>
      <w:r w:rsidR="00522F72" w:rsidRPr="00522F72">
        <w:rPr>
          <w:rFonts w:hAnsi="標楷體" w:hint="eastAsia"/>
        </w:rPr>
        <w:t>者，非有不能具保、責付或限制住居之情形，不得羈押。</w:t>
      </w:r>
      <w:r>
        <w:rPr>
          <w:rFonts w:hint="eastAsia"/>
        </w:rPr>
        <w:t>」可知，當刑事被告無羈押之必要時，其替代</w:t>
      </w:r>
      <w:r w:rsidR="00C00067">
        <w:rPr>
          <w:rFonts w:hint="eastAsia"/>
        </w:rPr>
        <w:t>羈押之處分</w:t>
      </w:r>
      <w:r>
        <w:rPr>
          <w:rFonts w:hint="eastAsia"/>
        </w:rPr>
        <w:t>分別有具保、責付或限制住居。</w:t>
      </w:r>
    </w:p>
    <w:p w:rsidR="00B31686" w:rsidRPr="000A772A" w:rsidRDefault="00904F01" w:rsidP="00522F72">
      <w:pPr>
        <w:pStyle w:val="3"/>
        <w:rPr>
          <w:color w:val="000000" w:themeColor="text1"/>
        </w:rPr>
      </w:pPr>
      <w:r>
        <w:rPr>
          <w:rFonts w:hint="eastAsia"/>
        </w:rPr>
        <w:t>查</w:t>
      </w:r>
      <w:r w:rsidR="00C00067">
        <w:rPr>
          <w:rFonts w:hint="eastAsia"/>
        </w:rPr>
        <w:t>本案</w:t>
      </w:r>
      <w:r w:rsidR="00B31686">
        <w:rPr>
          <w:rFonts w:hint="eastAsia"/>
        </w:rPr>
        <w:t>陳偉志於檢察官命交保及起訴</w:t>
      </w:r>
      <w:proofErr w:type="gramStart"/>
      <w:r w:rsidR="00B31686">
        <w:rPr>
          <w:rFonts w:hint="eastAsia"/>
        </w:rPr>
        <w:t>後均無羈押</w:t>
      </w:r>
      <w:proofErr w:type="gramEnd"/>
      <w:r w:rsidR="00B31686">
        <w:rPr>
          <w:rFonts w:hint="eastAsia"/>
        </w:rPr>
        <w:t>，而</w:t>
      </w:r>
      <w:r>
        <w:rPr>
          <w:rFonts w:hint="eastAsia"/>
        </w:rPr>
        <w:t>係限制其</w:t>
      </w:r>
      <w:r w:rsidR="00B31686">
        <w:rPr>
          <w:rFonts w:hint="eastAsia"/>
        </w:rPr>
        <w:t>住居</w:t>
      </w:r>
      <w:r w:rsidR="008243EF" w:rsidRPr="008243EF">
        <w:rPr>
          <w:rFonts w:hint="eastAsia"/>
        </w:rPr>
        <w:t>、出境、出海</w:t>
      </w:r>
      <w:r>
        <w:rPr>
          <w:rFonts w:hint="eastAsia"/>
        </w:rPr>
        <w:t>。</w:t>
      </w:r>
      <w:proofErr w:type="gramStart"/>
      <w:r w:rsidR="00C00067">
        <w:rPr>
          <w:rFonts w:hint="eastAsia"/>
        </w:rPr>
        <w:t>惟</w:t>
      </w:r>
      <w:proofErr w:type="gramEnd"/>
      <w:r w:rsidR="00C00067">
        <w:rPr>
          <w:rFonts w:hint="eastAsia"/>
        </w:rPr>
        <w:t>限制出境、出海之法律依據為何，有學者認為該授權依據應為刑事訴訟法第116</w:t>
      </w:r>
      <w:r w:rsidR="0088653D">
        <w:rPr>
          <w:rFonts w:hint="eastAsia"/>
        </w:rPr>
        <w:t>條</w:t>
      </w:r>
      <w:r w:rsidR="00C00067">
        <w:rPr>
          <w:rFonts w:hint="eastAsia"/>
        </w:rPr>
        <w:t>之2第4款</w:t>
      </w:r>
      <w:r w:rsidR="00C00067">
        <w:rPr>
          <w:rFonts w:hAnsi="標楷體" w:hint="eastAsia"/>
        </w:rPr>
        <w:t>：「其他經法院認為適當之</w:t>
      </w:r>
      <w:r w:rsidR="00C00067">
        <w:rPr>
          <w:rFonts w:hAnsi="標楷體" w:hint="eastAsia"/>
        </w:rPr>
        <w:lastRenderedPageBreak/>
        <w:t>事項。」並</w:t>
      </w:r>
      <w:r w:rsidR="00694289">
        <w:rPr>
          <w:rFonts w:hAnsi="標楷體" w:hint="eastAsia"/>
        </w:rPr>
        <w:t>認其非屬獨立型之羈押替代處分而為</w:t>
      </w:r>
      <w:r w:rsidR="00C00067">
        <w:rPr>
          <w:rFonts w:hAnsi="標楷體" w:hint="eastAsia"/>
        </w:rPr>
        <w:t>依附</w:t>
      </w:r>
      <w:r w:rsidR="00694289">
        <w:rPr>
          <w:rFonts w:hAnsi="標楷體" w:hint="eastAsia"/>
        </w:rPr>
        <w:t>之</w:t>
      </w:r>
      <w:r w:rsidR="00C00067">
        <w:rPr>
          <w:rFonts w:hAnsi="標楷體" w:hint="eastAsia"/>
        </w:rPr>
        <w:t>處分</w:t>
      </w:r>
      <w:r w:rsidR="008243EF">
        <w:rPr>
          <w:rFonts w:hint="eastAsia"/>
        </w:rPr>
        <w:t>。</w:t>
      </w:r>
      <w:r w:rsidR="00C00067" w:rsidRPr="000A772A">
        <w:rPr>
          <w:rFonts w:hint="eastAsia"/>
          <w:color w:val="000000" w:themeColor="text1"/>
        </w:rPr>
        <w:t>然</w:t>
      </w:r>
      <w:r w:rsidR="00B9281B" w:rsidRPr="000A772A">
        <w:rPr>
          <w:rFonts w:hint="eastAsia"/>
          <w:color w:val="000000" w:themeColor="text1"/>
        </w:rPr>
        <w:t>最高法院</w:t>
      </w:r>
      <w:proofErr w:type="gramStart"/>
      <w:r w:rsidR="00B9281B" w:rsidRPr="000A772A">
        <w:rPr>
          <w:rFonts w:hint="eastAsia"/>
          <w:color w:val="000000" w:themeColor="text1"/>
        </w:rPr>
        <w:t>101</w:t>
      </w:r>
      <w:proofErr w:type="gramEnd"/>
      <w:r w:rsidR="00C32CAF">
        <w:rPr>
          <w:rFonts w:hint="eastAsia"/>
          <w:color w:val="000000" w:themeColor="text1"/>
        </w:rPr>
        <w:t>年度</w:t>
      </w:r>
      <w:proofErr w:type="gramStart"/>
      <w:r w:rsidR="00B9281B" w:rsidRPr="000A772A">
        <w:rPr>
          <w:rFonts w:hint="eastAsia"/>
          <w:color w:val="000000" w:themeColor="text1"/>
        </w:rPr>
        <w:t>台抗</w:t>
      </w:r>
      <w:r w:rsidR="00C32CAF">
        <w:rPr>
          <w:rFonts w:hint="eastAsia"/>
          <w:color w:val="000000" w:themeColor="text1"/>
        </w:rPr>
        <w:t>字</w:t>
      </w:r>
      <w:proofErr w:type="gramEnd"/>
      <w:r w:rsidR="00C32CAF">
        <w:rPr>
          <w:rFonts w:hint="eastAsia"/>
          <w:color w:val="000000" w:themeColor="text1"/>
        </w:rPr>
        <w:t>第</w:t>
      </w:r>
      <w:r w:rsidR="00B9281B" w:rsidRPr="000A772A">
        <w:rPr>
          <w:rFonts w:hint="eastAsia"/>
          <w:color w:val="000000" w:themeColor="text1"/>
        </w:rPr>
        <w:t>822</w:t>
      </w:r>
      <w:r w:rsidR="00BB11D4" w:rsidRPr="000A772A">
        <w:rPr>
          <w:rFonts w:hint="eastAsia"/>
          <w:color w:val="000000" w:themeColor="text1"/>
        </w:rPr>
        <w:t>號</w:t>
      </w:r>
      <w:r w:rsidR="00C32CAF">
        <w:rPr>
          <w:rFonts w:hint="eastAsia"/>
          <w:color w:val="000000" w:themeColor="text1"/>
        </w:rPr>
        <w:t>刑事裁定</w:t>
      </w:r>
      <w:r w:rsidR="00694289">
        <w:rPr>
          <w:rFonts w:hint="eastAsia"/>
          <w:color w:val="000000" w:themeColor="text1"/>
        </w:rPr>
        <w:t>認為限制出境與限制住居名稱雖有不同，</w:t>
      </w:r>
      <w:r w:rsidR="00B9281B" w:rsidRPr="000A772A">
        <w:rPr>
          <w:rFonts w:hint="eastAsia"/>
          <w:color w:val="000000" w:themeColor="text1"/>
        </w:rPr>
        <w:t>限制出境亦屬限制住居之一種：</w:t>
      </w:r>
      <w:r w:rsidR="00B9281B" w:rsidRPr="000A772A">
        <w:rPr>
          <w:rFonts w:hAnsi="標楷體" w:hint="eastAsia"/>
          <w:color w:val="000000" w:themeColor="text1"/>
        </w:rPr>
        <w:t>「</w:t>
      </w:r>
      <w:r w:rsidR="00D10777" w:rsidRPr="000A772A">
        <w:rPr>
          <w:rFonts w:hAnsi="標楷體" w:hint="eastAsia"/>
          <w:color w:val="000000" w:themeColor="text1"/>
        </w:rPr>
        <w:t>限制被告出境，僅在限制被告應居住於我國領土範圍內，不得擅自出國，</w:t>
      </w:r>
      <w:proofErr w:type="gramStart"/>
      <w:r w:rsidR="00D10777" w:rsidRPr="000A772A">
        <w:rPr>
          <w:rFonts w:hAnsi="標楷體" w:hint="eastAsia"/>
          <w:color w:val="000000" w:themeColor="text1"/>
        </w:rPr>
        <w:t>俾</w:t>
      </w:r>
      <w:proofErr w:type="gramEnd"/>
      <w:r w:rsidR="00D10777" w:rsidRPr="000A772A">
        <w:rPr>
          <w:rFonts w:hAnsi="標楷體" w:hint="eastAsia"/>
          <w:color w:val="000000" w:themeColor="text1"/>
        </w:rPr>
        <w:t>便於訴訟程序之進行，較之限制居住</w:t>
      </w:r>
      <w:proofErr w:type="gramStart"/>
      <w:r w:rsidR="00D10777" w:rsidRPr="000A772A">
        <w:rPr>
          <w:rFonts w:hAnsi="標楷體" w:hint="eastAsia"/>
          <w:color w:val="000000" w:themeColor="text1"/>
        </w:rPr>
        <w:t>於某市某</w:t>
      </w:r>
      <w:proofErr w:type="gramEnd"/>
      <w:r w:rsidR="00D10777" w:rsidRPr="000A772A">
        <w:rPr>
          <w:rFonts w:hAnsi="標楷體" w:hint="eastAsia"/>
          <w:color w:val="000000" w:themeColor="text1"/>
        </w:rPr>
        <w:t>縣某村，其居住之範圍更為廣闊，是限制出境與限制住居名稱雖有不同，然限制出境亦屬限制住居之處分，係執行限制住居方法之一種，至有否限制出境之必要，事實審法院本有裁量之權。</w:t>
      </w:r>
      <w:r w:rsidR="00B9281B" w:rsidRPr="000A772A">
        <w:rPr>
          <w:rFonts w:hAnsi="標楷體" w:hint="eastAsia"/>
          <w:color w:val="000000" w:themeColor="text1"/>
        </w:rPr>
        <w:t>」</w:t>
      </w:r>
      <w:r w:rsidR="00C00067" w:rsidRPr="000A772A">
        <w:rPr>
          <w:rFonts w:hAnsi="標楷體" w:hint="eastAsia"/>
          <w:color w:val="000000" w:themeColor="text1"/>
        </w:rPr>
        <w:t>而</w:t>
      </w:r>
      <w:r w:rsidR="00D10777" w:rsidRPr="000A772A">
        <w:rPr>
          <w:rFonts w:hAnsi="標楷體" w:hint="eastAsia"/>
          <w:color w:val="000000" w:themeColor="text1"/>
        </w:rPr>
        <w:t>基於法律明確性原則，該實務見解應非可</w:t>
      </w:r>
      <w:proofErr w:type="gramStart"/>
      <w:r w:rsidR="00D10777" w:rsidRPr="000A772A">
        <w:rPr>
          <w:rFonts w:hAnsi="標楷體" w:hint="eastAsia"/>
          <w:color w:val="000000" w:themeColor="text1"/>
        </w:rPr>
        <w:t>採</w:t>
      </w:r>
      <w:proofErr w:type="gramEnd"/>
      <w:r w:rsidR="00D10777" w:rsidRPr="000A772A">
        <w:rPr>
          <w:rFonts w:hAnsi="標楷體" w:hint="eastAsia"/>
          <w:color w:val="000000" w:themeColor="text1"/>
        </w:rPr>
        <w:t>，又從</w:t>
      </w:r>
      <w:r w:rsidR="00BB11D4" w:rsidRPr="000A772A">
        <w:rPr>
          <w:rFonts w:hAnsi="標楷體" w:hint="eastAsia"/>
          <w:color w:val="000000" w:themeColor="text1"/>
        </w:rPr>
        <w:t>該兩者所限制之基本權利觀之，限制住居係對於設定住居所權利之限制，而限制出境則會限制遷徙自由，包括出境自</w:t>
      </w:r>
      <w:proofErr w:type="gramStart"/>
      <w:r w:rsidR="00BB11D4" w:rsidRPr="000A772A">
        <w:rPr>
          <w:rFonts w:hAnsi="標楷體" w:hint="eastAsia"/>
          <w:color w:val="000000" w:themeColor="text1"/>
        </w:rPr>
        <w:t>由</w:t>
      </w:r>
      <w:proofErr w:type="gramEnd"/>
      <w:r w:rsidR="00BB11D4" w:rsidRPr="000A772A">
        <w:rPr>
          <w:rStyle w:val="aff"/>
          <w:rFonts w:hAnsi="標楷體"/>
          <w:color w:val="000000" w:themeColor="text1"/>
        </w:rPr>
        <w:footnoteReference w:id="22"/>
      </w:r>
      <w:r w:rsidR="00BB11D4" w:rsidRPr="000A772A">
        <w:rPr>
          <w:rFonts w:hAnsi="標楷體" w:hint="eastAsia"/>
          <w:color w:val="000000" w:themeColor="text1"/>
        </w:rPr>
        <w:t>，兩者所涉之法律保留程度有所不同，似無法將其一體視之。</w:t>
      </w:r>
    </w:p>
    <w:p w:rsidR="008243EF" w:rsidRDefault="00904F01" w:rsidP="00B31686">
      <w:pPr>
        <w:pStyle w:val="3"/>
      </w:pPr>
      <w:r>
        <w:rPr>
          <w:rFonts w:hint="eastAsia"/>
        </w:rPr>
        <w:t>至</w:t>
      </w:r>
      <w:r w:rsidR="00B31686">
        <w:rPr>
          <w:rFonts w:hint="eastAsia"/>
        </w:rPr>
        <w:t>對於</w:t>
      </w:r>
      <w:r>
        <w:rPr>
          <w:rFonts w:hint="eastAsia"/>
        </w:rPr>
        <w:t>以</w:t>
      </w:r>
      <w:r w:rsidR="00B31686">
        <w:rPr>
          <w:rFonts w:hint="eastAsia"/>
        </w:rPr>
        <w:t>限制住居作為羈押替代手段所能產生之防逃實效</w:t>
      </w:r>
      <w:r w:rsidR="008243EF">
        <w:rPr>
          <w:rFonts w:hint="eastAsia"/>
        </w:rPr>
        <w:t>為何</w:t>
      </w:r>
      <w:r w:rsidR="00B31686">
        <w:rPr>
          <w:rFonts w:hint="eastAsia"/>
        </w:rPr>
        <w:t>，</w:t>
      </w:r>
      <w:r w:rsidR="008243EF">
        <w:rPr>
          <w:rFonts w:hint="eastAsia"/>
        </w:rPr>
        <w:t>經本院函</w:t>
      </w:r>
      <w:proofErr w:type="gramStart"/>
      <w:r w:rsidR="008243EF">
        <w:rPr>
          <w:rFonts w:hint="eastAsia"/>
        </w:rPr>
        <w:t>詢</w:t>
      </w:r>
      <w:proofErr w:type="gramEnd"/>
      <w:r w:rsidR="008243EF">
        <w:rPr>
          <w:rFonts w:hint="eastAsia"/>
        </w:rPr>
        <w:t>司法院、法務部說明如下：</w:t>
      </w:r>
    </w:p>
    <w:p w:rsidR="00B31686" w:rsidRDefault="00B31686" w:rsidP="008243EF">
      <w:pPr>
        <w:pStyle w:val="4"/>
      </w:pPr>
      <w:r>
        <w:rPr>
          <w:rFonts w:hint="eastAsia"/>
        </w:rPr>
        <w:t>司法院函復說明如下</w:t>
      </w:r>
      <w:r w:rsidR="00C00067">
        <w:rPr>
          <w:rStyle w:val="aff"/>
        </w:rPr>
        <w:footnoteReference w:id="23"/>
      </w:r>
      <w:r>
        <w:rPr>
          <w:rFonts w:hint="eastAsia"/>
        </w:rPr>
        <w:t>：限制住居既屬保全被告之強制處分類型之一，法官自得依個案情節，審酌各類型強制處分手段對於保全被告之實效性，本於比例原則，依法裁量選擇保全方式，以兼顧訴訟程序之順利進行與人權保障，尚難謂限制住居係屬不具有防逃實效之保全被告手段。</w:t>
      </w:r>
    </w:p>
    <w:p w:rsidR="00B31686" w:rsidRDefault="00B31686" w:rsidP="008243EF">
      <w:pPr>
        <w:pStyle w:val="4"/>
      </w:pPr>
      <w:r>
        <w:rPr>
          <w:rFonts w:hint="eastAsia"/>
        </w:rPr>
        <w:t>對於限制住居所能發揮之替代效果，法務部說明如下</w:t>
      </w:r>
      <w:r w:rsidR="00C00067">
        <w:rPr>
          <w:rStyle w:val="aff"/>
        </w:rPr>
        <w:footnoteReference w:id="24"/>
      </w:r>
      <w:r>
        <w:rPr>
          <w:rFonts w:hint="eastAsia"/>
        </w:rPr>
        <w:t>：</w:t>
      </w:r>
    </w:p>
    <w:p w:rsidR="00B31686" w:rsidRDefault="00B31686" w:rsidP="008243EF">
      <w:pPr>
        <w:pStyle w:val="5"/>
      </w:pPr>
      <w:r>
        <w:rPr>
          <w:rFonts w:hint="eastAsia"/>
        </w:rPr>
        <w:t>按偵查中經檢察官訊問後，認有羈押之必要者，應自拘提或逮捕之時起24小時內，以聲</w:t>
      </w:r>
      <w:proofErr w:type="gramStart"/>
      <w:r>
        <w:rPr>
          <w:rFonts w:hint="eastAsia"/>
        </w:rPr>
        <w:t>請</w:t>
      </w:r>
      <w:r>
        <w:rPr>
          <w:rFonts w:hint="eastAsia"/>
        </w:rPr>
        <w:lastRenderedPageBreak/>
        <w:t>書敘明</w:t>
      </w:r>
      <w:proofErr w:type="gramEnd"/>
      <w:r>
        <w:rPr>
          <w:rFonts w:hint="eastAsia"/>
        </w:rPr>
        <w:t>犯罪</w:t>
      </w:r>
      <w:proofErr w:type="gramStart"/>
      <w:r>
        <w:rPr>
          <w:rFonts w:hint="eastAsia"/>
        </w:rPr>
        <w:t>事實並所犯法</w:t>
      </w:r>
      <w:proofErr w:type="gramEnd"/>
      <w:r>
        <w:rPr>
          <w:rFonts w:hint="eastAsia"/>
        </w:rPr>
        <w:t>條及證據與羈押之理由，備具</w:t>
      </w:r>
      <w:proofErr w:type="gramStart"/>
      <w:r>
        <w:rPr>
          <w:rFonts w:hint="eastAsia"/>
        </w:rPr>
        <w:t>繕</w:t>
      </w:r>
      <w:proofErr w:type="gramEnd"/>
      <w:r>
        <w:rPr>
          <w:rFonts w:hint="eastAsia"/>
        </w:rPr>
        <w:t>本並檢附卷宗及證物，聲請該管法院羈押之。但有事實足認有湮滅、偽造、變造證據或勾串共犯或證人等危害偵查目的或危害他人生命、身體</w:t>
      </w:r>
      <w:proofErr w:type="gramStart"/>
      <w:r>
        <w:rPr>
          <w:rFonts w:hint="eastAsia"/>
        </w:rPr>
        <w:t>之虞之卷證</w:t>
      </w:r>
      <w:proofErr w:type="gramEnd"/>
      <w:r>
        <w:rPr>
          <w:rFonts w:hint="eastAsia"/>
        </w:rPr>
        <w:t>，應另行</w:t>
      </w:r>
      <w:proofErr w:type="gramStart"/>
      <w:r>
        <w:rPr>
          <w:rFonts w:hint="eastAsia"/>
        </w:rPr>
        <w:t>分卷敘</w:t>
      </w:r>
      <w:proofErr w:type="gramEnd"/>
      <w:r>
        <w:rPr>
          <w:rFonts w:hint="eastAsia"/>
        </w:rPr>
        <w:t>明理由，請求法院以適當之方式限制或禁止被告及其辯護人獲知。前項情形，未經聲請者，檢察官應即將被告釋放。但如認有第101條第1項或第101條之1第1項各款所定情形之</w:t>
      </w:r>
      <w:proofErr w:type="gramStart"/>
      <w:r>
        <w:rPr>
          <w:rFonts w:hint="eastAsia"/>
        </w:rPr>
        <w:t>一</w:t>
      </w:r>
      <w:proofErr w:type="gramEnd"/>
      <w:r>
        <w:rPr>
          <w:rFonts w:hint="eastAsia"/>
        </w:rPr>
        <w:t>而無聲請羈押之必要者，得</w:t>
      </w:r>
      <w:proofErr w:type="gramStart"/>
      <w:r>
        <w:rPr>
          <w:rFonts w:hint="eastAsia"/>
        </w:rPr>
        <w:t>逕</w:t>
      </w:r>
      <w:proofErr w:type="gramEnd"/>
      <w:r>
        <w:rPr>
          <w:rFonts w:hint="eastAsia"/>
        </w:rPr>
        <w:t>命具保、責付或限制住居；如不能具保、責付或限制住居，而有必要情形者，仍得聲請法院羈押之，刑事訴訟法第93條第2項、第3項定有明文。另按被告經法官訊問後，雖有第101條第1項或第101條之1第1項各款所定情形之</w:t>
      </w:r>
      <w:proofErr w:type="gramStart"/>
      <w:r>
        <w:rPr>
          <w:rFonts w:hint="eastAsia"/>
        </w:rPr>
        <w:t>一</w:t>
      </w:r>
      <w:proofErr w:type="gramEnd"/>
      <w:r>
        <w:rPr>
          <w:rFonts w:hint="eastAsia"/>
        </w:rPr>
        <w:t>而無羈押之必要者，得</w:t>
      </w:r>
      <w:proofErr w:type="gramStart"/>
      <w:r>
        <w:rPr>
          <w:rFonts w:hint="eastAsia"/>
        </w:rPr>
        <w:t>逕</w:t>
      </w:r>
      <w:proofErr w:type="gramEnd"/>
      <w:r>
        <w:rPr>
          <w:rFonts w:hint="eastAsia"/>
        </w:rPr>
        <w:t>命具保、責付或限制住居，刑事訴訟法第101條之2</w:t>
      </w:r>
      <w:proofErr w:type="gramStart"/>
      <w:r>
        <w:rPr>
          <w:rFonts w:hint="eastAsia"/>
        </w:rPr>
        <w:t>前段定有</w:t>
      </w:r>
      <w:proofErr w:type="gramEnd"/>
      <w:r>
        <w:rPr>
          <w:rFonts w:hint="eastAsia"/>
        </w:rPr>
        <w:t>明文。</w:t>
      </w:r>
    </w:p>
    <w:p w:rsidR="00B31686" w:rsidRDefault="00B31686" w:rsidP="008243EF">
      <w:pPr>
        <w:pStyle w:val="5"/>
      </w:pPr>
      <w:r>
        <w:rPr>
          <w:rFonts w:hint="eastAsia"/>
        </w:rPr>
        <w:t>觀諸上開刑事訴訟法規定可知，限制住居與具保、</w:t>
      </w:r>
      <w:proofErr w:type="gramStart"/>
      <w:r>
        <w:rPr>
          <w:rFonts w:hint="eastAsia"/>
        </w:rPr>
        <w:t>責付於性質</w:t>
      </w:r>
      <w:proofErr w:type="gramEnd"/>
      <w:r>
        <w:rPr>
          <w:rFonts w:hint="eastAsia"/>
        </w:rPr>
        <w:t>上均屬於有羈押原因，但無羈押必要時的羈押替代處分。另參諸刑事訴訟法第110條、第115條及第116條等有關法院許可停止羈押後，得命被告具保、責付或限制住居之規定，更可彰顯限制住居確實與具保、責付相同，</w:t>
      </w:r>
      <w:proofErr w:type="gramStart"/>
      <w:r>
        <w:rPr>
          <w:rFonts w:hint="eastAsia"/>
        </w:rPr>
        <w:t>均屬羈押</w:t>
      </w:r>
      <w:proofErr w:type="gramEnd"/>
      <w:r>
        <w:rPr>
          <w:rFonts w:hint="eastAsia"/>
        </w:rPr>
        <w:t>之替代處分。由於限制住居於本質上屬羈押替代處分，故法官、檢察官於訊問被告後，若欲對被告為限制住居，必須符合下列</w:t>
      </w:r>
      <w:r w:rsidR="00800744">
        <w:rPr>
          <w:rFonts w:hint="eastAsia"/>
        </w:rPr>
        <w:t>3</w:t>
      </w:r>
      <w:r>
        <w:rPr>
          <w:rFonts w:hint="eastAsia"/>
        </w:rPr>
        <w:t>個要件：1、被告犯罪嫌疑重大；2、被告具有刑事訴訟法第101條及第101條之1所列之法定羈押原因；3、被告無羈押之必要性即「非予羈押，顯難進行追訴、審判或執行者」。唯有符</w:t>
      </w:r>
      <w:r>
        <w:rPr>
          <w:rFonts w:hint="eastAsia"/>
        </w:rPr>
        <w:lastRenderedPageBreak/>
        <w:t>合上開</w:t>
      </w:r>
      <w:r w:rsidR="00800744">
        <w:rPr>
          <w:rFonts w:hint="eastAsia"/>
        </w:rPr>
        <w:t>3</w:t>
      </w:r>
      <w:r>
        <w:rPr>
          <w:rFonts w:hint="eastAsia"/>
        </w:rPr>
        <w:t>個要件時，法官、檢察官始得對被告為限制住居。</w:t>
      </w:r>
    </w:p>
    <w:p w:rsidR="00B31686" w:rsidRDefault="00B31686" w:rsidP="008243EF">
      <w:pPr>
        <w:pStyle w:val="5"/>
      </w:pPr>
      <w:r>
        <w:rPr>
          <w:rFonts w:hint="eastAsia"/>
        </w:rPr>
        <w:t>由於限制住居僅係限制被告指定住居所之權利，並未限制其人身行動之自由，而同屬羈押替代處分之具</w:t>
      </w:r>
      <w:proofErr w:type="gramStart"/>
      <w:r>
        <w:rPr>
          <w:rFonts w:hint="eastAsia"/>
        </w:rPr>
        <w:t>保及責付</w:t>
      </w:r>
      <w:proofErr w:type="gramEnd"/>
      <w:r>
        <w:rPr>
          <w:rFonts w:hint="eastAsia"/>
        </w:rPr>
        <w:t>，亦均無法對被告遷徙、旅行、行動之自由予以限制。隨著被告逃匿之方式日新月異，現行刑事訴訟法所規範之羈押替代處分顯有不敷使用之情形。故</w:t>
      </w:r>
      <w:proofErr w:type="gramStart"/>
      <w:r>
        <w:rPr>
          <w:rFonts w:hint="eastAsia"/>
        </w:rPr>
        <w:t>該部與司法</w:t>
      </w:r>
      <w:proofErr w:type="gramEnd"/>
      <w:r>
        <w:rPr>
          <w:rFonts w:hint="eastAsia"/>
        </w:rPr>
        <w:t>院經過多次會商後，提出刑事訴訟法部分條文修正草案，於刑事訴訟法第116</w:t>
      </w:r>
      <w:r w:rsidR="00800744">
        <w:rPr>
          <w:rFonts w:hint="eastAsia"/>
        </w:rPr>
        <w:t>條</w:t>
      </w:r>
      <w:r w:rsidR="009B7309">
        <w:rPr>
          <w:rFonts w:hint="eastAsia"/>
        </w:rPr>
        <w:t>之2</w:t>
      </w:r>
      <w:r>
        <w:rPr>
          <w:rFonts w:hint="eastAsia"/>
        </w:rPr>
        <w:t>增列羈押替代處分之態樣：「接受適當之科技設備監控」、「未經法院或檢察官許可，不得離開住、居所或一定區域」、「交付護照、旅行文件或通知主管機關不予核發護照、旅行文件」、「未經法院或檢察官許可，不得就特定財產為一定之處分」等，希冀透過羈押替代處分態樣之增列，有效防杜被告逃匿。</w:t>
      </w:r>
    </w:p>
    <w:p w:rsidR="008243EF" w:rsidRDefault="00B31686" w:rsidP="001B2920">
      <w:pPr>
        <w:pStyle w:val="3"/>
      </w:pPr>
      <w:r>
        <w:rPr>
          <w:rFonts w:hint="eastAsia"/>
        </w:rPr>
        <w:t>本院於107年9月5日詢問法務部</w:t>
      </w:r>
      <w:r w:rsidR="00A229CE">
        <w:rPr>
          <w:rFonts w:hint="eastAsia"/>
        </w:rPr>
        <w:t>次長蔡碧仲</w:t>
      </w:r>
      <w:r>
        <w:rPr>
          <w:rFonts w:hint="eastAsia"/>
        </w:rPr>
        <w:t>有關限制住居之</w:t>
      </w:r>
      <w:r w:rsidR="008243EF">
        <w:rPr>
          <w:rFonts w:hint="eastAsia"/>
        </w:rPr>
        <w:t>所能產生之防逃</w:t>
      </w:r>
      <w:r>
        <w:rPr>
          <w:rFonts w:hint="eastAsia"/>
        </w:rPr>
        <w:t>實效</w:t>
      </w:r>
      <w:r w:rsidR="00A229CE">
        <w:rPr>
          <w:rFonts w:hint="eastAsia"/>
        </w:rPr>
        <w:t>時</w:t>
      </w:r>
      <w:r>
        <w:rPr>
          <w:rFonts w:hint="eastAsia"/>
        </w:rPr>
        <w:t>，</w:t>
      </w:r>
      <w:r w:rsidR="00A229CE">
        <w:rPr>
          <w:rFonts w:hint="eastAsia"/>
        </w:rPr>
        <w:t>其</w:t>
      </w:r>
      <w:r w:rsidR="009B7309">
        <w:rPr>
          <w:rFonts w:hint="eastAsia"/>
        </w:rPr>
        <w:t>表示</w:t>
      </w:r>
      <w:r w:rsidR="008243EF" w:rsidRPr="008243EF">
        <w:rPr>
          <w:rFonts w:hAnsi="標楷體" w:hint="eastAsia"/>
        </w:rPr>
        <w:t>：「</w:t>
      </w:r>
      <w:r w:rsidR="009B7309">
        <w:rPr>
          <w:rFonts w:hint="eastAsia"/>
        </w:rPr>
        <w:t>限制住居的效果的確是自欺欺人，所以才會衍</w:t>
      </w:r>
      <w:r w:rsidR="00E7745F">
        <w:rPr>
          <w:rFonts w:hint="eastAsia"/>
        </w:rPr>
        <w:t>生</w:t>
      </w:r>
      <w:r w:rsidR="009B7309">
        <w:rPr>
          <w:rFonts w:hint="eastAsia"/>
        </w:rPr>
        <w:t>報到的機制</w:t>
      </w:r>
      <w:r w:rsidR="009B7309" w:rsidRPr="009B7309">
        <w:rPr>
          <w:rFonts w:hAnsi="標楷體"/>
        </w:rPr>
        <w:t>…</w:t>
      </w:r>
      <w:proofErr w:type="gramStart"/>
      <w:r w:rsidR="009B7309" w:rsidRPr="009B7309">
        <w:rPr>
          <w:rFonts w:hAnsi="標楷體"/>
        </w:rPr>
        <w:t>…</w:t>
      </w:r>
      <w:proofErr w:type="gramEnd"/>
      <w:r w:rsidR="008243EF">
        <w:rPr>
          <w:rFonts w:hint="eastAsia"/>
        </w:rPr>
        <w:t>。</w:t>
      </w:r>
      <w:r w:rsidR="008243EF" w:rsidRPr="008243EF">
        <w:rPr>
          <w:rFonts w:hAnsi="標楷體" w:hint="eastAsia"/>
        </w:rPr>
        <w:t>」</w:t>
      </w:r>
      <w:r>
        <w:rPr>
          <w:rFonts w:hint="eastAsia"/>
        </w:rPr>
        <w:t>及</w:t>
      </w:r>
      <w:r w:rsidR="009B7309">
        <w:rPr>
          <w:rFonts w:hint="eastAsia"/>
        </w:rPr>
        <w:t>該部</w:t>
      </w:r>
      <w:r>
        <w:rPr>
          <w:rFonts w:hint="eastAsia"/>
        </w:rPr>
        <w:t>檢察司副司長</w:t>
      </w:r>
      <w:r w:rsidR="009B7309">
        <w:rPr>
          <w:rFonts w:hint="eastAsia"/>
        </w:rPr>
        <w:t>黃謀信</w:t>
      </w:r>
      <w:r w:rsidR="00694289">
        <w:rPr>
          <w:rFonts w:hint="eastAsia"/>
        </w:rPr>
        <w:t>亦</w:t>
      </w:r>
      <w:r w:rsidR="009B7309">
        <w:rPr>
          <w:rFonts w:hint="eastAsia"/>
        </w:rPr>
        <w:t>表示</w:t>
      </w:r>
      <w:r w:rsidR="008243EF">
        <w:rPr>
          <w:rFonts w:hint="eastAsia"/>
        </w:rPr>
        <w:t>：</w:t>
      </w:r>
      <w:r w:rsidR="008243EF" w:rsidRPr="008243EF">
        <w:rPr>
          <w:rFonts w:hAnsi="標楷體" w:hint="eastAsia"/>
        </w:rPr>
        <w:t>「</w:t>
      </w:r>
      <w:r w:rsidR="008243EF">
        <w:rPr>
          <w:rFonts w:hint="eastAsia"/>
        </w:rPr>
        <w:t>這的確是問題，雖限制住居但無法限制被告行動移動，所以實務上的效果是萎縮的，而這是最輕微的替代措施了，因為輕微所以其效果比較有限。所以我們會搭配限制住居與出海。</w:t>
      </w:r>
      <w:r w:rsidR="008243EF" w:rsidRPr="008243EF">
        <w:rPr>
          <w:rFonts w:hAnsi="標楷體" w:hint="eastAsia"/>
        </w:rPr>
        <w:t>」</w:t>
      </w:r>
      <w:r w:rsidR="008243EF">
        <w:rPr>
          <w:rFonts w:hAnsi="標楷體" w:hint="eastAsia"/>
        </w:rPr>
        <w:t>故就上述之回應，限制住居所能產生之</w:t>
      </w:r>
      <w:r w:rsidR="00694289">
        <w:rPr>
          <w:rFonts w:hAnsi="標楷體" w:hint="eastAsia"/>
        </w:rPr>
        <w:t>防逃效果輕微，</w:t>
      </w:r>
      <w:proofErr w:type="gramStart"/>
      <w:r w:rsidR="009B7309">
        <w:rPr>
          <w:rFonts w:hAnsi="標楷體" w:hint="eastAsia"/>
        </w:rPr>
        <w:t>院檢</w:t>
      </w:r>
      <w:r w:rsidR="008243EF">
        <w:rPr>
          <w:rFonts w:hAnsi="標楷體" w:hint="eastAsia"/>
        </w:rPr>
        <w:t>命</w:t>
      </w:r>
      <w:r w:rsidR="009B7309">
        <w:rPr>
          <w:rFonts w:hAnsi="標楷體" w:hint="eastAsia"/>
        </w:rPr>
        <w:t>被告</w:t>
      </w:r>
      <w:proofErr w:type="gramEnd"/>
      <w:r w:rsidR="009B7309">
        <w:rPr>
          <w:rFonts w:hAnsi="標楷體" w:hint="eastAsia"/>
        </w:rPr>
        <w:t>限制住居後，亦須</w:t>
      </w:r>
      <w:r w:rsidR="008243EF">
        <w:rPr>
          <w:rFonts w:hAnsi="標楷體" w:hint="eastAsia"/>
        </w:rPr>
        <w:t>配</w:t>
      </w:r>
      <w:r w:rsidR="009B7309">
        <w:rPr>
          <w:rFonts w:hAnsi="標楷體" w:hint="eastAsia"/>
        </w:rPr>
        <w:t>合</w:t>
      </w:r>
      <w:r w:rsidR="008243EF">
        <w:rPr>
          <w:rFonts w:hAnsi="標楷體" w:hint="eastAsia"/>
        </w:rPr>
        <w:t>出境、出海</w:t>
      </w:r>
      <w:proofErr w:type="gramStart"/>
      <w:r w:rsidR="009B7309">
        <w:rPr>
          <w:rFonts w:hAnsi="標楷體" w:hint="eastAsia"/>
        </w:rPr>
        <w:t>方生實益</w:t>
      </w:r>
      <w:proofErr w:type="gramEnd"/>
      <w:r w:rsidR="00904F01">
        <w:rPr>
          <w:rFonts w:hAnsi="標楷體" w:hint="eastAsia"/>
        </w:rPr>
        <w:t>。</w:t>
      </w:r>
      <w:r w:rsidR="001B2920">
        <w:rPr>
          <w:rFonts w:hAnsi="標楷體" w:hint="eastAsia"/>
        </w:rPr>
        <w:t>故學者認為</w:t>
      </w:r>
      <w:r w:rsidR="00B66E64">
        <w:rPr>
          <w:rStyle w:val="aff"/>
          <w:rFonts w:hAnsi="標楷體"/>
        </w:rPr>
        <w:footnoteReference w:id="25"/>
      </w:r>
      <w:r w:rsidR="001B2920">
        <w:rPr>
          <w:rFonts w:hAnsi="標楷體" w:hint="eastAsia"/>
        </w:rPr>
        <w:t>：「</w:t>
      </w:r>
      <w:r w:rsidR="001B2920">
        <w:rPr>
          <w:rFonts w:hAnsi="標楷體"/>
        </w:rPr>
        <w:t>…</w:t>
      </w:r>
      <w:proofErr w:type="gramStart"/>
      <w:r w:rsidR="001B2920">
        <w:rPr>
          <w:rFonts w:hAnsi="標楷體"/>
        </w:rPr>
        <w:t>…</w:t>
      </w:r>
      <w:proofErr w:type="gramEnd"/>
      <w:r w:rsidR="001B2920" w:rsidRPr="001B2920">
        <w:rPr>
          <w:rFonts w:hAnsi="標楷體" w:hint="eastAsia"/>
        </w:rPr>
        <w:t>，必須正視我國現行羈押替代處分，</w:t>
      </w:r>
      <w:r w:rsidR="001B2920" w:rsidRPr="001B2920">
        <w:rPr>
          <w:rFonts w:hAnsi="標楷體" w:hint="eastAsia"/>
        </w:rPr>
        <w:lastRenderedPageBreak/>
        <w:t>規定太過空泛（僅有具保、責付及限制住居三種名目，欠缺下位類型及具體內容），實務上也不好用、不夠用的制度缺陷。是</w:t>
      </w:r>
      <w:proofErr w:type="gramStart"/>
      <w:r w:rsidR="001B2920" w:rsidRPr="001B2920">
        <w:rPr>
          <w:rFonts w:hAnsi="標楷體" w:hint="eastAsia"/>
        </w:rPr>
        <w:t>以</w:t>
      </w:r>
      <w:proofErr w:type="gramEnd"/>
      <w:r w:rsidR="001B2920" w:rsidRPr="001B2920">
        <w:rPr>
          <w:rFonts w:hAnsi="標楷體" w:hint="eastAsia"/>
        </w:rPr>
        <w:t xml:space="preserve">，除了增修限制出境之外，應同時修法充實其他替代處分的種類與選項，參考德國刑事訴訟法（§116 </w:t>
      </w:r>
      <w:proofErr w:type="spellStart"/>
      <w:r w:rsidR="001B2920" w:rsidRPr="001B2920">
        <w:rPr>
          <w:rFonts w:hAnsi="標楷體" w:hint="eastAsia"/>
        </w:rPr>
        <w:t>StPO</w:t>
      </w:r>
      <w:proofErr w:type="spellEnd"/>
      <w:r w:rsidR="001B2920" w:rsidRPr="001B2920">
        <w:rPr>
          <w:rFonts w:hAnsi="標楷體" w:hint="eastAsia"/>
        </w:rPr>
        <w:t>）規定，使其更明確化、多樣化及實用化，唯有如此，才能有效減少干預程度最嚴重的羈押之實務運用，符合法律保留並實踐比例原則。</w:t>
      </w:r>
      <w:r w:rsidR="00B66E64">
        <w:rPr>
          <w:rFonts w:hAnsi="標楷體" w:hint="eastAsia"/>
        </w:rPr>
        <w:t>」</w:t>
      </w:r>
      <w:r w:rsidR="009B7309">
        <w:rPr>
          <w:rFonts w:hAnsi="標楷體" w:hint="eastAsia"/>
        </w:rPr>
        <w:t>據上所述，目前羈押之替代處分顯不敷使用，又限制出境、出海對於民眾基本權利之干預，</w:t>
      </w:r>
      <w:proofErr w:type="gramStart"/>
      <w:r w:rsidR="009B7309">
        <w:rPr>
          <w:rFonts w:hAnsi="標楷體" w:hint="eastAsia"/>
        </w:rPr>
        <w:t>顯更甚</w:t>
      </w:r>
      <w:proofErr w:type="gramEnd"/>
      <w:r w:rsidR="009B7309">
        <w:rPr>
          <w:rFonts w:hAnsi="標楷體" w:hint="eastAsia"/>
        </w:rPr>
        <w:t>於限制住居，卻無法律明文規範，僅能牽強使用刑事訴訟法概括條款作為依據，恐有違法律保留原則、法律明確性原則及比例原則之內涵</w:t>
      </w:r>
      <w:r w:rsidR="00904F01">
        <w:rPr>
          <w:rFonts w:hAnsi="標楷體" w:hint="eastAsia"/>
        </w:rPr>
        <w:t>。</w:t>
      </w:r>
      <w:r w:rsidR="009B7309">
        <w:rPr>
          <w:rFonts w:hAnsi="標楷體" w:hint="eastAsia"/>
        </w:rPr>
        <w:t>司法院及法務部實應就此詳</w:t>
      </w:r>
      <w:r w:rsidR="004D5DF6">
        <w:rPr>
          <w:rFonts w:hAnsi="標楷體" w:hint="eastAsia"/>
        </w:rPr>
        <w:t>予</w:t>
      </w:r>
      <w:r w:rsidR="009B7309">
        <w:rPr>
          <w:rFonts w:hAnsi="標楷體" w:hint="eastAsia"/>
        </w:rPr>
        <w:t>研究，補足相關機制及授權依據，</w:t>
      </w:r>
      <w:proofErr w:type="gramStart"/>
      <w:r w:rsidR="009B7309">
        <w:rPr>
          <w:rFonts w:hAnsi="標楷體" w:hint="eastAsia"/>
        </w:rPr>
        <w:t>以利防逃</w:t>
      </w:r>
      <w:proofErr w:type="gramEnd"/>
      <w:r w:rsidR="009B7309">
        <w:rPr>
          <w:rFonts w:hAnsi="標楷體" w:hint="eastAsia"/>
        </w:rPr>
        <w:t>機制之進行。</w:t>
      </w:r>
    </w:p>
    <w:p w:rsidR="001B2920" w:rsidRDefault="001B2920" w:rsidP="00A229CE">
      <w:pPr>
        <w:pStyle w:val="3"/>
      </w:pPr>
      <w:r>
        <w:rPr>
          <w:rFonts w:hint="eastAsia"/>
        </w:rPr>
        <w:t>另查本案</w:t>
      </w:r>
      <w:r w:rsidR="00A229CE" w:rsidRPr="00A229CE">
        <w:rPr>
          <w:rFonts w:hint="eastAsia"/>
        </w:rPr>
        <w:t>慶富造船股份有限公司副董事長陳偉志</w:t>
      </w:r>
      <w:r>
        <w:rPr>
          <w:rFonts w:hint="eastAsia"/>
        </w:rPr>
        <w:t>107年3月26日向法院聲請變更住居所，高雄地院</w:t>
      </w:r>
      <w:r w:rsidR="00FC0B7F">
        <w:rPr>
          <w:rFonts w:hint="eastAsia"/>
        </w:rPr>
        <w:t>亦裁定許可其聲請並變更報到地點，</w:t>
      </w:r>
      <w:proofErr w:type="gramStart"/>
      <w:r w:rsidR="00FC0B7F">
        <w:rPr>
          <w:rFonts w:hint="eastAsia"/>
        </w:rPr>
        <w:t>然恐造成</w:t>
      </w:r>
      <w:proofErr w:type="gramEnd"/>
      <w:r w:rsidR="00FC0B7F">
        <w:rPr>
          <w:rFonts w:hint="eastAsia"/>
        </w:rPr>
        <w:t>掌握刑事被告行蹤之漏洞</w:t>
      </w:r>
      <w:r w:rsidR="00904F01">
        <w:rPr>
          <w:rFonts w:hint="eastAsia"/>
        </w:rPr>
        <w:t>。</w:t>
      </w:r>
      <w:proofErr w:type="gramStart"/>
      <w:r w:rsidR="00FC0B7F">
        <w:rPr>
          <w:rFonts w:hAnsi="標楷體" w:hint="eastAsia"/>
        </w:rPr>
        <w:t>司法院似可</w:t>
      </w:r>
      <w:proofErr w:type="gramEnd"/>
      <w:r w:rsidR="00FC0B7F">
        <w:rPr>
          <w:rFonts w:hAnsi="標楷體" w:hint="eastAsia"/>
        </w:rPr>
        <w:t>參酌</w:t>
      </w:r>
      <w:r>
        <w:rPr>
          <w:rFonts w:hint="eastAsia"/>
        </w:rPr>
        <w:t>「臺灣高等法院檢察署設置偵查經濟犯罪中心作業要點｣第</w:t>
      </w:r>
      <w:r>
        <w:t>6</w:t>
      </w:r>
      <w:r>
        <w:rPr>
          <w:rFonts w:hint="eastAsia"/>
        </w:rPr>
        <w:t>點第</w:t>
      </w:r>
      <w:r>
        <w:t>2</w:t>
      </w:r>
      <w:r>
        <w:rPr>
          <w:rFonts w:hint="eastAsia"/>
        </w:rPr>
        <w:t>款：「本中心為強化追訴經濟犯罪功能，得聯繫或協調有關機關採取下列措施：…</w:t>
      </w:r>
      <w:proofErr w:type="gramStart"/>
      <w:r>
        <w:rPr>
          <w:rFonts w:hint="eastAsia"/>
        </w:rPr>
        <w:t>…</w:t>
      </w:r>
      <w:proofErr w:type="gramEnd"/>
      <w:r>
        <w:rPr>
          <w:rFonts w:hint="eastAsia"/>
        </w:rPr>
        <w:t>（二）對於涉嫌經濟犯罪，經限制住居（含限制出境）之被告，得通知其戶籍所在地之戶政機關，在戶籍登記簿上註記，並不得受理其遷徙或變更姓名之申請。」</w:t>
      </w:r>
      <w:r w:rsidR="00FC0B7F">
        <w:rPr>
          <w:rFonts w:hint="eastAsia"/>
        </w:rPr>
        <w:t>賦予法院</w:t>
      </w:r>
      <w:r w:rsidR="003D2CEE">
        <w:rPr>
          <w:rFonts w:hint="eastAsia"/>
        </w:rPr>
        <w:t>考量案件實際情況，而予以限制被告遷徙，</w:t>
      </w:r>
      <w:r w:rsidR="00FC0B7F">
        <w:rPr>
          <w:rFonts w:hint="eastAsia"/>
        </w:rPr>
        <w:t>強化限制住居防逃實效，並達掌握被告</w:t>
      </w:r>
      <w:r w:rsidR="003D2CEE" w:rsidRPr="003D2CEE">
        <w:rPr>
          <w:rFonts w:hint="eastAsia"/>
        </w:rPr>
        <w:t>行蹤</w:t>
      </w:r>
      <w:r w:rsidR="00FC0B7F">
        <w:rPr>
          <w:rFonts w:hint="eastAsia"/>
        </w:rPr>
        <w:t>之目的</w:t>
      </w:r>
      <w:r w:rsidR="003D2CEE">
        <w:rPr>
          <w:rFonts w:hint="eastAsia"/>
        </w:rPr>
        <w:t>。</w:t>
      </w:r>
    </w:p>
    <w:p w:rsidR="00694289" w:rsidRPr="00694289" w:rsidRDefault="00694289" w:rsidP="009F25B1">
      <w:pPr>
        <w:pStyle w:val="3"/>
      </w:pPr>
      <w:r>
        <w:rPr>
          <w:rFonts w:hint="eastAsia"/>
        </w:rPr>
        <w:t>綜上，</w:t>
      </w:r>
      <w:r w:rsidR="00904F01" w:rsidRPr="00904F01">
        <w:rPr>
          <w:rFonts w:hint="eastAsia"/>
        </w:rPr>
        <w:t>現行刑事訴訟法中明定之羈押替代處分分別</w:t>
      </w:r>
      <w:r w:rsidR="00904F01" w:rsidRPr="00904F01">
        <w:rPr>
          <w:rFonts w:hint="eastAsia"/>
        </w:rPr>
        <w:lastRenderedPageBreak/>
        <w:t>為具保、責付及限制住居，而限制住居常須配合出境、出海，</w:t>
      </w:r>
      <w:proofErr w:type="gramStart"/>
      <w:r w:rsidR="00904F01" w:rsidRPr="00904F01">
        <w:rPr>
          <w:rFonts w:hint="eastAsia"/>
        </w:rPr>
        <w:t>方生防逃</w:t>
      </w:r>
      <w:proofErr w:type="gramEnd"/>
      <w:r w:rsidR="00904F01" w:rsidRPr="00904F01">
        <w:rPr>
          <w:rFonts w:hint="eastAsia"/>
        </w:rPr>
        <w:t>實效，本案被告陳偉志於</w:t>
      </w:r>
      <w:proofErr w:type="gramStart"/>
      <w:r w:rsidR="00904F01" w:rsidRPr="00904F01">
        <w:rPr>
          <w:rFonts w:hint="eastAsia"/>
        </w:rPr>
        <w:t>具保後</w:t>
      </w:r>
      <w:proofErr w:type="gramEnd"/>
      <w:r w:rsidR="00904F01" w:rsidRPr="00904F01">
        <w:rPr>
          <w:rFonts w:hint="eastAsia"/>
        </w:rPr>
        <w:t>，即受檢方命限制住居、出境及出海之處分。惟後兩者之處分皆未明定於刑事訴訟法，卻對於人身自由之限制更廣，甚而涉及人民之遷徙自由，倘無法律明文規定，恐有違法律保留原則。另限制住居所生之防逃效果薄弱，司法院及法務部允應考量修正或補充限制住居之規範，以符實需。本案陳偉志於107年3月26日向法院聲請變更住居所，高雄地院亦同意其聲請。然被告若能隨意聲請變更住居所，恐未能達被告限制住居之目的，反形成防逃漏洞，</w:t>
      </w:r>
      <w:proofErr w:type="gramStart"/>
      <w:r w:rsidR="00904F01" w:rsidRPr="00904F01">
        <w:rPr>
          <w:rFonts w:hint="eastAsia"/>
        </w:rPr>
        <w:t>司法院允宜</w:t>
      </w:r>
      <w:proofErr w:type="gramEnd"/>
      <w:r w:rsidR="00904F01" w:rsidRPr="00904F01">
        <w:rPr>
          <w:rFonts w:hint="eastAsia"/>
        </w:rPr>
        <w:t>參酌「臺灣高等法院檢察署設置偵查經濟犯罪中心作業要點｣第</w:t>
      </w:r>
      <w:r w:rsidR="00904F01" w:rsidRPr="00904F01">
        <w:t>6</w:t>
      </w:r>
      <w:r w:rsidR="00904F01" w:rsidRPr="00904F01">
        <w:rPr>
          <w:rFonts w:hint="eastAsia"/>
        </w:rPr>
        <w:t>點第</w:t>
      </w:r>
      <w:r w:rsidR="00904F01" w:rsidRPr="00904F01">
        <w:t>2</w:t>
      </w:r>
      <w:r w:rsidR="00904F01" w:rsidRPr="00904F01">
        <w:rPr>
          <w:rFonts w:hint="eastAsia"/>
        </w:rPr>
        <w:t>款之規定，對於涉有重大經濟犯罪之被告，於限制住居（含限制出境）時，通知其戶籍所在地之戶政機關，在戶籍登記簿上為不得受理其遷徙或變更姓名申請之註記，避免被告藉變更住居所之名，行逃逸之實。</w:t>
      </w:r>
    </w:p>
    <w:p w:rsidR="0078551E" w:rsidRPr="00B65C55" w:rsidRDefault="005E5975" w:rsidP="00B65C55">
      <w:pPr>
        <w:pStyle w:val="2"/>
        <w:rPr>
          <w:b/>
        </w:rPr>
      </w:pPr>
      <w:r w:rsidRPr="00B65C55">
        <w:rPr>
          <w:rFonts w:hint="eastAsia"/>
          <w:b/>
        </w:rPr>
        <w:t>司法院與法務部就防逃業務之執行及囑託司法警察機關辦理被告報到</w:t>
      </w:r>
      <w:r w:rsidR="000B6427">
        <w:rPr>
          <w:rFonts w:hint="eastAsia"/>
          <w:b/>
        </w:rPr>
        <w:t>之依據，係調度司法警察條例第1條</w:t>
      </w:r>
      <w:r w:rsidR="00904F01">
        <w:rPr>
          <w:rFonts w:hint="eastAsia"/>
          <w:b/>
        </w:rPr>
        <w:t>。</w:t>
      </w:r>
      <w:r w:rsidR="000B6427">
        <w:rPr>
          <w:rFonts w:hint="eastAsia"/>
          <w:b/>
        </w:rPr>
        <w:t>然</w:t>
      </w:r>
      <w:r w:rsidRPr="00B65C55">
        <w:rPr>
          <w:rFonts w:hint="eastAsia"/>
          <w:b/>
        </w:rPr>
        <w:t>依刑事訴訟法</w:t>
      </w:r>
      <w:r w:rsidR="00800744">
        <w:rPr>
          <w:rFonts w:hint="eastAsia"/>
          <w:b/>
        </w:rPr>
        <w:t>第</w:t>
      </w:r>
      <w:r w:rsidRPr="00B65C55">
        <w:rPr>
          <w:rFonts w:hint="eastAsia"/>
          <w:b/>
        </w:rPr>
        <w:t>116條</w:t>
      </w:r>
      <w:r w:rsidR="00B65C55" w:rsidRPr="00B65C55">
        <w:rPr>
          <w:rFonts w:hint="eastAsia"/>
          <w:b/>
        </w:rPr>
        <w:t>之2</w:t>
      </w:r>
      <w:r w:rsidRPr="00B65C55">
        <w:rPr>
          <w:rFonts w:hint="eastAsia"/>
          <w:b/>
        </w:rPr>
        <w:t>第1款規定刑事被告報到之主體應為法院及檢察官之外，防逃業務之主要發動者亦為院檢，倘以調度司法警察條例將上述業務委由其辦理，恐有職權轉嫁之慮</w:t>
      </w:r>
      <w:r w:rsidR="00904F01">
        <w:rPr>
          <w:rFonts w:hint="eastAsia"/>
          <w:b/>
        </w:rPr>
        <w:t>。</w:t>
      </w:r>
      <w:proofErr w:type="gramStart"/>
      <w:r w:rsidRPr="00B65C55">
        <w:rPr>
          <w:rFonts w:hint="eastAsia"/>
          <w:b/>
        </w:rPr>
        <w:t>另觀</w:t>
      </w:r>
      <w:r w:rsidR="0008280B" w:rsidRPr="00B65C55">
        <w:rPr>
          <w:rFonts w:hint="eastAsia"/>
          <w:b/>
        </w:rPr>
        <w:t>警政</w:t>
      </w:r>
      <w:proofErr w:type="gramEnd"/>
      <w:r w:rsidR="0008280B" w:rsidRPr="00B65C55">
        <w:rPr>
          <w:rFonts w:hint="eastAsia"/>
          <w:b/>
        </w:rPr>
        <w:t>署提供之近10</w:t>
      </w:r>
      <w:r w:rsidRPr="00B65C55">
        <w:rPr>
          <w:rFonts w:hint="eastAsia"/>
          <w:b/>
        </w:rPr>
        <w:t>年囑託辦理報到數據，亦有日益增長之趨勢</w:t>
      </w:r>
      <w:r w:rsidR="00904F01">
        <w:rPr>
          <w:rFonts w:hint="eastAsia"/>
          <w:b/>
        </w:rPr>
        <w:t>。惟該</w:t>
      </w:r>
      <w:r w:rsidRPr="00B65C55">
        <w:rPr>
          <w:rFonts w:hint="eastAsia"/>
          <w:b/>
        </w:rPr>
        <w:t>報到之業務</w:t>
      </w:r>
      <w:r w:rsidR="00B65C55" w:rsidRPr="00B65C55">
        <w:rPr>
          <w:rFonts w:hint="eastAsia"/>
          <w:b/>
        </w:rPr>
        <w:t>非屬警方例行勤務</w:t>
      </w:r>
      <w:r w:rsidRPr="00B65C55">
        <w:rPr>
          <w:rFonts w:hint="eastAsia"/>
          <w:b/>
        </w:rPr>
        <w:t>，</w:t>
      </w:r>
      <w:r w:rsidR="00B65C55" w:rsidRPr="00B65C55">
        <w:rPr>
          <w:rFonts w:hint="eastAsia"/>
          <w:b/>
        </w:rPr>
        <w:t>若透過調度司法警察條例強加為之，恐造成警力</w:t>
      </w:r>
      <w:r w:rsidR="00904F01" w:rsidRPr="00B65C55">
        <w:rPr>
          <w:rFonts w:hint="eastAsia"/>
          <w:b/>
        </w:rPr>
        <w:t>之</w:t>
      </w:r>
      <w:r w:rsidR="00B65C55" w:rsidRPr="00B65C55">
        <w:rPr>
          <w:rFonts w:hint="eastAsia"/>
          <w:b/>
        </w:rPr>
        <w:t>不當負荷</w:t>
      </w:r>
      <w:r w:rsidR="00B52BC7" w:rsidRPr="00B65C55">
        <w:rPr>
          <w:rFonts w:hint="eastAsia"/>
          <w:b/>
        </w:rPr>
        <w:t>，更破壞院檢警之</w:t>
      </w:r>
      <w:r w:rsidR="0052341A" w:rsidRPr="00B65C55">
        <w:rPr>
          <w:rFonts w:hint="eastAsia"/>
          <w:b/>
        </w:rPr>
        <w:t>互助</w:t>
      </w:r>
      <w:r w:rsidR="00B52BC7" w:rsidRPr="00B65C55">
        <w:rPr>
          <w:rFonts w:hint="eastAsia"/>
          <w:b/>
        </w:rPr>
        <w:t>關係</w:t>
      </w:r>
      <w:r w:rsidR="00B65C55" w:rsidRPr="00B65C55">
        <w:rPr>
          <w:rFonts w:hint="eastAsia"/>
          <w:b/>
        </w:rPr>
        <w:t>；</w:t>
      </w:r>
      <w:r w:rsidR="00B52BC7" w:rsidRPr="00B65C55">
        <w:rPr>
          <w:rFonts w:hint="eastAsia"/>
          <w:b/>
        </w:rPr>
        <w:t>另調度司法警察條例於</w:t>
      </w:r>
      <w:r w:rsidR="00FB30CF" w:rsidRPr="00B65C55">
        <w:rPr>
          <w:rFonts w:hint="eastAsia"/>
          <w:b/>
        </w:rPr>
        <w:t>34年立法公布後，</w:t>
      </w:r>
      <w:r w:rsidR="00B52BC7" w:rsidRPr="00B65C55">
        <w:rPr>
          <w:rFonts w:hint="eastAsia"/>
          <w:b/>
        </w:rPr>
        <w:t>其仍</w:t>
      </w:r>
      <w:r w:rsidR="0052341A" w:rsidRPr="00B65C55">
        <w:rPr>
          <w:rFonts w:hAnsi="標楷體" w:hint="eastAsia"/>
          <w:b/>
        </w:rPr>
        <w:t>「</w:t>
      </w:r>
      <w:r w:rsidR="0052341A" w:rsidRPr="00B65C55">
        <w:rPr>
          <w:rFonts w:hint="eastAsia"/>
          <w:b/>
        </w:rPr>
        <w:t>推事</w:t>
      </w:r>
      <w:r w:rsidR="0052341A" w:rsidRPr="00B65C55">
        <w:rPr>
          <w:rFonts w:hAnsi="標楷體" w:hint="eastAsia"/>
          <w:b/>
        </w:rPr>
        <w:t>」、「設治局長」、「警察</w:t>
      </w:r>
      <w:r w:rsidR="000B6427">
        <w:rPr>
          <w:rFonts w:hAnsi="標楷體" w:hint="eastAsia"/>
          <w:b/>
        </w:rPr>
        <w:t>廳長」、「警保處長」、「</w:t>
      </w:r>
      <w:proofErr w:type="gramStart"/>
      <w:r w:rsidR="000B6427">
        <w:rPr>
          <w:rFonts w:hAnsi="標楷體" w:hint="eastAsia"/>
          <w:b/>
        </w:rPr>
        <w:t>警士</w:t>
      </w:r>
      <w:proofErr w:type="gramEnd"/>
      <w:r w:rsidR="000B6427">
        <w:rPr>
          <w:rFonts w:hAnsi="標楷體" w:hint="eastAsia"/>
          <w:b/>
        </w:rPr>
        <w:t>」、「保安機關」、「警備機關」等</w:t>
      </w:r>
      <w:r w:rsidR="0052341A" w:rsidRPr="00B65C55">
        <w:rPr>
          <w:rFonts w:hint="eastAsia"/>
          <w:b/>
        </w:rPr>
        <w:t>不合時宜之用語</w:t>
      </w:r>
      <w:r w:rsidR="00FB30CF" w:rsidRPr="00B65C55">
        <w:rPr>
          <w:rFonts w:hint="eastAsia"/>
          <w:b/>
        </w:rPr>
        <w:t>，</w:t>
      </w:r>
      <w:r w:rsidR="0052341A" w:rsidRPr="00B65C55">
        <w:rPr>
          <w:rFonts w:hint="eastAsia"/>
          <w:b/>
        </w:rPr>
        <w:t>實有</w:t>
      </w:r>
      <w:r w:rsidR="000B6427">
        <w:rPr>
          <w:rFonts w:hint="eastAsia"/>
          <w:b/>
        </w:rPr>
        <w:t>通盤</w:t>
      </w:r>
      <w:r w:rsidR="0052341A" w:rsidRPr="00B65C55">
        <w:rPr>
          <w:rFonts w:hint="eastAsia"/>
          <w:b/>
        </w:rPr>
        <w:t>檢討之必要。</w:t>
      </w:r>
      <w:r w:rsidR="00B66E64" w:rsidRPr="00B65C55">
        <w:rPr>
          <w:rFonts w:hint="eastAsia"/>
          <w:b/>
        </w:rPr>
        <w:t>司法院</w:t>
      </w:r>
      <w:r w:rsidR="000B6427">
        <w:rPr>
          <w:rFonts w:hint="eastAsia"/>
          <w:b/>
        </w:rPr>
        <w:t>、法務部</w:t>
      </w:r>
      <w:r w:rsidR="000B6427">
        <w:rPr>
          <w:rFonts w:hint="eastAsia"/>
          <w:b/>
        </w:rPr>
        <w:lastRenderedPageBreak/>
        <w:t>及內政部</w:t>
      </w:r>
      <w:r w:rsidR="00B66E64" w:rsidRPr="00B65C55">
        <w:rPr>
          <w:rFonts w:hint="eastAsia"/>
          <w:b/>
        </w:rPr>
        <w:t>允宜考量</w:t>
      </w:r>
      <w:r w:rsidR="0052341A" w:rsidRPr="00B65C55">
        <w:rPr>
          <w:rFonts w:hint="eastAsia"/>
          <w:b/>
        </w:rPr>
        <w:t>警力業務之負荷情形及院</w:t>
      </w:r>
      <w:r w:rsidR="000809A2" w:rsidRPr="00B65C55">
        <w:rPr>
          <w:rFonts w:hint="eastAsia"/>
          <w:b/>
        </w:rPr>
        <w:t>、</w:t>
      </w:r>
      <w:r w:rsidR="0052341A" w:rsidRPr="00B65C55">
        <w:rPr>
          <w:rFonts w:hint="eastAsia"/>
          <w:b/>
        </w:rPr>
        <w:t>檢</w:t>
      </w:r>
      <w:r w:rsidR="000809A2" w:rsidRPr="00B65C55">
        <w:rPr>
          <w:rFonts w:hint="eastAsia"/>
          <w:b/>
        </w:rPr>
        <w:t>、</w:t>
      </w:r>
      <w:r w:rsidR="0052341A" w:rsidRPr="00B65C55">
        <w:rPr>
          <w:rFonts w:hint="eastAsia"/>
          <w:b/>
        </w:rPr>
        <w:t>警</w:t>
      </w:r>
      <w:r w:rsidR="000809A2" w:rsidRPr="00B65C55">
        <w:rPr>
          <w:rFonts w:hint="eastAsia"/>
          <w:b/>
        </w:rPr>
        <w:t>三方權責</w:t>
      </w:r>
      <w:r w:rsidR="0052341A" w:rsidRPr="00B65C55">
        <w:rPr>
          <w:rFonts w:hint="eastAsia"/>
          <w:b/>
        </w:rPr>
        <w:t>之分際</w:t>
      </w:r>
      <w:r w:rsidR="00F51FC0" w:rsidRPr="00B65C55">
        <w:rPr>
          <w:rFonts w:hint="eastAsia"/>
          <w:b/>
        </w:rPr>
        <w:t>，</w:t>
      </w:r>
      <w:r w:rsidR="00B65C55" w:rsidRPr="00B65C55">
        <w:rPr>
          <w:rFonts w:hint="eastAsia"/>
          <w:b/>
        </w:rPr>
        <w:t>共同</w:t>
      </w:r>
      <w:proofErr w:type="gramStart"/>
      <w:r w:rsidR="00B65C55" w:rsidRPr="00B65C55">
        <w:rPr>
          <w:rFonts w:hint="eastAsia"/>
          <w:b/>
        </w:rPr>
        <w:t>研議</w:t>
      </w:r>
      <w:r w:rsidR="0052341A" w:rsidRPr="00B65C55">
        <w:rPr>
          <w:rFonts w:hint="eastAsia"/>
          <w:b/>
        </w:rPr>
        <w:t>該</w:t>
      </w:r>
      <w:proofErr w:type="gramEnd"/>
      <w:r w:rsidR="0052341A" w:rsidRPr="00B65C55">
        <w:rPr>
          <w:rFonts w:hint="eastAsia"/>
          <w:b/>
        </w:rPr>
        <w:t>法之修正，以</w:t>
      </w:r>
      <w:r w:rsidR="00B65C55" w:rsidRPr="00B65C55">
        <w:rPr>
          <w:rFonts w:hint="eastAsia"/>
          <w:b/>
        </w:rPr>
        <w:t>落實</w:t>
      </w:r>
      <w:r w:rsidR="000B6427">
        <w:rPr>
          <w:rFonts w:hint="eastAsia"/>
          <w:b/>
        </w:rPr>
        <w:t>責任政治</w:t>
      </w:r>
      <w:r w:rsidR="00B65C55">
        <w:rPr>
          <w:rFonts w:hint="eastAsia"/>
          <w:b/>
        </w:rPr>
        <w:t>之旨</w:t>
      </w:r>
      <w:r w:rsidR="00B66E64" w:rsidRPr="00B65C55">
        <w:rPr>
          <w:rFonts w:hint="eastAsia"/>
          <w:b/>
        </w:rPr>
        <w:t>。</w:t>
      </w:r>
    </w:p>
    <w:p w:rsidR="000F389F" w:rsidRPr="000F389F" w:rsidRDefault="0052341A" w:rsidP="000F389F">
      <w:pPr>
        <w:pStyle w:val="3"/>
      </w:pPr>
      <w:r>
        <w:rPr>
          <w:rFonts w:hint="eastAsia"/>
        </w:rPr>
        <w:t>查</w:t>
      </w:r>
      <w:r w:rsidR="000F389F" w:rsidRPr="000F389F">
        <w:rPr>
          <w:rFonts w:hint="eastAsia"/>
        </w:rPr>
        <w:t>法院囑託司法警察機關辦理</w:t>
      </w:r>
      <w:r>
        <w:rPr>
          <w:rFonts w:hint="eastAsia"/>
        </w:rPr>
        <w:t>被告停止羈押或無羈押必至派出所報到之法律依據，司法院函復說明為</w:t>
      </w:r>
      <w:r>
        <w:rPr>
          <w:rStyle w:val="aff"/>
        </w:rPr>
        <w:footnoteReference w:id="26"/>
      </w:r>
      <w:r w:rsidR="000F389F" w:rsidRPr="000F389F">
        <w:rPr>
          <w:rFonts w:hint="eastAsia"/>
        </w:rPr>
        <w:t>：</w:t>
      </w:r>
      <w:r>
        <w:rPr>
          <w:rFonts w:hAnsi="標楷體" w:hint="eastAsia"/>
        </w:rPr>
        <w:t>「</w:t>
      </w:r>
      <w:r w:rsidR="000F389F" w:rsidRPr="000F389F">
        <w:rPr>
          <w:rFonts w:hint="eastAsia"/>
        </w:rPr>
        <w:t>法院許可停止羈押時，得命被告應遵守法院認為適當之事項；法官於辦理刑事案件認有必要時，有指揮、命令司法警察之權。刑事訴訟法第116條之2第4款、法院組織法第76條第1項、調度司法警察條例第1條分別定有明文。是</w:t>
      </w:r>
      <w:proofErr w:type="gramStart"/>
      <w:r w:rsidR="000F389F" w:rsidRPr="000F389F">
        <w:rPr>
          <w:rFonts w:hint="eastAsia"/>
        </w:rPr>
        <w:t>法官於審酌</w:t>
      </w:r>
      <w:proofErr w:type="gramEnd"/>
      <w:r w:rsidR="000F389F" w:rsidRPr="000F389F">
        <w:rPr>
          <w:rFonts w:hint="eastAsia"/>
        </w:rPr>
        <w:t>個案情形，認被告並無羈押必要，而以羈押替代處分措施保全被告，並有請司法警察機關配合辦理之必要者，得依前揭規定，指揮或命令司法警察為之。</w:t>
      </w:r>
      <w:r>
        <w:rPr>
          <w:rFonts w:hAnsi="標楷體" w:hint="eastAsia"/>
        </w:rPr>
        <w:t>」</w:t>
      </w:r>
      <w:r w:rsidR="000F389F">
        <w:rPr>
          <w:rFonts w:hint="eastAsia"/>
        </w:rPr>
        <w:t>另於對於防逃業務之執行，法務部表示</w:t>
      </w:r>
      <w:r w:rsidR="000809A2">
        <w:rPr>
          <w:rStyle w:val="aff"/>
        </w:rPr>
        <w:footnoteReference w:id="27"/>
      </w:r>
      <w:r w:rsidR="000F389F" w:rsidRPr="000F389F">
        <w:rPr>
          <w:rFonts w:hint="eastAsia"/>
        </w:rPr>
        <w:t>：「調度司法警察條例第1條：檢察官因辦理偵查執行事件，有指揮司法警察官、命令司法警察之權；檢察官與司法警察機關執行職務聯繫辦法第17條規定，司法警察機關為協助檢察官偵查犯罪，應配合檢察官辦理專責案件之需要，設立專責小組，辦理指定之案件，並接受檢察官之調度指揮。是依上開規定請警察機關協助辦理防逃勤務，程序上並無不法。</w:t>
      </w:r>
      <w:r w:rsidR="000F389F">
        <w:rPr>
          <w:rFonts w:hAnsi="標楷體" w:hint="eastAsia"/>
        </w:rPr>
        <w:t>」</w:t>
      </w:r>
      <w:r>
        <w:rPr>
          <w:rFonts w:hAnsi="標楷體" w:hint="eastAsia"/>
        </w:rPr>
        <w:t>顯見，司法院及法務部對於被告報到業務及防逃業務之囑託，皆以調度司法警察條例為依據。</w:t>
      </w:r>
    </w:p>
    <w:p w:rsidR="000F389F" w:rsidRDefault="0052341A" w:rsidP="000F389F">
      <w:pPr>
        <w:pStyle w:val="3"/>
      </w:pPr>
      <w:r>
        <w:rPr>
          <w:rFonts w:hint="eastAsia"/>
        </w:rPr>
        <w:t>次查</w:t>
      </w:r>
      <w:r w:rsidR="000F389F">
        <w:rPr>
          <w:rFonts w:hint="eastAsia"/>
        </w:rPr>
        <w:t>調度司法警察條例於34年4月10日公布，於69年7月4日修正後，即未再修正，</w:t>
      </w:r>
      <w:r>
        <w:rPr>
          <w:rFonts w:hint="eastAsia"/>
        </w:rPr>
        <w:t>對於</w:t>
      </w:r>
      <w:proofErr w:type="gramStart"/>
      <w:r>
        <w:rPr>
          <w:rFonts w:hint="eastAsia"/>
        </w:rPr>
        <w:t>院檢常以</w:t>
      </w:r>
      <w:proofErr w:type="gramEnd"/>
      <w:r>
        <w:rPr>
          <w:rFonts w:hint="eastAsia"/>
        </w:rPr>
        <w:t>調度司法警察條例作為囑託辦理被告報到及防逃業務之依據，</w:t>
      </w:r>
      <w:proofErr w:type="gramStart"/>
      <w:r>
        <w:rPr>
          <w:rFonts w:hint="eastAsia"/>
        </w:rPr>
        <w:t>且觀該</w:t>
      </w:r>
      <w:proofErr w:type="gramEnd"/>
      <w:r>
        <w:rPr>
          <w:rFonts w:hint="eastAsia"/>
        </w:rPr>
        <w:t>辦理報到之業務近10年來囑託數量已</w:t>
      </w:r>
      <w:r>
        <w:rPr>
          <w:rFonts w:hint="eastAsia"/>
        </w:rPr>
        <w:lastRenderedPageBreak/>
        <w:t>高達千件</w:t>
      </w:r>
      <w:r w:rsidR="008278BC">
        <w:rPr>
          <w:rFonts w:hint="eastAsia"/>
        </w:rPr>
        <w:t>(如</w:t>
      </w:r>
      <w:r w:rsidR="008278BC" w:rsidRPr="00B36954">
        <w:rPr>
          <w:rFonts w:hint="eastAsia"/>
        </w:rPr>
        <w:t>表3</w:t>
      </w:r>
      <w:r w:rsidR="008278BC">
        <w:rPr>
          <w:rFonts w:hint="eastAsia"/>
        </w:rPr>
        <w:t>)</w:t>
      </w:r>
      <w:r>
        <w:rPr>
          <w:rFonts w:hint="eastAsia"/>
        </w:rPr>
        <w:t>，</w:t>
      </w:r>
      <w:r w:rsidR="008278BC">
        <w:rPr>
          <w:rFonts w:hint="eastAsia"/>
        </w:rPr>
        <w:t>對於警力之分配與負荷而言，難謂無影響</w:t>
      </w:r>
      <w:r w:rsidR="00B62FEB">
        <w:rPr>
          <w:rFonts w:hint="eastAsia"/>
        </w:rPr>
        <w:t>。另</w:t>
      </w:r>
      <w:r w:rsidR="000F389F">
        <w:rPr>
          <w:rFonts w:hint="eastAsia"/>
        </w:rPr>
        <w:t>據</w:t>
      </w:r>
      <w:proofErr w:type="gramStart"/>
      <w:r w:rsidR="000F389F">
        <w:rPr>
          <w:rFonts w:hint="eastAsia"/>
        </w:rPr>
        <w:t>警政署函復</w:t>
      </w:r>
      <w:proofErr w:type="gramEnd"/>
      <w:r w:rsidR="000F389F">
        <w:rPr>
          <w:rFonts w:hint="eastAsia"/>
        </w:rPr>
        <w:t>說明，調度司法警察條例自101年由立法委員陳其邁及高金素梅提出修正（廢止）以來，該署</w:t>
      </w:r>
      <w:r w:rsidR="008278BC">
        <w:rPr>
          <w:rFonts w:hint="eastAsia"/>
        </w:rPr>
        <w:t>亦一貫主張廢止該</w:t>
      </w:r>
      <w:r w:rsidR="000F389F">
        <w:rPr>
          <w:rFonts w:hint="eastAsia"/>
        </w:rPr>
        <w:t>條例，其理由如下：</w:t>
      </w:r>
    </w:p>
    <w:p w:rsidR="000F389F" w:rsidRDefault="008278BC" w:rsidP="000F389F">
      <w:pPr>
        <w:pStyle w:val="4"/>
      </w:pPr>
      <w:r>
        <w:rPr>
          <w:rFonts w:hint="eastAsia"/>
        </w:rPr>
        <w:t>不合時宜：調度司法警察</w:t>
      </w:r>
      <w:r w:rsidR="000F389F">
        <w:rPr>
          <w:rFonts w:hint="eastAsia"/>
        </w:rPr>
        <w:t>條例制定於34年，相關用語及規範內容，依其時代背景，早不合時宜且</w:t>
      </w:r>
      <w:proofErr w:type="gramStart"/>
      <w:r w:rsidR="000F389F">
        <w:rPr>
          <w:rFonts w:hint="eastAsia"/>
        </w:rPr>
        <w:t>悖離</w:t>
      </w:r>
      <w:proofErr w:type="gramEnd"/>
      <w:r w:rsidR="000F389F">
        <w:rPr>
          <w:rFonts w:hint="eastAsia"/>
        </w:rPr>
        <w:t>現實。又本條例制定目的在於規範檢警偵查事項時指揮命令關係，</w:t>
      </w:r>
      <w:proofErr w:type="gramStart"/>
      <w:r w:rsidR="000F389F">
        <w:rPr>
          <w:rFonts w:hint="eastAsia"/>
        </w:rPr>
        <w:t>惟查檢</w:t>
      </w:r>
      <w:proofErr w:type="gramEnd"/>
      <w:r w:rsidR="000F389F">
        <w:rPr>
          <w:rFonts w:hint="eastAsia"/>
        </w:rPr>
        <w:t>警職能分工，刑事訴訟法已有詳細具體規範，該條例無留存必要。</w:t>
      </w:r>
    </w:p>
    <w:p w:rsidR="000F389F" w:rsidRDefault="008278BC" w:rsidP="000F389F">
      <w:pPr>
        <w:pStyle w:val="4"/>
      </w:pPr>
      <w:proofErr w:type="gramStart"/>
      <w:r>
        <w:rPr>
          <w:rFonts w:hint="eastAsia"/>
        </w:rPr>
        <w:t>檢警院關係</w:t>
      </w:r>
      <w:proofErr w:type="gramEnd"/>
      <w:r>
        <w:rPr>
          <w:rFonts w:hint="eastAsia"/>
        </w:rPr>
        <w:t>規範欠明確：該</w:t>
      </w:r>
      <w:r w:rsidR="000F389F">
        <w:rPr>
          <w:rFonts w:hint="eastAsia"/>
        </w:rPr>
        <w:t>條例第1條所定「偵查執行事件」文義籠統，缺乏明確性。法院、檢察官及警察間協助、指揮及命令等關係，除法律明文規定者外，對於非屬偵查犯罪或無法源依據之事項者，即援引本條例作為指揮司法警察執行工作之依據，脫離刑事訴訟核心事項，造成司法警察機關長期人力龐大負擔，同行監督即屬明顯案例。</w:t>
      </w:r>
    </w:p>
    <w:p w:rsidR="000F389F" w:rsidRDefault="008278BC" w:rsidP="000F389F">
      <w:pPr>
        <w:pStyle w:val="4"/>
      </w:pPr>
      <w:proofErr w:type="gramStart"/>
      <w:r>
        <w:rPr>
          <w:rFonts w:hint="eastAsia"/>
        </w:rPr>
        <w:t>逕</w:t>
      </w:r>
      <w:proofErr w:type="gramEnd"/>
      <w:r>
        <w:rPr>
          <w:rFonts w:hint="eastAsia"/>
        </w:rPr>
        <w:t>予獎懲權有所不宜：人事獎懲本為機關行政倫理與考核權，該</w:t>
      </w:r>
      <w:r w:rsidR="000F389F">
        <w:rPr>
          <w:rFonts w:hint="eastAsia"/>
        </w:rPr>
        <w:t>條例賦予檢察官、法官得對警察</w:t>
      </w:r>
      <w:proofErr w:type="gramStart"/>
      <w:r w:rsidR="000F389F">
        <w:rPr>
          <w:rFonts w:hint="eastAsia"/>
        </w:rPr>
        <w:t>逕</w:t>
      </w:r>
      <w:proofErr w:type="gramEnd"/>
      <w:r w:rsidR="000F389F">
        <w:rPr>
          <w:rFonts w:hint="eastAsia"/>
        </w:rPr>
        <w:t>予獎懲，嚴重侵害機關權責，紊亂人事獎懲體系，</w:t>
      </w:r>
      <w:proofErr w:type="gramStart"/>
      <w:r w:rsidR="000F389F">
        <w:rPr>
          <w:rFonts w:hint="eastAsia"/>
        </w:rPr>
        <w:t>悖離</w:t>
      </w:r>
      <w:proofErr w:type="gramEnd"/>
      <w:r w:rsidR="000F389F">
        <w:rPr>
          <w:rFonts w:hint="eastAsia"/>
        </w:rPr>
        <w:t>各機關應有運作與規範。</w:t>
      </w:r>
    </w:p>
    <w:p w:rsidR="000F389F" w:rsidRDefault="000F389F" w:rsidP="000F389F">
      <w:pPr>
        <w:pStyle w:val="4"/>
      </w:pPr>
      <w:r>
        <w:rPr>
          <w:rFonts w:hint="eastAsia"/>
        </w:rPr>
        <w:t>各界反映：自101年起即有立法委員質疑本條例不符現況，復於106年司法改革國是會議，學者及基層員警亦積極投書期許即早回歸常態法制。同年開放政府平</w:t>
      </w:r>
      <w:proofErr w:type="gramStart"/>
      <w:r>
        <w:rPr>
          <w:rFonts w:hint="eastAsia"/>
        </w:rPr>
        <w:t>臺</w:t>
      </w:r>
      <w:proofErr w:type="gramEnd"/>
      <w:r>
        <w:rPr>
          <w:rFonts w:hint="eastAsia"/>
        </w:rPr>
        <w:t>唐鳳政</w:t>
      </w:r>
      <w:proofErr w:type="gramStart"/>
      <w:r>
        <w:rPr>
          <w:rFonts w:hint="eastAsia"/>
        </w:rPr>
        <w:t>務</w:t>
      </w:r>
      <w:proofErr w:type="gramEnd"/>
      <w:r>
        <w:rPr>
          <w:rFonts w:hint="eastAsia"/>
        </w:rPr>
        <w:t>委員回應提案主持討論會議，法務部之回應意見，僅稱將納入修法參考，並將會同刑事訴訟法主管機關司法院就相關配套法令進行完整</w:t>
      </w:r>
      <w:proofErr w:type="gramStart"/>
      <w:r>
        <w:rPr>
          <w:rFonts w:hint="eastAsia"/>
        </w:rPr>
        <w:t>研</w:t>
      </w:r>
      <w:proofErr w:type="gramEnd"/>
      <w:r>
        <w:rPr>
          <w:rFonts w:hint="eastAsia"/>
        </w:rPr>
        <w:t>議後，再一併提案函請立法院審議，惟迄今仍未見具體作法。另於107年7月</w:t>
      </w:r>
      <w:r>
        <w:rPr>
          <w:rFonts w:hint="eastAsia"/>
        </w:rPr>
        <w:lastRenderedPageBreak/>
        <w:t>26</w:t>
      </w:r>
      <w:r w:rsidR="008278BC">
        <w:rPr>
          <w:rFonts w:hint="eastAsia"/>
        </w:rPr>
        <w:t>日，立法委員李麗芬及周春米召開記者會，表示該</w:t>
      </w:r>
      <w:r>
        <w:rPr>
          <w:rFonts w:hint="eastAsia"/>
        </w:rPr>
        <w:t>條例應予修正，以明確規範限縮檢察官對於司法警察之指揮權。</w:t>
      </w:r>
    </w:p>
    <w:p w:rsidR="0052341A" w:rsidRPr="0052341A" w:rsidRDefault="000F389F" w:rsidP="0052341A">
      <w:pPr>
        <w:pStyle w:val="4"/>
        <w:rPr>
          <w:rFonts w:hAnsi="標楷體"/>
        </w:rPr>
      </w:pPr>
      <w:r>
        <w:rPr>
          <w:rFonts w:hint="eastAsia"/>
        </w:rPr>
        <w:t>職權轉嫁：按法院組織法、「臺灣高等法院及所屬各級法院法警執行職務應行注意事項」及「臺灣高等檢察署暨所屬各級檢察署法警執行職務應行注意事項」，法警之職權含送達、調查、逮捕、拘提、搜索、扣押、警衛、執行、人犯解送、</w:t>
      </w:r>
      <w:proofErr w:type="gramStart"/>
      <w:r>
        <w:rPr>
          <w:rFonts w:hint="eastAsia"/>
        </w:rPr>
        <w:t>值庭</w:t>
      </w:r>
      <w:proofErr w:type="gramEnd"/>
      <w:r>
        <w:rPr>
          <w:rFonts w:hint="eastAsia"/>
        </w:rPr>
        <w:t>、安全防護、同行及其他有關事項。因此，警衛、執行、</w:t>
      </w:r>
      <w:proofErr w:type="gramStart"/>
      <w:r>
        <w:rPr>
          <w:rFonts w:hint="eastAsia"/>
        </w:rPr>
        <w:t>值庭及</w:t>
      </w:r>
      <w:proofErr w:type="gramEnd"/>
      <w:r>
        <w:rPr>
          <w:rFonts w:hint="eastAsia"/>
        </w:rPr>
        <w:t>安全防護（即戒護）</w:t>
      </w:r>
      <w:proofErr w:type="gramStart"/>
      <w:r>
        <w:rPr>
          <w:rFonts w:hint="eastAsia"/>
        </w:rPr>
        <w:t>均為法警</w:t>
      </w:r>
      <w:proofErr w:type="gramEnd"/>
      <w:r>
        <w:rPr>
          <w:rFonts w:hint="eastAsia"/>
        </w:rPr>
        <w:t>特有職權，惟目前常態性皆以法警人力不足而轉嫁基層警察機關協助執行，造成基層警力消耗，無法回歸各部門本職。</w:t>
      </w:r>
    </w:p>
    <w:p w:rsidR="0052341A" w:rsidRPr="0052341A" w:rsidRDefault="00B52BC7" w:rsidP="0052341A">
      <w:pPr>
        <w:pStyle w:val="3"/>
        <w:rPr>
          <w:rFonts w:hAnsi="標楷體"/>
        </w:rPr>
      </w:pPr>
      <w:r>
        <w:rPr>
          <w:rFonts w:hint="eastAsia"/>
        </w:rPr>
        <w:t>法務部亦對調度司法警察條例之用語不合時宜之部分，表示應</w:t>
      </w:r>
      <w:r w:rsidR="008278BC">
        <w:rPr>
          <w:rFonts w:hint="eastAsia"/>
        </w:rPr>
        <w:t>予</w:t>
      </w:r>
      <w:r>
        <w:rPr>
          <w:rFonts w:hint="eastAsia"/>
        </w:rPr>
        <w:t>修正</w:t>
      </w:r>
      <w:r w:rsidRPr="0052341A">
        <w:rPr>
          <w:rFonts w:hint="eastAsia"/>
          <w:sz w:val="28"/>
        </w:rPr>
        <w:t>，</w:t>
      </w:r>
      <w:r w:rsidRPr="00B52BC7">
        <w:rPr>
          <w:rFonts w:hint="eastAsia"/>
        </w:rPr>
        <w:t>其說明如下</w:t>
      </w:r>
      <w:r>
        <w:rPr>
          <w:rFonts w:hint="eastAsia"/>
        </w:rPr>
        <w:t>：</w:t>
      </w:r>
      <w:r w:rsidRPr="0052341A">
        <w:rPr>
          <w:rFonts w:hAnsi="標楷體" w:hint="eastAsia"/>
        </w:rPr>
        <w:t>「</w:t>
      </w:r>
      <w:r w:rsidR="0052341A" w:rsidRPr="0052341A">
        <w:rPr>
          <w:rFonts w:hAnsi="標楷體" w:hint="eastAsia"/>
        </w:rPr>
        <w:t>法務部對於調度司法警察條例之相關規定認有不合時宜之處而有修正之必要，說明如下：本條例於34年制定公布，曾於69年配合審檢分</w:t>
      </w:r>
      <w:proofErr w:type="gramStart"/>
      <w:r w:rsidR="0052341A" w:rsidRPr="0052341A">
        <w:rPr>
          <w:rFonts w:hAnsi="標楷體" w:hint="eastAsia"/>
        </w:rPr>
        <w:t>隸</w:t>
      </w:r>
      <w:proofErr w:type="gramEnd"/>
      <w:r w:rsidR="0052341A" w:rsidRPr="0052341A">
        <w:rPr>
          <w:rFonts w:hAnsi="標楷體" w:hint="eastAsia"/>
        </w:rPr>
        <w:t>，修正第12條、第13條條文。</w:t>
      </w:r>
      <w:proofErr w:type="gramStart"/>
      <w:r w:rsidR="0052341A" w:rsidRPr="0052341A">
        <w:rPr>
          <w:rFonts w:hAnsi="標楷體" w:hint="eastAsia"/>
        </w:rPr>
        <w:t>嗣</w:t>
      </w:r>
      <w:proofErr w:type="gramEnd"/>
      <w:r w:rsidR="0052341A" w:rsidRPr="0052341A">
        <w:rPr>
          <w:rFonts w:hAnsi="標楷體" w:hint="eastAsia"/>
        </w:rPr>
        <w:t>法院組織法於78年12月22</w:t>
      </w:r>
      <w:r w:rsidR="008278BC">
        <w:rPr>
          <w:rFonts w:hAnsi="標楷體" w:hint="eastAsia"/>
        </w:rPr>
        <w:t>日修正公布時，將『推事』、『首席檢察官』、『檢察長』等用語，分別修正為『法官』、『檢察長』、『檢察總長』</w:t>
      </w:r>
      <w:r w:rsidR="0052341A" w:rsidRPr="0052341A">
        <w:rPr>
          <w:rFonts w:hAnsi="標楷體" w:hint="eastAsia"/>
        </w:rPr>
        <w:t>。又刑事訴訟法第229條、第230條、第231條關於協助檢察官偵查之司法警察官、受</w:t>
      </w:r>
      <w:r w:rsidR="008278BC">
        <w:rPr>
          <w:rFonts w:hAnsi="標楷體" w:hint="eastAsia"/>
        </w:rPr>
        <w:t>檢察官指揮偵查之司法警察官及受檢察官命令之司法警察，</w:t>
      </w:r>
      <w:proofErr w:type="gramStart"/>
      <w:r w:rsidR="008278BC">
        <w:rPr>
          <w:rFonts w:hAnsi="標楷體" w:hint="eastAsia"/>
        </w:rPr>
        <w:t>迭經修正</w:t>
      </w:r>
      <w:proofErr w:type="gramEnd"/>
      <w:r w:rsidR="008278BC">
        <w:rPr>
          <w:rFonts w:hAnsi="標楷體" w:hint="eastAsia"/>
        </w:rPr>
        <w:t>，該條例有關市長、縣長於其轄區內為司法警察官，以及『設治局長』、『警察廳長』、『</w:t>
      </w:r>
      <w:r w:rsidR="0052341A" w:rsidRPr="0052341A">
        <w:rPr>
          <w:rFonts w:hAnsi="標楷體" w:hint="eastAsia"/>
        </w:rPr>
        <w:t>警</w:t>
      </w:r>
      <w:r w:rsidR="008278BC">
        <w:rPr>
          <w:rFonts w:hAnsi="標楷體" w:hint="eastAsia"/>
        </w:rPr>
        <w:t>保處長』、『</w:t>
      </w:r>
      <w:proofErr w:type="gramStart"/>
      <w:r w:rsidR="00DE608A">
        <w:rPr>
          <w:rFonts w:hAnsi="標楷體" w:hint="eastAsia"/>
        </w:rPr>
        <w:t>警士</w:t>
      </w:r>
      <w:proofErr w:type="gramEnd"/>
      <w:r w:rsidR="00DE608A">
        <w:rPr>
          <w:rFonts w:hAnsi="標楷體" w:hint="eastAsia"/>
        </w:rPr>
        <w:t>』、『保安機關』、『警備機關』</w:t>
      </w:r>
      <w:r w:rsidR="0052341A" w:rsidRPr="0052341A">
        <w:rPr>
          <w:rFonts w:hAnsi="標楷體" w:hint="eastAsia"/>
        </w:rPr>
        <w:t>等用語，</w:t>
      </w:r>
      <w:proofErr w:type="gramStart"/>
      <w:r w:rsidR="0052341A" w:rsidRPr="0052341A">
        <w:rPr>
          <w:rFonts w:hAnsi="標楷體" w:hint="eastAsia"/>
        </w:rPr>
        <w:t>均已不合時宜</w:t>
      </w:r>
      <w:proofErr w:type="gramEnd"/>
      <w:r w:rsidR="0052341A" w:rsidRPr="0052341A">
        <w:rPr>
          <w:rFonts w:hAnsi="標楷體" w:hint="eastAsia"/>
        </w:rPr>
        <w:t>，有修正或刪除之必要。</w:t>
      </w:r>
      <w:r w:rsidR="00DE608A">
        <w:rPr>
          <w:rFonts w:hAnsi="標楷體" w:hint="eastAsia"/>
        </w:rPr>
        <w:t>」</w:t>
      </w:r>
    </w:p>
    <w:p w:rsidR="00807750" w:rsidRDefault="00DE608A" w:rsidP="00807750">
      <w:pPr>
        <w:pStyle w:val="3"/>
      </w:pPr>
      <w:r>
        <w:rPr>
          <w:rFonts w:hint="eastAsia"/>
        </w:rPr>
        <w:t>再查本案</w:t>
      </w:r>
      <w:r w:rsidR="000F389F">
        <w:rPr>
          <w:rFonts w:hint="eastAsia"/>
        </w:rPr>
        <w:t>有關命刑事被告辦理報到之業務，實與防逃</w:t>
      </w:r>
      <w:r w:rsidR="006A2145">
        <w:rPr>
          <w:rFonts w:hint="eastAsia"/>
        </w:rPr>
        <w:t>業務</w:t>
      </w:r>
      <w:r w:rsidR="000F389F">
        <w:rPr>
          <w:rFonts w:hint="eastAsia"/>
        </w:rPr>
        <w:t>息息相關，若依刑事訴訟法規定，無論是防</w:t>
      </w:r>
      <w:r w:rsidR="000F389F">
        <w:rPr>
          <w:rFonts w:hint="eastAsia"/>
        </w:rPr>
        <w:lastRenderedPageBreak/>
        <w:t>逃或報到之業務皆以法院及檢察署為主體，而今卻透過</w:t>
      </w:r>
      <w:r w:rsidR="0012201E">
        <w:rPr>
          <w:rFonts w:hint="eastAsia"/>
        </w:rPr>
        <w:t>調度司法警察條例轉嫁至警察機關，</w:t>
      </w:r>
      <w:r w:rsidR="00B62FEB">
        <w:rPr>
          <w:rFonts w:hint="eastAsia"/>
        </w:rPr>
        <w:t>明</w:t>
      </w:r>
      <w:r>
        <w:rPr>
          <w:rFonts w:hint="eastAsia"/>
        </w:rPr>
        <w:t>顯於法不合</w:t>
      </w:r>
      <w:r w:rsidR="00B62FEB">
        <w:rPr>
          <w:rFonts w:hint="eastAsia"/>
        </w:rPr>
        <w:t>。</w:t>
      </w:r>
      <w:r>
        <w:rPr>
          <w:rFonts w:hint="eastAsia"/>
        </w:rPr>
        <w:t>又本院多次提出調查報告提出有關調度司法警察條例之問題與不合時宜之處，建議應予修正相關</w:t>
      </w:r>
      <w:r w:rsidR="0012402C">
        <w:rPr>
          <w:rFonts w:hint="eastAsia"/>
        </w:rPr>
        <w:t>規範，其內容如下：</w:t>
      </w:r>
    </w:p>
    <w:p w:rsidR="006A2145" w:rsidRDefault="006A2145" w:rsidP="00807750">
      <w:pPr>
        <w:pStyle w:val="4"/>
      </w:pPr>
      <w:r>
        <w:rPr>
          <w:rFonts w:hint="eastAsia"/>
        </w:rPr>
        <w:t>本院曾於106年提出</w:t>
      </w:r>
      <w:r w:rsidR="00807750" w:rsidRPr="00807750">
        <w:rPr>
          <w:rFonts w:hint="eastAsia"/>
        </w:rPr>
        <w:t>「調度司法警察條例與檢警聯繫運作等情」</w:t>
      </w:r>
      <w:r>
        <w:rPr>
          <w:rFonts w:hint="eastAsia"/>
        </w:rPr>
        <w:t>調查報告</w:t>
      </w:r>
      <w:r w:rsidR="00807750">
        <w:rPr>
          <w:rFonts w:hint="eastAsia"/>
        </w:rPr>
        <w:t>中</w:t>
      </w:r>
      <w:r>
        <w:rPr>
          <w:rFonts w:hint="eastAsia"/>
        </w:rPr>
        <w:t>指出：「</w:t>
      </w:r>
      <w:r w:rsidRPr="006A2145">
        <w:rPr>
          <w:rFonts w:hint="eastAsia"/>
        </w:rPr>
        <w:t>檢討實務上司法警察機關對於本條例之各項主要爭議事項，其中檢察機關要求司法警察機關耗費龐大人力執行無實效之防逃監控等情，仍有待檢討改善；自104年迄今各警察機關仍有210人次借調或支援各檢察機關偵辦案件</w:t>
      </w:r>
      <w:r w:rsidRPr="00417797">
        <w:rPr>
          <w:rFonts w:hAnsi="標楷體"/>
          <w:bCs/>
        </w:rPr>
        <w:t>…</w:t>
      </w:r>
      <w:proofErr w:type="gramStart"/>
      <w:r w:rsidRPr="00417797">
        <w:rPr>
          <w:rFonts w:hAnsi="標楷體"/>
          <w:bCs/>
        </w:rPr>
        <w:t>…</w:t>
      </w:r>
      <w:proofErr w:type="gramEnd"/>
      <w:r w:rsidRPr="006A2145">
        <w:rPr>
          <w:rFonts w:hint="eastAsia"/>
        </w:rPr>
        <w:t>調度司法警察條例第1條明定檢察官於辦理執行事件，有指揮命令司法警察之權。司法院雖已</w:t>
      </w:r>
      <w:proofErr w:type="gramStart"/>
      <w:r w:rsidRPr="006A2145">
        <w:rPr>
          <w:rFonts w:hint="eastAsia"/>
        </w:rPr>
        <w:t>研</w:t>
      </w:r>
      <w:proofErr w:type="gramEnd"/>
      <w:r w:rsidRPr="006A2145">
        <w:rPr>
          <w:rFonts w:hint="eastAsia"/>
        </w:rPr>
        <w:t>定刑事訴訟法之防逃機制條文並送請立法院審議，然在立法通過前，為能確保刑之執行，檢察機關審酌個案需要，指揮司法警察機關執行防逃專案，屬其司法權之核心事項，各司法警察機關基於職責自應予配合。惟各司法警察機關一再反映各檢察機關指揮命令之指令</w:t>
      </w:r>
      <w:r w:rsidRPr="006A2145">
        <w:rPr>
          <w:rFonts w:hint="eastAsia"/>
          <w:b/>
        </w:rPr>
        <w:t>，未衡量有效達成確保被告之目的，或僅以一紙公文行之，或未妥</w:t>
      </w:r>
      <w:proofErr w:type="gramStart"/>
      <w:r w:rsidRPr="006A2145">
        <w:rPr>
          <w:rFonts w:hint="eastAsia"/>
          <w:b/>
        </w:rPr>
        <w:t>適</w:t>
      </w:r>
      <w:proofErr w:type="gramEnd"/>
      <w:r w:rsidRPr="006A2145">
        <w:rPr>
          <w:rFonts w:hint="eastAsia"/>
          <w:b/>
        </w:rPr>
        <w:t>協調各司法警察機關進行分工，造成其負擔沈重並嚴重排擠維護治安、偵查等本職工作之推展</w:t>
      </w:r>
      <w:r w:rsidRPr="006A2145">
        <w:rPr>
          <w:rFonts w:hint="eastAsia"/>
        </w:rPr>
        <w:t>。法務部廉政署並建議法務部宜參酌臺灣基隆地方檢察署於受刑人黃景泰防逃專案之具體作法，要求各檢察機關預先召開協調會議進行</w:t>
      </w:r>
      <w:proofErr w:type="gramStart"/>
      <w:r w:rsidRPr="006A2145">
        <w:rPr>
          <w:rFonts w:hint="eastAsia"/>
        </w:rPr>
        <w:t>研</w:t>
      </w:r>
      <w:proofErr w:type="gramEnd"/>
      <w:r w:rsidRPr="006A2145">
        <w:rPr>
          <w:rFonts w:hint="eastAsia"/>
        </w:rPr>
        <w:t>商，以強化分工協調及執行效能。以上諸情形，法務部不能</w:t>
      </w:r>
      <w:proofErr w:type="gramStart"/>
      <w:r w:rsidRPr="006A2145">
        <w:rPr>
          <w:rFonts w:hint="eastAsia"/>
        </w:rPr>
        <w:t>諉</w:t>
      </w:r>
      <w:proofErr w:type="gramEnd"/>
      <w:r w:rsidRPr="006A2145">
        <w:rPr>
          <w:rFonts w:hint="eastAsia"/>
        </w:rPr>
        <w:t>責，允宜參酌各司法警察機關之建議，切實檢討現行運作情形，以求周全</w:t>
      </w:r>
      <w:r w:rsidR="00D73EA4">
        <w:rPr>
          <w:rFonts w:hint="eastAsia"/>
        </w:rPr>
        <w:t>。</w:t>
      </w:r>
      <w:r>
        <w:rPr>
          <w:rFonts w:hint="eastAsia"/>
        </w:rPr>
        <w:t>」</w:t>
      </w:r>
    </w:p>
    <w:p w:rsidR="00807750" w:rsidRDefault="00807750" w:rsidP="00807750">
      <w:pPr>
        <w:pStyle w:val="4"/>
      </w:pPr>
      <w:r>
        <w:rPr>
          <w:rFonts w:hint="eastAsia"/>
        </w:rPr>
        <w:t>又於107年本院所提</w:t>
      </w:r>
      <w:r>
        <w:rPr>
          <w:rFonts w:hAnsi="標楷體" w:hint="eastAsia"/>
        </w:rPr>
        <w:t>「花蓮地檢</w:t>
      </w:r>
      <w:r w:rsidR="00773C5F">
        <w:rPr>
          <w:rFonts w:hAnsi="標楷體" w:hint="eastAsia"/>
        </w:rPr>
        <w:t>署</w:t>
      </w:r>
      <w:r>
        <w:rPr>
          <w:rFonts w:hAnsi="標楷體" w:hint="eastAsia"/>
        </w:rPr>
        <w:t>檢察官林俊佑</w:t>
      </w:r>
      <w:r>
        <w:rPr>
          <w:rFonts w:hAnsi="標楷體" w:hint="eastAsia"/>
        </w:rPr>
        <w:lastRenderedPageBreak/>
        <w:t>公審幼兒有失職責</w:t>
      </w:r>
      <w:proofErr w:type="gramStart"/>
      <w:r>
        <w:rPr>
          <w:rFonts w:hAnsi="標楷體" w:hint="eastAsia"/>
        </w:rPr>
        <w:t>等情案</w:t>
      </w:r>
      <w:proofErr w:type="gramEnd"/>
      <w:r>
        <w:rPr>
          <w:rFonts w:hAnsi="標楷體" w:hint="eastAsia"/>
        </w:rPr>
        <w:t>」</w:t>
      </w:r>
      <w:r>
        <w:rPr>
          <w:rFonts w:hint="eastAsia"/>
        </w:rPr>
        <w:t>調查報告亦指出：</w:t>
      </w:r>
      <w:r>
        <w:rPr>
          <w:rFonts w:hAnsi="標楷體" w:hint="eastAsia"/>
        </w:rPr>
        <w:t>「本院前立案調查『調度司法警察條例與檢警聯繫運作等情』</w:t>
      </w:r>
      <w:r w:rsidRPr="00807750">
        <w:rPr>
          <w:rFonts w:hAnsi="標楷體" w:hint="eastAsia"/>
        </w:rPr>
        <w:t>乙案，即已明確指出依法院組織法及警察法內涵，法官、檢察官及司法警察無隸屬關係，各有其法定任務。而我國刑事訴訟現制以檢察官為偵查主體，司法警察為偵查輔助機關，警</w:t>
      </w:r>
      <w:r w:rsidR="00987085">
        <w:rPr>
          <w:rFonts w:hAnsi="標楷體" w:hint="eastAsia"/>
        </w:rPr>
        <w:t>察</w:t>
      </w:r>
      <w:r w:rsidRPr="00807750">
        <w:rPr>
          <w:rFonts w:hAnsi="標楷體" w:hint="eastAsia"/>
        </w:rPr>
        <w:t>在犯罪偵查架構中具有從屬性，且警察輔助及協助執行各項司法任務之規定，</w:t>
      </w:r>
      <w:proofErr w:type="gramStart"/>
      <w:r w:rsidRPr="00807750">
        <w:rPr>
          <w:rFonts w:hAnsi="標楷體" w:hint="eastAsia"/>
        </w:rPr>
        <w:t>復散見於</w:t>
      </w:r>
      <w:proofErr w:type="gramEnd"/>
      <w:r w:rsidRPr="00807750">
        <w:rPr>
          <w:rFonts w:hAnsi="標楷體" w:hint="eastAsia"/>
        </w:rPr>
        <w:t>各項法令，調度司法警察條例仍具有融合不同隸屬機關共同執行職務之價值目的。該條例以概括及不對等之框架，廣泛授予檢察官指揮全國各司法警察機關人員之指令權，固然可收如臂使指之效，但欠缺防止權力濫用之機制，係實務上檢警關係對立緊張的主要因素。本院認為該條例如維持現行規定之運作架構，必須檢討院檢機關有無濫用該條例之情形，並由程序面強化協調及申訴機制。且現有檢警聯繫會議得否作為爭議解決及協調機制？能否有效化解法務部及內政部之見解歧異？兩機關允宜審慎</w:t>
      </w:r>
      <w:proofErr w:type="gramStart"/>
      <w:r w:rsidRPr="00807750">
        <w:rPr>
          <w:rFonts w:hAnsi="標楷體" w:hint="eastAsia"/>
        </w:rPr>
        <w:t>研</w:t>
      </w:r>
      <w:proofErr w:type="gramEnd"/>
      <w:r w:rsidRPr="00807750">
        <w:rPr>
          <w:rFonts w:hAnsi="標楷體" w:hint="eastAsia"/>
        </w:rPr>
        <w:t>議，以維護檢警關係之良性發展，建立合理的協調及監督機制；另宜將檢察官、法官</w:t>
      </w:r>
      <w:proofErr w:type="gramStart"/>
      <w:r w:rsidRPr="00807750">
        <w:rPr>
          <w:rFonts w:hAnsi="標楷體" w:hint="eastAsia"/>
        </w:rPr>
        <w:t>逕</w:t>
      </w:r>
      <w:proofErr w:type="gramEnd"/>
      <w:r w:rsidRPr="00807750">
        <w:rPr>
          <w:rFonts w:hAnsi="標楷體" w:hint="eastAsia"/>
        </w:rPr>
        <w:t>予獎懲權修正為獎懲建議權，且檢察官、法官請求協助或指揮命令時應以書面或補行書面之要式行為為之，</w:t>
      </w:r>
      <w:proofErr w:type="gramStart"/>
      <w:r w:rsidRPr="00807750">
        <w:rPr>
          <w:rFonts w:hAnsi="標楷體" w:hint="eastAsia"/>
        </w:rPr>
        <w:t>以防杜類如</w:t>
      </w:r>
      <w:proofErr w:type="gramEnd"/>
      <w:r w:rsidRPr="00807750">
        <w:rPr>
          <w:rFonts w:hAnsi="標楷體" w:hint="eastAsia"/>
        </w:rPr>
        <w:t>本案弊端再次發生。綜上所述，法務部允宜依據本院上開調查意旨，審慎參酌警察機關建議及</w:t>
      </w:r>
      <w:r w:rsidR="008A314C">
        <w:rPr>
          <w:rFonts w:hAnsi="標楷體" w:hint="eastAsia"/>
        </w:rPr>
        <w:t>司法改革</w:t>
      </w:r>
      <w:r w:rsidRPr="00807750">
        <w:rPr>
          <w:rFonts w:hAnsi="標楷體" w:hint="eastAsia"/>
        </w:rPr>
        <w:t>國是會議決議，納入調度司法警察條例之修法參考，並會同司法院就相關配套法令進行完整</w:t>
      </w:r>
      <w:proofErr w:type="gramStart"/>
      <w:r w:rsidRPr="00807750">
        <w:rPr>
          <w:rFonts w:hAnsi="標楷體" w:hint="eastAsia"/>
        </w:rPr>
        <w:t>研</w:t>
      </w:r>
      <w:proofErr w:type="gramEnd"/>
      <w:r w:rsidRPr="00807750">
        <w:rPr>
          <w:rFonts w:hAnsi="標楷體" w:hint="eastAsia"/>
        </w:rPr>
        <w:t>議，</w:t>
      </w:r>
      <w:proofErr w:type="gramStart"/>
      <w:r w:rsidRPr="00807750">
        <w:rPr>
          <w:rFonts w:hAnsi="標楷體" w:hint="eastAsia"/>
        </w:rPr>
        <w:t>賡</w:t>
      </w:r>
      <w:proofErr w:type="gramEnd"/>
      <w:r w:rsidRPr="00807750">
        <w:rPr>
          <w:rFonts w:hAnsi="標楷體" w:hint="eastAsia"/>
        </w:rPr>
        <w:t>續推動後續修法之法制作業程序。</w:t>
      </w:r>
      <w:r>
        <w:rPr>
          <w:rFonts w:hAnsi="標楷體" w:hint="eastAsia"/>
        </w:rPr>
        <w:t>」再次強調調度司法警察條例之規範內容恐有不合時宜及不利院、檢、警三方合作等缺失。</w:t>
      </w:r>
    </w:p>
    <w:p w:rsidR="0078551E" w:rsidRDefault="0012402C" w:rsidP="0012402C">
      <w:pPr>
        <w:pStyle w:val="3"/>
      </w:pPr>
      <w:r>
        <w:rPr>
          <w:rFonts w:hint="eastAsia"/>
        </w:rPr>
        <w:lastRenderedPageBreak/>
        <w:t>且調度司法警察條例亦賦予院</w:t>
      </w:r>
      <w:r w:rsidR="00A229CE">
        <w:rPr>
          <w:rFonts w:hint="eastAsia"/>
        </w:rPr>
        <w:t>、</w:t>
      </w:r>
      <w:r>
        <w:rPr>
          <w:rFonts w:hint="eastAsia"/>
        </w:rPr>
        <w:t>檢</w:t>
      </w:r>
      <w:proofErr w:type="gramStart"/>
      <w:r>
        <w:rPr>
          <w:rFonts w:hint="eastAsia"/>
        </w:rPr>
        <w:t>逕</w:t>
      </w:r>
      <w:proofErr w:type="gramEnd"/>
      <w:r>
        <w:rPr>
          <w:rFonts w:hint="eastAsia"/>
        </w:rPr>
        <w:t>予獎懲之權，更導致警方對於不當強</w:t>
      </w:r>
      <w:r w:rsidR="00FB31B4">
        <w:rPr>
          <w:rFonts w:hint="eastAsia"/>
        </w:rPr>
        <w:t>加</w:t>
      </w:r>
      <w:r>
        <w:rPr>
          <w:rFonts w:hint="eastAsia"/>
        </w:rPr>
        <w:t>之業務，畏於該獎懲權限，只能沉默接受，然而一旦發生執行疏漏，卻又成為懲處之犧牲品</w:t>
      </w:r>
      <w:r w:rsidR="00B62FEB">
        <w:rPr>
          <w:rFonts w:hint="eastAsia"/>
        </w:rPr>
        <w:t>。</w:t>
      </w:r>
      <w:r>
        <w:rPr>
          <w:rFonts w:hint="eastAsia"/>
        </w:rPr>
        <w:t>以本案為例，</w:t>
      </w:r>
      <w:r w:rsidR="0012201E" w:rsidRPr="0012201E">
        <w:rPr>
          <w:rFonts w:hint="eastAsia"/>
        </w:rPr>
        <w:t>高雄市政府警察局左營分局分局長蔡文峰、左營分局偵查隊長蔡信助、新莊派出所所長黃立凡</w:t>
      </w:r>
      <w:r w:rsidR="00066BDD">
        <w:rPr>
          <w:rFonts w:hint="eastAsia"/>
        </w:rPr>
        <w:t>3</w:t>
      </w:r>
      <w:r w:rsidR="0012201E" w:rsidRPr="0012201E">
        <w:rPr>
          <w:rFonts w:hint="eastAsia"/>
        </w:rPr>
        <w:t>人</w:t>
      </w:r>
      <w:r>
        <w:rPr>
          <w:rFonts w:hint="eastAsia"/>
        </w:rPr>
        <w:t>皆因</w:t>
      </w:r>
      <w:r w:rsidRPr="0012201E">
        <w:rPr>
          <w:rFonts w:hint="eastAsia"/>
        </w:rPr>
        <w:t>執行慶富案少東陳偉志防逃勤務不力</w:t>
      </w:r>
      <w:r w:rsidR="0012201E" w:rsidRPr="0012201E">
        <w:rPr>
          <w:rFonts w:hint="eastAsia"/>
        </w:rPr>
        <w:t>，</w:t>
      </w:r>
      <w:r w:rsidR="00FB31B4" w:rsidRPr="00686B9F">
        <w:rPr>
          <w:rFonts w:hint="eastAsia"/>
        </w:rPr>
        <w:t>情節嚴重為由分別記過</w:t>
      </w:r>
      <w:r w:rsidR="00815D89">
        <w:rPr>
          <w:rFonts w:hint="eastAsia"/>
        </w:rPr>
        <w:t>1</w:t>
      </w:r>
      <w:r w:rsidR="00FB31B4" w:rsidRPr="00686B9F">
        <w:rPr>
          <w:rFonts w:hint="eastAsia"/>
        </w:rPr>
        <w:t>次至</w:t>
      </w:r>
      <w:r w:rsidR="00815D89">
        <w:rPr>
          <w:rFonts w:hint="eastAsia"/>
        </w:rPr>
        <w:t>2</w:t>
      </w:r>
      <w:r w:rsidR="00FB31B4" w:rsidRPr="00686B9F">
        <w:rPr>
          <w:rFonts w:hint="eastAsia"/>
        </w:rPr>
        <w:t>次</w:t>
      </w:r>
      <w:r w:rsidR="00FB31B4">
        <w:rPr>
          <w:rFonts w:hint="eastAsia"/>
        </w:rPr>
        <w:t>，然</w:t>
      </w:r>
      <w:r w:rsidR="00686B9F" w:rsidRPr="00686B9F">
        <w:rPr>
          <w:rFonts w:hint="eastAsia"/>
        </w:rPr>
        <w:t>「防逃勤務」工作</w:t>
      </w:r>
      <w:r w:rsidR="00FB31B4">
        <w:rPr>
          <w:rFonts w:hint="eastAsia"/>
        </w:rPr>
        <w:t>，依據</w:t>
      </w:r>
      <w:r w:rsidR="00686B9F" w:rsidRPr="00686B9F">
        <w:rPr>
          <w:rFonts w:hint="eastAsia"/>
        </w:rPr>
        <w:t>104年7月31日高市府人力</w:t>
      </w:r>
      <w:proofErr w:type="gramStart"/>
      <w:r w:rsidR="00686B9F" w:rsidRPr="00686B9F">
        <w:rPr>
          <w:rFonts w:hint="eastAsia"/>
        </w:rPr>
        <w:t>第10430757100號函發修正</w:t>
      </w:r>
      <w:proofErr w:type="gramEnd"/>
      <w:r w:rsidR="00686B9F" w:rsidRPr="00686B9F">
        <w:rPr>
          <w:rFonts w:hint="eastAsia"/>
        </w:rPr>
        <w:t>「高雄市政府警察局各分局分層負責明細表」(</w:t>
      </w:r>
      <w:proofErr w:type="gramStart"/>
      <w:r w:rsidR="00686B9F" w:rsidRPr="00686B9F">
        <w:rPr>
          <w:rFonts w:hint="eastAsia"/>
        </w:rPr>
        <w:t>乙表</w:t>
      </w:r>
      <w:proofErr w:type="gramEnd"/>
      <w:r w:rsidR="00686B9F" w:rsidRPr="00686B9F">
        <w:rPr>
          <w:rFonts w:hint="eastAsia"/>
        </w:rPr>
        <w:t>)內，「防逃勤務」工作應歸類於分局偵查隊工作項目及內容第</w:t>
      </w:r>
      <w:r w:rsidR="00800744">
        <w:rPr>
          <w:rFonts w:hint="eastAsia"/>
        </w:rPr>
        <w:t>2</w:t>
      </w:r>
      <w:r w:rsidR="00686B9F" w:rsidRPr="00686B9F">
        <w:rPr>
          <w:rFonts w:hint="eastAsia"/>
        </w:rPr>
        <w:t>項內容</w:t>
      </w:r>
      <w:r w:rsidR="00800744">
        <w:rPr>
          <w:rFonts w:hint="eastAsia"/>
        </w:rPr>
        <w:t>5</w:t>
      </w:r>
      <w:r w:rsidR="00686B9F" w:rsidRPr="00686B9F">
        <w:rPr>
          <w:rFonts w:hint="eastAsia"/>
        </w:rPr>
        <w:t>：司法機關囑託事項類</w:t>
      </w:r>
      <w:r w:rsidR="00FB31B4">
        <w:rPr>
          <w:rFonts w:hint="eastAsia"/>
        </w:rPr>
        <w:t>而非例行工作</w:t>
      </w:r>
      <w:r w:rsidR="00B62FEB">
        <w:rPr>
          <w:rStyle w:val="aff"/>
        </w:rPr>
        <w:footnoteReference w:id="28"/>
      </w:r>
      <w:r w:rsidR="00686B9F" w:rsidRPr="00686B9F">
        <w:rPr>
          <w:rFonts w:hint="eastAsia"/>
        </w:rPr>
        <w:t>。</w:t>
      </w:r>
      <w:r w:rsidR="00FB31B4">
        <w:rPr>
          <w:rFonts w:hint="eastAsia"/>
        </w:rPr>
        <w:t>又依</w:t>
      </w:r>
      <w:r w:rsidR="00686B9F" w:rsidRPr="00686B9F">
        <w:rPr>
          <w:rFonts w:hint="eastAsia"/>
        </w:rPr>
        <w:t>刑事訴訟法第116條之2第4</w:t>
      </w:r>
      <w:r w:rsidR="00FB31B4">
        <w:rPr>
          <w:rFonts w:hint="eastAsia"/>
        </w:rPr>
        <w:t>款實規定報到主體乃</w:t>
      </w:r>
      <w:r w:rsidR="00686B9F" w:rsidRPr="00686B9F">
        <w:rPr>
          <w:rFonts w:hint="eastAsia"/>
        </w:rPr>
        <w:t>為檢察官及法院，</w:t>
      </w:r>
      <w:proofErr w:type="gramStart"/>
      <w:r w:rsidR="00FB31B4">
        <w:rPr>
          <w:rFonts w:hint="eastAsia"/>
        </w:rPr>
        <w:t>且觀諸院</w:t>
      </w:r>
      <w:proofErr w:type="gramEnd"/>
      <w:r w:rsidR="00FB31B4">
        <w:rPr>
          <w:rFonts w:hint="eastAsia"/>
        </w:rPr>
        <w:t>檢囑託辦理之公文，皆無明確說明辦理依據及方式，該業務之執行院檢亦未</w:t>
      </w:r>
      <w:r w:rsidR="001B1389">
        <w:rPr>
          <w:rFonts w:hint="eastAsia"/>
        </w:rPr>
        <w:t>訂</w:t>
      </w:r>
      <w:r w:rsidR="00FB31B4">
        <w:rPr>
          <w:rFonts w:hint="eastAsia"/>
        </w:rPr>
        <w:t>定相關細節性及</w:t>
      </w:r>
      <w:r w:rsidR="00610E06">
        <w:rPr>
          <w:rFonts w:hint="eastAsia"/>
        </w:rPr>
        <w:t>聯</w:t>
      </w:r>
      <w:r w:rsidR="00FB31B4">
        <w:rPr>
          <w:rFonts w:hint="eastAsia"/>
        </w:rPr>
        <w:t>繫規則，故將該執行疏漏全推由警方負責，恐非得宜</w:t>
      </w:r>
      <w:r w:rsidR="00686B9F" w:rsidRPr="00686B9F">
        <w:rPr>
          <w:rFonts w:hint="eastAsia"/>
        </w:rPr>
        <w:t>。</w:t>
      </w:r>
      <w:r w:rsidR="00FB31B4">
        <w:rPr>
          <w:rFonts w:hint="eastAsia"/>
        </w:rPr>
        <w:t>此種將業務囑託思維之最大弊病，即</w:t>
      </w:r>
      <w:r w:rsidR="00923819">
        <w:rPr>
          <w:rFonts w:hint="eastAsia"/>
        </w:rPr>
        <w:t>未</w:t>
      </w:r>
      <w:r w:rsidR="00FB31B4">
        <w:rPr>
          <w:rFonts w:hint="eastAsia"/>
        </w:rPr>
        <w:t>考量政府</w:t>
      </w:r>
      <w:r w:rsidR="00FB31B4">
        <w:rPr>
          <w:rFonts w:hAnsi="標楷體" w:hint="eastAsia"/>
        </w:rPr>
        <w:t>「設</w:t>
      </w:r>
      <w:proofErr w:type="gramStart"/>
      <w:r w:rsidR="00FB31B4">
        <w:rPr>
          <w:rFonts w:hAnsi="標楷體" w:hint="eastAsia"/>
        </w:rPr>
        <w:t>官分職</w:t>
      </w:r>
      <w:proofErr w:type="gramEnd"/>
      <w:r w:rsidR="00FB31B4">
        <w:rPr>
          <w:rFonts w:hAnsi="標楷體" w:hint="eastAsia"/>
        </w:rPr>
        <w:t>、各司其事」之道理，</w:t>
      </w:r>
      <w:proofErr w:type="gramStart"/>
      <w:r w:rsidR="00FB31B4">
        <w:rPr>
          <w:rFonts w:hAnsi="標楷體" w:hint="eastAsia"/>
        </w:rPr>
        <w:t>倘院檢</w:t>
      </w:r>
      <w:proofErr w:type="gramEnd"/>
      <w:r w:rsidR="00FB31B4">
        <w:rPr>
          <w:rFonts w:hAnsi="標楷體" w:hint="eastAsia"/>
        </w:rPr>
        <w:t>機關本身無力為之，也應於全國各機關之人事、業務及預算上重新分配，才能彰顯各機關的人員、預算與其工作是否成正比，也才</w:t>
      </w:r>
      <w:proofErr w:type="gramStart"/>
      <w:r w:rsidR="00FB31B4">
        <w:rPr>
          <w:rFonts w:hAnsi="標楷體" w:hint="eastAsia"/>
        </w:rPr>
        <w:t>能夠課責並</w:t>
      </w:r>
      <w:proofErr w:type="gramEnd"/>
      <w:r w:rsidR="00FB31B4">
        <w:rPr>
          <w:rFonts w:hAnsi="標楷體" w:hint="eastAsia"/>
        </w:rPr>
        <w:t>符合責任政治之原理</w:t>
      </w:r>
      <w:r w:rsidR="00FB31B4">
        <w:rPr>
          <w:rStyle w:val="aff"/>
          <w:rFonts w:hAnsi="標楷體"/>
        </w:rPr>
        <w:footnoteReference w:id="29"/>
      </w:r>
      <w:r w:rsidR="00FB31B4">
        <w:rPr>
          <w:rFonts w:hAnsi="標楷體" w:hint="eastAsia"/>
        </w:rPr>
        <w:t>。</w:t>
      </w:r>
    </w:p>
    <w:p w:rsidR="000B6427" w:rsidRPr="000B6427" w:rsidRDefault="00B45ABF" w:rsidP="000B6427">
      <w:pPr>
        <w:pStyle w:val="3"/>
      </w:pPr>
      <w:r>
        <w:rPr>
          <w:rFonts w:hint="eastAsia"/>
        </w:rPr>
        <w:t>綜上，</w:t>
      </w:r>
      <w:r w:rsidR="00B62FEB" w:rsidRPr="00B62FEB">
        <w:rPr>
          <w:rFonts w:hint="eastAsia"/>
        </w:rPr>
        <w:t>司法院與法務部就防逃業務之執行及囑託司法警察機關辦理被告報到之依據，係調度司法警察條例第1條。然依刑事訴訟法第116條之2第1款規定刑事被告報到之主體應為法院及檢察官之外，防逃業務之主要發動者亦為院檢，倘以調度司法警察條</w:t>
      </w:r>
      <w:r w:rsidR="00B62FEB" w:rsidRPr="00B62FEB">
        <w:rPr>
          <w:rFonts w:hint="eastAsia"/>
        </w:rPr>
        <w:lastRenderedPageBreak/>
        <w:t>例將上述業務委由其辦理，恐有職權轉嫁之慮。</w:t>
      </w:r>
      <w:proofErr w:type="gramStart"/>
      <w:r w:rsidR="00B62FEB" w:rsidRPr="00B62FEB">
        <w:rPr>
          <w:rFonts w:hint="eastAsia"/>
        </w:rPr>
        <w:t>另觀警政</w:t>
      </w:r>
      <w:proofErr w:type="gramEnd"/>
      <w:r w:rsidR="00B62FEB" w:rsidRPr="00B62FEB">
        <w:rPr>
          <w:rFonts w:hint="eastAsia"/>
        </w:rPr>
        <w:t>署提供之近10年囑託辦理報到數據，亦有日益增長之趨勢。惟該報到之業務非屬警方例行勤務，若透過調度司法警察條例強加為之，恐造成警力之不當負荷，更破壞院檢警之互助關係；另調度司法警察條例於34年立法公布後，其仍「推事」、「設治局長」、「警察廳長」、「警保處長」、「</w:t>
      </w:r>
      <w:proofErr w:type="gramStart"/>
      <w:r w:rsidR="00B62FEB" w:rsidRPr="00B62FEB">
        <w:rPr>
          <w:rFonts w:hint="eastAsia"/>
        </w:rPr>
        <w:t>警士</w:t>
      </w:r>
      <w:proofErr w:type="gramEnd"/>
      <w:r w:rsidR="00B62FEB" w:rsidRPr="00B62FEB">
        <w:rPr>
          <w:rFonts w:hint="eastAsia"/>
        </w:rPr>
        <w:t>」、「保安機關」、「警備機關」等不合時宜之用語，實有通盤檢討之必要。司法院、法務部及內政部允宜考量警力業務之負荷情形及院、檢、警三方權責之分際，共同</w:t>
      </w:r>
      <w:proofErr w:type="gramStart"/>
      <w:r w:rsidR="00B62FEB" w:rsidRPr="00B62FEB">
        <w:rPr>
          <w:rFonts w:hint="eastAsia"/>
        </w:rPr>
        <w:t>研議該</w:t>
      </w:r>
      <w:proofErr w:type="gramEnd"/>
      <w:r w:rsidR="00B62FEB" w:rsidRPr="00B62FEB">
        <w:rPr>
          <w:rFonts w:hint="eastAsia"/>
        </w:rPr>
        <w:t>法之修正，以落實責任政治之旨。</w:t>
      </w:r>
    </w:p>
    <w:p w:rsidR="0078551E" w:rsidRPr="006D2C43" w:rsidRDefault="00167B7D" w:rsidP="006D2C43">
      <w:pPr>
        <w:pStyle w:val="2"/>
        <w:rPr>
          <w:b/>
        </w:rPr>
      </w:pPr>
      <w:r w:rsidRPr="006D2C43">
        <w:rPr>
          <w:rFonts w:hint="eastAsia"/>
          <w:b/>
        </w:rPr>
        <w:t>毋枉</w:t>
      </w:r>
      <w:proofErr w:type="gramStart"/>
      <w:r w:rsidRPr="006D2C43">
        <w:rPr>
          <w:rFonts w:hint="eastAsia"/>
          <w:b/>
        </w:rPr>
        <w:t>毋縱係</w:t>
      </w:r>
      <w:r w:rsidR="00FB30CF" w:rsidRPr="006D2C43">
        <w:rPr>
          <w:rFonts w:hint="eastAsia"/>
          <w:b/>
        </w:rPr>
        <w:t>刑事訴訟</w:t>
      </w:r>
      <w:proofErr w:type="gramEnd"/>
      <w:r w:rsidR="00FB30CF" w:rsidRPr="006D2C43">
        <w:rPr>
          <w:rFonts w:hint="eastAsia"/>
          <w:b/>
        </w:rPr>
        <w:t>之目的</w:t>
      </w:r>
      <w:r w:rsidR="009D018E" w:rsidRPr="006D2C43">
        <w:rPr>
          <w:rFonts w:hint="eastAsia"/>
          <w:b/>
        </w:rPr>
        <w:t>，然近年</w:t>
      </w:r>
      <w:r w:rsidR="00B45ABF">
        <w:rPr>
          <w:rFonts w:hint="eastAsia"/>
          <w:b/>
        </w:rPr>
        <w:t>發生多起棄保潛逃案件，</w:t>
      </w:r>
      <w:r w:rsidRPr="006D2C43">
        <w:rPr>
          <w:rFonts w:hint="eastAsia"/>
          <w:b/>
        </w:rPr>
        <w:t>107年間</w:t>
      </w:r>
      <w:r w:rsidR="00B45ABF">
        <w:rPr>
          <w:rFonts w:hint="eastAsia"/>
          <w:b/>
        </w:rPr>
        <w:t>除本案外，</w:t>
      </w:r>
      <w:r w:rsidR="00B62FEB">
        <w:rPr>
          <w:rFonts w:hint="eastAsia"/>
          <w:b/>
        </w:rPr>
        <w:t>又</w:t>
      </w:r>
      <w:r w:rsidR="00B45ABF">
        <w:rPr>
          <w:rFonts w:hint="eastAsia"/>
          <w:b/>
        </w:rPr>
        <w:t>發生偽造降血</w:t>
      </w:r>
      <w:proofErr w:type="gramStart"/>
      <w:r w:rsidR="00B45ABF">
        <w:rPr>
          <w:rFonts w:hint="eastAsia"/>
          <w:b/>
        </w:rPr>
        <w:t>脂藥「冠脂妥</w:t>
      </w:r>
      <w:proofErr w:type="gramEnd"/>
      <w:r w:rsidR="00B45ABF">
        <w:rPr>
          <w:rFonts w:hint="eastAsia"/>
          <w:b/>
        </w:rPr>
        <w:t>」主嫌潘駿達逃逸案，顯見我國防逃效能</w:t>
      </w:r>
      <w:proofErr w:type="gramStart"/>
      <w:r w:rsidR="009D018E" w:rsidRPr="006D2C43">
        <w:rPr>
          <w:rFonts w:hint="eastAsia"/>
          <w:b/>
        </w:rPr>
        <w:t>不</w:t>
      </w:r>
      <w:proofErr w:type="gramEnd"/>
      <w:r w:rsidR="009D018E" w:rsidRPr="006D2C43">
        <w:rPr>
          <w:rFonts w:hint="eastAsia"/>
          <w:b/>
        </w:rPr>
        <w:t>彰，</w:t>
      </w:r>
      <w:r w:rsidR="00B65C55">
        <w:rPr>
          <w:rFonts w:hint="eastAsia"/>
          <w:b/>
        </w:rPr>
        <w:t>實須改進</w:t>
      </w:r>
      <w:r w:rsidR="00B62FEB">
        <w:rPr>
          <w:rFonts w:hint="eastAsia"/>
          <w:b/>
        </w:rPr>
        <w:t>。</w:t>
      </w:r>
      <w:r w:rsidR="00B65C55">
        <w:rPr>
          <w:rFonts w:hint="eastAsia"/>
          <w:b/>
        </w:rPr>
        <w:t>另</w:t>
      </w:r>
      <w:r w:rsidR="009D018E" w:rsidRPr="006D2C43">
        <w:rPr>
          <w:rFonts w:hint="eastAsia"/>
          <w:b/>
        </w:rPr>
        <w:t>本案</w:t>
      </w:r>
      <w:r w:rsidRPr="006D2C43">
        <w:rPr>
          <w:rFonts w:hint="eastAsia"/>
          <w:b/>
        </w:rPr>
        <w:t>所涉</w:t>
      </w:r>
      <w:r w:rsidR="00E16716">
        <w:rPr>
          <w:rFonts w:hint="eastAsia"/>
          <w:b/>
        </w:rPr>
        <w:t>犯罪金額</w:t>
      </w:r>
      <w:r w:rsidRPr="006D2C43">
        <w:rPr>
          <w:rFonts w:hint="eastAsia"/>
          <w:b/>
        </w:rPr>
        <w:t>極</w:t>
      </w:r>
      <w:r w:rsidR="009D018E" w:rsidRPr="006D2C43">
        <w:rPr>
          <w:rFonts w:hint="eastAsia"/>
          <w:b/>
        </w:rPr>
        <w:t>高，</w:t>
      </w:r>
      <w:r w:rsidR="000809A2">
        <w:rPr>
          <w:rFonts w:hint="eastAsia"/>
          <w:b/>
        </w:rPr>
        <w:t>屬重大經濟犯罪，</w:t>
      </w:r>
      <w:r w:rsidR="00AB56C1" w:rsidRPr="006D2C43">
        <w:rPr>
          <w:rFonts w:hint="eastAsia"/>
          <w:b/>
        </w:rPr>
        <w:t>對國家</w:t>
      </w:r>
      <w:r w:rsidR="00B62FEB">
        <w:rPr>
          <w:rFonts w:hint="eastAsia"/>
          <w:b/>
        </w:rPr>
        <w:t>金融秩序及</w:t>
      </w:r>
      <w:r w:rsidR="00AB56C1" w:rsidRPr="006D2C43">
        <w:rPr>
          <w:rFonts w:hint="eastAsia"/>
          <w:b/>
        </w:rPr>
        <w:t>經濟發展影響甚</w:t>
      </w:r>
      <w:proofErr w:type="gramStart"/>
      <w:r w:rsidR="00AB56C1" w:rsidRPr="006D2C43">
        <w:rPr>
          <w:rFonts w:hint="eastAsia"/>
          <w:b/>
        </w:rPr>
        <w:t>鉅</w:t>
      </w:r>
      <w:proofErr w:type="gramEnd"/>
      <w:r w:rsidR="00AB56C1" w:rsidRPr="006D2C43">
        <w:rPr>
          <w:rFonts w:hint="eastAsia"/>
          <w:b/>
        </w:rPr>
        <w:t>，</w:t>
      </w:r>
      <w:proofErr w:type="gramStart"/>
      <w:r w:rsidR="000809A2">
        <w:rPr>
          <w:rFonts w:hint="eastAsia"/>
          <w:b/>
        </w:rPr>
        <w:t>倘未對其</w:t>
      </w:r>
      <w:proofErr w:type="gramEnd"/>
      <w:r w:rsidR="000809A2">
        <w:rPr>
          <w:rFonts w:hint="eastAsia"/>
          <w:b/>
        </w:rPr>
        <w:t>予以羈押，</w:t>
      </w:r>
      <w:proofErr w:type="gramStart"/>
      <w:r w:rsidR="00E16716">
        <w:rPr>
          <w:rFonts w:hint="eastAsia"/>
          <w:b/>
        </w:rPr>
        <w:t>而</w:t>
      </w:r>
      <w:r w:rsidR="00EB650C">
        <w:rPr>
          <w:rFonts w:hint="eastAsia"/>
          <w:b/>
        </w:rPr>
        <w:t>改予羈押</w:t>
      </w:r>
      <w:proofErr w:type="gramEnd"/>
      <w:r w:rsidR="00EB650C">
        <w:rPr>
          <w:rFonts w:hint="eastAsia"/>
          <w:b/>
        </w:rPr>
        <w:t>之替代處分，此時保證金額之酌定，</w:t>
      </w:r>
      <w:r w:rsidR="00B62FEB">
        <w:rPr>
          <w:rFonts w:hint="eastAsia"/>
          <w:b/>
        </w:rPr>
        <w:t>尤</w:t>
      </w:r>
      <w:r w:rsidR="00EB650C">
        <w:rPr>
          <w:rFonts w:hint="eastAsia"/>
          <w:b/>
        </w:rPr>
        <w:t>顯重要，否則難以回復</w:t>
      </w:r>
      <w:r w:rsidR="00083F3A">
        <w:rPr>
          <w:rFonts w:hint="eastAsia"/>
          <w:b/>
        </w:rPr>
        <w:t>被害人之損害</w:t>
      </w:r>
      <w:r w:rsidR="00EB650C">
        <w:rPr>
          <w:rFonts w:hint="eastAsia"/>
          <w:b/>
        </w:rPr>
        <w:t>外，</w:t>
      </w:r>
      <w:proofErr w:type="gramStart"/>
      <w:r w:rsidR="00EB650C">
        <w:rPr>
          <w:rFonts w:hint="eastAsia"/>
          <w:b/>
        </w:rPr>
        <w:t>更致生</w:t>
      </w:r>
      <w:proofErr w:type="gramEnd"/>
      <w:r w:rsidR="00EB650C">
        <w:rPr>
          <w:rFonts w:hint="eastAsia"/>
          <w:b/>
        </w:rPr>
        <w:t>民怨</w:t>
      </w:r>
      <w:r w:rsidR="00B62FEB">
        <w:rPr>
          <w:rFonts w:hint="eastAsia"/>
          <w:b/>
        </w:rPr>
        <w:t>。</w:t>
      </w:r>
      <w:r w:rsidR="00083F3A">
        <w:rPr>
          <w:rFonts w:hint="eastAsia"/>
          <w:b/>
        </w:rPr>
        <w:t>另</w:t>
      </w:r>
      <w:r w:rsidR="00B45ABF">
        <w:rPr>
          <w:rFonts w:hint="eastAsia"/>
          <w:b/>
        </w:rPr>
        <w:t>酌定合乎比例之</w:t>
      </w:r>
      <w:r w:rsidR="00083F3A">
        <w:rPr>
          <w:rFonts w:hint="eastAsia"/>
          <w:b/>
        </w:rPr>
        <w:t>保證</w:t>
      </w:r>
      <w:r w:rsidR="00B45ABF">
        <w:rPr>
          <w:rFonts w:hint="eastAsia"/>
          <w:b/>
        </w:rPr>
        <w:t>金額，</w:t>
      </w:r>
      <w:r w:rsidR="00083F3A">
        <w:rPr>
          <w:rFonts w:hint="eastAsia"/>
          <w:b/>
        </w:rPr>
        <w:t>可增被告</w:t>
      </w:r>
      <w:r w:rsidR="00DA3CDC" w:rsidRPr="006D2C43">
        <w:rPr>
          <w:rFonts w:hint="eastAsia"/>
          <w:b/>
        </w:rPr>
        <w:t>逃逸成本</w:t>
      </w:r>
      <w:r w:rsidR="00B62FEB">
        <w:rPr>
          <w:rFonts w:hint="eastAsia"/>
          <w:b/>
        </w:rPr>
        <w:t>之</w:t>
      </w:r>
      <w:proofErr w:type="gramStart"/>
      <w:r w:rsidR="00E16716">
        <w:rPr>
          <w:rFonts w:hint="eastAsia"/>
          <w:b/>
        </w:rPr>
        <w:t>不</w:t>
      </w:r>
      <w:proofErr w:type="gramEnd"/>
      <w:r w:rsidR="00E16716">
        <w:rPr>
          <w:rFonts w:hint="eastAsia"/>
          <w:b/>
        </w:rPr>
        <w:t>利益</w:t>
      </w:r>
      <w:r w:rsidR="002E423C" w:rsidRPr="006D2C43">
        <w:rPr>
          <w:rFonts w:hint="eastAsia"/>
          <w:b/>
        </w:rPr>
        <w:t>，</w:t>
      </w:r>
      <w:proofErr w:type="gramStart"/>
      <w:r w:rsidR="00B62FEB">
        <w:rPr>
          <w:rFonts w:hint="eastAsia"/>
          <w:b/>
        </w:rPr>
        <w:t>此</w:t>
      </w:r>
      <w:r w:rsidR="00F51FC0" w:rsidRPr="006D2C43">
        <w:rPr>
          <w:rFonts w:hint="eastAsia"/>
          <w:b/>
        </w:rPr>
        <w:t>觀</w:t>
      </w:r>
      <w:r w:rsidR="00DA3CDC" w:rsidRPr="006D2C43">
        <w:rPr>
          <w:rFonts w:hint="eastAsia"/>
          <w:b/>
        </w:rPr>
        <w:t>檢察</w:t>
      </w:r>
      <w:proofErr w:type="gramEnd"/>
      <w:r w:rsidR="00DA3CDC" w:rsidRPr="006D2C43">
        <w:rPr>
          <w:rFonts w:hint="eastAsia"/>
          <w:b/>
        </w:rPr>
        <w:t>機關辦理刑事訴訟案件應行注意事項第40點</w:t>
      </w:r>
      <w:r w:rsidR="00F51FC0" w:rsidRPr="006D2C43">
        <w:rPr>
          <w:rFonts w:hint="eastAsia"/>
          <w:b/>
        </w:rPr>
        <w:t>所列保證金額酌定因素</w:t>
      </w:r>
      <w:r w:rsidR="00DA3CDC" w:rsidRPr="006D2C43">
        <w:rPr>
          <w:rFonts w:hint="eastAsia"/>
          <w:b/>
        </w:rPr>
        <w:t>甚明</w:t>
      </w:r>
      <w:r w:rsidR="00B62FEB">
        <w:rPr>
          <w:rFonts w:hint="eastAsia"/>
          <w:b/>
        </w:rPr>
        <w:t>。</w:t>
      </w:r>
      <w:r w:rsidR="00AB56C1" w:rsidRPr="006D2C43">
        <w:rPr>
          <w:rFonts w:hint="eastAsia"/>
          <w:b/>
        </w:rPr>
        <w:t>然</w:t>
      </w:r>
      <w:proofErr w:type="gramStart"/>
      <w:r w:rsidR="00AB56C1" w:rsidRPr="006D2C43">
        <w:rPr>
          <w:rFonts w:hint="eastAsia"/>
          <w:b/>
        </w:rPr>
        <w:t>法官於審酌</w:t>
      </w:r>
      <w:proofErr w:type="gramEnd"/>
      <w:r w:rsidR="00AB56C1" w:rsidRPr="006D2C43">
        <w:rPr>
          <w:rFonts w:hint="eastAsia"/>
          <w:b/>
        </w:rPr>
        <w:t>保證金額時</w:t>
      </w:r>
      <w:r w:rsidR="00E53CE6">
        <w:rPr>
          <w:rFonts w:hint="eastAsia"/>
          <w:b/>
        </w:rPr>
        <w:t>，</w:t>
      </w:r>
      <w:r w:rsidR="00F51FC0" w:rsidRPr="006D2C43">
        <w:rPr>
          <w:rFonts w:hint="eastAsia"/>
          <w:b/>
        </w:rPr>
        <w:t>尚無相關規定供</w:t>
      </w:r>
      <w:r w:rsidR="00AB56C1" w:rsidRPr="006D2C43">
        <w:rPr>
          <w:rFonts w:hint="eastAsia"/>
          <w:b/>
        </w:rPr>
        <w:t>其參酌</w:t>
      </w:r>
      <w:r w:rsidR="00DA3CDC" w:rsidRPr="006D2C43">
        <w:rPr>
          <w:rFonts w:hint="eastAsia"/>
          <w:b/>
        </w:rPr>
        <w:t>，</w:t>
      </w:r>
      <w:proofErr w:type="gramStart"/>
      <w:r w:rsidR="006D2C43">
        <w:rPr>
          <w:rFonts w:hint="eastAsia"/>
          <w:b/>
        </w:rPr>
        <w:t>司法院</w:t>
      </w:r>
      <w:r w:rsidR="00EE5E07">
        <w:rPr>
          <w:rFonts w:hint="eastAsia"/>
          <w:b/>
        </w:rPr>
        <w:t>似</w:t>
      </w:r>
      <w:r w:rsidR="006D2C43">
        <w:rPr>
          <w:rFonts w:hint="eastAsia"/>
          <w:b/>
        </w:rPr>
        <w:t>宜</w:t>
      </w:r>
      <w:proofErr w:type="gramEnd"/>
      <w:r w:rsidR="00B45ABF">
        <w:rPr>
          <w:rFonts w:hint="eastAsia"/>
          <w:b/>
        </w:rPr>
        <w:t>參</w:t>
      </w:r>
      <w:r w:rsidR="0089265E">
        <w:rPr>
          <w:rFonts w:hint="eastAsia"/>
          <w:b/>
        </w:rPr>
        <w:t>考</w:t>
      </w:r>
      <w:r w:rsidR="00B45ABF">
        <w:rPr>
          <w:rFonts w:hint="eastAsia"/>
          <w:b/>
        </w:rPr>
        <w:t>該要點之規定，提供</w:t>
      </w:r>
      <w:r w:rsidR="00F51FC0" w:rsidRPr="006D2C43">
        <w:rPr>
          <w:rFonts w:hint="eastAsia"/>
          <w:b/>
        </w:rPr>
        <w:t>相關因素予</w:t>
      </w:r>
      <w:r w:rsidR="00B45ABF">
        <w:rPr>
          <w:rFonts w:hint="eastAsia"/>
          <w:b/>
        </w:rPr>
        <w:t>法官作為裁定交保金時之</w:t>
      </w:r>
      <w:r w:rsidR="006D2C43">
        <w:rPr>
          <w:rFonts w:hint="eastAsia"/>
          <w:b/>
        </w:rPr>
        <w:t>參考</w:t>
      </w:r>
      <w:r w:rsidRPr="006D2C43">
        <w:rPr>
          <w:rFonts w:hint="eastAsia"/>
          <w:b/>
        </w:rPr>
        <w:t>，</w:t>
      </w:r>
      <w:r w:rsidR="006D2C43">
        <w:rPr>
          <w:rFonts w:hint="eastAsia"/>
          <w:b/>
        </w:rPr>
        <w:t>降低</w:t>
      </w:r>
      <w:r w:rsidR="00CA59CD">
        <w:rPr>
          <w:rFonts w:hint="eastAsia"/>
          <w:b/>
        </w:rPr>
        <w:t>所裁定之保證金額</w:t>
      </w:r>
      <w:r w:rsidR="00F51FC0" w:rsidRPr="006D2C43">
        <w:rPr>
          <w:rFonts w:hint="eastAsia"/>
          <w:b/>
        </w:rPr>
        <w:t>與犯罪所得不合比例之</w:t>
      </w:r>
      <w:r w:rsidR="00912A2C">
        <w:rPr>
          <w:rFonts w:hint="eastAsia"/>
          <w:b/>
        </w:rPr>
        <w:t>訾議</w:t>
      </w:r>
      <w:r w:rsidR="00EB650C">
        <w:rPr>
          <w:rFonts w:hint="eastAsia"/>
          <w:b/>
        </w:rPr>
        <w:t>，</w:t>
      </w:r>
      <w:r w:rsidR="00083F3A">
        <w:rPr>
          <w:rFonts w:hint="eastAsia"/>
          <w:b/>
        </w:rPr>
        <w:t>以復司法訴追之威信</w:t>
      </w:r>
      <w:r w:rsidR="002E423C" w:rsidRPr="006D2C43">
        <w:rPr>
          <w:rFonts w:hint="eastAsia"/>
          <w:b/>
        </w:rPr>
        <w:t>。</w:t>
      </w:r>
    </w:p>
    <w:p w:rsidR="0078551E" w:rsidRDefault="00650A7E" w:rsidP="00650A7E">
      <w:pPr>
        <w:pStyle w:val="3"/>
      </w:pPr>
      <w:r w:rsidRPr="00650A7E">
        <w:rPr>
          <w:rFonts w:hint="eastAsia"/>
        </w:rPr>
        <w:t>第74屆司法節學術研討會司法院許宗力院長致詞新聞稿</w:t>
      </w:r>
      <w:r>
        <w:rPr>
          <w:rFonts w:hint="eastAsia"/>
        </w:rPr>
        <w:t>：「</w:t>
      </w:r>
      <w:r w:rsidRPr="00650A7E">
        <w:rPr>
          <w:rFonts w:hint="eastAsia"/>
        </w:rPr>
        <w:t>司法至今仍</w:t>
      </w:r>
      <w:proofErr w:type="gramStart"/>
      <w:r w:rsidRPr="00650A7E">
        <w:rPr>
          <w:rFonts w:hint="eastAsia"/>
        </w:rPr>
        <w:t>彷彿命懸一線</w:t>
      </w:r>
      <w:proofErr w:type="gramEnd"/>
      <w:r w:rsidRPr="00650A7E">
        <w:rPr>
          <w:rFonts w:hint="eastAsia"/>
        </w:rPr>
        <w:t>。即使二、三十年來已確立毋庸置疑的審判獨立，行政或政黨的不當干涉已不復存在；即使司法風紀相較於過往，已有明顯改善；即使二十年來法律系都是第一志願，審</w:t>
      </w:r>
      <w:r w:rsidRPr="00650A7E">
        <w:rPr>
          <w:rFonts w:hint="eastAsia"/>
        </w:rPr>
        <w:lastRenderedPageBreak/>
        <w:t>判工作年年有源源不絕的高素質生力軍補充；即使，以過去這一年為例，大大小小新收件數高達三百多萬件，大致仍能維持案件</w:t>
      </w:r>
      <w:proofErr w:type="gramStart"/>
      <w:r w:rsidRPr="00650A7E">
        <w:rPr>
          <w:rFonts w:hint="eastAsia"/>
        </w:rPr>
        <w:t>收結平衡</w:t>
      </w:r>
      <w:proofErr w:type="gramEnd"/>
      <w:r w:rsidRPr="00650A7E">
        <w:rPr>
          <w:rFonts w:hint="eastAsia"/>
        </w:rPr>
        <w:t>，上訴維持率也在百分之八、九十以上，法官的認真與工作品質，較諸司法先進國家，並不遜色。但殘酷的現實卻是，人民對司法並不</w:t>
      </w:r>
      <w:proofErr w:type="gramStart"/>
      <w:r w:rsidRPr="00650A7E">
        <w:rPr>
          <w:rFonts w:hint="eastAsia"/>
        </w:rPr>
        <w:t>滿意，近十年來</w:t>
      </w:r>
      <w:proofErr w:type="gramEnd"/>
      <w:r w:rsidRPr="00650A7E">
        <w:rPr>
          <w:rFonts w:hint="eastAsia"/>
        </w:rPr>
        <w:t>民眾對司法的信任，仍僅在四成上下的低檔遊走、徘徊。</w:t>
      </w:r>
      <w:r>
        <w:rPr>
          <w:rFonts w:hint="eastAsia"/>
        </w:rPr>
        <w:t>」</w:t>
      </w:r>
      <w:r>
        <w:rPr>
          <w:rStyle w:val="aff"/>
        </w:rPr>
        <w:footnoteReference w:id="30"/>
      </w:r>
      <w:r w:rsidR="00F44137">
        <w:rPr>
          <w:rFonts w:hint="eastAsia"/>
        </w:rPr>
        <w:t>然</w:t>
      </w:r>
      <w:r w:rsidR="00EB650C">
        <w:rPr>
          <w:rFonts w:hint="eastAsia"/>
        </w:rPr>
        <w:t>近年</w:t>
      </w:r>
      <w:r w:rsidR="00083F3A">
        <w:rPr>
          <w:rFonts w:hint="eastAsia"/>
        </w:rPr>
        <w:t>多起被告棄保潛逃之案例，</w:t>
      </w:r>
      <w:r w:rsidR="00EB650C">
        <w:rPr>
          <w:rFonts w:hint="eastAsia"/>
        </w:rPr>
        <w:t>形成司法訴追效能之障礙，實難</w:t>
      </w:r>
      <w:r w:rsidR="00971076">
        <w:rPr>
          <w:rFonts w:hint="eastAsia"/>
        </w:rPr>
        <w:t>喚回民眾對於司法審判之信賴。</w:t>
      </w:r>
    </w:p>
    <w:p w:rsidR="0012201E" w:rsidRDefault="001A0F87" w:rsidP="00A229CE">
      <w:pPr>
        <w:pStyle w:val="3"/>
      </w:pPr>
      <w:r w:rsidRPr="001A0F87">
        <w:rPr>
          <w:rFonts w:hint="eastAsia"/>
        </w:rPr>
        <w:t>查</w:t>
      </w:r>
      <w:r w:rsidR="00A229CE" w:rsidRPr="00A229CE">
        <w:rPr>
          <w:rFonts w:hint="eastAsia"/>
        </w:rPr>
        <w:t>慶富造船股份有限公司副董事長陳偉志</w:t>
      </w:r>
      <w:r w:rsidRPr="001A0F87">
        <w:rPr>
          <w:rFonts w:hint="eastAsia"/>
        </w:rPr>
        <w:t>涉向多家銀行詐得過渡性融資總額，聯貸銀行團受害總金額高達131億元</w:t>
      </w:r>
      <w:r w:rsidR="00F720AD" w:rsidRPr="001A0F87">
        <w:rPr>
          <w:rStyle w:val="aff"/>
        </w:rPr>
        <w:footnoteReference w:id="31"/>
      </w:r>
      <w:r w:rsidR="00971076" w:rsidRPr="001A0F87">
        <w:rPr>
          <w:rFonts w:hint="eastAsia"/>
        </w:rPr>
        <w:t>，</w:t>
      </w:r>
      <w:r w:rsidRPr="001A0F87">
        <w:rPr>
          <w:rFonts w:hint="eastAsia"/>
        </w:rPr>
        <w:t>嚴重危害金融體系及經濟秩序，更損及國家利益，已屬重大經濟犯罪</w:t>
      </w:r>
      <w:r w:rsidR="00912A2C">
        <w:rPr>
          <w:rFonts w:hint="eastAsia"/>
        </w:rPr>
        <w:t>。</w:t>
      </w:r>
      <w:r w:rsidR="0012201E" w:rsidRPr="001A0F87">
        <w:rPr>
          <w:rFonts w:hint="eastAsia"/>
        </w:rPr>
        <w:t>依檢察機關辦理重大經濟犯罪</w:t>
      </w:r>
      <w:r w:rsidR="0012201E">
        <w:rPr>
          <w:rFonts w:hint="eastAsia"/>
        </w:rPr>
        <w:t>案件注意事項第2</w:t>
      </w:r>
      <w:r w:rsidR="00650A7E">
        <w:rPr>
          <w:rFonts w:hint="eastAsia"/>
        </w:rPr>
        <w:t>點</w:t>
      </w:r>
      <w:r w:rsidR="0012201E">
        <w:rPr>
          <w:rFonts w:hint="eastAsia"/>
        </w:rPr>
        <w:t>：</w:t>
      </w:r>
      <w:r w:rsidR="0012201E" w:rsidRPr="00337AD0">
        <w:rPr>
          <w:rFonts w:hint="eastAsia"/>
        </w:rPr>
        <w:t>「二、下列案件為重大經濟犯罪案件，適用本注意事項之規定：(</w:t>
      </w:r>
      <w:proofErr w:type="gramStart"/>
      <w:r w:rsidR="0012201E" w:rsidRPr="00337AD0">
        <w:rPr>
          <w:rFonts w:hint="eastAsia"/>
        </w:rPr>
        <w:t>一</w:t>
      </w:r>
      <w:proofErr w:type="gramEnd"/>
      <w:r w:rsidR="0012201E" w:rsidRPr="00337AD0">
        <w:rPr>
          <w:rFonts w:hint="eastAsia"/>
        </w:rPr>
        <w:t>)犯下列各目之罪，犯罪所得或被害金額達新臺</w:t>
      </w:r>
      <w:r w:rsidR="009D7EBF">
        <w:rPr>
          <w:rFonts w:hint="eastAsia"/>
        </w:rPr>
        <w:t>幣5000萬</w:t>
      </w:r>
      <w:r w:rsidR="0012201E">
        <w:rPr>
          <w:rFonts w:hint="eastAsia"/>
        </w:rPr>
        <w:t>元以上，</w:t>
      </w:r>
      <w:r w:rsidR="009D7EBF">
        <w:rPr>
          <w:rFonts w:hint="eastAsia"/>
        </w:rPr>
        <w:t>或被害人數達50</w:t>
      </w:r>
      <w:r w:rsidR="0012201E">
        <w:rPr>
          <w:rFonts w:hint="eastAsia"/>
        </w:rPr>
        <w:t>人以上，足以危害社會經濟秩序者：</w:t>
      </w:r>
      <w:r w:rsidR="0012201E" w:rsidRPr="00337AD0">
        <w:rPr>
          <w:rFonts w:hint="eastAsia"/>
        </w:rPr>
        <w:t>1.</w:t>
      </w:r>
      <w:r w:rsidR="009D7EBF">
        <w:rPr>
          <w:rFonts w:hint="eastAsia"/>
        </w:rPr>
        <w:t>刑法第195</w:t>
      </w:r>
      <w:r w:rsidR="0012201E" w:rsidRPr="00337AD0">
        <w:rPr>
          <w:rFonts w:hint="eastAsia"/>
        </w:rPr>
        <w:t>條、</w:t>
      </w:r>
      <w:r w:rsidR="009D7EBF">
        <w:rPr>
          <w:rFonts w:hint="eastAsia"/>
        </w:rPr>
        <w:t>第196條、妨害國幣懲治條例第3</w:t>
      </w:r>
      <w:r w:rsidR="0012201E" w:rsidRPr="00337AD0">
        <w:rPr>
          <w:rFonts w:hint="eastAsia"/>
        </w:rPr>
        <w:t>條之罪。2.</w:t>
      </w:r>
      <w:r w:rsidR="009D7EBF">
        <w:rPr>
          <w:rFonts w:hint="eastAsia"/>
        </w:rPr>
        <w:t>刑法第201條、第201條之1</w:t>
      </w:r>
      <w:r w:rsidR="0012201E" w:rsidRPr="00337AD0">
        <w:rPr>
          <w:rFonts w:hint="eastAsia"/>
        </w:rPr>
        <w:t>之罪。3.</w:t>
      </w:r>
      <w:r w:rsidR="009D7EBF">
        <w:rPr>
          <w:rFonts w:hint="eastAsia"/>
        </w:rPr>
        <w:t>刑法第336條第2</w:t>
      </w:r>
      <w:r w:rsidR="0012201E" w:rsidRPr="00337AD0">
        <w:rPr>
          <w:rFonts w:hint="eastAsia"/>
        </w:rPr>
        <w:t>項之罪。4.</w:t>
      </w:r>
      <w:r w:rsidR="009D7EBF">
        <w:rPr>
          <w:rFonts w:hint="eastAsia"/>
        </w:rPr>
        <w:t>刑法第339條、第339條之3、第340條、破產法第154條、第155</w:t>
      </w:r>
      <w:r w:rsidR="0012201E" w:rsidRPr="00337AD0">
        <w:rPr>
          <w:rFonts w:hint="eastAsia"/>
        </w:rPr>
        <w:t>條之罪。5.</w:t>
      </w:r>
      <w:r w:rsidR="009D7EBF">
        <w:rPr>
          <w:rFonts w:hint="eastAsia"/>
        </w:rPr>
        <w:t>刑法第342</w:t>
      </w:r>
      <w:r w:rsidR="0012201E" w:rsidRPr="00337AD0">
        <w:rPr>
          <w:rFonts w:hint="eastAsia"/>
        </w:rPr>
        <w:t>條之罪。6.</w:t>
      </w:r>
      <w:r w:rsidR="009D7EBF">
        <w:rPr>
          <w:rFonts w:hint="eastAsia"/>
        </w:rPr>
        <w:t>證券交易法第171條、第174</w:t>
      </w:r>
      <w:r w:rsidR="0012201E" w:rsidRPr="00337AD0">
        <w:rPr>
          <w:rFonts w:hint="eastAsia"/>
        </w:rPr>
        <w:t>條之罪。7.</w:t>
      </w:r>
      <w:r w:rsidR="009D7EBF">
        <w:rPr>
          <w:rFonts w:hint="eastAsia"/>
        </w:rPr>
        <w:t>期貨交易法第112</w:t>
      </w:r>
      <w:r w:rsidR="0012201E" w:rsidRPr="00337AD0">
        <w:rPr>
          <w:rFonts w:hint="eastAsia"/>
        </w:rPr>
        <w:t>條之罪。8.</w:t>
      </w:r>
      <w:r w:rsidR="009D7EBF">
        <w:rPr>
          <w:rFonts w:hint="eastAsia"/>
        </w:rPr>
        <w:t>銀行法第125條、第125條之2、第125條之3、第127條之2第2</w:t>
      </w:r>
      <w:r w:rsidR="0012201E" w:rsidRPr="00337AD0">
        <w:rPr>
          <w:rFonts w:hint="eastAsia"/>
        </w:rPr>
        <w:t>項之罪。9.</w:t>
      </w:r>
      <w:r w:rsidR="009D7EBF">
        <w:rPr>
          <w:rFonts w:hint="eastAsia"/>
        </w:rPr>
        <w:t>金融控股公司法第57條至第58</w:t>
      </w:r>
      <w:r w:rsidR="0012201E" w:rsidRPr="00337AD0">
        <w:rPr>
          <w:rFonts w:hint="eastAsia"/>
        </w:rPr>
        <w:t>條之罪。10.</w:t>
      </w:r>
      <w:r w:rsidR="009D7EBF">
        <w:rPr>
          <w:rFonts w:hint="eastAsia"/>
        </w:rPr>
        <w:t>票</w:t>
      </w:r>
      <w:proofErr w:type="gramStart"/>
      <w:r w:rsidR="009D7EBF">
        <w:rPr>
          <w:rFonts w:hint="eastAsia"/>
        </w:rPr>
        <w:t>券</w:t>
      </w:r>
      <w:proofErr w:type="gramEnd"/>
      <w:r w:rsidR="009D7EBF">
        <w:rPr>
          <w:rFonts w:hint="eastAsia"/>
        </w:rPr>
        <w:t>金融管理法第58條至第59</w:t>
      </w:r>
      <w:r w:rsidR="0012201E" w:rsidRPr="00337AD0">
        <w:rPr>
          <w:rFonts w:hint="eastAsia"/>
        </w:rPr>
        <w:t>條之罪。</w:t>
      </w:r>
      <w:r w:rsidR="0012201E" w:rsidRPr="00337AD0">
        <w:rPr>
          <w:rFonts w:hint="eastAsia"/>
        </w:rPr>
        <w:lastRenderedPageBreak/>
        <w:t>11.</w:t>
      </w:r>
      <w:r w:rsidR="009D7EBF">
        <w:rPr>
          <w:rFonts w:hint="eastAsia"/>
        </w:rPr>
        <w:t>信託業法第48條至第50</w:t>
      </w:r>
      <w:r w:rsidR="0012201E" w:rsidRPr="00337AD0">
        <w:rPr>
          <w:rFonts w:hint="eastAsia"/>
        </w:rPr>
        <w:t>條之罪。12.</w:t>
      </w:r>
      <w:r w:rsidR="009D7EBF">
        <w:rPr>
          <w:rFonts w:hint="eastAsia"/>
        </w:rPr>
        <w:t>信用合作社法第38條之2、第38條之3、第40</w:t>
      </w:r>
      <w:r w:rsidR="0012201E" w:rsidRPr="00337AD0">
        <w:rPr>
          <w:rFonts w:hint="eastAsia"/>
        </w:rPr>
        <w:t>條之罪。13.</w:t>
      </w:r>
      <w:r w:rsidR="009D7EBF">
        <w:rPr>
          <w:rFonts w:hint="eastAsia"/>
        </w:rPr>
        <w:t>保險法第167條、第168條之2、第172條之1</w:t>
      </w:r>
      <w:r w:rsidR="0012201E" w:rsidRPr="00337AD0">
        <w:rPr>
          <w:rFonts w:hint="eastAsia"/>
        </w:rPr>
        <w:t>之罪。14.</w:t>
      </w:r>
      <w:r w:rsidR="009D7EBF">
        <w:rPr>
          <w:rFonts w:hint="eastAsia"/>
        </w:rPr>
        <w:t>農業金融法第39條、第40</w:t>
      </w:r>
      <w:r w:rsidR="0012201E" w:rsidRPr="00337AD0">
        <w:rPr>
          <w:rFonts w:hint="eastAsia"/>
        </w:rPr>
        <w:t>條之罪。15.</w:t>
      </w:r>
      <w:r w:rsidR="009D7EBF">
        <w:rPr>
          <w:rFonts w:hint="eastAsia"/>
        </w:rPr>
        <w:t>金融資產證券化條例第108條、第109</w:t>
      </w:r>
      <w:r w:rsidR="0012201E" w:rsidRPr="00337AD0">
        <w:rPr>
          <w:rFonts w:hint="eastAsia"/>
        </w:rPr>
        <w:t>條之罪。16.</w:t>
      </w:r>
      <w:r w:rsidR="009D7EBF">
        <w:rPr>
          <w:rFonts w:hint="eastAsia"/>
        </w:rPr>
        <w:t>證券投資信託及顧問法第105條至第108條、第110</w:t>
      </w:r>
      <w:r w:rsidR="0012201E" w:rsidRPr="00337AD0">
        <w:rPr>
          <w:rFonts w:hint="eastAsia"/>
        </w:rPr>
        <w:t>條之罪。17.</w:t>
      </w:r>
      <w:r w:rsidR="009D7EBF">
        <w:rPr>
          <w:rFonts w:hint="eastAsia"/>
        </w:rPr>
        <w:t>稅捐</w:t>
      </w:r>
      <w:proofErr w:type="gramStart"/>
      <w:r w:rsidR="009D7EBF">
        <w:rPr>
          <w:rFonts w:hint="eastAsia"/>
        </w:rPr>
        <w:t>稽</w:t>
      </w:r>
      <w:proofErr w:type="gramEnd"/>
      <w:r w:rsidR="009D7EBF">
        <w:rPr>
          <w:rFonts w:hint="eastAsia"/>
        </w:rPr>
        <w:t>徵法第41條、第42</w:t>
      </w:r>
      <w:r w:rsidR="0012201E" w:rsidRPr="00337AD0">
        <w:rPr>
          <w:rFonts w:hint="eastAsia"/>
        </w:rPr>
        <w:t>條之罪。18.</w:t>
      </w:r>
      <w:r w:rsidR="009D7EBF">
        <w:rPr>
          <w:rFonts w:hint="eastAsia"/>
        </w:rPr>
        <w:t>懲治走私條例第</w:t>
      </w:r>
      <w:r w:rsidR="00D530E1">
        <w:rPr>
          <w:rFonts w:hint="eastAsia"/>
        </w:rPr>
        <w:t>2</w:t>
      </w:r>
      <w:r w:rsidR="009D7EBF">
        <w:rPr>
          <w:rFonts w:hint="eastAsia"/>
        </w:rPr>
        <w:t>條至第6條、第8</w:t>
      </w:r>
      <w:r w:rsidR="0012201E" w:rsidRPr="00337AD0">
        <w:rPr>
          <w:rFonts w:hint="eastAsia"/>
        </w:rPr>
        <w:t>條之罪。19.</w:t>
      </w:r>
      <w:r w:rsidR="009D7EBF">
        <w:rPr>
          <w:rFonts w:hint="eastAsia"/>
        </w:rPr>
        <w:t>管理外匯條例第22</w:t>
      </w:r>
      <w:r w:rsidR="0012201E" w:rsidRPr="00337AD0">
        <w:rPr>
          <w:rFonts w:hint="eastAsia"/>
        </w:rPr>
        <w:t>條之罪。</w:t>
      </w:r>
      <w:r w:rsidR="0012201E">
        <w:rPr>
          <w:rFonts w:hint="eastAsia"/>
        </w:rPr>
        <w:t>」，</w:t>
      </w:r>
      <w:r w:rsidR="009D7EBF">
        <w:rPr>
          <w:rFonts w:hint="eastAsia"/>
        </w:rPr>
        <w:t>而</w:t>
      </w:r>
      <w:r w:rsidR="009D7EBF" w:rsidRPr="009D7EBF">
        <w:rPr>
          <w:rFonts w:hint="eastAsia"/>
        </w:rPr>
        <w:t>陳偉志所為涉違反銀行法第125條之3第1項詐欺取財罪嫌、同條第2項詐欺得利罪嫌、刑法第342條背信罪嫌，及</w:t>
      </w:r>
      <w:r w:rsidR="00912A2C" w:rsidRPr="009D7EBF">
        <w:rPr>
          <w:rFonts w:hint="eastAsia"/>
        </w:rPr>
        <w:t>洗錢防制法</w:t>
      </w:r>
      <w:r w:rsidR="009D7EBF" w:rsidRPr="009D7EBF">
        <w:rPr>
          <w:rFonts w:hint="eastAsia"/>
        </w:rPr>
        <w:t>修正前第2條第1款、同法第3條第1項第9款掩飾或隱匿因自己重大犯罪所得財物</w:t>
      </w:r>
      <w:r w:rsidR="00912A2C">
        <w:rPr>
          <w:rFonts w:hint="eastAsia"/>
        </w:rPr>
        <w:t>，同法</w:t>
      </w:r>
      <w:r w:rsidR="009D7EBF" w:rsidRPr="009D7EBF">
        <w:rPr>
          <w:rFonts w:hint="eastAsia"/>
        </w:rPr>
        <w:t>第11條第1項洗錢罪嫌</w:t>
      </w:r>
      <w:r w:rsidR="009D7EBF">
        <w:rPr>
          <w:rFonts w:hint="eastAsia"/>
        </w:rPr>
        <w:t>，且犯罪所得甚</w:t>
      </w:r>
      <w:proofErr w:type="gramStart"/>
      <w:r w:rsidR="009D7EBF">
        <w:rPr>
          <w:rFonts w:hint="eastAsia"/>
        </w:rPr>
        <w:t>鉅</w:t>
      </w:r>
      <w:proofErr w:type="gramEnd"/>
      <w:r w:rsidR="009D7EBF">
        <w:rPr>
          <w:rFonts w:hint="eastAsia"/>
        </w:rPr>
        <w:t>，已符上述規定</w:t>
      </w:r>
      <w:r w:rsidR="0012201E">
        <w:rPr>
          <w:rFonts w:hint="eastAsia"/>
        </w:rPr>
        <w:t>重大經濟犯罪</w:t>
      </w:r>
      <w:r w:rsidR="009D7EBF">
        <w:rPr>
          <w:rFonts w:hint="eastAsia"/>
        </w:rPr>
        <w:t>之定義</w:t>
      </w:r>
      <w:r w:rsidR="0012201E">
        <w:rPr>
          <w:rFonts w:hint="eastAsia"/>
        </w:rPr>
        <w:t>。</w:t>
      </w:r>
    </w:p>
    <w:p w:rsidR="0012201E" w:rsidRDefault="009D7EBF" w:rsidP="002D11B4">
      <w:pPr>
        <w:pStyle w:val="3"/>
      </w:pPr>
      <w:r>
        <w:rPr>
          <w:rFonts w:hint="eastAsia"/>
        </w:rPr>
        <w:t>次查本案雖為重大經濟犯罪，但因個案評估後，檢察官及</w:t>
      </w:r>
      <w:proofErr w:type="gramStart"/>
      <w:r>
        <w:rPr>
          <w:rFonts w:hint="eastAsia"/>
        </w:rPr>
        <w:t>法院均未對</w:t>
      </w:r>
      <w:proofErr w:type="gramEnd"/>
      <w:r>
        <w:rPr>
          <w:rFonts w:hint="eastAsia"/>
        </w:rPr>
        <w:t>陳偉志羈押，而是於偵查中</w:t>
      </w:r>
      <w:r w:rsidR="00912A2C">
        <w:rPr>
          <w:rFonts w:hint="eastAsia"/>
        </w:rPr>
        <w:t>以500萬元</w:t>
      </w:r>
      <w:r>
        <w:rPr>
          <w:rFonts w:hint="eastAsia"/>
        </w:rPr>
        <w:t>命其交保候傳</w:t>
      </w:r>
      <w:r w:rsidR="00912A2C">
        <w:rPr>
          <w:rFonts w:hint="eastAsia"/>
        </w:rPr>
        <w:t>。</w:t>
      </w:r>
      <w:r w:rsidR="0012201E">
        <w:rPr>
          <w:rFonts w:hint="eastAsia"/>
        </w:rPr>
        <w:t>對於重大經</w:t>
      </w:r>
      <w:r w:rsidR="002D11B4">
        <w:rPr>
          <w:rFonts w:hint="eastAsia"/>
        </w:rPr>
        <w:t>濟犯罪案件之保證金額</w:t>
      </w:r>
      <w:r w:rsidR="0012201E">
        <w:rPr>
          <w:rFonts w:hint="eastAsia"/>
        </w:rPr>
        <w:t>酌定考量因素</w:t>
      </w:r>
      <w:r w:rsidR="00E16716">
        <w:rPr>
          <w:rFonts w:hint="eastAsia"/>
        </w:rPr>
        <w:t>及如何酌</w:t>
      </w:r>
      <w:r w:rsidR="002D11B4">
        <w:rPr>
          <w:rFonts w:hint="eastAsia"/>
        </w:rPr>
        <w:t>定方符比例，法務部說明如下：</w:t>
      </w:r>
    </w:p>
    <w:p w:rsidR="0012201E" w:rsidRPr="00422137" w:rsidRDefault="0012201E" w:rsidP="0012201E">
      <w:pPr>
        <w:pStyle w:val="4"/>
        <w:rPr>
          <w:b/>
        </w:rPr>
      </w:pPr>
      <w:r>
        <w:rPr>
          <w:rFonts w:hint="eastAsia"/>
        </w:rPr>
        <w:t>據法務部函</w:t>
      </w:r>
      <w:proofErr w:type="gramStart"/>
      <w:r>
        <w:rPr>
          <w:rFonts w:hint="eastAsia"/>
        </w:rPr>
        <w:t>詢</w:t>
      </w:r>
      <w:proofErr w:type="gramEnd"/>
      <w:r>
        <w:rPr>
          <w:rFonts w:hint="eastAsia"/>
        </w:rPr>
        <w:t>資料指出</w:t>
      </w:r>
      <w:r>
        <w:rPr>
          <w:rStyle w:val="aff"/>
        </w:rPr>
        <w:footnoteReference w:id="32"/>
      </w:r>
      <w:r>
        <w:rPr>
          <w:rFonts w:hint="eastAsia"/>
        </w:rPr>
        <w:t>：</w:t>
      </w:r>
      <w:r w:rsidRPr="00422137">
        <w:rPr>
          <w:rFonts w:hint="eastAsia"/>
        </w:rPr>
        <w:t>檢察官</w:t>
      </w:r>
      <w:proofErr w:type="gramStart"/>
      <w:r w:rsidRPr="00422137">
        <w:rPr>
          <w:rFonts w:hint="eastAsia"/>
        </w:rPr>
        <w:t>逕</w:t>
      </w:r>
      <w:proofErr w:type="gramEnd"/>
      <w:r w:rsidRPr="00422137">
        <w:rPr>
          <w:rFonts w:hint="eastAsia"/>
        </w:rPr>
        <w:t>命被告具保者，應指定保證金額，其保證</w:t>
      </w:r>
      <w:proofErr w:type="gramStart"/>
      <w:r w:rsidRPr="00422137">
        <w:rPr>
          <w:rFonts w:hint="eastAsia"/>
        </w:rPr>
        <w:t>金額須審酌</w:t>
      </w:r>
      <w:proofErr w:type="gramEnd"/>
      <w:r w:rsidRPr="00422137">
        <w:rPr>
          <w:rFonts w:hint="eastAsia"/>
        </w:rPr>
        <w:t>被告所涉罪嫌、犯罪情節、所生危害及被告之身分、資力、犯罪所得等事項，</w:t>
      </w:r>
      <w:proofErr w:type="gramStart"/>
      <w:r w:rsidRPr="00422137">
        <w:rPr>
          <w:rFonts w:hint="eastAsia"/>
        </w:rPr>
        <w:t>此</w:t>
      </w:r>
      <w:r w:rsidRPr="00422137">
        <w:rPr>
          <w:rFonts w:hint="eastAsia"/>
          <w:b/>
        </w:rPr>
        <w:t>觀諸</w:t>
      </w:r>
      <w:proofErr w:type="gramEnd"/>
      <w:r w:rsidRPr="00422137">
        <w:rPr>
          <w:rFonts w:hint="eastAsia"/>
          <w:b/>
        </w:rPr>
        <w:t>檢察機關辦理刑事訴訟案件應行注意事項第40點</w:t>
      </w:r>
      <w:r w:rsidRPr="00422137">
        <w:rPr>
          <w:rFonts w:hint="eastAsia"/>
        </w:rPr>
        <w:t>規定甚明。</w:t>
      </w:r>
      <w:proofErr w:type="gramStart"/>
      <w:r w:rsidRPr="00422137">
        <w:rPr>
          <w:rFonts w:hint="eastAsia"/>
        </w:rPr>
        <w:t>具保乃替代</w:t>
      </w:r>
      <w:proofErr w:type="gramEnd"/>
      <w:r w:rsidRPr="00422137">
        <w:rPr>
          <w:rFonts w:hint="eastAsia"/>
        </w:rPr>
        <w:t>羈押之手段，檢察官需就案件類型、犯罪所得金額、被害人所受損失、被告涉案程度及其個人財力、社經背景地位等一切情狀，綜合審酌替代羈押的手段能否擔保被告將來必能按時到場</w:t>
      </w:r>
      <w:r w:rsidRPr="00422137">
        <w:rPr>
          <w:rFonts w:hint="eastAsia"/>
        </w:rPr>
        <w:lastRenderedPageBreak/>
        <w:t>接受訊問，而為具保及具保金額之裁量。又檢察官為具保處分後，並非即受該處分限制而不能變更，仍應</w:t>
      </w:r>
      <w:proofErr w:type="gramStart"/>
      <w:r w:rsidRPr="00422137">
        <w:rPr>
          <w:rFonts w:hint="eastAsia"/>
        </w:rPr>
        <w:t>盱</w:t>
      </w:r>
      <w:proofErr w:type="gramEnd"/>
      <w:r w:rsidRPr="00422137">
        <w:rPr>
          <w:rFonts w:hint="eastAsia"/>
        </w:rPr>
        <w:t>衡偵查案件偵辦進度、案情發展，認有新事證而有羈押原因或必要時，仍可具狀聲請羈押</w:t>
      </w:r>
      <w:r w:rsidR="00912A2C">
        <w:rPr>
          <w:rFonts w:hint="eastAsia"/>
        </w:rPr>
        <w:t>。</w:t>
      </w:r>
      <w:r w:rsidRPr="00422137">
        <w:rPr>
          <w:rFonts w:hint="eastAsia"/>
        </w:rPr>
        <w:t>或認為仍無羈押必要，但有加重保證金之必要，亦得加重保證金。故而檢察官對於重大經濟犯罪案件之交保金額，</w:t>
      </w:r>
      <w:r w:rsidRPr="00422137">
        <w:rPr>
          <w:rFonts w:hint="eastAsia"/>
          <w:b/>
        </w:rPr>
        <w:t>並非全無參考標準，而係應依照前揭規定，就個案情節為綜合、妥適之判斷。</w:t>
      </w:r>
    </w:p>
    <w:p w:rsidR="0012201E" w:rsidRDefault="0012201E" w:rsidP="0012201E">
      <w:pPr>
        <w:pStyle w:val="4"/>
      </w:pPr>
      <w:r>
        <w:rPr>
          <w:rFonts w:hint="eastAsia"/>
        </w:rPr>
        <w:t>另法務部亦說明</w:t>
      </w:r>
      <w:r>
        <w:rPr>
          <w:rStyle w:val="aff"/>
        </w:rPr>
        <w:footnoteReference w:id="33"/>
      </w:r>
      <w:r>
        <w:rPr>
          <w:rFonts w:hint="eastAsia"/>
        </w:rPr>
        <w:t>：因刑事案件之種類繁多、個案情節輕重不一，該部所屬各檢察機關所處地方之民情亦非全然一致，且該部所屬檢察機關於辦理刑事訴訟案件，依刑事訴訟法第93條第3項、第228條第4項如有</w:t>
      </w:r>
      <w:proofErr w:type="gramStart"/>
      <w:r>
        <w:rPr>
          <w:rFonts w:hint="eastAsia"/>
        </w:rPr>
        <w:t>逕</w:t>
      </w:r>
      <w:proofErr w:type="gramEnd"/>
      <w:r>
        <w:rPr>
          <w:rFonts w:hint="eastAsia"/>
        </w:rPr>
        <w:t>命被告具保者，已有上開檢察機關辦理刑事訴訟案件應行注意事項第40點所定之要件供各檢察機關依個案酌定保證金額。</w:t>
      </w:r>
    </w:p>
    <w:p w:rsidR="0012201E" w:rsidRDefault="002D11B4" w:rsidP="002D11B4">
      <w:pPr>
        <w:pStyle w:val="3"/>
      </w:pPr>
      <w:r>
        <w:rPr>
          <w:rFonts w:hint="eastAsia"/>
        </w:rPr>
        <w:t>再查對於陳偉志之保證金額，是否妥適，能否增其逃逸成本，</w:t>
      </w:r>
      <w:r w:rsidR="0012201E">
        <w:rPr>
          <w:rFonts w:hint="eastAsia"/>
        </w:rPr>
        <w:t>107年9月5日本院約</w:t>
      </w:r>
      <w:proofErr w:type="gramStart"/>
      <w:r w:rsidR="0012201E">
        <w:rPr>
          <w:rFonts w:hint="eastAsia"/>
        </w:rPr>
        <w:t>詢</w:t>
      </w:r>
      <w:proofErr w:type="gramEnd"/>
      <w:r w:rsidR="0012201E">
        <w:rPr>
          <w:rFonts w:hint="eastAsia"/>
        </w:rPr>
        <w:t>法務部</w:t>
      </w:r>
      <w:r>
        <w:rPr>
          <w:rFonts w:hint="eastAsia"/>
        </w:rPr>
        <w:t>次長蔡碧仲</w:t>
      </w:r>
      <w:r w:rsidR="00A229CE">
        <w:rPr>
          <w:rFonts w:hint="eastAsia"/>
        </w:rPr>
        <w:t>，其</w:t>
      </w:r>
      <w:r>
        <w:rPr>
          <w:rFonts w:hint="eastAsia"/>
        </w:rPr>
        <w:t>回應如下</w:t>
      </w:r>
      <w:r w:rsidR="0012201E">
        <w:rPr>
          <w:rFonts w:hint="eastAsia"/>
        </w:rPr>
        <w:t>：</w:t>
      </w:r>
    </w:p>
    <w:p w:rsidR="0012201E" w:rsidRDefault="002D11B4" w:rsidP="00B36954">
      <w:pPr>
        <w:pStyle w:val="4"/>
      </w:pPr>
      <w:r>
        <w:rPr>
          <w:rFonts w:hint="eastAsia"/>
        </w:rPr>
        <w:t>我受命參加行政院調查小組，</w:t>
      </w:r>
      <w:r w:rsidR="0012201E">
        <w:rPr>
          <w:rFonts w:hint="eastAsia"/>
        </w:rPr>
        <w:t>短短一個月做出慶富案報告，結論是認為第一銀行把錢櫃打開任讓陳慶男領的感覺</w:t>
      </w:r>
      <w:r w:rsidR="00912A2C">
        <w:rPr>
          <w:rFonts w:hint="eastAsia"/>
        </w:rPr>
        <w:t>。</w:t>
      </w:r>
      <w:r w:rsidR="0012201E">
        <w:rPr>
          <w:rFonts w:hint="eastAsia"/>
        </w:rPr>
        <w:t>我們在很短時間要給老百姓交代</w:t>
      </w:r>
      <w:r w:rsidR="00912A2C">
        <w:rPr>
          <w:rFonts w:hint="eastAsia"/>
        </w:rPr>
        <w:t>。</w:t>
      </w:r>
      <w:r w:rsidR="0012201E">
        <w:rPr>
          <w:rFonts w:hint="eastAsia"/>
        </w:rPr>
        <w:t>然而這案</w:t>
      </w:r>
      <w:proofErr w:type="gramStart"/>
      <w:r w:rsidR="0012201E">
        <w:rPr>
          <w:rFonts w:hint="eastAsia"/>
        </w:rPr>
        <w:t>在雄檢偵查</w:t>
      </w:r>
      <w:proofErr w:type="gramEnd"/>
      <w:r w:rsidR="0012201E">
        <w:rPr>
          <w:rFonts w:hint="eastAsia"/>
        </w:rPr>
        <w:t>中，要問具體個案也不大方便</w:t>
      </w:r>
      <w:r w:rsidR="00912A2C">
        <w:rPr>
          <w:rFonts w:hint="eastAsia"/>
        </w:rPr>
        <w:t>。</w:t>
      </w:r>
      <w:r w:rsidR="0012201E">
        <w:rPr>
          <w:rFonts w:hint="eastAsia"/>
        </w:rPr>
        <w:t>所以我老實說，這交保金額與犯罪所得等因素是真的不足。但到底多少金額才夠，由這案件發生棄保潛逃的結果是不足的。</w:t>
      </w:r>
    </w:p>
    <w:p w:rsidR="0012201E" w:rsidRDefault="0012201E" w:rsidP="00B36954">
      <w:pPr>
        <w:pStyle w:val="4"/>
      </w:pPr>
      <w:r w:rsidRPr="00195569">
        <w:rPr>
          <w:rFonts w:hint="eastAsia"/>
        </w:rPr>
        <w:t>委員有講到是不是檢察官經驗不足，導致這樣的交保金額。我覺得這件</w:t>
      </w:r>
      <w:r w:rsidR="002D11B4">
        <w:rPr>
          <w:rFonts w:hint="eastAsia"/>
        </w:rPr>
        <w:t>事一發生，我個人認為</w:t>
      </w:r>
      <w:r w:rsidRPr="00195569">
        <w:rPr>
          <w:rFonts w:hint="eastAsia"/>
        </w:rPr>
        <w:t>有</w:t>
      </w:r>
      <w:r w:rsidRPr="00195569">
        <w:rPr>
          <w:rFonts w:hint="eastAsia"/>
        </w:rPr>
        <w:lastRenderedPageBreak/>
        <w:t>聲請羈押之必要。行政院調查小組在有限資料中，</w:t>
      </w:r>
      <w:proofErr w:type="gramStart"/>
      <w:r w:rsidRPr="00195569">
        <w:rPr>
          <w:rFonts w:hint="eastAsia"/>
        </w:rPr>
        <w:t>懷疑這涉案</w:t>
      </w:r>
      <w:proofErr w:type="gramEnd"/>
      <w:r w:rsidRPr="00195569">
        <w:rPr>
          <w:rFonts w:hint="eastAsia"/>
        </w:rPr>
        <w:t>層級應該是很高，但目前我們看到的調查結果與檢察官起訴部分似有落差，不管偵查結果如何，但我認為這案有檢討必要，會後我們一定會討論也會處理檢討。</w:t>
      </w:r>
    </w:p>
    <w:p w:rsidR="0012201E" w:rsidRDefault="002D11B4" w:rsidP="00B46B4B">
      <w:pPr>
        <w:pStyle w:val="3"/>
      </w:pPr>
      <w:r>
        <w:rPr>
          <w:rFonts w:hint="eastAsia"/>
        </w:rPr>
        <w:t>為免對於無羈押必要及停止羈押之被告所為之羈押替代處分無法達到防逃效果，檢察官與法院實應針對個案審慎選擇替代處分</w:t>
      </w:r>
      <w:r w:rsidR="00257097">
        <w:rPr>
          <w:rFonts w:hint="eastAsia"/>
        </w:rPr>
        <w:t>。</w:t>
      </w:r>
      <w:r>
        <w:rPr>
          <w:rFonts w:hint="eastAsia"/>
        </w:rPr>
        <w:t>倘若以具保作為替代處</w:t>
      </w:r>
      <w:r w:rsidR="00E53CE6">
        <w:rPr>
          <w:rFonts w:hint="eastAsia"/>
        </w:rPr>
        <w:t>分</w:t>
      </w:r>
      <w:r>
        <w:rPr>
          <w:rFonts w:hint="eastAsia"/>
        </w:rPr>
        <w:t>，則保證金額之決定格外重要</w:t>
      </w:r>
      <w:r w:rsidR="00257097">
        <w:rPr>
          <w:rFonts w:hint="eastAsia"/>
        </w:rPr>
        <w:t>。</w:t>
      </w:r>
      <w:r w:rsidR="00B46B4B">
        <w:rPr>
          <w:rFonts w:hint="eastAsia"/>
        </w:rPr>
        <w:t>又以</w:t>
      </w:r>
      <w:proofErr w:type="gramStart"/>
      <w:r w:rsidR="00B46B4B">
        <w:rPr>
          <w:rFonts w:hint="eastAsia"/>
        </w:rPr>
        <w:t>本案觀之</w:t>
      </w:r>
      <w:proofErr w:type="gramEnd"/>
      <w:r w:rsidR="00B46B4B">
        <w:rPr>
          <w:rFonts w:hint="eastAsia"/>
        </w:rPr>
        <w:t>，</w:t>
      </w:r>
      <w:r w:rsidR="00B46B4B" w:rsidRPr="00B46B4B">
        <w:rPr>
          <w:rFonts w:hint="eastAsia"/>
        </w:rPr>
        <w:t>受害總金額高達131億元，</w:t>
      </w:r>
      <w:r w:rsidR="00E16716">
        <w:rPr>
          <w:rFonts w:hint="eastAsia"/>
        </w:rPr>
        <w:t>顯嚴重危害金融體系及經濟秩序，甚而損及國家利益，</w:t>
      </w:r>
      <w:r w:rsidR="00B46B4B">
        <w:rPr>
          <w:rFonts w:hint="eastAsia"/>
        </w:rPr>
        <w:t>後續影響</w:t>
      </w:r>
      <w:r w:rsidR="00257097">
        <w:rPr>
          <w:rFonts w:hint="eastAsia"/>
        </w:rPr>
        <w:t>亦</w:t>
      </w:r>
      <w:r w:rsidR="00B46B4B">
        <w:rPr>
          <w:rFonts w:hint="eastAsia"/>
        </w:rPr>
        <w:t>不言可喻，然檢察官與法院酌定保證金額，實為其偵查與審理之核心事項，須尊</w:t>
      </w:r>
      <w:r w:rsidR="00E53CE6">
        <w:rPr>
          <w:rFonts w:hint="eastAsia"/>
        </w:rPr>
        <w:t>重其判斷</w:t>
      </w:r>
      <w:r w:rsidR="00257097">
        <w:rPr>
          <w:rFonts w:hint="eastAsia"/>
        </w:rPr>
        <w:t>。</w:t>
      </w:r>
      <w:r w:rsidR="00B46B4B">
        <w:rPr>
          <w:rFonts w:hint="eastAsia"/>
        </w:rPr>
        <w:t>司法院亦為下列之說明</w:t>
      </w:r>
      <w:r w:rsidR="00B46B4B">
        <w:rPr>
          <w:rStyle w:val="aff"/>
        </w:rPr>
        <w:footnoteReference w:id="34"/>
      </w:r>
      <w:r w:rsidR="0012201E">
        <w:rPr>
          <w:rFonts w:hint="eastAsia"/>
        </w:rPr>
        <w:t>：</w:t>
      </w:r>
      <w:r w:rsidR="00E16716">
        <w:rPr>
          <w:rFonts w:hAnsi="標楷體" w:hint="eastAsia"/>
        </w:rPr>
        <w:t>「</w:t>
      </w:r>
      <w:r w:rsidR="0012201E" w:rsidRPr="00BD5F00">
        <w:rPr>
          <w:rFonts w:hint="eastAsia"/>
        </w:rPr>
        <w:t>保證金金額之酌定事涉具體個案認定，</w:t>
      </w:r>
      <w:r w:rsidR="009E4078">
        <w:rPr>
          <w:rFonts w:hint="eastAsia"/>
        </w:rPr>
        <w:t>司法</w:t>
      </w:r>
      <w:r w:rsidR="0012201E" w:rsidRPr="00BD5F00">
        <w:rPr>
          <w:rFonts w:hint="eastAsia"/>
        </w:rPr>
        <w:t>院為司法行政機關，基於維護審判獨立之精神，尊重法官依個案情形所為之審酌。</w:t>
      </w:r>
      <w:r w:rsidR="00E16716">
        <w:rPr>
          <w:rFonts w:hAnsi="標楷體" w:hint="eastAsia"/>
        </w:rPr>
        <w:t>」</w:t>
      </w:r>
      <w:r w:rsidR="00257097">
        <w:rPr>
          <w:rFonts w:hAnsi="標楷體" w:hint="eastAsia"/>
        </w:rPr>
        <w:t>惟</w:t>
      </w:r>
      <w:proofErr w:type="gramStart"/>
      <w:r w:rsidR="00BB00A8">
        <w:rPr>
          <w:rFonts w:hint="eastAsia"/>
        </w:rPr>
        <w:t>司</w:t>
      </w:r>
      <w:r w:rsidR="00B46B4B">
        <w:rPr>
          <w:rFonts w:hint="eastAsia"/>
        </w:rPr>
        <w:t>法院似</w:t>
      </w:r>
      <w:r w:rsidR="00257097">
        <w:rPr>
          <w:rFonts w:hint="eastAsia"/>
        </w:rPr>
        <w:t>仍</w:t>
      </w:r>
      <w:proofErr w:type="gramEnd"/>
      <w:r w:rsidR="00B46B4B">
        <w:rPr>
          <w:rFonts w:hint="eastAsia"/>
        </w:rPr>
        <w:t>可就重大經濟犯罪之案件提供類似</w:t>
      </w:r>
      <w:r w:rsidR="00B46B4B" w:rsidRPr="00BD5F00">
        <w:rPr>
          <w:rFonts w:hint="eastAsia"/>
        </w:rPr>
        <w:t>檢察機關辦理刑事訴訟案件應行注意事項第40點</w:t>
      </w:r>
      <w:r w:rsidR="00B46B4B">
        <w:rPr>
          <w:rFonts w:hint="eastAsia"/>
        </w:rPr>
        <w:t>之相關規範，</w:t>
      </w:r>
      <w:proofErr w:type="gramStart"/>
      <w:r w:rsidR="00B46B4B">
        <w:rPr>
          <w:rFonts w:hint="eastAsia"/>
        </w:rPr>
        <w:t>詳列審酌</w:t>
      </w:r>
      <w:proofErr w:type="gramEnd"/>
      <w:r w:rsidR="00B46B4B">
        <w:rPr>
          <w:rFonts w:hint="eastAsia"/>
        </w:rPr>
        <w:t>因素供</w:t>
      </w:r>
      <w:r w:rsidR="00BB00A8">
        <w:rPr>
          <w:rFonts w:hint="eastAsia"/>
        </w:rPr>
        <w:t>法官</w:t>
      </w:r>
      <w:r w:rsidR="00B46B4B">
        <w:rPr>
          <w:rFonts w:hint="eastAsia"/>
        </w:rPr>
        <w:t>裁定保證金額參考，</w:t>
      </w:r>
      <w:r w:rsidR="00257097">
        <w:rPr>
          <w:rFonts w:hint="eastAsia"/>
        </w:rPr>
        <w:t>避免</w:t>
      </w:r>
      <w:r w:rsidR="00B46B4B">
        <w:rPr>
          <w:rFonts w:hint="eastAsia"/>
        </w:rPr>
        <w:t>所裁定之</w:t>
      </w:r>
      <w:r w:rsidR="00B46B4B" w:rsidRPr="00B46B4B">
        <w:rPr>
          <w:rFonts w:hint="eastAsia"/>
        </w:rPr>
        <w:t>保</w:t>
      </w:r>
      <w:r w:rsidR="00B46B4B">
        <w:rPr>
          <w:rFonts w:hint="eastAsia"/>
        </w:rPr>
        <w:t>證</w:t>
      </w:r>
      <w:r w:rsidR="00B46B4B" w:rsidRPr="00B46B4B">
        <w:rPr>
          <w:rFonts w:hint="eastAsia"/>
        </w:rPr>
        <w:t>金</w:t>
      </w:r>
      <w:r w:rsidR="00B46B4B">
        <w:rPr>
          <w:rFonts w:hint="eastAsia"/>
        </w:rPr>
        <w:t>額</w:t>
      </w:r>
      <w:r w:rsidR="00B46B4B" w:rsidRPr="00B46B4B">
        <w:rPr>
          <w:rFonts w:hint="eastAsia"/>
        </w:rPr>
        <w:t>與犯罪所得不合</w:t>
      </w:r>
      <w:r w:rsidR="00E16716">
        <w:rPr>
          <w:rFonts w:hint="eastAsia"/>
        </w:rPr>
        <w:t>比例，</w:t>
      </w:r>
      <w:proofErr w:type="gramStart"/>
      <w:r w:rsidR="00E16716">
        <w:rPr>
          <w:rFonts w:hint="eastAsia"/>
        </w:rPr>
        <w:t>致防逃</w:t>
      </w:r>
      <w:proofErr w:type="gramEnd"/>
      <w:r w:rsidR="00E16716">
        <w:rPr>
          <w:rFonts w:hint="eastAsia"/>
        </w:rPr>
        <w:t>效能</w:t>
      </w:r>
      <w:proofErr w:type="gramStart"/>
      <w:r w:rsidR="00257097">
        <w:rPr>
          <w:rFonts w:hint="eastAsia"/>
        </w:rPr>
        <w:t>不</w:t>
      </w:r>
      <w:proofErr w:type="gramEnd"/>
      <w:r w:rsidR="00257097">
        <w:rPr>
          <w:rFonts w:hint="eastAsia"/>
        </w:rPr>
        <w:t>彰</w:t>
      </w:r>
      <w:r w:rsidR="00E16716">
        <w:rPr>
          <w:rFonts w:hint="eastAsia"/>
        </w:rPr>
        <w:t>，</w:t>
      </w:r>
      <w:proofErr w:type="gramStart"/>
      <w:r w:rsidR="00257097">
        <w:rPr>
          <w:rFonts w:hint="eastAsia"/>
        </w:rPr>
        <w:t>斲</w:t>
      </w:r>
      <w:proofErr w:type="gramEnd"/>
      <w:r w:rsidR="00257097">
        <w:rPr>
          <w:rFonts w:hint="eastAsia"/>
        </w:rPr>
        <w:t>傷人民對司法的信賴</w:t>
      </w:r>
      <w:r w:rsidR="00B46B4B">
        <w:rPr>
          <w:rFonts w:hint="eastAsia"/>
        </w:rPr>
        <w:t>。</w:t>
      </w:r>
    </w:p>
    <w:p w:rsidR="00EB650C" w:rsidRDefault="00B46B4B" w:rsidP="00087B88">
      <w:pPr>
        <w:pStyle w:val="3"/>
      </w:pPr>
      <w:r>
        <w:rPr>
          <w:rFonts w:hint="eastAsia"/>
        </w:rPr>
        <w:t>綜上，</w:t>
      </w: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00087B88" w:rsidRPr="00087B88">
        <w:rPr>
          <w:rFonts w:hint="eastAsia"/>
        </w:rPr>
        <w:t>毋枉</w:t>
      </w:r>
      <w:proofErr w:type="gramStart"/>
      <w:r w:rsidR="00087B88" w:rsidRPr="00087B88">
        <w:rPr>
          <w:rFonts w:hint="eastAsia"/>
        </w:rPr>
        <w:t>毋縱係刑事訴訟</w:t>
      </w:r>
      <w:proofErr w:type="gramEnd"/>
      <w:r w:rsidR="00087B88" w:rsidRPr="00087B88">
        <w:rPr>
          <w:rFonts w:hint="eastAsia"/>
        </w:rPr>
        <w:t>之目的，然近年發生多起棄保潛逃案件，107年間除本案外，又發生偽造降血</w:t>
      </w:r>
      <w:proofErr w:type="gramStart"/>
      <w:r w:rsidR="00087B88" w:rsidRPr="00087B88">
        <w:rPr>
          <w:rFonts w:hint="eastAsia"/>
        </w:rPr>
        <w:t>脂藥「冠脂妥</w:t>
      </w:r>
      <w:proofErr w:type="gramEnd"/>
      <w:r w:rsidR="00087B88" w:rsidRPr="00087B88">
        <w:rPr>
          <w:rFonts w:hint="eastAsia"/>
        </w:rPr>
        <w:t>」主嫌潘駿達逃逸案，顯見我國防逃效能</w:t>
      </w:r>
      <w:proofErr w:type="gramStart"/>
      <w:r w:rsidR="00087B88" w:rsidRPr="00087B88">
        <w:rPr>
          <w:rFonts w:hint="eastAsia"/>
        </w:rPr>
        <w:t>不</w:t>
      </w:r>
      <w:proofErr w:type="gramEnd"/>
      <w:r w:rsidR="00087B88" w:rsidRPr="00087B88">
        <w:rPr>
          <w:rFonts w:hint="eastAsia"/>
        </w:rPr>
        <w:t>彰，實須改進。另本案所涉犯罪金額極高，屬重大經濟犯罪，對國家金融秩序及經濟發展影響甚</w:t>
      </w:r>
      <w:proofErr w:type="gramStart"/>
      <w:r w:rsidR="00087B88" w:rsidRPr="00087B88">
        <w:rPr>
          <w:rFonts w:hint="eastAsia"/>
        </w:rPr>
        <w:t>鉅</w:t>
      </w:r>
      <w:proofErr w:type="gramEnd"/>
      <w:r w:rsidR="00087B88" w:rsidRPr="00087B88">
        <w:rPr>
          <w:rFonts w:hint="eastAsia"/>
        </w:rPr>
        <w:t>，</w:t>
      </w:r>
      <w:proofErr w:type="gramStart"/>
      <w:r w:rsidR="00087B88" w:rsidRPr="00087B88">
        <w:rPr>
          <w:rFonts w:hint="eastAsia"/>
        </w:rPr>
        <w:t>倘未對其</w:t>
      </w:r>
      <w:proofErr w:type="gramEnd"/>
      <w:r w:rsidR="00087B88" w:rsidRPr="00087B88">
        <w:rPr>
          <w:rFonts w:hint="eastAsia"/>
        </w:rPr>
        <w:t>予以羈押，</w:t>
      </w:r>
      <w:proofErr w:type="gramStart"/>
      <w:r w:rsidR="00087B88" w:rsidRPr="00087B88">
        <w:rPr>
          <w:rFonts w:hint="eastAsia"/>
        </w:rPr>
        <w:t>而改予羈押</w:t>
      </w:r>
      <w:proofErr w:type="gramEnd"/>
      <w:r w:rsidR="00087B88" w:rsidRPr="00087B88">
        <w:rPr>
          <w:rFonts w:hint="eastAsia"/>
        </w:rPr>
        <w:t>之替代處分，此時保證金額之酌定，尤顯重要，否則難以回復被</w:t>
      </w:r>
      <w:r w:rsidR="00087B88" w:rsidRPr="00087B88">
        <w:rPr>
          <w:rFonts w:hint="eastAsia"/>
        </w:rPr>
        <w:lastRenderedPageBreak/>
        <w:t>害人之損害外，</w:t>
      </w:r>
      <w:proofErr w:type="gramStart"/>
      <w:r w:rsidR="00087B88" w:rsidRPr="00087B88">
        <w:rPr>
          <w:rFonts w:hint="eastAsia"/>
        </w:rPr>
        <w:t>更致生</w:t>
      </w:r>
      <w:proofErr w:type="gramEnd"/>
      <w:r w:rsidR="00087B88" w:rsidRPr="00087B88">
        <w:rPr>
          <w:rFonts w:hint="eastAsia"/>
        </w:rPr>
        <w:t>民怨。另酌定合乎比例之保證金額，可增被告逃逸成本之</w:t>
      </w:r>
      <w:proofErr w:type="gramStart"/>
      <w:r w:rsidR="00087B88" w:rsidRPr="00087B88">
        <w:rPr>
          <w:rFonts w:hint="eastAsia"/>
        </w:rPr>
        <w:t>不</w:t>
      </w:r>
      <w:proofErr w:type="gramEnd"/>
      <w:r w:rsidR="00087B88" w:rsidRPr="00087B88">
        <w:rPr>
          <w:rFonts w:hint="eastAsia"/>
        </w:rPr>
        <w:t>利益，</w:t>
      </w:r>
      <w:proofErr w:type="gramStart"/>
      <w:r w:rsidR="00087B88" w:rsidRPr="00087B88">
        <w:rPr>
          <w:rFonts w:hint="eastAsia"/>
        </w:rPr>
        <w:t>此觀檢察</w:t>
      </w:r>
      <w:proofErr w:type="gramEnd"/>
      <w:r w:rsidR="00087B88" w:rsidRPr="00087B88">
        <w:rPr>
          <w:rFonts w:hint="eastAsia"/>
        </w:rPr>
        <w:t>機關辦理刑事訴訟案件應行注意事項第40點所列保證金額酌定因素甚明。然</w:t>
      </w:r>
      <w:proofErr w:type="gramStart"/>
      <w:r w:rsidR="00087B88" w:rsidRPr="00087B88">
        <w:rPr>
          <w:rFonts w:hint="eastAsia"/>
        </w:rPr>
        <w:t>法官於審酌</w:t>
      </w:r>
      <w:proofErr w:type="gramEnd"/>
      <w:r w:rsidR="00087B88" w:rsidRPr="00087B88">
        <w:rPr>
          <w:rFonts w:hint="eastAsia"/>
        </w:rPr>
        <w:t>保證金額時，尚無相關規定供其參酌，</w:t>
      </w:r>
      <w:proofErr w:type="gramStart"/>
      <w:r w:rsidR="00087B88" w:rsidRPr="00087B88">
        <w:rPr>
          <w:rFonts w:hint="eastAsia"/>
        </w:rPr>
        <w:t>司法院似宜</w:t>
      </w:r>
      <w:proofErr w:type="gramEnd"/>
      <w:r w:rsidR="00087B88" w:rsidRPr="00087B88">
        <w:rPr>
          <w:rFonts w:hint="eastAsia"/>
        </w:rPr>
        <w:t>參考該要點之規定，提供相關因素予法官作為裁定交保金時之參考，降低所裁定之保證金額與犯罪所得不合比例之訾議，以復司法訴追之威信</w:t>
      </w:r>
      <w:r w:rsidR="00EB650C" w:rsidRPr="00EB650C">
        <w:rPr>
          <w:rFonts w:hint="eastAsia"/>
        </w:rPr>
        <w:t>。</w:t>
      </w:r>
    </w:p>
    <w:p w:rsidR="00E25849" w:rsidRDefault="0078551E" w:rsidP="00E16716">
      <w:pPr>
        <w:pStyle w:val="1"/>
      </w:pP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D301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調查意見一至五</w:t>
      </w:r>
      <w:r w:rsidR="00E25849">
        <w:rPr>
          <w:rFonts w:hint="eastAsia"/>
        </w:rPr>
        <w:t>，</w:t>
      </w:r>
      <w:r>
        <w:rPr>
          <w:rFonts w:hint="eastAsia"/>
        </w:rPr>
        <w:t>函請司法院及法務部</w:t>
      </w:r>
      <w:r w:rsidR="000B6427">
        <w:rPr>
          <w:rFonts w:hint="eastAsia"/>
        </w:rPr>
        <w:t>確實</w:t>
      </w:r>
      <w:proofErr w:type="gramStart"/>
      <w:r w:rsidR="000B6427">
        <w:rPr>
          <w:rFonts w:hint="eastAsia"/>
        </w:rPr>
        <w:t>檢討妥處</w:t>
      </w:r>
      <w:proofErr w:type="gramEnd"/>
      <w:r w:rsidR="00E25849">
        <w:rPr>
          <w:rFonts w:hint="eastAsia"/>
        </w:rPr>
        <w:t>。</w:t>
      </w:r>
      <w:bookmarkEnd w:id="77"/>
      <w:bookmarkEnd w:id="78"/>
      <w:bookmarkEnd w:id="79"/>
      <w:bookmarkEnd w:id="80"/>
      <w:bookmarkEnd w:id="81"/>
      <w:bookmarkEnd w:id="82"/>
      <w:bookmarkEnd w:id="83"/>
      <w:bookmarkEnd w:id="84"/>
      <w:bookmarkEnd w:id="85"/>
      <w:bookmarkEnd w:id="86"/>
      <w:bookmarkEnd w:id="87"/>
      <w:bookmarkEnd w:id="88"/>
      <w:bookmarkEnd w:id="89"/>
    </w:p>
    <w:p w:rsidR="000809A2" w:rsidRDefault="000B6427">
      <w:pPr>
        <w:pStyle w:val="2"/>
      </w:pPr>
      <w:r>
        <w:rPr>
          <w:rFonts w:hint="eastAsia"/>
        </w:rPr>
        <w:t>調查意見一、四函請內政部警政署</w:t>
      </w:r>
      <w:proofErr w:type="gramStart"/>
      <w:r>
        <w:rPr>
          <w:rFonts w:hint="eastAsia"/>
        </w:rPr>
        <w:t>研議妥</w:t>
      </w:r>
      <w:r w:rsidR="000809A2">
        <w:rPr>
          <w:rFonts w:hint="eastAsia"/>
        </w:rPr>
        <w:t>處</w:t>
      </w:r>
      <w:proofErr w:type="gramEnd"/>
      <w:r w:rsidR="000809A2">
        <w:rPr>
          <w:rFonts w:hint="eastAsia"/>
        </w:rPr>
        <w:t>。</w:t>
      </w:r>
    </w:p>
    <w:p w:rsidR="00100A3F" w:rsidRPr="00100A3F" w:rsidRDefault="000B6427" w:rsidP="00100A3F">
      <w:pPr>
        <w:pStyle w:val="2"/>
        <w:rPr>
          <w:bCs w:val="0"/>
        </w:rPr>
      </w:pPr>
      <w:r>
        <w:rPr>
          <w:rFonts w:hint="eastAsia"/>
        </w:rPr>
        <w:t>調查意見四函請內政部</w:t>
      </w:r>
      <w:proofErr w:type="gramStart"/>
      <w:r>
        <w:rPr>
          <w:rFonts w:hint="eastAsia"/>
        </w:rPr>
        <w:t>研議妥處</w:t>
      </w:r>
      <w:proofErr w:type="gramEnd"/>
      <w:r>
        <w:rPr>
          <w:rFonts w:hint="eastAsia"/>
        </w:rPr>
        <w:t>。</w:t>
      </w:r>
      <w:bookmarkStart w:id="101" w:name="_Toc421794883"/>
      <w:bookmarkStart w:id="102" w:name="_Toc4467127"/>
      <w:bookmarkEnd w:id="90"/>
      <w:bookmarkEnd w:id="91"/>
      <w:bookmarkEnd w:id="92"/>
      <w:bookmarkEnd w:id="93"/>
      <w:bookmarkEnd w:id="94"/>
      <w:bookmarkEnd w:id="95"/>
      <w:bookmarkEnd w:id="96"/>
      <w:bookmarkEnd w:id="97"/>
      <w:bookmarkEnd w:id="98"/>
      <w:bookmarkEnd w:id="99"/>
      <w:bookmarkEnd w:id="100"/>
      <w:bookmarkEnd w:id="101"/>
    </w:p>
    <w:p w:rsidR="00100A3F" w:rsidRPr="00100A3F" w:rsidRDefault="00100A3F" w:rsidP="00100A3F">
      <w:pPr>
        <w:pStyle w:val="2"/>
        <w:numPr>
          <w:ilvl w:val="0"/>
          <w:numId w:val="0"/>
        </w:numPr>
        <w:ind w:left="340"/>
        <w:rPr>
          <w:bCs w:val="0"/>
        </w:rPr>
      </w:pPr>
    </w:p>
    <w:p w:rsidR="00100A3F" w:rsidRPr="002A17AF" w:rsidRDefault="0026489E" w:rsidP="002A17AF">
      <w:pPr>
        <w:pStyle w:val="2"/>
        <w:numPr>
          <w:ilvl w:val="0"/>
          <w:numId w:val="0"/>
        </w:numPr>
        <w:ind w:leftChars="-100" w:left="-2" w:hangingChars="76" w:hanging="338"/>
        <w:jc w:val="right"/>
        <w:rPr>
          <w:bCs w:val="0"/>
          <w:sz w:val="40"/>
          <w:szCs w:val="40"/>
        </w:rPr>
      </w:pPr>
      <w:r w:rsidRPr="005C0958">
        <w:rPr>
          <w:rFonts w:hint="eastAsia"/>
          <w:color w:val="000000" w:themeColor="text1"/>
          <w:spacing w:val="12"/>
          <w:kern w:val="0"/>
          <w:sz w:val="40"/>
        </w:rPr>
        <w:t>調查委員：</w:t>
      </w:r>
      <w:r w:rsidR="002A17AF" w:rsidRPr="002A17AF">
        <w:rPr>
          <w:rFonts w:hAnsi="標楷體" w:hint="eastAsia"/>
          <w:sz w:val="40"/>
          <w:szCs w:val="40"/>
        </w:rPr>
        <w:t>蔡崇義、王幼玲、林雅鋒、楊芳玲</w:t>
      </w: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2A17AF" w:rsidRDefault="00100A3F" w:rsidP="00100A3F">
      <w:pPr>
        <w:pStyle w:val="2"/>
        <w:numPr>
          <w:ilvl w:val="0"/>
          <w:numId w:val="0"/>
        </w:numPr>
        <w:ind w:left="340"/>
        <w:rPr>
          <w:bCs w:val="0"/>
        </w:rPr>
      </w:pPr>
      <w:bookmarkStart w:id="103" w:name="_GoBack"/>
      <w:bookmarkEnd w:id="103"/>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00A3F" w:rsidRPr="00100A3F" w:rsidRDefault="00100A3F" w:rsidP="00100A3F">
      <w:pPr>
        <w:pStyle w:val="2"/>
        <w:numPr>
          <w:ilvl w:val="0"/>
          <w:numId w:val="0"/>
        </w:numPr>
        <w:ind w:left="340"/>
        <w:rPr>
          <w:bCs w:val="0"/>
        </w:rPr>
      </w:pPr>
    </w:p>
    <w:p w:rsidR="00196DFC" w:rsidRPr="00196DFC" w:rsidRDefault="00417797" w:rsidP="00100A3F">
      <w:pPr>
        <w:pStyle w:val="2"/>
        <w:numPr>
          <w:ilvl w:val="0"/>
          <w:numId w:val="0"/>
        </w:numPr>
        <w:ind w:left="340"/>
        <w:rPr>
          <w:bCs w:val="0"/>
        </w:rPr>
      </w:pPr>
      <w:r>
        <w:rPr>
          <w:rFonts w:hint="eastAsia"/>
        </w:rPr>
        <w:lastRenderedPageBreak/>
        <w:t>附表、</w:t>
      </w:r>
      <w:r w:rsidR="00196DFC" w:rsidRPr="00196DFC">
        <w:rPr>
          <w:rFonts w:hint="eastAsia"/>
        </w:rPr>
        <w:t>近10年警察機關受囑託辦理報到案件統計資料</w:t>
      </w:r>
    </w:p>
    <w:p w:rsidR="00D5001D" w:rsidRDefault="00196DFC" w:rsidP="00BE1BC8">
      <w:pPr>
        <w:pStyle w:val="a1"/>
        <w:numPr>
          <w:ilvl w:val="0"/>
          <w:numId w:val="0"/>
        </w:numPr>
        <w:rPr>
          <w:bCs/>
        </w:rPr>
      </w:pPr>
      <w:r w:rsidRPr="00196DFC">
        <w:rPr>
          <w:noProof/>
          <w:sz w:val="36"/>
        </w:rPr>
        <w:drawing>
          <wp:inline distT="0" distB="0" distL="0" distR="0" wp14:anchorId="79947717" wp14:editId="4FA9A7CA">
            <wp:extent cx="5614497" cy="8048625"/>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8050693"/>
                    </a:xfrm>
                    <a:prstGeom prst="rect">
                      <a:avLst/>
                    </a:prstGeom>
                    <a:noFill/>
                    <a:ln>
                      <a:noFill/>
                    </a:ln>
                  </pic:spPr>
                </pic:pic>
              </a:graphicData>
            </a:graphic>
          </wp:inline>
        </w:drawing>
      </w:r>
      <w:bookmarkStart w:id="104" w:name="_Toc421794885"/>
      <w:bookmarkEnd w:id="102"/>
      <w:bookmarkEnd w:id="104"/>
    </w:p>
    <w:sectPr w:rsidR="00D5001D" w:rsidSect="00FB1657">
      <w:footerReference w:type="default" r:id="rId11"/>
      <w:pgSz w:w="11907" w:h="16840" w:code="9"/>
      <w:pgMar w:top="1418" w:right="1418" w:bottom="1701"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7A" w:rsidRDefault="00705C7A">
      <w:r>
        <w:separator/>
      </w:r>
    </w:p>
  </w:endnote>
  <w:endnote w:type="continuationSeparator" w:id="0">
    <w:p w:rsidR="00705C7A" w:rsidRDefault="0070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7F" w:rsidRDefault="007D697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A17AF">
      <w:rPr>
        <w:rStyle w:val="ad"/>
        <w:noProof/>
        <w:sz w:val="24"/>
      </w:rPr>
      <w:t>46</w:t>
    </w:r>
    <w:r>
      <w:rPr>
        <w:rStyle w:val="ad"/>
        <w:sz w:val="24"/>
      </w:rPr>
      <w:fldChar w:fldCharType="end"/>
    </w:r>
  </w:p>
  <w:p w:rsidR="007D697F" w:rsidRDefault="007D697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7A" w:rsidRDefault="00705C7A">
      <w:r>
        <w:separator/>
      </w:r>
    </w:p>
  </w:footnote>
  <w:footnote w:type="continuationSeparator" w:id="0">
    <w:p w:rsidR="00705C7A" w:rsidRDefault="00705C7A">
      <w:r>
        <w:continuationSeparator/>
      </w:r>
    </w:p>
  </w:footnote>
  <w:footnote w:id="1">
    <w:p w:rsidR="007D697F" w:rsidRDefault="007D697F" w:rsidP="00BB11D4">
      <w:pPr>
        <w:pStyle w:val="afd"/>
        <w:ind w:left="1147" w:hangingChars="521" w:hanging="1147"/>
      </w:pPr>
      <w:r>
        <w:rPr>
          <w:rStyle w:val="aff"/>
        </w:rPr>
        <w:footnoteRef/>
      </w:r>
      <w:r>
        <w:rPr>
          <w:rFonts w:hint="eastAsia"/>
        </w:rPr>
        <w:t>資料來源：調查公布時間：2016年5月24日。</w:t>
      </w:r>
      <w:r w:rsidR="00721DDF">
        <w:rPr>
          <w:rStyle w:val="af"/>
        </w:rPr>
        <w:fldChar w:fldCharType="begin"/>
      </w:r>
      <w:r w:rsidR="00721DDF">
        <w:rPr>
          <w:rStyle w:val="af"/>
        </w:rPr>
        <w:instrText xml:space="preserve"> HYPERLINK "https://www.cw.com.tw/article/article.action?id=5076475" </w:instrText>
      </w:r>
      <w:r w:rsidR="00721DDF">
        <w:rPr>
          <w:rStyle w:val="af"/>
        </w:rPr>
        <w:fldChar w:fldCharType="separate"/>
      </w:r>
      <w:r w:rsidRPr="00E4038C">
        <w:rPr>
          <w:rStyle w:val="af"/>
        </w:rPr>
        <w:t>https://www.cw.com.tw/article/article.action?id=5076475</w:t>
      </w:r>
      <w:r w:rsidR="00721DDF">
        <w:rPr>
          <w:rStyle w:val="af"/>
        </w:rPr>
        <w:fldChar w:fldCharType="end"/>
      </w:r>
      <w:r>
        <w:rPr>
          <w:rFonts w:hint="eastAsia"/>
        </w:rPr>
        <w:t xml:space="preserve"> 瀏覽日期：108.2.20。</w:t>
      </w:r>
    </w:p>
    <w:p w:rsidR="007D697F" w:rsidRDefault="007D697F" w:rsidP="00C12DF2">
      <w:pPr>
        <w:pStyle w:val="afd"/>
        <w:jc w:val="center"/>
      </w:pPr>
      <w:r>
        <w:rPr>
          <w:rFonts w:hint="eastAsia"/>
        </w:rPr>
        <w:t>表1 請問你對以下對象信不信任</w:t>
      </w:r>
    </w:p>
    <w:p w:rsidR="007D697F" w:rsidRDefault="007D697F" w:rsidP="00C12DF2">
      <w:pPr>
        <w:pStyle w:val="afd"/>
        <w:jc w:val="center"/>
      </w:pPr>
      <w:r>
        <w:rPr>
          <w:rFonts w:hint="eastAsia"/>
          <w:noProof/>
        </w:rPr>
        <w:drawing>
          <wp:inline distT="0" distB="0" distL="0" distR="0" wp14:anchorId="29B31A46" wp14:editId="5703BD94">
            <wp:extent cx="2665254" cy="2105025"/>
            <wp:effectExtent l="0" t="0" r="190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人事.jpg"/>
                    <pic:cNvPicPr/>
                  </pic:nvPicPr>
                  <pic:blipFill rotWithShape="1">
                    <a:blip r:embed="rId1">
                      <a:extLst>
                        <a:ext uri="{28A0092B-C50C-407E-A947-70E740481C1C}">
                          <a14:useLocalDpi xmlns:a14="http://schemas.microsoft.com/office/drawing/2010/main" val="0"/>
                        </a:ext>
                      </a:extLst>
                    </a:blip>
                    <a:srcRect l="16601" r="16778"/>
                    <a:stretch/>
                  </pic:blipFill>
                  <pic:spPr bwMode="auto">
                    <a:xfrm>
                      <a:off x="0" y="0"/>
                      <a:ext cx="2665254" cy="2105025"/>
                    </a:xfrm>
                    <a:prstGeom prst="rect">
                      <a:avLst/>
                    </a:prstGeom>
                    <a:ln>
                      <a:noFill/>
                    </a:ln>
                    <a:extLst>
                      <a:ext uri="{53640926-AAD7-44D8-BBD7-CCE9431645EC}">
                        <a14:shadowObscured xmlns:a14="http://schemas.microsoft.com/office/drawing/2010/main"/>
                      </a:ext>
                    </a:extLst>
                  </pic:spPr>
                </pic:pic>
              </a:graphicData>
            </a:graphic>
          </wp:inline>
        </w:drawing>
      </w:r>
    </w:p>
    <w:p w:rsidR="007D697F" w:rsidRDefault="007D697F" w:rsidP="00C12DF2">
      <w:pPr>
        <w:pStyle w:val="afd"/>
        <w:jc w:val="center"/>
      </w:pPr>
    </w:p>
    <w:p w:rsidR="007D697F" w:rsidRDefault="007D697F" w:rsidP="00C12DF2">
      <w:pPr>
        <w:pStyle w:val="afd"/>
        <w:jc w:val="center"/>
      </w:pPr>
      <w:r>
        <w:rPr>
          <w:rFonts w:hint="eastAsia"/>
        </w:rPr>
        <w:t>表2 請問你對以下體系信不信任</w:t>
      </w:r>
    </w:p>
    <w:p w:rsidR="007D697F" w:rsidRDefault="007D697F" w:rsidP="00C12DF2">
      <w:pPr>
        <w:pStyle w:val="afd"/>
        <w:jc w:val="center"/>
      </w:pPr>
      <w:r>
        <w:rPr>
          <w:rFonts w:hint="eastAsia"/>
          <w:noProof/>
        </w:rPr>
        <w:drawing>
          <wp:inline distT="0" distB="0" distL="0" distR="0" wp14:anchorId="458CC1EA" wp14:editId="43F7FE1B">
            <wp:extent cx="2606753" cy="2543175"/>
            <wp:effectExtent l="0" t="0" r="3175"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體系.jpg"/>
                    <pic:cNvPicPr/>
                  </pic:nvPicPr>
                  <pic:blipFill rotWithShape="1">
                    <a:blip r:embed="rId2">
                      <a:extLst>
                        <a:ext uri="{28A0092B-C50C-407E-A947-70E740481C1C}">
                          <a14:useLocalDpi xmlns:a14="http://schemas.microsoft.com/office/drawing/2010/main" val="0"/>
                        </a:ext>
                      </a:extLst>
                    </a:blip>
                    <a:srcRect l="16445" r="17096"/>
                    <a:stretch/>
                  </pic:blipFill>
                  <pic:spPr bwMode="auto">
                    <a:xfrm>
                      <a:off x="0" y="0"/>
                      <a:ext cx="2605705" cy="2542153"/>
                    </a:xfrm>
                    <a:prstGeom prst="rect">
                      <a:avLst/>
                    </a:prstGeom>
                    <a:ln>
                      <a:noFill/>
                    </a:ln>
                    <a:extLst>
                      <a:ext uri="{53640926-AAD7-44D8-BBD7-CCE9431645EC}">
                        <a14:shadowObscured xmlns:a14="http://schemas.microsoft.com/office/drawing/2010/main"/>
                      </a:ext>
                    </a:extLst>
                  </pic:spPr>
                </pic:pic>
              </a:graphicData>
            </a:graphic>
          </wp:inline>
        </w:drawing>
      </w:r>
    </w:p>
    <w:p w:rsidR="007D697F" w:rsidRDefault="007D697F" w:rsidP="00C12DF2">
      <w:pPr>
        <w:pStyle w:val="afd"/>
        <w:jc w:val="center"/>
      </w:pPr>
    </w:p>
    <w:p w:rsidR="007D697F" w:rsidRDefault="007D697F" w:rsidP="00C12DF2">
      <w:pPr>
        <w:pStyle w:val="afd"/>
        <w:jc w:val="center"/>
      </w:pPr>
    </w:p>
    <w:p w:rsidR="007D697F" w:rsidRDefault="007D697F" w:rsidP="00C12DF2">
      <w:pPr>
        <w:pStyle w:val="afd"/>
        <w:jc w:val="center"/>
      </w:pPr>
    </w:p>
    <w:p w:rsidR="007D697F" w:rsidRPr="00C12DF2" w:rsidRDefault="007D697F" w:rsidP="00C12DF2">
      <w:pPr>
        <w:pStyle w:val="afd"/>
        <w:jc w:val="center"/>
      </w:pPr>
    </w:p>
  </w:footnote>
  <w:footnote w:id="2">
    <w:p w:rsidR="007D697F" w:rsidRDefault="007D697F">
      <w:pPr>
        <w:pStyle w:val="afd"/>
      </w:pPr>
      <w:r>
        <w:rPr>
          <w:rStyle w:val="aff"/>
        </w:rPr>
        <w:footnoteRef/>
      </w:r>
      <w:r>
        <w:rPr>
          <w:rFonts w:hAnsi="標楷體" w:hint="eastAsia"/>
        </w:rPr>
        <w:t>「</w:t>
      </w:r>
      <w:r>
        <w:rPr>
          <w:rFonts w:hint="eastAsia"/>
        </w:rPr>
        <w:t>107年上半年度臺灣民眾對司法與犯罪防制滿意度之調查研究</w:t>
      </w:r>
      <w:r>
        <w:rPr>
          <w:rFonts w:hAnsi="標楷體" w:hint="eastAsia"/>
        </w:rPr>
        <w:t>」</w:t>
      </w:r>
      <w:r>
        <w:rPr>
          <w:rFonts w:hint="eastAsia"/>
        </w:rPr>
        <w:t>發表</w:t>
      </w:r>
      <w:proofErr w:type="gramStart"/>
      <w:r>
        <w:rPr>
          <w:rFonts w:hint="eastAsia"/>
        </w:rPr>
        <w:t>會</w:t>
      </w:r>
      <w:proofErr w:type="gramEnd"/>
      <w:r>
        <w:rPr>
          <w:rFonts w:hint="eastAsia"/>
        </w:rPr>
        <w:t>會議新聞稿，發布日期107年8月31</w:t>
      </w:r>
      <w:r>
        <w:rPr>
          <w:rFonts w:hint="eastAsia"/>
        </w:rPr>
        <w:t>日，資料來源：</w:t>
      </w:r>
      <w:r w:rsidR="00721DDF">
        <w:rPr>
          <w:rStyle w:val="af"/>
        </w:rPr>
        <w:fldChar w:fldCharType="begin"/>
      </w:r>
      <w:r w:rsidR="00721DDF">
        <w:rPr>
          <w:rStyle w:val="af"/>
        </w:rPr>
        <w:instrText xml:space="preserve"> HYPERLINK "http://deptcrc.ccu.edu.tw/index.php?option=module&amp;lang=cht&amp;task=pageinfo&amp;id=62&amp;index=1" </w:instrText>
      </w:r>
      <w:r w:rsidR="00721DDF">
        <w:rPr>
          <w:rStyle w:val="af"/>
        </w:rPr>
        <w:fldChar w:fldCharType="separate"/>
      </w:r>
      <w:r w:rsidRPr="00E4038C">
        <w:rPr>
          <w:rStyle w:val="af"/>
        </w:rPr>
        <w:t>http://deptcrc.ccu.edu.tw/index.php?option=module&amp;lang=cht&amp;task=pageinfo&amp;id=62&amp;index=1</w:t>
      </w:r>
      <w:r w:rsidR="00721DDF">
        <w:rPr>
          <w:rStyle w:val="af"/>
        </w:rPr>
        <w:fldChar w:fldCharType="end"/>
      </w:r>
      <w:r>
        <w:rPr>
          <w:rFonts w:hint="eastAsia"/>
        </w:rPr>
        <w:t>，最後瀏覽日：108.2.20。</w:t>
      </w:r>
    </w:p>
    <w:p w:rsidR="007D697F" w:rsidRDefault="007D697F" w:rsidP="00C67933">
      <w:pPr>
        <w:pStyle w:val="afd"/>
        <w:jc w:val="center"/>
      </w:pPr>
      <w:r>
        <w:rPr>
          <w:rFonts w:hint="eastAsia"/>
        </w:rPr>
        <w:t>表1 民眾對於司法信任之程度</w:t>
      </w:r>
    </w:p>
    <w:p w:rsidR="007D697F" w:rsidRDefault="007D697F" w:rsidP="00C67933">
      <w:pPr>
        <w:pStyle w:val="afd"/>
        <w:jc w:val="center"/>
      </w:pPr>
      <w:r w:rsidRPr="00064B66">
        <w:rPr>
          <w:rFonts w:hint="eastAsia"/>
          <w:noProof/>
        </w:rPr>
        <w:drawing>
          <wp:inline distT="0" distB="0" distL="0" distR="0" wp14:anchorId="1BDC3252" wp14:editId="69832577">
            <wp:extent cx="3195177" cy="1761616"/>
            <wp:effectExtent l="0" t="0" r="5715"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03981" cy="1766470"/>
                    </a:xfrm>
                    <a:prstGeom prst="rect">
                      <a:avLst/>
                    </a:prstGeom>
                    <a:noFill/>
                    <a:ln>
                      <a:noFill/>
                    </a:ln>
                  </pic:spPr>
                </pic:pic>
              </a:graphicData>
            </a:graphic>
          </wp:inline>
        </w:drawing>
      </w:r>
    </w:p>
  </w:footnote>
  <w:footnote w:id="3">
    <w:p w:rsidR="007D697F" w:rsidRPr="00960A4A" w:rsidRDefault="007D697F" w:rsidP="005C1B90">
      <w:pPr>
        <w:pStyle w:val="afd"/>
      </w:pPr>
      <w:r>
        <w:rPr>
          <w:rStyle w:val="aff"/>
        </w:rPr>
        <w:footnoteRef/>
      </w:r>
      <w:r w:rsidRPr="004D2D19">
        <w:rPr>
          <w:rFonts w:hint="eastAsia"/>
        </w:rPr>
        <w:t>司法院公布7司改方案 判2年以上啟動防逃機制</w:t>
      </w:r>
      <w:r>
        <w:rPr>
          <w:rFonts w:hint="eastAsia"/>
        </w:rPr>
        <w:t>，自由時報，106年2月19日。資料來源：</w:t>
      </w:r>
      <w:r w:rsidR="00721DDF">
        <w:rPr>
          <w:rStyle w:val="af"/>
        </w:rPr>
        <w:fldChar w:fldCharType="begin"/>
      </w:r>
      <w:r w:rsidR="00721DDF">
        <w:rPr>
          <w:rStyle w:val="af"/>
        </w:rPr>
        <w:instrText xml:space="preserve"> HYPERLINK "http://news.ltn.com.tw/news/focus/paper/1079440" </w:instrText>
      </w:r>
      <w:r w:rsidR="00721DDF">
        <w:rPr>
          <w:rStyle w:val="af"/>
        </w:rPr>
        <w:fldChar w:fldCharType="separate"/>
      </w:r>
      <w:r w:rsidRPr="00BF381A">
        <w:rPr>
          <w:rStyle w:val="af"/>
        </w:rPr>
        <w:t>http://news.ltn.com.tw/news/focus/paper/1079440</w:t>
      </w:r>
      <w:r w:rsidR="00721DDF">
        <w:rPr>
          <w:rStyle w:val="af"/>
        </w:rPr>
        <w:fldChar w:fldCharType="end"/>
      </w:r>
      <w:r>
        <w:rPr>
          <w:rFonts w:hint="eastAsia"/>
        </w:rPr>
        <w:t>。瀏覽日期：108.2.20。</w:t>
      </w:r>
    </w:p>
  </w:footnote>
  <w:footnote w:id="4">
    <w:p w:rsidR="007D697F" w:rsidRPr="00581C89" w:rsidRDefault="007D697F" w:rsidP="00581C89">
      <w:pPr>
        <w:pStyle w:val="afd"/>
      </w:pPr>
      <w:r>
        <w:rPr>
          <w:rStyle w:val="aff"/>
        </w:rPr>
        <w:footnoteRef/>
      </w:r>
      <w:r w:rsidRPr="00581C89">
        <w:rPr>
          <w:rFonts w:hint="eastAsia"/>
        </w:rPr>
        <w:t>吳庚，《憲法的解釋與適用》，3版，頁191-192，</w:t>
      </w:r>
      <w:r>
        <w:rPr>
          <w:rFonts w:hint="eastAsia"/>
        </w:rPr>
        <w:t>2003年9月修訂版，</w:t>
      </w:r>
      <w:r w:rsidRPr="00581C89">
        <w:rPr>
          <w:rFonts w:hint="eastAsia"/>
        </w:rPr>
        <w:t>台北：三民。</w:t>
      </w:r>
    </w:p>
  </w:footnote>
  <w:footnote w:id="5">
    <w:p w:rsidR="007D697F" w:rsidRPr="006D75A6" w:rsidRDefault="007D697F">
      <w:pPr>
        <w:pStyle w:val="afd"/>
      </w:pPr>
      <w:r>
        <w:rPr>
          <w:rStyle w:val="aff"/>
        </w:rPr>
        <w:footnoteRef/>
      </w:r>
      <w:r>
        <w:rPr>
          <w:rFonts w:hint="eastAsia"/>
        </w:rPr>
        <w:t>司法院107年12月7日院</w:t>
      </w:r>
      <w:proofErr w:type="gramStart"/>
      <w:r>
        <w:rPr>
          <w:rFonts w:hint="eastAsia"/>
        </w:rPr>
        <w:t>台廳刑一字</w:t>
      </w:r>
      <w:proofErr w:type="gramEnd"/>
      <w:r>
        <w:rPr>
          <w:rFonts w:hint="eastAsia"/>
        </w:rPr>
        <w:t>第1070030969號函。(本院收文號函：1070138851)。</w:t>
      </w:r>
    </w:p>
  </w:footnote>
  <w:footnote w:id="6">
    <w:p w:rsidR="007D697F" w:rsidRPr="00963723" w:rsidRDefault="007D697F">
      <w:pPr>
        <w:pStyle w:val="afd"/>
      </w:pPr>
      <w:r>
        <w:rPr>
          <w:rStyle w:val="aff"/>
        </w:rPr>
        <w:footnoteRef/>
      </w:r>
      <w:r>
        <w:rPr>
          <w:rFonts w:hint="eastAsia"/>
        </w:rPr>
        <w:t>法務部107年8月30日法檢字第10704528340號函。(本院收文號函：1070803083)。</w:t>
      </w:r>
    </w:p>
  </w:footnote>
  <w:footnote w:id="7">
    <w:p w:rsidR="007D697F" w:rsidRPr="00963723" w:rsidRDefault="007D697F">
      <w:pPr>
        <w:pStyle w:val="afd"/>
      </w:pPr>
      <w:r>
        <w:rPr>
          <w:rStyle w:val="aff"/>
        </w:rPr>
        <w:footnoteRef/>
      </w:r>
      <w:r>
        <w:rPr>
          <w:rFonts w:hint="eastAsia"/>
        </w:rPr>
        <w:t>同</w:t>
      </w:r>
      <w:proofErr w:type="gramStart"/>
      <w:r>
        <w:rPr>
          <w:rFonts w:hint="eastAsia"/>
        </w:rPr>
        <w:t>註</w:t>
      </w:r>
      <w:proofErr w:type="gramEnd"/>
      <w:r>
        <w:rPr>
          <w:rFonts w:hint="eastAsia"/>
        </w:rPr>
        <w:t>42。</w:t>
      </w:r>
    </w:p>
  </w:footnote>
  <w:footnote w:id="8">
    <w:p w:rsidR="007D697F" w:rsidRPr="007A7D95" w:rsidRDefault="007D697F">
      <w:pPr>
        <w:pStyle w:val="afd"/>
      </w:pPr>
      <w:r>
        <w:rPr>
          <w:rStyle w:val="aff"/>
        </w:rPr>
        <w:footnoteRef/>
      </w:r>
      <w:r>
        <w:rPr>
          <w:rFonts w:hint="eastAsia"/>
        </w:rPr>
        <w:t>內政部警政署107年7月11日警署刑司字第1070003914號函。(本院收文號函：1070102078)。</w:t>
      </w:r>
    </w:p>
  </w:footnote>
  <w:footnote w:id="9">
    <w:p w:rsidR="007D697F" w:rsidRDefault="007D697F" w:rsidP="0027632F">
      <w:pPr>
        <w:pStyle w:val="afd"/>
      </w:pPr>
      <w:r>
        <w:rPr>
          <w:rStyle w:val="aff"/>
        </w:rPr>
        <w:footnoteRef/>
      </w:r>
      <w:r>
        <w:rPr>
          <w:rFonts w:hint="eastAsia"/>
        </w:rPr>
        <w:t>內政部警政署107年9月17日警署刑司字第1070005351號函(本院收文號函：1070102894)及</w:t>
      </w:r>
      <w:r w:rsidRPr="002948B5">
        <w:rPr>
          <w:rFonts w:hint="eastAsia"/>
        </w:rPr>
        <w:t>內政部警政署107年10月23日警署刑司字第1070005950</w:t>
      </w:r>
      <w:r>
        <w:rPr>
          <w:rFonts w:hint="eastAsia"/>
        </w:rPr>
        <w:t>號函</w:t>
      </w:r>
      <w:r w:rsidRPr="002948B5">
        <w:rPr>
          <w:rFonts w:hint="eastAsia"/>
        </w:rPr>
        <w:t>(本院收文號</w:t>
      </w:r>
      <w:r>
        <w:rPr>
          <w:rFonts w:hint="eastAsia"/>
        </w:rPr>
        <w:t>函</w:t>
      </w:r>
      <w:r w:rsidRPr="002948B5">
        <w:rPr>
          <w:rFonts w:hint="eastAsia"/>
        </w:rPr>
        <w:t>：1070803640)</w:t>
      </w:r>
      <w:r>
        <w:rPr>
          <w:rFonts w:hint="eastAsia"/>
        </w:rPr>
        <w:t>。</w:t>
      </w:r>
    </w:p>
  </w:footnote>
  <w:footnote w:id="10">
    <w:p w:rsidR="007D697F" w:rsidRDefault="007D697F" w:rsidP="0027632F">
      <w:pPr>
        <w:pStyle w:val="afd"/>
      </w:pPr>
      <w:r>
        <w:rPr>
          <w:rStyle w:val="aff"/>
        </w:rPr>
        <w:footnoteRef/>
      </w:r>
      <w:r>
        <w:rPr>
          <w:rFonts w:hint="eastAsia"/>
        </w:rPr>
        <w:t>新聞稿發布日期：107年11月5日。</w:t>
      </w:r>
    </w:p>
  </w:footnote>
  <w:footnote w:id="11">
    <w:p w:rsidR="007D697F" w:rsidRDefault="007D697F" w:rsidP="0033103B">
      <w:pPr>
        <w:pStyle w:val="afd"/>
      </w:pPr>
      <w:r>
        <w:rPr>
          <w:rStyle w:val="aff"/>
        </w:rPr>
        <w:footnoteRef/>
      </w:r>
      <w:r>
        <w:rPr>
          <w:rFonts w:hint="eastAsia"/>
        </w:rPr>
        <w:t>同</w:t>
      </w:r>
      <w:proofErr w:type="gramStart"/>
      <w:r>
        <w:rPr>
          <w:rFonts w:hint="eastAsia"/>
        </w:rPr>
        <w:t>註</w:t>
      </w:r>
      <w:proofErr w:type="gramEnd"/>
      <w:r>
        <w:rPr>
          <w:rFonts w:hint="eastAsia"/>
        </w:rPr>
        <w:t>46。</w:t>
      </w:r>
    </w:p>
  </w:footnote>
  <w:footnote w:id="12">
    <w:p w:rsidR="007D697F" w:rsidRDefault="007D697F" w:rsidP="0033103B">
      <w:pPr>
        <w:pStyle w:val="afd"/>
      </w:pPr>
      <w:r>
        <w:rPr>
          <w:rStyle w:val="aff"/>
        </w:rPr>
        <w:footnoteRef/>
      </w:r>
      <w:r>
        <w:rPr>
          <w:rFonts w:hint="eastAsia"/>
        </w:rPr>
        <w:t>同</w:t>
      </w:r>
      <w:proofErr w:type="gramStart"/>
      <w:r>
        <w:rPr>
          <w:rFonts w:hint="eastAsia"/>
        </w:rPr>
        <w:t>註</w:t>
      </w:r>
      <w:proofErr w:type="gramEnd"/>
      <w:r w:rsidR="00E60B71">
        <w:rPr>
          <w:rFonts w:hint="eastAsia"/>
        </w:rPr>
        <w:t>43</w:t>
      </w:r>
      <w:r>
        <w:rPr>
          <w:rFonts w:hint="eastAsia"/>
        </w:rPr>
        <w:t>。</w:t>
      </w:r>
    </w:p>
  </w:footnote>
  <w:footnote w:id="13">
    <w:p w:rsidR="007D697F" w:rsidRDefault="007D697F" w:rsidP="0033103B">
      <w:pPr>
        <w:pStyle w:val="afd"/>
      </w:pPr>
      <w:r>
        <w:rPr>
          <w:rStyle w:val="aff"/>
        </w:rPr>
        <w:footnoteRef/>
      </w:r>
      <w:r>
        <w:rPr>
          <w:rFonts w:hint="eastAsia"/>
        </w:rPr>
        <w:t>法務部107年11月21日法檢字第10704531830號函。(本院收文號函：1070803855)。</w:t>
      </w:r>
    </w:p>
  </w:footnote>
  <w:footnote w:id="14">
    <w:p w:rsidR="007D697F" w:rsidRDefault="007D697F" w:rsidP="0033103B">
      <w:pPr>
        <w:pStyle w:val="afd"/>
      </w:pPr>
      <w:r>
        <w:rPr>
          <w:rStyle w:val="aff"/>
        </w:rPr>
        <w:footnoteRef/>
      </w:r>
      <w:r>
        <w:rPr>
          <w:rFonts w:hint="eastAsia"/>
        </w:rPr>
        <w:t>同</w:t>
      </w:r>
      <w:proofErr w:type="gramStart"/>
      <w:r>
        <w:rPr>
          <w:rFonts w:hint="eastAsia"/>
        </w:rPr>
        <w:t>註</w:t>
      </w:r>
      <w:proofErr w:type="gramEnd"/>
      <w:r>
        <w:rPr>
          <w:rFonts w:hint="eastAsia"/>
        </w:rPr>
        <w:t>43。</w:t>
      </w:r>
    </w:p>
  </w:footnote>
  <w:footnote w:id="15">
    <w:p w:rsidR="007D697F" w:rsidRDefault="007D697F" w:rsidP="0033103B">
      <w:pPr>
        <w:pStyle w:val="afd"/>
      </w:pPr>
      <w:r>
        <w:rPr>
          <w:rStyle w:val="aff"/>
        </w:rPr>
        <w:footnoteRef/>
      </w:r>
      <w:r>
        <w:rPr>
          <w:rFonts w:hint="eastAsia"/>
        </w:rPr>
        <w:t>同</w:t>
      </w:r>
      <w:proofErr w:type="gramStart"/>
      <w:r>
        <w:rPr>
          <w:rFonts w:hint="eastAsia"/>
        </w:rPr>
        <w:t>註</w:t>
      </w:r>
      <w:proofErr w:type="gramEnd"/>
      <w:r w:rsidR="00E60B71">
        <w:rPr>
          <w:rFonts w:hint="eastAsia"/>
        </w:rPr>
        <w:t>43</w:t>
      </w:r>
      <w:r>
        <w:rPr>
          <w:rFonts w:hint="eastAsia"/>
        </w:rPr>
        <w:t>。</w:t>
      </w:r>
    </w:p>
  </w:footnote>
  <w:footnote w:id="16">
    <w:p w:rsidR="007D697F" w:rsidRDefault="007D697F" w:rsidP="0033103B">
      <w:pPr>
        <w:pStyle w:val="afd"/>
      </w:pPr>
      <w:r>
        <w:rPr>
          <w:rStyle w:val="aff"/>
        </w:rPr>
        <w:footnoteRef/>
      </w:r>
      <w:r>
        <w:rPr>
          <w:rFonts w:hint="eastAsia"/>
        </w:rPr>
        <w:t>同</w:t>
      </w:r>
      <w:proofErr w:type="gramStart"/>
      <w:r>
        <w:rPr>
          <w:rFonts w:hint="eastAsia"/>
        </w:rPr>
        <w:t>註</w:t>
      </w:r>
      <w:proofErr w:type="gramEnd"/>
      <w:r w:rsidR="00E60B71">
        <w:rPr>
          <w:rFonts w:hint="eastAsia"/>
        </w:rPr>
        <w:t>42</w:t>
      </w:r>
      <w:r>
        <w:rPr>
          <w:rFonts w:hint="eastAsia"/>
        </w:rPr>
        <w:t>。</w:t>
      </w:r>
    </w:p>
  </w:footnote>
  <w:footnote w:id="17">
    <w:p w:rsidR="007D697F" w:rsidRDefault="007D697F" w:rsidP="0033103B">
      <w:pPr>
        <w:pStyle w:val="afd"/>
      </w:pPr>
      <w:r>
        <w:rPr>
          <w:rStyle w:val="aff"/>
        </w:rPr>
        <w:footnoteRef/>
      </w:r>
      <w:r>
        <w:rPr>
          <w:rFonts w:hint="eastAsia"/>
        </w:rPr>
        <w:t>同</w:t>
      </w:r>
      <w:proofErr w:type="gramStart"/>
      <w:r>
        <w:rPr>
          <w:rFonts w:hint="eastAsia"/>
        </w:rPr>
        <w:t>註</w:t>
      </w:r>
      <w:proofErr w:type="gramEnd"/>
      <w:r w:rsidR="00E60B71">
        <w:rPr>
          <w:rFonts w:hint="eastAsia"/>
        </w:rPr>
        <w:t>42</w:t>
      </w:r>
      <w:r>
        <w:rPr>
          <w:rFonts w:hint="eastAsia"/>
        </w:rPr>
        <w:t>。</w:t>
      </w:r>
    </w:p>
  </w:footnote>
  <w:footnote w:id="18">
    <w:p w:rsidR="007D697F" w:rsidRDefault="007D697F" w:rsidP="0033103B">
      <w:pPr>
        <w:pStyle w:val="afd"/>
      </w:pPr>
      <w:r>
        <w:rPr>
          <w:rStyle w:val="aff"/>
        </w:rPr>
        <w:footnoteRef/>
      </w:r>
      <w:r>
        <w:rPr>
          <w:rFonts w:hint="eastAsia"/>
        </w:rPr>
        <w:t>同</w:t>
      </w:r>
      <w:proofErr w:type="gramStart"/>
      <w:r>
        <w:rPr>
          <w:rFonts w:hint="eastAsia"/>
        </w:rPr>
        <w:t>註</w:t>
      </w:r>
      <w:proofErr w:type="gramEnd"/>
      <w:r w:rsidR="00E60B71">
        <w:rPr>
          <w:rFonts w:hint="eastAsia"/>
        </w:rPr>
        <w:t>50</w:t>
      </w:r>
      <w:r>
        <w:rPr>
          <w:rFonts w:hint="eastAsia"/>
        </w:rPr>
        <w:t>。</w:t>
      </w:r>
    </w:p>
  </w:footnote>
  <w:footnote w:id="19">
    <w:p w:rsidR="007D697F" w:rsidRDefault="007D697F" w:rsidP="0033103B">
      <w:pPr>
        <w:pStyle w:val="afd"/>
      </w:pPr>
      <w:r>
        <w:rPr>
          <w:rStyle w:val="aff"/>
        </w:rPr>
        <w:footnoteRef/>
      </w:r>
      <w:r>
        <w:rPr>
          <w:rFonts w:hint="eastAsia"/>
        </w:rPr>
        <w:t>同</w:t>
      </w:r>
      <w:proofErr w:type="gramStart"/>
      <w:r>
        <w:rPr>
          <w:rFonts w:hint="eastAsia"/>
        </w:rPr>
        <w:t>註</w:t>
      </w:r>
      <w:proofErr w:type="gramEnd"/>
      <w:r w:rsidR="00E60B71">
        <w:rPr>
          <w:rFonts w:hint="eastAsia"/>
        </w:rPr>
        <w:t>42</w:t>
      </w:r>
      <w:r>
        <w:rPr>
          <w:rFonts w:hint="eastAsia"/>
        </w:rPr>
        <w:t>。</w:t>
      </w:r>
    </w:p>
  </w:footnote>
  <w:footnote w:id="20">
    <w:p w:rsidR="007D697F" w:rsidRPr="00570F43" w:rsidRDefault="007D697F">
      <w:pPr>
        <w:pStyle w:val="afd"/>
      </w:pPr>
      <w:r>
        <w:rPr>
          <w:rStyle w:val="aff"/>
        </w:rPr>
        <w:footnoteRef/>
      </w:r>
      <w:r>
        <w:rPr>
          <w:rFonts w:hint="eastAsia"/>
        </w:rPr>
        <w:t>張明偉，以妨害</w:t>
      </w:r>
      <w:proofErr w:type="gramStart"/>
      <w:r>
        <w:rPr>
          <w:rFonts w:hint="eastAsia"/>
        </w:rPr>
        <w:t>司法罪健全</w:t>
      </w:r>
      <w:proofErr w:type="gramEnd"/>
      <w:r>
        <w:rPr>
          <w:rFonts w:hint="eastAsia"/>
        </w:rPr>
        <w:t>羈押與防逃機制之探討，月</w:t>
      </w:r>
      <w:proofErr w:type="gramStart"/>
      <w:r>
        <w:rPr>
          <w:rFonts w:hint="eastAsia"/>
        </w:rPr>
        <w:t>旦</w:t>
      </w:r>
      <w:proofErr w:type="gramEnd"/>
      <w:r>
        <w:rPr>
          <w:rFonts w:hint="eastAsia"/>
        </w:rPr>
        <w:t>法學雜誌，第265期，2017.6，頁49-51。</w:t>
      </w:r>
    </w:p>
  </w:footnote>
  <w:footnote w:id="21">
    <w:p w:rsidR="007D697F" w:rsidRDefault="007D697F">
      <w:pPr>
        <w:pStyle w:val="afd"/>
        <w:rPr>
          <w:rFonts w:hAnsi="標楷體"/>
        </w:rPr>
      </w:pPr>
      <w:r>
        <w:rPr>
          <w:rStyle w:val="aff"/>
        </w:rPr>
        <w:footnoteRef/>
      </w:r>
      <w:r>
        <w:rPr>
          <w:rFonts w:hint="eastAsia"/>
        </w:rPr>
        <w:t>It provides:</w:t>
      </w:r>
      <w:r>
        <w:rPr>
          <w:rFonts w:hAnsi="標楷體" w:hint="eastAsia"/>
        </w:rPr>
        <w:t xml:space="preserve">“A court of the United States shall have power to punish by fine or </w:t>
      </w:r>
      <w:proofErr w:type="spellStart"/>
      <w:r>
        <w:rPr>
          <w:rFonts w:hAnsi="標楷體" w:hint="eastAsia"/>
        </w:rPr>
        <w:t>imprisonment,or</w:t>
      </w:r>
      <w:proofErr w:type="spellEnd"/>
      <w:r>
        <w:rPr>
          <w:rFonts w:hAnsi="標楷體" w:hint="eastAsia"/>
        </w:rPr>
        <w:t xml:space="preserve"> </w:t>
      </w:r>
      <w:proofErr w:type="spellStart"/>
      <w:r>
        <w:rPr>
          <w:rFonts w:hAnsi="標楷體" w:hint="eastAsia"/>
        </w:rPr>
        <w:t>both,at</w:t>
      </w:r>
      <w:proofErr w:type="spellEnd"/>
      <w:r>
        <w:rPr>
          <w:rFonts w:hAnsi="標楷體" w:hint="eastAsia"/>
        </w:rPr>
        <w:t xml:space="preserve"> its </w:t>
      </w:r>
      <w:proofErr w:type="spellStart"/>
      <w:r>
        <w:rPr>
          <w:rFonts w:hAnsi="標楷體" w:hint="eastAsia"/>
        </w:rPr>
        <w:t>discretion,such</w:t>
      </w:r>
      <w:proofErr w:type="spellEnd"/>
      <w:r>
        <w:rPr>
          <w:rFonts w:hAnsi="標楷體" w:hint="eastAsia"/>
        </w:rPr>
        <w:t xml:space="preserve"> contempt of its </w:t>
      </w:r>
      <w:proofErr w:type="spellStart"/>
      <w:r>
        <w:rPr>
          <w:rFonts w:hAnsi="標楷體" w:hint="eastAsia"/>
        </w:rPr>
        <w:t>authority,and</w:t>
      </w:r>
      <w:proofErr w:type="spellEnd"/>
      <w:r>
        <w:rPr>
          <w:rFonts w:hAnsi="標楷體" w:hint="eastAsia"/>
        </w:rPr>
        <w:t xml:space="preserve"> none </w:t>
      </w:r>
      <w:proofErr w:type="spellStart"/>
      <w:r>
        <w:rPr>
          <w:rFonts w:hAnsi="標楷體" w:hint="eastAsia"/>
        </w:rPr>
        <w:t>other,as</w:t>
      </w:r>
      <w:proofErr w:type="spellEnd"/>
      <w:r>
        <w:rPr>
          <w:rFonts w:hAnsi="標楷體" w:hint="eastAsia"/>
        </w:rPr>
        <w:t>-</w:t>
      </w:r>
    </w:p>
    <w:p w:rsidR="007D697F" w:rsidRDefault="007D697F" w:rsidP="009F25B1">
      <w:pPr>
        <w:pStyle w:val="afd"/>
        <w:numPr>
          <w:ilvl w:val="0"/>
          <w:numId w:val="19"/>
        </w:numPr>
        <w:rPr>
          <w:rFonts w:hAnsi="標楷體"/>
        </w:rPr>
      </w:pPr>
      <w:r>
        <w:rPr>
          <w:rFonts w:hAnsi="標楷體" w:hint="eastAsia"/>
        </w:rPr>
        <w:t>Misbehavior of any person in its presence or so near thereto as to obstruct the administration of justice;</w:t>
      </w:r>
    </w:p>
    <w:p w:rsidR="007D697F" w:rsidRPr="00CA59CD" w:rsidRDefault="007D697F" w:rsidP="009F25B1">
      <w:pPr>
        <w:pStyle w:val="afd"/>
        <w:numPr>
          <w:ilvl w:val="0"/>
          <w:numId w:val="19"/>
        </w:numPr>
      </w:pPr>
      <w:r>
        <w:rPr>
          <w:rFonts w:hAnsi="標楷體" w:hint="eastAsia"/>
        </w:rPr>
        <w:t>Misbehavior of any of its officers in their official transaction;</w:t>
      </w:r>
    </w:p>
    <w:p w:rsidR="007D697F" w:rsidRPr="00CA59CD" w:rsidRDefault="007D697F" w:rsidP="009F25B1">
      <w:pPr>
        <w:pStyle w:val="afd"/>
        <w:numPr>
          <w:ilvl w:val="0"/>
          <w:numId w:val="19"/>
        </w:numPr>
      </w:pPr>
      <w:r>
        <w:rPr>
          <w:rFonts w:hAnsi="標楷體" w:hint="eastAsia"/>
        </w:rPr>
        <w:t xml:space="preserve">Disobedience or resistance to its lawful </w:t>
      </w:r>
      <w:proofErr w:type="spellStart"/>
      <w:r>
        <w:rPr>
          <w:rFonts w:hAnsi="標楷體" w:hint="eastAsia"/>
        </w:rPr>
        <w:t>writ,process,order,rule,decree,or</w:t>
      </w:r>
      <w:proofErr w:type="spellEnd"/>
      <w:r>
        <w:rPr>
          <w:rFonts w:hAnsi="標楷體" w:hint="eastAsia"/>
        </w:rPr>
        <w:t xml:space="preserve"> command.”</w:t>
      </w:r>
    </w:p>
  </w:footnote>
  <w:footnote w:id="22">
    <w:p w:rsidR="007D697F" w:rsidRDefault="007D697F" w:rsidP="00BB11D4">
      <w:pPr>
        <w:pStyle w:val="afd"/>
      </w:pPr>
      <w:r>
        <w:rPr>
          <w:rStyle w:val="aff"/>
        </w:rPr>
        <w:footnoteRef/>
      </w:r>
      <w:r>
        <w:rPr>
          <w:rFonts w:hint="eastAsia"/>
        </w:rPr>
        <w:t>王</w:t>
      </w:r>
      <w:proofErr w:type="gramStart"/>
      <w:r>
        <w:rPr>
          <w:rFonts w:hint="eastAsia"/>
        </w:rPr>
        <w:t>士帆，</w:t>
      </w:r>
      <w:proofErr w:type="gramEnd"/>
      <w:r>
        <w:rPr>
          <w:rFonts w:hint="eastAsia"/>
        </w:rPr>
        <w:t>刑事訴訟限制出境之立法展望，月</w:t>
      </w:r>
      <w:proofErr w:type="gramStart"/>
      <w:r>
        <w:rPr>
          <w:rFonts w:hint="eastAsia"/>
        </w:rPr>
        <w:t>旦</w:t>
      </w:r>
      <w:proofErr w:type="gramEnd"/>
      <w:r>
        <w:rPr>
          <w:rFonts w:hint="eastAsia"/>
        </w:rPr>
        <w:t>法學雜誌，第283期，2018.12，頁180-181。</w:t>
      </w:r>
    </w:p>
  </w:footnote>
  <w:footnote w:id="23">
    <w:p w:rsidR="007D697F" w:rsidRDefault="007D697F" w:rsidP="00C00067">
      <w:pPr>
        <w:pStyle w:val="afd"/>
      </w:pPr>
      <w:r>
        <w:rPr>
          <w:rStyle w:val="aff"/>
        </w:rPr>
        <w:footnoteRef/>
      </w:r>
      <w:r>
        <w:rPr>
          <w:rFonts w:hint="eastAsia"/>
        </w:rPr>
        <w:t>同</w:t>
      </w:r>
      <w:proofErr w:type="gramStart"/>
      <w:r>
        <w:rPr>
          <w:rFonts w:hint="eastAsia"/>
        </w:rPr>
        <w:t>註</w:t>
      </w:r>
      <w:proofErr w:type="gramEnd"/>
      <w:r w:rsidR="00E60B71">
        <w:rPr>
          <w:rFonts w:hint="eastAsia"/>
        </w:rPr>
        <w:t>42</w:t>
      </w:r>
      <w:r>
        <w:rPr>
          <w:rFonts w:hint="eastAsia"/>
        </w:rPr>
        <w:t>。</w:t>
      </w:r>
    </w:p>
  </w:footnote>
  <w:footnote w:id="24">
    <w:p w:rsidR="007D697F" w:rsidRDefault="007D697F">
      <w:pPr>
        <w:pStyle w:val="afd"/>
      </w:pPr>
      <w:r>
        <w:rPr>
          <w:rStyle w:val="aff"/>
        </w:rPr>
        <w:footnoteRef/>
      </w:r>
      <w:r>
        <w:rPr>
          <w:rFonts w:hint="eastAsia"/>
        </w:rPr>
        <w:t>同</w:t>
      </w:r>
      <w:proofErr w:type="gramStart"/>
      <w:r>
        <w:rPr>
          <w:rFonts w:hint="eastAsia"/>
        </w:rPr>
        <w:t>註</w:t>
      </w:r>
      <w:proofErr w:type="gramEnd"/>
      <w:r w:rsidR="00E60B71">
        <w:rPr>
          <w:rFonts w:hint="eastAsia"/>
        </w:rPr>
        <w:t>50</w:t>
      </w:r>
      <w:r>
        <w:rPr>
          <w:rFonts w:hint="eastAsia"/>
        </w:rPr>
        <w:t>。</w:t>
      </w:r>
    </w:p>
  </w:footnote>
  <w:footnote w:id="25">
    <w:p w:rsidR="007D697F" w:rsidRDefault="007D697F" w:rsidP="00B66E64">
      <w:pPr>
        <w:pStyle w:val="afd"/>
      </w:pPr>
      <w:r>
        <w:rPr>
          <w:rStyle w:val="aff"/>
        </w:rPr>
        <w:footnoteRef/>
      </w:r>
      <w:r>
        <w:rPr>
          <w:rFonts w:hint="eastAsia"/>
        </w:rPr>
        <w:t>林鈺雄，</w:t>
      </w:r>
      <w:r w:rsidRPr="009B7309">
        <w:rPr>
          <w:rFonts w:hint="eastAsia"/>
        </w:rPr>
        <w:t>自由共和國</w:t>
      </w:r>
      <w:proofErr w:type="gramStart"/>
      <w:r w:rsidRPr="009B7309">
        <w:rPr>
          <w:rFonts w:hint="eastAsia"/>
        </w:rPr>
        <w:t>》</w:t>
      </w:r>
      <w:proofErr w:type="gramEnd"/>
      <w:r w:rsidRPr="009B7309">
        <w:rPr>
          <w:rFonts w:hint="eastAsia"/>
        </w:rPr>
        <w:t>林鈺雄／限制出境宜</w:t>
      </w:r>
      <w:proofErr w:type="gramStart"/>
      <w:r w:rsidRPr="009B7309">
        <w:rPr>
          <w:rFonts w:hint="eastAsia"/>
        </w:rPr>
        <w:t>採</w:t>
      </w:r>
      <w:proofErr w:type="gramEnd"/>
      <w:r w:rsidRPr="009B7309">
        <w:rPr>
          <w:rFonts w:hint="eastAsia"/>
        </w:rPr>
        <w:t>包裹立法</w:t>
      </w:r>
      <w:r>
        <w:rPr>
          <w:rFonts w:hint="eastAsia"/>
        </w:rPr>
        <w:t>，自由評論網，資料來源：</w:t>
      </w:r>
      <w:hyperlink r:id="rId4" w:history="1">
        <w:r w:rsidRPr="00BF381A">
          <w:rPr>
            <w:rStyle w:val="af"/>
          </w:rPr>
          <w:t>http://talk.ltn.com.tw/article/paper/1237763</w:t>
        </w:r>
      </w:hyperlink>
      <w:r>
        <w:rPr>
          <w:rFonts w:hint="eastAsia"/>
        </w:rPr>
        <w:t>，瀏覽日期：108.1.23。</w:t>
      </w:r>
    </w:p>
  </w:footnote>
  <w:footnote w:id="26">
    <w:p w:rsidR="007D697F" w:rsidRPr="0052341A" w:rsidRDefault="007D697F">
      <w:pPr>
        <w:pStyle w:val="afd"/>
      </w:pPr>
      <w:r>
        <w:rPr>
          <w:rStyle w:val="aff"/>
        </w:rPr>
        <w:footnoteRef/>
      </w:r>
      <w:r>
        <w:rPr>
          <w:rFonts w:hint="eastAsia"/>
        </w:rPr>
        <w:t>同</w:t>
      </w:r>
      <w:proofErr w:type="gramStart"/>
      <w:r>
        <w:rPr>
          <w:rFonts w:hint="eastAsia"/>
        </w:rPr>
        <w:t>註</w:t>
      </w:r>
      <w:proofErr w:type="gramEnd"/>
      <w:r w:rsidR="00E60B71">
        <w:rPr>
          <w:rFonts w:hint="eastAsia"/>
        </w:rPr>
        <w:t>42</w:t>
      </w:r>
      <w:r>
        <w:rPr>
          <w:rFonts w:hint="eastAsia"/>
        </w:rPr>
        <w:t>。</w:t>
      </w:r>
    </w:p>
  </w:footnote>
  <w:footnote w:id="27">
    <w:p w:rsidR="007D697F" w:rsidRPr="000809A2" w:rsidRDefault="007D697F">
      <w:pPr>
        <w:pStyle w:val="afd"/>
      </w:pPr>
      <w:r>
        <w:rPr>
          <w:rStyle w:val="aff"/>
        </w:rPr>
        <w:footnoteRef/>
      </w:r>
      <w:r>
        <w:rPr>
          <w:rFonts w:hint="eastAsia"/>
        </w:rPr>
        <w:t>同</w:t>
      </w:r>
      <w:proofErr w:type="gramStart"/>
      <w:r>
        <w:rPr>
          <w:rFonts w:hint="eastAsia"/>
        </w:rPr>
        <w:t>註</w:t>
      </w:r>
      <w:proofErr w:type="gramEnd"/>
      <w:r w:rsidR="00E60B71">
        <w:rPr>
          <w:rFonts w:hint="eastAsia"/>
        </w:rPr>
        <w:t>50</w:t>
      </w:r>
      <w:r>
        <w:rPr>
          <w:rFonts w:hint="eastAsia"/>
        </w:rPr>
        <w:t>。</w:t>
      </w:r>
    </w:p>
  </w:footnote>
  <w:footnote w:id="28">
    <w:p w:rsidR="007D697F" w:rsidRPr="00B62FEB" w:rsidRDefault="007D697F">
      <w:pPr>
        <w:pStyle w:val="afd"/>
      </w:pPr>
      <w:r>
        <w:rPr>
          <w:rStyle w:val="aff"/>
        </w:rPr>
        <w:footnoteRef/>
      </w:r>
      <w:r w:rsidRPr="00B62FEB">
        <w:rPr>
          <w:rFonts w:hint="eastAsia"/>
        </w:rPr>
        <w:t>慶富少東陳偉志棄保潛逃案 員警懲處全撤銷了</w:t>
      </w:r>
      <w:r>
        <w:rPr>
          <w:rFonts w:hint="eastAsia"/>
        </w:rPr>
        <w:t>，聯合新聞網，107年11月23日。資料來源：</w:t>
      </w:r>
      <w:hyperlink r:id="rId5" w:history="1">
        <w:r w:rsidRPr="00482FF1">
          <w:rPr>
            <w:rStyle w:val="af"/>
          </w:rPr>
          <w:t>https://udn.com/news/story/7321/3497344</w:t>
        </w:r>
      </w:hyperlink>
      <w:r>
        <w:rPr>
          <w:rFonts w:hint="eastAsia"/>
        </w:rPr>
        <w:t>，瀏覽日期：108.2.20。</w:t>
      </w:r>
    </w:p>
  </w:footnote>
  <w:footnote w:id="29">
    <w:p w:rsidR="007D697F" w:rsidRPr="00FB31B4" w:rsidRDefault="007D697F">
      <w:pPr>
        <w:pStyle w:val="afd"/>
      </w:pPr>
      <w:r>
        <w:rPr>
          <w:rStyle w:val="aff"/>
        </w:rPr>
        <w:footnoteRef/>
      </w:r>
      <w:proofErr w:type="gramStart"/>
      <w:r>
        <w:rPr>
          <w:rFonts w:hint="eastAsia"/>
        </w:rPr>
        <w:t>鄭善印</w:t>
      </w:r>
      <w:proofErr w:type="gramEnd"/>
      <w:r>
        <w:rPr>
          <w:rFonts w:hint="eastAsia"/>
        </w:rPr>
        <w:t>，</w:t>
      </w:r>
      <w:r>
        <w:rPr>
          <w:rFonts w:hAnsi="標楷體" w:hint="eastAsia"/>
        </w:rPr>
        <w:t>〈應廢調度司法警察條例-院檢雜事 不該強加警察〉，聯合報，108.1.10。</w:t>
      </w:r>
    </w:p>
  </w:footnote>
  <w:footnote w:id="30">
    <w:p w:rsidR="007D697F" w:rsidRDefault="007D697F">
      <w:pPr>
        <w:pStyle w:val="afd"/>
      </w:pPr>
      <w:r>
        <w:rPr>
          <w:rStyle w:val="aff"/>
        </w:rPr>
        <w:footnoteRef/>
      </w:r>
      <w:r>
        <w:rPr>
          <w:rFonts w:hint="eastAsia"/>
        </w:rPr>
        <w:t>資料來源：</w:t>
      </w:r>
      <w:r w:rsidRPr="00747785">
        <w:t>http://jirs.judicial.gov.tw/GNNWS/NNWSS002.asp?id=405741，發布日期</w:t>
      </w:r>
      <w:r w:rsidRPr="00747785">
        <w:rPr>
          <w:rFonts w:hint="eastAsia"/>
        </w:rPr>
        <w:t>：108</w:t>
      </w:r>
      <w:r>
        <w:rPr>
          <w:rFonts w:hint="eastAsia"/>
        </w:rPr>
        <w:t>年1月11日。</w:t>
      </w:r>
    </w:p>
  </w:footnote>
  <w:footnote w:id="31">
    <w:p w:rsidR="007D697F" w:rsidRDefault="007D697F" w:rsidP="00F720AD">
      <w:pPr>
        <w:pStyle w:val="afd"/>
      </w:pPr>
      <w:r>
        <w:rPr>
          <w:rStyle w:val="aff"/>
        </w:rPr>
        <w:footnoteRef/>
      </w:r>
      <w:r>
        <w:rPr>
          <w:rFonts w:hint="eastAsia"/>
        </w:rPr>
        <w:t>參酌高雄地檢署起訴書(</w:t>
      </w:r>
      <w:proofErr w:type="gramStart"/>
      <w:r>
        <w:rPr>
          <w:rFonts w:hint="eastAsia"/>
        </w:rPr>
        <w:t>106</w:t>
      </w:r>
      <w:proofErr w:type="gramEnd"/>
      <w:r>
        <w:rPr>
          <w:rFonts w:hint="eastAsia"/>
        </w:rPr>
        <w:t>年度</w:t>
      </w:r>
      <w:proofErr w:type="gramStart"/>
      <w:r>
        <w:rPr>
          <w:rFonts w:hint="eastAsia"/>
        </w:rPr>
        <w:t>偵</w:t>
      </w:r>
      <w:proofErr w:type="gramEnd"/>
      <w:r>
        <w:rPr>
          <w:rFonts w:hint="eastAsia"/>
        </w:rPr>
        <w:t>字第15271號、第20429號、第20870號、</w:t>
      </w:r>
      <w:proofErr w:type="gramStart"/>
      <w:r>
        <w:rPr>
          <w:rFonts w:hint="eastAsia"/>
        </w:rPr>
        <w:t>107</w:t>
      </w:r>
      <w:proofErr w:type="gramEnd"/>
      <w:r>
        <w:rPr>
          <w:rFonts w:hint="eastAsia"/>
        </w:rPr>
        <w:t>年度</w:t>
      </w:r>
      <w:proofErr w:type="gramStart"/>
      <w:r>
        <w:rPr>
          <w:rFonts w:hint="eastAsia"/>
        </w:rPr>
        <w:t>偵</w:t>
      </w:r>
      <w:proofErr w:type="gramEnd"/>
      <w:r>
        <w:rPr>
          <w:rFonts w:hint="eastAsia"/>
        </w:rPr>
        <w:t>字第2354號、第3232號、第3233號、第3234號、第3397號</w:t>
      </w:r>
      <w:r w:rsidR="00211306">
        <w:rPr>
          <w:rFonts w:hint="eastAsia"/>
        </w:rPr>
        <w:t>)</w:t>
      </w:r>
      <w:r>
        <w:rPr>
          <w:rFonts w:hint="eastAsia"/>
        </w:rPr>
        <w:t>。</w:t>
      </w:r>
    </w:p>
  </w:footnote>
  <w:footnote w:id="32">
    <w:p w:rsidR="007D697F" w:rsidRDefault="007D697F" w:rsidP="0012201E">
      <w:pPr>
        <w:pStyle w:val="afd"/>
      </w:pPr>
      <w:r>
        <w:rPr>
          <w:rStyle w:val="aff"/>
        </w:rPr>
        <w:footnoteRef/>
      </w:r>
      <w:r>
        <w:rPr>
          <w:rFonts w:hint="eastAsia"/>
        </w:rPr>
        <w:t>同</w:t>
      </w:r>
      <w:proofErr w:type="gramStart"/>
      <w:r>
        <w:rPr>
          <w:rFonts w:hint="eastAsia"/>
        </w:rPr>
        <w:t>註</w:t>
      </w:r>
      <w:proofErr w:type="gramEnd"/>
      <w:r w:rsidR="00E60B71">
        <w:rPr>
          <w:rFonts w:hint="eastAsia"/>
        </w:rPr>
        <w:t>50</w:t>
      </w:r>
      <w:r>
        <w:rPr>
          <w:rFonts w:hint="eastAsia"/>
        </w:rPr>
        <w:t>。</w:t>
      </w:r>
    </w:p>
  </w:footnote>
  <w:footnote w:id="33">
    <w:p w:rsidR="007D697F" w:rsidRDefault="007D697F" w:rsidP="0012201E">
      <w:pPr>
        <w:pStyle w:val="afd"/>
      </w:pPr>
      <w:r>
        <w:rPr>
          <w:rStyle w:val="aff"/>
        </w:rPr>
        <w:footnoteRef/>
      </w:r>
      <w:r>
        <w:rPr>
          <w:rFonts w:hint="eastAsia"/>
        </w:rPr>
        <w:t>同</w:t>
      </w:r>
      <w:proofErr w:type="gramStart"/>
      <w:r>
        <w:rPr>
          <w:rFonts w:hint="eastAsia"/>
        </w:rPr>
        <w:t>註</w:t>
      </w:r>
      <w:proofErr w:type="gramEnd"/>
      <w:r w:rsidR="00E60B71">
        <w:rPr>
          <w:rFonts w:hint="eastAsia"/>
        </w:rPr>
        <w:t>50</w:t>
      </w:r>
      <w:r>
        <w:rPr>
          <w:rFonts w:hint="eastAsia"/>
        </w:rPr>
        <w:t>。</w:t>
      </w:r>
    </w:p>
  </w:footnote>
  <w:footnote w:id="34">
    <w:p w:rsidR="007D697F" w:rsidRDefault="007D697F" w:rsidP="00B46B4B">
      <w:pPr>
        <w:pStyle w:val="afd"/>
      </w:pPr>
      <w:r>
        <w:rPr>
          <w:rStyle w:val="aff"/>
        </w:rPr>
        <w:footnoteRef/>
      </w:r>
      <w:r>
        <w:rPr>
          <w:rFonts w:hint="eastAsia"/>
        </w:rPr>
        <w:t>同註</w:t>
      </w:r>
      <w:r w:rsidR="00E60B71">
        <w:rPr>
          <w:rFonts w:hint="eastAsia"/>
        </w:rPr>
        <w:t>42</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2EBFF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C21D10"/>
    <w:multiLevelType w:val="hybridMultilevel"/>
    <w:tmpl w:val="724EAFD0"/>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A0200D"/>
    <w:multiLevelType w:val="hybridMultilevel"/>
    <w:tmpl w:val="1CE289D2"/>
    <w:lvl w:ilvl="0" w:tplc="96969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D0A98"/>
    <w:multiLevelType w:val="hybridMultilevel"/>
    <w:tmpl w:val="019AAA80"/>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189468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3558CD"/>
    <w:multiLevelType w:val="hybridMultilevel"/>
    <w:tmpl w:val="8A380466"/>
    <w:lvl w:ilvl="0" w:tplc="7BFA9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1D553A"/>
    <w:multiLevelType w:val="hybridMultilevel"/>
    <w:tmpl w:val="724EAFD0"/>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E63761"/>
    <w:multiLevelType w:val="hybridMultilevel"/>
    <w:tmpl w:val="724EAFD0"/>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CD1721"/>
    <w:multiLevelType w:val="hybridMultilevel"/>
    <w:tmpl w:val="4D38DCA8"/>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D50A12"/>
    <w:multiLevelType w:val="hybridMultilevel"/>
    <w:tmpl w:val="4D38DCA8"/>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CCC668D"/>
    <w:multiLevelType w:val="hybridMultilevel"/>
    <w:tmpl w:val="B02C0EF0"/>
    <w:lvl w:ilvl="0" w:tplc="6B16B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FE4E79"/>
    <w:multiLevelType w:val="hybridMultilevel"/>
    <w:tmpl w:val="019AAA80"/>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7F2088"/>
    <w:multiLevelType w:val="hybridMultilevel"/>
    <w:tmpl w:val="8E165564"/>
    <w:lvl w:ilvl="0" w:tplc="E63E7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E6672B"/>
    <w:multiLevelType w:val="hybridMultilevel"/>
    <w:tmpl w:val="B02C0EF0"/>
    <w:lvl w:ilvl="0" w:tplc="6B16B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9A47AB"/>
    <w:multiLevelType w:val="hybridMultilevel"/>
    <w:tmpl w:val="8E165564"/>
    <w:lvl w:ilvl="0" w:tplc="E63E7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C34056"/>
    <w:multiLevelType w:val="hybridMultilevel"/>
    <w:tmpl w:val="4D38DCA8"/>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A457BC"/>
    <w:multiLevelType w:val="hybridMultilevel"/>
    <w:tmpl w:val="8A380466"/>
    <w:lvl w:ilvl="0" w:tplc="7BFA9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432227"/>
    <w:multiLevelType w:val="hybridMultilevel"/>
    <w:tmpl w:val="4D38DCA8"/>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D618A7"/>
    <w:multiLevelType w:val="hybridMultilevel"/>
    <w:tmpl w:val="724EAFD0"/>
    <w:lvl w:ilvl="0" w:tplc="C6DC68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4"/>
  </w:num>
  <w:num w:numId="4">
    <w:abstractNumId w:val="10"/>
  </w:num>
  <w:num w:numId="5">
    <w:abstractNumId w:val="16"/>
  </w:num>
  <w:num w:numId="6">
    <w:abstractNumId w:val="5"/>
  </w:num>
  <w:num w:numId="7">
    <w:abstractNumId w:val="17"/>
  </w:num>
  <w:num w:numId="8">
    <w:abstractNumId w:val="12"/>
  </w:num>
  <w:num w:numId="9">
    <w:abstractNumId w:val="0"/>
  </w:num>
  <w:num w:numId="10">
    <w:abstractNumId w:val="19"/>
  </w:num>
  <w:num w:numId="11">
    <w:abstractNumId w:val="6"/>
  </w:num>
  <w:num w:numId="12">
    <w:abstractNumId w:val="15"/>
  </w:num>
  <w:num w:numId="13">
    <w:abstractNumId w:val="8"/>
  </w:num>
  <w:num w:numId="14">
    <w:abstractNumId w:val="1"/>
  </w:num>
  <w:num w:numId="15">
    <w:abstractNumId w:val="11"/>
  </w:num>
  <w:num w:numId="16">
    <w:abstractNumId w:val="13"/>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num>
  <w:num w:numId="21">
    <w:abstractNumId w:val="23"/>
  </w:num>
  <w:num w:numId="22">
    <w:abstractNumId w:val="20"/>
  </w:num>
  <w:num w:numId="23">
    <w:abstractNumId w:val="25"/>
  </w:num>
  <w:num w:numId="24">
    <w:abstractNumId w:val="9"/>
  </w:num>
  <w:num w:numId="25">
    <w:abstractNumId w:val="24"/>
  </w:num>
  <w:num w:numId="26">
    <w:abstractNumId w:val="22"/>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94"/>
    <w:rsid w:val="00004A61"/>
    <w:rsid w:val="0000641D"/>
    <w:rsid w:val="00006961"/>
    <w:rsid w:val="000112BF"/>
    <w:rsid w:val="00012233"/>
    <w:rsid w:val="00017318"/>
    <w:rsid w:val="000246F7"/>
    <w:rsid w:val="00027EDD"/>
    <w:rsid w:val="0003114D"/>
    <w:rsid w:val="00036D76"/>
    <w:rsid w:val="00042CC0"/>
    <w:rsid w:val="0004669D"/>
    <w:rsid w:val="00057F32"/>
    <w:rsid w:val="00062A25"/>
    <w:rsid w:val="00064B66"/>
    <w:rsid w:val="00066BDD"/>
    <w:rsid w:val="00073CB5"/>
    <w:rsid w:val="0007425C"/>
    <w:rsid w:val="00077553"/>
    <w:rsid w:val="000809A2"/>
    <w:rsid w:val="00081E92"/>
    <w:rsid w:val="000822D9"/>
    <w:rsid w:val="0008280B"/>
    <w:rsid w:val="00083F3A"/>
    <w:rsid w:val="000851A2"/>
    <w:rsid w:val="00087B88"/>
    <w:rsid w:val="00092A7F"/>
    <w:rsid w:val="0009352E"/>
    <w:rsid w:val="00096B96"/>
    <w:rsid w:val="000A2F3F"/>
    <w:rsid w:val="000A772A"/>
    <w:rsid w:val="000B0B4A"/>
    <w:rsid w:val="000B279A"/>
    <w:rsid w:val="000B61D2"/>
    <w:rsid w:val="000B6427"/>
    <w:rsid w:val="000B70A7"/>
    <w:rsid w:val="000B73DD"/>
    <w:rsid w:val="000C495F"/>
    <w:rsid w:val="000C513E"/>
    <w:rsid w:val="000D2CD3"/>
    <w:rsid w:val="000D46CF"/>
    <w:rsid w:val="000D5F77"/>
    <w:rsid w:val="000D66D9"/>
    <w:rsid w:val="000E0094"/>
    <w:rsid w:val="000E6431"/>
    <w:rsid w:val="000F21A5"/>
    <w:rsid w:val="000F389F"/>
    <w:rsid w:val="00100725"/>
    <w:rsid w:val="00100A3F"/>
    <w:rsid w:val="00102B9F"/>
    <w:rsid w:val="00104D12"/>
    <w:rsid w:val="00106C32"/>
    <w:rsid w:val="00112637"/>
    <w:rsid w:val="00112ABC"/>
    <w:rsid w:val="00113380"/>
    <w:rsid w:val="00115B75"/>
    <w:rsid w:val="00115C79"/>
    <w:rsid w:val="00117B39"/>
    <w:rsid w:val="0012001E"/>
    <w:rsid w:val="0012201E"/>
    <w:rsid w:val="0012402C"/>
    <w:rsid w:val="00124A70"/>
    <w:rsid w:val="00126A55"/>
    <w:rsid w:val="001330B0"/>
    <w:rsid w:val="00133F08"/>
    <w:rsid w:val="001345E6"/>
    <w:rsid w:val="00136252"/>
    <w:rsid w:val="00136C52"/>
    <w:rsid w:val="001378B0"/>
    <w:rsid w:val="0014179B"/>
    <w:rsid w:val="00142E00"/>
    <w:rsid w:val="00152793"/>
    <w:rsid w:val="00153B7E"/>
    <w:rsid w:val="001545A9"/>
    <w:rsid w:val="001637C7"/>
    <w:rsid w:val="0016480E"/>
    <w:rsid w:val="00167B7D"/>
    <w:rsid w:val="00174297"/>
    <w:rsid w:val="00180E06"/>
    <w:rsid w:val="001817B3"/>
    <w:rsid w:val="00183014"/>
    <w:rsid w:val="00187D88"/>
    <w:rsid w:val="0019243A"/>
    <w:rsid w:val="00195569"/>
    <w:rsid w:val="001959C2"/>
    <w:rsid w:val="00196A58"/>
    <w:rsid w:val="00196DFC"/>
    <w:rsid w:val="001A0F87"/>
    <w:rsid w:val="001A51E3"/>
    <w:rsid w:val="001A7968"/>
    <w:rsid w:val="001B0449"/>
    <w:rsid w:val="001B07CF"/>
    <w:rsid w:val="001B1389"/>
    <w:rsid w:val="001B2920"/>
    <w:rsid w:val="001B2E98"/>
    <w:rsid w:val="001B3483"/>
    <w:rsid w:val="001B3C1E"/>
    <w:rsid w:val="001B4494"/>
    <w:rsid w:val="001B6CD6"/>
    <w:rsid w:val="001C0D8B"/>
    <w:rsid w:val="001C0DA8"/>
    <w:rsid w:val="001D4AD7"/>
    <w:rsid w:val="001E0D8A"/>
    <w:rsid w:val="001E13A8"/>
    <w:rsid w:val="001E67BA"/>
    <w:rsid w:val="001E74C2"/>
    <w:rsid w:val="001F4F82"/>
    <w:rsid w:val="001F5A48"/>
    <w:rsid w:val="001F6260"/>
    <w:rsid w:val="00200007"/>
    <w:rsid w:val="002030A5"/>
    <w:rsid w:val="00203131"/>
    <w:rsid w:val="00211306"/>
    <w:rsid w:val="00212E88"/>
    <w:rsid w:val="00213C4D"/>
    <w:rsid w:val="00213C9C"/>
    <w:rsid w:val="00214EC9"/>
    <w:rsid w:val="0022009E"/>
    <w:rsid w:val="00222390"/>
    <w:rsid w:val="00223241"/>
    <w:rsid w:val="0022425C"/>
    <w:rsid w:val="002244E9"/>
    <w:rsid w:val="002246DE"/>
    <w:rsid w:val="00225F46"/>
    <w:rsid w:val="00226B3B"/>
    <w:rsid w:val="00237BCB"/>
    <w:rsid w:val="00245613"/>
    <w:rsid w:val="00252BC4"/>
    <w:rsid w:val="00254014"/>
    <w:rsid w:val="00254B39"/>
    <w:rsid w:val="00257097"/>
    <w:rsid w:val="0026489E"/>
    <w:rsid w:val="0026504D"/>
    <w:rsid w:val="00266901"/>
    <w:rsid w:val="00267E08"/>
    <w:rsid w:val="00273A2F"/>
    <w:rsid w:val="00275229"/>
    <w:rsid w:val="0027632F"/>
    <w:rsid w:val="00277BE3"/>
    <w:rsid w:val="00280986"/>
    <w:rsid w:val="00281ECE"/>
    <w:rsid w:val="002831C7"/>
    <w:rsid w:val="002840C6"/>
    <w:rsid w:val="002948B5"/>
    <w:rsid w:val="00295174"/>
    <w:rsid w:val="00296172"/>
    <w:rsid w:val="00296B92"/>
    <w:rsid w:val="002A17AF"/>
    <w:rsid w:val="002A2C22"/>
    <w:rsid w:val="002B02EB"/>
    <w:rsid w:val="002B6DA0"/>
    <w:rsid w:val="002C0602"/>
    <w:rsid w:val="002D11B4"/>
    <w:rsid w:val="002D5C16"/>
    <w:rsid w:val="002E423C"/>
    <w:rsid w:val="002E4F42"/>
    <w:rsid w:val="002E788F"/>
    <w:rsid w:val="002F241B"/>
    <w:rsid w:val="002F2476"/>
    <w:rsid w:val="002F3DFF"/>
    <w:rsid w:val="002F5E05"/>
    <w:rsid w:val="002F7980"/>
    <w:rsid w:val="00302BFF"/>
    <w:rsid w:val="00307A76"/>
    <w:rsid w:val="00315693"/>
    <w:rsid w:val="00315A16"/>
    <w:rsid w:val="00317053"/>
    <w:rsid w:val="0032109C"/>
    <w:rsid w:val="00322B45"/>
    <w:rsid w:val="00323809"/>
    <w:rsid w:val="00323D41"/>
    <w:rsid w:val="00325414"/>
    <w:rsid w:val="003302F1"/>
    <w:rsid w:val="003304EA"/>
    <w:rsid w:val="0033103B"/>
    <w:rsid w:val="00337AD0"/>
    <w:rsid w:val="00337B49"/>
    <w:rsid w:val="0034470E"/>
    <w:rsid w:val="00352DB0"/>
    <w:rsid w:val="00353571"/>
    <w:rsid w:val="00356C25"/>
    <w:rsid w:val="003570E8"/>
    <w:rsid w:val="00361063"/>
    <w:rsid w:val="0037094A"/>
    <w:rsid w:val="00371ED3"/>
    <w:rsid w:val="00372FFC"/>
    <w:rsid w:val="0037728A"/>
    <w:rsid w:val="00380B7D"/>
    <w:rsid w:val="00381A99"/>
    <w:rsid w:val="003829C2"/>
    <w:rsid w:val="003830B2"/>
    <w:rsid w:val="00384724"/>
    <w:rsid w:val="003856C4"/>
    <w:rsid w:val="003919B7"/>
    <w:rsid w:val="00391D57"/>
    <w:rsid w:val="00391FE0"/>
    <w:rsid w:val="00392292"/>
    <w:rsid w:val="00394F45"/>
    <w:rsid w:val="003A5927"/>
    <w:rsid w:val="003A614E"/>
    <w:rsid w:val="003B1017"/>
    <w:rsid w:val="003B3C07"/>
    <w:rsid w:val="003B6081"/>
    <w:rsid w:val="003B6775"/>
    <w:rsid w:val="003C5E04"/>
    <w:rsid w:val="003C5FE2"/>
    <w:rsid w:val="003C6DCC"/>
    <w:rsid w:val="003D05FB"/>
    <w:rsid w:val="003D1B16"/>
    <w:rsid w:val="003D2CEE"/>
    <w:rsid w:val="003D45BF"/>
    <w:rsid w:val="003D508A"/>
    <w:rsid w:val="003D5378"/>
    <w:rsid w:val="003D537F"/>
    <w:rsid w:val="003D7B75"/>
    <w:rsid w:val="003E0208"/>
    <w:rsid w:val="003E1C00"/>
    <w:rsid w:val="003E4B57"/>
    <w:rsid w:val="003F27E1"/>
    <w:rsid w:val="003F437A"/>
    <w:rsid w:val="003F5C2B"/>
    <w:rsid w:val="00401EDF"/>
    <w:rsid w:val="00402240"/>
    <w:rsid w:val="004023E9"/>
    <w:rsid w:val="0040454A"/>
    <w:rsid w:val="00410F8D"/>
    <w:rsid w:val="00413F83"/>
    <w:rsid w:val="0041490C"/>
    <w:rsid w:val="00415C51"/>
    <w:rsid w:val="00416191"/>
    <w:rsid w:val="00416721"/>
    <w:rsid w:val="00417797"/>
    <w:rsid w:val="00421EF0"/>
    <w:rsid w:val="00422137"/>
    <w:rsid w:val="004224FA"/>
    <w:rsid w:val="00423D07"/>
    <w:rsid w:val="00427936"/>
    <w:rsid w:val="004422EF"/>
    <w:rsid w:val="0044346F"/>
    <w:rsid w:val="00446148"/>
    <w:rsid w:val="00447D88"/>
    <w:rsid w:val="00453FF6"/>
    <w:rsid w:val="0046520A"/>
    <w:rsid w:val="004672AB"/>
    <w:rsid w:val="004714FE"/>
    <w:rsid w:val="00474163"/>
    <w:rsid w:val="00476399"/>
    <w:rsid w:val="00477BAA"/>
    <w:rsid w:val="00480A33"/>
    <w:rsid w:val="0049003D"/>
    <w:rsid w:val="00495053"/>
    <w:rsid w:val="0049700F"/>
    <w:rsid w:val="004A1F59"/>
    <w:rsid w:val="004A29BE"/>
    <w:rsid w:val="004A3225"/>
    <w:rsid w:val="004A33EE"/>
    <w:rsid w:val="004A3AA8"/>
    <w:rsid w:val="004B13C7"/>
    <w:rsid w:val="004B778F"/>
    <w:rsid w:val="004C0609"/>
    <w:rsid w:val="004D141F"/>
    <w:rsid w:val="004D2742"/>
    <w:rsid w:val="004D27D0"/>
    <w:rsid w:val="004D2D19"/>
    <w:rsid w:val="004D5DF6"/>
    <w:rsid w:val="004D6310"/>
    <w:rsid w:val="004E0062"/>
    <w:rsid w:val="004E05A1"/>
    <w:rsid w:val="004F472A"/>
    <w:rsid w:val="004F5E57"/>
    <w:rsid w:val="004F663A"/>
    <w:rsid w:val="004F6710"/>
    <w:rsid w:val="00500C3E"/>
    <w:rsid w:val="00502849"/>
    <w:rsid w:val="00504334"/>
    <w:rsid w:val="0050498D"/>
    <w:rsid w:val="005104D7"/>
    <w:rsid w:val="00510B9E"/>
    <w:rsid w:val="00514D3B"/>
    <w:rsid w:val="005165EE"/>
    <w:rsid w:val="00522F72"/>
    <w:rsid w:val="0052341A"/>
    <w:rsid w:val="00523938"/>
    <w:rsid w:val="0053452D"/>
    <w:rsid w:val="00535328"/>
    <w:rsid w:val="0053602D"/>
    <w:rsid w:val="00536BC2"/>
    <w:rsid w:val="0054194F"/>
    <w:rsid w:val="00541E41"/>
    <w:rsid w:val="005425E1"/>
    <w:rsid w:val="005427C5"/>
    <w:rsid w:val="00542CF6"/>
    <w:rsid w:val="00553C03"/>
    <w:rsid w:val="00554F95"/>
    <w:rsid w:val="00563692"/>
    <w:rsid w:val="00570F43"/>
    <w:rsid w:val="00571679"/>
    <w:rsid w:val="00571766"/>
    <w:rsid w:val="005747C2"/>
    <w:rsid w:val="00576D49"/>
    <w:rsid w:val="00577BC2"/>
    <w:rsid w:val="00581C89"/>
    <w:rsid w:val="0058410A"/>
    <w:rsid w:val="005844E7"/>
    <w:rsid w:val="005908B8"/>
    <w:rsid w:val="005935FB"/>
    <w:rsid w:val="0059512E"/>
    <w:rsid w:val="0059638D"/>
    <w:rsid w:val="00597D43"/>
    <w:rsid w:val="005A386C"/>
    <w:rsid w:val="005A43CE"/>
    <w:rsid w:val="005A6DD2"/>
    <w:rsid w:val="005B6BDD"/>
    <w:rsid w:val="005C1B90"/>
    <w:rsid w:val="005C2010"/>
    <w:rsid w:val="005C385D"/>
    <w:rsid w:val="005D3B20"/>
    <w:rsid w:val="005E4759"/>
    <w:rsid w:val="005E5975"/>
    <w:rsid w:val="005E5C68"/>
    <w:rsid w:val="005E65C0"/>
    <w:rsid w:val="005F0390"/>
    <w:rsid w:val="005F15E6"/>
    <w:rsid w:val="0060043D"/>
    <w:rsid w:val="00606CEB"/>
    <w:rsid w:val="006072CD"/>
    <w:rsid w:val="00610E06"/>
    <w:rsid w:val="00612023"/>
    <w:rsid w:val="006124AC"/>
    <w:rsid w:val="00614190"/>
    <w:rsid w:val="00622A99"/>
    <w:rsid w:val="00622E67"/>
    <w:rsid w:val="00626B57"/>
    <w:rsid w:val="00626EDC"/>
    <w:rsid w:val="0064039B"/>
    <w:rsid w:val="0064150A"/>
    <w:rsid w:val="0064289D"/>
    <w:rsid w:val="006470EC"/>
    <w:rsid w:val="00650639"/>
    <w:rsid w:val="00650A7E"/>
    <w:rsid w:val="0065427A"/>
    <w:rsid w:val="006542D6"/>
    <w:rsid w:val="00654C81"/>
    <w:rsid w:val="0065598E"/>
    <w:rsid w:val="00655AF2"/>
    <w:rsid w:val="00655BC5"/>
    <w:rsid w:val="006568BE"/>
    <w:rsid w:val="0066025D"/>
    <w:rsid w:val="0066091A"/>
    <w:rsid w:val="006773EC"/>
    <w:rsid w:val="00680504"/>
    <w:rsid w:val="00681CD9"/>
    <w:rsid w:val="00683E30"/>
    <w:rsid w:val="00686A3B"/>
    <w:rsid w:val="00686B9F"/>
    <w:rsid w:val="00687024"/>
    <w:rsid w:val="00690C04"/>
    <w:rsid w:val="006925F2"/>
    <w:rsid w:val="00694289"/>
    <w:rsid w:val="00695767"/>
    <w:rsid w:val="00695E22"/>
    <w:rsid w:val="006A2145"/>
    <w:rsid w:val="006A5D05"/>
    <w:rsid w:val="006A6E99"/>
    <w:rsid w:val="006B29A4"/>
    <w:rsid w:val="006B3404"/>
    <w:rsid w:val="006B7093"/>
    <w:rsid w:val="006B7417"/>
    <w:rsid w:val="006B7579"/>
    <w:rsid w:val="006C2EC8"/>
    <w:rsid w:val="006D117A"/>
    <w:rsid w:val="006D25FC"/>
    <w:rsid w:val="006D2C43"/>
    <w:rsid w:val="006D3691"/>
    <w:rsid w:val="006D75A6"/>
    <w:rsid w:val="006E5EF0"/>
    <w:rsid w:val="006F3563"/>
    <w:rsid w:val="006F42B9"/>
    <w:rsid w:val="006F6103"/>
    <w:rsid w:val="007038D2"/>
    <w:rsid w:val="00704E00"/>
    <w:rsid w:val="00705C7A"/>
    <w:rsid w:val="0071006F"/>
    <w:rsid w:val="00710DE7"/>
    <w:rsid w:val="00714D12"/>
    <w:rsid w:val="00715FB9"/>
    <w:rsid w:val="007209E7"/>
    <w:rsid w:val="00721BCB"/>
    <w:rsid w:val="00721DDF"/>
    <w:rsid w:val="007253F6"/>
    <w:rsid w:val="00726182"/>
    <w:rsid w:val="00727635"/>
    <w:rsid w:val="00732329"/>
    <w:rsid w:val="007337CA"/>
    <w:rsid w:val="00734CE4"/>
    <w:rsid w:val="00735123"/>
    <w:rsid w:val="00741837"/>
    <w:rsid w:val="007453E6"/>
    <w:rsid w:val="00747785"/>
    <w:rsid w:val="007520C7"/>
    <w:rsid w:val="007538AC"/>
    <w:rsid w:val="007545AE"/>
    <w:rsid w:val="0077309D"/>
    <w:rsid w:val="00773C5F"/>
    <w:rsid w:val="007774EE"/>
    <w:rsid w:val="00781822"/>
    <w:rsid w:val="00783F21"/>
    <w:rsid w:val="0078551E"/>
    <w:rsid w:val="00787159"/>
    <w:rsid w:val="0079043A"/>
    <w:rsid w:val="00791668"/>
    <w:rsid w:val="00791AA1"/>
    <w:rsid w:val="007A1A4C"/>
    <w:rsid w:val="007A2096"/>
    <w:rsid w:val="007A3793"/>
    <w:rsid w:val="007A6085"/>
    <w:rsid w:val="007A7D95"/>
    <w:rsid w:val="007A7ECB"/>
    <w:rsid w:val="007C1BA2"/>
    <w:rsid w:val="007C2B48"/>
    <w:rsid w:val="007D20E9"/>
    <w:rsid w:val="007D697F"/>
    <w:rsid w:val="007D6DBA"/>
    <w:rsid w:val="007D7881"/>
    <w:rsid w:val="007D7E3A"/>
    <w:rsid w:val="007E0E10"/>
    <w:rsid w:val="007E29DE"/>
    <w:rsid w:val="007E4768"/>
    <w:rsid w:val="007E777B"/>
    <w:rsid w:val="007F2070"/>
    <w:rsid w:val="007F63C1"/>
    <w:rsid w:val="007F78C9"/>
    <w:rsid w:val="00800744"/>
    <w:rsid w:val="00801F3F"/>
    <w:rsid w:val="0080357C"/>
    <w:rsid w:val="008053BF"/>
    <w:rsid w:val="008053F5"/>
    <w:rsid w:val="00807750"/>
    <w:rsid w:val="00807AF7"/>
    <w:rsid w:val="00810198"/>
    <w:rsid w:val="00815D89"/>
    <w:rsid w:val="00815DA8"/>
    <w:rsid w:val="0082194D"/>
    <w:rsid w:val="008221F9"/>
    <w:rsid w:val="008243EF"/>
    <w:rsid w:val="00825AFB"/>
    <w:rsid w:val="00826EF5"/>
    <w:rsid w:val="008278BC"/>
    <w:rsid w:val="00831693"/>
    <w:rsid w:val="0083526F"/>
    <w:rsid w:val="00840104"/>
    <w:rsid w:val="00840C1F"/>
    <w:rsid w:val="008411C9"/>
    <w:rsid w:val="00841B49"/>
    <w:rsid w:val="00841FC5"/>
    <w:rsid w:val="00845709"/>
    <w:rsid w:val="00850200"/>
    <w:rsid w:val="008576BD"/>
    <w:rsid w:val="00860463"/>
    <w:rsid w:val="008624C8"/>
    <w:rsid w:val="00871682"/>
    <w:rsid w:val="00873241"/>
    <w:rsid w:val="008733DA"/>
    <w:rsid w:val="00873E5A"/>
    <w:rsid w:val="0087530E"/>
    <w:rsid w:val="008850E4"/>
    <w:rsid w:val="0088653D"/>
    <w:rsid w:val="008907AB"/>
    <w:rsid w:val="0089265E"/>
    <w:rsid w:val="008939AB"/>
    <w:rsid w:val="008A12F5"/>
    <w:rsid w:val="008A1CD5"/>
    <w:rsid w:val="008A314C"/>
    <w:rsid w:val="008A3501"/>
    <w:rsid w:val="008A653F"/>
    <w:rsid w:val="008A70E7"/>
    <w:rsid w:val="008B1587"/>
    <w:rsid w:val="008B1B01"/>
    <w:rsid w:val="008B27A4"/>
    <w:rsid w:val="008B3BCD"/>
    <w:rsid w:val="008B6DF8"/>
    <w:rsid w:val="008C106C"/>
    <w:rsid w:val="008C10F1"/>
    <w:rsid w:val="008C1926"/>
    <w:rsid w:val="008C1E99"/>
    <w:rsid w:val="008C53AD"/>
    <w:rsid w:val="008C6F26"/>
    <w:rsid w:val="008D5542"/>
    <w:rsid w:val="008D6F05"/>
    <w:rsid w:val="008E0085"/>
    <w:rsid w:val="008E0BE6"/>
    <w:rsid w:val="008E2AA6"/>
    <w:rsid w:val="008E311B"/>
    <w:rsid w:val="008E375C"/>
    <w:rsid w:val="008F0A1B"/>
    <w:rsid w:val="008F46E7"/>
    <w:rsid w:val="008F636A"/>
    <w:rsid w:val="008F6F0B"/>
    <w:rsid w:val="008F719D"/>
    <w:rsid w:val="00904DF6"/>
    <w:rsid w:val="00904F01"/>
    <w:rsid w:val="00907BA7"/>
    <w:rsid w:val="0091064E"/>
    <w:rsid w:val="00911095"/>
    <w:rsid w:val="00911FC5"/>
    <w:rsid w:val="00912A2C"/>
    <w:rsid w:val="0091656C"/>
    <w:rsid w:val="0092084D"/>
    <w:rsid w:val="00923819"/>
    <w:rsid w:val="00931A10"/>
    <w:rsid w:val="00932179"/>
    <w:rsid w:val="00943641"/>
    <w:rsid w:val="0094686A"/>
    <w:rsid w:val="00947967"/>
    <w:rsid w:val="009539A0"/>
    <w:rsid w:val="00955201"/>
    <w:rsid w:val="00960A4A"/>
    <w:rsid w:val="009612F1"/>
    <w:rsid w:val="0096251D"/>
    <w:rsid w:val="00963723"/>
    <w:rsid w:val="00965200"/>
    <w:rsid w:val="009668B3"/>
    <w:rsid w:val="00971076"/>
    <w:rsid w:val="00971471"/>
    <w:rsid w:val="0097782D"/>
    <w:rsid w:val="009849C2"/>
    <w:rsid w:val="00984D24"/>
    <w:rsid w:val="009858EB"/>
    <w:rsid w:val="00987085"/>
    <w:rsid w:val="009962D6"/>
    <w:rsid w:val="009A20FB"/>
    <w:rsid w:val="009A3F47"/>
    <w:rsid w:val="009B0046"/>
    <w:rsid w:val="009B7309"/>
    <w:rsid w:val="009B73F0"/>
    <w:rsid w:val="009C1440"/>
    <w:rsid w:val="009C2107"/>
    <w:rsid w:val="009C47D2"/>
    <w:rsid w:val="009C5D9E"/>
    <w:rsid w:val="009D018E"/>
    <w:rsid w:val="009D2C3E"/>
    <w:rsid w:val="009D7EBF"/>
    <w:rsid w:val="009E0625"/>
    <w:rsid w:val="009E3034"/>
    <w:rsid w:val="009E4078"/>
    <w:rsid w:val="009E549F"/>
    <w:rsid w:val="009F25B1"/>
    <w:rsid w:val="009F28A8"/>
    <w:rsid w:val="009F473E"/>
    <w:rsid w:val="009F682A"/>
    <w:rsid w:val="00A022BE"/>
    <w:rsid w:val="00A07B4B"/>
    <w:rsid w:val="00A17EE0"/>
    <w:rsid w:val="00A229CE"/>
    <w:rsid w:val="00A24C95"/>
    <w:rsid w:val="00A2599A"/>
    <w:rsid w:val="00A26094"/>
    <w:rsid w:val="00A301BF"/>
    <w:rsid w:val="00A302B2"/>
    <w:rsid w:val="00A31015"/>
    <w:rsid w:val="00A32CC7"/>
    <w:rsid w:val="00A331B4"/>
    <w:rsid w:val="00A3484E"/>
    <w:rsid w:val="00A356D3"/>
    <w:rsid w:val="00A36ADA"/>
    <w:rsid w:val="00A425D9"/>
    <w:rsid w:val="00A438D8"/>
    <w:rsid w:val="00A4635E"/>
    <w:rsid w:val="00A473F5"/>
    <w:rsid w:val="00A51F9D"/>
    <w:rsid w:val="00A5416A"/>
    <w:rsid w:val="00A57DEF"/>
    <w:rsid w:val="00A6010F"/>
    <w:rsid w:val="00A6053F"/>
    <w:rsid w:val="00A6331F"/>
    <w:rsid w:val="00A639F4"/>
    <w:rsid w:val="00A81A32"/>
    <w:rsid w:val="00A835BD"/>
    <w:rsid w:val="00A90D2C"/>
    <w:rsid w:val="00A92E42"/>
    <w:rsid w:val="00A94DF1"/>
    <w:rsid w:val="00A97B15"/>
    <w:rsid w:val="00AA40AE"/>
    <w:rsid w:val="00AA41FA"/>
    <w:rsid w:val="00AA42D5"/>
    <w:rsid w:val="00AA78F1"/>
    <w:rsid w:val="00AB0B90"/>
    <w:rsid w:val="00AB2FAB"/>
    <w:rsid w:val="00AB4EA1"/>
    <w:rsid w:val="00AB4F2F"/>
    <w:rsid w:val="00AB56C1"/>
    <w:rsid w:val="00AB58FA"/>
    <w:rsid w:val="00AB5C14"/>
    <w:rsid w:val="00AB5E08"/>
    <w:rsid w:val="00AC1EE7"/>
    <w:rsid w:val="00AC333F"/>
    <w:rsid w:val="00AC585C"/>
    <w:rsid w:val="00AC6562"/>
    <w:rsid w:val="00AD1925"/>
    <w:rsid w:val="00AD29B5"/>
    <w:rsid w:val="00AD3298"/>
    <w:rsid w:val="00AD35BC"/>
    <w:rsid w:val="00AE067D"/>
    <w:rsid w:val="00AE3F87"/>
    <w:rsid w:val="00AE7820"/>
    <w:rsid w:val="00AF1181"/>
    <w:rsid w:val="00AF2F79"/>
    <w:rsid w:val="00AF4653"/>
    <w:rsid w:val="00AF51A0"/>
    <w:rsid w:val="00AF7DB7"/>
    <w:rsid w:val="00B02067"/>
    <w:rsid w:val="00B1085C"/>
    <w:rsid w:val="00B10D02"/>
    <w:rsid w:val="00B201E2"/>
    <w:rsid w:val="00B235AE"/>
    <w:rsid w:val="00B31018"/>
    <w:rsid w:val="00B31686"/>
    <w:rsid w:val="00B36954"/>
    <w:rsid w:val="00B4102E"/>
    <w:rsid w:val="00B443E4"/>
    <w:rsid w:val="00B45ABF"/>
    <w:rsid w:val="00B46533"/>
    <w:rsid w:val="00B46B4B"/>
    <w:rsid w:val="00B52BC7"/>
    <w:rsid w:val="00B5484D"/>
    <w:rsid w:val="00B563EA"/>
    <w:rsid w:val="00B56CDF"/>
    <w:rsid w:val="00B60E51"/>
    <w:rsid w:val="00B61E0A"/>
    <w:rsid w:val="00B62FEB"/>
    <w:rsid w:val="00B63A54"/>
    <w:rsid w:val="00B65C55"/>
    <w:rsid w:val="00B66E64"/>
    <w:rsid w:val="00B70063"/>
    <w:rsid w:val="00B71E91"/>
    <w:rsid w:val="00B77D18"/>
    <w:rsid w:val="00B8313A"/>
    <w:rsid w:val="00B9281B"/>
    <w:rsid w:val="00B93503"/>
    <w:rsid w:val="00BA31E8"/>
    <w:rsid w:val="00BA55E0"/>
    <w:rsid w:val="00BA6BD4"/>
    <w:rsid w:val="00BA6C7A"/>
    <w:rsid w:val="00BA7399"/>
    <w:rsid w:val="00BB00A8"/>
    <w:rsid w:val="00BB11D4"/>
    <w:rsid w:val="00BB17D1"/>
    <w:rsid w:val="00BB3752"/>
    <w:rsid w:val="00BB6688"/>
    <w:rsid w:val="00BC26D4"/>
    <w:rsid w:val="00BD09D9"/>
    <w:rsid w:val="00BD4517"/>
    <w:rsid w:val="00BD5F00"/>
    <w:rsid w:val="00BE0C80"/>
    <w:rsid w:val="00BE1BC8"/>
    <w:rsid w:val="00BE29B5"/>
    <w:rsid w:val="00BE4F7D"/>
    <w:rsid w:val="00BF26D8"/>
    <w:rsid w:val="00BF2A42"/>
    <w:rsid w:val="00BF2EE3"/>
    <w:rsid w:val="00C00067"/>
    <w:rsid w:val="00C03D8C"/>
    <w:rsid w:val="00C055EC"/>
    <w:rsid w:val="00C10DC9"/>
    <w:rsid w:val="00C11B60"/>
    <w:rsid w:val="00C12DF2"/>
    <w:rsid w:val="00C12FB3"/>
    <w:rsid w:val="00C17341"/>
    <w:rsid w:val="00C24C4D"/>
    <w:rsid w:val="00C24EEF"/>
    <w:rsid w:val="00C25CF6"/>
    <w:rsid w:val="00C26C36"/>
    <w:rsid w:val="00C32768"/>
    <w:rsid w:val="00C32CAF"/>
    <w:rsid w:val="00C40ED5"/>
    <w:rsid w:val="00C431DF"/>
    <w:rsid w:val="00C43622"/>
    <w:rsid w:val="00C456BD"/>
    <w:rsid w:val="00C510A7"/>
    <w:rsid w:val="00C52F81"/>
    <w:rsid w:val="00C530DC"/>
    <w:rsid w:val="00C5350D"/>
    <w:rsid w:val="00C607F9"/>
    <w:rsid w:val="00C6123C"/>
    <w:rsid w:val="00C6311A"/>
    <w:rsid w:val="00C66026"/>
    <w:rsid w:val="00C67933"/>
    <w:rsid w:val="00C7084D"/>
    <w:rsid w:val="00C7315E"/>
    <w:rsid w:val="00C75895"/>
    <w:rsid w:val="00C83543"/>
    <w:rsid w:val="00C83C9F"/>
    <w:rsid w:val="00C94840"/>
    <w:rsid w:val="00CA4EE3"/>
    <w:rsid w:val="00CA56D3"/>
    <w:rsid w:val="00CA59CD"/>
    <w:rsid w:val="00CB027F"/>
    <w:rsid w:val="00CB0C27"/>
    <w:rsid w:val="00CC0EBB"/>
    <w:rsid w:val="00CC2A48"/>
    <w:rsid w:val="00CC6297"/>
    <w:rsid w:val="00CC7690"/>
    <w:rsid w:val="00CD1986"/>
    <w:rsid w:val="00CD50BC"/>
    <w:rsid w:val="00CD54BF"/>
    <w:rsid w:val="00CE20EF"/>
    <w:rsid w:val="00CE4D5C"/>
    <w:rsid w:val="00CF0268"/>
    <w:rsid w:val="00CF05DA"/>
    <w:rsid w:val="00CF58EB"/>
    <w:rsid w:val="00CF6FEC"/>
    <w:rsid w:val="00D0106E"/>
    <w:rsid w:val="00D014F9"/>
    <w:rsid w:val="00D06383"/>
    <w:rsid w:val="00D10777"/>
    <w:rsid w:val="00D208DE"/>
    <w:rsid w:val="00D20E85"/>
    <w:rsid w:val="00D217AC"/>
    <w:rsid w:val="00D22998"/>
    <w:rsid w:val="00D24615"/>
    <w:rsid w:val="00D32FA1"/>
    <w:rsid w:val="00D37842"/>
    <w:rsid w:val="00D42DC2"/>
    <w:rsid w:val="00D4302B"/>
    <w:rsid w:val="00D5001D"/>
    <w:rsid w:val="00D530E1"/>
    <w:rsid w:val="00D537E1"/>
    <w:rsid w:val="00D5422C"/>
    <w:rsid w:val="00D55BB2"/>
    <w:rsid w:val="00D6091A"/>
    <w:rsid w:val="00D6605A"/>
    <w:rsid w:val="00D6695F"/>
    <w:rsid w:val="00D73EA4"/>
    <w:rsid w:val="00D75644"/>
    <w:rsid w:val="00D81656"/>
    <w:rsid w:val="00D83D87"/>
    <w:rsid w:val="00D840D6"/>
    <w:rsid w:val="00D84A6D"/>
    <w:rsid w:val="00D86A30"/>
    <w:rsid w:val="00D86A3B"/>
    <w:rsid w:val="00D90A82"/>
    <w:rsid w:val="00D951D5"/>
    <w:rsid w:val="00D97CB4"/>
    <w:rsid w:val="00D97DD4"/>
    <w:rsid w:val="00DA3CDC"/>
    <w:rsid w:val="00DA3F75"/>
    <w:rsid w:val="00DA5A8A"/>
    <w:rsid w:val="00DA70DF"/>
    <w:rsid w:val="00DA7FF4"/>
    <w:rsid w:val="00DB1170"/>
    <w:rsid w:val="00DB26CD"/>
    <w:rsid w:val="00DB441C"/>
    <w:rsid w:val="00DB44AF"/>
    <w:rsid w:val="00DC1DFD"/>
    <w:rsid w:val="00DC1F58"/>
    <w:rsid w:val="00DC2588"/>
    <w:rsid w:val="00DC339B"/>
    <w:rsid w:val="00DC38D1"/>
    <w:rsid w:val="00DC5D40"/>
    <w:rsid w:val="00DC69A7"/>
    <w:rsid w:val="00DD30E9"/>
    <w:rsid w:val="00DD4F47"/>
    <w:rsid w:val="00DD7FBB"/>
    <w:rsid w:val="00DE0B9F"/>
    <w:rsid w:val="00DE2A9E"/>
    <w:rsid w:val="00DE4238"/>
    <w:rsid w:val="00DE608A"/>
    <w:rsid w:val="00DE6269"/>
    <w:rsid w:val="00DE657F"/>
    <w:rsid w:val="00DF1218"/>
    <w:rsid w:val="00DF6462"/>
    <w:rsid w:val="00E004CC"/>
    <w:rsid w:val="00E02FA0"/>
    <w:rsid w:val="00E036DC"/>
    <w:rsid w:val="00E05D55"/>
    <w:rsid w:val="00E10270"/>
    <w:rsid w:val="00E10454"/>
    <w:rsid w:val="00E112E5"/>
    <w:rsid w:val="00E122D8"/>
    <w:rsid w:val="00E12CC8"/>
    <w:rsid w:val="00E15352"/>
    <w:rsid w:val="00E16716"/>
    <w:rsid w:val="00E21CC7"/>
    <w:rsid w:val="00E24D9E"/>
    <w:rsid w:val="00E25849"/>
    <w:rsid w:val="00E264E5"/>
    <w:rsid w:val="00E26D01"/>
    <w:rsid w:val="00E3197E"/>
    <w:rsid w:val="00E342F8"/>
    <w:rsid w:val="00E351ED"/>
    <w:rsid w:val="00E446C3"/>
    <w:rsid w:val="00E46A0F"/>
    <w:rsid w:val="00E52C3C"/>
    <w:rsid w:val="00E53CE6"/>
    <w:rsid w:val="00E55C54"/>
    <w:rsid w:val="00E6034B"/>
    <w:rsid w:val="00E60B71"/>
    <w:rsid w:val="00E6549E"/>
    <w:rsid w:val="00E65E43"/>
    <w:rsid w:val="00E65EDE"/>
    <w:rsid w:val="00E70F81"/>
    <w:rsid w:val="00E73F1E"/>
    <w:rsid w:val="00E75424"/>
    <w:rsid w:val="00E77055"/>
    <w:rsid w:val="00E7745F"/>
    <w:rsid w:val="00E77460"/>
    <w:rsid w:val="00E77D81"/>
    <w:rsid w:val="00E83ABC"/>
    <w:rsid w:val="00E844F2"/>
    <w:rsid w:val="00E90AD0"/>
    <w:rsid w:val="00E92AE1"/>
    <w:rsid w:val="00E92FCB"/>
    <w:rsid w:val="00EA147F"/>
    <w:rsid w:val="00EA4A27"/>
    <w:rsid w:val="00EA4A36"/>
    <w:rsid w:val="00EA4FA6"/>
    <w:rsid w:val="00EA5809"/>
    <w:rsid w:val="00EB1A25"/>
    <w:rsid w:val="00EB2237"/>
    <w:rsid w:val="00EB650C"/>
    <w:rsid w:val="00EC6FC4"/>
    <w:rsid w:val="00EC724B"/>
    <w:rsid w:val="00EC7363"/>
    <w:rsid w:val="00EC78C4"/>
    <w:rsid w:val="00ED03AB"/>
    <w:rsid w:val="00ED1963"/>
    <w:rsid w:val="00ED1CD4"/>
    <w:rsid w:val="00ED1D2B"/>
    <w:rsid w:val="00ED3019"/>
    <w:rsid w:val="00ED436E"/>
    <w:rsid w:val="00ED64B5"/>
    <w:rsid w:val="00EE5E07"/>
    <w:rsid w:val="00EE7CCA"/>
    <w:rsid w:val="00EF77D8"/>
    <w:rsid w:val="00F0080E"/>
    <w:rsid w:val="00F0564C"/>
    <w:rsid w:val="00F068BB"/>
    <w:rsid w:val="00F107C0"/>
    <w:rsid w:val="00F16A14"/>
    <w:rsid w:val="00F16BFD"/>
    <w:rsid w:val="00F17632"/>
    <w:rsid w:val="00F362D7"/>
    <w:rsid w:val="00F37D7B"/>
    <w:rsid w:val="00F41F46"/>
    <w:rsid w:val="00F44137"/>
    <w:rsid w:val="00F51FC0"/>
    <w:rsid w:val="00F5314C"/>
    <w:rsid w:val="00F5688C"/>
    <w:rsid w:val="00F60048"/>
    <w:rsid w:val="00F635DD"/>
    <w:rsid w:val="00F653A0"/>
    <w:rsid w:val="00F6627B"/>
    <w:rsid w:val="00F720AD"/>
    <w:rsid w:val="00F7332B"/>
    <w:rsid w:val="00F7336E"/>
    <w:rsid w:val="00F734F2"/>
    <w:rsid w:val="00F75052"/>
    <w:rsid w:val="00F804D3"/>
    <w:rsid w:val="00F816CB"/>
    <w:rsid w:val="00F81CD2"/>
    <w:rsid w:val="00F82641"/>
    <w:rsid w:val="00F90F18"/>
    <w:rsid w:val="00F92B0C"/>
    <w:rsid w:val="00F937E4"/>
    <w:rsid w:val="00F95EE7"/>
    <w:rsid w:val="00FA39E6"/>
    <w:rsid w:val="00FA3CD5"/>
    <w:rsid w:val="00FA7BC9"/>
    <w:rsid w:val="00FB1657"/>
    <w:rsid w:val="00FB30CF"/>
    <w:rsid w:val="00FB31B4"/>
    <w:rsid w:val="00FB378E"/>
    <w:rsid w:val="00FB37F1"/>
    <w:rsid w:val="00FB47C0"/>
    <w:rsid w:val="00FB501B"/>
    <w:rsid w:val="00FB7770"/>
    <w:rsid w:val="00FC0306"/>
    <w:rsid w:val="00FC0B7F"/>
    <w:rsid w:val="00FD3B91"/>
    <w:rsid w:val="00FD4FF0"/>
    <w:rsid w:val="00FD576B"/>
    <w:rsid w:val="00FD579E"/>
    <w:rsid w:val="00FD6845"/>
    <w:rsid w:val="00FE2EB6"/>
    <w:rsid w:val="00FE4516"/>
    <w:rsid w:val="00FE64C8"/>
    <w:rsid w:val="00FF5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4D934D-14A7-4EDE-B6D4-4E74E33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45613"/>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50">
    <w:name w:val="標題 5 字元"/>
    <w:basedOn w:val="a8"/>
    <w:link w:val="5"/>
    <w:rsid w:val="00A6010F"/>
    <w:rPr>
      <w:rFonts w:ascii="標楷體" w:eastAsia="標楷體" w:hAnsi="Arial"/>
      <w:bCs/>
      <w:kern w:val="32"/>
      <w:sz w:val="32"/>
      <w:szCs w:val="36"/>
    </w:rPr>
  </w:style>
  <w:style w:type="paragraph" w:styleId="afd">
    <w:name w:val="footnote text"/>
    <w:basedOn w:val="a7"/>
    <w:link w:val="afe"/>
    <w:uiPriority w:val="99"/>
    <w:semiHidden/>
    <w:unhideWhenUsed/>
    <w:rsid w:val="00277BE3"/>
    <w:pPr>
      <w:snapToGrid w:val="0"/>
      <w:jc w:val="left"/>
    </w:pPr>
    <w:rPr>
      <w:sz w:val="20"/>
    </w:rPr>
  </w:style>
  <w:style w:type="character" w:customStyle="1" w:styleId="afe">
    <w:name w:val="註腳文字 字元"/>
    <w:basedOn w:val="a8"/>
    <w:link w:val="afd"/>
    <w:uiPriority w:val="99"/>
    <w:semiHidden/>
    <w:rsid w:val="00277BE3"/>
    <w:rPr>
      <w:rFonts w:ascii="標楷體" w:eastAsia="標楷體"/>
      <w:kern w:val="2"/>
    </w:rPr>
  </w:style>
  <w:style w:type="character" w:styleId="aff">
    <w:name w:val="footnote reference"/>
    <w:basedOn w:val="a8"/>
    <w:uiPriority w:val="99"/>
    <w:semiHidden/>
    <w:unhideWhenUsed/>
    <w:rsid w:val="00277BE3"/>
    <w:rPr>
      <w:vertAlign w:val="superscript"/>
    </w:rPr>
  </w:style>
  <w:style w:type="paragraph" w:styleId="a">
    <w:name w:val="List Bullet"/>
    <w:basedOn w:val="a7"/>
    <w:uiPriority w:val="99"/>
    <w:unhideWhenUsed/>
    <w:rsid w:val="00237BCB"/>
    <w:pPr>
      <w:numPr>
        <w:numId w:val="9"/>
      </w:numPr>
      <w:contextualSpacing/>
    </w:pPr>
  </w:style>
  <w:style w:type="character" w:customStyle="1" w:styleId="30">
    <w:name w:val="標題 3 字元"/>
    <w:basedOn w:val="a8"/>
    <w:link w:val="3"/>
    <w:rsid w:val="00E46A0F"/>
    <w:rPr>
      <w:rFonts w:ascii="標楷體" w:eastAsia="標楷體" w:hAnsi="Arial"/>
      <w:bCs/>
      <w:kern w:val="32"/>
      <w:sz w:val="32"/>
      <w:szCs w:val="36"/>
    </w:rPr>
  </w:style>
  <w:style w:type="character" w:customStyle="1" w:styleId="40">
    <w:name w:val="標題 4 字元"/>
    <w:basedOn w:val="a8"/>
    <w:link w:val="4"/>
    <w:rsid w:val="00E46A0F"/>
    <w:rPr>
      <w:rFonts w:ascii="標楷體" w:eastAsia="標楷體" w:hAnsi="Arial"/>
      <w:kern w:val="32"/>
      <w:sz w:val="32"/>
      <w:szCs w:val="36"/>
    </w:rPr>
  </w:style>
  <w:style w:type="character" w:customStyle="1" w:styleId="10">
    <w:name w:val="標題 1 字元"/>
    <w:basedOn w:val="a8"/>
    <w:link w:val="1"/>
    <w:rsid w:val="00245613"/>
    <w:rPr>
      <w:rFonts w:ascii="標楷體" w:eastAsia="標楷體" w:hAnsi="Arial"/>
      <w:bCs/>
      <w:kern w:val="32"/>
      <w:sz w:val="32"/>
      <w:szCs w:val="52"/>
    </w:rPr>
  </w:style>
  <w:style w:type="character" w:customStyle="1" w:styleId="60">
    <w:name w:val="標題 6 字元"/>
    <w:basedOn w:val="a8"/>
    <w:link w:val="6"/>
    <w:rsid w:val="00245613"/>
    <w:rPr>
      <w:rFonts w:ascii="標楷體" w:eastAsia="標楷體" w:hAnsi="Arial"/>
      <w:kern w:val="32"/>
      <w:sz w:val="32"/>
      <w:szCs w:val="36"/>
    </w:rPr>
  </w:style>
  <w:style w:type="character" w:styleId="aff0">
    <w:name w:val="FollowedHyperlink"/>
    <w:basedOn w:val="a8"/>
    <w:uiPriority w:val="99"/>
    <w:semiHidden/>
    <w:unhideWhenUsed/>
    <w:rsid w:val="00330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hyperlink" Target="https://udn.com/news/story/7321/3497344" TargetMode="External"/><Relationship Id="rId4" Type="http://schemas.openxmlformats.org/officeDocument/2006/relationships/hyperlink" Target="http://talk.ltn.com.tw/article/paper/12377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63D61-0189-403F-A61D-AF4411C1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49</Pages>
  <Words>3938</Words>
  <Characters>22447</Characters>
  <Application>Microsoft Office Word</Application>
  <DocSecurity>0</DocSecurity>
  <Lines>187</Lines>
  <Paragraphs>52</Paragraphs>
  <ScaleCrop>false</ScaleCrop>
  <Company>cy</Company>
  <LinksUpToDate>false</LinksUpToDate>
  <CharactersWithSpaces>26333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林秀珍</cp:lastModifiedBy>
  <cp:revision>5</cp:revision>
  <cp:lastPrinted>2019-03-13T09:06:00Z</cp:lastPrinted>
  <dcterms:created xsi:type="dcterms:W3CDTF">2019-04-03T02:51:00Z</dcterms:created>
  <dcterms:modified xsi:type="dcterms:W3CDTF">2019-04-03T02:56:00Z</dcterms:modified>
</cp:coreProperties>
</file>